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EDF4A" w14:textId="77777777" w:rsidR="002510A5" w:rsidRPr="0014404C" w:rsidRDefault="002510A5" w:rsidP="0014404C">
      <w:pPr>
        <w:widowControl w:val="0"/>
        <w:jc w:val="center"/>
        <w:rPr>
          <w:b/>
          <w:bCs/>
          <w:iCs/>
          <w:sz w:val="22"/>
          <w:szCs w:val="22"/>
          <w:u w:val="single"/>
          <w:lang w:val="sr-Latn-ME"/>
        </w:rPr>
      </w:pPr>
      <w:r w:rsidRPr="0014404C">
        <w:rPr>
          <w:b/>
          <w:bCs/>
          <w:iCs/>
          <w:sz w:val="22"/>
          <w:szCs w:val="22"/>
          <w:u w:val="single"/>
          <w:lang w:val="sr-Latn-ME"/>
        </w:rPr>
        <w:t>SAŽETAK KARAKTERISTIKA LIJEKA</w:t>
      </w:r>
    </w:p>
    <w:p w14:paraId="46C8F213" w14:textId="77777777" w:rsidR="002510A5" w:rsidRPr="0014404C" w:rsidRDefault="002510A5" w:rsidP="0014404C">
      <w:pPr>
        <w:widowControl w:val="0"/>
        <w:rPr>
          <w:b/>
          <w:bCs/>
          <w:i/>
          <w:iCs/>
          <w:sz w:val="22"/>
          <w:szCs w:val="22"/>
          <w:u w:val="single"/>
          <w:lang w:val="sr-Latn-ME"/>
        </w:rPr>
      </w:pPr>
    </w:p>
    <w:p w14:paraId="25FB94BA" w14:textId="77777777" w:rsidR="003C17AB" w:rsidRPr="0014404C" w:rsidRDefault="003C17AB" w:rsidP="0014404C">
      <w:pPr>
        <w:widowControl w:val="0"/>
        <w:jc w:val="both"/>
        <w:rPr>
          <w:sz w:val="22"/>
          <w:szCs w:val="22"/>
          <w:lang w:val="sr-Latn-ME"/>
        </w:rPr>
      </w:pPr>
    </w:p>
    <w:p w14:paraId="3F856489" w14:textId="77777777" w:rsidR="00C37FD7" w:rsidRPr="0014404C" w:rsidRDefault="005C5EF4" w:rsidP="0014404C">
      <w:pPr>
        <w:widowControl w:val="0"/>
        <w:tabs>
          <w:tab w:val="left" w:pos="540"/>
          <w:tab w:val="left" w:pos="569"/>
        </w:tabs>
        <w:jc w:val="both"/>
        <w:rPr>
          <w:bCs/>
          <w:i/>
          <w:sz w:val="22"/>
          <w:szCs w:val="22"/>
          <w:lang w:val="sr-Latn-ME"/>
        </w:rPr>
      </w:pPr>
      <w:r w:rsidRPr="0014404C">
        <w:rPr>
          <w:sz w:val="22"/>
          <w:szCs w:val="22"/>
          <w:lang w:val="sr-Latn-ME" w:eastAsia="sr-Latn-ME"/>
        </w:rPr>
        <w:drawing>
          <wp:inline distT="0" distB="0" distL="0" distR="0" wp14:anchorId="4F2D8448" wp14:editId="684EB65D">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14404C">
        <w:rPr>
          <w:sz w:val="22"/>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vidjeti </w:t>
      </w:r>
      <w:r w:rsidR="007A3ECB" w:rsidRPr="0014404C">
        <w:rPr>
          <w:sz w:val="22"/>
          <w:szCs w:val="22"/>
          <w:lang w:val="sr-Latn-ME"/>
        </w:rPr>
        <w:t xml:space="preserve">dio </w:t>
      </w:r>
      <w:r w:rsidR="003C17AB" w:rsidRPr="0014404C">
        <w:rPr>
          <w:sz w:val="22"/>
          <w:szCs w:val="22"/>
          <w:lang w:val="sr-Latn-ME"/>
        </w:rPr>
        <w:t>4.8.</w:t>
      </w:r>
      <w:r w:rsidR="00107BF7" w:rsidRPr="0014404C">
        <w:rPr>
          <w:sz w:val="22"/>
          <w:szCs w:val="22"/>
          <w:lang w:val="sr-Latn-ME"/>
        </w:rPr>
        <w:t xml:space="preserve"> </w:t>
      </w:r>
    </w:p>
    <w:p w14:paraId="7B6EA1C0" w14:textId="77777777" w:rsidR="003C17AB" w:rsidRPr="0014404C" w:rsidRDefault="003C17AB" w:rsidP="0014404C">
      <w:pPr>
        <w:widowControl w:val="0"/>
        <w:tabs>
          <w:tab w:val="left" w:pos="540"/>
          <w:tab w:val="left" w:pos="569"/>
        </w:tabs>
        <w:jc w:val="both"/>
        <w:rPr>
          <w:sz w:val="22"/>
          <w:szCs w:val="22"/>
          <w:lang w:val="sr-Latn-ME"/>
        </w:rPr>
      </w:pPr>
    </w:p>
    <w:p w14:paraId="5E40359D" w14:textId="77777777" w:rsidR="00C37FD7" w:rsidRPr="0014404C" w:rsidRDefault="00C37FD7" w:rsidP="0014404C">
      <w:pPr>
        <w:widowControl w:val="0"/>
        <w:tabs>
          <w:tab w:val="left" w:pos="540"/>
          <w:tab w:val="left" w:pos="569"/>
        </w:tabs>
        <w:jc w:val="both"/>
        <w:rPr>
          <w:bCs/>
          <w:sz w:val="22"/>
          <w:szCs w:val="22"/>
          <w:lang w:val="sr-Latn-ME"/>
        </w:rPr>
      </w:pPr>
    </w:p>
    <w:p w14:paraId="6055B368"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1.</w:t>
      </w:r>
      <w:r w:rsidR="00F5167F" w:rsidRPr="0014404C">
        <w:rPr>
          <w:b/>
          <w:bCs/>
          <w:sz w:val="22"/>
          <w:szCs w:val="22"/>
          <w:lang w:val="sr-Latn-ME"/>
        </w:rPr>
        <w:tab/>
      </w:r>
      <w:r w:rsidR="002846DB" w:rsidRPr="0014404C">
        <w:rPr>
          <w:b/>
          <w:bCs/>
          <w:sz w:val="22"/>
          <w:szCs w:val="22"/>
          <w:lang w:val="sr-Latn-ME"/>
        </w:rPr>
        <w:t xml:space="preserve">NAZIV </w:t>
      </w:r>
      <w:r w:rsidRPr="0014404C">
        <w:rPr>
          <w:b/>
          <w:bCs/>
          <w:sz w:val="22"/>
          <w:szCs w:val="22"/>
          <w:lang w:val="sr-Latn-ME"/>
        </w:rPr>
        <w:t>LIJEKA</w:t>
      </w:r>
    </w:p>
    <w:p w14:paraId="52D081C9" w14:textId="77777777" w:rsidR="00EC2532" w:rsidRPr="0014404C" w:rsidRDefault="00EC2532" w:rsidP="0014404C">
      <w:pPr>
        <w:widowControl w:val="0"/>
        <w:jc w:val="both"/>
        <w:rPr>
          <w:sz w:val="22"/>
          <w:szCs w:val="22"/>
          <w:lang w:val="sr-Latn-ME"/>
        </w:rPr>
      </w:pPr>
    </w:p>
    <w:p w14:paraId="240FD02B" w14:textId="190924F1" w:rsidR="0036275D" w:rsidRPr="0014404C" w:rsidRDefault="0036275D" w:rsidP="0014404C">
      <w:pPr>
        <w:widowControl w:val="0"/>
        <w:jc w:val="both"/>
        <w:rPr>
          <w:sz w:val="22"/>
          <w:szCs w:val="22"/>
          <w:lang w:val="sr-Latn-ME"/>
        </w:rPr>
      </w:pPr>
      <w:r w:rsidRPr="0014404C">
        <w:rPr>
          <w:sz w:val="22"/>
          <w:szCs w:val="22"/>
          <w:lang w:val="sr-Latn-ME"/>
        </w:rPr>
        <w:t>Vabysmo, 120 mg/</w:t>
      </w:r>
      <w:r w:rsidR="00AC1659" w:rsidRPr="0014404C">
        <w:rPr>
          <w:sz w:val="22"/>
          <w:szCs w:val="22"/>
          <w:lang w:val="sr-Latn-ME"/>
        </w:rPr>
        <w:t>ml</w:t>
      </w:r>
      <w:r w:rsidRPr="0014404C">
        <w:rPr>
          <w:sz w:val="22"/>
          <w:szCs w:val="22"/>
          <w:lang w:val="sr-Latn-ME"/>
        </w:rPr>
        <w:t xml:space="preserve">, rastvor za injekciju </w:t>
      </w:r>
    </w:p>
    <w:p w14:paraId="0DB1B46D" w14:textId="77777777" w:rsidR="0036275D" w:rsidRPr="0014404C" w:rsidRDefault="0036275D" w:rsidP="0014404C">
      <w:pPr>
        <w:widowControl w:val="0"/>
        <w:jc w:val="both"/>
        <w:rPr>
          <w:sz w:val="22"/>
          <w:szCs w:val="22"/>
          <w:lang w:val="sr-Latn-ME"/>
        </w:rPr>
      </w:pPr>
    </w:p>
    <w:p w14:paraId="033C797E" w14:textId="6C779DEA" w:rsidR="006D20A5" w:rsidRPr="0014404C" w:rsidRDefault="0036275D" w:rsidP="0014404C">
      <w:pPr>
        <w:widowControl w:val="0"/>
        <w:jc w:val="both"/>
        <w:rPr>
          <w:bCs/>
          <w:sz w:val="22"/>
          <w:szCs w:val="22"/>
          <w:lang w:val="sr-Latn-ME"/>
        </w:rPr>
      </w:pPr>
      <w:r w:rsidRPr="0014404C">
        <w:rPr>
          <w:sz w:val="22"/>
          <w:szCs w:val="22"/>
          <w:lang w:val="sr-Latn-ME"/>
        </w:rPr>
        <w:t>INN: faricimab</w:t>
      </w:r>
    </w:p>
    <w:p w14:paraId="420D7B44" w14:textId="2FADA0FA" w:rsidR="00530BD7" w:rsidRPr="0014404C" w:rsidRDefault="00530BD7" w:rsidP="0014404C">
      <w:pPr>
        <w:widowControl w:val="0"/>
        <w:jc w:val="both"/>
        <w:rPr>
          <w:bCs/>
          <w:sz w:val="22"/>
          <w:szCs w:val="22"/>
          <w:lang w:val="sr-Latn-ME"/>
        </w:rPr>
      </w:pPr>
    </w:p>
    <w:p w14:paraId="33056DAA" w14:textId="77777777" w:rsidR="00E61257" w:rsidRPr="0014404C" w:rsidRDefault="00E61257" w:rsidP="0014404C">
      <w:pPr>
        <w:widowControl w:val="0"/>
        <w:jc w:val="both"/>
        <w:rPr>
          <w:bCs/>
          <w:sz w:val="22"/>
          <w:szCs w:val="22"/>
          <w:lang w:val="sr-Latn-ME"/>
        </w:rPr>
      </w:pPr>
    </w:p>
    <w:p w14:paraId="1A3EA4CB"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2. </w:t>
      </w:r>
      <w:r w:rsidR="00F5167F" w:rsidRPr="0014404C">
        <w:rPr>
          <w:b/>
          <w:bCs/>
          <w:sz w:val="22"/>
          <w:szCs w:val="22"/>
          <w:lang w:val="sr-Latn-ME"/>
        </w:rPr>
        <w:tab/>
      </w:r>
      <w:r w:rsidRPr="0014404C">
        <w:rPr>
          <w:b/>
          <w:bCs/>
          <w:sz w:val="22"/>
          <w:szCs w:val="22"/>
          <w:lang w:val="sr-Latn-ME"/>
        </w:rPr>
        <w:t>KVALITATIVNI I KVANTITATIVNI SASTAV</w:t>
      </w:r>
    </w:p>
    <w:p w14:paraId="7044B5FE" w14:textId="77777777" w:rsidR="005A0B2E" w:rsidRPr="0014404C" w:rsidRDefault="005A0B2E" w:rsidP="0014404C">
      <w:pPr>
        <w:widowControl w:val="0"/>
        <w:jc w:val="both"/>
        <w:rPr>
          <w:sz w:val="22"/>
          <w:szCs w:val="22"/>
          <w:lang w:val="sr-Latn-ME"/>
        </w:rPr>
      </w:pPr>
    </w:p>
    <w:p w14:paraId="1706BE99" w14:textId="7C3A620D" w:rsidR="0036275D" w:rsidRPr="0014404C" w:rsidRDefault="0036275D" w:rsidP="0014404C">
      <w:pPr>
        <w:pStyle w:val="EMEAEnBodyText"/>
        <w:widowControl w:val="0"/>
        <w:autoSpaceDE w:val="0"/>
        <w:autoSpaceDN w:val="0"/>
        <w:adjustRightInd w:val="0"/>
        <w:spacing w:before="0" w:after="0"/>
        <w:rPr>
          <w:szCs w:val="22"/>
          <w:lang w:val="sr-Latn-ME"/>
        </w:rPr>
      </w:pPr>
      <w:r w:rsidRPr="0014404C">
        <w:rPr>
          <w:szCs w:val="22"/>
          <w:lang w:val="sr-Latn-ME"/>
        </w:rPr>
        <w:t xml:space="preserve">Faricimab je humanizovano </w:t>
      </w:r>
      <w:r w:rsidR="00871FF9" w:rsidRPr="0014404C">
        <w:rPr>
          <w:szCs w:val="22"/>
          <w:lang w:val="sr-Latn-ME"/>
        </w:rPr>
        <w:t xml:space="preserve">antitijelo </w:t>
      </w:r>
      <w:r w:rsidRPr="0014404C">
        <w:rPr>
          <w:szCs w:val="22"/>
          <w:lang w:val="sr-Latn-ME"/>
        </w:rPr>
        <w:t>proizvedeno iz ćelijske kulture ovarijuma kineskog hrčka (CHO) rekombinantnom DNK tehnologijom.</w:t>
      </w:r>
    </w:p>
    <w:p w14:paraId="78CAA7A7" w14:textId="77777777" w:rsidR="0036275D" w:rsidRPr="0014404C" w:rsidRDefault="0036275D" w:rsidP="0014404C">
      <w:pPr>
        <w:pStyle w:val="EMEAEnBodyText"/>
        <w:widowControl w:val="0"/>
        <w:autoSpaceDE w:val="0"/>
        <w:autoSpaceDN w:val="0"/>
        <w:adjustRightInd w:val="0"/>
        <w:spacing w:before="0" w:after="0"/>
        <w:rPr>
          <w:szCs w:val="22"/>
          <w:lang w:val="sr-Latn-ME"/>
        </w:rPr>
      </w:pPr>
    </w:p>
    <w:p w14:paraId="118EBB17" w14:textId="5CCADD70" w:rsidR="0036275D" w:rsidRPr="0014404C" w:rsidRDefault="0036275D" w:rsidP="0014404C">
      <w:pPr>
        <w:pStyle w:val="EMEAEnBodyText"/>
        <w:widowControl w:val="0"/>
        <w:autoSpaceDE w:val="0"/>
        <w:autoSpaceDN w:val="0"/>
        <w:adjustRightInd w:val="0"/>
        <w:spacing w:before="0" w:after="0"/>
        <w:rPr>
          <w:szCs w:val="22"/>
          <w:lang w:val="sr-Latn-ME"/>
        </w:rPr>
      </w:pPr>
      <w:r w:rsidRPr="0014404C">
        <w:rPr>
          <w:szCs w:val="22"/>
          <w:lang w:val="sr-Latn-ME"/>
        </w:rPr>
        <w:t xml:space="preserve">Jedan </w:t>
      </w:r>
      <w:r w:rsidR="00AC1659" w:rsidRPr="0014404C">
        <w:rPr>
          <w:szCs w:val="22"/>
          <w:lang w:val="sr-Latn-ME"/>
        </w:rPr>
        <w:t xml:space="preserve">ml </w:t>
      </w:r>
      <w:r w:rsidRPr="0014404C">
        <w:rPr>
          <w:szCs w:val="22"/>
          <w:lang w:val="sr-Latn-ME"/>
        </w:rPr>
        <w:t>rastvora sadrži 120 mg faricimaba.</w:t>
      </w:r>
    </w:p>
    <w:p w14:paraId="2BAC19EE" w14:textId="77777777" w:rsidR="0036275D" w:rsidRPr="0014404C" w:rsidRDefault="0036275D" w:rsidP="0014404C">
      <w:pPr>
        <w:pStyle w:val="EMEAEnBodyText"/>
        <w:widowControl w:val="0"/>
        <w:autoSpaceDE w:val="0"/>
        <w:autoSpaceDN w:val="0"/>
        <w:adjustRightInd w:val="0"/>
        <w:spacing w:before="0" w:after="0"/>
        <w:rPr>
          <w:szCs w:val="22"/>
          <w:lang w:val="sr-Latn-ME"/>
        </w:rPr>
      </w:pPr>
    </w:p>
    <w:p w14:paraId="046B7843" w14:textId="282FC2CA" w:rsidR="0036275D" w:rsidRPr="0014404C" w:rsidRDefault="0036275D" w:rsidP="0014404C">
      <w:pPr>
        <w:pStyle w:val="EMEAEnBodyText"/>
        <w:widowControl w:val="0"/>
        <w:autoSpaceDE w:val="0"/>
        <w:autoSpaceDN w:val="0"/>
        <w:adjustRightInd w:val="0"/>
        <w:spacing w:before="0" w:after="0"/>
        <w:rPr>
          <w:szCs w:val="22"/>
          <w:lang w:val="sr-Latn-ME"/>
        </w:rPr>
      </w:pPr>
      <w:r w:rsidRPr="0014404C">
        <w:rPr>
          <w:szCs w:val="22"/>
          <w:lang w:val="sr-Latn-ME"/>
        </w:rPr>
        <w:t xml:space="preserve">Jedna bočica sadrži 28,8 mg faricimaba u 0,24 </w:t>
      </w:r>
      <w:r w:rsidR="00AC1659" w:rsidRPr="0014404C">
        <w:rPr>
          <w:szCs w:val="22"/>
          <w:lang w:val="sr-Latn-ME"/>
        </w:rPr>
        <w:t xml:space="preserve">ml </w:t>
      </w:r>
      <w:r w:rsidRPr="0014404C">
        <w:rPr>
          <w:szCs w:val="22"/>
          <w:lang w:val="sr-Latn-ME"/>
        </w:rPr>
        <w:t xml:space="preserve">rastvora. Time se osigurava količina potrebna za </w:t>
      </w:r>
      <w:r w:rsidR="00871FF9" w:rsidRPr="0014404C">
        <w:rPr>
          <w:szCs w:val="22"/>
          <w:lang w:val="sr-Latn-ME"/>
        </w:rPr>
        <w:t xml:space="preserve">pojedinačnu </w:t>
      </w:r>
      <w:r w:rsidRPr="0014404C">
        <w:rPr>
          <w:szCs w:val="22"/>
          <w:lang w:val="sr-Latn-ME"/>
        </w:rPr>
        <w:t xml:space="preserve">dozu od 0,05 </w:t>
      </w:r>
      <w:r w:rsidR="00AC1659" w:rsidRPr="0014404C">
        <w:rPr>
          <w:szCs w:val="22"/>
          <w:lang w:val="sr-Latn-ME"/>
        </w:rPr>
        <w:t>ml</w:t>
      </w:r>
      <w:r w:rsidRPr="0014404C">
        <w:rPr>
          <w:szCs w:val="22"/>
          <w:lang w:val="sr-Latn-ME"/>
        </w:rPr>
        <w:t xml:space="preserve"> rastvora </w:t>
      </w:r>
      <w:r w:rsidR="00AC1659" w:rsidRPr="0014404C">
        <w:rPr>
          <w:szCs w:val="22"/>
          <w:lang w:val="sr-Latn-ME"/>
        </w:rPr>
        <w:t xml:space="preserve">koji </w:t>
      </w:r>
      <w:r w:rsidRPr="0014404C">
        <w:rPr>
          <w:szCs w:val="22"/>
          <w:lang w:val="sr-Latn-ME"/>
        </w:rPr>
        <w:t xml:space="preserve">sadrži 6 mg faricimaba. </w:t>
      </w:r>
    </w:p>
    <w:p w14:paraId="29F149AE" w14:textId="77777777" w:rsidR="0036275D" w:rsidRPr="0014404C" w:rsidRDefault="0036275D" w:rsidP="0014404C">
      <w:pPr>
        <w:widowControl w:val="0"/>
        <w:jc w:val="both"/>
        <w:rPr>
          <w:sz w:val="22"/>
          <w:szCs w:val="22"/>
          <w:lang w:val="sr-Latn-ME"/>
        </w:rPr>
      </w:pPr>
    </w:p>
    <w:p w14:paraId="28A4598D" w14:textId="77777777" w:rsidR="0003793F" w:rsidRPr="0014404C" w:rsidRDefault="0003793F" w:rsidP="0014404C">
      <w:pPr>
        <w:widowControl w:val="0"/>
        <w:jc w:val="both"/>
        <w:rPr>
          <w:sz w:val="22"/>
          <w:szCs w:val="22"/>
          <w:lang w:val="sr-Latn-ME"/>
        </w:rPr>
      </w:pPr>
      <w:r w:rsidRPr="0014404C">
        <w:rPr>
          <w:sz w:val="22"/>
          <w:szCs w:val="22"/>
          <w:lang w:val="sr-Latn-ME"/>
        </w:rPr>
        <w:t>Za spisak svih ekscipijenasa, pogledati dio 6.1.</w:t>
      </w:r>
    </w:p>
    <w:p w14:paraId="440C38AF" w14:textId="77777777" w:rsidR="0003793F" w:rsidRPr="0014404C" w:rsidRDefault="0003793F" w:rsidP="0014404C">
      <w:pPr>
        <w:widowControl w:val="0"/>
        <w:jc w:val="both"/>
        <w:rPr>
          <w:sz w:val="22"/>
          <w:szCs w:val="22"/>
          <w:lang w:val="sr-Latn-ME"/>
        </w:rPr>
      </w:pPr>
    </w:p>
    <w:p w14:paraId="23E76FD6" w14:textId="77777777" w:rsidR="00C37FD7" w:rsidRPr="0014404C" w:rsidRDefault="00C37FD7" w:rsidP="0014404C">
      <w:pPr>
        <w:widowControl w:val="0"/>
        <w:jc w:val="both"/>
        <w:rPr>
          <w:sz w:val="22"/>
          <w:szCs w:val="22"/>
          <w:lang w:val="sr-Latn-ME"/>
        </w:rPr>
      </w:pPr>
    </w:p>
    <w:p w14:paraId="00BA2B8E"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3. </w:t>
      </w:r>
      <w:r w:rsidR="00F5167F" w:rsidRPr="0014404C">
        <w:rPr>
          <w:b/>
          <w:bCs/>
          <w:sz w:val="22"/>
          <w:szCs w:val="22"/>
          <w:lang w:val="sr-Latn-ME"/>
        </w:rPr>
        <w:tab/>
      </w:r>
      <w:r w:rsidRPr="0014404C">
        <w:rPr>
          <w:b/>
          <w:bCs/>
          <w:sz w:val="22"/>
          <w:szCs w:val="22"/>
          <w:lang w:val="sr-Latn-ME"/>
        </w:rPr>
        <w:t>FARMACEUTSKI OBLIK</w:t>
      </w:r>
      <w:r w:rsidR="009F2D23" w:rsidRPr="0014404C">
        <w:rPr>
          <w:b/>
          <w:bCs/>
          <w:sz w:val="22"/>
          <w:szCs w:val="22"/>
          <w:lang w:val="sr-Latn-ME"/>
        </w:rPr>
        <w:t xml:space="preserve"> </w:t>
      </w:r>
    </w:p>
    <w:p w14:paraId="01258CA7" w14:textId="77777777" w:rsidR="00411B4B" w:rsidRPr="0014404C" w:rsidRDefault="00411B4B" w:rsidP="0014404C">
      <w:pPr>
        <w:widowControl w:val="0"/>
        <w:jc w:val="both"/>
        <w:rPr>
          <w:bCs/>
          <w:sz w:val="22"/>
          <w:szCs w:val="22"/>
          <w:lang w:val="sr-Latn-ME"/>
        </w:rPr>
      </w:pPr>
    </w:p>
    <w:p w14:paraId="1891A0A3" w14:textId="77777777" w:rsidR="0036275D" w:rsidRPr="0014404C" w:rsidRDefault="0036275D" w:rsidP="0014404C">
      <w:pPr>
        <w:widowControl w:val="0"/>
        <w:jc w:val="both"/>
        <w:rPr>
          <w:sz w:val="22"/>
          <w:szCs w:val="22"/>
          <w:lang w:val="sr-Latn-ME"/>
        </w:rPr>
      </w:pPr>
      <w:r w:rsidRPr="0014404C">
        <w:rPr>
          <w:sz w:val="22"/>
          <w:szCs w:val="22"/>
          <w:lang w:val="sr-Latn-ME"/>
        </w:rPr>
        <w:t>Rastvor za injekciju</w:t>
      </w:r>
    </w:p>
    <w:p w14:paraId="25CC5482" w14:textId="77777777" w:rsidR="0036275D" w:rsidRPr="0014404C" w:rsidRDefault="0036275D" w:rsidP="0014404C">
      <w:pPr>
        <w:widowControl w:val="0"/>
        <w:jc w:val="both"/>
        <w:rPr>
          <w:sz w:val="22"/>
          <w:szCs w:val="22"/>
          <w:lang w:val="sr-Latn-ME"/>
        </w:rPr>
      </w:pPr>
    </w:p>
    <w:p w14:paraId="2AD2CEC4" w14:textId="4CA6024E" w:rsidR="0036275D" w:rsidRPr="0014404C" w:rsidRDefault="0036275D" w:rsidP="0014404C">
      <w:pPr>
        <w:widowControl w:val="0"/>
        <w:jc w:val="both"/>
        <w:rPr>
          <w:sz w:val="22"/>
          <w:szCs w:val="22"/>
          <w:lang w:val="sr-Latn-ME"/>
        </w:rPr>
      </w:pPr>
      <w:r w:rsidRPr="0014404C">
        <w:rPr>
          <w:sz w:val="22"/>
          <w:szCs w:val="22"/>
          <w:lang w:val="sr-Latn-ME"/>
        </w:rPr>
        <w:t>Bistar do opalescentan, bezbojan do braonkasto-žu</w:t>
      </w:r>
      <w:r w:rsidR="00AC1659" w:rsidRPr="0014404C">
        <w:rPr>
          <w:sz w:val="22"/>
          <w:szCs w:val="22"/>
          <w:lang w:val="sr-Latn-ME"/>
        </w:rPr>
        <w:t>ti</w:t>
      </w:r>
      <w:r w:rsidRPr="0014404C">
        <w:rPr>
          <w:sz w:val="22"/>
          <w:szCs w:val="22"/>
          <w:lang w:val="sr-Latn-ME"/>
        </w:rPr>
        <w:t xml:space="preserve"> rastvor sa pH 5,5 i osmolalnošću od 270</w:t>
      </w:r>
      <w:r w:rsidR="00AC1659" w:rsidRPr="0014404C">
        <w:rPr>
          <w:sz w:val="22"/>
          <w:szCs w:val="22"/>
          <w:lang w:val="sr-Latn-ME"/>
        </w:rPr>
        <w:t xml:space="preserve"> - </w:t>
      </w:r>
      <w:r w:rsidRPr="0014404C">
        <w:rPr>
          <w:sz w:val="22"/>
          <w:szCs w:val="22"/>
          <w:lang w:val="sr-Latn-ME"/>
        </w:rPr>
        <w:t>370 mOsm/kg.</w:t>
      </w:r>
    </w:p>
    <w:p w14:paraId="7B6E086C" w14:textId="4C91BBA7" w:rsidR="00AC1659" w:rsidRPr="0014404C" w:rsidRDefault="00AC1659" w:rsidP="0014404C">
      <w:pPr>
        <w:widowControl w:val="0"/>
        <w:jc w:val="both"/>
        <w:rPr>
          <w:bCs/>
          <w:sz w:val="22"/>
          <w:szCs w:val="22"/>
          <w:lang w:val="sr-Latn-ME"/>
        </w:rPr>
      </w:pPr>
    </w:p>
    <w:p w14:paraId="0DD8C399" w14:textId="77777777" w:rsidR="00E61257" w:rsidRPr="0014404C" w:rsidRDefault="00E61257" w:rsidP="0014404C">
      <w:pPr>
        <w:widowControl w:val="0"/>
        <w:jc w:val="both"/>
        <w:rPr>
          <w:bCs/>
          <w:sz w:val="22"/>
          <w:szCs w:val="22"/>
          <w:lang w:val="sr-Latn-ME"/>
        </w:rPr>
      </w:pPr>
    </w:p>
    <w:p w14:paraId="2D7FA842"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4. </w:t>
      </w:r>
      <w:r w:rsidR="00480FB1" w:rsidRPr="0014404C">
        <w:rPr>
          <w:b/>
          <w:bCs/>
          <w:sz w:val="22"/>
          <w:szCs w:val="22"/>
          <w:lang w:val="sr-Latn-ME"/>
        </w:rPr>
        <w:tab/>
      </w:r>
      <w:r w:rsidRPr="0014404C">
        <w:rPr>
          <w:b/>
          <w:bCs/>
          <w:sz w:val="22"/>
          <w:szCs w:val="22"/>
          <w:lang w:val="sr-Latn-ME"/>
        </w:rPr>
        <w:t>KLINIČKI PODACI</w:t>
      </w:r>
    </w:p>
    <w:p w14:paraId="1566AD18" w14:textId="77777777" w:rsidR="00CD6F02" w:rsidRPr="0014404C" w:rsidRDefault="00CD6F02" w:rsidP="0014404C">
      <w:pPr>
        <w:widowControl w:val="0"/>
        <w:tabs>
          <w:tab w:val="left" w:pos="540"/>
          <w:tab w:val="left" w:pos="569"/>
        </w:tabs>
        <w:jc w:val="both"/>
        <w:rPr>
          <w:bCs/>
          <w:sz w:val="22"/>
          <w:szCs w:val="22"/>
          <w:lang w:val="sr-Latn-ME"/>
        </w:rPr>
      </w:pPr>
    </w:p>
    <w:p w14:paraId="1F0B1F47"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4.1. </w:t>
      </w:r>
      <w:r w:rsidR="00480FB1" w:rsidRPr="0014404C">
        <w:rPr>
          <w:b/>
          <w:bCs/>
          <w:sz w:val="22"/>
          <w:szCs w:val="22"/>
          <w:lang w:val="sr-Latn-ME"/>
        </w:rPr>
        <w:tab/>
      </w:r>
      <w:r w:rsidRPr="0014404C">
        <w:rPr>
          <w:b/>
          <w:bCs/>
          <w:sz w:val="22"/>
          <w:szCs w:val="22"/>
          <w:lang w:val="sr-Latn-ME"/>
        </w:rPr>
        <w:t>Terapijske indikacije</w:t>
      </w:r>
    </w:p>
    <w:p w14:paraId="08BBAB0E" w14:textId="77777777" w:rsidR="0036275D" w:rsidRPr="0014404C" w:rsidRDefault="0036275D" w:rsidP="0014404C">
      <w:pPr>
        <w:widowControl w:val="0"/>
        <w:tabs>
          <w:tab w:val="left" w:pos="540"/>
          <w:tab w:val="left" w:pos="569"/>
        </w:tabs>
        <w:jc w:val="both"/>
        <w:rPr>
          <w:b/>
          <w:bCs/>
          <w:sz w:val="22"/>
          <w:szCs w:val="22"/>
          <w:lang w:val="sr-Latn-ME"/>
        </w:rPr>
      </w:pPr>
    </w:p>
    <w:p w14:paraId="229DFDC5" w14:textId="792CEEF5" w:rsidR="0036275D" w:rsidRPr="0014404C" w:rsidRDefault="00802EFD" w:rsidP="0014404C">
      <w:pPr>
        <w:widowControl w:val="0"/>
        <w:jc w:val="both"/>
        <w:rPr>
          <w:sz w:val="22"/>
          <w:szCs w:val="22"/>
          <w:lang w:val="sr-Latn-ME"/>
        </w:rPr>
      </w:pPr>
      <w:r w:rsidRPr="0014404C">
        <w:rPr>
          <w:sz w:val="22"/>
          <w:szCs w:val="22"/>
          <w:lang w:val="sr-Latn-ME"/>
        </w:rPr>
        <w:t xml:space="preserve">Lijek </w:t>
      </w:r>
      <w:r w:rsidR="0036275D" w:rsidRPr="0014404C">
        <w:rPr>
          <w:sz w:val="22"/>
          <w:szCs w:val="22"/>
          <w:lang w:val="sr-Latn-ME"/>
        </w:rPr>
        <w:t xml:space="preserve">Vabysmo indikovan je za </w:t>
      </w:r>
      <w:r w:rsidR="00871FF9" w:rsidRPr="0014404C">
        <w:rPr>
          <w:sz w:val="22"/>
          <w:szCs w:val="22"/>
          <w:lang w:val="sr-Latn-ME"/>
        </w:rPr>
        <w:t xml:space="preserve">liječenje </w:t>
      </w:r>
      <w:r w:rsidR="0036275D" w:rsidRPr="0014404C">
        <w:rPr>
          <w:sz w:val="22"/>
          <w:szCs w:val="22"/>
          <w:lang w:val="sr-Latn-ME"/>
        </w:rPr>
        <w:t>odraslih pacijenata sa:</w:t>
      </w:r>
    </w:p>
    <w:p w14:paraId="221D458F" w14:textId="77777777" w:rsidR="0036275D" w:rsidRPr="0014404C" w:rsidRDefault="0036275D" w:rsidP="0014404C">
      <w:pPr>
        <w:widowControl w:val="0"/>
        <w:jc w:val="both"/>
        <w:rPr>
          <w:sz w:val="22"/>
          <w:szCs w:val="22"/>
          <w:lang w:val="sr-Latn-ME"/>
        </w:rPr>
      </w:pPr>
      <w:r w:rsidRPr="0014404C">
        <w:rPr>
          <w:sz w:val="22"/>
          <w:szCs w:val="22"/>
          <w:lang w:val="sr-Latn-ME"/>
        </w:rPr>
        <w:t>•</w:t>
      </w:r>
      <w:r w:rsidRPr="0014404C">
        <w:rPr>
          <w:sz w:val="22"/>
          <w:szCs w:val="22"/>
          <w:lang w:val="sr-Latn-ME"/>
        </w:rPr>
        <w:tab/>
        <w:t>neovaskularnom (vlažnom) senilnom makularnom degeneracijom (nAMD),</w:t>
      </w:r>
    </w:p>
    <w:p w14:paraId="5802545E" w14:textId="658667A5" w:rsidR="0036275D" w:rsidRPr="0014404C" w:rsidRDefault="0036275D" w:rsidP="0014404C">
      <w:pPr>
        <w:widowControl w:val="0"/>
        <w:jc w:val="both"/>
        <w:rPr>
          <w:sz w:val="22"/>
          <w:szCs w:val="22"/>
          <w:lang w:val="sr-Latn-ME"/>
        </w:rPr>
      </w:pPr>
      <w:r w:rsidRPr="0014404C">
        <w:rPr>
          <w:sz w:val="22"/>
          <w:szCs w:val="22"/>
          <w:lang w:val="sr-Latn-ME"/>
        </w:rPr>
        <w:t>•</w:t>
      </w:r>
      <w:r w:rsidRPr="0014404C">
        <w:rPr>
          <w:sz w:val="22"/>
          <w:szCs w:val="22"/>
          <w:lang w:val="sr-Latn-ME"/>
        </w:rPr>
        <w:tab/>
        <w:t>oštećenjem vida uzrokovanim dijabetičkim makularnim edemom (DME)</w:t>
      </w:r>
      <w:r w:rsidR="00EB2059" w:rsidRPr="0014404C">
        <w:rPr>
          <w:sz w:val="22"/>
          <w:szCs w:val="22"/>
          <w:lang w:val="sr-Latn-ME"/>
        </w:rPr>
        <w:t>,</w:t>
      </w:r>
    </w:p>
    <w:p w14:paraId="27F01F2F" w14:textId="6FFFB8D0" w:rsidR="00EB2059" w:rsidRPr="0014404C" w:rsidRDefault="00EB2059" w:rsidP="0014404C">
      <w:pPr>
        <w:pStyle w:val="ListParagraph"/>
        <w:widowControl w:val="0"/>
        <w:numPr>
          <w:ilvl w:val="0"/>
          <w:numId w:val="12"/>
        </w:numPr>
        <w:ind w:left="720" w:hanging="720"/>
        <w:jc w:val="both"/>
        <w:rPr>
          <w:rFonts w:ascii="Times New Roman" w:hAnsi="Times New Roman"/>
          <w:sz w:val="22"/>
          <w:szCs w:val="22"/>
          <w:lang w:val="sr-Latn-ME"/>
        </w:rPr>
      </w:pPr>
      <w:r w:rsidRPr="0014404C">
        <w:rPr>
          <w:rFonts w:ascii="Times New Roman" w:hAnsi="Times New Roman"/>
          <w:sz w:val="22"/>
          <w:szCs w:val="22"/>
          <w:lang w:val="sr-Latn-ME"/>
        </w:rPr>
        <w:t>oštećenjem vida uzrokovanim makularnim edemom kao posl</w:t>
      </w:r>
      <w:r w:rsidR="004B2AC6" w:rsidRPr="0014404C">
        <w:rPr>
          <w:rFonts w:ascii="Times New Roman" w:hAnsi="Times New Roman"/>
          <w:sz w:val="22"/>
          <w:szCs w:val="22"/>
          <w:lang w:val="sr-Latn-ME"/>
        </w:rPr>
        <w:t>j</w:t>
      </w:r>
      <w:r w:rsidRPr="0014404C">
        <w:rPr>
          <w:rFonts w:ascii="Times New Roman" w:hAnsi="Times New Roman"/>
          <w:sz w:val="22"/>
          <w:szCs w:val="22"/>
          <w:lang w:val="sr-Latn-ME"/>
        </w:rPr>
        <w:t xml:space="preserve">edicom okluzije retinalne vene (engl. </w:t>
      </w:r>
      <w:r w:rsidRPr="0014404C">
        <w:rPr>
          <w:rFonts w:ascii="Times New Roman" w:hAnsi="Times New Roman"/>
          <w:i/>
          <w:sz w:val="22"/>
          <w:szCs w:val="22"/>
          <w:lang w:val="sr-Latn-ME"/>
        </w:rPr>
        <w:t>retinal vein oclusion</w:t>
      </w:r>
      <w:r w:rsidRPr="0014404C">
        <w:rPr>
          <w:rFonts w:ascii="Times New Roman" w:hAnsi="Times New Roman"/>
          <w:sz w:val="22"/>
          <w:szCs w:val="22"/>
          <w:lang w:val="sr-Latn-ME"/>
        </w:rPr>
        <w:t xml:space="preserve">, RVO) (okluzije grane retinalne vene ili centralne retinalne vene). </w:t>
      </w:r>
    </w:p>
    <w:p w14:paraId="6C6B76AF" w14:textId="77777777" w:rsidR="00411B4B" w:rsidRPr="0014404C" w:rsidRDefault="00411B4B" w:rsidP="0014404C">
      <w:pPr>
        <w:widowControl w:val="0"/>
        <w:tabs>
          <w:tab w:val="left" w:pos="540"/>
          <w:tab w:val="left" w:pos="569"/>
        </w:tabs>
        <w:jc w:val="both"/>
        <w:rPr>
          <w:bCs/>
          <w:sz w:val="22"/>
          <w:szCs w:val="22"/>
          <w:lang w:val="sr-Latn-ME"/>
        </w:rPr>
      </w:pPr>
    </w:p>
    <w:p w14:paraId="71B4FDEC"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4.2. </w:t>
      </w:r>
      <w:r w:rsidR="00480FB1" w:rsidRPr="0014404C">
        <w:rPr>
          <w:b/>
          <w:bCs/>
          <w:sz w:val="22"/>
          <w:szCs w:val="22"/>
          <w:lang w:val="sr-Latn-ME"/>
        </w:rPr>
        <w:tab/>
      </w:r>
      <w:r w:rsidRPr="0014404C">
        <w:rPr>
          <w:b/>
          <w:bCs/>
          <w:sz w:val="22"/>
          <w:szCs w:val="22"/>
          <w:lang w:val="sr-Latn-ME"/>
        </w:rPr>
        <w:t>Doziranje i način primjene</w:t>
      </w:r>
    </w:p>
    <w:p w14:paraId="477E4BBB" w14:textId="77777777" w:rsidR="0072020E" w:rsidRPr="0014404C" w:rsidRDefault="0072020E" w:rsidP="0014404C">
      <w:pPr>
        <w:widowControl w:val="0"/>
        <w:tabs>
          <w:tab w:val="left" w:pos="540"/>
          <w:tab w:val="left" w:pos="569"/>
        </w:tabs>
        <w:jc w:val="both"/>
        <w:rPr>
          <w:bCs/>
          <w:sz w:val="22"/>
          <w:szCs w:val="22"/>
          <w:lang w:val="sr-Latn-ME"/>
        </w:rPr>
      </w:pPr>
    </w:p>
    <w:p w14:paraId="532C2EA8" w14:textId="6CBD8D06" w:rsidR="0036275D" w:rsidRPr="0014404C" w:rsidRDefault="0036275D" w:rsidP="0014404C">
      <w:pPr>
        <w:widowControl w:val="0"/>
        <w:tabs>
          <w:tab w:val="left" w:pos="540"/>
          <w:tab w:val="left" w:pos="569"/>
        </w:tabs>
        <w:jc w:val="both"/>
        <w:rPr>
          <w:sz w:val="22"/>
          <w:szCs w:val="22"/>
          <w:lang w:val="sr-Latn-ME"/>
        </w:rPr>
      </w:pPr>
      <w:r w:rsidRPr="0014404C">
        <w:rPr>
          <w:sz w:val="22"/>
          <w:szCs w:val="22"/>
          <w:lang w:val="sr-Latn-ME"/>
        </w:rPr>
        <w:t xml:space="preserve">Ovaj </w:t>
      </w:r>
      <w:r w:rsidR="00802EFD" w:rsidRPr="0014404C">
        <w:rPr>
          <w:sz w:val="22"/>
          <w:szCs w:val="22"/>
          <w:lang w:val="sr-Latn-ME"/>
        </w:rPr>
        <w:t xml:space="preserve">lijek </w:t>
      </w:r>
      <w:r w:rsidRPr="0014404C">
        <w:rPr>
          <w:sz w:val="22"/>
          <w:szCs w:val="22"/>
          <w:lang w:val="sr-Latn-ME"/>
        </w:rPr>
        <w:t xml:space="preserve">mora da </w:t>
      </w:r>
      <w:r w:rsidR="00871FF9" w:rsidRPr="0014404C">
        <w:rPr>
          <w:sz w:val="22"/>
          <w:szCs w:val="22"/>
          <w:lang w:val="sr-Latn-ME"/>
        </w:rPr>
        <w:t>primijeni</w:t>
      </w:r>
      <w:r w:rsidRPr="0014404C">
        <w:rPr>
          <w:sz w:val="22"/>
          <w:szCs w:val="22"/>
          <w:lang w:val="sr-Latn-ME"/>
        </w:rPr>
        <w:t xml:space="preserve"> kvalifikovani </w:t>
      </w:r>
      <w:r w:rsidR="00802EFD" w:rsidRPr="0014404C">
        <w:rPr>
          <w:sz w:val="22"/>
          <w:szCs w:val="22"/>
          <w:lang w:val="sr-Latn-ME"/>
        </w:rPr>
        <w:t>ljekar</w:t>
      </w:r>
      <w:r w:rsidRPr="0014404C">
        <w:rPr>
          <w:sz w:val="22"/>
          <w:szCs w:val="22"/>
          <w:lang w:val="sr-Latn-ME"/>
        </w:rPr>
        <w:t xml:space="preserve"> sa iskustvom u </w:t>
      </w:r>
      <w:r w:rsidR="00871FF9" w:rsidRPr="0014404C">
        <w:rPr>
          <w:sz w:val="22"/>
          <w:szCs w:val="22"/>
          <w:lang w:val="sr-Latn-ME"/>
        </w:rPr>
        <w:t>primjeni</w:t>
      </w:r>
      <w:r w:rsidRPr="0014404C">
        <w:rPr>
          <w:sz w:val="22"/>
          <w:szCs w:val="22"/>
          <w:lang w:val="sr-Latn-ME"/>
        </w:rPr>
        <w:t xml:space="preserve"> intravitrealnih injekcija. Jedna bočica </w:t>
      </w:r>
      <w:r w:rsidR="00871FF9" w:rsidRPr="0014404C">
        <w:rPr>
          <w:sz w:val="22"/>
          <w:szCs w:val="22"/>
          <w:lang w:val="sr-Latn-ME"/>
        </w:rPr>
        <w:t xml:space="preserve">smije </w:t>
      </w:r>
      <w:r w:rsidRPr="0014404C">
        <w:rPr>
          <w:sz w:val="22"/>
          <w:szCs w:val="22"/>
          <w:lang w:val="sr-Latn-ME"/>
        </w:rPr>
        <w:t xml:space="preserve">da se </w:t>
      </w:r>
      <w:r w:rsidR="00871FF9" w:rsidRPr="0014404C">
        <w:rPr>
          <w:sz w:val="22"/>
          <w:szCs w:val="22"/>
          <w:lang w:val="sr-Latn-ME"/>
        </w:rPr>
        <w:t xml:space="preserve">upotrijebi </w:t>
      </w:r>
      <w:r w:rsidRPr="0014404C">
        <w:rPr>
          <w:sz w:val="22"/>
          <w:szCs w:val="22"/>
          <w:lang w:val="sr-Latn-ME"/>
        </w:rPr>
        <w:t xml:space="preserve">samo za </w:t>
      </w:r>
      <w:r w:rsidR="00871FF9" w:rsidRPr="0014404C">
        <w:rPr>
          <w:sz w:val="22"/>
          <w:szCs w:val="22"/>
          <w:lang w:val="sr-Latn-ME"/>
        </w:rPr>
        <w:t xml:space="preserve">liječenje </w:t>
      </w:r>
      <w:r w:rsidRPr="0014404C">
        <w:rPr>
          <w:sz w:val="22"/>
          <w:szCs w:val="22"/>
          <w:lang w:val="sr-Latn-ME"/>
        </w:rPr>
        <w:t>jednog oka.</w:t>
      </w:r>
    </w:p>
    <w:p w14:paraId="6106C82F" w14:textId="77777777" w:rsidR="0036275D" w:rsidRPr="0014404C" w:rsidRDefault="0036275D" w:rsidP="0014404C">
      <w:pPr>
        <w:widowControl w:val="0"/>
        <w:tabs>
          <w:tab w:val="left" w:pos="540"/>
          <w:tab w:val="left" w:pos="569"/>
        </w:tabs>
        <w:jc w:val="both"/>
        <w:rPr>
          <w:bCs/>
          <w:sz w:val="22"/>
          <w:szCs w:val="22"/>
          <w:u w:val="single"/>
          <w:lang w:val="sr-Latn-ME"/>
        </w:rPr>
      </w:pPr>
    </w:p>
    <w:p w14:paraId="5C3A9527" w14:textId="77777777" w:rsidR="00452E9D" w:rsidRPr="0014404C" w:rsidRDefault="00452E9D" w:rsidP="0014404C">
      <w:pPr>
        <w:widowControl w:val="0"/>
        <w:tabs>
          <w:tab w:val="left" w:pos="540"/>
          <w:tab w:val="left" w:pos="569"/>
        </w:tabs>
        <w:jc w:val="both"/>
        <w:rPr>
          <w:bCs/>
          <w:sz w:val="22"/>
          <w:szCs w:val="22"/>
          <w:u w:val="single"/>
          <w:lang w:val="sr-Latn-ME"/>
        </w:rPr>
      </w:pPr>
      <w:r w:rsidRPr="0014404C">
        <w:rPr>
          <w:bCs/>
          <w:sz w:val="22"/>
          <w:szCs w:val="22"/>
          <w:u w:val="single"/>
          <w:lang w:val="sr-Latn-ME"/>
        </w:rPr>
        <w:t>Doziranje</w:t>
      </w:r>
    </w:p>
    <w:p w14:paraId="4E78F074" w14:textId="77777777" w:rsidR="0036275D" w:rsidRPr="0014404C" w:rsidRDefault="0036275D" w:rsidP="0014404C">
      <w:pPr>
        <w:widowControl w:val="0"/>
        <w:tabs>
          <w:tab w:val="left" w:pos="540"/>
          <w:tab w:val="left" w:pos="569"/>
        </w:tabs>
        <w:jc w:val="both"/>
        <w:rPr>
          <w:bCs/>
          <w:sz w:val="22"/>
          <w:szCs w:val="22"/>
          <w:u w:val="single"/>
          <w:lang w:val="sr-Latn-ME"/>
        </w:rPr>
      </w:pPr>
    </w:p>
    <w:p w14:paraId="10AD7294" w14:textId="1138E9FF" w:rsidR="0036275D" w:rsidRPr="0014404C" w:rsidRDefault="0036275D" w:rsidP="0014404C">
      <w:pPr>
        <w:widowControl w:val="0"/>
        <w:jc w:val="both"/>
        <w:rPr>
          <w:i/>
          <w:iCs/>
          <w:sz w:val="22"/>
          <w:szCs w:val="22"/>
          <w:u w:val="single"/>
          <w:lang w:val="sr-Latn-ME"/>
        </w:rPr>
      </w:pPr>
      <w:r w:rsidRPr="0014404C">
        <w:rPr>
          <w:i/>
          <w:iCs/>
          <w:sz w:val="22"/>
          <w:szCs w:val="22"/>
          <w:u w:val="single"/>
          <w:lang w:val="sr-Latn-ME"/>
        </w:rPr>
        <w:t xml:space="preserve">Neovaskularna (vlažna) senilna makularna degeneracija </w:t>
      </w:r>
      <w:r w:rsidRPr="0014404C">
        <w:rPr>
          <w:sz w:val="22"/>
          <w:szCs w:val="22"/>
          <w:u w:val="single"/>
          <w:lang w:val="sr-Latn-ME"/>
        </w:rPr>
        <w:t>(</w:t>
      </w:r>
      <w:r w:rsidRPr="0014404C">
        <w:rPr>
          <w:i/>
          <w:iCs/>
          <w:sz w:val="22"/>
          <w:szCs w:val="22"/>
          <w:u w:val="single"/>
          <w:lang w:val="sr-Latn-ME"/>
        </w:rPr>
        <w:t>nAMD)</w:t>
      </w:r>
    </w:p>
    <w:p w14:paraId="4F7587EB" w14:textId="77777777" w:rsidR="00876ECB" w:rsidRPr="0014404C" w:rsidRDefault="00876ECB" w:rsidP="0014404C">
      <w:pPr>
        <w:widowControl w:val="0"/>
        <w:jc w:val="both"/>
        <w:rPr>
          <w:i/>
          <w:sz w:val="22"/>
          <w:szCs w:val="22"/>
          <w:u w:val="single"/>
          <w:lang w:val="sr-Latn-ME"/>
        </w:rPr>
      </w:pPr>
    </w:p>
    <w:p w14:paraId="69114279" w14:textId="56DFECE3" w:rsidR="0036275D" w:rsidRPr="0014404C" w:rsidRDefault="0036275D" w:rsidP="0014404C">
      <w:pPr>
        <w:widowControl w:val="0"/>
        <w:jc w:val="both"/>
        <w:rPr>
          <w:sz w:val="22"/>
          <w:szCs w:val="22"/>
          <w:lang w:val="sr-Latn-ME"/>
        </w:rPr>
      </w:pPr>
      <w:r w:rsidRPr="0014404C">
        <w:rPr>
          <w:sz w:val="22"/>
          <w:szCs w:val="22"/>
          <w:lang w:val="sr-Latn-ME"/>
        </w:rPr>
        <w:t xml:space="preserve">Preporučena doza iznosi 6 mg (0,05 </w:t>
      </w:r>
      <w:r w:rsidR="00AC1659" w:rsidRPr="0014404C">
        <w:rPr>
          <w:sz w:val="22"/>
          <w:szCs w:val="22"/>
          <w:lang w:val="sr-Latn-ME"/>
        </w:rPr>
        <w:t>ml</w:t>
      </w:r>
      <w:r w:rsidRPr="0014404C">
        <w:rPr>
          <w:sz w:val="22"/>
          <w:szCs w:val="22"/>
          <w:lang w:val="sr-Latn-ME"/>
        </w:rPr>
        <w:t xml:space="preserve"> rastvora), a </w:t>
      </w:r>
      <w:r w:rsidR="00802EFD" w:rsidRPr="0014404C">
        <w:rPr>
          <w:sz w:val="22"/>
          <w:szCs w:val="22"/>
          <w:lang w:val="sr-Latn-ME"/>
        </w:rPr>
        <w:t>primjen</w:t>
      </w:r>
      <w:r w:rsidRPr="0014404C">
        <w:rPr>
          <w:sz w:val="22"/>
          <w:szCs w:val="22"/>
          <w:lang w:val="sr-Latn-ME"/>
        </w:rPr>
        <w:t xml:space="preserve">juje se intravitrealnom injekcijom svake 4 </w:t>
      </w:r>
      <w:r w:rsidR="00871FF9" w:rsidRPr="0014404C">
        <w:rPr>
          <w:sz w:val="22"/>
          <w:szCs w:val="22"/>
          <w:lang w:val="sr-Latn-ME"/>
        </w:rPr>
        <w:t xml:space="preserve">nedjelje </w:t>
      </w:r>
      <w:r w:rsidRPr="0014404C">
        <w:rPr>
          <w:sz w:val="22"/>
          <w:szCs w:val="22"/>
          <w:lang w:val="sr-Latn-ME"/>
        </w:rPr>
        <w:t xml:space="preserve">(jednom </w:t>
      </w:r>
      <w:r w:rsidR="00871FF9" w:rsidRPr="0014404C">
        <w:rPr>
          <w:sz w:val="22"/>
          <w:szCs w:val="22"/>
          <w:lang w:val="sr-Latn-ME"/>
        </w:rPr>
        <w:t>mjesečno</w:t>
      </w:r>
      <w:r w:rsidRPr="0014404C">
        <w:rPr>
          <w:sz w:val="22"/>
          <w:szCs w:val="22"/>
          <w:lang w:val="sr-Latn-ME"/>
        </w:rPr>
        <w:t xml:space="preserve">) za prve </w:t>
      </w:r>
      <w:r w:rsidR="0022145A" w:rsidRPr="0014404C">
        <w:rPr>
          <w:sz w:val="22"/>
          <w:szCs w:val="22"/>
          <w:lang w:val="sr-Latn-ME"/>
        </w:rPr>
        <w:t>3</w:t>
      </w:r>
      <w:r w:rsidRPr="0014404C">
        <w:rPr>
          <w:sz w:val="22"/>
          <w:szCs w:val="22"/>
          <w:lang w:val="sr-Latn-ME"/>
        </w:rPr>
        <w:t xml:space="preserve"> doze.</w:t>
      </w:r>
    </w:p>
    <w:p w14:paraId="048CA87E" w14:textId="77777777" w:rsidR="00625B57" w:rsidRPr="0014404C" w:rsidRDefault="00625B57" w:rsidP="0014404C">
      <w:pPr>
        <w:widowControl w:val="0"/>
        <w:jc w:val="both"/>
        <w:rPr>
          <w:sz w:val="22"/>
          <w:szCs w:val="22"/>
          <w:lang w:val="sr-Latn-ME"/>
        </w:rPr>
      </w:pPr>
    </w:p>
    <w:p w14:paraId="0C090159" w14:textId="69A6850F" w:rsidR="0036275D" w:rsidRPr="0014404C" w:rsidRDefault="0036275D" w:rsidP="0014404C">
      <w:pPr>
        <w:widowControl w:val="0"/>
        <w:jc w:val="both"/>
        <w:rPr>
          <w:sz w:val="22"/>
          <w:szCs w:val="22"/>
          <w:lang w:val="sr-Latn-ME"/>
        </w:rPr>
      </w:pPr>
      <w:r w:rsidRPr="0014404C">
        <w:rPr>
          <w:sz w:val="22"/>
          <w:szCs w:val="22"/>
          <w:lang w:val="sr-Latn-ME"/>
        </w:rPr>
        <w:t xml:space="preserve">Nakon toga se preporučuje </w:t>
      </w:r>
      <w:r w:rsidR="00871FF9" w:rsidRPr="0014404C">
        <w:rPr>
          <w:sz w:val="22"/>
          <w:szCs w:val="22"/>
          <w:lang w:val="sr-Latn-ME"/>
        </w:rPr>
        <w:t xml:space="preserve">procjena </w:t>
      </w:r>
      <w:r w:rsidRPr="0014404C">
        <w:rPr>
          <w:sz w:val="22"/>
          <w:szCs w:val="22"/>
          <w:lang w:val="sr-Latn-ME"/>
        </w:rPr>
        <w:t xml:space="preserve">aktivnosti bolesti na osnovu anatomskih i/ili vidnih ishoda </w:t>
      </w:r>
      <w:r w:rsidR="00FB57BC" w:rsidRPr="0014404C">
        <w:rPr>
          <w:sz w:val="22"/>
          <w:szCs w:val="22"/>
          <w:lang w:val="sr-Latn-ME"/>
        </w:rPr>
        <w:t>16</w:t>
      </w:r>
      <w:r w:rsidRPr="0014404C">
        <w:rPr>
          <w:sz w:val="22"/>
          <w:szCs w:val="22"/>
          <w:lang w:val="sr-Latn-ME"/>
        </w:rPr>
        <w:t xml:space="preserve"> i/ili </w:t>
      </w:r>
      <w:r w:rsidR="00FB57BC" w:rsidRPr="0014404C">
        <w:rPr>
          <w:sz w:val="22"/>
          <w:szCs w:val="22"/>
          <w:lang w:val="sr-Latn-ME"/>
        </w:rPr>
        <w:t>20</w:t>
      </w:r>
      <w:r w:rsidRPr="0014404C">
        <w:rPr>
          <w:sz w:val="22"/>
          <w:szCs w:val="22"/>
          <w:lang w:val="sr-Latn-ME"/>
        </w:rPr>
        <w:t xml:space="preserve"> </w:t>
      </w:r>
      <w:r w:rsidR="00871FF9" w:rsidRPr="0014404C">
        <w:rPr>
          <w:sz w:val="22"/>
          <w:szCs w:val="22"/>
          <w:lang w:val="sr-Latn-ME"/>
        </w:rPr>
        <w:t>nedjelj</w:t>
      </w:r>
      <w:r w:rsidR="00E50288" w:rsidRPr="0014404C">
        <w:rPr>
          <w:sz w:val="22"/>
          <w:szCs w:val="22"/>
          <w:lang w:val="sr-Latn-ME"/>
        </w:rPr>
        <w:t>a</w:t>
      </w:r>
      <w:r w:rsidR="00871FF9" w:rsidRPr="0014404C">
        <w:rPr>
          <w:sz w:val="22"/>
          <w:szCs w:val="22"/>
          <w:lang w:val="sr-Latn-ME"/>
        </w:rPr>
        <w:t xml:space="preserve"> </w:t>
      </w:r>
      <w:r w:rsidRPr="0014404C">
        <w:rPr>
          <w:sz w:val="22"/>
          <w:szCs w:val="22"/>
          <w:lang w:val="sr-Latn-ME"/>
        </w:rPr>
        <w:t xml:space="preserve">nakon početka terapije kako bi se </w:t>
      </w:r>
      <w:r w:rsidR="00871FF9" w:rsidRPr="0014404C">
        <w:rPr>
          <w:sz w:val="22"/>
          <w:szCs w:val="22"/>
          <w:lang w:val="sr-Latn-ME"/>
        </w:rPr>
        <w:t xml:space="preserve">liječenje </w:t>
      </w:r>
      <w:r w:rsidRPr="0014404C">
        <w:rPr>
          <w:sz w:val="22"/>
          <w:szCs w:val="22"/>
          <w:lang w:val="sr-Latn-ME"/>
        </w:rPr>
        <w:t xml:space="preserve">moglo individualizovati. Kod pacijenata bez aktivne bolesti treba razmotriti </w:t>
      </w:r>
      <w:r w:rsidR="00802EFD" w:rsidRPr="0014404C">
        <w:rPr>
          <w:sz w:val="22"/>
          <w:szCs w:val="22"/>
          <w:lang w:val="sr-Latn-ME"/>
        </w:rPr>
        <w:t>primjen</w:t>
      </w:r>
      <w:r w:rsidRPr="0014404C">
        <w:rPr>
          <w:sz w:val="22"/>
          <w:szCs w:val="22"/>
          <w:lang w:val="sr-Latn-ME"/>
        </w:rPr>
        <w:t xml:space="preserve">u faricimaba svakih 16 </w:t>
      </w:r>
      <w:r w:rsidR="00802EFD" w:rsidRPr="0014404C">
        <w:rPr>
          <w:sz w:val="22"/>
          <w:szCs w:val="22"/>
          <w:lang w:val="sr-Latn-ME"/>
        </w:rPr>
        <w:t>nedjelja</w:t>
      </w:r>
      <w:r w:rsidRPr="0014404C">
        <w:rPr>
          <w:sz w:val="22"/>
          <w:szCs w:val="22"/>
          <w:lang w:val="sr-Latn-ME"/>
        </w:rPr>
        <w:t xml:space="preserve"> (4 </w:t>
      </w:r>
      <w:r w:rsidR="00871FF9" w:rsidRPr="0014404C">
        <w:rPr>
          <w:sz w:val="22"/>
          <w:szCs w:val="22"/>
          <w:lang w:val="sr-Latn-ME"/>
        </w:rPr>
        <w:t>mjeseca</w:t>
      </w:r>
      <w:r w:rsidRPr="0014404C">
        <w:rPr>
          <w:sz w:val="22"/>
          <w:szCs w:val="22"/>
          <w:lang w:val="sr-Latn-ME"/>
        </w:rPr>
        <w:t>). Kod pacijenata sa aktivnom bolešću treba razmotriti prim</w:t>
      </w:r>
      <w:r w:rsidR="00802EFD" w:rsidRPr="0014404C">
        <w:rPr>
          <w:sz w:val="22"/>
          <w:szCs w:val="22"/>
          <w:lang w:val="sr-Latn-ME"/>
        </w:rPr>
        <w:t>j</w:t>
      </w:r>
      <w:r w:rsidRPr="0014404C">
        <w:rPr>
          <w:sz w:val="22"/>
          <w:szCs w:val="22"/>
          <w:lang w:val="sr-Latn-ME"/>
        </w:rPr>
        <w:t xml:space="preserve">enu terapije svakih 8 </w:t>
      </w:r>
      <w:r w:rsidR="00802EFD" w:rsidRPr="0014404C">
        <w:rPr>
          <w:sz w:val="22"/>
          <w:szCs w:val="22"/>
          <w:lang w:val="sr-Latn-ME"/>
        </w:rPr>
        <w:t>nedjelja</w:t>
      </w:r>
      <w:r w:rsidRPr="0014404C">
        <w:rPr>
          <w:sz w:val="22"/>
          <w:szCs w:val="22"/>
          <w:lang w:val="sr-Latn-ME"/>
        </w:rPr>
        <w:t xml:space="preserve"> (2 </w:t>
      </w:r>
      <w:r w:rsidR="00871FF9" w:rsidRPr="0014404C">
        <w:rPr>
          <w:sz w:val="22"/>
          <w:szCs w:val="22"/>
          <w:lang w:val="sr-Latn-ME"/>
        </w:rPr>
        <w:t>mjeseca</w:t>
      </w:r>
      <w:r w:rsidRPr="0014404C">
        <w:rPr>
          <w:sz w:val="22"/>
          <w:szCs w:val="22"/>
          <w:lang w:val="sr-Latn-ME"/>
        </w:rPr>
        <w:t xml:space="preserve">) ili 12 </w:t>
      </w:r>
      <w:r w:rsidR="00802EFD" w:rsidRPr="0014404C">
        <w:rPr>
          <w:sz w:val="22"/>
          <w:szCs w:val="22"/>
          <w:lang w:val="sr-Latn-ME"/>
        </w:rPr>
        <w:t>nedjelja</w:t>
      </w:r>
      <w:r w:rsidRPr="0014404C">
        <w:rPr>
          <w:sz w:val="22"/>
          <w:szCs w:val="22"/>
          <w:lang w:val="sr-Latn-ME"/>
        </w:rPr>
        <w:t xml:space="preserve"> (3 </w:t>
      </w:r>
      <w:r w:rsidR="00871FF9" w:rsidRPr="0014404C">
        <w:rPr>
          <w:sz w:val="22"/>
          <w:szCs w:val="22"/>
          <w:lang w:val="sr-Latn-ME"/>
        </w:rPr>
        <w:t>mjeseca</w:t>
      </w:r>
      <w:r w:rsidRPr="0014404C">
        <w:rPr>
          <w:sz w:val="22"/>
          <w:szCs w:val="22"/>
          <w:lang w:val="sr-Latn-ME"/>
        </w:rPr>
        <w:t xml:space="preserve">). </w:t>
      </w:r>
      <w:r w:rsidR="00A60A10" w:rsidRPr="0014404C">
        <w:rPr>
          <w:sz w:val="22"/>
          <w:szCs w:val="22"/>
          <w:lang w:val="sr-Latn-ME"/>
        </w:rPr>
        <w:t xml:space="preserve">Ako se anatomski i/ili vidni ishodi promijene, potrebno je shodno tome prilagoditi interval primjene lijeka, a ako se anatomski i/ili vidni ishodi pogoršaju, interval primjene lijeka treba skratiti (vidjeti dio 5.1). </w:t>
      </w:r>
      <w:r w:rsidRPr="0014404C">
        <w:rPr>
          <w:sz w:val="22"/>
          <w:szCs w:val="22"/>
          <w:lang w:val="sr-Latn-ME"/>
        </w:rPr>
        <w:t xml:space="preserve">Podaci o </w:t>
      </w:r>
      <w:r w:rsidR="00871FF9" w:rsidRPr="0014404C">
        <w:rPr>
          <w:sz w:val="22"/>
          <w:szCs w:val="22"/>
          <w:lang w:val="sr-Latn-ME"/>
        </w:rPr>
        <w:t xml:space="preserve">bezbjednosti </w:t>
      </w:r>
      <w:r w:rsidR="00802EFD" w:rsidRPr="0014404C">
        <w:rPr>
          <w:sz w:val="22"/>
          <w:szCs w:val="22"/>
          <w:lang w:val="sr-Latn-ME"/>
        </w:rPr>
        <w:t>primjen</w:t>
      </w:r>
      <w:r w:rsidRPr="0014404C">
        <w:rPr>
          <w:sz w:val="22"/>
          <w:szCs w:val="22"/>
          <w:lang w:val="sr-Latn-ME"/>
        </w:rPr>
        <w:t xml:space="preserve">e u intervalima od 8 </w:t>
      </w:r>
      <w:r w:rsidR="00802EFD" w:rsidRPr="0014404C">
        <w:rPr>
          <w:sz w:val="22"/>
          <w:szCs w:val="22"/>
          <w:lang w:val="sr-Latn-ME"/>
        </w:rPr>
        <w:t>nedjelja</w:t>
      </w:r>
      <w:r w:rsidRPr="0014404C">
        <w:rPr>
          <w:sz w:val="22"/>
          <w:szCs w:val="22"/>
          <w:lang w:val="sr-Latn-ME"/>
        </w:rPr>
        <w:t xml:space="preserve"> ili manje </w:t>
      </w:r>
      <w:r w:rsidR="00A60A10" w:rsidRPr="0014404C">
        <w:rPr>
          <w:sz w:val="22"/>
          <w:szCs w:val="22"/>
          <w:lang w:val="sr-Latn-ME"/>
        </w:rPr>
        <w:t xml:space="preserve">između injekcija </w:t>
      </w:r>
      <w:r w:rsidRPr="0014404C">
        <w:rPr>
          <w:sz w:val="22"/>
          <w:szCs w:val="22"/>
          <w:lang w:val="sr-Latn-ME"/>
        </w:rPr>
        <w:t>su ograničeni</w:t>
      </w:r>
      <w:r w:rsidR="00A60A10" w:rsidRPr="0014404C">
        <w:rPr>
          <w:sz w:val="22"/>
          <w:szCs w:val="22"/>
          <w:lang w:val="sr-Latn-ME"/>
        </w:rPr>
        <w:t xml:space="preserve"> (vidjeti dio 4.4)</w:t>
      </w:r>
      <w:r w:rsidRPr="0014404C">
        <w:rPr>
          <w:sz w:val="22"/>
          <w:szCs w:val="22"/>
          <w:lang w:val="sr-Latn-ME"/>
        </w:rPr>
        <w:t>. Praćenje pacijenata u periodu između prim</w:t>
      </w:r>
      <w:r w:rsidR="00802EFD" w:rsidRPr="0014404C">
        <w:rPr>
          <w:sz w:val="22"/>
          <w:szCs w:val="22"/>
          <w:lang w:val="sr-Latn-ME"/>
        </w:rPr>
        <w:t>j</w:t>
      </w:r>
      <w:r w:rsidRPr="0014404C">
        <w:rPr>
          <w:sz w:val="22"/>
          <w:szCs w:val="22"/>
          <w:lang w:val="sr-Latn-ME"/>
        </w:rPr>
        <w:t>ena l</w:t>
      </w:r>
      <w:r w:rsidR="00802EFD" w:rsidRPr="0014404C">
        <w:rPr>
          <w:sz w:val="22"/>
          <w:szCs w:val="22"/>
          <w:lang w:val="sr-Latn-ME"/>
        </w:rPr>
        <w:t>ij</w:t>
      </w:r>
      <w:r w:rsidRPr="0014404C">
        <w:rPr>
          <w:sz w:val="22"/>
          <w:szCs w:val="22"/>
          <w:lang w:val="sr-Latn-ME"/>
        </w:rPr>
        <w:t xml:space="preserve">eka treba zakazati na osnovu stanja pacijenta i prema odluci </w:t>
      </w:r>
      <w:r w:rsidR="00802EFD" w:rsidRPr="0014404C">
        <w:rPr>
          <w:sz w:val="22"/>
          <w:szCs w:val="22"/>
          <w:lang w:val="sr-Latn-ME"/>
        </w:rPr>
        <w:t>ljekar</w:t>
      </w:r>
      <w:r w:rsidRPr="0014404C">
        <w:rPr>
          <w:sz w:val="22"/>
          <w:szCs w:val="22"/>
          <w:lang w:val="sr-Latn-ME"/>
        </w:rPr>
        <w:t xml:space="preserve">a, ali nema </w:t>
      </w:r>
      <w:r w:rsidR="00871FF9" w:rsidRPr="0014404C">
        <w:rPr>
          <w:sz w:val="22"/>
          <w:szCs w:val="22"/>
          <w:lang w:val="sr-Latn-ME"/>
        </w:rPr>
        <w:t xml:space="preserve">zahtjeva </w:t>
      </w:r>
      <w:r w:rsidRPr="0014404C">
        <w:rPr>
          <w:sz w:val="22"/>
          <w:szCs w:val="22"/>
          <w:lang w:val="sr-Latn-ME"/>
        </w:rPr>
        <w:t xml:space="preserve">za </w:t>
      </w:r>
      <w:r w:rsidR="00871FF9" w:rsidRPr="0014404C">
        <w:rPr>
          <w:sz w:val="22"/>
          <w:szCs w:val="22"/>
          <w:lang w:val="sr-Latn-ME"/>
        </w:rPr>
        <w:t xml:space="preserve">mjesečnim </w:t>
      </w:r>
      <w:r w:rsidRPr="0014404C">
        <w:rPr>
          <w:sz w:val="22"/>
          <w:szCs w:val="22"/>
          <w:lang w:val="sr-Latn-ME"/>
        </w:rPr>
        <w:t>praćenjem između injekcija.</w:t>
      </w:r>
    </w:p>
    <w:p w14:paraId="54F26E53" w14:textId="4CDC1AEC" w:rsidR="0036275D" w:rsidRPr="0014404C" w:rsidRDefault="0036275D" w:rsidP="0014404C">
      <w:pPr>
        <w:widowControl w:val="0"/>
        <w:jc w:val="both"/>
        <w:rPr>
          <w:sz w:val="22"/>
          <w:szCs w:val="22"/>
          <w:lang w:val="sr-Latn-ME"/>
        </w:rPr>
      </w:pPr>
    </w:p>
    <w:p w14:paraId="376A6B6D" w14:textId="3B97E339" w:rsidR="00EB2059" w:rsidRPr="0014404C" w:rsidRDefault="00FB57BC" w:rsidP="0014404C">
      <w:pPr>
        <w:widowControl w:val="0"/>
        <w:jc w:val="both"/>
        <w:rPr>
          <w:i/>
          <w:iCs/>
          <w:sz w:val="22"/>
          <w:szCs w:val="22"/>
          <w:u w:val="single"/>
          <w:lang w:val="sr-Latn-ME"/>
        </w:rPr>
      </w:pPr>
      <w:r w:rsidRPr="0014404C">
        <w:rPr>
          <w:i/>
          <w:iCs/>
          <w:sz w:val="22"/>
          <w:szCs w:val="22"/>
          <w:u w:val="single"/>
          <w:lang w:val="sr-Latn-ME"/>
        </w:rPr>
        <w:t>Oštećenje vida uzrokovano dijabetičkim makularnim edemom</w:t>
      </w:r>
      <w:r w:rsidR="00E50288" w:rsidRPr="0014404C">
        <w:rPr>
          <w:i/>
          <w:iCs/>
          <w:sz w:val="22"/>
          <w:szCs w:val="22"/>
          <w:u w:val="single"/>
          <w:lang w:val="sr-Latn-ME"/>
        </w:rPr>
        <w:t xml:space="preserve"> (DME)</w:t>
      </w:r>
      <w:r w:rsidRPr="0014404C">
        <w:rPr>
          <w:i/>
          <w:iCs/>
          <w:sz w:val="22"/>
          <w:szCs w:val="22"/>
          <w:u w:val="single"/>
          <w:lang w:val="sr-Latn-ME"/>
        </w:rPr>
        <w:t xml:space="preserve"> i m</w:t>
      </w:r>
      <w:r w:rsidR="00EB2059" w:rsidRPr="0014404C">
        <w:rPr>
          <w:i/>
          <w:iCs/>
          <w:sz w:val="22"/>
          <w:szCs w:val="22"/>
          <w:u w:val="single"/>
          <w:lang w:val="sr-Latn-ME"/>
        </w:rPr>
        <w:t>akularni edem kao posl</w:t>
      </w:r>
      <w:r w:rsidR="00963E44" w:rsidRPr="0014404C">
        <w:rPr>
          <w:i/>
          <w:iCs/>
          <w:sz w:val="22"/>
          <w:szCs w:val="22"/>
          <w:u w:val="single"/>
          <w:lang w:val="sr-Latn-ME"/>
        </w:rPr>
        <w:t>j</w:t>
      </w:r>
      <w:r w:rsidR="00EB2059" w:rsidRPr="0014404C">
        <w:rPr>
          <w:i/>
          <w:iCs/>
          <w:sz w:val="22"/>
          <w:szCs w:val="22"/>
          <w:u w:val="single"/>
          <w:lang w:val="sr-Latn-ME"/>
        </w:rPr>
        <w:t>edic</w:t>
      </w:r>
      <w:r w:rsidR="00E50288" w:rsidRPr="0014404C">
        <w:rPr>
          <w:i/>
          <w:iCs/>
          <w:sz w:val="22"/>
          <w:szCs w:val="22"/>
          <w:u w:val="single"/>
          <w:lang w:val="sr-Latn-ME"/>
        </w:rPr>
        <w:t>a</w:t>
      </w:r>
      <w:r w:rsidR="00EB2059" w:rsidRPr="0014404C">
        <w:rPr>
          <w:i/>
          <w:iCs/>
          <w:sz w:val="22"/>
          <w:szCs w:val="22"/>
          <w:u w:val="single"/>
          <w:lang w:val="sr-Latn-ME"/>
        </w:rPr>
        <w:t xml:space="preserve"> okluzije retinalne vene (RVO)</w:t>
      </w:r>
    </w:p>
    <w:p w14:paraId="08A8036D" w14:textId="77777777" w:rsidR="00EB2059" w:rsidRPr="0014404C" w:rsidRDefault="00EB2059" w:rsidP="0014404C">
      <w:pPr>
        <w:widowControl w:val="0"/>
        <w:jc w:val="both"/>
        <w:rPr>
          <w:sz w:val="22"/>
          <w:szCs w:val="22"/>
          <w:lang w:val="sr-Latn-ME"/>
        </w:rPr>
      </w:pPr>
    </w:p>
    <w:p w14:paraId="3098235F" w14:textId="07FCE6EE" w:rsidR="00EB2059" w:rsidRPr="0014404C" w:rsidRDefault="00EB2059" w:rsidP="0014404C">
      <w:pPr>
        <w:widowControl w:val="0"/>
        <w:jc w:val="both"/>
        <w:rPr>
          <w:sz w:val="22"/>
          <w:szCs w:val="22"/>
          <w:lang w:val="sr-Latn-ME"/>
        </w:rPr>
      </w:pPr>
      <w:r w:rsidRPr="0014404C">
        <w:rPr>
          <w:sz w:val="22"/>
          <w:szCs w:val="22"/>
          <w:lang w:val="sr-Latn-ME"/>
        </w:rPr>
        <w:t xml:space="preserve">Preporučena doza iznosi 6 mg (0,05 ml rastvora), a primjenjuje se intravitrealnom injekcijom svake 4 nedjelje (jednom mjesečno); može biti potrebno 3 ili više uzastopnih mjesečnih injekcija. </w:t>
      </w:r>
    </w:p>
    <w:p w14:paraId="5791C4E2" w14:textId="77777777" w:rsidR="00EB2059" w:rsidRPr="0014404C" w:rsidRDefault="00EB2059" w:rsidP="0014404C">
      <w:pPr>
        <w:widowControl w:val="0"/>
        <w:jc w:val="both"/>
        <w:rPr>
          <w:sz w:val="22"/>
          <w:szCs w:val="22"/>
          <w:lang w:val="sr-Latn-ME"/>
        </w:rPr>
      </w:pPr>
    </w:p>
    <w:p w14:paraId="3301A2E8" w14:textId="704320A5" w:rsidR="00EB2059" w:rsidRPr="0014404C" w:rsidRDefault="00EB2059" w:rsidP="0014404C">
      <w:pPr>
        <w:widowControl w:val="0"/>
        <w:jc w:val="both"/>
        <w:rPr>
          <w:sz w:val="22"/>
          <w:szCs w:val="22"/>
          <w:lang w:val="sr-Latn-ME"/>
        </w:rPr>
      </w:pPr>
      <w:r w:rsidRPr="0014404C">
        <w:rPr>
          <w:sz w:val="22"/>
          <w:szCs w:val="22"/>
          <w:lang w:val="sr-Latn-ME"/>
        </w:rPr>
        <w:t>Nakon toga, liječenje se individualno prilagođava prema pristupu „liječi i produži“. Na osnovu procjene ljekara o anatomskim i/ili vidnim ishodima kod pacijenta, interval primjene može se produžiti u koracima od najviše 4 nedjelje. Ako se anatomski i/ili vidni ishodi prom</w:t>
      </w:r>
      <w:r w:rsidR="00963E44" w:rsidRPr="0014404C">
        <w:rPr>
          <w:sz w:val="22"/>
          <w:szCs w:val="22"/>
          <w:lang w:val="sr-Latn-ME"/>
        </w:rPr>
        <w:t>i</w:t>
      </w:r>
      <w:r w:rsidRPr="0014404C">
        <w:rPr>
          <w:sz w:val="22"/>
          <w:szCs w:val="22"/>
          <w:lang w:val="sr-Latn-ME"/>
        </w:rPr>
        <w:t>jene, potrebno je shodno tome prilagoditi interval primjene lijeka, a ako se anatomski i/ili vidni ishodi pogoršaju, interval primjene lijeka treba skratiti (vidjeti dio 5.1). Interval između dvije injekcije kraći od 4 nedjelje i duži od 4 mjeseca nije bio ispitivan. Praćenje pacijenata u periodu između primjene lijeka treba zakazati na osnovu stanja pacijenta i prema odluci ljekara, ali nema zahtjeva za mjesečnim praćenjem između injekcija.</w:t>
      </w:r>
    </w:p>
    <w:p w14:paraId="47F2152D" w14:textId="77777777" w:rsidR="00EB2059" w:rsidRPr="0014404C" w:rsidRDefault="00EB2059" w:rsidP="0014404C">
      <w:pPr>
        <w:widowControl w:val="0"/>
        <w:jc w:val="both"/>
        <w:rPr>
          <w:sz w:val="22"/>
          <w:szCs w:val="22"/>
          <w:lang w:val="sr-Latn-ME"/>
        </w:rPr>
      </w:pPr>
    </w:p>
    <w:p w14:paraId="737F538B" w14:textId="77777777" w:rsidR="0036275D" w:rsidRPr="0014404C" w:rsidRDefault="0036275D" w:rsidP="0014404C">
      <w:pPr>
        <w:widowControl w:val="0"/>
        <w:jc w:val="both"/>
        <w:rPr>
          <w:i/>
          <w:sz w:val="22"/>
          <w:szCs w:val="22"/>
          <w:u w:val="single"/>
          <w:lang w:val="sr-Latn-ME"/>
        </w:rPr>
      </w:pPr>
      <w:r w:rsidRPr="0014404C">
        <w:rPr>
          <w:i/>
          <w:iCs/>
          <w:sz w:val="22"/>
          <w:szCs w:val="22"/>
          <w:u w:val="single"/>
          <w:lang w:val="sr-Latn-ME"/>
        </w:rPr>
        <w:t>Trajanje terapije</w:t>
      </w:r>
    </w:p>
    <w:p w14:paraId="76B50330" w14:textId="77777777" w:rsidR="0036275D" w:rsidRPr="0014404C" w:rsidRDefault="0036275D" w:rsidP="0014404C">
      <w:pPr>
        <w:widowControl w:val="0"/>
        <w:jc w:val="both"/>
        <w:rPr>
          <w:sz w:val="22"/>
          <w:szCs w:val="22"/>
          <w:lang w:val="sr-Latn-ME"/>
        </w:rPr>
      </w:pPr>
    </w:p>
    <w:p w14:paraId="194846D8" w14:textId="00A2DA01" w:rsidR="0036275D" w:rsidRPr="0014404C" w:rsidRDefault="0036275D" w:rsidP="0014404C">
      <w:pPr>
        <w:widowControl w:val="0"/>
        <w:jc w:val="both"/>
        <w:rPr>
          <w:sz w:val="22"/>
          <w:szCs w:val="22"/>
          <w:lang w:val="sr-Latn-ME"/>
        </w:rPr>
      </w:pPr>
      <w:r w:rsidRPr="0014404C">
        <w:rPr>
          <w:sz w:val="22"/>
          <w:szCs w:val="22"/>
          <w:lang w:val="sr-Latn-ME"/>
        </w:rPr>
        <w:t xml:space="preserve">Ovaj </w:t>
      </w:r>
      <w:r w:rsidR="00802EFD" w:rsidRPr="0014404C">
        <w:rPr>
          <w:sz w:val="22"/>
          <w:szCs w:val="22"/>
          <w:lang w:val="sr-Latn-ME"/>
        </w:rPr>
        <w:t xml:space="preserve">lijek </w:t>
      </w:r>
      <w:r w:rsidRPr="0014404C">
        <w:rPr>
          <w:sz w:val="22"/>
          <w:szCs w:val="22"/>
          <w:lang w:val="sr-Latn-ME"/>
        </w:rPr>
        <w:t xml:space="preserve">je </w:t>
      </w:r>
      <w:r w:rsidR="00871FF9" w:rsidRPr="0014404C">
        <w:rPr>
          <w:sz w:val="22"/>
          <w:szCs w:val="22"/>
          <w:lang w:val="sr-Latn-ME"/>
        </w:rPr>
        <w:t xml:space="preserve">namijenjen </w:t>
      </w:r>
      <w:r w:rsidRPr="0014404C">
        <w:rPr>
          <w:sz w:val="22"/>
          <w:szCs w:val="22"/>
          <w:lang w:val="sr-Latn-ME"/>
        </w:rPr>
        <w:t xml:space="preserve">za dugotrajno </w:t>
      </w:r>
      <w:r w:rsidR="00871FF9" w:rsidRPr="0014404C">
        <w:rPr>
          <w:sz w:val="22"/>
          <w:szCs w:val="22"/>
          <w:lang w:val="sr-Latn-ME"/>
        </w:rPr>
        <w:t>liječenje</w:t>
      </w:r>
      <w:r w:rsidRPr="0014404C">
        <w:rPr>
          <w:sz w:val="22"/>
          <w:szCs w:val="22"/>
          <w:lang w:val="sr-Latn-ME"/>
        </w:rPr>
        <w:t xml:space="preserve">. Ako vidni i/ili anatomski ishodi ukažu na to da pacijent nema koristi od nastavka </w:t>
      </w:r>
      <w:r w:rsidR="00871FF9" w:rsidRPr="0014404C">
        <w:rPr>
          <w:sz w:val="22"/>
          <w:szCs w:val="22"/>
          <w:lang w:val="sr-Latn-ME"/>
        </w:rPr>
        <w:t>liječenja</w:t>
      </w:r>
      <w:r w:rsidRPr="0014404C">
        <w:rPr>
          <w:sz w:val="22"/>
          <w:szCs w:val="22"/>
          <w:lang w:val="sr-Latn-ME"/>
        </w:rPr>
        <w:t>, prim</w:t>
      </w:r>
      <w:r w:rsidR="00802EFD" w:rsidRPr="0014404C">
        <w:rPr>
          <w:sz w:val="22"/>
          <w:szCs w:val="22"/>
          <w:lang w:val="sr-Latn-ME"/>
        </w:rPr>
        <w:t>j</w:t>
      </w:r>
      <w:r w:rsidRPr="0014404C">
        <w:rPr>
          <w:sz w:val="22"/>
          <w:szCs w:val="22"/>
          <w:lang w:val="sr-Latn-ME"/>
        </w:rPr>
        <w:t>enu l</w:t>
      </w:r>
      <w:r w:rsidR="00802EFD" w:rsidRPr="0014404C">
        <w:rPr>
          <w:sz w:val="22"/>
          <w:szCs w:val="22"/>
          <w:lang w:val="sr-Latn-ME"/>
        </w:rPr>
        <w:t>ij</w:t>
      </w:r>
      <w:r w:rsidRPr="0014404C">
        <w:rPr>
          <w:sz w:val="22"/>
          <w:szCs w:val="22"/>
          <w:lang w:val="sr-Latn-ME"/>
        </w:rPr>
        <w:t>eka treba prekinuti.</w:t>
      </w:r>
    </w:p>
    <w:p w14:paraId="04D2906F" w14:textId="77777777" w:rsidR="0036275D" w:rsidRPr="0014404C" w:rsidRDefault="0036275D" w:rsidP="0014404C">
      <w:pPr>
        <w:widowControl w:val="0"/>
        <w:jc w:val="both"/>
        <w:rPr>
          <w:i/>
          <w:sz w:val="22"/>
          <w:szCs w:val="22"/>
          <w:u w:val="single"/>
          <w:lang w:val="sr-Latn-ME"/>
        </w:rPr>
      </w:pPr>
    </w:p>
    <w:p w14:paraId="1CFB9C23" w14:textId="77777777" w:rsidR="0036275D" w:rsidRPr="0014404C" w:rsidRDefault="0036275D" w:rsidP="0014404C">
      <w:pPr>
        <w:widowControl w:val="0"/>
        <w:jc w:val="both"/>
        <w:rPr>
          <w:i/>
          <w:sz w:val="22"/>
          <w:szCs w:val="22"/>
          <w:u w:val="single"/>
          <w:lang w:val="sr-Latn-ME"/>
        </w:rPr>
      </w:pPr>
      <w:r w:rsidRPr="0014404C">
        <w:rPr>
          <w:i/>
          <w:iCs/>
          <w:sz w:val="22"/>
          <w:szCs w:val="22"/>
          <w:u w:val="single"/>
          <w:lang w:val="sr-Latn-ME"/>
        </w:rPr>
        <w:t>Odložena ili propuštena doza</w:t>
      </w:r>
    </w:p>
    <w:p w14:paraId="7BA1ABD3" w14:textId="77777777" w:rsidR="0036275D" w:rsidRPr="0014404C" w:rsidRDefault="0036275D" w:rsidP="0014404C">
      <w:pPr>
        <w:widowControl w:val="0"/>
        <w:jc w:val="both"/>
        <w:rPr>
          <w:i/>
          <w:sz w:val="22"/>
          <w:szCs w:val="22"/>
          <w:u w:val="single"/>
          <w:lang w:val="sr-Latn-ME"/>
        </w:rPr>
      </w:pPr>
    </w:p>
    <w:p w14:paraId="0449B7F0" w14:textId="5B7B0CF6" w:rsidR="0036275D" w:rsidRPr="0014404C" w:rsidRDefault="0036275D" w:rsidP="0014404C">
      <w:pPr>
        <w:widowControl w:val="0"/>
        <w:jc w:val="both"/>
        <w:rPr>
          <w:sz w:val="22"/>
          <w:szCs w:val="22"/>
          <w:lang w:val="sr-Latn-ME"/>
        </w:rPr>
      </w:pPr>
      <w:r w:rsidRPr="0014404C">
        <w:rPr>
          <w:sz w:val="22"/>
          <w:szCs w:val="22"/>
          <w:lang w:val="sr-Latn-ME"/>
        </w:rPr>
        <w:t xml:space="preserve">U slučaju odložene ili propuštene doze, pacijent treba da </w:t>
      </w:r>
      <w:r w:rsidR="00871FF9" w:rsidRPr="0014404C">
        <w:rPr>
          <w:sz w:val="22"/>
          <w:szCs w:val="22"/>
          <w:lang w:val="sr-Latn-ME"/>
        </w:rPr>
        <w:t xml:space="preserve">posjeti </w:t>
      </w:r>
      <w:r w:rsidR="00802EFD" w:rsidRPr="0014404C">
        <w:rPr>
          <w:sz w:val="22"/>
          <w:szCs w:val="22"/>
          <w:lang w:val="sr-Latn-ME"/>
        </w:rPr>
        <w:t>ljekar</w:t>
      </w:r>
      <w:r w:rsidRPr="0014404C">
        <w:rPr>
          <w:sz w:val="22"/>
          <w:szCs w:val="22"/>
          <w:lang w:val="sr-Latn-ME"/>
        </w:rPr>
        <w:t xml:space="preserve">a radi </w:t>
      </w:r>
      <w:r w:rsidR="00871FF9" w:rsidRPr="0014404C">
        <w:rPr>
          <w:sz w:val="22"/>
          <w:szCs w:val="22"/>
          <w:lang w:val="sr-Latn-ME"/>
        </w:rPr>
        <w:t xml:space="preserve">procjene </w:t>
      </w:r>
      <w:r w:rsidRPr="0014404C">
        <w:rPr>
          <w:sz w:val="22"/>
          <w:szCs w:val="22"/>
          <w:lang w:val="sr-Latn-ME"/>
        </w:rPr>
        <w:t xml:space="preserve">u prvom </w:t>
      </w:r>
      <w:r w:rsidR="00111BAA" w:rsidRPr="0014404C">
        <w:rPr>
          <w:sz w:val="22"/>
          <w:szCs w:val="22"/>
          <w:lang w:val="sr-Latn-ME"/>
        </w:rPr>
        <w:t xml:space="preserve">sljedećem </w:t>
      </w:r>
      <w:r w:rsidRPr="0014404C">
        <w:rPr>
          <w:sz w:val="22"/>
          <w:szCs w:val="22"/>
          <w:lang w:val="sr-Latn-ME"/>
        </w:rPr>
        <w:t xml:space="preserve">slobodnom terminu i da nastavi </w:t>
      </w:r>
      <w:r w:rsidR="00871FF9" w:rsidRPr="0014404C">
        <w:rPr>
          <w:sz w:val="22"/>
          <w:szCs w:val="22"/>
          <w:lang w:val="sr-Latn-ME"/>
        </w:rPr>
        <w:t xml:space="preserve">liječenje </w:t>
      </w:r>
      <w:r w:rsidRPr="0014404C">
        <w:rPr>
          <w:sz w:val="22"/>
          <w:szCs w:val="22"/>
          <w:lang w:val="sr-Latn-ME"/>
        </w:rPr>
        <w:t xml:space="preserve">zavisno od odluke </w:t>
      </w:r>
      <w:r w:rsidR="00802EFD" w:rsidRPr="0014404C">
        <w:rPr>
          <w:sz w:val="22"/>
          <w:szCs w:val="22"/>
          <w:lang w:val="sr-Latn-ME"/>
        </w:rPr>
        <w:t>ljekar</w:t>
      </w:r>
      <w:r w:rsidRPr="0014404C">
        <w:rPr>
          <w:sz w:val="22"/>
          <w:szCs w:val="22"/>
          <w:lang w:val="sr-Latn-ME"/>
        </w:rPr>
        <w:t>a.</w:t>
      </w:r>
    </w:p>
    <w:p w14:paraId="1B223673" w14:textId="77777777" w:rsidR="0036275D" w:rsidRPr="0014404C" w:rsidRDefault="0036275D" w:rsidP="0014404C">
      <w:pPr>
        <w:widowControl w:val="0"/>
        <w:jc w:val="both"/>
        <w:rPr>
          <w:sz w:val="22"/>
          <w:szCs w:val="22"/>
          <w:lang w:val="sr-Latn-ME"/>
        </w:rPr>
      </w:pPr>
    </w:p>
    <w:p w14:paraId="0A8F9F77" w14:textId="77777777" w:rsidR="0036275D" w:rsidRPr="0014404C" w:rsidRDefault="0036275D" w:rsidP="0014404C">
      <w:pPr>
        <w:widowControl w:val="0"/>
        <w:jc w:val="both"/>
        <w:rPr>
          <w:i/>
          <w:iCs/>
          <w:sz w:val="22"/>
          <w:szCs w:val="22"/>
          <w:u w:val="single"/>
          <w:lang w:val="sr-Latn-ME"/>
        </w:rPr>
      </w:pPr>
      <w:r w:rsidRPr="0014404C">
        <w:rPr>
          <w:i/>
          <w:iCs/>
          <w:sz w:val="22"/>
          <w:szCs w:val="22"/>
          <w:u w:val="single"/>
          <w:lang w:val="sr-Latn-ME"/>
        </w:rPr>
        <w:t>Posebne populacije</w:t>
      </w:r>
    </w:p>
    <w:p w14:paraId="42E548DC" w14:textId="77777777" w:rsidR="0036275D" w:rsidRPr="0014404C" w:rsidRDefault="0036275D" w:rsidP="0014404C">
      <w:pPr>
        <w:widowControl w:val="0"/>
        <w:jc w:val="both"/>
        <w:rPr>
          <w:sz w:val="22"/>
          <w:szCs w:val="22"/>
          <w:lang w:val="sr-Latn-ME"/>
        </w:rPr>
      </w:pPr>
    </w:p>
    <w:p w14:paraId="7128F556" w14:textId="77777777" w:rsidR="0036275D" w:rsidRPr="0014404C" w:rsidRDefault="0036275D" w:rsidP="0014404C">
      <w:pPr>
        <w:widowControl w:val="0"/>
        <w:jc w:val="both"/>
        <w:rPr>
          <w:i/>
          <w:sz w:val="22"/>
          <w:szCs w:val="22"/>
          <w:lang w:val="sr-Latn-ME"/>
        </w:rPr>
      </w:pPr>
      <w:r w:rsidRPr="0014404C">
        <w:rPr>
          <w:i/>
          <w:iCs/>
          <w:sz w:val="22"/>
          <w:szCs w:val="22"/>
          <w:lang w:val="sr-Latn-ME"/>
        </w:rPr>
        <w:t>Starije osobe</w:t>
      </w:r>
    </w:p>
    <w:p w14:paraId="4B58E724" w14:textId="2191A76F" w:rsidR="0036275D" w:rsidRPr="0014404C" w:rsidRDefault="0036275D" w:rsidP="0014404C">
      <w:pPr>
        <w:widowControl w:val="0"/>
        <w:jc w:val="both"/>
        <w:rPr>
          <w:sz w:val="22"/>
          <w:szCs w:val="22"/>
          <w:lang w:val="sr-Latn-ME"/>
        </w:rPr>
      </w:pPr>
      <w:r w:rsidRPr="0014404C">
        <w:rPr>
          <w:sz w:val="22"/>
          <w:szCs w:val="22"/>
          <w:lang w:val="sr-Latn-ME"/>
        </w:rPr>
        <w:t>Kod pacijenata star</w:t>
      </w:r>
      <w:r w:rsidR="00876ECB" w:rsidRPr="0014404C">
        <w:rPr>
          <w:sz w:val="22"/>
          <w:szCs w:val="22"/>
          <w:lang w:val="sr-Latn-ME"/>
        </w:rPr>
        <w:t xml:space="preserve">osti </w:t>
      </w:r>
      <w:r w:rsidRPr="0014404C">
        <w:rPr>
          <w:sz w:val="22"/>
          <w:szCs w:val="22"/>
          <w:lang w:val="sr-Latn-ME"/>
        </w:rPr>
        <w:t xml:space="preserve">65 godina i starijih nije potrebno nikakvo </w:t>
      </w:r>
      <w:r w:rsidR="002C5F99" w:rsidRPr="0014404C">
        <w:rPr>
          <w:sz w:val="22"/>
          <w:szCs w:val="22"/>
          <w:lang w:val="sr-Latn-ME"/>
        </w:rPr>
        <w:t xml:space="preserve">prilagođavanje </w:t>
      </w:r>
      <w:r w:rsidRPr="0014404C">
        <w:rPr>
          <w:sz w:val="22"/>
          <w:szCs w:val="22"/>
          <w:lang w:val="sr-Latn-ME"/>
        </w:rPr>
        <w:t>doze (</w:t>
      </w:r>
      <w:r w:rsidR="00802EFD" w:rsidRPr="0014404C">
        <w:rPr>
          <w:sz w:val="22"/>
          <w:szCs w:val="22"/>
          <w:lang w:val="sr-Latn-ME"/>
        </w:rPr>
        <w:t>vidjeti</w:t>
      </w:r>
      <w:r w:rsidRPr="0014404C">
        <w:rPr>
          <w:sz w:val="22"/>
          <w:szCs w:val="22"/>
          <w:lang w:val="sr-Latn-ME"/>
        </w:rPr>
        <w:t xml:space="preserve"> </w:t>
      </w:r>
      <w:r w:rsidR="00802EFD" w:rsidRPr="0014404C">
        <w:rPr>
          <w:sz w:val="22"/>
          <w:szCs w:val="22"/>
          <w:lang w:val="sr-Latn-ME"/>
        </w:rPr>
        <w:t>dio</w:t>
      </w:r>
      <w:r w:rsidRPr="0014404C">
        <w:rPr>
          <w:sz w:val="22"/>
          <w:szCs w:val="22"/>
          <w:lang w:val="sr-Latn-ME"/>
        </w:rPr>
        <w:t xml:space="preserve"> 5.2). Podaci o </w:t>
      </w:r>
      <w:r w:rsidR="00871FF9" w:rsidRPr="0014404C">
        <w:rPr>
          <w:sz w:val="22"/>
          <w:szCs w:val="22"/>
          <w:lang w:val="sr-Latn-ME"/>
        </w:rPr>
        <w:t xml:space="preserve">bezbjednosti primjene </w:t>
      </w:r>
      <w:r w:rsidRPr="0014404C">
        <w:rPr>
          <w:sz w:val="22"/>
          <w:szCs w:val="22"/>
          <w:lang w:val="sr-Latn-ME"/>
        </w:rPr>
        <w:t>kod pacijenata sa nAMD star</w:t>
      </w:r>
      <w:r w:rsidR="00A60A10" w:rsidRPr="0014404C">
        <w:rPr>
          <w:sz w:val="22"/>
          <w:szCs w:val="22"/>
          <w:lang w:val="sr-Latn-ME"/>
        </w:rPr>
        <w:t>osti≥</w:t>
      </w:r>
      <w:r w:rsidRPr="0014404C">
        <w:rPr>
          <w:sz w:val="22"/>
          <w:szCs w:val="22"/>
          <w:lang w:val="sr-Latn-ME"/>
        </w:rPr>
        <w:t xml:space="preserve"> 85 godina su ograničeni (</w:t>
      </w:r>
      <w:r w:rsidR="00802EFD" w:rsidRPr="0014404C">
        <w:rPr>
          <w:sz w:val="22"/>
          <w:szCs w:val="22"/>
          <w:lang w:val="sr-Latn-ME"/>
        </w:rPr>
        <w:t>vidjeti</w:t>
      </w:r>
      <w:r w:rsidRPr="0014404C">
        <w:rPr>
          <w:sz w:val="22"/>
          <w:szCs w:val="22"/>
          <w:lang w:val="sr-Latn-ME"/>
        </w:rPr>
        <w:t xml:space="preserve"> </w:t>
      </w:r>
      <w:r w:rsidR="00802EFD" w:rsidRPr="0014404C">
        <w:rPr>
          <w:sz w:val="22"/>
          <w:szCs w:val="22"/>
          <w:lang w:val="sr-Latn-ME"/>
        </w:rPr>
        <w:t>dio</w:t>
      </w:r>
      <w:r w:rsidRPr="0014404C">
        <w:rPr>
          <w:sz w:val="22"/>
          <w:szCs w:val="22"/>
          <w:lang w:val="sr-Latn-ME"/>
        </w:rPr>
        <w:t xml:space="preserve"> 4.4).</w:t>
      </w:r>
    </w:p>
    <w:p w14:paraId="2CA83682" w14:textId="77777777" w:rsidR="0036275D" w:rsidRPr="0014404C" w:rsidRDefault="0036275D" w:rsidP="0014404C">
      <w:pPr>
        <w:widowControl w:val="0"/>
        <w:jc w:val="both"/>
        <w:rPr>
          <w:sz w:val="22"/>
          <w:szCs w:val="22"/>
          <w:lang w:val="sr-Latn-ME"/>
        </w:rPr>
      </w:pPr>
    </w:p>
    <w:p w14:paraId="4C3FD851" w14:textId="77777777" w:rsidR="0036275D" w:rsidRPr="0014404C" w:rsidRDefault="0036275D" w:rsidP="0014404C">
      <w:pPr>
        <w:widowControl w:val="0"/>
        <w:jc w:val="both"/>
        <w:rPr>
          <w:i/>
          <w:sz w:val="22"/>
          <w:szCs w:val="22"/>
          <w:lang w:val="sr-Latn-ME"/>
        </w:rPr>
      </w:pPr>
      <w:r w:rsidRPr="0014404C">
        <w:rPr>
          <w:i/>
          <w:iCs/>
          <w:sz w:val="22"/>
          <w:szCs w:val="22"/>
          <w:lang w:val="sr-Latn-ME"/>
        </w:rPr>
        <w:t>Oštećenje funkcije bubrega</w:t>
      </w:r>
    </w:p>
    <w:p w14:paraId="485A7304" w14:textId="77777777" w:rsidR="0036275D" w:rsidRPr="0014404C" w:rsidRDefault="0036275D" w:rsidP="0014404C">
      <w:pPr>
        <w:widowControl w:val="0"/>
        <w:jc w:val="both"/>
        <w:rPr>
          <w:sz w:val="22"/>
          <w:szCs w:val="22"/>
          <w:lang w:val="sr-Latn-ME"/>
        </w:rPr>
      </w:pPr>
      <w:r w:rsidRPr="0014404C">
        <w:rPr>
          <w:sz w:val="22"/>
          <w:szCs w:val="22"/>
          <w:lang w:val="sr-Latn-ME"/>
        </w:rPr>
        <w:t>Nije potrebno prilagođavanje doze kod pacijenata sa oštećenom funkcijom bubrega (</w:t>
      </w:r>
      <w:r w:rsidR="00802EFD" w:rsidRPr="0014404C">
        <w:rPr>
          <w:sz w:val="22"/>
          <w:szCs w:val="22"/>
          <w:lang w:val="sr-Latn-ME"/>
        </w:rPr>
        <w:t>vidjeti</w:t>
      </w:r>
      <w:r w:rsidRPr="0014404C">
        <w:rPr>
          <w:sz w:val="22"/>
          <w:szCs w:val="22"/>
          <w:lang w:val="sr-Latn-ME"/>
        </w:rPr>
        <w:t xml:space="preserve"> </w:t>
      </w:r>
      <w:r w:rsidR="00802EFD" w:rsidRPr="0014404C">
        <w:rPr>
          <w:sz w:val="22"/>
          <w:szCs w:val="22"/>
          <w:lang w:val="sr-Latn-ME"/>
        </w:rPr>
        <w:t>dio</w:t>
      </w:r>
      <w:r w:rsidRPr="0014404C">
        <w:rPr>
          <w:sz w:val="22"/>
          <w:szCs w:val="22"/>
          <w:lang w:val="sr-Latn-ME"/>
        </w:rPr>
        <w:t xml:space="preserve"> 5.2).</w:t>
      </w:r>
    </w:p>
    <w:p w14:paraId="50FB4741" w14:textId="77777777" w:rsidR="0036275D" w:rsidRPr="0014404C" w:rsidRDefault="0036275D" w:rsidP="0014404C">
      <w:pPr>
        <w:widowControl w:val="0"/>
        <w:jc w:val="both"/>
        <w:rPr>
          <w:sz w:val="22"/>
          <w:szCs w:val="22"/>
          <w:lang w:val="sr-Latn-ME"/>
        </w:rPr>
      </w:pPr>
    </w:p>
    <w:p w14:paraId="52E96A8B" w14:textId="77777777" w:rsidR="0036275D" w:rsidRPr="0014404C" w:rsidRDefault="0036275D" w:rsidP="0014404C">
      <w:pPr>
        <w:widowControl w:val="0"/>
        <w:jc w:val="both"/>
        <w:rPr>
          <w:i/>
          <w:sz w:val="22"/>
          <w:szCs w:val="22"/>
          <w:lang w:val="sr-Latn-ME"/>
        </w:rPr>
      </w:pPr>
      <w:r w:rsidRPr="0014404C">
        <w:rPr>
          <w:i/>
          <w:iCs/>
          <w:sz w:val="22"/>
          <w:szCs w:val="22"/>
          <w:lang w:val="sr-Latn-ME"/>
        </w:rPr>
        <w:t>Oštećenje funkcije jetre</w:t>
      </w:r>
    </w:p>
    <w:p w14:paraId="5FA93FD8" w14:textId="77777777" w:rsidR="0036275D" w:rsidRPr="0014404C" w:rsidRDefault="0036275D" w:rsidP="0014404C">
      <w:pPr>
        <w:widowControl w:val="0"/>
        <w:jc w:val="both"/>
        <w:rPr>
          <w:sz w:val="22"/>
          <w:szCs w:val="22"/>
          <w:lang w:val="sr-Latn-ME"/>
        </w:rPr>
      </w:pPr>
      <w:r w:rsidRPr="0014404C">
        <w:rPr>
          <w:sz w:val="22"/>
          <w:szCs w:val="22"/>
          <w:lang w:val="sr-Latn-ME"/>
        </w:rPr>
        <w:t>Nije potrebno prilagođavanje doze kod pacijenata sa oštećenom funkcijom jetre (</w:t>
      </w:r>
      <w:r w:rsidR="00802EFD" w:rsidRPr="0014404C">
        <w:rPr>
          <w:sz w:val="22"/>
          <w:szCs w:val="22"/>
          <w:lang w:val="sr-Latn-ME"/>
        </w:rPr>
        <w:t>vidjeti</w:t>
      </w:r>
      <w:r w:rsidRPr="0014404C">
        <w:rPr>
          <w:sz w:val="22"/>
          <w:szCs w:val="22"/>
          <w:lang w:val="sr-Latn-ME"/>
        </w:rPr>
        <w:t xml:space="preserve"> </w:t>
      </w:r>
      <w:r w:rsidR="00802EFD" w:rsidRPr="0014404C">
        <w:rPr>
          <w:sz w:val="22"/>
          <w:szCs w:val="22"/>
          <w:lang w:val="sr-Latn-ME"/>
        </w:rPr>
        <w:t>dio</w:t>
      </w:r>
      <w:r w:rsidRPr="0014404C">
        <w:rPr>
          <w:sz w:val="22"/>
          <w:szCs w:val="22"/>
          <w:lang w:val="sr-Latn-ME"/>
        </w:rPr>
        <w:t xml:space="preserve"> 5.2).</w:t>
      </w:r>
    </w:p>
    <w:p w14:paraId="7B032A24" w14:textId="77777777" w:rsidR="0036275D" w:rsidRPr="0014404C" w:rsidRDefault="0036275D" w:rsidP="0014404C">
      <w:pPr>
        <w:widowControl w:val="0"/>
        <w:jc w:val="both"/>
        <w:rPr>
          <w:bCs/>
          <w:i/>
          <w:iCs/>
          <w:sz w:val="22"/>
          <w:szCs w:val="22"/>
          <w:lang w:val="sr-Latn-ME"/>
        </w:rPr>
      </w:pPr>
    </w:p>
    <w:p w14:paraId="43749DC4" w14:textId="77777777" w:rsidR="0036275D" w:rsidRPr="0014404C" w:rsidRDefault="0036275D" w:rsidP="0014404C">
      <w:pPr>
        <w:widowControl w:val="0"/>
        <w:jc w:val="both"/>
        <w:rPr>
          <w:bCs/>
          <w:i/>
          <w:iCs/>
          <w:sz w:val="22"/>
          <w:szCs w:val="22"/>
          <w:lang w:val="sr-Latn-ME"/>
        </w:rPr>
      </w:pPr>
      <w:r w:rsidRPr="0014404C">
        <w:rPr>
          <w:i/>
          <w:iCs/>
          <w:sz w:val="22"/>
          <w:szCs w:val="22"/>
          <w:lang w:val="sr-Latn-ME"/>
        </w:rPr>
        <w:t>Pedijatrijska populacija</w:t>
      </w:r>
    </w:p>
    <w:p w14:paraId="6BD53740" w14:textId="5A4855DF" w:rsidR="0036275D" w:rsidRPr="0014404C" w:rsidRDefault="0036275D" w:rsidP="0014404C">
      <w:pPr>
        <w:widowControl w:val="0"/>
        <w:tabs>
          <w:tab w:val="left" w:pos="540"/>
          <w:tab w:val="left" w:pos="569"/>
        </w:tabs>
        <w:jc w:val="both"/>
        <w:rPr>
          <w:bCs/>
          <w:sz w:val="22"/>
          <w:szCs w:val="22"/>
          <w:u w:val="single"/>
          <w:lang w:val="sr-Latn-ME"/>
        </w:rPr>
      </w:pPr>
      <w:r w:rsidRPr="0014404C">
        <w:rPr>
          <w:sz w:val="22"/>
          <w:szCs w:val="22"/>
          <w:lang w:val="sr-Latn-ME"/>
        </w:rPr>
        <w:t xml:space="preserve">Nema relevantne </w:t>
      </w:r>
      <w:r w:rsidR="00802EFD" w:rsidRPr="0014404C">
        <w:rPr>
          <w:sz w:val="22"/>
          <w:szCs w:val="22"/>
          <w:lang w:val="sr-Latn-ME"/>
        </w:rPr>
        <w:t>primjene</w:t>
      </w:r>
      <w:r w:rsidRPr="0014404C">
        <w:rPr>
          <w:sz w:val="22"/>
          <w:szCs w:val="22"/>
          <w:lang w:val="sr-Latn-ME"/>
        </w:rPr>
        <w:t xml:space="preserve"> ovog </w:t>
      </w:r>
      <w:r w:rsidR="00802EFD" w:rsidRPr="0014404C">
        <w:rPr>
          <w:sz w:val="22"/>
          <w:szCs w:val="22"/>
          <w:lang w:val="sr-Latn-ME"/>
        </w:rPr>
        <w:t>lijeka</w:t>
      </w:r>
      <w:r w:rsidRPr="0014404C">
        <w:rPr>
          <w:sz w:val="22"/>
          <w:szCs w:val="22"/>
          <w:lang w:val="sr-Latn-ME"/>
        </w:rPr>
        <w:t xml:space="preserve"> u pedijatrijskoj populaciji za </w:t>
      </w:r>
      <w:r w:rsidR="00871FF9" w:rsidRPr="0014404C">
        <w:rPr>
          <w:sz w:val="22"/>
          <w:szCs w:val="22"/>
          <w:lang w:val="sr-Latn-ME"/>
        </w:rPr>
        <w:t xml:space="preserve">liječenje </w:t>
      </w:r>
      <w:r w:rsidRPr="0014404C">
        <w:rPr>
          <w:sz w:val="22"/>
          <w:szCs w:val="22"/>
          <w:lang w:val="sr-Latn-ME"/>
        </w:rPr>
        <w:t>nAMD</w:t>
      </w:r>
      <w:r w:rsidR="00EB2059" w:rsidRPr="0014404C">
        <w:rPr>
          <w:sz w:val="22"/>
          <w:szCs w:val="22"/>
          <w:lang w:val="sr-Latn-ME"/>
        </w:rPr>
        <w:t>,</w:t>
      </w:r>
      <w:r w:rsidRPr="0014404C">
        <w:rPr>
          <w:sz w:val="22"/>
          <w:szCs w:val="22"/>
          <w:lang w:val="sr-Latn-ME"/>
        </w:rPr>
        <w:t xml:space="preserve"> DME</w:t>
      </w:r>
      <w:r w:rsidR="00EB2059" w:rsidRPr="0014404C">
        <w:rPr>
          <w:sz w:val="22"/>
          <w:szCs w:val="22"/>
          <w:lang w:val="sr-Latn-ME"/>
        </w:rPr>
        <w:t xml:space="preserve"> i RVO</w:t>
      </w:r>
      <w:r w:rsidRPr="0014404C">
        <w:rPr>
          <w:sz w:val="22"/>
          <w:szCs w:val="22"/>
          <w:lang w:val="sr-Latn-ME"/>
        </w:rPr>
        <w:t>.</w:t>
      </w:r>
    </w:p>
    <w:p w14:paraId="6DB5844A" w14:textId="77777777" w:rsidR="00452E9D" w:rsidRPr="0014404C" w:rsidRDefault="00452E9D" w:rsidP="0014404C">
      <w:pPr>
        <w:widowControl w:val="0"/>
        <w:tabs>
          <w:tab w:val="left" w:pos="540"/>
          <w:tab w:val="left" w:pos="569"/>
        </w:tabs>
        <w:jc w:val="both"/>
        <w:rPr>
          <w:bCs/>
          <w:sz w:val="22"/>
          <w:szCs w:val="22"/>
          <w:u w:val="single"/>
          <w:lang w:val="sr-Latn-ME"/>
        </w:rPr>
      </w:pPr>
    </w:p>
    <w:p w14:paraId="67A0F667" w14:textId="77777777" w:rsidR="00452E9D" w:rsidRPr="0014404C" w:rsidRDefault="00452E9D" w:rsidP="0014404C">
      <w:pPr>
        <w:widowControl w:val="0"/>
        <w:tabs>
          <w:tab w:val="left" w:pos="540"/>
          <w:tab w:val="left" w:pos="569"/>
        </w:tabs>
        <w:jc w:val="both"/>
        <w:rPr>
          <w:bCs/>
          <w:sz w:val="22"/>
          <w:szCs w:val="22"/>
          <w:u w:val="single"/>
          <w:lang w:val="sr-Latn-ME"/>
        </w:rPr>
      </w:pPr>
      <w:r w:rsidRPr="0014404C">
        <w:rPr>
          <w:bCs/>
          <w:sz w:val="22"/>
          <w:szCs w:val="22"/>
          <w:u w:val="single"/>
          <w:lang w:val="sr-Latn-ME"/>
        </w:rPr>
        <w:t>Način primjene</w:t>
      </w:r>
    </w:p>
    <w:p w14:paraId="2519C06F" w14:textId="77777777" w:rsidR="0036275D" w:rsidRPr="0014404C" w:rsidRDefault="0036275D" w:rsidP="0014404C">
      <w:pPr>
        <w:widowControl w:val="0"/>
        <w:tabs>
          <w:tab w:val="left" w:pos="540"/>
          <w:tab w:val="left" w:pos="569"/>
        </w:tabs>
        <w:jc w:val="both"/>
        <w:rPr>
          <w:bCs/>
          <w:sz w:val="22"/>
          <w:szCs w:val="22"/>
          <w:u w:val="single"/>
          <w:lang w:val="sr-Latn-ME"/>
        </w:rPr>
      </w:pPr>
    </w:p>
    <w:p w14:paraId="67F83531"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Samo za intravitrealnu upotrebu.</w:t>
      </w:r>
    </w:p>
    <w:p w14:paraId="381D94F5" w14:textId="77777777" w:rsidR="0036275D" w:rsidRPr="0014404C" w:rsidRDefault="0036275D" w:rsidP="0014404C">
      <w:pPr>
        <w:widowControl w:val="0"/>
        <w:jc w:val="both"/>
        <w:rPr>
          <w:sz w:val="22"/>
          <w:szCs w:val="22"/>
          <w:lang w:val="sr-Latn-ME" w:eastAsia="ja-JP"/>
        </w:rPr>
      </w:pPr>
    </w:p>
    <w:p w14:paraId="61E85404" w14:textId="7030F913" w:rsidR="0036275D" w:rsidRPr="0014404C" w:rsidRDefault="00871FF9" w:rsidP="0014404C">
      <w:pPr>
        <w:widowControl w:val="0"/>
        <w:jc w:val="both"/>
        <w:rPr>
          <w:sz w:val="22"/>
          <w:szCs w:val="22"/>
          <w:lang w:val="sr-Latn-ME" w:eastAsia="ja-JP"/>
        </w:rPr>
      </w:pPr>
      <w:r w:rsidRPr="0014404C">
        <w:rPr>
          <w:sz w:val="22"/>
          <w:szCs w:val="22"/>
          <w:lang w:val="sr-Latn-ME" w:eastAsia="ja-JP"/>
        </w:rPr>
        <w:lastRenderedPageBreak/>
        <w:t xml:space="preserve">Prije </w:t>
      </w:r>
      <w:r w:rsidR="00802EFD" w:rsidRPr="0014404C">
        <w:rPr>
          <w:sz w:val="22"/>
          <w:szCs w:val="22"/>
          <w:lang w:val="sr-Latn-ME" w:eastAsia="ja-JP"/>
        </w:rPr>
        <w:t>primjene</w:t>
      </w:r>
      <w:r w:rsidR="0036275D" w:rsidRPr="0014404C">
        <w:rPr>
          <w:sz w:val="22"/>
          <w:szCs w:val="22"/>
          <w:lang w:val="sr-Latn-ME" w:eastAsia="ja-JP"/>
        </w:rPr>
        <w:t xml:space="preserve">, bočicu </w:t>
      </w:r>
      <w:r w:rsidR="00802EFD" w:rsidRPr="0014404C">
        <w:rPr>
          <w:sz w:val="22"/>
          <w:szCs w:val="22"/>
          <w:lang w:val="sr-Latn-ME" w:eastAsia="ja-JP"/>
        </w:rPr>
        <w:t>lijeka</w:t>
      </w:r>
      <w:r w:rsidR="0036275D" w:rsidRPr="0014404C">
        <w:rPr>
          <w:sz w:val="22"/>
          <w:szCs w:val="22"/>
          <w:lang w:val="sr-Latn-ME" w:eastAsia="ja-JP"/>
        </w:rPr>
        <w:t xml:space="preserve"> Vabysmo treba vizuelno pregledati kako bi se utvrdilo sadrži li čestice i da li je sadržaj </w:t>
      </w:r>
      <w:r w:rsidRPr="0014404C">
        <w:rPr>
          <w:sz w:val="22"/>
          <w:szCs w:val="22"/>
          <w:lang w:val="sr-Latn-ME" w:eastAsia="ja-JP"/>
        </w:rPr>
        <w:t xml:space="preserve">promijenio </w:t>
      </w:r>
      <w:r w:rsidR="0036275D" w:rsidRPr="0014404C">
        <w:rPr>
          <w:sz w:val="22"/>
          <w:szCs w:val="22"/>
          <w:lang w:val="sr-Latn-ME" w:eastAsia="ja-JP"/>
        </w:rPr>
        <w:t xml:space="preserve">boju, a bočica se ne </w:t>
      </w:r>
      <w:r w:rsidRPr="0014404C">
        <w:rPr>
          <w:sz w:val="22"/>
          <w:szCs w:val="22"/>
          <w:lang w:val="sr-Latn-ME" w:eastAsia="ja-JP"/>
        </w:rPr>
        <w:t xml:space="preserve">smije upotrijebiti </w:t>
      </w:r>
      <w:r w:rsidR="0036275D" w:rsidRPr="0014404C">
        <w:rPr>
          <w:sz w:val="22"/>
          <w:szCs w:val="22"/>
          <w:lang w:val="sr-Latn-ME" w:eastAsia="ja-JP"/>
        </w:rPr>
        <w:t>u tom slučaju.</w:t>
      </w:r>
    </w:p>
    <w:p w14:paraId="28EC1591"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 </w:t>
      </w:r>
    </w:p>
    <w:p w14:paraId="040415AD" w14:textId="4F6878EE"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Postupak </w:t>
      </w:r>
      <w:r w:rsidR="00802EFD" w:rsidRPr="0014404C">
        <w:rPr>
          <w:sz w:val="22"/>
          <w:szCs w:val="22"/>
          <w:lang w:val="sr-Latn-ME" w:eastAsia="ja-JP"/>
        </w:rPr>
        <w:t>primjene</w:t>
      </w:r>
      <w:r w:rsidRPr="0014404C">
        <w:rPr>
          <w:sz w:val="22"/>
          <w:szCs w:val="22"/>
          <w:lang w:val="sr-Latn-ME" w:eastAsia="ja-JP"/>
        </w:rPr>
        <w:t xml:space="preserve"> intravitrealne injekcije sprovodi se u aseptičnim uslovima, koji uključuju hiruršku dezinfekciju ruku, upotrebu sterilnog prekrivača i sterilnog spekuluma za očne kapke (ili ekvivalentnog instrumenta). </w:t>
      </w:r>
      <w:r w:rsidR="00111BAA" w:rsidRPr="0014404C">
        <w:rPr>
          <w:sz w:val="22"/>
          <w:szCs w:val="22"/>
          <w:lang w:val="sr-Latn-ME" w:eastAsia="ja-JP"/>
        </w:rPr>
        <w:t xml:space="preserve">Prije </w:t>
      </w:r>
      <w:r w:rsidRPr="0014404C">
        <w:rPr>
          <w:sz w:val="22"/>
          <w:szCs w:val="22"/>
          <w:lang w:val="sr-Latn-ME" w:eastAsia="ja-JP"/>
        </w:rPr>
        <w:t xml:space="preserve">sprovođenja postupka </w:t>
      </w:r>
      <w:r w:rsidR="00802EFD" w:rsidRPr="0014404C">
        <w:rPr>
          <w:sz w:val="22"/>
          <w:szCs w:val="22"/>
          <w:lang w:val="sr-Latn-ME" w:eastAsia="ja-JP"/>
        </w:rPr>
        <w:t>primjene</w:t>
      </w:r>
      <w:r w:rsidRPr="0014404C">
        <w:rPr>
          <w:sz w:val="22"/>
          <w:szCs w:val="22"/>
          <w:lang w:val="sr-Latn-ME" w:eastAsia="ja-JP"/>
        </w:rPr>
        <w:t xml:space="preserve"> intravitrealne injekcije treba temeljno </w:t>
      </w:r>
      <w:r w:rsidR="00111BAA" w:rsidRPr="0014404C">
        <w:rPr>
          <w:sz w:val="22"/>
          <w:szCs w:val="22"/>
          <w:lang w:val="sr-Latn-ME" w:eastAsia="ja-JP"/>
        </w:rPr>
        <w:t xml:space="preserve">provjeriti </w:t>
      </w:r>
      <w:r w:rsidRPr="0014404C">
        <w:rPr>
          <w:sz w:val="22"/>
          <w:szCs w:val="22"/>
          <w:lang w:val="sr-Latn-ME" w:eastAsia="ja-JP"/>
        </w:rPr>
        <w:t xml:space="preserve">da li pacijent u anamnezi ima reakcije </w:t>
      </w:r>
      <w:r w:rsidR="00111BAA" w:rsidRPr="0014404C">
        <w:rPr>
          <w:sz w:val="22"/>
          <w:szCs w:val="22"/>
          <w:lang w:val="sr-Latn-ME" w:eastAsia="ja-JP"/>
        </w:rPr>
        <w:t xml:space="preserve">preosjetljivosti </w:t>
      </w:r>
      <w:r w:rsidRPr="0014404C">
        <w:rPr>
          <w:sz w:val="22"/>
          <w:szCs w:val="22"/>
          <w:lang w:val="sr-Latn-ME" w:eastAsia="ja-JP"/>
        </w:rPr>
        <w:t>(</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4.8). </w:t>
      </w:r>
      <w:r w:rsidR="00111BAA" w:rsidRPr="0014404C">
        <w:rPr>
          <w:sz w:val="22"/>
          <w:szCs w:val="22"/>
          <w:lang w:val="sr-Latn-ME" w:eastAsia="ja-JP"/>
        </w:rPr>
        <w:t xml:space="preserve">Prije </w:t>
      </w:r>
      <w:r w:rsidRPr="0014404C">
        <w:rPr>
          <w:sz w:val="22"/>
          <w:szCs w:val="22"/>
          <w:lang w:val="sr-Latn-ME" w:eastAsia="ja-JP"/>
        </w:rPr>
        <w:t xml:space="preserve">injekcije treba </w:t>
      </w:r>
      <w:r w:rsidR="00111BAA" w:rsidRPr="0014404C">
        <w:rPr>
          <w:sz w:val="22"/>
          <w:szCs w:val="22"/>
          <w:lang w:val="sr-Latn-ME" w:eastAsia="ja-JP"/>
        </w:rPr>
        <w:t xml:space="preserve">primijeniti </w:t>
      </w:r>
      <w:r w:rsidRPr="0014404C">
        <w:rPr>
          <w:sz w:val="22"/>
          <w:szCs w:val="22"/>
          <w:lang w:val="sr-Latn-ME" w:eastAsia="ja-JP"/>
        </w:rPr>
        <w:t>odgovarajuću anesteziju i topikalni mikrobicid širokog spektra radi dezinfekcije kože periokularnog područja, kapaka i površine oka.</w:t>
      </w:r>
    </w:p>
    <w:p w14:paraId="2BC03197"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 </w:t>
      </w:r>
    </w:p>
    <w:p w14:paraId="073B39FD" w14:textId="33174B4A"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Iglu za injekciju treba uvesti u vitrealnu šupljinu 3,5–4,0 mm posteriorno u odnosu na limbus, </w:t>
      </w:r>
      <w:r w:rsidR="00111BAA" w:rsidRPr="0014404C">
        <w:rPr>
          <w:sz w:val="22"/>
          <w:szCs w:val="22"/>
          <w:lang w:val="sr-Latn-ME" w:eastAsia="ja-JP"/>
        </w:rPr>
        <w:t xml:space="preserve">izbjegavajući </w:t>
      </w:r>
      <w:r w:rsidRPr="0014404C">
        <w:rPr>
          <w:sz w:val="22"/>
          <w:szCs w:val="22"/>
          <w:lang w:val="sr-Latn-ME" w:eastAsia="ja-JP"/>
        </w:rPr>
        <w:t xml:space="preserve">horizontalni meridijan i ciljajući središte očne jabučice. Zatim treba polako ubrizgati zapreminu injekcije od 0,05 </w:t>
      </w:r>
      <w:r w:rsidR="00AC1659" w:rsidRPr="0014404C">
        <w:rPr>
          <w:sz w:val="22"/>
          <w:szCs w:val="22"/>
          <w:lang w:val="sr-Latn-ME" w:eastAsia="ja-JP"/>
        </w:rPr>
        <w:t>ml</w:t>
      </w:r>
      <w:r w:rsidRPr="0014404C">
        <w:rPr>
          <w:sz w:val="22"/>
          <w:szCs w:val="22"/>
          <w:lang w:val="sr-Latn-ME" w:eastAsia="ja-JP"/>
        </w:rPr>
        <w:t xml:space="preserve">; naredne injekcije treba </w:t>
      </w:r>
      <w:r w:rsidR="00111BAA" w:rsidRPr="0014404C">
        <w:rPr>
          <w:sz w:val="22"/>
          <w:szCs w:val="22"/>
          <w:lang w:val="sr-Latn-ME" w:eastAsia="ja-JP"/>
        </w:rPr>
        <w:t xml:space="preserve">primijeniti </w:t>
      </w:r>
      <w:r w:rsidRPr="0014404C">
        <w:rPr>
          <w:sz w:val="22"/>
          <w:szCs w:val="22"/>
          <w:lang w:val="sr-Latn-ME" w:eastAsia="ja-JP"/>
        </w:rPr>
        <w:t xml:space="preserve">u drugi </w:t>
      </w:r>
      <w:r w:rsidR="00111BAA" w:rsidRPr="0014404C">
        <w:rPr>
          <w:sz w:val="22"/>
          <w:szCs w:val="22"/>
          <w:lang w:val="sr-Latn-ME" w:eastAsia="ja-JP"/>
        </w:rPr>
        <w:t xml:space="preserve">dio </w:t>
      </w:r>
      <w:r w:rsidRPr="0014404C">
        <w:rPr>
          <w:sz w:val="22"/>
          <w:szCs w:val="22"/>
          <w:lang w:val="sr-Latn-ME" w:eastAsia="ja-JP"/>
        </w:rPr>
        <w:t>sklere.</w:t>
      </w:r>
    </w:p>
    <w:p w14:paraId="062C4102" w14:textId="77777777" w:rsidR="0036275D" w:rsidRPr="0014404C" w:rsidRDefault="0036275D" w:rsidP="0014404C">
      <w:pPr>
        <w:widowControl w:val="0"/>
        <w:jc w:val="both"/>
        <w:rPr>
          <w:sz w:val="22"/>
          <w:szCs w:val="22"/>
          <w:lang w:val="sr-Latn-ME" w:eastAsia="ja-JP"/>
        </w:rPr>
      </w:pPr>
    </w:p>
    <w:p w14:paraId="6AC68FA3"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Nakon </w:t>
      </w:r>
      <w:r w:rsidR="00802EFD" w:rsidRPr="0014404C">
        <w:rPr>
          <w:sz w:val="22"/>
          <w:szCs w:val="22"/>
          <w:lang w:val="sr-Latn-ME" w:eastAsia="ja-JP"/>
        </w:rPr>
        <w:t>primjene</w:t>
      </w:r>
      <w:r w:rsidRPr="0014404C">
        <w:rPr>
          <w:sz w:val="22"/>
          <w:szCs w:val="22"/>
          <w:lang w:val="sr-Latn-ME" w:eastAsia="ja-JP"/>
        </w:rPr>
        <w:t xml:space="preserve"> injekcije, svu neiskorišćenu količinu </w:t>
      </w:r>
      <w:r w:rsidR="00802EFD" w:rsidRPr="0014404C">
        <w:rPr>
          <w:sz w:val="22"/>
          <w:szCs w:val="22"/>
          <w:lang w:val="sr-Latn-ME" w:eastAsia="ja-JP"/>
        </w:rPr>
        <w:t>lijeka</w:t>
      </w:r>
      <w:r w:rsidRPr="0014404C">
        <w:rPr>
          <w:sz w:val="22"/>
          <w:szCs w:val="22"/>
          <w:lang w:val="sr-Latn-ME" w:eastAsia="ja-JP"/>
        </w:rPr>
        <w:t xml:space="preserve"> ili otpadnog materijala treba odložiti u skladu sa važećim propisima. </w:t>
      </w:r>
    </w:p>
    <w:p w14:paraId="5E815CF8" w14:textId="77777777" w:rsidR="0036275D" w:rsidRPr="0014404C" w:rsidRDefault="0036275D" w:rsidP="0014404C">
      <w:pPr>
        <w:widowControl w:val="0"/>
        <w:jc w:val="both"/>
        <w:rPr>
          <w:sz w:val="22"/>
          <w:szCs w:val="22"/>
          <w:lang w:val="sr-Latn-ME" w:eastAsia="ja-JP"/>
        </w:rPr>
      </w:pPr>
    </w:p>
    <w:p w14:paraId="23D88092" w14:textId="5403552F"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Neposredno nakon intravitrealne injekcije, pacijente treba pratiti zbog mogućeg povišenja intraokularnog pritiska. Odgovarajuće praćenje može uključivati </w:t>
      </w:r>
      <w:r w:rsidR="00111BAA" w:rsidRPr="0014404C">
        <w:rPr>
          <w:sz w:val="22"/>
          <w:szCs w:val="22"/>
          <w:lang w:val="sr-Latn-ME" w:eastAsia="ja-JP"/>
        </w:rPr>
        <w:t xml:space="preserve">provjeru </w:t>
      </w:r>
      <w:r w:rsidRPr="0014404C">
        <w:rPr>
          <w:sz w:val="22"/>
          <w:szCs w:val="22"/>
          <w:lang w:val="sr-Latn-ME" w:eastAsia="ja-JP"/>
        </w:rPr>
        <w:t>perfuzije glave optičkog nerva ili tonometriju. Sterilna oprema za paracentezu treba da bude dostupna po potrebi.</w:t>
      </w:r>
    </w:p>
    <w:p w14:paraId="43C918C9" w14:textId="77777777" w:rsidR="0036275D" w:rsidRPr="0014404C" w:rsidRDefault="0036275D" w:rsidP="0014404C">
      <w:pPr>
        <w:widowControl w:val="0"/>
        <w:jc w:val="both"/>
        <w:rPr>
          <w:sz w:val="22"/>
          <w:szCs w:val="22"/>
          <w:lang w:val="sr-Latn-ME" w:eastAsia="ja-JP"/>
        </w:rPr>
      </w:pPr>
    </w:p>
    <w:p w14:paraId="14C8B642"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Nakon intravitrealne injekcije pacijente treba uputiti da odmah prijave sve simptome koji ukazuju na endoftalmitis (npr. gubitak vida, bol u oku, crvenilo oka, fotofobiju, zamagljen vid).</w:t>
      </w:r>
    </w:p>
    <w:p w14:paraId="7304B048" w14:textId="77777777" w:rsidR="0036275D" w:rsidRPr="0014404C" w:rsidRDefault="0036275D" w:rsidP="0014404C">
      <w:pPr>
        <w:widowControl w:val="0"/>
        <w:jc w:val="both"/>
        <w:rPr>
          <w:sz w:val="22"/>
          <w:szCs w:val="22"/>
          <w:lang w:val="sr-Latn-ME" w:eastAsia="ja-JP"/>
        </w:rPr>
      </w:pPr>
    </w:p>
    <w:p w14:paraId="15EB9DBD" w14:textId="7371EE12"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Za uputstva o rukovanju </w:t>
      </w:r>
      <w:r w:rsidR="00111BAA" w:rsidRPr="0014404C">
        <w:rPr>
          <w:sz w:val="22"/>
          <w:szCs w:val="22"/>
          <w:lang w:val="sr-Latn-ME" w:eastAsia="ja-JP"/>
        </w:rPr>
        <w:t xml:space="preserve">lijekom prije </w:t>
      </w:r>
      <w:r w:rsidR="00802EFD" w:rsidRPr="0014404C">
        <w:rPr>
          <w:sz w:val="22"/>
          <w:szCs w:val="22"/>
          <w:lang w:val="sr-Latn-ME" w:eastAsia="ja-JP"/>
        </w:rPr>
        <w:t>primjene</w:t>
      </w:r>
      <w:r w:rsidRPr="0014404C">
        <w:rPr>
          <w:sz w:val="22"/>
          <w:szCs w:val="22"/>
          <w:lang w:val="sr-Latn-ME" w:eastAsia="ja-JP"/>
        </w:rPr>
        <w:t xml:space="preserve"> pogledajte </w:t>
      </w:r>
      <w:r w:rsidR="00802EFD" w:rsidRPr="0014404C">
        <w:rPr>
          <w:sz w:val="22"/>
          <w:szCs w:val="22"/>
          <w:lang w:val="sr-Latn-ME" w:eastAsia="ja-JP"/>
        </w:rPr>
        <w:t>dio</w:t>
      </w:r>
      <w:r w:rsidRPr="0014404C">
        <w:rPr>
          <w:sz w:val="22"/>
          <w:szCs w:val="22"/>
          <w:lang w:val="sr-Latn-ME" w:eastAsia="ja-JP"/>
        </w:rPr>
        <w:t xml:space="preserve"> 6.6.</w:t>
      </w:r>
    </w:p>
    <w:p w14:paraId="0B0F1E93" w14:textId="77777777" w:rsidR="00452E9D" w:rsidRPr="0014404C" w:rsidRDefault="00452E9D" w:rsidP="0014404C">
      <w:pPr>
        <w:widowControl w:val="0"/>
        <w:tabs>
          <w:tab w:val="left" w:pos="540"/>
          <w:tab w:val="left" w:pos="569"/>
        </w:tabs>
        <w:jc w:val="both"/>
        <w:rPr>
          <w:bCs/>
          <w:sz w:val="22"/>
          <w:szCs w:val="22"/>
          <w:lang w:val="sr-Latn-ME"/>
        </w:rPr>
      </w:pPr>
    </w:p>
    <w:p w14:paraId="5E14A8BE"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4.3. </w:t>
      </w:r>
      <w:r w:rsidR="00480FB1" w:rsidRPr="0014404C">
        <w:rPr>
          <w:b/>
          <w:bCs/>
          <w:sz w:val="22"/>
          <w:szCs w:val="22"/>
          <w:lang w:val="sr-Latn-ME"/>
        </w:rPr>
        <w:tab/>
      </w:r>
      <w:r w:rsidRPr="0014404C">
        <w:rPr>
          <w:b/>
          <w:bCs/>
          <w:sz w:val="22"/>
          <w:szCs w:val="22"/>
          <w:lang w:val="sr-Latn-ME"/>
        </w:rPr>
        <w:t>Kontraindikacije</w:t>
      </w:r>
    </w:p>
    <w:p w14:paraId="599A7BD4" w14:textId="77777777" w:rsidR="0036275D" w:rsidRPr="0014404C" w:rsidRDefault="0036275D" w:rsidP="0014404C">
      <w:pPr>
        <w:widowControl w:val="0"/>
        <w:tabs>
          <w:tab w:val="left" w:pos="540"/>
          <w:tab w:val="left" w:pos="569"/>
        </w:tabs>
        <w:jc w:val="both"/>
        <w:rPr>
          <w:b/>
          <w:bCs/>
          <w:sz w:val="22"/>
          <w:szCs w:val="22"/>
          <w:lang w:val="sr-Latn-ME"/>
        </w:rPr>
      </w:pPr>
    </w:p>
    <w:p w14:paraId="168D690E" w14:textId="1FB02A54" w:rsidR="0036275D" w:rsidRPr="0014404C" w:rsidRDefault="00111BAA" w:rsidP="0014404C">
      <w:pPr>
        <w:widowControl w:val="0"/>
        <w:jc w:val="both"/>
        <w:rPr>
          <w:sz w:val="22"/>
          <w:szCs w:val="22"/>
          <w:lang w:val="sr-Latn-ME"/>
        </w:rPr>
      </w:pPr>
      <w:r w:rsidRPr="0014404C">
        <w:rPr>
          <w:sz w:val="22"/>
          <w:szCs w:val="22"/>
          <w:lang w:val="sr-Latn-ME"/>
        </w:rPr>
        <w:t xml:space="preserve">Preosjetljivost </w:t>
      </w:r>
      <w:r w:rsidR="0036275D" w:rsidRPr="0014404C">
        <w:rPr>
          <w:sz w:val="22"/>
          <w:szCs w:val="22"/>
          <w:lang w:val="sr-Latn-ME"/>
        </w:rPr>
        <w:t xml:space="preserve">na aktivnu supstancu ili neku od pomoćnih supstanci navedenih u </w:t>
      </w:r>
      <w:r w:rsidR="00A56F3A" w:rsidRPr="0014404C">
        <w:rPr>
          <w:sz w:val="22"/>
          <w:szCs w:val="22"/>
          <w:lang w:val="sr-Latn-ME"/>
        </w:rPr>
        <w:t xml:space="preserve">dijelu </w:t>
      </w:r>
      <w:r w:rsidR="0036275D" w:rsidRPr="0014404C">
        <w:rPr>
          <w:sz w:val="22"/>
          <w:szCs w:val="22"/>
          <w:lang w:val="sr-Latn-ME"/>
        </w:rPr>
        <w:t>6.1.</w:t>
      </w:r>
    </w:p>
    <w:p w14:paraId="4A040D49" w14:textId="77777777" w:rsidR="0036275D" w:rsidRPr="0014404C" w:rsidRDefault="0036275D" w:rsidP="0014404C">
      <w:pPr>
        <w:widowControl w:val="0"/>
        <w:jc w:val="both"/>
        <w:rPr>
          <w:sz w:val="22"/>
          <w:szCs w:val="22"/>
          <w:lang w:val="sr-Latn-ME"/>
        </w:rPr>
      </w:pPr>
    </w:p>
    <w:p w14:paraId="187E8323" w14:textId="77777777" w:rsidR="0036275D" w:rsidRPr="0014404C" w:rsidRDefault="0036275D" w:rsidP="0014404C">
      <w:pPr>
        <w:widowControl w:val="0"/>
        <w:jc w:val="both"/>
        <w:rPr>
          <w:sz w:val="22"/>
          <w:szCs w:val="22"/>
          <w:lang w:val="sr-Latn-ME"/>
        </w:rPr>
      </w:pPr>
      <w:r w:rsidRPr="0014404C">
        <w:rPr>
          <w:sz w:val="22"/>
          <w:szCs w:val="22"/>
          <w:lang w:val="sr-Latn-ME"/>
        </w:rPr>
        <w:t xml:space="preserve">Aktivna ili suspektna infekcija oka ili periokularnog područja. </w:t>
      </w:r>
    </w:p>
    <w:p w14:paraId="4879927B" w14:textId="77777777" w:rsidR="0036275D" w:rsidRPr="0014404C" w:rsidRDefault="0036275D" w:rsidP="0014404C">
      <w:pPr>
        <w:widowControl w:val="0"/>
        <w:jc w:val="both"/>
        <w:rPr>
          <w:sz w:val="22"/>
          <w:szCs w:val="22"/>
          <w:lang w:val="sr-Latn-ME"/>
        </w:rPr>
      </w:pPr>
    </w:p>
    <w:p w14:paraId="7AF55E6F" w14:textId="77777777" w:rsidR="0036275D" w:rsidRPr="0014404C" w:rsidRDefault="0036275D" w:rsidP="0014404C">
      <w:pPr>
        <w:widowControl w:val="0"/>
        <w:jc w:val="both"/>
        <w:rPr>
          <w:sz w:val="22"/>
          <w:szCs w:val="22"/>
          <w:lang w:val="sr-Latn-ME"/>
        </w:rPr>
      </w:pPr>
      <w:r w:rsidRPr="0014404C">
        <w:rPr>
          <w:sz w:val="22"/>
          <w:szCs w:val="22"/>
          <w:lang w:val="sr-Latn-ME"/>
        </w:rPr>
        <w:t>Aktivna intraokularna upala.</w:t>
      </w:r>
    </w:p>
    <w:p w14:paraId="3234BBCA" w14:textId="77777777" w:rsidR="0072020E" w:rsidRPr="0014404C" w:rsidRDefault="0072020E" w:rsidP="0014404C">
      <w:pPr>
        <w:widowControl w:val="0"/>
        <w:tabs>
          <w:tab w:val="left" w:pos="540"/>
          <w:tab w:val="left" w:pos="569"/>
        </w:tabs>
        <w:jc w:val="both"/>
        <w:rPr>
          <w:bCs/>
          <w:sz w:val="22"/>
          <w:szCs w:val="22"/>
          <w:lang w:val="sr-Latn-ME"/>
        </w:rPr>
      </w:pPr>
    </w:p>
    <w:p w14:paraId="2C150AC7" w14:textId="77777777"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 xml:space="preserve">4.4. </w:t>
      </w:r>
      <w:r w:rsidR="00480FB1" w:rsidRPr="0014404C">
        <w:rPr>
          <w:b/>
          <w:bCs/>
          <w:sz w:val="22"/>
          <w:szCs w:val="22"/>
          <w:lang w:val="sr-Latn-ME"/>
        </w:rPr>
        <w:tab/>
      </w:r>
      <w:r w:rsidRPr="0014404C">
        <w:rPr>
          <w:b/>
          <w:bCs/>
          <w:sz w:val="22"/>
          <w:szCs w:val="22"/>
          <w:lang w:val="sr-Latn-ME"/>
        </w:rPr>
        <w:t>Posebna upozorenja i mjere opreza pri upotrebi lijeka</w:t>
      </w:r>
    </w:p>
    <w:p w14:paraId="3E4B3854" w14:textId="77777777" w:rsidR="0072020E" w:rsidRPr="0014404C" w:rsidRDefault="0072020E" w:rsidP="0014404C">
      <w:pPr>
        <w:widowControl w:val="0"/>
        <w:tabs>
          <w:tab w:val="left" w:pos="540"/>
          <w:tab w:val="left" w:pos="569"/>
        </w:tabs>
        <w:jc w:val="both"/>
        <w:rPr>
          <w:bCs/>
          <w:sz w:val="22"/>
          <w:szCs w:val="22"/>
          <w:lang w:val="sr-Latn-ME"/>
        </w:rPr>
      </w:pPr>
    </w:p>
    <w:p w14:paraId="66BCC5A8" w14:textId="4C98F827" w:rsidR="0036275D" w:rsidRPr="0014404C" w:rsidRDefault="00111BAA" w:rsidP="0014404C">
      <w:pPr>
        <w:widowControl w:val="0"/>
        <w:jc w:val="both"/>
        <w:rPr>
          <w:sz w:val="22"/>
          <w:szCs w:val="22"/>
          <w:u w:val="single"/>
          <w:lang w:val="sr-Latn-ME"/>
        </w:rPr>
      </w:pPr>
      <w:r w:rsidRPr="0014404C">
        <w:rPr>
          <w:sz w:val="22"/>
          <w:szCs w:val="22"/>
          <w:u w:val="single"/>
          <w:lang w:val="sr-Latn-ME"/>
        </w:rPr>
        <w:t>Sljedljivost</w:t>
      </w:r>
    </w:p>
    <w:p w14:paraId="72F7A162" w14:textId="77777777" w:rsidR="0036275D" w:rsidRPr="0014404C" w:rsidRDefault="0036275D" w:rsidP="0014404C">
      <w:pPr>
        <w:widowControl w:val="0"/>
        <w:jc w:val="both"/>
        <w:rPr>
          <w:sz w:val="22"/>
          <w:szCs w:val="22"/>
          <w:u w:val="single"/>
          <w:lang w:val="sr-Latn-ME"/>
        </w:rPr>
      </w:pPr>
    </w:p>
    <w:p w14:paraId="20F72743" w14:textId="3E16E48D" w:rsidR="0036275D" w:rsidRPr="0014404C" w:rsidRDefault="0036275D" w:rsidP="0014404C">
      <w:pPr>
        <w:widowControl w:val="0"/>
        <w:jc w:val="both"/>
        <w:rPr>
          <w:sz w:val="22"/>
          <w:szCs w:val="22"/>
          <w:lang w:val="sr-Latn-ME"/>
        </w:rPr>
      </w:pPr>
      <w:r w:rsidRPr="0014404C">
        <w:rPr>
          <w:sz w:val="22"/>
          <w:szCs w:val="22"/>
          <w:lang w:val="sr-Latn-ME"/>
        </w:rPr>
        <w:t xml:space="preserve">Kako bi se poboljšala </w:t>
      </w:r>
      <w:r w:rsidR="00111BAA" w:rsidRPr="0014404C">
        <w:rPr>
          <w:sz w:val="22"/>
          <w:szCs w:val="22"/>
          <w:lang w:val="sr-Latn-ME"/>
        </w:rPr>
        <w:t xml:space="preserve">sljedljivost </w:t>
      </w:r>
      <w:r w:rsidRPr="0014404C">
        <w:rPr>
          <w:sz w:val="22"/>
          <w:szCs w:val="22"/>
          <w:lang w:val="sr-Latn-ME"/>
        </w:rPr>
        <w:t xml:space="preserve">bioloških </w:t>
      </w:r>
      <w:r w:rsidR="00802EFD" w:rsidRPr="0014404C">
        <w:rPr>
          <w:sz w:val="22"/>
          <w:szCs w:val="22"/>
          <w:lang w:val="sr-Latn-ME"/>
        </w:rPr>
        <w:t>ljekova</w:t>
      </w:r>
      <w:r w:rsidRPr="0014404C">
        <w:rPr>
          <w:sz w:val="22"/>
          <w:szCs w:val="22"/>
          <w:lang w:val="sr-Latn-ME"/>
        </w:rPr>
        <w:t xml:space="preserve">, potrebno je jasno </w:t>
      </w:r>
      <w:r w:rsidR="00111BAA" w:rsidRPr="0014404C">
        <w:rPr>
          <w:sz w:val="22"/>
          <w:szCs w:val="22"/>
          <w:lang w:val="sr-Latn-ME"/>
        </w:rPr>
        <w:t>zabilježiti</w:t>
      </w:r>
      <w:r w:rsidRPr="0014404C">
        <w:rPr>
          <w:sz w:val="22"/>
          <w:szCs w:val="22"/>
          <w:lang w:val="sr-Latn-ME"/>
        </w:rPr>
        <w:t xml:space="preserve"> naziv i broj serije </w:t>
      </w:r>
      <w:r w:rsidR="00111BAA" w:rsidRPr="0014404C">
        <w:rPr>
          <w:sz w:val="22"/>
          <w:szCs w:val="22"/>
          <w:lang w:val="sr-Latn-ME"/>
        </w:rPr>
        <w:t xml:space="preserve">primijenjenog </w:t>
      </w:r>
      <w:r w:rsidR="00802EFD" w:rsidRPr="0014404C">
        <w:rPr>
          <w:sz w:val="22"/>
          <w:szCs w:val="22"/>
          <w:lang w:val="sr-Latn-ME"/>
        </w:rPr>
        <w:t>lijeka</w:t>
      </w:r>
      <w:r w:rsidRPr="0014404C">
        <w:rPr>
          <w:sz w:val="22"/>
          <w:szCs w:val="22"/>
          <w:lang w:val="sr-Latn-ME"/>
        </w:rPr>
        <w:t>.</w:t>
      </w:r>
    </w:p>
    <w:p w14:paraId="44A9F627" w14:textId="77777777" w:rsidR="0036275D" w:rsidRPr="0014404C" w:rsidRDefault="0036275D" w:rsidP="0014404C">
      <w:pPr>
        <w:widowControl w:val="0"/>
        <w:jc w:val="both"/>
        <w:rPr>
          <w:sz w:val="22"/>
          <w:szCs w:val="22"/>
          <w:lang w:val="sr-Latn-ME"/>
        </w:rPr>
      </w:pPr>
    </w:p>
    <w:p w14:paraId="47551494"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Reakcije povezane sa intravitrealnom injekcijom</w:t>
      </w:r>
    </w:p>
    <w:p w14:paraId="26034683" w14:textId="77777777" w:rsidR="0036275D" w:rsidRPr="0014404C" w:rsidRDefault="0036275D" w:rsidP="0014404C">
      <w:pPr>
        <w:widowControl w:val="0"/>
        <w:jc w:val="both"/>
        <w:rPr>
          <w:sz w:val="22"/>
          <w:szCs w:val="22"/>
          <w:lang w:val="sr-Latn-ME" w:eastAsia="ja-JP"/>
        </w:rPr>
      </w:pPr>
    </w:p>
    <w:p w14:paraId="66B4D3C6" w14:textId="6BD107B1" w:rsidR="0036275D" w:rsidRPr="0014404C" w:rsidRDefault="0036275D" w:rsidP="0014404C">
      <w:pPr>
        <w:widowControl w:val="0"/>
        <w:jc w:val="both"/>
        <w:rPr>
          <w:sz w:val="22"/>
          <w:szCs w:val="22"/>
          <w:lang w:val="sr-Latn-ME" w:eastAsia="ja-JP"/>
        </w:rPr>
      </w:pPr>
      <w:r w:rsidRPr="0014404C">
        <w:rPr>
          <w:sz w:val="22"/>
          <w:szCs w:val="22"/>
          <w:lang w:val="sr-Latn-ME" w:eastAsia="ja-JP"/>
        </w:rPr>
        <w:t>Intravitrealne injekcije, uključujući injekcije faricimaba, povezane su sa pojavom endoftalmitisa, intraokularne upale, regmatogenog odvajanja mrežnjače</w:t>
      </w:r>
      <w:r w:rsidR="00A60A10" w:rsidRPr="0014404C">
        <w:rPr>
          <w:sz w:val="22"/>
          <w:szCs w:val="22"/>
          <w:lang w:val="sr-Latn-ME" w:eastAsia="ja-JP"/>
        </w:rPr>
        <w:t>,</w:t>
      </w:r>
      <w:r w:rsidRPr="0014404C">
        <w:rPr>
          <w:sz w:val="22"/>
          <w:szCs w:val="22"/>
          <w:lang w:val="sr-Latn-ME" w:eastAsia="ja-JP"/>
        </w:rPr>
        <w:t xml:space="preserve"> </w:t>
      </w:r>
      <w:r w:rsidR="00111BAA" w:rsidRPr="0014404C">
        <w:rPr>
          <w:sz w:val="22"/>
          <w:szCs w:val="22"/>
          <w:lang w:val="sr-Latn-ME" w:eastAsia="ja-JP"/>
        </w:rPr>
        <w:t xml:space="preserve">rascjepa </w:t>
      </w:r>
      <w:r w:rsidRPr="0014404C">
        <w:rPr>
          <w:sz w:val="22"/>
          <w:szCs w:val="22"/>
          <w:lang w:val="sr-Latn-ME" w:eastAsia="ja-JP"/>
        </w:rPr>
        <w:t xml:space="preserve">mrežnjače </w:t>
      </w:r>
      <w:r w:rsidR="00A60A10" w:rsidRPr="0014404C">
        <w:rPr>
          <w:sz w:val="22"/>
          <w:szCs w:val="22"/>
          <w:lang w:val="sr-Latn-ME" w:eastAsia="ja-JP"/>
        </w:rPr>
        <w:t xml:space="preserve">i jatrogene traumatske katarakte </w:t>
      </w:r>
      <w:r w:rsidRPr="0014404C">
        <w:rPr>
          <w:sz w:val="22"/>
          <w:szCs w:val="22"/>
          <w:lang w:val="sr-Latn-ME" w:eastAsia="ja-JP"/>
        </w:rPr>
        <w:t>(</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4.8). Pri </w:t>
      </w:r>
      <w:r w:rsidR="00111BAA" w:rsidRPr="0014404C">
        <w:rPr>
          <w:sz w:val="22"/>
          <w:szCs w:val="22"/>
          <w:lang w:val="sr-Latn-ME" w:eastAsia="ja-JP"/>
        </w:rPr>
        <w:t xml:space="preserve">primjeni </w:t>
      </w:r>
      <w:r w:rsidR="00802EFD" w:rsidRPr="0014404C">
        <w:rPr>
          <w:sz w:val="22"/>
          <w:szCs w:val="22"/>
          <w:lang w:val="sr-Latn-ME" w:eastAsia="ja-JP"/>
        </w:rPr>
        <w:t>lijeka</w:t>
      </w:r>
      <w:r w:rsidRPr="0014404C">
        <w:rPr>
          <w:sz w:val="22"/>
          <w:szCs w:val="22"/>
          <w:lang w:val="sr-Latn-ME" w:eastAsia="ja-JP"/>
        </w:rPr>
        <w:t xml:space="preserve"> Vabysmo </w:t>
      </w:r>
      <w:r w:rsidR="00111BAA" w:rsidRPr="0014404C">
        <w:rPr>
          <w:sz w:val="22"/>
          <w:szCs w:val="22"/>
          <w:lang w:val="sr-Latn-ME" w:eastAsia="ja-JP"/>
        </w:rPr>
        <w:t xml:space="preserve">uvijek </w:t>
      </w:r>
      <w:r w:rsidRPr="0014404C">
        <w:rPr>
          <w:sz w:val="22"/>
          <w:szCs w:val="22"/>
          <w:lang w:val="sr-Latn-ME" w:eastAsia="ja-JP"/>
        </w:rPr>
        <w:t xml:space="preserve">se moraju koristiti pravilne aseptične tehnike </w:t>
      </w:r>
      <w:r w:rsidR="00802EFD" w:rsidRPr="0014404C">
        <w:rPr>
          <w:sz w:val="22"/>
          <w:szCs w:val="22"/>
          <w:lang w:val="sr-Latn-ME" w:eastAsia="ja-JP"/>
        </w:rPr>
        <w:t>primjene</w:t>
      </w:r>
      <w:r w:rsidRPr="0014404C">
        <w:rPr>
          <w:sz w:val="22"/>
          <w:szCs w:val="22"/>
          <w:lang w:val="sr-Latn-ME" w:eastAsia="ja-JP"/>
        </w:rPr>
        <w:t xml:space="preserve"> injekcije. Pacijente treba uputiti da odmah prijave sve simptome, kao što su bol, gubitak vida, fotofobija, zamagljen vid, plutajuće (lebdeće) mrlje u vidnom polju ili crvenilo, koji ukazuju na endoftalmitis ili bilo koje od prethodno navedenih neželjenih dejstava, kako bi se omogućilo brzo i adekvatno </w:t>
      </w:r>
      <w:r w:rsidR="00111BAA" w:rsidRPr="0014404C">
        <w:rPr>
          <w:sz w:val="22"/>
          <w:szCs w:val="22"/>
          <w:lang w:val="sr-Latn-ME" w:eastAsia="ja-JP"/>
        </w:rPr>
        <w:t>liječenje</w:t>
      </w:r>
      <w:r w:rsidRPr="0014404C">
        <w:rPr>
          <w:sz w:val="22"/>
          <w:szCs w:val="22"/>
          <w:lang w:val="sr-Latn-ME" w:eastAsia="ja-JP"/>
        </w:rPr>
        <w:t>. Pacijenti koji češće primaju injekcije mogu imati povećan rizik od proceduralnih komplikacija.</w:t>
      </w:r>
    </w:p>
    <w:p w14:paraId="422D3802" w14:textId="77777777" w:rsidR="0036275D" w:rsidRPr="0014404C" w:rsidRDefault="0036275D" w:rsidP="0014404C">
      <w:pPr>
        <w:widowControl w:val="0"/>
        <w:jc w:val="both"/>
        <w:rPr>
          <w:sz w:val="22"/>
          <w:szCs w:val="22"/>
          <w:lang w:val="sr-Latn-ME" w:eastAsia="ja-JP"/>
        </w:rPr>
      </w:pPr>
    </w:p>
    <w:p w14:paraId="5BCA7FD7"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Povišenja intraokularnog pritiska</w:t>
      </w:r>
    </w:p>
    <w:p w14:paraId="02973027" w14:textId="77777777" w:rsidR="0036275D" w:rsidRPr="0014404C" w:rsidRDefault="0036275D" w:rsidP="0014404C">
      <w:pPr>
        <w:widowControl w:val="0"/>
        <w:jc w:val="both"/>
        <w:rPr>
          <w:sz w:val="22"/>
          <w:szCs w:val="22"/>
          <w:lang w:val="sr-Latn-ME" w:eastAsia="ja-JP"/>
        </w:rPr>
      </w:pPr>
    </w:p>
    <w:p w14:paraId="7D1F01DC" w14:textId="0B9E41A5"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Prolazna povišenja intraokularnog pritiska </w:t>
      </w:r>
      <w:r w:rsidR="00111BAA" w:rsidRPr="0014404C">
        <w:rPr>
          <w:sz w:val="22"/>
          <w:szCs w:val="22"/>
          <w:lang w:val="sr-Latn-ME" w:eastAsia="ja-JP"/>
        </w:rPr>
        <w:t>zabilježena</w:t>
      </w:r>
      <w:r w:rsidRPr="0014404C">
        <w:rPr>
          <w:sz w:val="22"/>
          <w:szCs w:val="22"/>
          <w:lang w:val="sr-Latn-ME" w:eastAsia="ja-JP"/>
        </w:rPr>
        <w:t xml:space="preserve"> su unutar 60 minuta od intravitrealne injekcije, uključujući injekcije faricimaba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4.8). Kod pacijenata sa loše kontrolisanim glaukomom treba preduzeti posebne </w:t>
      </w:r>
      <w:r w:rsidR="00111BAA" w:rsidRPr="0014404C">
        <w:rPr>
          <w:sz w:val="22"/>
          <w:szCs w:val="22"/>
          <w:lang w:val="sr-Latn-ME" w:eastAsia="ja-JP"/>
        </w:rPr>
        <w:t xml:space="preserve">mjere </w:t>
      </w:r>
      <w:r w:rsidRPr="0014404C">
        <w:rPr>
          <w:sz w:val="22"/>
          <w:szCs w:val="22"/>
          <w:lang w:val="sr-Latn-ME" w:eastAsia="ja-JP"/>
        </w:rPr>
        <w:t>opreza (</w:t>
      </w:r>
      <w:r w:rsidR="00802EFD" w:rsidRPr="0014404C">
        <w:rPr>
          <w:sz w:val="22"/>
          <w:szCs w:val="22"/>
          <w:lang w:val="sr-Latn-ME" w:eastAsia="ja-JP"/>
        </w:rPr>
        <w:t xml:space="preserve">lijek </w:t>
      </w:r>
      <w:r w:rsidRPr="0014404C">
        <w:rPr>
          <w:sz w:val="22"/>
          <w:szCs w:val="22"/>
          <w:lang w:val="sr-Latn-ME" w:eastAsia="ja-JP"/>
        </w:rPr>
        <w:t xml:space="preserve">Vabysmo se ne </w:t>
      </w:r>
      <w:r w:rsidR="00111BAA" w:rsidRPr="0014404C">
        <w:rPr>
          <w:sz w:val="22"/>
          <w:szCs w:val="22"/>
          <w:lang w:val="sr-Latn-ME" w:eastAsia="ja-JP"/>
        </w:rPr>
        <w:t xml:space="preserve">smije </w:t>
      </w:r>
      <w:r w:rsidRPr="0014404C">
        <w:rPr>
          <w:sz w:val="22"/>
          <w:szCs w:val="22"/>
          <w:lang w:val="sr-Latn-ME" w:eastAsia="ja-JP"/>
        </w:rPr>
        <w:t xml:space="preserve">ubrizgavati dok je intraokularni pritisak ≥ </w:t>
      </w:r>
      <w:r w:rsidRPr="0014404C">
        <w:rPr>
          <w:sz w:val="22"/>
          <w:szCs w:val="22"/>
          <w:lang w:val="sr-Latn-ME" w:eastAsia="ja-JP"/>
        </w:rPr>
        <w:lastRenderedPageBreak/>
        <w:t>30 mmHg). U svim slučajevima se moraju pratiti i na odgovarajući način zbrinjavati intraokularni pritisak i perfuzija glave optičkog nerva.</w:t>
      </w:r>
    </w:p>
    <w:p w14:paraId="29974FE2" w14:textId="77777777" w:rsidR="0036275D" w:rsidRPr="0014404C" w:rsidRDefault="0036275D" w:rsidP="0014404C">
      <w:pPr>
        <w:widowControl w:val="0"/>
        <w:jc w:val="both"/>
        <w:rPr>
          <w:sz w:val="22"/>
          <w:szCs w:val="22"/>
          <w:lang w:val="sr-Latn-ME" w:eastAsia="ja-JP"/>
        </w:rPr>
      </w:pPr>
    </w:p>
    <w:p w14:paraId="2CE05E5B"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Sistemska dejstva</w:t>
      </w:r>
    </w:p>
    <w:p w14:paraId="369086F3" w14:textId="77777777" w:rsidR="0036275D" w:rsidRPr="0014404C" w:rsidRDefault="0036275D" w:rsidP="0014404C">
      <w:pPr>
        <w:widowControl w:val="0"/>
        <w:jc w:val="both"/>
        <w:rPr>
          <w:sz w:val="22"/>
          <w:szCs w:val="22"/>
          <w:lang w:val="sr-Latn-ME" w:eastAsia="ja-JP"/>
        </w:rPr>
      </w:pPr>
    </w:p>
    <w:p w14:paraId="6195F377" w14:textId="241336A3" w:rsidR="0036275D" w:rsidRPr="0014404C" w:rsidRDefault="0036275D" w:rsidP="0014404C">
      <w:pPr>
        <w:widowControl w:val="0"/>
        <w:jc w:val="both"/>
        <w:rPr>
          <w:iCs/>
          <w:sz w:val="22"/>
          <w:szCs w:val="22"/>
          <w:lang w:val="sr-Latn-ME" w:eastAsia="ja-JP"/>
        </w:rPr>
      </w:pPr>
      <w:r w:rsidRPr="0014404C">
        <w:rPr>
          <w:sz w:val="22"/>
          <w:szCs w:val="22"/>
          <w:lang w:val="sr-Latn-ME" w:eastAsia="ja-JP"/>
        </w:rPr>
        <w:t xml:space="preserve">Nakon intravitrealne injekcije inhibitora vaskularnog endotelijalnog faktora rasta </w:t>
      </w:r>
      <w:r w:rsidR="00111BAA" w:rsidRPr="0014404C">
        <w:rPr>
          <w:sz w:val="22"/>
          <w:szCs w:val="22"/>
          <w:lang w:val="sr-Latn-ME" w:eastAsia="ja-JP"/>
        </w:rPr>
        <w:t xml:space="preserve">zabilježeni </w:t>
      </w:r>
      <w:r w:rsidRPr="0014404C">
        <w:rPr>
          <w:sz w:val="22"/>
          <w:szCs w:val="22"/>
          <w:lang w:val="sr-Latn-ME" w:eastAsia="ja-JP"/>
        </w:rPr>
        <w:t>su sistemski neželjeni događaji, uključujući arterijske tromboembolijske događaje, pa postoji teoretski rizik da bi oni mogli biti povezani sa inhibicijom VEGF.</w:t>
      </w:r>
      <w:r w:rsidRPr="0014404C">
        <w:rPr>
          <w:i/>
          <w:iCs/>
          <w:color w:val="FF0000"/>
          <w:sz w:val="22"/>
          <w:szCs w:val="22"/>
          <w:lang w:val="sr-Latn-ME" w:eastAsia="ja-JP"/>
        </w:rPr>
        <w:t xml:space="preserve"> </w:t>
      </w:r>
      <w:r w:rsidRPr="0014404C">
        <w:rPr>
          <w:sz w:val="22"/>
          <w:szCs w:val="22"/>
          <w:lang w:val="sr-Latn-ME" w:eastAsia="ja-JP"/>
        </w:rPr>
        <w:t>U kliničkim ispitivanjima faricimaba kod pacijenata sa nAMD</w:t>
      </w:r>
      <w:r w:rsidR="00EB2059" w:rsidRPr="0014404C">
        <w:rPr>
          <w:sz w:val="22"/>
          <w:szCs w:val="22"/>
          <w:lang w:val="sr-Latn-ME" w:eastAsia="ja-JP"/>
        </w:rPr>
        <w:t>,</w:t>
      </w:r>
      <w:r w:rsidRPr="0014404C">
        <w:rPr>
          <w:sz w:val="22"/>
          <w:szCs w:val="22"/>
          <w:lang w:val="sr-Latn-ME" w:eastAsia="ja-JP"/>
        </w:rPr>
        <w:t xml:space="preserve"> DME</w:t>
      </w:r>
      <w:r w:rsidR="00EB2059" w:rsidRPr="0014404C">
        <w:rPr>
          <w:sz w:val="22"/>
          <w:szCs w:val="22"/>
          <w:lang w:val="sr-Latn-ME" w:eastAsia="ja-JP"/>
        </w:rPr>
        <w:t xml:space="preserve"> i RVO</w:t>
      </w:r>
      <w:r w:rsidRPr="0014404C">
        <w:rPr>
          <w:sz w:val="22"/>
          <w:szCs w:val="22"/>
          <w:lang w:val="sr-Latn-ME" w:eastAsia="ja-JP"/>
        </w:rPr>
        <w:t xml:space="preserve"> </w:t>
      </w:r>
      <w:r w:rsidR="00111BAA" w:rsidRPr="0014404C">
        <w:rPr>
          <w:sz w:val="22"/>
          <w:szCs w:val="22"/>
          <w:lang w:val="sr-Latn-ME" w:eastAsia="ja-JP"/>
        </w:rPr>
        <w:t xml:space="preserve">zabilježena </w:t>
      </w:r>
      <w:r w:rsidRPr="0014404C">
        <w:rPr>
          <w:sz w:val="22"/>
          <w:szCs w:val="22"/>
          <w:lang w:val="sr-Latn-ME" w:eastAsia="ja-JP"/>
        </w:rPr>
        <w:t xml:space="preserve">je niska stopa incidence arterijskih tromboembolijskih događaja. Postoje ograničeni podaci o </w:t>
      </w:r>
      <w:r w:rsidR="00111BAA" w:rsidRPr="0014404C">
        <w:rPr>
          <w:sz w:val="22"/>
          <w:szCs w:val="22"/>
          <w:lang w:val="sr-Latn-ME" w:eastAsia="ja-JP"/>
        </w:rPr>
        <w:t xml:space="preserve">bezbjednosti liječenja </w:t>
      </w:r>
      <w:r w:rsidRPr="0014404C">
        <w:rPr>
          <w:sz w:val="22"/>
          <w:szCs w:val="22"/>
          <w:lang w:val="sr-Latn-ME" w:eastAsia="ja-JP"/>
        </w:rPr>
        <w:t xml:space="preserve">faricimabom kod pacijenata sa DME koji imaju visok krvni pritisak (≥ 140/90 mmHg) i vaskularnu bolest i kod </w:t>
      </w:r>
      <w:bookmarkStart w:id="0" w:name="_Hlk108766699"/>
      <w:r w:rsidRPr="0014404C">
        <w:rPr>
          <w:sz w:val="22"/>
          <w:szCs w:val="22"/>
          <w:lang w:val="sr-Latn-ME" w:eastAsia="ja-JP"/>
        </w:rPr>
        <w:t>pacijenata sa nAMD</w:t>
      </w:r>
      <w:r w:rsidR="00EB2059" w:rsidRPr="0014404C">
        <w:rPr>
          <w:sz w:val="22"/>
          <w:szCs w:val="22"/>
          <w:lang w:val="sr-Latn-ME" w:eastAsia="ja-JP"/>
        </w:rPr>
        <w:t xml:space="preserve"> i RVO</w:t>
      </w:r>
      <w:r w:rsidRPr="0014404C">
        <w:rPr>
          <w:sz w:val="22"/>
          <w:szCs w:val="22"/>
          <w:lang w:val="sr-Latn-ME" w:eastAsia="ja-JP"/>
        </w:rPr>
        <w:t xml:space="preserve"> ≥ 85 godina</w:t>
      </w:r>
      <w:bookmarkEnd w:id="0"/>
      <w:r w:rsidRPr="0014404C">
        <w:rPr>
          <w:sz w:val="22"/>
          <w:szCs w:val="22"/>
          <w:lang w:val="sr-Latn-ME" w:eastAsia="ja-JP"/>
        </w:rPr>
        <w:t>.</w:t>
      </w:r>
    </w:p>
    <w:p w14:paraId="50A9F83E" w14:textId="77777777" w:rsidR="0036275D" w:rsidRPr="0014404C" w:rsidRDefault="0036275D" w:rsidP="0014404C">
      <w:pPr>
        <w:widowControl w:val="0"/>
        <w:jc w:val="both"/>
        <w:rPr>
          <w:iCs/>
          <w:sz w:val="22"/>
          <w:szCs w:val="22"/>
          <w:lang w:val="sr-Latn-ME" w:eastAsia="ja-JP"/>
        </w:rPr>
      </w:pPr>
    </w:p>
    <w:p w14:paraId="23A53E76"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Imunogenost</w:t>
      </w:r>
    </w:p>
    <w:p w14:paraId="155A09D7" w14:textId="77777777" w:rsidR="0036275D" w:rsidRPr="0014404C" w:rsidRDefault="0036275D" w:rsidP="0014404C">
      <w:pPr>
        <w:widowControl w:val="0"/>
        <w:jc w:val="both"/>
        <w:rPr>
          <w:sz w:val="22"/>
          <w:szCs w:val="22"/>
          <w:lang w:val="sr-Latn-ME" w:eastAsia="ja-JP"/>
        </w:rPr>
      </w:pPr>
    </w:p>
    <w:p w14:paraId="3A382FD5" w14:textId="008A1F89" w:rsidR="0036275D" w:rsidRPr="0014404C" w:rsidRDefault="0036275D" w:rsidP="0014404C">
      <w:pPr>
        <w:widowControl w:val="0"/>
        <w:jc w:val="both"/>
        <w:rPr>
          <w:sz w:val="22"/>
          <w:szCs w:val="22"/>
          <w:lang w:val="sr-Latn-ME" w:eastAsia="ja-JP"/>
        </w:rPr>
      </w:pPr>
      <w:r w:rsidRPr="0014404C">
        <w:rPr>
          <w:sz w:val="22"/>
          <w:szCs w:val="22"/>
          <w:lang w:val="sr-Latn-ME" w:eastAsia="ja-JP"/>
        </w:rPr>
        <w:t>Pošto je faricimab terapijski protein, postoji mogućnost imunogenosti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4.8). Pacijente treba uputiti da </w:t>
      </w:r>
      <w:r w:rsidR="00111BAA" w:rsidRPr="0014404C">
        <w:rPr>
          <w:sz w:val="22"/>
          <w:szCs w:val="22"/>
          <w:lang w:val="sr-Latn-ME" w:eastAsia="ja-JP"/>
        </w:rPr>
        <w:t xml:space="preserve">obavijeste </w:t>
      </w:r>
      <w:r w:rsidR="00802EFD" w:rsidRPr="0014404C">
        <w:rPr>
          <w:sz w:val="22"/>
          <w:szCs w:val="22"/>
          <w:lang w:val="sr-Latn-ME" w:eastAsia="ja-JP"/>
        </w:rPr>
        <w:t>ljekar</w:t>
      </w:r>
      <w:r w:rsidRPr="0014404C">
        <w:rPr>
          <w:sz w:val="22"/>
          <w:szCs w:val="22"/>
          <w:lang w:val="sr-Latn-ME" w:eastAsia="ja-JP"/>
        </w:rPr>
        <w:t xml:space="preserve">a o svim znacima ili simptomima intraokularne upale, kao što su gubitak vida, bol u oku, povećana </w:t>
      </w:r>
      <w:r w:rsidR="00111BAA" w:rsidRPr="0014404C">
        <w:rPr>
          <w:sz w:val="22"/>
          <w:szCs w:val="22"/>
          <w:lang w:val="sr-Latn-ME" w:eastAsia="ja-JP"/>
        </w:rPr>
        <w:t xml:space="preserve">osjetljivost </w:t>
      </w:r>
      <w:r w:rsidRPr="0014404C">
        <w:rPr>
          <w:sz w:val="22"/>
          <w:szCs w:val="22"/>
          <w:lang w:val="sr-Latn-ME" w:eastAsia="ja-JP"/>
        </w:rPr>
        <w:t xml:space="preserve">na </w:t>
      </w:r>
      <w:r w:rsidR="00111BAA" w:rsidRPr="0014404C">
        <w:rPr>
          <w:sz w:val="22"/>
          <w:szCs w:val="22"/>
          <w:lang w:val="sr-Latn-ME" w:eastAsia="ja-JP"/>
        </w:rPr>
        <w:t>svjetlost</w:t>
      </w:r>
      <w:r w:rsidRPr="0014404C">
        <w:rPr>
          <w:sz w:val="22"/>
          <w:szCs w:val="22"/>
          <w:lang w:val="sr-Latn-ME" w:eastAsia="ja-JP"/>
        </w:rPr>
        <w:t xml:space="preserve">, plutajuće mrlje u vidnom polju ili pogoršanje crvenila oka, koji bi mogli biti klinički znaci </w:t>
      </w:r>
      <w:r w:rsidR="00111BAA" w:rsidRPr="0014404C">
        <w:rPr>
          <w:sz w:val="22"/>
          <w:szCs w:val="22"/>
          <w:lang w:val="sr-Latn-ME" w:eastAsia="ja-JP"/>
        </w:rPr>
        <w:t xml:space="preserve">preosjetljivosti </w:t>
      </w:r>
      <w:r w:rsidRPr="0014404C">
        <w:rPr>
          <w:sz w:val="22"/>
          <w:szCs w:val="22"/>
          <w:lang w:val="sr-Latn-ME" w:eastAsia="ja-JP"/>
        </w:rPr>
        <w:t>na faricimab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4.8).</w:t>
      </w:r>
    </w:p>
    <w:p w14:paraId="188FD719" w14:textId="77777777" w:rsidR="0036275D" w:rsidRPr="0014404C" w:rsidRDefault="0036275D" w:rsidP="0014404C">
      <w:pPr>
        <w:widowControl w:val="0"/>
        <w:jc w:val="both"/>
        <w:rPr>
          <w:sz w:val="22"/>
          <w:szCs w:val="22"/>
          <w:lang w:val="sr-Latn-ME" w:eastAsia="ja-JP"/>
        </w:rPr>
      </w:pPr>
    </w:p>
    <w:p w14:paraId="613B8FF4"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Bilateralna terapija</w:t>
      </w:r>
    </w:p>
    <w:p w14:paraId="450E747C" w14:textId="77777777" w:rsidR="0036275D" w:rsidRPr="0014404C" w:rsidRDefault="0036275D" w:rsidP="0014404C">
      <w:pPr>
        <w:widowControl w:val="0"/>
        <w:jc w:val="both"/>
        <w:rPr>
          <w:sz w:val="22"/>
          <w:szCs w:val="22"/>
          <w:lang w:val="sr-Latn-ME" w:eastAsia="ja-JP"/>
        </w:rPr>
      </w:pPr>
    </w:p>
    <w:p w14:paraId="569781A7" w14:textId="50850414" w:rsidR="0036275D" w:rsidRPr="0014404C" w:rsidRDefault="00111BAA" w:rsidP="0014404C">
      <w:pPr>
        <w:widowControl w:val="0"/>
        <w:jc w:val="both"/>
        <w:rPr>
          <w:i/>
          <w:sz w:val="22"/>
          <w:szCs w:val="22"/>
          <w:lang w:val="sr-Latn-ME" w:eastAsia="ja-JP"/>
        </w:rPr>
      </w:pPr>
      <w:r w:rsidRPr="0014404C">
        <w:rPr>
          <w:sz w:val="22"/>
          <w:szCs w:val="22"/>
          <w:lang w:val="sr-Latn-ME" w:eastAsia="ja-JP"/>
        </w:rPr>
        <w:t xml:space="preserve">Bezbjednost </w:t>
      </w:r>
      <w:r w:rsidR="0036275D" w:rsidRPr="0014404C">
        <w:rPr>
          <w:sz w:val="22"/>
          <w:szCs w:val="22"/>
          <w:lang w:val="sr-Latn-ME" w:eastAsia="ja-JP"/>
        </w:rPr>
        <w:t xml:space="preserve">i efikasnost istovremene </w:t>
      </w:r>
      <w:r w:rsidR="00802EFD" w:rsidRPr="0014404C">
        <w:rPr>
          <w:sz w:val="22"/>
          <w:szCs w:val="22"/>
          <w:lang w:val="sr-Latn-ME" w:eastAsia="ja-JP"/>
        </w:rPr>
        <w:t>primjene</w:t>
      </w:r>
      <w:r w:rsidR="0036275D" w:rsidRPr="0014404C">
        <w:rPr>
          <w:sz w:val="22"/>
          <w:szCs w:val="22"/>
          <w:lang w:val="sr-Latn-ME" w:eastAsia="ja-JP"/>
        </w:rPr>
        <w:t xml:space="preserve"> faricimaba u oba oka nisu ispitivane.</w:t>
      </w:r>
      <w:r w:rsidR="0036275D" w:rsidRPr="0014404C">
        <w:rPr>
          <w:i/>
          <w:iCs/>
          <w:color w:val="FF0000"/>
          <w:sz w:val="22"/>
          <w:szCs w:val="22"/>
          <w:lang w:val="sr-Latn-ME" w:eastAsia="ja-JP"/>
        </w:rPr>
        <w:t xml:space="preserve"> </w:t>
      </w:r>
      <w:r w:rsidR="0036275D" w:rsidRPr="0014404C">
        <w:rPr>
          <w:sz w:val="22"/>
          <w:szCs w:val="22"/>
          <w:lang w:val="sr-Latn-ME" w:eastAsia="ja-JP"/>
        </w:rPr>
        <w:t xml:space="preserve">Bilateralna terapija mogla bi da dovede do neželjenih reakcija u oba oka i/ili da potencijalno poveća sistemsku izloženost </w:t>
      </w:r>
      <w:r w:rsidRPr="0014404C">
        <w:rPr>
          <w:sz w:val="22"/>
          <w:szCs w:val="22"/>
          <w:lang w:val="sr-Latn-ME" w:eastAsia="ja-JP"/>
        </w:rPr>
        <w:t>lijeku</w:t>
      </w:r>
      <w:r w:rsidR="0036275D" w:rsidRPr="0014404C">
        <w:rPr>
          <w:sz w:val="22"/>
          <w:szCs w:val="22"/>
          <w:lang w:val="sr-Latn-ME" w:eastAsia="ja-JP"/>
        </w:rPr>
        <w:t xml:space="preserve">, a time i rizik od sistemskih neželjenih reakcija. Dok ne budu dostupni podaci o istovremenoj </w:t>
      </w:r>
      <w:r w:rsidRPr="0014404C">
        <w:rPr>
          <w:sz w:val="22"/>
          <w:szCs w:val="22"/>
          <w:lang w:val="sr-Latn-ME" w:eastAsia="ja-JP"/>
        </w:rPr>
        <w:t>primjeni</w:t>
      </w:r>
      <w:r w:rsidR="0036275D" w:rsidRPr="0014404C">
        <w:rPr>
          <w:sz w:val="22"/>
          <w:szCs w:val="22"/>
          <w:lang w:val="sr-Latn-ME" w:eastAsia="ja-JP"/>
        </w:rPr>
        <w:t xml:space="preserve"> u oba oka, postoji teoretski rizik od </w:t>
      </w:r>
      <w:r w:rsidR="00802EFD" w:rsidRPr="0014404C">
        <w:rPr>
          <w:sz w:val="22"/>
          <w:szCs w:val="22"/>
          <w:lang w:val="sr-Latn-ME" w:eastAsia="ja-JP"/>
        </w:rPr>
        <w:t>primjene</w:t>
      </w:r>
      <w:r w:rsidR="0036275D" w:rsidRPr="0014404C">
        <w:rPr>
          <w:sz w:val="22"/>
          <w:szCs w:val="22"/>
          <w:lang w:val="sr-Latn-ME" w:eastAsia="ja-JP"/>
        </w:rPr>
        <w:t xml:space="preserve"> faricimaba.</w:t>
      </w:r>
    </w:p>
    <w:p w14:paraId="0D55BDE3" w14:textId="77777777" w:rsidR="0036275D" w:rsidRPr="0014404C" w:rsidRDefault="0036275D" w:rsidP="0014404C">
      <w:pPr>
        <w:widowControl w:val="0"/>
        <w:jc w:val="both"/>
        <w:rPr>
          <w:sz w:val="22"/>
          <w:szCs w:val="22"/>
          <w:lang w:val="sr-Latn-ME" w:eastAsia="ja-JP"/>
        </w:rPr>
      </w:pPr>
    </w:p>
    <w:p w14:paraId="2D625541"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 xml:space="preserve">Istovremena </w:t>
      </w:r>
      <w:r w:rsidR="00802EFD" w:rsidRPr="0014404C">
        <w:rPr>
          <w:sz w:val="22"/>
          <w:szCs w:val="22"/>
          <w:u w:val="single"/>
          <w:lang w:val="sr-Latn-ME" w:eastAsia="ja-JP"/>
        </w:rPr>
        <w:t>primjena</w:t>
      </w:r>
      <w:r w:rsidRPr="0014404C">
        <w:rPr>
          <w:sz w:val="22"/>
          <w:szCs w:val="22"/>
          <w:u w:val="single"/>
          <w:lang w:val="sr-Latn-ME" w:eastAsia="ja-JP"/>
        </w:rPr>
        <w:t xml:space="preserve"> drugih anti-VEGF </w:t>
      </w:r>
      <w:r w:rsidR="00802EFD" w:rsidRPr="0014404C">
        <w:rPr>
          <w:sz w:val="22"/>
          <w:szCs w:val="22"/>
          <w:u w:val="single"/>
          <w:lang w:val="sr-Latn-ME" w:eastAsia="ja-JP"/>
        </w:rPr>
        <w:t>ljekova</w:t>
      </w:r>
    </w:p>
    <w:p w14:paraId="306D6366" w14:textId="77777777" w:rsidR="0036275D" w:rsidRPr="0014404C" w:rsidRDefault="0036275D" w:rsidP="0014404C">
      <w:pPr>
        <w:widowControl w:val="0"/>
        <w:jc w:val="both"/>
        <w:rPr>
          <w:sz w:val="22"/>
          <w:szCs w:val="22"/>
          <w:lang w:val="sr-Latn-ME" w:eastAsia="ja-JP"/>
        </w:rPr>
      </w:pPr>
    </w:p>
    <w:p w14:paraId="6F8B1027" w14:textId="194BABC9"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Nema dostupnih podataka o istovremenoj primeni faricimaba i drugih anti-VEGF </w:t>
      </w:r>
      <w:r w:rsidR="00802EFD" w:rsidRPr="0014404C">
        <w:rPr>
          <w:sz w:val="22"/>
          <w:szCs w:val="22"/>
          <w:lang w:val="sr-Latn-ME" w:eastAsia="ja-JP"/>
        </w:rPr>
        <w:t xml:space="preserve">ljekova </w:t>
      </w:r>
      <w:r w:rsidRPr="0014404C">
        <w:rPr>
          <w:sz w:val="22"/>
          <w:szCs w:val="22"/>
          <w:lang w:val="sr-Latn-ME" w:eastAsia="ja-JP"/>
        </w:rPr>
        <w:t xml:space="preserve">u isto oko. Faricimab ne treba </w:t>
      </w:r>
      <w:r w:rsidR="00111BAA" w:rsidRPr="0014404C">
        <w:rPr>
          <w:sz w:val="22"/>
          <w:szCs w:val="22"/>
          <w:lang w:val="sr-Latn-ME" w:eastAsia="ja-JP"/>
        </w:rPr>
        <w:t xml:space="preserve">primjenjivati </w:t>
      </w:r>
      <w:r w:rsidRPr="0014404C">
        <w:rPr>
          <w:sz w:val="22"/>
          <w:szCs w:val="22"/>
          <w:lang w:val="sr-Latn-ME" w:eastAsia="ja-JP"/>
        </w:rPr>
        <w:t xml:space="preserve">istovremeno sa drugim anti-VEGF </w:t>
      </w:r>
      <w:r w:rsidR="00111BAA" w:rsidRPr="0014404C">
        <w:rPr>
          <w:sz w:val="22"/>
          <w:szCs w:val="22"/>
          <w:lang w:val="sr-Latn-ME" w:eastAsia="ja-JP"/>
        </w:rPr>
        <w:t xml:space="preserve">ljekovima </w:t>
      </w:r>
      <w:r w:rsidRPr="0014404C">
        <w:rPr>
          <w:sz w:val="22"/>
          <w:szCs w:val="22"/>
          <w:lang w:val="sr-Latn-ME" w:eastAsia="ja-JP"/>
        </w:rPr>
        <w:t>(sistemskim ili intraokularnim).</w:t>
      </w:r>
    </w:p>
    <w:p w14:paraId="44F788AD" w14:textId="77777777" w:rsidR="0036275D" w:rsidRPr="0014404C" w:rsidRDefault="0036275D" w:rsidP="0014404C">
      <w:pPr>
        <w:widowControl w:val="0"/>
        <w:jc w:val="both"/>
        <w:rPr>
          <w:sz w:val="22"/>
          <w:szCs w:val="22"/>
          <w:lang w:val="sr-Latn-ME" w:eastAsia="ja-JP"/>
        </w:rPr>
      </w:pPr>
    </w:p>
    <w:p w14:paraId="67432CE3"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Odlaganje terapije</w:t>
      </w:r>
    </w:p>
    <w:p w14:paraId="171DEAB7" w14:textId="77777777" w:rsidR="0036275D" w:rsidRPr="0014404C" w:rsidRDefault="0036275D" w:rsidP="0014404C">
      <w:pPr>
        <w:widowControl w:val="0"/>
        <w:jc w:val="both"/>
        <w:rPr>
          <w:sz w:val="22"/>
          <w:szCs w:val="22"/>
          <w:lang w:val="sr-Latn-ME" w:eastAsia="ja-JP"/>
        </w:rPr>
      </w:pPr>
    </w:p>
    <w:p w14:paraId="71C237AF"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Terapiju treba odložiti kod pacijenata koji imaju:</w:t>
      </w:r>
    </w:p>
    <w:p w14:paraId="42DF202C" w14:textId="0DCFAC94" w:rsidR="0036275D" w:rsidRPr="0014404C" w:rsidRDefault="0036275D" w:rsidP="0014404C">
      <w:pPr>
        <w:widowControl w:val="0"/>
        <w:ind w:left="567" w:hanging="567"/>
        <w:jc w:val="both"/>
        <w:rPr>
          <w:sz w:val="22"/>
          <w:szCs w:val="22"/>
          <w:lang w:val="sr-Latn-ME" w:eastAsia="ja-JP"/>
        </w:rPr>
      </w:pPr>
      <w:r w:rsidRPr="0014404C">
        <w:rPr>
          <w:sz w:val="22"/>
          <w:szCs w:val="22"/>
          <w:lang w:val="sr-Latn-ME" w:eastAsia="ja-JP"/>
        </w:rPr>
        <w:t>•</w:t>
      </w:r>
      <w:r w:rsidRPr="0014404C">
        <w:rPr>
          <w:sz w:val="22"/>
          <w:szCs w:val="22"/>
          <w:lang w:val="sr-Latn-ME" w:eastAsia="ja-JP"/>
        </w:rPr>
        <w:tab/>
        <w:t xml:space="preserve">regmatogeno odvajanje mrežnjače, makularne rupe 3. ili 4. stepena, pucanje mrežnjače; </w:t>
      </w:r>
      <w:r w:rsidR="00111BAA" w:rsidRPr="0014404C">
        <w:rPr>
          <w:sz w:val="22"/>
          <w:szCs w:val="22"/>
          <w:lang w:val="sr-Latn-ME" w:eastAsia="ja-JP"/>
        </w:rPr>
        <w:t xml:space="preserve">liječenje </w:t>
      </w:r>
      <w:r w:rsidRPr="0014404C">
        <w:rPr>
          <w:sz w:val="22"/>
          <w:szCs w:val="22"/>
          <w:lang w:val="sr-Latn-ME" w:eastAsia="ja-JP"/>
        </w:rPr>
        <w:t xml:space="preserve">se ne </w:t>
      </w:r>
      <w:r w:rsidR="00111BAA" w:rsidRPr="0014404C">
        <w:rPr>
          <w:sz w:val="22"/>
          <w:szCs w:val="22"/>
          <w:lang w:val="sr-Latn-ME" w:eastAsia="ja-JP"/>
        </w:rPr>
        <w:t xml:space="preserve">smije </w:t>
      </w:r>
      <w:r w:rsidRPr="0014404C">
        <w:rPr>
          <w:sz w:val="22"/>
          <w:szCs w:val="22"/>
          <w:lang w:val="sr-Latn-ME" w:eastAsia="ja-JP"/>
        </w:rPr>
        <w:t>nastaviti sve dok se oštećenje na odgovarajući način ne popravi.</w:t>
      </w:r>
    </w:p>
    <w:p w14:paraId="04E20B89" w14:textId="58DD2449" w:rsidR="0036275D" w:rsidRPr="0014404C" w:rsidRDefault="0036275D" w:rsidP="0014404C">
      <w:pPr>
        <w:widowControl w:val="0"/>
        <w:ind w:left="567" w:hanging="567"/>
        <w:jc w:val="both"/>
        <w:rPr>
          <w:sz w:val="22"/>
          <w:szCs w:val="22"/>
          <w:lang w:val="sr-Latn-ME" w:eastAsia="ja-JP"/>
        </w:rPr>
      </w:pPr>
      <w:r w:rsidRPr="0014404C">
        <w:rPr>
          <w:sz w:val="22"/>
          <w:szCs w:val="22"/>
          <w:lang w:val="sr-Latn-ME" w:eastAsia="ja-JP"/>
        </w:rPr>
        <w:t>•</w:t>
      </w:r>
      <w:r w:rsidRPr="0014404C">
        <w:rPr>
          <w:sz w:val="22"/>
          <w:szCs w:val="22"/>
          <w:lang w:val="sr-Latn-ME" w:eastAsia="ja-JP"/>
        </w:rPr>
        <w:tab/>
        <w:t xml:space="preserve">smanjenje najbolje korigovane oštrine vida (engl. </w:t>
      </w:r>
      <w:r w:rsidRPr="0014404C">
        <w:rPr>
          <w:i/>
          <w:sz w:val="22"/>
          <w:szCs w:val="22"/>
          <w:lang w:val="sr-Latn-ME" w:eastAsia="ja-JP"/>
        </w:rPr>
        <w:t>Best Corrected Visual Acuity</w:t>
      </w:r>
      <w:r w:rsidRPr="0014404C">
        <w:rPr>
          <w:sz w:val="22"/>
          <w:szCs w:val="22"/>
          <w:lang w:val="sr-Latn-ME" w:eastAsia="ja-JP"/>
        </w:rPr>
        <w:t xml:space="preserve">, BCVA) povezano sa </w:t>
      </w:r>
      <w:r w:rsidR="00111BAA" w:rsidRPr="0014404C">
        <w:rPr>
          <w:sz w:val="22"/>
          <w:szCs w:val="22"/>
          <w:lang w:val="sr-Latn-ME" w:eastAsia="ja-JP"/>
        </w:rPr>
        <w:t xml:space="preserve">liječenjem </w:t>
      </w:r>
      <w:r w:rsidRPr="0014404C">
        <w:rPr>
          <w:sz w:val="22"/>
          <w:szCs w:val="22"/>
          <w:lang w:val="sr-Latn-ME" w:eastAsia="ja-JP"/>
        </w:rPr>
        <w:t xml:space="preserve">za ≥ 30 slova u odnosu na </w:t>
      </w:r>
      <w:r w:rsidR="00111BAA" w:rsidRPr="0014404C">
        <w:rPr>
          <w:sz w:val="22"/>
          <w:szCs w:val="22"/>
          <w:lang w:val="sr-Latn-ME" w:eastAsia="ja-JP"/>
        </w:rPr>
        <w:t xml:space="preserve">posljednju procjenu </w:t>
      </w:r>
      <w:r w:rsidRPr="0014404C">
        <w:rPr>
          <w:sz w:val="22"/>
          <w:szCs w:val="22"/>
          <w:lang w:val="sr-Latn-ME" w:eastAsia="ja-JP"/>
        </w:rPr>
        <w:t xml:space="preserve">oštrine vida; </w:t>
      </w:r>
      <w:r w:rsidR="00111BAA" w:rsidRPr="0014404C">
        <w:rPr>
          <w:sz w:val="22"/>
          <w:szCs w:val="22"/>
          <w:lang w:val="sr-Latn-ME" w:eastAsia="ja-JP"/>
        </w:rPr>
        <w:t xml:space="preserve">liječenje </w:t>
      </w:r>
      <w:r w:rsidRPr="0014404C">
        <w:rPr>
          <w:sz w:val="22"/>
          <w:szCs w:val="22"/>
          <w:lang w:val="sr-Latn-ME" w:eastAsia="ja-JP"/>
        </w:rPr>
        <w:t xml:space="preserve">se ne </w:t>
      </w:r>
      <w:r w:rsidR="00111BAA" w:rsidRPr="0014404C">
        <w:rPr>
          <w:sz w:val="22"/>
          <w:szCs w:val="22"/>
          <w:lang w:val="sr-Latn-ME" w:eastAsia="ja-JP"/>
        </w:rPr>
        <w:t xml:space="preserve">smije </w:t>
      </w:r>
      <w:r w:rsidRPr="0014404C">
        <w:rPr>
          <w:sz w:val="22"/>
          <w:szCs w:val="22"/>
          <w:lang w:val="sr-Latn-ME" w:eastAsia="ja-JP"/>
        </w:rPr>
        <w:t xml:space="preserve">nastaviti </w:t>
      </w:r>
      <w:r w:rsidR="00111BAA" w:rsidRPr="0014404C">
        <w:rPr>
          <w:sz w:val="22"/>
          <w:szCs w:val="22"/>
          <w:lang w:val="sr-Latn-ME" w:eastAsia="ja-JP"/>
        </w:rPr>
        <w:t xml:space="preserve">prije sljedećeg </w:t>
      </w:r>
      <w:r w:rsidRPr="0014404C">
        <w:rPr>
          <w:sz w:val="22"/>
          <w:szCs w:val="22"/>
          <w:lang w:val="sr-Latn-ME" w:eastAsia="ja-JP"/>
        </w:rPr>
        <w:t xml:space="preserve">planiranog termina </w:t>
      </w:r>
      <w:r w:rsidR="00802EFD" w:rsidRPr="0014404C">
        <w:rPr>
          <w:sz w:val="22"/>
          <w:szCs w:val="22"/>
          <w:lang w:val="sr-Latn-ME" w:eastAsia="ja-JP"/>
        </w:rPr>
        <w:t>primjene</w:t>
      </w:r>
      <w:r w:rsidRPr="0014404C">
        <w:rPr>
          <w:sz w:val="22"/>
          <w:szCs w:val="22"/>
          <w:lang w:val="sr-Latn-ME" w:eastAsia="ja-JP"/>
        </w:rPr>
        <w:t xml:space="preserve"> </w:t>
      </w:r>
      <w:r w:rsidR="00802EFD" w:rsidRPr="0014404C">
        <w:rPr>
          <w:sz w:val="22"/>
          <w:szCs w:val="22"/>
          <w:lang w:val="sr-Latn-ME" w:eastAsia="ja-JP"/>
        </w:rPr>
        <w:t>lijeka</w:t>
      </w:r>
      <w:r w:rsidRPr="0014404C">
        <w:rPr>
          <w:sz w:val="22"/>
          <w:szCs w:val="22"/>
          <w:lang w:val="sr-Latn-ME" w:eastAsia="ja-JP"/>
        </w:rPr>
        <w:t>.</w:t>
      </w:r>
    </w:p>
    <w:p w14:paraId="6EE1282F" w14:textId="77777777" w:rsidR="0036275D" w:rsidRPr="0014404C" w:rsidRDefault="0036275D" w:rsidP="0014404C">
      <w:pPr>
        <w:widowControl w:val="0"/>
        <w:ind w:left="567" w:hanging="567"/>
        <w:jc w:val="both"/>
        <w:rPr>
          <w:sz w:val="22"/>
          <w:szCs w:val="22"/>
          <w:lang w:val="sr-Latn-ME" w:eastAsia="ja-JP"/>
        </w:rPr>
      </w:pPr>
      <w:r w:rsidRPr="0014404C">
        <w:rPr>
          <w:sz w:val="22"/>
          <w:szCs w:val="22"/>
          <w:lang w:val="sr-Latn-ME" w:eastAsia="ja-JP"/>
        </w:rPr>
        <w:t>•</w:t>
      </w:r>
      <w:r w:rsidRPr="0014404C">
        <w:rPr>
          <w:sz w:val="22"/>
          <w:szCs w:val="22"/>
          <w:lang w:val="sr-Latn-ME" w:eastAsia="ja-JP"/>
        </w:rPr>
        <w:tab/>
        <w:t>intraokularni pritisak ≥ 30 mmHg.</w:t>
      </w:r>
    </w:p>
    <w:p w14:paraId="4ECF93BA" w14:textId="6160308A" w:rsidR="0036275D" w:rsidRPr="0014404C" w:rsidRDefault="0036275D" w:rsidP="0014404C">
      <w:pPr>
        <w:widowControl w:val="0"/>
        <w:ind w:left="567" w:hanging="567"/>
        <w:jc w:val="both"/>
        <w:rPr>
          <w:sz w:val="22"/>
          <w:szCs w:val="22"/>
          <w:lang w:val="sr-Latn-ME" w:eastAsia="ja-JP"/>
        </w:rPr>
      </w:pPr>
      <w:r w:rsidRPr="0014404C">
        <w:rPr>
          <w:sz w:val="22"/>
          <w:szCs w:val="22"/>
          <w:lang w:val="sr-Latn-ME" w:eastAsia="ja-JP"/>
        </w:rPr>
        <w:t>•</w:t>
      </w:r>
      <w:r w:rsidRPr="0014404C">
        <w:rPr>
          <w:sz w:val="22"/>
          <w:szCs w:val="22"/>
          <w:lang w:val="sr-Latn-ME" w:eastAsia="ja-JP"/>
        </w:rPr>
        <w:tab/>
        <w:t xml:space="preserve">subretinalno krvarenje koje zahvata centralni </w:t>
      </w:r>
      <w:r w:rsidR="008536FC" w:rsidRPr="0014404C">
        <w:rPr>
          <w:sz w:val="22"/>
          <w:szCs w:val="22"/>
          <w:lang w:val="sr-Latn-ME" w:eastAsia="ja-JP"/>
        </w:rPr>
        <w:t>dio</w:t>
      </w:r>
      <w:r w:rsidRPr="0014404C">
        <w:rPr>
          <w:sz w:val="22"/>
          <w:szCs w:val="22"/>
          <w:lang w:val="sr-Latn-ME" w:eastAsia="ja-JP"/>
        </w:rPr>
        <w:t xml:space="preserve"> fovee ili krvarenje koje zahvata ≥ 50% ukupne površine lezije.</w:t>
      </w:r>
    </w:p>
    <w:p w14:paraId="0C631BC4" w14:textId="0A295383" w:rsidR="0036275D" w:rsidRPr="0014404C" w:rsidRDefault="0036275D" w:rsidP="0014404C">
      <w:pPr>
        <w:widowControl w:val="0"/>
        <w:ind w:left="567" w:hanging="567"/>
        <w:jc w:val="both"/>
        <w:rPr>
          <w:sz w:val="22"/>
          <w:szCs w:val="22"/>
          <w:lang w:val="sr-Latn-ME" w:eastAsia="ja-JP"/>
        </w:rPr>
      </w:pPr>
      <w:r w:rsidRPr="0014404C">
        <w:rPr>
          <w:sz w:val="22"/>
          <w:szCs w:val="22"/>
          <w:lang w:val="sr-Latn-ME" w:eastAsia="ja-JP"/>
        </w:rPr>
        <w:t>•</w:t>
      </w:r>
      <w:r w:rsidRPr="0014404C">
        <w:rPr>
          <w:sz w:val="22"/>
          <w:szCs w:val="22"/>
          <w:lang w:val="sr-Latn-ME" w:eastAsia="ja-JP"/>
        </w:rPr>
        <w:tab/>
        <w:t xml:space="preserve">intraokularni hirurški zahvat obavljen u prethodnih 28 dana ili planiran u </w:t>
      </w:r>
      <w:r w:rsidR="00111BAA" w:rsidRPr="0014404C">
        <w:rPr>
          <w:sz w:val="22"/>
          <w:szCs w:val="22"/>
          <w:lang w:val="sr-Latn-ME" w:eastAsia="ja-JP"/>
        </w:rPr>
        <w:t xml:space="preserve">sljedećih </w:t>
      </w:r>
      <w:r w:rsidRPr="0014404C">
        <w:rPr>
          <w:sz w:val="22"/>
          <w:szCs w:val="22"/>
          <w:lang w:val="sr-Latn-ME" w:eastAsia="ja-JP"/>
        </w:rPr>
        <w:t xml:space="preserve">28 dana; </w:t>
      </w:r>
      <w:r w:rsidR="008536FC" w:rsidRPr="0014404C">
        <w:rPr>
          <w:sz w:val="22"/>
          <w:szCs w:val="22"/>
          <w:lang w:val="sr-Latn-ME" w:eastAsia="ja-JP"/>
        </w:rPr>
        <w:t xml:space="preserve">liječenje </w:t>
      </w:r>
      <w:r w:rsidRPr="0014404C">
        <w:rPr>
          <w:sz w:val="22"/>
          <w:szCs w:val="22"/>
          <w:lang w:val="sr-Latn-ME" w:eastAsia="ja-JP"/>
        </w:rPr>
        <w:t xml:space="preserve">se ne </w:t>
      </w:r>
      <w:r w:rsidR="008536FC" w:rsidRPr="0014404C">
        <w:rPr>
          <w:sz w:val="22"/>
          <w:szCs w:val="22"/>
          <w:lang w:val="sr-Latn-ME" w:eastAsia="ja-JP"/>
        </w:rPr>
        <w:t xml:space="preserve">smije </w:t>
      </w:r>
      <w:r w:rsidRPr="0014404C">
        <w:rPr>
          <w:sz w:val="22"/>
          <w:szCs w:val="22"/>
          <w:lang w:val="sr-Latn-ME" w:eastAsia="ja-JP"/>
        </w:rPr>
        <w:t xml:space="preserve">nastaviti </w:t>
      </w:r>
      <w:r w:rsidR="008536FC" w:rsidRPr="0014404C">
        <w:rPr>
          <w:sz w:val="22"/>
          <w:szCs w:val="22"/>
          <w:lang w:val="sr-Latn-ME" w:eastAsia="ja-JP"/>
        </w:rPr>
        <w:t xml:space="preserve">prije sljedećeg </w:t>
      </w:r>
      <w:r w:rsidRPr="0014404C">
        <w:rPr>
          <w:sz w:val="22"/>
          <w:szCs w:val="22"/>
          <w:lang w:val="sr-Latn-ME" w:eastAsia="ja-JP"/>
        </w:rPr>
        <w:t xml:space="preserve">planiranog termina </w:t>
      </w:r>
      <w:r w:rsidR="00802EFD" w:rsidRPr="0014404C">
        <w:rPr>
          <w:sz w:val="22"/>
          <w:szCs w:val="22"/>
          <w:lang w:val="sr-Latn-ME" w:eastAsia="ja-JP"/>
        </w:rPr>
        <w:t>primjene</w:t>
      </w:r>
      <w:r w:rsidRPr="0014404C">
        <w:rPr>
          <w:sz w:val="22"/>
          <w:szCs w:val="22"/>
          <w:lang w:val="sr-Latn-ME" w:eastAsia="ja-JP"/>
        </w:rPr>
        <w:t xml:space="preserve"> </w:t>
      </w:r>
      <w:r w:rsidR="00802EFD" w:rsidRPr="0014404C">
        <w:rPr>
          <w:sz w:val="22"/>
          <w:szCs w:val="22"/>
          <w:lang w:val="sr-Latn-ME" w:eastAsia="ja-JP"/>
        </w:rPr>
        <w:t>lijeka</w:t>
      </w:r>
      <w:r w:rsidRPr="0014404C">
        <w:rPr>
          <w:sz w:val="22"/>
          <w:szCs w:val="22"/>
          <w:lang w:val="sr-Latn-ME" w:eastAsia="ja-JP"/>
        </w:rPr>
        <w:t>.</w:t>
      </w:r>
    </w:p>
    <w:p w14:paraId="512CF5D5" w14:textId="77777777" w:rsidR="0036275D" w:rsidRPr="0014404C" w:rsidRDefault="0036275D" w:rsidP="0014404C">
      <w:pPr>
        <w:widowControl w:val="0"/>
        <w:jc w:val="both"/>
        <w:rPr>
          <w:sz w:val="22"/>
          <w:szCs w:val="22"/>
          <w:lang w:val="sr-Latn-ME" w:eastAsia="ja-JP"/>
        </w:rPr>
      </w:pPr>
    </w:p>
    <w:p w14:paraId="44DFDF18" w14:textId="2AC9997F" w:rsidR="0036275D" w:rsidRPr="0014404C" w:rsidRDefault="008536FC" w:rsidP="0014404C">
      <w:pPr>
        <w:widowControl w:val="0"/>
        <w:jc w:val="both"/>
        <w:rPr>
          <w:sz w:val="22"/>
          <w:szCs w:val="22"/>
          <w:u w:val="single"/>
          <w:lang w:val="sr-Latn-ME" w:eastAsia="ja-JP"/>
        </w:rPr>
      </w:pPr>
      <w:r w:rsidRPr="0014404C">
        <w:rPr>
          <w:sz w:val="22"/>
          <w:szCs w:val="22"/>
          <w:u w:val="single"/>
          <w:lang w:val="sr-Latn-ME" w:eastAsia="ja-JP"/>
        </w:rPr>
        <w:t xml:space="preserve">Rascjep </w:t>
      </w:r>
      <w:r w:rsidR="0036275D" w:rsidRPr="0014404C">
        <w:rPr>
          <w:sz w:val="22"/>
          <w:szCs w:val="22"/>
          <w:u w:val="single"/>
          <w:lang w:val="sr-Latn-ME" w:eastAsia="ja-JP"/>
        </w:rPr>
        <w:t>pigmentnog epitela mrežnjače</w:t>
      </w:r>
    </w:p>
    <w:p w14:paraId="5B7E7914" w14:textId="77777777" w:rsidR="0036275D" w:rsidRPr="0014404C" w:rsidRDefault="0036275D" w:rsidP="0014404C">
      <w:pPr>
        <w:widowControl w:val="0"/>
        <w:jc w:val="both"/>
        <w:rPr>
          <w:sz w:val="22"/>
          <w:szCs w:val="22"/>
          <w:lang w:val="sr-Latn-ME" w:eastAsia="ja-JP"/>
        </w:rPr>
      </w:pPr>
    </w:p>
    <w:p w14:paraId="1DF7DA8C" w14:textId="3CD83FD7" w:rsidR="0036275D" w:rsidRPr="0014404C" w:rsidRDefault="00A60A10" w:rsidP="0014404C">
      <w:pPr>
        <w:widowControl w:val="0"/>
        <w:jc w:val="both"/>
        <w:rPr>
          <w:iCs/>
          <w:sz w:val="22"/>
          <w:szCs w:val="22"/>
          <w:lang w:val="sr-Latn-ME" w:eastAsia="ja-JP"/>
        </w:rPr>
      </w:pPr>
      <w:r w:rsidRPr="0014404C">
        <w:rPr>
          <w:sz w:val="22"/>
          <w:szCs w:val="22"/>
          <w:lang w:val="sr-Latn-ME" w:eastAsia="ja-JP"/>
        </w:rPr>
        <w:t xml:space="preserve">Rascjep pigmentnog epitela mrežnjače je komplikacija odvajanja pigmentnog epitela (engl. </w:t>
      </w:r>
      <w:r w:rsidRPr="0014404C">
        <w:rPr>
          <w:i/>
          <w:sz w:val="22"/>
          <w:szCs w:val="22"/>
          <w:lang w:val="sr-Latn-ME" w:eastAsia="ja-JP"/>
        </w:rPr>
        <w:t>pigment epithelial detachment</w:t>
      </w:r>
      <w:r w:rsidRPr="0014404C">
        <w:rPr>
          <w:sz w:val="22"/>
          <w:szCs w:val="22"/>
          <w:lang w:val="sr-Latn-ME" w:eastAsia="ja-JP"/>
        </w:rPr>
        <w:t xml:space="preserve">, PED) kod pacijenata sa nAMD. </w:t>
      </w:r>
      <w:r w:rsidR="0036275D" w:rsidRPr="0014404C">
        <w:rPr>
          <w:sz w:val="22"/>
          <w:szCs w:val="22"/>
          <w:lang w:val="sr-Latn-ME" w:eastAsia="ja-JP"/>
        </w:rPr>
        <w:t xml:space="preserve">Faktori rizika povezani sa razvojem </w:t>
      </w:r>
      <w:r w:rsidR="008536FC" w:rsidRPr="0014404C">
        <w:rPr>
          <w:sz w:val="22"/>
          <w:szCs w:val="22"/>
          <w:lang w:val="sr-Latn-ME" w:eastAsia="ja-JP"/>
        </w:rPr>
        <w:t xml:space="preserve">rascjepa </w:t>
      </w:r>
      <w:r w:rsidR="0036275D" w:rsidRPr="0014404C">
        <w:rPr>
          <w:sz w:val="22"/>
          <w:szCs w:val="22"/>
          <w:lang w:val="sr-Latn-ME" w:eastAsia="ja-JP"/>
        </w:rPr>
        <w:t xml:space="preserve">pigmentnog epitela mrežnjače nakon </w:t>
      </w:r>
      <w:r w:rsidR="008536FC" w:rsidRPr="0014404C">
        <w:rPr>
          <w:sz w:val="22"/>
          <w:szCs w:val="22"/>
          <w:lang w:val="sr-Latn-ME" w:eastAsia="ja-JP"/>
        </w:rPr>
        <w:t xml:space="preserve">liječenja </w:t>
      </w:r>
      <w:r w:rsidR="0036275D" w:rsidRPr="0014404C">
        <w:rPr>
          <w:sz w:val="22"/>
          <w:szCs w:val="22"/>
          <w:lang w:val="sr-Latn-ME" w:eastAsia="ja-JP"/>
        </w:rPr>
        <w:t xml:space="preserve">nAMD anti-VEGF terapijom uključuju veliko i/ili visoko odvajanje pigmentnog epitela. Pri uvođenju terapije faricimabom potreban je oprez kod pacijenata koji imaju navedene faktore rizika za </w:t>
      </w:r>
      <w:r w:rsidR="008536FC" w:rsidRPr="0014404C">
        <w:rPr>
          <w:sz w:val="22"/>
          <w:szCs w:val="22"/>
          <w:lang w:val="sr-Latn-ME" w:eastAsia="ja-JP"/>
        </w:rPr>
        <w:t xml:space="preserve">rascjep </w:t>
      </w:r>
      <w:r w:rsidR="0036275D" w:rsidRPr="0014404C">
        <w:rPr>
          <w:sz w:val="22"/>
          <w:szCs w:val="22"/>
          <w:lang w:val="sr-Latn-ME" w:eastAsia="ja-JP"/>
        </w:rPr>
        <w:t xml:space="preserve">pigmentnog epitela mrežnjače. </w:t>
      </w:r>
      <w:r w:rsidR="008536FC" w:rsidRPr="0014404C">
        <w:rPr>
          <w:sz w:val="22"/>
          <w:szCs w:val="22"/>
          <w:lang w:val="sr-Latn-ME" w:eastAsia="ja-JP"/>
        </w:rPr>
        <w:t xml:space="preserve">Rascjep </w:t>
      </w:r>
      <w:r w:rsidR="0036275D" w:rsidRPr="0014404C">
        <w:rPr>
          <w:sz w:val="22"/>
          <w:szCs w:val="22"/>
          <w:lang w:val="sr-Latn-ME" w:eastAsia="ja-JP"/>
        </w:rPr>
        <w:t xml:space="preserve">pigmentnog epitela mrežnjače često je kod pacijenata sa nAMD i PED </w:t>
      </w:r>
      <w:r w:rsidR="008536FC" w:rsidRPr="0014404C">
        <w:rPr>
          <w:sz w:val="22"/>
          <w:szCs w:val="22"/>
          <w:lang w:val="sr-Latn-ME" w:eastAsia="ja-JP"/>
        </w:rPr>
        <w:t xml:space="preserve">liječenih </w:t>
      </w:r>
      <w:r w:rsidR="0036275D" w:rsidRPr="0014404C">
        <w:rPr>
          <w:sz w:val="22"/>
          <w:szCs w:val="22"/>
          <w:lang w:val="sr-Latn-ME" w:eastAsia="ja-JP"/>
        </w:rPr>
        <w:t xml:space="preserve">intravitrealnim anti-VEGF </w:t>
      </w:r>
      <w:r w:rsidR="008536FC" w:rsidRPr="0014404C">
        <w:rPr>
          <w:sz w:val="22"/>
          <w:szCs w:val="22"/>
          <w:lang w:val="sr-Latn-ME" w:eastAsia="ja-JP"/>
        </w:rPr>
        <w:t>ljekovima</w:t>
      </w:r>
      <w:r w:rsidR="0036275D" w:rsidRPr="0014404C">
        <w:rPr>
          <w:sz w:val="22"/>
          <w:szCs w:val="22"/>
          <w:lang w:val="sr-Latn-ME" w:eastAsia="ja-JP"/>
        </w:rPr>
        <w:t xml:space="preserve">, uključujući faricimab. Stopa </w:t>
      </w:r>
      <w:r w:rsidR="008536FC" w:rsidRPr="0014404C">
        <w:rPr>
          <w:sz w:val="22"/>
          <w:szCs w:val="22"/>
          <w:lang w:val="sr-Latn-ME" w:eastAsia="ja-JP"/>
        </w:rPr>
        <w:t xml:space="preserve">rascjepa </w:t>
      </w:r>
      <w:r w:rsidR="0036275D" w:rsidRPr="0014404C">
        <w:rPr>
          <w:sz w:val="22"/>
          <w:szCs w:val="22"/>
          <w:lang w:val="sr-Latn-ME" w:eastAsia="ja-JP"/>
        </w:rPr>
        <w:t xml:space="preserve">pigmentnog epitela mrežnjače bila je viša u grupi pacijenata </w:t>
      </w:r>
      <w:r w:rsidR="008536FC" w:rsidRPr="0014404C">
        <w:rPr>
          <w:sz w:val="22"/>
          <w:szCs w:val="22"/>
          <w:lang w:val="sr-Latn-ME" w:eastAsia="ja-JP"/>
        </w:rPr>
        <w:t xml:space="preserve">liječenoj </w:t>
      </w:r>
      <w:r w:rsidR="0036275D" w:rsidRPr="0014404C">
        <w:rPr>
          <w:sz w:val="22"/>
          <w:szCs w:val="22"/>
          <w:lang w:val="sr-Latn-ME" w:eastAsia="ja-JP"/>
        </w:rPr>
        <w:t>faricimabom (2,9%) nego u grupi koja je primala aflibercept (1,</w:t>
      </w:r>
      <w:r w:rsidRPr="0014404C">
        <w:rPr>
          <w:sz w:val="22"/>
          <w:szCs w:val="22"/>
          <w:lang w:val="sr-Latn-ME" w:eastAsia="ja-JP"/>
        </w:rPr>
        <w:t>5</w:t>
      </w:r>
      <w:r w:rsidR="0036275D" w:rsidRPr="0014404C">
        <w:rPr>
          <w:sz w:val="22"/>
          <w:szCs w:val="22"/>
          <w:lang w:val="sr-Latn-ME" w:eastAsia="ja-JP"/>
        </w:rPr>
        <w:t xml:space="preserve">%). Većina događaja </w:t>
      </w:r>
      <w:r w:rsidR="008536FC" w:rsidRPr="0014404C">
        <w:rPr>
          <w:sz w:val="22"/>
          <w:szCs w:val="22"/>
          <w:lang w:val="sr-Latn-ME" w:eastAsia="ja-JP"/>
        </w:rPr>
        <w:t xml:space="preserve">zabilježena </w:t>
      </w:r>
      <w:r w:rsidR="0036275D" w:rsidRPr="0014404C">
        <w:rPr>
          <w:sz w:val="22"/>
          <w:szCs w:val="22"/>
          <w:lang w:val="sr-Latn-ME" w:eastAsia="ja-JP"/>
        </w:rPr>
        <w:t xml:space="preserve">je tokom udarne ("loading") faze </w:t>
      </w:r>
      <w:r w:rsidR="008536FC" w:rsidRPr="0014404C">
        <w:rPr>
          <w:sz w:val="22"/>
          <w:szCs w:val="22"/>
          <w:lang w:val="sr-Latn-ME" w:eastAsia="ja-JP"/>
        </w:rPr>
        <w:t>liječenja</w:t>
      </w:r>
      <w:r w:rsidR="0036275D" w:rsidRPr="0014404C">
        <w:rPr>
          <w:sz w:val="22"/>
          <w:szCs w:val="22"/>
          <w:lang w:val="sr-Latn-ME" w:eastAsia="ja-JP"/>
        </w:rPr>
        <w:t xml:space="preserve">, a bili su blage do </w:t>
      </w:r>
      <w:r w:rsidR="008536FC" w:rsidRPr="0014404C">
        <w:rPr>
          <w:sz w:val="22"/>
          <w:szCs w:val="22"/>
          <w:lang w:val="sr-Latn-ME" w:eastAsia="ja-JP"/>
        </w:rPr>
        <w:t xml:space="preserve">umjerene </w:t>
      </w:r>
      <w:r w:rsidR="0036275D" w:rsidRPr="0014404C">
        <w:rPr>
          <w:sz w:val="22"/>
          <w:szCs w:val="22"/>
          <w:lang w:val="sr-Latn-ME" w:eastAsia="ja-JP"/>
        </w:rPr>
        <w:t xml:space="preserve">težine i nisu uticali </w:t>
      </w:r>
      <w:r w:rsidR="0036275D" w:rsidRPr="0014404C">
        <w:rPr>
          <w:sz w:val="22"/>
          <w:szCs w:val="22"/>
          <w:lang w:val="sr-Latn-ME" w:eastAsia="ja-JP"/>
        </w:rPr>
        <w:lastRenderedPageBreak/>
        <w:t>na vid.</w:t>
      </w:r>
    </w:p>
    <w:p w14:paraId="4887DE03" w14:textId="77777777" w:rsidR="0036275D" w:rsidRPr="0014404C" w:rsidRDefault="0036275D" w:rsidP="0014404C">
      <w:pPr>
        <w:widowControl w:val="0"/>
        <w:jc w:val="both"/>
        <w:rPr>
          <w:sz w:val="22"/>
          <w:szCs w:val="22"/>
          <w:lang w:val="sr-Latn-ME" w:eastAsia="ja-JP"/>
        </w:rPr>
      </w:pPr>
    </w:p>
    <w:p w14:paraId="1F5CF8ED"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Populacije sa ograničenim podacima</w:t>
      </w:r>
    </w:p>
    <w:p w14:paraId="4CC65BC9" w14:textId="77777777" w:rsidR="0036275D" w:rsidRPr="0014404C" w:rsidRDefault="0036275D" w:rsidP="0014404C">
      <w:pPr>
        <w:widowControl w:val="0"/>
        <w:jc w:val="both"/>
        <w:rPr>
          <w:sz w:val="22"/>
          <w:szCs w:val="22"/>
          <w:lang w:val="sr-Latn-ME" w:eastAsia="ja-JP"/>
        </w:rPr>
      </w:pPr>
    </w:p>
    <w:p w14:paraId="70BC16FE" w14:textId="4088A2DE"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Postoji samo ograničeno iskustvo u </w:t>
      </w:r>
      <w:r w:rsidR="008536FC" w:rsidRPr="0014404C">
        <w:rPr>
          <w:sz w:val="22"/>
          <w:szCs w:val="22"/>
          <w:lang w:val="sr-Latn-ME" w:eastAsia="ja-JP"/>
        </w:rPr>
        <w:t xml:space="preserve">liječenju </w:t>
      </w:r>
      <w:r w:rsidRPr="0014404C">
        <w:rPr>
          <w:sz w:val="22"/>
          <w:szCs w:val="22"/>
          <w:lang w:val="sr-Latn-ME" w:eastAsia="ja-JP"/>
        </w:rPr>
        <w:t xml:space="preserve">pacijenata sa nAMD </w:t>
      </w:r>
      <w:r w:rsidR="00EB2059" w:rsidRPr="0014404C">
        <w:rPr>
          <w:sz w:val="22"/>
          <w:szCs w:val="22"/>
          <w:lang w:val="sr-Latn-ME" w:eastAsia="ja-JP"/>
        </w:rPr>
        <w:t xml:space="preserve">i RVO </w:t>
      </w:r>
      <w:r w:rsidRPr="0014404C">
        <w:rPr>
          <w:sz w:val="22"/>
          <w:szCs w:val="22"/>
          <w:lang w:val="sr-Latn-ME" w:eastAsia="ja-JP"/>
        </w:rPr>
        <w:t xml:space="preserve">koji imaju ≥ 85 godina i pacijenata sa DME koji imaju dijabetes tipa I, pacijenata sa </w:t>
      </w:r>
      <w:r w:rsidR="008536FC" w:rsidRPr="0014404C">
        <w:rPr>
          <w:sz w:val="22"/>
          <w:szCs w:val="22"/>
          <w:lang w:val="sr-Latn-ME" w:eastAsia="ja-JP"/>
        </w:rPr>
        <w:t xml:space="preserve">vrijednošću </w:t>
      </w:r>
      <w:r w:rsidRPr="0014404C">
        <w:rPr>
          <w:sz w:val="22"/>
          <w:szCs w:val="22"/>
          <w:lang w:val="sr-Latn-ME" w:eastAsia="ja-JP"/>
        </w:rPr>
        <w:t xml:space="preserve">HbA1c preko 10%, pacijenata sa visokorizičnom proliferativnom dijabetičkom retinopatijom (DR), visokim krvnim pritiskom (≥ 140/90 mmHg) i vaskularnom bolešću, pacijenata sa kontinuiranim intervalima doziranja kraćim od 8 </w:t>
      </w:r>
      <w:r w:rsidR="00802EFD" w:rsidRPr="0014404C">
        <w:rPr>
          <w:sz w:val="22"/>
          <w:szCs w:val="22"/>
          <w:lang w:val="sr-Latn-ME" w:eastAsia="ja-JP"/>
        </w:rPr>
        <w:t>nedjelja</w:t>
      </w:r>
      <w:r w:rsidRPr="0014404C">
        <w:rPr>
          <w:sz w:val="22"/>
          <w:szCs w:val="22"/>
          <w:lang w:val="sr-Latn-ME" w:eastAsia="ja-JP"/>
        </w:rPr>
        <w:t xml:space="preserve"> ili pacijenata sa nAMD</w:t>
      </w:r>
      <w:r w:rsidR="00EB2059" w:rsidRPr="0014404C">
        <w:rPr>
          <w:sz w:val="22"/>
          <w:szCs w:val="22"/>
          <w:lang w:val="sr-Latn-ME" w:eastAsia="ja-JP"/>
        </w:rPr>
        <w:t>,</w:t>
      </w:r>
      <w:r w:rsidRPr="0014404C">
        <w:rPr>
          <w:sz w:val="22"/>
          <w:szCs w:val="22"/>
          <w:lang w:val="sr-Latn-ME" w:eastAsia="ja-JP"/>
        </w:rPr>
        <w:t xml:space="preserve"> DME</w:t>
      </w:r>
      <w:r w:rsidR="00EB2059" w:rsidRPr="0014404C">
        <w:rPr>
          <w:sz w:val="22"/>
          <w:szCs w:val="22"/>
          <w:lang w:val="sr-Latn-ME" w:eastAsia="ja-JP"/>
        </w:rPr>
        <w:t xml:space="preserve"> i RVO</w:t>
      </w:r>
      <w:r w:rsidRPr="0014404C">
        <w:rPr>
          <w:sz w:val="22"/>
          <w:szCs w:val="22"/>
          <w:lang w:val="sr-Latn-ME" w:eastAsia="ja-JP"/>
        </w:rPr>
        <w:t xml:space="preserve"> koji imaju aktivne sistemske infekcije. Podaci o </w:t>
      </w:r>
      <w:r w:rsidR="008536FC" w:rsidRPr="0014404C">
        <w:rPr>
          <w:sz w:val="22"/>
          <w:szCs w:val="22"/>
          <w:lang w:val="sr-Latn-ME" w:eastAsia="ja-JP"/>
        </w:rPr>
        <w:t xml:space="preserve">bezbjednosti </w:t>
      </w:r>
      <w:r w:rsidRPr="0014404C">
        <w:rPr>
          <w:sz w:val="22"/>
          <w:szCs w:val="22"/>
          <w:lang w:val="sr-Latn-ME" w:eastAsia="ja-JP"/>
        </w:rPr>
        <w:t xml:space="preserve">kontinuirane </w:t>
      </w:r>
      <w:r w:rsidR="00802EFD" w:rsidRPr="0014404C">
        <w:rPr>
          <w:sz w:val="22"/>
          <w:szCs w:val="22"/>
          <w:lang w:val="sr-Latn-ME" w:eastAsia="ja-JP"/>
        </w:rPr>
        <w:t>primjene</w:t>
      </w:r>
      <w:r w:rsidRPr="0014404C">
        <w:rPr>
          <w:sz w:val="22"/>
          <w:szCs w:val="22"/>
          <w:lang w:val="sr-Latn-ME" w:eastAsia="ja-JP"/>
        </w:rPr>
        <w:t xml:space="preserve"> injekcija u intervalima od 8 </w:t>
      </w:r>
      <w:r w:rsidR="00802EFD" w:rsidRPr="0014404C">
        <w:rPr>
          <w:sz w:val="22"/>
          <w:szCs w:val="22"/>
          <w:lang w:val="sr-Latn-ME" w:eastAsia="ja-JP"/>
        </w:rPr>
        <w:t>nedjelja</w:t>
      </w:r>
      <w:r w:rsidRPr="0014404C">
        <w:rPr>
          <w:sz w:val="22"/>
          <w:szCs w:val="22"/>
          <w:lang w:val="sr-Latn-ME" w:eastAsia="ja-JP"/>
        </w:rPr>
        <w:t xml:space="preserve"> ili manje su ograničeni i takva </w:t>
      </w:r>
      <w:r w:rsidR="00802EFD" w:rsidRPr="0014404C">
        <w:rPr>
          <w:sz w:val="22"/>
          <w:szCs w:val="22"/>
          <w:lang w:val="sr-Latn-ME" w:eastAsia="ja-JP"/>
        </w:rPr>
        <w:t>primjena</w:t>
      </w:r>
      <w:r w:rsidRPr="0014404C">
        <w:rPr>
          <w:sz w:val="22"/>
          <w:szCs w:val="22"/>
          <w:lang w:val="sr-Latn-ME" w:eastAsia="ja-JP"/>
        </w:rPr>
        <w:t xml:space="preserve"> može biti povezana sa većim rizikom od očnih i sistemskih neželjenih reakcija, uključujući ozbiljne neželjene reakcije. Takođe nema iskustva sa </w:t>
      </w:r>
      <w:r w:rsidR="008536FC" w:rsidRPr="0014404C">
        <w:rPr>
          <w:sz w:val="22"/>
          <w:szCs w:val="22"/>
          <w:lang w:val="sr-Latn-ME" w:eastAsia="ja-JP"/>
        </w:rPr>
        <w:t xml:space="preserve">liječenjem </w:t>
      </w:r>
      <w:r w:rsidRPr="0014404C">
        <w:rPr>
          <w:sz w:val="22"/>
          <w:szCs w:val="22"/>
          <w:lang w:val="sr-Latn-ME" w:eastAsia="ja-JP"/>
        </w:rPr>
        <w:t xml:space="preserve">faricimabom kod pacijenata sa dijabetesom </w:t>
      </w:r>
      <w:r w:rsidR="00EB2059" w:rsidRPr="0014404C">
        <w:rPr>
          <w:sz w:val="22"/>
          <w:szCs w:val="22"/>
          <w:lang w:val="sr-Latn-ME" w:eastAsia="ja-JP"/>
        </w:rPr>
        <w:t xml:space="preserve">ili RVO </w:t>
      </w:r>
      <w:r w:rsidRPr="0014404C">
        <w:rPr>
          <w:sz w:val="22"/>
          <w:szCs w:val="22"/>
          <w:lang w:val="sr-Latn-ME" w:eastAsia="ja-JP"/>
        </w:rPr>
        <w:t>i nekontrolisanom hipertenzijom</w:t>
      </w:r>
      <w:r w:rsidR="00EB2059" w:rsidRPr="0014404C">
        <w:rPr>
          <w:sz w:val="22"/>
          <w:szCs w:val="22"/>
          <w:lang w:val="sr-Latn-ME" w:eastAsia="ja-JP"/>
        </w:rPr>
        <w:t xml:space="preserve"> i pacijenata sa RVO koji nisu odgovorili na prethodnu terapiju</w:t>
      </w:r>
      <w:r w:rsidRPr="0014404C">
        <w:rPr>
          <w:sz w:val="22"/>
          <w:szCs w:val="22"/>
          <w:lang w:val="sr-Latn-ME" w:eastAsia="ja-JP"/>
        </w:rPr>
        <w:t xml:space="preserve">. Pri </w:t>
      </w:r>
      <w:r w:rsidR="008536FC" w:rsidRPr="0014404C">
        <w:rPr>
          <w:sz w:val="22"/>
          <w:szCs w:val="22"/>
          <w:lang w:val="sr-Latn-ME" w:eastAsia="ja-JP"/>
        </w:rPr>
        <w:t xml:space="preserve">liječenju </w:t>
      </w:r>
      <w:r w:rsidRPr="0014404C">
        <w:rPr>
          <w:sz w:val="22"/>
          <w:szCs w:val="22"/>
          <w:lang w:val="sr-Latn-ME" w:eastAsia="ja-JP"/>
        </w:rPr>
        <w:t xml:space="preserve">takvih pacijenata </w:t>
      </w:r>
      <w:r w:rsidR="00802EFD" w:rsidRPr="0014404C">
        <w:rPr>
          <w:sz w:val="22"/>
          <w:szCs w:val="22"/>
          <w:lang w:val="sr-Latn-ME" w:eastAsia="ja-JP"/>
        </w:rPr>
        <w:t>ljekar</w:t>
      </w:r>
      <w:r w:rsidRPr="0014404C">
        <w:rPr>
          <w:sz w:val="22"/>
          <w:szCs w:val="22"/>
          <w:lang w:val="sr-Latn-ME" w:eastAsia="ja-JP"/>
        </w:rPr>
        <w:t xml:space="preserve"> treba da uzme u obzir pomenuti nedostatak podataka.</w:t>
      </w:r>
    </w:p>
    <w:p w14:paraId="7ACAFA77" w14:textId="77777777" w:rsidR="0036275D" w:rsidRPr="0014404C" w:rsidRDefault="0036275D" w:rsidP="0014404C">
      <w:pPr>
        <w:widowControl w:val="0"/>
        <w:jc w:val="both"/>
        <w:rPr>
          <w:sz w:val="22"/>
          <w:szCs w:val="22"/>
          <w:lang w:val="sr-Latn-ME" w:eastAsia="ja-JP"/>
        </w:rPr>
      </w:pPr>
    </w:p>
    <w:p w14:paraId="57F7B285" w14:textId="77777777" w:rsidR="0036275D" w:rsidRPr="0014404C" w:rsidRDefault="0036275D" w:rsidP="0014404C">
      <w:pPr>
        <w:widowControl w:val="0"/>
        <w:jc w:val="both"/>
        <w:rPr>
          <w:rFonts w:eastAsia="Verdana"/>
          <w:sz w:val="22"/>
          <w:szCs w:val="22"/>
          <w:u w:val="single"/>
          <w:lang w:val="sr-Latn-ME" w:eastAsia="en-GB"/>
        </w:rPr>
      </w:pPr>
      <w:r w:rsidRPr="0014404C">
        <w:rPr>
          <w:rFonts w:eastAsia="Verdana"/>
          <w:sz w:val="22"/>
          <w:szCs w:val="22"/>
          <w:u w:val="single"/>
          <w:lang w:val="sr-Latn-ME" w:eastAsia="en-GB"/>
        </w:rPr>
        <w:t>Sadržaj natrijuma</w:t>
      </w:r>
    </w:p>
    <w:p w14:paraId="54888BEE" w14:textId="77777777" w:rsidR="0036275D" w:rsidRPr="0014404C" w:rsidRDefault="0036275D" w:rsidP="0014404C">
      <w:pPr>
        <w:widowControl w:val="0"/>
        <w:jc w:val="both"/>
        <w:rPr>
          <w:rFonts w:eastAsia="Verdana"/>
          <w:sz w:val="22"/>
          <w:szCs w:val="22"/>
          <w:lang w:val="sr-Latn-ME" w:eastAsia="en-GB"/>
        </w:rPr>
      </w:pPr>
    </w:p>
    <w:p w14:paraId="156D0DB8" w14:textId="77777777" w:rsidR="00057E35" w:rsidRPr="0014404C" w:rsidRDefault="0036275D" w:rsidP="0014404C">
      <w:pPr>
        <w:widowControl w:val="0"/>
        <w:jc w:val="both"/>
        <w:rPr>
          <w:rFonts w:eastAsia="Verdana"/>
          <w:sz w:val="22"/>
          <w:szCs w:val="22"/>
          <w:lang w:val="sr-Latn-ME" w:eastAsia="en-GB"/>
        </w:rPr>
      </w:pPr>
      <w:r w:rsidRPr="0014404C">
        <w:rPr>
          <w:rFonts w:eastAsia="Verdana"/>
          <w:sz w:val="22"/>
          <w:szCs w:val="22"/>
          <w:lang w:val="sr-Latn-ME" w:eastAsia="en-GB"/>
        </w:rPr>
        <w:t xml:space="preserve">Ovaj </w:t>
      </w:r>
      <w:r w:rsidR="00802EFD" w:rsidRPr="0014404C">
        <w:rPr>
          <w:rFonts w:eastAsia="Verdana"/>
          <w:sz w:val="22"/>
          <w:szCs w:val="22"/>
          <w:lang w:val="sr-Latn-ME" w:eastAsia="en-GB"/>
        </w:rPr>
        <w:t xml:space="preserve">lijek </w:t>
      </w:r>
      <w:r w:rsidRPr="0014404C">
        <w:rPr>
          <w:rFonts w:eastAsia="Verdana"/>
          <w:sz w:val="22"/>
          <w:szCs w:val="22"/>
          <w:lang w:val="sr-Latn-ME" w:eastAsia="en-GB"/>
        </w:rPr>
        <w:t>sadrži manje od 1 mmol natrijuma (23 mg) po dozi, tj. u suštini je bez natrijuma.</w:t>
      </w:r>
    </w:p>
    <w:p w14:paraId="13B400AC" w14:textId="77777777" w:rsidR="00057E35" w:rsidRPr="0014404C" w:rsidRDefault="00057E35" w:rsidP="0014404C">
      <w:pPr>
        <w:widowControl w:val="0"/>
        <w:tabs>
          <w:tab w:val="left" w:pos="540"/>
          <w:tab w:val="left" w:pos="569"/>
        </w:tabs>
        <w:jc w:val="both"/>
        <w:rPr>
          <w:bCs/>
          <w:sz w:val="22"/>
          <w:szCs w:val="22"/>
          <w:lang w:val="sr-Latn-ME"/>
        </w:rPr>
      </w:pPr>
    </w:p>
    <w:p w14:paraId="7B8A7C21" w14:textId="2230AFA1" w:rsidR="00411B4B" w:rsidRPr="0014404C" w:rsidRDefault="00411B4B" w:rsidP="0014404C">
      <w:pPr>
        <w:widowControl w:val="0"/>
        <w:tabs>
          <w:tab w:val="left" w:pos="540"/>
          <w:tab w:val="left" w:pos="569"/>
        </w:tabs>
        <w:jc w:val="both"/>
        <w:rPr>
          <w:b/>
          <w:bCs/>
          <w:sz w:val="22"/>
          <w:szCs w:val="22"/>
          <w:lang w:val="sr-Latn-ME"/>
        </w:rPr>
      </w:pPr>
      <w:r w:rsidRPr="0014404C">
        <w:rPr>
          <w:b/>
          <w:bCs/>
          <w:sz w:val="22"/>
          <w:szCs w:val="22"/>
          <w:lang w:val="sr-Latn-ME"/>
        </w:rPr>
        <w:t>4.5.</w:t>
      </w:r>
      <w:r w:rsidR="00650B15" w:rsidRPr="0014404C">
        <w:rPr>
          <w:b/>
          <w:bCs/>
          <w:sz w:val="22"/>
          <w:szCs w:val="22"/>
          <w:lang w:val="sr-Latn-ME"/>
        </w:rPr>
        <w:t xml:space="preserve">   </w:t>
      </w:r>
      <w:r w:rsidRPr="0014404C">
        <w:rPr>
          <w:b/>
          <w:bCs/>
          <w:sz w:val="22"/>
          <w:szCs w:val="22"/>
          <w:lang w:val="sr-Latn-ME"/>
        </w:rPr>
        <w:t>Interakcije sa drugim ljekovima i druge vrste interakcija</w:t>
      </w:r>
    </w:p>
    <w:p w14:paraId="0AC9004B" w14:textId="77777777" w:rsidR="0036275D" w:rsidRPr="0014404C" w:rsidRDefault="0036275D" w:rsidP="0014404C">
      <w:pPr>
        <w:widowControl w:val="0"/>
        <w:tabs>
          <w:tab w:val="left" w:pos="540"/>
          <w:tab w:val="left" w:pos="569"/>
        </w:tabs>
        <w:jc w:val="both"/>
        <w:rPr>
          <w:b/>
          <w:bCs/>
          <w:sz w:val="22"/>
          <w:szCs w:val="22"/>
          <w:lang w:val="sr-Latn-ME"/>
        </w:rPr>
      </w:pPr>
    </w:p>
    <w:p w14:paraId="5C1CEBED" w14:textId="0BDA69F4"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Nisu sprovedena ispitivanja interakcija između </w:t>
      </w:r>
      <w:r w:rsidR="00802EFD" w:rsidRPr="0014404C">
        <w:rPr>
          <w:sz w:val="22"/>
          <w:szCs w:val="22"/>
          <w:lang w:val="sr-Latn-ME" w:eastAsia="ja-JP"/>
        </w:rPr>
        <w:t>ljekova</w:t>
      </w:r>
      <w:r w:rsidRPr="0014404C">
        <w:rPr>
          <w:sz w:val="22"/>
          <w:szCs w:val="22"/>
          <w:lang w:val="sr-Latn-ME" w:eastAsia="ja-JP"/>
        </w:rPr>
        <w:t>. Na osnovu biotransformacije i eliminacije faricimaba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5.2) ne očekuju se nikakve interakcije. Ipak, faricimab se ne </w:t>
      </w:r>
      <w:r w:rsidR="008536FC" w:rsidRPr="0014404C">
        <w:rPr>
          <w:sz w:val="22"/>
          <w:szCs w:val="22"/>
          <w:lang w:val="sr-Latn-ME" w:eastAsia="ja-JP"/>
        </w:rPr>
        <w:t xml:space="preserve">smije primjenjivati </w:t>
      </w:r>
      <w:r w:rsidRPr="0014404C">
        <w:rPr>
          <w:sz w:val="22"/>
          <w:szCs w:val="22"/>
          <w:lang w:val="sr-Latn-ME" w:eastAsia="ja-JP"/>
        </w:rPr>
        <w:t xml:space="preserve">istovremeno sa drugim sistemskim ili intraokularnim anti-VEGF </w:t>
      </w:r>
      <w:r w:rsidR="008536FC" w:rsidRPr="0014404C">
        <w:rPr>
          <w:sz w:val="22"/>
          <w:szCs w:val="22"/>
          <w:lang w:val="sr-Latn-ME" w:eastAsia="ja-JP"/>
        </w:rPr>
        <w:t xml:space="preserve">ljekovima </w:t>
      </w:r>
      <w:r w:rsidRPr="0014404C">
        <w:rPr>
          <w:sz w:val="22"/>
          <w:szCs w:val="22"/>
          <w:lang w:val="sr-Latn-ME" w:eastAsia="ja-JP"/>
        </w:rPr>
        <w:t>(</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4.4). </w:t>
      </w:r>
    </w:p>
    <w:p w14:paraId="5C93C328" w14:textId="77777777" w:rsidR="0072020E" w:rsidRPr="0014404C" w:rsidRDefault="0072020E" w:rsidP="0014404C">
      <w:pPr>
        <w:widowControl w:val="0"/>
        <w:tabs>
          <w:tab w:val="left" w:pos="540"/>
          <w:tab w:val="left" w:pos="569"/>
        </w:tabs>
        <w:jc w:val="both"/>
        <w:rPr>
          <w:bCs/>
          <w:sz w:val="22"/>
          <w:szCs w:val="22"/>
          <w:lang w:val="sr-Latn-ME"/>
        </w:rPr>
      </w:pPr>
    </w:p>
    <w:p w14:paraId="2BB2AA20" w14:textId="77777777" w:rsidR="0072020E" w:rsidRPr="0014404C" w:rsidRDefault="0072020E" w:rsidP="0014404C">
      <w:pPr>
        <w:widowControl w:val="0"/>
        <w:tabs>
          <w:tab w:val="left" w:pos="540"/>
          <w:tab w:val="left" w:pos="569"/>
        </w:tabs>
        <w:jc w:val="both"/>
        <w:rPr>
          <w:b/>
          <w:sz w:val="22"/>
          <w:szCs w:val="22"/>
          <w:lang w:val="sr-Latn-ME"/>
        </w:rPr>
      </w:pPr>
      <w:r w:rsidRPr="0014404C">
        <w:rPr>
          <w:b/>
          <w:bCs/>
          <w:sz w:val="22"/>
          <w:szCs w:val="22"/>
          <w:lang w:val="sr-Latn-ME"/>
        </w:rPr>
        <w:t xml:space="preserve">4.6. </w:t>
      </w:r>
      <w:r w:rsidR="00480FB1" w:rsidRPr="0014404C">
        <w:rPr>
          <w:b/>
          <w:bCs/>
          <w:sz w:val="22"/>
          <w:szCs w:val="22"/>
          <w:lang w:val="sr-Latn-ME"/>
        </w:rPr>
        <w:tab/>
      </w:r>
      <w:r w:rsidR="006D20A5" w:rsidRPr="0014404C">
        <w:rPr>
          <w:b/>
          <w:sz w:val="22"/>
          <w:szCs w:val="22"/>
          <w:lang w:val="sr-Latn-ME"/>
        </w:rPr>
        <w:t>Plodnost, trudnoća i dojenje</w:t>
      </w:r>
    </w:p>
    <w:p w14:paraId="00356A3E" w14:textId="77777777" w:rsidR="002031B3" w:rsidRPr="0014404C" w:rsidRDefault="002031B3" w:rsidP="0014404C">
      <w:pPr>
        <w:widowControl w:val="0"/>
        <w:tabs>
          <w:tab w:val="left" w:pos="540"/>
          <w:tab w:val="left" w:pos="569"/>
        </w:tabs>
        <w:jc w:val="both"/>
        <w:rPr>
          <w:sz w:val="22"/>
          <w:szCs w:val="22"/>
          <w:u w:val="single"/>
          <w:lang w:val="sr-Latn-ME"/>
        </w:rPr>
      </w:pPr>
    </w:p>
    <w:p w14:paraId="1C396D1F" w14:textId="77777777"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Žene u reproduktivnom periodu</w:t>
      </w:r>
    </w:p>
    <w:p w14:paraId="621BF243" w14:textId="77777777" w:rsidR="0036275D" w:rsidRPr="0014404C" w:rsidRDefault="0036275D" w:rsidP="0014404C">
      <w:pPr>
        <w:widowControl w:val="0"/>
        <w:jc w:val="both"/>
        <w:rPr>
          <w:sz w:val="22"/>
          <w:szCs w:val="22"/>
          <w:lang w:val="sr-Latn-ME" w:eastAsia="ja-JP"/>
        </w:rPr>
      </w:pPr>
    </w:p>
    <w:p w14:paraId="6529DED0" w14:textId="38131019"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Žene u reproduktivnom periodu treba da koriste </w:t>
      </w:r>
      <w:r w:rsidR="008536FC" w:rsidRPr="0014404C">
        <w:rPr>
          <w:sz w:val="22"/>
          <w:szCs w:val="22"/>
          <w:lang w:val="sr-Latn-ME" w:eastAsia="ja-JP"/>
        </w:rPr>
        <w:t xml:space="preserve">djelotvorne </w:t>
      </w:r>
      <w:r w:rsidRPr="0014404C">
        <w:rPr>
          <w:sz w:val="22"/>
          <w:szCs w:val="22"/>
          <w:lang w:val="sr-Latn-ME" w:eastAsia="ja-JP"/>
        </w:rPr>
        <w:t xml:space="preserve">metode kontracepcije tokom </w:t>
      </w:r>
      <w:r w:rsidR="008536FC" w:rsidRPr="0014404C">
        <w:rPr>
          <w:sz w:val="22"/>
          <w:szCs w:val="22"/>
          <w:lang w:val="sr-Latn-ME" w:eastAsia="ja-JP"/>
        </w:rPr>
        <w:t xml:space="preserve">liječenja </w:t>
      </w:r>
      <w:r w:rsidRPr="0014404C">
        <w:rPr>
          <w:sz w:val="22"/>
          <w:szCs w:val="22"/>
          <w:lang w:val="sr-Latn-ME" w:eastAsia="ja-JP"/>
        </w:rPr>
        <w:t xml:space="preserve">i najmanje 3 </w:t>
      </w:r>
      <w:r w:rsidR="008536FC" w:rsidRPr="0014404C">
        <w:rPr>
          <w:sz w:val="22"/>
          <w:szCs w:val="22"/>
          <w:lang w:val="sr-Latn-ME" w:eastAsia="ja-JP"/>
        </w:rPr>
        <w:t xml:space="preserve">mjeseca </w:t>
      </w:r>
      <w:r w:rsidRPr="0014404C">
        <w:rPr>
          <w:sz w:val="22"/>
          <w:szCs w:val="22"/>
          <w:lang w:val="sr-Latn-ME" w:eastAsia="ja-JP"/>
        </w:rPr>
        <w:t xml:space="preserve">nakon </w:t>
      </w:r>
      <w:r w:rsidR="008536FC" w:rsidRPr="0014404C">
        <w:rPr>
          <w:sz w:val="22"/>
          <w:szCs w:val="22"/>
          <w:lang w:val="sr-Latn-ME" w:eastAsia="ja-JP"/>
        </w:rPr>
        <w:t xml:space="preserve">posljednje </w:t>
      </w:r>
      <w:r w:rsidRPr="0014404C">
        <w:rPr>
          <w:sz w:val="22"/>
          <w:szCs w:val="22"/>
          <w:lang w:val="sr-Latn-ME" w:eastAsia="ja-JP"/>
        </w:rPr>
        <w:t xml:space="preserve">intravitrealne injekcije faricimaba. </w:t>
      </w:r>
    </w:p>
    <w:p w14:paraId="4E5D5D58" w14:textId="482C29AE" w:rsidR="00E52B27" w:rsidRPr="0014404C" w:rsidRDefault="00E52B27" w:rsidP="0014404C">
      <w:pPr>
        <w:widowControl w:val="0"/>
        <w:jc w:val="both"/>
        <w:rPr>
          <w:sz w:val="22"/>
          <w:szCs w:val="22"/>
          <w:lang w:val="sr-Latn-ME" w:eastAsia="ja-JP"/>
        </w:rPr>
      </w:pPr>
    </w:p>
    <w:p w14:paraId="1A1C6E59" w14:textId="77777777" w:rsidR="00E52B27" w:rsidRPr="0014404C" w:rsidRDefault="00E52B27" w:rsidP="0014404C">
      <w:pPr>
        <w:widowControl w:val="0"/>
        <w:jc w:val="both"/>
        <w:rPr>
          <w:sz w:val="22"/>
          <w:szCs w:val="22"/>
          <w:u w:val="single"/>
          <w:lang w:val="sr-Latn-ME"/>
        </w:rPr>
      </w:pPr>
      <w:r w:rsidRPr="0014404C">
        <w:rPr>
          <w:sz w:val="22"/>
          <w:szCs w:val="22"/>
          <w:u w:val="single"/>
          <w:lang w:val="sr-Latn-ME"/>
        </w:rPr>
        <w:t>Plodnost</w:t>
      </w:r>
    </w:p>
    <w:p w14:paraId="4FC1FC6F" w14:textId="77777777" w:rsidR="00E52B27" w:rsidRPr="0014404C" w:rsidRDefault="00E52B27" w:rsidP="0014404C">
      <w:pPr>
        <w:widowControl w:val="0"/>
        <w:jc w:val="both"/>
        <w:rPr>
          <w:sz w:val="22"/>
          <w:szCs w:val="22"/>
          <w:u w:val="single"/>
          <w:lang w:val="sr-Latn-ME"/>
        </w:rPr>
      </w:pPr>
    </w:p>
    <w:p w14:paraId="6147C1F0" w14:textId="60F76CC5" w:rsidR="00E52B27" w:rsidRPr="0014404C" w:rsidRDefault="00E52B27" w:rsidP="0014404C">
      <w:pPr>
        <w:widowControl w:val="0"/>
        <w:tabs>
          <w:tab w:val="left" w:pos="0"/>
        </w:tabs>
        <w:jc w:val="both"/>
        <w:rPr>
          <w:sz w:val="22"/>
          <w:szCs w:val="22"/>
          <w:lang w:val="sr-Latn-ME" w:eastAsia="ja-JP"/>
        </w:rPr>
      </w:pPr>
      <w:r w:rsidRPr="0014404C">
        <w:rPr>
          <w:sz w:val="22"/>
          <w:szCs w:val="22"/>
          <w:lang w:val="sr-Latn-ME" w:eastAsia="ja-JP"/>
        </w:rPr>
        <w:t>U šestomjesečnom ispitivanju faricimaba na makaki majmunima nisu primijećena dejstva na reproduktivne organe ni plodnost (vidjeti dio 5.3).</w:t>
      </w:r>
    </w:p>
    <w:p w14:paraId="1255AFAD" w14:textId="77777777" w:rsidR="0036275D" w:rsidRPr="0014404C" w:rsidRDefault="0036275D" w:rsidP="0014404C">
      <w:pPr>
        <w:widowControl w:val="0"/>
        <w:jc w:val="both"/>
        <w:rPr>
          <w:sz w:val="22"/>
          <w:szCs w:val="22"/>
          <w:u w:val="single"/>
          <w:lang w:val="sr-Latn-ME"/>
        </w:rPr>
      </w:pPr>
    </w:p>
    <w:p w14:paraId="7C4138B7" w14:textId="77777777" w:rsidR="0036275D" w:rsidRPr="0014404C" w:rsidRDefault="0036275D" w:rsidP="0014404C">
      <w:pPr>
        <w:widowControl w:val="0"/>
        <w:jc w:val="both"/>
        <w:rPr>
          <w:sz w:val="22"/>
          <w:szCs w:val="22"/>
          <w:u w:val="single"/>
          <w:lang w:val="sr-Latn-ME"/>
        </w:rPr>
      </w:pPr>
      <w:r w:rsidRPr="0014404C">
        <w:rPr>
          <w:sz w:val="22"/>
          <w:szCs w:val="22"/>
          <w:u w:val="single"/>
          <w:lang w:val="sr-Latn-ME"/>
        </w:rPr>
        <w:t>Trudnoća</w:t>
      </w:r>
    </w:p>
    <w:p w14:paraId="6D29BF83" w14:textId="77777777" w:rsidR="0036275D" w:rsidRPr="0014404C" w:rsidRDefault="0036275D" w:rsidP="0014404C">
      <w:pPr>
        <w:widowControl w:val="0"/>
        <w:jc w:val="both"/>
        <w:rPr>
          <w:sz w:val="22"/>
          <w:szCs w:val="22"/>
          <w:u w:val="single"/>
          <w:lang w:val="sr-Latn-ME"/>
        </w:rPr>
      </w:pPr>
    </w:p>
    <w:p w14:paraId="75A4E851" w14:textId="3571A592"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Nema podataka o upotrebi faricimaba kod trudnica ili su ti podaci ograničeni. Sistemska izloženost faricimabu nakon intraokularne </w:t>
      </w:r>
      <w:r w:rsidR="00802EFD" w:rsidRPr="0014404C">
        <w:rPr>
          <w:sz w:val="22"/>
          <w:szCs w:val="22"/>
          <w:lang w:val="sr-Latn-ME" w:eastAsia="ja-JP"/>
        </w:rPr>
        <w:t>primjene</w:t>
      </w:r>
      <w:r w:rsidRPr="0014404C">
        <w:rPr>
          <w:sz w:val="22"/>
          <w:szCs w:val="22"/>
          <w:lang w:val="sr-Latn-ME" w:eastAsia="ja-JP"/>
        </w:rPr>
        <w:t xml:space="preserve"> je mala, ali zbog svog mehanizma </w:t>
      </w:r>
      <w:r w:rsidR="008536FC" w:rsidRPr="0014404C">
        <w:rPr>
          <w:sz w:val="22"/>
          <w:szCs w:val="22"/>
          <w:lang w:val="sr-Latn-ME" w:eastAsia="ja-JP"/>
        </w:rPr>
        <w:t xml:space="preserve">djelovanja </w:t>
      </w:r>
      <w:r w:rsidRPr="0014404C">
        <w:rPr>
          <w:sz w:val="22"/>
          <w:szCs w:val="22"/>
          <w:lang w:val="sr-Latn-ME" w:eastAsia="ja-JP"/>
        </w:rPr>
        <w:t>(tj. inhibicije VEGF) faricimab se mora smatrati potencijalno teratogenim i toksičnim za embrion i fetus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5.3).</w:t>
      </w:r>
    </w:p>
    <w:p w14:paraId="527162A3" w14:textId="77777777" w:rsidR="0036275D" w:rsidRPr="0014404C" w:rsidRDefault="0036275D" w:rsidP="0014404C">
      <w:pPr>
        <w:widowControl w:val="0"/>
        <w:jc w:val="both"/>
        <w:rPr>
          <w:sz w:val="22"/>
          <w:szCs w:val="22"/>
          <w:lang w:val="sr-Latn-ME" w:eastAsia="ja-JP"/>
        </w:rPr>
      </w:pPr>
    </w:p>
    <w:p w14:paraId="62E1E0C1"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Faricimab ne treba koristiti tokom trudnoće, osim ukoliko potencijalna korist za majku nadmašuje potencijalni rizik za fetus.</w:t>
      </w:r>
    </w:p>
    <w:p w14:paraId="0E782847" w14:textId="77777777" w:rsidR="0036275D" w:rsidRPr="0014404C" w:rsidRDefault="0036275D" w:rsidP="0014404C">
      <w:pPr>
        <w:widowControl w:val="0"/>
        <w:jc w:val="both"/>
        <w:rPr>
          <w:sz w:val="22"/>
          <w:szCs w:val="22"/>
          <w:lang w:val="sr-Latn-ME"/>
        </w:rPr>
      </w:pPr>
    </w:p>
    <w:p w14:paraId="32ADEF4E" w14:textId="77777777" w:rsidR="0036275D" w:rsidRPr="0014404C" w:rsidRDefault="0036275D" w:rsidP="0014404C">
      <w:pPr>
        <w:widowControl w:val="0"/>
        <w:jc w:val="both"/>
        <w:rPr>
          <w:sz w:val="22"/>
          <w:szCs w:val="22"/>
          <w:u w:val="single"/>
          <w:lang w:val="sr-Latn-ME"/>
        </w:rPr>
      </w:pPr>
      <w:r w:rsidRPr="0014404C">
        <w:rPr>
          <w:sz w:val="22"/>
          <w:szCs w:val="22"/>
          <w:u w:val="single"/>
          <w:lang w:val="sr-Latn-ME"/>
        </w:rPr>
        <w:t>Dojenje</w:t>
      </w:r>
    </w:p>
    <w:p w14:paraId="55C25010" w14:textId="77777777" w:rsidR="0036275D" w:rsidRPr="0014404C" w:rsidRDefault="0036275D" w:rsidP="0014404C">
      <w:pPr>
        <w:widowControl w:val="0"/>
        <w:jc w:val="both"/>
        <w:rPr>
          <w:sz w:val="22"/>
          <w:szCs w:val="22"/>
          <w:u w:val="single"/>
          <w:lang w:val="sr-Latn-ME"/>
        </w:rPr>
      </w:pPr>
    </w:p>
    <w:p w14:paraId="2DAA8B57" w14:textId="0ADA5489" w:rsidR="0036275D" w:rsidRPr="0014404C" w:rsidRDefault="0036275D" w:rsidP="0014404C">
      <w:pPr>
        <w:widowControl w:val="0"/>
        <w:jc w:val="both"/>
        <w:rPr>
          <w:strike/>
          <w:sz w:val="22"/>
          <w:szCs w:val="22"/>
          <w:lang w:val="sr-Latn-ME"/>
        </w:rPr>
      </w:pPr>
      <w:r w:rsidRPr="0014404C">
        <w:rPr>
          <w:sz w:val="22"/>
          <w:szCs w:val="22"/>
          <w:lang w:val="sr-Latn-ME" w:eastAsia="ja-JP"/>
        </w:rPr>
        <w:t xml:space="preserve">Nije poznato da li se faricimab izlučuje u majčino </w:t>
      </w:r>
      <w:r w:rsidR="00AC1659" w:rsidRPr="0014404C">
        <w:rPr>
          <w:sz w:val="22"/>
          <w:szCs w:val="22"/>
          <w:lang w:val="sr-Latn-ME" w:eastAsia="ja-JP"/>
        </w:rPr>
        <w:t>ml</w:t>
      </w:r>
      <w:r w:rsidR="008536FC" w:rsidRPr="0014404C">
        <w:rPr>
          <w:sz w:val="22"/>
          <w:szCs w:val="22"/>
          <w:lang w:val="sr-Latn-ME" w:eastAsia="ja-JP"/>
        </w:rPr>
        <w:t xml:space="preserve">ijeko </w:t>
      </w:r>
      <w:r w:rsidRPr="0014404C">
        <w:rPr>
          <w:sz w:val="22"/>
          <w:szCs w:val="22"/>
          <w:lang w:val="sr-Latn-ME" w:eastAsia="ja-JP"/>
        </w:rPr>
        <w:t xml:space="preserve">kod ljudi. Rizik za dojenu novorođenčad/odojčad ne može se isključiti. </w:t>
      </w:r>
      <w:r w:rsidR="00802EFD" w:rsidRPr="0014404C">
        <w:rPr>
          <w:sz w:val="22"/>
          <w:szCs w:val="22"/>
          <w:lang w:val="sr-Latn-ME" w:eastAsia="ja-JP"/>
        </w:rPr>
        <w:t xml:space="preserve">Lijek </w:t>
      </w:r>
      <w:r w:rsidRPr="0014404C">
        <w:rPr>
          <w:sz w:val="22"/>
          <w:szCs w:val="22"/>
          <w:lang w:val="sr-Latn-ME" w:eastAsia="ja-JP"/>
        </w:rPr>
        <w:t xml:space="preserve">Vabysmo ne treba koristiti tokom dojenja. Potrebno je odlučiti da li će se prekinuti dojenje ili će se prekinuti/uzdržati od terapije faricimabom, imajući pritom na umu korist od dojenja za </w:t>
      </w:r>
      <w:r w:rsidR="008536FC" w:rsidRPr="0014404C">
        <w:rPr>
          <w:sz w:val="22"/>
          <w:szCs w:val="22"/>
          <w:lang w:val="sr-Latn-ME" w:eastAsia="ja-JP"/>
        </w:rPr>
        <w:t xml:space="preserve">dijete </w:t>
      </w:r>
      <w:r w:rsidRPr="0014404C">
        <w:rPr>
          <w:sz w:val="22"/>
          <w:szCs w:val="22"/>
          <w:lang w:val="sr-Latn-ME" w:eastAsia="ja-JP"/>
        </w:rPr>
        <w:t xml:space="preserve">i korist od terapije </w:t>
      </w:r>
      <w:r w:rsidR="008536FC" w:rsidRPr="0014404C">
        <w:rPr>
          <w:sz w:val="22"/>
          <w:szCs w:val="22"/>
          <w:lang w:val="sr-Latn-ME" w:eastAsia="ja-JP"/>
        </w:rPr>
        <w:t xml:space="preserve">lijekom </w:t>
      </w:r>
      <w:r w:rsidRPr="0014404C">
        <w:rPr>
          <w:sz w:val="22"/>
          <w:szCs w:val="22"/>
          <w:lang w:val="sr-Latn-ME" w:eastAsia="ja-JP"/>
        </w:rPr>
        <w:t>za majku.</w:t>
      </w:r>
    </w:p>
    <w:p w14:paraId="18B46D9E" w14:textId="77777777" w:rsidR="0036275D" w:rsidRPr="0014404C" w:rsidRDefault="0036275D" w:rsidP="0014404C">
      <w:pPr>
        <w:widowControl w:val="0"/>
        <w:tabs>
          <w:tab w:val="left" w:pos="540"/>
          <w:tab w:val="left" w:pos="569"/>
        </w:tabs>
        <w:jc w:val="both"/>
        <w:rPr>
          <w:b/>
          <w:bCs/>
          <w:sz w:val="22"/>
          <w:szCs w:val="22"/>
          <w:lang w:val="sr-Latn-ME"/>
        </w:rPr>
      </w:pPr>
    </w:p>
    <w:p w14:paraId="5CDDF7DA" w14:textId="77777777" w:rsidR="0072020E" w:rsidRPr="0014404C" w:rsidRDefault="0072020E" w:rsidP="0014404C">
      <w:pPr>
        <w:widowControl w:val="0"/>
        <w:tabs>
          <w:tab w:val="left" w:pos="540"/>
          <w:tab w:val="left" w:pos="569"/>
        </w:tabs>
        <w:ind w:left="540" w:hanging="540"/>
        <w:jc w:val="both"/>
        <w:rPr>
          <w:b/>
          <w:bCs/>
          <w:sz w:val="22"/>
          <w:szCs w:val="22"/>
          <w:lang w:val="sr-Latn-ME"/>
        </w:rPr>
      </w:pPr>
      <w:r w:rsidRPr="0014404C">
        <w:rPr>
          <w:b/>
          <w:bCs/>
          <w:sz w:val="22"/>
          <w:szCs w:val="22"/>
          <w:lang w:val="sr-Latn-ME"/>
        </w:rPr>
        <w:t xml:space="preserve">4.7. </w:t>
      </w:r>
      <w:r w:rsidR="00480FB1" w:rsidRPr="0014404C">
        <w:rPr>
          <w:b/>
          <w:bCs/>
          <w:sz w:val="22"/>
          <w:szCs w:val="22"/>
          <w:lang w:val="sr-Latn-ME"/>
        </w:rPr>
        <w:tab/>
      </w:r>
      <w:r w:rsidRPr="0014404C">
        <w:rPr>
          <w:b/>
          <w:bCs/>
          <w:sz w:val="22"/>
          <w:szCs w:val="22"/>
          <w:lang w:val="sr-Latn-ME"/>
        </w:rPr>
        <w:t xml:space="preserve">Uticaj na </w:t>
      </w:r>
      <w:r w:rsidR="002031B3" w:rsidRPr="0014404C">
        <w:rPr>
          <w:b/>
          <w:bCs/>
          <w:sz w:val="22"/>
          <w:szCs w:val="22"/>
          <w:lang w:val="sr-Latn-ME"/>
        </w:rPr>
        <w:t xml:space="preserve">sposobnost </w:t>
      </w:r>
      <w:r w:rsidR="00F34554" w:rsidRPr="0014404C">
        <w:rPr>
          <w:b/>
          <w:bCs/>
          <w:sz w:val="22"/>
          <w:szCs w:val="22"/>
          <w:lang w:val="sr-Latn-ME"/>
        </w:rPr>
        <w:t>upravljanja vozili</w:t>
      </w:r>
      <w:r w:rsidRPr="0014404C">
        <w:rPr>
          <w:b/>
          <w:bCs/>
          <w:sz w:val="22"/>
          <w:szCs w:val="22"/>
          <w:lang w:val="sr-Latn-ME"/>
        </w:rPr>
        <w:t>m</w:t>
      </w:r>
      <w:r w:rsidR="00F34554" w:rsidRPr="0014404C">
        <w:rPr>
          <w:b/>
          <w:bCs/>
          <w:sz w:val="22"/>
          <w:szCs w:val="22"/>
          <w:lang w:val="sr-Latn-ME"/>
        </w:rPr>
        <w:t>a</w:t>
      </w:r>
      <w:r w:rsidRPr="0014404C">
        <w:rPr>
          <w:b/>
          <w:bCs/>
          <w:sz w:val="22"/>
          <w:szCs w:val="22"/>
          <w:lang w:val="sr-Latn-ME"/>
        </w:rPr>
        <w:t xml:space="preserve"> i </w:t>
      </w:r>
      <w:r w:rsidR="000D3449" w:rsidRPr="0014404C">
        <w:rPr>
          <w:b/>
          <w:bCs/>
          <w:sz w:val="22"/>
          <w:szCs w:val="22"/>
          <w:lang w:val="sr-Latn-ME"/>
        </w:rPr>
        <w:t xml:space="preserve">rukovanje </w:t>
      </w:r>
      <w:r w:rsidRPr="0014404C">
        <w:rPr>
          <w:b/>
          <w:bCs/>
          <w:sz w:val="22"/>
          <w:szCs w:val="22"/>
          <w:lang w:val="sr-Latn-ME"/>
        </w:rPr>
        <w:t>mašinama</w:t>
      </w:r>
    </w:p>
    <w:p w14:paraId="4A7A3B8A" w14:textId="77777777" w:rsidR="0036275D" w:rsidRPr="0014404C" w:rsidRDefault="0036275D" w:rsidP="0014404C">
      <w:pPr>
        <w:widowControl w:val="0"/>
        <w:tabs>
          <w:tab w:val="left" w:pos="540"/>
          <w:tab w:val="left" w:pos="569"/>
        </w:tabs>
        <w:ind w:left="540" w:hanging="540"/>
        <w:jc w:val="both"/>
        <w:rPr>
          <w:b/>
          <w:bCs/>
          <w:sz w:val="22"/>
          <w:szCs w:val="22"/>
          <w:lang w:val="sr-Latn-ME"/>
        </w:rPr>
      </w:pPr>
    </w:p>
    <w:p w14:paraId="4E4AF2B3" w14:textId="157B3D32" w:rsidR="0036275D" w:rsidRPr="0014404C" w:rsidRDefault="00802EFD" w:rsidP="0014404C">
      <w:pPr>
        <w:widowControl w:val="0"/>
        <w:jc w:val="both"/>
        <w:rPr>
          <w:sz w:val="22"/>
          <w:szCs w:val="22"/>
          <w:lang w:val="sr-Latn-ME" w:eastAsia="ja-JP"/>
        </w:rPr>
      </w:pPr>
      <w:r w:rsidRPr="0014404C">
        <w:rPr>
          <w:sz w:val="22"/>
          <w:szCs w:val="22"/>
          <w:lang w:val="sr-Latn-ME" w:eastAsia="ja-JP"/>
        </w:rPr>
        <w:lastRenderedPageBreak/>
        <w:t xml:space="preserve">Lijek </w:t>
      </w:r>
      <w:r w:rsidR="0036275D" w:rsidRPr="0014404C">
        <w:rPr>
          <w:sz w:val="22"/>
          <w:szCs w:val="22"/>
          <w:lang w:val="sr-Latn-ME" w:eastAsia="ja-JP"/>
        </w:rPr>
        <w:t xml:space="preserve">Vabysmo ima mali uticaj na sposobnost upravljanja motornim vozilima i rukovanja mašinama. Nakon intravitrealne injekcije i propratnog očnog pregleda mogu se javiti prolazni poremećaji vida. Pacijenti ne </w:t>
      </w:r>
      <w:r w:rsidR="008536FC" w:rsidRPr="0014404C">
        <w:rPr>
          <w:sz w:val="22"/>
          <w:szCs w:val="22"/>
          <w:lang w:val="sr-Latn-ME" w:eastAsia="ja-JP"/>
        </w:rPr>
        <w:t xml:space="preserve">smiju </w:t>
      </w:r>
      <w:r w:rsidR="0036275D" w:rsidRPr="0014404C">
        <w:rPr>
          <w:sz w:val="22"/>
          <w:szCs w:val="22"/>
          <w:lang w:val="sr-Latn-ME" w:eastAsia="ja-JP"/>
        </w:rPr>
        <w:t>da upravljaju vozilima ni da rukuju mašinama dok se funkcija vida dovoljno ne povrati.</w:t>
      </w:r>
    </w:p>
    <w:p w14:paraId="2C4DA781" w14:textId="77777777" w:rsidR="0072020E" w:rsidRPr="0014404C" w:rsidRDefault="0072020E" w:rsidP="0014404C">
      <w:pPr>
        <w:widowControl w:val="0"/>
        <w:tabs>
          <w:tab w:val="left" w:pos="540"/>
          <w:tab w:val="left" w:pos="569"/>
        </w:tabs>
        <w:jc w:val="both"/>
        <w:rPr>
          <w:b/>
          <w:bCs/>
          <w:sz w:val="22"/>
          <w:szCs w:val="22"/>
          <w:lang w:val="sr-Latn-ME"/>
        </w:rPr>
      </w:pPr>
    </w:p>
    <w:p w14:paraId="52D79FA8" w14:textId="77777777" w:rsidR="00650B15"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4.8. </w:t>
      </w:r>
      <w:r w:rsidR="00480FB1" w:rsidRPr="0014404C">
        <w:rPr>
          <w:b/>
          <w:bCs/>
          <w:sz w:val="22"/>
          <w:szCs w:val="22"/>
          <w:lang w:val="sr-Latn-ME"/>
        </w:rPr>
        <w:tab/>
      </w:r>
      <w:r w:rsidRPr="0014404C">
        <w:rPr>
          <w:b/>
          <w:bCs/>
          <w:sz w:val="22"/>
          <w:szCs w:val="22"/>
          <w:lang w:val="sr-Latn-ME"/>
        </w:rPr>
        <w:t>Neželjena dejstva</w:t>
      </w:r>
    </w:p>
    <w:p w14:paraId="6EC6F026" w14:textId="17B62BAA" w:rsidR="00650B15" w:rsidRPr="0014404C" w:rsidRDefault="00650B15" w:rsidP="0014404C">
      <w:pPr>
        <w:widowControl w:val="0"/>
        <w:tabs>
          <w:tab w:val="left" w:pos="540"/>
          <w:tab w:val="left" w:pos="569"/>
        </w:tabs>
        <w:jc w:val="both"/>
        <w:rPr>
          <w:b/>
          <w:bCs/>
          <w:sz w:val="22"/>
          <w:szCs w:val="22"/>
          <w:lang w:val="sr-Latn-ME"/>
        </w:rPr>
      </w:pPr>
    </w:p>
    <w:p w14:paraId="6EB62AF3" w14:textId="5F522E4C" w:rsidR="0036275D" w:rsidRPr="0014404C" w:rsidRDefault="0036275D" w:rsidP="0014404C">
      <w:pPr>
        <w:widowControl w:val="0"/>
        <w:tabs>
          <w:tab w:val="left" w:pos="540"/>
          <w:tab w:val="left" w:pos="569"/>
        </w:tabs>
        <w:jc w:val="both"/>
        <w:rPr>
          <w:b/>
          <w:bCs/>
          <w:sz w:val="22"/>
          <w:szCs w:val="22"/>
          <w:lang w:val="sr-Latn-ME"/>
        </w:rPr>
      </w:pPr>
      <w:r w:rsidRPr="0014404C">
        <w:rPr>
          <w:sz w:val="22"/>
          <w:szCs w:val="22"/>
          <w:u w:val="single"/>
          <w:lang w:val="sr-Latn-ME"/>
        </w:rPr>
        <w:t xml:space="preserve">Sažetak </w:t>
      </w:r>
      <w:r w:rsidR="008536FC" w:rsidRPr="0014404C">
        <w:rPr>
          <w:sz w:val="22"/>
          <w:szCs w:val="22"/>
          <w:u w:val="single"/>
          <w:lang w:val="sr-Latn-ME"/>
        </w:rPr>
        <w:t xml:space="preserve">bezbjednosnog </w:t>
      </w:r>
      <w:r w:rsidRPr="0014404C">
        <w:rPr>
          <w:sz w:val="22"/>
          <w:szCs w:val="22"/>
          <w:u w:val="single"/>
          <w:lang w:val="sr-Latn-ME"/>
        </w:rPr>
        <w:t>profila</w:t>
      </w:r>
    </w:p>
    <w:p w14:paraId="5D9A9001" w14:textId="77777777" w:rsidR="0036275D" w:rsidRPr="0014404C" w:rsidRDefault="0036275D" w:rsidP="0014404C">
      <w:pPr>
        <w:widowControl w:val="0"/>
        <w:autoSpaceDE w:val="0"/>
        <w:autoSpaceDN w:val="0"/>
        <w:adjustRightInd w:val="0"/>
        <w:jc w:val="both"/>
        <w:rPr>
          <w:sz w:val="22"/>
          <w:szCs w:val="22"/>
          <w:lang w:val="sr-Latn-ME"/>
        </w:rPr>
      </w:pPr>
    </w:p>
    <w:p w14:paraId="0D936D94" w14:textId="2618953E"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Najčešće prijavljene neželjene reakcije bile su katarakta (</w:t>
      </w:r>
      <w:r w:rsidR="00EB2059" w:rsidRPr="0014404C">
        <w:rPr>
          <w:sz w:val="22"/>
          <w:szCs w:val="22"/>
          <w:lang w:val="sr-Latn-ME" w:eastAsia="ja-JP"/>
        </w:rPr>
        <w:t>10</w:t>
      </w:r>
      <w:r w:rsidRPr="0014404C">
        <w:rPr>
          <w:sz w:val="22"/>
          <w:szCs w:val="22"/>
          <w:lang w:val="sr-Latn-ME" w:eastAsia="ja-JP"/>
        </w:rPr>
        <w:t>%), konju</w:t>
      </w:r>
      <w:r w:rsidR="003B2229" w:rsidRPr="0014404C">
        <w:rPr>
          <w:sz w:val="22"/>
          <w:szCs w:val="22"/>
          <w:lang w:val="sr-Latn-ME" w:eastAsia="ja-JP"/>
        </w:rPr>
        <w:t>n</w:t>
      </w:r>
      <w:r w:rsidRPr="0014404C">
        <w:rPr>
          <w:sz w:val="22"/>
          <w:szCs w:val="22"/>
          <w:lang w:val="sr-Latn-ME" w:eastAsia="ja-JP"/>
        </w:rPr>
        <w:t>ktivalno krvarenje (</w:t>
      </w:r>
      <w:r w:rsidR="00EB2059" w:rsidRPr="0014404C">
        <w:rPr>
          <w:sz w:val="22"/>
          <w:szCs w:val="22"/>
          <w:lang w:val="sr-Latn-ME" w:eastAsia="ja-JP"/>
        </w:rPr>
        <w:t>7</w:t>
      </w:r>
      <w:r w:rsidRPr="0014404C">
        <w:rPr>
          <w:sz w:val="22"/>
          <w:szCs w:val="22"/>
          <w:lang w:val="sr-Latn-ME" w:eastAsia="ja-JP"/>
        </w:rPr>
        <w:t xml:space="preserve">%), </w:t>
      </w:r>
      <w:r w:rsidR="00A60A10" w:rsidRPr="0014404C">
        <w:rPr>
          <w:sz w:val="22"/>
          <w:szCs w:val="22"/>
          <w:lang w:val="sr-Latn-ME" w:eastAsia="ja-JP"/>
        </w:rPr>
        <w:t>odvajanje staklastog tijela (</w:t>
      </w:r>
      <w:r w:rsidR="00EB2059" w:rsidRPr="0014404C">
        <w:rPr>
          <w:sz w:val="22"/>
          <w:szCs w:val="22"/>
          <w:lang w:val="sr-Latn-ME" w:eastAsia="ja-JP"/>
        </w:rPr>
        <w:t>4</w:t>
      </w:r>
      <w:r w:rsidR="00A60A10" w:rsidRPr="0014404C">
        <w:rPr>
          <w:sz w:val="22"/>
          <w:szCs w:val="22"/>
          <w:lang w:val="sr-Latn-ME" w:eastAsia="ja-JP"/>
        </w:rPr>
        <w:t xml:space="preserve">%), </w:t>
      </w:r>
      <w:r w:rsidRPr="0014404C">
        <w:rPr>
          <w:sz w:val="22"/>
          <w:szCs w:val="22"/>
          <w:lang w:val="sr-Latn-ME" w:eastAsia="ja-JP"/>
        </w:rPr>
        <w:t xml:space="preserve">povišen intraokularni pritisak (4%), plutajuće mrlje u staklastom </w:t>
      </w:r>
      <w:r w:rsidR="008536FC" w:rsidRPr="0014404C">
        <w:rPr>
          <w:sz w:val="22"/>
          <w:szCs w:val="22"/>
          <w:lang w:val="sr-Latn-ME" w:eastAsia="ja-JP"/>
        </w:rPr>
        <w:t xml:space="preserve">tijelu </w:t>
      </w:r>
      <w:r w:rsidRPr="0014404C">
        <w:rPr>
          <w:sz w:val="22"/>
          <w:szCs w:val="22"/>
          <w:lang w:val="sr-Latn-ME" w:eastAsia="ja-JP"/>
        </w:rPr>
        <w:t xml:space="preserve">(4%), bol u oku (3%) i </w:t>
      </w:r>
      <w:r w:rsidR="008536FC" w:rsidRPr="0014404C">
        <w:rPr>
          <w:sz w:val="22"/>
          <w:szCs w:val="22"/>
          <w:lang w:val="sr-Latn-ME" w:eastAsia="ja-JP"/>
        </w:rPr>
        <w:t xml:space="preserve">rascjep </w:t>
      </w:r>
      <w:r w:rsidRPr="0014404C">
        <w:rPr>
          <w:sz w:val="22"/>
          <w:szCs w:val="22"/>
          <w:lang w:val="sr-Latn-ME" w:eastAsia="ja-JP"/>
        </w:rPr>
        <w:t xml:space="preserve">pigmentnog epitela mrežnjače (samo kod nAMD) (3%). </w:t>
      </w:r>
    </w:p>
    <w:p w14:paraId="6BDF79DD" w14:textId="77777777" w:rsidR="0036275D" w:rsidRPr="0014404C" w:rsidRDefault="0036275D" w:rsidP="0014404C">
      <w:pPr>
        <w:widowControl w:val="0"/>
        <w:autoSpaceDE w:val="0"/>
        <w:autoSpaceDN w:val="0"/>
        <w:adjustRightInd w:val="0"/>
        <w:jc w:val="both"/>
        <w:rPr>
          <w:sz w:val="22"/>
          <w:szCs w:val="22"/>
          <w:lang w:val="sr-Latn-ME" w:eastAsia="ja-JP"/>
        </w:rPr>
      </w:pPr>
    </w:p>
    <w:p w14:paraId="77530ED7" w14:textId="5F2400ED"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Najozbiljnije neželjene reakcije bile su uveitis (0,</w:t>
      </w:r>
      <w:r w:rsidR="00EB2059" w:rsidRPr="0014404C">
        <w:rPr>
          <w:sz w:val="22"/>
          <w:szCs w:val="22"/>
          <w:lang w:val="sr-Latn-ME" w:eastAsia="ja-JP"/>
        </w:rPr>
        <w:t>5</w:t>
      </w:r>
      <w:r w:rsidRPr="0014404C">
        <w:rPr>
          <w:sz w:val="22"/>
          <w:szCs w:val="22"/>
          <w:lang w:val="sr-Latn-ME" w:eastAsia="ja-JP"/>
        </w:rPr>
        <w:t>%), endoftalmitis (0,</w:t>
      </w:r>
      <w:r w:rsidR="00EB2059" w:rsidRPr="0014404C">
        <w:rPr>
          <w:sz w:val="22"/>
          <w:szCs w:val="22"/>
          <w:lang w:val="sr-Latn-ME" w:eastAsia="ja-JP"/>
        </w:rPr>
        <w:t>4</w:t>
      </w:r>
      <w:r w:rsidRPr="0014404C">
        <w:rPr>
          <w:sz w:val="22"/>
          <w:szCs w:val="22"/>
          <w:lang w:val="sr-Latn-ME" w:eastAsia="ja-JP"/>
        </w:rPr>
        <w:t xml:space="preserve">%), </w:t>
      </w:r>
      <w:r w:rsidR="00A60A10" w:rsidRPr="0014404C">
        <w:rPr>
          <w:sz w:val="22"/>
          <w:szCs w:val="22"/>
          <w:lang w:val="sr-Latn-ME" w:eastAsia="ja-JP"/>
        </w:rPr>
        <w:t>vitritis (0,</w:t>
      </w:r>
      <w:r w:rsidR="00EB2059" w:rsidRPr="0014404C">
        <w:rPr>
          <w:sz w:val="22"/>
          <w:szCs w:val="22"/>
          <w:lang w:val="sr-Latn-ME" w:eastAsia="ja-JP"/>
        </w:rPr>
        <w:t>4</w:t>
      </w:r>
      <w:r w:rsidR="00A60A10" w:rsidRPr="0014404C">
        <w:rPr>
          <w:sz w:val="22"/>
          <w:szCs w:val="22"/>
          <w:lang w:val="sr-Latn-ME" w:eastAsia="ja-JP"/>
        </w:rPr>
        <w:t xml:space="preserve">%), </w:t>
      </w:r>
      <w:r w:rsidR="008536FC" w:rsidRPr="0014404C">
        <w:rPr>
          <w:sz w:val="22"/>
          <w:szCs w:val="22"/>
          <w:lang w:val="sr-Latn-ME" w:eastAsia="ja-JP"/>
        </w:rPr>
        <w:t xml:space="preserve">rascjep </w:t>
      </w:r>
      <w:r w:rsidRPr="0014404C">
        <w:rPr>
          <w:sz w:val="22"/>
          <w:szCs w:val="22"/>
          <w:lang w:val="sr-Latn-ME" w:eastAsia="ja-JP"/>
        </w:rPr>
        <w:t>mrežnjače (0,2%)</w:t>
      </w:r>
      <w:r w:rsidR="00A60A10" w:rsidRPr="0014404C">
        <w:rPr>
          <w:sz w:val="22"/>
          <w:szCs w:val="22"/>
          <w:lang w:val="sr-Latn-ME" w:eastAsia="ja-JP"/>
        </w:rPr>
        <w:t>,</w:t>
      </w:r>
      <w:r w:rsidRPr="0014404C">
        <w:rPr>
          <w:sz w:val="22"/>
          <w:szCs w:val="22"/>
          <w:lang w:val="sr-Latn-ME" w:eastAsia="ja-JP"/>
        </w:rPr>
        <w:t xml:space="preserve"> regmatogeno odvajanje mrežnjače (0,1%) </w:t>
      </w:r>
      <w:r w:rsidR="00A60A10" w:rsidRPr="0014404C">
        <w:rPr>
          <w:sz w:val="22"/>
          <w:szCs w:val="22"/>
          <w:lang w:val="sr-Latn-ME" w:eastAsia="ja-JP"/>
        </w:rPr>
        <w:t xml:space="preserve">i traumatska katarakta (&lt; 0,1%) </w:t>
      </w:r>
      <w:r w:rsidRPr="0014404C">
        <w:rPr>
          <w:sz w:val="22"/>
          <w:szCs w:val="22"/>
          <w:lang w:val="sr-Latn-ME" w:eastAsia="ja-JP"/>
        </w:rPr>
        <w:t>(</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4.4).</w:t>
      </w:r>
    </w:p>
    <w:p w14:paraId="486D3C2D" w14:textId="77777777" w:rsidR="0036275D" w:rsidRPr="0014404C" w:rsidRDefault="0036275D" w:rsidP="0014404C">
      <w:pPr>
        <w:widowControl w:val="0"/>
        <w:autoSpaceDE w:val="0"/>
        <w:autoSpaceDN w:val="0"/>
        <w:adjustRightInd w:val="0"/>
        <w:jc w:val="both"/>
        <w:rPr>
          <w:sz w:val="22"/>
          <w:szCs w:val="22"/>
          <w:lang w:val="sr-Latn-ME" w:eastAsia="ja-JP"/>
        </w:rPr>
      </w:pPr>
    </w:p>
    <w:p w14:paraId="21AA5DBF" w14:textId="77777777" w:rsidR="0036275D" w:rsidRPr="0014404C" w:rsidRDefault="0036275D" w:rsidP="0014404C">
      <w:pPr>
        <w:widowControl w:val="0"/>
        <w:autoSpaceDE w:val="0"/>
        <w:autoSpaceDN w:val="0"/>
        <w:adjustRightInd w:val="0"/>
        <w:jc w:val="both"/>
        <w:rPr>
          <w:sz w:val="22"/>
          <w:szCs w:val="22"/>
          <w:u w:val="single"/>
          <w:lang w:val="sr-Latn-ME" w:eastAsia="ja-JP"/>
        </w:rPr>
      </w:pPr>
      <w:r w:rsidRPr="0014404C">
        <w:rPr>
          <w:sz w:val="22"/>
          <w:szCs w:val="22"/>
          <w:u w:val="single"/>
          <w:lang w:val="sr-Latn-ME" w:eastAsia="ja-JP"/>
        </w:rPr>
        <w:t>Tabelarni prikaz neželjenih reakcija</w:t>
      </w:r>
    </w:p>
    <w:p w14:paraId="1FDB223C" w14:textId="77777777" w:rsidR="0036275D" w:rsidRPr="0014404C" w:rsidRDefault="0036275D" w:rsidP="0014404C">
      <w:pPr>
        <w:widowControl w:val="0"/>
        <w:autoSpaceDE w:val="0"/>
        <w:autoSpaceDN w:val="0"/>
        <w:adjustRightInd w:val="0"/>
        <w:jc w:val="both"/>
        <w:rPr>
          <w:sz w:val="22"/>
          <w:szCs w:val="22"/>
          <w:u w:val="single"/>
          <w:lang w:val="sr-Latn-ME" w:eastAsia="ja-JP"/>
        </w:rPr>
      </w:pPr>
    </w:p>
    <w:p w14:paraId="34BD13F7" w14:textId="2A5CE66B"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Neželjene reakcije prijavljene kod pacijenata u kliničkim studijama </w:t>
      </w:r>
      <w:r w:rsidR="0040694E" w:rsidRPr="0014404C">
        <w:rPr>
          <w:sz w:val="22"/>
          <w:szCs w:val="22"/>
          <w:lang w:val="sr-Latn-ME" w:eastAsia="ja-JP"/>
        </w:rPr>
        <w:t xml:space="preserve">ili nakon stavljanja lijeka u promet </w:t>
      </w:r>
      <w:r w:rsidRPr="0014404C">
        <w:rPr>
          <w:sz w:val="22"/>
          <w:szCs w:val="22"/>
          <w:lang w:val="sr-Latn-ME" w:eastAsia="ja-JP"/>
        </w:rPr>
        <w:t>navedene su prema klasi sistema organa MedDRA i rangirane</w:t>
      </w:r>
      <w:r w:rsidR="00E52B27" w:rsidRPr="0014404C">
        <w:rPr>
          <w:sz w:val="22"/>
          <w:szCs w:val="22"/>
          <w:lang w:val="sr-Latn-ME" w:eastAsia="ja-JP"/>
        </w:rPr>
        <w:t xml:space="preserve"> su</w:t>
      </w:r>
      <w:r w:rsidRPr="0014404C">
        <w:rPr>
          <w:sz w:val="22"/>
          <w:szCs w:val="22"/>
          <w:lang w:val="sr-Latn-ME" w:eastAsia="ja-JP"/>
        </w:rPr>
        <w:t xml:space="preserve"> prema učestalosti na osnovu </w:t>
      </w:r>
      <w:r w:rsidR="008536FC" w:rsidRPr="0014404C">
        <w:rPr>
          <w:sz w:val="22"/>
          <w:szCs w:val="22"/>
          <w:lang w:val="sr-Latn-ME" w:eastAsia="ja-JP"/>
        </w:rPr>
        <w:t xml:space="preserve">sljedeće </w:t>
      </w:r>
      <w:r w:rsidRPr="0014404C">
        <w:rPr>
          <w:sz w:val="22"/>
          <w:szCs w:val="22"/>
          <w:lang w:val="sr-Latn-ME" w:eastAsia="ja-JP"/>
        </w:rPr>
        <w:t xml:space="preserve">konvencije: Veoma često (≥ 1/10), često (≥ 1/100 do &lt; 1/10), povremeno (≥ 1/1000 do &lt; 1/100), </w:t>
      </w:r>
      <w:r w:rsidR="008536FC" w:rsidRPr="0014404C">
        <w:rPr>
          <w:sz w:val="22"/>
          <w:szCs w:val="22"/>
          <w:lang w:val="sr-Latn-ME" w:eastAsia="ja-JP"/>
        </w:rPr>
        <w:t xml:space="preserve">rijetko </w:t>
      </w:r>
      <w:r w:rsidRPr="0014404C">
        <w:rPr>
          <w:sz w:val="22"/>
          <w:szCs w:val="22"/>
          <w:lang w:val="sr-Latn-ME" w:eastAsia="ja-JP"/>
        </w:rPr>
        <w:t>(≥ 1/10.000 do &lt; 1/1000)</w:t>
      </w:r>
      <w:r w:rsidR="0040694E" w:rsidRPr="0014404C">
        <w:rPr>
          <w:sz w:val="22"/>
          <w:szCs w:val="22"/>
          <w:lang w:val="sr-Latn-ME" w:eastAsia="ja-JP"/>
        </w:rPr>
        <w:t xml:space="preserve"> ili nepoznato (učestalost se ne može procijentiti na osnovu dostupnih podataka)</w:t>
      </w:r>
      <w:r w:rsidRPr="0014404C">
        <w:rPr>
          <w:sz w:val="22"/>
          <w:szCs w:val="22"/>
          <w:lang w:val="sr-Latn-ME" w:eastAsia="ja-JP"/>
        </w:rPr>
        <w:t>. U svakoj grupi učestalosti, neželjene reakcije navedene su u opadajućem nizu prema ozbiljnosti.</w:t>
      </w:r>
    </w:p>
    <w:p w14:paraId="54B3BF19" w14:textId="77777777" w:rsidR="0036275D" w:rsidRPr="0014404C" w:rsidRDefault="0036275D" w:rsidP="0014404C">
      <w:pPr>
        <w:widowControl w:val="0"/>
        <w:jc w:val="both"/>
        <w:rPr>
          <w:sz w:val="22"/>
          <w:szCs w:val="22"/>
          <w:lang w:val="sr-Latn-ME" w:eastAsia="ja-JP"/>
        </w:rPr>
      </w:pPr>
    </w:p>
    <w:p w14:paraId="0EB71028" w14:textId="77777777" w:rsidR="0036275D" w:rsidRPr="0014404C" w:rsidRDefault="0036275D" w:rsidP="0014404C">
      <w:pPr>
        <w:widowControl w:val="0"/>
        <w:autoSpaceDE w:val="0"/>
        <w:autoSpaceDN w:val="0"/>
        <w:adjustRightInd w:val="0"/>
        <w:jc w:val="both"/>
        <w:rPr>
          <w:b/>
          <w:sz w:val="22"/>
          <w:szCs w:val="22"/>
          <w:lang w:val="sr-Latn-ME" w:eastAsia="ja-JP"/>
        </w:rPr>
      </w:pPr>
      <w:r w:rsidRPr="0014404C">
        <w:rPr>
          <w:b/>
          <w:bCs/>
          <w:sz w:val="22"/>
          <w:szCs w:val="22"/>
          <w:lang w:val="sr-Latn-ME" w:eastAsia="ja-JP"/>
        </w:rPr>
        <w:t xml:space="preserve">Tabela 1: Učestalosti neželjenih reakcija </w:t>
      </w:r>
    </w:p>
    <w:p w14:paraId="1FF37B7E" w14:textId="77777777" w:rsidR="0036275D" w:rsidRPr="0014404C" w:rsidRDefault="0036275D" w:rsidP="0014404C">
      <w:pPr>
        <w:widowControl w:val="0"/>
        <w:tabs>
          <w:tab w:val="left" w:pos="540"/>
          <w:tab w:val="left" w:pos="569"/>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2"/>
      </w:tblGrid>
      <w:tr w:rsidR="0036275D" w:rsidRPr="0014404C" w14:paraId="543713FF" w14:textId="77777777" w:rsidTr="0014404C">
        <w:tc>
          <w:tcPr>
            <w:tcW w:w="2500" w:type="pct"/>
            <w:shd w:val="clear" w:color="auto" w:fill="auto"/>
          </w:tcPr>
          <w:p w14:paraId="5AD543A6" w14:textId="77777777" w:rsidR="0036275D" w:rsidRPr="0014404C" w:rsidRDefault="0036275D" w:rsidP="0014404C">
            <w:pPr>
              <w:widowControl w:val="0"/>
              <w:jc w:val="both"/>
              <w:rPr>
                <w:b/>
                <w:sz w:val="22"/>
                <w:szCs w:val="22"/>
                <w:lang w:val="sr-Latn-ME" w:eastAsia="ja-JP"/>
              </w:rPr>
            </w:pPr>
            <w:r w:rsidRPr="0014404C">
              <w:rPr>
                <w:b/>
                <w:bCs/>
                <w:sz w:val="22"/>
                <w:szCs w:val="22"/>
                <w:lang w:val="sr-Latn-ME" w:eastAsia="ja-JP"/>
              </w:rPr>
              <w:t>MedDRA klasa sistema organa</w:t>
            </w:r>
          </w:p>
        </w:tc>
        <w:tc>
          <w:tcPr>
            <w:tcW w:w="2500" w:type="pct"/>
            <w:shd w:val="clear" w:color="auto" w:fill="auto"/>
          </w:tcPr>
          <w:p w14:paraId="42911DF5" w14:textId="77777777" w:rsidR="0036275D" w:rsidRPr="0014404C" w:rsidRDefault="0036275D" w:rsidP="0014404C">
            <w:pPr>
              <w:widowControl w:val="0"/>
              <w:jc w:val="both"/>
              <w:rPr>
                <w:b/>
                <w:sz w:val="22"/>
                <w:szCs w:val="22"/>
                <w:lang w:val="sr-Latn-ME" w:eastAsia="ja-JP"/>
              </w:rPr>
            </w:pPr>
            <w:r w:rsidRPr="0014404C">
              <w:rPr>
                <w:b/>
                <w:bCs/>
                <w:sz w:val="22"/>
                <w:szCs w:val="22"/>
                <w:lang w:val="sr-Latn-ME" w:eastAsia="ja-JP"/>
              </w:rPr>
              <w:t>Kategorija učestalosti</w:t>
            </w:r>
          </w:p>
        </w:tc>
      </w:tr>
      <w:tr w:rsidR="0036275D" w:rsidRPr="0014404C" w14:paraId="09E00C00" w14:textId="77777777" w:rsidTr="0014404C">
        <w:tc>
          <w:tcPr>
            <w:tcW w:w="5000" w:type="pct"/>
            <w:gridSpan w:val="2"/>
            <w:shd w:val="clear" w:color="auto" w:fill="auto"/>
          </w:tcPr>
          <w:p w14:paraId="60070F3A" w14:textId="77777777" w:rsidR="0036275D" w:rsidRPr="0014404C" w:rsidRDefault="0036275D" w:rsidP="0014404C">
            <w:pPr>
              <w:widowControl w:val="0"/>
              <w:jc w:val="both"/>
              <w:rPr>
                <w:b/>
                <w:sz w:val="22"/>
                <w:szCs w:val="22"/>
                <w:lang w:val="sr-Latn-ME" w:eastAsia="ja-JP"/>
              </w:rPr>
            </w:pPr>
            <w:r w:rsidRPr="0014404C">
              <w:rPr>
                <w:b/>
                <w:bCs/>
                <w:sz w:val="22"/>
                <w:szCs w:val="22"/>
                <w:lang w:val="sr-Latn-ME" w:eastAsia="ja-JP"/>
              </w:rPr>
              <w:t>Poremećaji očiju</w:t>
            </w:r>
          </w:p>
        </w:tc>
      </w:tr>
      <w:tr w:rsidR="0036275D" w:rsidRPr="0014404C" w14:paraId="25011F59" w14:textId="77777777" w:rsidTr="0014404C">
        <w:tc>
          <w:tcPr>
            <w:tcW w:w="2500" w:type="pct"/>
            <w:shd w:val="clear" w:color="auto" w:fill="auto"/>
          </w:tcPr>
          <w:p w14:paraId="73390D00"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Katarakta</w:t>
            </w:r>
          </w:p>
        </w:tc>
        <w:tc>
          <w:tcPr>
            <w:tcW w:w="2500" w:type="pct"/>
            <w:shd w:val="clear" w:color="auto" w:fill="auto"/>
          </w:tcPr>
          <w:p w14:paraId="6EB4B142" w14:textId="03446608" w:rsidR="0036275D" w:rsidRPr="0014404C" w:rsidRDefault="00EB2059" w:rsidP="0014404C">
            <w:pPr>
              <w:widowControl w:val="0"/>
              <w:jc w:val="both"/>
              <w:rPr>
                <w:sz w:val="22"/>
                <w:szCs w:val="22"/>
                <w:lang w:val="sr-Latn-ME" w:eastAsia="ja-JP"/>
              </w:rPr>
            </w:pPr>
            <w:r w:rsidRPr="0014404C">
              <w:rPr>
                <w:sz w:val="22"/>
                <w:szCs w:val="22"/>
                <w:lang w:val="sr-Latn-ME" w:eastAsia="ja-JP"/>
              </w:rPr>
              <w:t>Č</w:t>
            </w:r>
            <w:r w:rsidR="0036275D" w:rsidRPr="0014404C">
              <w:rPr>
                <w:sz w:val="22"/>
                <w:szCs w:val="22"/>
                <w:lang w:val="sr-Latn-ME" w:eastAsia="ja-JP"/>
              </w:rPr>
              <w:t>esto</w:t>
            </w:r>
          </w:p>
        </w:tc>
      </w:tr>
      <w:tr w:rsidR="0036275D" w:rsidRPr="0014404C" w14:paraId="0BDCFB22" w14:textId="77777777" w:rsidTr="0014404C">
        <w:tc>
          <w:tcPr>
            <w:tcW w:w="2500" w:type="pct"/>
            <w:shd w:val="clear" w:color="auto" w:fill="auto"/>
          </w:tcPr>
          <w:p w14:paraId="371C623D" w14:textId="3BFA5C74" w:rsidR="0036275D" w:rsidRPr="0014404C" w:rsidRDefault="0036275D" w:rsidP="0014404C">
            <w:pPr>
              <w:widowControl w:val="0"/>
              <w:jc w:val="both"/>
              <w:rPr>
                <w:sz w:val="22"/>
                <w:szCs w:val="22"/>
                <w:lang w:val="sr-Latn-ME" w:eastAsia="ja-JP"/>
              </w:rPr>
            </w:pPr>
            <w:r w:rsidRPr="0014404C">
              <w:rPr>
                <w:sz w:val="22"/>
                <w:szCs w:val="22"/>
                <w:lang w:val="sr-Latn-ME" w:eastAsia="ja-JP"/>
              </w:rPr>
              <w:t>Konju</w:t>
            </w:r>
            <w:r w:rsidR="003B2229" w:rsidRPr="0014404C">
              <w:rPr>
                <w:sz w:val="22"/>
                <w:szCs w:val="22"/>
                <w:lang w:val="sr-Latn-ME" w:eastAsia="ja-JP"/>
              </w:rPr>
              <w:t>n</w:t>
            </w:r>
            <w:r w:rsidRPr="0014404C">
              <w:rPr>
                <w:sz w:val="22"/>
                <w:szCs w:val="22"/>
                <w:lang w:val="sr-Latn-ME" w:eastAsia="ja-JP"/>
              </w:rPr>
              <w:t xml:space="preserve">ktivalno krvarenje </w:t>
            </w:r>
          </w:p>
        </w:tc>
        <w:tc>
          <w:tcPr>
            <w:tcW w:w="2500" w:type="pct"/>
            <w:shd w:val="clear" w:color="auto" w:fill="auto"/>
          </w:tcPr>
          <w:p w14:paraId="56F18DE2"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Često</w:t>
            </w:r>
          </w:p>
        </w:tc>
      </w:tr>
      <w:tr w:rsidR="00A60A10" w:rsidRPr="0014404C" w14:paraId="643F19B1" w14:textId="77777777" w:rsidTr="0014404C">
        <w:tc>
          <w:tcPr>
            <w:tcW w:w="2500" w:type="pct"/>
            <w:shd w:val="clear" w:color="auto" w:fill="auto"/>
          </w:tcPr>
          <w:p w14:paraId="2B66A43C" w14:textId="120ED5C9" w:rsidR="00A60A10" w:rsidRPr="0014404C" w:rsidRDefault="00A60A10" w:rsidP="0014404C">
            <w:pPr>
              <w:widowControl w:val="0"/>
              <w:jc w:val="both"/>
              <w:rPr>
                <w:sz w:val="22"/>
                <w:szCs w:val="22"/>
                <w:lang w:val="sr-Latn-ME" w:eastAsia="ja-JP"/>
              </w:rPr>
            </w:pPr>
            <w:r w:rsidRPr="0014404C">
              <w:rPr>
                <w:sz w:val="22"/>
                <w:szCs w:val="22"/>
                <w:lang w:val="sr-Latn-ME" w:eastAsia="ja-JP"/>
              </w:rPr>
              <w:t>Odvajanje stakla</w:t>
            </w:r>
            <w:r w:rsidR="00E62EB9" w:rsidRPr="0014404C">
              <w:rPr>
                <w:sz w:val="22"/>
                <w:szCs w:val="22"/>
                <w:lang w:val="sr-Latn-ME" w:eastAsia="ja-JP"/>
              </w:rPr>
              <w:t>s</w:t>
            </w:r>
            <w:r w:rsidRPr="0014404C">
              <w:rPr>
                <w:sz w:val="22"/>
                <w:szCs w:val="22"/>
                <w:lang w:val="sr-Latn-ME" w:eastAsia="ja-JP"/>
              </w:rPr>
              <w:t>tog tijela</w:t>
            </w:r>
          </w:p>
        </w:tc>
        <w:tc>
          <w:tcPr>
            <w:tcW w:w="2500" w:type="pct"/>
            <w:shd w:val="clear" w:color="auto" w:fill="auto"/>
          </w:tcPr>
          <w:p w14:paraId="1BB75B87" w14:textId="10F52C6B" w:rsidR="00A60A10" w:rsidRPr="0014404C" w:rsidRDefault="00A60A10" w:rsidP="0014404C">
            <w:pPr>
              <w:widowControl w:val="0"/>
              <w:jc w:val="both"/>
              <w:rPr>
                <w:sz w:val="22"/>
                <w:szCs w:val="22"/>
                <w:lang w:val="sr-Latn-ME" w:eastAsia="ja-JP"/>
              </w:rPr>
            </w:pPr>
            <w:r w:rsidRPr="0014404C">
              <w:rPr>
                <w:sz w:val="22"/>
                <w:szCs w:val="22"/>
                <w:lang w:val="sr-Latn-ME" w:eastAsia="ja-JP"/>
              </w:rPr>
              <w:t>Često</w:t>
            </w:r>
          </w:p>
        </w:tc>
      </w:tr>
      <w:tr w:rsidR="00EB2059" w:rsidRPr="0014404C" w14:paraId="2018D1D5" w14:textId="77777777" w:rsidTr="0014404C">
        <w:tc>
          <w:tcPr>
            <w:tcW w:w="2500" w:type="pct"/>
            <w:shd w:val="clear" w:color="auto" w:fill="auto"/>
          </w:tcPr>
          <w:p w14:paraId="5F714458" w14:textId="2D1FB039" w:rsidR="00EB2059" w:rsidRPr="0014404C" w:rsidRDefault="00EB2059" w:rsidP="0014404C">
            <w:pPr>
              <w:widowControl w:val="0"/>
              <w:jc w:val="both"/>
              <w:rPr>
                <w:sz w:val="22"/>
                <w:szCs w:val="22"/>
                <w:lang w:val="sr-Latn-ME" w:eastAsia="ja-JP"/>
              </w:rPr>
            </w:pPr>
            <w:r w:rsidRPr="0014404C">
              <w:rPr>
                <w:sz w:val="22"/>
                <w:szCs w:val="22"/>
                <w:lang w:val="sr-Latn-ME" w:eastAsia="ja-JP"/>
              </w:rPr>
              <w:t>Povišen intraokularni pritisak</w:t>
            </w:r>
          </w:p>
        </w:tc>
        <w:tc>
          <w:tcPr>
            <w:tcW w:w="2500" w:type="pct"/>
            <w:shd w:val="clear" w:color="auto" w:fill="auto"/>
          </w:tcPr>
          <w:p w14:paraId="1757D87C" w14:textId="1C26F977" w:rsidR="00EB2059" w:rsidRPr="0014404C" w:rsidRDefault="00EB2059" w:rsidP="0014404C">
            <w:pPr>
              <w:widowControl w:val="0"/>
              <w:jc w:val="both"/>
              <w:rPr>
                <w:sz w:val="22"/>
                <w:szCs w:val="22"/>
                <w:lang w:val="sr-Latn-ME" w:eastAsia="ja-JP"/>
              </w:rPr>
            </w:pPr>
            <w:r w:rsidRPr="0014404C">
              <w:rPr>
                <w:sz w:val="22"/>
                <w:szCs w:val="22"/>
                <w:lang w:val="sr-Latn-ME" w:eastAsia="ja-JP"/>
              </w:rPr>
              <w:t>Često</w:t>
            </w:r>
          </w:p>
        </w:tc>
      </w:tr>
      <w:tr w:rsidR="0036275D" w:rsidRPr="0014404C" w14:paraId="50E7D3E2" w14:textId="77777777" w:rsidTr="0014404C">
        <w:tc>
          <w:tcPr>
            <w:tcW w:w="2500" w:type="pct"/>
            <w:shd w:val="clear" w:color="auto" w:fill="auto"/>
          </w:tcPr>
          <w:p w14:paraId="379B0DA3" w14:textId="1BC78E68"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Plutajuće mrlje u staklastom </w:t>
            </w:r>
            <w:r w:rsidR="008536FC" w:rsidRPr="0014404C">
              <w:rPr>
                <w:sz w:val="22"/>
                <w:szCs w:val="22"/>
                <w:lang w:val="sr-Latn-ME" w:eastAsia="ja-JP"/>
              </w:rPr>
              <w:t>tijelu</w:t>
            </w:r>
          </w:p>
        </w:tc>
        <w:tc>
          <w:tcPr>
            <w:tcW w:w="2500" w:type="pct"/>
            <w:shd w:val="clear" w:color="auto" w:fill="auto"/>
          </w:tcPr>
          <w:p w14:paraId="5266E83A"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Često</w:t>
            </w:r>
          </w:p>
        </w:tc>
      </w:tr>
      <w:tr w:rsidR="0036275D" w:rsidRPr="0014404C" w14:paraId="746574C9" w14:textId="77777777" w:rsidTr="0014404C">
        <w:tc>
          <w:tcPr>
            <w:tcW w:w="2500" w:type="pct"/>
            <w:shd w:val="clear" w:color="auto" w:fill="auto"/>
          </w:tcPr>
          <w:p w14:paraId="68B864A2" w14:textId="3D169462" w:rsidR="0036275D" w:rsidRPr="0014404C" w:rsidRDefault="008536FC" w:rsidP="0014404C">
            <w:pPr>
              <w:widowControl w:val="0"/>
              <w:jc w:val="both"/>
              <w:rPr>
                <w:sz w:val="22"/>
                <w:szCs w:val="22"/>
                <w:lang w:val="sr-Latn-ME" w:eastAsia="ja-JP"/>
              </w:rPr>
            </w:pPr>
            <w:r w:rsidRPr="0014404C">
              <w:rPr>
                <w:sz w:val="22"/>
                <w:szCs w:val="22"/>
                <w:lang w:val="sr-Latn-ME" w:eastAsia="ja-JP"/>
              </w:rPr>
              <w:t xml:space="preserve">Rascjep </w:t>
            </w:r>
            <w:r w:rsidR="0036275D" w:rsidRPr="0014404C">
              <w:rPr>
                <w:sz w:val="22"/>
                <w:szCs w:val="22"/>
                <w:lang w:val="sr-Latn-ME" w:eastAsia="ja-JP"/>
              </w:rPr>
              <w:t>pigmentnog epitela mrežnjače (samo nAMD)</w:t>
            </w:r>
          </w:p>
        </w:tc>
        <w:tc>
          <w:tcPr>
            <w:tcW w:w="2500" w:type="pct"/>
            <w:shd w:val="clear" w:color="auto" w:fill="auto"/>
          </w:tcPr>
          <w:p w14:paraId="04F98B66"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Često</w:t>
            </w:r>
          </w:p>
        </w:tc>
      </w:tr>
      <w:tr w:rsidR="0036275D" w:rsidRPr="0014404C" w14:paraId="49C91A92" w14:textId="77777777" w:rsidTr="0014404C">
        <w:tc>
          <w:tcPr>
            <w:tcW w:w="2500" w:type="pct"/>
            <w:shd w:val="clear" w:color="auto" w:fill="auto"/>
          </w:tcPr>
          <w:p w14:paraId="1C590965"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Bol u oku</w:t>
            </w:r>
          </w:p>
        </w:tc>
        <w:tc>
          <w:tcPr>
            <w:tcW w:w="2500" w:type="pct"/>
            <w:shd w:val="clear" w:color="auto" w:fill="auto"/>
          </w:tcPr>
          <w:p w14:paraId="1ECA1660"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Često</w:t>
            </w:r>
          </w:p>
        </w:tc>
      </w:tr>
      <w:tr w:rsidR="00A60A10" w:rsidRPr="0014404C" w14:paraId="5F93024F" w14:textId="77777777" w:rsidTr="0014404C">
        <w:tc>
          <w:tcPr>
            <w:tcW w:w="2500" w:type="pct"/>
            <w:shd w:val="clear" w:color="auto" w:fill="auto"/>
          </w:tcPr>
          <w:p w14:paraId="63537EDA" w14:textId="2A42BE05" w:rsidR="00A60A10" w:rsidRPr="0014404C" w:rsidRDefault="00A60A10" w:rsidP="0014404C">
            <w:pPr>
              <w:widowControl w:val="0"/>
              <w:jc w:val="both"/>
              <w:rPr>
                <w:sz w:val="22"/>
                <w:szCs w:val="22"/>
                <w:lang w:val="sr-Latn-ME" w:eastAsia="ja-JP"/>
              </w:rPr>
            </w:pPr>
            <w:r w:rsidRPr="0014404C">
              <w:rPr>
                <w:sz w:val="22"/>
                <w:szCs w:val="22"/>
                <w:lang w:val="sr-Latn-ME" w:eastAsia="ja-JP"/>
              </w:rPr>
              <w:t>Abrazija rožnjače</w:t>
            </w:r>
          </w:p>
        </w:tc>
        <w:tc>
          <w:tcPr>
            <w:tcW w:w="2500" w:type="pct"/>
            <w:shd w:val="clear" w:color="auto" w:fill="auto"/>
          </w:tcPr>
          <w:p w14:paraId="15364F75" w14:textId="720B03E4" w:rsidR="00A60A10"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36275D" w:rsidRPr="0014404C" w14:paraId="73813198" w14:textId="77777777" w:rsidTr="0014404C">
        <w:tc>
          <w:tcPr>
            <w:tcW w:w="2500" w:type="pct"/>
            <w:shd w:val="clear" w:color="auto" w:fill="auto"/>
          </w:tcPr>
          <w:p w14:paraId="1313F5CE"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Iritacija oka</w:t>
            </w:r>
          </w:p>
        </w:tc>
        <w:tc>
          <w:tcPr>
            <w:tcW w:w="2500" w:type="pct"/>
            <w:shd w:val="clear" w:color="auto" w:fill="auto"/>
          </w:tcPr>
          <w:p w14:paraId="7FC995B5" w14:textId="2BA12A82" w:rsidR="0036275D"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22AFF08B" w14:textId="77777777" w:rsidTr="0014404C">
        <w:tc>
          <w:tcPr>
            <w:tcW w:w="2500" w:type="pct"/>
            <w:shd w:val="clear" w:color="auto" w:fill="auto"/>
          </w:tcPr>
          <w:p w14:paraId="3BE4797E" w14:textId="6C9A4F25" w:rsidR="00EB2059" w:rsidRPr="0014404C" w:rsidRDefault="00EB2059" w:rsidP="0014404C">
            <w:pPr>
              <w:widowControl w:val="0"/>
              <w:jc w:val="both"/>
              <w:rPr>
                <w:sz w:val="22"/>
                <w:szCs w:val="22"/>
                <w:lang w:val="sr-Latn-ME" w:eastAsia="ja-JP"/>
              </w:rPr>
            </w:pPr>
            <w:r w:rsidRPr="0014404C">
              <w:rPr>
                <w:sz w:val="22"/>
                <w:szCs w:val="22"/>
                <w:lang w:val="sr-Latn-ME" w:eastAsia="ja-JP"/>
              </w:rPr>
              <w:t>Pojačano suzenje</w:t>
            </w:r>
          </w:p>
        </w:tc>
        <w:tc>
          <w:tcPr>
            <w:tcW w:w="2500" w:type="pct"/>
            <w:shd w:val="clear" w:color="auto" w:fill="auto"/>
          </w:tcPr>
          <w:p w14:paraId="47159989" w14:textId="098538C6" w:rsidR="00EB2059" w:rsidRPr="0014404C" w:rsidDel="00EB2059"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rsidDel="00EB2059" w14:paraId="0BCB0B38" w14:textId="77777777" w:rsidTr="0014404C">
        <w:tc>
          <w:tcPr>
            <w:tcW w:w="2500" w:type="pct"/>
            <w:shd w:val="clear" w:color="auto" w:fill="auto"/>
          </w:tcPr>
          <w:p w14:paraId="1E6B3E3E" w14:textId="4B0CED0C" w:rsidR="00EB2059" w:rsidRPr="0014404C" w:rsidDel="00EB2059" w:rsidRDefault="00EB2059" w:rsidP="0014404C">
            <w:pPr>
              <w:widowControl w:val="0"/>
              <w:jc w:val="both"/>
              <w:rPr>
                <w:sz w:val="22"/>
                <w:szCs w:val="22"/>
                <w:lang w:val="sr-Latn-ME" w:eastAsia="ja-JP"/>
              </w:rPr>
            </w:pPr>
            <w:r w:rsidRPr="0014404C">
              <w:rPr>
                <w:sz w:val="22"/>
                <w:szCs w:val="22"/>
                <w:lang w:val="sr-Latn-ME" w:eastAsia="ja-JP"/>
              </w:rPr>
              <w:t>Zamagljen vid</w:t>
            </w:r>
          </w:p>
        </w:tc>
        <w:tc>
          <w:tcPr>
            <w:tcW w:w="2500" w:type="pct"/>
            <w:shd w:val="clear" w:color="auto" w:fill="auto"/>
          </w:tcPr>
          <w:p w14:paraId="133FA5DF" w14:textId="655B4CFF" w:rsidR="00EB2059" w:rsidRPr="0014404C" w:rsidDel="00EB2059"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rsidDel="00EB2059" w14:paraId="47A24F2B" w14:textId="77777777" w:rsidTr="0014404C">
        <w:tc>
          <w:tcPr>
            <w:tcW w:w="2500" w:type="pct"/>
            <w:shd w:val="clear" w:color="auto" w:fill="auto"/>
          </w:tcPr>
          <w:p w14:paraId="356CBF8F" w14:textId="344B3FCE" w:rsidR="00EB2059" w:rsidRPr="0014404C" w:rsidDel="00EB2059" w:rsidRDefault="00EB2059" w:rsidP="0014404C">
            <w:pPr>
              <w:widowControl w:val="0"/>
              <w:jc w:val="both"/>
              <w:rPr>
                <w:sz w:val="22"/>
                <w:szCs w:val="22"/>
                <w:lang w:val="sr-Latn-ME" w:eastAsia="ja-JP"/>
              </w:rPr>
            </w:pPr>
            <w:r w:rsidRPr="0014404C">
              <w:rPr>
                <w:sz w:val="22"/>
                <w:szCs w:val="22"/>
                <w:lang w:val="sr-Latn-ME" w:eastAsia="ja-JP"/>
              </w:rPr>
              <w:t>Svrab oka</w:t>
            </w:r>
          </w:p>
        </w:tc>
        <w:tc>
          <w:tcPr>
            <w:tcW w:w="2500" w:type="pct"/>
            <w:shd w:val="clear" w:color="auto" w:fill="auto"/>
          </w:tcPr>
          <w:p w14:paraId="27FD9DFA" w14:textId="500166AE" w:rsidR="00EB2059" w:rsidRPr="0014404C" w:rsidDel="00EB2059" w:rsidRDefault="00EB2059" w:rsidP="0014404C">
            <w:pPr>
              <w:widowControl w:val="0"/>
              <w:jc w:val="both"/>
              <w:rPr>
                <w:sz w:val="22"/>
                <w:szCs w:val="22"/>
                <w:lang w:val="sr-Latn-ME" w:eastAsia="ja-JP"/>
              </w:rPr>
            </w:pPr>
            <w:r w:rsidRPr="0014404C">
              <w:rPr>
                <w:sz w:val="22"/>
                <w:szCs w:val="22"/>
                <w:lang w:val="sr-Latn-ME" w:eastAsia="ja-JP"/>
              </w:rPr>
              <w:t>Povremeno</w:t>
            </w:r>
          </w:p>
        </w:tc>
      </w:tr>
      <w:tr w:rsidR="0036275D" w:rsidRPr="0014404C" w14:paraId="7B51EDB0" w14:textId="77777777" w:rsidTr="0014404C">
        <w:tc>
          <w:tcPr>
            <w:tcW w:w="2500" w:type="pct"/>
            <w:shd w:val="clear" w:color="auto" w:fill="auto"/>
          </w:tcPr>
          <w:p w14:paraId="252F7D5F"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Neprijatnost u oku</w:t>
            </w:r>
          </w:p>
        </w:tc>
        <w:tc>
          <w:tcPr>
            <w:tcW w:w="2500" w:type="pct"/>
            <w:shd w:val="clear" w:color="auto" w:fill="auto"/>
          </w:tcPr>
          <w:p w14:paraId="29E96EF1"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Povremeno</w:t>
            </w:r>
          </w:p>
        </w:tc>
      </w:tr>
      <w:tr w:rsidR="0036275D" w:rsidRPr="0014404C" w14:paraId="49525078" w14:textId="77777777" w:rsidTr="0014404C">
        <w:tc>
          <w:tcPr>
            <w:tcW w:w="2500" w:type="pct"/>
            <w:shd w:val="clear" w:color="auto" w:fill="auto"/>
          </w:tcPr>
          <w:p w14:paraId="39941C43"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Okularna hiperemija</w:t>
            </w:r>
          </w:p>
        </w:tc>
        <w:tc>
          <w:tcPr>
            <w:tcW w:w="2500" w:type="pct"/>
            <w:shd w:val="clear" w:color="auto" w:fill="auto"/>
          </w:tcPr>
          <w:p w14:paraId="020D0A57"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Povremeno</w:t>
            </w:r>
          </w:p>
        </w:tc>
      </w:tr>
      <w:tr w:rsidR="0036275D" w:rsidRPr="0014404C" w14:paraId="196899AA" w14:textId="77777777" w:rsidTr="0014404C">
        <w:tc>
          <w:tcPr>
            <w:tcW w:w="2500" w:type="pct"/>
            <w:shd w:val="clear" w:color="auto" w:fill="auto"/>
          </w:tcPr>
          <w:p w14:paraId="37E53131"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Iritis</w:t>
            </w:r>
          </w:p>
        </w:tc>
        <w:tc>
          <w:tcPr>
            <w:tcW w:w="2500" w:type="pct"/>
            <w:shd w:val="clear" w:color="auto" w:fill="auto"/>
          </w:tcPr>
          <w:p w14:paraId="6E9D08D4" w14:textId="77777777" w:rsidR="0036275D" w:rsidRPr="0014404C" w:rsidRDefault="0036275D"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6552FE69" w14:textId="77777777" w:rsidTr="0014404C">
        <w:tc>
          <w:tcPr>
            <w:tcW w:w="2500" w:type="pct"/>
            <w:shd w:val="clear" w:color="auto" w:fill="auto"/>
          </w:tcPr>
          <w:p w14:paraId="5B8155A9" w14:textId="47B846E4" w:rsidR="00EB2059" w:rsidRPr="0014404C" w:rsidRDefault="00EB2059" w:rsidP="0014404C">
            <w:pPr>
              <w:widowControl w:val="0"/>
              <w:jc w:val="both"/>
              <w:rPr>
                <w:sz w:val="22"/>
                <w:szCs w:val="22"/>
                <w:lang w:val="sr-Latn-ME" w:eastAsia="ja-JP"/>
              </w:rPr>
            </w:pPr>
            <w:r w:rsidRPr="0014404C">
              <w:rPr>
                <w:sz w:val="22"/>
                <w:szCs w:val="22"/>
                <w:lang w:val="sr-Latn-ME" w:eastAsia="ja-JP"/>
              </w:rPr>
              <w:t xml:space="preserve">Smanjena oštrina vida </w:t>
            </w:r>
          </w:p>
        </w:tc>
        <w:tc>
          <w:tcPr>
            <w:tcW w:w="2500" w:type="pct"/>
            <w:shd w:val="clear" w:color="auto" w:fill="auto"/>
          </w:tcPr>
          <w:p w14:paraId="0BC024DE" w14:textId="34878342"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01736C8F" w14:textId="77777777" w:rsidTr="0014404C">
        <w:tc>
          <w:tcPr>
            <w:tcW w:w="2500" w:type="pct"/>
            <w:shd w:val="clear" w:color="auto" w:fill="auto"/>
          </w:tcPr>
          <w:p w14:paraId="5CDBD0EB" w14:textId="77777777" w:rsidR="00EB2059" w:rsidRPr="0014404C" w:rsidRDefault="00EB2059" w:rsidP="0014404C">
            <w:pPr>
              <w:widowControl w:val="0"/>
              <w:jc w:val="both"/>
              <w:rPr>
                <w:sz w:val="22"/>
                <w:szCs w:val="22"/>
                <w:lang w:val="sr-Latn-ME" w:eastAsia="ja-JP"/>
              </w:rPr>
            </w:pPr>
            <w:r w:rsidRPr="0014404C">
              <w:rPr>
                <w:sz w:val="22"/>
                <w:szCs w:val="22"/>
                <w:lang w:val="sr-Latn-ME" w:eastAsia="ja-JP"/>
              </w:rPr>
              <w:t>Uveitis</w:t>
            </w:r>
          </w:p>
        </w:tc>
        <w:tc>
          <w:tcPr>
            <w:tcW w:w="2500" w:type="pct"/>
            <w:shd w:val="clear" w:color="auto" w:fill="auto"/>
          </w:tcPr>
          <w:p w14:paraId="77EAB01E" w14:textId="77777777"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097A9CB0" w14:textId="77777777" w:rsidTr="0014404C">
        <w:tc>
          <w:tcPr>
            <w:tcW w:w="2500" w:type="pct"/>
            <w:shd w:val="clear" w:color="auto" w:fill="auto"/>
          </w:tcPr>
          <w:p w14:paraId="7BCEF9DA" w14:textId="69CAD7D1" w:rsidR="00EB2059" w:rsidRPr="0014404C" w:rsidRDefault="00EB2059" w:rsidP="0014404C">
            <w:pPr>
              <w:widowControl w:val="0"/>
              <w:jc w:val="both"/>
              <w:rPr>
                <w:sz w:val="22"/>
                <w:szCs w:val="22"/>
                <w:lang w:val="sr-Latn-ME" w:eastAsia="ja-JP"/>
              </w:rPr>
            </w:pPr>
            <w:r w:rsidRPr="0014404C">
              <w:rPr>
                <w:sz w:val="22"/>
                <w:szCs w:val="22"/>
                <w:lang w:val="sr-Latn-ME" w:eastAsia="ja-JP"/>
              </w:rPr>
              <w:t>Endoftalmitis</w:t>
            </w:r>
          </w:p>
        </w:tc>
        <w:tc>
          <w:tcPr>
            <w:tcW w:w="2500" w:type="pct"/>
            <w:shd w:val="clear" w:color="auto" w:fill="auto"/>
          </w:tcPr>
          <w:p w14:paraId="4E540CC4" w14:textId="4EAA1142"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7B245A1E" w14:textId="77777777" w:rsidTr="0014404C">
        <w:tc>
          <w:tcPr>
            <w:tcW w:w="2500" w:type="pct"/>
            <w:shd w:val="clear" w:color="auto" w:fill="auto"/>
          </w:tcPr>
          <w:p w14:paraId="79E20830" w14:textId="1CA9B829" w:rsidR="00EB2059" w:rsidRPr="0014404C" w:rsidRDefault="00EB2059" w:rsidP="0014404C">
            <w:pPr>
              <w:widowControl w:val="0"/>
              <w:jc w:val="both"/>
              <w:rPr>
                <w:sz w:val="22"/>
                <w:szCs w:val="22"/>
                <w:lang w:val="sr-Latn-ME" w:eastAsia="ja-JP"/>
              </w:rPr>
            </w:pPr>
            <w:r w:rsidRPr="0014404C">
              <w:rPr>
                <w:sz w:val="22"/>
                <w:szCs w:val="22"/>
                <w:lang w:val="sr-Latn-ME" w:eastAsia="ja-JP"/>
              </w:rPr>
              <w:t>Osjećaj stranog tijela</w:t>
            </w:r>
          </w:p>
        </w:tc>
        <w:tc>
          <w:tcPr>
            <w:tcW w:w="2500" w:type="pct"/>
            <w:shd w:val="clear" w:color="auto" w:fill="auto"/>
          </w:tcPr>
          <w:p w14:paraId="6F6119B6" w14:textId="520A003D"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6BFB8B5C" w14:textId="77777777" w:rsidTr="0014404C">
        <w:tc>
          <w:tcPr>
            <w:tcW w:w="2500" w:type="pct"/>
            <w:shd w:val="clear" w:color="auto" w:fill="auto"/>
          </w:tcPr>
          <w:p w14:paraId="7475CCB0" w14:textId="239232BC" w:rsidR="00EB2059" w:rsidRPr="0014404C" w:rsidRDefault="00EB2059" w:rsidP="0014404C">
            <w:pPr>
              <w:widowControl w:val="0"/>
              <w:jc w:val="both"/>
              <w:rPr>
                <w:sz w:val="22"/>
                <w:szCs w:val="22"/>
                <w:lang w:val="sr-Latn-ME" w:eastAsia="ja-JP"/>
              </w:rPr>
            </w:pPr>
            <w:r w:rsidRPr="0014404C">
              <w:rPr>
                <w:sz w:val="22"/>
                <w:szCs w:val="22"/>
                <w:lang w:val="sr-Latn-ME" w:eastAsia="ja-JP"/>
              </w:rPr>
              <w:t>Krvarenje u staklastom tijelu</w:t>
            </w:r>
          </w:p>
        </w:tc>
        <w:tc>
          <w:tcPr>
            <w:tcW w:w="2500" w:type="pct"/>
            <w:shd w:val="clear" w:color="auto" w:fill="auto"/>
          </w:tcPr>
          <w:p w14:paraId="663A7731" w14:textId="0CA9C2CC"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77D08D69" w14:textId="77777777" w:rsidTr="0014404C">
        <w:tc>
          <w:tcPr>
            <w:tcW w:w="2500" w:type="pct"/>
            <w:shd w:val="clear" w:color="auto" w:fill="auto"/>
          </w:tcPr>
          <w:p w14:paraId="5E8351F6" w14:textId="68D34495" w:rsidR="00EB2059" w:rsidRPr="0014404C" w:rsidRDefault="00EB2059" w:rsidP="0014404C">
            <w:pPr>
              <w:widowControl w:val="0"/>
              <w:jc w:val="both"/>
              <w:rPr>
                <w:sz w:val="22"/>
                <w:szCs w:val="22"/>
                <w:lang w:val="sr-Latn-ME" w:eastAsia="ja-JP"/>
              </w:rPr>
            </w:pPr>
            <w:r w:rsidRPr="0014404C">
              <w:rPr>
                <w:sz w:val="22"/>
                <w:szCs w:val="22"/>
                <w:lang w:val="sr-Latn-ME" w:eastAsia="ja-JP"/>
              </w:rPr>
              <w:t>Vitritis</w:t>
            </w:r>
          </w:p>
        </w:tc>
        <w:tc>
          <w:tcPr>
            <w:tcW w:w="2500" w:type="pct"/>
            <w:shd w:val="clear" w:color="auto" w:fill="auto"/>
          </w:tcPr>
          <w:p w14:paraId="6EEC3C41" w14:textId="47F71166"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54CC8591" w14:textId="77777777" w:rsidTr="0014404C">
        <w:tc>
          <w:tcPr>
            <w:tcW w:w="2500" w:type="pct"/>
            <w:shd w:val="clear" w:color="auto" w:fill="auto"/>
          </w:tcPr>
          <w:p w14:paraId="44184E97" w14:textId="77777777" w:rsidR="00EB2059" w:rsidRPr="0014404C" w:rsidRDefault="00EB2059" w:rsidP="0014404C">
            <w:pPr>
              <w:widowControl w:val="0"/>
              <w:jc w:val="both"/>
              <w:rPr>
                <w:sz w:val="22"/>
                <w:szCs w:val="22"/>
                <w:lang w:val="sr-Latn-ME" w:eastAsia="ja-JP"/>
              </w:rPr>
            </w:pPr>
            <w:r w:rsidRPr="0014404C">
              <w:rPr>
                <w:sz w:val="22"/>
                <w:szCs w:val="22"/>
                <w:lang w:val="sr-Latn-ME" w:eastAsia="ja-JP"/>
              </w:rPr>
              <w:t>Iridociklitis</w:t>
            </w:r>
          </w:p>
        </w:tc>
        <w:tc>
          <w:tcPr>
            <w:tcW w:w="2500" w:type="pct"/>
            <w:shd w:val="clear" w:color="auto" w:fill="auto"/>
          </w:tcPr>
          <w:p w14:paraId="738BC9E0" w14:textId="77777777"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7A774FF8" w14:textId="77777777" w:rsidTr="0014404C">
        <w:tc>
          <w:tcPr>
            <w:tcW w:w="2500" w:type="pct"/>
            <w:shd w:val="clear" w:color="auto" w:fill="auto"/>
          </w:tcPr>
          <w:p w14:paraId="113669A2" w14:textId="3AD17EAF" w:rsidR="00EB2059" w:rsidRPr="0014404C" w:rsidRDefault="00EB2059" w:rsidP="0014404C">
            <w:pPr>
              <w:widowControl w:val="0"/>
              <w:jc w:val="both"/>
              <w:rPr>
                <w:sz w:val="22"/>
                <w:szCs w:val="22"/>
                <w:lang w:val="sr-Latn-ME" w:eastAsia="ja-JP"/>
              </w:rPr>
            </w:pPr>
            <w:r w:rsidRPr="0014404C">
              <w:rPr>
                <w:sz w:val="22"/>
                <w:szCs w:val="22"/>
                <w:lang w:val="sr-Latn-ME" w:eastAsia="ja-JP"/>
              </w:rPr>
              <w:t>Konjunktivalna hiperemija</w:t>
            </w:r>
          </w:p>
        </w:tc>
        <w:tc>
          <w:tcPr>
            <w:tcW w:w="2500" w:type="pct"/>
            <w:shd w:val="clear" w:color="auto" w:fill="auto"/>
          </w:tcPr>
          <w:p w14:paraId="6F7F1C8D" w14:textId="77777777"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689BE069" w14:textId="77777777" w:rsidTr="0014404C">
        <w:tc>
          <w:tcPr>
            <w:tcW w:w="2500" w:type="pct"/>
            <w:shd w:val="clear" w:color="auto" w:fill="auto"/>
          </w:tcPr>
          <w:p w14:paraId="79CC9BFF" w14:textId="24C49929" w:rsidR="00EB2059" w:rsidRPr="0014404C" w:rsidRDefault="00EB2059" w:rsidP="0014404C">
            <w:pPr>
              <w:widowControl w:val="0"/>
              <w:jc w:val="both"/>
              <w:rPr>
                <w:sz w:val="22"/>
                <w:szCs w:val="22"/>
                <w:lang w:val="sr-Latn-ME" w:eastAsia="ja-JP"/>
              </w:rPr>
            </w:pPr>
            <w:r w:rsidRPr="0014404C">
              <w:rPr>
                <w:sz w:val="22"/>
                <w:szCs w:val="22"/>
                <w:lang w:val="sr-Latn-ME" w:eastAsia="ja-JP"/>
              </w:rPr>
              <w:t>Bol pri postupku</w:t>
            </w:r>
          </w:p>
        </w:tc>
        <w:tc>
          <w:tcPr>
            <w:tcW w:w="2500" w:type="pct"/>
            <w:shd w:val="clear" w:color="auto" w:fill="auto"/>
          </w:tcPr>
          <w:p w14:paraId="39897009" w14:textId="2C253A33"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33AEBCB9" w14:textId="77777777" w:rsidTr="0014404C">
        <w:tc>
          <w:tcPr>
            <w:tcW w:w="2500" w:type="pct"/>
            <w:shd w:val="clear" w:color="auto" w:fill="auto"/>
          </w:tcPr>
          <w:p w14:paraId="59D523D8" w14:textId="10A72CE7" w:rsidR="00EB2059" w:rsidRPr="0014404C" w:rsidRDefault="00EB2059" w:rsidP="0014404C">
            <w:pPr>
              <w:widowControl w:val="0"/>
              <w:jc w:val="both"/>
              <w:rPr>
                <w:sz w:val="22"/>
                <w:szCs w:val="22"/>
                <w:lang w:val="sr-Latn-ME" w:eastAsia="ja-JP"/>
              </w:rPr>
            </w:pPr>
            <w:r w:rsidRPr="0014404C">
              <w:rPr>
                <w:sz w:val="22"/>
                <w:szCs w:val="22"/>
                <w:lang w:val="sr-Latn-ME" w:eastAsia="ja-JP"/>
              </w:rPr>
              <w:t>Rascjep Mrežnjače</w:t>
            </w:r>
          </w:p>
        </w:tc>
        <w:tc>
          <w:tcPr>
            <w:tcW w:w="2500" w:type="pct"/>
            <w:shd w:val="clear" w:color="auto" w:fill="auto"/>
          </w:tcPr>
          <w:p w14:paraId="60CD0110" w14:textId="4406C897"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290E253C" w14:textId="77777777" w:rsidTr="0014404C">
        <w:tc>
          <w:tcPr>
            <w:tcW w:w="2500" w:type="pct"/>
            <w:shd w:val="clear" w:color="auto" w:fill="auto"/>
          </w:tcPr>
          <w:p w14:paraId="16E94C6B" w14:textId="64547C32" w:rsidR="00EB2059" w:rsidRPr="0014404C" w:rsidRDefault="00EB2059" w:rsidP="0014404C">
            <w:pPr>
              <w:widowControl w:val="0"/>
              <w:jc w:val="both"/>
              <w:rPr>
                <w:sz w:val="22"/>
                <w:szCs w:val="22"/>
                <w:lang w:val="sr-Latn-ME" w:eastAsia="ja-JP"/>
              </w:rPr>
            </w:pPr>
            <w:r w:rsidRPr="0014404C">
              <w:rPr>
                <w:sz w:val="22"/>
                <w:szCs w:val="22"/>
                <w:lang w:val="sr-Latn-ME" w:eastAsia="ja-JP"/>
              </w:rPr>
              <w:lastRenderedPageBreak/>
              <w:t>Regmatogeno odvajanje mrežnjače</w:t>
            </w:r>
          </w:p>
        </w:tc>
        <w:tc>
          <w:tcPr>
            <w:tcW w:w="2500" w:type="pct"/>
            <w:shd w:val="clear" w:color="auto" w:fill="auto"/>
          </w:tcPr>
          <w:p w14:paraId="0F2567DC" w14:textId="30361BDD" w:rsidR="00EB2059" w:rsidRPr="0014404C" w:rsidRDefault="00EB2059" w:rsidP="0014404C">
            <w:pPr>
              <w:widowControl w:val="0"/>
              <w:jc w:val="both"/>
              <w:rPr>
                <w:sz w:val="22"/>
                <w:szCs w:val="22"/>
                <w:lang w:val="sr-Latn-ME" w:eastAsia="ja-JP"/>
              </w:rPr>
            </w:pPr>
            <w:r w:rsidRPr="0014404C">
              <w:rPr>
                <w:sz w:val="22"/>
                <w:szCs w:val="22"/>
                <w:lang w:val="sr-Latn-ME" w:eastAsia="ja-JP"/>
              </w:rPr>
              <w:t>Povremeno</w:t>
            </w:r>
          </w:p>
        </w:tc>
      </w:tr>
      <w:tr w:rsidR="00EB2059" w:rsidRPr="0014404C" w14:paraId="4DCBC76B" w14:textId="77777777" w:rsidTr="0014404C">
        <w:tc>
          <w:tcPr>
            <w:tcW w:w="2500" w:type="pct"/>
            <w:shd w:val="clear" w:color="auto" w:fill="auto"/>
          </w:tcPr>
          <w:p w14:paraId="0AF0B454" w14:textId="7AA8170C" w:rsidR="00EB2059" w:rsidRPr="0014404C" w:rsidRDefault="00EB2059" w:rsidP="0014404C">
            <w:pPr>
              <w:widowControl w:val="0"/>
              <w:jc w:val="both"/>
              <w:rPr>
                <w:sz w:val="22"/>
                <w:szCs w:val="22"/>
                <w:lang w:val="sr-Latn-ME" w:eastAsia="ja-JP"/>
              </w:rPr>
            </w:pPr>
            <w:r w:rsidRPr="0014404C">
              <w:rPr>
                <w:sz w:val="22"/>
                <w:szCs w:val="22"/>
                <w:lang w:val="sr-Latn-ME" w:eastAsia="ja-JP"/>
              </w:rPr>
              <w:t xml:space="preserve">Prolazno smanjenje oštrine vida </w:t>
            </w:r>
          </w:p>
        </w:tc>
        <w:tc>
          <w:tcPr>
            <w:tcW w:w="2500" w:type="pct"/>
            <w:shd w:val="clear" w:color="auto" w:fill="auto"/>
          </w:tcPr>
          <w:p w14:paraId="4F42B94E" w14:textId="19507C43" w:rsidR="00EB2059" w:rsidRPr="0014404C" w:rsidRDefault="00EB2059" w:rsidP="0014404C">
            <w:pPr>
              <w:widowControl w:val="0"/>
              <w:jc w:val="both"/>
              <w:rPr>
                <w:sz w:val="22"/>
                <w:szCs w:val="22"/>
                <w:lang w:val="sr-Latn-ME" w:eastAsia="ja-JP"/>
              </w:rPr>
            </w:pPr>
            <w:r w:rsidRPr="0014404C">
              <w:rPr>
                <w:sz w:val="22"/>
                <w:szCs w:val="22"/>
                <w:lang w:val="sr-Latn-ME" w:eastAsia="ja-JP"/>
              </w:rPr>
              <w:t>Rijetko</w:t>
            </w:r>
          </w:p>
        </w:tc>
      </w:tr>
      <w:tr w:rsidR="00EB2059" w:rsidRPr="0014404C" w14:paraId="4F7CB1F5" w14:textId="77777777" w:rsidTr="0014404C">
        <w:tc>
          <w:tcPr>
            <w:tcW w:w="2500" w:type="pct"/>
            <w:shd w:val="clear" w:color="auto" w:fill="auto"/>
          </w:tcPr>
          <w:p w14:paraId="099F6D3F" w14:textId="497ADA2C" w:rsidR="00EB2059" w:rsidRPr="0014404C" w:rsidRDefault="00EB2059" w:rsidP="0014404C">
            <w:pPr>
              <w:widowControl w:val="0"/>
              <w:jc w:val="both"/>
              <w:rPr>
                <w:sz w:val="22"/>
                <w:szCs w:val="22"/>
                <w:lang w:val="sr-Latn-ME" w:eastAsia="ja-JP"/>
              </w:rPr>
            </w:pPr>
            <w:r w:rsidRPr="0014404C">
              <w:rPr>
                <w:sz w:val="22"/>
                <w:szCs w:val="22"/>
                <w:lang w:val="sr-Latn-ME" w:eastAsia="ja-JP"/>
              </w:rPr>
              <w:t>Traumatska katarakta</w:t>
            </w:r>
          </w:p>
        </w:tc>
        <w:tc>
          <w:tcPr>
            <w:tcW w:w="2500" w:type="pct"/>
            <w:shd w:val="clear" w:color="auto" w:fill="auto"/>
          </w:tcPr>
          <w:p w14:paraId="442EB904" w14:textId="5BF7C274" w:rsidR="00EB2059" w:rsidRPr="0014404C" w:rsidRDefault="00EB2059" w:rsidP="0014404C">
            <w:pPr>
              <w:widowControl w:val="0"/>
              <w:jc w:val="both"/>
              <w:rPr>
                <w:sz w:val="22"/>
                <w:szCs w:val="22"/>
                <w:lang w:val="sr-Latn-ME" w:eastAsia="ja-JP"/>
              </w:rPr>
            </w:pPr>
            <w:r w:rsidRPr="0014404C">
              <w:rPr>
                <w:sz w:val="22"/>
                <w:szCs w:val="22"/>
                <w:lang w:val="sr-Latn-ME" w:eastAsia="ja-JP"/>
              </w:rPr>
              <w:t>Rijetko</w:t>
            </w:r>
          </w:p>
        </w:tc>
      </w:tr>
      <w:tr w:rsidR="00EB2059" w:rsidRPr="0014404C" w14:paraId="01C1213F" w14:textId="77777777" w:rsidTr="0014404C">
        <w:tc>
          <w:tcPr>
            <w:tcW w:w="2500" w:type="pct"/>
            <w:shd w:val="clear" w:color="auto" w:fill="auto"/>
          </w:tcPr>
          <w:p w14:paraId="3DDD026D" w14:textId="1E24CE54" w:rsidR="00EB2059" w:rsidRPr="0014404C" w:rsidRDefault="00EB2059" w:rsidP="0014404C">
            <w:pPr>
              <w:widowControl w:val="0"/>
              <w:jc w:val="both"/>
              <w:rPr>
                <w:sz w:val="22"/>
                <w:szCs w:val="22"/>
                <w:lang w:val="sr-Latn-ME" w:eastAsia="ja-JP"/>
              </w:rPr>
            </w:pPr>
            <w:r w:rsidRPr="0014404C">
              <w:rPr>
                <w:sz w:val="22"/>
                <w:szCs w:val="22"/>
                <w:lang w:val="sr-Latn-ME" w:eastAsia="ja-JP"/>
              </w:rPr>
              <w:t>Vaskulitis mrežnjače*</w:t>
            </w:r>
          </w:p>
        </w:tc>
        <w:tc>
          <w:tcPr>
            <w:tcW w:w="2500" w:type="pct"/>
            <w:shd w:val="clear" w:color="auto" w:fill="auto"/>
          </w:tcPr>
          <w:p w14:paraId="62B2D5CE" w14:textId="48E04F73" w:rsidR="00EB2059" w:rsidRPr="0014404C" w:rsidRDefault="00EB2059" w:rsidP="0014404C">
            <w:pPr>
              <w:widowControl w:val="0"/>
              <w:jc w:val="both"/>
              <w:rPr>
                <w:sz w:val="22"/>
                <w:szCs w:val="22"/>
                <w:lang w:val="sr-Latn-ME" w:eastAsia="ja-JP"/>
              </w:rPr>
            </w:pPr>
            <w:r w:rsidRPr="0014404C">
              <w:rPr>
                <w:sz w:val="22"/>
                <w:szCs w:val="22"/>
                <w:lang w:val="sr-Latn-ME" w:eastAsia="ja-JP"/>
              </w:rPr>
              <w:t>Nepoznato</w:t>
            </w:r>
          </w:p>
        </w:tc>
      </w:tr>
      <w:tr w:rsidR="00EB2059" w:rsidRPr="0014404C" w14:paraId="1C4D5244" w14:textId="77777777" w:rsidTr="0014404C">
        <w:tc>
          <w:tcPr>
            <w:tcW w:w="2500" w:type="pct"/>
            <w:shd w:val="clear" w:color="auto" w:fill="auto"/>
          </w:tcPr>
          <w:p w14:paraId="7D8B8CA5" w14:textId="52729916" w:rsidR="00EB2059" w:rsidRPr="0014404C" w:rsidRDefault="00EB2059" w:rsidP="0014404C">
            <w:pPr>
              <w:widowControl w:val="0"/>
              <w:jc w:val="both"/>
              <w:rPr>
                <w:sz w:val="22"/>
                <w:szCs w:val="22"/>
                <w:lang w:val="sr-Latn-ME" w:eastAsia="ja-JP"/>
              </w:rPr>
            </w:pPr>
            <w:r w:rsidRPr="0014404C">
              <w:rPr>
                <w:sz w:val="22"/>
                <w:szCs w:val="22"/>
                <w:lang w:val="sr-Latn-ME" w:eastAsia="ja-JP"/>
              </w:rPr>
              <w:t>Okluzivni vaskulitis mrežnjače*</w:t>
            </w:r>
          </w:p>
        </w:tc>
        <w:tc>
          <w:tcPr>
            <w:tcW w:w="2500" w:type="pct"/>
            <w:shd w:val="clear" w:color="auto" w:fill="auto"/>
          </w:tcPr>
          <w:p w14:paraId="6D9F88BB" w14:textId="0A2180DF" w:rsidR="00EB2059" w:rsidRPr="0014404C" w:rsidRDefault="00EB2059" w:rsidP="0014404C">
            <w:pPr>
              <w:widowControl w:val="0"/>
              <w:jc w:val="both"/>
              <w:rPr>
                <w:sz w:val="22"/>
                <w:szCs w:val="22"/>
                <w:lang w:val="sr-Latn-ME" w:eastAsia="ja-JP"/>
              </w:rPr>
            </w:pPr>
            <w:r w:rsidRPr="0014404C">
              <w:rPr>
                <w:sz w:val="22"/>
                <w:szCs w:val="22"/>
                <w:lang w:val="sr-Latn-ME" w:eastAsia="ja-JP"/>
              </w:rPr>
              <w:t>Nepoznato</w:t>
            </w:r>
          </w:p>
        </w:tc>
      </w:tr>
    </w:tbl>
    <w:p w14:paraId="73365EBE" w14:textId="72A4C257" w:rsidR="0040694E" w:rsidRPr="0014404C" w:rsidRDefault="0040694E" w:rsidP="0014404C">
      <w:pPr>
        <w:widowControl w:val="0"/>
        <w:jc w:val="both"/>
        <w:rPr>
          <w:sz w:val="22"/>
          <w:szCs w:val="22"/>
          <w:lang w:val="sr-Latn-ME"/>
        </w:rPr>
      </w:pPr>
      <w:r w:rsidRPr="0014404C">
        <w:rPr>
          <w:sz w:val="22"/>
          <w:szCs w:val="22"/>
          <w:lang w:val="sr-Latn-ME"/>
        </w:rPr>
        <w:t>Pojmovi označeni zv</w:t>
      </w:r>
      <w:r w:rsidR="00A33F66" w:rsidRPr="0014404C">
        <w:rPr>
          <w:sz w:val="22"/>
          <w:szCs w:val="22"/>
          <w:lang w:val="sr-Latn-ME"/>
        </w:rPr>
        <w:t>j</w:t>
      </w:r>
      <w:r w:rsidRPr="0014404C">
        <w:rPr>
          <w:sz w:val="22"/>
          <w:szCs w:val="22"/>
          <w:lang w:val="sr-Latn-ME"/>
        </w:rPr>
        <w:t>ezdicom (*) obuhvataju neželjene reakcije identifikovane na osnovu spontanih prijava nakon stavljanja lijeka u promet. Budući da se radi o spontano prijavljenim reakcijama u populaciji neutvrđenog opsega, nije uv</w:t>
      </w:r>
      <w:r w:rsidR="00A33F66" w:rsidRPr="0014404C">
        <w:rPr>
          <w:sz w:val="22"/>
          <w:szCs w:val="22"/>
          <w:lang w:val="sr-Latn-ME"/>
        </w:rPr>
        <w:t>ij</w:t>
      </w:r>
      <w:r w:rsidRPr="0014404C">
        <w:rPr>
          <w:sz w:val="22"/>
          <w:szCs w:val="22"/>
          <w:lang w:val="sr-Latn-ME"/>
        </w:rPr>
        <w:t>ek moguće pouzdano procijenti njihovu učestalost.</w:t>
      </w:r>
    </w:p>
    <w:p w14:paraId="2AD30807" w14:textId="77777777" w:rsidR="0036275D" w:rsidRPr="0014404C" w:rsidRDefault="0036275D" w:rsidP="0014404C">
      <w:pPr>
        <w:widowControl w:val="0"/>
        <w:tabs>
          <w:tab w:val="left" w:pos="540"/>
          <w:tab w:val="left" w:pos="569"/>
        </w:tabs>
        <w:jc w:val="both"/>
        <w:rPr>
          <w:b/>
          <w:bCs/>
          <w:sz w:val="22"/>
          <w:szCs w:val="22"/>
          <w:lang w:val="sr-Latn-ME"/>
        </w:rPr>
      </w:pPr>
    </w:p>
    <w:p w14:paraId="7CE7BD5F" w14:textId="5A14BFEC" w:rsidR="0036275D" w:rsidRPr="0014404C" w:rsidRDefault="0036275D" w:rsidP="0014404C">
      <w:pPr>
        <w:widowControl w:val="0"/>
        <w:autoSpaceDE w:val="0"/>
        <w:autoSpaceDN w:val="0"/>
        <w:adjustRightInd w:val="0"/>
        <w:jc w:val="both"/>
        <w:rPr>
          <w:sz w:val="22"/>
          <w:szCs w:val="22"/>
          <w:u w:val="single"/>
          <w:lang w:val="sr-Latn-ME" w:eastAsia="ja-JP"/>
        </w:rPr>
      </w:pPr>
      <w:r w:rsidRPr="0014404C">
        <w:rPr>
          <w:sz w:val="22"/>
          <w:szCs w:val="22"/>
          <w:u w:val="single"/>
          <w:lang w:val="sr-Latn-ME" w:eastAsia="ja-JP"/>
        </w:rPr>
        <w:t>Opis odabranih neželjenih reakcija</w:t>
      </w:r>
    </w:p>
    <w:p w14:paraId="6913B9E4" w14:textId="19D9F018" w:rsidR="0040694E" w:rsidRPr="0014404C" w:rsidRDefault="0040694E" w:rsidP="0014404C">
      <w:pPr>
        <w:widowControl w:val="0"/>
        <w:autoSpaceDE w:val="0"/>
        <w:autoSpaceDN w:val="0"/>
        <w:adjustRightInd w:val="0"/>
        <w:jc w:val="both"/>
        <w:rPr>
          <w:sz w:val="22"/>
          <w:szCs w:val="22"/>
          <w:u w:val="single"/>
          <w:lang w:val="sr-Latn-ME" w:eastAsia="ja-JP"/>
        </w:rPr>
      </w:pPr>
    </w:p>
    <w:p w14:paraId="5562BE9E" w14:textId="77777777" w:rsidR="0040694E" w:rsidRPr="0014404C" w:rsidRDefault="0040694E" w:rsidP="0014404C">
      <w:pPr>
        <w:widowControl w:val="0"/>
        <w:autoSpaceDE w:val="0"/>
        <w:autoSpaceDN w:val="0"/>
        <w:adjustRightInd w:val="0"/>
        <w:jc w:val="both"/>
        <w:rPr>
          <w:i/>
          <w:sz w:val="22"/>
          <w:szCs w:val="22"/>
          <w:lang w:val="sr-Latn-ME" w:eastAsia="ja-JP"/>
        </w:rPr>
      </w:pPr>
      <w:r w:rsidRPr="0014404C">
        <w:rPr>
          <w:i/>
          <w:sz w:val="22"/>
          <w:szCs w:val="22"/>
          <w:lang w:val="sr-Latn-ME" w:eastAsia="ja-JP"/>
        </w:rPr>
        <w:t>Vaskulitis mrežnjače i okluzivni vaskulitis mrežnjače</w:t>
      </w:r>
    </w:p>
    <w:p w14:paraId="48379F12" w14:textId="77777777" w:rsidR="0040694E" w:rsidRPr="0014404C" w:rsidRDefault="0040694E" w:rsidP="0014404C">
      <w:pPr>
        <w:widowControl w:val="0"/>
        <w:autoSpaceDE w:val="0"/>
        <w:autoSpaceDN w:val="0"/>
        <w:adjustRightInd w:val="0"/>
        <w:jc w:val="both"/>
        <w:rPr>
          <w:i/>
          <w:sz w:val="22"/>
          <w:szCs w:val="22"/>
          <w:u w:val="single"/>
          <w:lang w:val="sr-Latn-ME" w:eastAsia="ja-JP"/>
        </w:rPr>
      </w:pPr>
    </w:p>
    <w:p w14:paraId="58DC803D" w14:textId="12CBFED0" w:rsidR="0040694E" w:rsidRPr="0014404C" w:rsidRDefault="0040694E" w:rsidP="0014404C">
      <w:pPr>
        <w:widowControl w:val="0"/>
        <w:autoSpaceDE w:val="0"/>
        <w:autoSpaceDN w:val="0"/>
        <w:adjustRightInd w:val="0"/>
        <w:jc w:val="both"/>
        <w:rPr>
          <w:sz w:val="22"/>
          <w:szCs w:val="22"/>
          <w:lang w:val="sr-Latn-ME" w:eastAsia="ja-JP"/>
        </w:rPr>
      </w:pPr>
      <w:r w:rsidRPr="0014404C">
        <w:rPr>
          <w:sz w:val="22"/>
          <w:szCs w:val="22"/>
          <w:lang w:val="sr-Latn-ME" w:eastAsia="ja-JP"/>
        </w:rPr>
        <w:t>Nakon stavljanja lijeka u promet spontano su prijavljeni rijetki slučajevi vaskulitisa mrežnjače i/ili okluzivnog vaskulitisa mrežnjače (vidjeti dio 4.4). Vaskulitis mrežnjače i okluzivni vaskulitis mrežnjače prijavljeni su i kod pacijenata liječenih intravitrealnom terapijom (IVT).</w:t>
      </w:r>
    </w:p>
    <w:p w14:paraId="6158D4A1" w14:textId="77777777" w:rsidR="0036275D" w:rsidRPr="0014404C" w:rsidRDefault="0036275D" w:rsidP="0014404C">
      <w:pPr>
        <w:widowControl w:val="0"/>
        <w:autoSpaceDE w:val="0"/>
        <w:autoSpaceDN w:val="0"/>
        <w:adjustRightInd w:val="0"/>
        <w:jc w:val="both"/>
        <w:rPr>
          <w:sz w:val="22"/>
          <w:szCs w:val="22"/>
          <w:lang w:val="sr-Latn-ME" w:eastAsia="ja-JP"/>
        </w:rPr>
      </w:pPr>
    </w:p>
    <w:p w14:paraId="27E20CB7" w14:textId="49A0EE22" w:rsidR="0036275D" w:rsidRPr="0014404C" w:rsidRDefault="0036275D" w:rsidP="0014404C">
      <w:pPr>
        <w:widowControl w:val="0"/>
        <w:autoSpaceDE w:val="0"/>
        <w:autoSpaceDN w:val="0"/>
        <w:adjustRightInd w:val="0"/>
        <w:jc w:val="both"/>
        <w:rPr>
          <w:sz w:val="22"/>
          <w:szCs w:val="22"/>
          <w:u w:val="single"/>
          <w:lang w:val="sr-Latn-ME" w:eastAsia="ja-JP"/>
        </w:rPr>
      </w:pPr>
      <w:r w:rsidRPr="0014404C">
        <w:rPr>
          <w:sz w:val="22"/>
          <w:szCs w:val="22"/>
          <w:u w:val="single"/>
          <w:lang w:val="sr-Latn-ME" w:eastAsia="ja-JP"/>
        </w:rPr>
        <w:t>Neželjene reakcije povezane sa klasom proizvoda</w:t>
      </w:r>
    </w:p>
    <w:p w14:paraId="260E955C" w14:textId="77777777" w:rsidR="0036275D" w:rsidRPr="0014404C" w:rsidRDefault="0036275D" w:rsidP="0014404C">
      <w:pPr>
        <w:widowControl w:val="0"/>
        <w:autoSpaceDE w:val="0"/>
        <w:autoSpaceDN w:val="0"/>
        <w:adjustRightInd w:val="0"/>
        <w:jc w:val="both"/>
        <w:rPr>
          <w:sz w:val="22"/>
          <w:szCs w:val="22"/>
          <w:u w:val="single"/>
          <w:lang w:val="sr-Latn-ME" w:eastAsia="ja-JP"/>
        </w:rPr>
      </w:pPr>
    </w:p>
    <w:p w14:paraId="1884ABD6" w14:textId="60E87E30"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Postoji teoretski rizik od arterijskih tromboembolijskih događaja, uključujući moždani udar i infarkt miokarda, nakon intravitrealne </w:t>
      </w:r>
      <w:r w:rsidR="00802EFD" w:rsidRPr="0014404C">
        <w:rPr>
          <w:sz w:val="22"/>
          <w:szCs w:val="22"/>
          <w:lang w:val="sr-Latn-ME" w:eastAsia="ja-JP"/>
        </w:rPr>
        <w:t>primjene</w:t>
      </w:r>
      <w:r w:rsidRPr="0014404C">
        <w:rPr>
          <w:sz w:val="22"/>
          <w:szCs w:val="22"/>
          <w:lang w:val="sr-Latn-ME" w:eastAsia="ja-JP"/>
        </w:rPr>
        <w:t xml:space="preserve"> VEGF inhibitora. U kliničkim ispitivanjima faricimaba kod pacijenata sa nAMD</w:t>
      </w:r>
      <w:r w:rsidR="00EB2059" w:rsidRPr="0014404C">
        <w:rPr>
          <w:sz w:val="22"/>
          <w:szCs w:val="22"/>
          <w:lang w:val="sr-Latn-ME" w:eastAsia="ja-JP"/>
        </w:rPr>
        <w:t>,</w:t>
      </w:r>
      <w:r w:rsidRPr="0014404C">
        <w:rPr>
          <w:sz w:val="22"/>
          <w:szCs w:val="22"/>
          <w:lang w:val="sr-Latn-ME" w:eastAsia="ja-JP"/>
        </w:rPr>
        <w:t xml:space="preserve"> DME </w:t>
      </w:r>
      <w:r w:rsidR="00EB2059" w:rsidRPr="0014404C">
        <w:rPr>
          <w:sz w:val="22"/>
          <w:szCs w:val="22"/>
          <w:lang w:val="sr-Latn-ME" w:eastAsia="ja-JP"/>
        </w:rPr>
        <w:t xml:space="preserve">i RVO </w:t>
      </w:r>
      <w:r w:rsidR="00395EAA" w:rsidRPr="0014404C">
        <w:rPr>
          <w:sz w:val="22"/>
          <w:szCs w:val="22"/>
          <w:lang w:val="sr-Latn-ME" w:eastAsia="ja-JP"/>
        </w:rPr>
        <w:t xml:space="preserve">zabilježena </w:t>
      </w:r>
      <w:r w:rsidRPr="0014404C">
        <w:rPr>
          <w:sz w:val="22"/>
          <w:szCs w:val="22"/>
          <w:lang w:val="sr-Latn-ME" w:eastAsia="ja-JP"/>
        </w:rPr>
        <w:t>je niska stopa incidence arterijskih tromboembolijskih događaja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4.4). U svim indikacijama nije </w:t>
      </w:r>
      <w:r w:rsidR="00395EAA" w:rsidRPr="0014404C">
        <w:rPr>
          <w:sz w:val="22"/>
          <w:szCs w:val="22"/>
          <w:lang w:val="sr-Latn-ME" w:eastAsia="ja-JP"/>
        </w:rPr>
        <w:t xml:space="preserve">zabilježena </w:t>
      </w:r>
      <w:r w:rsidRPr="0014404C">
        <w:rPr>
          <w:sz w:val="22"/>
          <w:szCs w:val="22"/>
          <w:lang w:val="sr-Latn-ME" w:eastAsia="ja-JP"/>
        </w:rPr>
        <w:t xml:space="preserve">značajna razlika između grupa </w:t>
      </w:r>
      <w:r w:rsidR="00395EAA" w:rsidRPr="0014404C">
        <w:rPr>
          <w:sz w:val="22"/>
          <w:szCs w:val="22"/>
          <w:lang w:val="sr-Latn-ME" w:eastAsia="ja-JP"/>
        </w:rPr>
        <w:t xml:space="preserve">liječenih </w:t>
      </w:r>
      <w:r w:rsidRPr="0014404C">
        <w:rPr>
          <w:sz w:val="22"/>
          <w:szCs w:val="22"/>
          <w:lang w:val="sr-Latn-ME" w:eastAsia="ja-JP"/>
        </w:rPr>
        <w:t>faricimabom i grupa</w:t>
      </w:r>
      <w:r w:rsidR="00395EAA" w:rsidRPr="0014404C">
        <w:rPr>
          <w:sz w:val="22"/>
          <w:szCs w:val="22"/>
          <w:lang w:val="sr-Latn-ME" w:eastAsia="ja-JP"/>
        </w:rPr>
        <w:t xml:space="preserve"> liječenih </w:t>
      </w:r>
      <w:r w:rsidRPr="0014404C">
        <w:rPr>
          <w:sz w:val="22"/>
          <w:szCs w:val="22"/>
          <w:lang w:val="sr-Latn-ME" w:eastAsia="ja-JP"/>
        </w:rPr>
        <w:t>komparatorom.</w:t>
      </w:r>
    </w:p>
    <w:p w14:paraId="34C0FA2C" w14:textId="77777777" w:rsidR="0036275D" w:rsidRPr="0014404C" w:rsidRDefault="0036275D" w:rsidP="0014404C">
      <w:pPr>
        <w:widowControl w:val="0"/>
        <w:autoSpaceDE w:val="0"/>
        <w:autoSpaceDN w:val="0"/>
        <w:adjustRightInd w:val="0"/>
        <w:jc w:val="both"/>
        <w:rPr>
          <w:sz w:val="22"/>
          <w:szCs w:val="22"/>
          <w:lang w:val="sr-Latn-ME" w:eastAsia="ja-JP"/>
        </w:rPr>
      </w:pPr>
    </w:p>
    <w:p w14:paraId="6A4A441F" w14:textId="77777777" w:rsidR="0036275D" w:rsidRPr="0014404C" w:rsidRDefault="0036275D" w:rsidP="0014404C">
      <w:pPr>
        <w:widowControl w:val="0"/>
        <w:autoSpaceDE w:val="0"/>
        <w:autoSpaceDN w:val="0"/>
        <w:adjustRightInd w:val="0"/>
        <w:jc w:val="both"/>
        <w:rPr>
          <w:i/>
          <w:sz w:val="22"/>
          <w:szCs w:val="22"/>
          <w:lang w:val="sr-Latn-ME" w:eastAsia="ja-JP"/>
        </w:rPr>
      </w:pPr>
      <w:r w:rsidRPr="0014404C">
        <w:rPr>
          <w:i/>
          <w:iCs/>
          <w:sz w:val="22"/>
          <w:szCs w:val="22"/>
          <w:lang w:val="sr-Latn-ME" w:eastAsia="ja-JP"/>
        </w:rPr>
        <w:t>Imunogenost</w:t>
      </w:r>
    </w:p>
    <w:p w14:paraId="3E2446CF" w14:textId="1E89292F" w:rsidR="0036275D" w:rsidRPr="0014404C" w:rsidRDefault="0036275D" w:rsidP="0014404C">
      <w:pPr>
        <w:widowControl w:val="0"/>
        <w:jc w:val="both"/>
        <w:rPr>
          <w:sz w:val="22"/>
          <w:szCs w:val="22"/>
          <w:u w:val="single"/>
          <w:lang w:val="sr-Latn-ME"/>
        </w:rPr>
      </w:pPr>
      <w:r w:rsidRPr="0014404C">
        <w:rPr>
          <w:sz w:val="22"/>
          <w:szCs w:val="22"/>
          <w:lang w:val="sr-Latn-ME" w:eastAsia="ja-JP"/>
        </w:rPr>
        <w:t xml:space="preserve">Postoji potencijal za imunološki odgovor kod pacijenata </w:t>
      </w:r>
      <w:r w:rsidR="00395EAA" w:rsidRPr="0014404C">
        <w:rPr>
          <w:sz w:val="22"/>
          <w:szCs w:val="22"/>
          <w:lang w:val="sr-Latn-ME" w:eastAsia="ja-JP"/>
        </w:rPr>
        <w:t xml:space="preserve">liječenih </w:t>
      </w:r>
      <w:r w:rsidRPr="0014404C">
        <w:rPr>
          <w:sz w:val="22"/>
          <w:szCs w:val="22"/>
          <w:lang w:val="sr-Latn-ME" w:eastAsia="ja-JP"/>
        </w:rPr>
        <w:t>faricimabom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4.4). Nakon </w:t>
      </w:r>
      <w:r w:rsidR="00802EFD" w:rsidRPr="0014404C">
        <w:rPr>
          <w:sz w:val="22"/>
          <w:szCs w:val="22"/>
          <w:lang w:val="sr-Latn-ME" w:eastAsia="ja-JP"/>
        </w:rPr>
        <w:t>primjene</w:t>
      </w:r>
      <w:r w:rsidRPr="0014404C">
        <w:rPr>
          <w:sz w:val="22"/>
          <w:szCs w:val="22"/>
          <w:lang w:val="sr-Latn-ME" w:eastAsia="ja-JP"/>
        </w:rPr>
        <w:t xml:space="preserve"> faricimaba tokom perioda do </w:t>
      </w:r>
      <w:r w:rsidR="00A60A10" w:rsidRPr="0014404C">
        <w:rPr>
          <w:sz w:val="22"/>
          <w:szCs w:val="22"/>
          <w:lang w:val="sr-Latn-ME" w:eastAsia="ja-JP"/>
        </w:rPr>
        <w:t xml:space="preserve">112 </w:t>
      </w:r>
      <w:r w:rsidRPr="0014404C">
        <w:rPr>
          <w:sz w:val="22"/>
          <w:szCs w:val="22"/>
          <w:lang w:val="sr-Latn-ME" w:eastAsia="ja-JP"/>
        </w:rPr>
        <w:t>(nAMD)</w:t>
      </w:r>
      <w:r w:rsidR="00EB2059" w:rsidRPr="0014404C">
        <w:rPr>
          <w:sz w:val="22"/>
          <w:szCs w:val="22"/>
          <w:lang w:val="sr-Latn-ME" w:eastAsia="ja-JP"/>
        </w:rPr>
        <w:t>,</w:t>
      </w:r>
      <w:r w:rsidRPr="0014404C">
        <w:rPr>
          <w:sz w:val="22"/>
          <w:szCs w:val="22"/>
          <w:lang w:val="sr-Latn-ME" w:eastAsia="ja-JP"/>
        </w:rPr>
        <w:t xml:space="preserve"> 100 (DME) </w:t>
      </w:r>
      <w:r w:rsidR="00EB2059" w:rsidRPr="0014404C">
        <w:rPr>
          <w:sz w:val="22"/>
          <w:szCs w:val="22"/>
          <w:lang w:val="sr-Latn-ME" w:eastAsia="ja-JP"/>
        </w:rPr>
        <w:t xml:space="preserve">odnosno 72 (RVO) </w:t>
      </w:r>
      <w:r w:rsidR="00802EFD" w:rsidRPr="0014404C">
        <w:rPr>
          <w:sz w:val="22"/>
          <w:szCs w:val="22"/>
          <w:lang w:val="sr-Latn-ME" w:eastAsia="ja-JP"/>
        </w:rPr>
        <w:t>nedjelj</w:t>
      </w:r>
      <w:r w:rsidR="00EB2059" w:rsidRPr="0014404C">
        <w:rPr>
          <w:sz w:val="22"/>
          <w:szCs w:val="22"/>
          <w:lang w:val="sr-Latn-ME" w:eastAsia="ja-JP"/>
        </w:rPr>
        <w:t>e</w:t>
      </w:r>
      <w:r w:rsidRPr="0014404C">
        <w:rPr>
          <w:sz w:val="22"/>
          <w:szCs w:val="22"/>
          <w:lang w:val="sr-Latn-ME" w:eastAsia="ja-JP"/>
        </w:rPr>
        <w:t xml:space="preserve">, </w:t>
      </w:r>
      <w:r w:rsidR="00395EAA" w:rsidRPr="0014404C">
        <w:rPr>
          <w:sz w:val="22"/>
          <w:szCs w:val="22"/>
          <w:lang w:val="sr-Latn-ME" w:eastAsia="ja-JP"/>
        </w:rPr>
        <w:t xml:space="preserve">antitijela </w:t>
      </w:r>
      <w:r w:rsidRPr="0014404C">
        <w:rPr>
          <w:sz w:val="22"/>
          <w:szCs w:val="22"/>
          <w:lang w:val="sr-Latn-ME" w:eastAsia="ja-JP"/>
        </w:rPr>
        <w:t>na faricimab koja su se razvila tokom</w:t>
      </w:r>
      <w:r w:rsidR="00395EAA" w:rsidRPr="0014404C">
        <w:rPr>
          <w:sz w:val="22"/>
          <w:szCs w:val="22"/>
          <w:lang w:val="sr-Latn-ME" w:eastAsia="ja-JP"/>
        </w:rPr>
        <w:t xml:space="preserve"> liječenja </w:t>
      </w:r>
      <w:r w:rsidRPr="0014404C">
        <w:rPr>
          <w:sz w:val="22"/>
          <w:szCs w:val="22"/>
          <w:lang w:val="sr-Latn-ME" w:eastAsia="ja-JP"/>
        </w:rPr>
        <w:t xml:space="preserve">utvrđena su kod približno </w:t>
      </w:r>
      <w:r w:rsidR="00A60A10" w:rsidRPr="0014404C">
        <w:rPr>
          <w:sz w:val="22"/>
          <w:szCs w:val="22"/>
          <w:lang w:val="sr-Latn-ME" w:eastAsia="ja-JP"/>
        </w:rPr>
        <w:t>13,8</w:t>
      </w:r>
      <w:r w:rsidRPr="0014404C">
        <w:rPr>
          <w:sz w:val="22"/>
          <w:szCs w:val="22"/>
          <w:lang w:val="sr-Latn-ME" w:eastAsia="ja-JP"/>
        </w:rPr>
        <w:t>% pacijenata sa nAMD</w:t>
      </w:r>
      <w:r w:rsidR="00EB2059" w:rsidRPr="0014404C">
        <w:rPr>
          <w:sz w:val="22"/>
          <w:szCs w:val="22"/>
          <w:lang w:val="sr-Latn-ME" w:eastAsia="ja-JP"/>
        </w:rPr>
        <w:t>,</w:t>
      </w:r>
      <w:r w:rsidRPr="0014404C">
        <w:rPr>
          <w:sz w:val="22"/>
          <w:szCs w:val="22"/>
          <w:lang w:val="sr-Latn-ME" w:eastAsia="ja-JP"/>
        </w:rPr>
        <w:t xml:space="preserve"> 9,6% </w:t>
      </w:r>
      <w:r w:rsidR="00EB2059" w:rsidRPr="0014404C">
        <w:rPr>
          <w:sz w:val="22"/>
          <w:szCs w:val="22"/>
          <w:lang w:val="sr-Latn-ME" w:eastAsia="ja-JP"/>
        </w:rPr>
        <w:t>pacijenata sa</w:t>
      </w:r>
      <w:r w:rsidRPr="0014404C">
        <w:rPr>
          <w:sz w:val="22"/>
          <w:szCs w:val="22"/>
          <w:lang w:val="sr-Latn-ME" w:eastAsia="ja-JP"/>
        </w:rPr>
        <w:t xml:space="preserve"> DME</w:t>
      </w:r>
      <w:r w:rsidR="00EB2059" w:rsidRPr="0014404C">
        <w:rPr>
          <w:sz w:val="22"/>
          <w:szCs w:val="22"/>
          <w:lang w:val="sr-Latn-ME" w:eastAsia="ja-JP"/>
        </w:rPr>
        <w:t xml:space="preserve"> i 14,4% pacijenata sa RVO randomizovanih za primjenu faricimaba</w:t>
      </w:r>
      <w:r w:rsidRPr="0014404C">
        <w:rPr>
          <w:sz w:val="22"/>
          <w:szCs w:val="22"/>
          <w:lang w:val="sr-Latn-ME" w:eastAsia="ja-JP"/>
        </w:rPr>
        <w:t xml:space="preserve">. </w:t>
      </w:r>
      <w:r w:rsidR="00E9272E" w:rsidRPr="0014404C">
        <w:rPr>
          <w:sz w:val="22"/>
          <w:szCs w:val="22"/>
          <w:lang w:val="sr-Latn-ME" w:eastAsia="ja-JP"/>
        </w:rPr>
        <w:t xml:space="preserve">Do sada </w:t>
      </w:r>
      <w:r w:rsidRPr="0014404C">
        <w:rPr>
          <w:sz w:val="22"/>
          <w:szCs w:val="22"/>
          <w:lang w:val="sr-Latn-ME" w:eastAsia="ja-JP"/>
        </w:rPr>
        <w:t xml:space="preserve">nije razjašnjen klinički značaj prisustva </w:t>
      </w:r>
      <w:r w:rsidR="00395EAA" w:rsidRPr="0014404C">
        <w:rPr>
          <w:sz w:val="22"/>
          <w:szCs w:val="22"/>
          <w:lang w:val="sr-Latn-ME" w:eastAsia="ja-JP"/>
        </w:rPr>
        <w:t xml:space="preserve">antitijela </w:t>
      </w:r>
      <w:r w:rsidRPr="0014404C">
        <w:rPr>
          <w:sz w:val="22"/>
          <w:szCs w:val="22"/>
          <w:lang w:val="sr-Latn-ME" w:eastAsia="ja-JP"/>
        </w:rPr>
        <w:t xml:space="preserve">na faricimab za </w:t>
      </w:r>
      <w:r w:rsidR="00395EAA" w:rsidRPr="0014404C">
        <w:rPr>
          <w:sz w:val="22"/>
          <w:szCs w:val="22"/>
          <w:lang w:val="sr-Latn-ME" w:eastAsia="ja-JP"/>
        </w:rPr>
        <w:t xml:space="preserve">bezbjednost </w:t>
      </w:r>
      <w:r w:rsidRPr="0014404C">
        <w:rPr>
          <w:sz w:val="22"/>
          <w:szCs w:val="22"/>
          <w:lang w:val="sr-Latn-ME" w:eastAsia="ja-JP"/>
        </w:rPr>
        <w:t xml:space="preserve">tog </w:t>
      </w:r>
      <w:r w:rsidR="00802EFD" w:rsidRPr="0014404C">
        <w:rPr>
          <w:sz w:val="22"/>
          <w:szCs w:val="22"/>
          <w:lang w:val="sr-Latn-ME" w:eastAsia="ja-JP"/>
        </w:rPr>
        <w:t>lijeka</w:t>
      </w:r>
      <w:r w:rsidRPr="0014404C">
        <w:rPr>
          <w:sz w:val="22"/>
          <w:szCs w:val="22"/>
          <w:lang w:val="sr-Latn-ME" w:eastAsia="ja-JP"/>
        </w:rPr>
        <w:t xml:space="preserve">. </w:t>
      </w:r>
      <w:bookmarkStart w:id="1" w:name="_Hlk108168450"/>
      <w:r w:rsidRPr="0014404C">
        <w:rPr>
          <w:sz w:val="22"/>
          <w:szCs w:val="22"/>
          <w:lang w:val="sr-Latn-ME" w:eastAsia="ja-JP"/>
        </w:rPr>
        <w:t xml:space="preserve">Incidenca intraokularne upale kod pacijenata pozitivnih na </w:t>
      </w:r>
      <w:r w:rsidR="00395EAA" w:rsidRPr="0014404C">
        <w:rPr>
          <w:sz w:val="22"/>
          <w:szCs w:val="22"/>
          <w:lang w:val="sr-Latn-ME" w:eastAsia="ja-JP"/>
        </w:rPr>
        <w:t xml:space="preserve">antitijela </w:t>
      </w:r>
      <w:r w:rsidRPr="0014404C">
        <w:rPr>
          <w:sz w:val="22"/>
          <w:szCs w:val="22"/>
          <w:lang w:val="sr-Latn-ME" w:eastAsia="ja-JP"/>
        </w:rPr>
        <w:t xml:space="preserve">na faricimab iznosila je </w:t>
      </w:r>
      <w:r w:rsidR="00A60A10" w:rsidRPr="0014404C">
        <w:rPr>
          <w:sz w:val="22"/>
          <w:szCs w:val="22"/>
          <w:lang w:val="sr-Latn-ME" w:eastAsia="ja-JP"/>
        </w:rPr>
        <w:t>12/98</w:t>
      </w:r>
      <w:r w:rsidRPr="0014404C">
        <w:rPr>
          <w:sz w:val="22"/>
          <w:szCs w:val="22"/>
          <w:lang w:val="sr-Latn-ME" w:eastAsia="ja-JP"/>
        </w:rPr>
        <w:t xml:space="preserve"> (</w:t>
      </w:r>
      <w:r w:rsidR="00A60A10" w:rsidRPr="0014404C">
        <w:rPr>
          <w:sz w:val="22"/>
          <w:szCs w:val="22"/>
          <w:lang w:val="sr-Latn-ME" w:eastAsia="ja-JP"/>
        </w:rPr>
        <w:t>12,2</w:t>
      </w:r>
      <w:r w:rsidRPr="0014404C">
        <w:rPr>
          <w:sz w:val="22"/>
          <w:szCs w:val="22"/>
          <w:lang w:val="sr-Latn-ME" w:eastAsia="ja-JP"/>
        </w:rPr>
        <w:t>%; nAMD)</w:t>
      </w:r>
      <w:r w:rsidR="00EB2059" w:rsidRPr="0014404C">
        <w:rPr>
          <w:sz w:val="22"/>
          <w:szCs w:val="22"/>
          <w:lang w:val="sr-Latn-ME" w:eastAsia="ja-JP"/>
        </w:rPr>
        <w:t>,</w:t>
      </w:r>
      <w:r w:rsidRPr="0014404C">
        <w:rPr>
          <w:sz w:val="22"/>
          <w:szCs w:val="22"/>
          <w:lang w:val="sr-Latn-ME" w:eastAsia="ja-JP"/>
        </w:rPr>
        <w:t xml:space="preserve"> 15/128 (11,7%; DME)</w:t>
      </w:r>
      <w:r w:rsidR="00EB2059" w:rsidRPr="0014404C">
        <w:rPr>
          <w:sz w:val="22"/>
          <w:szCs w:val="22"/>
          <w:lang w:val="sr-Latn-ME" w:eastAsia="ja-JP"/>
        </w:rPr>
        <w:t xml:space="preserve"> i 9/95 (9,5%; RVO)</w:t>
      </w:r>
      <w:r w:rsidRPr="0014404C">
        <w:rPr>
          <w:sz w:val="22"/>
          <w:szCs w:val="22"/>
          <w:lang w:val="sr-Latn-ME" w:eastAsia="ja-JP"/>
        </w:rPr>
        <w:t xml:space="preserve">, a kod pacijenata negativnih na </w:t>
      </w:r>
      <w:r w:rsidR="00395EAA" w:rsidRPr="0014404C">
        <w:rPr>
          <w:sz w:val="22"/>
          <w:szCs w:val="22"/>
          <w:lang w:val="sr-Latn-ME" w:eastAsia="ja-JP"/>
        </w:rPr>
        <w:t xml:space="preserve">antitijela </w:t>
      </w:r>
      <w:r w:rsidRPr="0014404C">
        <w:rPr>
          <w:sz w:val="22"/>
          <w:szCs w:val="22"/>
          <w:lang w:val="sr-Latn-ME" w:eastAsia="ja-JP"/>
        </w:rPr>
        <w:t xml:space="preserve">na faricimab iznosila je </w:t>
      </w:r>
      <w:r w:rsidR="00A60A10" w:rsidRPr="0014404C">
        <w:rPr>
          <w:sz w:val="22"/>
          <w:szCs w:val="22"/>
          <w:lang w:val="sr-Latn-ME" w:eastAsia="ja-JP"/>
        </w:rPr>
        <w:t>8/562</w:t>
      </w:r>
      <w:r w:rsidRPr="0014404C">
        <w:rPr>
          <w:sz w:val="22"/>
          <w:szCs w:val="22"/>
          <w:lang w:val="sr-Latn-ME" w:eastAsia="ja-JP"/>
        </w:rPr>
        <w:t xml:space="preserve"> (1,</w:t>
      </w:r>
      <w:r w:rsidR="00A60A10" w:rsidRPr="0014404C">
        <w:rPr>
          <w:sz w:val="22"/>
          <w:szCs w:val="22"/>
          <w:lang w:val="sr-Latn-ME" w:eastAsia="ja-JP"/>
        </w:rPr>
        <w:t>4</w:t>
      </w:r>
      <w:r w:rsidRPr="0014404C">
        <w:rPr>
          <w:sz w:val="22"/>
          <w:szCs w:val="22"/>
          <w:lang w:val="sr-Latn-ME" w:eastAsia="ja-JP"/>
        </w:rPr>
        <w:t>%; nAMD)</w:t>
      </w:r>
      <w:r w:rsidR="00EB2059" w:rsidRPr="0014404C">
        <w:rPr>
          <w:sz w:val="22"/>
          <w:szCs w:val="22"/>
          <w:lang w:val="sr-Latn-ME" w:eastAsia="ja-JP"/>
        </w:rPr>
        <w:t>,</w:t>
      </w:r>
      <w:r w:rsidRPr="0014404C">
        <w:rPr>
          <w:sz w:val="22"/>
          <w:szCs w:val="22"/>
          <w:lang w:val="sr-Latn-ME" w:eastAsia="ja-JP"/>
        </w:rPr>
        <w:t xml:space="preserve"> 5/1124 (0,4%; DME)</w:t>
      </w:r>
      <w:r w:rsidR="00EB2059" w:rsidRPr="0014404C">
        <w:rPr>
          <w:sz w:val="22"/>
          <w:szCs w:val="22"/>
          <w:lang w:val="sr-Latn-ME" w:eastAsia="ja-JP"/>
        </w:rPr>
        <w:t xml:space="preserve"> i 10/543 (1,8%; RVO)</w:t>
      </w:r>
      <w:r w:rsidRPr="0014404C">
        <w:rPr>
          <w:sz w:val="22"/>
          <w:szCs w:val="22"/>
          <w:lang w:val="sr-Latn-ME" w:eastAsia="ja-JP"/>
        </w:rPr>
        <w:t xml:space="preserve">. Incidenca ozbiljnih okularnih neželjenih reakcija kod pacijenata pozitivnih na </w:t>
      </w:r>
      <w:r w:rsidR="00395EAA" w:rsidRPr="0014404C">
        <w:rPr>
          <w:sz w:val="22"/>
          <w:szCs w:val="22"/>
          <w:lang w:val="sr-Latn-ME" w:eastAsia="ja-JP"/>
        </w:rPr>
        <w:t xml:space="preserve">antitijela </w:t>
      </w:r>
      <w:r w:rsidRPr="0014404C">
        <w:rPr>
          <w:sz w:val="22"/>
          <w:szCs w:val="22"/>
          <w:lang w:val="sr-Latn-ME" w:eastAsia="ja-JP"/>
        </w:rPr>
        <w:t xml:space="preserve">na faricimab iznosila je </w:t>
      </w:r>
      <w:r w:rsidR="00A60A10" w:rsidRPr="0014404C">
        <w:rPr>
          <w:sz w:val="22"/>
          <w:szCs w:val="22"/>
          <w:lang w:val="sr-Latn-ME" w:eastAsia="ja-JP"/>
        </w:rPr>
        <w:t>6/98</w:t>
      </w:r>
      <w:r w:rsidRPr="0014404C">
        <w:rPr>
          <w:sz w:val="22"/>
          <w:szCs w:val="22"/>
          <w:lang w:val="sr-Latn-ME" w:eastAsia="ja-JP"/>
        </w:rPr>
        <w:t xml:space="preserve"> (</w:t>
      </w:r>
      <w:r w:rsidR="00A60A10" w:rsidRPr="0014404C">
        <w:rPr>
          <w:sz w:val="22"/>
          <w:szCs w:val="22"/>
          <w:lang w:val="sr-Latn-ME" w:eastAsia="ja-JP"/>
        </w:rPr>
        <w:t>6,1</w:t>
      </w:r>
      <w:r w:rsidRPr="0014404C">
        <w:rPr>
          <w:sz w:val="22"/>
          <w:szCs w:val="22"/>
          <w:lang w:val="sr-Latn-ME" w:eastAsia="ja-JP"/>
        </w:rPr>
        <w:t>%; nAMD)</w:t>
      </w:r>
      <w:r w:rsidR="00EB2059" w:rsidRPr="0014404C">
        <w:rPr>
          <w:sz w:val="22"/>
          <w:szCs w:val="22"/>
          <w:lang w:val="sr-Latn-ME" w:eastAsia="ja-JP"/>
        </w:rPr>
        <w:t>,</w:t>
      </w:r>
      <w:r w:rsidRPr="0014404C">
        <w:rPr>
          <w:sz w:val="22"/>
          <w:szCs w:val="22"/>
          <w:lang w:val="sr-Latn-ME" w:eastAsia="ja-JP"/>
        </w:rPr>
        <w:t xml:space="preserve"> 14/128 (10,9%; DME)</w:t>
      </w:r>
      <w:r w:rsidR="00EB2059" w:rsidRPr="0014404C">
        <w:rPr>
          <w:sz w:val="22"/>
          <w:szCs w:val="22"/>
          <w:lang w:val="sr-Latn-ME" w:eastAsia="ja-JP"/>
        </w:rPr>
        <w:t xml:space="preserve"> i 7/95 (7,4%; RVO)</w:t>
      </w:r>
      <w:r w:rsidRPr="0014404C">
        <w:rPr>
          <w:sz w:val="22"/>
          <w:szCs w:val="22"/>
          <w:lang w:val="sr-Latn-ME" w:eastAsia="ja-JP"/>
        </w:rPr>
        <w:t xml:space="preserve">, a kod pacijenata negativnih na </w:t>
      </w:r>
      <w:r w:rsidR="00395EAA" w:rsidRPr="0014404C">
        <w:rPr>
          <w:sz w:val="22"/>
          <w:szCs w:val="22"/>
          <w:lang w:val="sr-Latn-ME" w:eastAsia="ja-JP"/>
        </w:rPr>
        <w:t xml:space="preserve">antitijela </w:t>
      </w:r>
      <w:r w:rsidRPr="0014404C">
        <w:rPr>
          <w:sz w:val="22"/>
          <w:szCs w:val="22"/>
          <w:lang w:val="sr-Latn-ME" w:eastAsia="ja-JP"/>
        </w:rPr>
        <w:t xml:space="preserve">na faricimab iznosila je </w:t>
      </w:r>
      <w:r w:rsidR="00A60A10" w:rsidRPr="0014404C">
        <w:rPr>
          <w:sz w:val="22"/>
          <w:szCs w:val="22"/>
          <w:lang w:val="sr-Latn-ME" w:eastAsia="ja-JP"/>
        </w:rPr>
        <w:t>23/562</w:t>
      </w:r>
      <w:r w:rsidRPr="0014404C">
        <w:rPr>
          <w:sz w:val="22"/>
          <w:szCs w:val="22"/>
          <w:lang w:val="sr-Latn-ME" w:eastAsia="ja-JP"/>
        </w:rPr>
        <w:t xml:space="preserve"> (</w:t>
      </w:r>
      <w:r w:rsidR="00A60A10" w:rsidRPr="0014404C">
        <w:rPr>
          <w:sz w:val="22"/>
          <w:szCs w:val="22"/>
          <w:lang w:val="sr-Latn-ME" w:eastAsia="ja-JP"/>
        </w:rPr>
        <w:t>4,1</w:t>
      </w:r>
      <w:r w:rsidRPr="0014404C">
        <w:rPr>
          <w:sz w:val="22"/>
          <w:szCs w:val="22"/>
          <w:lang w:val="sr-Latn-ME" w:eastAsia="ja-JP"/>
        </w:rPr>
        <w:t>%; nAMD)</w:t>
      </w:r>
      <w:r w:rsidR="00EB2059" w:rsidRPr="0014404C">
        <w:rPr>
          <w:sz w:val="22"/>
          <w:szCs w:val="22"/>
          <w:lang w:val="sr-Latn-ME" w:eastAsia="ja-JP"/>
        </w:rPr>
        <w:t>,</w:t>
      </w:r>
      <w:r w:rsidRPr="0014404C">
        <w:rPr>
          <w:sz w:val="22"/>
          <w:szCs w:val="22"/>
          <w:lang w:val="sr-Latn-ME" w:eastAsia="ja-JP"/>
        </w:rPr>
        <w:t xml:space="preserve"> 45/1124 (4,0%; DME)</w:t>
      </w:r>
      <w:r w:rsidR="00EB2059" w:rsidRPr="0014404C">
        <w:rPr>
          <w:sz w:val="22"/>
          <w:szCs w:val="22"/>
          <w:lang w:val="sr-Latn-ME" w:eastAsia="ja-JP"/>
        </w:rPr>
        <w:t xml:space="preserve"> i 34/543 (6,3%; RVO)</w:t>
      </w:r>
      <w:r w:rsidRPr="0014404C">
        <w:rPr>
          <w:sz w:val="22"/>
          <w:szCs w:val="22"/>
          <w:lang w:val="sr-Latn-ME" w:eastAsia="ja-JP"/>
        </w:rPr>
        <w:t xml:space="preserve">. </w:t>
      </w:r>
      <w:bookmarkEnd w:id="1"/>
      <w:r w:rsidR="00395EAA" w:rsidRPr="0014404C">
        <w:rPr>
          <w:sz w:val="22"/>
          <w:szCs w:val="22"/>
          <w:lang w:val="sr-Latn-ME" w:eastAsia="ja-JP"/>
        </w:rPr>
        <w:t xml:space="preserve">Antitijela </w:t>
      </w:r>
      <w:r w:rsidRPr="0014404C">
        <w:rPr>
          <w:sz w:val="22"/>
          <w:szCs w:val="22"/>
          <w:lang w:val="sr-Latn-ME" w:eastAsia="ja-JP"/>
        </w:rPr>
        <w:t>na faricimab nisu bila povezana sa uticajem na kliničku efikasnost ili sistemsku farmakokinetiku.</w:t>
      </w:r>
    </w:p>
    <w:p w14:paraId="10BD3C1C" w14:textId="77777777" w:rsidR="004E70AD" w:rsidRPr="0014404C" w:rsidRDefault="004E70AD" w:rsidP="0014404C">
      <w:pPr>
        <w:widowControl w:val="0"/>
        <w:tabs>
          <w:tab w:val="left" w:pos="540"/>
          <w:tab w:val="left" w:pos="569"/>
        </w:tabs>
        <w:jc w:val="both"/>
        <w:rPr>
          <w:b/>
          <w:bCs/>
          <w:sz w:val="22"/>
          <w:szCs w:val="22"/>
          <w:lang w:val="sr-Latn-ME"/>
        </w:rPr>
      </w:pPr>
    </w:p>
    <w:p w14:paraId="46B7A788" w14:textId="77777777" w:rsidR="005A23D2" w:rsidRPr="0014404C" w:rsidRDefault="005A23D2" w:rsidP="0014404C">
      <w:pPr>
        <w:widowControl w:val="0"/>
        <w:spacing w:line="276" w:lineRule="auto"/>
        <w:jc w:val="both"/>
        <w:rPr>
          <w:rFonts w:eastAsia="Calibri"/>
          <w:sz w:val="22"/>
          <w:szCs w:val="22"/>
          <w:u w:val="single"/>
          <w:lang w:val="sr-Latn-ME"/>
        </w:rPr>
      </w:pPr>
      <w:r w:rsidRPr="0014404C">
        <w:rPr>
          <w:rFonts w:eastAsia="Calibri"/>
          <w:sz w:val="22"/>
          <w:szCs w:val="22"/>
          <w:u w:val="single"/>
          <w:lang w:val="sr-Latn-ME"/>
        </w:rPr>
        <w:t>Prijavljivanje sumnji na neželjena dejstva</w:t>
      </w:r>
    </w:p>
    <w:p w14:paraId="0EA2F070" w14:textId="77777777" w:rsidR="005A23D2" w:rsidRPr="0014404C" w:rsidRDefault="005A23D2" w:rsidP="0014404C">
      <w:pPr>
        <w:widowControl w:val="0"/>
        <w:jc w:val="both"/>
        <w:rPr>
          <w:rFonts w:eastAsia="Calibri"/>
          <w:sz w:val="22"/>
          <w:szCs w:val="22"/>
          <w:lang w:val="sr-Latn-ME"/>
        </w:rPr>
      </w:pPr>
      <w:r w:rsidRPr="0014404C">
        <w:rPr>
          <w:rFonts w:eastAsia="Calibri"/>
          <w:sz w:val="22"/>
          <w:szCs w:val="22"/>
          <w:lang w:val="sr-Latn-ME"/>
        </w:rPr>
        <w:t>Prijavljivanje neželjenih dejstava nakon dobijanja dozvole je od velikog značaja jer obezbjeđuje kont</w:t>
      </w:r>
      <w:r w:rsidR="00EA5765" w:rsidRPr="0014404C">
        <w:rPr>
          <w:rFonts w:eastAsia="Calibri"/>
          <w:sz w:val="22"/>
          <w:szCs w:val="22"/>
          <w:lang w:val="sr-Latn-ME"/>
        </w:rPr>
        <w:t>inuirano praćenje odnosa korist</w:t>
      </w:r>
      <w:r w:rsidRPr="0014404C">
        <w:rPr>
          <w:rFonts w:eastAsia="Calibri"/>
          <w:sz w:val="22"/>
          <w:szCs w:val="22"/>
          <w:lang w:val="sr-Latn-ME"/>
        </w:rPr>
        <w:t>/rizik primjene lijeka. Zdravstveni radnici treba da prijave svaku sumnju na neželjeno</w:t>
      </w:r>
      <w:r w:rsidR="009B062A" w:rsidRPr="0014404C">
        <w:rPr>
          <w:rFonts w:eastAsia="Calibri"/>
          <w:sz w:val="22"/>
          <w:szCs w:val="22"/>
          <w:lang w:val="sr-Latn-ME"/>
        </w:rPr>
        <w:t xml:space="preserve"> </w:t>
      </w:r>
      <w:r w:rsidRPr="0014404C">
        <w:rPr>
          <w:rFonts w:eastAsia="Calibri"/>
          <w:sz w:val="22"/>
          <w:szCs w:val="22"/>
          <w:lang w:val="sr-Latn-ME"/>
        </w:rPr>
        <w:t xml:space="preserve">dejstvo ovog lijeka </w:t>
      </w:r>
      <w:r w:rsidR="004E70AD" w:rsidRPr="0014404C">
        <w:rPr>
          <w:rFonts w:eastAsia="Calibri"/>
          <w:sz w:val="22"/>
          <w:szCs w:val="22"/>
          <w:lang w:val="sr-Latn-ME"/>
        </w:rPr>
        <w:t>Institutu</w:t>
      </w:r>
      <w:r w:rsidRPr="0014404C">
        <w:rPr>
          <w:rFonts w:eastAsia="Calibri"/>
          <w:sz w:val="22"/>
          <w:szCs w:val="22"/>
          <w:lang w:val="sr-Latn-ME"/>
        </w:rPr>
        <w:t xml:space="preserve"> za ljekove i medicinska sredstva</w:t>
      </w:r>
      <w:r w:rsidR="004E70AD" w:rsidRPr="0014404C">
        <w:rPr>
          <w:rFonts w:eastAsia="Calibri"/>
          <w:sz w:val="22"/>
          <w:szCs w:val="22"/>
          <w:lang w:val="sr-Latn-ME"/>
        </w:rPr>
        <w:t xml:space="preserve"> </w:t>
      </w:r>
      <w:r w:rsidRPr="0014404C">
        <w:rPr>
          <w:rFonts w:eastAsia="Calibri"/>
          <w:sz w:val="22"/>
          <w:szCs w:val="22"/>
          <w:lang w:val="sr-Latn-ME"/>
        </w:rPr>
        <w:t>(</w:t>
      </w:r>
      <w:r w:rsidR="004E70AD" w:rsidRPr="0014404C">
        <w:rPr>
          <w:rFonts w:eastAsia="Calibri"/>
          <w:sz w:val="22"/>
          <w:szCs w:val="22"/>
          <w:lang w:val="sr-Latn-ME"/>
        </w:rPr>
        <w:t>CInMED</w:t>
      </w:r>
      <w:r w:rsidRPr="0014404C">
        <w:rPr>
          <w:rFonts w:eastAsia="Calibri"/>
          <w:sz w:val="22"/>
          <w:szCs w:val="22"/>
          <w:lang w:val="sr-Latn-ME"/>
        </w:rPr>
        <w:t>):</w:t>
      </w:r>
    </w:p>
    <w:p w14:paraId="1BEEBEF9" w14:textId="77777777" w:rsidR="005A23D2" w:rsidRPr="0014404C" w:rsidRDefault="004E70AD" w:rsidP="0014404C">
      <w:pPr>
        <w:pStyle w:val="NoSpacing"/>
        <w:widowControl w:val="0"/>
        <w:jc w:val="both"/>
        <w:rPr>
          <w:rFonts w:eastAsia="Calibri"/>
          <w:sz w:val="22"/>
          <w:szCs w:val="22"/>
          <w:lang w:val="sr-Latn-ME"/>
        </w:rPr>
      </w:pPr>
      <w:r w:rsidRPr="0014404C">
        <w:rPr>
          <w:rFonts w:eastAsia="Calibri"/>
          <w:sz w:val="22"/>
          <w:szCs w:val="22"/>
          <w:lang w:val="sr-Latn-ME"/>
        </w:rPr>
        <w:t xml:space="preserve">Institut </w:t>
      </w:r>
      <w:r w:rsidR="005A23D2" w:rsidRPr="0014404C">
        <w:rPr>
          <w:rFonts w:eastAsia="Calibri"/>
          <w:sz w:val="22"/>
          <w:szCs w:val="22"/>
          <w:lang w:val="sr-Latn-ME"/>
        </w:rPr>
        <w:t xml:space="preserve">za ljekove i medicinska sredstva </w:t>
      </w:r>
    </w:p>
    <w:p w14:paraId="31211878" w14:textId="77777777" w:rsidR="005A23D2" w:rsidRPr="0014404C" w:rsidRDefault="005A23D2" w:rsidP="0014404C">
      <w:pPr>
        <w:pStyle w:val="NoSpacing"/>
        <w:widowControl w:val="0"/>
        <w:jc w:val="both"/>
        <w:rPr>
          <w:rFonts w:eastAsia="Calibri"/>
          <w:sz w:val="22"/>
          <w:szCs w:val="22"/>
          <w:lang w:val="sr-Latn-ME"/>
        </w:rPr>
      </w:pPr>
      <w:r w:rsidRPr="0014404C">
        <w:rPr>
          <w:rFonts w:eastAsia="Calibri"/>
          <w:sz w:val="22"/>
          <w:szCs w:val="22"/>
          <w:lang w:val="sr-Latn-ME"/>
        </w:rPr>
        <w:t>Odjeljenje za farmakovigilancu</w:t>
      </w:r>
    </w:p>
    <w:p w14:paraId="5DB48E68" w14:textId="77777777" w:rsidR="00EA5765" w:rsidRPr="0014404C" w:rsidRDefault="005A23D2" w:rsidP="0014404C">
      <w:pPr>
        <w:pStyle w:val="NoSpacing"/>
        <w:widowControl w:val="0"/>
        <w:jc w:val="both"/>
        <w:rPr>
          <w:rFonts w:eastAsia="Calibri"/>
          <w:sz w:val="22"/>
          <w:szCs w:val="22"/>
          <w:lang w:val="sr-Latn-ME"/>
        </w:rPr>
      </w:pPr>
      <w:r w:rsidRPr="0014404C">
        <w:rPr>
          <w:rFonts w:eastAsia="Calibri"/>
          <w:sz w:val="22"/>
          <w:szCs w:val="22"/>
          <w:lang w:val="sr-Latn-ME"/>
        </w:rPr>
        <w:t>Bulevar Ivana Crnojevića 64a, 81000 Podgorica</w:t>
      </w:r>
    </w:p>
    <w:p w14:paraId="72C80B50" w14:textId="77777777" w:rsidR="00EA5765" w:rsidRPr="0014404C" w:rsidRDefault="00EA5765" w:rsidP="0014404C">
      <w:pPr>
        <w:pStyle w:val="NoSpacing"/>
        <w:widowControl w:val="0"/>
        <w:jc w:val="both"/>
        <w:rPr>
          <w:rFonts w:eastAsia="Calibri"/>
          <w:sz w:val="22"/>
          <w:szCs w:val="22"/>
          <w:lang w:val="sr-Latn-ME"/>
        </w:rPr>
      </w:pPr>
    </w:p>
    <w:p w14:paraId="7F66EC9A" w14:textId="77777777" w:rsidR="005A23D2" w:rsidRPr="0014404C" w:rsidRDefault="005A23D2" w:rsidP="0014404C">
      <w:pPr>
        <w:pStyle w:val="NoSpacing"/>
        <w:widowControl w:val="0"/>
        <w:jc w:val="both"/>
        <w:rPr>
          <w:rFonts w:eastAsia="Calibri"/>
          <w:sz w:val="22"/>
          <w:szCs w:val="22"/>
          <w:lang w:val="sr-Latn-ME"/>
        </w:rPr>
      </w:pPr>
      <w:r w:rsidRPr="0014404C">
        <w:rPr>
          <w:rFonts w:eastAsia="Calibri"/>
          <w:sz w:val="22"/>
          <w:szCs w:val="22"/>
          <w:lang w:val="sr-Latn-ME"/>
        </w:rPr>
        <w:t>tel: +382 (0) 20 310 280</w:t>
      </w:r>
    </w:p>
    <w:p w14:paraId="2A8FC98E" w14:textId="77777777" w:rsidR="00EA5765" w:rsidRPr="0014404C" w:rsidRDefault="005A23D2" w:rsidP="0014404C">
      <w:pPr>
        <w:pStyle w:val="NoSpacing"/>
        <w:widowControl w:val="0"/>
        <w:jc w:val="both"/>
        <w:rPr>
          <w:rFonts w:eastAsia="Calibri"/>
          <w:sz w:val="22"/>
          <w:szCs w:val="22"/>
          <w:lang w:val="sr-Latn-ME"/>
        </w:rPr>
      </w:pPr>
      <w:r w:rsidRPr="0014404C">
        <w:rPr>
          <w:rFonts w:eastAsia="Calibri"/>
          <w:sz w:val="22"/>
          <w:szCs w:val="22"/>
          <w:lang w:val="sr-Latn-ME"/>
        </w:rPr>
        <w:t>fax:</w:t>
      </w:r>
      <w:r w:rsidR="00EA5765" w:rsidRPr="0014404C">
        <w:rPr>
          <w:rFonts w:eastAsia="Calibri"/>
          <w:sz w:val="22"/>
          <w:szCs w:val="22"/>
          <w:lang w:val="sr-Latn-ME"/>
        </w:rPr>
        <w:t xml:space="preserve"> </w:t>
      </w:r>
      <w:r w:rsidRPr="0014404C">
        <w:rPr>
          <w:rFonts w:eastAsia="Calibri"/>
          <w:sz w:val="22"/>
          <w:szCs w:val="22"/>
          <w:lang w:val="sr-Latn-ME"/>
        </w:rPr>
        <w:t>+382 (0) 20 310 581</w:t>
      </w:r>
    </w:p>
    <w:p w14:paraId="69341EEE" w14:textId="77777777" w:rsidR="005A23D2" w:rsidRPr="0014404C" w:rsidRDefault="00461BC6" w:rsidP="0014404C">
      <w:pPr>
        <w:pStyle w:val="NoSpacing"/>
        <w:widowControl w:val="0"/>
        <w:jc w:val="both"/>
        <w:rPr>
          <w:rFonts w:eastAsia="Calibri"/>
          <w:sz w:val="22"/>
          <w:szCs w:val="22"/>
          <w:lang w:val="sr-Latn-ME"/>
        </w:rPr>
      </w:pPr>
      <w:hyperlink r:id="rId9" w:history="1">
        <w:r w:rsidR="004E70AD" w:rsidRPr="0014404C">
          <w:rPr>
            <w:rStyle w:val="Hyperlink"/>
            <w:rFonts w:eastAsia="Calibri"/>
            <w:sz w:val="22"/>
            <w:szCs w:val="22"/>
            <w:lang w:val="sr-Latn-ME"/>
          </w:rPr>
          <w:t>www.cinmed.me</w:t>
        </w:r>
      </w:hyperlink>
    </w:p>
    <w:p w14:paraId="0F938235" w14:textId="77777777" w:rsidR="00EA5765" w:rsidRPr="0014404C" w:rsidRDefault="00461BC6" w:rsidP="0014404C">
      <w:pPr>
        <w:pStyle w:val="NoSpacing"/>
        <w:widowControl w:val="0"/>
        <w:jc w:val="both"/>
        <w:rPr>
          <w:rFonts w:eastAsia="Calibri"/>
          <w:color w:val="0000FF"/>
          <w:sz w:val="22"/>
          <w:szCs w:val="22"/>
          <w:u w:val="single"/>
          <w:lang w:val="sr-Latn-ME"/>
        </w:rPr>
      </w:pPr>
      <w:hyperlink r:id="rId10" w:history="1">
        <w:r w:rsidR="004E70AD" w:rsidRPr="0014404C">
          <w:rPr>
            <w:rStyle w:val="Hyperlink"/>
            <w:rFonts w:eastAsia="Calibri"/>
            <w:sz w:val="22"/>
            <w:szCs w:val="22"/>
            <w:lang w:val="sr-Latn-ME"/>
          </w:rPr>
          <w:t>nezeljenadejstva@cinmed.me</w:t>
        </w:r>
      </w:hyperlink>
    </w:p>
    <w:p w14:paraId="28F6D464" w14:textId="427E21BB" w:rsidR="005A23D2" w:rsidRPr="0014404C" w:rsidRDefault="005A23D2" w:rsidP="0014404C">
      <w:pPr>
        <w:pStyle w:val="NoSpacing"/>
        <w:widowControl w:val="0"/>
        <w:jc w:val="both"/>
        <w:rPr>
          <w:rFonts w:eastAsia="Calibri"/>
          <w:sz w:val="22"/>
          <w:szCs w:val="22"/>
          <w:lang w:val="sr-Latn-ME"/>
        </w:rPr>
      </w:pPr>
      <w:r w:rsidRPr="0014404C">
        <w:rPr>
          <w:rFonts w:eastAsia="Calibri"/>
          <w:sz w:val="22"/>
          <w:szCs w:val="22"/>
          <w:lang w:val="sr-Latn-ME"/>
        </w:rPr>
        <w:t>putem IS zdravstvene zaštite</w:t>
      </w:r>
    </w:p>
    <w:p w14:paraId="0F1F5264" w14:textId="77777777" w:rsidR="000E0D11" w:rsidRPr="0014404C" w:rsidRDefault="000E0D11" w:rsidP="0014404C">
      <w:pPr>
        <w:pStyle w:val="NoSpacing"/>
        <w:widowControl w:val="0"/>
        <w:jc w:val="both"/>
        <w:rPr>
          <w:rFonts w:eastAsia="Calibri"/>
          <w:sz w:val="22"/>
          <w:szCs w:val="22"/>
          <w:lang w:val="sr-Latn-ME"/>
        </w:rPr>
      </w:pPr>
      <w:r w:rsidRPr="0014404C">
        <w:rPr>
          <w:rFonts w:eastAsia="Calibri"/>
          <w:sz w:val="22"/>
          <w:szCs w:val="22"/>
          <w:lang w:val="sr-Latn-ME"/>
        </w:rPr>
        <w:t>QR kod za online prijavu sumnje na neželjeno dejstvo lijeka:</w:t>
      </w:r>
    </w:p>
    <w:p w14:paraId="3FA87D1A" w14:textId="77777777" w:rsidR="000E0D11" w:rsidRPr="0014404C" w:rsidRDefault="000E0D11" w:rsidP="0014404C">
      <w:pPr>
        <w:pStyle w:val="NoSpacing"/>
        <w:widowControl w:val="0"/>
        <w:jc w:val="both"/>
        <w:rPr>
          <w:rFonts w:eastAsia="Calibri"/>
          <w:sz w:val="22"/>
          <w:szCs w:val="22"/>
          <w:lang w:val="sr-Latn-ME"/>
        </w:rPr>
      </w:pPr>
    </w:p>
    <w:p w14:paraId="3DD41FD1" w14:textId="41FEA11E" w:rsidR="000E0D11" w:rsidRPr="0014404C" w:rsidRDefault="0014404C" w:rsidP="0014404C">
      <w:pPr>
        <w:pStyle w:val="NoSpacing"/>
        <w:widowControl w:val="0"/>
        <w:jc w:val="both"/>
        <w:rPr>
          <w:rFonts w:eastAsia="Calibri"/>
          <w:sz w:val="22"/>
          <w:szCs w:val="22"/>
          <w:lang w:val="sr-Latn-ME"/>
        </w:rPr>
      </w:pPr>
      <w:r w:rsidRPr="007F661E">
        <w:rPr>
          <w:b/>
          <w:bCs/>
          <w:noProof/>
          <w:sz w:val="22"/>
          <w:szCs w:val="22"/>
          <w:lang w:val="sr-Latn-ME" w:eastAsia="sr-Latn-ME"/>
        </w:rPr>
        <w:lastRenderedPageBreak/>
        <w:drawing>
          <wp:inline distT="0" distB="0" distL="0" distR="0" wp14:anchorId="36489887" wp14:editId="1A105055">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03ECF74" w14:textId="0CEF9A0C" w:rsidR="00836B35" w:rsidRPr="0014404C" w:rsidRDefault="00836B35" w:rsidP="0014404C">
      <w:pPr>
        <w:widowControl w:val="0"/>
        <w:tabs>
          <w:tab w:val="left" w:pos="540"/>
          <w:tab w:val="left" w:pos="569"/>
        </w:tabs>
        <w:jc w:val="both"/>
        <w:rPr>
          <w:b/>
          <w:bCs/>
          <w:sz w:val="22"/>
          <w:szCs w:val="22"/>
          <w:lang w:val="sr-Latn-ME"/>
        </w:rPr>
      </w:pPr>
    </w:p>
    <w:p w14:paraId="24A967CA" w14:textId="77777777" w:rsidR="00CD6F02"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4.9. </w:t>
      </w:r>
      <w:r w:rsidR="00480FB1" w:rsidRPr="0014404C">
        <w:rPr>
          <w:b/>
          <w:bCs/>
          <w:sz w:val="22"/>
          <w:szCs w:val="22"/>
          <w:lang w:val="sr-Latn-ME"/>
        </w:rPr>
        <w:tab/>
      </w:r>
      <w:r w:rsidRPr="0014404C">
        <w:rPr>
          <w:b/>
          <w:bCs/>
          <w:sz w:val="22"/>
          <w:szCs w:val="22"/>
          <w:lang w:val="sr-Latn-ME"/>
        </w:rPr>
        <w:t>Predoziranje</w:t>
      </w:r>
      <w:r w:rsidR="002846DB" w:rsidRPr="0014404C">
        <w:rPr>
          <w:b/>
          <w:bCs/>
          <w:sz w:val="22"/>
          <w:szCs w:val="22"/>
          <w:lang w:val="sr-Latn-ME"/>
        </w:rPr>
        <w:t xml:space="preserve"> </w:t>
      </w:r>
    </w:p>
    <w:p w14:paraId="11FF7146" w14:textId="77777777" w:rsidR="00CD6F02" w:rsidRPr="0014404C" w:rsidRDefault="00CD6F02" w:rsidP="0014404C">
      <w:pPr>
        <w:widowControl w:val="0"/>
        <w:tabs>
          <w:tab w:val="left" w:pos="540"/>
          <w:tab w:val="left" w:pos="569"/>
        </w:tabs>
        <w:jc w:val="both"/>
        <w:rPr>
          <w:b/>
          <w:bCs/>
          <w:sz w:val="22"/>
          <w:szCs w:val="22"/>
          <w:lang w:val="sr-Latn-ME"/>
        </w:rPr>
      </w:pPr>
    </w:p>
    <w:p w14:paraId="0FA94973" w14:textId="47083A17" w:rsidR="0036275D" w:rsidRPr="0014404C" w:rsidRDefault="0036275D" w:rsidP="0014404C">
      <w:pPr>
        <w:widowControl w:val="0"/>
        <w:jc w:val="both"/>
        <w:rPr>
          <w:sz w:val="22"/>
          <w:szCs w:val="22"/>
          <w:lang w:val="sr-Latn-ME" w:eastAsia="ja-JP"/>
        </w:rPr>
      </w:pPr>
      <w:r w:rsidRPr="0014404C">
        <w:rPr>
          <w:sz w:val="22"/>
          <w:szCs w:val="22"/>
          <w:lang w:val="sr-Latn-ME" w:eastAsia="ja-JP"/>
        </w:rPr>
        <w:t xml:space="preserve">Predoziranje zbog </w:t>
      </w:r>
      <w:r w:rsidR="00802EFD" w:rsidRPr="0014404C">
        <w:rPr>
          <w:sz w:val="22"/>
          <w:szCs w:val="22"/>
          <w:lang w:val="sr-Latn-ME" w:eastAsia="ja-JP"/>
        </w:rPr>
        <w:t>primjene</w:t>
      </w:r>
      <w:r w:rsidRPr="0014404C">
        <w:rPr>
          <w:sz w:val="22"/>
          <w:szCs w:val="22"/>
          <w:lang w:val="sr-Latn-ME" w:eastAsia="ja-JP"/>
        </w:rPr>
        <w:t xml:space="preserve"> veće injekcione zapremine od preporučene može povećati intraokularni pritisak. U slučaju predoziranja treba pratiti intraokularni pritisak i uvesti odgovarajuće </w:t>
      </w:r>
      <w:r w:rsidR="00395EAA" w:rsidRPr="0014404C">
        <w:rPr>
          <w:sz w:val="22"/>
          <w:szCs w:val="22"/>
          <w:lang w:val="sr-Latn-ME" w:eastAsia="ja-JP"/>
        </w:rPr>
        <w:t xml:space="preserve">liječenje </w:t>
      </w:r>
      <w:r w:rsidRPr="0014404C">
        <w:rPr>
          <w:sz w:val="22"/>
          <w:szCs w:val="22"/>
          <w:lang w:val="sr-Latn-ME" w:eastAsia="ja-JP"/>
        </w:rPr>
        <w:t xml:space="preserve">ako ordinirajući </w:t>
      </w:r>
      <w:r w:rsidR="00802EFD" w:rsidRPr="0014404C">
        <w:rPr>
          <w:sz w:val="22"/>
          <w:szCs w:val="22"/>
          <w:lang w:val="sr-Latn-ME" w:eastAsia="ja-JP"/>
        </w:rPr>
        <w:t>ljekar</w:t>
      </w:r>
      <w:r w:rsidRPr="0014404C">
        <w:rPr>
          <w:sz w:val="22"/>
          <w:szCs w:val="22"/>
          <w:lang w:val="sr-Latn-ME" w:eastAsia="ja-JP"/>
        </w:rPr>
        <w:t xml:space="preserve"> </w:t>
      </w:r>
      <w:r w:rsidR="00395EAA" w:rsidRPr="0014404C">
        <w:rPr>
          <w:sz w:val="22"/>
          <w:szCs w:val="22"/>
          <w:lang w:val="sr-Latn-ME" w:eastAsia="ja-JP"/>
        </w:rPr>
        <w:t xml:space="preserve">procijeni </w:t>
      </w:r>
      <w:r w:rsidRPr="0014404C">
        <w:rPr>
          <w:sz w:val="22"/>
          <w:szCs w:val="22"/>
          <w:lang w:val="sr-Latn-ME" w:eastAsia="ja-JP"/>
        </w:rPr>
        <w:t>da je to potrebno.</w:t>
      </w:r>
    </w:p>
    <w:p w14:paraId="6C736B09" w14:textId="553C0D62" w:rsidR="00227BDB" w:rsidRDefault="00227BDB" w:rsidP="0014404C">
      <w:pPr>
        <w:widowControl w:val="0"/>
        <w:tabs>
          <w:tab w:val="left" w:pos="540"/>
          <w:tab w:val="left" w:pos="569"/>
        </w:tabs>
        <w:jc w:val="both"/>
        <w:rPr>
          <w:b/>
          <w:bCs/>
          <w:sz w:val="22"/>
          <w:szCs w:val="22"/>
          <w:lang w:val="sr-Latn-ME"/>
        </w:rPr>
      </w:pPr>
    </w:p>
    <w:p w14:paraId="7BDA4283" w14:textId="77777777" w:rsidR="0014404C" w:rsidRPr="0014404C" w:rsidRDefault="0014404C" w:rsidP="0014404C">
      <w:pPr>
        <w:widowControl w:val="0"/>
        <w:tabs>
          <w:tab w:val="left" w:pos="540"/>
          <w:tab w:val="left" w:pos="569"/>
        </w:tabs>
        <w:jc w:val="both"/>
        <w:rPr>
          <w:b/>
          <w:bCs/>
          <w:sz w:val="22"/>
          <w:szCs w:val="22"/>
          <w:lang w:val="sr-Latn-ME"/>
        </w:rPr>
      </w:pPr>
    </w:p>
    <w:p w14:paraId="22DE2332"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5. </w:t>
      </w:r>
      <w:r w:rsidR="00480FB1" w:rsidRPr="0014404C">
        <w:rPr>
          <w:b/>
          <w:bCs/>
          <w:sz w:val="22"/>
          <w:szCs w:val="22"/>
          <w:lang w:val="sr-Latn-ME"/>
        </w:rPr>
        <w:tab/>
      </w:r>
      <w:r w:rsidRPr="0014404C">
        <w:rPr>
          <w:b/>
          <w:bCs/>
          <w:sz w:val="22"/>
          <w:szCs w:val="22"/>
          <w:lang w:val="sr-Latn-ME"/>
        </w:rPr>
        <w:t>FARMAKOLOŠK</w:t>
      </w:r>
      <w:r w:rsidR="000D425A" w:rsidRPr="0014404C">
        <w:rPr>
          <w:b/>
          <w:bCs/>
          <w:sz w:val="22"/>
          <w:szCs w:val="22"/>
          <w:lang w:val="sr-Latn-ME"/>
        </w:rPr>
        <w:t>I</w:t>
      </w:r>
      <w:r w:rsidRPr="0014404C">
        <w:rPr>
          <w:b/>
          <w:bCs/>
          <w:sz w:val="22"/>
          <w:szCs w:val="22"/>
          <w:lang w:val="sr-Latn-ME"/>
        </w:rPr>
        <w:t xml:space="preserve"> PODACI</w:t>
      </w:r>
    </w:p>
    <w:p w14:paraId="3EF8F06F" w14:textId="77777777" w:rsidR="0072020E" w:rsidRPr="0014404C" w:rsidRDefault="0072020E" w:rsidP="0014404C">
      <w:pPr>
        <w:widowControl w:val="0"/>
        <w:tabs>
          <w:tab w:val="left" w:pos="540"/>
          <w:tab w:val="left" w:pos="569"/>
        </w:tabs>
        <w:jc w:val="both"/>
        <w:rPr>
          <w:b/>
          <w:bCs/>
          <w:sz w:val="22"/>
          <w:szCs w:val="22"/>
          <w:lang w:val="sr-Latn-ME"/>
        </w:rPr>
      </w:pPr>
    </w:p>
    <w:p w14:paraId="6F2C9FCC"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5.1. </w:t>
      </w:r>
      <w:r w:rsidR="00480FB1" w:rsidRPr="0014404C">
        <w:rPr>
          <w:b/>
          <w:bCs/>
          <w:sz w:val="22"/>
          <w:szCs w:val="22"/>
          <w:lang w:val="sr-Latn-ME"/>
        </w:rPr>
        <w:tab/>
      </w:r>
      <w:r w:rsidRPr="0014404C">
        <w:rPr>
          <w:b/>
          <w:bCs/>
          <w:sz w:val="22"/>
          <w:szCs w:val="22"/>
          <w:lang w:val="sr-Latn-ME"/>
        </w:rPr>
        <w:t>Farmakodinamski podaci</w:t>
      </w:r>
      <w:r w:rsidR="003A7059" w:rsidRPr="0014404C">
        <w:rPr>
          <w:b/>
          <w:bCs/>
          <w:sz w:val="22"/>
          <w:szCs w:val="22"/>
          <w:lang w:val="sr-Latn-ME"/>
        </w:rPr>
        <w:t xml:space="preserve"> </w:t>
      </w:r>
    </w:p>
    <w:p w14:paraId="1DFB4E45" w14:textId="77777777" w:rsidR="00F45F77" w:rsidRPr="0014404C" w:rsidRDefault="00F45F77" w:rsidP="0014404C">
      <w:pPr>
        <w:widowControl w:val="0"/>
        <w:tabs>
          <w:tab w:val="left" w:pos="540"/>
          <w:tab w:val="left" w:pos="569"/>
        </w:tabs>
        <w:jc w:val="both"/>
        <w:rPr>
          <w:b/>
          <w:bCs/>
          <w:sz w:val="22"/>
          <w:szCs w:val="22"/>
          <w:lang w:val="sr-Latn-ME"/>
        </w:rPr>
      </w:pPr>
    </w:p>
    <w:p w14:paraId="4CF67BF7" w14:textId="5FF39D0C" w:rsidR="0072020E" w:rsidRPr="0014404C" w:rsidRDefault="0072020E" w:rsidP="0014404C">
      <w:pPr>
        <w:widowControl w:val="0"/>
        <w:tabs>
          <w:tab w:val="left" w:pos="540"/>
          <w:tab w:val="left" w:pos="569"/>
        </w:tabs>
        <w:jc w:val="both"/>
        <w:rPr>
          <w:bCs/>
          <w:sz w:val="22"/>
          <w:szCs w:val="22"/>
          <w:lang w:val="sr-Latn-ME"/>
        </w:rPr>
      </w:pPr>
      <w:r w:rsidRPr="0014404C">
        <w:rPr>
          <w:bCs/>
          <w:sz w:val="22"/>
          <w:szCs w:val="22"/>
          <w:lang w:val="sr-Latn-ME"/>
        </w:rPr>
        <w:t>Farmakoterapijska grupa:</w:t>
      </w:r>
      <w:r w:rsidR="0036275D" w:rsidRPr="0014404C">
        <w:rPr>
          <w:sz w:val="22"/>
          <w:szCs w:val="22"/>
          <w:lang w:val="sr-Latn-ME" w:eastAsia="ja-JP"/>
        </w:rPr>
        <w:t xml:space="preserve"> Oftalmološki </w:t>
      </w:r>
      <w:r w:rsidR="00395EAA" w:rsidRPr="0014404C">
        <w:rPr>
          <w:sz w:val="22"/>
          <w:szCs w:val="22"/>
          <w:lang w:val="sr-Latn-ME" w:eastAsia="ja-JP"/>
        </w:rPr>
        <w:t>ljekovi</w:t>
      </w:r>
      <w:r w:rsidR="0036275D" w:rsidRPr="0014404C">
        <w:rPr>
          <w:sz w:val="22"/>
          <w:szCs w:val="22"/>
          <w:lang w:val="sr-Latn-ME" w:eastAsia="ja-JP"/>
        </w:rPr>
        <w:t xml:space="preserve">, </w:t>
      </w:r>
      <w:r w:rsidR="00395EAA" w:rsidRPr="0014404C">
        <w:rPr>
          <w:sz w:val="22"/>
          <w:szCs w:val="22"/>
          <w:lang w:val="sr-Latn-ME" w:eastAsia="ja-JP"/>
        </w:rPr>
        <w:t xml:space="preserve">ljekovi </w:t>
      </w:r>
      <w:r w:rsidR="0036275D" w:rsidRPr="0014404C">
        <w:rPr>
          <w:sz w:val="22"/>
          <w:szCs w:val="22"/>
          <w:lang w:val="sr-Latn-ME" w:eastAsia="ja-JP"/>
        </w:rPr>
        <w:t xml:space="preserve">za </w:t>
      </w:r>
      <w:r w:rsidR="00395EAA" w:rsidRPr="0014404C">
        <w:rPr>
          <w:sz w:val="22"/>
          <w:szCs w:val="22"/>
          <w:lang w:val="sr-Latn-ME" w:eastAsia="ja-JP"/>
        </w:rPr>
        <w:t xml:space="preserve">liječenje </w:t>
      </w:r>
      <w:r w:rsidR="0036275D" w:rsidRPr="0014404C">
        <w:rPr>
          <w:sz w:val="22"/>
          <w:szCs w:val="22"/>
          <w:lang w:val="sr-Latn-ME" w:eastAsia="ja-JP"/>
        </w:rPr>
        <w:t>neovaskularizacije</w:t>
      </w:r>
    </w:p>
    <w:p w14:paraId="26FE96D6" w14:textId="77777777" w:rsidR="0072020E" w:rsidRPr="0014404C" w:rsidRDefault="0072020E" w:rsidP="0014404C">
      <w:pPr>
        <w:widowControl w:val="0"/>
        <w:tabs>
          <w:tab w:val="left" w:pos="540"/>
          <w:tab w:val="left" w:pos="569"/>
        </w:tabs>
        <w:jc w:val="both"/>
        <w:rPr>
          <w:bCs/>
          <w:sz w:val="22"/>
          <w:szCs w:val="22"/>
          <w:lang w:val="sr-Latn-ME"/>
        </w:rPr>
      </w:pPr>
    </w:p>
    <w:p w14:paraId="0FED5CFF" w14:textId="77777777" w:rsidR="0072020E" w:rsidRPr="0014404C" w:rsidRDefault="0072020E" w:rsidP="0014404C">
      <w:pPr>
        <w:widowControl w:val="0"/>
        <w:tabs>
          <w:tab w:val="left" w:pos="540"/>
          <w:tab w:val="left" w:pos="569"/>
        </w:tabs>
        <w:jc w:val="both"/>
        <w:rPr>
          <w:sz w:val="22"/>
          <w:szCs w:val="22"/>
          <w:lang w:val="sr-Latn-ME" w:eastAsia="ja-JP"/>
        </w:rPr>
      </w:pPr>
      <w:r w:rsidRPr="0014404C">
        <w:rPr>
          <w:bCs/>
          <w:sz w:val="22"/>
          <w:szCs w:val="22"/>
          <w:lang w:val="sr-Latn-ME"/>
        </w:rPr>
        <w:t>ATC kod:</w:t>
      </w:r>
      <w:r w:rsidR="0036275D" w:rsidRPr="0014404C">
        <w:rPr>
          <w:bCs/>
          <w:sz w:val="22"/>
          <w:szCs w:val="22"/>
          <w:lang w:val="sr-Latn-ME"/>
        </w:rPr>
        <w:t xml:space="preserve"> </w:t>
      </w:r>
      <w:r w:rsidR="0036275D" w:rsidRPr="0014404C">
        <w:rPr>
          <w:sz w:val="22"/>
          <w:szCs w:val="22"/>
          <w:lang w:val="sr-Latn-ME" w:eastAsia="ja-JP"/>
        </w:rPr>
        <w:t>S01LA09</w:t>
      </w:r>
    </w:p>
    <w:p w14:paraId="20156088" w14:textId="77777777" w:rsidR="0036275D" w:rsidRPr="0014404C" w:rsidRDefault="0036275D" w:rsidP="0014404C">
      <w:pPr>
        <w:widowControl w:val="0"/>
        <w:tabs>
          <w:tab w:val="left" w:pos="540"/>
          <w:tab w:val="left" w:pos="569"/>
        </w:tabs>
        <w:jc w:val="both"/>
        <w:rPr>
          <w:sz w:val="22"/>
          <w:szCs w:val="22"/>
          <w:lang w:val="sr-Latn-ME" w:eastAsia="ja-JP"/>
        </w:rPr>
      </w:pPr>
    </w:p>
    <w:p w14:paraId="6F24F63A" w14:textId="77777777" w:rsidR="0036275D" w:rsidRPr="0014404C" w:rsidRDefault="0036275D" w:rsidP="0014404C">
      <w:pPr>
        <w:widowControl w:val="0"/>
        <w:autoSpaceDE w:val="0"/>
        <w:autoSpaceDN w:val="0"/>
        <w:adjustRightInd w:val="0"/>
        <w:jc w:val="both"/>
        <w:rPr>
          <w:sz w:val="22"/>
          <w:szCs w:val="22"/>
          <w:u w:val="single"/>
          <w:lang w:val="sr-Latn-ME"/>
        </w:rPr>
      </w:pPr>
      <w:r w:rsidRPr="0014404C">
        <w:rPr>
          <w:sz w:val="22"/>
          <w:szCs w:val="22"/>
          <w:u w:val="single"/>
          <w:lang w:val="sr-Latn-ME"/>
        </w:rPr>
        <w:t>Mehanizam dejstva</w:t>
      </w:r>
    </w:p>
    <w:p w14:paraId="78071171" w14:textId="77777777" w:rsidR="0036275D" w:rsidRPr="0014404C" w:rsidRDefault="0036275D" w:rsidP="0014404C">
      <w:pPr>
        <w:widowControl w:val="0"/>
        <w:autoSpaceDE w:val="0"/>
        <w:autoSpaceDN w:val="0"/>
        <w:adjustRightInd w:val="0"/>
        <w:jc w:val="both"/>
        <w:rPr>
          <w:sz w:val="22"/>
          <w:szCs w:val="22"/>
          <w:u w:val="single"/>
          <w:lang w:val="sr-Latn-ME"/>
        </w:rPr>
      </w:pPr>
    </w:p>
    <w:p w14:paraId="42351E5A" w14:textId="3A580FEE"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Faricimab je humanizovano bispecifično imunoglobulinsko G1 (IgG1) </w:t>
      </w:r>
      <w:r w:rsidR="00395EAA" w:rsidRPr="0014404C">
        <w:rPr>
          <w:sz w:val="22"/>
          <w:szCs w:val="22"/>
          <w:lang w:val="sr-Latn-ME" w:eastAsia="ja-JP"/>
        </w:rPr>
        <w:t xml:space="preserve">antitijelo </w:t>
      </w:r>
      <w:r w:rsidRPr="0014404C">
        <w:rPr>
          <w:sz w:val="22"/>
          <w:szCs w:val="22"/>
          <w:lang w:val="sr-Latn-ME" w:eastAsia="ja-JP"/>
        </w:rPr>
        <w:t xml:space="preserve">koje </w:t>
      </w:r>
      <w:r w:rsidR="00395EAA" w:rsidRPr="0014404C">
        <w:rPr>
          <w:sz w:val="22"/>
          <w:szCs w:val="22"/>
          <w:lang w:val="sr-Latn-ME" w:eastAsia="ja-JP"/>
        </w:rPr>
        <w:t xml:space="preserve">djeluje </w:t>
      </w:r>
      <w:r w:rsidRPr="0014404C">
        <w:rPr>
          <w:sz w:val="22"/>
          <w:szCs w:val="22"/>
          <w:lang w:val="sr-Latn-ME" w:eastAsia="ja-JP"/>
        </w:rPr>
        <w:t>tako da neutrališe i angiopoietin-2 (Ang-2) i vaskularni endotelijalni faktor rasta A (VEGF-A), čime inhibira dva različita signalna puta.</w:t>
      </w:r>
    </w:p>
    <w:p w14:paraId="0ADA37BE" w14:textId="77777777" w:rsidR="0036275D" w:rsidRPr="0014404C" w:rsidRDefault="0036275D" w:rsidP="0014404C">
      <w:pPr>
        <w:widowControl w:val="0"/>
        <w:autoSpaceDE w:val="0"/>
        <w:autoSpaceDN w:val="0"/>
        <w:adjustRightInd w:val="0"/>
        <w:jc w:val="both"/>
        <w:rPr>
          <w:sz w:val="22"/>
          <w:szCs w:val="22"/>
          <w:lang w:val="sr-Latn-ME" w:eastAsia="ja-JP"/>
        </w:rPr>
      </w:pPr>
    </w:p>
    <w:p w14:paraId="70992DB7" w14:textId="633FE117"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Ang-2 uzrokuje vaskularnu nestabilnost tako što podstiče destabilizaciju endotela, gubitak pericita i patološku angiogenezu, čime povećava vaskularno propuštanje (curenje) i </w:t>
      </w:r>
      <w:r w:rsidR="00395EAA" w:rsidRPr="0014404C">
        <w:rPr>
          <w:sz w:val="22"/>
          <w:szCs w:val="22"/>
          <w:lang w:val="sr-Latn-ME" w:eastAsia="ja-JP"/>
        </w:rPr>
        <w:t xml:space="preserve">pospješuje </w:t>
      </w:r>
      <w:r w:rsidRPr="0014404C">
        <w:rPr>
          <w:sz w:val="22"/>
          <w:szCs w:val="22"/>
          <w:lang w:val="sr-Latn-ME" w:eastAsia="ja-JP"/>
        </w:rPr>
        <w:t xml:space="preserve">upalu. Takođe čini krvne sudove </w:t>
      </w:r>
      <w:r w:rsidR="00395EAA" w:rsidRPr="0014404C">
        <w:rPr>
          <w:sz w:val="22"/>
          <w:szCs w:val="22"/>
          <w:lang w:val="sr-Latn-ME" w:eastAsia="ja-JP"/>
        </w:rPr>
        <w:t xml:space="preserve">osjetljivima </w:t>
      </w:r>
      <w:r w:rsidRPr="0014404C">
        <w:rPr>
          <w:sz w:val="22"/>
          <w:szCs w:val="22"/>
          <w:lang w:val="sr-Latn-ME" w:eastAsia="ja-JP"/>
        </w:rPr>
        <w:t xml:space="preserve">na aktivnost VEGF-A što dovodi do dalje destabilizacije krvnih sudova. Ang-2 i VEGF-A sinergistički povećavaju propustljivost krvnih sudova i stimulišu neovaskularizaciju. </w:t>
      </w:r>
    </w:p>
    <w:p w14:paraId="3F7BC070" w14:textId="77777777" w:rsidR="0036275D" w:rsidRPr="0014404C" w:rsidRDefault="0036275D" w:rsidP="0014404C">
      <w:pPr>
        <w:widowControl w:val="0"/>
        <w:autoSpaceDE w:val="0"/>
        <w:autoSpaceDN w:val="0"/>
        <w:adjustRightInd w:val="0"/>
        <w:jc w:val="both"/>
        <w:rPr>
          <w:sz w:val="22"/>
          <w:szCs w:val="22"/>
          <w:lang w:val="sr-Latn-ME" w:eastAsia="ja-JP"/>
        </w:rPr>
      </w:pPr>
    </w:p>
    <w:p w14:paraId="09926561" w14:textId="77777777"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Dvojnom inhibicijom Ang-2 i VEGF-A, faricimab smanjuje propustljivost i upalu krvnih sudova, inhibira patološku angiogenezu i ponovno uspostavlja stabilnost krvnih sudova.</w:t>
      </w:r>
    </w:p>
    <w:p w14:paraId="5047E1CD" w14:textId="77777777" w:rsidR="0036275D" w:rsidRPr="0014404C" w:rsidRDefault="0036275D" w:rsidP="0014404C">
      <w:pPr>
        <w:widowControl w:val="0"/>
        <w:autoSpaceDE w:val="0"/>
        <w:autoSpaceDN w:val="0"/>
        <w:adjustRightInd w:val="0"/>
        <w:jc w:val="both"/>
        <w:rPr>
          <w:sz w:val="22"/>
          <w:szCs w:val="22"/>
          <w:lang w:val="sr-Latn-ME" w:eastAsia="ja-JP"/>
        </w:rPr>
      </w:pPr>
    </w:p>
    <w:p w14:paraId="70AE4BB6" w14:textId="77777777"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u w:val="single"/>
          <w:lang w:val="sr-Latn-ME" w:eastAsia="ja-JP"/>
        </w:rPr>
        <w:t>Farmakodinamska dejstva</w:t>
      </w:r>
    </w:p>
    <w:p w14:paraId="699B87F1" w14:textId="77777777" w:rsidR="0036275D" w:rsidRPr="0014404C" w:rsidRDefault="0036275D" w:rsidP="0014404C">
      <w:pPr>
        <w:widowControl w:val="0"/>
        <w:autoSpaceDE w:val="0"/>
        <w:autoSpaceDN w:val="0"/>
        <w:adjustRightInd w:val="0"/>
        <w:jc w:val="both"/>
        <w:rPr>
          <w:sz w:val="22"/>
          <w:szCs w:val="22"/>
          <w:lang w:val="sr-Latn-ME" w:eastAsia="ja-JP"/>
        </w:rPr>
      </w:pPr>
    </w:p>
    <w:p w14:paraId="0EBB0816" w14:textId="04968C94"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U </w:t>
      </w:r>
      <w:r w:rsidR="00EB2059" w:rsidRPr="0014404C">
        <w:rPr>
          <w:sz w:val="22"/>
          <w:szCs w:val="22"/>
          <w:lang w:val="sr-Latn-ME" w:eastAsia="ja-JP"/>
        </w:rPr>
        <w:t xml:space="preserve">šest </w:t>
      </w:r>
      <w:r w:rsidRPr="0014404C">
        <w:rPr>
          <w:sz w:val="22"/>
          <w:szCs w:val="22"/>
          <w:lang w:val="sr-Latn-ME" w:eastAsia="ja-JP"/>
        </w:rPr>
        <w:t>studij</w:t>
      </w:r>
      <w:r w:rsidR="00EB2059" w:rsidRPr="0014404C">
        <w:rPr>
          <w:sz w:val="22"/>
          <w:szCs w:val="22"/>
          <w:lang w:val="sr-Latn-ME" w:eastAsia="ja-JP"/>
        </w:rPr>
        <w:t>a</w:t>
      </w:r>
      <w:r w:rsidRPr="0014404C">
        <w:rPr>
          <w:sz w:val="22"/>
          <w:szCs w:val="22"/>
          <w:lang w:val="sr-Latn-ME" w:eastAsia="ja-JP"/>
        </w:rPr>
        <w:t xml:space="preserve"> faze III opisan</w:t>
      </w:r>
      <w:r w:rsidR="00EB2059" w:rsidRPr="0014404C">
        <w:rPr>
          <w:sz w:val="22"/>
          <w:szCs w:val="22"/>
          <w:lang w:val="sr-Latn-ME" w:eastAsia="ja-JP"/>
        </w:rPr>
        <w:t>ih</w:t>
      </w:r>
      <w:r w:rsidRPr="0014404C">
        <w:rPr>
          <w:sz w:val="22"/>
          <w:szCs w:val="22"/>
          <w:lang w:val="sr-Latn-ME" w:eastAsia="ja-JP"/>
        </w:rPr>
        <w:t xml:space="preserve"> u nastavku </w:t>
      </w:r>
      <w:r w:rsidR="00395EAA" w:rsidRPr="0014404C">
        <w:rPr>
          <w:sz w:val="22"/>
          <w:szCs w:val="22"/>
          <w:lang w:val="sr-Latn-ME" w:eastAsia="ja-JP"/>
        </w:rPr>
        <w:t xml:space="preserve">zabilježeno </w:t>
      </w:r>
      <w:r w:rsidRPr="0014404C">
        <w:rPr>
          <w:sz w:val="22"/>
          <w:szCs w:val="22"/>
          <w:lang w:val="sr-Latn-ME" w:eastAsia="ja-JP"/>
        </w:rPr>
        <w:t xml:space="preserve">je smanjenje medijana koncentracija slobodnog Ang-2 i slobodnog VEGF-A u oku u odnosu na početnu </w:t>
      </w:r>
      <w:r w:rsidR="00395EAA" w:rsidRPr="0014404C">
        <w:rPr>
          <w:sz w:val="22"/>
          <w:szCs w:val="22"/>
          <w:lang w:val="sr-Latn-ME" w:eastAsia="ja-JP"/>
        </w:rPr>
        <w:t>vrijednost</w:t>
      </w:r>
      <w:r w:rsidRPr="0014404C">
        <w:rPr>
          <w:sz w:val="22"/>
          <w:szCs w:val="22"/>
          <w:lang w:val="sr-Latn-ME" w:eastAsia="ja-JP"/>
        </w:rPr>
        <w:t xml:space="preserve">, koje je </w:t>
      </w:r>
      <w:r w:rsidR="00395EAA" w:rsidRPr="0014404C">
        <w:rPr>
          <w:sz w:val="22"/>
          <w:szCs w:val="22"/>
          <w:lang w:val="sr-Latn-ME" w:eastAsia="ja-JP"/>
        </w:rPr>
        <w:t xml:space="preserve">zabilježeno </w:t>
      </w:r>
      <w:r w:rsidRPr="0014404C">
        <w:rPr>
          <w:sz w:val="22"/>
          <w:szCs w:val="22"/>
          <w:lang w:val="sr-Latn-ME" w:eastAsia="ja-JP"/>
        </w:rPr>
        <w:t xml:space="preserve">od 7. dana pa nadalje. </w:t>
      </w:r>
    </w:p>
    <w:p w14:paraId="3831FE2C" w14:textId="77777777" w:rsidR="0036275D" w:rsidRPr="0014404C" w:rsidRDefault="0036275D" w:rsidP="0014404C">
      <w:pPr>
        <w:widowControl w:val="0"/>
        <w:autoSpaceDE w:val="0"/>
        <w:autoSpaceDN w:val="0"/>
        <w:adjustRightInd w:val="0"/>
        <w:jc w:val="both"/>
        <w:rPr>
          <w:sz w:val="22"/>
          <w:szCs w:val="22"/>
          <w:lang w:val="sr-Latn-ME" w:eastAsia="ja-JP"/>
        </w:rPr>
      </w:pPr>
    </w:p>
    <w:p w14:paraId="70F0B114" w14:textId="77777777" w:rsidR="0036275D" w:rsidRPr="0014404C" w:rsidRDefault="0036275D" w:rsidP="0014404C">
      <w:pPr>
        <w:widowControl w:val="0"/>
        <w:autoSpaceDE w:val="0"/>
        <w:autoSpaceDN w:val="0"/>
        <w:adjustRightInd w:val="0"/>
        <w:jc w:val="both"/>
        <w:rPr>
          <w:i/>
          <w:sz w:val="22"/>
          <w:szCs w:val="22"/>
          <w:lang w:val="sr-Latn-ME" w:eastAsia="ja-JP"/>
        </w:rPr>
      </w:pPr>
      <w:r w:rsidRPr="0014404C">
        <w:rPr>
          <w:i/>
          <w:iCs/>
          <w:sz w:val="22"/>
          <w:szCs w:val="22"/>
          <w:lang w:val="sr-Latn-ME" w:eastAsia="ja-JP"/>
        </w:rPr>
        <w:t>nAMD</w:t>
      </w:r>
    </w:p>
    <w:p w14:paraId="5CC636F6" w14:textId="6C0624CB"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U studijama TENAYA i LUCERNE terapijske odluke u vremenskim tačkama za </w:t>
      </w:r>
      <w:r w:rsidR="00395EAA" w:rsidRPr="0014404C">
        <w:rPr>
          <w:sz w:val="22"/>
          <w:szCs w:val="22"/>
          <w:lang w:val="sr-Latn-ME" w:eastAsia="ja-JP"/>
        </w:rPr>
        <w:t xml:space="preserve">procjenu </w:t>
      </w:r>
      <w:r w:rsidRPr="0014404C">
        <w:rPr>
          <w:sz w:val="22"/>
          <w:szCs w:val="22"/>
          <w:lang w:val="sr-Latn-ME" w:eastAsia="ja-JP"/>
        </w:rPr>
        <w:t xml:space="preserve">aktivnosti bolesti (20. i 24. </w:t>
      </w:r>
      <w:r w:rsidR="00802EFD" w:rsidRPr="0014404C">
        <w:rPr>
          <w:sz w:val="22"/>
          <w:szCs w:val="22"/>
          <w:lang w:val="sr-Latn-ME" w:eastAsia="ja-JP"/>
        </w:rPr>
        <w:t>nedjelja</w:t>
      </w:r>
      <w:r w:rsidRPr="0014404C">
        <w:rPr>
          <w:sz w:val="22"/>
          <w:szCs w:val="22"/>
          <w:lang w:val="sr-Latn-ME" w:eastAsia="ja-JP"/>
        </w:rPr>
        <w:t xml:space="preserve">) donošene su na osnovu objektivnih, </w:t>
      </w:r>
      <w:r w:rsidR="00395EAA" w:rsidRPr="0014404C">
        <w:rPr>
          <w:sz w:val="22"/>
          <w:szCs w:val="22"/>
          <w:lang w:val="sr-Latn-ME" w:eastAsia="ja-JP"/>
        </w:rPr>
        <w:t xml:space="preserve">unaprijed </w:t>
      </w:r>
      <w:r w:rsidRPr="0014404C">
        <w:rPr>
          <w:sz w:val="22"/>
          <w:szCs w:val="22"/>
          <w:lang w:val="sr-Latn-ME" w:eastAsia="ja-JP"/>
        </w:rPr>
        <w:t xml:space="preserve">definisanih vizuelnih i anatomskih kriterijuma, kao i na osnovu kliničke </w:t>
      </w:r>
      <w:r w:rsidR="00395EAA" w:rsidRPr="0014404C">
        <w:rPr>
          <w:sz w:val="22"/>
          <w:szCs w:val="22"/>
          <w:lang w:val="sr-Latn-ME" w:eastAsia="ja-JP"/>
        </w:rPr>
        <w:t xml:space="preserve">procjene </w:t>
      </w:r>
      <w:r w:rsidRPr="0014404C">
        <w:rPr>
          <w:sz w:val="22"/>
          <w:szCs w:val="22"/>
          <w:lang w:val="sr-Latn-ME" w:eastAsia="ja-JP"/>
        </w:rPr>
        <w:t xml:space="preserve">ordinirajućeg </w:t>
      </w:r>
      <w:r w:rsidR="00802EFD" w:rsidRPr="0014404C">
        <w:rPr>
          <w:sz w:val="22"/>
          <w:szCs w:val="22"/>
          <w:lang w:val="sr-Latn-ME" w:eastAsia="ja-JP"/>
        </w:rPr>
        <w:t>ljekar</w:t>
      </w:r>
      <w:r w:rsidRPr="0014404C">
        <w:rPr>
          <w:sz w:val="22"/>
          <w:szCs w:val="22"/>
          <w:lang w:val="sr-Latn-ME" w:eastAsia="ja-JP"/>
        </w:rPr>
        <w:t>a.</w:t>
      </w:r>
    </w:p>
    <w:p w14:paraId="3B376E62" w14:textId="77777777" w:rsidR="0036275D" w:rsidRPr="0014404C" w:rsidRDefault="0036275D" w:rsidP="0014404C">
      <w:pPr>
        <w:widowControl w:val="0"/>
        <w:autoSpaceDE w:val="0"/>
        <w:autoSpaceDN w:val="0"/>
        <w:adjustRightInd w:val="0"/>
        <w:jc w:val="both"/>
        <w:rPr>
          <w:sz w:val="22"/>
          <w:szCs w:val="22"/>
          <w:lang w:val="sr-Latn-ME" w:eastAsia="ja-JP"/>
        </w:rPr>
      </w:pPr>
    </w:p>
    <w:p w14:paraId="58927879" w14:textId="1588192A"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Srednja </w:t>
      </w:r>
      <w:r w:rsidR="00395EAA" w:rsidRPr="0014404C">
        <w:rPr>
          <w:sz w:val="22"/>
          <w:szCs w:val="22"/>
          <w:lang w:val="sr-Latn-ME" w:eastAsia="ja-JP"/>
        </w:rPr>
        <w:t xml:space="preserve">vrijednost </w:t>
      </w:r>
      <w:r w:rsidRPr="0014404C">
        <w:rPr>
          <w:sz w:val="22"/>
          <w:szCs w:val="22"/>
          <w:lang w:val="sr-Latn-ME" w:eastAsia="ja-JP"/>
        </w:rPr>
        <w:t xml:space="preserve">smanjenja </w:t>
      </w:r>
      <w:r w:rsidR="00A60A10" w:rsidRPr="0014404C">
        <w:rPr>
          <w:sz w:val="22"/>
          <w:szCs w:val="22"/>
          <w:lang w:val="sr-Latn-ME" w:eastAsia="ja-JP"/>
        </w:rPr>
        <w:t xml:space="preserve">centralne debljine makule (engl. </w:t>
      </w:r>
      <w:r w:rsidR="00A60A10" w:rsidRPr="0014404C">
        <w:rPr>
          <w:i/>
          <w:sz w:val="22"/>
          <w:szCs w:val="22"/>
          <w:lang w:val="sr-Latn-ME" w:eastAsia="ja-JP"/>
        </w:rPr>
        <w:t>central subfield thickness,</w:t>
      </w:r>
      <w:r w:rsidR="00A60A10" w:rsidRPr="0014404C">
        <w:rPr>
          <w:sz w:val="22"/>
          <w:szCs w:val="22"/>
          <w:lang w:val="sr-Latn-ME" w:eastAsia="ja-JP"/>
        </w:rPr>
        <w:t xml:space="preserve"> </w:t>
      </w:r>
      <w:r w:rsidRPr="0014404C">
        <w:rPr>
          <w:sz w:val="22"/>
          <w:szCs w:val="22"/>
          <w:lang w:val="sr-Latn-ME" w:eastAsia="ja-JP"/>
        </w:rPr>
        <w:t>CST</w:t>
      </w:r>
      <w:r w:rsidR="00A60A10" w:rsidRPr="0014404C">
        <w:rPr>
          <w:sz w:val="22"/>
          <w:szCs w:val="22"/>
          <w:lang w:val="sr-Latn-ME" w:eastAsia="ja-JP"/>
        </w:rPr>
        <w:t>)</w:t>
      </w:r>
      <w:r w:rsidRPr="0014404C">
        <w:rPr>
          <w:sz w:val="22"/>
          <w:szCs w:val="22"/>
          <w:lang w:val="sr-Latn-ME" w:eastAsia="ja-JP"/>
        </w:rPr>
        <w:t xml:space="preserve"> od počet</w:t>
      </w:r>
      <w:r w:rsidR="00A60A10" w:rsidRPr="0014404C">
        <w:rPr>
          <w:sz w:val="22"/>
          <w:szCs w:val="22"/>
          <w:lang w:val="sr-Latn-ME" w:eastAsia="ja-JP"/>
        </w:rPr>
        <w:t>ne</w:t>
      </w:r>
      <w:r w:rsidRPr="0014404C">
        <w:rPr>
          <w:sz w:val="22"/>
          <w:szCs w:val="22"/>
          <w:lang w:val="sr-Latn-ME" w:eastAsia="ja-JP"/>
        </w:rPr>
        <w:t xml:space="preserve"> </w:t>
      </w:r>
      <w:r w:rsidR="00A60A10" w:rsidRPr="0014404C">
        <w:rPr>
          <w:sz w:val="22"/>
          <w:szCs w:val="22"/>
          <w:lang w:val="sr-Latn-ME" w:eastAsia="ja-JP"/>
        </w:rPr>
        <w:t xml:space="preserve">vrijednosti </w:t>
      </w:r>
      <w:r w:rsidRPr="0014404C">
        <w:rPr>
          <w:sz w:val="22"/>
          <w:szCs w:val="22"/>
          <w:lang w:val="sr-Latn-ME" w:eastAsia="ja-JP"/>
        </w:rPr>
        <w:t xml:space="preserve">do </w:t>
      </w:r>
      <w:r w:rsidR="00A60A10" w:rsidRPr="0014404C">
        <w:rPr>
          <w:sz w:val="22"/>
          <w:szCs w:val="22"/>
          <w:lang w:val="sr-Latn-ME" w:eastAsia="ja-JP"/>
        </w:rPr>
        <w:t xml:space="preserve">vrijednosti u vrijeme </w:t>
      </w:r>
      <w:r w:rsidR="00395EAA" w:rsidRPr="0014404C">
        <w:rPr>
          <w:sz w:val="22"/>
          <w:szCs w:val="22"/>
          <w:lang w:val="sr-Latn-ME" w:eastAsia="ja-JP"/>
        </w:rPr>
        <w:t xml:space="preserve">posjete </w:t>
      </w:r>
      <w:r w:rsidRPr="0014404C">
        <w:rPr>
          <w:sz w:val="22"/>
          <w:szCs w:val="22"/>
          <w:lang w:val="sr-Latn-ME" w:eastAsia="ja-JP"/>
        </w:rPr>
        <w:t xml:space="preserve">radi </w:t>
      </w:r>
      <w:r w:rsidR="00395EAA" w:rsidRPr="0014404C">
        <w:rPr>
          <w:sz w:val="22"/>
          <w:szCs w:val="22"/>
          <w:lang w:val="sr-Latn-ME" w:eastAsia="ja-JP"/>
        </w:rPr>
        <w:t xml:space="preserve">procjene </w:t>
      </w:r>
      <w:r w:rsidRPr="0014404C">
        <w:rPr>
          <w:sz w:val="22"/>
          <w:szCs w:val="22"/>
          <w:lang w:val="sr-Latn-ME" w:eastAsia="ja-JP"/>
        </w:rPr>
        <w:t>primarnog parametra efikasnosti (</w:t>
      </w:r>
      <w:r w:rsidR="00395EAA" w:rsidRPr="0014404C">
        <w:rPr>
          <w:sz w:val="22"/>
          <w:szCs w:val="22"/>
          <w:lang w:val="sr-Latn-ME" w:eastAsia="ja-JP"/>
        </w:rPr>
        <w:t xml:space="preserve">prosječna vrijednost </w:t>
      </w:r>
      <w:r w:rsidRPr="0014404C">
        <w:rPr>
          <w:sz w:val="22"/>
          <w:szCs w:val="22"/>
          <w:lang w:val="sr-Latn-ME" w:eastAsia="ja-JP"/>
        </w:rPr>
        <w:t xml:space="preserve">za 40–48. </w:t>
      </w:r>
      <w:r w:rsidR="00DB68F0" w:rsidRPr="0014404C">
        <w:rPr>
          <w:sz w:val="22"/>
          <w:szCs w:val="22"/>
          <w:lang w:val="sr-Latn-ME" w:eastAsia="ja-JP"/>
        </w:rPr>
        <w:t>nedjelju</w:t>
      </w:r>
      <w:r w:rsidRPr="0014404C">
        <w:rPr>
          <w:sz w:val="22"/>
          <w:szCs w:val="22"/>
          <w:lang w:val="sr-Latn-ME" w:eastAsia="ja-JP"/>
        </w:rPr>
        <w:t xml:space="preserve">) </w:t>
      </w:r>
      <w:r w:rsidR="00A60A10" w:rsidRPr="0014404C">
        <w:rPr>
          <w:sz w:val="22"/>
          <w:szCs w:val="22"/>
          <w:lang w:val="sr-Latn-ME" w:eastAsia="ja-JP"/>
        </w:rPr>
        <w:t xml:space="preserve">bila je uporediva sa vrijednostima zabilježenim kod primjene aflibercepta i </w:t>
      </w:r>
      <w:r w:rsidRPr="0014404C">
        <w:rPr>
          <w:sz w:val="22"/>
          <w:szCs w:val="22"/>
          <w:lang w:val="sr-Latn-ME" w:eastAsia="ja-JP"/>
        </w:rPr>
        <w:t xml:space="preserve">iznosila je -137 µm, odnosno -137 µm </w:t>
      </w:r>
      <w:r w:rsidR="00A60A10" w:rsidRPr="0014404C">
        <w:rPr>
          <w:sz w:val="22"/>
          <w:szCs w:val="22"/>
          <w:lang w:val="sr-Latn-ME" w:eastAsia="ja-JP"/>
        </w:rPr>
        <w:t xml:space="preserve">kod pacijenata liječenih </w:t>
      </w:r>
      <w:r w:rsidRPr="0014404C">
        <w:rPr>
          <w:sz w:val="22"/>
          <w:szCs w:val="22"/>
          <w:lang w:val="sr-Latn-ME" w:eastAsia="ja-JP"/>
        </w:rPr>
        <w:t xml:space="preserve"> faricimab</w:t>
      </w:r>
      <w:r w:rsidR="00A60A10" w:rsidRPr="0014404C">
        <w:rPr>
          <w:sz w:val="22"/>
          <w:szCs w:val="22"/>
          <w:lang w:val="sr-Latn-ME" w:eastAsia="ja-JP"/>
        </w:rPr>
        <w:t>om koji se primjenjivao</w:t>
      </w:r>
      <w:r w:rsidR="00DB68F0" w:rsidRPr="0014404C">
        <w:rPr>
          <w:sz w:val="22"/>
          <w:szCs w:val="22"/>
          <w:lang w:val="sr-Latn-ME" w:eastAsia="ja-JP"/>
        </w:rPr>
        <w:t xml:space="preserve"> </w:t>
      </w:r>
      <w:r w:rsidRPr="0014404C">
        <w:rPr>
          <w:sz w:val="22"/>
          <w:szCs w:val="22"/>
          <w:lang w:val="sr-Latn-ME" w:eastAsia="ja-JP"/>
        </w:rPr>
        <w:t xml:space="preserve">u intervalima od najviše 16 </w:t>
      </w:r>
      <w:r w:rsidR="00802EFD" w:rsidRPr="0014404C">
        <w:rPr>
          <w:sz w:val="22"/>
          <w:szCs w:val="22"/>
          <w:lang w:val="sr-Latn-ME" w:eastAsia="ja-JP"/>
        </w:rPr>
        <w:t>nedjelja</w:t>
      </w:r>
      <w:r w:rsidRPr="0014404C">
        <w:rPr>
          <w:sz w:val="22"/>
          <w:szCs w:val="22"/>
          <w:lang w:val="sr-Latn-ME" w:eastAsia="ja-JP"/>
        </w:rPr>
        <w:t xml:space="preserve"> </w:t>
      </w:r>
      <w:r w:rsidR="00A60A10" w:rsidRPr="0014404C">
        <w:rPr>
          <w:sz w:val="22"/>
          <w:szCs w:val="22"/>
          <w:lang w:val="sr-Latn-ME" w:eastAsia="ja-JP"/>
        </w:rPr>
        <w:t xml:space="preserve">u odnosu </w:t>
      </w:r>
      <w:r w:rsidR="00905D2D" w:rsidRPr="0014404C">
        <w:rPr>
          <w:sz w:val="22"/>
          <w:szCs w:val="22"/>
          <w:lang w:val="sr-Latn-ME" w:eastAsia="ja-JP"/>
        </w:rPr>
        <w:t>na</w:t>
      </w:r>
      <w:r w:rsidRPr="0014404C">
        <w:rPr>
          <w:sz w:val="22"/>
          <w:szCs w:val="22"/>
          <w:lang w:val="sr-Latn-ME" w:eastAsia="ja-JP"/>
        </w:rPr>
        <w:t xml:space="preserve">-129 µm odnosno -131 µm </w:t>
      </w:r>
      <w:r w:rsidR="00A60A10" w:rsidRPr="0014404C">
        <w:rPr>
          <w:sz w:val="22"/>
          <w:szCs w:val="22"/>
          <w:lang w:val="sr-Latn-ME" w:eastAsia="ja-JP"/>
        </w:rPr>
        <w:t xml:space="preserve">kod pacijenata liječenih </w:t>
      </w:r>
      <w:r w:rsidRPr="0014404C">
        <w:rPr>
          <w:sz w:val="22"/>
          <w:szCs w:val="22"/>
          <w:lang w:val="sr-Latn-ME" w:eastAsia="ja-JP"/>
        </w:rPr>
        <w:t>aflibercept</w:t>
      </w:r>
      <w:r w:rsidR="00A60A10" w:rsidRPr="0014404C">
        <w:rPr>
          <w:sz w:val="22"/>
          <w:szCs w:val="22"/>
          <w:lang w:val="sr-Latn-ME" w:eastAsia="ja-JP"/>
        </w:rPr>
        <w:t>om u ispitivanju TENAYA odnosno LUCERNE. Ove srednje vrijednosti smanjenja CST su se održale tokom 2 godine</w:t>
      </w:r>
      <w:r w:rsidRPr="0014404C">
        <w:rPr>
          <w:sz w:val="22"/>
          <w:szCs w:val="22"/>
          <w:lang w:val="sr-Latn-ME" w:eastAsia="ja-JP"/>
        </w:rPr>
        <w:t>.</w:t>
      </w:r>
    </w:p>
    <w:p w14:paraId="06248FC1" w14:textId="77777777" w:rsidR="0036275D" w:rsidRPr="0014404C" w:rsidRDefault="0036275D" w:rsidP="0014404C">
      <w:pPr>
        <w:widowControl w:val="0"/>
        <w:autoSpaceDE w:val="0"/>
        <w:autoSpaceDN w:val="0"/>
        <w:adjustRightInd w:val="0"/>
        <w:jc w:val="both"/>
        <w:rPr>
          <w:sz w:val="22"/>
          <w:szCs w:val="22"/>
          <w:lang w:val="sr-Latn-ME" w:eastAsia="ja-JP"/>
        </w:rPr>
      </w:pPr>
    </w:p>
    <w:p w14:paraId="43AB91C4" w14:textId="213A0C3E" w:rsidR="0036275D" w:rsidRPr="0014404C" w:rsidRDefault="0036275D" w:rsidP="0014404C">
      <w:pPr>
        <w:widowControl w:val="0"/>
        <w:autoSpaceDE w:val="0"/>
        <w:autoSpaceDN w:val="0"/>
        <w:adjustRightInd w:val="0"/>
        <w:jc w:val="both"/>
        <w:rPr>
          <w:iCs/>
          <w:sz w:val="22"/>
          <w:szCs w:val="22"/>
          <w:lang w:val="sr-Latn-ME" w:eastAsia="ja-JP"/>
        </w:rPr>
      </w:pPr>
      <w:r w:rsidRPr="0014404C">
        <w:rPr>
          <w:sz w:val="22"/>
          <w:szCs w:val="22"/>
          <w:lang w:val="sr-Latn-ME" w:eastAsia="ja-JP"/>
        </w:rPr>
        <w:t xml:space="preserve">U oba ispitivanja je u 48. </w:t>
      </w:r>
      <w:r w:rsidR="00DB68F0" w:rsidRPr="0014404C">
        <w:rPr>
          <w:sz w:val="22"/>
          <w:szCs w:val="22"/>
          <w:lang w:val="sr-Latn-ME" w:eastAsia="ja-JP"/>
        </w:rPr>
        <w:t xml:space="preserve">nedjelji zabilježeno </w:t>
      </w:r>
      <w:r w:rsidRPr="0014404C">
        <w:rPr>
          <w:sz w:val="22"/>
          <w:szCs w:val="22"/>
          <w:lang w:val="sr-Latn-ME" w:eastAsia="ja-JP"/>
        </w:rPr>
        <w:t xml:space="preserve">uporedivo dejstvo faricimaba i aflibercepta na smanjenje intraretinalne tečnosti (engl. </w:t>
      </w:r>
      <w:r w:rsidRPr="0014404C">
        <w:rPr>
          <w:i/>
          <w:sz w:val="22"/>
          <w:szCs w:val="22"/>
          <w:lang w:val="sr-Latn-ME" w:eastAsia="ja-JP"/>
        </w:rPr>
        <w:t>intraretinal fluid</w:t>
      </w:r>
      <w:r w:rsidRPr="0014404C">
        <w:rPr>
          <w:sz w:val="22"/>
          <w:szCs w:val="22"/>
          <w:lang w:val="sr-Latn-ME" w:eastAsia="ja-JP"/>
        </w:rPr>
        <w:t xml:space="preserve">, IRF) i subretinalne tečnosti (engl. </w:t>
      </w:r>
      <w:r w:rsidRPr="0014404C">
        <w:rPr>
          <w:i/>
          <w:sz w:val="22"/>
          <w:szCs w:val="22"/>
          <w:lang w:val="sr-Latn-ME" w:eastAsia="ja-JP"/>
        </w:rPr>
        <w:t>subretinal fluid</w:t>
      </w:r>
      <w:r w:rsidRPr="0014404C">
        <w:rPr>
          <w:sz w:val="22"/>
          <w:szCs w:val="22"/>
          <w:lang w:val="sr-Latn-ME" w:eastAsia="ja-JP"/>
        </w:rPr>
        <w:t xml:space="preserve">, SRF), </w:t>
      </w:r>
      <w:r w:rsidRPr="0014404C">
        <w:rPr>
          <w:sz w:val="22"/>
          <w:szCs w:val="22"/>
          <w:lang w:val="sr-Latn-ME" w:eastAsia="ja-JP"/>
        </w:rPr>
        <w:lastRenderedPageBreak/>
        <w:t xml:space="preserve">kao i odvajanja pigmentnog epitela (PED). </w:t>
      </w:r>
      <w:r w:rsidR="00905D2D" w:rsidRPr="0014404C">
        <w:rPr>
          <w:sz w:val="22"/>
          <w:szCs w:val="22"/>
          <w:lang w:val="sr-Latn-ME" w:eastAsia="ja-JP"/>
        </w:rPr>
        <w:t xml:space="preserve">Dejstva na IRF, SRF i PED su se održala u 2. godini. </w:t>
      </w:r>
      <w:r w:rsidRPr="0014404C">
        <w:rPr>
          <w:sz w:val="22"/>
          <w:szCs w:val="22"/>
          <w:lang w:val="sr-Latn-ME" w:eastAsia="ja-JP"/>
        </w:rPr>
        <w:t xml:space="preserve">Takođe su </w:t>
      </w:r>
      <w:r w:rsidR="00905D2D" w:rsidRPr="0014404C">
        <w:rPr>
          <w:sz w:val="22"/>
          <w:szCs w:val="22"/>
          <w:lang w:val="sr-Latn-ME" w:eastAsia="ja-JP"/>
        </w:rPr>
        <w:t>zabilježene</w:t>
      </w:r>
      <w:r w:rsidRPr="0014404C">
        <w:rPr>
          <w:sz w:val="22"/>
          <w:szCs w:val="22"/>
          <w:lang w:val="sr-Latn-ME" w:eastAsia="ja-JP"/>
        </w:rPr>
        <w:t xml:space="preserve"> i uporedive </w:t>
      </w:r>
      <w:r w:rsidR="00DB68F0" w:rsidRPr="0014404C">
        <w:rPr>
          <w:sz w:val="22"/>
          <w:szCs w:val="22"/>
          <w:lang w:val="sr-Latn-ME" w:eastAsia="ja-JP"/>
        </w:rPr>
        <w:t xml:space="preserve">promjene </w:t>
      </w:r>
      <w:r w:rsidRPr="0014404C">
        <w:rPr>
          <w:sz w:val="22"/>
          <w:szCs w:val="22"/>
          <w:lang w:val="sr-Latn-ME" w:eastAsia="ja-JP"/>
        </w:rPr>
        <w:t xml:space="preserve">ukupne površine lezije horoidne neovaskularizacije (engl. </w:t>
      </w:r>
      <w:r w:rsidRPr="0014404C">
        <w:rPr>
          <w:i/>
          <w:sz w:val="22"/>
          <w:szCs w:val="22"/>
          <w:lang w:val="sr-Latn-ME" w:eastAsia="ja-JP"/>
        </w:rPr>
        <w:t>Choroidal neovascularization</w:t>
      </w:r>
      <w:r w:rsidRPr="0014404C">
        <w:rPr>
          <w:sz w:val="22"/>
          <w:szCs w:val="22"/>
          <w:lang w:val="sr-Latn-ME" w:eastAsia="ja-JP"/>
        </w:rPr>
        <w:t xml:space="preserve">, CNV) i smanjenje površine propuštanja CNV u odnosu na početnu </w:t>
      </w:r>
      <w:r w:rsidR="00DB68F0" w:rsidRPr="0014404C">
        <w:rPr>
          <w:sz w:val="22"/>
          <w:szCs w:val="22"/>
          <w:lang w:val="sr-Latn-ME" w:eastAsia="ja-JP"/>
        </w:rPr>
        <w:t xml:space="preserve">vrijednost </w:t>
      </w:r>
      <w:r w:rsidRPr="0014404C">
        <w:rPr>
          <w:sz w:val="22"/>
          <w:szCs w:val="22"/>
          <w:lang w:val="sr-Latn-ME" w:eastAsia="ja-JP"/>
        </w:rPr>
        <w:t xml:space="preserve">kod pacijenata </w:t>
      </w:r>
      <w:r w:rsidR="00DB68F0" w:rsidRPr="0014404C">
        <w:rPr>
          <w:sz w:val="22"/>
          <w:szCs w:val="22"/>
          <w:lang w:val="sr-Latn-ME" w:eastAsia="ja-JP"/>
        </w:rPr>
        <w:t xml:space="preserve">liječenih </w:t>
      </w:r>
      <w:r w:rsidRPr="0014404C">
        <w:rPr>
          <w:sz w:val="22"/>
          <w:szCs w:val="22"/>
          <w:lang w:val="sr-Latn-ME" w:eastAsia="ja-JP"/>
        </w:rPr>
        <w:t>faricimabom i afliberceptom.</w:t>
      </w:r>
    </w:p>
    <w:p w14:paraId="2803DDF4" w14:textId="77777777" w:rsidR="0036275D" w:rsidRPr="0014404C" w:rsidRDefault="0036275D" w:rsidP="0014404C">
      <w:pPr>
        <w:widowControl w:val="0"/>
        <w:autoSpaceDE w:val="0"/>
        <w:autoSpaceDN w:val="0"/>
        <w:adjustRightInd w:val="0"/>
        <w:jc w:val="both"/>
        <w:rPr>
          <w:iCs/>
          <w:sz w:val="22"/>
          <w:szCs w:val="22"/>
          <w:lang w:val="sr-Latn-ME" w:eastAsia="ja-JP"/>
        </w:rPr>
      </w:pPr>
    </w:p>
    <w:p w14:paraId="376693A3" w14:textId="77777777" w:rsidR="0036275D" w:rsidRPr="0014404C" w:rsidRDefault="0036275D" w:rsidP="0014404C">
      <w:pPr>
        <w:widowControl w:val="0"/>
        <w:autoSpaceDE w:val="0"/>
        <w:autoSpaceDN w:val="0"/>
        <w:adjustRightInd w:val="0"/>
        <w:jc w:val="both"/>
        <w:rPr>
          <w:i/>
          <w:sz w:val="22"/>
          <w:szCs w:val="22"/>
          <w:lang w:val="sr-Latn-ME" w:eastAsia="ja-JP"/>
        </w:rPr>
      </w:pPr>
      <w:r w:rsidRPr="0014404C">
        <w:rPr>
          <w:i/>
          <w:iCs/>
          <w:sz w:val="22"/>
          <w:szCs w:val="22"/>
          <w:lang w:val="sr-Latn-ME" w:eastAsia="ja-JP"/>
        </w:rPr>
        <w:t>DME</w:t>
      </w:r>
    </w:p>
    <w:p w14:paraId="753A9E51" w14:textId="77777777" w:rsidR="0036275D" w:rsidRPr="0014404C" w:rsidRDefault="0036275D" w:rsidP="0014404C">
      <w:pPr>
        <w:widowControl w:val="0"/>
        <w:autoSpaceDE w:val="0"/>
        <w:autoSpaceDN w:val="0"/>
        <w:adjustRightInd w:val="0"/>
        <w:jc w:val="both"/>
        <w:rPr>
          <w:sz w:val="22"/>
          <w:szCs w:val="22"/>
          <w:lang w:val="sr-Latn-ME" w:eastAsia="ja-JP"/>
        </w:rPr>
      </w:pPr>
    </w:p>
    <w:p w14:paraId="64D87BEA" w14:textId="6FA524D6" w:rsidR="0036275D" w:rsidRPr="0014404C" w:rsidRDefault="0036275D" w:rsidP="0014404C">
      <w:pPr>
        <w:widowControl w:val="0"/>
        <w:autoSpaceDE w:val="0"/>
        <w:autoSpaceDN w:val="0"/>
        <w:adjustRightInd w:val="0"/>
        <w:jc w:val="both"/>
        <w:rPr>
          <w:sz w:val="22"/>
          <w:szCs w:val="22"/>
          <w:lang w:val="sr-Latn-ME" w:eastAsia="ja-JP"/>
        </w:rPr>
      </w:pPr>
      <w:r w:rsidRPr="0014404C">
        <w:rPr>
          <w:sz w:val="22"/>
          <w:szCs w:val="22"/>
          <w:lang w:val="sr-Latn-ME" w:eastAsia="ja-JP"/>
        </w:rPr>
        <w:t xml:space="preserve">U studijama YOSEMITE i RHINE, anatomski parametri povezani sa makularnim edemom bili su </w:t>
      </w:r>
      <w:r w:rsidR="00DB68F0" w:rsidRPr="0014404C">
        <w:rPr>
          <w:sz w:val="22"/>
          <w:szCs w:val="22"/>
          <w:lang w:val="sr-Latn-ME" w:eastAsia="ja-JP"/>
        </w:rPr>
        <w:t xml:space="preserve">dio procjene </w:t>
      </w:r>
      <w:r w:rsidRPr="0014404C">
        <w:rPr>
          <w:sz w:val="22"/>
          <w:szCs w:val="22"/>
          <w:lang w:val="sr-Latn-ME" w:eastAsia="ja-JP"/>
        </w:rPr>
        <w:t xml:space="preserve">aktivnosti bolesti na osnovu koje su donošene odluke o </w:t>
      </w:r>
      <w:r w:rsidR="00DB68F0" w:rsidRPr="0014404C">
        <w:rPr>
          <w:sz w:val="22"/>
          <w:szCs w:val="22"/>
          <w:lang w:val="sr-Latn-ME" w:eastAsia="ja-JP"/>
        </w:rPr>
        <w:t>liječenju.</w:t>
      </w:r>
    </w:p>
    <w:p w14:paraId="6016AED3" w14:textId="77777777" w:rsidR="0036275D" w:rsidRPr="0014404C" w:rsidRDefault="0036275D" w:rsidP="0014404C">
      <w:pPr>
        <w:widowControl w:val="0"/>
        <w:autoSpaceDE w:val="0"/>
        <w:autoSpaceDN w:val="0"/>
        <w:adjustRightInd w:val="0"/>
        <w:jc w:val="both"/>
        <w:rPr>
          <w:sz w:val="22"/>
          <w:szCs w:val="22"/>
          <w:lang w:val="sr-Latn-ME" w:eastAsia="ja-JP"/>
        </w:rPr>
      </w:pPr>
    </w:p>
    <w:p w14:paraId="39EF6ADC" w14:textId="06B90527" w:rsidR="00146D5A" w:rsidRPr="0014404C" w:rsidRDefault="0036275D" w:rsidP="0014404C">
      <w:pPr>
        <w:widowControl w:val="0"/>
        <w:shd w:val="clear" w:color="auto" w:fill="FFFFFF"/>
        <w:jc w:val="both"/>
        <w:rPr>
          <w:sz w:val="22"/>
          <w:szCs w:val="22"/>
          <w:lang w:val="sr-Latn-ME" w:eastAsia="ja-JP"/>
        </w:rPr>
      </w:pPr>
      <w:r w:rsidRPr="0014404C">
        <w:rPr>
          <w:sz w:val="22"/>
          <w:szCs w:val="22"/>
          <w:lang w:val="sr-Latn-ME" w:eastAsia="ja-JP"/>
        </w:rPr>
        <w:t xml:space="preserve">Srednja </w:t>
      </w:r>
      <w:r w:rsidR="00DB68F0" w:rsidRPr="0014404C">
        <w:rPr>
          <w:sz w:val="22"/>
          <w:szCs w:val="22"/>
          <w:lang w:val="sr-Latn-ME" w:eastAsia="ja-JP"/>
        </w:rPr>
        <w:t xml:space="preserve">vrijednost </w:t>
      </w:r>
      <w:r w:rsidRPr="0014404C">
        <w:rPr>
          <w:sz w:val="22"/>
          <w:szCs w:val="22"/>
          <w:lang w:val="sr-Latn-ME" w:eastAsia="ja-JP"/>
        </w:rPr>
        <w:t xml:space="preserve">smanjenja CST od početka ispitivanja do </w:t>
      </w:r>
      <w:r w:rsidR="00DB68F0" w:rsidRPr="0014404C">
        <w:rPr>
          <w:sz w:val="22"/>
          <w:szCs w:val="22"/>
          <w:lang w:val="sr-Latn-ME" w:eastAsia="ja-JP"/>
        </w:rPr>
        <w:t xml:space="preserve">posjete </w:t>
      </w:r>
      <w:r w:rsidRPr="0014404C">
        <w:rPr>
          <w:sz w:val="22"/>
          <w:szCs w:val="22"/>
          <w:lang w:val="sr-Latn-ME" w:eastAsia="ja-JP"/>
        </w:rPr>
        <w:t xml:space="preserve">radi </w:t>
      </w:r>
      <w:r w:rsidR="00DB68F0" w:rsidRPr="0014404C">
        <w:rPr>
          <w:sz w:val="22"/>
          <w:szCs w:val="22"/>
          <w:lang w:val="sr-Latn-ME" w:eastAsia="ja-JP"/>
        </w:rPr>
        <w:t xml:space="preserve">procjene </w:t>
      </w:r>
      <w:r w:rsidRPr="0014404C">
        <w:rPr>
          <w:sz w:val="22"/>
          <w:szCs w:val="22"/>
          <w:lang w:val="sr-Latn-ME" w:eastAsia="ja-JP"/>
        </w:rPr>
        <w:t>primarnog parametra efikasnosti (</w:t>
      </w:r>
      <w:r w:rsidR="00DB68F0" w:rsidRPr="0014404C">
        <w:rPr>
          <w:sz w:val="22"/>
          <w:szCs w:val="22"/>
          <w:lang w:val="sr-Latn-ME" w:eastAsia="ja-JP"/>
        </w:rPr>
        <w:t>prosječna</w:t>
      </w:r>
      <w:r w:rsidRPr="0014404C">
        <w:rPr>
          <w:sz w:val="22"/>
          <w:szCs w:val="22"/>
          <w:lang w:val="sr-Latn-ME" w:eastAsia="ja-JP"/>
        </w:rPr>
        <w:t xml:space="preserve"> </w:t>
      </w:r>
      <w:r w:rsidR="00DB68F0" w:rsidRPr="0014404C">
        <w:rPr>
          <w:sz w:val="22"/>
          <w:szCs w:val="22"/>
          <w:lang w:val="sr-Latn-ME" w:eastAsia="ja-JP"/>
        </w:rPr>
        <w:t>vrijednost</w:t>
      </w:r>
      <w:r w:rsidRPr="0014404C">
        <w:rPr>
          <w:sz w:val="22"/>
          <w:szCs w:val="22"/>
          <w:lang w:val="sr-Latn-ME" w:eastAsia="ja-JP"/>
        </w:rPr>
        <w:t xml:space="preserve"> za 48–56. </w:t>
      </w:r>
      <w:r w:rsidR="00DB68F0" w:rsidRPr="0014404C">
        <w:rPr>
          <w:sz w:val="22"/>
          <w:szCs w:val="22"/>
          <w:lang w:val="sr-Latn-ME" w:eastAsia="ja-JP"/>
        </w:rPr>
        <w:t>nedjelju</w:t>
      </w:r>
      <w:r w:rsidRPr="0014404C">
        <w:rPr>
          <w:sz w:val="22"/>
          <w:szCs w:val="22"/>
          <w:lang w:val="sr-Latn-ME" w:eastAsia="ja-JP"/>
        </w:rPr>
        <w:t xml:space="preserve">) bila je brojčano veća od one </w:t>
      </w:r>
      <w:r w:rsidR="00DB68F0" w:rsidRPr="0014404C">
        <w:rPr>
          <w:sz w:val="22"/>
          <w:szCs w:val="22"/>
          <w:lang w:val="sr-Latn-ME" w:eastAsia="ja-JP"/>
        </w:rPr>
        <w:t xml:space="preserve">zabilježene </w:t>
      </w:r>
      <w:r w:rsidRPr="0014404C">
        <w:rPr>
          <w:sz w:val="22"/>
          <w:szCs w:val="22"/>
          <w:lang w:val="sr-Latn-ME" w:eastAsia="ja-JP"/>
        </w:rPr>
        <w:t xml:space="preserve">sa afliberceptom, pa je u YOSEMITE iznosila -207 µm kod pacijenata koji su primali faricimab svakih 8 </w:t>
      </w:r>
      <w:r w:rsidR="00802EFD" w:rsidRPr="0014404C">
        <w:rPr>
          <w:sz w:val="22"/>
          <w:szCs w:val="22"/>
          <w:lang w:val="sr-Latn-ME" w:eastAsia="ja-JP"/>
        </w:rPr>
        <w:t>nedjelja</w:t>
      </w:r>
      <w:r w:rsidRPr="0014404C">
        <w:rPr>
          <w:sz w:val="22"/>
          <w:szCs w:val="22"/>
          <w:lang w:val="sr-Latn-ME" w:eastAsia="ja-JP"/>
        </w:rPr>
        <w:t xml:space="preserve"> odnosno -197 µm kod onih koji su ga primali prema prilagodljivom režimu </w:t>
      </w:r>
      <w:r w:rsidR="00802EFD" w:rsidRPr="0014404C">
        <w:rPr>
          <w:sz w:val="22"/>
          <w:szCs w:val="22"/>
          <w:lang w:val="sr-Latn-ME" w:eastAsia="ja-JP"/>
        </w:rPr>
        <w:t>primjene</w:t>
      </w:r>
      <w:r w:rsidRPr="0014404C">
        <w:rPr>
          <w:sz w:val="22"/>
          <w:szCs w:val="22"/>
          <w:lang w:val="sr-Latn-ME" w:eastAsia="ja-JP"/>
        </w:rPr>
        <w:t xml:space="preserve"> u intervalima od najviše 16 </w:t>
      </w:r>
      <w:r w:rsidR="00802EFD" w:rsidRPr="0014404C">
        <w:rPr>
          <w:sz w:val="22"/>
          <w:szCs w:val="22"/>
          <w:lang w:val="sr-Latn-ME" w:eastAsia="ja-JP"/>
        </w:rPr>
        <w:t>nedjelja</w:t>
      </w:r>
      <w:r w:rsidRPr="0014404C">
        <w:rPr>
          <w:sz w:val="22"/>
          <w:szCs w:val="22"/>
          <w:lang w:val="sr-Latn-ME" w:eastAsia="ja-JP"/>
        </w:rPr>
        <w:t xml:space="preserve"> prema -170 µm kod pacijenata koji su primali aflibercept svakih 8 </w:t>
      </w:r>
      <w:r w:rsidR="00802EFD" w:rsidRPr="0014404C">
        <w:rPr>
          <w:sz w:val="22"/>
          <w:szCs w:val="22"/>
          <w:lang w:val="sr-Latn-ME" w:eastAsia="ja-JP"/>
        </w:rPr>
        <w:t>nedjelja</w:t>
      </w:r>
      <w:r w:rsidRPr="0014404C">
        <w:rPr>
          <w:sz w:val="22"/>
          <w:szCs w:val="22"/>
          <w:lang w:val="sr-Latn-ME" w:eastAsia="ja-JP"/>
        </w:rPr>
        <w:t xml:space="preserve">, dok su u ispitivanju RHINE te </w:t>
      </w:r>
      <w:r w:rsidR="00DB68F0" w:rsidRPr="0014404C">
        <w:rPr>
          <w:sz w:val="22"/>
          <w:szCs w:val="22"/>
          <w:lang w:val="sr-Latn-ME" w:eastAsia="ja-JP"/>
        </w:rPr>
        <w:t xml:space="preserve">vrijednosti </w:t>
      </w:r>
      <w:r w:rsidRPr="0014404C">
        <w:rPr>
          <w:sz w:val="22"/>
          <w:szCs w:val="22"/>
          <w:lang w:val="sr-Latn-ME" w:eastAsia="ja-JP"/>
        </w:rPr>
        <w:t xml:space="preserve">iznosile 196 µm, 188 µm odnosno 170 µm redom. Konzistentna smanjenja CST su </w:t>
      </w:r>
      <w:r w:rsidR="00DB68F0" w:rsidRPr="0014404C">
        <w:rPr>
          <w:sz w:val="22"/>
          <w:szCs w:val="22"/>
          <w:lang w:val="sr-Latn-ME" w:eastAsia="ja-JP"/>
        </w:rPr>
        <w:t xml:space="preserve">zabilježena </w:t>
      </w:r>
      <w:r w:rsidRPr="0014404C">
        <w:rPr>
          <w:sz w:val="22"/>
          <w:szCs w:val="22"/>
          <w:lang w:val="sr-Latn-ME" w:eastAsia="ja-JP"/>
        </w:rPr>
        <w:t xml:space="preserve">do kraja 2. godine. U </w:t>
      </w:r>
      <w:r w:rsidR="00DB68F0" w:rsidRPr="0014404C">
        <w:rPr>
          <w:sz w:val="22"/>
          <w:szCs w:val="22"/>
          <w:lang w:val="sr-Latn-ME" w:eastAsia="ja-JP"/>
        </w:rPr>
        <w:t xml:space="preserve">obje </w:t>
      </w:r>
      <w:r w:rsidRPr="0014404C">
        <w:rPr>
          <w:sz w:val="22"/>
          <w:szCs w:val="22"/>
          <w:lang w:val="sr-Latn-ME" w:eastAsia="ja-JP"/>
        </w:rPr>
        <w:t xml:space="preserve">studije je procenat pacijenata koji su postigli izostanak IRF i odsustvo DME (definisan kao dostizanje CST ispod 325 µm) tokom 2 godine bio veći u </w:t>
      </w:r>
      <w:r w:rsidR="00DB68F0" w:rsidRPr="0014404C">
        <w:rPr>
          <w:sz w:val="22"/>
          <w:szCs w:val="22"/>
          <w:lang w:val="sr-Latn-ME" w:eastAsia="ja-JP"/>
        </w:rPr>
        <w:t xml:space="preserve">obje </w:t>
      </w:r>
      <w:r w:rsidRPr="0014404C">
        <w:rPr>
          <w:sz w:val="22"/>
          <w:szCs w:val="22"/>
          <w:lang w:val="sr-Latn-ME" w:eastAsia="ja-JP"/>
        </w:rPr>
        <w:t xml:space="preserve">grupe </w:t>
      </w:r>
      <w:r w:rsidR="00DB68F0" w:rsidRPr="0014404C">
        <w:rPr>
          <w:sz w:val="22"/>
          <w:szCs w:val="22"/>
          <w:lang w:val="sr-Latn-ME" w:eastAsia="ja-JP"/>
        </w:rPr>
        <w:t xml:space="preserve">liječene </w:t>
      </w:r>
      <w:r w:rsidRPr="0014404C">
        <w:rPr>
          <w:sz w:val="22"/>
          <w:szCs w:val="22"/>
          <w:lang w:val="sr-Latn-ME" w:eastAsia="ja-JP"/>
        </w:rPr>
        <w:t>faricimabom nego u onoj koja je primala aflibercept.</w:t>
      </w:r>
    </w:p>
    <w:p w14:paraId="030767BD" w14:textId="2946C3C8" w:rsidR="00EB2059" w:rsidRPr="0014404C" w:rsidRDefault="00EB2059" w:rsidP="0014404C">
      <w:pPr>
        <w:widowControl w:val="0"/>
        <w:shd w:val="clear" w:color="auto" w:fill="FFFFFF"/>
        <w:jc w:val="both"/>
        <w:rPr>
          <w:sz w:val="22"/>
          <w:szCs w:val="22"/>
          <w:lang w:val="sr-Latn-ME" w:eastAsia="ja-JP"/>
        </w:rPr>
      </w:pPr>
    </w:p>
    <w:p w14:paraId="5B3A40E9" w14:textId="77777777" w:rsidR="00EB2059" w:rsidRPr="0014404C" w:rsidRDefault="00EB2059" w:rsidP="0014404C">
      <w:pPr>
        <w:widowControl w:val="0"/>
        <w:shd w:val="clear" w:color="auto" w:fill="FFFFFF"/>
        <w:jc w:val="both"/>
        <w:rPr>
          <w:i/>
          <w:iCs/>
          <w:sz w:val="22"/>
          <w:szCs w:val="22"/>
          <w:lang w:val="sr-Latn-ME" w:eastAsia="ja-JP"/>
        </w:rPr>
      </w:pPr>
      <w:r w:rsidRPr="0014404C">
        <w:rPr>
          <w:i/>
          <w:iCs/>
          <w:sz w:val="22"/>
          <w:szCs w:val="22"/>
          <w:lang w:val="sr-Latn-ME" w:eastAsia="ja-JP"/>
        </w:rPr>
        <w:t>RVO</w:t>
      </w:r>
    </w:p>
    <w:p w14:paraId="64D921DB" w14:textId="77777777" w:rsidR="00EB2059" w:rsidRPr="0014404C" w:rsidRDefault="00EB2059" w:rsidP="0014404C">
      <w:pPr>
        <w:widowControl w:val="0"/>
        <w:shd w:val="clear" w:color="auto" w:fill="FFFFFF"/>
        <w:jc w:val="both"/>
        <w:rPr>
          <w:sz w:val="22"/>
          <w:szCs w:val="22"/>
          <w:lang w:val="sr-Latn-ME" w:eastAsia="ja-JP"/>
        </w:rPr>
      </w:pPr>
    </w:p>
    <w:p w14:paraId="78F4A805" w14:textId="4E04946D" w:rsidR="00EB2059" w:rsidRPr="0014404C" w:rsidRDefault="00EB2059" w:rsidP="0014404C">
      <w:pPr>
        <w:widowControl w:val="0"/>
        <w:shd w:val="clear" w:color="auto" w:fill="FFFFFF"/>
        <w:jc w:val="both"/>
        <w:rPr>
          <w:sz w:val="22"/>
          <w:szCs w:val="22"/>
          <w:lang w:val="sr-Latn-ME" w:eastAsia="ja-JP"/>
        </w:rPr>
      </w:pPr>
      <w:r w:rsidRPr="0014404C">
        <w:rPr>
          <w:sz w:val="22"/>
          <w:szCs w:val="22"/>
          <w:lang w:val="sr-Latn-ME" w:eastAsia="ja-JP"/>
        </w:rPr>
        <w:t xml:space="preserve">U studijama faze III kod pacijenata sa okluzijom grane retinalne vene (engl. </w:t>
      </w:r>
      <w:r w:rsidRPr="0014404C">
        <w:rPr>
          <w:i/>
          <w:iCs/>
          <w:sz w:val="22"/>
          <w:szCs w:val="22"/>
          <w:lang w:val="sr-Latn-ME" w:eastAsia="ja-JP"/>
        </w:rPr>
        <w:t>branch retinal vein occlusion</w:t>
      </w:r>
      <w:r w:rsidRPr="0014404C">
        <w:rPr>
          <w:sz w:val="22"/>
          <w:szCs w:val="22"/>
          <w:lang w:val="sr-Latn-ME" w:eastAsia="ja-JP"/>
        </w:rPr>
        <w:t xml:space="preserve">, BRVO; studija BALATON) i okluzijom centralne/hemiretinalne vene (engl. </w:t>
      </w:r>
      <w:r w:rsidRPr="0014404C">
        <w:rPr>
          <w:i/>
          <w:iCs/>
          <w:sz w:val="22"/>
          <w:szCs w:val="22"/>
          <w:lang w:val="sr-Latn-ME" w:eastAsia="ja-JP"/>
        </w:rPr>
        <w:t>central/hemiretinal vein occlusion</w:t>
      </w:r>
      <w:r w:rsidRPr="0014404C">
        <w:rPr>
          <w:sz w:val="22"/>
          <w:szCs w:val="22"/>
          <w:lang w:val="sr-Latn-ME" w:eastAsia="ja-JP"/>
        </w:rPr>
        <w:t>, C/HRVO; studija COMINO) uz faricimab prim</w:t>
      </w:r>
      <w:r w:rsidR="00C66686" w:rsidRPr="0014404C">
        <w:rPr>
          <w:sz w:val="22"/>
          <w:szCs w:val="22"/>
          <w:lang w:val="sr-Latn-ME" w:eastAsia="ja-JP"/>
        </w:rPr>
        <w:t>i</w:t>
      </w:r>
      <w:r w:rsidRPr="0014404C">
        <w:rPr>
          <w:sz w:val="22"/>
          <w:szCs w:val="22"/>
          <w:lang w:val="sr-Latn-ME" w:eastAsia="ja-JP"/>
        </w:rPr>
        <w:t>jenjen svake 4 nedjelje uočena su smanjenja srednje vrijednosti CST</w:t>
      </w:r>
      <w:r w:rsidRPr="0014404C">
        <w:rPr>
          <w:sz w:val="22"/>
          <w:szCs w:val="22"/>
          <w:lang w:val="sr-Latn-ME" w:eastAsia="ja-JP"/>
        </w:rPr>
        <w:noBreakHyphen/>
        <w:t>a od početka ispitivanja do 24. nedjelje, koja su bila uporediva sa onima uočenim uz aflibercept primijenjen svake 4 nedjelje. Srednja vrijednost smanjenja CST</w:t>
      </w:r>
      <w:r w:rsidRPr="0014404C">
        <w:rPr>
          <w:sz w:val="22"/>
          <w:szCs w:val="22"/>
          <w:lang w:val="sr-Latn-ME" w:eastAsia="ja-JP"/>
        </w:rPr>
        <w:noBreakHyphen/>
        <w:t>a od početka ispitivanja do 24. nedjelje iznosila je 311,4 μm uz faricimab prim</w:t>
      </w:r>
      <w:r w:rsidR="00E62EB9" w:rsidRPr="0014404C">
        <w:rPr>
          <w:sz w:val="22"/>
          <w:szCs w:val="22"/>
          <w:lang w:val="sr-Latn-ME" w:eastAsia="ja-JP"/>
        </w:rPr>
        <w:t>i</w:t>
      </w:r>
      <w:r w:rsidRPr="0014404C">
        <w:rPr>
          <w:sz w:val="22"/>
          <w:szCs w:val="22"/>
          <w:lang w:val="sr-Latn-ME" w:eastAsia="ja-JP"/>
        </w:rPr>
        <w:t>jenjen svake 4 nedjelje naspram 304,4 μm uz aflibercept prim</w:t>
      </w:r>
      <w:r w:rsidR="00E62EB9" w:rsidRPr="0014404C">
        <w:rPr>
          <w:sz w:val="22"/>
          <w:szCs w:val="22"/>
          <w:lang w:val="sr-Latn-ME" w:eastAsia="ja-JP"/>
        </w:rPr>
        <w:t>i</w:t>
      </w:r>
      <w:r w:rsidRPr="0014404C">
        <w:rPr>
          <w:sz w:val="22"/>
          <w:szCs w:val="22"/>
          <w:lang w:val="sr-Latn-ME" w:eastAsia="ja-JP"/>
        </w:rPr>
        <w:t>jenjen svake 4 nedjelje u ispitivanju BALATON, odnosno 461,6 μm uz faricimab naspram 448,8 μm uz aflibercept u ispitivanju COMINO. Smanjenja CST</w:t>
      </w:r>
      <w:r w:rsidRPr="0014404C">
        <w:rPr>
          <w:sz w:val="22"/>
          <w:szCs w:val="22"/>
          <w:lang w:val="sr-Latn-ME" w:eastAsia="ja-JP"/>
        </w:rPr>
        <w:noBreakHyphen/>
        <w:t>a održala su se do 72. nedjelje kad su pacijenti prešli na prilagodljiv režim doziranja faricimaba u intervalima od najviše 16 nedjelja.</w:t>
      </w:r>
    </w:p>
    <w:p w14:paraId="5CDEC35F" w14:textId="77777777" w:rsidR="00EB2059" w:rsidRPr="0014404C" w:rsidRDefault="00EB2059" w:rsidP="0014404C">
      <w:pPr>
        <w:widowControl w:val="0"/>
        <w:shd w:val="clear" w:color="auto" w:fill="FFFFFF"/>
        <w:jc w:val="both"/>
        <w:rPr>
          <w:sz w:val="22"/>
          <w:szCs w:val="22"/>
          <w:lang w:val="sr-Latn-ME" w:eastAsia="ja-JP"/>
        </w:rPr>
      </w:pPr>
    </w:p>
    <w:p w14:paraId="1AD19C03" w14:textId="1E9BAFD5" w:rsidR="00EB2059" w:rsidRPr="0014404C" w:rsidRDefault="00EB2059" w:rsidP="0014404C">
      <w:pPr>
        <w:widowControl w:val="0"/>
        <w:shd w:val="clear" w:color="auto" w:fill="FFFFFF"/>
        <w:jc w:val="both"/>
        <w:rPr>
          <w:sz w:val="22"/>
          <w:szCs w:val="22"/>
          <w:u w:val="single"/>
          <w:lang w:val="sr-Latn-ME" w:eastAsia="ja-JP"/>
        </w:rPr>
      </w:pPr>
      <w:r w:rsidRPr="0014404C">
        <w:rPr>
          <w:sz w:val="22"/>
          <w:szCs w:val="22"/>
          <w:lang w:val="sr-Latn-ME" w:eastAsia="ja-JP"/>
        </w:rPr>
        <w:t>U ob</w:t>
      </w:r>
      <w:r w:rsidR="00C66686" w:rsidRPr="0014404C">
        <w:rPr>
          <w:sz w:val="22"/>
          <w:szCs w:val="22"/>
          <w:lang w:val="sr-Latn-ME" w:eastAsia="ja-JP"/>
        </w:rPr>
        <w:t>j</w:t>
      </w:r>
      <w:r w:rsidRPr="0014404C">
        <w:rPr>
          <w:sz w:val="22"/>
          <w:szCs w:val="22"/>
          <w:lang w:val="sr-Latn-ME" w:eastAsia="ja-JP"/>
        </w:rPr>
        <w:t>e studije ud</w:t>
      </w:r>
      <w:r w:rsidR="00C66686" w:rsidRPr="0014404C">
        <w:rPr>
          <w:sz w:val="22"/>
          <w:szCs w:val="22"/>
          <w:lang w:val="sr-Latn-ME" w:eastAsia="ja-JP"/>
        </w:rPr>
        <w:t>i</w:t>
      </w:r>
      <w:r w:rsidRPr="0014404C">
        <w:rPr>
          <w:sz w:val="22"/>
          <w:szCs w:val="22"/>
          <w:lang w:val="sr-Latn-ME" w:eastAsia="ja-JP"/>
        </w:rPr>
        <w:t>o pacijenata koji su postigli izostanak IRF</w:t>
      </w:r>
      <w:r w:rsidRPr="0014404C">
        <w:rPr>
          <w:sz w:val="22"/>
          <w:szCs w:val="22"/>
          <w:lang w:val="sr-Latn-ME" w:eastAsia="ja-JP"/>
        </w:rPr>
        <w:noBreakHyphen/>
        <w:t>a, izostanak SRF</w:t>
      </w:r>
      <w:r w:rsidRPr="0014404C">
        <w:rPr>
          <w:sz w:val="22"/>
          <w:szCs w:val="22"/>
          <w:lang w:val="sr-Latn-ME" w:eastAsia="ja-JP"/>
        </w:rPr>
        <w:noBreakHyphen/>
        <w:t>a i izostanak makularnog edema (koji se definisao kao CST &lt; 325 µm) tokom 24 nedjelje bio je uporediv u grupi koja je primala faricimab svake 4 nedjelje sa grupom koja je primala aflibercept svake 4 nedjelje. Ti rezultati su se održali do 72. nedjelje kada su pacijenti prešli na prilagodljiv režim doziranja faricimaba u intervalima od najviše 16 nedjelja.</w:t>
      </w:r>
    </w:p>
    <w:p w14:paraId="79BA693A" w14:textId="77777777" w:rsidR="00146D5A" w:rsidRPr="0014404C" w:rsidRDefault="00146D5A" w:rsidP="0014404C">
      <w:pPr>
        <w:widowControl w:val="0"/>
        <w:jc w:val="both"/>
        <w:rPr>
          <w:sz w:val="22"/>
          <w:szCs w:val="22"/>
          <w:u w:val="single"/>
          <w:lang w:val="sr-Latn-ME" w:eastAsia="ja-JP"/>
        </w:rPr>
      </w:pPr>
    </w:p>
    <w:p w14:paraId="74227D9C" w14:textId="0688674B" w:rsidR="0036275D" w:rsidRPr="0014404C" w:rsidRDefault="0036275D" w:rsidP="0014404C">
      <w:pPr>
        <w:widowControl w:val="0"/>
        <w:jc w:val="both"/>
        <w:rPr>
          <w:sz w:val="22"/>
          <w:szCs w:val="22"/>
          <w:u w:val="single"/>
          <w:lang w:val="sr-Latn-ME" w:eastAsia="ja-JP"/>
        </w:rPr>
      </w:pPr>
      <w:r w:rsidRPr="0014404C">
        <w:rPr>
          <w:sz w:val="22"/>
          <w:szCs w:val="22"/>
          <w:u w:val="single"/>
          <w:lang w:val="sr-Latn-ME" w:eastAsia="ja-JP"/>
        </w:rPr>
        <w:t xml:space="preserve">Klinička efikasnost i </w:t>
      </w:r>
      <w:r w:rsidR="00DB68F0" w:rsidRPr="0014404C">
        <w:rPr>
          <w:sz w:val="22"/>
          <w:szCs w:val="22"/>
          <w:u w:val="single"/>
          <w:lang w:val="sr-Latn-ME" w:eastAsia="ja-JP"/>
        </w:rPr>
        <w:t>bezbjednost</w:t>
      </w:r>
    </w:p>
    <w:p w14:paraId="7F040337" w14:textId="75FE560F" w:rsidR="00146D5A" w:rsidRPr="0014404C" w:rsidRDefault="00146D5A" w:rsidP="0014404C">
      <w:pPr>
        <w:widowControl w:val="0"/>
        <w:jc w:val="both"/>
        <w:rPr>
          <w:i/>
          <w:iCs/>
          <w:sz w:val="22"/>
          <w:szCs w:val="22"/>
          <w:lang w:val="sr-Latn-ME" w:eastAsia="ja-JP"/>
        </w:rPr>
      </w:pPr>
    </w:p>
    <w:p w14:paraId="459AECC7" w14:textId="739039BD" w:rsidR="0036275D" w:rsidRPr="0014404C" w:rsidRDefault="0036275D" w:rsidP="0014404C">
      <w:pPr>
        <w:widowControl w:val="0"/>
        <w:jc w:val="both"/>
        <w:rPr>
          <w:i/>
          <w:sz w:val="22"/>
          <w:szCs w:val="22"/>
          <w:lang w:val="sr-Latn-ME" w:eastAsia="ja-JP"/>
        </w:rPr>
      </w:pPr>
      <w:r w:rsidRPr="0014404C">
        <w:rPr>
          <w:i/>
          <w:iCs/>
          <w:sz w:val="22"/>
          <w:szCs w:val="22"/>
          <w:lang w:val="sr-Latn-ME" w:eastAsia="ja-JP"/>
        </w:rPr>
        <w:t>nAMD</w:t>
      </w:r>
    </w:p>
    <w:p w14:paraId="4814E0DD" w14:textId="77777777" w:rsidR="00146D5A" w:rsidRPr="0014404C" w:rsidRDefault="00146D5A" w:rsidP="0014404C">
      <w:pPr>
        <w:widowControl w:val="0"/>
        <w:jc w:val="both"/>
        <w:rPr>
          <w:sz w:val="22"/>
          <w:szCs w:val="22"/>
          <w:lang w:val="sr-Latn-ME" w:eastAsia="ja-JP"/>
        </w:rPr>
      </w:pPr>
    </w:p>
    <w:p w14:paraId="6A304F90" w14:textId="25DF29FF" w:rsidR="0036275D" w:rsidRPr="0014404C" w:rsidRDefault="00DB68F0" w:rsidP="0014404C">
      <w:pPr>
        <w:widowControl w:val="0"/>
        <w:jc w:val="both"/>
        <w:rPr>
          <w:bCs/>
          <w:iCs/>
          <w:sz w:val="22"/>
          <w:szCs w:val="22"/>
          <w:lang w:val="sr-Latn-ME" w:eastAsia="ja-JP"/>
        </w:rPr>
      </w:pPr>
      <w:r w:rsidRPr="0014404C">
        <w:rPr>
          <w:sz w:val="22"/>
          <w:szCs w:val="22"/>
          <w:lang w:val="sr-Latn-ME" w:eastAsia="ja-JP"/>
        </w:rPr>
        <w:t xml:space="preserve">Bezbjednost </w:t>
      </w:r>
      <w:r w:rsidR="0036275D" w:rsidRPr="0014404C">
        <w:rPr>
          <w:sz w:val="22"/>
          <w:szCs w:val="22"/>
          <w:lang w:val="sr-Latn-ME" w:eastAsia="ja-JP"/>
        </w:rPr>
        <w:t xml:space="preserve">i efikasnost faricimaba </w:t>
      </w:r>
      <w:r w:rsidRPr="0014404C">
        <w:rPr>
          <w:sz w:val="22"/>
          <w:szCs w:val="22"/>
          <w:lang w:val="sr-Latn-ME" w:eastAsia="ja-JP"/>
        </w:rPr>
        <w:t xml:space="preserve">procjenjivane </w:t>
      </w:r>
      <w:r w:rsidR="0036275D" w:rsidRPr="0014404C">
        <w:rPr>
          <w:sz w:val="22"/>
          <w:szCs w:val="22"/>
          <w:lang w:val="sr-Latn-ME" w:eastAsia="ja-JP"/>
        </w:rPr>
        <w:t xml:space="preserve">su u </w:t>
      </w:r>
      <w:r w:rsidRPr="0014404C">
        <w:rPr>
          <w:sz w:val="22"/>
          <w:szCs w:val="22"/>
          <w:lang w:val="sr-Latn-ME" w:eastAsia="ja-JP"/>
        </w:rPr>
        <w:t xml:space="preserve">dvije </w:t>
      </w:r>
      <w:r w:rsidR="0036275D" w:rsidRPr="0014404C">
        <w:rPr>
          <w:sz w:val="22"/>
          <w:szCs w:val="22"/>
          <w:lang w:val="sr-Latn-ME" w:eastAsia="ja-JP"/>
        </w:rPr>
        <w:t xml:space="preserve">randomizovane, multicentrične, dvostruko </w:t>
      </w:r>
      <w:r w:rsidRPr="0014404C">
        <w:rPr>
          <w:sz w:val="22"/>
          <w:szCs w:val="22"/>
          <w:lang w:val="sr-Latn-ME" w:eastAsia="ja-JP"/>
        </w:rPr>
        <w:t>slijepe</w:t>
      </w:r>
      <w:r w:rsidR="0036275D" w:rsidRPr="0014404C">
        <w:rPr>
          <w:sz w:val="22"/>
          <w:szCs w:val="22"/>
          <w:lang w:val="sr-Latn-ME" w:eastAsia="ja-JP"/>
        </w:rPr>
        <w:t xml:space="preserve">, aktivnim komparatorom kontrolisane dvogodišnje studije neinferiornosti sprovedene kod pacijenata sa nAMD, pod nazivom TENAYA i LUCERNE. </w:t>
      </w:r>
      <w:r w:rsidR="00905D2D" w:rsidRPr="0014404C">
        <w:rPr>
          <w:sz w:val="22"/>
          <w:szCs w:val="22"/>
          <w:lang w:val="sr-Latn-ME" w:eastAsia="ja-JP"/>
        </w:rPr>
        <w:t>U</w:t>
      </w:r>
      <w:r w:rsidR="0036275D" w:rsidRPr="0014404C">
        <w:rPr>
          <w:sz w:val="22"/>
          <w:szCs w:val="22"/>
          <w:lang w:val="sr-Latn-ME" w:eastAsia="ja-JP"/>
        </w:rPr>
        <w:t xml:space="preserve">ključeno </w:t>
      </w:r>
      <w:r w:rsidR="00905D2D" w:rsidRPr="0014404C">
        <w:rPr>
          <w:sz w:val="22"/>
          <w:szCs w:val="22"/>
          <w:lang w:val="sr-Latn-ME" w:eastAsia="ja-JP"/>
        </w:rPr>
        <w:t xml:space="preserve">je </w:t>
      </w:r>
      <w:r w:rsidR="0036275D" w:rsidRPr="0014404C">
        <w:rPr>
          <w:sz w:val="22"/>
          <w:szCs w:val="22"/>
          <w:lang w:val="sr-Latn-ME" w:eastAsia="ja-JP"/>
        </w:rPr>
        <w:t xml:space="preserve">ukupno 1329 pacijenata, a </w:t>
      </w:r>
      <w:r w:rsidR="00905D2D" w:rsidRPr="0014404C">
        <w:rPr>
          <w:sz w:val="22"/>
          <w:szCs w:val="22"/>
          <w:lang w:val="sr-Latn-ME" w:eastAsia="ja-JP"/>
        </w:rPr>
        <w:t>1135 (85%) pacijenata završilo je ispitivanja do kraja 112. nedjelje. Ukupno</w:t>
      </w:r>
      <w:r w:rsidR="0036275D" w:rsidRPr="0014404C">
        <w:rPr>
          <w:sz w:val="22"/>
          <w:szCs w:val="22"/>
          <w:lang w:val="sr-Latn-ME" w:eastAsia="ja-JP"/>
        </w:rPr>
        <w:t xml:space="preserve"> 1326 </w:t>
      </w:r>
      <w:r w:rsidR="00905D2D" w:rsidRPr="0014404C">
        <w:rPr>
          <w:sz w:val="22"/>
          <w:szCs w:val="22"/>
          <w:lang w:val="sr-Latn-ME" w:eastAsia="ja-JP"/>
        </w:rPr>
        <w:t xml:space="preserve">pacijenata je </w:t>
      </w:r>
      <w:r w:rsidR="0036275D" w:rsidRPr="0014404C">
        <w:rPr>
          <w:sz w:val="22"/>
          <w:szCs w:val="22"/>
          <w:lang w:val="sr-Latn-ME" w:eastAsia="ja-JP"/>
        </w:rPr>
        <w:t xml:space="preserve">primilo najmanje jednu dozu </w:t>
      </w:r>
      <w:r w:rsidR="00802EFD" w:rsidRPr="0014404C">
        <w:rPr>
          <w:sz w:val="22"/>
          <w:szCs w:val="22"/>
          <w:lang w:val="sr-Latn-ME" w:eastAsia="ja-JP"/>
        </w:rPr>
        <w:t>lijeka</w:t>
      </w:r>
      <w:r w:rsidR="0036275D" w:rsidRPr="0014404C">
        <w:rPr>
          <w:sz w:val="22"/>
          <w:szCs w:val="22"/>
          <w:lang w:val="sr-Latn-ME" w:eastAsia="ja-JP"/>
        </w:rPr>
        <w:t xml:space="preserve"> (664 je primilo faricimab). Starost pacijenata kretala se u rasponu od 50 do 99 godina, sa srednjom </w:t>
      </w:r>
      <w:r w:rsidRPr="0014404C">
        <w:rPr>
          <w:sz w:val="22"/>
          <w:szCs w:val="22"/>
          <w:lang w:val="sr-Latn-ME" w:eastAsia="ja-JP"/>
        </w:rPr>
        <w:t xml:space="preserve">vrijednošću </w:t>
      </w:r>
      <w:r w:rsidR="0036275D" w:rsidRPr="0014404C">
        <w:rPr>
          <w:sz w:val="22"/>
          <w:szCs w:val="22"/>
          <w:lang w:val="sr-Latn-ME" w:eastAsia="ja-JP"/>
        </w:rPr>
        <w:t>[standardna devijacija; SD] od 75,9 (8,6) godina.</w:t>
      </w:r>
    </w:p>
    <w:p w14:paraId="5A69457E" w14:textId="77777777" w:rsidR="0036275D" w:rsidRPr="0014404C" w:rsidRDefault="0036275D" w:rsidP="0014404C">
      <w:pPr>
        <w:widowControl w:val="0"/>
        <w:jc w:val="both"/>
        <w:rPr>
          <w:bCs/>
          <w:iCs/>
          <w:sz w:val="22"/>
          <w:szCs w:val="22"/>
          <w:lang w:val="sr-Latn-ME" w:eastAsia="ja-JP"/>
        </w:rPr>
      </w:pPr>
    </w:p>
    <w:p w14:paraId="139BC81F" w14:textId="3318EC15" w:rsidR="0036275D" w:rsidRPr="0014404C" w:rsidRDefault="0036275D" w:rsidP="0014404C">
      <w:pPr>
        <w:widowControl w:val="0"/>
        <w:jc w:val="both"/>
        <w:rPr>
          <w:bCs/>
          <w:iCs/>
          <w:sz w:val="22"/>
          <w:szCs w:val="22"/>
          <w:lang w:val="sr-Latn-ME" w:eastAsia="ja-JP"/>
        </w:rPr>
      </w:pPr>
      <w:r w:rsidRPr="0014404C">
        <w:rPr>
          <w:sz w:val="22"/>
          <w:szCs w:val="22"/>
          <w:lang w:val="sr-Latn-ME" w:eastAsia="ja-JP"/>
        </w:rPr>
        <w:t xml:space="preserve">U </w:t>
      </w:r>
      <w:r w:rsidR="00DB68F0" w:rsidRPr="0014404C">
        <w:rPr>
          <w:sz w:val="22"/>
          <w:szCs w:val="22"/>
          <w:lang w:val="sr-Latn-ME" w:eastAsia="ja-JP"/>
        </w:rPr>
        <w:t xml:space="preserve">obje </w:t>
      </w:r>
      <w:r w:rsidRPr="0014404C">
        <w:rPr>
          <w:sz w:val="22"/>
          <w:szCs w:val="22"/>
          <w:lang w:val="sr-Latn-ME" w:eastAsia="ja-JP"/>
        </w:rPr>
        <w:t xml:space="preserve">studije su pacijenti bili randomizovani u odnosu 1 : 1 u jednu od </w:t>
      </w:r>
      <w:r w:rsidR="00DB68F0" w:rsidRPr="0014404C">
        <w:rPr>
          <w:sz w:val="22"/>
          <w:szCs w:val="22"/>
          <w:lang w:val="sr-Latn-ME" w:eastAsia="ja-JP"/>
        </w:rPr>
        <w:t xml:space="preserve">dvije </w:t>
      </w:r>
      <w:r w:rsidRPr="0014404C">
        <w:rPr>
          <w:sz w:val="22"/>
          <w:szCs w:val="22"/>
          <w:lang w:val="sr-Latn-ME" w:eastAsia="ja-JP"/>
        </w:rPr>
        <w:t>terapijske grupe:</w:t>
      </w:r>
    </w:p>
    <w:p w14:paraId="5A58FC77" w14:textId="77777777" w:rsidR="0036275D" w:rsidRPr="0014404C" w:rsidRDefault="0036275D" w:rsidP="0014404C">
      <w:pPr>
        <w:widowControl w:val="0"/>
        <w:jc w:val="both"/>
        <w:rPr>
          <w:bCs/>
          <w:iCs/>
          <w:sz w:val="22"/>
          <w:szCs w:val="22"/>
          <w:lang w:val="sr-Latn-ME" w:eastAsia="ja-JP"/>
        </w:rPr>
      </w:pPr>
    </w:p>
    <w:p w14:paraId="22DA4BB5" w14:textId="67DAE4AB" w:rsidR="0036275D" w:rsidRPr="0014404C" w:rsidRDefault="0036275D"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Faricimab 6 mg u intervalima od najviše 16 </w:t>
      </w:r>
      <w:r w:rsidR="00802EFD" w:rsidRPr="0014404C">
        <w:rPr>
          <w:sz w:val="22"/>
          <w:szCs w:val="22"/>
          <w:lang w:val="sr-Latn-ME" w:eastAsia="ja-JP"/>
        </w:rPr>
        <w:t>nedjelja</w:t>
      </w:r>
      <w:r w:rsidRPr="0014404C">
        <w:rPr>
          <w:sz w:val="22"/>
          <w:szCs w:val="22"/>
          <w:lang w:val="sr-Latn-ME" w:eastAsia="ja-JP"/>
        </w:rPr>
        <w:t xml:space="preserve"> nakon četiri početne </w:t>
      </w:r>
      <w:r w:rsidR="00DB68F0" w:rsidRPr="0014404C">
        <w:rPr>
          <w:sz w:val="22"/>
          <w:szCs w:val="22"/>
          <w:lang w:val="sr-Latn-ME" w:eastAsia="ja-JP"/>
        </w:rPr>
        <w:t xml:space="preserve">mjesečne </w:t>
      </w:r>
      <w:r w:rsidRPr="0014404C">
        <w:rPr>
          <w:sz w:val="22"/>
          <w:szCs w:val="22"/>
          <w:lang w:val="sr-Latn-ME" w:eastAsia="ja-JP"/>
        </w:rPr>
        <w:t>doze</w:t>
      </w:r>
    </w:p>
    <w:p w14:paraId="2B971681" w14:textId="53837333" w:rsidR="0036275D" w:rsidRPr="0014404C" w:rsidRDefault="0036275D"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Aflibercept 2 mg svakih 8 </w:t>
      </w:r>
      <w:r w:rsidR="00802EFD" w:rsidRPr="0014404C">
        <w:rPr>
          <w:sz w:val="22"/>
          <w:szCs w:val="22"/>
          <w:lang w:val="sr-Latn-ME" w:eastAsia="ja-JP"/>
        </w:rPr>
        <w:t>nedjelja</w:t>
      </w:r>
      <w:r w:rsidRPr="0014404C">
        <w:rPr>
          <w:sz w:val="22"/>
          <w:szCs w:val="22"/>
          <w:lang w:val="sr-Latn-ME" w:eastAsia="ja-JP"/>
        </w:rPr>
        <w:t xml:space="preserve"> nakon tri početne</w:t>
      </w:r>
      <w:r w:rsidR="00DB68F0" w:rsidRPr="0014404C">
        <w:rPr>
          <w:sz w:val="22"/>
          <w:szCs w:val="22"/>
          <w:lang w:val="sr-Latn-ME" w:eastAsia="ja-JP"/>
        </w:rPr>
        <w:t xml:space="preserve"> mjesečne </w:t>
      </w:r>
      <w:r w:rsidRPr="0014404C">
        <w:rPr>
          <w:sz w:val="22"/>
          <w:szCs w:val="22"/>
          <w:lang w:val="sr-Latn-ME" w:eastAsia="ja-JP"/>
        </w:rPr>
        <w:t>doze</w:t>
      </w:r>
    </w:p>
    <w:p w14:paraId="5E470BBB" w14:textId="77777777" w:rsidR="0036275D" w:rsidRPr="0014404C" w:rsidRDefault="0036275D" w:rsidP="0014404C">
      <w:pPr>
        <w:widowControl w:val="0"/>
        <w:jc w:val="both"/>
        <w:rPr>
          <w:bCs/>
          <w:iCs/>
          <w:sz w:val="22"/>
          <w:szCs w:val="22"/>
          <w:lang w:val="sr-Latn-ME" w:eastAsia="ja-JP"/>
        </w:rPr>
      </w:pPr>
    </w:p>
    <w:p w14:paraId="6699FFF7" w14:textId="2680D573" w:rsidR="0036275D" w:rsidRPr="0014404C" w:rsidRDefault="0036275D" w:rsidP="0014404C">
      <w:pPr>
        <w:widowControl w:val="0"/>
        <w:jc w:val="both"/>
        <w:rPr>
          <w:bCs/>
          <w:iCs/>
          <w:sz w:val="22"/>
          <w:szCs w:val="22"/>
          <w:lang w:val="sr-Latn-ME" w:eastAsia="ja-JP"/>
        </w:rPr>
      </w:pPr>
      <w:r w:rsidRPr="0014404C">
        <w:rPr>
          <w:sz w:val="22"/>
          <w:szCs w:val="22"/>
          <w:lang w:val="sr-Latn-ME" w:eastAsia="ja-JP"/>
        </w:rPr>
        <w:t xml:space="preserve">Nakon </w:t>
      </w:r>
      <w:r w:rsidR="00802EFD" w:rsidRPr="0014404C">
        <w:rPr>
          <w:sz w:val="22"/>
          <w:szCs w:val="22"/>
          <w:lang w:val="sr-Latn-ME" w:eastAsia="ja-JP"/>
        </w:rPr>
        <w:t>primjene</w:t>
      </w:r>
      <w:r w:rsidRPr="0014404C">
        <w:rPr>
          <w:sz w:val="22"/>
          <w:szCs w:val="22"/>
          <w:lang w:val="sr-Latn-ME" w:eastAsia="ja-JP"/>
        </w:rPr>
        <w:t xml:space="preserve"> prve četiri </w:t>
      </w:r>
      <w:r w:rsidR="00DB68F0" w:rsidRPr="0014404C">
        <w:rPr>
          <w:sz w:val="22"/>
          <w:szCs w:val="22"/>
          <w:lang w:val="sr-Latn-ME" w:eastAsia="ja-JP"/>
        </w:rPr>
        <w:t xml:space="preserve">mjesečne </w:t>
      </w:r>
      <w:r w:rsidRPr="0014404C">
        <w:rPr>
          <w:sz w:val="22"/>
          <w:szCs w:val="22"/>
          <w:lang w:val="sr-Latn-ME" w:eastAsia="ja-JP"/>
        </w:rPr>
        <w:t xml:space="preserve">doze (0, 4, 8. i 12. </w:t>
      </w:r>
      <w:r w:rsidR="00802EFD" w:rsidRPr="0014404C">
        <w:rPr>
          <w:sz w:val="22"/>
          <w:szCs w:val="22"/>
          <w:lang w:val="sr-Latn-ME" w:eastAsia="ja-JP"/>
        </w:rPr>
        <w:t>nedjelja</w:t>
      </w:r>
      <w:r w:rsidRPr="0014404C">
        <w:rPr>
          <w:sz w:val="22"/>
          <w:szCs w:val="22"/>
          <w:lang w:val="sr-Latn-ME" w:eastAsia="ja-JP"/>
        </w:rPr>
        <w:t xml:space="preserve">) pacijenti randomizovani za </w:t>
      </w:r>
      <w:r w:rsidR="00DB68F0" w:rsidRPr="0014404C">
        <w:rPr>
          <w:sz w:val="22"/>
          <w:szCs w:val="22"/>
          <w:lang w:val="sr-Latn-ME" w:eastAsia="ja-JP"/>
        </w:rPr>
        <w:t xml:space="preserve">liječenje </w:t>
      </w:r>
      <w:r w:rsidRPr="0014404C">
        <w:rPr>
          <w:sz w:val="22"/>
          <w:szCs w:val="22"/>
          <w:lang w:val="sr-Latn-ME" w:eastAsia="ja-JP"/>
        </w:rPr>
        <w:t xml:space="preserve">faricimabom primali su </w:t>
      </w:r>
      <w:r w:rsidR="00802EFD" w:rsidRPr="0014404C">
        <w:rPr>
          <w:sz w:val="22"/>
          <w:szCs w:val="22"/>
          <w:lang w:val="sr-Latn-ME" w:eastAsia="ja-JP"/>
        </w:rPr>
        <w:t xml:space="preserve">lijek </w:t>
      </w:r>
      <w:r w:rsidRPr="0014404C">
        <w:rPr>
          <w:sz w:val="22"/>
          <w:szCs w:val="22"/>
          <w:lang w:val="sr-Latn-ME" w:eastAsia="ja-JP"/>
        </w:rPr>
        <w:t xml:space="preserve">svakih 16 </w:t>
      </w:r>
      <w:r w:rsidR="00802EFD" w:rsidRPr="0014404C">
        <w:rPr>
          <w:sz w:val="22"/>
          <w:szCs w:val="22"/>
          <w:lang w:val="sr-Latn-ME" w:eastAsia="ja-JP"/>
        </w:rPr>
        <w:t>nedjelja</w:t>
      </w:r>
      <w:r w:rsidRPr="0014404C">
        <w:rPr>
          <w:sz w:val="22"/>
          <w:szCs w:val="22"/>
          <w:lang w:val="sr-Latn-ME" w:eastAsia="ja-JP"/>
        </w:rPr>
        <w:t xml:space="preserve">, svakih 12 </w:t>
      </w:r>
      <w:r w:rsidR="00802EFD" w:rsidRPr="0014404C">
        <w:rPr>
          <w:sz w:val="22"/>
          <w:szCs w:val="22"/>
          <w:lang w:val="sr-Latn-ME" w:eastAsia="ja-JP"/>
        </w:rPr>
        <w:t>nedjelja</w:t>
      </w:r>
      <w:r w:rsidRPr="0014404C">
        <w:rPr>
          <w:sz w:val="22"/>
          <w:szCs w:val="22"/>
          <w:lang w:val="sr-Latn-ME" w:eastAsia="ja-JP"/>
        </w:rPr>
        <w:t xml:space="preserve"> ili svakih 8 </w:t>
      </w:r>
      <w:r w:rsidR="00802EFD" w:rsidRPr="0014404C">
        <w:rPr>
          <w:sz w:val="22"/>
          <w:szCs w:val="22"/>
          <w:lang w:val="sr-Latn-ME" w:eastAsia="ja-JP"/>
        </w:rPr>
        <w:t>nedjelja</w:t>
      </w:r>
      <w:r w:rsidRPr="0014404C">
        <w:rPr>
          <w:sz w:val="22"/>
          <w:szCs w:val="22"/>
          <w:lang w:val="sr-Latn-ME" w:eastAsia="ja-JP"/>
        </w:rPr>
        <w:t xml:space="preserve">, u zavisnosti od </w:t>
      </w:r>
      <w:r w:rsidR="00DB68F0" w:rsidRPr="0014404C">
        <w:rPr>
          <w:sz w:val="22"/>
          <w:szCs w:val="22"/>
          <w:lang w:val="sr-Latn-ME" w:eastAsia="ja-JP"/>
        </w:rPr>
        <w:lastRenderedPageBreak/>
        <w:t xml:space="preserve">procjene </w:t>
      </w:r>
      <w:r w:rsidRPr="0014404C">
        <w:rPr>
          <w:sz w:val="22"/>
          <w:szCs w:val="22"/>
          <w:lang w:val="sr-Latn-ME" w:eastAsia="ja-JP"/>
        </w:rPr>
        <w:t xml:space="preserve">aktivnosti bolesti u 20. i 24. </w:t>
      </w:r>
      <w:r w:rsidR="00DB68F0" w:rsidRPr="0014404C">
        <w:rPr>
          <w:sz w:val="22"/>
          <w:szCs w:val="22"/>
          <w:lang w:val="sr-Latn-ME" w:eastAsia="ja-JP"/>
        </w:rPr>
        <w:t>nedjelji</w:t>
      </w:r>
      <w:r w:rsidR="00905D2D" w:rsidRPr="0014404C">
        <w:rPr>
          <w:sz w:val="22"/>
          <w:szCs w:val="22"/>
          <w:lang w:val="sr-Latn-ME" w:eastAsia="ja-JP"/>
        </w:rPr>
        <w:t>. Aktivnost bolesti procjenjivala se</w:t>
      </w:r>
      <w:r w:rsidR="00DB68F0" w:rsidRPr="0014404C">
        <w:rPr>
          <w:sz w:val="22"/>
          <w:szCs w:val="22"/>
          <w:lang w:val="sr-Latn-ME" w:eastAsia="ja-JP"/>
        </w:rPr>
        <w:t xml:space="preserve"> </w:t>
      </w:r>
      <w:r w:rsidRPr="0014404C">
        <w:rPr>
          <w:sz w:val="22"/>
          <w:szCs w:val="22"/>
          <w:lang w:val="sr-Latn-ME" w:eastAsia="ja-JP"/>
        </w:rPr>
        <w:t xml:space="preserve">na osnovu objektivnih </w:t>
      </w:r>
      <w:r w:rsidR="00DB68F0" w:rsidRPr="0014404C">
        <w:rPr>
          <w:sz w:val="22"/>
          <w:szCs w:val="22"/>
          <w:lang w:val="sr-Latn-ME" w:eastAsia="ja-JP"/>
        </w:rPr>
        <w:t xml:space="preserve">unaprijed </w:t>
      </w:r>
      <w:r w:rsidRPr="0014404C">
        <w:rPr>
          <w:sz w:val="22"/>
          <w:szCs w:val="22"/>
          <w:lang w:val="sr-Latn-ME" w:eastAsia="ja-JP"/>
        </w:rPr>
        <w:t xml:space="preserve">definisanih </w:t>
      </w:r>
      <w:r w:rsidR="00905D2D" w:rsidRPr="0014404C">
        <w:rPr>
          <w:sz w:val="22"/>
          <w:szCs w:val="22"/>
          <w:lang w:val="sr-Latn-ME" w:eastAsia="ja-JP"/>
        </w:rPr>
        <w:t xml:space="preserve">vidnih (BCVA) </w:t>
      </w:r>
      <w:r w:rsidRPr="0014404C">
        <w:rPr>
          <w:sz w:val="22"/>
          <w:szCs w:val="22"/>
          <w:lang w:val="sr-Latn-ME" w:eastAsia="ja-JP"/>
        </w:rPr>
        <w:t xml:space="preserve">i anatomskih </w:t>
      </w:r>
      <w:r w:rsidR="00905D2D" w:rsidRPr="0014404C">
        <w:rPr>
          <w:sz w:val="22"/>
          <w:szCs w:val="22"/>
          <w:lang w:val="sr-Latn-ME" w:eastAsia="ja-JP"/>
        </w:rPr>
        <w:t xml:space="preserve">(CST) </w:t>
      </w:r>
      <w:r w:rsidRPr="0014404C">
        <w:rPr>
          <w:sz w:val="22"/>
          <w:szCs w:val="22"/>
          <w:lang w:val="sr-Latn-ME" w:eastAsia="ja-JP"/>
        </w:rPr>
        <w:t xml:space="preserve">kriterijuma, kao i kliničke </w:t>
      </w:r>
      <w:r w:rsidR="00DB68F0" w:rsidRPr="0014404C">
        <w:rPr>
          <w:sz w:val="22"/>
          <w:szCs w:val="22"/>
          <w:lang w:val="sr-Latn-ME" w:eastAsia="ja-JP"/>
        </w:rPr>
        <w:t xml:space="preserve">procjene </w:t>
      </w:r>
      <w:r w:rsidRPr="0014404C">
        <w:rPr>
          <w:sz w:val="22"/>
          <w:szCs w:val="22"/>
          <w:lang w:val="sr-Latn-ME" w:eastAsia="ja-JP"/>
        </w:rPr>
        <w:t xml:space="preserve">ordinirajućeg </w:t>
      </w:r>
      <w:r w:rsidR="00802EFD" w:rsidRPr="0014404C">
        <w:rPr>
          <w:sz w:val="22"/>
          <w:szCs w:val="22"/>
          <w:lang w:val="sr-Latn-ME" w:eastAsia="ja-JP"/>
        </w:rPr>
        <w:t>ljekar</w:t>
      </w:r>
      <w:r w:rsidRPr="0014404C">
        <w:rPr>
          <w:sz w:val="22"/>
          <w:szCs w:val="22"/>
          <w:lang w:val="sr-Latn-ME" w:eastAsia="ja-JP"/>
        </w:rPr>
        <w:t>a</w:t>
      </w:r>
      <w:r w:rsidR="00905D2D" w:rsidRPr="0014404C">
        <w:rPr>
          <w:sz w:val="22"/>
          <w:szCs w:val="22"/>
          <w:lang w:val="sr-Latn-ME" w:eastAsia="ja-JP"/>
        </w:rPr>
        <w:t xml:space="preserve"> o prisustvu makularnog krvarenja ili aktivnosti nAMD-a koji zahtijevaju liječenje (samo u 24. nedjelji)</w:t>
      </w:r>
      <w:r w:rsidRPr="0014404C">
        <w:rPr>
          <w:sz w:val="22"/>
          <w:szCs w:val="22"/>
          <w:lang w:val="sr-Latn-ME" w:eastAsia="ja-JP"/>
        </w:rPr>
        <w:t xml:space="preserve">. Pacijenti su nastavili da primaju </w:t>
      </w:r>
      <w:r w:rsidR="00802EFD" w:rsidRPr="0014404C">
        <w:rPr>
          <w:sz w:val="22"/>
          <w:szCs w:val="22"/>
          <w:lang w:val="sr-Latn-ME" w:eastAsia="ja-JP"/>
        </w:rPr>
        <w:t xml:space="preserve">lijek </w:t>
      </w:r>
      <w:r w:rsidRPr="0014404C">
        <w:rPr>
          <w:sz w:val="22"/>
          <w:szCs w:val="22"/>
          <w:lang w:val="sr-Latn-ME" w:eastAsia="ja-JP"/>
        </w:rPr>
        <w:t xml:space="preserve">u tim fiksnim intervalima do 60. </w:t>
      </w:r>
      <w:r w:rsidR="00DB68F0" w:rsidRPr="0014404C">
        <w:rPr>
          <w:sz w:val="22"/>
          <w:szCs w:val="22"/>
          <w:lang w:val="sr-Latn-ME" w:eastAsia="ja-JP"/>
        </w:rPr>
        <w:t xml:space="preserve">nedjelje </w:t>
      </w:r>
      <w:r w:rsidRPr="0014404C">
        <w:rPr>
          <w:sz w:val="22"/>
          <w:szCs w:val="22"/>
          <w:lang w:val="sr-Latn-ME" w:eastAsia="ja-JP"/>
        </w:rPr>
        <w:t>bez dodatne terapije.</w:t>
      </w:r>
      <w:r w:rsidR="00905D2D" w:rsidRPr="0014404C">
        <w:rPr>
          <w:sz w:val="22"/>
          <w:szCs w:val="22"/>
          <w:lang w:val="sr-Latn-ME" w:eastAsia="ja-JP"/>
        </w:rPr>
        <w:t xml:space="preserve"> Od 60. nedjelje nadalje, pacijenti u grupi liječenoj faricimabom prešli su na prilagodljiv režim primjene, prema kom se njihov interval liječenja mogao prom</w:t>
      </w:r>
      <w:r w:rsidR="00AF639E" w:rsidRPr="0014404C">
        <w:rPr>
          <w:sz w:val="22"/>
          <w:szCs w:val="22"/>
          <w:lang w:val="sr-Latn-ME" w:eastAsia="ja-JP"/>
        </w:rPr>
        <w:t>i</w:t>
      </w:r>
      <w:r w:rsidR="00905D2D" w:rsidRPr="0014404C">
        <w:rPr>
          <w:sz w:val="22"/>
          <w:szCs w:val="22"/>
          <w:lang w:val="sr-Latn-ME" w:eastAsia="ja-JP"/>
        </w:rPr>
        <w:t>jeniti, tj. produžiti za najviše 4 nedjelje (do primjene svakih 16. nedjelja) ili smanjiti do intervala primjene svakih 8 nedjelja na osnovu automatizovane, objektivne procjene unapr</w:t>
      </w:r>
      <w:r w:rsidR="00AF639E" w:rsidRPr="0014404C">
        <w:rPr>
          <w:sz w:val="22"/>
          <w:szCs w:val="22"/>
          <w:lang w:val="sr-Latn-ME" w:eastAsia="ja-JP"/>
        </w:rPr>
        <w:t>ij</w:t>
      </w:r>
      <w:r w:rsidR="00905D2D" w:rsidRPr="0014404C">
        <w:rPr>
          <w:sz w:val="22"/>
          <w:szCs w:val="22"/>
          <w:lang w:val="sr-Latn-ME" w:eastAsia="ja-JP"/>
        </w:rPr>
        <w:t>ed definisanih vidnih (BCVA) i anatomskih (CST i makularno krvarenje) kriterijuma aktivnosti bolesti. Pacijenti u grupi koja je primala aflibercept nastavili su sa primjenom lijeka svakih 8 nedjelja tokom cijelog perioda ispitivanja. Ob</w:t>
      </w:r>
      <w:r w:rsidR="00AF639E" w:rsidRPr="0014404C">
        <w:rPr>
          <w:sz w:val="22"/>
          <w:szCs w:val="22"/>
          <w:lang w:val="sr-Latn-ME" w:eastAsia="ja-JP"/>
        </w:rPr>
        <w:t>j</w:t>
      </w:r>
      <w:r w:rsidR="00905D2D" w:rsidRPr="0014404C">
        <w:rPr>
          <w:sz w:val="22"/>
          <w:szCs w:val="22"/>
          <w:lang w:val="sr-Latn-ME" w:eastAsia="ja-JP"/>
        </w:rPr>
        <w:t>e studije su trajale 112 nedjelja.</w:t>
      </w:r>
    </w:p>
    <w:p w14:paraId="3CFD8A50" w14:textId="77777777" w:rsidR="0036275D" w:rsidRPr="0014404C" w:rsidRDefault="0036275D" w:rsidP="0014404C">
      <w:pPr>
        <w:widowControl w:val="0"/>
        <w:jc w:val="both"/>
        <w:rPr>
          <w:bCs/>
          <w:iCs/>
          <w:sz w:val="22"/>
          <w:szCs w:val="22"/>
          <w:lang w:val="sr-Latn-ME" w:eastAsia="ja-JP"/>
        </w:rPr>
      </w:pPr>
    </w:p>
    <w:p w14:paraId="65AFE1E6" w14:textId="77777777" w:rsidR="0036275D" w:rsidRPr="0014404C" w:rsidRDefault="0036275D" w:rsidP="0014404C">
      <w:pPr>
        <w:widowControl w:val="0"/>
        <w:jc w:val="both"/>
        <w:rPr>
          <w:bCs/>
          <w:i/>
          <w:iCs/>
          <w:sz w:val="22"/>
          <w:szCs w:val="22"/>
          <w:u w:val="single"/>
          <w:lang w:val="sr-Latn-ME" w:eastAsia="ja-JP"/>
        </w:rPr>
      </w:pPr>
      <w:r w:rsidRPr="0014404C">
        <w:rPr>
          <w:i/>
          <w:iCs/>
          <w:sz w:val="22"/>
          <w:szCs w:val="22"/>
          <w:u w:val="single"/>
          <w:lang w:val="sr-Latn-ME" w:eastAsia="ja-JP"/>
        </w:rPr>
        <w:t>Rezultati</w:t>
      </w:r>
    </w:p>
    <w:p w14:paraId="277A0F4B" w14:textId="24742769" w:rsidR="0036275D" w:rsidRPr="0014404C" w:rsidRDefault="00DB68F0" w:rsidP="0014404C">
      <w:pPr>
        <w:widowControl w:val="0"/>
        <w:jc w:val="both"/>
        <w:rPr>
          <w:bCs/>
          <w:iCs/>
          <w:sz w:val="22"/>
          <w:szCs w:val="22"/>
          <w:lang w:val="sr-Latn-ME" w:eastAsia="ja-JP"/>
        </w:rPr>
      </w:pPr>
      <w:r w:rsidRPr="0014404C">
        <w:rPr>
          <w:sz w:val="22"/>
          <w:szCs w:val="22"/>
          <w:lang w:val="sr-Latn-ME" w:eastAsia="ja-JP"/>
        </w:rPr>
        <w:t xml:space="preserve">Obje </w:t>
      </w:r>
      <w:r w:rsidR="0036275D" w:rsidRPr="0014404C">
        <w:rPr>
          <w:sz w:val="22"/>
          <w:szCs w:val="22"/>
          <w:lang w:val="sr-Latn-ME" w:eastAsia="ja-JP"/>
        </w:rPr>
        <w:t xml:space="preserve">studije su pokazale efikasnost pri primarnoj </w:t>
      </w:r>
      <w:r w:rsidRPr="0014404C">
        <w:rPr>
          <w:sz w:val="22"/>
          <w:szCs w:val="22"/>
          <w:lang w:val="sr-Latn-ME" w:eastAsia="ja-JP"/>
        </w:rPr>
        <w:t xml:space="preserve">procjeni </w:t>
      </w:r>
      <w:r w:rsidR="0036275D" w:rsidRPr="0014404C">
        <w:rPr>
          <w:sz w:val="22"/>
          <w:szCs w:val="22"/>
          <w:lang w:val="sr-Latn-ME" w:eastAsia="ja-JP"/>
        </w:rPr>
        <w:t xml:space="preserve">parametra efikasnosti, definisanu kao srednju </w:t>
      </w:r>
      <w:r w:rsidRPr="0014404C">
        <w:rPr>
          <w:sz w:val="22"/>
          <w:szCs w:val="22"/>
          <w:lang w:val="sr-Latn-ME" w:eastAsia="ja-JP"/>
        </w:rPr>
        <w:t xml:space="preserve">vrijednost promjene </w:t>
      </w:r>
      <w:r w:rsidR="0036275D" w:rsidRPr="0014404C">
        <w:rPr>
          <w:sz w:val="22"/>
          <w:szCs w:val="22"/>
          <w:lang w:val="sr-Latn-ME" w:eastAsia="ja-JP"/>
        </w:rPr>
        <w:t xml:space="preserve">BCVA u odnosu na početnu </w:t>
      </w:r>
      <w:r w:rsidRPr="0014404C">
        <w:rPr>
          <w:sz w:val="22"/>
          <w:szCs w:val="22"/>
          <w:lang w:val="sr-Latn-ME" w:eastAsia="ja-JP"/>
        </w:rPr>
        <w:t xml:space="preserve">vrijednost </w:t>
      </w:r>
      <w:r w:rsidR="0036275D" w:rsidRPr="0014404C">
        <w:rPr>
          <w:sz w:val="22"/>
          <w:szCs w:val="22"/>
          <w:lang w:val="sr-Latn-ME" w:eastAsia="ja-JP"/>
        </w:rPr>
        <w:t xml:space="preserve">uz </w:t>
      </w:r>
      <w:r w:rsidRPr="0014404C">
        <w:rPr>
          <w:sz w:val="22"/>
          <w:szCs w:val="22"/>
          <w:lang w:val="sr-Latn-ME" w:eastAsia="ja-JP"/>
        </w:rPr>
        <w:t xml:space="preserve">prosjek </w:t>
      </w:r>
      <w:r w:rsidR="0036275D" w:rsidRPr="0014404C">
        <w:rPr>
          <w:sz w:val="22"/>
          <w:szCs w:val="22"/>
          <w:lang w:val="sr-Latn-ME" w:eastAsia="ja-JP"/>
        </w:rPr>
        <w:t xml:space="preserve">iz </w:t>
      </w:r>
      <w:r w:rsidRPr="0014404C">
        <w:rPr>
          <w:sz w:val="22"/>
          <w:szCs w:val="22"/>
          <w:lang w:val="sr-Latn-ME" w:eastAsia="ja-JP"/>
        </w:rPr>
        <w:t xml:space="preserve">posjeta </w:t>
      </w:r>
      <w:r w:rsidR="0036275D" w:rsidRPr="0014404C">
        <w:rPr>
          <w:sz w:val="22"/>
          <w:szCs w:val="22"/>
          <w:lang w:val="sr-Latn-ME" w:eastAsia="ja-JP"/>
        </w:rPr>
        <w:t xml:space="preserve">u 40, 44. i 48. </w:t>
      </w:r>
      <w:r w:rsidR="005000C0" w:rsidRPr="0014404C">
        <w:rPr>
          <w:sz w:val="22"/>
          <w:szCs w:val="22"/>
          <w:lang w:val="sr-Latn-ME" w:eastAsia="ja-JP"/>
        </w:rPr>
        <w:t>nedjelji</w:t>
      </w:r>
      <w:r w:rsidR="0036275D" w:rsidRPr="0014404C">
        <w:rPr>
          <w:sz w:val="22"/>
          <w:szCs w:val="22"/>
          <w:lang w:val="sr-Latn-ME" w:eastAsia="ja-JP"/>
        </w:rPr>
        <w:t xml:space="preserve">, </w:t>
      </w:r>
      <w:r w:rsidR="005000C0" w:rsidRPr="0014404C">
        <w:rPr>
          <w:sz w:val="22"/>
          <w:szCs w:val="22"/>
          <w:lang w:val="sr-Latn-ME" w:eastAsia="ja-JP"/>
        </w:rPr>
        <w:t xml:space="preserve">mjerenu </w:t>
      </w:r>
      <w:r w:rsidR="0036275D" w:rsidRPr="0014404C">
        <w:rPr>
          <w:sz w:val="22"/>
          <w:szCs w:val="22"/>
          <w:lang w:val="sr-Latn-ME" w:eastAsia="ja-JP"/>
        </w:rPr>
        <w:t xml:space="preserve">skorom slova iz Studije ranog </w:t>
      </w:r>
      <w:r w:rsidR="005000C0" w:rsidRPr="0014404C">
        <w:rPr>
          <w:sz w:val="22"/>
          <w:szCs w:val="22"/>
          <w:lang w:val="sr-Latn-ME" w:eastAsia="ja-JP"/>
        </w:rPr>
        <w:t xml:space="preserve">liječenja </w:t>
      </w:r>
      <w:r w:rsidR="0036275D" w:rsidRPr="0014404C">
        <w:rPr>
          <w:sz w:val="22"/>
          <w:szCs w:val="22"/>
          <w:lang w:val="sr-Latn-ME" w:eastAsia="ja-JP"/>
        </w:rPr>
        <w:t xml:space="preserve">dijabetičke retinopatije (engl. </w:t>
      </w:r>
      <w:r w:rsidR="0036275D" w:rsidRPr="0014404C">
        <w:rPr>
          <w:i/>
          <w:sz w:val="22"/>
          <w:szCs w:val="22"/>
          <w:lang w:val="sr-Latn-ME" w:eastAsia="ja-JP"/>
        </w:rPr>
        <w:t>Early Treatment Diabetic Retinopathy Study</w:t>
      </w:r>
      <w:r w:rsidR="0036275D" w:rsidRPr="0014404C">
        <w:rPr>
          <w:sz w:val="22"/>
          <w:szCs w:val="22"/>
          <w:lang w:val="sr-Latn-ME" w:eastAsia="ja-JP"/>
        </w:rPr>
        <w:t>, ETDRS) (tabela 2</w:t>
      </w:r>
      <w:r w:rsidR="00905D2D" w:rsidRPr="0014404C">
        <w:rPr>
          <w:sz w:val="22"/>
          <w:szCs w:val="22"/>
          <w:lang w:val="sr-Latn-ME" w:eastAsia="ja-JP"/>
        </w:rPr>
        <w:t xml:space="preserve"> i tabela 3</w:t>
      </w:r>
      <w:r w:rsidR="0036275D" w:rsidRPr="0014404C">
        <w:rPr>
          <w:sz w:val="22"/>
          <w:szCs w:val="22"/>
          <w:lang w:val="sr-Latn-ME" w:eastAsia="ja-JP"/>
        </w:rPr>
        <w:t xml:space="preserve">). U </w:t>
      </w:r>
      <w:r w:rsidR="005000C0" w:rsidRPr="0014404C">
        <w:rPr>
          <w:sz w:val="22"/>
          <w:szCs w:val="22"/>
          <w:lang w:val="sr-Latn-ME" w:eastAsia="ja-JP"/>
        </w:rPr>
        <w:t xml:space="preserve">obje </w:t>
      </w:r>
      <w:r w:rsidR="0036275D" w:rsidRPr="0014404C">
        <w:rPr>
          <w:sz w:val="22"/>
          <w:szCs w:val="22"/>
          <w:lang w:val="sr-Latn-ME" w:eastAsia="ja-JP"/>
        </w:rPr>
        <w:t xml:space="preserve">studije pacijenti </w:t>
      </w:r>
      <w:r w:rsidR="005000C0" w:rsidRPr="0014404C">
        <w:rPr>
          <w:sz w:val="22"/>
          <w:szCs w:val="22"/>
          <w:lang w:val="sr-Latn-ME" w:eastAsia="ja-JP"/>
        </w:rPr>
        <w:t xml:space="preserve">liječeni </w:t>
      </w:r>
      <w:r w:rsidR="0036275D" w:rsidRPr="0014404C">
        <w:rPr>
          <w:sz w:val="22"/>
          <w:szCs w:val="22"/>
          <w:lang w:val="sr-Latn-ME" w:eastAsia="ja-JP"/>
        </w:rPr>
        <w:t xml:space="preserve">faricimabom u intervalima od najviše 16 </w:t>
      </w:r>
      <w:r w:rsidR="00802EFD" w:rsidRPr="0014404C">
        <w:rPr>
          <w:sz w:val="22"/>
          <w:szCs w:val="22"/>
          <w:lang w:val="sr-Latn-ME" w:eastAsia="ja-JP"/>
        </w:rPr>
        <w:t>nedjelja</w:t>
      </w:r>
      <w:r w:rsidR="0036275D" w:rsidRPr="0014404C">
        <w:rPr>
          <w:sz w:val="22"/>
          <w:szCs w:val="22"/>
          <w:lang w:val="sr-Latn-ME" w:eastAsia="ja-JP"/>
        </w:rPr>
        <w:t xml:space="preserve"> imali su srednju </w:t>
      </w:r>
      <w:r w:rsidR="005000C0" w:rsidRPr="0014404C">
        <w:rPr>
          <w:sz w:val="22"/>
          <w:szCs w:val="22"/>
          <w:lang w:val="sr-Latn-ME" w:eastAsia="ja-JP"/>
        </w:rPr>
        <w:t xml:space="preserve">promjenu </w:t>
      </w:r>
      <w:r w:rsidR="0036275D" w:rsidRPr="0014404C">
        <w:rPr>
          <w:sz w:val="22"/>
          <w:szCs w:val="22"/>
          <w:lang w:val="sr-Latn-ME" w:eastAsia="ja-JP"/>
        </w:rPr>
        <w:t xml:space="preserve">BCVA u odnosu na početnu </w:t>
      </w:r>
      <w:r w:rsidR="005000C0" w:rsidRPr="0014404C">
        <w:rPr>
          <w:sz w:val="22"/>
          <w:szCs w:val="22"/>
          <w:lang w:val="sr-Latn-ME" w:eastAsia="ja-JP"/>
        </w:rPr>
        <w:t xml:space="preserve">vrijednost </w:t>
      </w:r>
      <w:r w:rsidR="0036275D" w:rsidRPr="0014404C">
        <w:rPr>
          <w:sz w:val="22"/>
          <w:szCs w:val="22"/>
          <w:lang w:val="sr-Latn-ME" w:eastAsia="ja-JP"/>
        </w:rPr>
        <w:t xml:space="preserve">koja je bila neinferiorna onoj </w:t>
      </w:r>
      <w:r w:rsidR="005000C0" w:rsidRPr="0014404C">
        <w:rPr>
          <w:sz w:val="22"/>
          <w:szCs w:val="22"/>
          <w:lang w:val="sr-Latn-ME" w:eastAsia="ja-JP"/>
        </w:rPr>
        <w:t xml:space="preserve">zabilježenoj </w:t>
      </w:r>
      <w:r w:rsidR="0036275D" w:rsidRPr="0014404C">
        <w:rPr>
          <w:sz w:val="22"/>
          <w:szCs w:val="22"/>
          <w:lang w:val="sr-Latn-ME" w:eastAsia="ja-JP"/>
        </w:rPr>
        <w:t xml:space="preserve">kod pacijenata </w:t>
      </w:r>
      <w:r w:rsidR="005000C0" w:rsidRPr="0014404C">
        <w:rPr>
          <w:sz w:val="22"/>
          <w:szCs w:val="22"/>
          <w:lang w:val="sr-Latn-ME" w:eastAsia="ja-JP"/>
        </w:rPr>
        <w:t xml:space="preserve">liječenih </w:t>
      </w:r>
      <w:r w:rsidR="0036275D" w:rsidRPr="0014404C">
        <w:rPr>
          <w:sz w:val="22"/>
          <w:szCs w:val="22"/>
          <w:lang w:val="sr-Latn-ME" w:eastAsia="ja-JP"/>
        </w:rPr>
        <w:t xml:space="preserve">afliberceptom svakih 8 </w:t>
      </w:r>
      <w:r w:rsidR="00802EFD" w:rsidRPr="0014404C">
        <w:rPr>
          <w:sz w:val="22"/>
          <w:szCs w:val="22"/>
          <w:lang w:val="sr-Latn-ME" w:eastAsia="ja-JP"/>
        </w:rPr>
        <w:t>nedjelja</w:t>
      </w:r>
      <w:r w:rsidR="00905D2D" w:rsidRPr="0014404C">
        <w:rPr>
          <w:sz w:val="22"/>
          <w:szCs w:val="22"/>
          <w:lang w:val="sr-Latn-ME" w:eastAsia="ja-JP"/>
        </w:rPr>
        <w:t xml:space="preserve"> u 1. godini, i ta poboljšanja vida su se održala do 112. nedjelje</w:t>
      </w:r>
      <w:r w:rsidR="0036275D" w:rsidRPr="0014404C">
        <w:rPr>
          <w:sz w:val="22"/>
          <w:szCs w:val="22"/>
          <w:lang w:val="sr-Latn-ME" w:eastAsia="ja-JP"/>
        </w:rPr>
        <w:t xml:space="preserve">. Na slici 1 su prikazana poboljšanja BCVA od početka ispitivanja do </w:t>
      </w:r>
      <w:r w:rsidR="00905D2D" w:rsidRPr="0014404C">
        <w:rPr>
          <w:sz w:val="22"/>
          <w:szCs w:val="22"/>
          <w:lang w:val="sr-Latn-ME" w:eastAsia="ja-JP"/>
        </w:rPr>
        <w:t>112</w:t>
      </w:r>
      <w:r w:rsidR="0036275D" w:rsidRPr="0014404C">
        <w:rPr>
          <w:sz w:val="22"/>
          <w:szCs w:val="22"/>
          <w:lang w:val="sr-Latn-ME" w:eastAsia="ja-JP"/>
        </w:rPr>
        <w:t xml:space="preserve">. </w:t>
      </w:r>
      <w:r w:rsidR="005000C0" w:rsidRPr="0014404C">
        <w:rPr>
          <w:sz w:val="22"/>
          <w:szCs w:val="22"/>
          <w:lang w:val="sr-Latn-ME" w:eastAsia="ja-JP"/>
        </w:rPr>
        <w:t>nedjelje</w:t>
      </w:r>
      <w:r w:rsidR="0036275D" w:rsidRPr="0014404C">
        <w:rPr>
          <w:sz w:val="22"/>
          <w:szCs w:val="22"/>
          <w:lang w:val="sr-Latn-ME" w:eastAsia="ja-JP"/>
        </w:rPr>
        <w:t xml:space="preserve">. </w:t>
      </w:r>
    </w:p>
    <w:p w14:paraId="10A988D1" w14:textId="77777777" w:rsidR="0036275D" w:rsidRPr="0014404C" w:rsidRDefault="0036275D" w:rsidP="0014404C">
      <w:pPr>
        <w:widowControl w:val="0"/>
        <w:jc w:val="both"/>
        <w:rPr>
          <w:bCs/>
          <w:iCs/>
          <w:sz w:val="22"/>
          <w:szCs w:val="22"/>
          <w:lang w:val="sr-Latn-ME" w:eastAsia="ja-JP"/>
        </w:rPr>
      </w:pPr>
    </w:p>
    <w:p w14:paraId="52F261DD" w14:textId="1718A650" w:rsidR="0036275D" w:rsidRPr="0014404C" w:rsidRDefault="0036275D" w:rsidP="0014404C">
      <w:pPr>
        <w:widowControl w:val="0"/>
        <w:jc w:val="both"/>
        <w:rPr>
          <w:bCs/>
          <w:iCs/>
          <w:sz w:val="22"/>
          <w:szCs w:val="22"/>
          <w:lang w:val="sr-Latn-ME" w:eastAsia="ja-JP"/>
        </w:rPr>
      </w:pPr>
      <w:r w:rsidRPr="0014404C">
        <w:rPr>
          <w:sz w:val="22"/>
          <w:szCs w:val="22"/>
          <w:lang w:val="sr-Latn-ME" w:eastAsia="ja-JP"/>
        </w:rPr>
        <w:t>Procenat pacijenata za svaki od tri intervala</w:t>
      </w:r>
      <w:r w:rsidR="005000C0" w:rsidRPr="0014404C">
        <w:rPr>
          <w:sz w:val="22"/>
          <w:szCs w:val="22"/>
          <w:lang w:val="sr-Latn-ME" w:eastAsia="ja-JP"/>
        </w:rPr>
        <w:t xml:space="preserve"> liječenja </w:t>
      </w:r>
      <w:r w:rsidRPr="0014404C">
        <w:rPr>
          <w:sz w:val="22"/>
          <w:szCs w:val="22"/>
          <w:lang w:val="sr-Latn-ME" w:eastAsia="ja-JP"/>
        </w:rPr>
        <w:t xml:space="preserve">u </w:t>
      </w:r>
      <w:r w:rsidR="00905D2D" w:rsidRPr="0014404C">
        <w:rPr>
          <w:sz w:val="22"/>
          <w:szCs w:val="22"/>
          <w:lang w:val="sr-Latn-ME" w:eastAsia="ja-JP"/>
        </w:rPr>
        <w:t>112</w:t>
      </w:r>
      <w:r w:rsidRPr="0014404C">
        <w:rPr>
          <w:sz w:val="22"/>
          <w:szCs w:val="22"/>
          <w:lang w:val="sr-Latn-ME" w:eastAsia="ja-JP"/>
        </w:rPr>
        <w:t xml:space="preserve">. </w:t>
      </w:r>
      <w:r w:rsidR="005000C0" w:rsidRPr="0014404C">
        <w:rPr>
          <w:sz w:val="22"/>
          <w:szCs w:val="22"/>
          <w:lang w:val="sr-Latn-ME" w:eastAsia="ja-JP"/>
        </w:rPr>
        <w:t xml:space="preserve">nedjelji  </w:t>
      </w:r>
      <w:r w:rsidRPr="0014404C">
        <w:rPr>
          <w:sz w:val="22"/>
          <w:szCs w:val="22"/>
          <w:lang w:val="sr-Latn-ME" w:eastAsia="ja-JP"/>
        </w:rPr>
        <w:t xml:space="preserve">studija TENAYA i LUCERNE iznosio je: </w:t>
      </w:r>
    </w:p>
    <w:p w14:paraId="37A12E02" w14:textId="4CD6DDA8" w:rsidR="0036275D" w:rsidRPr="0014404C" w:rsidRDefault="0036275D"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svakih 16 </w:t>
      </w:r>
      <w:r w:rsidR="00802EFD" w:rsidRPr="0014404C">
        <w:rPr>
          <w:sz w:val="22"/>
          <w:szCs w:val="22"/>
          <w:lang w:val="sr-Latn-ME" w:eastAsia="ja-JP"/>
        </w:rPr>
        <w:t>nedjelja</w:t>
      </w:r>
      <w:r w:rsidRPr="0014404C">
        <w:rPr>
          <w:sz w:val="22"/>
          <w:szCs w:val="22"/>
          <w:lang w:val="sr-Latn-ME" w:eastAsia="ja-JP"/>
        </w:rPr>
        <w:t xml:space="preserve">, </w:t>
      </w:r>
      <w:r w:rsidR="00905D2D" w:rsidRPr="0014404C">
        <w:rPr>
          <w:sz w:val="22"/>
          <w:szCs w:val="22"/>
          <w:lang w:val="sr-Latn-ME" w:eastAsia="ja-JP"/>
        </w:rPr>
        <w:t>59</w:t>
      </w:r>
      <w:r w:rsidRPr="0014404C">
        <w:rPr>
          <w:sz w:val="22"/>
          <w:szCs w:val="22"/>
          <w:lang w:val="sr-Latn-ME" w:eastAsia="ja-JP"/>
        </w:rPr>
        <w:t xml:space="preserve">% i </w:t>
      </w:r>
      <w:r w:rsidR="00905D2D" w:rsidRPr="0014404C">
        <w:rPr>
          <w:sz w:val="22"/>
          <w:szCs w:val="22"/>
          <w:lang w:val="sr-Latn-ME" w:eastAsia="ja-JP"/>
        </w:rPr>
        <w:t>67</w:t>
      </w:r>
      <w:r w:rsidRPr="0014404C">
        <w:rPr>
          <w:sz w:val="22"/>
          <w:szCs w:val="22"/>
          <w:lang w:val="sr-Latn-ME" w:eastAsia="ja-JP"/>
        </w:rPr>
        <w:t>%</w:t>
      </w:r>
    </w:p>
    <w:p w14:paraId="3D6ECA95" w14:textId="7703C111" w:rsidR="0036275D" w:rsidRPr="0014404C" w:rsidRDefault="0036275D"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svakih 12 </w:t>
      </w:r>
      <w:r w:rsidR="00802EFD" w:rsidRPr="0014404C">
        <w:rPr>
          <w:sz w:val="22"/>
          <w:szCs w:val="22"/>
          <w:lang w:val="sr-Latn-ME" w:eastAsia="ja-JP"/>
        </w:rPr>
        <w:t>nedjelja</w:t>
      </w:r>
      <w:r w:rsidRPr="0014404C">
        <w:rPr>
          <w:sz w:val="22"/>
          <w:szCs w:val="22"/>
          <w:lang w:val="sr-Latn-ME" w:eastAsia="ja-JP"/>
        </w:rPr>
        <w:t xml:space="preserve">, </w:t>
      </w:r>
      <w:r w:rsidR="00905D2D" w:rsidRPr="0014404C">
        <w:rPr>
          <w:sz w:val="22"/>
          <w:szCs w:val="22"/>
          <w:lang w:val="sr-Latn-ME" w:eastAsia="ja-JP"/>
        </w:rPr>
        <w:t>15</w:t>
      </w:r>
      <w:r w:rsidRPr="0014404C">
        <w:rPr>
          <w:sz w:val="22"/>
          <w:szCs w:val="22"/>
          <w:lang w:val="sr-Latn-ME" w:eastAsia="ja-JP"/>
        </w:rPr>
        <w:t xml:space="preserve">% i </w:t>
      </w:r>
      <w:r w:rsidR="00905D2D" w:rsidRPr="0014404C">
        <w:rPr>
          <w:sz w:val="22"/>
          <w:szCs w:val="22"/>
          <w:lang w:val="sr-Latn-ME" w:eastAsia="ja-JP"/>
        </w:rPr>
        <w:t>14</w:t>
      </w:r>
      <w:r w:rsidRPr="0014404C">
        <w:rPr>
          <w:sz w:val="22"/>
          <w:szCs w:val="22"/>
          <w:lang w:val="sr-Latn-ME" w:eastAsia="ja-JP"/>
        </w:rPr>
        <w:t>%</w:t>
      </w:r>
    </w:p>
    <w:p w14:paraId="5E5E9762" w14:textId="741B6A04" w:rsidR="0036275D" w:rsidRPr="0014404C" w:rsidRDefault="0036275D"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svakih 8 </w:t>
      </w:r>
      <w:r w:rsidR="00802EFD" w:rsidRPr="0014404C">
        <w:rPr>
          <w:sz w:val="22"/>
          <w:szCs w:val="22"/>
          <w:lang w:val="sr-Latn-ME" w:eastAsia="ja-JP"/>
        </w:rPr>
        <w:t>nedjelja</w:t>
      </w:r>
      <w:r w:rsidRPr="0014404C">
        <w:rPr>
          <w:sz w:val="22"/>
          <w:szCs w:val="22"/>
          <w:lang w:val="sr-Latn-ME" w:eastAsia="ja-JP"/>
        </w:rPr>
        <w:t>, 2</w:t>
      </w:r>
      <w:r w:rsidR="00905D2D" w:rsidRPr="0014404C">
        <w:rPr>
          <w:sz w:val="22"/>
          <w:szCs w:val="22"/>
          <w:lang w:val="sr-Latn-ME" w:eastAsia="ja-JP"/>
        </w:rPr>
        <w:t>6</w:t>
      </w:r>
      <w:r w:rsidRPr="0014404C">
        <w:rPr>
          <w:sz w:val="22"/>
          <w:szCs w:val="22"/>
          <w:lang w:val="sr-Latn-ME" w:eastAsia="ja-JP"/>
        </w:rPr>
        <w:t xml:space="preserve">% i </w:t>
      </w:r>
      <w:r w:rsidR="00905D2D" w:rsidRPr="0014404C">
        <w:rPr>
          <w:sz w:val="22"/>
          <w:szCs w:val="22"/>
          <w:lang w:val="sr-Latn-ME" w:eastAsia="ja-JP"/>
        </w:rPr>
        <w:t>19</w:t>
      </w:r>
      <w:r w:rsidRPr="0014404C">
        <w:rPr>
          <w:sz w:val="22"/>
          <w:szCs w:val="22"/>
          <w:lang w:val="sr-Latn-ME" w:eastAsia="ja-JP"/>
        </w:rPr>
        <w:t xml:space="preserve">% </w:t>
      </w:r>
    </w:p>
    <w:p w14:paraId="6DE281F6" w14:textId="77777777" w:rsidR="0036275D" w:rsidRPr="0014404C" w:rsidRDefault="0036275D" w:rsidP="0014404C">
      <w:pPr>
        <w:widowControl w:val="0"/>
        <w:ind w:left="567" w:hanging="567"/>
        <w:jc w:val="both"/>
        <w:rPr>
          <w:bCs/>
          <w:iCs/>
          <w:sz w:val="22"/>
          <w:szCs w:val="22"/>
          <w:lang w:val="sr-Latn-ME" w:eastAsia="ja-JP"/>
        </w:rPr>
      </w:pPr>
    </w:p>
    <w:p w14:paraId="25A0A1C5" w14:textId="6E6A06CF" w:rsidR="0036275D" w:rsidRPr="0014404C" w:rsidRDefault="0036275D" w:rsidP="0014404C">
      <w:pPr>
        <w:widowControl w:val="0"/>
        <w:tabs>
          <w:tab w:val="left" w:pos="540"/>
          <w:tab w:val="left" w:pos="569"/>
        </w:tabs>
        <w:jc w:val="both"/>
        <w:rPr>
          <w:b/>
          <w:bCs/>
          <w:sz w:val="22"/>
          <w:szCs w:val="22"/>
          <w:lang w:val="sr-Latn-ME" w:eastAsia="ja-JP"/>
        </w:rPr>
      </w:pPr>
      <w:r w:rsidRPr="0014404C">
        <w:rPr>
          <w:b/>
          <w:bCs/>
          <w:sz w:val="22"/>
          <w:szCs w:val="22"/>
          <w:lang w:val="sr-Latn-ME" w:eastAsia="ja-JP"/>
        </w:rPr>
        <w:t xml:space="preserve">Tabela 2: Ishodi efikasnosti pri </w:t>
      </w:r>
      <w:r w:rsidR="005000C0" w:rsidRPr="0014404C">
        <w:rPr>
          <w:b/>
          <w:bCs/>
          <w:sz w:val="22"/>
          <w:szCs w:val="22"/>
          <w:lang w:val="sr-Latn-ME" w:eastAsia="ja-JP"/>
        </w:rPr>
        <w:t xml:space="preserve">posjetama </w:t>
      </w:r>
      <w:r w:rsidRPr="0014404C">
        <w:rPr>
          <w:b/>
          <w:bCs/>
          <w:sz w:val="22"/>
          <w:szCs w:val="22"/>
          <w:lang w:val="sr-Latn-ME" w:eastAsia="ja-JP"/>
        </w:rPr>
        <w:t xml:space="preserve">radi </w:t>
      </w:r>
      <w:r w:rsidR="005000C0" w:rsidRPr="0014404C">
        <w:rPr>
          <w:b/>
          <w:bCs/>
          <w:sz w:val="22"/>
          <w:szCs w:val="22"/>
          <w:lang w:val="sr-Latn-ME" w:eastAsia="ja-JP"/>
        </w:rPr>
        <w:t xml:space="preserve">procjene </w:t>
      </w:r>
      <w:r w:rsidRPr="0014404C">
        <w:rPr>
          <w:b/>
          <w:bCs/>
          <w:sz w:val="22"/>
          <w:szCs w:val="22"/>
          <w:lang w:val="sr-Latn-ME" w:eastAsia="ja-JP"/>
        </w:rPr>
        <w:t>primarnih parametara efikasnosti</w:t>
      </w:r>
      <w:r w:rsidRPr="0014404C">
        <w:rPr>
          <w:color w:val="000000"/>
          <w:sz w:val="22"/>
          <w:szCs w:val="22"/>
          <w:vertAlign w:val="superscript"/>
          <w:lang w:val="sr-Latn-ME" w:eastAsia="ja-JP"/>
        </w:rPr>
        <w:t>a</w:t>
      </w:r>
      <w:r w:rsidRPr="0014404C">
        <w:rPr>
          <w:b/>
          <w:bCs/>
          <w:sz w:val="22"/>
          <w:szCs w:val="22"/>
          <w:lang w:val="sr-Latn-ME" w:eastAsia="ja-JP"/>
        </w:rPr>
        <w:t xml:space="preserve"> </w:t>
      </w:r>
      <w:r w:rsidR="00905D2D" w:rsidRPr="0014404C">
        <w:rPr>
          <w:b/>
          <w:bCs/>
          <w:sz w:val="22"/>
          <w:szCs w:val="22"/>
          <w:lang w:val="sr-Latn-ME" w:eastAsia="ja-JP"/>
        </w:rPr>
        <w:t xml:space="preserve">i </w:t>
      </w:r>
      <w:r w:rsidRPr="0014404C">
        <w:rPr>
          <w:b/>
          <w:bCs/>
          <w:sz w:val="22"/>
          <w:szCs w:val="22"/>
          <w:lang w:val="sr-Latn-ME" w:eastAsia="ja-JP"/>
        </w:rPr>
        <w:t>u</w:t>
      </w:r>
      <w:r w:rsidR="00905D2D" w:rsidRPr="0014404C">
        <w:rPr>
          <w:b/>
          <w:bCs/>
          <w:sz w:val="22"/>
          <w:szCs w:val="22"/>
          <w:lang w:val="sr-Latn-ME" w:eastAsia="ja-JP"/>
        </w:rPr>
        <w:t xml:space="preserve"> 2. godini</w:t>
      </w:r>
      <w:r w:rsidR="00905D2D" w:rsidRPr="0014404C">
        <w:rPr>
          <w:b/>
          <w:bCs/>
          <w:sz w:val="22"/>
          <w:szCs w:val="22"/>
          <w:vertAlign w:val="superscript"/>
          <w:lang w:val="sr-Latn-ME" w:eastAsia="ja-JP"/>
        </w:rPr>
        <w:t>b</w:t>
      </w:r>
      <w:r w:rsidR="00905D2D" w:rsidRPr="0014404C">
        <w:rPr>
          <w:b/>
          <w:bCs/>
          <w:sz w:val="22"/>
          <w:szCs w:val="22"/>
          <w:lang w:val="sr-Latn-ME" w:eastAsia="ja-JP"/>
        </w:rPr>
        <w:t xml:space="preserve"> u</w:t>
      </w:r>
      <w:r w:rsidRPr="0014404C">
        <w:rPr>
          <w:b/>
          <w:bCs/>
          <w:sz w:val="22"/>
          <w:szCs w:val="22"/>
          <w:lang w:val="sr-Latn-ME" w:eastAsia="ja-JP"/>
        </w:rPr>
        <w:t xml:space="preserve"> studij</w:t>
      </w:r>
      <w:r w:rsidR="00905D2D" w:rsidRPr="0014404C">
        <w:rPr>
          <w:b/>
          <w:bCs/>
          <w:sz w:val="22"/>
          <w:szCs w:val="22"/>
          <w:lang w:val="sr-Latn-ME" w:eastAsia="ja-JP"/>
        </w:rPr>
        <w:t>i</w:t>
      </w:r>
      <w:r w:rsidRPr="0014404C">
        <w:rPr>
          <w:b/>
          <w:bCs/>
          <w:sz w:val="22"/>
          <w:szCs w:val="22"/>
          <w:lang w:val="sr-Latn-ME" w:eastAsia="ja-JP"/>
        </w:rPr>
        <w:t xml:space="preserve"> TENAYA </w:t>
      </w:r>
    </w:p>
    <w:p w14:paraId="1E6ACF85" w14:textId="77777777" w:rsidR="0036275D" w:rsidRPr="0014404C" w:rsidRDefault="0036275D" w:rsidP="0014404C">
      <w:pPr>
        <w:widowControl w:val="0"/>
        <w:tabs>
          <w:tab w:val="left" w:pos="540"/>
          <w:tab w:val="left" w:pos="569"/>
        </w:tabs>
        <w:jc w:val="both"/>
        <w:rPr>
          <w:b/>
          <w:bCs/>
          <w:sz w:val="22"/>
          <w:szCs w:val="22"/>
          <w:lang w:val="sr-Latn-ME" w:eastAsia="ja-JP"/>
        </w:rPr>
      </w:pPr>
    </w:p>
    <w:tbl>
      <w:tblPr>
        <w:tblW w:w="8990" w:type="dxa"/>
        <w:tblCellMar>
          <w:top w:w="15" w:type="dxa"/>
          <w:left w:w="15" w:type="dxa"/>
          <w:bottom w:w="15" w:type="dxa"/>
          <w:right w:w="15" w:type="dxa"/>
        </w:tblCellMar>
        <w:tblLook w:val="04A0" w:firstRow="1" w:lastRow="0" w:firstColumn="1" w:lastColumn="0" w:noHBand="0" w:noVBand="1"/>
      </w:tblPr>
      <w:tblGrid>
        <w:gridCol w:w="3230"/>
        <w:gridCol w:w="1417"/>
        <w:gridCol w:w="1463"/>
        <w:gridCol w:w="1417"/>
        <w:gridCol w:w="1463"/>
      </w:tblGrid>
      <w:tr w:rsidR="00905D2D" w:rsidRPr="0014404C" w14:paraId="012F7B38" w14:textId="77777777" w:rsidTr="0014404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2A7E9B4" w14:textId="77777777" w:rsidR="00905D2D" w:rsidRPr="0014404C" w:rsidRDefault="00905D2D" w:rsidP="0014404C">
            <w:pPr>
              <w:widowControl w:val="0"/>
              <w:jc w:val="both"/>
              <w:rPr>
                <w:b/>
                <w:color w:val="000000"/>
                <w:sz w:val="22"/>
                <w:szCs w:val="22"/>
                <w:lang w:val="sr-Latn-ME" w:eastAsia="ja-JP"/>
              </w:rPr>
            </w:pPr>
            <w:r w:rsidRPr="0014404C">
              <w:rPr>
                <w:b/>
                <w:bCs/>
                <w:color w:val="000000"/>
                <w:sz w:val="22"/>
                <w:szCs w:val="22"/>
                <w:lang w:val="sr-Latn-ME" w:eastAsia="ja-JP"/>
              </w:rPr>
              <w:t>Ishodi efikasnosti</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6E6C2" w14:textId="3B4F2F68" w:rsidR="00905D2D" w:rsidRPr="0014404C" w:rsidRDefault="00905D2D" w:rsidP="0014404C">
            <w:pPr>
              <w:widowControl w:val="0"/>
              <w:jc w:val="both"/>
              <w:rPr>
                <w:b/>
                <w:color w:val="000000"/>
                <w:sz w:val="22"/>
                <w:szCs w:val="22"/>
                <w:lang w:val="sr-Latn-ME" w:eastAsia="ja-JP"/>
              </w:rPr>
            </w:pPr>
            <w:r w:rsidRPr="0014404C">
              <w:rPr>
                <w:b/>
                <w:bCs/>
                <w:color w:val="000000"/>
                <w:sz w:val="22"/>
                <w:szCs w:val="22"/>
                <w:lang w:val="sr-Latn-ME" w:eastAsia="ja-JP"/>
              </w:rPr>
              <w:t>TENAYA</w:t>
            </w:r>
          </w:p>
        </w:tc>
      </w:tr>
      <w:tr w:rsidR="00905D2D" w:rsidRPr="0014404C" w14:paraId="6899171D" w14:textId="77777777" w:rsidTr="0014404C">
        <w:tc>
          <w:tcPr>
            <w:tcW w:w="0" w:type="auto"/>
            <w:vMerge/>
            <w:tcBorders>
              <w:top w:val="single" w:sz="8" w:space="0" w:color="000000"/>
              <w:left w:val="single" w:sz="8" w:space="0" w:color="000000"/>
              <w:right w:val="single" w:sz="8" w:space="0" w:color="000000"/>
            </w:tcBorders>
            <w:tcMar>
              <w:top w:w="100" w:type="dxa"/>
              <w:left w:w="100" w:type="dxa"/>
              <w:bottom w:w="100" w:type="dxa"/>
              <w:right w:w="100" w:type="dxa"/>
            </w:tcMar>
          </w:tcPr>
          <w:p w14:paraId="382E4E7D" w14:textId="77777777" w:rsidR="00905D2D" w:rsidRPr="0014404C" w:rsidRDefault="00905D2D" w:rsidP="0014404C">
            <w:pPr>
              <w:widowControl w:val="0"/>
              <w:jc w:val="both"/>
              <w:rPr>
                <w:b/>
                <w:bCs/>
                <w:color w:val="000000"/>
                <w:sz w:val="22"/>
                <w:szCs w:val="22"/>
                <w:lang w:val="sr-Latn-ME" w:eastAsia="ja-JP"/>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5DCDC" w14:textId="7A901668" w:rsidR="00905D2D" w:rsidRPr="0014404C" w:rsidRDefault="00905D2D" w:rsidP="0014404C">
            <w:pPr>
              <w:widowControl w:val="0"/>
              <w:jc w:val="both"/>
              <w:rPr>
                <w:bCs/>
                <w:color w:val="000000"/>
                <w:sz w:val="22"/>
                <w:szCs w:val="22"/>
                <w:lang w:val="sr-Latn-ME" w:eastAsia="ja-JP"/>
              </w:rPr>
            </w:pPr>
            <w:r w:rsidRPr="0014404C">
              <w:rPr>
                <w:bCs/>
                <w:color w:val="000000"/>
                <w:sz w:val="22"/>
                <w:szCs w:val="22"/>
                <w:lang w:val="sr-Latn-ME" w:eastAsia="ja-JP"/>
              </w:rPr>
              <w:t>1. godina</w:t>
            </w:r>
          </w:p>
        </w:tc>
        <w:tc>
          <w:tcPr>
            <w:tcW w:w="0" w:type="auto"/>
            <w:gridSpan w:val="2"/>
            <w:tcBorders>
              <w:top w:val="single" w:sz="8" w:space="0" w:color="000000"/>
              <w:left w:val="single" w:sz="8" w:space="0" w:color="000000"/>
              <w:bottom w:val="single" w:sz="8" w:space="0" w:color="000000"/>
              <w:right w:val="single" w:sz="8" w:space="0" w:color="000000"/>
            </w:tcBorders>
          </w:tcPr>
          <w:p w14:paraId="2176E0C1" w14:textId="66EC5F07" w:rsidR="00905D2D" w:rsidRPr="0014404C" w:rsidRDefault="00905D2D" w:rsidP="0014404C">
            <w:pPr>
              <w:widowControl w:val="0"/>
              <w:jc w:val="both"/>
              <w:rPr>
                <w:b/>
                <w:bCs/>
                <w:color w:val="000000"/>
                <w:sz w:val="22"/>
                <w:szCs w:val="22"/>
                <w:lang w:val="sr-Latn-ME" w:eastAsia="ja-JP"/>
              </w:rPr>
            </w:pPr>
            <w:r w:rsidRPr="0014404C">
              <w:rPr>
                <w:bCs/>
                <w:color w:val="000000"/>
                <w:sz w:val="22"/>
                <w:szCs w:val="22"/>
                <w:lang w:val="sr-Latn-ME" w:eastAsia="ja-JP"/>
              </w:rPr>
              <w:t>2. godina</w:t>
            </w:r>
          </w:p>
        </w:tc>
      </w:tr>
      <w:tr w:rsidR="0036275D" w:rsidRPr="0014404C" w14:paraId="4C19147E" w14:textId="77777777" w:rsidTr="0014404C">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1596C58C" w14:textId="77777777" w:rsidR="0036275D" w:rsidRPr="0014404C" w:rsidRDefault="0036275D" w:rsidP="0014404C">
            <w:pPr>
              <w:widowControl w:val="0"/>
              <w:jc w:val="both"/>
              <w:rPr>
                <w:color w:val="000000"/>
                <w:sz w:val="22"/>
                <w:szCs w:val="22"/>
                <w:lang w:val="sr-Latn-ME" w:eastAsia="ja-JP"/>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55A29" w14:textId="77777777" w:rsidR="0036275D" w:rsidRPr="0014404C" w:rsidRDefault="0036275D" w:rsidP="0014404C">
            <w:pPr>
              <w:widowControl w:val="0"/>
              <w:jc w:val="both"/>
              <w:rPr>
                <w:color w:val="000000"/>
                <w:sz w:val="22"/>
                <w:szCs w:val="22"/>
                <w:lang w:val="sr-Latn-ME" w:eastAsia="ja-JP"/>
              </w:rPr>
            </w:pPr>
            <w:r w:rsidRPr="0014404C">
              <w:rPr>
                <w:sz w:val="22"/>
                <w:szCs w:val="22"/>
                <w:lang w:val="sr-Latn-ME" w:eastAsia="ja-JP"/>
              </w:rPr>
              <w:t>Faricimab</w:t>
            </w:r>
            <w:r w:rsidRPr="0014404C">
              <w:rPr>
                <w:color w:val="000000"/>
                <w:sz w:val="22"/>
                <w:szCs w:val="22"/>
                <w:lang w:val="sr-Latn-ME" w:eastAsia="ja-JP"/>
              </w:rPr>
              <w:t xml:space="preserve"> do svakih 16 </w:t>
            </w:r>
            <w:r w:rsidR="00802EFD" w:rsidRPr="0014404C">
              <w:rPr>
                <w:color w:val="000000"/>
                <w:sz w:val="22"/>
                <w:szCs w:val="22"/>
                <w:lang w:val="sr-Latn-ME" w:eastAsia="ja-JP"/>
              </w:rPr>
              <w:t>nedjelja</w:t>
            </w:r>
          </w:p>
          <w:p w14:paraId="3800B51E"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N = 334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1165E"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Aflibercept svakih 8 </w:t>
            </w:r>
            <w:r w:rsidR="00802EFD" w:rsidRPr="0014404C">
              <w:rPr>
                <w:color w:val="000000"/>
                <w:sz w:val="22"/>
                <w:szCs w:val="22"/>
                <w:lang w:val="sr-Latn-ME" w:eastAsia="ja-JP"/>
              </w:rPr>
              <w:t>nedjelja</w:t>
            </w:r>
          </w:p>
          <w:p w14:paraId="0C33DF28"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N = 337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4AE30" w14:textId="77777777" w:rsidR="0036275D" w:rsidRPr="0014404C" w:rsidRDefault="0036275D" w:rsidP="0014404C">
            <w:pPr>
              <w:widowControl w:val="0"/>
              <w:jc w:val="both"/>
              <w:rPr>
                <w:color w:val="000000"/>
                <w:sz w:val="22"/>
                <w:szCs w:val="22"/>
                <w:lang w:val="sr-Latn-ME" w:eastAsia="ja-JP"/>
              </w:rPr>
            </w:pPr>
            <w:r w:rsidRPr="0014404C">
              <w:rPr>
                <w:sz w:val="22"/>
                <w:szCs w:val="22"/>
                <w:lang w:val="sr-Latn-ME" w:eastAsia="ja-JP"/>
              </w:rPr>
              <w:t>Faricimab</w:t>
            </w:r>
            <w:r w:rsidRPr="0014404C">
              <w:rPr>
                <w:color w:val="000000"/>
                <w:sz w:val="22"/>
                <w:szCs w:val="22"/>
                <w:lang w:val="sr-Latn-ME" w:eastAsia="ja-JP"/>
              </w:rPr>
              <w:t xml:space="preserve"> do svakih 16 </w:t>
            </w:r>
            <w:r w:rsidR="00802EFD" w:rsidRPr="0014404C">
              <w:rPr>
                <w:color w:val="000000"/>
                <w:sz w:val="22"/>
                <w:szCs w:val="22"/>
                <w:lang w:val="sr-Latn-ME" w:eastAsia="ja-JP"/>
              </w:rPr>
              <w:t>nedjelja</w:t>
            </w:r>
          </w:p>
          <w:p w14:paraId="779B4B2A" w14:textId="750062AD"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N = </w:t>
            </w:r>
            <w:r w:rsidR="00905D2D" w:rsidRPr="0014404C">
              <w:rPr>
                <w:color w:val="000000"/>
                <w:sz w:val="22"/>
                <w:szCs w:val="22"/>
                <w:lang w:val="sr-Latn-ME" w:eastAsia="ja-JP"/>
              </w:rPr>
              <w:t>334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F8165"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Aflibercept svakih 8 </w:t>
            </w:r>
            <w:r w:rsidR="00802EFD" w:rsidRPr="0014404C">
              <w:rPr>
                <w:color w:val="000000"/>
                <w:sz w:val="22"/>
                <w:szCs w:val="22"/>
                <w:lang w:val="sr-Latn-ME" w:eastAsia="ja-JP"/>
              </w:rPr>
              <w:t>nedjelja</w:t>
            </w:r>
          </w:p>
          <w:p w14:paraId="5133D256" w14:textId="2AD67CDD"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N = </w:t>
            </w:r>
            <w:r w:rsidR="00905D2D" w:rsidRPr="0014404C">
              <w:rPr>
                <w:color w:val="000000"/>
                <w:sz w:val="22"/>
                <w:szCs w:val="22"/>
                <w:lang w:val="sr-Latn-ME" w:eastAsia="ja-JP"/>
              </w:rPr>
              <w:t>337</w:t>
            </w:r>
          </w:p>
        </w:tc>
      </w:tr>
      <w:tr w:rsidR="0036275D" w:rsidRPr="0014404C" w14:paraId="6E6C6535" w14:textId="77777777" w:rsidTr="001440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40B26" w14:textId="0DE14A3E"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Srednja </w:t>
            </w:r>
            <w:r w:rsidR="005000C0" w:rsidRPr="0014404C">
              <w:rPr>
                <w:color w:val="000000"/>
                <w:sz w:val="22"/>
                <w:szCs w:val="22"/>
                <w:lang w:val="sr-Latn-ME" w:eastAsia="ja-JP"/>
              </w:rPr>
              <w:t xml:space="preserve">vrijednost promjene </w:t>
            </w:r>
            <w:r w:rsidRPr="0014404C">
              <w:rPr>
                <w:color w:val="000000"/>
                <w:sz w:val="22"/>
                <w:szCs w:val="22"/>
                <w:lang w:val="sr-Latn-ME" w:eastAsia="ja-JP"/>
              </w:rPr>
              <w:t xml:space="preserve">BCVA od početne </w:t>
            </w:r>
            <w:r w:rsidR="005000C0" w:rsidRPr="0014404C">
              <w:rPr>
                <w:color w:val="000000"/>
                <w:sz w:val="22"/>
                <w:szCs w:val="22"/>
                <w:lang w:val="sr-Latn-ME" w:eastAsia="ja-JP"/>
              </w:rPr>
              <w:t xml:space="preserve">vrijednosti </w:t>
            </w:r>
            <w:r w:rsidRPr="0014404C">
              <w:rPr>
                <w:color w:val="000000"/>
                <w:sz w:val="22"/>
                <w:szCs w:val="22"/>
                <w:lang w:val="sr-Latn-ME" w:eastAsia="ja-JP"/>
              </w:rPr>
              <w:t>prema ETDRS skoru slova (95%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CA7CA"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5,8</w:t>
            </w:r>
          </w:p>
          <w:p w14:paraId="00DDDB4F" w14:textId="0180E110"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(4,6</w:t>
            </w:r>
            <w:r w:rsidR="00905D2D" w:rsidRPr="0014404C">
              <w:rPr>
                <w:color w:val="000000"/>
                <w:sz w:val="22"/>
                <w:szCs w:val="22"/>
                <w:lang w:val="sr-Latn-ME" w:eastAsia="ja-JP"/>
              </w:rPr>
              <w:t>;</w:t>
            </w:r>
            <w:r w:rsidRPr="0014404C">
              <w:rPr>
                <w:color w:val="000000"/>
                <w:sz w:val="22"/>
                <w:szCs w:val="22"/>
                <w:lang w:val="sr-Latn-ME" w:eastAsia="ja-JP"/>
              </w:rPr>
              <w:t xml:space="preserve"> 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320E4"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5,1</w:t>
            </w:r>
          </w:p>
          <w:p w14:paraId="7681B7B2" w14:textId="4846CDD2"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(3,9</w:t>
            </w:r>
            <w:r w:rsidR="00905D2D" w:rsidRPr="0014404C">
              <w:rPr>
                <w:color w:val="000000"/>
                <w:sz w:val="22"/>
                <w:szCs w:val="22"/>
                <w:lang w:val="sr-Latn-ME" w:eastAsia="ja-JP"/>
              </w:rPr>
              <w:t>;</w:t>
            </w:r>
            <w:r w:rsidRPr="0014404C">
              <w:rPr>
                <w:color w:val="000000"/>
                <w:sz w:val="22"/>
                <w:szCs w:val="22"/>
                <w:lang w:val="sr-Latn-ME" w:eastAsia="ja-JP"/>
              </w:rPr>
              <w:t xml:space="preserve"> 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69046"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3,7</w:t>
            </w:r>
          </w:p>
          <w:p w14:paraId="365AF2A7" w14:textId="3AFFA059"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(2,1; 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45887"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3,3</w:t>
            </w:r>
          </w:p>
          <w:p w14:paraId="76C493F0" w14:textId="3743FBA0"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(1,7; 4,9)</w:t>
            </w:r>
          </w:p>
        </w:tc>
      </w:tr>
      <w:tr w:rsidR="0036275D" w:rsidRPr="0014404C" w14:paraId="76D44AEA" w14:textId="77777777" w:rsidTr="001440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38861" w14:textId="16E9EC84"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Razlika u srednjoj </w:t>
            </w:r>
            <w:r w:rsidR="005000C0" w:rsidRPr="0014404C">
              <w:rPr>
                <w:color w:val="000000"/>
                <w:sz w:val="22"/>
                <w:szCs w:val="22"/>
                <w:lang w:val="sr-Latn-ME" w:eastAsia="ja-JP"/>
              </w:rPr>
              <w:t xml:space="preserve">vrijednosti </w:t>
            </w:r>
            <w:r w:rsidRPr="0014404C">
              <w:rPr>
                <w:color w:val="000000"/>
                <w:sz w:val="22"/>
                <w:szCs w:val="22"/>
                <w:lang w:val="sr-Latn-ME" w:eastAsia="ja-JP"/>
              </w:rPr>
              <w:t>LS (95%,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3E142"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0,7</w:t>
            </w:r>
          </w:p>
          <w:p w14:paraId="2D2569A9" w14:textId="4618FF98"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(-1,1</w:t>
            </w:r>
            <w:r w:rsidR="00905D2D" w:rsidRPr="0014404C">
              <w:rPr>
                <w:color w:val="000000"/>
                <w:sz w:val="22"/>
                <w:szCs w:val="22"/>
                <w:lang w:val="sr-Latn-ME" w:eastAsia="ja-JP"/>
              </w:rPr>
              <w:t>;</w:t>
            </w:r>
            <w:r w:rsidRPr="0014404C">
              <w:rPr>
                <w:color w:val="000000"/>
                <w:sz w:val="22"/>
                <w:szCs w:val="22"/>
                <w:lang w:val="sr-Latn-ME" w:eastAsia="ja-JP"/>
              </w:rPr>
              <w:t xml:space="preserve">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33337" w14:textId="77777777" w:rsidR="0036275D" w:rsidRPr="0014404C" w:rsidRDefault="0036275D" w:rsidP="0014404C">
            <w:pPr>
              <w:widowControl w:val="0"/>
              <w:jc w:val="both"/>
              <w:rPr>
                <w:color w:val="000000"/>
                <w:sz w:val="22"/>
                <w:szCs w:val="22"/>
                <w:lang w:val="sr-Latn-ME" w:eastAsia="ja-JP"/>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AB90"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0,4</w:t>
            </w:r>
          </w:p>
          <w:p w14:paraId="12DB2B40" w14:textId="3026294D"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(-1,9; 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702D3" w14:textId="77777777" w:rsidR="0036275D" w:rsidRPr="0014404C" w:rsidRDefault="0036275D" w:rsidP="0014404C">
            <w:pPr>
              <w:widowControl w:val="0"/>
              <w:jc w:val="both"/>
              <w:rPr>
                <w:color w:val="000000"/>
                <w:sz w:val="22"/>
                <w:szCs w:val="22"/>
                <w:lang w:val="sr-Latn-ME" w:eastAsia="ja-JP"/>
              </w:rPr>
            </w:pPr>
          </w:p>
        </w:tc>
      </w:tr>
      <w:tr w:rsidR="0036275D" w:rsidRPr="0014404C" w14:paraId="3A05A4CB" w14:textId="77777777" w:rsidTr="001440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AF35C" w14:textId="0DC4809E"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 xml:space="preserve">Procenat pacijenata sa poboljšanjem početne </w:t>
            </w:r>
            <w:r w:rsidR="005000C0" w:rsidRPr="0014404C">
              <w:rPr>
                <w:color w:val="000000"/>
                <w:sz w:val="22"/>
                <w:szCs w:val="22"/>
                <w:lang w:val="sr-Latn-ME" w:eastAsia="ja-JP"/>
              </w:rPr>
              <w:t xml:space="preserve">vrijednosti  </w:t>
            </w:r>
            <w:r w:rsidRPr="0014404C">
              <w:rPr>
                <w:color w:val="000000"/>
                <w:sz w:val="22"/>
                <w:szCs w:val="22"/>
                <w:lang w:val="sr-Latn-ME" w:eastAsia="ja-JP"/>
              </w:rPr>
              <w:t xml:space="preserve">≥ 15 slova </w:t>
            </w:r>
            <w:r w:rsidRPr="0014404C">
              <w:rPr>
                <w:sz w:val="22"/>
                <w:szCs w:val="22"/>
                <w:lang w:val="sr-Latn-ME" w:eastAsia="ja-JP"/>
              </w:rPr>
              <w:t>(CMH ponderisani procenat, 95%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6F01B"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20,0%</w:t>
            </w:r>
          </w:p>
          <w:p w14:paraId="171613ED" w14:textId="430B3FD2"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(15,6%</w:t>
            </w:r>
            <w:r w:rsidR="00905D2D" w:rsidRPr="0014404C">
              <w:rPr>
                <w:color w:val="000000"/>
                <w:sz w:val="22"/>
                <w:szCs w:val="22"/>
                <w:lang w:val="sr-Latn-ME" w:eastAsia="ja-JP"/>
              </w:rPr>
              <w:t>;</w:t>
            </w:r>
            <w:r w:rsidRPr="0014404C">
              <w:rPr>
                <w:color w:val="000000"/>
                <w:sz w:val="22"/>
                <w:szCs w:val="22"/>
                <w:lang w:val="sr-Latn-ME" w:eastAsia="ja-JP"/>
              </w:rPr>
              <w:t xml:space="preserve"> 24,4%)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735F3"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15,7%</w:t>
            </w:r>
          </w:p>
          <w:p w14:paraId="40AD96BA" w14:textId="219C34C1"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(11,9%</w:t>
            </w:r>
            <w:r w:rsidR="00905D2D" w:rsidRPr="0014404C">
              <w:rPr>
                <w:color w:val="000000"/>
                <w:sz w:val="22"/>
                <w:szCs w:val="22"/>
                <w:lang w:val="sr-Latn-ME" w:eastAsia="ja-JP"/>
              </w:rPr>
              <w:t>;</w:t>
            </w:r>
            <w:r w:rsidRPr="0014404C">
              <w:rPr>
                <w:color w:val="000000"/>
                <w:sz w:val="22"/>
                <w:szCs w:val="22"/>
                <w:lang w:val="sr-Latn-ME" w:eastAsia="ja-JP"/>
              </w:rPr>
              <w:t xml:space="preserve"> 19,6%)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3F98D"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22,5%</w:t>
            </w:r>
          </w:p>
          <w:p w14:paraId="5B5E6BBC" w14:textId="4D717C3B"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(17,8%; 27,2%)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C9E5D"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 xml:space="preserve">16,9% </w:t>
            </w:r>
          </w:p>
          <w:p w14:paraId="56F2C1E7" w14:textId="7D3355F9"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(12,7%; 21,1%)</w:t>
            </w:r>
          </w:p>
        </w:tc>
      </w:tr>
      <w:tr w:rsidR="0036275D" w:rsidRPr="0014404C" w14:paraId="1DF99DD7" w14:textId="77777777" w:rsidTr="001440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FCC7A"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Razlika ponderisanog % CMH (95%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417CB"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4,3%</w:t>
            </w:r>
          </w:p>
          <w:p w14:paraId="4A31BEC8" w14:textId="357639AD"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(-1,6%</w:t>
            </w:r>
            <w:r w:rsidR="00905D2D" w:rsidRPr="0014404C">
              <w:rPr>
                <w:color w:val="000000"/>
                <w:sz w:val="22"/>
                <w:szCs w:val="22"/>
                <w:lang w:val="sr-Latn-ME" w:eastAsia="ja-JP"/>
              </w:rPr>
              <w:t>;</w:t>
            </w:r>
            <w:r w:rsidRPr="0014404C">
              <w:rPr>
                <w:color w:val="000000"/>
                <w:sz w:val="22"/>
                <w:szCs w:val="22"/>
                <w:lang w:val="sr-Latn-ME" w:eastAsia="ja-JP"/>
              </w:rPr>
              <w:t xml:space="preserve"> 10,1%)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0D831" w14:textId="77777777" w:rsidR="0036275D" w:rsidRPr="0014404C" w:rsidRDefault="0036275D" w:rsidP="0014404C">
            <w:pPr>
              <w:widowControl w:val="0"/>
              <w:jc w:val="both"/>
              <w:rPr>
                <w:color w:val="000000"/>
                <w:sz w:val="22"/>
                <w:szCs w:val="22"/>
                <w:lang w:val="sr-Latn-ME" w:eastAsia="ja-JP"/>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5092C"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5,6%</w:t>
            </w:r>
          </w:p>
          <w:p w14:paraId="7FEBA42C" w14:textId="50059561"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(-0,7%; 11,9%)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62D04" w14:textId="77777777" w:rsidR="0036275D" w:rsidRPr="0014404C" w:rsidRDefault="0036275D" w:rsidP="0014404C">
            <w:pPr>
              <w:widowControl w:val="0"/>
              <w:jc w:val="both"/>
              <w:rPr>
                <w:color w:val="000000"/>
                <w:sz w:val="22"/>
                <w:szCs w:val="22"/>
                <w:lang w:val="sr-Latn-ME" w:eastAsia="ja-JP"/>
              </w:rPr>
            </w:pPr>
          </w:p>
        </w:tc>
      </w:tr>
      <w:tr w:rsidR="0036275D" w:rsidRPr="0014404C" w14:paraId="0695F9B3" w14:textId="77777777" w:rsidTr="001440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8FB1A" w14:textId="4F15FA61"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lastRenderedPageBreak/>
              <w:t xml:space="preserve">Procenat pacijenata koji su </w:t>
            </w:r>
            <w:r w:rsidR="005000C0" w:rsidRPr="0014404C">
              <w:rPr>
                <w:color w:val="000000"/>
                <w:sz w:val="22"/>
                <w:szCs w:val="22"/>
                <w:lang w:val="sr-Latn-ME" w:eastAsia="ja-JP"/>
              </w:rPr>
              <w:t xml:space="preserve">izbjegli </w:t>
            </w:r>
            <w:r w:rsidRPr="0014404C">
              <w:rPr>
                <w:color w:val="000000"/>
                <w:sz w:val="22"/>
                <w:szCs w:val="22"/>
                <w:lang w:val="sr-Latn-ME" w:eastAsia="ja-JP"/>
              </w:rPr>
              <w:t xml:space="preserve">gubitak ≥ 15 slova u odnosu na početnu </w:t>
            </w:r>
            <w:r w:rsidR="005000C0" w:rsidRPr="0014404C">
              <w:rPr>
                <w:color w:val="000000"/>
                <w:sz w:val="22"/>
                <w:szCs w:val="22"/>
                <w:lang w:val="sr-Latn-ME" w:eastAsia="ja-JP"/>
              </w:rPr>
              <w:t xml:space="preserve">vrijednost </w:t>
            </w:r>
            <w:r w:rsidRPr="0014404C">
              <w:rPr>
                <w:sz w:val="22"/>
                <w:szCs w:val="22"/>
                <w:lang w:val="sr-Latn-ME" w:eastAsia="ja-JP"/>
              </w:rPr>
              <w:t>(CMH ponderisani procenat, 95%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5DE8D"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95,4%</w:t>
            </w:r>
          </w:p>
          <w:p w14:paraId="7CA79359" w14:textId="01407D90"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(93,0%</w:t>
            </w:r>
            <w:r w:rsidR="00905D2D" w:rsidRPr="0014404C">
              <w:rPr>
                <w:color w:val="000000"/>
                <w:sz w:val="22"/>
                <w:szCs w:val="22"/>
                <w:lang w:val="sr-Latn-ME" w:eastAsia="ja-JP"/>
              </w:rPr>
              <w:t>;</w:t>
            </w:r>
            <w:r w:rsidRPr="0014404C">
              <w:rPr>
                <w:color w:val="000000"/>
                <w:sz w:val="22"/>
                <w:szCs w:val="22"/>
                <w:lang w:val="sr-Latn-ME" w:eastAsia="ja-JP"/>
              </w:rPr>
              <w:t xml:space="preserve"> 97,7%)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AC27"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94,1%</w:t>
            </w:r>
          </w:p>
          <w:p w14:paraId="1DF52086" w14:textId="221DB031"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(91,5%</w:t>
            </w:r>
            <w:r w:rsidR="00905D2D" w:rsidRPr="0014404C">
              <w:rPr>
                <w:color w:val="000000"/>
                <w:sz w:val="22"/>
                <w:szCs w:val="22"/>
                <w:lang w:val="sr-Latn-ME" w:eastAsia="ja-JP"/>
              </w:rPr>
              <w:t>;</w:t>
            </w:r>
            <w:r w:rsidRPr="0014404C">
              <w:rPr>
                <w:color w:val="000000"/>
                <w:sz w:val="22"/>
                <w:szCs w:val="22"/>
                <w:lang w:val="sr-Latn-ME" w:eastAsia="ja-JP"/>
              </w:rPr>
              <w:t xml:space="preserve"> 96,7%)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770C7"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92,1%</w:t>
            </w:r>
          </w:p>
          <w:p w14:paraId="3248B220" w14:textId="48B43A1C"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(89,1%; 95,1%)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9F0ED" w14:textId="77777777" w:rsidR="00905D2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 xml:space="preserve">88,6% </w:t>
            </w:r>
          </w:p>
          <w:p w14:paraId="032A3DEA" w14:textId="53C0B5FA"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(85,1%; 92,2%)</w:t>
            </w:r>
          </w:p>
        </w:tc>
      </w:tr>
      <w:tr w:rsidR="0036275D" w:rsidRPr="0014404C" w14:paraId="79518EC3" w14:textId="77777777" w:rsidTr="001440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90AA4"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Razlika ponderisanog % CMH (95%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A1269" w14:textId="77777777"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1,3%</w:t>
            </w:r>
          </w:p>
          <w:p w14:paraId="42E0EC5C" w14:textId="2312266B" w:rsidR="0036275D" w:rsidRPr="0014404C" w:rsidRDefault="0036275D" w:rsidP="0014404C">
            <w:pPr>
              <w:widowControl w:val="0"/>
              <w:jc w:val="both"/>
              <w:rPr>
                <w:color w:val="000000"/>
                <w:sz w:val="22"/>
                <w:szCs w:val="22"/>
                <w:lang w:val="sr-Latn-ME" w:eastAsia="ja-JP"/>
              </w:rPr>
            </w:pPr>
            <w:r w:rsidRPr="0014404C">
              <w:rPr>
                <w:color w:val="000000"/>
                <w:sz w:val="22"/>
                <w:szCs w:val="22"/>
                <w:lang w:val="sr-Latn-ME" w:eastAsia="ja-JP"/>
              </w:rPr>
              <w:t>(-2,2%</w:t>
            </w:r>
            <w:r w:rsidR="00905D2D" w:rsidRPr="0014404C">
              <w:rPr>
                <w:color w:val="000000"/>
                <w:sz w:val="22"/>
                <w:szCs w:val="22"/>
                <w:lang w:val="sr-Latn-ME" w:eastAsia="ja-JP"/>
              </w:rPr>
              <w:t>;</w:t>
            </w:r>
            <w:r w:rsidRPr="0014404C">
              <w:rPr>
                <w:color w:val="000000"/>
                <w:sz w:val="22"/>
                <w:szCs w:val="22"/>
                <w:lang w:val="sr-Latn-ME" w:eastAsia="ja-JP"/>
              </w:rPr>
              <w:t xml:space="preserve"> 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85153" w14:textId="77777777" w:rsidR="0036275D" w:rsidRPr="0014404C" w:rsidRDefault="0036275D" w:rsidP="0014404C">
            <w:pPr>
              <w:widowControl w:val="0"/>
              <w:jc w:val="both"/>
              <w:rPr>
                <w:color w:val="000000"/>
                <w:sz w:val="22"/>
                <w:szCs w:val="22"/>
                <w:lang w:val="sr-Latn-ME" w:eastAsia="ja-JP"/>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708FE" w14:textId="77777777" w:rsidR="004E4AD2"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3,4%</w:t>
            </w:r>
            <w:r w:rsidR="004E4AD2" w:rsidRPr="0014404C">
              <w:rPr>
                <w:color w:val="000000"/>
                <w:sz w:val="22"/>
                <w:szCs w:val="22"/>
                <w:lang w:val="sr-Latn-ME" w:eastAsia="ja-JP"/>
              </w:rPr>
              <w:t xml:space="preserve"> </w:t>
            </w:r>
          </w:p>
          <w:p w14:paraId="51DFDFD1" w14:textId="733A5F69" w:rsidR="0036275D" w:rsidRPr="0014404C" w:rsidRDefault="004E4AD2" w:rsidP="0014404C">
            <w:pPr>
              <w:widowControl w:val="0"/>
              <w:jc w:val="both"/>
              <w:rPr>
                <w:color w:val="000000"/>
                <w:sz w:val="22"/>
                <w:szCs w:val="22"/>
                <w:lang w:val="sr-Latn-ME" w:eastAsia="ja-JP"/>
              </w:rPr>
            </w:pPr>
            <w:r w:rsidRPr="0014404C">
              <w:rPr>
                <w:color w:val="000000"/>
                <w:sz w:val="22"/>
                <w:szCs w:val="22"/>
                <w:lang w:val="sr-Latn-ME" w:eastAsia="ja-JP"/>
              </w:rPr>
              <w:t>(-1,2%; 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A2A32" w14:textId="462A91B3" w:rsidR="0036275D" w:rsidRPr="0014404C" w:rsidRDefault="00905D2D" w:rsidP="0014404C">
            <w:pPr>
              <w:widowControl w:val="0"/>
              <w:jc w:val="both"/>
              <w:rPr>
                <w:color w:val="000000"/>
                <w:sz w:val="22"/>
                <w:szCs w:val="22"/>
                <w:lang w:val="sr-Latn-ME" w:eastAsia="ja-JP"/>
              </w:rPr>
            </w:pPr>
            <w:r w:rsidRPr="0014404C">
              <w:rPr>
                <w:color w:val="000000"/>
                <w:sz w:val="22"/>
                <w:szCs w:val="22"/>
                <w:lang w:val="sr-Latn-ME" w:eastAsia="ja-JP"/>
              </w:rPr>
              <w:t xml:space="preserve"> </w:t>
            </w:r>
          </w:p>
        </w:tc>
      </w:tr>
    </w:tbl>
    <w:p w14:paraId="36F876C8" w14:textId="26D330DD" w:rsidR="00FB5EB3" w:rsidRPr="0014404C" w:rsidRDefault="00FB5EB3" w:rsidP="0014404C">
      <w:pPr>
        <w:widowControl w:val="0"/>
        <w:jc w:val="both"/>
        <w:rPr>
          <w:sz w:val="20"/>
          <w:szCs w:val="22"/>
          <w:lang w:val="sr-Latn-ME" w:eastAsia="ja-JP"/>
        </w:rPr>
      </w:pPr>
      <w:r w:rsidRPr="0014404C">
        <w:rPr>
          <w:sz w:val="20"/>
          <w:szCs w:val="22"/>
          <w:vertAlign w:val="superscript"/>
          <w:lang w:val="sr-Latn-ME" w:eastAsia="ja-JP"/>
        </w:rPr>
        <w:t>a</w:t>
      </w:r>
      <w:r w:rsidRPr="0014404C">
        <w:rPr>
          <w:sz w:val="20"/>
          <w:szCs w:val="22"/>
          <w:lang w:val="sr-Latn-ME" w:eastAsia="ja-JP"/>
        </w:rPr>
        <w:t>Prosječna vrijednost za 40., 44. i 48. nedjelju</w:t>
      </w:r>
      <w:r w:rsidR="004E4AD2" w:rsidRPr="0014404C">
        <w:rPr>
          <w:sz w:val="20"/>
          <w:szCs w:val="22"/>
          <w:lang w:val="sr-Latn-ME" w:eastAsia="ja-JP"/>
        </w:rPr>
        <w:t xml:space="preserve">; </w:t>
      </w:r>
      <w:r w:rsidR="004E4AD2" w:rsidRPr="0014404C">
        <w:rPr>
          <w:sz w:val="20"/>
          <w:szCs w:val="22"/>
          <w:vertAlign w:val="superscript"/>
          <w:lang w:val="sr-Latn-ME" w:eastAsia="ja-JP"/>
        </w:rPr>
        <w:t>b</w:t>
      </w:r>
      <w:r w:rsidR="004E4AD2" w:rsidRPr="0014404C">
        <w:rPr>
          <w:sz w:val="20"/>
          <w:szCs w:val="22"/>
          <w:lang w:val="sr-Latn-ME" w:eastAsia="ja-JP"/>
        </w:rPr>
        <w:t>Prosječna vrijednost za 104, 108. i 112. nedjelju</w:t>
      </w:r>
    </w:p>
    <w:p w14:paraId="48DEBD6F" w14:textId="07C1F59F" w:rsidR="0036275D" w:rsidRPr="0014404C" w:rsidRDefault="0036275D" w:rsidP="0014404C">
      <w:pPr>
        <w:widowControl w:val="0"/>
        <w:jc w:val="both"/>
        <w:rPr>
          <w:bCs/>
          <w:iCs/>
          <w:sz w:val="20"/>
          <w:szCs w:val="22"/>
          <w:lang w:val="sr-Latn-ME" w:eastAsia="ja-JP"/>
        </w:rPr>
      </w:pPr>
      <w:r w:rsidRPr="0014404C">
        <w:rPr>
          <w:sz w:val="20"/>
          <w:szCs w:val="22"/>
          <w:lang w:val="sr-Latn-ME" w:eastAsia="ja-JP"/>
        </w:rPr>
        <w:t xml:space="preserve">BCVA: najbolja korigovana oštrina vida </w:t>
      </w:r>
    </w:p>
    <w:p w14:paraId="24162910" w14:textId="5E795B90" w:rsidR="0036275D" w:rsidRPr="0014404C" w:rsidRDefault="0036275D" w:rsidP="0014404C">
      <w:pPr>
        <w:widowControl w:val="0"/>
        <w:jc w:val="both"/>
        <w:rPr>
          <w:bCs/>
          <w:iCs/>
          <w:sz w:val="20"/>
          <w:szCs w:val="22"/>
          <w:lang w:val="sr-Latn-ME" w:eastAsia="ja-JP"/>
        </w:rPr>
      </w:pPr>
      <w:r w:rsidRPr="0014404C">
        <w:rPr>
          <w:sz w:val="20"/>
          <w:szCs w:val="22"/>
          <w:lang w:val="sr-Latn-ME" w:eastAsia="ja-JP"/>
        </w:rPr>
        <w:t xml:space="preserve">ETDRS: Studija ranog </w:t>
      </w:r>
      <w:r w:rsidR="005000C0" w:rsidRPr="0014404C">
        <w:rPr>
          <w:sz w:val="20"/>
          <w:szCs w:val="22"/>
          <w:lang w:val="sr-Latn-ME" w:eastAsia="ja-JP"/>
        </w:rPr>
        <w:t xml:space="preserve">liječenja </w:t>
      </w:r>
      <w:r w:rsidRPr="0014404C">
        <w:rPr>
          <w:sz w:val="20"/>
          <w:szCs w:val="22"/>
          <w:lang w:val="sr-Latn-ME" w:eastAsia="ja-JP"/>
        </w:rPr>
        <w:t xml:space="preserve">dijabetičke retinopatije </w:t>
      </w:r>
    </w:p>
    <w:p w14:paraId="01320735" w14:textId="77777777" w:rsidR="0036275D" w:rsidRPr="0014404C" w:rsidRDefault="0036275D" w:rsidP="0014404C">
      <w:pPr>
        <w:widowControl w:val="0"/>
        <w:jc w:val="both"/>
        <w:rPr>
          <w:bCs/>
          <w:iCs/>
          <w:sz w:val="20"/>
          <w:szCs w:val="22"/>
          <w:lang w:val="sr-Latn-ME" w:eastAsia="ja-JP"/>
        </w:rPr>
      </w:pPr>
      <w:r w:rsidRPr="0014404C">
        <w:rPr>
          <w:sz w:val="20"/>
          <w:szCs w:val="22"/>
          <w:lang w:val="sr-Latn-ME" w:eastAsia="ja-JP"/>
        </w:rPr>
        <w:t>CI: interval pouzdanosti</w:t>
      </w:r>
    </w:p>
    <w:p w14:paraId="774B3F29" w14:textId="77777777" w:rsidR="0036275D" w:rsidRPr="0014404C" w:rsidRDefault="0036275D" w:rsidP="0014404C">
      <w:pPr>
        <w:widowControl w:val="0"/>
        <w:jc w:val="both"/>
        <w:rPr>
          <w:bCs/>
          <w:iCs/>
          <w:sz w:val="20"/>
          <w:szCs w:val="22"/>
          <w:lang w:val="sr-Latn-ME" w:eastAsia="ja-JP"/>
        </w:rPr>
      </w:pPr>
      <w:r w:rsidRPr="0014404C">
        <w:rPr>
          <w:sz w:val="20"/>
          <w:szCs w:val="22"/>
          <w:lang w:val="sr-Latn-ME" w:eastAsia="ja-JP"/>
        </w:rPr>
        <w:t xml:space="preserve">LS: najmanji kvadrat </w:t>
      </w:r>
    </w:p>
    <w:p w14:paraId="1CC30FF8" w14:textId="1D1ED8AC" w:rsidR="0036275D" w:rsidRPr="0014404C" w:rsidRDefault="0036275D" w:rsidP="0014404C">
      <w:pPr>
        <w:widowControl w:val="0"/>
        <w:jc w:val="both"/>
        <w:rPr>
          <w:sz w:val="20"/>
          <w:szCs w:val="22"/>
          <w:lang w:val="sr-Latn-ME" w:eastAsia="ja-JP"/>
        </w:rPr>
      </w:pPr>
      <w:r w:rsidRPr="0014404C">
        <w:rPr>
          <w:sz w:val="20"/>
          <w:szCs w:val="22"/>
          <w:lang w:val="sr-Latn-ME" w:eastAsia="ja-JP"/>
        </w:rPr>
        <w:t xml:space="preserve">CMH: Cochran–Mantel–Haenszelova metoda; statistički test koji daje </w:t>
      </w:r>
      <w:r w:rsidR="005000C0" w:rsidRPr="0014404C">
        <w:rPr>
          <w:sz w:val="20"/>
          <w:szCs w:val="22"/>
          <w:lang w:val="sr-Latn-ME" w:eastAsia="ja-JP"/>
        </w:rPr>
        <w:t xml:space="preserve">procjenu </w:t>
      </w:r>
      <w:r w:rsidRPr="0014404C">
        <w:rPr>
          <w:sz w:val="20"/>
          <w:szCs w:val="22"/>
          <w:lang w:val="sr-Latn-ME" w:eastAsia="ja-JP"/>
        </w:rPr>
        <w:t xml:space="preserve">povezanosti sa binarnim ishodom i koji se koristi za </w:t>
      </w:r>
      <w:r w:rsidR="005000C0" w:rsidRPr="0014404C">
        <w:rPr>
          <w:sz w:val="20"/>
          <w:szCs w:val="22"/>
          <w:lang w:val="sr-Latn-ME" w:eastAsia="ja-JP"/>
        </w:rPr>
        <w:t xml:space="preserve">procjenu </w:t>
      </w:r>
      <w:r w:rsidRPr="0014404C">
        <w:rPr>
          <w:sz w:val="20"/>
          <w:szCs w:val="22"/>
          <w:lang w:val="sr-Latn-ME" w:eastAsia="ja-JP"/>
        </w:rPr>
        <w:t>kategoričkih varijabli.</w:t>
      </w:r>
    </w:p>
    <w:p w14:paraId="436B0657" w14:textId="0B99005E" w:rsidR="004E4AD2" w:rsidRPr="0014404C" w:rsidRDefault="004E4AD2" w:rsidP="0014404C">
      <w:pPr>
        <w:widowControl w:val="0"/>
        <w:jc w:val="both"/>
        <w:rPr>
          <w:sz w:val="22"/>
          <w:szCs w:val="22"/>
          <w:lang w:val="sr-Latn-ME" w:eastAsia="ja-JP"/>
        </w:rPr>
      </w:pPr>
    </w:p>
    <w:p w14:paraId="5212AD9B" w14:textId="34607338" w:rsidR="004E4AD2" w:rsidRPr="0014404C" w:rsidRDefault="004E4AD2" w:rsidP="0014404C">
      <w:pPr>
        <w:widowControl w:val="0"/>
        <w:jc w:val="both"/>
        <w:rPr>
          <w:b/>
          <w:bCs/>
          <w:iCs/>
          <w:sz w:val="22"/>
          <w:szCs w:val="22"/>
          <w:lang w:val="sr-Latn-ME"/>
        </w:rPr>
      </w:pPr>
      <w:r w:rsidRPr="0014404C">
        <w:rPr>
          <w:b/>
          <w:bCs/>
          <w:sz w:val="22"/>
          <w:szCs w:val="22"/>
          <w:lang w:val="sr-Latn-ME"/>
        </w:rPr>
        <w:t>Tabela 3: Ishodi efikasnosti pri posjetama radi proc</w:t>
      </w:r>
      <w:r w:rsidR="00AF639E" w:rsidRPr="0014404C">
        <w:rPr>
          <w:b/>
          <w:bCs/>
          <w:sz w:val="22"/>
          <w:szCs w:val="22"/>
          <w:lang w:val="sr-Latn-ME"/>
        </w:rPr>
        <w:t>j</w:t>
      </w:r>
      <w:r w:rsidRPr="0014404C">
        <w:rPr>
          <w:b/>
          <w:bCs/>
          <w:sz w:val="22"/>
          <w:szCs w:val="22"/>
          <w:lang w:val="sr-Latn-ME"/>
        </w:rPr>
        <w:t>ene primarnih parametara efikasnosti</w:t>
      </w:r>
      <w:r w:rsidRPr="0014404C">
        <w:rPr>
          <w:b/>
          <w:bCs/>
          <w:sz w:val="22"/>
          <w:szCs w:val="22"/>
          <w:vertAlign w:val="superscript"/>
          <w:lang w:val="sr-Latn-ME"/>
        </w:rPr>
        <w:t>a</w:t>
      </w:r>
      <w:r w:rsidRPr="0014404C">
        <w:rPr>
          <w:b/>
          <w:bCs/>
          <w:sz w:val="22"/>
          <w:szCs w:val="22"/>
          <w:lang w:val="sr-Latn-ME"/>
        </w:rPr>
        <w:t xml:space="preserve"> i u 2. godini</w:t>
      </w:r>
      <w:r w:rsidRPr="0014404C">
        <w:rPr>
          <w:b/>
          <w:bCs/>
          <w:sz w:val="22"/>
          <w:szCs w:val="22"/>
          <w:vertAlign w:val="superscript"/>
          <w:lang w:val="sr-Latn-ME"/>
        </w:rPr>
        <w:t>b</w:t>
      </w:r>
      <w:r w:rsidRPr="0014404C">
        <w:rPr>
          <w:b/>
          <w:bCs/>
          <w:sz w:val="22"/>
          <w:szCs w:val="22"/>
          <w:lang w:val="sr-Latn-ME"/>
        </w:rPr>
        <w:t xml:space="preserve"> u studiji LUCERNE </w:t>
      </w:r>
    </w:p>
    <w:p w14:paraId="07AFCBF3" w14:textId="77777777" w:rsidR="004E4AD2" w:rsidRPr="0014404C" w:rsidRDefault="004E4AD2" w:rsidP="0014404C">
      <w:pPr>
        <w:widowControl w:val="0"/>
        <w:jc w:val="both"/>
        <w:rPr>
          <w:bCs/>
          <w:iCs/>
          <w:sz w:val="22"/>
          <w:szCs w:val="22"/>
          <w:lang w:val="sr-Latn-ME" w:eastAsia="ja-JP"/>
        </w:rPr>
      </w:pPr>
    </w:p>
    <w:tbl>
      <w:tblPr>
        <w:tblW w:w="8990" w:type="dxa"/>
        <w:tblCellMar>
          <w:top w:w="15" w:type="dxa"/>
          <w:left w:w="15" w:type="dxa"/>
          <w:bottom w:w="15" w:type="dxa"/>
          <w:right w:w="15" w:type="dxa"/>
        </w:tblCellMar>
        <w:tblLook w:val="04A0" w:firstRow="1" w:lastRow="0" w:firstColumn="1" w:lastColumn="0" w:noHBand="0" w:noVBand="1"/>
      </w:tblPr>
      <w:tblGrid>
        <w:gridCol w:w="2388"/>
        <w:gridCol w:w="12"/>
        <w:gridCol w:w="1799"/>
        <w:gridCol w:w="1525"/>
        <w:gridCol w:w="26"/>
        <w:gridCol w:w="1713"/>
        <w:gridCol w:w="1527"/>
      </w:tblGrid>
      <w:tr w:rsidR="004E4AD2" w:rsidRPr="0014404C" w14:paraId="02FCB807" w14:textId="77777777" w:rsidTr="004E4AD2">
        <w:trPr>
          <w:cantSplit/>
          <w:trHeight w:val="380"/>
        </w:trPr>
        <w:tc>
          <w:tcPr>
            <w:tcW w:w="2388"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9C9114E" w14:textId="77777777" w:rsidR="004E4AD2" w:rsidRPr="0014404C" w:rsidRDefault="004E4AD2" w:rsidP="0014404C">
            <w:pPr>
              <w:widowControl w:val="0"/>
              <w:contextualSpacing/>
              <w:jc w:val="both"/>
              <w:rPr>
                <w:b/>
                <w:color w:val="000000"/>
                <w:sz w:val="22"/>
                <w:szCs w:val="22"/>
                <w:lang w:val="sr-Latn-ME" w:eastAsia="ja-JP"/>
              </w:rPr>
            </w:pPr>
            <w:r w:rsidRPr="0014404C">
              <w:rPr>
                <w:b/>
                <w:color w:val="000000"/>
                <w:sz w:val="22"/>
                <w:szCs w:val="22"/>
                <w:lang w:val="sr-Latn-ME" w:eastAsia="ja-JP"/>
              </w:rPr>
              <w:t>Ishodi efikasnosti</w:t>
            </w:r>
          </w:p>
        </w:tc>
        <w:tc>
          <w:tcPr>
            <w:tcW w:w="660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99D1A" w14:textId="77777777" w:rsidR="004E4AD2" w:rsidRPr="0014404C" w:rsidRDefault="004E4AD2" w:rsidP="0014404C">
            <w:pPr>
              <w:widowControl w:val="0"/>
              <w:contextualSpacing/>
              <w:jc w:val="both"/>
              <w:rPr>
                <w:b/>
                <w:color w:val="000000"/>
                <w:sz w:val="22"/>
                <w:szCs w:val="22"/>
                <w:lang w:val="sr-Latn-ME" w:eastAsia="ja-JP"/>
              </w:rPr>
            </w:pPr>
            <w:r w:rsidRPr="0014404C">
              <w:rPr>
                <w:b/>
                <w:color w:val="000000"/>
                <w:sz w:val="22"/>
                <w:szCs w:val="22"/>
                <w:lang w:val="sr-Latn-ME" w:eastAsia="ja-JP"/>
              </w:rPr>
              <w:t>LUCERNE</w:t>
            </w:r>
          </w:p>
        </w:tc>
      </w:tr>
      <w:tr w:rsidR="004E4AD2" w:rsidRPr="0014404C" w14:paraId="30051A86" w14:textId="77777777" w:rsidTr="004E4AD2">
        <w:trPr>
          <w:cantSplit/>
          <w:trHeight w:val="380"/>
        </w:trPr>
        <w:tc>
          <w:tcPr>
            <w:tcW w:w="2400" w:type="dxa"/>
            <w:gridSpan w:val="2"/>
            <w:tcBorders>
              <w:left w:val="single" w:sz="8" w:space="0" w:color="000000"/>
              <w:right w:val="single" w:sz="8" w:space="0" w:color="000000"/>
            </w:tcBorders>
            <w:tcMar>
              <w:top w:w="100" w:type="dxa"/>
              <w:left w:w="100" w:type="dxa"/>
              <w:bottom w:w="100" w:type="dxa"/>
              <w:right w:w="100" w:type="dxa"/>
            </w:tcMar>
          </w:tcPr>
          <w:p w14:paraId="342CA642" w14:textId="77777777" w:rsidR="004E4AD2" w:rsidRPr="0014404C" w:rsidRDefault="004E4AD2" w:rsidP="0014404C">
            <w:pPr>
              <w:widowControl w:val="0"/>
              <w:contextualSpacing/>
              <w:jc w:val="both"/>
              <w:rPr>
                <w:b/>
                <w:color w:val="000000"/>
                <w:sz w:val="22"/>
                <w:szCs w:val="22"/>
                <w:lang w:val="sr-Latn-ME" w:eastAsia="ja-JP"/>
              </w:rPr>
            </w:pPr>
          </w:p>
        </w:tc>
        <w:tc>
          <w:tcPr>
            <w:tcW w:w="335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2F0EC" w14:textId="77777777" w:rsidR="004E4AD2" w:rsidRPr="0014404C" w:rsidRDefault="004E4AD2" w:rsidP="0014404C">
            <w:pPr>
              <w:widowControl w:val="0"/>
              <w:contextualSpacing/>
              <w:jc w:val="both"/>
              <w:rPr>
                <w:b/>
                <w:color w:val="000000"/>
                <w:sz w:val="22"/>
                <w:szCs w:val="22"/>
                <w:lang w:val="sr-Latn-ME" w:eastAsia="ja-JP"/>
              </w:rPr>
            </w:pPr>
            <w:r w:rsidRPr="0014404C">
              <w:rPr>
                <w:b/>
                <w:color w:val="000000"/>
                <w:sz w:val="22"/>
                <w:szCs w:val="22"/>
                <w:lang w:val="sr-Latn-ME" w:eastAsia="ja-JP"/>
              </w:rPr>
              <w:t>1. godina</w:t>
            </w:r>
          </w:p>
        </w:tc>
        <w:tc>
          <w:tcPr>
            <w:tcW w:w="3240" w:type="dxa"/>
            <w:gridSpan w:val="2"/>
            <w:tcBorders>
              <w:top w:val="single" w:sz="8" w:space="0" w:color="000000"/>
              <w:left w:val="single" w:sz="8" w:space="0" w:color="000000"/>
              <w:bottom w:val="single" w:sz="8" w:space="0" w:color="000000"/>
              <w:right w:val="single" w:sz="8" w:space="0" w:color="000000"/>
            </w:tcBorders>
          </w:tcPr>
          <w:p w14:paraId="16114808" w14:textId="77777777" w:rsidR="004E4AD2" w:rsidRPr="0014404C" w:rsidRDefault="004E4AD2" w:rsidP="0014404C">
            <w:pPr>
              <w:widowControl w:val="0"/>
              <w:contextualSpacing/>
              <w:jc w:val="both"/>
              <w:rPr>
                <w:b/>
                <w:color w:val="000000"/>
                <w:sz w:val="22"/>
                <w:szCs w:val="22"/>
                <w:lang w:val="sr-Latn-ME" w:eastAsia="ja-JP"/>
              </w:rPr>
            </w:pPr>
            <w:r w:rsidRPr="0014404C">
              <w:rPr>
                <w:b/>
                <w:color w:val="000000"/>
                <w:sz w:val="22"/>
                <w:szCs w:val="22"/>
                <w:lang w:val="sr-Latn-ME" w:eastAsia="ja-JP"/>
              </w:rPr>
              <w:t>2. godina</w:t>
            </w:r>
          </w:p>
        </w:tc>
      </w:tr>
      <w:tr w:rsidR="004E4AD2" w:rsidRPr="0014404C" w14:paraId="6EC2F059" w14:textId="77777777" w:rsidTr="004E4AD2">
        <w:trPr>
          <w:cantSplit/>
        </w:trPr>
        <w:tc>
          <w:tcPr>
            <w:tcW w:w="2388"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4ED74252" w14:textId="77777777" w:rsidR="004E4AD2" w:rsidRPr="0014404C" w:rsidRDefault="004E4AD2" w:rsidP="0014404C">
            <w:pPr>
              <w:widowControl w:val="0"/>
              <w:contextualSpacing/>
              <w:jc w:val="both"/>
              <w:rPr>
                <w:color w:val="000000"/>
                <w:sz w:val="22"/>
                <w:szCs w:val="22"/>
                <w:lang w:val="sr-Latn-ME" w:eastAsia="ja-JP"/>
              </w:rPr>
            </w:pP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8341C" w14:textId="10C231FE" w:rsidR="004E4AD2" w:rsidRPr="0014404C" w:rsidRDefault="004E4AD2" w:rsidP="0014404C">
            <w:pPr>
              <w:widowControl w:val="0"/>
              <w:contextualSpacing/>
              <w:jc w:val="both"/>
              <w:rPr>
                <w:sz w:val="22"/>
                <w:szCs w:val="22"/>
                <w:lang w:val="sr-Latn-ME" w:eastAsia="ja-JP"/>
              </w:rPr>
            </w:pPr>
            <w:r w:rsidRPr="0014404C">
              <w:rPr>
                <w:sz w:val="22"/>
                <w:szCs w:val="22"/>
                <w:lang w:val="sr-Latn-ME" w:eastAsia="ja-JP"/>
              </w:rPr>
              <w:t>Faricimab do svakih 16 nedjelja</w:t>
            </w:r>
          </w:p>
          <w:p w14:paraId="4293D45D" w14:textId="77777777"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N = 331</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6C47C" w14:textId="70E5C81B"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Aflibercept svakih 8 nedjelja</w:t>
            </w:r>
          </w:p>
          <w:p w14:paraId="01EC9494" w14:textId="77777777"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N = 327</w:t>
            </w: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CA8D6" w14:textId="1E20A8A7" w:rsidR="004E4AD2" w:rsidRPr="0014404C" w:rsidRDefault="004E4AD2" w:rsidP="0014404C">
            <w:pPr>
              <w:widowControl w:val="0"/>
              <w:jc w:val="both"/>
              <w:rPr>
                <w:color w:val="000000"/>
                <w:sz w:val="22"/>
                <w:szCs w:val="22"/>
                <w:lang w:val="sr-Latn-ME" w:eastAsia="ja-JP"/>
              </w:rPr>
            </w:pPr>
            <w:r w:rsidRPr="0014404C">
              <w:rPr>
                <w:sz w:val="22"/>
                <w:szCs w:val="22"/>
                <w:lang w:val="sr-Latn-ME" w:eastAsia="ja-JP"/>
              </w:rPr>
              <w:t>Faricimab</w:t>
            </w:r>
            <w:r w:rsidRPr="0014404C">
              <w:rPr>
                <w:color w:val="000000"/>
                <w:sz w:val="22"/>
                <w:szCs w:val="22"/>
                <w:lang w:val="sr-Latn-ME" w:eastAsia="ja-JP"/>
              </w:rPr>
              <w:t xml:space="preserve"> do svakih 16 nedjelja</w:t>
            </w:r>
          </w:p>
          <w:p w14:paraId="3CB606FE" w14:textId="77777777"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N = 331</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70262" w14:textId="42B49121"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Aflibercept svakih 8 nedjelja</w:t>
            </w:r>
          </w:p>
          <w:p w14:paraId="0F6347B7" w14:textId="77777777"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N = 327</w:t>
            </w:r>
          </w:p>
        </w:tc>
      </w:tr>
      <w:tr w:rsidR="004E4AD2" w:rsidRPr="0014404C" w14:paraId="2B41EC3C" w14:textId="77777777" w:rsidTr="004E4AD2">
        <w:trPr>
          <w:cantSplit/>
        </w:trPr>
        <w:tc>
          <w:tcPr>
            <w:tcW w:w="2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815D" w14:textId="1F899548"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Srednja vrijednost promjene BCVA od početne vrijednosti prema ETDRS skoru slova (95% CI)</w:t>
            </w: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EB084"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6,6</w:t>
            </w:r>
          </w:p>
          <w:p w14:paraId="58F688BA"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(5,3; 7,8)</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81A12"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6,6</w:t>
            </w:r>
          </w:p>
          <w:p w14:paraId="573CD77D"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(5,3; 7,8)</w:t>
            </w: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3C408"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5,0</w:t>
            </w:r>
          </w:p>
          <w:p w14:paraId="7B2436C7"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(3,4; 6,6)</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66242"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5,2</w:t>
            </w:r>
          </w:p>
          <w:p w14:paraId="08046276"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(3,6; 6,8)</w:t>
            </w:r>
          </w:p>
        </w:tc>
      </w:tr>
      <w:tr w:rsidR="004E4AD2" w:rsidRPr="0014404C" w14:paraId="3C0D78FA" w14:textId="77777777" w:rsidTr="004E4AD2">
        <w:trPr>
          <w:cantSplit/>
        </w:trPr>
        <w:tc>
          <w:tcPr>
            <w:tcW w:w="2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08973" w14:textId="4B1C4B7C"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Razlika u srednjoj vrijednosti (LS) (95% CI)</w:t>
            </w: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5B779"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0,0</w:t>
            </w:r>
          </w:p>
          <w:p w14:paraId="130C8DBA"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(-1,7; 1,8)</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5DA35" w14:textId="77777777" w:rsidR="004E4AD2" w:rsidRPr="0014404C" w:rsidRDefault="004E4AD2" w:rsidP="0014404C">
            <w:pPr>
              <w:widowControl w:val="0"/>
              <w:contextualSpacing/>
              <w:jc w:val="both"/>
              <w:rPr>
                <w:color w:val="000000"/>
                <w:sz w:val="22"/>
                <w:szCs w:val="22"/>
                <w:lang w:val="sr-Latn-ME" w:eastAsia="ja-JP"/>
              </w:rPr>
            </w:pP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10196"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-0,2</w:t>
            </w:r>
          </w:p>
          <w:p w14:paraId="5D96CBA1"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(-2,4; 2,1)</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ECE4E" w14:textId="77777777" w:rsidR="004E4AD2" w:rsidRPr="0014404C" w:rsidRDefault="004E4AD2" w:rsidP="0014404C">
            <w:pPr>
              <w:widowControl w:val="0"/>
              <w:contextualSpacing/>
              <w:jc w:val="both"/>
              <w:rPr>
                <w:color w:val="000000"/>
                <w:sz w:val="22"/>
                <w:szCs w:val="22"/>
                <w:lang w:val="sr-Latn-ME" w:eastAsia="ja-JP"/>
              </w:rPr>
            </w:pPr>
          </w:p>
        </w:tc>
      </w:tr>
      <w:tr w:rsidR="004E4AD2" w:rsidRPr="0014404C" w14:paraId="7757AD3C" w14:textId="77777777" w:rsidTr="004E4AD2">
        <w:trPr>
          <w:cantSplit/>
        </w:trPr>
        <w:tc>
          <w:tcPr>
            <w:tcW w:w="2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6E55C" w14:textId="116000DA" w:rsidR="004E4AD2" w:rsidRPr="0014404C" w:rsidRDefault="004E4AD2" w:rsidP="0014404C">
            <w:pPr>
              <w:widowControl w:val="0"/>
              <w:contextualSpacing/>
              <w:jc w:val="both"/>
              <w:rPr>
                <w:color w:val="000000"/>
                <w:sz w:val="22"/>
                <w:szCs w:val="22"/>
                <w:lang w:val="sr-Latn-ME" w:eastAsia="ja-JP"/>
              </w:rPr>
            </w:pPr>
            <w:r w:rsidRPr="0014404C">
              <w:rPr>
                <w:sz w:val="22"/>
                <w:szCs w:val="22"/>
                <w:lang w:val="sr-Latn-ME" w:eastAsia="ja-JP"/>
              </w:rPr>
              <w:t>Procenat pacijenata sa poboljšanjem početne vrijednosti ≥ 15 slova (CMH ponderisani procenat, 95% CI)</w:t>
            </w: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9F2C2"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20,2%</w:t>
            </w:r>
          </w:p>
          <w:p w14:paraId="76E2CB86"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(15,9%; 24,6%)</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6C5B8"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22,2%</w:t>
            </w:r>
          </w:p>
          <w:p w14:paraId="19FC0F5E"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(17,7%; 26,8%)</w:t>
            </w: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655CC"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22,4%</w:t>
            </w:r>
          </w:p>
          <w:p w14:paraId="20766C58"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(17,8%; 27,1%)</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741E9"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21,3%</w:t>
            </w:r>
          </w:p>
          <w:p w14:paraId="4F186E98"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(16,8%; 25,9%)</w:t>
            </w:r>
          </w:p>
        </w:tc>
      </w:tr>
      <w:tr w:rsidR="004E4AD2" w:rsidRPr="0014404C" w14:paraId="22C5E43C" w14:textId="77777777" w:rsidTr="004E4AD2">
        <w:trPr>
          <w:cantSplit/>
        </w:trPr>
        <w:tc>
          <w:tcPr>
            <w:tcW w:w="2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DC5D6" w14:textId="77777777"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Razlika ponderisanog % CMH (95% CI)</w:t>
            </w: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BAA70"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-2,0%</w:t>
            </w:r>
          </w:p>
          <w:p w14:paraId="1E8662BB"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(-8,3%; 4,3%)</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663D2" w14:textId="77777777" w:rsidR="004E4AD2" w:rsidRPr="0014404C" w:rsidRDefault="004E4AD2" w:rsidP="0014404C">
            <w:pPr>
              <w:widowControl w:val="0"/>
              <w:contextualSpacing/>
              <w:jc w:val="both"/>
              <w:rPr>
                <w:color w:val="000000"/>
                <w:sz w:val="22"/>
                <w:szCs w:val="22"/>
                <w:lang w:val="sr-Latn-ME" w:eastAsia="ja-JP"/>
              </w:rPr>
            </w:pP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0387E"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1,1%</w:t>
            </w:r>
          </w:p>
          <w:p w14:paraId="4D74255F"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(-5;4%; 7,6%)</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A810E" w14:textId="77777777" w:rsidR="004E4AD2" w:rsidRPr="0014404C" w:rsidRDefault="004E4AD2" w:rsidP="0014404C">
            <w:pPr>
              <w:widowControl w:val="0"/>
              <w:contextualSpacing/>
              <w:jc w:val="both"/>
              <w:rPr>
                <w:color w:val="000000"/>
                <w:sz w:val="22"/>
                <w:szCs w:val="22"/>
                <w:lang w:val="sr-Latn-ME" w:eastAsia="ja-JP"/>
              </w:rPr>
            </w:pPr>
          </w:p>
        </w:tc>
      </w:tr>
      <w:tr w:rsidR="004E4AD2" w:rsidRPr="0014404C" w14:paraId="0AEE5BAA" w14:textId="77777777" w:rsidTr="004E4AD2">
        <w:trPr>
          <w:cantSplit/>
        </w:trPr>
        <w:tc>
          <w:tcPr>
            <w:tcW w:w="2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185E0" w14:textId="3738FCB4" w:rsidR="004E4AD2" w:rsidRPr="0014404C" w:rsidRDefault="004E4AD2" w:rsidP="0014404C">
            <w:pPr>
              <w:widowControl w:val="0"/>
              <w:contextualSpacing/>
              <w:jc w:val="both"/>
              <w:rPr>
                <w:color w:val="000000"/>
                <w:sz w:val="22"/>
                <w:szCs w:val="22"/>
                <w:lang w:val="sr-Latn-ME" w:eastAsia="ja-JP"/>
              </w:rPr>
            </w:pPr>
            <w:r w:rsidRPr="0014404C">
              <w:rPr>
                <w:sz w:val="22"/>
                <w:szCs w:val="22"/>
                <w:lang w:val="sr-Latn-ME" w:eastAsia="ja-JP"/>
              </w:rPr>
              <w:t>Procenat pacijenata koji su izbjegli gubitak ≥ 15 slova u odnosu na početnu vrijednost (CMH ponderisani procenat, 95% CI)</w:t>
            </w: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99F12"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95,8%</w:t>
            </w:r>
          </w:p>
          <w:p w14:paraId="65282DF5"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(93,6%; 98,0%)</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80797"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97,3%</w:t>
            </w:r>
          </w:p>
          <w:p w14:paraId="04C801CD"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(95,5%; 99,1%)</w:t>
            </w: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9D611"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92,9%</w:t>
            </w:r>
          </w:p>
          <w:p w14:paraId="1695ED52"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(90,1%; 95,8%)</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E1D89"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93,2%</w:t>
            </w:r>
          </w:p>
          <w:p w14:paraId="687FD3D4"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(90,2%; 96,2%)</w:t>
            </w:r>
          </w:p>
        </w:tc>
      </w:tr>
      <w:tr w:rsidR="004E4AD2" w:rsidRPr="0014404C" w14:paraId="5891B252" w14:textId="77777777" w:rsidTr="004E4AD2">
        <w:trPr>
          <w:cantSplit/>
        </w:trPr>
        <w:tc>
          <w:tcPr>
            <w:tcW w:w="2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F2E98" w14:textId="77777777" w:rsidR="004E4AD2" w:rsidRPr="0014404C" w:rsidRDefault="004E4AD2" w:rsidP="0014404C">
            <w:pPr>
              <w:widowControl w:val="0"/>
              <w:contextualSpacing/>
              <w:jc w:val="both"/>
              <w:rPr>
                <w:color w:val="000000"/>
                <w:sz w:val="22"/>
                <w:szCs w:val="22"/>
                <w:lang w:val="sr-Latn-ME" w:eastAsia="ja-JP"/>
              </w:rPr>
            </w:pPr>
            <w:r w:rsidRPr="0014404C">
              <w:rPr>
                <w:color w:val="000000"/>
                <w:sz w:val="22"/>
                <w:szCs w:val="22"/>
                <w:lang w:val="sr-Latn-ME" w:eastAsia="ja-JP"/>
              </w:rPr>
              <w:t>Razlika ponderisanog % CMH (95% CI)</w:t>
            </w:r>
          </w:p>
        </w:tc>
        <w:tc>
          <w:tcPr>
            <w:tcW w:w="18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B7302"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-1,5%</w:t>
            </w:r>
          </w:p>
          <w:p w14:paraId="4AA7DBE2"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(-4,4%; 1,3%)</w:t>
            </w:r>
          </w:p>
        </w:tc>
        <w:tc>
          <w:tcPr>
            <w:tcW w:w="1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B43DF" w14:textId="77777777" w:rsidR="004E4AD2" w:rsidRPr="0014404C" w:rsidRDefault="004E4AD2" w:rsidP="0014404C">
            <w:pPr>
              <w:widowControl w:val="0"/>
              <w:contextualSpacing/>
              <w:jc w:val="both"/>
              <w:rPr>
                <w:color w:val="000000"/>
                <w:sz w:val="22"/>
                <w:szCs w:val="22"/>
                <w:lang w:val="sr-Latn-ME" w:eastAsia="ja-JP"/>
              </w:rPr>
            </w:pPr>
          </w:p>
        </w:tc>
        <w:tc>
          <w:tcPr>
            <w:tcW w:w="17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78286" w14:textId="77777777" w:rsidR="004E4AD2" w:rsidRPr="0014404C" w:rsidRDefault="004E4AD2" w:rsidP="0014404C">
            <w:pPr>
              <w:widowControl w:val="0"/>
              <w:jc w:val="both"/>
              <w:rPr>
                <w:iCs/>
                <w:sz w:val="22"/>
                <w:szCs w:val="22"/>
                <w:lang w:val="sr-Latn-ME" w:eastAsia="ja-JP"/>
              </w:rPr>
            </w:pPr>
            <w:r w:rsidRPr="0014404C">
              <w:rPr>
                <w:iCs/>
                <w:sz w:val="22"/>
                <w:szCs w:val="22"/>
                <w:lang w:val="sr-Latn-ME" w:eastAsia="ja-JP"/>
              </w:rPr>
              <w:t>-0,2%</w:t>
            </w:r>
          </w:p>
          <w:p w14:paraId="0D373795" w14:textId="77777777" w:rsidR="004E4AD2" w:rsidRPr="0014404C" w:rsidRDefault="004E4AD2" w:rsidP="0014404C">
            <w:pPr>
              <w:widowControl w:val="0"/>
              <w:contextualSpacing/>
              <w:jc w:val="both"/>
              <w:rPr>
                <w:color w:val="000000"/>
                <w:sz w:val="22"/>
                <w:szCs w:val="22"/>
                <w:lang w:val="sr-Latn-ME" w:eastAsia="ja-JP"/>
              </w:rPr>
            </w:pPr>
            <w:r w:rsidRPr="0014404C">
              <w:rPr>
                <w:iCs/>
                <w:sz w:val="22"/>
                <w:szCs w:val="22"/>
                <w:lang w:val="sr-Latn-ME" w:eastAsia="ja-JP"/>
              </w:rPr>
              <w:t>(-4,4%; 3,9%)</w:t>
            </w:r>
          </w:p>
        </w:tc>
        <w:tc>
          <w:tcPr>
            <w:tcW w:w="1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C0DFF" w14:textId="77777777" w:rsidR="004E4AD2" w:rsidRPr="0014404C" w:rsidRDefault="004E4AD2" w:rsidP="0014404C">
            <w:pPr>
              <w:widowControl w:val="0"/>
              <w:contextualSpacing/>
              <w:jc w:val="both"/>
              <w:rPr>
                <w:color w:val="000000"/>
                <w:sz w:val="22"/>
                <w:szCs w:val="22"/>
                <w:lang w:val="sr-Latn-ME" w:eastAsia="ja-JP"/>
              </w:rPr>
            </w:pPr>
          </w:p>
        </w:tc>
      </w:tr>
    </w:tbl>
    <w:p w14:paraId="0815B5FE" w14:textId="0F066009" w:rsidR="004E4AD2" w:rsidRPr="0014404C" w:rsidRDefault="004E4AD2" w:rsidP="0014404C">
      <w:pPr>
        <w:widowControl w:val="0"/>
        <w:jc w:val="both"/>
        <w:rPr>
          <w:sz w:val="20"/>
          <w:szCs w:val="22"/>
          <w:lang w:val="sr-Latn-ME" w:eastAsia="ja-JP"/>
        </w:rPr>
      </w:pPr>
      <w:r w:rsidRPr="0014404C">
        <w:rPr>
          <w:sz w:val="20"/>
          <w:szCs w:val="22"/>
          <w:vertAlign w:val="superscript"/>
          <w:lang w:val="sr-Latn-ME" w:eastAsia="ja-JP"/>
        </w:rPr>
        <w:lastRenderedPageBreak/>
        <w:t>a</w:t>
      </w:r>
      <w:r w:rsidRPr="0014404C">
        <w:rPr>
          <w:sz w:val="20"/>
          <w:szCs w:val="22"/>
          <w:lang w:val="sr-Latn-ME" w:eastAsia="ja-JP"/>
        </w:rPr>
        <w:t xml:space="preserve">Prosječna vrijednost za 40., 44. i 48. nedjelju; </w:t>
      </w:r>
      <w:r w:rsidRPr="0014404C">
        <w:rPr>
          <w:sz w:val="20"/>
          <w:szCs w:val="22"/>
          <w:vertAlign w:val="superscript"/>
          <w:lang w:val="sr-Latn-ME" w:eastAsia="ja-JP"/>
        </w:rPr>
        <w:t>b</w:t>
      </w:r>
      <w:r w:rsidRPr="0014404C">
        <w:rPr>
          <w:sz w:val="20"/>
          <w:szCs w:val="22"/>
          <w:lang w:val="sr-Latn-ME" w:eastAsia="ja-JP"/>
        </w:rPr>
        <w:t>Prosječna vrijednost za 104, 108. i 112. nedjelju</w:t>
      </w:r>
    </w:p>
    <w:p w14:paraId="43F37B29" w14:textId="77777777" w:rsidR="004E4AD2" w:rsidRPr="0014404C" w:rsidRDefault="004E4AD2" w:rsidP="0014404C">
      <w:pPr>
        <w:widowControl w:val="0"/>
        <w:jc w:val="both"/>
        <w:rPr>
          <w:sz w:val="20"/>
          <w:szCs w:val="22"/>
          <w:lang w:val="sr-Latn-ME" w:eastAsia="ja-JP"/>
        </w:rPr>
      </w:pPr>
      <w:r w:rsidRPr="0014404C">
        <w:rPr>
          <w:sz w:val="20"/>
          <w:szCs w:val="22"/>
          <w:lang w:val="sr-Latn-ME" w:eastAsia="ja-JP"/>
        </w:rPr>
        <w:t xml:space="preserve">BCVA: najbolja korigovana oštrina vida </w:t>
      </w:r>
    </w:p>
    <w:p w14:paraId="6EC89BF9" w14:textId="6D49F6FF" w:rsidR="004E4AD2" w:rsidRPr="0014404C" w:rsidRDefault="004E4AD2" w:rsidP="0014404C">
      <w:pPr>
        <w:widowControl w:val="0"/>
        <w:jc w:val="both"/>
        <w:rPr>
          <w:sz w:val="20"/>
          <w:szCs w:val="22"/>
          <w:lang w:val="sr-Latn-ME" w:eastAsia="ja-JP"/>
        </w:rPr>
      </w:pPr>
      <w:r w:rsidRPr="0014404C">
        <w:rPr>
          <w:sz w:val="20"/>
          <w:szCs w:val="22"/>
          <w:lang w:val="sr-Latn-ME" w:eastAsia="ja-JP"/>
        </w:rPr>
        <w:t xml:space="preserve">ETDRS: Studija ranog liječenja dijabetičke retinopatije </w:t>
      </w:r>
    </w:p>
    <w:p w14:paraId="2114959F" w14:textId="77777777" w:rsidR="004E4AD2" w:rsidRPr="0014404C" w:rsidRDefault="004E4AD2" w:rsidP="0014404C">
      <w:pPr>
        <w:widowControl w:val="0"/>
        <w:jc w:val="both"/>
        <w:rPr>
          <w:sz w:val="20"/>
          <w:szCs w:val="22"/>
          <w:lang w:val="sr-Latn-ME" w:eastAsia="ja-JP"/>
        </w:rPr>
      </w:pPr>
      <w:r w:rsidRPr="0014404C">
        <w:rPr>
          <w:sz w:val="20"/>
          <w:szCs w:val="22"/>
          <w:lang w:val="sr-Latn-ME" w:eastAsia="ja-JP"/>
        </w:rPr>
        <w:t>CI: interval pouzdanosti</w:t>
      </w:r>
    </w:p>
    <w:p w14:paraId="2DBCB979" w14:textId="77777777" w:rsidR="004E4AD2" w:rsidRPr="0014404C" w:rsidRDefault="004E4AD2" w:rsidP="0014404C">
      <w:pPr>
        <w:widowControl w:val="0"/>
        <w:jc w:val="both"/>
        <w:rPr>
          <w:sz w:val="20"/>
          <w:szCs w:val="22"/>
          <w:lang w:val="sr-Latn-ME" w:eastAsia="ja-JP"/>
        </w:rPr>
      </w:pPr>
      <w:r w:rsidRPr="0014404C">
        <w:rPr>
          <w:sz w:val="20"/>
          <w:szCs w:val="22"/>
          <w:lang w:val="sr-Latn-ME" w:eastAsia="ja-JP"/>
        </w:rPr>
        <w:t xml:space="preserve">LS: najmanji kvadrat </w:t>
      </w:r>
    </w:p>
    <w:p w14:paraId="3C242016" w14:textId="6486C4B1" w:rsidR="004E4AD2" w:rsidRPr="0014404C" w:rsidRDefault="004E4AD2" w:rsidP="0014404C">
      <w:pPr>
        <w:widowControl w:val="0"/>
        <w:jc w:val="both"/>
        <w:rPr>
          <w:sz w:val="20"/>
          <w:szCs w:val="22"/>
          <w:lang w:val="sr-Latn-ME" w:eastAsia="ja-JP"/>
        </w:rPr>
      </w:pPr>
      <w:r w:rsidRPr="0014404C">
        <w:rPr>
          <w:sz w:val="20"/>
          <w:szCs w:val="22"/>
          <w:lang w:val="sr-Latn-ME" w:eastAsia="ja-JP"/>
        </w:rPr>
        <w:t>CMH: Cochran–Mantel–Haenszelova metoda; statistički test koji daje procjenu povezanosti sa binarnim ishodom i koji se koristi za procjenu kategoričkih varijabli.</w:t>
      </w:r>
    </w:p>
    <w:p w14:paraId="1FF87704" w14:textId="1215BF3A" w:rsidR="00146D5A" w:rsidRPr="0014404C" w:rsidRDefault="00146D5A" w:rsidP="0014404C">
      <w:pPr>
        <w:widowControl w:val="0"/>
        <w:tabs>
          <w:tab w:val="left" w:pos="540"/>
          <w:tab w:val="left" w:pos="569"/>
        </w:tabs>
        <w:jc w:val="both"/>
        <w:rPr>
          <w:bCs/>
          <w:sz w:val="22"/>
          <w:szCs w:val="22"/>
          <w:lang w:val="sr-Latn-ME"/>
        </w:rPr>
      </w:pPr>
    </w:p>
    <w:p w14:paraId="0FD628DF" w14:textId="2F316412" w:rsidR="00146D5A" w:rsidRPr="0014404C" w:rsidRDefault="00146D5A" w:rsidP="0014404C">
      <w:pPr>
        <w:widowControl w:val="0"/>
        <w:jc w:val="both"/>
        <w:rPr>
          <w:bCs/>
          <w:sz w:val="22"/>
          <w:szCs w:val="22"/>
          <w:lang w:val="sr-Latn-ME" w:eastAsia="ja-JP"/>
        </w:rPr>
      </w:pPr>
      <w:r w:rsidRPr="0014404C">
        <w:rPr>
          <w:b/>
          <w:bCs/>
          <w:sz w:val="22"/>
          <w:szCs w:val="22"/>
          <w:lang w:val="sr-Latn-ME" w:eastAsia="ja-JP"/>
        </w:rPr>
        <w:t xml:space="preserve">Slika 1: Srednja vrijednost promjene oštrine vida od početka do </w:t>
      </w:r>
      <w:r w:rsidR="004E4AD2" w:rsidRPr="0014404C">
        <w:rPr>
          <w:b/>
          <w:bCs/>
          <w:sz w:val="22"/>
          <w:szCs w:val="22"/>
          <w:lang w:val="sr-Latn-ME" w:eastAsia="ja-JP"/>
        </w:rPr>
        <w:t>2. godine (112</w:t>
      </w:r>
      <w:r w:rsidRPr="0014404C">
        <w:rPr>
          <w:b/>
          <w:bCs/>
          <w:sz w:val="22"/>
          <w:szCs w:val="22"/>
          <w:lang w:val="sr-Latn-ME" w:eastAsia="ja-JP"/>
        </w:rPr>
        <w:t>. nedjelje</w:t>
      </w:r>
      <w:r w:rsidR="004E4AD2" w:rsidRPr="0014404C">
        <w:rPr>
          <w:b/>
          <w:bCs/>
          <w:sz w:val="22"/>
          <w:szCs w:val="22"/>
          <w:lang w:val="sr-Latn-ME" w:eastAsia="ja-JP"/>
        </w:rPr>
        <w:t>)</w:t>
      </w:r>
      <w:r w:rsidRPr="0014404C">
        <w:rPr>
          <w:b/>
          <w:bCs/>
          <w:sz w:val="22"/>
          <w:szCs w:val="22"/>
          <w:lang w:val="sr-Latn-ME" w:eastAsia="ja-JP"/>
        </w:rPr>
        <w:t>; kombinovani podaci iz studija TENAYA i LUCERNE</w:t>
      </w:r>
      <w:r w:rsidRPr="0014404C">
        <w:rPr>
          <w:sz w:val="22"/>
          <w:szCs w:val="22"/>
          <w:lang w:val="sr-Latn-ME" w:eastAsia="ja-JP"/>
        </w:rPr>
        <w:t xml:space="preserve"> </w:t>
      </w:r>
    </w:p>
    <w:p w14:paraId="2C447F8B" w14:textId="77777777" w:rsidR="00146D5A" w:rsidRPr="0014404C" w:rsidRDefault="00146D5A" w:rsidP="0014404C">
      <w:pPr>
        <w:widowControl w:val="0"/>
        <w:tabs>
          <w:tab w:val="left" w:pos="540"/>
          <w:tab w:val="left" w:pos="569"/>
        </w:tabs>
        <w:jc w:val="both"/>
        <w:rPr>
          <w:bCs/>
          <w:sz w:val="22"/>
          <w:szCs w:val="22"/>
          <w:lang w:val="sr-Latn-ME"/>
        </w:rPr>
      </w:pPr>
    </w:p>
    <w:p w14:paraId="2F50A615" w14:textId="14D8C1E3" w:rsidR="0036275D" w:rsidRPr="0014404C" w:rsidRDefault="0036275D" w:rsidP="0014404C">
      <w:pPr>
        <w:widowControl w:val="0"/>
        <w:tabs>
          <w:tab w:val="left" w:pos="540"/>
          <w:tab w:val="left" w:pos="569"/>
        </w:tabs>
        <w:jc w:val="both"/>
        <w:rPr>
          <w:bCs/>
          <w:sz w:val="22"/>
          <w:szCs w:val="22"/>
          <w:lang w:val="sr-Latn-ME"/>
        </w:rPr>
      </w:pPr>
    </w:p>
    <w:p w14:paraId="20AB3EE6" w14:textId="00652165" w:rsidR="004E4AD2" w:rsidRPr="0014404C" w:rsidRDefault="004E4AD2" w:rsidP="0014404C">
      <w:pPr>
        <w:widowControl w:val="0"/>
        <w:tabs>
          <w:tab w:val="left" w:pos="540"/>
          <w:tab w:val="left" w:pos="569"/>
        </w:tabs>
        <w:jc w:val="both"/>
        <w:rPr>
          <w:bCs/>
          <w:sz w:val="22"/>
          <w:szCs w:val="22"/>
          <w:lang w:val="sr-Latn-ME"/>
        </w:rPr>
      </w:pPr>
    </w:p>
    <w:p w14:paraId="42BEDDA9" w14:textId="33F198DE" w:rsidR="004E4AD2" w:rsidRPr="0014404C" w:rsidRDefault="004810DC" w:rsidP="0014404C">
      <w:pPr>
        <w:widowControl w:val="0"/>
        <w:tabs>
          <w:tab w:val="left" w:pos="540"/>
          <w:tab w:val="left" w:pos="569"/>
        </w:tabs>
        <w:jc w:val="both"/>
        <w:rPr>
          <w:bCs/>
          <w:sz w:val="22"/>
          <w:szCs w:val="22"/>
          <w:lang w:val="sr-Latn-ME"/>
        </w:rPr>
      </w:pPr>
      <w:r w:rsidRPr="0014404C">
        <w:rPr>
          <w:bCs/>
          <w:sz w:val="22"/>
          <w:szCs w:val="22"/>
          <w:lang w:val="sr-Latn-ME" w:eastAsia="sr-Latn-ME"/>
        </w:rPr>
        <w:drawing>
          <wp:inline distT="0" distB="0" distL="0" distR="0" wp14:anchorId="56825AAF" wp14:editId="6AD85269">
            <wp:extent cx="5768975" cy="3674745"/>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8975" cy="3674745"/>
                    </a:xfrm>
                    <a:prstGeom prst="rect">
                      <a:avLst/>
                    </a:prstGeom>
                  </pic:spPr>
                </pic:pic>
              </a:graphicData>
            </a:graphic>
          </wp:inline>
        </w:drawing>
      </w:r>
    </w:p>
    <w:p w14:paraId="44004873" w14:textId="77777777" w:rsidR="002E37A5" w:rsidRPr="0014404C" w:rsidRDefault="002E37A5" w:rsidP="0014404C">
      <w:pPr>
        <w:widowControl w:val="0"/>
        <w:tabs>
          <w:tab w:val="left" w:pos="540"/>
          <w:tab w:val="left" w:pos="569"/>
        </w:tabs>
        <w:jc w:val="both"/>
        <w:rPr>
          <w:b/>
          <w:bCs/>
          <w:sz w:val="22"/>
          <w:szCs w:val="22"/>
          <w:lang w:val="sr-Latn-ME"/>
        </w:rPr>
      </w:pPr>
    </w:p>
    <w:p w14:paraId="59E82EEE" w14:textId="7E28238F"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I u studiji TENAYA, i u studiji LUCERNE poboljšanja BCVA i CST od početka studije do 60. </w:t>
      </w:r>
      <w:r w:rsidR="005000C0" w:rsidRPr="0014404C">
        <w:rPr>
          <w:sz w:val="22"/>
          <w:szCs w:val="22"/>
          <w:lang w:val="sr-Latn-ME" w:eastAsia="ja-JP"/>
        </w:rPr>
        <w:t xml:space="preserve">nedjelje </w:t>
      </w:r>
      <w:r w:rsidRPr="0014404C">
        <w:rPr>
          <w:sz w:val="22"/>
          <w:szCs w:val="22"/>
          <w:lang w:val="sr-Latn-ME" w:eastAsia="ja-JP"/>
        </w:rPr>
        <w:t xml:space="preserve">bila su uporediva u </w:t>
      </w:r>
      <w:r w:rsidR="005000C0" w:rsidRPr="0014404C">
        <w:rPr>
          <w:sz w:val="22"/>
          <w:szCs w:val="22"/>
          <w:lang w:val="sr-Latn-ME" w:eastAsia="ja-JP"/>
        </w:rPr>
        <w:t xml:space="preserve">obje </w:t>
      </w:r>
      <w:r w:rsidRPr="0014404C">
        <w:rPr>
          <w:sz w:val="22"/>
          <w:szCs w:val="22"/>
          <w:lang w:val="sr-Latn-ME" w:eastAsia="ja-JP"/>
        </w:rPr>
        <w:t>terapijske grupe i odgovarala su poboljšanjima</w:t>
      </w:r>
      <w:r w:rsidR="005000C0" w:rsidRPr="0014404C">
        <w:rPr>
          <w:sz w:val="22"/>
          <w:szCs w:val="22"/>
          <w:lang w:val="sr-Latn-ME" w:eastAsia="ja-JP"/>
        </w:rPr>
        <w:t xml:space="preserve"> zabilježenim </w:t>
      </w:r>
      <w:r w:rsidRPr="0014404C">
        <w:rPr>
          <w:sz w:val="22"/>
          <w:szCs w:val="22"/>
          <w:lang w:val="sr-Latn-ME" w:eastAsia="ja-JP"/>
        </w:rPr>
        <w:t xml:space="preserve">u 48. </w:t>
      </w:r>
      <w:r w:rsidR="005000C0" w:rsidRPr="0014404C">
        <w:rPr>
          <w:sz w:val="22"/>
          <w:szCs w:val="22"/>
          <w:lang w:val="sr-Latn-ME" w:eastAsia="ja-JP"/>
        </w:rPr>
        <w:t>nedjelji</w:t>
      </w:r>
      <w:r w:rsidRPr="0014404C">
        <w:rPr>
          <w:sz w:val="22"/>
          <w:szCs w:val="22"/>
          <w:lang w:val="sr-Latn-ME" w:eastAsia="ja-JP"/>
        </w:rPr>
        <w:t>.</w:t>
      </w:r>
    </w:p>
    <w:p w14:paraId="3B5D416B" w14:textId="4CABFFA4" w:rsidR="00810158" w:rsidRPr="0014404C" w:rsidRDefault="00810158" w:rsidP="0014404C">
      <w:pPr>
        <w:widowControl w:val="0"/>
        <w:jc w:val="both"/>
        <w:rPr>
          <w:bCs/>
          <w:iCs/>
          <w:sz w:val="22"/>
          <w:szCs w:val="22"/>
          <w:lang w:val="sr-Latn-ME" w:eastAsia="ja-JP"/>
        </w:rPr>
      </w:pPr>
    </w:p>
    <w:p w14:paraId="20C24193" w14:textId="308FFC3B" w:rsidR="004810DC" w:rsidRPr="0014404C" w:rsidRDefault="004810DC" w:rsidP="0014404C">
      <w:pPr>
        <w:widowControl w:val="0"/>
        <w:jc w:val="both"/>
        <w:rPr>
          <w:bCs/>
          <w:iCs/>
          <w:sz w:val="22"/>
          <w:szCs w:val="22"/>
          <w:lang w:val="sr-Latn-ME" w:eastAsia="ja-JP"/>
        </w:rPr>
      </w:pPr>
      <w:r w:rsidRPr="0014404C">
        <w:rPr>
          <w:bCs/>
          <w:iCs/>
          <w:sz w:val="22"/>
          <w:szCs w:val="22"/>
          <w:lang w:val="sr-Latn-ME" w:eastAsia="ja-JP"/>
        </w:rPr>
        <w:t>U 60. nedjelji 46% pacijenata u studiji TENAYA i u studiji LUCERNE primalo je terapiju u intervalima od 16 nedjelja. Među njima je 69% pacijenata iz ob</w:t>
      </w:r>
      <w:r w:rsidR="003A781A" w:rsidRPr="0014404C">
        <w:rPr>
          <w:bCs/>
          <w:iCs/>
          <w:sz w:val="22"/>
          <w:szCs w:val="22"/>
          <w:lang w:val="sr-Latn-ME" w:eastAsia="ja-JP"/>
        </w:rPr>
        <w:t>j</w:t>
      </w:r>
      <w:r w:rsidRPr="0014404C">
        <w:rPr>
          <w:bCs/>
          <w:iCs/>
          <w:sz w:val="22"/>
          <w:szCs w:val="22"/>
          <w:lang w:val="sr-Latn-ME" w:eastAsia="ja-JP"/>
        </w:rPr>
        <w:t>e studije nastavilo da prima terapiju svakih 16 nedjelja do kraja 112. nedjelje bez skraćivanja intervala liječenja.</w:t>
      </w:r>
    </w:p>
    <w:p w14:paraId="575A5AE0" w14:textId="77777777" w:rsidR="004810DC" w:rsidRPr="0014404C" w:rsidRDefault="004810DC" w:rsidP="0014404C">
      <w:pPr>
        <w:widowControl w:val="0"/>
        <w:jc w:val="both"/>
        <w:rPr>
          <w:bCs/>
          <w:iCs/>
          <w:sz w:val="22"/>
          <w:szCs w:val="22"/>
          <w:lang w:val="sr-Latn-ME" w:eastAsia="ja-JP"/>
        </w:rPr>
      </w:pPr>
    </w:p>
    <w:p w14:paraId="405D1F3D" w14:textId="2592B021" w:rsidR="004810DC" w:rsidRPr="0014404C" w:rsidRDefault="004810DC" w:rsidP="0014404C">
      <w:pPr>
        <w:widowControl w:val="0"/>
        <w:jc w:val="both"/>
        <w:rPr>
          <w:bCs/>
          <w:iCs/>
          <w:sz w:val="22"/>
          <w:szCs w:val="22"/>
          <w:lang w:val="sr-Latn-ME" w:eastAsia="ja-JP"/>
        </w:rPr>
      </w:pPr>
      <w:r w:rsidRPr="0014404C">
        <w:rPr>
          <w:bCs/>
          <w:iCs/>
          <w:sz w:val="22"/>
          <w:szCs w:val="22"/>
          <w:lang w:val="sr-Latn-ME" w:eastAsia="ja-JP"/>
        </w:rPr>
        <w:t xml:space="preserve">U 60. nedjelji 80% pacijenata u studiji TENAYA, odnosno 78% pacijenata u studiji LUCERNE primalo je terapiju u intervalu od ≥ 12 nedjelja (svakih 16 ili svakih 12 nedjelja). Među njima je 67% odnosno 75% pacijenata nastavilo da prima terapiju u intervalu od ≥ 12 nedjelja do kraja 112. nedjelje bez skraćivanja intervala liječenja na manje od 12 nedjelja.  </w:t>
      </w:r>
    </w:p>
    <w:p w14:paraId="4F843529" w14:textId="77777777" w:rsidR="004810DC" w:rsidRPr="0014404C" w:rsidRDefault="004810DC" w:rsidP="0014404C">
      <w:pPr>
        <w:widowControl w:val="0"/>
        <w:jc w:val="both"/>
        <w:rPr>
          <w:bCs/>
          <w:iCs/>
          <w:sz w:val="22"/>
          <w:szCs w:val="22"/>
          <w:lang w:val="sr-Latn-ME" w:eastAsia="ja-JP"/>
        </w:rPr>
      </w:pPr>
    </w:p>
    <w:p w14:paraId="1DF8431C" w14:textId="38885DA0" w:rsidR="004810DC" w:rsidRPr="0014404C" w:rsidRDefault="004810DC" w:rsidP="0014404C">
      <w:pPr>
        <w:widowControl w:val="0"/>
        <w:jc w:val="both"/>
        <w:rPr>
          <w:bCs/>
          <w:iCs/>
          <w:sz w:val="22"/>
          <w:szCs w:val="22"/>
          <w:lang w:val="sr-Latn-ME" w:eastAsia="ja-JP"/>
        </w:rPr>
      </w:pPr>
      <w:r w:rsidRPr="0014404C">
        <w:rPr>
          <w:bCs/>
          <w:iCs/>
          <w:sz w:val="22"/>
          <w:szCs w:val="22"/>
          <w:lang w:val="sr-Latn-ME" w:eastAsia="ja-JP"/>
        </w:rPr>
        <w:t>U 60. nedjelji 33% pacijenata u studiji TENAYA i u studiji LUCERNE primalo je terapiju u intervalima od 12 nedjelja. Među njima je 3,2% pacijenata iz studije TENAYA odnosno 0% pacijenata iz studije LUCERNE nastavilo da prima terapiju svakih 12 nedjelja do kraja 112. nedjelje.</w:t>
      </w:r>
    </w:p>
    <w:p w14:paraId="58333B26" w14:textId="77777777" w:rsidR="004810DC" w:rsidRPr="0014404C" w:rsidRDefault="004810DC" w:rsidP="0014404C">
      <w:pPr>
        <w:widowControl w:val="0"/>
        <w:jc w:val="both"/>
        <w:rPr>
          <w:bCs/>
          <w:iCs/>
          <w:sz w:val="22"/>
          <w:szCs w:val="22"/>
          <w:lang w:val="sr-Latn-ME" w:eastAsia="ja-JP"/>
        </w:rPr>
      </w:pPr>
    </w:p>
    <w:p w14:paraId="7D7B2398" w14:textId="20819FAC" w:rsidR="004810DC" w:rsidRPr="0014404C" w:rsidRDefault="004810DC" w:rsidP="0014404C">
      <w:pPr>
        <w:widowControl w:val="0"/>
        <w:jc w:val="both"/>
        <w:rPr>
          <w:bCs/>
          <w:iCs/>
          <w:sz w:val="22"/>
          <w:szCs w:val="22"/>
          <w:lang w:val="sr-Latn-ME" w:eastAsia="ja-JP"/>
        </w:rPr>
      </w:pPr>
      <w:r w:rsidRPr="0014404C">
        <w:rPr>
          <w:bCs/>
          <w:iCs/>
          <w:sz w:val="22"/>
          <w:szCs w:val="22"/>
          <w:lang w:val="sr-Latn-ME" w:eastAsia="ja-JP"/>
        </w:rPr>
        <w:t>U 60. nedjelji 20% pacijenata iz studije TENAYA odnosno 22% pacijenata iz studije LUCERNE primalo je terapiju u intervalima od 8 nedjelja. Među njima je 34% pacijenata iz studije TENAYA odnosno 30% pacijenata iz studije LUCERNE nastavilo da prima terapiju svakih 8 nedjelja do kraja 112. nedjelje.</w:t>
      </w:r>
    </w:p>
    <w:p w14:paraId="1DFC2F6E" w14:textId="77777777" w:rsidR="004810DC" w:rsidRPr="0014404C" w:rsidRDefault="004810DC" w:rsidP="0014404C">
      <w:pPr>
        <w:widowControl w:val="0"/>
        <w:jc w:val="both"/>
        <w:rPr>
          <w:bCs/>
          <w:iCs/>
          <w:sz w:val="22"/>
          <w:szCs w:val="22"/>
          <w:lang w:val="sr-Latn-ME" w:eastAsia="ja-JP"/>
        </w:rPr>
      </w:pPr>
    </w:p>
    <w:p w14:paraId="03A3815D" w14:textId="36C5C390"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 xml:space="preserve">Rezultati za efikasnost u svim podgrupama koje su mogle da budu </w:t>
      </w:r>
      <w:r w:rsidR="005000C0" w:rsidRPr="0014404C">
        <w:rPr>
          <w:sz w:val="22"/>
          <w:szCs w:val="22"/>
          <w:lang w:val="sr-Latn-ME" w:eastAsia="ja-JP"/>
        </w:rPr>
        <w:t xml:space="preserve">procijenjene </w:t>
      </w:r>
      <w:r w:rsidRPr="0014404C">
        <w:rPr>
          <w:sz w:val="22"/>
          <w:szCs w:val="22"/>
          <w:lang w:val="sr-Latn-ME" w:eastAsia="ja-JP"/>
        </w:rPr>
        <w:t xml:space="preserve">(npr. podgrupama prema godinama života, polu, rasi, početnoj oštrini vida, tipu lezija i veličini lezija) u svakoj studiji pojedinačno i u objedinjenoj analizi odgovarali su rezultatima u </w:t>
      </w:r>
      <w:r w:rsidR="005000C0" w:rsidRPr="0014404C">
        <w:rPr>
          <w:sz w:val="22"/>
          <w:szCs w:val="22"/>
          <w:lang w:val="sr-Latn-ME" w:eastAsia="ja-JP"/>
        </w:rPr>
        <w:t xml:space="preserve">cjelokupnim </w:t>
      </w:r>
      <w:r w:rsidRPr="0014404C">
        <w:rPr>
          <w:sz w:val="22"/>
          <w:szCs w:val="22"/>
          <w:lang w:val="sr-Latn-ME" w:eastAsia="ja-JP"/>
        </w:rPr>
        <w:t>populacijama.</w:t>
      </w:r>
    </w:p>
    <w:p w14:paraId="32A677F2" w14:textId="77777777" w:rsidR="00810158" w:rsidRPr="0014404C" w:rsidRDefault="00810158" w:rsidP="0014404C">
      <w:pPr>
        <w:widowControl w:val="0"/>
        <w:jc w:val="both"/>
        <w:rPr>
          <w:bCs/>
          <w:iCs/>
          <w:sz w:val="22"/>
          <w:szCs w:val="22"/>
          <w:lang w:val="sr-Latn-ME" w:eastAsia="ja-JP"/>
        </w:rPr>
      </w:pPr>
    </w:p>
    <w:p w14:paraId="37544A5E" w14:textId="34132B7E"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U </w:t>
      </w:r>
      <w:r w:rsidR="005000C0" w:rsidRPr="0014404C">
        <w:rPr>
          <w:sz w:val="22"/>
          <w:szCs w:val="22"/>
          <w:lang w:val="sr-Latn-ME" w:eastAsia="ja-JP"/>
        </w:rPr>
        <w:t xml:space="preserve">obje </w:t>
      </w:r>
      <w:r w:rsidRPr="0014404C">
        <w:rPr>
          <w:sz w:val="22"/>
          <w:szCs w:val="22"/>
          <w:lang w:val="sr-Latn-ME" w:eastAsia="ja-JP"/>
        </w:rPr>
        <w:t xml:space="preserve">studije je faricimab </w:t>
      </w:r>
      <w:r w:rsidR="005000C0" w:rsidRPr="0014404C">
        <w:rPr>
          <w:sz w:val="22"/>
          <w:szCs w:val="22"/>
          <w:lang w:val="sr-Latn-ME" w:eastAsia="ja-JP"/>
        </w:rPr>
        <w:t xml:space="preserve">primijenjen </w:t>
      </w:r>
      <w:r w:rsidRPr="0014404C">
        <w:rPr>
          <w:sz w:val="22"/>
          <w:szCs w:val="22"/>
          <w:lang w:val="sr-Latn-ME" w:eastAsia="ja-JP"/>
        </w:rPr>
        <w:t xml:space="preserve">u intervalima od najviše 16 </w:t>
      </w:r>
      <w:r w:rsidR="00802EFD" w:rsidRPr="0014404C">
        <w:rPr>
          <w:sz w:val="22"/>
          <w:szCs w:val="22"/>
          <w:lang w:val="sr-Latn-ME" w:eastAsia="ja-JP"/>
        </w:rPr>
        <w:t>nedjelja</w:t>
      </w:r>
      <w:r w:rsidRPr="0014404C">
        <w:rPr>
          <w:sz w:val="22"/>
          <w:szCs w:val="22"/>
          <w:lang w:val="sr-Latn-ME" w:eastAsia="ja-JP"/>
        </w:rPr>
        <w:t xml:space="preserve"> pokazao poboljšanje </w:t>
      </w:r>
      <w:r w:rsidR="005000C0" w:rsidRPr="0014404C">
        <w:rPr>
          <w:sz w:val="22"/>
          <w:szCs w:val="22"/>
          <w:lang w:val="sr-Latn-ME" w:eastAsia="ja-JP"/>
        </w:rPr>
        <w:t xml:space="preserve">unaprijed </w:t>
      </w:r>
      <w:r w:rsidRPr="0014404C">
        <w:rPr>
          <w:sz w:val="22"/>
          <w:szCs w:val="22"/>
          <w:lang w:val="sr-Latn-ME" w:eastAsia="ja-JP"/>
        </w:rPr>
        <w:t xml:space="preserve">definisanog parametra </w:t>
      </w:r>
      <w:r w:rsidR="005000C0" w:rsidRPr="0014404C">
        <w:rPr>
          <w:sz w:val="22"/>
          <w:szCs w:val="22"/>
          <w:lang w:val="sr-Latn-ME" w:eastAsia="ja-JP"/>
        </w:rPr>
        <w:t xml:space="preserve">procjene </w:t>
      </w:r>
      <w:r w:rsidRPr="0014404C">
        <w:rPr>
          <w:sz w:val="22"/>
          <w:szCs w:val="22"/>
          <w:lang w:val="sr-Latn-ME" w:eastAsia="ja-JP"/>
        </w:rPr>
        <w:t xml:space="preserve">efikasnosti – srednju </w:t>
      </w:r>
      <w:r w:rsidR="005000C0" w:rsidRPr="0014404C">
        <w:rPr>
          <w:sz w:val="22"/>
          <w:szCs w:val="22"/>
          <w:lang w:val="sr-Latn-ME" w:eastAsia="ja-JP"/>
        </w:rPr>
        <w:t xml:space="preserve">vrijednost promjene </w:t>
      </w:r>
      <w:r w:rsidRPr="0014404C">
        <w:rPr>
          <w:sz w:val="22"/>
          <w:szCs w:val="22"/>
          <w:lang w:val="sr-Latn-ME" w:eastAsia="ja-JP"/>
        </w:rPr>
        <w:t xml:space="preserve">kompozitnog skora upitnika za </w:t>
      </w:r>
      <w:r w:rsidR="005000C0" w:rsidRPr="0014404C">
        <w:rPr>
          <w:sz w:val="22"/>
          <w:szCs w:val="22"/>
          <w:lang w:val="sr-Latn-ME" w:eastAsia="ja-JP"/>
        </w:rPr>
        <w:t xml:space="preserve">ocjenu </w:t>
      </w:r>
      <w:r w:rsidRPr="0014404C">
        <w:rPr>
          <w:sz w:val="22"/>
          <w:szCs w:val="22"/>
          <w:lang w:val="sr-Latn-ME" w:eastAsia="ja-JP"/>
        </w:rPr>
        <w:t xml:space="preserve">funkcije vida Nacionalnog instituta za bolesti oka (engl. </w:t>
      </w:r>
      <w:r w:rsidRPr="0014404C">
        <w:rPr>
          <w:i/>
          <w:sz w:val="22"/>
          <w:szCs w:val="22"/>
          <w:lang w:val="sr-Latn-ME" w:eastAsia="ja-JP"/>
        </w:rPr>
        <w:t>National Eye Institute Visual Function Questionnaire</w:t>
      </w:r>
      <w:r w:rsidRPr="0014404C">
        <w:rPr>
          <w:sz w:val="22"/>
          <w:szCs w:val="22"/>
          <w:lang w:val="sr-Latn-ME" w:eastAsia="ja-JP"/>
        </w:rPr>
        <w:t xml:space="preserve">, NEI VFQ-25) od početka studije do 48. </w:t>
      </w:r>
      <w:r w:rsidR="005000C0" w:rsidRPr="0014404C">
        <w:rPr>
          <w:sz w:val="22"/>
          <w:szCs w:val="22"/>
          <w:lang w:val="sr-Latn-ME" w:eastAsia="ja-JP"/>
        </w:rPr>
        <w:t>nedjelje</w:t>
      </w:r>
      <w:r w:rsidRPr="0014404C">
        <w:rPr>
          <w:sz w:val="22"/>
          <w:szCs w:val="22"/>
          <w:lang w:val="sr-Latn-ME" w:eastAsia="ja-JP"/>
        </w:rPr>
        <w:t xml:space="preserve">, koja je bila uporediva sa onom kada je aflibercept </w:t>
      </w:r>
      <w:r w:rsidR="005000C0" w:rsidRPr="0014404C">
        <w:rPr>
          <w:sz w:val="22"/>
          <w:szCs w:val="22"/>
          <w:lang w:val="sr-Latn-ME" w:eastAsia="ja-JP"/>
        </w:rPr>
        <w:t xml:space="preserve">primijenjen </w:t>
      </w:r>
      <w:r w:rsidRPr="0014404C">
        <w:rPr>
          <w:sz w:val="22"/>
          <w:szCs w:val="22"/>
          <w:lang w:val="sr-Latn-ME" w:eastAsia="ja-JP"/>
        </w:rPr>
        <w:t xml:space="preserve">svakih 8 </w:t>
      </w:r>
      <w:r w:rsidR="00802EFD" w:rsidRPr="0014404C">
        <w:rPr>
          <w:sz w:val="22"/>
          <w:szCs w:val="22"/>
          <w:lang w:val="sr-Latn-ME" w:eastAsia="ja-JP"/>
        </w:rPr>
        <w:t>nedjelja</w:t>
      </w:r>
      <w:r w:rsidRPr="0014404C">
        <w:rPr>
          <w:sz w:val="22"/>
          <w:szCs w:val="22"/>
          <w:lang w:val="sr-Latn-ME" w:eastAsia="ja-JP"/>
        </w:rPr>
        <w:t xml:space="preserve"> i nadmašila graničnu </w:t>
      </w:r>
      <w:r w:rsidR="005000C0" w:rsidRPr="0014404C">
        <w:rPr>
          <w:sz w:val="22"/>
          <w:szCs w:val="22"/>
          <w:lang w:val="sr-Latn-ME" w:eastAsia="ja-JP"/>
        </w:rPr>
        <w:t xml:space="preserve">vrijednost </w:t>
      </w:r>
      <w:r w:rsidRPr="0014404C">
        <w:rPr>
          <w:sz w:val="22"/>
          <w:szCs w:val="22"/>
          <w:lang w:val="sr-Latn-ME" w:eastAsia="ja-JP"/>
        </w:rPr>
        <w:t xml:space="preserve">od 4 boda. Veličina tih </w:t>
      </w:r>
      <w:r w:rsidR="005000C0" w:rsidRPr="0014404C">
        <w:rPr>
          <w:sz w:val="22"/>
          <w:szCs w:val="22"/>
          <w:lang w:val="sr-Latn-ME" w:eastAsia="ja-JP"/>
        </w:rPr>
        <w:t xml:space="preserve">promjena </w:t>
      </w:r>
      <w:r w:rsidRPr="0014404C">
        <w:rPr>
          <w:sz w:val="22"/>
          <w:szCs w:val="22"/>
          <w:lang w:val="sr-Latn-ME" w:eastAsia="ja-JP"/>
        </w:rPr>
        <w:t xml:space="preserve">je odgovarala povećanju BCVA za 15 slova. </w:t>
      </w:r>
    </w:p>
    <w:p w14:paraId="37B5CE9E" w14:textId="77777777" w:rsidR="00810158" w:rsidRPr="0014404C" w:rsidRDefault="00810158" w:rsidP="0014404C">
      <w:pPr>
        <w:widowControl w:val="0"/>
        <w:jc w:val="both"/>
        <w:rPr>
          <w:bCs/>
          <w:iCs/>
          <w:sz w:val="22"/>
          <w:szCs w:val="22"/>
          <w:lang w:val="sr-Latn-ME" w:eastAsia="ja-JP"/>
        </w:rPr>
      </w:pPr>
    </w:p>
    <w:p w14:paraId="54C44E67" w14:textId="277522F2"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U </w:t>
      </w:r>
      <w:r w:rsidR="004810DC" w:rsidRPr="0014404C">
        <w:rPr>
          <w:sz w:val="22"/>
          <w:szCs w:val="22"/>
          <w:lang w:val="sr-Latn-ME" w:eastAsia="ja-JP"/>
        </w:rPr>
        <w:t>112</w:t>
      </w:r>
      <w:r w:rsidRPr="0014404C">
        <w:rPr>
          <w:sz w:val="22"/>
          <w:szCs w:val="22"/>
          <w:lang w:val="sr-Latn-ME" w:eastAsia="ja-JP"/>
        </w:rPr>
        <w:t xml:space="preserve">. </w:t>
      </w:r>
      <w:r w:rsidR="005000C0" w:rsidRPr="0014404C">
        <w:rPr>
          <w:sz w:val="22"/>
          <w:szCs w:val="22"/>
          <w:lang w:val="sr-Latn-ME" w:eastAsia="ja-JP"/>
        </w:rPr>
        <w:t xml:space="preserve">nedjelji </w:t>
      </w:r>
      <w:r w:rsidRPr="0014404C">
        <w:rPr>
          <w:sz w:val="22"/>
          <w:szCs w:val="22"/>
          <w:lang w:val="sr-Latn-ME" w:eastAsia="ja-JP"/>
        </w:rPr>
        <w:t xml:space="preserve">incidenca okularnih neželjenih događaja u ispitivanom oku iznosila je </w:t>
      </w:r>
      <w:r w:rsidR="004810DC" w:rsidRPr="0014404C">
        <w:rPr>
          <w:sz w:val="22"/>
          <w:szCs w:val="22"/>
          <w:lang w:val="sr-Latn-ME" w:eastAsia="ja-JP"/>
        </w:rPr>
        <w:t>53,9</w:t>
      </w:r>
      <w:r w:rsidRPr="0014404C">
        <w:rPr>
          <w:sz w:val="22"/>
          <w:szCs w:val="22"/>
          <w:lang w:val="sr-Latn-ME" w:eastAsia="ja-JP"/>
        </w:rPr>
        <w:t xml:space="preserve">% u grupi </w:t>
      </w:r>
      <w:r w:rsidR="005000C0" w:rsidRPr="0014404C">
        <w:rPr>
          <w:sz w:val="22"/>
          <w:szCs w:val="22"/>
          <w:lang w:val="sr-Latn-ME" w:eastAsia="ja-JP"/>
        </w:rPr>
        <w:t xml:space="preserve">liječenoj </w:t>
      </w:r>
      <w:r w:rsidRPr="0014404C">
        <w:rPr>
          <w:sz w:val="22"/>
          <w:szCs w:val="22"/>
          <w:lang w:val="sr-Latn-ME" w:eastAsia="ja-JP"/>
        </w:rPr>
        <w:t xml:space="preserve">faricimabom i </w:t>
      </w:r>
      <w:r w:rsidR="004810DC" w:rsidRPr="0014404C">
        <w:rPr>
          <w:sz w:val="22"/>
          <w:szCs w:val="22"/>
          <w:lang w:val="sr-Latn-ME" w:eastAsia="ja-JP"/>
        </w:rPr>
        <w:t>52,1</w:t>
      </w:r>
      <w:r w:rsidRPr="0014404C">
        <w:rPr>
          <w:sz w:val="22"/>
          <w:szCs w:val="22"/>
          <w:lang w:val="sr-Latn-ME" w:eastAsia="ja-JP"/>
        </w:rPr>
        <w:t xml:space="preserve">% u grupi </w:t>
      </w:r>
      <w:r w:rsidR="005000C0" w:rsidRPr="0014404C">
        <w:rPr>
          <w:sz w:val="22"/>
          <w:szCs w:val="22"/>
          <w:lang w:val="sr-Latn-ME" w:eastAsia="ja-JP"/>
        </w:rPr>
        <w:t xml:space="preserve">liječenoj </w:t>
      </w:r>
      <w:r w:rsidRPr="0014404C">
        <w:rPr>
          <w:sz w:val="22"/>
          <w:szCs w:val="22"/>
          <w:lang w:val="sr-Latn-ME" w:eastAsia="ja-JP"/>
        </w:rPr>
        <w:t xml:space="preserve">afliberceptom, dok je incidenca neželjenih događaja van oka iznosila </w:t>
      </w:r>
      <w:r w:rsidR="004810DC" w:rsidRPr="0014404C">
        <w:rPr>
          <w:sz w:val="22"/>
          <w:szCs w:val="22"/>
          <w:lang w:val="sr-Latn-ME" w:eastAsia="ja-JP"/>
        </w:rPr>
        <w:t>73,3</w:t>
      </w:r>
      <w:r w:rsidRPr="0014404C">
        <w:rPr>
          <w:sz w:val="22"/>
          <w:szCs w:val="22"/>
          <w:lang w:val="sr-Latn-ME" w:eastAsia="ja-JP"/>
        </w:rPr>
        <w:t xml:space="preserve">% i </w:t>
      </w:r>
      <w:r w:rsidR="004810DC" w:rsidRPr="0014404C">
        <w:rPr>
          <w:sz w:val="22"/>
          <w:szCs w:val="22"/>
          <w:lang w:val="sr-Latn-ME" w:eastAsia="ja-JP"/>
        </w:rPr>
        <w:t>74,3</w:t>
      </w:r>
      <w:r w:rsidRPr="0014404C">
        <w:rPr>
          <w:sz w:val="22"/>
          <w:szCs w:val="22"/>
          <w:lang w:val="sr-Latn-ME" w:eastAsia="ja-JP"/>
        </w:rPr>
        <w:t>% za navedene grupe (</w:t>
      </w:r>
      <w:r w:rsidR="00802EFD" w:rsidRPr="0014404C">
        <w:rPr>
          <w:sz w:val="22"/>
          <w:szCs w:val="22"/>
          <w:lang w:val="sr-Latn-ME" w:eastAsia="ja-JP"/>
        </w:rPr>
        <w:t>vidjeti</w:t>
      </w:r>
      <w:r w:rsidRPr="0014404C">
        <w:rPr>
          <w:sz w:val="22"/>
          <w:szCs w:val="22"/>
          <w:lang w:val="sr-Latn-ME" w:eastAsia="ja-JP"/>
        </w:rPr>
        <w:t xml:space="preserve"> </w:t>
      </w:r>
      <w:r w:rsidR="00AE5479" w:rsidRPr="0014404C">
        <w:rPr>
          <w:sz w:val="22"/>
          <w:szCs w:val="22"/>
          <w:lang w:val="sr-Latn-ME" w:eastAsia="ja-JP"/>
        </w:rPr>
        <w:t>djelove</w:t>
      </w:r>
      <w:r w:rsidRPr="0014404C">
        <w:rPr>
          <w:sz w:val="22"/>
          <w:szCs w:val="22"/>
          <w:lang w:val="sr-Latn-ME" w:eastAsia="ja-JP"/>
        </w:rPr>
        <w:t xml:space="preserve"> 4.4 i 4.8).</w:t>
      </w:r>
    </w:p>
    <w:p w14:paraId="0A009871" w14:textId="77777777" w:rsidR="00810158" w:rsidRPr="0014404C" w:rsidRDefault="00810158" w:rsidP="0014404C">
      <w:pPr>
        <w:widowControl w:val="0"/>
        <w:jc w:val="both"/>
        <w:rPr>
          <w:bCs/>
          <w:iCs/>
          <w:sz w:val="22"/>
          <w:szCs w:val="22"/>
          <w:lang w:val="sr-Latn-ME" w:eastAsia="ja-JP"/>
        </w:rPr>
      </w:pPr>
    </w:p>
    <w:p w14:paraId="53E4E46B" w14:textId="77777777" w:rsidR="00810158" w:rsidRPr="0014404C" w:rsidRDefault="00810158" w:rsidP="0014404C">
      <w:pPr>
        <w:widowControl w:val="0"/>
        <w:jc w:val="both"/>
        <w:rPr>
          <w:bCs/>
          <w:i/>
          <w:iCs/>
          <w:sz w:val="22"/>
          <w:szCs w:val="22"/>
          <w:lang w:val="sr-Latn-ME" w:eastAsia="ja-JP"/>
        </w:rPr>
      </w:pPr>
      <w:r w:rsidRPr="0014404C">
        <w:rPr>
          <w:i/>
          <w:iCs/>
          <w:sz w:val="22"/>
          <w:szCs w:val="22"/>
          <w:lang w:val="sr-Latn-ME" w:eastAsia="ja-JP"/>
        </w:rPr>
        <w:t>DME</w:t>
      </w:r>
    </w:p>
    <w:p w14:paraId="0F1BADA6" w14:textId="77777777" w:rsidR="00810158" w:rsidRPr="0014404C" w:rsidRDefault="00810158" w:rsidP="0014404C">
      <w:pPr>
        <w:widowControl w:val="0"/>
        <w:jc w:val="both"/>
        <w:rPr>
          <w:bCs/>
          <w:iCs/>
          <w:sz w:val="22"/>
          <w:szCs w:val="22"/>
          <w:lang w:val="sr-Latn-ME" w:eastAsia="ja-JP"/>
        </w:rPr>
      </w:pPr>
    </w:p>
    <w:p w14:paraId="33E16570" w14:textId="2BD0E4BC" w:rsidR="00810158" w:rsidRPr="0014404C" w:rsidRDefault="005000C0" w:rsidP="0014404C">
      <w:pPr>
        <w:widowControl w:val="0"/>
        <w:jc w:val="both"/>
        <w:rPr>
          <w:bCs/>
          <w:iCs/>
          <w:sz w:val="22"/>
          <w:szCs w:val="22"/>
          <w:lang w:val="sr-Latn-ME" w:eastAsia="ja-JP"/>
        </w:rPr>
      </w:pPr>
      <w:r w:rsidRPr="0014404C">
        <w:rPr>
          <w:sz w:val="22"/>
          <w:szCs w:val="22"/>
          <w:lang w:val="sr-Latn-ME" w:eastAsia="ja-JP"/>
        </w:rPr>
        <w:t xml:space="preserve">Bezbjednost </w:t>
      </w:r>
      <w:r w:rsidR="00810158" w:rsidRPr="0014404C">
        <w:rPr>
          <w:sz w:val="22"/>
          <w:szCs w:val="22"/>
          <w:lang w:val="sr-Latn-ME" w:eastAsia="ja-JP"/>
        </w:rPr>
        <w:t xml:space="preserve">i efikasnost faricimaba </w:t>
      </w:r>
      <w:r w:rsidRPr="0014404C">
        <w:rPr>
          <w:sz w:val="22"/>
          <w:szCs w:val="22"/>
          <w:lang w:val="sr-Latn-ME" w:eastAsia="ja-JP"/>
        </w:rPr>
        <w:t xml:space="preserve">procjenjivane </w:t>
      </w:r>
      <w:r w:rsidR="00810158" w:rsidRPr="0014404C">
        <w:rPr>
          <w:sz w:val="22"/>
          <w:szCs w:val="22"/>
          <w:lang w:val="sr-Latn-ME" w:eastAsia="ja-JP"/>
        </w:rPr>
        <w:t xml:space="preserve">su u </w:t>
      </w:r>
      <w:r w:rsidRPr="0014404C">
        <w:rPr>
          <w:sz w:val="22"/>
          <w:szCs w:val="22"/>
          <w:lang w:val="sr-Latn-ME" w:eastAsia="ja-JP"/>
        </w:rPr>
        <w:t>dvije</w:t>
      </w:r>
      <w:r w:rsidR="00F01535" w:rsidRPr="0014404C">
        <w:rPr>
          <w:sz w:val="22"/>
          <w:szCs w:val="22"/>
          <w:lang w:val="sr-Latn-ME" w:eastAsia="ja-JP"/>
        </w:rPr>
        <w:t xml:space="preserve"> </w:t>
      </w:r>
      <w:r w:rsidR="00810158" w:rsidRPr="0014404C">
        <w:rPr>
          <w:sz w:val="22"/>
          <w:szCs w:val="22"/>
          <w:lang w:val="sr-Latn-ME" w:eastAsia="ja-JP"/>
        </w:rPr>
        <w:t xml:space="preserve">randomizovane, multicentrične, dvostruko </w:t>
      </w:r>
      <w:r w:rsidRPr="0014404C">
        <w:rPr>
          <w:sz w:val="22"/>
          <w:szCs w:val="22"/>
          <w:lang w:val="sr-Latn-ME" w:eastAsia="ja-JP"/>
        </w:rPr>
        <w:t>slijepe</w:t>
      </w:r>
      <w:r w:rsidR="00810158" w:rsidRPr="0014404C">
        <w:rPr>
          <w:sz w:val="22"/>
          <w:szCs w:val="22"/>
          <w:lang w:val="sr-Latn-ME" w:eastAsia="ja-JP"/>
        </w:rPr>
        <w:t xml:space="preserve">, aktivnim komparatorom kontrolisane dvogodišnje studije neinferiornosti (YOSEMITE i RHINE) sprovedene kod pacijenata sa DME. U </w:t>
      </w:r>
      <w:r w:rsidRPr="0014404C">
        <w:rPr>
          <w:sz w:val="22"/>
          <w:szCs w:val="22"/>
          <w:lang w:val="sr-Latn-ME" w:eastAsia="ja-JP"/>
        </w:rPr>
        <w:t xml:space="preserve">dvije </w:t>
      </w:r>
      <w:r w:rsidR="00810158" w:rsidRPr="0014404C">
        <w:rPr>
          <w:sz w:val="22"/>
          <w:szCs w:val="22"/>
          <w:lang w:val="sr-Latn-ME" w:eastAsia="ja-JP"/>
        </w:rPr>
        <w:t>studije je bio uključen ukupno 1891 pacijent, a 1622 pacijenta (86%) završila su studije do 100.</w:t>
      </w:r>
      <w:r w:rsidRPr="0014404C">
        <w:rPr>
          <w:sz w:val="22"/>
          <w:szCs w:val="22"/>
          <w:lang w:val="sr-Latn-ME" w:eastAsia="ja-JP"/>
        </w:rPr>
        <w:t xml:space="preserve"> nedjelje</w:t>
      </w:r>
      <w:r w:rsidR="00810158" w:rsidRPr="0014404C">
        <w:rPr>
          <w:sz w:val="22"/>
          <w:szCs w:val="22"/>
          <w:lang w:val="sr-Latn-ME" w:eastAsia="ja-JP"/>
        </w:rPr>
        <w:t xml:space="preserve">. Ukupno 1887 pacijenata primilo je najmanje jednu dozu do 56. </w:t>
      </w:r>
      <w:r w:rsidRPr="0014404C">
        <w:rPr>
          <w:sz w:val="22"/>
          <w:szCs w:val="22"/>
          <w:lang w:val="sr-Latn-ME" w:eastAsia="ja-JP"/>
        </w:rPr>
        <w:t xml:space="preserve">nedjelje </w:t>
      </w:r>
      <w:r w:rsidR="00810158" w:rsidRPr="0014404C">
        <w:rPr>
          <w:sz w:val="22"/>
          <w:szCs w:val="22"/>
          <w:lang w:val="sr-Latn-ME" w:eastAsia="ja-JP"/>
        </w:rPr>
        <w:t xml:space="preserve">(1262 je primilo faricimab). Starost pacijenata kretala se u rasponu od 24 do 91 godine, sa srednjom </w:t>
      </w:r>
      <w:r w:rsidRPr="0014404C">
        <w:rPr>
          <w:sz w:val="22"/>
          <w:szCs w:val="22"/>
          <w:lang w:val="sr-Latn-ME" w:eastAsia="ja-JP"/>
        </w:rPr>
        <w:t xml:space="preserve">vrijednošću </w:t>
      </w:r>
      <w:r w:rsidR="00810158" w:rsidRPr="0014404C">
        <w:rPr>
          <w:sz w:val="22"/>
          <w:szCs w:val="22"/>
          <w:lang w:val="sr-Latn-ME" w:eastAsia="ja-JP"/>
        </w:rPr>
        <w:t xml:space="preserve">[SD] od 62,2 [9,9] godina. Ukupna populacija je uključivala i pacijente koji prethodno nisu primali inhibitore VEGF (78%) i one koji su </w:t>
      </w:r>
      <w:r w:rsidRPr="0014404C">
        <w:rPr>
          <w:sz w:val="22"/>
          <w:szCs w:val="22"/>
          <w:lang w:val="sr-Latn-ME" w:eastAsia="ja-JP"/>
        </w:rPr>
        <w:t xml:space="preserve">prije </w:t>
      </w:r>
      <w:r w:rsidR="00810158" w:rsidRPr="0014404C">
        <w:rPr>
          <w:sz w:val="22"/>
          <w:szCs w:val="22"/>
          <w:lang w:val="sr-Latn-ME" w:eastAsia="ja-JP"/>
        </w:rPr>
        <w:t xml:space="preserve">učestvovanja u studiji bili </w:t>
      </w:r>
      <w:r w:rsidRPr="0014404C">
        <w:rPr>
          <w:sz w:val="22"/>
          <w:szCs w:val="22"/>
          <w:lang w:val="sr-Latn-ME" w:eastAsia="ja-JP"/>
        </w:rPr>
        <w:t xml:space="preserve">liječeni </w:t>
      </w:r>
      <w:r w:rsidR="00810158" w:rsidRPr="0014404C">
        <w:rPr>
          <w:sz w:val="22"/>
          <w:szCs w:val="22"/>
          <w:lang w:val="sr-Latn-ME" w:eastAsia="ja-JP"/>
        </w:rPr>
        <w:t xml:space="preserve">VEGF (22%). U </w:t>
      </w:r>
      <w:r w:rsidRPr="0014404C">
        <w:rPr>
          <w:sz w:val="22"/>
          <w:szCs w:val="22"/>
          <w:lang w:val="sr-Latn-ME" w:eastAsia="ja-JP"/>
        </w:rPr>
        <w:t xml:space="preserve">obje </w:t>
      </w:r>
      <w:r w:rsidR="00810158" w:rsidRPr="0014404C">
        <w:rPr>
          <w:sz w:val="22"/>
          <w:szCs w:val="22"/>
          <w:lang w:val="sr-Latn-ME" w:eastAsia="ja-JP"/>
        </w:rPr>
        <w:t xml:space="preserve">studije su pacijenti bili randomizovani u odnosu 1 : 1 : 1 za primanje jednog od </w:t>
      </w:r>
      <w:r w:rsidRPr="0014404C">
        <w:rPr>
          <w:sz w:val="22"/>
          <w:szCs w:val="22"/>
          <w:lang w:val="sr-Latn-ME" w:eastAsia="ja-JP"/>
        </w:rPr>
        <w:t xml:space="preserve">sljedeća </w:t>
      </w:r>
      <w:r w:rsidR="00810158" w:rsidRPr="0014404C">
        <w:rPr>
          <w:sz w:val="22"/>
          <w:szCs w:val="22"/>
          <w:lang w:val="sr-Latn-ME" w:eastAsia="ja-JP"/>
        </w:rPr>
        <w:t xml:space="preserve">tri terapijska režima: </w:t>
      </w:r>
    </w:p>
    <w:p w14:paraId="68FD5300" w14:textId="49CCF28D" w:rsidR="00810158" w:rsidRPr="0014404C" w:rsidRDefault="00810158"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Faricimab 6 mg svakih 8 </w:t>
      </w:r>
      <w:r w:rsidR="00802EFD" w:rsidRPr="0014404C">
        <w:rPr>
          <w:sz w:val="22"/>
          <w:szCs w:val="22"/>
          <w:lang w:val="sr-Latn-ME" w:eastAsia="ja-JP"/>
        </w:rPr>
        <w:t>nedjelja</w:t>
      </w:r>
      <w:r w:rsidRPr="0014404C">
        <w:rPr>
          <w:sz w:val="22"/>
          <w:szCs w:val="22"/>
          <w:lang w:val="sr-Latn-ME" w:eastAsia="ja-JP"/>
        </w:rPr>
        <w:t xml:space="preserve"> nakon prvih 6 </w:t>
      </w:r>
      <w:r w:rsidR="005000C0" w:rsidRPr="0014404C">
        <w:rPr>
          <w:sz w:val="22"/>
          <w:szCs w:val="22"/>
          <w:lang w:val="sr-Latn-ME" w:eastAsia="ja-JP"/>
        </w:rPr>
        <w:t xml:space="preserve">mjesečnih </w:t>
      </w:r>
      <w:r w:rsidRPr="0014404C">
        <w:rPr>
          <w:sz w:val="22"/>
          <w:szCs w:val="22"/>
          <w:lang w:val="sr-Latn-ME" w:eastAsia="ja-JP"/>
        </w:rPr>
        <w:t>doza.</w:t>
      </w:r>
    </w:p>
    <w:p w14:paraId="5966149E" w14:textId="4C59F01A" w:rsidR="00810158" w:rsidRPr="0014404C" w:rsidRDefault="00810158"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Faricimab 6 mg prema prilagodljivom režimu </w:t>
      </w:r>
      <w:r w:rsidR="00802EFD" w:rsidRPr="0014404C">
        <w:rPr>
          <w:sz w:val="22"/>
          <w:szCs w:val="22"/>
          <w:lang w:val="sr-Latn-ME" w:eastAsia="ja-JP"/>
        </w:rPr>
        <w:t>primjene</w:t>
      </w:r>
      <w:r w:rsidRPr="0014404C">
        <w:rPr>
          <w:sz w:val="22"/>
          <w:szCs w:val="22"/>
          <w:lang w:val="sr-Latn-ME" w:eastAsia="ja-JP"/>
        </w:rPr>
        <w:t xml:space="preserve"> u intervalima od najviše 16 </w:t>
      </w:r>
      <w:r w:rsidR="00802EFD" w:rsidRPr="0014404C">
        <w:rPr>
          <w:sz w:val="22"/>
          <w:szCs w:val="22"/>
          <w:lang w:val="sr-Latn-ME" w:eastAsia="ja-JP"/>
        </w:rPr>
        <w:t>nedjelja</w:t>
      </w:r>
      <w:r w:rsidRPr="0014404C">
        <w:rPr>
          <w:sz w:val="22"/>
          <w:szCs w:val="22"/>
          <w:lang w:val="sr-Latn-ME" w:eastAsia="ja-JP"/>
        </w:rPr>
        <w:t xml:space="preserve"> </w:t>
      </w:r>
      <w:r w:rsidR="005000C0" w:rsidRPr="0014404C">
        <w:rPr>
          <w:sz w:val="22"/>
          <w:szCs w:val="22"/>
          <w:lang w:val="sr-Latn-ME" w:eastAsia="ja-JP"/>
        </w:rPr>
        <w:t xml:space="preserve">primjenjivanom </w:t>
      </w:r>
      <w:r w:rsidRPr="0014404C">
        <w:rPr>
          <w:sz w:val="22"/>
          <w:szCs w:val="22"/>
          <w:lang w:val="sr-Latn-ME" w:eastAsia="ja-JP"/>
        </w:rPr>
        <w:t xml:space="preserve">u intervalima od 4, 8, 12 ili 16 </w:t>
      </w:r>
      <w:r w:rsidR="00802EFD" w:rsidRPr="0014404C">
        <w:rPr>
          <w:sz w:val="22"/>
          <w:szCs w:val="22"/>
          <w:lang w:val="sr-Latn-ME" w:eastAsia="ja-JP"/>
        </w:rPr>
        <w:t>nedjelja</w:t>
      </w:r>
      <w:r w:rsidRPr="0014404C">
        <w:rPr>
          <w:sz w:val="22"/>
          <w:szCs w:val="22"/>
          <w:lang w:val="sr-Latn-ME" w:eastAsia="ja-JP"/>
        </w:rPr>
        <w:t xml:space="preserve"> nakon prve 4 </w:t>
      </w:r>
      <w:r w:rsidR="005000C0" w:rsidRPr="0014404C">
        <w:rPr>
          <w:sz w:val="22"/>
          <w:szCs w:val="22"/>
          <w:lang w:val="sr-Latn-ME" w:eastAsia="ja-JP"/>
        </w:rPr>
        <w:t xml:space="preserve">mjesečne </w:t>
      </w:r>
      <w:r w:rsidRPr="0014404C">
        <w:rPr>
          <w:sz w:val="22"/>
          <w:szCs w:val="22"/>
          <w:lang w:val="sr-Latn-ME" w:eastAsia="ja-JP"/>
        </w:rPr>
        <w:t>doze.</w:t>
      </w:r>
    </w:p>
    <w:p w14:paraId="3C31E7A3" w14:textId="55CA6FE3" w:rsidR="00810158" w:rsidRPr="0014404C" w:rsidRDefault="00810158" w:rsidP="0014404C">
      <w:pPr>
        <w:widowControl w:val="0"/>
        <w:ind w:left="567" w:hanging="567"/>
        <w:jc w:val="both"/>
        <w:rPr>
          <w:bCs/>
          <w:iCs/>
          <w:sz w:val="22"/>
          <w:szCs w:val="22"/>
          <w:lang w:val="sr-Latn-ME" w:eastAsia="ja-JP"/>
        </w:rPr>
      </w:pPr>
      <w:r w:rsidRPr="0014404C">
        <w:rPr>
          <w:sz w:val="22"/>
          <w:szCs w:val="22"/>
          <w:lang w:val="sr-Latn-ME" w:eastAsia="ja-JP"/>
        </w:rPr>
        <w:t>•</w:t>
      </w:r>
      <w:r w:rsidRPr="0014404C">
        <w:rPr>
          <w:sz w:val="22"/>
          <w:szCs w:val="22"/>
          <w:lang w:val="sr-Latn-ME" w:eastAsia="ja-JP"/>
        </w:rPr>
        <w:tab/>
        <w:t xml:space="preserve">Aflibercept 2 mg svakih 8 </w:t>
      </w:r>
      <w:r w:rsidR="00802EFD" w:rsidRPr="0014404C">
        <w:rPr>
          <w:sz w:val="22"/>
          <w:szCs w:val="22"/>
          <w:lang w:val="sr-Latn-ME" w:eastAsia="ja-JP"/>
        </w:rPr>
        <w:t>nedjelja</w:t>
      </w:r>
      <w:r w:rsidRPr="0014404C">
        <w:rPr>
          <w:sz w:val="22"/>
          <w:szCs w:val="22"/>
          <w:lang w:val="sr-Latn-ME" w:eastAsia="ja-JP"/>
        </w:rPr>
        <w:t xml:space="preserve"> nakon prvih 5 </w:t>
      </w:r>
      <w:r w:rsidR="005000C0" w:rsidRPr="0014404C">
        <w:rPr>
          <w:sz w:val="22"/>
          <w:szCs w:val="22"/>
          <w:lang w:val="sr-Latn-ME" w:eastAsia="ja-JP"/>
        </w:rPr>
        <w:t xml:space="preserve">mjesečnih </w:t>
      </w:r>
      <w:r w:rsidRPr="0014404C">
        <w:rPr>
          <w:sz w:val="22"/>
          <w:szCs w:val="22"/>
          <w:lang w:val="sr-Latn-ME" w:eastAsia="ja-JP"/>
        </w:rPr>
        <w:t>doza.</w:t>
      </w:r>
    </w:p>
    <w:p w14:paraId="619023D1" w14:textId="77777777" w:rsidR="00810158" w:rsidRPr="0014404C" w:rsidRDefault="00810158" w:rsidP="0014404C">
      <w:pPr>
        <w:widowControl w:val="0"/>
        <w:ind w:left="567" w:hanging="567"/>
        <w:jc w:val="both"/>
        <w:rPr>
          <w:bCs/>
          <w:iCs/>
          <w:sz w:val="22"/>
          <w:szCs w:val="22"/>
          <w:lang w:val="sr-Latn-ME" w:eastAsia="ja-JP"/>
        </w:rPr>
      </w:pPr>
    </w:p>
    <w:p w14:paraId="71BAED54" w14:textId="669820AF" w:rsidR="00810158" w:rsidRPr="0014404C" w:rsidRDefault="00810158" w:rsidP="0014404C">
      <w:pPr>
        <w:widowControl w:val="0"/>
        <w:jc w:val="both"/>
        <w:rPr>
          <w:bCs/>
          <w:sz w:val="22"/>
          <w:szCs w:val="22"/>
          <w:lang w:val="sr-Latn-ME" w:eastAsia="ja-JP"/>
        </w:rPr>
      </w:pPr>
      <w:r w:rsidRPr="0014404C">
        <w:rPr>
          <w:color w:val="000000"/>
          <w:sz w:val="22"/>
          <w:szCs w:val="22"/>
          <w:lang w:val="sr-Latn-ME" w:eastAsia="ja-JP"/>
        </w:rPr>
        <w:t xml:space="preserve">U grupi koja je primala prilagodljivu dozu svakih 16 </w:t>
      </w:r>
      <w:r w:rsidR="00802EFD" w:rsidRPr="0014404C">
        <w:rPr>
          <w:color w:val="000000"/>
          <w:sz w:val="22"/>
          <w:szCs w:val="22"/>
          <w:lang w:val="sr-Latn-ME" w:eastAsia="ja-JP"/>
        </w:rPr>
        <w:t>nedjelja</w:t>
      </w:r>
      <w:r w:rsidRPr="0014404C">
        <w:rPr>
          <w:color w:val="000000"/>
          <w:sz w:val="22"/>
          <w:szCs w:val="22"/>
          <w:lang w:val="sr-Latn-ME" w:eastAsia="ja-JP"/>
        </w:rPr>
        <w:t xml:space="preserve">, </w:t>
      </w:r>
      <w:r w:rsidRPr="0014404C">
        <w:rPr>
          <w:sz w:val="22"/>
          <w:szCs w:val="22"/>
          <w:lang w:val="sr-Latn-ME" w:eastAsia="ja-JP"/>
        </w:rPr>
        <w:t>doziranje je vršeno u skladu sa standardizovanim pristupom „</w:t>
      </w:r>
      <w:r w:rsidR="005000C0" w:rsidRPr="0014404C">
        <w:rPr>
          <w:sz w:val="22"/>
          <w:szCs w:val="22"/>
          <w:lang w:val="sr-Latn-ME" w:eastAsia="ja-JP"/>
        </w:rPr>
        <w:t xml:space="preserve">liječi </w:t>
      </w:r>
      <w:r w:rsidRPr="0014404C">
        <w:rPr>
          <w:sz w:val="22"/>
          <w:szCs w:val="22"/>
          <w:lang w:val="sr-Latn-ME" w:eastAsia="ja-JP"/>
        </w:rPr>
        <w:t xml:space="preserve">i produži”. Interval </w:t>
      </w:r>
      <w:r w:rsidR="00802EFD" w:rsidRPr="0014404C">
        <w:rPr>
          <w:sz w:val="22"/>
          <w:szCs w:val="22"/>
          <w:lang w:val="sr-Latn-ME" w:eastAsia="ja-JP"/>
        </w:rPr>
        <w:t>primjene</w:t>
      </w:r>
      <w:r w:rsidRPr="0014404C">
        <w:rPr>
          <w:sz w:val="22"/>
          <w:szCs w:val="22"/>
          <w:lang w:val="sr-Latn-ME" w:eastAsia="ja-JP"/>
        </w:rPr>
        <w:t xml:space="preserve"> mogao se povećavati u koracima od 4 </w:t>
      </w:r>
      <w:r w:rsidR="005000C0" w:rsidRPr="0014404C">
        <w:rPr>
          <w:sz w:val="22"/>
          <w:szCs w:val="22"/>
          <w:lang w:val="sr-Latn-ME" w:eastAsia="ja-JP"/>
        </w:rPr>
        <w:t xml:space="preserve">nedjelje </w:t>
      </w:r>
      <w:r w:rsidRPr="0014404C">
        <w:rPr>
          <w:sz w:val="22"/>
          <w:szCs w:val="22"/>
          <w:lang w:val="sr-Latn-ME" w:eastAsia="ja-JP"/>
        </w:rPr>
        <w:t xml:space="preserve">ili smanjivati u koracima od 4 ili 8 </w:t>
      </w:r>
      <w:r w:rsidR="00802EFD" w:rsidRPr="0014404C">
        <w:rPr>
          <w:sz w:val="22"/>
          <w:szCs w:val="22"/>
          <w:lang w:val="sr-Latn-ME" w:eastAsia="ja-JP"/>
        </w:rPr>
        <w:t>nedjelja</w:t>
      </w:r>
      <w:r w:rsidRPr="0014404C">
        <w:rPr>
          <w:sz w:val="22"/>
          <w:szCs w:val="22"/>
          <w:lang w:val="sr-Latn-ME" w:eastAsia="ja-JP"/>
        </w:rPr>
        <w:t xml:space="preserve">, u zavisnosti od anatomskih i/ili vizuelnih ishoda na osnovu podataka prikupljenih isključivo pri </w:t>
      </w:r>
      <w:r w:rsidR="005000C0" w:rsidRPr="0014404C">
        <w:rPr>
          <w:sz w:val="22"/>
          <w:szCs w:val="22"/>
          <w:lang w:val="sr-Latn-ME" w:eastAsia="ja-JP"/>
        </w:rPr>
        <w:t xml:space="preserve">posjetama </w:t>
      </w:r>
      <w:r w:rsidRPr="0014404C">
        <w:rPr>
          <w:sz w:val="22"/>
          <w:szCs w:val="22"/>
          <w:lang w:val="sr-Latn-ME" w:eastAsia="ja-JP"/>
        </w:rPr>
        <w:t xml:space="preserve">radi </w:t>
      </w:r>
      <w:r w:rsidR="00802EFD" w:rsidRPr="0014404C">
        <w:rPr>
          <w:sz w:val="22"/>
          <w:szCs w:val="22"/>
          <w:lang w:val="sr-Latn-ME" w:eastAsia="ja-JP"/>
        </w:rPr>
        <w:t>primjene</w:t>
      </w:r>
      <w:r w:rsidRPr="0014404C">
        <w:rPr>
          <w:sz w:val="22"/>
          <w:szCs w:val="22"/>
          <w:lang w:val="sr-Latn-ME" w:eastAsia="ja-JP"/>
        </w:rPr>
        <w:t xml:space="preserve"> </w:t>
      </w:r>
      <w:r w:rsidR="006D3EE8" w:rsidRPr="0014404C">
        <w:rPr>
          <w:sz w:val="22"/>
          <w:szCs w:val="22"/>
          <w:lang w:val="sr-Latn-ME" w:eastAsia="ja-JP"/>
        </w:rPr>
        <w:t xml:space="preserve">ispitivanog </w:t>
      </w:r>
      <w:r w:rsidR="00802EFD" w:rsidRPr="0014404C">
        <w:rPr>
          <w:sz w:val="22"/>
          <w:szCs w:val="22"/>
          <w:lang w:val="sr-Latn-ME" w:eastAsia="ja-JP"/>
        </w:rPr>
        <w:t>lijeka</w:t>
      </w:r>
      <w:r w:rsidRPr="0014404C">
        <w:rPr>
          <w:sz w:val="22"/>
          <w:szCs w:val="22"/>
          <w:lang w:val="sr-Latn-ME" w:eastAsia="ja-JP"/>
        </w:rPr>
        <w:t xml:space="preserve">. </w:t>
      </w:r>
    </w:p>
    <w:p w14:paraId="2B2F98A4" w14:textId="77777777" w:rsidR="00810158" w:rsidRPr="0014404C" w:rsidRDefault="00810158" w:rsidP="0014404C">
      <w:pPr>
        <w:widowControl w:val="0"/>
        <w:jc w:val="both"/>
        <w:rPr>
          <w:bCs/>
          <w:iCs/>
          <w:sz w:val="22"/>
          <w:szCs w:val="22"/>
          <w:lang w:val="sr-Latn-ME" w:eastAsia="ja-JP"/>
        </w:rPr>
      </w:pPr>
    </w:p>
    <w:p w14:paraId="5BFF9F6C" w14:textId="77777777" w:rsidR="00810158" w:rsidRPr="0014404C" w:rsidRDefault="00810158" w:rsidP="0014404C">
      <w:pPr>
        <w:widowControl w:val="0"/>
        <w:jc w:val="both"/>
        <w:rPr>
          <w:bCs/>
          <w:i/>
          <w:iCs/>
          <w:sz w:val="22"/>
          <w:szCs w:val="22"/>
          <w:u w:val="single"/>
          <w:lang w:val="sr-Latn-ME" w:eastAsia="ja-JP"/>
        </w:rPr>
      </w:pPr>
      <w:r w:rsidRPr="0014404C">
        <w:rPr>
          <w:i/>
          <w:iCs/>
          <w:sz w:val="22"/>
          <w:szCs w:val="22"/>
          <w:u w:val="single"/>
          <w:lang w:val="sr-Latn-ME" w:eastAsia="ja-JP"/>
        </w:rPr>
        <w:t>Rezultati</w:t>
      </w:r>
    </w:p>
    <w:p w14:paraId="7893D5E3" w14:textId="77777777" w:rsidR="00810158" w:rsidRPr="0014404C" w:rsidRDefault="00810158" w:rsidP="0014404C">
      <w:pPr>
        <w:widowControl w:val="0"/>
        <w:jc w:val="both"/>
        <w:rPr>
          <w:bCs/>
          <w:iCs/>
          <w:sz w:val="22"/>
          <w:szCs w:val="22"/>
          <w:lang w:val="sr-Latn-ME" w:eastAsia="ja-JP"/>
        </w:rPr>
      </w:pPr>
    </w:p>
    <w:p w14:paraId="5A8155A2" w14:textId="545C6668" w:rsidR="00810158" w:rsidRPr="0014404C" w:rsidRDefault="005000C0" w:rsidP="0014404C">
      <w:pPr>
        <w:widowControl w:val="0"/>
        <w:jc w:val="both"/>
        <w:rPr>
          <w:bCs/>
          <w:iCs/>
          <w:sz w:val="22"/>
          <w:szCs w:val="22"/>
          <w:lang w:val="sr-Latn-ME" w:eastAsia="ja-JP"/>
        </w:rPr>
      </w:pPr>
      <w:r w:rsidRPr="0014404C">
        <w:rPr>
          <w:sz w:val="22"/>
          <w:szCs w:val="22"/>
          <w:lang w:val="sr-Latn-ME" w:eastAsia="ja-JP"/>
        </w:rPr>
        <w:t xml:space="preserve">Obje </w:t>
      </w:r>
      <w:r w:rsidR="00810158" w:rsidRPr="0014404C">
        <w:rPr>
          <w:sz w:val="22"/>
          <w:szCs w:val="22"/>
          <w:lang w:val="sr-Latn-ME" w:eastAsia="ja-JP"/>
        </w:rPr>
        <w:t xml:space="preserve">studije su pokazale efikasnost pri primarnoj </w:t>
      </w:r>
      <w:r w:rsidRPr="0014404C">
        <w:rPr>
          <w:sz w:val="22"/>
          <w:szCs w:val="22"/>
          <w:lang w:val="sr-Latn-ME" w:eastAsia="ja-JP"/>
        </w:rPr>
        <w:t xml:space="preserve">procjeni </w:t>
      </w:r>
      <w:r w:rsidR="00810158" w:rsidRPr="0014404C">
        <w:rPr>
          <w:sz w:val="22"/>
          <w:szCs w:val="22"/>
          <w:lang w:val="sr-Latn-ME" w:eastAsia="ja-JP"/>
        </w:rPr>
        <w:t xml:space="preserve">parametra efikasnosti, definisanu kao srednju </w:t>
      </w:r>
      <w:r w:rsidRPr="0014404C">
        <w:rPr>
          <w:sz w:val="22"/>
          <w:szCs w:val="22"/>
          <w:lang w:val="sr-Latn-ME" w:eastAsia="ja-JP"/>
        </w:rPr>
        <w:t xml:space="preserve">vrijednost promjene </w:t>
      </w:r>
      <w:r w:rsidR="00810158" w:rsidRPr="0014404C">
        <w:rPr>
          <w:sz w:val="22"/>
          <w:szCs w:val="22"/>
          <w:lang w:val="sr-Latn-ME" w:eastAsia="ja-JP"/>
        </w:rPr>
        <w:t>BCVA od početka do 1. godine (</w:t>
      </w:r>
      <w:r w:rsidRPr="0014404C">
        <w:rPr>
          <w:sz w:val="22"/>
          <w:szCs w:val="22"/>
          <w:lang w:val="sr-Latn-ME" w:eastAsia="ja-JP"/>
        </w:rPr>
        <w:t xml:space="preserve">prosjek </w:t>
      </w:r>
      <w:r w:rsidR="00810158" w:rsidRPr="0014404C">
        <w:rPr>
          <w:sz w:val="22"/>
          <w:szCs w:val="22"/>
          <w:lang w:val="sr-Latn-ME" w:eastAsia="ja-JP"/>
        </w:rPr>
        <w:t xml:space="preserve">iz </w:t>
      </w:r>
      <w:r w:rsidR="003A3062" w:rsidRPr="0014404C">
        <w:rPr>
          <w:sz w:val="22"/>
          <w:szCs w:val="22"/>
          <w:lang w:val="sr-Latn-ME" w:eastAsia="ja-JP"/>
        </w:rPr>
        <w:t xml:space="preserve">posjeta </w:t>
      </w:r>
      <w:r w:rsidR="00810158" w:rsidRPr="0014404C">
        <w:rPr>
          <w:sz w:val="22"/>
          <w:szCs w:val="22"/>
          <w:lang w:val="sr-Latn-ME" w:eastAsia="ja-JP"/>
        </w:rPr>
        <w:t xml:space="preserve">u 48, 52. i 56. </w:t>
      </w:r>
      <w:r w:rsidR="003A3062" w:rsidRPr="0014404C">
        <w:rPr>
          <w:sz w:val="22"/>
          <w:szCs w:val="22"/>
          <w:lang w:val="sr-Latn-ME" w:eastAsia="ja-JP"/>
        </w:rPr>
        <w:t>nedjelji</w:t>
      </w:r>
      <w:r w:rsidR="00810158" w:rsidRPr="0014404C">
        <w:rPr>
          <w:sz w:val="22"/>
          <w:szCs w:val="22"/>
          <w:lang w:val="sr-Latn-ME" w:eastAsia="ja-JP"/>
        </w:rPr>
        <w:t xml:space="preserve">) </w:t>
      </w:r>
      <w:r w:rsidR="003A3062" w:rsidRPr="0014404C">
        <w:rPr>
          <w:sz w:val="22"/>
          <w:szCs w:val="22"/>
          <w:lang w:val="sr-Latn-ME" w:eastAsia="ja-JP"/>
        </w:rPr>
        <w:t xml:space="preserve">mjerenu </w:t>
      </w:r>
      <w:r w:rsidR="00810158" w:rsidRPr="0014404C">
        <w:rPr>
          <w:sz w:val="22"/>
          <w:szCs w:val="22"/>
          <w:lang w:val="sr-Latn-ME" w:eastAsia="ja-JP"/>
        </w:rPr>
        <w:t xml:space="preserve">skorom slova ETDRS. U </w:t>
      </w:r>
      <w:r w:rsidR="003A3062" w:rsidRPr="0014404C">
        <w:rPr>
          <w:sz w:val="22"/>
          <w:szCs w:val="22"/>
          <w:lang w:val="sr-Latn-ME" w:eastAsia="ja-JP"/>
        </w:rPr>
        <w:t xml:space="preserve">obje </w:t>
      </w:r>
      <w:r w:rsidR="00810158" w:rsidRPr="0014404C">
        <w:rPr>
          <w:sz w:val="22"/>
          <w:szCs w:val="22"/>
          <w:lang w:val="sr-Latn-ME" w:eastAsia="ja-JP"/>
        </w:rPr>
        <w:t xml:space="preserve">studije pacijenti </w:t>
      </w:r>
      <w:r w:rsidR="003A3062" w:rsidRPr="0014404C">
        <w:rPr>
          <w:sz w:val="22"/>
          <w:szCs w:val="22"/>
          <w:lang w:val="sr-Latn-ME" w:eastAsia="ja-JP"/>
        </w:rPr>
        <w:t xml:space="preserve">liječeni </w:t>
      </w:r>
      <w:r w:rsidR="00810158" w:rsidRPr="0014404C">
        <w:rPr>
          <w:sz w:val="22"/>
          <w:szCs w:val="22"/>
          <w:lang w:val="sr-Latn-ME" w:eastAsia="ja-JP"/>
        </w:rPr>
        <w:t xml:space="preserve">faricimabom u intervalima od najviše 16 </w:t>
      </w:r>
      <w:r w:rsidR="00802EFD" w:rsidRPr="0014404C">
        <w:rPr>
          <w:sz w:val="22"/>
          <w:szCs w:val="22"/>
          <w:lang w:val="sr-Latn-ME" w:eastAsia="ja-JP"/>
        </w:rPr>
        <w:t>nedjelja</w:t>
      </w:r>
      <w:r w:rsidR="00810158" w:rsidRPr="0014404C">
        <w:rPr>
          <w:sz w:val="22"/>
          <w:szCs w:val="22"/>
          <w:lang w:val="sr-Latn-ME" w:eastAsia="ja-JP"/>
        </w:rPr>
        <w:t xml:space="preserve"> imali su srednju </w:t>
      </w:r>
      <w:r w:rsidR="003A3062" w:rsidRPr="0014404C">
        <w:rPr>
          <w:sz w:val="22"/>
          <w:szCs w:val="22"/>
          <w:lang w:val="sr-Latn-ME" w:eastAsia="ja-JP"/>
        </w:rPr>
        <w:t>promjenu</w:t>
      </w:r>
      <w:r w:rsidR="00810158" w:rsidRPr="0014404C">
        <w:rPr>
          <w:sz w:val="22"/>
          <w:szCs w:val="22"/>
          <w:lang w:val="sr-Latn-ME" w:eastAsia="ja-JP"/>
        </w:rPr>
        <w:t xml:space="preserve"> BCVA u odnosu na početnu </w:t>
      </w:r>
      <w:r w:rsidR="003A3062" w:rsidRPr="0014404C">
        <w:rPr>
          <w:sz w:val="22"/>
          <w:szCs w:val="22"/>
          <w:lang w:val="sr-Latn-ME" w:eastAsia="ja-JP"/>
        </w:rPr>
        <w:t xml:space="preserve">vrijednost </w:t>
      </w:r>
      <w:r w:rsidR="00810158" w:rsidRPr="0014404C">
        <w:rPr>
          <w:sz w:val="22"/>
          <w:szCs w:val="22"/>
          <w:lang w:val="sr-Latn-ME" w:eastAsia="ja-JP"/>
        </w:rPr>
        <w:t xml:space="preserve">koja je bila neinferiorna onoj </w:t>
      </w:r>
      <w:r w:rsidR="003A3062" w:rsidRPr="0014404C">
        <w:rPr>
          <w:sz w:val="22"/>
          <w:szCs w:val="22"/>
          <w:lang w:val="sr-Latn-ME" w:eastAsia="ja-JP"/>
        </w:rPr>
        <w:t xml:space="preserve">zabilježenoj </w:t>
      </w:r>
      <w:r w:rsidR="00810158" w:rsidRPr="0014404C">
        <w:rPr>
          <w:sz w:val="22"/>
          <w:szCs w:val="22"/>
          <w:lang w:val="sr-Latn-ME" w:eastAsia="ja-JP"/>
        </w:rPr>
        <w:t xml:space="preserve">kod pacijenata </w:t>
      </w:r>
      <w:r w:rsidR="003A3062" w:rsidRPr="0014404C">
        <w:rPr>
          <w:sz w:val="22"/>
          <w:szCs w:val="22"/>
          <w:lang w:val="sr-Latn-ME" w:eastAsia="ja-JP"/>
        </w:rPr>
        <w:t xml:space="preserve">liječenih </w:t>
      </w:r>
      <w:r w:rsidR="00810158" w:rsidRPr="0014404C">
        <w:rPr>
          <w:sz w:val="22"/>
          <w:szCs w:val="22"/>
          <w:lang w:val="sr-Latn-ME" w:eastAsia="ja-JP"/>
        </w:rPr>
        <w:t xml:space="preserve">afliberceptom svakih 8 </w:t>
      </w:r>
      <w:r w:rsidR="00802EFD" w:rsidRPr="0014404C">
        <w:rPr>
          <w:sz w:val="22"/>
          <w:szCs w:val="22"/>
          <w:lang w:val="sr-Latn-ME" w:eastAsia="ja-JP"/>
        </w:rPr>
        <w:t>nedjelja</w:t>
      </w:r>
      <w:r w:rsidR="00810158" w:rsidRPr="0014404C">
        <w:rPr>
          <w:sz w:val="22"/>
          <w:szCs w:val="22"/>
          <w:lang w:val="sr-Latn-ME" w:eastAsia="ja-JP"/>
        </w:rPr>
        <w:t xml:space="preserve"> tokom 1. godine, a to poboljšanje vida se održalo do kraja 2. godine. </w:t>
      </w:r>
    </w:p>
    <w:p w14:paraId="2EBEFE8C" w14:textId="77777777" w:rsidR="00810158" w:rsidRPr="0014404C" w:rsidRDefault="00810158" w:rsidP="0014404C">
      <w:pPr>
        <w:widowControl w:val="0"/>
        <w:jc w:val="both"/>
        <w:rPr>
          <w:bCs/>
          <w:iCs/>
          <w:sz w:val="22"/>
          <w:szCs w:val="22"/>
          <w:lang w:val="sr-Latn-ME" w:eastAsia="ja-JP"/>
        </w:rPr>
      </w:pPr>
    </w:p>
    <w:p w14:paraId="2E8E2E71" w14:textId="77D198D1"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Nakon </w:t>
      </w:r>
      <w:r w:rsidR="00802EFD" w:rsidRPr="0014404C">
        <w:rPr>
          <w:sz w:val="22"/>
          <w:szCs w:val="22"/>
          <w:lang w:val="sr-Latn-ME" w:eastAsia="ja-JP"/>
        </w:rPr>
        <w:t>primjene</w:t>
      </w:r>
      <w:r w:rsidRPr="0014404C">
        <w:rPr>
          <w:sz w:val="22"/>
          <w:szCs w:val="22"/>
          <w:lang w:val="sr-Latn-ME" w:eastAsia="ja-JP"/>
        </w:rPr>
        <w:t xml:space="preserve"> početne 4 doze jednom </w:t>
      </w:r>
      <w:r w:rsidR="003A3062" w:rsidRPr="0014404C">
        <w:rPr>
          <w:sz w:val="22"/>
          <w:szCs w:val="22"/>
          <w:lang w:val="sr-Latn-ME" w:eastAsia="ja-JP"/>
        </w:rPr>
        <w:t xml:space="preserve">mjesečno </w:t>
      </w:r>
      <w:r w:rsidRPr="0014404C">
        <w:rPr>
          <w:sz w:val="22"/>
          <w:szCs w:val="22"/>
          <w:lang w:val="sr-Latn-ME" w:eastAsia="ja-JP"/>
        </w:rPr>
        <w:t xml:space="preserve">pacijenti </w:t>
      </w:r>
      <w:r w:rsidR="003A3062" w:rsidRPr="0014404C">
        <w:rPr>
          <w:sz w:val="22"/>
          <w:szCs w:val="22"/>
          <w:lang w:val="sr-Latn-ME" w:eastAsia="ja-JP"/>
        </w:rPr>
        <w:t xml:space="preserve">liječeni </w:t>
      </w:r>
      <w:r w:rsidRPr="0014404C">
        <w:rPr>
          <w:sz w:val="22"/>
          <w:szCs w:val="22"/>
          <w:lang w:val="sr-Latn-ME" w:eastAsia="ja-JP"/>
        </w:rPr>
        <w:t xml:space="preserve">faricimabom u prilagodljivim intervalima od najviše 16 </w:t>
      </w:r>
      <w:r w:rsidR="00802EFD" w:rsidRPr="0014404C">
        <w:rPr>
          <w:sz w:val="22"/>
          <w:szCs w:val="22"/>
          <w:lang w:val="sr-Latn-ME" w:eastAsia="ja-JP"/>
        </w:rPr>
        <w:t>nedjelja</w:t>
      </w:r>
      <w:r w:rsidRPr="0014404C">
        <w:rPr>
          <w:sz w:val="22"/>
          <w:szCs w:val="22"/>
          <w:lang w:val="sr-Latn-ME" w:eastAsia="ja-JP"/>
        </w:rPr>
        <w:t xml:space="preserve"> mogli su ukupno primiti najmanje 6, a najviše 21 injekciju do </w:t>
      </w:r>
      <w:r w:rsidR="004810DC" w:rsidRPr="0014404C">
        <w:rPr>
          <w:sz w:val="22"/>
          <w:szCs w:val="22"/>
          <w:lang w:val="sr-Latn-ME" w:eastAsia="ja-JP"/>
        </w:rPr>
        <w:t xml:space="preserve">kraja </w:t>
      </w:r>
      <w:r w:rsidRPr="0014404C">
        <w:rPr>
          <w:sz w:val="22"/>
          <w:szCs w:val="22"/>
          <w:lang w:val="sr-Latn-ME" w:eastAsia="ja-JP"/>
        </w:rPr>
        <w:t xml:space="preserve">96. </w:t>
      </w:r>
      <w:r w:rsidR="003A3062" w:rsidRPr="0014404C">
        <w:rPr>
          <w:sz w:val="22"/>
          <w:szCs w:val="22"/>
          <w:lang w:val="sr-Latn-ME" w:eastAsia="ja-JP"/>
        </w:rPr>
        <w:t>nedjelje</w:t>
      </w:r>
      <w:r w:rsidRPr="0014404C">
        <w:rPr>
          <w:sz w:val="22"/>
          <w:szCs w:val="22"/>
          <w:lang w:val="sr-Latn-ME" w:eastAsia="ja-JP"/>
        </w:rPr>
        <w:t xml:space="preserve">. U 52. </w:t>
      </w:r>
      <w:r w:rsidR="003A3062" w:rsidRPr="0014404C">
        <w:rPr>
          <w:sz w:val="22"/>
          <w:szCs w:val="22"/>
          <w:lang w:val="sr-Latn-ME" w:eastAsia="ja-JP"/>
        </w:rPr>
        <w:t xml:space="preserve">nedjelji </w:t>
      </w:r>
      <w:r w:rsidRPr="0014404C">
        <w:rPr>
          <w:sz w:val="22"/>
          <w:szCs w:val="22"/>
          <w:lang w:val="sr-Latn-ME" w:eastAsia="ja-JP"/>
        </w:rPr>
        <w:t xml:space="preserve">studije YOSEMITE odnosno RHINE 74% odnosno 71% pacijenata </w:t>
      </w:r>
      <w:r w:rsidR="003A3062" w:rsidRPr="0014404C">
        <w:rPr>
          <w:sz w:val="22"/>
          <w:szCs w:val="22"/>
          <w:lang w:val="sr-Latn-ME" w:eastAsia="ja-JP"/>
        </w:rPr>
        <w:t xml:space="preserve">liječenih </w:t>
      </w:r>
      <w:r w:rsidRPr="0014404C">
        <w:rPr>
          <w:sz w:val="22"/>
          <w:szCs w:val="22"/>
          <w:lang w:val="sr-Latn-ME" w:eastAsia="ja-JP"/>
        </w:rPr>
        <w:t xml:space="preserve">faricimabom u prilagodljivim intervalima od najviše 16 </w:t>
      </w:r>
      <w:r w:rsidR="00802EFD" w:rsidRPr="0014404C">
        <w:rPr>
          <w:sz w:val="22"/>
          <w:szCs w:val="22"/>
          <w:lang w:val="sr-Latn-ME" w:eastAsia="ja-JP"/>
        </w:rPr>
        <w:t>nedjelja</w:t>
      </w:r>
      <w:r w:rsidRPr="0014404C">
        <w:rPr>
          <w:sz w:val="22"/>
          <w:szCs w:val="22"/>
          <w:lang w:val="sr-Latn-ME" w:eastAsia="ja-JP"/>
        </w:rPr>
        <w:t xml:space="preserve"> postigao je interval </w:t>
      </w:r>
      <w:r w:rsidR="00802EFD" w:rsidRPr="0014404C">
        <w:rPr>
          <w:sz w:val="22"/>
          <w:szCs w:val="22"/>
          <w:lang w:val="sr-Latn-ME" w:eastAsia="ja-JP"/>
        </w:rPr>
        <w:t>primjene</w:t>
      </w:r>
      <w:r w:rsidRPr="0014404C">
        <w:rPr>
          <w:sz w:val="22"/>
          <w:szCs w:val="22"/>
          <w:lang w:val="sr-Latn-ME" w:eastAsia="ja-JP"/>
        </w:rPr>
        <w:t xml:space="preserve"> od 16 ili 12 </w:t>
      </w:r>
      <w:r w:rsidR="00802EFD" w:rsidRPr="0014404C">
        <w:rPr>
          <w:sz w:val="22"/>
          <w:szCs w:val="22"/>
          <w:lang w:val="sr-Latn-ME" w:eastAsia="ja-JP"/>
        </w:rPr>
        <w:t>nedjelja</w:t>
      </w:r>
      <w:r w:rsidRPr="0014404C">
        <w:rPr>
          <w:sz w:val="22"/>
          <w:szCs w:val="22"/>
          <w:lang w:val="sr-Latn-ME" w:eastAsia="ja-JP"/>
        </w:rPr>
        <w:t xml:space="preserve"> (53% odnosno 51% pacijenata primalo je </w:t>
      </w:r>
      <w:r w:rsidR="00802EFD" w:rsidRPr="0014404C">
        <w:rPr>
          <w:sz w:val="22"/>
          <w:szCs w:val="22"/>
          <w:lang w:val="sr-Latn-ME" w:eastAsia="ja-JP"/>
        </w:rPr>
        <w:t xml:space="preserve">lijek </w:t>
      </w:r>
      <w:r w:rsidRPr="0014404C">
        <w:rPr>
          <w:sz w:val="22"/>
          <w:szCs w:val="22"/>
          <w:lang w:val="sr-Latn-ME" w:eastAsia="ja-JP"/>
        </w:rPr>
        <w:t xml:space="preserve">svakih 16 </w:t>
      </w:r>
      <w:r w:rsidR="00802EFD" w:rsidRPr="0014404C">
        <w:rPr>
          <w:sz w:val="22"/>
          <w:szCs w:val="22"/>
          <w:lang w:val="sr-Latn-ME" w:eastAsia="ja-JP"/>
        </w:rPr>
        <w:t>nedjelja</w:t>
      </w:r>
      <w:r w:rsidRPr="0014404C">
        <w:rPr>
          <w:sz w:val="22"/>
          <w:szCs w:val="22"/>
          <w:lang w:val="sr-Latn-ME" w:eastAsia="ja-JP"/>
        </w:rPr>
        <w:t xml:space="preserve">, a njih 21% odnosno 20% svakih 12 </w:t>
      </w:r>
      <w:r w:rsidR="00802EFD" w:rsidRPr="0014404C">
        <w:rPr>
          <w:sz w:val="22"/>
          <w:szCs w:val="22"/>
          <w:lang w:val="sr-Latn-ME" w:eastAsia="ja-JP"/>
        </w:rPr>
        <w:t>nedjelja</w:t>
      </w:r>
      <w:r w:rsidRPr="0014404C">
        <w:rPr>
          <w:sz w:val="22"/>
          <w:szCs w:val="22"/>
          <w:lang w:val="sr-Latn-ME" w:eastAsia="ja-JP"/>
        </w:rPr>
        <w:t xml:space="preserve">). Među tim pacijentima </w:t>
      </w:r>
      <w:r w:rsidRPr="0014404C">
        <w:rPr>
          <w:sz w:val="22"/>
          <w:szCs w:val="22"/>
          <w:shd w:val="clear" w:color="auto" w:fill="FFFFFF"/>
          <w:lang w:val="sr-Latn-ME" w:eastAsia="ja-JP"/>
        </w:rPr>
        <w:t xml:space="preserve">75% u studiji YOSEMITE i 84% u studiji RHINE je nastavilo da prima </w:t>
      </w:r>
      <w:r w:rsidR="00802EFD" w:rsidRPr="0014404C">
        <w:rPr>
          <w:sz w:val="22"/>
          <w:szCs w:val="22"/>
          <w:shd w:val="clear" w:color="auto" w:fill="FFFFFF"/>
          <w:lang w:val="sr-Latn-ME" w:eastAsia="ja-JP"/>
        </w:rPr>
        <w:t xml:space="preserve">lijek </w:t>
      </w:r>
      <w:r w:rsidRPr="0014404C">
        <w:rPr>
          <w:sz w:val="22"/>
          <w:szCs w:val="22"/>
          <w:shd w:val="clear" w:color="auto" w:fill="FFFFFF"/>
          <w:lang w:val="sr-Latn-ME" w:eastAsia="ja-JP"/>
        </w:rPr>
        <w:t xml:space="preserve">u intervalima od ≥ 12 </w:t>
      </w:r>
      <w:r w:rsidR="00802EFD" w:rsidRPr="0014404C">
        <w:rPr>
          <w:sz w:val="22"/>
          <w:szCs w:val="22"/>
          <w:shd w:val="clear" w:color="auto" w:fill="FFFFFF"/>
          <w:lang w:val="sr-Latn-ME" w:eastAsia="ja-JP"/>
        </w:rPr>
        <w:t>nedjelja</w:t>
      </w:r>
      <w:r w:rsidRPr="0014404C">
        <w:rPr>
          <w:sz w:val="22"/>
          <w:szCs w:val="22"/>
          <w:shd w:val="clear" w:color="auto" w:fill="FFFFFF"/>
          <w:lang w:val="sr-Latn-ME" w:eastAsia="ja-JP"/>
        </w:rPr>
        <w:t xml:space="preserve"> do </w:t>
      </w:r>
      <w:r w:rsidR="004810DC" w:rsidRPr="0014404C">
        <w:rPr>
          <w:sz w:val="22"/>
          <w:szCs w:val="22"/>
          <w:shd w:val="clear" w:color="auto" w:fill="FFFFFF"/>
          <w:lang w:val="sr-Latn-ME" w:eastAsia="ja-JP"/>
        </w:rPr>
        <w:t xml:space="preserve">kraja </w:t>
      </w:r>
      <w:r w:rsidRPr="0014404C">
        <w:rPr>
          <w:sz w:val="22"/>
          <w:szCs w:val="22"/>
          <w:shd w:val="clear" w:color="auto" w:fill="FFFFFF"/>
          <w:lang w:val="sr-Latn-ME" w:eastAsia="ja-JP"/>
        </w:rPr>
        <w:t xml:space="preserve">96. </w:t>
      </w:r>
      <w:r w:rsidR="003A3062" w:rsidRPr="0014404C">
        <w:rPr>
          <w:sz w:val="22"/>
          <w:szCs w:val="22"/>
          <w:shd w:val="clear" w:color="auto" w:fill="FFFFFF"/>
          <w:lang w:val="sr-Latn-ME" w:eastAsia="ja-JP"/>
        </w:rPr>
        <w:t xml:space="preserve">nedjelje </w:t>
      </w:r>
      <w:r w:rsidRPr="0014404C">
        <w:rPr>
          <w:sz w:val="22"/>
          <w:szCs w:val="22"/>
          <w:shd w:val="clear" w:color="auto" w:fill="FFFFFF"/>
          <w:lang w:val="sr-Latn-ME" w:eastAsia="ja-JP"/>
        </w:rPr>
        <w:t xml:space="preserve">bez skraćivanja intervala </w:t>
      </w:r>
      <w:r w:rsidR="00802EFD" w:rsidRPr="0014404C">
        <w:rPr>
          <w:sz w:val="22"/>
          <w:szCs w:val="22"/>
          <w:shd w:val="clear" w:color="auto" w:fill="FFFFFF"/>
          <w:lang w:val="sr-Latn-ME" w:eastAsia="ja-JP"/>
        </w:rPr>
        <w:t>primjene</w:t>
      </w:r>
      <w:r w:rsidRPr="0014404C">
        <w:rPr>
          <w:sz w:val="22"/>
          <w:szCs w:val="22"/>
          <w:shd w:val="clear" w:color="auto" w:fill="FFFFFF"/>
          <w:lang w:val="sr-Latn-ME" w:eastAsia="ja-JP"/>
        </w:rPr>
        <w:t xml:space="preserve"> na manje od 12 </w:t>
      </w:r>
      <w:r w:rsidR="00802EFD" w:rsidRPr="0014404C">
        <w:rPr>
          <w:sz w:val="22"/>
          <w:szCs w:val="22"/>
          <w:shd w:val="clear" w:color="auto" w:fill="FFFFFF"/>
          <w:lang w:val="sr-Latn-ME" w:eastAsia="ja-JP"/>
        </w:rPr>
        <w:t>nedjelja</w:t>
      </w:r>
      <w:r w:rsidRPr="0014404C">
        <w:rPr>
          <w:sz w:val="22"/>
          <w:szCs w:val="22"/>
          <w:shd w:val="clear" w:color="auto" w:fill="FFFFFF"/>
          <w:lang w:val="sr-Latn-ME" w:eastAsia="ja-JP"/>
        </w:rPr>
        <w:t xml:space="preserve">; među pacijentima koji su u 52. </w:t>
      </w:r>
      <w:r w:rsidR="003A3062" w:rsidRPr="0014404C">
        <w:rPr>
          <w:sz w:val="22"/>
          <w:szCs w:val="22"/>
          <w:shd w:val="clear" w:color="auto" w:fill="FFFFFF"/>
          <w:lang w:val="sr-Latn-ME" w:eastAsia="ja-JP"/>
        </w:rPr>
        <w:t xml:space="preserve">nedjelji </w:t>
      </w:r>
      <w:r w:rsidRPr="0014404C">
        <w:rPr>
          <w:sz w:val="22"/>
          <w:szCs w:val="22"/>
          <w:shd w:val="clear" w:color="auto" w:fill="FFFFFF"/>
          <w:lang w:val="sr-Latn-ME" w:eastAsia="ja-JP"/>
        </w:rPr>
        <w:t xml:space="preserve">primali </w:t>
      </w:r>
      <w:r w:rsidR="00802EFD" w:rsidRPr="0014404C">
        <w:rPr>
          <w:sz w:val="22"/>
          <w:szCs w:val="22"/>
          <w:shd w:val="clear" w:color="auto" w:fill="FFFFFF"/>
          <w:lang w:val="sr-Latn-ME" w:eastAsia="ja-JP"/>
        </w:rPr>
        <w:t xml:space="preserve">lijek </w:t>
      </w:r>
      <w:r w:rsidRPr="0014404C">
        <w:rPr>
          <w:sz w:val="22"/>
          <w:szCs w:val="22"/>
          <w:shd w:val="clear" w:color="auto" w:fill="FFFFFF"/>
          <w:lang w:val="sr-Latn-ME" w:eastAsia="ja-JP"/>
        </w:rPr>
        <w:t xml:space="preserve">svakih 16 </w:t>
      </w:r>
      <w:r w:rsidR="00802EFD" w:rsidRPr="0014404C">
        <w:rPr>
          <w:sz w:val="22"/>
          <w:szCs w:val="22"/>
          <w:shd w:val="clear" w:color="auto" w:fill="FFFFFF"/>
          <w:lang w:val="sr-Latn-ME" w:eastAsia="ja-JP"/>
        </w:rPr>
        <w:t>nedjelja</w:t>
      </w:r>
      <w:r w:rsidRPr="0014404C">
        <w:rPr>
          <w:sz w:val="22"/>
          <w:szCs w:val="22"/>
          <w:shd w:val="clear" w:color="auto" w:fill="FFFFFF"/>
          <w:lang w:val="sr-Latn-ME" w:eastAsia="ja-JP"/>
        </w:rPr>
        <w:t xml:space="preserve"> njih 70% u studiji YOSEMITE odnosno 82% u studiji RHINE nastavilo je da prima </w:t>
      </w:r>
      <w:r w:rsidR="00802EFD" w:rsidRPr="0014404C">
        <w:rPr>
          <w:sz w:val="22"/>
          <w:szCs w:val="22"/>
          <w:shd w:val="clear" w:color="auto" w:fill="FFFFFF"/>
          <w:lang w:val="sr-Latn-ME" w:eastAsia="ja-JP"/>
        </w:rPr>
        <w:t xml:space="preserve">lijek </w:t>
      </w:r>
      <w:r w:rsidRPr="0014404C">
        <w:rPr>
          <w:sz w:val="22"/>
          <w:szCs w:val="22"/>
          <w:shd w:val="clear" w:color="auto" w:fill="FFFFFF"/>
          <w:lang w:val="sr-Latn-ME" w:eastAsia="ja-JP"/>
        </w:rPr>
        <w:t xml:space="preserve">u istom tom intervalu do </w:t>
      </w:r>
      <w:r w:rsidR="004810DC" w:rsidRPr="0014404C">
        <w:rPr>
          <w:sz w:val="22"/>
          <w:szCs w:val="22"/>
          <w:shd w:val="clear" w:color="auto" w:fill="FFFFFF"/>
          <w:lang w:val="sr-Latn-ME" w:eastAsia="ja-JP"/>
        </w:rPr>
        <w:t xml:space="preserve">kraja </w:t>
      </w:r>
      <w:r w:rsidRPr="0014404C">
        <w:rPr>
          <w:sz w:val="22"/>
          <w:szCs w:val="22"/>
          <w:shd w:val="clear" w:color="auto" w:fill="FFFFFF"/>
          <w:lang w:val="sr-Latn-ME" w:eastAsia="ja-JP"/>
        </w:rPr>
        <w:t xml:space="preserve">96. </w:t>
      </w:r>
      <w:r w:rsidR="003A3062" w:rsidRPr="0014404C">
        <w:rPr>
          <w:sz w:val="22"/>
          <w:szCs w:val="22"/>
          <w:shd w:val="clear" w:color="auto" w:fill="FFFFFF"/>
          <w:lang w:val="sr-Latn-ME" w:eastAsia="ja-JP"/>
        </w:rPr>
        <w:t xml:space="preserve">nedjelje </w:t>
      </w:r>
      <w:r w:rsidRPr="0014404C">
        <w:rPr>
          <w:sz w:val="22"/>
          <w:szCs w:val="22"/>
          <w:shd w:val="clear" w:color="auto" w:fill="FFFFFF"/>
          <w:lang w:val="sr-Latn-ME" w:eastAsia="ja-JP"/>
        </w:rPr>
        <w:t xml:space="preserve">bez skraćivanja intervala </w:t>
      </w:r>
      <w:r w:rsidR="00802EFD" w:rsidRPr="0014404C">
        <w:rPr>
          <w:sz w:val="22"/>
          <w:szCs w:val="22"/>
          <w:shd w:val="clear" w:color="auto" w:fill="FFFFFF"/>
          <w:lang w:val="sr-Latn-ME" w:eastAsia="ja-JP"/>
        </w:rPr>
        <w:t>primjene</w:t>
      </w:r>
      <w:r w:rsidRPr="0014404C">
        <w:rPr>
          <w:sz w:val="22"/>
          <w:szCs w:val="22"/>
          <w:shd w:val="clear" w:color="auto" w:fill="FFFFFF"/>
          <w:lang w:val="sr-Latn-ME" w:eastAsia="ja-JP"/>
        </w:rPr>
        <w:t>.</w:t>
      </w:r>
      <w:r w:rsidRPr="0014404C">
        <w:rPr>
          <w:sz w:val="22"/>
          <w:szCs w:val="22"/>
          <w:lang w:val="sr-Latn-ME" w:eastAsia="ja-JP"/>
        </w:rPr>
        <w:t xml:space="preserve"> U 96. </w:t>
      </w:r>
      <w:r w:rsidR="003A3062" w:rsidRPr="0014404C">
        <w:rPr>
          <w:sz w:val="22"/>
          <w:szCs w:val="22"/>
          <w:lang w:val="sr-Latn-ME" w:eastAsia="ja-JP"/>
        </w:rPr>
        <w:t xml:space="preserve">nedjelji obje </w:t>
      </w:r>
      <w:r w:rsidRPr="0014404C">
        <w:rPr>
          <w:sz w:val="22"/>
          <w:szCs w:val="22"/>
          <w:lang w:val="sr-Latn-ME" w:eastAsia="ja-JP"/>
        </w:rPr>
        <w:t>studije 78% pacijenata</w:t>
      </w:r>
      <w:r w:rsidR="003A3062" w:rsidRPr="0014404C">
        <w:rPr>
          <w:sz w:val="22"/>
          <w:szCs w:val="22"/>
          <w:lang w:val="sr-Latn-ME" w:eastAsia="ja-JP"/>
        </w:rPr>
        <w:t xml:space="preserve"> liječenih </w:t>
      </w:r>
      <w:r w:rsidRPr="0014404C">
        <w:rPr>
          <w:sz w:val="22"/>
          <w:szCs w:val="22"/>
          <w:lang w:val="sr-Latn-ME" w:eastAsia="ja-JP"/>
        </w:rPr>
        <w:t xml:space="preserve">faricimabom u prilagodljivim intervalima od najviše 16 </w:t>
      </w:r>
      <w:r w:rsidR="00802EFD" w:rsidRPr="0014404C">
        <w:rPr>
          <w:sz w:val="22"/>
          <w:szCs w:val="22"/>
          <w:lang w:val="sr-Latn-ME" w:eastAsia="ja-JP"/>
        </w:rPr>
        <w:t>nedjelja</w:t>
      </w:r>
      <w:r w:rsidRPr="0014404C">
        <w:rPr>
          <w:sz w:val="22"/>
          <w:szCs w:val="22"/>
          <w:lang w:val="sr-Latn-ME" w:eastAsia="ja-JP"/>
        </w:rPr>
        <w:t xml:space="preserve"> postiglo je interval </w:t>
      </w:r>
      <w:r w:rsidR="00802EFD" w:rsidRPr="0014404C">
        <w:rPr>
          <w:sz w:val="22"/>
          <w:szCs w:val="22"/>
          <w:lang w:val="sr-Latn-ME" w:eastAsia="ja-JP"/>
        </w:rPr>
        <w:t>primjene</w:t>
      </w:r>
      <w:r w:rsidRPr="0014404C">
        <w:rPr>
          <w:sz w:val="22"/>
          <w:szCs w:val="22"/>
          <w:lang w:val="sr-Latn-ME" w:eastAsia="ja-JP"/>
        </w:rPr>
        <w:t xml:space="preserve"> od 16 ili 12 </w:t>
      </w:r>
      <w:r w:rsidR="00802EFD" w:rsidRPr="0014404C">
        <w:rPr>
          <w:sz w:val="22"/>
          <w:szCs w:val="22"/>
          <w:lang w:val="sr-Latn-ME" w:eastAsia="ja-JP"/>
        </w:rPr>
        <w:t>nedjelja</w:t>
      </w:r>
      <w:r w:rsidRPr="0014404C">
        <w:rPr>
          <w:sz w:val="22"/>
          <w:szCs w:val="22"/>
          <w:lang w:val="sr-Latn-ME" w:eastAsia="ja-JP"/>
        </w:rPr>
        <w:t xml:space="preserve"> (60% odnosno 64% pacijenata primalo je </w:t>
      </w:r>
      <w:r w:rsidR="00802EFD" w:rsidRPr="0014404C">
        <w:rPr>
          <w:sz w:val="22"/>
          <w:szCs w:val="22"/>
          <w:lang w:val="sr-Latn-ME" w:eastAsia="ja-JP"/>
        </w:rPr>
        <w:t xml:space="preserve">lijek </w:t>
      </w:r>
      <w:r w:rsidRPr="0014404C">
        <w:rPr>
          <w:sz w:val="22"/>
          <w:szCs w:val="22"/>
          <w:lang w:val="sr-Latn-ME" w:eastAsia="ja-JP"/>
        </w:rPr>
        <w:t xml:space="preserve">svakih 16 </w:t>
      </w:r>
      <w:r w:rsidR="00802EFD" w:rsidRPr="0014404C">
        <w:rPr>
          <w:sz w:val="22"/>
          <w:szCs w:val="22"/>
          <w:lang w:val="sr-Latn-ME" w:eastAsia="ja-JP"/>
        </w:rPr>
        <w:t>nedjelja</w:t>
      </w:r>
      <w:r w:rsidRPr="0014404C">
        <w:rPr>
          <w:sz w:val="22"/>
          <w:szCs w:val="22"/>
          <w:lang w:val="sr-Latn-ME" w:eastAsia="ja-JP"/>
        </w:rPr>
        <w:t xml:space="preserve">, a njih 18% </w:t>
      </w:r>
      <w:r w:rsidRPr="0014404C">
        <w:rPr>
          <w:sz w:val="22"/>
          <w:szCs w:val="22"/>
          <w:lang w:val="sr-Latn-ME" w:eastAsia="ja-JP"/>
        </w:rPr>
        <w:lastRenderedPageBreak/>
        <w:t xml:space="preserve">odnosno 14% svakih 12 </w:t>
      </w:r>
      <w:r w:rsidR="00802EFD" w:rsidRPr="0014404C">
        <w:rPr>
          <w:sz w:val="22"/>
          <w:szCs w:val="22"/>
          <w:lang w:val="sr-Latn-ME" w:eastAsia="ja-JP"/>
        </w:rPr>
        <w:t>nedjelja</w:t>
      </w:r>
      <w:r w:rsidRPr="0014404C">
        <w:rPr>
          <w:sz w:val="22"/>
          <w:szCs w:val="22"/>
          <w:lang w:val="sr-Latn-ME" w:eastAsia="ja-JP"/>
        </w:rPr>
        <w:t xml:space="preserve">). </w:t>
      </w:r>
      <w:r w:rsidRPr="0014404C">
        <w:rPr>
          <w:sz w:val="22"/>
          <w:szCs w:val="22"/>
          <w:shd w:val="clear" w:color="auto" w:fill="FFFFFF"/>
          <w:lang w:val="sr-Latn-ME" w:eastAsia="ja-JP"/>
        </w:rPr>
        <w:t xml:space="preserve">Kod 4% odnosno 6% pacijenata u studijama YOSEMITE i RHINE interval </w:t>
      </w:r>
      <w:r w:rsidR="00802EFD" w:rsidRPr="0014404C">
        <w:rPr>
          <w:sz w:val="22"/>
          <w:szCs w:val="22"/>
          <w:shd w:val="clear" w:color="auto" w:fill="FFFFFF"/>
          <w:lang w:val="sr-Latn-ME" w:eastAsia="ja-JP"/>
        </w:rPr>
        <w:t>primjene</w:t>
      </w:r>
      <w:r w:rsidRPr="0014404C">
        <w:rPr>
          <w:sz w:val="22"/>
          <w:szCs w:val="22"/>
          <w:shd w:val="clear" w:color="auto" w:fill="FFFFFF"/>
          <w:lang w:val="sr-Latn-ME" w:eastAsia="ja-JP"/>
        </w:rPr>
        <w:t xml:space="preserve"> produžen je na 8 </w:t>
      </w:r>
      <w:r w:rsidR="00802EFD" w:rsidRPr="0014404C">
        <w:rPr>
          <w:sz w:val="22"/>
          <w:szCs w:val="22"/>
          <w:shd w:val="clear" w:color="auto" w:fill="FFFFFF"/>
          <w:lang w:val="sr-Latn-ME" w:eastAsia="ja-JP"/>
        </w:rPr>
        <w:t>nedjelja</w:t>
      </w:r>
      <w:r w:rsidRPr="0014404C">
        <w:rPr>
          <w:sz w:val="22"/>
          <w:szCs w:val="22"/>
          <w:shd w:val="clear" w:color="auto" w:fill="FFFFFF"/>
          <w:lang w:val="sr-Latn-ME" w:eastAsia="ja-JP"/>
        </w:rPr>
        <w:t xml:space="preserve"> i održao se na ≤ 8 </w:t>
      </w:r>
      <w:r w:rsidR="00802EFD" w:rsidRPr="0014404C">
        <w:rPr>
          <w:sz w:val="22"/>
          <w:szCs w:val="22"/>
          <w:shd w:val="clear" w:color="auto" w:fill="FFFFFF"/>
          <w:lang w:val="sr-Latn-ME" w:eastAsia="ja-JP"/>
        </w:rPr>
        <w:t>nedjelja</w:t>
      </w:r>
      <w:r w:rsidRPr="0014404C">
        <w:rPr>
          <w:sz w:val="22"/>
          <w:szCs w:val="22"/>
          <w:shd w:val="clear" w:color="auto" w:fill="FFFFFF"/>
          <w:lang w:val="sr-Latn-ME" w:eastAsia="ja-JP"/>
        </w:rPr>
        <w:t xml:space="preserve"> do </w:t>
      </w:r>
      <w:r w:rsidR="004810DC" w:rsidRPr="0014404C">
        <w:rPr>
          <w:sz w:val="22"/>
          <w:szCs w:val="22"/>
          <w:shd w:val="clear" w:color="auto" w:fill="FFFFFF"/>
          <w:lang w:val="sr-Latn-ME" w:eastAsia="ja-JP"/>
        </w:rPr>
        <w:t xml:space="preserve">kraja </w:t>
      </w:r>
      <w:r w:rsidRPr="0014404C">
        <w:rPr>
          <w:sz w:val="22"/>
          <w:szCs w:val="22"/>
          <w:shd w:val="clear" w:color="auto" w:fill="FFFFFF"/>
          <w:lang w:val="sr-Latn-ME" w:eastAsia="ja-JP"/>
        </w:rPr>
        <w:t xml:space="preserve">96. </w:t>
      </w:r>
      <w:r w:rsidR="003A3062" w:rsidRPr="0014404C">
        <w:rPr>
          <w:sz w:val="22"/>
          <w:szCs w:val="22"/>
          <w:shd w:val="clear" w:color="auto" w:fill="FFFFFF"/>
          <w:lang w:val="sr-Latn-ME" w:eastAsia="ja-JP"/>
        </w:rPr>
        <w:t>nedjelje</w:t>
      </w:r>
      <w:r w:rsidRPr="0014404C">
        <w:rPr>
          <w:sz w:val="22"/>
          <w:szCs w:val="22"/>
          <w:shd w:val="clear" w:color="auto" w:fill="FFFFFF"/>
          <w:lang w:val="sr-Latn-ME" w:eastAsia="ja-JP"/>
        </w:rPr>
        <w:t xml:space="preserve">; 3% odnosno 5% pacijenata primalo je </w:t>
      </w:r>
      <w:r w:rsidR="00802EFD" w:rsidRPr="0014404C">
        <w:rPr>
          <w:sz w:val="22"/>
          <w:szCs w:val="22"/>
          <w:shd w:val="clear" w:color="auto" w:fill="FFFFFF"/>
          <w:lang w:val="sr-Latn-ME" w:eastAsia="ja-JP"/>
        </w:rPr>
        <w:t xml:space="preserve">lijek </w:t>
      </w:r>
      <w:r w:rsidRPr="0014404C">
        <w:rPr>
          <w:sz w:val="22"/>
          <w:szCs w:val="22"/>
          <w:shd w:val="clear" w:color="auto" w:fill="FFFFFF"/>
          <w:lang w:val="sr-Latn-ME" w:eastAsia="ja-JP"/>
        </w:rPr>
        <w:t>samo u intervalima od 4</w:t>
      </w:r>
      <w:r w:rsidR="004810DC" w:rsidRPr="0014404C">
        <w:rPr>
          <w:sz w:val="22"/>
          <w:szCs w:val="22"/>
          <w:shd w:val="clear" w:color="auto" w:fill="FFFFFF"/>
          <w:lang w:val="sr-Latn-ME" w:eastAsia="ja-JP"/>
        </w:rPr>
        <w:t>.</w:t>
      </w:r>
      <w:r w:rsidRPr="0014404C">
        <w:rPr>
          <w:sz w:val="22"/>
          <w:szCs w:val="22"/>
          <w:shd w:val="clear" w:color="auto" w:fill="FFFFFF"/>
          <w:lang w:val="sr-Latn-ME" w:eastAsia="ja-JP"/>
        </w:rPr>
        <w:t xml:space="preserve"> </w:t>
      </w:r>
      <w:r w:rsidR="003A3062" w:rsidRPr="0014404C">
        <w:rPr>
          <w:sz w:val="22"/>
          <w:szCs w:val="22"/>
          <w:shd w:val="clear" w:color="auto" w:fill="FFFFFF"/>
          <w:lang w:val="sr-Latn-ME" w:eastAsia="ja-JP"/>
        </w:rPr>
        <w:t>nedjelje</w:t>
      </w:r>
      <w:r w:rsidR="004810DC" w:rsidRPr="0014404C">
        <w:rPr>
          <w:sz w:val="22"/>
          <w:szCs w:val="22"/>
          <w:shd w:val="clear" w:color="auto" w:fill="FFFFFF"/>
          <w:lang w:val="sr-Latn-ME" w:eastAsia="ja-JP"/>
        </w:rPr>
        <w:t xml:space="preserve"> do kraja 96. nedjelje</w:t>
      </w:r>
      <w:r w:rsidRPr="0014404C">
        <w:rPr>
          <w:sz w:val="22"/>
          <w:szCs w:val="22"/>
          <w:shd w:val="clear" w:color="auto" w:fill="FFFFFF"/>
          <w:lang w:val="sr-Latn-ME" w:eastAsia="ja-JP"/>
        </w:rPr>
        <w:t>.</w:t>
      </w:r>
    </w:p>
    <w:p w14:paraId="1F98639E" w14:textId="4587B819" w:rsidR="00810158" w:rsidRPr="0014404C" w:rsidRDefault="00810158" w:rsidP="0014404C">
      <w:pPr>
        <w:widowControl w:val="0"/>
        <w:tabs>
          <w:tab w:val="left" w:pos="540"/>
          <w:tab w:val="left" w:pos="569"/>
        </w:tabs>
        <w:jc w:val="both"/>
        <w:rPr>
          <w:sz w:val="22"/>
          <w:szCs w:val="22"/>
          <w:lang w:val="sr-Latn-ME" w:eastAsia="ja-JP"/>
        </w:rPr>
      </w:pPr>
      <w:r w:rsidRPr="0014404C">
        <w:rPr>
          <w:sz w:val="22"/>
          <w:szCs w:val="22"/>
          <w:lang w:val="sr-Latn-ME" w:eastAsia="ja-JP"/>
        </w:rPr>
        <w:t xml:space="preserve">Detaljni rezultati analiza studija YOSEMITE i RHINE prikazani su u tabeli </w:t>
      </w:r>
      <w:r w:rsidR="004810DC" w:rsidRPr="0014404C">
        <w:rPr>
          <w:sz w:val="22"/>
          <w:szCs w:val="22"/>
          <w:lang w:val="sr-Latn-ME" w:eastAsia="ja-JP"/>
        </w:rPr>
        <w:t>4</w:t>
      </w:r>
      <w:r w:rsidRPr="0014404C">
        <w:rPr>
          <w:sz w:val="22"/>
          <w:szCs w:val="22"/>
          <w:lang w:val="sr-Latn-ME" w:eastAsia="ja-JP"/>
        </w:rPr>
        <w:t xml:space="preserve">, tabeli </w:t>
      </w:r>
      <w:r w:rsidR="004810DC" w:rsidRPr="0014404C">
        <w:rPr>
          <w:sz w:val="22"/>
          <w:szCs w:val="22"/>
          <w:lang w:val="sr-Latn-ME" w:eastAsia="ja-JP"/>
        </w:rPr>
        <w:t xml:space="preserve">5 </w:t>
      </w:r>
      <w:r w:rsidRPr="0014404C">
        <w:rPr>
          <w:sz w:val="22"/>
          <w:szCs w:val="22"/>
          <w:lang w:val="sr-Latn-ME" w:eastAsia="ja-JP"/>
        </w:rPr>
        <w:t>i na slici 2 u nastavku.</w:t>
      </w:r>
    </w:p>
    <w:p w14:paraId="34327193" w14:textId="77777777" w:rsidR="00810158" w:rsidRPr="0014404C" w:rsidRDefault="00810158" w:rsidP="0014404C">
      <w:pPr>
        <w:widowControl w:val="0"/>
        <w:tabs>
          <w:tab w:val="left" w:pos="540"/>
          <w:tab w:val="left" w:pos="569"/>
        </w:tabs>
        <w:jc w:val="both"/>
        <w:rPr>
          <w:sz w:val="22"/>
          <w:szCs w:val="22"/>
          <w:lang w:val="sr-Latn-ME" w:eastAsia="ja-JP"/>
        </w:rPr>
      </w:pPr>
    </w:p>
    <w:p w14:paraId="11D5E0C4" w14:textId="02AE812F" w:rsidR="00146D5A" w:rsidRPr="0014404C" w:rsidRDefault="00146D5A" w:rsidP="0014404C">
      <w:pPr>
        <w:widowControl w:val="0"/>
        <w:jc w:val="both"/>
        <w:rPr>
          <w:b/>
          <w:bCs/>
          <w:iCs/>
          <w:sz w:val="22"/>
          <w:szCs w:val="22"/>
          <w:lang w:val="sr-Latn-ME" w:eastAsia="ja-JP"/>
        </w:rPr>
      </w:pPr>
      <w:r w:rsidRPr="0014404C">
        <w:rPr>
          <w:b/>
          <w:bCs/>
          <w:sz w:val="22"/>
          <w:szCs w:val="22"/>
          <w:lang w:val="sr-Latn-ME" w:eastAsia="ja-JP"/>
        </w:rPr>
        <w:t xml:space="preserve">Tabela </w:t>
      </w:r>
      <w:r w:rsidR="004810DC" w:rsidRPr="0014404C">
        <w:rPr>
          <w:b/>
          <w:bCs/>
          <w:sz w:val="22"/>
          <w:szCs w:val="22"/>
          <w:lang w:val="sr-Latn-ME" w:eastAsia="ja-JP"/>
        </w:rPr>
        <w:t>4</w:t>
      </w:r>
      <w:r w:rsidRPr="0014404C">
        <w:rPr>
          <w:b/>
          <w:bCs/>
          <w:sz w:val="22"/>
          <w:szCs w:val="22"/>
          <w:lang w:val="sr-Latn-ME" w:eastAsia="ja-JP"/>
        </w:rPr>
        <w:t>: Ishodi efikasnosti pri posjetama radi procjene primarnih parametara efikasnosti u 1. godini</w:t>
      </w:r>
      <w:r w:rsidRPr="0014404C">
        <w:rPr>
          <w:b/>
          <w:bCs/>
          <w:sz w:val="22"/>
          <w:szCs w:val="22"/>
          <w:vertAlign w:val="superscript"/>
          <w:lang w:val="sr-Latn-ME" w:eastAsia="ja-JP"/>
        </w:rPr>
        <w:t>a</w:t>
      </w:r>
      <w:r w:rsidRPr="0014404C">
        <w:rPr>
          <w:b/>
          <w:bCs/>
          <w:sz w:val="22"/>
          <w:szCs w:val="22"/>
          <w:lang w:val="sr-Latn-ME" w:eastAsia="ja-JP"/>
        </w:rPr>
        <w:t xml:space="preserve"> i u 2.</w:t>
      </w:r>
      <w:r w:rsidRPr="0014404C">
        <w:rPr>
          <w:b/>
          <w:bCs/>
          <w:sz w:val="22"/>
          <w:szCs w:val="22"/>
          <w:vertAlign w:val="superscript"/>
          <w:lang w:val="sr-Latn-ME" w:eastAsia="ja-JP"/>
        </w:rPr>
        <w:t>b</w:t>
      </w:r>
      <w:r w:rsidRPr="0014404C">
        <w:rPr>
          <w:b/>
          <w:bCs/>
          <w:sz w:val="22"/>
          <w:szCs w:val="22"/>
          <w:lang w:val="sr-Latn-ME" w:eastAsia="ja-JP"/>
        </w:rPr>
        <w:t xml:space="preserve"> godini studije YOSEMITE </w:t>
      </w:r>
    </w:p>
    <w:tbl>
      <w:tblPr>
        <w:tblW w:w="9270" w:type="dxa"/>
        <w:tblInd w:w="-100" w:type="dxa"/>
        <w:tblLayout w:type="fixed"/>
        <w:tblCellMar>
          <w:top w:w="15" w:type="dxa"/>
          <w:left w:w="15" w:type="dxa"/>
          <w:bottom w:w="15" w:type="dxa"/>
          <w:right w:w="15" w:type="dxa"/>
        </w:tblCellMar>
        <w:tblLook w:val="04A0" w:firstRow="1" w:lastRow="0" w:firstColumn="1" w:lastColumn="0" w:noHBand="0" w:noVBand="1"/>
      </w:tblPr>
      <w:tblGrid>
        <w:gridCol w:w="2340"/>
        <w:gridCol w:w="1080"/>
        <w:gridCol w:w="1260"/>
        <w:gridCol w:w="1170"/>
        <w:gridCol w:w="1080"/>
        <w:gridCol w:w="1170"/>
        <w:gridCol w:w="1170"/>
      </w:tblGrid>
      <w:tr w:rsidR="00810158" w:rsidRPr="0014404C" w14:paraId="43C3744A" w14:textId="77777777" w:rsidTr="009D39E8">
        <w:tc>
          <w:tcPr>
            <w:tcW w:w="234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8AF6887"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Ishodi efikasnosti</w:t>
            </w:r>
          </w:p>
        </w:tc>
        <w:tc>
          <w:tcPr>
            <w:tcW w:w="69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BC23"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YOSEMITE</w:t>
            </w:r>
          </w:p>
        </w:tc>
      </w:tr>
      <w:tr w:rsidR="00810158" w:rsidRPr="0014404C" w14:paraId="28FF341E" w14:textId="77777777" w:rsidTr="009D39E8">
        <w:tc>
          <w:tcPr>
            <w:tcW w:w="234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C51121A" w14:textId="77777777" w:rsidR="00810158" w:rsidRPr="0014404C" w:rsidRDefault="00810158" w:rsidP="0014404C">
            <w:pPr>
              <w:widowControl w:val="0"/>
              <w:jc w:val="both"/>
              <w:rPr>
                <w:b/>
                <w:bCs/>
                <w:iCs/>
                <w:sz w:val="22"/>
                <w:szCs w:val="22"/>
                <w:lang w:val="sr-Latn-ME" w:eastAsia="ja-JP"/>
              </w:rPr>
            </w:pPr>
          </w:p>
        </w:tc>
        <w:tc>
          <w:tcPr>
            <w:tcW w:w="351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03369"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1. godina</w:t>
            </w:r>
          </w:p>
        </w:tc>
        <w:tc>
          <w:tcPr>
            <w:tcW w:w="3420" w:type="dxa"/>
            <w:gridSpan w:val="3"/>
            <w:tcBorders>
              <w:top w:val="single" w:sz="8" w:space="0" w:color="000000"/>
              <w:left w:val="single" w:sz="8" w:space="0" w:color="000000"/>
              <w:bottom w:val="single" w:sz="8" w:space="0" w:color="000000"/>
              <w:right w:val="single" w:sz="8" w:space="0" w:color="000000"/>
            </w:tcBorders>
          </w:tcPr>
          <w:p w14:paraId="0D30ECF5"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2. godina</w:t>
            </w:r>
          </w:p>
        </w:tc>
      </w:tr>
      <w:tr w:rsidR="00810158" w:rsidRPr="0014404C" w14:paraId="432754A1" w14:textId="77777777" w:rsidTr="009D39E8">
        <w:tc>
          <w:tcPr>
            <w:tcW w:w="234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617F36D1" w14:textId="77777777" w:rsidR="00810158" w:rsidRPr="0014404C" w:rsidRDefault="00810158" w:rsidP="0014404C">
            <w:pPr>
              <w:widowControl w:val="0"/>
              <w:jc w:val="both"/>
              <w:rPr>
                <w:bCs/>
                <w:iCs/>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6DA8C" w14:textId="77777777" w:rsidR="00810158" w:rsidRPr="0014404C" w:rsidRDefault="00810158" w:rsidP="0014404C">
            <w:pPr>
              <w:widowControl w:val="0"/>
              <w:jc w:val="both"/>
              <w:rPr>
                <w:bCs/>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4CDB18E8" w14:textId="77777777" w:rsidR="00810158" w:rsidRPr="0014404C" w:rsidRDefault="00810158" w:rsidP="0014404C">
            <w:pPr>
              <w:widowControl w:val="0"/>
              <w:jc w:val="both"/>
              <w:rPr>
                <w:bCs/>
                <w:sz w:val="22"/>
                <w:szCs w:val="22"/>
                <w:lang w:val="sr-Latn-ME" w:eastAsia="ja-JP"/>
              </w:rPr>
            </w:pPr>
            <w:r w:rsidRPr="0014404C">
              <w:rPr>
                <w:sz w:val="22"/>
                <w:szCs w:val="22"/>
                <w:lang w:val="sr-Latn-ME" w:eastAsia="ja-JP"/>
              </w:rPr>
              <w:t>N = 315</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75347" w14:textId="77777777" w:rsidR="00810158" w:rsidRPr="0014404C" w:rsidRDefault="00810158" w:rsidP="0014404C">
            <w:pPr>
              <w:widowControl w:val="0"/>
              <w:ind w:left="11" w:right="-105"/>
              <w:jc w:val="both"/>
              <w:rPr>
                <w:bCs/>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0D2279DA" w14:textId="77777777" w:rsidR="00810158" w:rsidRPr="0014404C" w:rsidRDefault="00810158" w:rsidP="0014404C">
            <w:pPr>
              <w:widowControl w:val="0"/>
              <w:ind w:left="11" w:right="7"/>
              <w:jc w:val="both"/>
              <w:rPr>
                <w:bCs/>
                <w:sz w:val="22"/>
                <w:szCs w:val="22"/>
                <w:lang w:val="sr-Latn-ME" w:eastAsia="ja-JP"/>
              </w:rPr>
            </w:pPr>
            <w:r w:rsidRPr="0014404C">
              <w:rPr>
                <w:sz w:val="22"/>
                <w:szCs w:val="22"/>
                <w:lang w:val="sr-Latn-ME" w:eastAsia="ja-JP"/>
              </w:rPr>
              <w:t>N = 313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9565D" w14:textId="77777777" w:rsidR="00810158" w:rsidRPr="0014404C" w:rsidRDefault="00810158" w:rsidP="0014404C">
            <w:pPr>
              <w:widowControl w:val="0"/>
              <w:jc w:val="both"/>
              <w:rPr>
                <w:bCs/>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41633A80" w14:textId="77777777" w:rsidR="00810158" w:rsidRPr="0014404C" w:rsidRDefault="00810158" w:rsidP="0014404C">
            <w:pPr>
              <w:widowControl w:val="0"/>
              <w:jc w:val="both"/>
              <w:rPr>
                <w:bCs/>
                <w:sz w:val="22"/>
                <w:szCs w:val="22"/>
                <w:lang w:val="sr-Latn-ME" w:eastAsia="ja-JP"/>
              </w:rPr>
            </w:pPr>
            <w:r w:rsidRPr="0014404C">
              <w:rPr>
                <w:sz w:val="22"/>
                <w:szCs w:val="22"/>
                <w:lang w:val="sr-Latn-ME" w:eastAsia="ja-JP"/>
              </w:rPr>
              <w:t>N = 312</w:t>
            </w:r>
          </w:p>
        </w:tc>
        <w:tc>
          <w:tcPr>
            <w:tcW w:w="1080" w:type="dxa"/>
            <w:tcBorders>
              <w:top w:val="single" w:sz="8" w:space="0" w:color="000000"/>
              <w:left w:val="single" w:sz="8" w:space="0" w:color="000000"/>
              <w:bottom w:val="single" w:sz="8" w:space="0" w:color="000000"/>
              <w:right w:val="single" w:sz="8" w:space="0" w:color="000000"/>
            </w:tcBorders>
          </w:tcPr>
          <w:p w14:paraId="16C81F23" w14:textId="77777777" w:rsidR="00810158" w:rsidRPr="0014404C" w:rsidRDefault="00810158" w:rsidP="0014404C">
            <w:pPr>
              <w:widowControl w:val="0"/>
              <w:jc w:val="both"/>
              <w:rPr>
                <w:bCs/>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165F4501" w14:textId="77777777" w:rsidR="00810158" w:rsidRPr="0014404C" w:rsidRDefault="00810158" w:rsidP="0014404C">
            <w:pPr>
              <w:widowControl w:val="0"/>
              <w:jc w:val="both"/>
              <w:rPr>
                <w:sz w:val="22"/>
                <w:szCs w:val="22"/>
                <w:lang w:val="sr-Latn-ME" w:eastAsia="ja-JP"/>
              </w:rPr>
            </w:pPr>
            <w:r w:rsidRPr="0014404C">
              <w:rPr>
                <w:sz w:val="22"/>
                <w:szCs w:val="22"/>
                <w:lang w:val="sr-Latn-ME" w:eastAsia="ja-JP"/>
              </w:rPr>
              <w:t>N = 262</w:t>
            </w:r>
          </w:p>
        </w:tc>
        <w:tc>
          <w:tcPr>
            <w:tcW w:w="1170" w:type="dxa"/>
            <w:tcBorders>
              <w:top w:val="single" w:sz="8" w:space="0" w:color="000000"/>
              <w:left w:val="single" w:sz="8" w:space="0" w:color="000000"/>
              <w:bottom w:val="single" w:sz="8" w:space="0" w:color="000000"/>
              <w:right w:val="single" w:sz="8" w:space="0" w:color="000000"/>
            </w:tcBorders>
          </w:tcPr>
          <w:p w14:paraId="5FE6EF2F" w14:textId="77777777" w:rsidR="00810158" w:rsidRPr="0014404C" w:rsidRDefault="00810158" w:rsidP="0014404C">
            <w:pPr>
              <w:widowControl w:val="0"/>
              <w:ind w:right="-15"/>
              <w:jc w:val="both"/>
              <w:rPr>
                <w:bCs/>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3972C447" w14:textId="77777777" w:rsidR="00810158" w:rsidRPr="0014404C" w:rsidRDefault="00810158" w:rsidP="0014404C">
            <w:pPr>
              <w:widowControl w:val="0"/>
              <w:jc w:val="both"/>
              <w:rPr>
                <w:sz w:val="22"/>
                <w:szCs w:val="22"/>
                <w:lang w:val="sr-Latn-ME" w:eastAsia="ja-JP"/>
              </w:rPr>
            </w:pPr>
            <w:r w:rsidRPr="0014404C">
              <w:rPr>
                <w:sz w:val="22"/>
                <w:szCs w:val="22"/>
                <w:lang w:val="sr-Latn-ME" w:eastAsia="ja-JP"/>
              </w:rPr>
              <w:t>N = 270</w:t>
            </w:r>
          </w:p>
        </w:tc>
        <w:tc>
          <w:tcPr>
            <w:tcW w:w="1170" w:type="dxa"/>
            <w:tcBorders>
              <w:top w:val="single" w:sz="8" w:space="0" w:color="000000"/>
              <w:left w:val="single" w:sz="8" w:space="0" w:color="000000"/>
              <w:bottom w:val="single" w:sz="8" w:space="0" w:color="000000"/>
              <w:right w:val="single" w:sz="8" w:space="0" w:color="000000"/>
            </w:tcBorders>
          </w:tcPr>
          <w:p w14:paraId="02E0A858"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7FA6F58E" w14:textId="77777777" w:rsidR="00810158" w:rsidRPr="0014404C" w:rsidRDefault="00810158" w:rsidP="0014404C">
            <w:pPr>
              <w:widowControl w:val="0"/>
              <w:jc w:val="both"/>
              <w:rPr>
                <w:sz w:val="22"/>
                <w:szCs w:val="22"/>
                <w:lang w:val="sr-Latn-ME" w:eastAsia="ja-JP"/>
              </w:rPr>
            </w:pPr>
            <w:r w:rsidRPr="0014404C">
              <w:rPr>
                <w:sz w:val="22"/>
                <w:szCs w:val="22"/>
                <w:lang w:val="sr-Latn-ME" w:eastAsia="ja-JP"/>
              </w:rPr>
              <w:t>N = 259</w:t>
            </w:r>
          </w:p>
        </w:tc>
      </w:tr>
      <w:tr w:rsidR="00810158" w:rsidRPr="0014404C" w14:paraId="75AE1B4B" w14:textId="77777777" w:rsidTr="009D39E8">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681A0" w14:textId="4B17B552"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Srednja </w:t>
            </w:r>
            <w:r w:rsidR="003A3062" w:rsidRPr="0014404C">
              <w:rPr>
                <w:sz w:val="22"/>
                <w:szCs w:val="22"/>
                <w:lang w:val="sr-Latn-ME" w:eastAsia="ja-JP"/>
              </w:rPr>
              <w:t xml:space="preserve">vrijednost promjene </w:t>
            </w:r>
            <w:r w:rsidRPr="0014404C">
              <w:rPr>
                <w:sz w:val="22"/>
                <w:szCs w:val="22"/>
                <w:lang w:val="sr-Latn-ME" w:eastAsia="ja-JP"/>
              </w:rPr>
              <w:t xml:space="preserve">BCVA od početne </w:t>
            </w:r>
            <w:r w:rsidR="003A3062" w:rsidRPr="0014404C">
              <w:rPr>
                <w:sz w:val="22"/>
                <w:szCs w:val="22"/>
                <w:lang w:val="sr-Latn-ME" w:eastAsia="ja-JP"/>
              </w:rPr>
              <w:t xml:space="preserve">vrijednosti </w:t>
            </w:r>
            <w:r w:rsidRPr="0014404C">
              <w:rPr>
                <w:sz w:val="22"/>
                <w:szCs w:val="22"/>
                <w:lang w:val="sr-Latn-ME" w:eastAsia="ja-JP"/>
              </w:rPr>
              <w:t>prema ETDRS skoru slova (97,5% CI 1. godina i 95% CI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7A87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10,7</w:t>
            </w:r>
          </w:p>
          <w:p w14:paraId="14D7F40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(9,4, 12,0)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91C2A"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11,6</w:t>
            </w:r>
          </w:p>
          <w:p w14:paraId="477A418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(10,3, 12,9)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018A8"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10,9</w:t>
            </w:r>
          </w:p>
          <w:p w14:paraId="282EA53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(9,6, 12,2)</w:t>
            </w:r>
          </w:p>
        </w:tc>
        <w:tc>
          <w:tcPr>
            <w:tcW w:w="1080" w:type="dxa"/>
            <w:tcBorders>
              <w:top w:val="single" w:sz="8" w:space="0" w:color="000000"/>
              <w:left w:val="single" w:sz="8" w:space="0" w:color="000000"/>
              <w:bottom w:val="single" w:sz="8" w:space="0" w:color="000000"/>
              <w:right w:val="single" w:sz="8" w:space="0" w:color="000000"/>
            </w:tcBorders>
          </w:tcPr>
          <w:p w14:paraId="20862EEA"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10,7</w:t>
            </w:r>
          </w:p>
          <w:p w14:paraId="56C2965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(9,4, 12,1)</w:t>
            </w:r>
          </w:p>
        </w:tc>
        <w:tc>
          <w:tcPr>
            <w:tcW w:w="1170" w:type="dxa"/>
            <w:tcBorders>
              <w:top w:val="single" w:sz="8" w:space="0" w:color="000000"/>
              <w:left w:val="single" w:sz="8" w:space="0" w:color="000000"/>
              <w:bottom w:val="single" w:sz="8" w:space="0" w:color="000000"/>
              <w:right w:val="single" w:sz="8" w:space="0" w:color="000000"/>
            </w:tcBorders>
          </w:tcPr>
          <w:p w14:paraId="020F089D"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10,7</w:t>
            </w:r>
          </w:p>
          <w:p w14:paraId="15CA2390"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(9,4, 12,1)</w:t>
            </w:r>
          </w:p>
        </w:tc>
        <w:tc>
          <w:tcPr>
            <w:tcW w:w="1170" w:type="dxa"/>
            <w:tcBorders>
              <w:top w:val="single" w:sz="8" w:space="0" w:color="000000"/>
              <w:left w:val="single" w:sz="8" w:space="0" w:color="000000"/>
              <w:bottom w:val="single" w:sz="8" w:space="0" w:color="000000"/>
              <w:right w:val="single" w:sz="8" w:space="0" w:color="000000"/>
            </w:tcBorders>
          </w:tcPr>
          <w:p w14:paraId="06C30B75"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11,4</w:t>
            </w:r>
          </w:p>
          <w:p w14:paraId="039B3E3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(10,0, 12,7)</w:t>
            </w:r>
          </w:p>
        </w:tc>
      </w:tr>
      <w:tr w:rsidR="00810158" w:rsidRPr="0014404C" w14:paraId="1071E27B" w14:textId="77777777" w:rsidTr="009D39E8">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9F43F" w14:textId="2F7A68E1"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Razlika u srednjoj </w:t>
            </w:r>
            <w:r w:rsidR="003A3062" w:rsidRPr="0014404C">
              <w:rPr>
                <w:sz w:val="22"/>
                <w:szCs w:val="22"/>
                <w:lang w:val="sr-Latn-ME" w:eastAsia="ja-JP"/>
              </w:rPr>
              <w:t xml:space="preserve">vrijednosti  </w:t>
            </w:r>
            <w:r w:rsidRPr="0014404C">
              <w:rPr>
                <w:sz w:val="22"/>
                <w:szCs w:val="22"/>
                <w:lang w:val="sr-Latn-ME" w:eastAsia="ja-JP"/>
              </w:rPr>
              <w:t>LS (97,5% CI 1. godina, 95% CI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BF33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-0,2</w:t>
            </w:r>
          </w:p>
          <w:p w14:paraId="08AE9F7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(-2,0, 1,6)</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9205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0,7</w:t>
            </w:r>
          </w:p>
          <w:p w14:paraId="7ACB016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(-1,1, 2,5)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184B0" w14:textId="77777777" w:rsidR="00810158" w:rsidRPr="0014404C" w:rsidRDefault="00810158" w:rsidP="0014404C">
            <w:pPr>
              <w:widowControl w:val="0"/>
              <w:jc w:val="both"/>
              <w:rPr>
                <w:bCs/>
                <w:iCs/>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2A4C3DAA"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-0,7 </w:t>
            </w:r>
          </w:p>
          <w:p w14:paraId="49E6618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(-2,6, 1,2)</w:t>
            </w:r>
          </w:p>
        </w:tc>
        <w:tc>
          <w:tcPr>
            <w:tcW w:w="1170" w:type="dxa"/>
            <w:tcBorders>
              <w:top w:val="single" w:sz="8" w:space="0" w:color="000000"/>
              <w:left w:val="single" w:sz="8" w:space="0" w:color="000000"/>
              <w:bottom w:val="single" w:sz="8" w:space="0" w:color="000000"/>
              <w:right w:val="single" w:sz="8" w:space="0" w:color="000000"/>
            </w:tcBorders>
          </w:tcPr>
          <w:p w14:paraId="263919F1"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-0,7 </w:t>
            </w:r>
          </w:p>
          <w:p w14:paraId="77A50378"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(-2,5, 1,2)</w:t>
            </w:r>
          </w:p>
        </w:tc>
        <w:tc>
          <w:tcPr>
            <w:tcW w:w="1170" w:type="dxa"/>
            <w:tcBorders>
              <w:top w:val="single" w:sz="8" w:space="0" w:color="000000"/>
              <w:left w:val="single" w:sz="8" w:space="0" w:color="000000"/>
              <w:bottom w:val="single" w:sz="8" w:space="0" w:color="000000"/>
              <w:right w:val="single" w:sz="8" w:space="0" w:color="000000"/>
            </w:tcBorders>
          </w:tcPr>
          <w:p w14:paraId="10831965" w14:textId="77777777" w:rsidR="00810158" w:rsidRPr="0014404C" w:rsidRDefault="00810158" w:rsidP="0014404C">
            <w:pPr>
              <w:widowControl w:val="0"/>
              <w:jc w:val="both"/>
              <w:rPr>
                <w:bCs/>
                <w:iCs/>
                <w:sz w:val="22"/>
                <w:szCs w:val="22"/>
                <w:lang w:val="sr-Latn-ME" w:eastAsia="ja-JP"/>
              </w:rPr>
            </w:pPr>
          </w:p>
        </w:tc>
      </w:tr>
      <w:tr w:rsidR="00810158" w:rsidRPr="0014404C" w14:paraId="0DB49120" w14:textId="77777777" w:rsidTr="009D39E8">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A314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Procenat pacijenata kojima se početni rezultat BCVA poboljšao barem 15 slova (CMH ponderisani procenat,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1F55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29,2%</w:t>
            </w:r>
          </w:p>
          <w:p w14:paraId="01FD1400"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(23,9%, 34,5%)</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E2DE"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35,5%</w:t>
            </w:r>
          </w:p>
          <w:p w14:paraId="21B05890"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(30,1%, 40,9%)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244B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31,8%</w:t>
            </w:r>
          </w:p>
          <w:p w14:paraId="5A53B18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(26,6%, 37,0%)</w:t>
            </w:r>
          </w:p>
        </w:tc>
        <w:tc>
          <w:tcPr>
            <w:tcW w:w="1080" w:type="dxa"/>
            <w:tcBorders>
              <w:top w:val="single" w:sz="8" w:space="0" w:color="000000"/>
              <w:left w:val="single" w:sz="8" w:space="0" w:color="000000"/>
              <w:bottom w:val="single" w:sz="8" w:space="0" w:color="000000"/>
              <w:right w:val="single" w:sz="8" w:space="0" w:color="000000"/>
            </w:tcBorders>
          </w:tcPr>
          <w:p w14:paraId="57CE1142"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37,2%</w:t>
            </w:r>
          </w:p>
          <w:p w14:paraId="1778F7EE"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(31,4%, 42,9%)</w:t>
            </w:r>
          </w:p>
        </w:tc>
        <w:tc>
          <w:tcPr>
            <w:tcW w:w="1170" w:type="dxa"/>
            <w:tcBorders>
              <w:top w:val="single" w:sz="8" w:space="0" w:color="000000"/>
              <w:left w:val="single" w:sz="8" w:space="0" w:color="000000"/>
              <w:bottom w:val="single" w:sz="8" w:space="0" w:color="000000"/>
              <w:right w:val="single" w:sz="8" w:space="0" w:color="000000"/>
            </w:tcBorders>
          </w:tcPr>
          <w:p w14:paraId="16CC2EF8"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38,2%</w:t>
            </w:r>
          </w:p>
          <w:p w14:paraId="32329AD7"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(32,8%, 43,7%)</w:t>
            </w:r>
          </w:p>
        </w:tc>
        <w:tc>
          <w:tcPr>
            <w:tcW w:w="1170" w:type="dxa"/>
            <w:tcBorders>
              <w:top w:val="single" w:sz="8" w:space="0" w:color="000000"/>
              <w:left w:val="single" w:sz="8" w:space="0" w:color="000000"/>
              <w:bottom w:val="single" w:sz="8" w:space="0" w:color="000000"/>
              <w:right w:val="single" w:sz="8" w:space="0" w:color="000000"/>
            </w:tcBorders>
          </w:tcPr>
          <w:p w14:paraId="5A6AED2A"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37,4%</w:t>
            </w:r>
          </w:p>
          <w:p w14:paraId="531953E6"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(31,7%, 43,0%)</w:t>
            </w:r>
          </w:p>
        </w:tc>
      </w:tr>
      <w:tr w:rsidR="00810158" w:rsidRPr="0014404C" w14:paraId="7FBB9A01" w14:textId="77777777" w:rsidTr="009D39E8">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021A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Razlika ponderisanog % CMH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92518"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-2,6%</w:t>
            </w:r>
          </w:p>
          <w:p w14:paraId="5060E07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(-10,0%, 4,9%)</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0DBE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3,5%</w:t>
            </w:r>
          </w:p>
          <w:p w14:paraId="6351D5A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(-4,0%, 11,1%)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D8D14" w14:textId="77777777" w:rsidR="00810158" w:rsidRPr="0014404C" w:rsidRDefault="00810158" w:rsidP="0014404C">
            <w:pPr>
              <w:widowControl w:val="0"/>
              <w:jc w:val="both"/>
              <w:rPr>
                <w:bCs/>
                <w:iCs/>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4C9A2151"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-0,2% </w:t>
            </w:r>
          </w:p>
          <w:p w14:paraId="4FFCED3A"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(-8,2%, 7,8%)</w:t>
            </w:r>
          </w:p>
        </w:tc>
        <w:tc>
          <w:tcPr>
            <w:tcW w:w="1170" w:type="dxa"/>
            <w:tcBorders>
              <w:top w:val="single" w:sz="8" w:space="0" w:color="000000"/>
              <w:left w:val="single" w:sz="8" w:space="0" w:color="000000"/>
              <w:bottom w:val="single" w:sz="8" w:space="0" w:color="000000"/>
              <w:right w:val="single" w:sz="8" w:space="0" w:color="000000"/>
            </w:tcBorders>
          </w:tcPr>
          <w:p w14:paraId="3525AAE1"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0,2%</w:t>
            </w:r>
          </w:p>
          <w:p w14:paraId="0119474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 (-7,6%, 8,1%)</w:t>
            </w:r>
          </w:p>
        </w:tc>
        <w:tc>
          <w:tcPr>
            <w:tcW w:w="1170" w:type="dxa"/>
            <w:tcBorders>
              <w:top w:val="single" w:sz="8" w:space="0" w:color="000000"/>
              <w:left w:val="single" w:sz="8" w:space="0" w:color="000000"/>
              <w:bottom w:val="single" w:sz="8" w:space="0" w:color="000000"/>
              <w:right w:val="single" w:sz="8" w:space="0" w:color="000000"/>
            </w:tcBorders>
          </w:tcPr>
          <w:p w14:paraId="41D0BBA6" w14:textId="77777777" w:rsidR="00810158" w:rsidRPr="0014404C" w:rsidRDefault="00810158" w:rsidP="0014404C">
            <w:pPr>
              <w:widowControl w:val="0"/>
              <w:jc w:val="both"/>
              <w:rPr>
                <w:bCs/>
                <w:iCs/>
                <w:sz w:val="22"/>
                <w:szCs w:val="22"/>
                <w:lang w:val="sr-Latn-ME" w:eastAsia="ja-JP"/>
              </w:rPr>
            </w:pPr>
          </w:p>
        </w:tc>
      </w:tr>
      <w:tr w:rsidR="00810158" w:rsidRPr="0014404C" w14:paraId="6AB61474" w14:textId="77777777" w:rsidTr="009D39E8">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027B3" w14:textId="1E1EE67D"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Procenat pacijenata koji su </w:t>
            </w:r>
            <w:r w:rsidR="003A3062" w:rsidRPr="0014404C">
              <w:rPr>
                <w:sz w:val="22"/>
                <w:szCs w:val="22"/>
                <w:lang w:val="sr-Latn-ME" w:eastAsia="ja-JP"/>
              </w:rPr>
              <w:t xml:space="preserve">izbjegli </w:t>
            </w:r>
            <w:r w:rsidRPr="0014404C">
              <w:rPr>
                <w:sz w:val="22"/>
                <w:szCs w:val="22"/>
                <w:lang w:val="sr-Latn-ME" w:eastAsia="ja-JP"/>
              </w:rPr>
              <w:t>gubitak od barem 15 slova u odnosu na početni rezultat BCVA (CMH ponderisani procenat,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FEA4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98,1%</w:t>
            </w:r>
          </w:p>
          <w:p w14:paraId="645C5181"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(96,5%, 99,7%)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FB148"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98,6%</w:t>
            </w:r>
          </w:p>
          <w:p w14:paraId="2330F4D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(97,2%, 100,0%)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CD1B7"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98,9%</w:t>
            </w:r>
          </w:p>
          <w:p w14:paraId="5A76208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(97,6%, 100,0%)</w:t>
            </w:r>
          </w:p>
        </w:tc>
        <w:tc>
          <w:tcPr>
            <w:tcW w:w="1080" w:type="dxa"/>
            <w:tcBorders>
              <w:top w:val="single" w:sz="8" w:space="0" w:color="000000"/>
              <w:left w:val="single" w:sz="8" w:space="0" w:color="000000"/>
              <w:bottom w:val="single" w:sz="8" w:space="0" w:color="000000"/>
              <w:right w:val="single" w:sz="8" w:space="0" w:color="000000"/>
            </w:tcBorders>
          </w:tcPr>
          <w:p w14:paraId="00CA22ED"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97,6%</w:t>
            </w:r>
          </w:p>
          <w:p w14:paraId="65AA8FB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(95,7%, 99,5%)</w:t>
            </w:r>
          </w:p>
        </w:tc>
        <w:tc>
          <w:tcPr>
            <w:tcW w:w="1170" w:type="dxa"/>
            <w:tcBorders>
              <w:top w:val="single" w:sz="8" w:space="0" w:color="000000"/>
              <w:left w:val="single" w:sz="8" w:space="0" w:color="000000"/>
              <w:bottom w:val="single" w:sz="8" w:space="0" w:color="000000"/>
              <w:right w:val="single" w:sz="8" w:space="0" w:color="000000"/>
            </w:tcBorders>
          </w:tcPr>
          <w:p w14:paraId="5B57A94F"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97,8%</w:t>
            </w:r>
          </w:p>
          <w:p w14:paraId="4D07147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(96,1%, 99,5%)</w:t>
            </w:r>
          </w:p>
        </w:tc>
        <w:tc>
          <w:tcPr>
            <w:tcW w:w="1170" w:type="dxa"/>
            <w:tcBorders>
              <w:top w:val="single" w:sz="8" w:space="0" w:color="000000"/>
              <w:left w:val="single" w:sz="8" w:space="0" w:color="000000"/>
              <w:bottom w:val="single" w:sz="8" w:space="0" w:color="000000"/>
              <w:right w:val="single" w:sz="8" w:space="0" w:color="000000"/>
            </w:tcBorders>
          </w:tcPr>
          <w:p w14:paraId="23A9E29E"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98,0%</w:t>
            </w:r>
          </w:p>
          <w:p w14:paraId="47678DC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(96,2%, 99,7%)</w:t>
            </w:r>
          </w:p>
        </w:tc>
      </w:tr>
      <w:tr w:rsidR="00810158" w:rsidRPr="0014404C" w14:paraId="7C7BAF25" w14:textId="77777777" w:rsidTr="009D39E8">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BA33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Razlika ponderisanog % </w:t>
            </w:r>
            <w:r w:rsidRPr="0014404C">
              <w:rPr>
                <w:sz w:val="22"/>
                <w:szCs w:val="22"/>
                <w:lang w:val="sr-Latn-ME" w:eastAsia="ja-JP"/>
              </w:rPr>
              <w:lastRenderedPageBreak/>
              <w:t xml:space="preserve">CMH (95% CI 1. godina i 2. godina)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0951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-0,8%</w:t>
            </w:r>
          </w:p>
          <w:p w14:paraId="6093C08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(-2,8%, 1,3%)</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F12CE"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-0,3%</w:t>
            </w:r>
          </w:p>
          <w:p w14:paraId="37912F0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(-2,2%, 1,5%)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69A67" w14:textId="77777777" w:rsidR="00810158" w:rsidRPr="0014404C" w:rsidRDefault="00810158" w:rsidP="0014404C">
            <w:pPr>
              <w:widowControl w:val="0"/>
              <w:jc w:val="both"/>
              <w:rPr>
                <w:bCs/>
                <w:iCs/>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791E4059"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-0,4% </w:t>
            </w:r>
          </w:p>
          <w:p w14:paraId="18979BD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(-2,9%, 2,2%)</w:t>
            </w:r>
          </w:p>
        </w:tc>
        <w:tc>
          <w:tcPr>
            <w:tcW w:w="1170" w:type="dxa"/>
            <w:tcBorders>
              <w:top w:val="single" w:sz="8" w:space="0" w:color="000000"/>
              <w:left w:val="single" w:sz="8" w:space="0" w:color="000000"/>
              <w:bottom w:val="single" w:sz="8" w:space="0" w:color="000000"/>
              <w:right w:val="single" w:sz="8" w:space="0" w:color="000000"/>
            </w:tcBorders>
          </w:tcPr>
          <w:p w14:paraId="0B42EE6A"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lastRenderedPageBreak/>
              <w:t xml:space="preserve">-0,2% </w:t>
            </w:r>
          </w:p>
          <w:p w14:paraId="21C1016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(-2,6%, 2,2%)</w:t>
            </w:r>
          </w:p>
        </w:tc>
        <w:tc>
          <w:tcPr>
            <w:tcW w:w="1170" w:type="dxa"/>
            <w:tcBorders>
              <w:top w:val="single" w:sz="8" w:space="0" w:color="000000"/>
              <w:left w:val="single" w:sz="8" w:space="0" w:color="000000"/>
              <w:bottom w:val="single" w:sz="8" w:space="0" w:color="000000"/>
              <w:right w:val="single" w:sz="8" w:space="0" w:color="000000"/>
            </w:tcBorders>
          </w:tcPr>
          <w:p w14:paraId="04604675" w14:textId="77777777" w:rsidR="00810158" w:rsidRPr="0014404C" w:rsidRDefault="00810158" w:rsidP="0014404C">
            <w:pPr>
              <w:widowControl w:val="0"/>
              <w:jc w:val="both"/>
              <w:rPr>
                <w:bCs/>
                <w:iCs/>
                <w:sz w:val="22"/>
                <w:szCs w:val="22"/>
                <w:lang w:val="sr-Latn-ME" w:eastAsia="ja-JP"/>
              </w:rPr>
            </w:pPr>
          </w:p>
        </w:tc>
      </w:tr>
    </w:tbl>
    <w:p w14:paraId="2FFB2AEF" w14:textId="24E0900E" w:rsidR="00810158" w:rsidRPr="0014404C" w:rsidRDefault="003A3062" w:rsidP="0014404C">
      <w:pPr>
        <w:widowControl w:val="0"/>
        <w:jc w:val="both"/>
        <w:rPr>
          <w:bCs/>
          <w:iCs/>
          <w:sz w:val="20"/>
          <w:szCs w:val="22"/>
          <w:lang w:val="sr-Latn-ME" w:eastAsia="ja-JP"/>
        </w:rPr>
      </w:pPr>
      <w:r w:rsidRPr="0014404C">
        <w:rPr>
          <w:sz w:val="20"/>
          <w:szCs w:val="22"/>
          <w:vertAlign w:val="superscript"/>
          <w:lang w:val="sr-Latn-ME" w:eastAsia="ja-JP"/>
        </w:rPr>
        <w:t>a</w:t>
      </w:r>
      <w:r w:rsidRPr="0014404C">
        <w:rPr>
          <w:sz w:val="20"/>
          <w:szCs w:val="22"/>
          <w:lang w:val="sr-Latn-ME" w:eastAsia="ja-JP"/>
        </w:rPr>
        <w:t xml:space="preserve">Prosjek </w:t>
      </w:r>
      <w:r w:rsidR="00810158" w:rsidRPr="0014404C">
        <w:rPr>
          <w:sz w:val="20"/>
          <w:szCs w:val="22"/>
          <w:lang w:val="sr-Latn-ME" w:eastAsia="ja-JP"/>
        </w:rPr>
        <w:t xml:space="preserve">48, 52, 56. </w:t>
      </w:r>
      <w:r w:rsidRPr="0014404C">
        <w:rPr>
          <w:sz w:val="20"/>
          <w:szCs w:val="22"/>
          <w:lang w:val="sr-Latn-ME" w:eastAsia="ja-JP"/>
        </w:rPr>
        <w:t>nedjelje</w:t>
      </w:r>
      <w:r w:rsidR="00810158" w:rsidRPr="0014404C">
        <w:rPr>
          <w:sz w:val="20"/>
          <w:szCs w:val="22"/>
          <w:lang w:val="sr-Latn-ME" w:eastAsia="ja-JP"/>
        </w:rPr>
        <w:t>;</w:t>
      </w:r>
      <w:r w:rsidR="00810158" w:rsidRPr="0014404C">
        <w:rPr>
          <w:color w:val="ED7D31"/>
          <w:sz w:val="20"/>
          <w:szCs w:val="22"/>
          <w:lang w:val="sr-Latn-ME" w:eastAsia="ja-JP"/>
        </w:rPr>
        <w:t xml:space="preserve"> </w:t>
      </w:r>
      <w:r w:rsidRPr="0014404C">
        <w:rPr>
          <w:sz w:val="20"/>
          <w:szCs w:val="22"/>
          <w:vertAlign w:val="superscript"/>
          <w:lang w:val="sr-Latn-ME" w:eastAsia="ja-JP"/>
        </w:rPr>
        <w:t>b</w:t>
      </w:r>
      <w:r w:rsidRPr="0014404C">
        <w:rPr>
          <w:sz w:val="20"/>
          <w:szCs w:val="22"/>
          <w:lang w:val="sr-Latn-ME" w:eastAsia="ja-JP"/>
        </w:rPr>
        <w:t xml:space="preserve">Prosjek </w:t>
      </w:r>
      <w:r w:rsidR="00810158" w:rsidRPr="0014404C">
        <w:rPr>
          <w:sz w:val="20"/>
          <w:szCs w:val="22"/>
          <w:lang w:val="sr-Latn-ME" w:eastAsia="ja-JP"/>
        </w:rPr>
        <w:t xml:space="preserve">92, 96, 100. </w:t>
      </w:r>
      <w:r w:rsidRPr="0014404C">
        <w:rPr>
          <w:sz w:val="20"/>
          <w:szCs w:val="22"/>
          <w:lang w:val="sr-Latn-ME" w:eastAsia="ja-JP"/>
        </w:rPr>
        <w:t>nedjelje</w:t>
      </w:r>
    </w:p>
    <w:p w14:paraId="51AADC7A"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BCVA: najbolja korigovana oštrina vida </w:t>
      </w:r>
    </w:p>
    <w:p w14:paraId="22D9235E" w14:textId="50BEEE3C"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ETDRS: Studija ranog </w:t>
      </w:r>
      <w:r w:rsidR="003A3062" w:rsidRPr="0014404C">
        <w:rPr>
          <w:sz w:val="20"/>
          <w:szCs w:val="22"/>
          <w:lang w:val="sr-Latn-ME" w:eastAsia="ja-JP"/>
        </w:rPr>
        <w:t xml:space="preserve">liječenja </w:t>
      </w:r>
      <w:r w:rsidRPr="0014404C">
        <w:rPr>
          <w:sz w:val="20"/>
          <w:szCs w:val="22"/>
          <w:lang w:val="sr-Latn-ME" w:eastAsia="ja-JP"/>
        </w:rPr>
        <w:t xml:space="preserve">dijabetičke retinopatije </w:t>
      </w:r>
    </w:p>
    <w:p w14:paraId="7F2E87F7"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LS: najmanji kvadrat </w:t>
      </w:r>
    </w:p>
    <w:p w14:paraId="3722FF20"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CI: interval pouzdanosti</w:t>
      </w:r>
    </w:p>
    <w:p w14:paraId="54A233C8" w14:textId="217F96CA"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CMH: Cochran–Mantel–Haenszelova metoda; statistički test koji daje </w:t>
      </w:r>
      <w:r w:rsidR="003A3062" w:rsidRPr="0014404C">
        <w:rPr>
          <w:sz w:val="20"/>
          <w:szCs w:val="22"/>
          <w:lang w:val="sr-Latn-ME" w:eastAsia="ja-JP"/>
        </w:rPr>
        <w:t xml:space="preserve">procjenu </w:t>
      </w:r>
      <w:r w:rsidRPr="0014404C">
        <w:rPr>
          <w:sz w:val="20"/>
          <w:szCs w:val="22"/>
          <w:lang w:val="sr-Latn-ME" w:eastAsia="ja-JP"/>
        </w:rPr>
        <w:t xml:space="preserve">povezanosti sa binarnim ishodom i koji se koristi za </w:t>
      </w:r>
      <w:r w:rsidR="003A3062" w:rsidRPr="0014404C">
        <w:rPr>
          <w:sz w:val="20"/>
          <w:szCs w:val="22"/>
          <w:lang w:val="sr-Latn-ME" w:eastAsia="ja-JP"/>
        </w:rPr>
        <w:t xml:space="preserve">procjenu </w:t>
      </w:r>
      <w:r w:rsidRPr="0014404C">
        <w:rPr>
          <w:sz w:val="20"/>
          <w:szCs w:val="22"/>
          <w:lang w:val="sr-Latn-ME" w:eastAsia="ja-JP"/>
        </w:rPr>
        <w:t>kategoričkih varijabli.</w:t>
      </w:r>
    </w:p>
    <w:p w14:paraId="6DA97298" w14:textId="46B502DD"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Napomena: Prikazan je ponderisani CMH % za grupu </w:t>
      </w:r>
      <w:r w:rsidR="003A3062" w:rsidRPr="0014404C">
        <w:rPr>
          <w:sz w:val="20"/>
          <w:szCs w:val="22"/>
          <w:lang w:val="sr-Latn-ME" w:eastAsia="ja-JP"/>
        </w:rPr>
        <w:t xml:space="preserve">liječenu </w:t>
      </w:r>
      <w:r w:rsidRPr="0014404C">
        <w:rPr>
          <w:sz w:val="20"/>
          <w:szCs w:val="22"/>
          <w:lang w:val="sr-Latn-ME" w:eastAsia="ja-JP"/>
        </w:rPr>
        <w:t xml:space="preserve">afliberceptom za poređenje između faricimaba svakih 8 </w:t>
      </w:r>
      <w:r w:rsidR="00802EFD" w:rsidRPr="0014404C">
        <w:rPr>
          <w:sz w:val="20"/>
          <w:szCs w:val="22"/>
          <w:lang w:val="sr-Latn-ME" w:eastAsia="ja-JP"/>
        </w:rPr>
        <w:t>nedjelja</w:t>
      </w:r>
      <w:r w:rsidRPr="0014404C">
        <w:rPr>
          <w:sz w:val="20"/>
          <w:szCs w:val="22"/>
          <w:lang w:val="sr-Latn-ME" w:eastAsia="ja-JP"/>
        </w:rPr>
        <w:t xml:space="preserve"> i aflibercepta; ipak, odgovarajući ponderisani CMH % za poređenje između faricimaba sa prilagodljivim režimom </w:t>
      </w:r>
      <w:r w:rsidR="00802EFD" w:rsidRPr="0014404C">
        <w:rPr>
          <w:sz w:val="20"/>
          <w:szCs w:val="22"/>
          <w:lang w:val="sr-Latn-ME" w:eastAsia="ja-JP"/>
        </w:rPr>
        <w:t>primjene</w:t>
      </w:r>
      <w:r w:rsidRPr="0014404C">
        <w:rPr>
          <w:sz w:val="20"/>
          <w:szCs w:val="22"/>
          <w:lang w:val="sr-Latn-ME" w:eastAsia="ja-JP"/>
        </w:rPr>
        <w:t xml:space="preserve"> i aflibercepta sličan je gore</w:t>
      </w:r>
      <w:r w:rsidR="00891071" w:rsidRPr="0014404C">
        <w:rPr>
          <w:sz w:val="20"/>
          <w:szCs w:val="22"/>
          <w:lang w:val="sr-Latn-ME" w:eastAsia="ja-JP"/>
        </w:rPr>
        <w:t xml:space="preserve"> </w:t>
      </w:r>
      <w:r w:rsidRPr="0014404C">
        <w:rPr>
          <w:sz w:val="20"/>
          <w:szCs w:val="22"/>
          <w:lang w:val="sr-Latn-ME" w:eastAsia="ja-JP"/>
        </w:rPr>
        <w:t>prikazanom.</w:t>
      </w:r>
    </w:p>
    <w:p w14:paraId="189E237D" w14:textId="77777777" w:rsidR="00810158" w:rsidRPr="0014404C" w:rsidRDefault="00810158" w:rsidP="0014404C">
      <w:pPr>
        <w:widowControl w:val="0"/>
        <w:tabs>
          <w:tab w:val="left" w:pos="540"/>
          <w:tab w:val="left" w:pos="569"/>
        </w:tabs>
        <w:jc w:val="both"/>
        <w:rPr>
          <w:b/>
          <w:bCs/>
          <w:sz w:val="22"/>
          <w:szCs w:val="22"/>
          <w:lang w:val="sr-Latn-ME"/>
        </w:rPr>
      </w:pPr>
    </w:p>
    <w:p w14:paraId="05C4260A" w14:textId="7B9EA35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 xml:space="preserve">Tabela </w:t>
      </w:r>
      <w:r w:rsidR="004810DC" w:rsidRPr="0014404C">
        <w:rPr>
          <w:b/>
          <w:bCs/>
          <w:sz w:val="22"/>
          <w:szCs w:val="22"/>
          <w:lang w:val="sr-Latn-ME" w:eastAsia="ja-JP"/>
        </w:rPr>
        <w:t>5</w:t>
      </w:r>
      <w:r w:rsidRPr="0014404C">
        <w:rPr>
          <w:b/>
          <w:bCs/>
          <w:sz w:val="22"/>
          <w:szCs w:val="22"/>
          <w:lang w:val="sr-Latn-ME" w:eastAsia="ja-JP"/>
        </w:rPr>
        <w:t xml:space="preserve">: Ishodi efikasnosti pri </w:t>
      </w:r>
      <w:r w:rsidR="003A3062" w:rsidRPr="0014404C">
        <w:rPr>
          <w:b/>
          <w:bCs/>
          <w:sz w:val="22"/>
          <w:szCs w:val="22"/>
          <w:lang w:val="sr-Latn-ME" w:eastAsia="ja-JP"/>
        </w:rPr>
        <w:t xml:space="preserve">posjetama </w:t>
      </w:r>
      <w:r w:rsidRPr="0014404C">
        <w:rPr>
          <w:b/>
          <w:bCs/>
          <w:sz w:val="22"/>
          <w:szCs w:val="22"/>
          <w:lang w:val="sr-Latn-ME" w:eastAsia="ja-JP"/>
        </w:rPr>
        <w:t xml:space="preserve">radi </w:t>
      </w:r>
      <w:r w:rsidR="003A3062" w:rsidRPr="0014404C">
        <w:rPr>
          <w:b/>
          <w:bCs/>
          <w:sz w:val="22"/>
          <w:szCs w:val="22"/>
          <w:lang w:val="sr-Latn-ME" w:eastAsia="ja-JP"/>
        </w:rPr>
        <w:t xml:space="preserve">procjene </w:t>
      </w:r>
      <w:r w:rsidRPr="0014404C">
        <w:rPr>
          <w:b/>
          <w:bCs/>
          <w:sz w:val="22"/>
          <w:szCs w:val="22"/>
          <w:lang w:val="sr-Latn-ME" w:eastAsia="ja-JP"/>
        </w:rPr>
        <w:t>primarnih parametara efikasnosti</w:t>
      </w:r>
      <w:r w:rsidR="00B95728" w:rsidRPr="0014404C">
        <w:rPr>
          <w:b/>
          <w:bCs/>
          <w:sz w:val="22"/>
          <w:szCs w:val="22"/>
          <w:lang w:val="sr-Latn-ME" w:eastAsia="ja-JP"/>
        </w:rPr>
        <w:t xml:space="preserve"> </w:t>
      </w:r>
      <w:r w:rsidRPr="0014404C">
        <w:rPr>
          <w:b/>
          <w:bCs/>
          <w:sz w:val="22"/>
          <w:szCs w:val="22"/>
          <w:lang w:val="sr-Latn-ME" w:eastAsia="ja-JP"/>
        </w:rPr>
        <w:t>u 1. godini</w:t>
      </w:r>
      <w:r w:rsidRPr="0014404C">
        <w:rPr>
          <w:b/>
          <w:bCs/>
          <w:sz w:val="22"/>
          <w:szCs w:val="22"/>
          <w:vertAlign w:val="superscript"/>
          <w:lang w:val="sr-Latn-ME" w:eastAsia="ja-JP"/>
        </w:rPr>
        <w:t>a</w:t>
      </w:r>
      <w:r w:rsidRPr="0014404C">
        <w:rPr>
          <w:b/>
          <w:bCs/>
          <w:sz w:val="22"/>
          <w:szCs w:val="22"/>
          <w:lang w:val="sr-Latn-ME" w:eastAsia="ja-JP"/>
        </w:rPr>
        <w:t xml:space="preserve"> i u 2.</w:t>
      </w:r>
      <w:r w:rsidRPr="0014404C">
        <w:rPr>
          <w:b/>
          <w:bCs/>
          <w:sz w:val="22"/>
          <w:szCs w:val="22"/>
          <w:vertAlign w:val="superscript"/>
          <w:lang w:val="sr-Latn-ME" w:eastAsia="ja-JP"/>
        </w:rPr>
        <w:t>b</w:t>
      </w:r>
      <w:r w:rsidRPr="0014404C">
        <w:rPr>
          <w:b/>
          <w:bCs/>
          <w:sz w:val="22"/>
          <w:szCs w:val="22"/>
          <w:lang w:val="sr-Latn-ME" w:eastAsia="ja-JP"/>
        </w:rPr>
        <w:t xml:space="preserve"> godini studije RHINE</w:t>
      </w:r>
    </w:p>
    <w:p w14:paraId="50F406E1" w14:textId="77777777" w:rsidR="00810158" w:rsidRPr="0014404C" w:rsidRDefault="00810158" w:rsidP="0014404C">
      <w:pPr>
        <w:widowControl w:val="0"/>
        <w:tabs>
          <w:tab w:val="left" w:pos="540"/>
          <w:tab w:val="left" w:pos="569"/>
        </w:tabs>
        <w:jc w:val="both"/>
        <w:rPr>
          <w:b/>
          <w:bCs/>
          <w:sz w:val="22"/>
          <w:szCs w:val="22"/>
          <w:lang w:val="sr-Latn-ME"/>
        </w:rPr>
      </w:pPr>
    </w:p>
    <w:tbl>
      <w:tblPr>
        <w:tblW w:w="9170" w:type="dxa"/>
        <w:tblLayout w:type="fixed"/>
        <w:tblCellMar>
          <w:top w:w="15" w:type="dxa"/>
          <w:left w:w="15" w:type="dxa"/>
          <w:bottom w:w="15" w:type="dxa"/>
          <w:right w:w="15" w:type="dxa"/>
        </w:tblCellMar>
        <w:tblLook w:val="04A0" w:firstRow="1" w:lastRow="0" w:firstColumn="1" w:lastColumn="0" w:noHBand="0" w:noVBand="1"/>
      </w:tblPr>
      <w:tblGrid>
        <w:gridCol w:w="2240"/>
        <w:gridCol w:w="1080"/>
        <w:gridCol w:w="1260"/>
        <w:gridCol w:w="1153"/>
        <w:gridCol w:w="10"/>
        <w:gridCol w:w="1087"/>
        <w:gridCol w:w="1170"/>
        <w:gridCol w:w="1170"/>
      </w:tblGrid>
      <w:tr w:rsidR="00810158" w:rsidRPr="0014404C" w14:paraId="43D740C3" w14:textId="77777777" w:rsidTr="0014404C">
        <w:trPr>
          <w:tblHeader/>
        </w:trPr>
        <w:tc>
          <w:tcPr>
            <w:tcW w:w="224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CB8B6E3"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Ishodi efikasnosti</w:t>
            </w:r>
          </w:p>
        </w:tc>
        <w:tc>
          <w:tcPr>
            <w:tcW w:w="6930"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CF171"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RHINE</w:t>
            </w:r>
          </w:p>
        </w:tc>
      </w:tr>
      <w:tr w:rsidR="00810158" w:rsidRPr="0014404C" w14:paraId="6802EBC8" w14:textId="77777777" w:rsidTr="0014404C">
        <w:trPr>
          <w:tblHeader/>
        </w:trPr>
        <w:tc>
          <w:tcPr>
            <w:tcW w:w="224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3DC41F9" w14:textId="77777777" w:rsidR="00810158" w:rsidRPr="0014404C" w:rsidRDefault="00810158" w:rsidP="0014404C">
            <w:pPr>
              <w:widowControl w:val="0"/>
              <w:jc w:val="both"/>
              <w:rPr>
                <w:b/>
                <w:bCs/>
                <w:iCs/>
                <w:sz w:val="22"/>
                <w:szCs w:val="22"/>
                <w:lang w:val="sr-Latn-ME" w:eastAsia="ja-JP"/>
              </w:rPr>
            </w:pPr>
          </w:p>
        </w:tc>
        <w:tc>
          <w:tcPr>
            <w:tcW w:w="350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BABB9"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1. godina</w:t>
            </w:r>
          </w:p>
        </w:tc>
        <w:tc>
          <w:tcPr>
            <w:tcW w:w="3427" w:type="dxa"/>
            <w:gridSpan w:val="3"/>
            <w:tcBorders>
              <w:top w:val="single" w:sz="8" w:space="0" w:color="000000"/>
              <w:left w:val="single" w:sz="8" w:space="0" w:color="000000"/>
              <w:bottom w:val="single" w:sz="8" w:space="0" w:color="000000"/>
              <w:right w:val="single" w:sz="8" w:space="0" w:color="000000"/>
            </w:tcBorders>
          </w:tcPr>
          <w:p w14:paraId="3D57AFE0" w14:textId="77777777" w:rsidR="00810158" w:rsidRPr="0014404C" w:rsidRDefault="00810158" w:rsidP="0014404C">
            <w:pPr>
              <w:widowControl w:val="0"/>
              <w:jc w:val="both"/>
              <w:rPr>
                <w:b/>
                <w:bCs/>
                <w:iCs/>
                <w:sz w:val="22"/>
                <w:szCs w:val="22"/>
                <w:lang w:val="sr-Latn-ME" w:eastAsia="ja-JP"/>
              </w:rPr>
            </w:pPr>
            <w:r w:rsidRPr="0014404C">
              <w:rPr>
                <w:b/>
                <w:bCs/>
                <w:sz w:val="22"/>
                <w:szCs w:val="22"/>
                <w:lang w:val="sr-Latn-ME" w:eastAsia="ja-JP"/>
              </w:rPr>
              <w:t>2. godina</w:t>
            </w:r>
          </w:p>
        </w:tc>
      </w:tr>
      <w:tr w:rsidR="00810158" w:rsidRPr="0014404C" w14:paraId="5B9C3F6C" w14:textId="77777777" w:rsidTr="0014404C">
        <w:trPr>
          <w:tblHeader/>
        </w:trPr>
        <w:tc>
          <w:tcPr>
            <w:tcW w:w="224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31C3577" w14:textId="77777777" w:rsidR="00810158" w:rsidRPr="0014404C" w:rsidRDefault="00810158" w:rsidP="0014404C">
            <w:pPr>
              <w:widowControl w:val="0"/>
              <w:jc w:val="both"/>
              <w:rPr>
                <w:bCs/>
                <w:iCs/>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BFFF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24D718C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N = 317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F05FA" w14:textId="77777777" w:rsidR="00810158" w:rsidRPr="0014404C" w:rsidRDefault="00810158" w:rsidP="0014404C">
            <w:pPr>
              <w:widowControl w:val="0"/>
              <w:ind w:left="8" w:right="-105"/>
              <w:jc w:val="both"/>
              <w:rPr>
                <w:bCs/>
                <w:iCs/>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08F526A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N = 319</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9B98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1EB035F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N = 315</w:t>
            </w:r>
          </w:p>
        </w:tc>
        <w:tc>
          <w:tcPr>
            <w:tcW w:w="1097" w:type="dxa"/>
            <w:gridSpan w:val="2"/>
            <w:tcBorders>
              <w:top w:val="single" w:sz="8" w:space="0" w:color="000000"/>
              <w:left w:val="single" w:sz="8" w:space="0" w:color="000000"/>
              <w:bottom w:val="single" w:sz="8" w:space="0" w:color="000000"/>
              <w:right w:val="single" w:sz="8" w:space="0" w:color="000000"/>
            </w:tcBorders>
          </w:tcPr>
          <w:p w14:paraId="6913BD44"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3550C6C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N = 259</w:t>
            </w:r>
          </w:p>
        </w:tc>
        <w:tc>
          <w:tcPr>
            <w:tcW w:w="1170" w:type="dxa"/>
            <w:tcBorders>
              <w:top w:val="single" w:sz="8" w:space="0" w:color="000000"/>
              <w:left w:val="single" w:sz="8" w:space="0" w:color="000000"/>
              <w:bottom w:val="single" w:sz="8" w:space="0" w:color="000000"/>
              <w:right w:val="single" w:sz="8" w:space="0" w:color="000000"/>
            </w:tcBorders>
          </w:tcPr>
          <w:p w14:paraId="76E76BEE" w14:textId="77777777" w:rsidR="00810158" w:rsidRPr="0014404C" w:rsidRDefault="00810158" w:rsidP="0014404C">
            <w:pPr>
              <w:widowControl w:val="0"/>
              <w:ind w:right="-15"/>
              <w:jc w:val="both"/>
              <w:rPr>
                <w:bCs/>
                <w:iCs/>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272471EA"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N = 282</w:t>
            </w:r>
          </w:p>
        </w:tc>
        <w:tc>
          <w:tcPr>
            <w:tcW w:w="1170" w:type="dxa"/>
            <w:tcBorders>
              <w:top w:val="single" w:sz="8" w:space="0" w:color="000000"/>
              <w:left w:val="single" w:sz="8" w:space="0" w:color="000000"/>
              <w:bottom w:val="single" w:sz="8" w:space="0" w:color="000000"/>
              <w:right w:val="single" w:sz="8" w:space="0" w:color="000000"/>
            </w:tcBorders>
          </w:tcPr>
          <w:p w14:paraId="3C32D994"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05D1C5C1"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N = 254</w:t>
            </w:r>
          </w:p>
        </w:tc>
      </w:tr>
      <w:tr w:rsidR="00810158" w:rsidRPr="0014404C" w14:paraId="0254EA30" w14:textId="77777777" w:rsidTr="0014404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A08EC" w14:textId="3B651BDF"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Srednja </w:t>
            </w:r>
            <w:r w:rsidR="003A3062" w:rsidRPr="0014404C">
              <w:rPr>
                <w:sz w:val="22"/>
                <w:szCs w:val="22"/>
                <w:lang w:val="sr-Latn-ME" w:eastAsia="ja-JP"/>
              </w:rPr>
              <w:t xml:space="preserve">vrijednost promjene </w:t>
            </w:r>
            <w:r w:rsidRPr="0014404C">
              <w:rPr>
                <w:sz w:val="22"/>
                <w:szCs w:val="22"/>
                <w:lang w:val="sr-Latn-ME" w:eastAsia="ja-JP"/>
              </w:rPr>
              <w:t xml:space="preserve">BCVA od početne </w:t>
            </w:r>
            <w:r w:rsidR="003A3062" w:rsidRPr="0014404C">
              <w:rPr>
                <w:sz w:val="22"/>
                <w:szCs w:val="22"/>
                <w:lang w:val="sr-Latn-ME" w:eastAsia="ja-JP"/>
              </w:rPr>
              <w:t xml:space="preserve">vrijednosti  </w:t>
            </w:r>
            <w:r w:rsidRPr="0014404C">
              <w:rPr>
                <w:sz w:val="22"/>
                <w:szCs w:val="22"/>
                <w:lang w:val="sr-Latn-ME" w:eastAsia="ja-JP"/>
              </w:rPr>
              <w:t>prema ETDRS skoru slova (97,5% CI 1. godina i 95% CI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514C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11,8</w:t>
            </w:r>
          </w:p>
          <w:p w14:paraId="53AB2EB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(10,6, 13,0)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B4E0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10,8</w:t>
            </w:r>
          </w:p>
          <w:p w14:paraId="3D5D9446"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(9,6, 11,9)</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E159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10,3</w:t>
            </w:r>
          </w:p>
          <w:p w14:paraId="195E819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(9,1, 11,4)</w:t>
            </w:r>
          </w:p>
        </w:tc>
        <w:tc>
          <w:tcPr>
            <w:tcW w:w="1097" w:type="dxa"/>
            <w:gridSpan w:val="2"/>
            <w:tcBorders>
              <w:top w:val="single" w:sz="8" w:space="0" w:color="000000"/>
              <w:left w:val="single" w:sz="8" w:space="0" w:color="000000"/>
              <w:bottom w:val="single" w:sz="8" w:space="0" w:color="000000"/>
              <w:right w:val="single" w:sz="8" w:space="0" w:color="000000"/>
            </w:tcBorders>
          </w:tcPr>
          <w:p w14:paraId="599D775C"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10,9</w:t>
            </w:r>
          </w:p>
          <w:p w14:paraId="08F8DC8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(9,5, 12,3)</w:t>
            </w:r>
          </w:p>
        </w:tc>
        <w:tc>
          <w:tcPr>
            <w:tcW w:w="1170" w:type="dxa"/>
            <w:tcBorders>
              <w:top w:val="single" w:sz="8" w:space="0" w:color="000000"/>
              <w:left w:val="single" w:sz="8" w:space="0" w:color="000000"/>
              <w:bottom w:val="single" w:sz="8" w:space="0" w:color="000000"/>
              <w:right w:val="single" w:sz="8" w:space="0" w:color="000000"/>
            </w:tcBorders>
          </w:tcPr>
          <w:p w14:paraId="4E3164FC"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10,1</w:t>
            </w:r>
          </w:p>
          <w:p w14:paraId="57FC02FE"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(8,7, 11,5)</w:t>
            </w:r>
          </w:p>
        </w:tc>
        <w:tc>
          <w:tcPr>
            <w:tcW w:w="1170" w:type="dxa"/>
            <w:tcBorders>
              <w:top w:val="single" w:sz="8" w:space="0" w:color="000000"/>
              <w:left w:val="single" w:sz="8" w:space="0" w:color="000000"/>
              <w:bottom w:val="single" w:sz="8" w:space="0" w:color="000000"/>
              <w:right w:val="single" w:sz="8" w:space="0" w:color="000000"/>
            </w:tcBorders>
          </w:tcPr>
          <w:p w14:paraId="7A0BB63E"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9,4</w:t>
            </w:r>
          </w:p>
          <w:p w14:paraId="2E5B5EE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(7,9, 10,8)</w:t>
            </w:r>
          </w:p>
        </w:tc>
      </w:tr>
      <w:tr w:rsidR="00810158" w:rsidRPr="0014404C" w14:paraId="5BA2ED1F" w14:textId="77777777" w:rsidTr="0014404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8E93D" w14:textId="43DE7575"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Razlika u srednjoj </w:t>
            </w:r>
            <w:r w:rsidR="003A3062" w:rsidRPr="0014404C">
              <w:rPr>
                <w:sz w:val="22"/>
                <w:szCs w:val="22"/>
                <w:lang w:val="sr-Latn-ME" w:eastAsia="ja-JP"/>
              </w:rPr>
              <w:t xml:space="preserve">vrijednosti  </w:t>
            </w:r>
            <w:r w:rsidRPr="0014404C">
              <w:rPr>
                <w:sz w:val="22"/>
                <w:szCs w:val="22"/>
                <w:lang w:val="sr-Latn-ME" w:eastAsia="ja-JP"/>
              </w:rPr>
              <w:t>LS (97,5% CI 1. godina, 95% CI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88CA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1,5</w:t>
            </w:r>
          </w:p>
          <w:p w14:paraId="40098637"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(-0,1, 3,2)</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EBCC1"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0,5</w:t>
            </w:r>
          </w:p>
          <w:p w14:paraId="5B4C161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(-1,1, 2,1)</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7A834" w14:textId="77777777" w:rsidR="00810158" w:rsidRPr="0014404C" w:rsidRDefault="00810158" w:rsidP="0014404C">
            <w:pPr>
              <w:widowControl w:val="0"/>
              <w:jc w:val="both"/>
              <w:rPr>
                <w:bCs/>
                <w:iCs/>
                <w:sz w:val="22"/>
                <w:szCs w:val="22"/>
                <w:lang w:val="sr-Latn-ME" w:eastAsia="ja-JP"/>
              </w:rPr>
            </w:pPr>
          </w:p>
        </w:tc>
        <w:tc>
          <w:tcPr>
            <w:tcW w:w="1097" w:type="dxa"/>
            <w:gridSpan w:val="2"/>
            <w:tcBorders>
              <w:top w:val="single" w:sz="8" w:space="0" w:color="000000"/>
              <w:left w:val="single" w:sz="8" w:space="0" w:color="000000"/>
              <w:bottom w:val="single" w:sz="8" w:space="0" w:color="000000"/>
              <w:right w:val="single" w:sz="8" w:space="0" w:color="000000"/>
            </w:tcBorders>
          </w:tcPr>
          <w:p w14:paraId="07FC8971"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1,5 </w:t>
            </w:r>
          </w:p>
          <w:p w14:paraId="7E317084"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(-0,5, 3,6)</w:t>
            </w:r>
          </w:p>
        </w:tc>
        <w:tc>
          <w:tcPr>
            <w:tcW w:w="1170" w:type="dxa"/>
            <w:tcBorders>
              <w:top w:val="single" w:sz="8" w:space="0" w:color="000000"/>
              <w:left w:val="single" w:sz="8" w:space="0" w:color="000000"/>
              <w:bottom w:val="single" w:sz="8" w:space="0" w:color="000000"/>
              <w:right w:val="single" w:sz="8" w:space="0" w:color="000000"/>
            </w:tcBorders>
          </w:tcPr>
          <w:p w14:paraId="49B66832"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0,7 </w:t>
            </w:r>
          </w:p>
          <w:p w14:paraId="75C823E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(-1,3, 2,7)</w:t>
            </w:r>
          </w:p>
        </w:tc>
        <w:tc>
          <w:tcPr>
            <w:tcW w:w="1170" w:type="dxa"/>
            <w:tcBorders>
              <w:top w:val="single" w:sz="8" w:space="0" w:color="000000"/>
              <w:left w:val="single" w:sz="8" w:space="0" w:color="000000"/>
              <w:bottom w:val="single" w:sz="8" w:space="0" w:color="000000"/>
              <w:right w:val="single" w:sz="8" w:space="0" w:color="000000"/>
            </w:tcBorders>
          </w:tcPr>
          <w:p w14:paraId="1A161150" w14:textId="77777777" w:rsidR="00810158" w:rsidRPr="0014404C" w:rsidRDefault="00810158" w:rsidP="0014404C">
            <w:pPr>
              <w:widowControl w:val="0"/>
              <w:jc w:val="both"/>
              <w:rPr>
                <w:bCs/>
                <w:iCs/>
                <w:sz w:val="22"/>
                <w:szCs w:val="22"/>
                <w:lang w:val="sr-Latn-ME" w:eastAsia="ja-JP"/>
              </w:rPr>
            </w:pPr>
          </w:p>
        </w:tc>
      </w:tr>
      <w:tr w:rsidR="00810158" w:rsidRPr="0014404C" w14:paraId="7A224F33" w14:textId="77777777" w:rsidTr="0014404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FADE8"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Procenat pacijenata kojima se početni rezultat BCVA poboljšao barem 15 slova (CMH ponderisani procenat,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F697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33,8%</w:t>
            </w:r>
          </w:p>
          <w:p w14:paraId="1C2E897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(28,4%, 39,2%)</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CAF1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28,5%</w:t>
            </w:r>
          </w:p>
          <w:p w14:paraId="3EB6C24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(23,6%, 33,3%)</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8EADA"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30,3%</w:t>
            </w:r>
          </w:p>
          <w:p w14:paraId="7C666FBA"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(25,0%, 35,5%)</w:t>
            </w:r>
          </w:p>
        </w:tc>
        <w:tc>
          <w:tcPr>
            <w:tcW w:w="1097" w:type="dxa"/>
            <w:gridSpan w:val="2"/>
            <w:tcBorders>
              <w:top w:val="single" w:sz="8" w:space="0" w:color="000000"/>
              <w:left w:val="single" w:sz="8" w:space="0" w:color="000000"/>
              <w:bottom w:val="single" w:sz="8" w:space="0" w:color="000000"/>
              <w:right w:val="single" w:sz="8" w:space="0" w:color="000000"/>
            </w:tcBorders>
          </w:tcPr>
          <w:p w14:paraId="00D93E2A"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39,8%</w:t>
            </w:r>
          </w:p>
          <w:p w14:paraId="2932940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(34,0%, 45,6%)</w:t>
            </w:r>
          </w:p>
        </w:tc>
        <w:tc>
          <w:tcPr>
            <w:tcW w:w="1170" w:type="dxa"/>
            <w:tcBorders>
              <w:top w:val="single" w:sz="8" w:space="0" w:color="000000"/>
              <w:left w:val="single" w:sz="8" w:space="0" w:color="000000"/>
              <w:bottom w:val="single" w:sz="8" w:space="0" w:color="000000"/>
              <w:right w:val="single" w:sz="8" w:space="0" w:color="000000"/>
            </w:tcBorders>
          </w:tcPr>
          <w:p w14:paraId="14655797"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31,1%</w:t>
            </w:r>
          </w:p>
          <w:p w14:paraId="0EDDFDA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(26,1%, 36,1%)</w:t>
            </w:r>
          </w:p>
        </w:tc>
        <w:tc>
          <w:tcPr>
            <w:tcW w:w="1170" w:type="dxa"/>
            <w:tcBorders>
              <w:top w:val="single" w:sz="8" w:space="0" w:color="000000"/>
              <w:left w:val="single" w:sz="8" w:space="0" w:color="000000"/>
              <w:bottom w:val="single" w:sz="8" w:space="0" w:color="000000"/>
              <w:right w:val="single" w:sz="8" w:space="0" w:color="000000"/>
            </w:tcBorders>
          </w:tcPr>
          <w:p w14:paraId="7559D8C8"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39,0%</w:t>
            </w:r>
          </w:p>
          <w:p w14:paraId="12DE6DA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(33,2%, 44,8%)</w:t>
            </w:r>
          </w:p>
        </w:tc>
      </w:tr>
      <w:tr w:rsidR="00810158" w:rsidRPr="0014404C" w14:paraId="55ECDF27" w14:textId="77777777" w:rsidTr="0014404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5110"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Razlika ponderisanog % CMH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39E44"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3,5%</w:t>
            </w:r>
          </w:p>
          <w:p w14:paraId="5C1B6D2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(-4,0%, 11,1%)</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7FBFD"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-2,0%</w:t>
            </w:r>
          </w:p>
          <w:p w14:paraId="35CAEBE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(-9,1%, 5,2%)</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9ED31" w14:textId="77777777" w:rsidR="00810158" w:rsidRPr="0014404C" w:rsidRDefault="00810158" w:rsidP="0014404C">
            <w:pPr>
              <w:widowControl w:val="0"/>
              <w:jc w:val="both"/>
              <w:rPr>
                <w:bCs/>
                <w:iCs/>
                <w:sz w:val="22"/>
                <w:szCs w:val="22"/>
                <w:lang w:val="sr-Latn-ME" w:eastAsia="ja-JP"/>
              </w:rPr>
            </w:pPr>
          </w:p>
        </w:tc>
        <w:tc>
          <w:tcPr>
            <w:tcW w:w="1097" w:type="dxa"/>
            <w:gridSpan w:val="2"/>
            <w:tcBorders>
              <w:top w:val="single" w:sz="8" w:space="0" w:color="000000"/>
              <w:left w:val="single" w:sz="8" w:space="0" w:color="000000"/>
              <w:bottom w:val="single" w:sz="8" w:space="0" w:color="000000"/>
              <w:right w:val="single" w:sz="8" w:space="0" w:color="000000"/>
            </w:tcBorders>
          </w:tcPr>
          <w:p w14:paraId="119D4194"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0,8% </w:t>
            </w:r>
          </w:p>
          <w:p w14:paraId="58E976E6"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(-7,4%, 9,0%)</w:t>
            </w:r>
          </w:p>
        </w:tc>
        <w:tc>
          <w:tcPr>
            <w:tcW w:w="1170" w:type="dxa"/>
            <w:tcBorders>
              <w:top w:val="single" w:sz="8" w:space="0" w:color="000000"/>
              <w:left w:val="single" w:sz="8" w:space="0" w:color="000000"/>
              <w:bottom w:val="single" w:sz="8" w:space="0" w:color="000000"/>
              <w:right w:val="single" w:sz="8" w:space="0" w:color="000000"/>
            </w:tcBorders>
          </w:tcPr>
          <w:p w14:paraId="0F832EDF" w14:textId="77777777" w:rsidR="00810158" w:rsidRPr="0014404C" w:rsidRDefault="00810158" w:rsidP="0014404C">
            <w:pPr>
              <w:widowControl w:val="0"/>
              <w:tabs>
                <w:tab w:val="left" w:pos="567"/>
              </w:tabs>
              <w:jc w:val="both"/>
              <w:rPr>
                <w:bCs/>
                <w:iCs/>
                <w:sz w:val="22"/>
                <w:szCs w:val="22"/>
                <w:lang w:val="sr-Latn-ME" w:eastAsia="ja-JP"/>
              </w:rPr>
            </w:pPr>
            <w:r w:rsidRPr="0014404C">
              <w:rPr>
                <w:sz w:val="22"/>
                <w:szCs w:val="22"/>
                <w:lang w:val="sr-Latn-ME" w:eastAsia="ja-JP"/>
              </w:rPr>
              <w:t xml:space="preserve">-8% </w:t>
            </w:r>
          </w:p>
          <w:p w14:paraId="36A9E845"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t>(-15,7%, -0,3%)</w:t>
            </w:r>
          </w:p>
        </w:tc>
        <w:tc>
          <w:tcPr>
            <w:tcW w:w="1170" w:type="dxa"/>
            <w:tcBorders>
              <w:top w:val="single" w:sz="8" w:space="0" w:color="000000"/>
              <w:left w:val="single" w:sz="8" w:space="0" w:color="000000"/>
              <w:bottom w:val="single" w:sz="8" w:space="0" w:color="000000"/>
              <w:right w:val="single" w:sz="8" w:space="0" w:color="000000"/>
            </w:tcBorders>
          </w:tcPr>
          <w:p w14:paraId="2F406EF1" w14:textId="77777777" w:rsidR="00810158" w:rsidRPr="0014404C" w:rsidRDefault="00810158" w:rsidP="0014404C">
            <w:pPr>
              <w:widowControl w:val="0"/>
              <w:jc w:val="both"/>
              <w:rPr>
                <w:bCs/>
                <w:iCs/>
                <w:sz w:val="22"/>
                <w:szCs w:val="22"/>
                <w:lang w:val="sr-Latn-ME" w:eastAsia="ja-JP"/>
              </w:rPr>
            </w:pPr>
          </w:p>
        </w:tc>
      </w:tr>
      <w:tr w:rsidR="00810158" w:rsidRPr="0014404C" w14:paraId="34216377" w14:textId="77777777" w:rsidTr="0014404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9BF92" w14:textId="466A5348" w:rsidR="00810158" w:rsidRPr="0014404C" w:rsidRDefault="00810158" w:rsidP="0014404C">
            <w:pPr>
              <w:widowControl w:val="0"/>
              <w:jc w:val="both"/>
              <w:rPr>
                <w:bCs/>
                <w:iCs/>
                <w:sz w:val="22"/>
                <w:szCs w:val="22"/>
                <w:lang w:val="sr-Latn-ME" w:eastAsia="ja-JP"/>
              </w:rPr>
            </w:pPr>
            <w:r w:rsidRPr="0014404C">
              <w:rPr>
                <w:sz w:val="22"/>
                <w:szCs w:val="22"/>
                <w:lang w:val="sr-Latn-ME" w:eastAsia="ja-JP"/>
              </w:rPr>
              <w:t xml:space="preserve">Procenat pacijenata </w:t>
            </w:r>
            <w:r w:rsidRPr="0014404C">
              <w:rPr>
                <w:sz w:val="22"/>
                <w:szCs w:val="22"/>
                <w:lang w:val="sr-Latn-ME" w:eastAsia="ja-JP"/>
              </w:rPr>
              <w:lastRenderedPageBreak/>
              <w:t xml:space="preserve">koji su </w:t>
            </w:r>
            <w:r w:rsidR="003A3062" w:rsidRPr="0014404C">
              <w:rPr>
                <w:sz w:val="22"/>
                <w:szCs w:val="22"/>
                <w:lang w:val="sr-Latn-ME" w:eastAsia="ja-JP"/>
              </w:rPr>
              <w:t xml:space="preserve">izbjegli </w:t>
            </w:r>
            <w:r w:rsidRPr="0014404C">
              <w:rPr>
                <w:sz w:val="22"/>
                <w:szCs w:val="22"/>
                <w:lang w:val="sr-Latn-ME" w:eastAsia="ja-JP"/>
              </w:rPr>
              <w:t>gubitak od barem 15 slova u odnosu na početni rezultat BCVA (CMH ponderisani procenat,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72D2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98,9%</w:t>
            </w:r>
          </w:p>
          <w:p w14:paraId="040C781B"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(97,6%, 100,0%)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8612C"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98,7%</w:t>
            </w:r>
          </w:p>
          <w:p w14:paraId="5864CC1F"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(97,4%, 100,0%)</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793E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98,6%</w:t>
            </w:r>
          </w:p>
          <w:p w14:paraId="0DF2128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(97,2%, 99,9%)</w:t>
            </w:r>
          </w:p>
        </w:tc>
        <w:tc>
          <w:tcPr>
            <w:tcW w:w="1097" w:type="dxa"/>
            <w:gridSpan w:val="2"/>
            <w:tcBorders>
              <w:top w:val="single" w:sz="8" w:space="0" w:color="000000"/>
              <w:left w:val="single" w:sz="8" w:space="0" w:color="000000"/>
              <w:bottom w:val="single" w:sz="8" w:space="0" w:color="000000"/>
              <w:right w:val="single" w:sz="8" w:space="0" w:color="000000"/>
            </w:tcBorders>
          </w:tcPr>
          <w:p w14:paraId="1ABDD0C9"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96,6%</w:t>
            </w:r>
          </w:p>
          <w:p w14:paraId="7EFF7FA4"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(94,4%, 98,8%)</w:t>
            </w:r>
          </w:p>
        </w:tc>
        <w:tc>
          <w:tcPr>
            <w:tcW w:w="1170" w:type="dxa"/>
            <w:tcBorders>
              <w:top w:val="single" w:sz="8" w:space="0" w:color="000000"/>
              <w:left w:val="single" w:sz="8" w:space="0" w:color="000000"/>
              <w:bottom w:val="single" w:sz="8" w:space="0" w:color="000000"/>
              <w:right w:val="single" w:sz="8" w:space="0" w:color="000000"/>
            </w:tcBorders>
          </w:tcPr>
          <w:p w14:paraId="2AD0A181"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96,8%</w:t>
            </w:r>
          </w:p>
          <w:p w14:paraId="20D08D22"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(94,8%, 98,9%)</w:t>
            </w:r>
          </w:p>
        </w:tc>
        <w:tc>
          <w:tcPr>
            <w:tcW w:w="1170" w:type="dxa"/>
            <w:tcBorders>
              <w:top w:val="single" w:sz="8" w:space="0" w:color="000000"/>
              <w:left w:val="single" w:sz="8" w:space="0" w:color="000000"/>
              <w:bottom w:val="single" w:sz="8" w:space="0" w:color="000000"/>
              <w:right w:val="single" w:sz="8" w:space="0" w:color="000000"/>
            </w:tcBorders>
          </w:tcPr>
          <w:p w14:paraId="7BC31ED3"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97,6%</w:t>
            </w:r>
          </w:p>
          <w:p w14:paraId="07827DD1" w14:textId="77777777" w:rsidR="00810158" w:rsidRPr="0014404C" w:rsidRDefault="00810158" w:rsidP="0014404C">
            <w:pPr>
              <w:widowControl w:val="0"/>
              <w:jc w:val="both"/>
              <w:rPr>
                <w:bCs/>
                <w:iCs/>
                <w:sz w:val="22"/>
                <w:szCs w:val="22"/>
                <w:lang w:val="sr-Latn-ME" w:eastAsia="ja-JP"/>
              </w:rPr>
            </w:pPr>
            <w:r w:rsidRPr="0014404C">
              <w:rPr>
                <w:sz w:val="22"/>
                <w:szCs w:val="22"/>
                <w:lang w:val="sr-Latn-ME" w:eastAsia="ja-JP"/>
              </w:rPr>
              <w:lastRenderedPageBreak/>
              <w:t>(95,7%, 99,5%)</w:t>
            </w:r>
          </w:p>
        </w:tc>
      </w:tr>
      <w:tr w:rsidR="00810158" w:rsidRPr="0014404C" w14:paraId="1D692489" w14:textId="77777777" w:rsidTr="0014404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189F8"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lastRenderedPageBreak/>
              <w:t xml:space="preserve">Razlika ponderisanog % CMH (95% CI 1. godina i 2. godina)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6E2B5"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0,3%</w:t>
            </w:r>
          </w:p>
          <w:p w14:paraId="6A741E15"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(-1,6%, 2,1%)</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2EDDD"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0,0%</w:t>
            </w:r>
          </w:p>
          <w:p w14:paraId="025BEFC9"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(-1,8%, 1,9%)</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AA3D9" w14:textId="77777777" w:rsidR="00810158" w:rsidRPr="0014404C" w:rsidRDefault="00810158" w:rsidP="0014404C">
            <w:pPr>
              <w:widowControl w:val="0"/>
              <w:jc w:val="both"/>
              <w:rPr>
                <w:bCs/>
                <w:iCs/>
                <w:sz w:val="20"/>
                <w:szCs w:val="22"/>
                <w:lang w:val="sr-Latn-ME" w:eastAsia="ja-JP"/>
              </w:rPr>
            </w:pPr>
          </w:p>
        </w:tc>
        <w:tc>
          <w:tcPr>
            <w:tcW w:w="1097" w:type="dxa"/>
            <w:gridSpan w:val="2"/>
            <w:tcBorders>
              <w:top w:val="single" w:sz="8" w:space="0" w:color="000000"/>
              <w:left w:val="single" w:sz="8" w:space="0" w:color="000000"/>
              <w:bottom w:val="single" w:sz="8" w:space="0" w:color="000000"/>
              <w:right w:val="single" w:sz="8" w:space="0" w:color="000000"/>
            </w:tcBorders>
          </w:tcPr>
          <w:p w14:paraId="5F3C8DA8" w14:textId="77777777" w:rsidR="00810158" w:rsidRPr="0014404C" w:rsidRDefault="00810158" w:rsidP="0014404C">
            <w:pPr>
              <w:widowControl w:val="0"/>
              <w:tabs>
                <w:tab w:val="left" w:pos="567"/>
              </w:tabs>
              <w:jc w:val="both"/>
              <w:rPr>
                <w:bCs/>
                <w:iCs/>
                <w:sz w:val="20"/>
                <w:szCs w:val="22"/>
                <w:lang w:val="sr-Latn-ME" w:eastAsia="ja-JP"/>
              </w:rPr>
            </w:pPr>
            <w:r w:rsidRPr="0014404C">
              <w:rPr>
                <w:sz w:val="20"/>
                <w:szCs w:val="22"/>
                <w:lang w:val="sr-Latn-ME" w:eastAsia="ja-JP"/>
              </w:rPr>
              <w:t xml:space="preserve">-1,0% </w:t>
            </w:r>
          </w:p>
          <w:p w14:paraId="31133E00"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(-3,9%, 1,9%)</w:t>
            </w:r>
          </w:p>
        </w:tc>
        <w:tc>
          <w:tcPr>
            <w:tcW w:w="1170" w:type="dxa"/>
            <w:tcBorders>
              <w:top w:val="single" w:sz="8" w:space="0" w:color="000000"/>
              <w:left w:val="single" w:sz="8" w:space="0" w:color="000000"/>
              <w:bottom w:val="single" w:sz="8" w:space="0" w:color="000000"/>
              <w:right w:val="single" w:sz="8" w:space="0" w:color="000000"/>
            </w:tcBorders>
          </w:tcPr>
          <w:p w14:paraId="4A3E42EB" w14:textId="77777777" w:rsidR="00810158" w:rsidRPr="0014404C" w:rsidRDefault="00810158" w:rsidP="0014404C">
            <w:pPr>
              <w:widowControl w:val="0"/>
              <w:tabs>
                <w:tab w:val="left" w:pos="567"/>
              </w:tabs>
              <w:jc w:val="both"/>
              <w:rPr>
                <w:bCs/>
                <w:iCs/>
                <w:sz w:val="20"/>
                <w:szCs w:val="22"/>
                <w:lang w:val="sr-Latn-ME" w:eastAsia="ja-JP"/>
              </w:rPr>
            </w:pPr>
            <w:r w:rsidRPr="0014404C">
              <w:rPr>
                <w:sz w:val="20"/>
                <w:szCs w:val="22"/>
                <w:lang w:val="sr-Latn-ME" w:eastAsia="ja-JP"/>
              </w:rPr>
              <w:t xml:space="preserve">-0,7% </w:t>
            </w:r>
          </w:p>
          <w:p w14:paraId="5199FEB2"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(-3,5%, 2,0%)</w:t>
            </w:r>
          </w:p>
        </w:tc>
        <w:tc>
          <w:tcPr>
            <w:tcW w:w="1170" w:type="dxa"/>
            <w:tcBorders>
              <w:top w:val="single" w:sz="8" w:space="0" w:color="000000"/>
              <w:left w:val="single" w:sz="8" w:space="0" w:color="000000"/>
              <w:bottom w:val="single" w:sz="8" w:space="0" w:color="000000"/>
              <w:right w:val="single" w:sz="8" w:space="0" w:color="000000"/>
            </w:tcBorders>
          </w:tcPr>
          <w:p w14:paraId="1BCCDDE4" w14:textId="77777777" w:rsidR="00810158" w:rsidRPr="0014404C" w:rsidRDefault="00810158" w:rsidP="0014404C">
            <w:pPr>
              <w:widowControl w:val="0"/>
              <w:jc w:val="both"/>
              <w:rPr>
                <w:bCs/>
                <w:iCs/>
                <w:sz w:val="20"/>
                <w:szCs w:val="22"/>
                <w:lang w:val="sr-Latn-ME" w:eastAsia="ja-JP"/>
              </w:rPr>
            </w:pPr>
          </w:p>
        </w:tc>
      </w:tr>
    </w:tbl>
    <w:p w14:paraId="65AB51CA" w14:textId="375B9286" w:rsidR="00810158" w:rsidRPr="0014404C" w:rsidRDefault="003A3062" w:rsidP="0014404C">
      <w:pPr>
        <w:widowControl w:val="0"/>
        <w:jc w:val="both"/>
        <w:rPr>
          <w:bCs/>
          <w:iCs/>
          <w:sz w:val="20"/>
          <w:szCs w:val="22"/>
          <w:lang w:val="sr-Latn-ME" w:eastAsia="ja-JP"/>
        </w:rPr>
      </w:pPr>
      <w:r w:rsidRPr="0014404C">
        <w:rPr>
          <w:sz w:val="20"/>
          <w:szCs w:val="22"/>
          <w:vertAlign w:val="superscript"/>
          <w:lang w:val="sr-Latn-ME" w:eastAsia="ja-JP"/>
        </w:rPr>
        <w:t>a</w:t>
      </w:r>
      <w:r w:rsidRPr="0014404C">
        <w:rPr>
          <w:sz w:val="20"/>
          <w:szCs w:val="22"/>
          <w:lang w:val="sr-Latn-ME" w:eastAsia="ja-JP"/>
        </w:rPr>
        <w:t xml:space="preserve">Prosjek </w:t>
      </w:r>
      <w:r w:rsidR="00810158" w:rsidRPr="0014404C">
        <w:rPr>
          <w:sz w:val="20"/>
          <w:szCs w:val="22"/>
          <w:lang w:val="sr-Latn-ME" w:eastAsia="ja-JP"/>
        </w:rPr>
        <w:t xml:space="preserve">48, 52, 56. </w:t>
      </w:r>
      <w:r w:rsidRPr="0014404C">
        <w:rPr>
          <w:sz w:val="20"/>
          <w:szCs w:val="22"/>
          <w:lang w:val="sr-Latn-ME" w:eastAsia="ja-JP"/>
        </w:rPr>
        <w:t>nedjelje</w:t>
      </w:r>
      <w:r w:rsidR="00810158" w:rsidRPr="0014404C">
        <w:rPr>
          <w:sz w:val="20"/>
          <w:szCs w:val="22"/>
          <w:lang w:val="sr-Latn-ME" w:eastAsia="ja-JP"/>
        </w:rPr>
        <w:t xml:space="preserve">; </w:t>
      </w:r>
      <w:r w:rsidRPr="0014404C">
        <w:rPr>
          <w:sz w:val="20"/>
          <w:szCs w:val="22"/>
          <w:vertAlign w:val="superscript"/>
          <w:lang w:val="sr-Latn-ME" w:eastAsia="ja-JP"/>
        </w:rPr>
        <w:t>b</w:t>
      </w:r>
      <w:r w:rsidRPr="0014404C">
        <w:rPr>
          <w:sz w:val="20"/>
          <w:szCs w:val="22"/>
          <w:lang w:val="sr-Latn-ME" w:eastAsia="ja-JP"/>
        </w:rPr>
        <w:t xml:space="preserve">Prosjek  </w:t>
      </w:r>
      <w:r w:rsidR="00810158" w:rsidRPr="0014404C">
        <w:rPr>
          <w:sz w:val="20"/>
          <w:szCs w:val="22"/>
          <w:lang w:val="sr-Latn-ME" w:eastAsia="ja-JP"/>
        </w:rPr>
        <w:t xml:space="preserve">92, 96, 100. </w:t>
      </w:r>
      <w:r w:rsidRPr="0014404C">
        <w:rPr>
          <w:sz w:val="20"/>
          <w:szCs w:val="22"/>
          <w:lang w:val="sr-Latn-ME" w:eastAsia="ja-JP"/>
        </w:rPr>
        <w:t>nedjelje</w:t>
      </w:r>
    </w:p>
    <w:p w14:paraId="786DB129"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BCVA: najbolja korigovana oštrina vida </w:t>
      </w:r>
    </w:p>
    <w:p w14:paraId="233258A0" w14:textId="5846218F"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ETDRS: Studija ranog </w:t>
      </w:r>
      <w:r w:rsidR="003A3062" w:rsidRPr="0014404C">
        <w:rPr>
          <w:sz w:val="20"/>
          <w:szCs w:val="22"/>
          <w:lang w:val="sr-Latn-ME" w:eastAsia="ja-JP"/>
        </w:rPr>
        <w:t xml:space="preserve">liječenja </w:t>
      </w:r>
      <w:r w:rsidRPr="0014404C">
        <w:rPr>
          <w:sz w:val="20"/>
          <w:szCs w:val="22"/>
          <w:lang w:val="sr-Latn-ME" w:eastAsia="ja-JP"/>
        </w:rPr>
        <w:t xml:space="preserve">dijabetičke retinopatije </w:t>
      </w:r>
    </w:p>
    <w:p w14:paraId="5D7EA6CC"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LS: najmanji kvadrat </w:t>
      </w:r>
    </w:p>
    <w:p w14:paraId="5ED1D48C" w14:textId="77777777" w:rsidR="00810158" w:rsidRPr="0014404C" w:rsidRDefault="00810158" w:rsidP="0014404C">
      <w:pPr>
        <w:widowControl w:val="0"/>
        <w:jc w:val="both"/>
        <w:rPr>
          <w:bCs/>
          <w:iCs/>
          <w:sz w:val="20"/>
          <w:szCs w:val="22"/>
          <w:lang w:val="sr-Latn-ME" w:eastAsia="ja-JP"/>
        </w:rPr>
      </w:pPr>
      <w:r w:rsidRPr="0014404C">
        <w:rPr>
          <w:sz w:val="20"/>
          <w:szCs w:val="22"/>
          <w:lang w:val="sr-Latn-ME" w:eastAsia="ja-JP"/>
        </w:rPr>
        <w:t>CI: interval pouzdanosti</w:t>
      </w:r>
    </w:p>
    <w:p w14:paraId="32D3E30A" w14:textId="486A5D0F" w:rsidR="00810158" w:rsidRPr="0014404C" w:rsidRDefault="00810158" w:rsidP="0014404C">
      <w:pPr>
        <w:widowControl w:val="0"/>
        <w:jc w:val="both"/>
        <w:rPr>
          <w:bCs/>
          <w:iCs/>
          <w:sz w:val="20"/>
          <w:szCs w:val="22"/>
          <w:lang w:val="sr-Latn-ME" w:eastAsia="ja-JP"/>
        </w:rPr>
      </w:pPr>
      <w:r w:rsidRPr="0014404C">
        <w:rPr>
          <w:sz w:val="20"/>
          <w:szCs w:val="22"/>
          <w:lang w:val="sr-Latn-ME" w:eastAsia="ja-JP"/>
        </w:rPr>
        <w:t xml:space="preserve">CMH: Cochran–Mantel–Haenszelova metoda; statistički test koji daje </w:t>
      </w:r>
      <w:r w:rsidR="003A3062" w:rsidRPr="0014404C">
        <w:rPr>
          <w:sz w:val="20"/>
          <w:szCs w:val="22"/>
          <w:lang w:val="sr-Latn-ME" w:eastAsia="ja-JP"/>
        </w:rPr>
        <w:t xml:space="preserve">procjenu </w:t>
      </w:r>
      <w:r w:rsidRPr="0014404C">
        <w:rPr>
          <w:sz w:val="20"/>
          <w:szCs w:val="22"/>
          <w:lang w:val="sr-Latn-ME" w:eastAsia="ja-JP"/>
        </w:rPr>
        <w:t xml:space="preserve">povezanosti sa binarnim ishodom i koji se koristi za </w:t>
      </w:r>
      <w:r w:rsidR="003A3062" w:rsidRPr="0014404C">
        <w:rPr>
          <w:sz w:val="20"/>
          <w:szCs w:val="22"/>
          <w:lang w:val="sr-Latn-ME" w:eastAsia="ja-JP"/>
        </w:rPr>
        <w:t xml:space="preserve">procjenu </w:t>
      </w:r>
      <w:r w:rsidRPr="0014404C">
        <w:rPr>
          <w:sz w:val="20"/>
          <w:szCs w:val="22"/>
          <w:lang w:val="sr-Latn-ME" w:eastAsia="ja-JP"/>
        </w:rPr>
        <w:t>kategoričkih varijabli.</w:t>
      </w:r>
    </w:p>
    <w:p w14:paraId="05B9CADB" w14:textId="6FFD9F01" w:rsidR="00810158" w:rsidRPr="0014404C" w:rsidRDefault="00810158" w:rsidP="0014404C">
      <w:pPr>
        <w:widowControl w:val="0"/>
        <w:jc w:val="both"/>
        <w:rPr>
          <w:sz w:val="20"/>
          <w:szCs w:val="22"/>
          <w:lang w:val="sr-Latn-ME" w:eastAsia="ja-JP"/>
        </w:rPr>
      </w:pPr>
      <w:r w:rsidRPr="0014404C">
        <w:rPr>
          <w:sz w:val="20"/>
          <w:szCs w:val="22"/>
          <w:lang w:val="sr-Latn-ME" w:eastAsia="ja-JP"/>
        </w:rPr>
        <w:t xml:space="preserve">Napomena: Prikazan je ponderisani CMH % za grupu </w:t>
      </w:r>
      <w:r w:rsidR="003A3062" w:rsidRPr="0014404C">
        <w:rPr>
          <w:sz w:val="20"/>
          <w:szCs w:val="22"/>
          <w:lang w:val="sr-Latn-ME" w:eastAsia="ja-JP"/>
        </w:rPr>
        <w:t xml:space="preserve">liječenu </w:t>
      </w:r>
      <w:r w:rsidRPr="0014404C">
        <w:rPr>
          <w:sz w:val="20"/>
          <w:szCs w:val="22"/>
          <w:lang w:val="sr-Latn-ME" w:eastAsia="ja-JP"/>
        </w:rPr>
        <w:t xml:space="preserve">afliberceptom za poređenje između faricimaba svakih 8 </w:t>
      </w:r>
      <w:r w:rsidR="00802EFD" w:rsidRPr="0014404C">
        <w:rPr>
          <w:sz w:val="20"/>
          <w:szCs w:val="22"/>
          <w:lang w:val="sr-Latn-ME" w:eastAsia="ja-JP"/>
        </w:rPr>
        <w:t>nedjelja</w:t>
      </w:r>
      <w:r w:rsidRPr="0014404C">
        <w:rPr>
          <w:sz w:val="20"/>
          <w:szCs w:val="22"/>
          <w:lang w:val="sr-Latn-ME" w:eastAsia="ja-JP"/>
        </w:rPr>
        <w:t xml:space="preserve"> i aflibercepta; ipak, odgovarajući ponderisani CMH % za poređenje između faricimaba sa prilagodljivim režimom </w:t>
      </w:r>
      <w:r w:rsidR="00802EFD" w:rsidRPr="0014404C">
        <w:rPr>
          <w:sz w:val="20"/>
          <w:szCs w:val="22"/>
          <w:lang w:val="sr-Latn-ME" w:eastAsia="ja-JP"/>
        </w:rPr>
        <w:t>primjene</w:t>
      </w:r>
      <w:r w:rsidRPr="0014404C">
        <w:rPr>
          <w:sz w:val="20"/>
          <w:szCs w:val="22"/>
          <w:lang w:val="sr-Latn-ME" w:eastAsia="ja-JP"/>
        </w:rPr>
        <w:t xml:space="preserve"> i aflibercepta sličan je gore</w:t>
      </w:r>
      <w:r w:rsidR="006008E9" w:rsidRPr="0014404C">
        <w:rPr>
          <w:sz w:val="20"/>
          <w:szCs w:val="22"/>
          <w:lang w:val="sr-Latn-ME" w:eastAsia="ja-JP"/>
        </w:rPr>
        <w:t xml:space="preserve"> </w:t>
      </w:r>
      <w:r w:rsidRPr="0014404C">
        <w:rPr>
          <w:sz w:val="20"/>
          <w:szCs w:val="22"/>
          <w:lang w:val="sr-Latn-ME" w:eastAsia="ja-JP"/>
        </w:rPr>
        <w:t>prikazanom.</w:t>
      </w:r>
    </w:p>
    <w:p w14:paraId="43A7ED54" w14:textId="77777777" w:rsidR="00810158" w:rsidRPr="0014404C" w:rsidRDefault="00810158" w:rsidP="0014404C">
      <w:pPr>
        <w:widowControl w:val="0"/>
        <w:tabs>
          <w:tab w:val="left" w:pos="540"/>
          <w:tab w:val="left" w:pos="569"/>
        </w:tabs>
        <w:jc w:val="both"/>
        <w:rPr>
          <w:b/>
          <w:bCs/>
          <w:sz w:val="22"/>
          <w:szCs w:val="22"/>
          <w:lang w:val="sr-Latn-ME"/>
        </w:rPr>
      </w:pPr>
    </w:p>
    <w:p w14:paraId="1C488B15" w14:textId="008F95DC" w:rsidR="00810158" w:rsidRPr="0014404C" w:rsidRDefault="00810158" w:rsidP="0014404C">
      <w:pPr>
        <w:widowControl w:val="0"/>
        <w:jc w:val="both"/>
        <w:rPr>
          <w:b/>
          <w:bCs/>
          <w:sz w:val="22"/>
          <w:szCs w:val="22"/>
          <w:lang w:val="sr-Latn-ME" w:eastAsia="ja-JP"/>
        </w:rPr>
      </w:pPr>
      <w:r w:rsidRPr="0014404C">
        <w:rPr>
          <w:b/>
          <w:bCs/>
          <w:sz w:val="22"/>
          <w:szCs w:val="22"/>
          <w:lang w:val="sr-Latn-ME" w:eastAsia="ja-JP"/>
        </w:rPr>
        <w:t xml:space="preserve">Slika 2: Srednja </w:t>
      </w:r>
      <w:r w:rsidR="003A3062" w:rsidRPr="0014404C">
        <w:rPr>
          <w:b/>
          <w:bCs/>
          <w:sz w:val="22"/>
          <w:szCs w:val="22"/>
          <w:lang w:val="sr-Latn-ME" w:eastAsia="ja-JP"/>
        </w:rPr>
        <w:t>vrijednost  promjene</w:t>
      </w:r>
      <w:r w:rsidRPr="0014404C">
        <w:rPr>
          <w:b/>
          <w:bCs/>
          <w:sz w:val="22"/>
          <w:szCs w:val="22"/>
          <w:lang w:val="sr-Latn-ME" w:eastAsia="ja-JP"/>
        </w:rPr>
        <w:t xml:space="preserve"> oštrine vida od početka do 2 godine (100. </w:t>
      </w:r>
      <w:r w:rsidR="003A3062" w:rsidRPr="0014404C">
        <w:rPr>
          <w:b/>
          <w:bCs/>
          <w:sz w:val="22"/>
          <w:szCs w:val="22"/>
          <w:lang w:val="sr-Latn-ME" w:eastAsia="ja-JP"/>
        </w:rPr>
        <w:t>nedjelje</w:t>
      </w:r>
      <w:r w:rsidRPr="0014404C">
        <w:rPr>
          <w:b/>
          <w:bCs/>
          <w:sz w:val="22"/>
          <w:szCs w:val="22"/>
          <w:lang w:val="sr-Latn-ME" w:eastAsia="ja-JP"/>
        </w:rPr>
        <w:t>); kombinovani podaci iz studija YOSEMITE i RHINE</w:t>
      </w:r>
    </w:p>
    <w:p w14:paraId="260C56C2" w14:textId="77777777" w:rsidR="00810158" w:rsidRPr="0014404C" w:rsidRDefault="00810158" w:rsidP="0014404C">
      <w:pPr>
        <w:widowControl w:val="0"/>
        <w:tabs>
          <w:tab w:val="left" w:pos="540"/>
          <w:tab w:val="left" w:pos="569"/>
        </w:tabs>
        <w:jc w:val="both"/>
        <w:rPr>
          <w:b/>
          <w:bCs/>
          <w:sz w:val="22"/>
          <w:szCs w:val="22"/>
          <w:lang w:val="sr-Latn-ME"/>
        </w:rPr>
      </w:pPr>
    </w:p>
    <w:p w14:paraId="426917CF" w14:textId="77777777" w:rsidR="00810158" w:rsidRPr="0014404C" w:rsidRDefault="00D44D34" w:rsidP="0014404C">
      <w:pPr>
        <w:widowControl w:val="0"/>
        <w:tabs>
          <w:tab w:val="left" w:pos="540"/>
          <w:tab w:val="left" w:pos="569"/>
        </w:tabs>
        <w:jc w:val="both"/>
        <w:rPr>
          <w:b/>
          <w:bCs/>
          <w:sz w:val="22"/>
          <w:szCs w:val="22"/>
          <w:lang w:val="sr-Latn-ME"/>
        </w:rPr>
      </w:pPr>
      <w:r w:rsidRPr="0014404C">
        <w:rPr>
          <w:sz w:val="22"/>
          <w:szCs w:val="22"/>
          <w:lang w:val="sr-Latn-ME" w:eastAsia="sr-Latn-ME"/>
        </w:rPr>
        <w:drawing>
          <wp:inline distT="0" distB="0" distL="0" distR="0" wp14:anchorId="0A2F8D9D" wp14:editId="56F828BF">
            <wp:extent cx="5761355" cy="3209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154" b="3674"/>
                    <a:stretch/>
                  </pic:blipFill>
                  <pic:spPr bwMode="auto">
                    <a:xfrm>
                      <a:off x="0" y="0"/>
                      <a:ext cx="5761355" cy="3209925"/>
                    </a:xfrm>
                    <a:prstGeom prst="rect">
                      <a:avLst/>
                    </a:prstGeom>
                    <a:ln>
                      <a:noFill/>
                    </a:ln>
                    <a:extLst>
                      <a:ext uri="{53640926-AAD7-44D8-BBD7-CCE9431645EC}">
                        <a14:shadowObscured xmlns:a14="http://schemas.microsoft.com/office/drawing/2010/main"/>
                      </a:ext>
                    </a:extLst>
                  </pic:spPr>
                </pic:pic>
              </a:graphicData>
            </a:graphic>
          </wp:inline>
        </w:drawing>
      </w:r>
    </w:p>
    <w:p w14:paraId="54C3370A" w14:textId="77777777" w:rsidR="00D44D34" w:rsidRPr="0014404C" w:rsidRDefault="00D44D34" w:rsidP="0014404C">
      <w:pPr>
        <w:widowControl w:val="0"/>
        <w:tabs>
          <w:tab w:val="left" w:pos="540"/>
          <w:tab w:val="left" w:pos="569"/>
        </w:tabs>
        <w:jc w:val="both"/>
        <w:rPr>
          <w:b/>
          <w:bCs/>
          <w:sz w:val="22"/>
          <w:szCs w:val="22"/>
          <w:lang w:val="sr-Latn-ME"/>
        </w:rPr>
      </w:pPr>
    </w:p>
    <w:p w14:paraId="6023687A" w14:textId="4D9F630A" w:rsidR="00D44D34" w:rsidRPr="0014404C" w:rsidRDefault="00D44D34" w:rsidP="0014404C">
      <w:pPr>
        <w:widowControl w:val="0"/>
        <w:jc w:val="both"/>
        <w:rPr>
          <w:bCs/>
          <w:iCs/>
          <w:sz w:val="22"/>
          <w:szCs w:val="22"/>
          <w:lang w:val="sr-Latn-ME" w:eastAsia="ja-JP"/>
        </w:rPr>
      </w:pPr>
      <w:r w:rsidRPr="0014404C">
        <w:rPr>
          <w:sz w:val="22"/>
          <w:szCs w:val="22"/>
          <w:lang w:val="sr-Latn-ME" w:eastAsia="ja-JP"/>
        </w:rPr>
        <w:t xml:space="preserve">Rezultati efikasnosti kod pacijenata koji </w:t>
      </w:r>
      <w:r w:rsidR="00CC5FCD" w:rsidRPr="0014404C">
        <w:rPr>
          <w:sz w:val="22"/>
          <w:szCs w:val="22"/>
          <w:lang w:val="sr-Latn-ME" w:eastAsia="ja-JP"/>
        </w:rPr>
        <w:t xml:space="preserve">prije </w:t>
      </w:r>
      <w:r w:rsidRPr="0014404C">
        <w:rPr>
          <w:sz w:val="22"/>
          <w:szCs w:val="22"/>
          <w:lang w:val="sr-Latn-ME" w:eastAsia="ja-JP"/>
        </w:rPr>
        <w:t xml:space="preserve">učešća u studiji nisu primali anti-VEGF terapiju i u svim podgrupama koje su mogle da budu </w:t>
      </w:r>
      <w:r w:rsidR="00CC5FCD" w:rsidRPr="0014404C">
        <w:rPr>
          <w:sz w:val="22"/>
          <w:szCs w:val="22"/>
          <w:lang w:val="sr-Latn-ME" w:eastAsia="ja-JP"/>
        </w:rPr>
        <w:t xml:space="preserve">procijenjene </w:t>
      </w:r>
      <w:r w:rsidRPr="0014404C">
        <w:rPr>
          <w:sz w:val="22"/>
          <w:szCs w:val="22"/>
          <w:lang w:val="sr-Latn-ME" w:eastAsia="ja-JP"/>
        </w:rPr>
        <w:t xml:space="preserve">(npr. prema godinama života, polu, rasi, početnom HbA1c, početnoj oštrini vida) u svakoj studiji odgovarali su rezultatima u </w:t>
      </w:r>
      <w:r w:rsidR="00CC5FCD" w:rsidRPr="0014404C">
        <w:rPr>
          <w:sz w:val="22"/>
          <w:szCs w:val="22"/>
          <w:lang w:val="sr-Latn-ME" w:eastAsia="ja-JP"/>
        </w:rPr>
        <w:t xml:space="preserve">cjelokupnim </w:t>
      </w:r>
      <w:r w:rsidRPr="0014404C">
        <w:rPr>
          <w:sz w:val="22"/>
          <w:szCs w:val="22"/>
          <w:lang w:val="sr-Latn-ME" w:eastAsia="ja-JP"/>
        </w:rPr>
        <w:t>populacijama.</w:t>
      </w:r>
    </w:p>
    <w:p w14:paraId="496BF519" w14:textId="77777777" w:rsidR="00D44D34" w:rsidRPr="0014404C" w:rsidRDefault="00D44D34" w:rsidP="0014404C">
      <w:pPr>
        <w:widowControl w:val="0"/>
        <w:jc w:val="both"/>
        <w:rPr>
          <w:bCs/>
          <w:iCs/>
          <w:sz w:val="22"/>
          <w:szCs w:val="22"/>
          <w:lang w:val="sr-Latn-ME" w:eastAsia="ja-JP"/>
        </w:rPr>
      </w:pPr>
    </w:p>
    <w:p w14:paraId="4DA6A5AF" w14:textId="1F510855" w:rsidR="00D44D34" w:rsidRPr="0014404C" w:rsidRDefault="00D44D34" w:rsidP="0014404C">
      <w:pPr>
        <w:widowControl w:val="0"/>
        <w:jc w:val="both"/>
        <w:rPr>
          <w:bCs/>
          <w:iCs/>
          <w:sz w:val="22"/>
          <w:szCs w:val="22"/>
          <w:lang w:val="sr-Latn-ME" w:eastAsia="ja-JP"/>
        </w:rPr>
      </w:pPr>
      <w:r w:rsidRPr="0014404C">
        <w:rPr>
          <w:sz w:val="22"/>
          <w:szCs w:val="22"/>
          <w:lang w:val="sr-Latn-ME" w:eastAsia="ja-JP"/>
        </w:rPr>
        <w:t xml:space="preserve">U </w:t>
      </w:r>
      <w:r w:rsidR="00CC5FCD" w:rsidRPr="0014404C">
        <w:rPr>
          <w:sz w:val="22"/>
          <w:szCs w:val="22"/>
          <w:lang w:val="sr-Latn-ME" w:eastAsia="ja-JP"/>
        </w:rPr>
        <w:t xml:space="preserve">obje </w:t>
      </w:r>
      <w:r w:rsidRPr="0014404C">
        <w:rPr>
          <w:sz w:val="22"/>
          <w:szCs w:val="22"/>
          <w:lang w:val="sr-Latn-ME" w:eastAsia="ja-JP"/>
        </w:rPr>
        <w:t xml:space="preserve">studije je faricimab </w:t>
      </w:r>
      <w:r w:rsidR="00CC5FCD" w:rsidRPr="0014404C">
        <w:rPr>
          <w:sz w:val="22"/>
          <w:szCs w:val="22"/>
          <w:lang w:val="sr-Latn-ME" w:eastAsia="ja-JP"/>
        </w:rPr>
        <w:t xml:space="preserve">primijenjen </w:t>
      </w:r>
      <w:r w:rsidRPr="0014404C">
        <w:rPr>
          <w:sz w:val="22"/>
          <w:szCs w:val="22"/>
          <w:lang w:val="sr-Latn-ME" w:eastAsia="ja-JP"/>
        </w:rPr>
        <w:t xml:space="preserve">na svakih 8 </w:t>
      </w:r>
      <w:r w:rsidR="00802EFD" w:rsidRPr="0014404C">
        <w:rPr>
          <w:sz w:val="22"/>
          <w:szCs w:val="22"/>
          <w:lang w:val="sr-Latn-ME" w:eastAsia="ja-JP"/>
        </w:rPr>
        <w:t>nedjelja</w:t>
      </w:r>
      <w:r w:rsidRPr="0014404C">
        <w:rPr>
          <w:sz w:val="22"/>
          <w:szCs w:val="22"/>
          <w:lang w:val="sr-Latn-ME" w:eastAsia="ja-JP"/>
        </w:rPr>
        <w:t xml:space="preserve"> i kao prilagodljivo doziranje i u intervalima od najviše 16 </w:t>
      </w:r>
      <w:r w:rsidR="00802EFD" w:rsidRPr="0014404C">
        <w:rPr>
          <w:sz w:val="22"/>
          <w:szCs w:val="22"/>
          <w:lang w:val="sr-Latn-ME" w:eastAsia="ja-JP"/>
        </w:rPr>
        <w:t>nedjelja</w:t>
      </w:r>
      <w:r w:rsidRPr="0014404C">
        <w:rPr>
          <w:sz w:val="22"/>
          <w:szCs w:val="22"/>
          <w:lang w:val="sr-Latn-ME" w:eastAsia="ja-JP"/>
        </w:rPr>
        <w:t xml:space="preserve"> pokazao poboljšanje </w:t>
      </w:r>
      <w:r w:rsidR="00CC5FCD" w:rsidRPr="0014404C">
        <w:rPr>
          <w:sz w:val="22"/>
          <w:szCs w:val="22"/>
          <w:lang w:val="sr-Latn-ME" w:eastAsia="ja-JP"/>
        </w:rPr>
        <w:t xml:space="preserve">unaprijed </w:t>
      </w:r>
      <w:r w:rsidRPr="0014404C">
        <w:rPr>
          <w:sz w:val="22"/>
          <w:szCs w:val="22"/>
          <w:lang w:val="sr-Latn-ME" w:eastAsia="ja-JP"/>
        </w:rPr>
        <w:t xml:space="preserve">definisanog parametra </w:t>
      </w:r>
      <w:r w:rsidR="00CC5FCD" w:rsidRPr="0014404C">
        <w:rPr>
          <w:sz w:val="22"/>
          <w:szCs w:val="22"/>
          <w:lang w:val="sr-Latn-ME" w:eastAsia="ja-JP"/>
        </w:rPr>
        <w:t xml:space="preserve">procjene </w:t>
      </w:r>
      <w:r w:rsidRPr="0014404C">
        <w:rPr>
          <w:sz w:val="22"/>
          <w:szCs w:val="22"/>
          <w:lang w:val="sr-Latn-ME" w:eastAsia="ja-JP"/>
        </w:rPr>
        <w:t xml:space="preserve">efikasnosti srednje </w:t>
      </w:r>
      <w:r w:rsidR="00CC5FCD" w:rsidRPr="0014404C">
        <w:rPr>
          <w:sz w:val="22"/>
          <w:szCs w:val="22"/>
          <w:lang w:val="sr-Latn-ME" w:eastAsia="ja-JP"/>
        </w:rPr>
        <w:t xml:space="preserve">vrijednosti promjene </w:t>
      </w:r>
      <w:r w:rsidRPr="0014404C">
        <w:rPr>
          <w:sz w:val="22"/>
          <w:szCs w:val="22"/>
          <w:lang w:val="sr-Latn-ME" w:eastAsia="ja-JP"/>
        </w:rPr>
        <w:t xml:space="preserve">kompozitnog skora NEI VFQ-25 od početka studije do 52. </w:t>
      </w:r>
      <w:r w:rsidR="00CC5FCD" w:rsidRPr="0014404C">
        <w:rPr>
          <w:sz w:val="22"/>
          <w:szCs w:val="22"/>
          <w:lang w:val="sr-Latn-ME" w:eastAsia="ja-JP"/>
        </w:rPr>
        <w:t>nedjelje</w:t>
      </w:r>
      <w:r w:rsidRPr="0014404C">
        <w:rPr>
          <w:sz w:val="22"/>
          <w:szCs w:val="22"/>
          <w:lang w:val="sr-Latn-ME" w:eastAsia="ja-JP"/>
        </w:rPr>
        <w:t xml:space="preserve">, koja je bila uporediva sa </w:t>
      </w:r>
      <w:r w:rsidR="00CC5FCD" w:rsidRPr="0014404C">
        <w:rPr>
          <w:sz w:val="22"/>
          <w:szCs w:val="22"/>
          <w:lang w:val="sr-Latn-ME" w:eastAsia="ja-JP"/>
        </w:rPr>
        <w:t xml:space="preserve">primjenom </w:t>
      </w:r>
      <w:r w:rsidRPr="0014404C">
        <w:rPr>
          <w:sz w:val="22"/>
          <w:szCs w:val="22"/>
          <w:lang w:val="sr-Latn-ME" w:eastAsia="ja-JP"/>
        </w:rPr>
        <w:t xml:space="preserve">aflibercepta svakih 8 </w:t>
      </w:r>
      <w:r w:rsidR="00802EFD" w:rsidRPr="0014404C">
        <w:rPr>
          <w:sz w:val="22"/>
          <w:szCs w:val="22"/>
          <w:lang w:val="sr-Latn-ME" w:eastAsia="ja-JP"/>
        </w:rPr>
        <w:t>nedjelja</w:t>
      </w:r>
      <w:r w:rsidRPr="0014404C">
        <w:rPr>
          <w:sz w:val="22"/>
          <w:szCs w:val="22"/>
          <w:lang w:val="sr-Latn-ME" w:eastAsia="ja-JP"/>
        </w:rPr>
        <w:t xml:space="preserve"> i nadmašila graničnu </w:t>
      </w:r>
      <w:r w:rsidR="00CC5FCD" w:rsidRPr="0014404C">
        <w:rPr>
          <w:sz w:val="22"/>
          <w:szCs w:val="22"/>
          <w:lang w:val="sr-Latn-ME" w:eastAsia="ja-JP"/>
        </w:rPr>
        <w:t xml:space="preserve">vrijednost </w:t>
      </w:r>
      <w:r w:rsidRPr="0014404C">
        <w:rPr>
          <w:sz w:val="22"/>
          <w:szCs w:val="22"/>
          <w:lang w:val="sr-Latn-ME" w:eastAsia="ja-JP"/>
        </w:rPr>
        <w:t xml:space="preserve">od 4 boda. Faricimab </w:t>
      </w:r>
      <w:r w:rsidR="00CC5FCD" w:rsidRPr="0014404C">
        <w:rPr>
          <w:sz w:val="22"/>
          <w:szCs w:val="22"/>
          <w:lang w:val="sr-Latn-ME" w:eastAsia="ja-JP"/>
        </w:rPr>
        <w:t xml:space="preserve">primijenjen </w:t>
      </w:r>
      <w:r w:rsidRPr="0014404C">
        <w:rPr>
          <w:sz w:val="22"/>
          <w:szCs w:val="22"/>
          <w:lang w:val="sr-Latn-ME" w:eastAsia="ja-JP"/>
        </w:rPr>
        <w:t xml:space="preserve">na svakih 8 </w:t>
      </w:r>
      <w:r w:rsidR="00802EFD" w:rsidRPr="0014404C">
        <w:rPr>
          <w:sz w:val="22"/>
          <w:szCs w:val="22"/>
          <w:lang w:val="sr-Latn-ME" w:eastAsia="ja-JP"/>
        </w:rPr>
        <w:t>nedjelja</w:t>
      </w:r>
      <w:r w:rsidRPr="0014404C">
        <w:rPr>
          <w:sz w:val="22"/>
          <w:szCs w:val="22"/>
          <w:lang w:val="sr-Latn-ME" w:eastAsia="ja-JP"/>
        </w:rPr>
        <w:t xml:space="preserve"> i kao prilagodljivo doziranje u intervalima od najviše 16 </w:t>
      </w:r>
      <w:r w:rsidR="00802EFD" w:rsidRPr="0014404C">
        <w:rPr>
          <w:sz w:val="22"/>
          <w:szCs w:val="22"/>
          <w:lang w:val="sr-Latn-ME" w:eastAsia="ja-JP"/>
        </w:rPr>
        <w:t>nedjelja</w:t>
      </w:r>
      <w:r w:rsidRPr="0014404C">
        <w:rPr>
          <w:sz w:val="22"/>
          <w:szCs w:val="22"/>
          <w:lang w:val="sr-Latn-ME" w:eastAsia="ja-JP"/>
        </w:rPr>
        <w:t xml:space="preserve"> takođe je pokazao klinički značajno poboljšanje </w:t>
      </w:r>
      <w:r w:rsidR="00CC5FCD" w:rsidRPr="0014404C">
        <w:rPr>
          <w:sz w:val="22"/>
          <w:szCs w:val="22"/>
          <w:lang w:val="sr-Latn-ME" w:eastAsia="ja-JP"/>
        </w:rPr>
        <w:t xml:space="preserve">unaprijed </w:t>
      </w:r>
      <w:r w:rsidRPr="0014404C">
        <w:rPr>
          <w:sz w:val="22"/>
          <w:szCs w:val="22"/>
          <w:lang w:val="sr-Latn-ME" w:eastAsia="ja-JP"/>
        </w:rPr>
        <w:t xml:space="preserve">definisanog parametra </w:t>
      </w:r>
      <w:r w:rsidR="00CC5FCD" w:rsidRPr="0014404C">
        <w:rPr>
          <w:sz w:val="22"/>
          <w:szCs w:val="22"/>
          <w:lang w:val="sr-Latn-ME" w:eastAsia="ja-JP"/>
        </w:rPr>
        <w:t xml:space="preserve">procjene </w:t>
      </w:r>
      <w:r w:rsidRPr="0014404C">
        <w:rPr>
          <w:sz w:val="22"/>
          <w:szCs w:val="22"/>
          <w:lang w:val="sr-Latn-ME" w:eastAsia="ja-JP"/>
        </w:rPr>
        <w:t xml:space="preserve">efikasnosti </w:t>
      </w:r>
      <w:r w:rsidR="00CC5FCD" w:rsidRPr="0014404C">
        <w:rPr>
          <w:sz w:val="22"/>
          <w:szCs w:val="22"/>
          <w:lang w:val="sr-Latn-ME" w:eastAsia="ja-JP"/>
        </w:rPr>
        <w:t xml:space="preserve">promjene </w:t>
      </w:r>
      <w:r w:rsidRPr="0014404C">
        <w:rPr>
          <w:sz w:val="22"/>
          <w:szCs w:val="22"/>
          <w:lang w:val="sr-Latn-ME" w:eastAsia="ja-JP"/>
        </w:rPr>
        <w:t xml:space="preserve">skorova NEI VFQ-25 za aktivnosti koje </w:t>
      </w:r>
      <w:r w:rsidR="00CC5FCD" w:rsidRPr="0014404C">
        <w:rPr>
          <w:sz w:val="22"/>
          <w:szCs w:val="22"/>
          <w:lang w:val="sr-Latn-ME" w:eastAsia="ja-JP"/>
        </w:rPr>
        <w:t xml:space="preserve">zahtijevaju </w:t>
      </w:r>
      <w:r w:rsidRPr="0014404C">
        <w:rPr>
          <w:sz w:val="22"/>
          <w:szCs w:val="22"/>
          <w:lang w:val="sr-Latn-ME" w:eastAsia="ja-JP"/>
        </w:rPr>
        <w:t>vid na blizinu, vid na daljinu i vožnju od početka do 52.</w:t>
      </w:r>
      <w:r w:rsidR="00CC5FCD" w:rsidRPr="0014404C">
        <w:rPr>
          <w:sz w:val="22"/>
          <w:szCs w:val="22"/>
          <w:lang w:val="sr-Latn-ME" w:eastAsia="ja-JP"/>
        </w:rPr>
        <w:t xml:space="preserve"> nedjelje</w:t>
      </w:r>
      <w:r w:rsidRPr="0014404C">
        <w:rPr>
          <w:sz w:val="22"/>
          <w:szCs w:val="22"/>
          <w:lang w:val="sr-Latn-ME" w:eastAsia="ja-JP"/>
        </w:rPr>
        <w:t xml:space="preserve">, a koja su bila uporediva sa </w:t>
      </w:r>
      <w:r w:rsidR="00CC5FCD" w:rsidRPr="0014404C">
        <w:rPr>
          <w:sz w:val="22"/>
          <w:szCs w:val="22"/>
          <w:lang w:val="sr-Latn-ME" w:eastAsia="ja-JP"/>
        </w:rPr>
        <w:t xml:space="preserve">primjenom </w:t>
      </w:r>
      <w:r w:rsidRPr="0014404C">
        <w:rPr>
          <w:sz w:val="22"/>
          <w:szCs w:val="22"/>
          <w:lang w:val="sr-Latn-ME" w:eastAsia="ja-JP"/>
        </w:rPr>
        <w:t xml:space="preserve">aflibercepta svakih 8 </w:t>
      </w:r>
      <w:r w:rsidR="00802EFD" w:rsidRPr="0014404C">
        <w:rPr>
          <w:sz w:val="22"/>
          <w:szCs w:val="22"/>
          <w:lang w:val="sr-Latn-ME" w:eastAsia="ja-JP"/>
        </w:rPr>
        <w:t>nedjelja</w:t>
      </w:r>
      <w:r w:rsidRPr="0014404C">
        <w:rPr>
          <w:sz w:val="22"/>
          <w:szCs w:val="22"/>
          <w:lang w:val="sr-Latn-ME" w:eastAsia="ja-JP"/>
        </w:rPr>
        <w:t xml:space="preserve">. Veličina tih </w:t>
      </w:r>
      <w:r w:rsidR="00CC5FCD" w:rsidRPr="0014404C">
        <w:rPr>
          <w:sz w:val="22"/>
          <w:szCs w:val="22"/>
          <w:lang w:val="sr-Latn-ME" w:eastAsia="ja-JP"/>
        </w:rPr>
        <w:t xml:space="preserve">promjena </w:t>
      </w:r>
      <w:r w:rsidRPr="0014404C">
        <w:rPr>
          <w:sz w:val="22"/>
          <w:szCs w:val="22"/>
          <w:lang w:val="sr-Latn-ME" w:eastAsia="ja-JP"/>
        </w:rPr>
        <w:t xml:space="preserve">je odgovarala povećanju BCVA za 15 slova. Uporedivi procenti pacijenata </w:t>
      </w:r>
      <w:r w:rsidR="00CC5FCD" w:rsidRPr="0014404C">
        <w:rPr>
          <w:sz w:val="22"/>
          <w:szCs w:val="22"/>
          <w:lang w:val="sr-Latn-ME" w:eastAsia="ja-JP"/>
        </w:rPr>
        <w:t>lije</w:t>
      </w:r>
      <w:r w:rsidR="000500C8" w:rsidRPr="0014404C">
        <w:rPr>
          <w:sz w:val="22"/>
          <w:szCs w:val="22"/>
          <w:lang w:val="sr-Latn-ME" w:eastAsia="ja-JP"/>
        </w:rPr>
        <w:t>čeni</w:t>
      </w:r>
      <w:r w:rsidR="00CC5FCD" w:rsidRPr="0014404C">
        <w:rPr>
          <w:sz w:val="22"/>
          <w:szCs w:val="22"/>
          <w:lang w:val="sr-Latn-ME" w:eastAsia="ja-JP"/>
        </w:rPr>
        <w:t xml:space="preserve"> </w:t>
      </w:r>
      <w:r w:rsidRPr="0014404C">
        <w:rPr>
          <w:sz w:val="22"/>
          <w:szCs w:val="22"/>
          <w:lang w:val="sr-Latn-ME" w:eastAsia="ja-JP"/>
        </w:rPr>
        <w:t xml:space="preserve">faricimabom na svakih 8 </w:t>
      </w:r>
      <w:r w:rsidR="00802EFD" w:rsidRPr="0014404C">
        <w:rPr>
          <w:sz w:val="22"/>
          <w:szCs w:val="22"/>
          <w:lang w:val="sr-Latn-ME" w:eastAsia="ja-JP"/>
        </w:rPr>
        <w:t>nedjelja</w:t>
      </w:r>
      <w:r w:rsidRPr="0014404C">
        <w:rPr>
          <w:sz w:val="22"/>
          <w:szCs w:val="22"/>
          <w:lang w:val="sr-Latn-ME" w:eastAsia="ja-JP"/>
        </w:rPr>
        <w:t xml:space="preserve">, prilagodljivim doziranjem faricimaba u intervalima od najviše 16 </w:t>
      </w:r>
      <w:r w:rsidR="00802EFD" w:rsidRPr="0014404C">
        <w:rPr>
          <w:sz w:val="22"/>
          <w:szCs w:val="22"/>
          <w:lang w:val="sr-Latn-ME" w:eastAsia="ja-JP"/>
        </w:rPr>
        <w:t>nedjelja</w:t>
      </w:r>
      <w:r w:rsidRPr="0014404C">
        <w:rPr>
          <w:sz w:val="22"/>
          <w:szCs w:val="22"/>
          <w:lang w:val="sr-Latn-ME" w:eastAsia="ja-JP"/>
        </w:rPr>
        <w:t xml:space="preserve"> i aflibercepta svakih 8 </w:t>
      </w:r>
      <w:r w:rsidR="00802EFD" w:rsidRPr="0014404C">
        <w:rPr>
          <w:sz w:val="22"/>
          <w:szCs w:val="22"/>
          <w:lang w:val="sr-Latn-ME" w:eastAsia="ja-JP"/>
        </w:rPr>
        <w:t>nedjelja</w:t>
      </w:r>
      <w:r w:rsidRPr="0014404C">
        <w:rPr>
          <w:sz w:val="22"/>
          <w:szCs w:val="22"/>
          <w:lang w:val="sr-Latn-ME" w:eastAsia="ja-JP"/>
        </w:rPr>
        <w:t xml:space="preserve"> su imali klinički značajno poboljšanje kompozitnog skora NEI VFQ-25 od ≥ 4 boda od početka do 52. </w:t>
      </w:r>
      <w:r w:rsidR="00CC5FCD" w:rsidRPr="0014404C">
        <w:rPr>
          <w:sz w:val="22"/>
          <w:szCs w:val="22"/>
          <w:lang w:val="sr-Latn-ME" w:eastAsia="ja-JP"/>
        </w:rPr>
        <w:t>nedjelje</w:t>
      </w:r>
      <w:r w:rsidRPr="0014404C">
        <w:rPr>
          <w:sz w:val="22"/>
          <w:szCs w:val="22"/>
          <w:lang w:val="sr-Latn-ME" w:eastAsia="ja-JP"/>
        </w:rPr>
        <w:t xml:space="preserve">, što je bila </w:t>
      </w:r>
      <w:r w:rsidR="00CC5FCD" w:rsidRPr="0014404C">
        <w:rPr>
          <w:sz w:val="22"/>
          <w:szCs w:val="22"/>
          <w:lang w:val="sr-Latn-ME" w:eastAsia="ja-JP"/>
        </w:rPr>
        <w:t xml:space="preserve">unaprijed </w:t>
      </w:r>
      <w:r w:rsidRPr="0014404C">
        <w:rPr>
          <w:sz w:val="22"/>
          <w:szCs w:val="22"/>
          <w:lang w:val="sr-Latn-ME" w:eastAsia="ja-JP"/>
        </w:rPr>
        <w:t xml:space="preserve">definisan parametar </w:t>
      </w:r>
      <w:r w:rsidR="00CC5FCD" w:rsidRPr="0014404C">
        <w:rPr>
          <w:sz w:val="22"/>
          <w:szCs w:val="22"/>
          <w:lang w:val="sr-Latn-ME" w:eastAsia="ja-JP"/>
        </w:rPr>
        <w:t xml:space="preserve">procjene </w:t>
      </w:r>
      <w:r w:rsidRPr="0014404C">
        <w:rPr>
          <w:sz w:val="22"/>
          <w:szCs w:val="22"/>
          <w:lang w:val="sr-Latn-ME" w:eastAsia="ja-JP"/>
        </w:rPr>
        <w:t xml:space="preserve">efikasnosti. Ti rezultati održani su u 100. </w:t>
      </w:r>
      <w:r w:rsidR="00CC5FCD" w:rsidRPr="0014404C">
        <w:rPr>
          <w:sz w:val="22"/>
          <w:szCs w:val="22"/>
          <w:lang w:val="sr-Latn-ME" w:eastAsia="ja-JP"/>
        </w:rPr>
        <w:t>nedjelji</w:t>
      </w:r>
      <w:r w:rsidRPr="0014404C">
        <w:rPr>
          <w:sz w:val="22"/>
          <w:szCs w:val="22"/>
          <w:lang w:val="sr-Latn-ME" w:eastAsia="ja-JP"/>
        </w:rPr>
        <w:t>.</w:t>
      </w:r>
    </w:p>
    <w:p w14:paraId="0D2F101B" w14:textId="77777777" w:rsidR="00D44D34" w:rsidRPr="0014404C" w:rsidRDefault="00D44D34" w:rsidP="0014404C">
      <w:pPr>
        <w:widowControl w:val="0"/>
        <w:jc w:val="both"/>
        <w:rPr>
          <w:bCs/>
          <w:iCs/>
          <w:sz w:val="22"/>
          <w:szCs w:val="22"/>
          <w:lang w:val="sr-Latn-ME" w:eastAsia="ja-JP"/>
        </w:rPr>
      </w:pPr>
    </w:p>
    <w:p w14:paraId="61899401" w14:textId="05F57CFD"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Dodatni ključni ishod za efikasnost u studijama DME bila je </w:t>
      </w:r>
      <w:r w:rsidR="00CC5FCD" w:rsidRPr="0014404C">
        <w:rPr>
          <w:sz w:val="22"/>
          <w:szCs w:val="22"/>
          <w:lang w:val="sr-Latn-ME" w:eastAsia="ja-JP"/>
        </w:rPr>
        <w:t xml:space="preserve">promjena </w:t>
      </w:r>
      <w:r w:rsidRPr="0014404C">
        <w:rPr>
          <w:sz w:val="22"/>
          <w:szCs w:val="22"/>
          <w:lang w:val="sr-Latn-ME" w:eastAsia="ja-JP"/>
        </w:rPr>
        <w:t xml:space="preserve">rezultata na skali za </w:t>
      </w:r>
      <w:r w:rsidR="00CC5FCD" w:rsidRPr="0014404C">
        <w:rPr>
          <w:sz w:val="22"/>
          <w:szCs w:val="22"/>
          <w:lang w:val="sr-Latn-ME" w:eastAsia="ja-JP"/>
        </w:rPr>
        <w:t xml:space="preserve">procjenu </w:t>
      </w:r>
      <w:r w:rsidRPr="0014404C">
        <w:rPr>
          <w:sz w:val="22"/>
          <w:szCs w:val="22"/>
          <w:lang w:val="sr-Latn-ME" w:eastAsia="ja-JP"/>
        </w:rPr>
        <w:t xml:space="preserve">stepena težine dijabetičke retinopatije iz Studije ranog </w:t>
      </w:r>
      <w:r w:rsidR="00CC5FCD" w:rsidRPr="0014404C">
        <w:rPr>
          <w:sz w:val="22"/>
          <w:szCs w:val="22"/>
          <w:lang w:val="sr-Latn-ME" w:eastAsia="ja-JP"/>
        </w:rPr>
        <w:t xml:space="preserve">liječenja </w:t>
      </w:r>
      <w:r w:rsidRPr="0014404C">
        <w:rPr>
          <w:sz w:val="22"/>
          <w:szCs w:val="22"/>
          <w:lang w:val="sr-Latn-ME" w:eastAsia="ja-JP"/>
        </w:rPr>
        <w:t xml:space="preserve">dijabetičke retinopatije (engl. </w:t>
      </w:r>
      <w:r w:rsidRPr="0014404C">
        <w:rPr>
          <w:i/>
          <w:sz w:val="22"/>
          <w:szCs w:val="22"/>
          <w:lang w:val="sr-Latn-ME" w:eastAsia="ja-JP"/>
        </w:rPr>
        <w:t>Early Treatment Diabetic Retinopathy Study Diabetic Retinopathy Severity Scale</w:t>
      </w:r>
      <w:r w:rsidRPr="0014404C">
        <w:rPr>
          <w:sz w:val="22"/>
          <w:szCs w:val="22"/>
          <w:lang w:val="sr-Latn-ME" w:eastAsia="ja-JP"/>
        </w:rPr>
        <w:t xml:space="preserve">, ETDRS-DRSS) od početka studije do 52. </w:t>
      </w:r>
      <w:r w:rsidR="00CC5FCD" w:rsidRPr="0014404C">
        <w:rPr>
          <w:sz w:val="22"/>
          <w:szCs w:val="22"/>
          <w:lang w:val="sr-Latn-ME" w:eastAsia="ja-JP"/>
        </w:rPr>
        <w:t>nedjelje</w:t>
      </w:r>
      <w:r w:rsidRPr="0014404C">
        <w:rPr>
          <w:sz w:val="22"/>
          <w:szCs w:val="22"/>
          <w:lang w:val="sr-Latn-ME" w:eastAsia="ja-JP"/>
        </w:rPr>
        <w:t xml:space="preserve">. Od 1891 pacijenta uključenog u studije YOSEMITE i RHINE, 708 odnosno 720 bilo je pogodno za </w:t>
      </w:r>
      <w:r w:rsidR="00CC5FCD" w:rsidRPr="0014404C">
        <w:rPr>
          <w:sz w:val="22"/>
          <w:szCs w:val="22"/>
          <w:lang w:val="sr-Latn-ME" w:eastAsia="ja-JP"/>
        </w:rPr>
        <w:t xml:space="preserve">procjenu </w:t>
      </w:r>
      <w:r w:rsidRPr="0014404C">
        <w:rPr>
          <w:sz w:val="22"/>
          <w:szCs w:val="22"/>
          <w:lang w:val="sr-Latn-ME" w:eastAsia="ja-JP"/>
        </w:rPr>
        <w:t>parametara efikasnosti</w:t>
      </w:r>
      <w:r w:rsidR="006008E9" w:rsidRPr="0014404C">
        <w:rPr>
          <w:sz w:val="22"/>
          <w:szCs w:val="22"/>
          <w:lang w:val="sr-Latn-ME" w:eastAsia="ja-JP"/>
        </w:rPr>
        <w:t xml:space="preserve"> </w:t>
      </w:r>
      <w:r w:rsidRPr="0014404C">
        <w:rPr>
          <w:sz w:val="22"/>
          <w:szCs w:val="22"/>
          <w:lang w:val="sr-Latn-ME" w:eastAsia="ja-JP"/>
        </w:rPr>
        <w:t>za DR.</w:t>
      </w:r>
    </w:p>
    <w:p w14:paraId="75FFCD0A" w14:textId="77777777" w:rsidR="00D44D34" w:rsidRPr="0014404C" w:rsidRDefault="00D44D34" w:rsidP="0014404C">
      <w:pPr>
        <w:widowControl w:val="0"/>
        <w:jc w:val="both"/>
        <w:rPr>
          <w:sz w:val="22"/>
          <w:szCs w:val="22"/>
          <w:lang w:val="sr-Latn-ME" w:eastAsia="ja-JP"/>
        </w:rPr>
      </w:pPr>
    </w:p>
    <w:p w14:paraId="716A014D"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Skorovi ETDRS-DRSS kretali su se u rasponu od 10 do 71 na početku.</w:t>
      </w:r>
    </w:p>
    <w:p w14:paraId="0AC0CCCE" w14:textId="77777777" w:rsidR="00D44D34" w:rsidRPr="0014404C" w:rsidRDefault="00D44D34" w:rsidP="0014404C">
      <w:pPr>
        <w:widowControl w:val="0"/>
        <w:jc w:val="both"/>
        <w:rPr>
          <w:sz w:val="22"/>
          <w:szCs w:val="22"/>
          <w:lang w:val="sr-Latn-ME" w:eastAsia="ja-JP"/>
        </w:rPr>
      </w:pPr>
    </w:p>
    <w:p w14:paraId="217DA89F" w14:textId="6DFBBDDD"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Većina pacijenata, približno 60%, imala je </w:t>
      </w:r>
      <w:r w:rsidR="00CC5FCD" w:rsidRPr="0014404C">
        <w:rPr>
          <w:sz w:val="22"/>
          <w:szCs w:val="22"/>
          <w:lang w:val="sr-Latn-ME" w:eastAsia="ja-JP"/>
        </w:rPr>
        <w:t xml:space="preserve">umjerenu </w:t>
      </w:r>
      <w:r w:rsidRPr="0014404C">
        <w:rPr>
          <w:sz w:val="22"/>
          <w:szCs w:val="22"/>
          <w:lang w:val="sr-Latn-ME" w:eastAsia="ja-JP"/>
        </w:rPr>
        <w:t>do tešku neproliferativnu DR (DRSS 43/47/53) na početku.</w:t>
      </w:r>
    </w:p>
    <w:p w14:paraId="6CBA8E90" w14:textId="77777777" w:rsidR="00D44D34" w:rsidRPr="0014404C" w:rsidRDefault="00D44D34" w:rsidP="0014404C">
      <w:pPr>
        <w:widowControl w:val="0"/>
        <w:jc w:val="both"/>
        <w:rPr>
          <w:sz w:val="22"/>
          <w:szCs w:val="22"/>
          <w:lang w:val="sr-Latn-ME" w:eastAsia="ja-JP"/>
        </w:rPr>
      </w:pPr>
    </w:p>
    <w:p w14:paraId="5A0D18CC" w14:textId="77777777" w:rsidR="009D39E8" w:rsidRDefault="00D44D34" w:rsidP="0014404C">
      <w:pPr>
        <w:widowControl w:val="0"/>
        <w:jc w:val="both"/>
        <w:rPr>
          <w:sz w:val="22"/>
          <w:szCs w:val="22"/>
          <w:lang w:val="sr-Latn-ME" w:eastAsia="ja-JP"/>
        </w:rPr>
      </w:pPr>
      <w:r w:rsidRPr="0014404C">
        <w:rPr>
          <w:sz w:val="22"/>
          <w:szCs w:val="22"/>
          <w:lang w:val="sr-Latn-ME" w:eastAsia="ja-JP"/>
        </w:rPr>
        <w:t xml:space="preserve">Procenat pacijenata koji su postigli poboljšanje ETDRS-DRSS rezultata za ≥ 2 i ≥ 3 nivoa od početka studije do 52. odnosno 96. </w:t>
      </w:r>
      <w:r w:rsidR="00CC5FCD" w:rsidRPr="0014404C">
        <w:rPr>
          <w:sz w:val="22"/>
          <w:szCs w:val="22"/>
          <w:lang w:val="sr-Latn-ME" w:eastAsia="ja-JP"/>
        </w:rPr>
        <w:t xml:space="preserve">nedjelje </w:t>
      </w:r>
      <w:r w:rsidRPr="0014404C">
        <w:rPr>
          <w:sz w:val="22"/>
          <w:szCs w:val="22"/>
          <w:lang w:val="sr-Latn-ME" w:eastAsia="ja-JP"/>
        </w:rPr>
        <w:t xml:space="preserve">prikazan je u tabeli </w:t>
      </w:r>
      <w:r w:rsidR="004810DC" w:rsidRPr="0014404C">
        <w:rPr>
          <w:sz w:val="22"/>
          <w:szCs w:val="22"/>
          <w:lang w:val="sr-Latn-ME" w:eastAsia="ja-JP"/>
        </w:rPr>
        <w:t>6</w:t>
      </w:r>
      <w:r w:rsidRPr="0014404C">
        <w:rPr>
          <w:sz w:val="22"/>
          <w:szCs w:val="22"/>
          <w:lang w:val="sr-Latn-ME" w:eastAsia="ja-JP"/>
        </w:rPr>
        <w:t xml:space="preserve"> i tabeli </w:t>
      </w:r>
      <w:r w:rsidR="004810DC" w:rsidRPr="0014404C">
        <w:rPr>
          <w:sz w:val="22"/>
          <w:szCs w:val="22"/>
          <w:lang w:val="sr-Latn-ME" w:eastAsia="ja-JP"/>
        </w:rPr>
        <w:t>7</w:t>
      </w:r>
      <w:r w:rsidRPr="0014404C">
        <w:rPr>
          <w:sz w:val="22"/>
          <w:szCs w:val="22"/>
          <w:lang w:val="sr-Latn-ME" w:eastAsia="ja-JP"/>
        </w:rPr>
        <w:t xml:space="preserve"> u nastavku. </w:t>
      </w:r>
    </w:p>
    <w:p w14:paraId="5B11FC45" w14:textId="77777777" w:rsidR="009D39E8" w:rsidRDefault="009D39E8" w:rsidP="0014404C">
      <w:pPr>
        <w:widowControl w:val="0"/>
        <w:jc w:val="both"/>
        <w:rPr>
          <w:sz w:val="22"/>
          <w:szCs w:val="22"/>
          <w:lang w:val="sr-Latn-ME" w:eastAsia="ja-JP"/>
        </w:rPr>
      </w:pPr>
    </w:p>
    <w:p w14:paraId="0354BDD7" w14:textId="30DAF5BC"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 xml:space="preserve">Tabela </w:t>
      </w:r>
      <w:r w:rsidR="004810DC" w:rsidRPr="0014404C">
        <w:rPr>
          <w:b/>
          <w:bCs/>
          <w:sz w:val="22"/>
          <w:szCs w:val="22"/>
          <w:lang w:val="sr-Latn-ME" w:eastAsia="ja-JP"/>
        </w:rPr>
        <w:t>6</w:t>
      </w:r>
      <w:r w:rsidRPr="0014404C">
        <w:rPr>
          <w:b/>
          <w:bCs/>
          <w:sz w:val="22"/>
          <w:szCs w:val="22"/>
          <w:lang w:val="sr-Latn-ME" w:eastAsia="ja-JP"/>
        </w:rPr>
        <w:t xml:space="preserve">: Procenat pacijenata koji su postigli poboljšanje ETDRS-DRSS rezultata za ≥ 2 i ≥ 3 nivoa od početka studije do 52. odnosno 96. </w:t>
      </w:r>
      <w:r w:rsidR="00CC5FCD" w:rsidRPr="0014404C">
        <w:rPr>
          <w:b/>
          <w:bCs/>
          <w:sz w:val="22"/>
          <w:szCs w:val="22"/>
          <w:lang w:val="sr-Latn-ME" w:eastAsia="ja-JP"/>
        </w:rPr>
        <w:t xml:space="preserve">nedjelje </w:t>
      </w:r>
      <w:r w:rsidRPr="0014404C">
        <w:rPr>
          <w:b/>
          <w:bCs/>
          <w:sz w:val="22"/>
          <w:szCs w:val="22"/>
          <w:lang w:val="sr-Latn-ME" w:eastAsia="ja-JP"/>
        </w:rPr>
        <w:t xml:space="preserve">u studiji YOSEMITE (populacija kod koje je mogla da bude </w:t>
      </w:r>
      <w:r w:rsidR="00CC5FCD" w:rsidRPr="0014404C">
        <w:rPr>
          <w:b/>
          <w:bCs/>
          <w:sz w:val="22"/>
          <w:szCs w:val="22"/>
          <w:lang w:val="sr-Latn-ME" w:eastAsia="ja-JP"/>
        </w:rPr>
        <w:t xml:space="preserve">procijenjena </w:t>
      </w:r>
      <w:r w:rsidRPr="0014404C">
        <w:rPr>
          <w:b/>
          <w:bCs/>
          <w:sz w:val="22"/>
          <w:szCs w:val="22"/>
          <w:lang w:val="sr-Latn-ME" w:eastAsia="ja-JP"/>
        </w:rPr>
        <w:t>DR)</w:t>
      </w:r>
    </w:p>
    <w:p w14:paraId="6503A211" w14:textId="77777777" w:rsidR="00D44D34" w:rsidRPr="0014404C" w:rsidRDefault="00D44D34" w:rsidP="0014404C">
      <w:pPr>
        <w:widowControl w:val="0"/>
        <w:tabs>
          <w:tab w:val="left" w:pos="540"/>
          <w:tab w:val="left" w:pos="569"/>
        </w:tabs>
        <w:jc w:val="both"/>
        <w:rPr>
          <w:b/>
          <w:bCs/>
          <w:sz w:val="22"/>
          <w:szCs w:val="22"/>
          <w:lang w:val="sr-Latn-ME"/>
        </w:rPr>
      </w:pPr>
    </w:p>
    <w:tbl>
      <w:tblPr>
        <w:tblW w:w="9170" w:type="dxa"/>
        <w:tblLayout w:type="fixed"/>
        <w:tblCellMar>
          <w:top w:w="15" w:type="dxa"/>
          <w:left w:w="15" w:type="dxa"/>
          <w:bottom w:w="15" w:type="dxa"/>
          <w:right w:w="15" w:type="dxa"/>
        </w:tblCellMar>
        <w:tblLook w:val="04A0" w:firstRow="1" w:lastRow="0" w:firstColumn="1" w:lastColumn="0" w:noHBand="0" w:noVBand="1"/>
      </w:tblPr>
      <w:tblGrid>
        <w:gridCol w:w="2150"/>
        <w:gridCol w:w="1080"/>
        <w:gridCol w:w="1260"/>
        <w:gridCol w:w="1170"/>
        <w:gridCol w:w="1080"/>
        <w:gridCol w:w="1260"/>
        <w:gridCol w:w="1170"/>
      </w:tblGrid>
      <w:tr w:rsidR="00D44D34" w:rsidRPr="0014404C" w14:paraId="633D674E" w14:textId="77777777" w:rsidTr="0014404C">
        <w:tc>
          <w:tcPr>
            <w:tcW w:w="215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76D5286" w14:textId="77777777" w:rsidR="00D44D34" w:rsidRPr="0014404C" w:rsidRDefault="00D44D34" w:rsidP="0014404C">
            <w:pPr>
              <w:widowControl w:val="0"/>
              <w:jc w:val="both"/>
              <w:rPr>
                <w:sz w:val="22"/>
                <w:szCs w:val="22"/>
                <w:lang w:val="sr-Latn-ME" w:eastAsia="ja-JP"/>
              </w:rPr>
            </w:pPr>
          </w:p>
        </w:tc>
        <w:tc>
          <w:tcPr>
            <w:tcW w:w="70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C230" w14:textId="77777777"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YOSEMITE</w:t>
            </w:r>
          </w:p>
        </w:tc>
      </w:tr>
      <w:tr w:rsidR="00D44D34" w:rsidRPr="0014404C" w14:paraId="7F3D2B10" w14:textId="77777777" w:rsidTr="0014404C">
        <w:tc>
          <w:tcPr>
            <w:tcW w:w="215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5B0FA32" w14:textId="77777777" w:rsidR="00D44D34" w:rsidRPr="0014404C" w:rsidRDefault="00D44D34" w:rsidP="0014404C">
            <w:pPr>
              <w:widowControl w:val="0"/>
              <w:jc w:val="both"/>
              <w:rPr>
                <w:sz w:val="22"/>
                <w:szCs w:val="22"/>
                <w:lang w:val="sr-Latn-ME" w:eastAsia="ja-JP"/>
              </w:rPr>
            </w:pPr>
          </w:p>
        </w:tc>
        <w:tc>
          <w:tcPr>
            <w:tcW w:w="351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B285B" w14:textId="4D4C840D"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 xml:space="preserve">52 </w:t>
            </w:r>
            <w:r w:rsidR="00CC5FCD" w:rsidRPr="0014404C">
              <w:rPr>
                <w:b/>
                <w:bCs/>
                <w:sz w:val="22"/>
                <w:szCs w:val="22"/>
                <w:lang w:val="sr-Latn-ME" w:eastAsia="ja-JP"/>
              </w:rPr>
              <w:t>nedjelja</w:t>
            </w:r>
          </w:p>
        </w:tc>
        <w:tc>
          <w:tcPr>
            <w:tcW w:w="3510" w:type="dxa"/>
            <w:gridSpan w:val="3"/>
            <w:tcBorders>
              <w:top w:val="single" w:sz="8" w:space="0" w:color="000000"/>
              <w:left w:val="single" w:sz="8" w:space="0" w:color="000000"/>
              <w:bottom w:val="single" w:sz="8" w:space="0" w:color="000000"/>
              <w:right w:val="single" w:sz="8" w:space="0" w:color="000000"/>
            </w:tcBorders>
          </w:tcPr>
          <w:p w14:paraId="5CC7FCE1" w14:textId="77777777"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 xml:space="preserve">96 </w:t>
            </w:r>
            <w:r w:rsidR="00802EFD" w:rsidRPr="0014404C">
              <w:rPr>
                <w:b/>
                <w:bCs/>
                <w:sz w:val="22"/>
                <w:szCs w:val="22"/>
                <w:lang w:val="sr-Latn-ME" w:eastAsia="ja-JP"/>
              </w:rPr>
              <w:t>nedjelja</w:t>
            </w:r>
          </w:p>
        </w:tc>
      </w:tr>
      <w:tr w:rsidR="00D44D34" w:rsidRPr="0014404C" w14:paraId="64F3C09F" w14:textId="77777777" w:rsidTr="0014404C">
        <w:tc>
          <w:tcPr>
            <w:tcW w:w="215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68A9F128" w14:textId="77777777" w:rsidR="00D44D34" w:rsidRPr="0014404C" w:rsidRDefault="00D44D34" w:rsidP="0014404C">
            <w:pPr>
              <w:widowControl w:val="0"/>
              <w:jc w:val="both"/>
              <w:rPr>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57E8B"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342493BB"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n = 237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442B9" w14:textId="77777777" w:rsidR="00D44D34" w:rsidRPr="0014404C" w:rsidRDefault="00D44D34" w:rsidP="0014404C">
            <w:pPr>
              <w:widowControl w:val="0"/>
              <w:ind w:right="-105"/>
              <w:jc w:val="both"/>
              <w:rPr>
                <w:iCs/>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27C0B296"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n = 242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FF63E"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7BE66284"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n = 229</w:t>
            </w:r>
          </w:p>
        </w:tc>
        <w:tc>
          <w:tcPr>
            <w:tcW w:w="1080" w:type="dxa"/>
            <w:tcBorders>
              <w:top w:val="single" w:sz="8" w:space="0" w:color="000000"/>
              <w:left w:val="single" w:sz="8" w:space="0" w:color="000000"/>
              <w:bottom w:val="single" w:sz="8" w:space="0" w:color="000000"/>
              <w:right w:val="single" w:sz="8" w:space="0" w:color="000000"/>
            </w:tcBorders>
          </w:tcPr>
          <w:p w14:paraId="505E526B" w14:textId="77777777" w:rsidR="00D44D34" w:rsidRPr="0014404C" w:rsidRDefault="00D44D34" w:rsidP="0014404C">
            <w:pPr>
              <w:widowControl w:val="0"/>
              <w:tabs>
                <w:tab w:val="left" w:pos="567"/>
              </w:tabs>
              <w:jc w:val="both"/>
              <w:rPr>
                <w:iCs/>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4D8CC570"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n = 220</w:t>
            </w:r>
          </w:p>
        </w:tc>
        <w:tc>
          <w:tcPr>
            <w:tcW w:w="1260" w:type="dxa"/>
            <w:tcBorders>
              <w:top w:val="single" w:sz="8" w:space="0" w:color="000000"/>
              <w:left w:val="single" w:sz="8" w:space="0" w:color="000000"/>
              <w:bottom w:val="single" w:sz="8" w:space="0" w:color="000000"/>
              <w:right w:val="single" w:sz="8" w:space="0" w:color="000000"/>
            </w:tcBorders>
          </w:tcPr>
          <w:p w14:paraId="2C7F291D" w14:textId="77777777" w:rsidR="00D44D34" w:rsidRPr="0014404C" w:rsidRDefault="00D44D34" w:rsidP="0014404C">
            <w:pPr>
              <w:widowControl w:val="0"/>
              <w:tabs>
                <w:tab w:val="left" w:pos="567"/>
              </w:tabs>
              <w:jc w:val="both"/>
              <w:rPr>
                <w:iCs/>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255905B1" w14:textId="77777777" w:rsidR="00D44D34" w:rsidRPr="0014404C" w:rsidRDefault="00D44D34" w:rsidP="0014404C">
            <w:pPr>
              <w:widowControl w:val="0"/>
              <w:jc w:val="both"/>
              <w:rPr>
                <w:iCs/>
                <w:sz w:val="22"/>
                <w:szCs w:val="22"/>
                <w:lang w:val="sr-Latn-ME" w:eastAsia="ja-JP"/>
              </w:rPr>
            </w:pPr>
            <w:r w:rsidRPr="0014404C">
              <w:rPr>
                <w:sz w:val="22"/>
                <w:szCs w:val="22"/>
                <w:lang w:val="sr-Latn-ME" w:eastAsia="ja-JP"/>
              </w:rPr>
              <w:t>n = 234</w:t>
            </w:r>
          </w:p>
        </w:tc>
        <w:tc>
          <w:tcPr>
            <w:tcW w:w="1170" w:type="dxa"/>
            <w:tcBorders>
              <w:top w:val="single" w:sz="8" w:space="0" w:color="000000"/>
              <w:left w:val="single" w:sz="8" w:space="0" w:color="000000"/>
              <w:bottom w:val="single" w:sz="8" w:space="0" w:color="000000"/>
              <w:right w:val="single" w:sz="8" w:space="0" w:color="000000"/>
            </w:tcBorders>
          </w:tcPr>
          <w:p w14:paraId="633C2E11" w14:textId="77777777" w:rsidR="00D44D34" w:rsidRPr="0014404C" w:rsidRDefault="00D44D34" w:rsidP="0014404C">
            <w:pPr>
              <w:widowControl w:val="0"/>
              <w:tabs>
                <w:tab w:val="left" w:pos="567"/>
              </w:tabs>
              <w:jc w:val="both"/>
              <w:rPr>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16C0290E"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221</w:t>
            </w:r>
          </w:p>
        </w:tc>
      </w:tr>
      <w:tr w:rsidR="00D44D34" w:rsidRPr="0014404C" w14:paraId="257693DB" w14:textId="77777777" w:rsidTr="0014404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178FD" w14:textId="4F5D22F0"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Procenat pacijenata sa poboljšanjem ETDRS-DRSS u odnosu na početnu </w:t>
            </w:r>
            <w:r w:rsidR="00CC5FCD" w:rsidRPr="0014404C">
              <w:rPr>
                <w:sz w:val="22"/>
                <w:szCs w:val="22"/>
                <w:lang w:val="sr-Latn-ME" w:eastAsia="ja-JP"/>
              </w:rPr>
              <w:t xml:space="preserve">vrijednost </w:t>
            </w:r>
            <w:r w:rsidRPr="0014404C">
              <w:rPr>
                <w:sz w:val="22"/>
                <w:szCs w:val="22"/>
                <w:lang w:val="sr-Latn-ME" w:eastAsia="ja-JP"/>
              </w:rPr>
              <w:t>≥ 2 nivoa</w:t>
            </w:r>
          </w:p>
          <w:p w14:paraId="62FB6AF5"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(CMH ponderisani procenat)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32C5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46,0%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80E2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42,5%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4734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35,8%</w:t>
            </w:r>
          </w:p>
        </w:tc>
        <w:tc>
          <w:tcPr>
            <w:tcW w:w="1080" w:type="dxa"/>
            <w:tcBorders>
              <w:top w:val="single" w:sz="8" w:space="0" w:color="000000"/>
              <w:left w:val="single" w:sz="8" w:space="0" w:color="000000"/>
              <w:bottom w:val="single" w:sz="8" w:space="0" w:color="000000"/>
              <w:right w:val="single" w:sz="8" w:space="0" w:color="000000"/>
            </w:tcBorders>
          </w:tcPr>
          <w:p w14:paraId="3197DEC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51,4%</w:t>
            </w:r>
          </w:p>
        </w:tc>
        <w:tc>
          <w:tcPr>
            <w:tcW w:w="1260" w:type="dxa"/>
            <w:tcBorders>
              <w:top w:val="single" w:sz="8" w:space="0" w:color="000000"/>
              <w:left w:val="single" w:sz="8" w:space="0" w:color="000000"/>
              <w:bottom w:val="single" w:sz="8" w:space="0" w:color="000000"/>
              <w:right w:val="single" w:sz="8" w:space="0" w:color="000000"/>
            </w:tcBorders>
          </w:tcPr>
          <w:p w14:paraId="2A49A280"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42,8%</w:t>
            </w:r>
          </w:p>
        </w:tc>
        <w:tc>
          <w:tcPr>
            <w:tcW w:w="1170" w:type="dxa"/>
            <w:tcBorders>
              <w:top w:val="single" w:sz="8" w:space="0" w:color="000000"/>
              <w:left w:val="single" w:sz="8" w:space="0" w:color="000000"/>
              <w:bottom w:val="single" w:sz="8" w:space="0" w:color="000000"/>
              <w:right w:val="single" w:sz="8" w:space="0" w:color="000000"/>
            </w:tcBorders>
          </w:tcPr>
          <w:p w14:paraId="65EBE329"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42,2%</w:t>
            </w:r>
          </w:p>
        </w:tc>
      </w:tr>
      <w:tr w:rsidR="00D44D34" w:rsidRPr="0014404C" w14:paraId="3E16BE97" w14:textId="77777777" w:rsidTr="0014404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30AF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lastRenderedPageBreak/>
              <w:t>Ponderisana razlika (97,5% CI 1. godina, 95%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91187"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10,2%</w:t>
            </w:r>
          </w:p>
          <w:p w14:paraId="254259C9" w14:textId="76C06355" w:rsidR="00D44D34" w:rsidRPr="0014404C" w:rsidRDefault="0040694E" w:rsidP="0014404C">
            <w:pPr>
              <w:widowControl w:val="0"/>
              <w:jc w:val="both"/>
              <w:rPr>
                <w:sz w:val="22"/>
                <w:szCs w:val="22"/>
                <w:lang w:val="sr-Latn-ME" w:eastAsia="ja-JP"/>
              </w:rPr>
            </w:pPr>
            <w:r w:rsidRPr="0014404C">
              <w:rPr>
                <w:sz w:val="22"/>
                <w:szCs w:val="22"/>
                <w:lang w:val="sr-Latn-ME" w:eastAsia="ja-JP"/>
              </w:rPr>
              <w:t>(0.3%, 20.0%</w:t>
            </w:r>
            <w:r w:rsidR="00D44D34" w:rsidRPr="0014404C">
              <w:rPr>
                <w:sz w:val="22"/>
                <w:szCs w:val="22"/>
                <w:lang w:val="sr-Latn-ME" w:eastAsia="ja-JP"/>
              </w:rPr>
              <w:t>)</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B438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6,1%</w:t>
            </w:r>
          </w:p>
          <w:p w14:paraId="7CDA1470" w14:textId="4DAFB0C9" w:rsidR="00D44D34" w:rsidRPr="0014404C" w:rsidRDefault="0040694E" w:rsidP="0014404C">
            <w:pPr>
              <w:widowControl w:val="0"/>
              <w:jc w:val="both"/>
              <w:rPr>
                <w:sz w:val="22"/>
                <w:szCs w:val="22"/>
                <w:lang w:val="sr-Latn-ME" w:eastAsia="ja-JP"/>
              </w:rPr>
            </w:pPr>
            <w:r w:rsidRPr="0014404C">
              <w:rPr>
                <w:sz w:val="22"/>
                <w:szCs w:val="22"/>
                <w:lang w:val="sr-Latn-ME" w:eastAsia="ja-JP"/>
              </w:rPr>
              <w:t>(-3.6%, 15.8%</w:t>
            </w:r>
            <w:r w:rsidR="00D44D34" w:rsidRPr="0014404C">
              <w:rPr>
                <w:sz w:val="22"/>
                <w:szCs w:val="22"/>
                <w:lang w:val="sr-Latn-ME" w:eastAsia="ja-JP"/>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F05B2" w14:textId="77777777" w:rsidR="00D44D34" w:rsidRPr="0014404C" w:rsidRDefault="00D44D34" w:rsidP="0014404C">
            <w:pPr>
              <w:widowControl w:val="0"/>
              <w:jc w:val="both"/>
              <w:rPr>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539A64FD"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9,1%</w:t>
            </w:r>
          </w:p>
          <w:p w14:paraId="65212A4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(0,0%, 18,2%)</w:t>
            </w:r>
          </w:p>
        </w:tc>
        <w:tc>
          <w:tcPr>
            <w:tcW w:w="1260" w:type="dxa"/>
            <w:tcBorders>
              <w:top w:val="single" w:sz="8" w:space="0" w:color="000000"/>
              <w:left w:val="single" w:sz="8" w:space="0" w:color="000000"/>
              <w:bottom w:val="single" w:sz="8" w:space="0" w:color="000000"/>
              <w:right w:val="single" w:sz="8" w:space="0" w:color="000000"/>
            </w:tcBorders>
          </w:tcPr>
          <w:p w14:paraId="445EF27A"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0,0%</w:t>
            </w:r>
          </w:p>
          <w:p w14:paraId="09891D9F"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(-8,9%, 8,9%)</w:t>
            </w:r>
          </w:p>
        </w:tc>
        <w:tc>
          <w:tcPr>
            <w:tcW w:w="1170" w:type="dxa"/>
            <w:tcBorders>
              <w:top w:val="single" w:sz="8" w:space="0" w:color="000000"/>
              <w:left w:val="single" w:sz="8" w:space="0" w:color="000000"/>
              <w:bottom w:val="single" w:sz="8" w:space="0" w:color="000000"/>
              <w:right w:val="single" w:sz="8" w:space="0" w:color="000000"/>
            </w:tcBorders>
          </w:tcPr>
          <w:p w14:paraId="6C42146E" w14:textId="77777777" w:rsidR="00D44D34" w:rsidRPr="0014404C" w:rsidRDefault="00D44D34" w:rsidP="0014404C">
            <w:pPr>
              <w:widowControl w:val="0"/>
              <w:jc w:val="both"/>
              <w:rPr>
                <w:sz w:val="22"/>
                <w:szCs w:val="22"/>
                <w:lang w:val="sr-Latn-ME" w:eastAsia="ja-JP"/>
              </w:rPr>
            </w:pPr>
          </w:p>
        </w:tc>
      </w:tr>
      <w:tr w:rsidR="00D44D34" w:rsidRPr="0014404C" w14:paraId="15E0D8C5" w14:textId="77777777" w:rsidTr="0014404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A7FCD" w14:textId="2A54655D"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Procenat pacijenata sa poboljšanjem ETDRS-DRSS u odnosu na početnu </w:t>
            </w:r>
            <w:r w:rsidR="00CC5FCD" w:rsidRPr="0014404C">
              <w:rPr>
                <w:sz w:val="22"/>
                <w:szCs w:val="22"/>
                <w:lang w:val="sr-Latn-ME" w:eastAsia="ja-JP"/>
              </w:rPr>
              <w:t xml:space="preserve">vrijednost  </w:t>
            </w:r>
            <w:r w:rsidRPr="0014404C">
              <w:rPr>
                <w:sz w:val="22"/>
                <w:szCs w:val="22"/>
                <w:lang w:val="sr-Latn-ME" w:eastAsia="ja-JP"/>
              </w:rPr>
              <w:t>≥ 3 nivoa (CMH ponderisani procenat)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57FE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16,8%</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80BF2"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15,5%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F0CA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14,7%</w:t>
            </w:r>
          </w:p>
        </w:tc>
        <w:tc>
          <w:tcPr>
            <w:tcW w:w="1080" w:type="dxa"/>
            <w:tcBorders>
              <w:top w:val="single" w:sz="8" w:space="0" w:color="000000"/>
              <w:left w:val="single" w:sz="8" w:space="0" w:color="000000"/>
              <w:bottom w:val="single" w:sz="8" w:space="0" w:color="000000"/>
              <w:right w:val="single" w:sz="8" w:space="0" w:color="000000"/>
            </w:tcBorders>
          </w:tcPr>
          <w:p w14:paraId="70F4E596"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22,4%</w:t>
            </w:r>
          </w:p>
        </w:tc>
        <w:tc>
          <w:tcPr>
            <w:tcW w:w="1260" w:type="dxa"/>
            <w:tcBorders>
              <w:top w:val="single" w:sz="8" w:space="0" w:color="000000"/>
              <w:left w:val="single" w:sz="8" w:space="0" w:color="000000"/>
              <w:bottom w:val="single" w:sz="8" w:space="0" w:color="000000"/>
              <w:right w:val="single" w:sz="8" w:space="0" w:color="000000"/>
            </w:tcBorders>
          </w:tcPr>
          <w:p w14:paraId="7E18AEFD"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14,6%</w:t>
            </w:r>
          </w:p>
        </w:tc>
        <w:tc>
          <w:tcPr>
            <w:tcW w:w="1170" w:type="dxa"/>
            <w:tcBorders>
              <w:top w:val="single" w:sz="8" w:space="0" w:color="000000"/>
              <w:left w:val="single" w:sz="8" w:space="0" w:color="000000"/>
              <w:bottom w:val="single" w:sz="8" w:space="0" w:color="000000"/>
              <w:right w:val="single" w:sz="8" w:space="0" w:color="000000"/>
            </w:tcBorders>
          </w:tcPr>
          <w:p w14:paraId="13FE17B9"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20,9%</w:t>
            </w:r>
          </w:p>
        </w:tc>
      </w:tr>
      <w:tr w:rsidR="00D44D34" w:rsidRPr="0014404C" w14:paraId="071D38FD" w14:textId="77777777" w:rsidTr="0014404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8B8C2"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Ponderisana razlika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4D75A"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2,1%</w:t>
            </w:r>
          </w:p>
          <w:p w14:paraId="18C6485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(-4,3%, 8,6%)</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16D9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0,6%</w:t>
            </w:r>
          </w:p>
          <w:p w14:paraId="4265569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(-5,8%, 6,9%)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72BC1" w14:textId="77777777" w:rsidR="00D44D34" w:rsidRPr="0014404C" w:rsidRDefault="00D44D34" w:rsidP="0014404C">
            <w:pPr>
              <w:widowControl w:val="0"/>
              <w:jc w:val="both"/>
              <w:rPr>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42166999"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1,5%</w:t>
            </w:r>
          </w:p>
          <w:p w14:paraId="70DDEE4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(-6,0%, 9,0%)</w:t>
            </w:r>
          </w:p>
        </w:tc>
        <w:tc>
          <w:tcPr>
            <w:tcW w:w="1260" w:type="dxa"/>
            <w:tcBorders>
              <w:top w:val="single" w:sz="8" w:space="0" w:color="000000"/>
              <w:left w:val="single" w:sz="8" w:space="0" w:color="000000"/>
              <w:bottom w:val="single" w:sz="8" w:space="0" w:color="000000"/>
              <w:right w:val="single" w:sz="8" w:space="0" w:color="000000"/>
            </w:tcBorders>
          </w:tcPr>
          <w:p w14:paraId="0D0B99AD"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-6,7%</w:t>
            </w:r>
          </w:p>
          <w:p w14:paraId="1113410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(-13,6%, 0,1%)</w:t>
            </w:r>
          </w:p>
        </w:tc>
        <w:tc>
          <w:tcPr>
            <w:tcW w:w="1170" w:type="dxa"/>
            <w:tcBorders>
              <w:top w:val="single" w:sz="8" w:space="0" w:color="000000"/>
              <w:left w:val="single" w:sz="8" w:space="0" w:color="000000"/>
              <w:bottom w:val="single" w:sz="8" w:space="0" w:color="000000"/>
              <w:right w:val="single" w:sz="8" w:space="0" w:color="000000"/>
            </w:tcBorders>
          </w:tcPr>
          <w:p w14:paraId="2AB1EEA7" w14:textId="77777777" w:rsidR="00D44D34" w:rsidRPr="0014404C" w:rsidRDefault="00D44D34" w:rsidP="0014404C">
            <w:pPr>
              <w:widowControl w:val="0"/>
              <w:jc w:val="both"/>
              <w:rPr>
                <w:sz w:val="22"/>
                <w:szCs w:val="22"/>
                <w:lang w:val="sr-Latn-ME" w:eastAsia="ja-JP"/>
              </w:rPr>
            </w:pPr>
          </w:p>
        </w:tc>
      </w:tr>
    </w:tbl>
    <w:p w14:paraId="071FFDDB" w14:textId="5222CDF6" w:rsidR="00D44D34" w:rsidRPr="0014404C" w:rsidRDefault="00D44D34" w:rsidP="0014404C">
      <w:pPr>
        <w:widowControl w:val="0"/>
        <w:jc w:val="both"/>
        <w:rPr>
          <w:bCs/>
          <w:iCs/>
          <w:sz w:val="20"/>
          <w:szCs w:val="22"/>
          <w:lang w:val="sr-Latn-ME" w:eastAsia="ja-JP"/>
        </w:rPr>
      </w:pPr>
      <w:r w:rsidRPr="0014404C">
        <w:rPr>
          <w:sz w:val="20"/>
          <w:szCs w:val="22"/>
          <w:lang w:val="sr-Latn-ME" w:eastAsia="ja-JP"/>
        </w:rPr>
        <w:t xml:space="preserve">ETDRS-DRSS: Skala stepena težine Studije ranog </w:t>
      </w:r>
      <w:r w:rsidR="00CC5FCD" w:rsidRPr="0014404C">
        <w:rPr>
          <w:sz w:val="20"/>
          <w:szCs w:val="22"/>
          <w:lang w:val="sr-Latn-ME" w:eastAsia="ja-JP"/>
        </w:rPr>
        <w:t xml:space="preserve">liječenja </w:t>
      </w:r>
      <w:r w:rsidRPr="0014404C">
        <w:rPr>
          <w:sz w:val="20"/>
          <w:szCs w:val="22"/>
          <w:lang w:val="sr-Latn-ME" w:eastAsia="ja-JP"/>
        </w:rPr>
        <w:t xml:space="preserve">dijabetičke retinopatije </w:t>
      </w:r>
    </w:p>
    <w:p w14:paraId="715A7A05" w14:textId="77777777" w:rsidR="00D44D34" w:rsidRPr="0014404C" w:rsidRDefault="00D44D34" w:rsidP="0014404C">
      <w:pPr>
        <w:widowControl w:val="0"/>
        <w:jc w:val="both"/>
        <w:rPr>
          <w:bCs/>
          <w:iCs/>
          <w:sz w:val="20"/>
          <w:szCs w:val="22"/>
          <w:lang w:val="sr-Latn-ME" w:eastAsia="ja-JP"/>
        </w:rPr>
      </w:pPr>
      <w:r w:rsidRPr="0014404C">
        <w:rPr>
          <w:sz w:val="20"/>
          <w:szCs w:val="22"/>
          <w:lang w:val="sr-Latn-ME" w:eastAsia="ja-JP"/>
        </w:rPr>
        <w:t>CI: interval pouzdanosti</w:t>
      </w:r>
    </w:p>
    <w:p w14:paraId="37080C40" w14:textId="34DC6851" w:rsidR="00D44D34" w:rsidRPr="0014404C" w:rsidRDefault="00D44D34" w:rsidP="0014404C">
      <w:pPr>
        <w:widowControl w:val="0"/>
        <w:jc w:val="both"/>
        <w:rPr>
          <w:bCs/>
          <w:iCs/>
          <w:sz w:val="20"/>
          <w:szCs w:val="22"/>
          <w:lang w:val="sr-Latn-ME" w:eastAsia="ja-JP"/>
        </w:rPr>
      </w:pPr>
      <w:r w:rsidRPr="0014404C">
        <w:rPr>
          <w:sz w:val="20"/>
          <w:szCs w:val="22"/>
          <w:lang w:val="sr-Latn-ME" w:eastAsia="ja-JP"/>
        </w:rPr>
        <w:t xml:space="preserve">CMH: Cochran–Mantel–Haenszelova metoda; statistički test koji daje </w:t>
      </w:r>
      <w:r w:rsidR="00CC5FCD" w:rsidRPr="0014404C">
        <w:rPr>
          <w:sz w:val="20"/>
          <w:szCs w:val="22"/>
          <w:lang w:val="sr-Latn-ME" w:eastAsia="ja-JP"/>
        </w:rPr>
        <w:t xml:space="preserve">procjenu </w:t>
      </w:r>
      <w:r w:rsidRPr="0014404C">
        <w:rPr>
          <w:sz w:val="20"/>
          <w:szCs w:val="22"/>
          <w:lang w:val="sr-Latn-ME" w:eastAsia="ja-JP"/>
        </w:rPr>
        <w:t xml:space="preserve">povezanosti sa binarnim ishodom i koji se koristi za </w:t>
      </w:r>
      <w:r w:rsidR="00CC5FCD" w:rsidRPr="0014404C">
        <w:rPr>
          <w:sz w:val="20"/>
          <w:szCs w:val="22"/>
          <w:lang w:val="sr-Latn-ME" w:eastAsia="ja-JP"/>
        </w:rPr>
        <w:t xml:space="preserve">procjenu </w:t>
      </w:r>
      <w:r w:rsidRPr="0014404C">
        <w:rPr>
          <w:sz w:val="20"/>
          <w:szCs w:val="22"/>
          <w:lang w:val="sr-Latn-ME" w:eastAsia="ja-JP"/>
        </w:rPr>
        <w:t>kategoričkih varijabli.</w:t>
      </w:r>
    </w:p>
    <w:p w14:paraId="30F391B8" w14:textId="67712B20" w:rsidR="00146D5A" w:rsidRPr="009D39E8" w:rsidRDefault="00D44D34" w:rsidP="009D39E8">
      <w:pPr>
        <w:widowControl w:val="0"/>
        <w:jc w:val="both"/>
        <w:rPr>
          <w:sz w:val="20"/>
          <w:szCs w:val="22"/>
          <w:lang w:val="sr-Latn-ME" w:eastAsia="ja-JP"/>
        </w:rPr>
      </w:pPr>
      <w:r w:rsidRPr="0014404C">
        <w:rPr>
          <w:sz w:val="20"/>
          <w:szCs w:val="22"/>
          <w:lang w:val="sr-Latn-ME" w:eastAsia="ja-JP"/>
        </w:rPr>
        <w:t xml:space="preserve">Napomena: Prikazan je ponderisani CMH % za grupu </w:t>
      </w:r>
      <w:r w:rsidR="00CC5FCD" w:rsidRPr="0014404C">
        <w:rPr>
          <w:sz w:val="20"/>
          <w:szCs w:val="22"/>
          <w:lang w:val="sr-Latn-ME" w:eastAsia="ja-JP"/>
        </w:rPr>
        <w:t xml:space="preserve">liječenu </w:t>
      </w:r>
      <w:r w:rsidRPr="0014404C">
        <w:rPr>
          <w:sz w:val="20"/>
          <w:szCs w:val="22"/>
          <w:lang w:val="sr-Latn-ME" w:eastAsia="ja-JP"/>
        </w:rPr>
        <w:t xml:space="preserve">afliberceptom za poređenje između faricimaba svakih 8 </w:t>
      </w:r>
      <w:r w:rsidR="00802EFD" w:rsidRPr="0014404C">
        <w:rPr>
          <w:sz w:val="20"/>
          <w:szCs w:val="22"/>
          <w:lang w:val="sr-Latn-ME" w:eastAsia="ja-JP"/>
        </w:rPr>
        <w:t>nedjelja</w:t>
      </w:r>
      <w:r w:rsidRPr="0014404C">
        <w:rPr>
          <w:sz w:val="20"/>
          <w:szCs w:val="22"/>
          <w:lang w:val="sr-Latn-ME" w:eastAsia="ja-JP"/>
        </w:rPr>
        <w:t xml:space="preserve"> i aflibercepta; ipak, odgovarajući ponderisani CMH % za poređenje između faricimaba sa prilagodljivim režimom </w:t>
      </w:r>
      <w:r w:rsidR="00802EFD" w:rsidRPr="0014404C">
        <w:rPr>
          <w:sz w:val="20"/>
          <w:szCs w:val="22"/>
          <w:lang w:val="sr-Latn-ME" w:eastAsia="ja-JP"/>
        </w:rPr>
        <w:t>primjene</w:t>
      </w:r>
      <w:r w:rsidRPr="0014404C">
        <w:rPr>
          <w:sz w:val="20"/>
          <w:szCs w:val="22"/>
          <w:lang w:val="sr-Latn-ME" w:eastAsia="ja-JP"/>
        </w:rPr>
        <w:t xml:space="preserve"> i aflibercepta sličan je gore</w:t>
      </w:r>
      <w:r w:rsidR="00596B6A" w:rsidRPr="0014404C">
        <w:rPr>
          <w:sz w:val="20"/>
          <w:szCs w:val="22"/>
          <w:lang w:val="sr-Latn-ME" w:eastAsia="ja-JP"/>
        </w:rPr>
        <w:t xml:space="preserve"> </w:t>
      </w:r>
      <w:r w:rsidRPr="0014404C">
        <w:rPr>
          <w:sz w:val="20"/>
          <w:szCs w:val="22"/>
          <w:lang w:val="sr-Latn-ME" w:eastAsia="ja-JP"/>
        </w:rPr>
        <w:t>prikazanom.</w:t>
      </w:r>
    </w:p>
    <w:p w14:paraId="2F518EED" w14:textId="77777777" w:rsidR="00146D5A" w:rsidRPr="0014404C" w:rsidRDefault="00146D5A" w:rsidP="0014404C">
      <w:pPr>
        <w:widowControl w:val="0"/>
        <w:tabs>
          <w:tab w:val="left" w:pos="540"/>
          <w:tab w:val="left" w:pos="569"/>
        </w:tabs>
        <w:jc w:val="both"/>
        <w:rPr>
          <w:b/>
          <w:bCs/>
          <w:sz w:val="22"/>
          <w:szCs w:val="22"/>
          <w:lang w:val="sr-Latn-ME"/>
        </w:rPr>
      </w:pPr>
    </w:p>
    <w:p w14:paraId="2C2131DE" w14:textId="319F2F43" w:rsidR="00D44D34" w:rsidRPr="0014404C" w:rsidRDefault="00D44D34" w:rsidP="0014404C">
      <w:pPr>
        <w:widowControl w:val="0"/>
        <w:ind w:right="14"/>
        <w:jc w:val="both"/>
        <w:rPr>
          <w:b/>
          <w:sz w:val="22"/>
          <w:szCs w:val="22"/>
          <w:lang w:val="sr-Latn-ME" w:eastAsia="ja-JP"/>
        </w:rPr>
      </w:pPr>
      <w:r w:rsidRPr="0014404C">
        <w:rPr>
          <w:b/>
          <w:bCs/>
          <w:sz w:val="22"/>
          <w:szCs w:val="22"/>
          <w:lang w:val="sr-Latn-ME" w:eastAsia="ja-JP"/>
        </w:rPr>
        <w:t xml:space="preserve">Tabela </w:t>
      </w:r>
      <w:r w:rsidR="004810DC" w:rsidRPr="0014404C">
        <w:rPr>
          <w:b/>
          <w:bCs/>
          <w:sz w:val="22"/>
          <w:szCs w:val="22"/>
          <w:lang w:val="sr-Latn-ME" w:eastAsia="ja-JP"/>
        </w:rPr>
        <w:t>7</w:t>
      </w:r>
      <w:r w:rsidRPr="0014404C">
        <w:rPr>
          <w:b/>
          <w:bCs/>
          <w:sz w:val="22"/>
          <w:szCs w:val="22"/>
          <w:lang w:val="sr-Latn-ME" w:eastAsia="ja-JP"/>
        </w:rPr>
        <w:t xml:space="preserve">: Procenat pacijenata koji su postigli poboljšanje ETDRS-DRSS rezultata za ≥ 2 i ≥ 3 nivoa od početka studije do 52. odnosno 96. </w:t>
      </w:r>
      <w:r w:rsidR="00CC5FCD" w:rsidRPr="0014404C">
        <w:rPr>
          <w:b/>
          <w:bCs/>
          <w:sz w:val="22"/>
          <w:szCs w:val="22"/>
          <w:lang w:val="sr-Latn-ME" w:eastAsia="ja-JP"/>
        </w:rPr>
        <w:t>nedjelje</w:t>
      </w:r>
      <w:r w:rsidRPr="0014404C">
        <w:rPr>
          <w:b/>
          <w:bCs/>
          <w:sz w:val="22"/>
          <w:szCs w:val="22"/>
          <w:lang w:val="sr-Latn-ME" w:eastAsia="ja-JP"/>
        </w:rPr>
        <w:t xml:space="preserve"> u studiji RHINE (populacija kod koje je mogla da bude </w:t>
      </w:r>
      <w:r w:rsidR="00CC5FCD" w:rsidRPr="0014404C">
        <w:rPr>
          <w:b/>
          <w:bCs/>
          <w:sz w:val="22"/>
          <w:szCs w:val="22"/>
          <w:lang w:val="sr-Latn-ME" w:eastAsia="ja-JP"/>
        </w:rPr>
        <w:t xml:space="preserve">procijenjena </w:t>
      </w:r>
      <w:r w:rsidRPr="0014404C">
        <w:rPr>
          <w:b/>
          <w:bCs/>
          <w:sz w:val="22"/>
          <w:szCs w:val="22"/>
          <w:lang w:val="sr-Latn-ME" w:eastAsia="ja-JP"/>
        </w:rPr>
        <w:t>DR)</w:t>
      </w:r>
    </w:p>
    <w:p w14:paraId="1082E0C7" w14:textId="77777777" w:rsidR="00D44D34" w:rsidRPr="0014404C" w:rsidRDefault="00D44D34" w:rsidP="0014404C">
      <w:pPr>
        <w:widowControl w:val="0"/>
        <w:tabs>
          <w:tab w:val="left" w:pos="540"/>
          <w:tab w:val="left" w:pos="569"/>
        </w:tabs>
        <w:jc w:val="both"/>
        <w:rPr>
          <w:b/>
          <w:bCs/>
          <w:sz w:val="22"/>
          <w:szCs w:val="22"/>
          <w:lang w:val="sr-Latn-ME"/>
        </w:rPr>
      </w:pPr>
    </w:p>
    <w:tbl>
      <w:tblPr>
        <w:tblW w:w="9174" w:type="dxa"/>
        <w:tblLayout w:type="fixed"/>
        <w:tblCellMar>
          <w:top w:w="15" w:type="dxa"/>
          <w:left w:w="15" w:type="dxa"/>
          <w:bottom w:w="15" w:type="dxa"/>
          <w:right w:w="15" w:type="dxa"/>
        </w:tblCellMar>
        <w:tblLook w:val="04A0" w:firstRow="1" w:lastRow="0" w:firstColumn="1" w:lastColumn="0" w:noHBand="0" w:noVBand="1"/>
      </w:tblPr>
      <w:tblGrid>
        <w:gridCol w:w="2150"/>
        <w:gridCol w:w="1080"/>
        <w:gridCol w:w="1260"/>
        <w:gridCol w:w="1174"/>
        <w:gridCol w:w="1080"/>
        <w:gridCol w:w="1228"/>
        <w:gridCol w:w="1202"/>
      </w:tblGrid>
      <w:tr w:rsidR="00D44D34" w:rsidRPr="0014404C" w14:paraId="0D1BB00D" w14:textId="77777777" w:rsidTr="002B6C2D">
        <w:tc>
          <w:tcPr>
            <w:tcW w:w="215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7F5DE94" w14:textId="77777777" w:rsidR="00D44D34" w:rsidRPr="0014404C" w:rsidRDefault="00D44D34" w:rsidP="0014404C">
            <w:pPr>
              <w:widowControl w:val="0"/>
              <w:jc w:val="both"/>
              <w:rPr>
                <w:sz w:val="22"/>
                <w:szCs w:val="22"/>
                <w:lang w:val="sr-Latn-ME" w:eastAsia="ja-JP"/>
              </w:rPr>
            </w:pPr>
          </w:p>
        </w:tc>
        <w:tc>
          <w:tcPr>
            <w:tcW w:w="702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894A6" w14:textId="77777777"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RHINE</w:t>
            </w:r>
          </w:p>
        </w:tc>
      </w:tr>
      <w:tr w:rsidR="00D44D34" w:rsidRPr="0014404C" w14:paraId="7463C9DB" w14:textId="77777777" w:rsidTr="002B6C2D">
        <w:tc>
          <w:tcPr>
            <w:tcW w:w="215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A3D8D0E" w14:textId="77777777" w:rsidR="00D44D34" w:rsidRPr="0014404C" w:rsidRDefault="00D44D34" w:rsidP="0014404C">
            <w:pPr>
              <w:widowControl w:val="0"/>
              <w:jc w:val="both"/>
              <w:rPr>
                <w:sz w:val="22"/>
                <w:szCs w:val="22"/>
                <w:lang w:val="sr-Latn-ME" w:eastAsia="ja-JP"/>
              </w:rPr>
            </w:pPr>
          </w:p>
        </w:tc>
        <w:tc>
          <w:tcPr>
            <w:tcW w:w="351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943FB" w14:textId="4048FD26"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 xml:space="preserve">52 </w:t>
            </w:r>
            <w:r w:rsidR="00CC5FCD" w:rsidRPr="0014404C">
              <w:rPr>
                <w:b/>
                <w:bCs/>
                <w:sz w:val="22"/>
                <w:szCs w:val="22"/>
                <w:lang w:val="sr-Latn-ME" w:eastAsia="ja-JP"/>
              </w:rPr>
              <w:t>nedjelja</w:t>
            </w:r>
          </w:p>
        </w:tc>
        <w:tc>
          <w:tcPr>
            <w:tcW w:w="3510" w:type="dxa"/>
            <w:gridSpan w:val="3"/>
            <w:tcBorders>
              <w:top w:val="single" w:sz="8" w:space="0" w:color="000000"/>
              <w:left w:val="single" w:sz="8" w:space="0" w:color="000000"/>
              <w:bottom w:val="single" w:sz="8" w:space="0" w:color="000000"/>
              <w:right w:val="single" w:sz="8" w:space="0" w:color="000000"/>
            </w:tcBorders>
          </w:tcPr>
          <w:p w14:paraId="4991AB41" w14:textId="77777777" w:rsidR="00D44D34" w:rsidRPr="0014404C" w:rsidRDefault="00D44D34" w:rsidP="0014404C">
            <w:pPr>
              <w:widowControl w:val="0"/>
              <w:jc w:val="both"/>
              <w:rPr>
                <w:b/>
                <w:sz w:val="22"/>
                <w:szCs w:val="22"/>
                <w:lang w:val="sr-Latn-ME" w:eastAsia="ja-JP"/>
              </w:rPr>
            </w:pPr>
            <w:r w:rsidRPr="0014404C">
              <w:rPr>
                <w:b/>
                <w:bCs/>
                <w:sz w:val="22"/>
                <w:szCs w:val="22"/>
                <w:lang w:val="sr-Latn-ME" w:eastAsia="ja-JP"/>
              </w:rPr>
              <w:t xml:space="preserve">96 </w:t>
            </w:r>
            <w:r w:rsidR="00802EFD" w:rsidRPr="0014404C">
              <w:rPr>
                <w:b/>
                <w:bCs/>
                <w:sz w:val="22"/>
                <w:szCs w:val="22"/>
                <w:lang w:val="sr-Latn-ME" w:eastAsia="ja-JP"/>
              </w:rPr>
              <w:t>nedjelja</w:t>
            </w:r>
          </w:p>
        </w:tc>
      </w:tr>
      <w:tr w:rsidR="00D44D34" w:rsidRPr="0014404C" w14:paraId="297434A1" w14:textId="77777777" w:rsidTr="002B6C2D">
        <w:tc>
          <w:tcPr>
            <w:tcW w:w="215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343D051" w14:textId="77777777" w:rsidR="00D44D34" w:rsidRPr="0014404C" w:rsidRDefault="00D44D34" w:rsidP="0014404C">
            <w:pPr>
              <w:widowControl w:val="0"/>
              <w:jc w:val="both"/>
              <w:rPr>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B93B5"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2A7E704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231</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53DDC" w14:textId="77777777" w:rsidR="00D44D34" w:rsidRPr="0014404C" w:rsidRDefault="00D44D34" w:rsidP="0014404C">
            <w:pPr>
              <w:widowControl w:val="0"/>
              <w:ind w:right="-105"/>
              <w:jc w:val="both"/>
              <w:rPr>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11430F5F"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251</w:t>
            </w:r>
          </w:p>
        </w:tc>
        <w:tc>
          <w:tcPr>
            <w:tcW w:w="1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158F2"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32AE26EA"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238</w:t>
            </w:r>
          </w:p>
        </w:tc>
        <w:tc>
          <w:tcPr>
            <w:tcW w:w="1080" w:type="dxa"/>
            <w:tcBorders>
              <w:top w:val="single" w:sz="8" w:space="0" w:color="000000"/>
              <w:left w:val="single" w:sz="8" w:space="0" w:color="000000"/>
              <w:bottom w:val="single" w:sz="8" w:space="0" w:color="000000"/>
              <w:right w:val="single" w:sz="8" w:space="0" w:color="000000"/>
            </w:tcBorders>
          </w:tcPr>
          <w:p w14:paraId="5E17A12B" w14:textId="77777777" w:rsidR="00D44D34" w:rsidRPr="0014404C" w:rsidRDefault="00D44D34" w:rsidP="0014404C">
            <w:pPr>
              <w:widowControl w:val="0"/>
              <w:tabs>
                <w:tab w:val="left" w:pos="567"/>
              </w:tabs>
              <w:jc w:val="both"/>
              <w:rPr>
                <w:sz w:val="22"/>
                <w:szCs w:val="22"/>
                <w:lang w:val="sr-Latn-ME" w:eastAsia="ja-JP"/>
              </w:rPr>
            </w:pPr>
            <w:r w:rsidRPr="0014404C">
              <w:rPr>
                <w:sz w:val="22"/>
                <w:szCs w:val="22"/>
                <w:lang w:val="sr-Latn-ME" w:eastAsia="ja-JP"/>
              </w:rPr>
              <w:t xml:space="preserve">Faricimab svakih 8 </w:t>
            </w:r>
            <w:r w:rsidR="00802EFD" w:rsidRPr="0014404C">
              <w:rPr>
                <w:sz w:val="22"/>
                <w:szCs w:val="22"/>
                <w:lang w:val="sr-Latn-ME" w:eastAsia="ja-JP"/>
              </w:rPr>
              <w:t>nedjelja</w:t>
            </w:r>
          </w:p>
          <w:p w14:paraId="4B8ED75F"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214</w:t>
            </w:r>
          </w:p>
        </w:tc>
        <w:tc>
          <w:tcPr>
            <w:tcW w:w="1228" w:type="dxa"/>
            <w:tcBorders>
              <w:top w:val="single" w:sz="8" w:space="0" w:color="000000"/>
              <w:left w:val="single" w:sz="8" w:space="0" w:color="000000"/>
              <w:bottom w:val="single" w:sz="8" w:space="0" w:color="000000"/>
              <w:right w:val="single" w:sz="8" w:space="0" w:color="000000"/>
            </w:tcBorders>
          </w:tcPr>
          <w:p w14:paraId="41E92ECE" w14:textId="77777777" w:rsidR="00D44D34" w:rsidRPr="0014404C" w:rsidRDefault="00D44D34" w:rsidP="0014404C">
            <w:pPr>
              <w:widowControl w:val="0"/>
              <w:tabs>
                <w:tab w:val="left" w:pos="567"/>
              </w:tabs>
              <w:jc w:val="both"/>
              <w:rPr>
                <w:sz w:val="22"/>
                <w:szCs w:val="22"/>
                <w:lang w:val="sr-Latn-ME" w:eastAsia="ja-JP"/>
              </w:rPr>
            </w:pPr>
            <w:r w:rsidRPr="0014404C">
              <w:rPr>
                <w:sz w:val="22"/>
                <w:szCs w:val="22"/>
                <w:lang w:val="sr-Latn-ME" w:eastAsia="ja-JP"/>
              </w:rPr>
              <w:t xml:space="preserve">Faricimab sa prilagodljivim doziranjem u intervalima od najviše 16 </w:t>
            </w:r>
            <w:r w:rsidR="00802EFD" w:rsidRPr="0014404C">
              <w:rPr>
                <w:sz w:val="22"/>
                <w:szCs w:val="22"/>
                <w:lang w:val="sr-Latn-ME" w:eastAsia="ja-JP"/>
              </w:rPr>
              <w:t>nedjelja</w:t>
            </w:r>
          </w:p>
          <w:p w14:paraId="29B55FC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228</w:t>
            </w:r>
          </w:p>
        </w:tc>
        <w:tc>
          <w:tcPr>
            <w:tcW w:w="1202" w:type="dxa"/>
            <w:tcBorders>
              <w:top w:val="single" w:sz="8" w:space="0" w:color="000000"/>
              <w:left w:val="single" w:sz="8" w:space="0" w:color="000000"/>
              <w:bottom w:val="single" w:sz="8" w:space="0" w:color="000000"/>
              <w:right w:val="single" w:sz="8" w:space="0" w:color="000000"/>
            </w:tcBorders>
          </w:tcPr>
          <w:p w14:paraId="2E27AE42" w14:textId="77777777" w:rsidR="00D44D34" w:rsidRPr="0014404C" w:rsidRDefault="00D44D34" w:rsidP="0014404C">
            <w:pPr>
              <w:widowControl w:val="0"/>
              <w:tabs>
                <w:tab w:val="left" w:pos="567"/>
              </w:tabs>
              <w:jc w:val="both"/>
              <w:rPr>
                <w:sz w:val="22"/>
                <w:szCs w:val="22"/>
                <w:lang w:val="sr-Latn-ME" w:eastAsia="ja-JP"/>
              </w:rPr>
            </w:pPr>
            <w:r w:rsidRPr="0014404C">
              <w:rPr>
                <w:sz w:val="22"/>
                <w:szCs w:val="22"/>
                <w:lang w:val="sr-Latn-ME" w:eastAsia="ja-JP"/>
              </w:rPr>
              <w:t xml:space="preserve">Aflibercept svakih 8 </w:t>
            </w:r>
            <w:r w:rsidR="00802EFD" w:rsidRPr="0014404C">
              <w:rPr>
                <w:sz w:val="22"/>
                <w:szCs w:val="22"/>
                <w:lang w:val="sr-Latn-ME" w:eastAsia="ja-JP"/>
              </w:rPr>
              <w:t>nedjelja</w:t>
            </w:r>
          </w:p>
          <w:p w14:paraId="4354DB77"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 = 203</w:t>
            </w:r>
          </w:p>
        </w:tc>
      </w:tr>
      <w:tr w:rsidR="00D44D34" w:rsidRPr="0014404C" w14:paraId="590DE338" w14:textId="77777777" w:rsidTr="002B6C2D">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3DA81" w14:textId="4D5FD4DC"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Procenat pacijenata sa poboljšanjem ETDRS-DRSS u odnosu na početnu </w:t>
            </w:r>
            <w:r w:rsidR="00162F5A" w:rsidRPr="0014404C">
              <w:rPr>
                <w:sz w:val="22"/>
                <w:szCs w:val="22"/>
                <w:lang w:val="sr-Latn-ME" w:eastAsia="ja-JP"/>
              </w:rPr>
              <w:t xml:space="preserve">vrijednost  </w:t>
            </w:r>
            <w:r w:rsidRPr="0014404C">
              <w:rPr>
                <w:sz w:val="22"/>
                <w:szCs w:val="22"/>
                <w:lang w:val="sr-Latn-ME" w:eastAsia="ja-JP"/>
              </w:rPr>
              <w:t>≥ 2 nivoa (CMH ponderisani procenat)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274C9"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44,2%</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70867"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43,7%</w:t>
            </w:r>
          </w:p>
        </w:tc>
        <w:tc>
          <w:tcPr>
            <w:tcW w:w="1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A38E6"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46,8%</w:t>
            </w:r>
          </w:p>
        </w:tc>
        <w:tc>
          <w:tcPr>
            <w:tcW w:w="1080" w:type="dxa"/>
            <w:tcBorders>
              <w:top w:val="single" w:sz="8" w:space="0" w:color="000000"/>
              <w:left w:val="single" w:sz="8" w:space="0" w:color="000000"/>
              <w:bottom w:val="single" w:sz="8" w:space="0" w:color="000000"/>
              <w:right w:val="single" w:sz="8" w:space="0" w:color="000000"/>
            </w:tcBorders>
          </w:tcPr>
          <w:p w14:paraId="3B75B575"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53,5%</w:t>
            </w:r>
          </w:p>
        </w:tc>
        <w:tc>
          <w:tcPr>
            <w:tcW w:w="1228" w:type="dxa"/>
            <w:tcBorders>
              <w:top w:val="single" w:sz="8" w:space="0" w:color="000000"/>
              <w:left w:val="single" w:sz="8" w:space="0" w:color="000000"/>
              <w:bottom w:val="single" w:sz="8" w:space="0" w:color="000000"/>
              <w:right w:val="single" w:sz="8" w:space="0" w:color="000000"/>
            </w:tcBorders>
          </w:tcPr>
          <w:p w14:paraId="2DBF248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44,3%</w:t>
            </w:r>
          </w:p>
        </w:tc>
        <w:tc>
          <w:tcPr>
            <w:tcW w:w="1202" w:type="dxa"/>
            <w:tcBorders>
              <w:top w:val="single" w:sz="8" w:space="0" w:color="000000"/>
              <w:left w:val="single" w:sz="8" w:space="0" w:color="000000"/>
              <w:bottom w:val="single" w:sz="8" w:space="0" w:color="000000"/>
              <w:right w:val="single" w:sz="8" w:space="0" w:color="000000"/>
            </w:tcBorders>
          </w:tcPr>
          <w:p w14:paraId="18E9B69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43,8%</w:t>
            </w:r>
          </w:p>
        </w:tc>
      </w:tr>
      <w:tr w:rsidR="00D44D34" w:rsidRPr="0014404C" w14:paraId="7B8381A3" w14:textId="77777777" w:rsidTr="002B6C2D">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2AF9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Ponderisana razlika (97,5% CI 1. godina, 95%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6077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-2,6%</w:t>
            </w:r>
          </w:p>
          <w:p w14:paraId="79787BF9" w14:textId="681DE110" w:rsidR="00D44D34" w:rsidRPr="0014404C" w:rsidRDefault="0040694E" w:rsidP="0014404C">
            <w:pPr>
              <w:widowControl w:val="0"/>
              <w:jc w:val="both"/>
              <w:rPr>
                <w:sz w:val="22"/>
                <w:szCs w:val="22"/>
                <w:lang w:val="sr-Latn-ME" w:eastAsia="ja-JP"/>
              </w:rPr>
            </w:pPr>
            <w:r w:rsidRPr="0014404C">
              <w:rPr>
                <w:sz w:val="22"/>
                <w:szCs w:val="22"/>
                <w:lang w:val="sr-Latn-ME" w:eastAsia="ja-JP"/>
              </w:rPr>
              <w:t>(-12.6%, 7.4%</w:t>
            </w:r>
            <w:r w:rsidR="00D44D34" w:rsidRPr="0014404C">
              <w:rPr>
                <w:sz w:val="22"/>
                <w:szCs w:val="22"/>
                <w:lang w:val="sr-Latn-ME" w:eastAsia="ja-JP"/>
              </w:rPr>
              <w:t>)</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8FE50"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-3,5%</w:t>
            </w:r>
          </w:p>
          <w:p w14:paraId="0B810A79" w14:textId="5D501F0B" w:rsidR="00D44D34" w:rsidRPr="0014404C" w:rsidRDefault="0040694E" w:rsidP="0014404C">
            <w:pPr>
              <w:widowControl w:val="0"/>
              <w:jc w:val="both"/>
              <w:rPr>
                <w:sz w:val="22"/>
                <w:szCs w:val="22"/>
                <w:lang w:val="sr-Latn-ME" w:eastAsia="ja-JP"/>
              </w:rPr>
            </w:pPr>
            <w:r w:rsidRPr="0014404C">
              <w:rPr>
                <w:sz w:val="22"/>
                <w:szCs w:val="22"/>
                <w:lang w:val="sr-Latn-ME" w:eastAsia="ja-JP"/>
              </w:rPr>
              <w:t>(-13.4%, 6.3%</w:t>
            </w:r>
            <w:r w:rsidR="00D44D34" w:rsidRPr="0014404C">
              <w:rPr>
                <w:sz w:val="22"/>
                <w:szCs w:val="22"/>
                <w:lang w:val="sr-Latn-ME" w:eastAsia="ja-JP"/>
              </w:rPr>
              <w:t>)</w:t>
            </w:r>
          </w:p>
        </w:tc>
        <w:tc>
          <w:tcPr>
            <w:tcW w:w="1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B7B67" w14:textId="77777777" w:rsidR="00D44D34" w:rsidRPr="0014404C" w:rsidRDefault="00D44D34" w:rsidP="0014404C">
            <w:pPr>
              <w:widowControl w:val="0"/>
              <w:jc w:val="both"/>
              <w:rPr>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4C3A0824"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9,7%</w:t>
            </w:r>
          </w:p>
          <w:p w14:paraId="6957324E"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(0,4%, 19,1%)</w:t>
            </w:r>
          </w:p>
        </w:tc>
        <w:tc>
          <w:tcPr>
            <w:tcW w:w="1228" w:type="dxa"/>
            <w:tcBorders>
              <w:top w:val="single" w:sz="8" w:space="0" w:color="000000"/>
              <w:left w:val="single" w:sz="8" w:space="0" w:color="000000"/>
              <w:bottom w:val="single" w:sz="8" w:space="0" w:color="000000"/>
              <w:right w:val="single" w:sz="8" w:space="0" w:color="000000"/>
            </w:tcBorders>
          </w:tcPr>
          <w:p w14:paraId="5131C362"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0,3%</w:t>
            </w:r>
          </w:p>
          <w:p w14:paraId="7D2179C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(-8,9%, 9,5%) </w:t>
            </w:r>
          </w:p>
        </w:tc>
        <w:tc>
          <w:tcPr>
            <w:tcW w:w="1202" w:type="dxa"/>
            <w:tcBorders>
              <w:top w:val="single" w:sz="8" w:space="0" w:color="000000"/>
              <w:left w:val="single" w:sz="8" w:space="0" w:color="000000"/>
              <w:bottom w:val="single" w:sz="8" w:space="0" w:color="000000"/>
              <w:right w:val="single" w:sz="8" w:space="0" w:color="000000"/>
            </w:tcBorders>
          </w:tcPr>
          <w:p w14:paraId="08493504" w14:textId="77777777" w:rsidR="00D44D34" w:rsidRPr="0014404C" w:rsidRDefault="00D44D34" w:rsidP="0014404C">
            <w:pPr>
              <w:widowControl w:val="0"/>
              <w:jc w:val="both"/>
              <w:rPr>
                <w:sz w:val="22"/>
                <w:szCs w:val="22"/>
                <w:lang w:val="sr-Latn-ME" w:eastAsia="ja-JP"/>
              </w:rPr>
            </w:pPr>
          </w:p>
        </w:tc>
      </w:tr>
      <w:tr w:rsidR="00D44D34" w:rsidRPr="0014404C" w14:paraId="68526379" w14:textId="77777777" w:rsidTr="002B6C2D">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14A57" w14:textId="7329306C"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Procenat pacijenata sa poboljšanjem ETDRS-DRSS u odnosu na početnu </w:t>
            </w:r>
            <w:r w:rsidR="00162F5A" w:rsidRPr="0014404C">
              <w:rPr>
                <w:sz w:val="22"/>
                <w:szCs w:val="22"/>
                <w:lang w:val="sr-Latn-ME" w:eastAsia="ja-JP"/>
              </w:rPr>
              <w:t xml:space="preserve">vrijednost  </w:t>
            </w:r>
            <w:r w:rsidRPr="0014404C">
              <w:rPr>
                <w:sz w:val="22"/>
                <w:szCs w:val="22"/>
                <w:lang w:val="sr-Latn-ME" w:eastAsia="ja-JP"/>
              </w:rPr>
              <w:t xml:space="preserve">≥ 3 nivoa </w:t>
            </w:r>
            <w:r w:rsidRPr="0014404C">
              <w:rPr>
                <w:sz w:val="22"/>
                <w:szCs w:val="22"/>
                <w:lang w:val="sr-Latn-ME" w:eastAsia="ja-JP"/>
              </w:rPr>
              <w:lastRenderedPageBreak/>
              <w:t>(CMH ponderisani procenat) </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DDCD2"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lastRenderedPageBreak/>
              <w:t>16,7%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D4FD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18,9%</w:t>
            </w:r>
          </w:p>
        </w:tc>
        <w:tc>
          <w:tcPr>
            <w:tcW w:w="1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BAB25"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19,4%</w:t>
            </w:r>
          </w:p>
        </w:tc>
        <w:tc>
          <w:tcPr>
            <w:tcW w:w="1080" w:type="dxa"/>
            <w:tcBorders>
              <w:top w:val="single" w:sz="8" w:space="0" w:color="000000"/>
              <w:left w:val="single" w:sz="8" w:space="0" w:color="000000"/>
              <w:bottom w:val="single" w:sz="8" w:space="0" w:color="000000"/>
              <w:right w:val="single" w:sz="8" w:space="0" w:color="000000"/>
            </w:tcBorders>
          </w:tcPr>
          <w:p w14:paraId="4B814FF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25,1%</w:t>
            </w:r>
          </w:p>
        </w:tc>
        <w:tc>
          <w:tcPr>
            <w:tcW w:w="1228" w:type="dxa"/>
            <w:tcBorders>
              <w:top w:val="single" w:sz="8" w:space="0" w:color="000000"/>
              <w:left w:val="single" w:sz="8" w:space="0" w:color="000000"/>
              <w:bottom w:val="single" w:sz="8" w:space="0" w:color="000000"/>
              <w:right w:val="single" w:sz="8" w:space="0" w:color="000000"/>
            </w:tcBorders>
          </w:tcPr>
          <w:p w14:paraId="3AE62A19"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19,3%</w:t>
            </w:r>
          </w:p>
        </w:tc>
        <w:tc>
          <w:tcPr>
            <w:tcW w:w="1202" w:type="dxa"/>
            <w:tcBorders>
              <w:top w:val="single" w:sz="8" w:space="0" w:color="000000"/>
              <w:left w:val="single" w:sz="8" w:space="0" w:color="000000"/>
              <w:bottom w:val="single" w:sz="8" w:space="0" w:color="000000"/>
              <w:right w:val="single" w:sz="8" w:space="0" w:color="000000"/>
            </w:tcBorders>
          </w:tcPr>
          <w:p w14:paraId="2AE9D9B9"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21,8%</w:t>
            </w:r>
          </w:p>
        </w:tc>
      </w:tr>
      <w:tr w:rsidR="00D44D34" w:rsidRPr="0014404C" w14:paraId="4A13CBB0" w14:textId="77777777" w:rsidTr="002B6C2D">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F0DEC"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Ponderisana razlika (95% CI 1. godina i 2. godina)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5DEF8"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-0,2%</w:t>
            </w:r>
          </w:p>
          <w:p w14:paraId="49C78777"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(-5,8%, 5,3%)</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4C2FD"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-1,1%</w:t>
            </w:r>
          </w:p>
          <w:p w14:paraId="79D926D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(-8,0%, 5,9%)</w:t>
            </w:r>
          </w:p>
        </w:tc>
        <w:tc>
          <w:tcPr>
            <w:tcW w:w="1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32800" w14:textId="77777777" w:rsidR="00D44D34" w:rsidRPr="0014404C" w:rsidRDefault="00D44D34" w:rsidP="0014404C">
            <w:pPr>
              <w:widowControl w:val="0"/>
              <w:jc w:val="both"/>
              <w:rPr>
                <w:sz w:val="22"/>
                <w:szCs w:val="22"/>
                <w:lang w:val="sr-Latn-ME" w:eastAsia="ja-JP"/>
              </w:rPr>
            </w:pPr>
          </w:p>
        </w:tc>
        <w:tc>
          <w:tcPr>
            <w:tcW w:w="1080" w:type="dxa"/>
            <w:tcBorders>
              <w:top w:val="single" w:sz="8" w:space="0" w:color="000000"/>
              <w:left w:val="single" w:sz="8" w:space="0" w:color="000000"/>
              <w:bottom w:val="single" w:sz="8" w:space="0" w:color="000000"/>
              <w:right w:val="single" w:sz="8" w:space="0" w:color="000000"/>
            </w:tcBorders>
          </w:tcPr>
          <w:p w14:paraId="66123614"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3,3%</w:t>
            </w:r>
          </w:p>
          <w:p w14:paraId="63B1924D"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(-4,6%, 11,3%)</w:t>
            </w:r>
          </w:p>
        </w:tc>
        <w:tc>
          <w:tcPr>
            <w:tcW w:w="1228" w:type="dxa"/>
            <w:tcBorders>
              <w:top w:val="single" w:sz="8" w:space="0" w:color="000000"/>
              <w:left w:val="single" w:sz="8" w:space="0" w:color="000000"/>
              <w:bottom w:val="single" w:sz="8" w:space="0" w:color="000000"/>
              <w:right w:val="single" w:sz="8" w:space="0" w:color="000000"/>
            </w:tcBorders>
          </w:tcPr>
          <w:p w14:paraId="2E468989" w14:textId="77777777" w:rsidR="00D44D34" w:rsidRPr="0014404C" w:rsidRDefault="00D44D34" w:rsidP="0014404C">
            <w:pPr>
              <w:widowControl w:val="0"/>
              <w:tabs>
                <w:tab w:val="left" w:pos="567"/>
              </w:tabs>
              <w:jc w:val="both"/>
              <w:rPr>
                <w:bCs/>
                <w:iCs/>
                <w:sz w:val="22"/>
                <w:szCs w:val="22"/>
                <w:lang w:val="sr-Latn-ME" w:eastAsia="ja-JP"/>
              </w:rPr>
            </w:pPr>
            <w:r w:rsidRPr="0014404C">
              <w:rPr>
                <w:sz w:val="22"/>
                <w:szCs w:val="22"/>
                <w:lang w:val="sr-Latn-ME" w:eastAsia="ja-JP"/>
              </w:rPr>
              <w:t>-2,7%</w:t>
            </w:r>
          </w:p>
          <w:p w14:paraId="63172662"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(-10,2%, 4,8%)</w:t>
            </w:r>
          </w:p>
        </w:tc>
        <w:tc>
          <w:tcPr>
            <w:tcW w:w="1202" w:type="dxa"/>
            <w:tcBorders>
              <w:top w:val="single" w:sz="8" w:space="0" w:color="000000"/>
              <w:left w:val="single" w:sz="8" w:space="0" w:color="000000"/>
              <w:bottom w:val="single" w:sz="8" w:space="0" w:color="000000"/>
              <w:right w:val="single" w:sz="8" w:space="0" w:color="000000"/>
            </w:tcBorders>
          </w:tcPr>
          <w:p w14:paraId="0A2860BC" w14:textId="77777777" w:rsidR="00D44D34" w:rsidRPr="0014404C" w:rsidRDefault="00D44D34" w:rsidP="0014404C">
            <w:pPr>
              <w:widowControl w:val="0"/>
              <w:jc w:val="both"/>
              <w:rPr>
                <w:sz w:val="22"/>
                <w:szCs w:val="22"/>
                <w:lang w:val="sr-Latn-ME" w:eastAsia="ja-JP"/>
              </w:rPr>
            </w:pPr>
          </w:p>
        </w:tc>
      </w:tr>
    </w:tbl>
    <w:p w14:paraId="7479EC09" w14:textId="6DDFD8C7" w:rsidR="00D44D34" w:rsidRPr="009D39E8" w:rsidRDefault="00D44D34" w:rsidP="0014404C">
      <w:pPr>
        <w:widowControl w:val="0"/>
        <w:ind w:right="15"/>
        <w:jc w:val="both"/>
        <w:rPr>
          <w:bCs/>
          <w:iCs/>
          <w:sz w:val="20"/>
          <w:szCs w:val="22"/>
          <w:lang w:val="sr-Latn-ME" w:eastAsia="ja-JP"/>
        </w:rPr>
      </w:pPr>
      <w:r w:rsidRPr="009D39E8">
        <w:rPr>
          <w:sz w:val="20"/>
          <w:szCs w:val="22"/>
          <w:lang w:val="sr-Latn-ME" w:eastAsia="ja-JP"/>
        </w:rPr>
        <w:t xml:space="preserve">ETDRS-DRSS: Skala stepena težine Studije ranog </w:t>
      </w:r>
      <w:r w:rsidR="00162F5A" w:rsidRPr="009D39E8">
        <w:rPr>
          <w:sz w:val="20"/>
          <w:szCs w:val="22"/>
          <w:lang w:val="sr-Latn-ME" w:eastAsia="ja-JP"/>
        </w:rPr>
        <w:t xml:space="preserve">liječenja </w:t>
      </w:r>
      <w:r w:rsidRPr="009D39E8">
        <w:rPr>
          <w:sz w:val="20"/>
          <w:szCs w:val="22"/>
          <w:lang w:val="sr-Latn-ME" w:eastAsia="ja-JP"/>
        </w:rPr>
        <w:t xml:space="preserve">dijabetičke retinopatije </w:t>
      </w:r>
    </w:p>
    <w:p w14:paraId="046111F4" w14:textId="77777777" w:rsidR="00D44D34" w:rsidRPr="009D39E8" w:rsidRDefault="00D44D34" w:rsidP="0014404C">
      <w:pPr>
        <w:widowControl w:val="0"/>
        <w:ind w:right="15"/>
        <w:jc w:val="both"/>
        <w:rPr>
          <w:bCs/>
          <w:iCs/>
          <w:sz w:val="20"/>
          <w:szCs w:val="22"/>
          <w:lang w:val="sr-Latn-ME" w:eastAsia="ja-JP"/>
        </w:rPr>
      </w:pPr>
      <w:r w:rsidRPr="009D39E8">
        <w:rPr>
          <w:sz w:val="20"/>
          <w:szCs w:val="22"/>
          <w:lang w:val="sr-Latn-ME" w:eastAsia="ja-JP"/>
        </w:rPr>
        <w:t>CI: interval pouzdanosti</w:t>
      </w:r>
    </w:p>
    <w:p w14:paraId="1AFA7AB6" w14:textId="338290B6" w:rsidR="00D44D34" w:rsidRPr="009D39E8" w:rsidRDefault="00D44D34" w:rsidP="0014404C">
      <w:pPr>
        <w:widowControl w:val="0"/>
        <w:ind w:right="15"/>
        <w:jc w:val="both"/>
        <w:rPr>
          <w:bCs/>
          <w:iCs/>
          <w:sz w:val="20"/>
          <w:szCs w:val="22"/>
          <w:lang w:val="sr-Latn-ME" w:eastAsia="ja-JP"/>
        </w:rPr>
      </w:pPr>
      <w:r w:rsidRPr="009D39E8">
        <w:rPr>
          <w:sz w:val="20"/>
          <w:szCs w:val="22"/>
          <w:lang w:val="sr-Latn-ME" w:eastAsia="ja-JP"/>
        </w:rPr>
        <w:t xml:space="preserve">CMH: Cochran–Mantel–Haenszelova metoda; statistički test koji daje </w:t>
      </w:r>
      <w:r w:rsidR="00162F5A" w:rsidRPr="009D39E8">
        <w:rPr>
          <w:sz w:val="20"/>
          <w:szCs w:val="22"/>
          <w:lang w:val="sr-Latn-ME" w:eastAsia="ja-JP"/>
        </w:rPr>
        <w:t xml:space="preserve">procjenu </w:t>
      </w:r>
      <w:r w:rsidRPr="009D39E8">
        <w:rPr>
          <w:sz w:val="20"/>
          <w:szCs w:val="22"/>
          <w:lang w:val="sr-Latn-ME" w:eastAsia="ja-JP"/>
        </w:rPr>
        <w:t xml:space="preserve">povezanosti sa binarnim ishodom i koji se koristi za </w:t>
      </w:r>
      <w:r w:rsidR="00162F5A" w:rsidRPr="009D39E8">
        <w:rPr>
          <w:sz w:val="20"/>
          <w:szCs w:val="22"/>
          <w:lang w:val="sr-Latn-ME" w:eastAsia="ja-JP"/>
        </w:rPr>
        <w:t xml:space="preserve">procjenu </w:t>
      </w:r>
      <w:r w:rsidRPr="009D39E8">
        <w:rPr>
          <w:sz w:val="20"/>
          <w:szCs w:val="22"/>
          <w:lang w:val="sr-Latn-ME" w:eastAsia="ja-JP"/>
        </w:rPr>
        <w:t>kategoričkih varijabli.</w:t>
      </w:r>
    </w:p>
    <w:p w14:paraId="16424D05" w14:textId="338537ED" w:rsidR="00D44D34" w:rsidRPr="009D39E8" w:rsidRDefault="00D44D34" w:rsidP="0014404C">
      <w:pPr>
        <w:widowControl w:val="0"/>
        <w:ind w:right="15"/>
        <w:jc w:val="both"/>
        <w:rPr>
          <w:sz w:val="20"/>
          <w:szCs w:val="22"/>
          <w:lang w:val="sr-Latn-ME" w:eastAsia="ja-JP"/>
        </w:rPr>
      </w:pPr>
      <w:r w:rsidRPr="009D39E8">
        <w:rPr>
          <w:sz w:val="20"/>
          <w:szCs w:val="22"/>
          <w:lang w:val="sr-Latn-ME" w:eastAsia="ja-JP"/>
        </w:rPr>
        <w:t xml:space="preserve">Napomena: Prikazan je ponderisani CMH % za grupu </w:t>
      </w:r>
      <w:r w:rsidR="00162F5A" w:rsidRPr="009D39E8">
        <w:rPr>
          <w:sz w:val="20"/>
          <w:szCs w:val="22"/>
          <w:lang w:val="sr-Latn-ME" w:eastAsia="ja-JP"/>
        </w:rPr>
        <w:t xml:space="preserve">liječenu </w:t>
      </w:r>
      <w:r w:rsidRPr="009D39E8">
        <w:rPr>
          <w:sz w:val="20"/>
          <w:szCs w:val="22"/>
          <w:lang w:val="sr-Latn-ME" w:eastAsia="ja-JP"/>
        </w:rPr>
        <w:t xml:space="preserve">afliberceptom za poređenje između faricimaba svakih 8 </w:t>
      </w:r>
      <w:r w:rsidR="00802EFD" w:rsidRPr="009D39E8">
        <w:rPr>
          <w:sz w:val="20"/>
          <w:szCs w:val="22"/>
          <w:lang w:val="sr-Latn-ME" w:eastAsia="ja-JP"/>
        </w:rPr>
        <w:t>nedjelja</w:t>
      </w:r>
      <w:r w:rsidRPr="009D39E8">
        <w:rPr>
          <w:sz w:val="20"/>
          <w:szCs w:val="22"/>
          <w:lang w:val="sr-Latn-ME" w:eastAsia="ja-JP"/>
        </w:rPr>
        <w:t xml:space="preserve"> i aflibercepta; ipak, odgovarajući ponderisani CMH % za poređenje između faricimaba sa prilagodljivim režimom </w:t>
      </w:r>
      <w:r w:rsidR="00802EFD" w:rsidRPr="009D39E8">
        <w:rPr>
          <w:sz w:val="20"/>
          <w:szCs w:val="22"/>
          <w:lang w:val="sr-Latn-ME" w:eastAsia="ja-JP"/>
        </w:rPr>
        <w:t>primjene</w:t>
      </w:r>
      <w:r w:rsidRPr="009D39E8">
        <w:rPr>
          <w:sz w:val="20"/>
          <w:szCs w:val="22"/>
          <w:lang w:val="sr-Latn-ME" w:eastAsia="ja-JP"/>
        </w:rPr>
        <w:t xml:space="preserve"> i aflibercepta sličan je gore</w:t>
      </w:r>
      <w:r w:rsidR="00596B6A" w:rsidRPr="009D39E8">
        <w:rPr>
          <w:sz w:val="20"/>
          <w:szCs w:val="22"/>
          <w:lang w:val="sr-Latn-ME" w:eastAsia="ja-JP"/>
        </w:rPr>
        <w:t xml:space="preserve"> </w:t>
      </w:r>
      <w:r w:rsidRPr="009D39E8">
        <w:rPr>
          <w:sz w:val="20"/>
          <w:szCs w:val="22"/>
          <w:lang w:val="sr-Latn-ME" w:eastAsia="ja-JP"/>
        </w:rPr>
        <w:t>prikazanoj.</w:t>
      </w:r>
    </w:p>
    <w:p w14:paraId="08917570" w14:textId="77777777" w:rsidR="00D44D34" w:rsidRPr="0014404C" w:rsidRDefault="00D44D34" w:rsidP="0014404C">
      <w:pPr>
        <w:widowControl w:val="0"/>
        <w:jc w:val="both"/>
        <w:rPr>
          <w:sz w:val="22"/>
          <w:szCs w:val="22"/>
          <w:lang w:val="sr-Latn-ME" w:eastAsia="ja-JP"/>
        </w:rPr>
      </w:pPr>
    </w:p>
    <w:p w14:paraId="4F52FB24" w14:textId="16DFE45D"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Efekti terapije kod pacijenata u podgrupama koje su mogle da budu </w:t>
      </w:r>
      <w:r w:rsidR="00162F5A" w:rsidRPr="0014404C">
        <w:rPr>
          <w:sz w:val="22"/>
          <w:szCs w:val="22"/>
          <w:lang w:val="sr-Latn-ME" w:eastAsia="ja-JP"/>
        </w:rPr>
        <w:t xml:space="preserve">procijenjene </w:t>
      </w:r>
      <w:r w:rsidRPr="0014404C">
        <w:rPr>
          <w:sz w:val="22"/>
          <w:szCs w:val="22"/>
          <w:lang w:val="sr-Latn-ME" w:eastAsia="ja-JP"/>
        </w:rPr>
        <w:t>(npr. po prethodno pri</w:t>
      </w:r>
      <w:r w:rsidR="00AC1659" w:rsidRPr="0014404C">
        <w:rPr>
          <w:sz w:val="22"/>
          <w:szCs w:val="22"/>
          <w:lang w:val="sr-Latn-ME" w:eastAsia="ja-JP"/>
        </w:rPr>
        <w:t>ml</w:t>
      </w:r>
      <w:r w:rsidRPr="0014404C">
        <w:rPr>
          <w:sz w:val="22"/>
          <w:szCs w:val="22"/>
          <w:lang w:val="sr-Latn-ME" w:eastAsia="ja-JP"/>
        </w:rPr>
        <w:t xml:space="preserve">jenoj anti-VEGF terapiji, godinama života, polu, rasi, početnom HbA1c i početnoj oštrini vida) u svakoj studiji generalno su odgovarali rezultatima u </w:t>
      </w:r>
      <w:r w:rsidR="00162F5A" w:rsidRPr="0014404C">
        <w:rPr>
          <w:sz w:val="22"/>
          <w:szCs w:val="22"/>
          <w:lang w:val="sr-Latn-ME" w:eastAsia="ja-JP"/>
        </w:rPr>
        <w:t xml:space="preserve">cjelokupnoj </w:t>
      </w:r>
      <w:r w:rsidRPr="0014404C">
        <w:rPr>
          <w:sz w:val="22"/>
          <w:szCs w:val="22"/>
          <w:lang w:val="sr-Latn-ME" w:eastAsia="ja-JP"/>
        </w:rPr>
        <w:t>populaciji.</w:t>
      </w:r>
    </w:p>
    <w:p w14:paraId="3D79696C"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 </w:t>
      </w:r>
    </w:p>
    <w:p w14:paraId="75CE29CD" w14:textId="3BDC56F6"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Efekti terapije u podgrupama prema početnoj težini dijabetičke retinopatije bili su različiti, a najveća stopa poboljšanja DRSS rezultata za ≥ 2 nivoa </w:t>
      </w:r>
      <w:r w:rsidR="00162F5A" w:rsidRPr="0014404C">
        <w:rPr>
          <w:sz w:val="22"/>
          <w:szCs w:val="22"/>
          <w:lang w:val="sr-Latn-ME" w:eastAsia="ja-JP"/>
        </w:rPr>
        <w:t xml:space="preserve">primijećena </w:t>
      </w:r>
      <w:r w:rsidRPr="0014404C">
        <w:rPr>
          <w:sz w:val="22"/>
          <w:szCs w:val="22"/>
          <w:lang w:val="sr-Latn-ME" w:eastAsia="ja-JP"/>
        </w:rPr>
        <w:t xml:space="preserve">je među pacijentima sa </w:t>
      </w:r>
      <w:r w:rsidR="00162F5A" w:rsidRPr="0014404C">
        <w:rPr>
          <w:sz w:val="22"/>
          <w:szCs w:val="22"/>
          <w:lang w:val="sr-Latn-ME" w:eastAsia="ja-JP"/>
        </w:rPr>
        <w:t xml:space="preserve">umjereno </w:t>
      </w:r>
      <w:r w:rsidRPr="0014404C">
        <w:rPr>
          <w:sz w:val="22"/>
          <w:szCs w:val="22"/>
          <w:lang w:val="sr-Latn-ME" w:eastAsia="ja-JP"/>
        </w:rPr>
        <w:t xml:space="preserve">teškom i teškom neproliferativnom dijabetičkom retinopatijom na početku studije, pri čemu je približno 90% pacijenata iz </w:t>
      </w:r>
      <w:r w:rsidR="00162F5A" w:rsidRPr="0014404C">
        <w:rPr>
          <w:sz w:val="22"/>
          <w:szCs w:val="22"/>
          <w:lang w:val="sr-Latn-ME" w:eastAsia="ja-JP"/>
        </w:rPr>
        <w:t xml:space="preserve">obje </w:t>
      </w:r>
      <w:r w:rsidRPr="0014404C">
        <w:rPr>
          <w:sz w:val="22"/>
          <w:szCs w:val="22"/>
          <w:lang w:val="sr-Latn-ME" w:eastAsia="ja-JP"/>
        </w:rPr>
        <w:t xml:space="preserve">studije ostvarilo konzistentna poboljšanja nezavisno od terapijske grupe. </w:t>
      </w:r>
    </w:p>
    <w:p w14:paraId="012687F3" w14:textId="77777777" w:rsidR="00D44D34" w:rsidRPr="0014404C" w:rsidRDefault="00D44D34" w:rsidP="0014404C">
      <w:pPr>
        <w:widowControl w:val="0"/>
        <w:jc w:val="both"/>
        <w:rPr>
          <w:bCs/>
          <w:iCs/>
          <w:sz w:val="22"/>
          <w:szCs w:val="22"/>
          <w:lang w:val="sr-Latn-ME" w:eastAsia="ja-JP"/>
        </w:rPr>
      </w:pPr>
    </w:p>
    <w:p w14:paraId="3E3A2D19" w14:textId="6EEDA686"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U 100. </w:t>
      </w:r>
      <w:r w:rsidR="00162F5A" w:rsidRPr="0014404C">
        <w:rPr>
          <w:sz w:val="22"/>
          <w:szCs w:val="22"/>
          <w:lang w:val="sr-Latn-ME" w:eastAsia="ja-JP"/>
        </w:rPr>
        <w:t xml:space="preserve">nedjelji </w:t>
      </w:r>
      <w:r w:rsidRPr="0014404C">
        <w:rPr>
          <w:sz w:val="22"/>
          <w:szCs w:val="22"/>
          <w:lang w:val="sr-Latn-ME" w:eastAsia="ja-JP"/>
        </w:rPr>
        <w:t xml:space="preserve">je incidenca okularnih neželjenih događaja u ispitivanom oku iznosila 49,7% u grupi </w:t>
      </w:r>
      <w:r w:rsidR="00162F5A" w:rsidRPr="0014404C">
        <w:rPr>
          <w:sz w:val="22"/>
          <w:szCs w:val="22"/>
          <w:lang w:val="sr-Latn-ME" w:eastAsia="ja-JP"/>
        </w:rPr>
        <w:t xml:space="preserve">liječenoj </w:t>
      </w:r>
      <w:r w:rsidRPr="0014404C">
        <w:rPr>
          <w:sz w:val="22"/>
          <w:szCs w:val="22"/>
          <w:lang w:val="sr-Latn-ME" w:eastAsia="ja-JP"/>
        </w:rPr>
        <w:t xml:space="preserve">faricimabom svakih 8 </w:t>
      </w:r>
      <w:r w:rsidR="00802EFD" w:rsidRPr="0014404C">
        <w:rPr>
          <w:sz w:val="22"/>
          <w:szCs w:val="22"/>
          <w:lang w:val="sr-Latn-ME" w:eastAsia="ja-JP"/>
        </w:rPr>
        <w:t>nedjelja</w:t>
      </w:r>
      <w:r w:rsidRPr="0014404C">
        <w:rPr>
          <w:sz w:val="22"/>
          <w:szCs w:val="22"/>
          <w:lang w:val="sr-Latn-ME" w:eastAsia="ja-JP"/>
        </w:rPr>
        <w:t xml:space="preserve">, 49,2% u grupi </w:t>
      </w:r>
      <w:r w:rsidR="00162F5A" w:rsidRPr="0014404C">
        <w:rPr>
          <w:sz w:val="22"/>
          <w:szCs w:val="22"/>
          <w:lang w:val="sr-Latn-ME" w:eastAsia="ja-JP"/>
        </w:rPr>
        <w:t xml:space="preserve">liječenoj </w:t>
      </w:r>
      <w:r w:rsidRPr="0014404C">
        <w:rPr>
          <w:sz w:val="22"/>
          <w:szCs w:val="22"/>
          <w:lang w:val="sr-Latn-ME" w:eastAsia="ja-JP"/>
        </w:rPr>
        <w:t xml:space="preserve">faricimabom u intervalima do 16 </w:t>
      </w:r>
      <w:r w:rsidR="00802EFD" w:rsidRPr="0014404C">
        <w:rPr>
          <w:sz w:val="22"/>
          <w:szCs w:val="22"/>
          <w:lang w:val="sr-Latn-ME" w:eastAsia="ja-JP"/>
        </w:rPr>
        <w:t>nedjelja</w:t>
      </w:r>
      <w:r w:rsidRPr="0014404C">
        <w:rPr>
          <w:sz w:val="22"/>
          <w:szCs w:val="22"/>
          <w:lang w:val="sr-Latn-ME" w:eastAsia="ja-JP"/>
        </w:rPr>
        <w:t xml:space="preserve"> i 45,4% u grupi </w:t>
      </w:r>
      <w:r w:rsidR="00162F5A" w:rsidRPr="0014404C">
        <w:rPr>
          <w:sz w:val="22"/>
          <w:szCs w:val="22"/>
          <w:lang w:val="sr-Latn-ME" w:eastAsia="ja-JP"/>
        </w:rPr>
        <w:t xml:space="preserve">liječenoj </w:t>
      </w:r>
      <w:r w:rsidRPr="0014404C">
        <w:rPr>
          <w:sz w:val="22"/>
          <w:szCs w:val="22"/>
          <w:lang w:val="sr-Latn-ME" w:eastAsia="ja-JP"/>
        </w:rPr>
        <w:t xml:space="preserve">afliberceptom svakih 8 </w:t>
      </w:r>
      <w:r w:rsidR="00802EFD" w:rsidRPr="0014404C">
        <w:rPr>
          <w:sz w:val="22"/>
          <w:szCs w:val="22"/>
          <w:lang w:val="sr-Latn-ME" w:eastAsia="ja-JP"/>
        </w:rPr>
        <w:t>nedjelja</w:t>
      </w:r>
      <w:r w:rsidRPr="0014404C">
        <w:rPr>
          <w:sz w:val="22"/>
          <w:szCs w:val="22"/>
          <w:lang w:val="sr-Latn-ME" w:eastAsia="ja-JP"/>
        </w:rPr>
        <w:t>, dok je incidenca neželjenih događaja van oka iznosila 73,0%, 74,2% i 75,7% za navedene grupe (</w:t>
      </w:r>
      <w:r w:rsidR="00802EFD" w:rsidRPr="0014404C">
        <w:rPr>
          <w:sz w:val="22"/>
          <w:szCs w:val="22"/>
          <w:lang w:val="sr-Latn-ME" w:eastAsia="ja-JP"/>
        </w:rPr>
        <w:t>vidjeti</w:t>
      </w:r>
      <w:r w:rsidRPr="0014404C">
        <w:rPr>
          <w:sz w:val="22"/>
          <w:szCs w:val="22"/>
          <w:lang w:val="sr-Latn-ME" w:eastAsia="ja-JP"/>
        </w:rPr>
        <w:t xml:space="preserve"> odeljke 4.4 i 4.8).</w:t>
      </w:r>
    </w:p>
    <w:p w14:paraId="64C24EE2" w14:textId="761DFCA4" w:rsidR="00346D28" w:rsidRPr="0014404C" w:rsidRDefault="00346D28" w:rsidP="0014404C">
      <w:pPr>
        <w:widowControl w:val="0"/>
        <w:jc w:val="both"/>
        <w:rPr>
          <w:sz w:val="22"/>
          <w:szCs w:val="22"/>
          <w:lang w:val="sr-Latn-ME" w:eastAsia="ja-JP"/>
        </w:rPr>
      </w:pPr>
    </w:p>
    <w:p w14:paraId="764DC8C4" w14:textId="77777777" w:rsidR="00346D28" w:rsidRPr="0014404C" w:rsidRDefault="00346D28" w:rsidP="0014404C">
      <w:pPr>
        <w:widowControl w:val="0"/>
        <w:jc w:val="both"/>
        <w:rPr>
          <w:bCs/>
          <w:i/>
          <w:iCs/>
          <w:sz w:val="22"/>
          <w:szCs w:val="22"/>
          <w:lang w:val="sr-Latn-ME" w:eastAsia="ja-JP"/>
        </w:rPr>
      </w:pPr>
      <w:r w:rsidRPr="0014404C">
        <w:rPr>
          <w:bCs/>
          <w:i/>
          <w:iCs/>
          <w:sz w:val="22"/>
          <w:szCs w:val="22"/>
          <w:lang w:val="sr-Latn-ME" w:eastAsia="ja-JP"/>
        </w:rPr>
        <w:t>RVO</w:t>
      </w:r>
    </w:p>
    <w:p w14:paraId="211C0037" w14:textId="77777777" w:rsidR="00346D28" w:rsidRPr="0014404C" w:rsidRDefault="00346D28" w:rsidP="0014404C">
      <w:pPr>
        <w:widowControl w:val="0"/>
        <w:jc w:val="both"/>
        <w:rPr>
          <w:bCs/>
          <w:iCs/>
          <w:sz w:val="22"/>
          <w:szCs w:val="22"/>
          <w:lang w:val="sr-Latn-ME" w:eastAsia="ja-JP"/>
        </w:rPr>
      </w:pPr>
    </w:p>
    <w:p w14:paraId="4A40FEF1" w14:textId="24D8DE20"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Bezbjednost i efikasnost faricimaba procjenjivane su u dv</w:t>
      </w:r>
      <w:r w:rsidR="00C66686" w:rsidRPr="0014404C">
        <w:rPr>
          <w:bCs/>
          <w:iCs/>
          <w:sz w:val="22"/>
          <w:szCs w:val="22"/>
          <w:lang w:val="sr-Latn-ME" w:eastAsia="ja-JP"/>
        </w:rPr>
        <w:t>ij</w:t>
      </w:r>
      <w:r w:rsidRPr="0014404C">
        <w:rPr>
          <w:bCs/>
          <w:iCs/>
          <w:sz w:val="22"/>
          <w:szCs w:val="22"/>
          <w:lang w:val="sr-Latn-ME" w:eastAsia="ja-JP"/>
        </w:rPr>
        <w:t>e randomizovane, multicentrične, dvostruko slijepe, 72</w:t>
      </w:r>
      <w:r w:rsidRPr="0014404C">
        <w:rPr>
          <w:bCs/>
          <w:iCs/>
          <w:sz w:val="22"/>
          <w:szCs w:val="22"/>
          <w:lang w:val="sr-Latn-ME" w:eastAsia="ja-JP"/>
        </w:rPr>
        <w:noBreakHyphen/>
        <w:t>nedjeljne studije sprovedene kod pacijenata s makularnim edemom kao posl</w:t>
      </w:r>
      <w:r w:rsidR="00C66686" w:rsidRPr="0014404C">
        <w:rPr>
          <w:bCs/>
          <w:iCs/>
          <w:sz w:val="22"/>
          <w:szCs w:val="22"/>
          <w:lang w:val="sr-Latn-ME" w:eastAsia="ja-JP"/>
        </w:rPr>
        <w:t>j</w:t>
      </w:r>
      <w:r w:rsidRPr="0014404C">
        <w:rPr>
          <w:bCs/>
          <w:iCs/>
          <w:sz w:val="22"/>
          <w:szCs w:val="22"/>
          <w:lang w:val="sr-Latn-ME" w:eastAsia="ja-JP"/>
        </w:rPr>
        <w:t>edicom BRVO (BALATON) ili CRVO/HRVO (COMINO). Podaci za period kontrolisan aktivnim uporednim lijekom dostupni su do 6. mjeseca.</w:t>
      </w:r>
    </w:p>
    <w:p w14:paraId="3A814FE6" w14:textId="77777777" w:rsidR="00346D28" w:rsidRPr="0014404C" w:rsidRDefault="00346D28" w:rsidP="0014404C">
      <w:pPr>
        <w:widowControl w:val="0"/>
        <w:jc w:val="both"/>
        <w:rPr>
          <w:bCs/>
          <w:iCs/>
          <w:sz w:val="22"/>
          <w:szCs w:val="22"/>
          <w:lang w:val="sr-Latn-ME" w:eastAsia="ja-JP"/>
        </w:rPr>
      </w:pPr>
    </w:p>
    <w:p w14:paraId="0DE2F70F" w14:textId="19385D1A"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U ove dvije studije bilo je uključeno ukupno 1282 pacijenta (553 u studiji BALATON, 729 u studiji COMINO), a 1276 pacijenata primilo je najmanje jednu dozu lijeka do 24. nedjelje (641 njih faricimab). Starosna dob pacijenata u studiji BALATON kretala se u rasponu od 28 do 93 godine, uz srednju vrijednost (SD) od 64 (10,7) godine, dok se u studiji COMINO kretala u rasponu od 22 do 100 godina, uz srednju vrijednost (SD) od 65 (13,2) godina.</w:t>
      </w:r>
    </w:p>
    <w:p w14:paraId="572CBF62" w14:textId="77777777" w:rsidR="00346D28" w:rsidRPr="0014404C" w:rsidRDefault="00346D28" w:rsidP="0014404C">
      <w:pPr>
        <w:widowControl w:val="0"/>
        <w:jc w:val="both"/>
        <w:rPr>
          <w:bCs/>
          <w:iCs/>
          <w:sz w:val="22"/>
          <w:szCs w:val="22"/>
          <w:lang w:val="sr-Latn-ME" w:eastAsia="ja-JP"/>
        </w:rPr>
      </w:pPr>
    </w:p>
    <w:p w14:paraId="6AB6F0A2" w14:textId="14E2049C"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Od 553 randomizovanih pacijenata u studiji BALATON ukupno je njih 489 dovršilo ispitivanje u 72. nedjelji; 263 pacijenta prvobitno randomizovana za primanje faricimaba (prethodno liječeni faricimabom) i 267 pacijenata prvobitno randomizovanih za primanje aflibercepta (prethodno liječeni afliberceptom) primilo je najmanje jednu dozu faricimaba tokom faze liječenja faricimabom u prilagodljivim intervalima.</w:t>
      </w:r>
    </w:p>
    <w:p w14:paraId="073A757C" w14:textId="77777777" w:rsidR="00346D28" w:rsidRPr="0014404C" w:rsidRDefault="00346D28" w:rsidP="0014404C">
      <w:pPr>
        <w:widowControl w:val="0"/>
        <w:jc w:val="both"/>
        <w:rPr>
          <w:bCs/>
          <w:iCs/>
          <w:sz w:val="22"/>
          <w:szCs w:val="22"/>
          <w:lang w:val="sr-Latn-ME" w:eastAsia="ja-JP"/>
        </w:rPr>
      </w:pPr>
    </w:p>
    <w:p w14:paraId="68B9C879" w14:textId="30B3C060"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Od 729 randomizovanih pacijenata u studiji COMINO ukupno je njih 656 dovršilo ispitivanje u 72. nedjelji; 353 pacijenta prethodno liječena faricimabom i 342 pacijenta prethodno liječena afliberceptom primila su najmanje jednu dozu faricimaba tokom faze liječenja faricimabom u prilagodljivim intervalima.</w:t>
      </w:r>
    </w:p>
    <w:p w14:paraId="3A4CAD2A" w14:textId="77777777" w:rsidR="00346D28" w:rsidRPr="0014404C" w:rsidRDefault="00346D28" w:rsidP="0014404C">
      <w:pPr>
        <w:widowControl w:val="0"/>
        <w:jc w:val="both"/>
        <w:rPr>
          <w:bCs/>
          <w:iCs/>
          <w:sz w:val="22"/>
          <w:szCs w:val="22"/>
          <w:lang w:val="sr-Latn-ME" w:eastAsia="ja-JP"/>
        </w:rPr>
      </w:pPr>
    </w:p>
    <w:p w14:paraId="2A9BEA9E" w14:textId="0DA2099C"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U obje studije pacijenti su bili randomizovani u odnosu 1:1 u jednu od dv</w:t>
      </w:r>
      <w:r w:rsidR="00C66686" w:rsidRPr="0014404C">
        <w:rPr>
          <w:bCs/>
          <w:iCs/>
          <w:sz w:val="22"/>
          <w:szCs w:val="22"/>
          <w:lang w:val="sr-Latn-ME" w:eastAsia="ja-JP"/>
        </w:rPr>
        <w:t>ij</w:t>
      </w:r>
      <w:r w:rsidRPr="0014404C">
        <w:rPr>
          <w:bCs/>
          <w:iCs/>
          <w:sz w:val="22"/>
          <w:szCs w:val="22"/>
          <w:lang w:val="sr-Latn-ME" w:eastAsia="ja-JP"/>
        </w:rPr>
        <w:t>e liječene grupe koje su do 24. nedjelje primale:</w:t>
      </w:r>
    </w:p>
    <w:p w14:paraId="3A847861" w14:textId="1CD4390F"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w:t>
      </w:r>
      <w:r w:rsidRPr="0014404C">
        <w:rPr>
          <w:bCs/>
          <w:iCs/>
          <w:sz w:val="22"/>
          <w:szCs w:val="22"/>
          <w:lang w:val="sr-Latn-ME" w:eastAsia="ja-JP"/>
        </w:rPr>
        <w:tab/>
        <w:t>faricimab u dozi od 6 mg svake 4 nedjelje tokom 6 uzastopnih mjesečnih doza</w:t>
      </w:r>
    </w:p>
    <w:p w14:paraId="070AF7EF" w14:textId="4F3BB9C5"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w:t>
      </w:r>
      <w:r w:rsidRPr="0014404C">
        <w:rPr>
          <w:bCs/>
          <w:iCs/>
          <w:sz w:val="22"/>
          <w:szCs w:val="22"/>
          <w:lang w:val="sr-Latn-ME" w:eastAsia="ja-JP"/>
        </w:rPr>
        <w:tab/>
        <w:t xml:space="preserve">aflibercept u dozi od 2 mg svake 4 nedjelje tokom 6 uzastopnih mjesečnih doza </w:t>
      </w:r>
    </w:p>
    <w:p w14:paraId="4AD6455E" w14:textId="77777777" w:rsidR="00346D28" w:rsidRPr="0014404C" w:rsidRDefault="00346D28" w:rsidP="0014404C">
      <w:pPr>
        <w:widowControl w:val="0"/>
        <w:jc w:val="both"/>
        <w:rPr>
          <w:bCs/>
          <w:iCs/>
          <w:sz w:val="22"/>
          <w:szCs w:val="22"/>
          <w:lang w:val="sr-Latn-ME" w:eastAsia="ja-JP"/>
        </w:rPr>
      </w:pPr>
    </w:p>
    <w:p w14:paraId="1930142C" w14:textId="2D3E9903"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lastRenderedPageBreak/>
        <w:t>Nakon prvih 6 mjesečnih doza, pacijenti koji su prvobitno randomizovani u grupu liječenu afliberceptom u dozi od 2 mg prešli su na liječenje faricimabom i mogli su primati faricimab u dozi od 6 mg prema prilagodljivom režimu primjene u intervalima od najviše 16 nedjelja, pri čemu se interval primjene mogao povećavati u koracima od 4 nedjelje ili smanjivati za 4, 8 ili 12 nedjelja na osnovu automatizovane, objektivne procjene unapr</w:t>
      </w:r>
      <w:r w:rsidR="00C66686" w:rsidRPr="0014404C">
        <w:rPr>
          <w:bCs/>
          <w:iCs/>
          <w:sz w:val="22"/>
          <w:szCs w:val="22"/>
          <w:lang w:val="sr-Latn-ME" w:eastAsia="ja-JP"/>
        </w:rPr>
        <w:t>ij</w:t>
      </w:r>
      <w:r w:rsidRPr="0014404C">
        <w:rPr>
          <w:bCs/>
          <w:iCs/>
          <w:sz w:val="22"/>
          <w:szCs w:val="22"/>
          <w:lang w:val="sr-Latn-ME" w:eastAsia="ja-JP"/>
        </w:rPr>
        <w:t>ed definisanih vidnih i anatomskih kriterijuma aktivnosti bolesti.</w:t>
      </w:r>
    </w:p>
    <w:p w14:paraId="64829A79" w14:textId="77777777" w:rsidR="00346D28" w:rsidRPr="0014404C" w:rsidRDefault="00346D28" w:rsidP="0014404C">
      <w:pPr>
        <w:widowControl w:val="0"/>
        <w:jc w:val="both"/>
        <w:rPr>
          <w:bCs/>
          <w:iCs/>
          <w:sz w:val="22"/>
          <w:szCs w:val="22"/>
          <w:lang w:val="sr-Latn-ME" w:eastAsia="ja-JP"/>
        </w:rPr>
      </w:pPr>
    </w:p>
    <w:p w14:paraId="016D0088" w14:textId="77777777" w:rsidR="00346D28" w:rsidRPr="0014404C" w:rsidRDefault="00346D28" w:rsidP="0014404C">
      <w:pPr>
        <w:widowControl w:val="0"/>
        <w:jc w:val="both"/>
        <w:rPr>
          <w:bCs/>
          <w:i/>
          <w:iCs/>
          <w:sz w:val="22"/>
          <w:szCs w:val="22"/>
          <w:u w:val="single"/>
          <w:lang w:val="sr-Latn-ME" w:eastAsia="ja-JP"/>
        </w:rPr>
      </w:pPr>
      <w:r w:rsidRPr="0014404C">
        <w:rPr>
          <w:bCs/>
          <w:i/>
          <w:iCs/>
          <w:sz w:val="22"/>
          <w:szCs w:val="22"/>
          <w:u w:val="single"/>
          <w:lang w:val="sr-Latn-ME" w:eastAsia="ja-JP"/>
        </w:rPr>
        <w:t>Rezultati</w:t>
      </w:r>
    </w:p>
    <w:p w14:paraId="4DBA1C73" w14:textId="77777777" w:rsidR="00346D28" w:rsidRPr="0014404C" w:rsidRDefault="00346D28" w:rsidP="0014404C">
      <w:pPr>
        <w:widowControl w:val="0"/>
        <w:jc w:val="both"/>
        <w:rPr>
          <w:bCs/>
          <w:iCs/>
          <w:sz w:val="22"/>
          <w:szCs w:val="22"/>
          <w:lang w:val="sr-Latn-ME" w:eastAsia="ja-JP"/>
        </w:rPr>
      </w:pPr>
    </w:p>
    <w:p w14:paraId="77E246B6" w14:textId="6BBFD3CA"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Obje studije pokazale su efikasnost pri primarnoj procjeni parametara efikasnosti, definisanu kao promjena BCVA rezultata od početka ispitivanja do 24. nedjelje, m</w:t>
      </w:r>
      <w:r w:rsidR="00C66686" w:rsidRPr="0014404C">
        <w:rPr>
          <w:bCs/>
          <w:iCs/>
          <w:sz w:val="22"/>
          <w:szCs w:val="22"/>
          <w:lang w:val="sr-Latn-ME" w:eastAsia="ja-JP"/>
        </w:rPr>
        <w:t>j</w:t>
      </w:r>
      <w:r w:rsidRPr="0014404C">
        <w:rPr>
          <w:bCs/>
          <w:iCs/>
          <w:sz w:val="22"/>
          <w:szCs w:val="22"/>
          <w:lang w:val="sr-Latn-ME" w:eastAsia="ja-JP"/>
        </w:rPr>
        <w:t>erenu skorom slova ETDRS. U obje studije pacijenti koji su primali faricimab svake 4 nedjelje postigli su srednju vrijednost promjene BCVA rezultata od početka ispitivanja koja je bila neinferiorna u odnosu na onu uočenu kod pacijenata liječenih afliberceptom svake 4 nedjelje, a ta poboljšanja vida su se održala do 72. nedjelje kada su pacijenti prešli na prilagodljiv režim doziranja faricimaba u intervalima od najviše 16 nedjelja.</w:t>
      </w:r>
    </w:p>
    <w:p w14:paraId="3EBF9EBE" w14:textId="77777777" w:rsidR="00346D28" w:rsidRPr="0014404C" w:rsidRDefault="00346D28" w:rsidP="0014404C">
      <w:pPr>
        <w:widowControl w:val="0"/>
        <w:jc w:val="both"/>
        <w:rPr>
          <w:bCs/>
          <w:iCs/>
          <w:sz w:val="22"/>
          <w:szCs w:val="22"/>
          <w:lang w:val="sr-Latn-ME" w:eastAsia="ja-JP"/>
        </w:rPr>
      </w:pPr>
    </w:p>
    <w:p w14:paraId="5839A4C8" w14:textId="604ACE5A"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Između 24. i 68. nedjelje u studijiama BALATON i COMINO 81,5% odnosno 74,0% pacijenata liječenih faricimabom prema prilagodljivom režimu doziranja u intervalima od najviše 16. nedjelja postiglo je interval primjene od ≥ 12 nedjelja (svakih 16 ili svakih 12 nedjelja). Među tim pacijentima do 68. nedjelje njih 72,1% u studiji BALATON odnosno 61,6% u studiji COMINO dovršilo je najmanje jedan ciklus primjene svakih 12 nedjelja i nastavilo primati terapiju u intervalu od ≥ 12 nedjelja bez skraćivanja intervala liječenja na manje od 12 nedjelja; 1,2% pacijenata u studiji BALATON odnosno 2,5% njih u studiji COMINO je do 68. nedjelja primalo lijek samo u intervalima od 4 nedjelje.</w:t>
      </w:r>
    </w:p>
    <w:p w14:paraId="36736A9E" w14:textId="77777777" w:rsidR="00346D28" w:rsidRPr="0014404C" w:rsidRDefault="00346D28" w:rsidP="0014404C">
      <w:pPr>
        <w:widowControl w:val="0"/>
        <w:jc w:val="both"/>
        <w:rPr>
          <w:bCs/>
          <w:iCs/>
          <w:sz w:val="22"/>
          <w:szCs w:val="22"/>
          <w:lang w:val="sr-Latn-ME" w:eastAsia="ja-JP"/>
        </w:rPr>
      </w:pPr>
    </w:p>
    <w:p w14:paraId="04CE00B3" w14:textId="3C8EDC62"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U obje studije u 24. nedjelji su pacijenti u grupi liječenoj faricimabom svake 4 nedjelje ostvarili poboljšanje unapr</w:t>
      </w:r>
      <w:r w:rsidR="00C66686" w:rsidRPr="0014404C">
        <w:rPr>
          <w:bCs/>
          <w:iCs/>
          <w:sz w:val="22"/>
          <w:szCs w:val="22"/>
          <w:lang w:val="sr-Latn-ME" w:eastAsia="ja-JP"/>
        </w:rPr>
        <w:t>ij</w:t>
      </w:r>
      <w:r w:rsidRPr="0014404C">
        <w:rPr>
          <w:bCs/>
          <w:iCs/>
          <w:sz w:val="22"/>
          <w:szCs w:val="22"/>
          <w:lang w:val="sr-Latn-ME" w:eastAsia="ja-JP"/>
        </w:rPr>
        <w:t>ed definisanog parametra efikasnosti - promjene objedinjenog NEI VFQ</w:t>
      </w:r>
      <w:r w:rsidRPr="0014404C">
        <w:rPr>
          <w:bCs/>
          <w:iCs/>
          <w:sz w:val="22"/>
          <w:szCs w:val="22"/>
          <w:lang w:val="sr-Latn-ME" w:eastAsia="ja-JP"/>
        </w:rPr>
        <w:noBreakHyphen/>
        <w:t>25 rezultata od početka ispitivanja do 24. nedjelje, koje je bilo uporedivo sa onim uočenim uz aflibercept primijenjen svake 4 nedjelje. Faricimab primijenjen svake 4 nedjelje ostvario je i poboljšanje unapr</w:t>
      </w:r>
      <w:r w:rsidR="00C66686" w:rsidRPr="0014404C">
        <w:rPr>
          <w:bCs/>
          <w:iCs/>
          <w:sz w:val="22"/>
          <w:szCs w:val="22"/>
          <w:lang w:val="sr-Latn-ME" w:eastAsia="ja-JP"/>
        </w:rPr>
        <w:t>ij</w:t>
      </w:r>
      <w:r w:rsidRPr="0014404C">
        <w:rPr>
          <w:bCs/>
          <w:iCs/>
          <w:sz w:val="22"/>
          <w:szCs w:val="22"/>
          <w:lang w:val="sr-Latn-ME" w:eastAsia="ja-JP"/>
        </w:rPr>
        <w:t>ed definisanog parametra efikasnosti - promjene NEI VFQ</w:t>
      </w:r>
      <w:r w:rsidRPr="0014404C">
        <w:rPr>
          <w:bCs/>
          <w:iCs/>
          <w:sz w:val="22"/>
          <w:szCs w:val="22"/>
          <w:lang w:val="sr-Latn-ME" w:eastAsia="ja-JP"/>
        </w:rPr>
        <w:noBreakHyphen/>
        <w:t>25 rezultata za aktivnosti koje zaht</w:t>
      </w:r>
      <w:r w:rsidR="00C66686" w:rsidRPr="0014404C">
        <w:rPr>
          <w:bCs/>
          <w:iCs/>
          <w:sz w:val="22"/>
          <w:szCs w:val="22"/>
          <w:lang w:val="sr-Latn-ME" w:eastAsia="ja-JP"/>
        </w:rPr>
        <w:t>ij</w:t>
      </w:r>
      <w:r w:rsidRPr="0014404C">
        <w:rPr>
          <w:bCs/>
          <w:iCs/>
          <w:sz w:val="22"/>
          <w:szCs w:val="22"/>
          <w:lang w:val="sr-Latn-ME" w:eastAsia="ja-JP"/>
        </w:rPr>
        <w:t>evaju vid na blizinu i aktivnosti koje zaht</w:t>
      </w:r>
      <w:r w:rsidR="00C66686" w:rsidRPr="0014404C">
        <w:rPr>
          <w:bCs/>
          <w:iCs/>
          <w:sz w:val="22"/>
          <w:szCs w:val="22"/>
          <w:lang w:val="sr-Latn-ME" w:eastAsia="ja-JP"/>
        </w:rPr>
        <w:t>ij</w:t>
      </w:r>
      <w:r w:rsidRPr="0014404C">
        <w:rPr>
          <w:bCs/>
          <w:iCs/>
          <w:sz w:val="22"/>
          <w:szCs w:val="22"/>
          <w:lang w:val="sr-Latn-ME" w:eastAsia="ja-JP"/>
        </w:rPr>
        <w:t>evaju vid na daljinu, od početka ispitivanja do 24. nedjelje, koje je bilo uporedivo sa onim uočenim uz aflibercept primijenjen svake 4 nedjelje. Ti rezultati su se održali do 72. nedjelje kada su svi pacijenti primali faricimab prema prilagodljivom režimu doziranja u intervalima od najviše 16 nedjelja.</w:t>
      </w:r>
    </w:p>
    <w:p w14:paraId="6DFD8993" w14:textId="77777777" w:rsidR="00346D28" w:rsidRPr="0014404C" w:rsidRDefault="00346D28" w:rsidP="0014404C">
      <w:pPr>
        <w:widowControl w:val="0"/>
        <w:jc w:val="both"/>
        <w:rPr>
          <w:bCs/>
          <w:iCs/>
          <w:sz w:val="22"/>
          <w:szCs w:val="22"/>
          <w:lang w:val="sr-Latn-ME" w:eastAsia="ja-JP"/>
        </w:rPr>
      </w:pPr>
    </w:p>
    <w:p w14:paraId="561552FB" w14:textId="7AF000EC" w:rsidR="00346D28" w:rsidRPr="0014404C" w:rsidRDefault="00346D28" w:rsidP="0014404C">
      <w:pPr>
        <w:widowControl w:val="0"/>
        <w:jc w:val="both"/>
        <w:rPr>
          <w:b/>
          <w:bCs/>
          <w:iCs/>
          <w:sz w:val="22"/>
          <w:szCs w:val="22"/>
          <w:lang w:val="sr-Latn-ME" w:eastAsia="ja-JP"/>
        </w:rPr>
      </w:pPr>
      <w:r w:rsidRPr="0014404C">
        <w:rPr>
          <w:b/>
          <w:bCs/>
          <w:iCs/>
          <w:sz w:val="22"/>
          <w:szCs w:val="22"/>
          <w:lang w:val="sr-Latn-ME" w:eastAsia="ja-JP"/>
        </w:rPr>
        <w:t>Tabela 8: Ishodi efikasnosti pri pos</w:t>
      </w:r>
      <w:r w:rsidR="00810BCB" w:rsidRPr="0014404C">
        <w:rPr>
          <w:b/>
          <w:bCs/>
          <w:iCs/>
          <w:sz w:val="22"/>
          <w:szCs w:val="22"/>
          <w:lang w:val="sr-Latn-ME" w:eastAsia="ja-JP"/>
        </w:rPr>
        <w:t>j</w:t>
      </w:r>
      <w:r w:rsidRPr="0014404C">
        <w:rPr>
          <w:b/>
          <w:bCs/>
          <w:iCs/>
          <w:sz w:val="22"/>
          <w:szCs w:val="22"/>
          <w:lang w:val="sr-Latn-ME" w:eastAsia="ja-JP"/>
        </w:rPr>
        <w:t>eti radi procjene primarnih parametara efikasnosti u 24. nedjelji i na završetku studije</w:t>
      </w:r>
      <w:r w:rsidRPr="0014404C">
        <w:rPr>
          <w:b/>
          <w:bCs/>
          <w:iCs/>
          <w:sz w:val="22"/>
          <w:szCs w:val="22"/>
          <w:vertAlign w:val="superscript"/>
          <w:lang w:val="sr-Latn-ME" w:eastAsia="ja-JP"/>
        </w:rPr>
        <w:t>a</w:t>
      </w:r>
      <w:r w:rsidRPr="0014404C">
        <w:rPr>
          <w:b/>
          <w:bCs/>
          <w:iCs/>
          <w:sz w:val="22"/>
          <w:szCs w:val="22"/>
          <w:lang w:val="sr-Latn-ME" w:eastAsia="ja-JP"/>
        </w:rPr>
        <w:t xml:space="preserve"> BALATON</w:t>
      </w:r>
    </w:p>
    <w:p w14:paraId="7EA6BF77" w14:textId="058D075D" w:rsidR="00346D28" w:rsidRPr="0014404C" w:rsidRDefault="00346D28" w:rsidP="0014404C">
      <w:pPr>
        <w:widowControl w:val="0"/>
        <w:jc w:val="both"/>
        <w:rPr>
          <w:b/>
          <w:bCs/>
          <w:iCs/>
          <w:sz w:val="22"/>
          <w:szCs w:val="22"/>
          <w:lang w:val="sr-Latn-ME" w:eastAsia="ja-JP"/>
        </w:rPr>
      </w:pPr>
    </w:p>
    <w:tbl>
      <w:tblPr>
        <w:tblW w:w="8985" w:type="dxa"/>
        <w:tblLayout w:type="fixed"/>
        <w:tblLook w:val="04A0" w:firstRow="1" w:lastRow="0" w:firstColumn="1" w:lastColumn="0" w:noHBand="0" w:noVBand="1"/>
      </w:tblPr>
      <w:tblGrid>
        <w:gridCol w:w="2599"/>
        <w:gridCol w:w="1596"/>
        <w:gridCol w:w="1597"/>
        <w:gridCol w:w="1596"/>
        <w:gridCol w:w="1597"/>
      </w:tblGrid>
      <w:tr w:rsidR="00346D28" w:rsidRPr="0014404C" w14:paraId="3BE5E191" w14:textId="77777777" w:rsidTr="00963E44">
        <w:trPr>
          <w:trHeight w:val="285"/>
        </w:trPr>
        <w:tc>
          <w:tcPr>
            <w:tcW w:w="25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F375B" w14:textId="77777777" w:rsidR="00346D28" w:rsidRPr="0014404C" w:rsidRDefault="00346D28" w:rsidP="0014404C">
            <w:pPr>
              <w:widowControl w:val="0"/>
              <w:spacing w:line="256" w:lineRule="auto"/>
              <w:jc w:val="both"/>
              <w:rPr>
                <w:b/>
                <w:color w:val="000000"/>
                <w:sz w:val="22"/>
                <w:szCs w:val="22"/>
                <w:lang w:val="sr-Latn-ME"/>
              </w:rPr>
            </w:pPr>
            <w:r w:rsidRPr="0014404C">
              <w:rPr>
                <w:b/>
                <w:color w:val="000000"/>
                <w:sz w:val="22"/>
                <w:szCs w:val="22"/>
                <w:lang w:val="sr-Latn-ME"/>
              </w:rPr>
              <w:t>Ishodi efikasnosti</w:t>
            </w:r>
          </w:p>
        </w:tc>
        <w:tc>
          <w:tcPr>
            <w:tcW w:w="6386" w:type="dxa"/>
            <w:gridSpan w:val="4"/>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14:paraId="5F6B8BFA" w14:textId="77777777" w:rsidR="00346D28" w:rsidRPr="0014404C" w:rsidRDefault="00346D28" w:rsidP="0014404C">
            <w:pPr>
              <w:widowControl w:val="0"/>
              <w:spacing w:line="256" w:lineRule="auto"/>
              <w:jc w:val="both"/>
              <w:rPr>
                <w:b/>
                <w:color w:val="000000"/>
                <w:sz w:val="22"/>
                <w:szCs w:val="22"/>
                <w:lang w:val="sr-Latn-ME"/>
              </w:rPr>
            </w:pPr>
            <w:r w:rsidRPr="0014404C">
              <w:rPr>
                <w:b/>
                <w:sz w:val="22"/>
                <w:szCs w:val="22"/>
                <w:lang w:val="sr-Latn-ME"/>
              </w:rPr>
              <w:t>BALATON</w:t>
            </w:r>
          </w:p>
        </w:tc>
      </w:tr>
      <w:tr w:rsidR="00346D28" w:rsidRPr="0014404C" w14:paraId="4F48E7DC" w14:textId="77777777" w:rsidTr="00963E44">
        <w:trPr>
          <w:trHeight w:val="285"/>
        </w:trPr>
        <w:tc>
          <w:tcPr>
            <w:tcW w:w="259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B5927" w14:textId="77777777" w:rsidR="00346D28" w:rsidRPr="0014404C" w:rsidRDefault="00346D28" w:rsidP="0014404C">
            <w:pPr>
              <w:widowControl w:val="0"/>
              <w:spacing w:line="256" w:lineRule="auto"/>
              <w:jc w:val="both"/>
              <w:rPr>
                <w:b/>
                <w:color w:val="000000"/>
                <w:sz w:val="22"/>
                <w:szCs w:val="22"/>
                <w:lang w:val="sr-Latn-ME"/>
              </w:rPr>
            </w:pPr>
          </w:p>
        </w:tc>
        <w:tc>
          <w:tcPr>
            <w:tcW w:w="3193" w:type="dxa"/>
            <w:gridSpan w:val="2"/>
            <w:tcBorders>
              <w:top w:val="single" w:sz="8" w:space="0" w:color="000000"/>
              <w:left w:val="single" w:sz="8" w:space="0" w:color="000000"/>
              <w:bottom w:val="nil"/>
              <w:right w:val="single" w:sz="8" w:space="0" w:color="000000"/>
            </w:tcBorders>
            <w:tcMar>
              <w:top w:w="15" w:type="dxa"/>
              <w:left w:w="15" w:type="dxa"/>
              <w:bottom w:w="15" w:type="dxa"/>
              <w:right w:w="15" w:type="dxa"/>
            </w:tcMar>
          </w:tcPr>
          <w:p w14:paraId="3768396F" w14:textId="6BEF5F20" w:rsidR="00346D28" w:rsidRPr="0014404C" w:rsidRDefault="00346D28" w:rsidP="0014404C">
            <w:pPr>
              <w:widowControl w:val="0"/>
              <w:spacing w:line="256" w:lineRule="auto"/>
              <w:jc w:val="both"/>
              <w:rPr>
                <w:b/>
                <w:sz w:val="22"/>
                <w:szCs w:val="22"/>
                <w:lang w:val="sr-Latn-ME"/>
              </w:rPr>
            </w:pPr>
            <w:r w:rsidRPr="0014404C">
              <w:rPr>
                <w:b/>
                <w:sz w:val="22"/>
                <w:szCs w:val="22"/>
                <w:lang w:val="sr-Latn-ME"/>
              </w:rPr>
              <w:t>24 nedjelje</w:t>
            </w:r>
          </w:p>
        </w:tc>
        <w:tc>
          <w:tcPr>
            <w:tcW w:w="3193" w:type="dxa"/>
            <w:gridSpan w:val="2"/>
            <w:tcBorders>
              <w:top w:val="single" w:sz="8" w:space="0" w:color="000000"/>
              <w:left w:val="single" w:sz="8" w:space="0" w:color="000000"/>
              <w:bottom w:val="nil"/>
              <w:right w:val="single" w:sz="8" w:space="0" w:color="000000"/>
            </w:tcBorders>
          </w:tcPr>
          <w:p w14:paraId="3470325D" w14:textId="7C9595D6" w:rsidR="00346D28" w:rsidRPr="0014404C" w:rsidRDefault="00346D28" w:rsidP="0014404C">
            <w:pPr>
              <w:widowControl w:val="0"/>
              <w:spacing w:line="256" w:lineRule="auto"/>
              <w:jc w:val="both"/>
              <w:rPr>
                <w:b/>
                <w:sz w:val="22"/>
                <w:szCs w:val="22"/>
                <w:lang w:val="sr-Latn-ME"/>
              </w:rPr>
            </w:pPr>
            <w:r w:rsidRPr="0014404C">
              <w:rPr>
                <w:b/>
                <w:sz w:val="22"/>
                <w:szCs w:val="22"/>
                <w:lang w:val="sr-Latn-ME"/>
              </w:rPr>
              <w:t>72 nedjelje</w:t>
            </w:r>
            <w:r w:rsidRPr="0014404C">
              <w:rPr>
                <w:b/>
                <w:sz w:val="22"/>
                <w:szCs w:val="22"/>
                <w:vertAlign w:val="superscript"/>
                <w:lang w:val="sr-Latn-ME"/>
              </w:rPr>
              <w:t>a</w:t>
            </w:r>
          </w:p>
        </w:tc>
      </w:tr>
      <w:tr w:rsidR="00346D28" w:rsidRPr="0014404C" w14:paraId="1D528193" w14:textId="77777777" w:rsidTr="00963E44">
        <w:tc>
          <w:tcPr>
            <w:tcW w:w="2599" w:type="dxa"/>
            <w:vMerge/>
            <w:tcBorders>
              <w:top w:val="single" w:sz="8" w:space="0" w:color="000000"/>
              <w:left w:val="single" w:sz="8" w:space="0" w:color="000000"/>
              <w:bottom w:val="single" w:sz="8" w:space="0" w:color="000000"/>
              <w:right w:val="single" w:sz="8" w:space="0" w:color="000000"/>
            </w:tcBorders>
            <w:vAlign w:val="center"/>
            <w:hideMark/>
          </w:tcPr>
          <w:p w14:paraId="3AF3C71A" w14:textId="77777777" w:rsidR="00346D28" w:rsidRPr="0014404C" w:rsidRDefault="00346D28" w:rsidP="0014404C">
            <w:pPr>
              <w:widowControl w:val="0"/>
              <w:spacing w:line="256" w:lineRule="auto"/>
              <w:jc w:val="both"/>
              <w:rPr>
                <w:b/>
                <w:color w:val="000000"/>
                <w:sz w:val="22"/>
                <w:szCs w:val="22"/>
                <w:lang w:val="sr-Latn-ME"/>
              </w:rPr>
            </w:pP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A04AA" w14:textId="2ADDD7E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 xml:space="preserve">Faricimab svake 4 nedjelje </w:t>
            </w:r>
          </w:p>
          <w:p w14:paraId="2801CDE5"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276</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8447F63" w14:textId="2BCEFC8A"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Aflibercept svake 4 nedjelje</w:t>
            </w:r>
          </w:p>
          <w:p w14:paraId="26D7F7D2"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277</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AFA9F" w14:textId="742E4221"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 xml:space="preserve">Sa faricimaba svake 4 nedjelje na faricimab sa prilagodljivim doziranjem </w:t>
            </w:r>
          </w:p>
          <w:p w14:paraId="457D7C9B"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276</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A220DC9" w14:textId="40FF00A2"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Sa aflibercepta svake 4 nedjelje na faricimab sa prilagodljivim doziranjem</w:t>
            </w:r>
          </w:p>
          <w:p w14:paraId="0777E32A"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277</w:t>
            </w:r>
          </w:p>
        </w:tc>
      </w:tr>
      <w:tr w:rsidR="00346D28" w:rsidRPr="0014404C" w14:paraId="35F48F4A"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1AA8A" w14:textId="3827CC81"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Srednja vrijednost promjene BCVA od početne vrijednosti prema ETDRS skoru slova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82435"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16,9</w:t>
            </w:r>
          </w:p>
          <w:p w14:paraId="37D1E850"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(15,7; 18,1)</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ACA08F3"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17,5</w:t>
            </w:r>
          </w:p>
          <w:p w14:paraId="03C61B7C"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(16,3; 18,6)</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92947"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18,1</w:t>
            </w:r>
          </w:p>
          <w:p w14:paraId="7A5182B3"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(16,9; 19,4)</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40FFB2D"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18,8</w:t>
            </w:r>
          </w:p>
          <w:p w14:paraId="1423A16D"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(17,5; 20,0)</w:t>
            </w:r>
          </w:p>
        </w:tc>
      </w:tr>
      <w:tr w:rsidR="00346D28" w:rsidRPr="0014404C" w14:paraId="55EB4DC1"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9E8AC" w14:textId="7E730345"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 xml:space="preserve">Razlika u srednjoj </w:t>
            </w:r>
            <w:r w:rsidRPr="0014404C">
              <w:rPr>
                <w:color w:val="000000"/>
                <w:sz w:val="22"/>
                <w:szCs w:val="22"/>
                <w:lang w:val="sr-Latn-ME"/>
              </w:rPr>
              <w:lastRenderedPageBreak/>
              <w:t>vrijednosti LS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FB959"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lastRenderedPageBreak/>
              <w:t>-0,6</w:t>
            </w:r>
          </w:p>
          <w:p w14:paraId="68063AE9"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lastRenderedPageBreak/>
              <w:t>(-2,2; 1,1)</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20EFA99" w14:textId="77777777" w:rsidR="00346D28" w:rsidRPr="0014404C" w:rsidRDefault="00346D28" w:rsidP="0014404C">
            <w:pPr>
              <w:widowControl w:val="0"/>
              <w:spacing w:line="256" w:lineRule="auto"/>
              <w:jc w:val="both"/>
              <w:rPr>
                <w:color w:val="000000"/>
                <w:sz w:val="22"/>
                <w:szCs w:val="22"/>
                <w:lang w:val="sr-Latn-ME"/>
              </w:rPr>
            </w:pP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0A663" w14:textId="77777777" w:rsidR="00346D28" w:rsidRPr="0014404C" w:rsidRDefault="00346D28" w:rsidP="0014404C">
            <w:pPr>
              <w:widowControl w:val="0"/>
              <w:spacing w:line="256" w:lineRule="auto"/>
              <w:jc w:val="both"/>
              <w:rPr>
                <w:color w:val="000000"/>
                <w:sz w:val="22"/>
                <w:szCs w:val="22"/>
                <w:lang w:val="sr-Latn-ME"/>
              </w:rPr>
            </w:pP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AEBDF88" w14:textId="77777777" w:rsidR="00346D28" w:rsidRPr="0014404C" w:rsidRDefault="00346D28" w:rsidP="0014404C">
            <w:pPr>
              <w:widowControl w:val="0"/>
              <w:spacing w:line="256" w:lineRule="auto"/>
              <w:jc w:val="both"/>
              <w:rPr>
                <w:color w:val="000000"/>
                <w:sz w:val="22"/>
                <w:szCs w:val="22"/>
                <w:lang w:val="sr-Latn-ME"/>
              </w:rPr>
            </w:pPr>
          </w:p>
        </w:tc>
      </w:tr>
      <w:tr w:rsidR="00346D28" w:rsidRPr="0014404C" w14:paraId="55939461"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2CDCA"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Procenat pacijenata kojima se početni rezultat poboljšao ≥15 slova (CMH ponderisani procenat,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D8EB5"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56,1%</w:t>
            </w:r>
          </w:p>
          <w:p w14:paraId="390884CE"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(50,4%; 61,9%)</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6DB9E84"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60,4%</w:t>
            </w:r>
          </w:p>
          <w:p w14:paraId="025CF2F7"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(54,7%; 66,0%)</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1AC5F"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61,5%</w:t>
            </w:r>
          </w:p>
          <w:p w14:paraId="669E8CA8"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(56,0%; 67,0%)</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B86F932"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65,8%</w:t>
            </w:r>
          </w:p>
          <w:p w14:paraId="3412F025"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(60,3%; 71,2%)</w:t>
            </w:r>
          </w:p>
        </w:tc>
      </w:tr>
      <w:tr w:rsidR="00346D28" w:rsidRPr="0014404C" w14:paraId="1160893D"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03E62"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Razlika ponderisanog % CMH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5F3B8"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-4,3%</w:t>
            </w:r>
          </w:p>
          <w:p w14:paraId="1173A394"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(-12,3%; 3,8%)</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C570E0E" w14:textId="77777777" w:rsidR="00346D28" w:rsidRPr="0014404C" w:rsidRDefault="00346D28" w:rsidP="0014404C">
            <w:pPr>
              <w:widowControl w:val="0"/>
              <w:spacing w:line="256" w:lineRule="auto"/>
              <w:jc w:val="both"/>
              <w:rPr>
                <w:color w:val="000000"/>
                <w:sz w:val="22"/>
                <w:szCs w:val="22"/>
                <w:lang w:val="sr-Latn-ME"/>
              </w:rPr>
            </w:pP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2E5C8" w14:textId="77777777" w:rsidR="00346D28" w:rsidRPr="0014404C" w:rsidRDefault="00346D28" w:rsidP="0014404C">
            <w:pPr>
              <w:widowControl w:val="0"/>
              <w:spacing w:line="256" w:lineRule="auto"/>
              <w:ind w:left="10" w:right="14"/>
              <w:jc w:val="both"/>
              <w:rPr>
                <w:color w:val="000000"/>
                <w:sz w:val="22"/>
                <w:szCs w:val="22"/>
                <w:lang w:val="sr-Latn-ME"/>
              </w:rPr>
            </w:pP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9F61A6D" w14:textId="77777777" w:rsidR="00346D28" w:rsidRPr="0014404C" w:rsidRDefault="00346D28" w:rsidP="0014404C">
            <w:pPr>
              <w:widowControl w:val="0"/>
              <w:spacing w:line="256" w:lineRule="auto"/>
              <w:jc w:val="both"/>
              <w:rPr>
                <w:color w:val="000000"/>
                <w:sz w:val="22"/>
                <w:szCs w:val="22"/>
                <w:lang w:val="sr-Latn-ME"/>
              </w:rPr>
            </w:pPr>
          </w:p>
        </w:tc>
      </w:tr>
    </w:tbl>
    <w:p w14:paraId="6DBA68AB" w14:textId="48F37235" w:rsidR="00346D28" w:rsidRPr="009D39E8" w:rsidRDefault="00346D28" w:rsidP="0014404C">
      <w:pPr>
        <w:widowControl w:val="0"/>
        <w:jc w:val="both"/>
        <w:rPr>
          <w:bCs/>
          <w:iCs/>
          <w:sz w:val="20"/>
          <w:szCs w:val="22"/>
          <w:lang w:val="sr-Latn-ME" w:eastAsia="ja-JP"/>
        </w:rPr>
      </w:pPr>
      <w:r w:rsidRPr="009D39E8">
        <w:rPr>
          <w:bCs/>
          <w:iCs/>
          <w:sz w:val="20"/>
          <w:szCs w:val="22"/>
          <w:vertAlign w:val="superscript"/>
          <w:lang w:val="sr-Latn-ME" w:eastAsia="ja-JP"/>
        </w:rPr>
        <w:t>a</w:t>
      </w:r>
      <w:r w:rsidRPr="009D39E8">
        <w:rPr>
          <w:bCs/>
          <w:iCs/>
          <w:sz w:val="20"/>
          <w:szCs w:val="22"/>
          <w:lang w:val="sr-Latn-ME" w:eastAsia="ja-JP"/>
        </w:rPr>
        <w:t>Prosjek za 64., 68. i 72. nedjelju</w:t>
      </w:r>
    </w:p>
    <w:p w14:paraId="234E55D1" w14:textId="77777777" w:rsidR="00346D28" w:rsidRPr="009D39E8" w:rsidRDefault="00346D28" w:rsidP="0014404C">
      <w:pPr>
        <w:widowControl w:val="0"/>
        <w:jc w:val="both"/>
        <w:rPr>
          <w:bCs/>
          <w:iCs/>
          <w:sz w:val="20"/>
          <w:szCs w:val="22"/>
          <w:lang w:val="sr-Latn-ME" w:eastAsia="ja-JP"/>
        </w:rPr>
      </w:pPr>
      <w:r w:rsidRPr="009D39E8">
        <w:rPr>
          <w:bCs/>
          <w:iCs/>
          <w:sz w:val="20"/>
          <w:szCs w:val="22"/>
          <w:lang w:val="sr-Latn-ME" w:eastAsia="ja-JP"/>
        </w:rPr>
        <w:t xml:space="preserve">BCVA: najbolja korigovana oštrina vida </w:t>
      </w:r>
    </w:p>
    <w:p w14:paraId="0F3F09C5" w14:textId="6DC2E9B1" w:rsidR="00346D28" w:rsidRPr="009D39E8" w:rsidRDefault="00346D28" w:rsidP="0014404C">
      <w:pPr>
        <w:widowControl w:val="0"/>
        <w:jc w:val="both"/>
        <w:rPr>
          <w:bCs/>
          <w:iCs/>
          <w:sz w:val="20"/>
          <w:szCs w:val="22"/>
          <w:lang w:val="sr-Latn-ME" w:eastAsia="ja-JP"/>
        </w:rPr>
      </w:pPr>
      <w:r w:rsidRPr="009D39E8">
        <w:rPr>
          <w:bCs/>
          <w:iCs/>
          <w:sz w:val="20"/>
          <w:szCs w:val="22"/>
          <w:lang w:val="sr-Latn-ME" w:eastAsia="ja-JP"/>
        </w:rPr>
        <w:t xml:space="preserve">ETDRS: Studija ranog liječenja dijabetičke retinopatije </w:t>
      </w:r>
    </w:p>
    <w:p w14:paraId="0066920D" w14:textId="77777777" w:rsidR="00346D28" w:rsidRPr="009D39E8" w:rsidRDefault="00346D28" w:rsidP="0014404C">
      <w:pPr>
        <w:widowControl w:val="0"/>
        <w:jc w:val="both"/>
        <w:rPr>
          <w:bCs/>
          <w:iCs/>
          <w:sz w:val="20"/>
          <w:szCs w:val="22"/>
          <w:lang w:val="sr-Latn-ME" w:eastAsia="ja-JP"/>
        </w:rPr>
      </w:pPr>
      <w:r w:rsidRPr="009D39E8">
        <w:rPr>
          <w:bCs/>
          <w:iCs/>
          <w:sz w:val="20"/>
          <w:szCs w:val="22"/>
          <w:lang w:val="sr-Latn-ME" w:eastAsia="ja-JP"/>
        </w:rPr>
        <w:t>CI: interval pouzdanosti</w:t>
      </w:r>
    </w:p>
    <w:p w14:paraId="79FDBB22" w14:textId="77777777" w:rsidR="00346D28" w:rsidRPr="009D39E8" w:rsidRDefault="00346D28" w:rsidP="0014404C">
      <w:pPr>
        <w:widowControl w:val="0"/>
        <w:jc w:val="both"/>
        <w:rPr>
          <w:bCs/>
          <w:iCs/>
          <w:sz w:val="20"/>
          <w:szCs w:val="22"/>
          <w:lang w:val="sr-Latn-ME" w:eastAsia="ja-JP"/>
        </w:rPr>
      </w:pPr>
      <w:r w:rsidRPr="009D39E8">
        <w:rPr>
          <w:bCs/>
          <w:iCs/>
          <w:sz w:val="20"/>
          <w:szCs w:val="22"/>
          <w:lang w:val="sr-Latn-ME" w:eastAsia="ja-JP"/>
        </w:rPr>
        <w:t xml:space="preserve">LS: metoda najmanjih kvadrata </w:t>
      </w:r>
    </w:p>
    <w:p w14:paraId="16011352" w14:textId="77C7A5AA" w:rsidR="00346D28" w:rsidRPr="009D39E8" w:rsidRDefault="00346D28" w:rsidP="0014404C">
      <w:pPr>
        <w:widowControl w:val="0"/>
        <w:jc w:val="both"/>
        <w:rPr>
          <w:bCs/>
          <w:iCs/>
          <w:sz w:val="20"/>
          <w:szCs w:val="22"/>
          <w:lang w:val="sr-Latn-ME" w:eastAsia="ja-JP"/>
        </w:rPr>
      </w:pPr>
      <w:r w:rsidRPr="009D39E8">
        <w:rPr>
          <w:bCs/>
          <w:iCs/>
          <w:sz w:val="20"/>
          <w:szCs w:val="22"/>
          <w:lang w:val="sr-Latn-ME" w:eastAsia="ja-JP"/>
        </w:rPr>
        <w:t xml:space="preserve">CMH: </w:t>
      </w:r>
      <w:r w:rsidRPr="009D39E8">
        <w:rPr>
          <w:bCs/>
          <w:i/>
          <w:iCs/>
          <w:sz w:val="20"/>
          <w:szCs w:val="22"/>
          <w:lang w:val="sr-Latn-ME" w:eastAsia="ja-JP"/>
        </w:rPr>
        <w:t>Cochran–Mantel–Haenszel</w:t>
      </w:r>
      <w:r w:rsidRPr="009D39E8">
        <w:rPr>
          <w:bCs/>
          <w:iCs/>
          <w:sz w:val="20"/>
          <w:szCs w:val="22"/>
          <w:lang w:val="sr-Latn-ME" w:eastAsia="ja-JP"/>
        </w:rPr>
        <w:t>-ova metoda; statistički test koji daje procjenu povezanosti sa binarnim ishodom i koji se koristi za procjenu kategoričkih varijabli.</w:t>
      </w:r>
    </w:p>
    <w:p w14:paraId="424EFE57" w14:textId="77777777" w:rsidR="00346D28" w:rsidRPr="0014404C" w:rsidRDefault="00346D28" w:rsidP="0014404C">
      <w:pPr>
        <w:widowControl w:val="0"/>
        <w:jc w:val="both"/>
        <w:rPr>
          <w:bCs/>
          <w:iCs/>
          <w:sz w:val="22"/>
          <w:szCs w:val="22"/>
          <w:lang w:val="sr-Latn-ME" w:eastAsia="ja-JP"/>
        </w:rPr>
      </w:pPr>
    </w:p>
    <w:p w14:paraId="6B80295E" w14:textId="0CEB7746" w:rsidR="00346D28" w:rsidRPr="0014404C" w:rsidRDefault="00346D28" w:rsidP="0014404C">
      <w:pPr>
        <w:widowControl w:val="0"/>
        <w:jc w:val="both"/>
        <w:rPr>
          <w:b/>
          <w:bCs/>
          <w:iCs/>
          <w:sz w:val="22"/>
          <w:szCs w:val="22"/>
          <w:lang w:val="sr-Latn-ME" w:eastAsia="ja-JP"/>
        </w:rPr>
      </w:pPr>
      <w:r w:rsidRPr="0014404C">
        <w:rPr>
          <w:b/>
          <w:bCs/>
          <w:iCs/>
          <w:sz w:val="22"/>
          <w:szCs w:val="22"/>
          <w:lang w:val="sr-Latn-ME" w:eastAsia="ja-JP"/>
        </w:rPr>
        <w:t>Tabela 9: Ishodi efikasnosti pri posjeti radi procjene primarnih parametara efikasnosti u 24. nedjelji i na završetku studije</w:t>
      </w:r>
      <w:r w:rsidRPr="0014404C">
        <w:rPr>
          <w:b/>
          <w:bCs/>
          <w:iCs/>
          <w:sz w:val="22"/>
          <w:szCs w:val="22"/>
          <w:vertAlign w:val="superscript"/>
          <w:lang w:val="sr-Latn-ME" w:eastAsia="ja-JP"/>
        </w:rPr>
        <w:t>a</w:t>
      </w:r>
      <w:r w:rsidRPr="0014404C">
        <w:rPr>
          <w:b/>
          <w:bCs/>
          <w:iCs/>
          <w:sz w:val="22"/>
          <w:szCs w:val="22"/>
          <w:lang w:val="sr-Latn-ME" w:eastAsia="ja-JP"/>
        </w:rPr>
        <w:t xml:space="preserve"> COMINO</w:t>
      </w:r>
    </w:p>
    <w:p w14:paraId="0E6021D3" w14:textId="5780C77F" w:rsidR="00346D28" w:rsidRPr="0014404C" w:rsidRDefault="00346D28" w:rsidP="0014404C">
      <w:pPr>
        <w:widowControl w:val="0"/>
        <w:jc w:val="both"/>
        <w:rPr>
          <w:bCs/>
          <w:iCs/>
          <w:sz w:val="22"/>
          <w:szCs w:val="22"/>
          <w:lang w:val="sr-Latn-ME" w:eastAsia="ja-JP"/>
        </w:rPr>
      </w:pPr>
    </w:p>
    <w:tbl>
      <w:tblPr>
        <w:tblW w:w="8985" w:type="dxa"/>
        <w:tblLayout w:type="fixed"/>
        <w:tblLook w:val="04A0" w:firstRow="1" w:lastRow="0" w:firstColumn="1" w:lastColumn="0" w:noHBand="0" w:noVBand="1"/>
      </w:tblPr>
      <w:tblGrid>
        <w:gridCol w:w="2599"/>
        <w:gridCol w:w="1596"/>
        <w:gridCol w:w="1597"/>
        <w:gridCol w:w="1596"/>
        <w:gridCol w:w="1597"/>
      </w:tblGrid>
      <w:tr w:rsidR="00346D28" w:rsidRPr="0014404C" w14:paraId="2FF474DD" w14:textId="77777777" w:rsidTr="00963E44">
        <w:trPr>
          <w:trHeight w:val="285"/>
        </w:trPr>
        <w:tc>
          <w:tcPr>
            <w:tcW w:w="25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BAE1C" w14:textId="77777777" w:rsidR="00346D28" w:rsidRPr="0014404C" w:rsidRDefault="00346D28" w:rsidP="0014404C">
            <w:pPr>
              <w:widowControl w:val="0"/>
              <w:spacing w:line="256" w:lineRule="auto"/>
              <w:jc w:val="both"/>
              <w:rPr>
                <w:b/>
                <w:color w:val="000000"/>
                <w:sz w:val="22"/>
                <w:szCs w:val="22"/>
                <w:lang w:val="sr-Latn-ME"/>
              </w:rPr>
            </w:pPr>
            <w:r w:rsidRPr="0014404C">
              <w:rPr>
                <w:b/>
                <w:color w:val="000000"/>
                <w:sz w:val="22"/>
                <w:szCs w:val="22"/>
                <w:lang w:val="sr-Latn-ME"/>
              </w:rPr>
              <w:t>Ishodi efikasnosti</w:t>
            </w:r>
          </w:p>
        </w:tc>
        <w:tc>
          <w:tcPr>
            <w:tcW w:w="6386" w:type="dxa"/>
            <w:gridSpan w:val="4"/>
            <w:tcBorders>
              <w:top w:val="single" w:sz="8" w:space="0" w:color="000000"/>
              <w:left w:val="single" w:sz="8" w:space="0" w:color="000000"/>
              <w:bottom w:val="nil"/>
              <w:right w:val="single" w:sz="8" w:space="0" w:color="000000"/>
            </w:tcBorders>
            <w:tcMar>
              <w:top w:w="15" w:type="dxa"/>
              <w:left w:w="15" w:type="dxa"/>
              <w:bottom w:w="15" w:type="dxa"/>
              <w:right w:w="15" w:type="dxa"/>
            </w:tcMar>
          </w:tcPr>
          <w:p w14:paraId="3F836CDF" w14:textId="77777777" w:rsidR="00346D28" w:rsidRPr="0014404C" w:rsidRDefault="00346D28" w:rsidP="0014404C">
            <w:pPr>
              <w:widowControl w:val="0"/>
              <w:spacing w:line="256" w:lineRule="auto"/>
              <w:jc w:val="both"/>
              <w:rPr>
                <w:b/>
                <w:color w:val="000000"/>
                <w:sz w:val="22"/>
                <w:szCs w:val="22"/>
                <w:lang w:val="sr-Latn-ME"/>
              </w:rPr>
            </w:pPr>
            <w:r w:rsidRPr="0014404C">
              <w:rPr>
                <w:b/>
                <w:sz w:val="22"/>
                <w:szCs w:val="22"/>
                <w:lang w:val="sr-Latn-ME"/>
              </w:rPr>
              <w:t>COMINO</w:t>
            </w:r>
          </w:p>
        </w:tc>
      </w:tr>
      <w:tr w:rsidR="00346D28" w:rsidRPr="0014404C" w14:paraId="7A829BA2" w14:textId="77777777" w:rsidTr="00963E44">
        <w:trPr>
          <w:trHeight w:val="285"/>
        </w:trPr>
        <w:tc>
          <w:tcPr>
            <w:tcW w:w="259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4118F" w14:textId="77777777" w:rsidR="00346D28" w:rsidRPr="0014404C" w:rsidRDefault="00346D28" w:rsidP="0014404C">
            <w:pPr>
              <w:widowControl w:val="0"/>
              <w:spacing w:line="256" w:lineRule="auto"/>
              <w:jc w:val="both"/>
              <w:rPr>
                <w:b/>
                <w:color w:val="000000"/>
                <w:sz w:val="22"/>
                <w:szCs w:val="22"/>
                <w:lang w:val="sr-Latn-ME"/>
              </w:rPr>
            </w:pPr>
          </w:p>
        </w:tc>
        <w:tc>
          <w:tcPr>
            <w:tcW w:w="3193" w:type="dxa"/>
            <w:gridSpan w:val="2"/>
            <w:tcBorders>
              <w:top w:val="single" w:sz="8" w:space="0" w:color="000000"/>
              <w:left w:val="single" w:sz="8" w:space="0" w:color="000000"/>
              <w:bottom w:val="nil"/>
              <w:right w:val="single" w:sz="8" w:space="0" w:color="000000"/>
            </w:tcBorders>
            <w:tcMar>
              <w:top w:w="15" w:type="dxa"/>
              <w:left w:w="15" w:type="dxa"/>
              <w:bottom w:w="15" w:type="dxa"/>
              <w:right w:w="15" w:type="dxa"/>
            </w:tcMar>
          </w:tcPr>
          <w:p w14:paraId="78927B87" w14:textId="15EA22B4" w:rsidR="00346D28" w:rsidRPr="0014404C" w:rsidRDefault="00346D28" w:rsidP="0014404C">
            <w:pPr>
              <w:widowControl w:val="0"/>
              <w:spacing w:line="256" w:lineRule="auto"/>
              <w:jc w:val="both"/>
              <w:rPr>
                <w:b/>
                <w:sz w:val="22"/>
                <w:szCs w:val="22"/>
                <w:lang w:val="sr-Latn-ME"/>
              </w:rPr>
            </w:pPr>
            <w:r w:rsidRPr="0014404C">
              <w:rPr>
                <w:b/>
                <w:sz w:val="22"/>
                <w:szCs w:val="22"/>
                <w:lang w:val="sr-Latn-ME"/>
              </w:rPr>
              <w:t>24 nedjelje</w:t>
            </w:r>
          </w:p>
        </w:tc>
        <w:tc>
          <w:tcPr>
            <w:tcW w:w="3193" w:type="dxa"/>
            <w:gridSpan w:val="2"/>
            <w:tcBorders>
              <w:top w:val="single" w:sz="8" w:space="0" w:color="000000"/>
              <w:left w:val="single" w:sz="8" w:space="0" w:color="000000"/>
              <w:bottom w:val="nil"/>
              <w:right w:val="single" w:sz="8" w:space="0" w:color="000000"/>
            </w:tcBorders>
          </w:tcPr>
          <w:p w14:paraId="2699EF6B" w14:textId="1616A0B8" w:rsidR="00346D28" w:rsidRPr="0014404C" w:rsidRDefault="00346D28" w:rsidP="0014404C">
            <w:pPr>
              <w:widowControl w:val="0"/>
              <w:spacing w:line="256" w:lineRule="auto"/>
              <w:jc w:val="both"/>
              <w:rPr>
                <w:b/>
                <w:sz w:val="22"/>
                <w:szCs w:val="22"/>
                <w:lang w:val="sr-Latn-ME"/>
              </w:rPr>
            </w:pPr>
            <w:r w:rsidRPr="0014404C">
              <w:rPr>
                <w:b/>
                <w:sz w:val="22"/>
                <w:szCs w:val="22"/>
                <w:lang w:val="sr-Latn-ME"/>
              </w:rPr>
              <w:t>72 nedjelje</w:t>
            </w:r>
            <w:r w:rsidRPr="0014404C">
              <w:rPr>
                <w:b/>
                <w:sz w:val="22"/>
                <w:szCs w:val="22"/>
                <w:vertAlign w:val="superscript"/>
                <w:lang w:val="sr-Latn-ME"/>
              </w:rPr>
              <w:t>a</w:t>
            </w:r>
          </w:p>
        </w:tc>
      </w:tr>
      <w:tr w:rsidR="00346D28" w:rsidRPr="0014404C" w14:paraId="5EC80EDD" w14:textId="77777777" w:rsidTr="00963E44">
        <w:tc>
          <w:tcPr>
            <w:tcW w:w="2599" w:type="dxa"/>
            <w:vMerge/>
            <w:tcBorders>
              <w:top w:val="single" w:sz="8" w:space="0" w:color="000000"/>
              <w:left w:val="single" w:sz="8" w:space="0" w:color="000000"/>
              <w:bottom w:val="single" w:sz="8" w:space="0" w:color="000000"/>
              <w:right w:val="single" w:sz="8" w:space="0" w:color="000000"/>
            </w:tcBorders>
            <w:vAlign w:val="center"/>
            <w:hideMark/>
          </w:tcPr>
          <w:p w14:paraId="7F9985CA" w14:textId="77777777" w:rsidR="00346D28" w:rsidRPr="0014404C" w:rsidRDefault="00346D28" w:rsidP="0014404C">
            <w:pPr>
              <w:widowControl w:val="0"/>
              <w:spacing w:line="256" w:lineRule="auto"/>
              <w:jc w:val="both"/>
              <w:rPr>
                <w:b/>
                <w:color w:val="000000"/>
                <w:sz w:val="22"/>
                <w:szCs w:val="22"/>
                <w:lang w:val="sr-Latn-ME"/>
              </w:rPr>
            </w:pP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EA4F9" w14:textId="03852710"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 xml:space="preserve">Faricimab svake 4 nedjelje </w:t>
            </w:r>
          </w:p>
          <w:p w14:paraId="29FBB169"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366</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7D1D187" w14:textId="0BD16116"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 xml:space="preserve">Aflibercept svake 4 nedjelje </w:t>
            </w:r>
          </w:p>
          <w:p w14:paraId="075FED5B"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363</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17036" w14:textId="2ECE4984"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Sa faricimaba svake 4 nedjelje na faricimab sa prilagodljiv</w:t>
            </w:r>
            <w:r w:rsidR="00F2111A" w:rsidRPr="0014404C">
              <w:rPr>
                <w:color w:val="000000"/>
                <w:sz w:val="22"/>
                <w:szCs w:val="22"/>
                <w:lang w:val="sr-Latn-ME"/>
              </w:rPr>
              <w:t>i</w:t>
            </w:r>
            <w:r w:rsidRPr="0014404C">
              <w:rPr>
                <w:color w:val="000000"/>
                <w:sz w:val="22"/>
                <w:szCs w:val="22"/>
                <w:lang w:val="sr-Latn-ME"/>
              </w:rPr>
              <w:t>m doziranjem</w:t>
            </w:r>
          </w:p>
          <w:p w14:paraId="4BDA8B47"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366</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A1DFD75" w14:textId="3AE72944"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Sa aflibercept svake 4 nedjelje na faricimab sa prilagodljiv</w:t>
            </w:r>
            <w:r w:rsidR="00F2111A" w:rsidRPr="0014404C">
              <w:rPr>
                <w:color w:val="000000"/>
                <w:sz w:val="22"/>
                <w:szCs w:val="22"/>
                <w:lang w:val="sr-Latn-ME"/>
              </w:rPr>
              <w:t>i</w:t>
            </w:r>
            <w:r w:rsidRPr="0014404C">
              <w:rPr>
                <w:color w:val="000000"/>
                <w:sz w:val="22"/>
                <w:szCs w:val="22"/>
                <w:lang w:val="sr-Latn-ME"/>
              </w:rPr>
              <w:t xml:space="preserve">m doziranjem  </w:t>
            </w:r>
          </w:p>
          <w:p w14:paraId="0B91431B"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N = 363</w:t>
            </w:r>
          </w:p>
        </w:tc>
      </w:tr>
      <w:tr w:rsidR="00346D28" w:rsidRPr="0014404C" w14:paraId="6B584E2B"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F2CFF" w14:textId="6CC345BF"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Srednja vrijednost promjene BCVA od početne vrijednosti prema ETDRS skoru slova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DFE03"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16,9</w:t>
            </w:r>
          </w:p>
          <w:p w14:paraId="0526AEF5"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(15,4; 18,3)</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81295C4"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17,3</w:t>
            </w:r>
          </w:p>
          <w:p w14:paraId="3C0852D9"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(15,9; 18,8)</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F3616"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16,9</w:t>
            </w:r>
          </w:p>
          <w:p w14:paraId="2DAAA902"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(15,2; 18,6)</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722825A"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17,1</w:t>
            </w:r>
          </w:p>
          <w:p w14:paraId="51EF7B41"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(15,4; 18,8)</w:t>
            </w:r>
          </w:p>
        </w:tc>
      </w:tr>
      <w:tr w:rsidR="00346D28" w:rsidRPr="0014404C" w14:paraId="2FA096E9"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BB47E" w14:textId="5126E726"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Razlika u srednj</w:t>
            </w:r>
            <w:r w:rsidR="00F2111A" w:rsidRPr="0014404C">
              <w:rPr>
                <w:color w:val="000000"/>
                <w:sz w:val="22"/>
                <w:szCs w:val="22"/>
                <w:lang w:val="sr-Latn-ME"/>
              </w:rPr>
              <w:t>oj</w:t>
            </w:r>
            <w:r w:rsidRPr="0014404C">
              <w:rPr>
                <w:color w:val="000000"/>
                <w:sz w:val="22"/>
                <w:szCs w:val="22"/>
                <w:lang w:val="sr-Latn-ME"/>
              </w:rPr>
              <w:t xml:space="preserve"> vrijednosti LS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81CC3"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-0,4</w:t>
            </w:r>
          </w:p>
          <w:p w14:paraId="3B44609F"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(-2,5; 1,6)</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93B904C" w14:textId="77777777" w:rsidR="00346D28" w:rsidRPr="0014404C" w:rsidRDefault="00346D28" w:rsidP="0014404C">
            <w:pPr>
              <w:widowControl w:val="0"/>
              <w:spacing w:line="256" w:lineRule="auto"/>
              <w:jc w:val="both"/>
              <w:rPr>
                <w:color w:val="000000"/>
                <w:sz w:val="22"/>
                <w:szCs w:val="22"/>
                <w:lang w:val="sr-Latn-ME"/>
              </w:rPr>
            </w:pP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B99F7" w14:textId="77777777" w:rsidR="00346D28" w:rsidRPr="0014404C" w:rsidRDefault="00346D28" w:rsidP="0014404C">
            <w:pPr>
              <w:widowControl w:val="0"/>
              <w:spacing w:line="256" w:lineRule="auto"/>
              <w:jc w:val="both"/>
              <w:rPr>
                <w:color w:val="000000"/>
                <w:sz w:val="22"/>
                <w:szCs w:val="22"/>
                <w:lang w:val="sr-Latn-ME"/>
              </w:rPr>
            </w:pP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6EE50D9" w14:textId="77777777" w:rsidR="00346D28" w:rsidRPr="0014404C" w:rsidRDefault="00346D28" w:rsidP="0014404C">
            <w:pPr>
              <w:widowControl w:val="0"/>
              <w:spacing w:line="256" w:lineRule="auto"/>
              <w:jc w:val="both"/>
              <w:rPr>
                <w:color w:val="000000"/>
                <w:sz w:val="22"/>
                <w:szCs w:val="22"/>
                <w:lang w:val="sr-Latn-ME"/>
              </w:rPr>
            </w:pPr>
          </w:p>
        </w:tc>
      </w:tr>
      <w:tr w:rsidR="00346D28" w:rsidRPr="0014404C" w14:paraId="0E6867D7"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A28B5"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Procenat pacijenata kojima se početni rezultat poboljšao za ≥ 15 slova (CMH ponderisani procenat,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88D34"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56,6%</w:t>
            </w:r>
          </w:p>
          <w:p w14:paraId="4D9E01D8"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(51,7%; 61,5%)</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1B9A258" w14:textId="77777777" w:rsidR="00346D28" w:rsidRPr="0014404C" w:rsidRDefault="00346D28" w:rsidP="0014404C">
            <w:pPr>
              <w:widowControl w:val="0"/>
              <w:jc w:val="both"/>
              <w:rPr>
                <w:color w:val="000000"/>
                <w:sz w:val="22"/>
                <w:szCs w:val="22"/>
                <w:lang w:val="sr-Latn-ME" w:eastAsia="ja-JP"/>
              </w:rPr>
            </w:pPr>
            <w:r w:rsidRPr="0014404C">
              <w:rPr>
                <w:color w:val="000000"/>
                <w:sz w:val="22"/>
                <w:szCs w:val="22"/>
                <w:lang w:val="sr-Latn-ME" w:eastAsia="ja-JP"/>
              </w:rPr>
              <w:t>58,1%</w:t>
            </w:r>
          </w:p>
          <w:p w14:paraId="0995F2DF"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eastAsia="ja-JP"/>
              </w:rPr>
              <w:t>(53,3%; 62,9%)</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313E0"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57,6%</w:t>
            </w:r>
          </w:p>
          <w:p w14:paraId="1D6E616D"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(52,8%; 62,5%)</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E9C5F67"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59,5%</w:t>
            </w:r>
          </w:p>
          <w:p w14:paraId="4004ACDD"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(54,7%; 64,3%)</w:t>
            </w:r>
          </w:p>
        </w:tc>
      </w:tr>
      <w:tr w:rsidR="00346D28" w:rsidRPr="0014404C" w14:paraId="5E4CCCA4" w14:textId="77777777" w:rsidTr="00963E44">
        <w:tc>
          <w:tcPr>
            <w:tcW w:w="2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45681"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Razlika ponderisanog % CMH (95% CI)</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783EE" w14:textId="77777777" w:rsidR="00346D28" w:rsidRPr="0014404C" w:rsidRDefault="00346D28" w:rsidP="0014404C">
            <w:pPr>
              <w:widowControl w:val="0"/>
              <w:spacing w:line="256" w:lineRule="auto"/>
              <w:ind w:left="10" w:right="14"/>
              <w:jc w:val="both"/>
              <w:rPr>
                <w:color w:val="000000"/>
                <w:sz w:val="22"/>
                <w:szCs w:val="22"/>
                <w:lang w:val="sr-Latn-ME"/>
              </w:rPr>
            </w:pPr>
            <w:r w:rsidRPr="0014404C">
              <w:rPr>
                <w:color w:val="000000"/>
                <w:sz w:val="22"/>
                <w:szCs w:val="22"/>
                <w:lang w:val="sr-Latn-ME"/>
              </w:rPr>
              <w:t>-1,5%</w:t>
            </w:r>
          </w:p>
          <w:p w14:paraId="526D1EF8" w14:textId="77777777" w:rsidR="00346D28" w:rsidRPr="0014404C" w:rsidRDefault="00346D28" w:rsidP="0014404C">
            <w:pPr>
              <w:widowControl w:val="0"/>
              <w:spacing w:line="256" w:lineRule="auto"/>
              <w:jc w:val="both"/>
              <w:rPr>
                <w:color w:val="000000"/>
                <w:sz w:val="22"/>
                <w:szCs w:val="22"/>
                <w:lang w:val="sr-Latn-ME"/>
              </w:rPr>
            </w:pPr>
            <w:r w:rsidRPr="0014404C">
              <w:rPr>
                <w:color w:val="000000"/>
                <w:sz w:val="22"/>
                <w:szCs w:val="22"/>
                <w:lang w:val="sr-Latn-ME"/>
              </w:rPr>
              <w:t>(-8,4%; 5,3%)</w:t>
            </w: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F4A044F" w14:textId="77777777" w:rsidR="00346D28" w:rsidRPr="0014404C" w:rsidRDefault="00346D28" w:rsidP="0014404C">
            <w:pPr>
              <w:widowControl w:val="0"/>
              <w:spacing w:line="256" w:lineRule="auto"/>
              <w:jc w:val="both"/>
              <w:rPr>
                <w:color w:val="000000"/>
                <w:sz w:val="22"/>
                <w:szCs w:val="22"/>
                <w:lang w:val="sr-Latn-ME"/>
              </w:rPr>
            </w:pP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419FA" w14:textId="77777777" w:rsidR="00346D28" w:rsidRPr="0014404C" w:rsidRDefault="00346D28" w:rsidP="0014404C">
            <w:pPr>
              <w:widowControl w:val="0"/>
              <w:spacing w:line="256" w:lineRule="auto"/>
              <w:ind w:left="10" w:right="14"/>
              <w:jc w:val="both"/>
              <w:rPr>
                <w:color w:val="000000"/>
                <w:sz w:val="22"/>
                <w:szCs w:val="22"/>
                <w:lang w:val="sr-Latn-ME"/>
              </w:rPr>
            </w:pPr>
          </w:p>
        </w:tc>
        <w:tc>
          <w:tcPr>
            <w:tcW w:w="159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DB5460A" w14:textId="77777777" w:rsidR="00346D28" w:rsidRPr="0014404C" w:rsidRDefault="00346D28" w:rsidP="0014404C">
            <w:pPr>
              <w:widowControl w:val="0"/>
              <w:spacing w:line="256" w:lineRule="auto"/>
              <w:jc w:val="both"/>
              <w:rPr>
                <w:color w:val="000000"/>
                <w:sz w:val="22"/>
                <w:szCs w:val="22"/>
                <w:lang w:val="sr-Latn-ME"/>
              </w:rPr>
            </w:pPr>
          </w:p>
        </w:tc>
      </w:tr>
    </w:tbl>
    <w:p w14:paraId="67732FDD" w14:textId="159BBE07" w:rsidR="00346D28" w:rsidRPr="009D39E8" w:rsidRDefault="00346D28" w:rsidP="0014404C">
      <w:pPr>
        <w:widowControl w:val="0"/>
        <w:jc w:val="both"/>
        <w:rPr>
          <w:bCs/>
          <w:iCs/>
          <w:sz w:val="20"/>
          <w:szCs w:val="22"/>
          <w:lang w:val="sr-Latn-ME" w:eastAsia="ja-JP"/>
        </w:rPr>
      </w:pPr>
      <w:r w:rsidRPr="009D39E8">
        <w:rPr>
          <w:sz w:val="20"/>
          <w:szCs w:val="22"/>
          <w:vertAlign w:val="superscript"/>
          <w:lang w:val="sr-Latn-ME" w:eastAsia="ja-JP"/>
        </w:rPr>
        <w:t>a</w:t>
      </w:r>
      <w:r w:rsidRPr="009D39E8">
        <w:rPr>
          <w:sz w:val="20"/>
          <w:szCs w:val="22"/>
          <w:lang w:val="sr-Latn-ME" w:eastAsia="ja-JP"/>
        </w:rPr>
        <w:t>Prosjek za 64., 68. i 72. nedjelju</w:t>
      </w:r>
    </w:p>
    <w:p w14:paraId="49002D84" w14:textId="77777777" w:rsidR="00346D28" w:rsidRPr="009D39E8" w:rsidRDefault="00346D28" w:rsidP="0014404C">
      <w:pPr>
        <w:widowControl w:val="0"/>
        <w:jc w:val="both"/>
        <w:rPr>
          <w:bCs/>
          <w:iCs/>
          <w:sz w:val="20"/>
          <w:szCs w:val="22"/>
          <w:lang w:val="sr-Latn-ME" w:eastAsia="ja-JP"/>
        </w:rPr>
      </w:pPr>
      <w:r w:rsidRPr="009D39E8">
        <w:rPr>
          <w:sz w:val="20"/>
          <w:szCs w:val="22"/>
          <w:lang w:val="sr-Latn-ME" w:eastAsia="ja-JP"/>
        </w:rPr>
        <w:t xml:space="preserve">BCVA: najbolja korigovana oštrina vida </w:t>
      </w:r>
    </w:p>
    <w:p w14:paraId="26DF00F0" w14:textId="6E6E4659" w:rsidR="00346D28" w:rsidRPr="009D39E8" w:rsidRDefault="00346D28" w:rsidP="0014404C">
      <w:pPr>
        <w:widowControl w:val="0"/>
        <w:jc w:val="both"/>
        <w:rPr>
          <w:bCs/>
          <w:iCs/>
          <w:sz w:val="20"/>
          <w:szCs w:val="22"/>
          <w:lang w:val="sr-Latn-ME" w:eastAsia="ja-JP"/>
        </w:rPr>
      </w:pPr>
      <w:r w:rsidRPr="009D39E8">
        <w:rPr>
          <w:sz w:val="20"/>
          <w:szCs w:val="22"/>
          <w:lang w:val="sr-Latn-ME" w:eastAsia="ja-JP"/>
        </w:rPr>
        <w:t xml:space="preserve">ETDRS: Studija ranog liječenja dijabetičke retinopatije </w:t>
      </w:r>
    </w:p>
    <w:p w14:paraId="5433C4D0" w14:textId="77777777" w:rsidR="00346D28" w:rsidRPr="009D39E8" w:rsidRDefault="00346D28" w:rsidP="0014404C">
      <w:pPr>
        <w:widowControl w:val="0"/>
        <w:jc w:val="both"/>
        <w:rPr>
          <w:bCs/>
          <w:iCs/>
          <w:sz w:val="20"/>
          <w:szCs w:val="22"/>
          <w:lang w:val="sr-Latn-ME" w:eastAsia="ja-JP"/>
        </w:rPr>
      </w:pPr>
      <w:r w:rsidRPr="009D39E8">
        <w:rPr>
          <w:sz w:val="20"/>
          <w:szCs w:val="22"/>
          <w:lang w:val="sr-Latn-ME" w:eastAsia="ja-JP"/>
        </w:rPr>
        <w:t>CI: interval pouzdanosti</w:t>
      </w:r>
    </w:p>
    <w:p w14:paraId="6112404B" w14:textId="77777777" w:rsidR="00346D28" w:rsidRPr="009D39E8" w:rsidRDefault="00346D28" w:rsidP="0014404C">
      <w:pPr>
        <w:widowControl w:val="0"/>
        <w:jc w:val="both"/>
        <w:rPr>
          <w:bCs/>
          <w:iCs/>
          <w:sz w:val="20"/>
          <w:szCs w:val="22"/>
          <w:lang w:val="sr-Latn-ME" w:eastAsia="ja-JP"/>
        </w:rPr>
      </w:pPr>
      <w:r w:rsidRPr="009D39E8">
        <w:rPr>
          <w:sz w:val="20"/>
          <w:szCs w:val="22"/>
          <w:lang w:val="sr-Latn-ME" w:eastAsia="ja-JP"/>
        </w:rPr>
        <w:t xml:space="preserve">LS: metoda najmanjih kvadrata </w:t>
      </w:r>
    </w:p>
    <w:p w14:paraId="14396A32" w14:textId="31AA9666" w:rsidR="00346D28" w:rsidRPr="009D39E8" w:rsidRDefault="00346D28" w:rsidP="0014404C">
      <w:pPr>
        <w:widowControl w:val="0"/>
        <w:jc w:val="both"/>
        <w:rPr>
          <w:bCs/>
          <w:iCs/>
          <w:sz w:val="20"/>
          <w:szCs w:val="22"/>
          <w:lang w:val="sr-Latn-ME" w:eastAsia="ja-JP"/>
        </w:rPr>
      </w:pPr>
      <w:r w:rsidRPr="009D39E8">
        <w:rPr>
          <w:sz w:val="20"/>
          <w:szCs w:val="22"/>
          <w:lang w:val="sr-Latn-ME" w:eastAsia="ja-JP"/>
        </w:rPr>
        <w:lastRenderedPageBreak/>
        <w:t xml:space="preserve">CMH: </w:t>
      </w:r>
      <w:r w:rsidRPr="009D39E8">
        <w:rPr>
          <w:i/>
          <w:sz w:val="20"/>
          <w:szCs w:val="22"/>
          <w:lang w:val="sr-Latn-ME" w:eastAsia="ja-JP"/>
        </w:rPr>
        <w:t>Cochran–Mantel–Haenszel</w:t>
      </w:r>
      <w:r w:rsidRPr="009D39E8">
        <w:rPr>
          <w:sz w:val="20"/>
          <w:szCs w:val="22"/>
          <w:lang w:val="sr-Latn-ME" w:eastAsia="ja-JP"/>
        </w:rPr>
        <w:t>-ova metoda; statistički test koji daje procjenu povezanosti sa binarnim ishodom i koji se koristi za procjenu kategoričkih varijabli.</w:t>
      </w:r>
    </w:p>
    <w:p w14:paraId="79ABB7AF" w14:textId="77777777" w:rsidR="00346D28" w:rsidRPr="0014404C" w:rsidRDefault="00346D28" w:rsidP="0014404C">
      <w:pPr>
        <w:widowControl w:val="0"/>
        <w:jc w:val="both"/>
        <w:rPr>
          <w:bCs/>
          <w:iCs/>
          <w:sz w:val="22"/>
          <w:szCs w:val="22"/>
          <w:lang w:val="sr-Latn-ME" w:eastAsia="ja-JP"/>
        </w:rPr>
      </w:pPr>
    </w:p>
    <w:p w14:paraId="4BB2A544" w14:textId="37DF5983" w:rsidR="00346D28" w:rsidRPr="0014404C" w:rsidRDefault="00346D28" w:rsidP="0014404C">
      <w:pPr>
        <w:widowControl w:val="0"/>
        <w:jc w:val="both"/>
        <w:rPr>
          <w:b/>
          <w:bCs/>
          <w:iCs/>
          <w:sz w:val="22"/>
          <w:szCs w:val="22"/>
          <w:lang w:val="sr-Latn-ME" w:eastAsia="ja-JP"/>
        </w:rPr>
      </w:pPr>
      <w:r w:rsidRPr="0014404C">
        <w:rPr>
          <w:b/>
          <w:bCs/>
          <w:iCs/>
          <w:sz w:val="22"/>
          <w:szCs w:val="22"/>
          <w:lang w:val="sr-Latn-ME" w:eastAsia="ja-JP"/>
        </w:rPr>
        <w:t>Slika 3: Srednja vrijednost promjene oštrine vida od početka ispitivanja do 72. nedjelje u studiji BALATON</w:t>
      </w:r>
    </w:p>
    <w:p w14:paraId="0272311A" w14:textId="7A201BE2" w:rsidR="00346D28" w:rsidRPr="0014404C" w:rsidRDefault="00AD3112" w:rsidP="0014404C">
      <w:pPr>
        <w:widowControl w:val="0"/>
        <w:jc w:val="both"/>
        <w:rPr>
          <w:bCs/>
          <w:iCs/>
          <w:sz w:val="22"/>
          <w:szCs w:val="22"/>
          <w:lang w:val="sr-Latn-ME" w:eastAsia="ja-JP"/>
        </w:rPr>
      </w:pPr>
      <w:r w:rsidRPr="0014404C">
        <w:rPr>
          <w:bCs/>
          <w:iCs/>
          <w:sz w:val="22"/>
          <w:szCs w:val="22"/>
          <w:lang w:val="sr-Latn-ME" w:eastAsia="sr-Latn-ME"/>
        </w:rPr>
        <w:drawing>
          <wp:inline distT="0" distB="0" distL="0" distR="0" wp14:anchorId="3CDAA942" wp14:editId="2B9C2211">
            <wp:extent cx="5391427" cy="31878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1427" cy="3187864"/>
                    </a:xfrm>
                    <a:prstGeom prst="rect">
                      <a:avLst/>
                    </a:prstGeom>
                  </pic:spPr>
                </pic:pic>
              </a:graphicData>
            </a:graphic>
          </wp:inline>
        </w:drawing>
      </w:r>
    </w:p>
    <w:p w14:paraId="7CE89785" w14:textId="6C56271E" w:rsidR="00346D28" w:rsidRPr="0014404C" w:rsidRDefault="00346D28" w:rsidP="0014404C">
      <w:pPr>
        <w:widowControl w:val="0"/>
        <w:jc w:val="both"/>
        <w:rPr>
          <w:bCs/>
          <w:iCs/>
          <w:sz w:val="22"/>
          <w:szCs w:val="22"/>
          <w:lang w:val="sr-Latn-ME" w:eastAsia="ja-JP"/>
        </w:rPr>
      </w:pPr>
      <w:r w:rsidRPr="0014404C">
        <w:rPr>
          <w:bCs/>
          <w:iCs/>
          <w:sz w:val="22"/>
          <w:szCs w:val="22"/>
          <w:lang w:val="sr-Latn-ME" w:eastAsia="ja-JP"/>
        </w:rPr>
        <w:t>Prim</w:t>
      </w:r>
      <w:r w:rsidR="00810BCB" w:rsidRPr="0014404C">
        <w:rPr>
          <w:bCs/>
          <w:iCs/>
          <w:sz w:val="22"/>
          <w:szCs w:val="22"/>
          <w:lang w:val="sr-Latn-ME" w:eastAsia="ja-JP"/>
        </w:rPr>
        <w:t>j</w:t>
      </w:r>
      <w:r w:rsidRPr="0014404C">
        <w:rPr>
          <w:bCs/>
          <w:iCs/>
          <w:sz w:val="22"/>
          <w:szCs w:val="22"/>
          <w:lang w:val="sr-Latn-ME" w:eastAsia="ja-JP"/>
        </w:rPr>
        <w:t>ena faricimaba u dozi od 6 mg sa prilagodljivim doziranjem u intervalima od najviše 16 ned</w:t>
      </w:r>
      <w:r w:rsidR="00F2111A" w:rsidRPr="0014404C">
        <w:rPr>
          <w:bCs/>
          <w:iCs/>
          <w:sz w:val="22"/>
          <w:szCs w:val="22"/>
          <w:lang w:val="sr-Latn-ME" w:eastAsia="ja-JP"/>
        </w:rPr>
        <w:t>j</w:t>
      </w:r>
      <w:r w:rsidRPr="0014404C">
        <w:rPr>
          <w:bCs/>
          <w:iCs/>
          <w:sz w:val="22"/>
          <w:szCs w:val="22"/>
          <w:lang w:val="sr-Latn-ME" w:eastAsia="ja-JP"/>
        </w:rPr>
        <w:t>elja započela je u 24. ned</w:t>
      </w:r>
      <w:r w:rsidR="00F2111A" w:rsidRPr="0014404C">
        <w:rPr>
          <w:bCs/>
          <w:iCs/>
          <w:sz w:val="22"/>
          <w:szCs w:val="22"/>
          <w:lang w:val="sr-Latn-ME" w:eastAsia="ja-JP"/>
        </w:rPr>
        <w:t>j</w:t>
      </w:r>
      <w:r w:rsidRPr="0014404C">
        <w:rPr>
          <w:bCs/>
          <w:iCs/>
          <w:sz w:val="22"/>
          <w:szCs w:val="22"/>
          <w:lang w:val="sr-Latn-ME" w:eastAsia="ja-JP"/>
        </w:rPr>
        <w:t>elji, ali nisu svi pacijenti primili faricimab u 24. ned</w:t>
      </w:r>
      <w:r w:rsidR="00F2111A" w:rsidRPr="0014404C">
        <w:rPr>
          <w:bCs/>
          <w:iCs/>
          <w:sz w:val="22"/>
          <w:szCs w:val="22"/>
          <w:lang w:val="sr-Latn-ME" w:eastAsia="ja-JP"/>
        </w:rPr>
        <w:t>j</w:t>
      </w:r>
      <w:r w:rsidRPr="0014404C">
        <w:rPr>
          <w:bCs/>
          <w:iCs/>
          <w:sz w:val="22"/>
          <w:szCs w:val="22"/>
          <w:lang w:val="sr-Latn-ME" w:eastAsia="ja-JP"/>
        </w:rPr>
        <w:t>elji.</w:t>
      </w:r>
    </w:p>
    <w:p w14:paraId="0209C7B9" w14:textId="77777777" w:rsidR="00346D28" w:rsidRPr="0014404C" w:rsidRDefault="00346D28" w:rsidP="0014404C">
      <w:pPr>
        <w:widowControl w:val="0"/>
        <w:jc w:val="both"/>
        <w:rPr>
          <w:bCs/>
          <w:iCs/>
          <w:sz w:val="22"/>
          <w:szCs w:val="22"/>
          <w:lang w:val="sr-Latn-ME" w:eastAsia="ja-JP"/>
        </w:rPr>
      </w:pPr>
    </w:p>
    <w:p w14:paraId="4C3FC82B" w14:textId="438BBB17" w:rsidR="00346D28" w:rsidRPr="0014404C" w:rsidRDefault="00346D28" w:rsidP="0014404C">
      <w:pPr>
        <w:widowControl w:val="0"/>
        <w:jc w:val="both"/>
        <w:rPr>
          <w:b/>
          <w:bCs/>
          <w:iCs/>
          <w:sz w:val="22"/>
          <w:szCs w:val="22"/>
          <w:lang w:val="sr-Latn-ME" w:eastAsia="ja-JP"/>
        </w:rPr>
      </w:pPr>
      <w:r w:rsidRPr="0014404C">
        <w:rPr>
          <w:b/>
          <w:bCs/>
          <w:iCs/>
          <w:sz w:val="22"/>
          <w:szCs w:val="22"/>
          <w:lang w:val="sr-Latn-ME" w:eastAsia="ja-JP"/>
        </w:rPr>
        <w:t>Slika 4: Srednja vrijednost promjene oštrine vida od početka ispitivanja do 72. nedjelje u studiji COMINO</w:t>
      </w:r>
    </w:p>
    <w:p w14:paraId="3BD85C11" w14:textId="07F2CC48" w:rsidR="00346D28" w:rsidRPr="0014404C" w:rsidRDefault="00346D28" w:rsidP="0014404C">
      <w:pPr>
        <w:widowControl w:val="0"/>
        <w:jc w:val="both"/>
        <w:rPr>
          <w:bCs/>
          <w:iCs/>
          <w:sz w:val="22"/>
          <w:szCs w:val="22"/>
          <w:lang w:val="sr-Latn-ME" w:eastAsia="ja-JP"/>
        </w:rPr>
      </w:pPr>
    </w:p>
    <w:p w14:paraId="089393F1" w14:textId="1031835C" w:rsidR="00346D28" w:rsidRPr="0014404C" w:rsidRDefault="00AD3112" w:rsidP="0014404C">
      <w:pPr>
        <w:widowControl w:val="0"/>
        <w:jc w:val="both"/>
        <w:rPr>
          <w:bCs/>
          <w:iCs/>
          <w:sz w:val="22"/>
          <w:szCs w:val="22"/>
          <w:lang w:val="sr-Latn-ME" w:eastAsia="ja-JP"/>
        </w:rPr>
      </w:pPr>
      <w:r w:rsidRPr="0014404C">
        <w:rPr>
          <w:bCs/>
          <w:iCs/>
          <w:sz w:val="22"/>
          <w:szCs w:val="22"/>
          <w:lang w:val="sr-Latn-ME" w:eastAsia="sr-Latn-ME"/>
        </w:rPr>
        <w:drawing>
          <wp:inline distT="0" distB="0" distL="0" distR="0" wp14:anchorId="56891B51" wp14:editId="64E9C36C">
            <wp:extent cx="5226319" cy="32069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26319" cy="3206915"/>
                    </a:xfrm>
                    <a:prstGeom prst="rect">
                      <a:avLst/>
                    </a:prstGeom>
                  </pic:spPr>
                </pic:pic>
              </a:graphicData>
            </a:graphic>
          </wp:inline>
        </w:drawing>
      </w:r>
    </w:p>
    <w:p w14:paraId="3764FB3A" w14:textId="1B4F02C6" w:rsidR="00346D28" w:rsidRPr="0014404C" w:rsidRDefault="00346D28" w:rsidP="0014404C">
      <w:pPr>
        <w:widowControl w:val="0"/>
        <w:jc w:val="both"/>
        <w:rPr>
          <w:iCs/>
          <w:sz w:val="22"/>
          <w:szCs w:val="22"/>
          <w:lang w:val="sr-Latn-ME" w:eastAsia="ja-JP"/>
        </w:rPr>
      </w:pPr>
      <w:r w:rsidRPr="0014404C">
        <w:rPr>
          <w:iCs/>
          <w:sz w:val="22"/>
          <w:szCs w:val="22"/>
          <w:lang w:val="sr-Latn-ME" w:eastAsia="ja-JP"/>
        </w:rPr>
        <w:t>Primjena faricimaba u dozi od 6 mg sa prilagodljivim doziranjem u intervalima od najviše 16 nedjelja započela je u 24. nedjelji, ali nisu svi pacijenti primili faricimab u 24. nedjelji.</w:t>
      </w:r>
    </w:p>
    <w:p w14:paraId="6439DF6B" w14:textId="77777777" w:rsidR="00346D28" w:rsidRPr="0014404C" w:rsidRDefault="00346D28" w:rsidP="0014404C">
      <w:pPr>
        <w:widowControl w:val="0"/>
        <w:jc w:val="both"/>
        <w:rPr>
          <w:iCs/>
          <w:sz w:val="22"/>
          <w:szCs w:val="22"/>
          <w:lang w:val="sr-Latn-ME" w:eastAsia="ja-JP"/>
        </w:rPr>
      </w:pPr>
    </w:p>
    <w:p w14:paraId="4A881288" w14:textId="32978F73" w:rsidR="00D44D34" w:rsidRPr="0014404C" w:rsidRDefault="00346D28" w:rsidP="0014404C">
      <w:pPr>
        <w:widowControl w:val="0"/>
        <w:jc w:val="both"/>
        <w:rPr>
          <w:iCs/>
          <w:sz w:val="22"/>
          <w:szCs w:val="22"/>
          <w:lang w:val="sr-Latn-ME" w:eastAsia="ja-JP"/>
        </w:rPr>
      </w:pPr>
      <w:r w:rsidRPr="0014404C">
        <w:rPr>
          <w:bCs/>
          <w:iCs/>
          <w:sz w:val="22"/>
          <w:szCs w:val="22"/>
          <w:lang w:val="sr-Latn-ME" w:eastAsia="ja-JP"/>
        </w:rPr>
        <w:t xml:space="preserve">U 24. nedjelji incidenca očnih neželjenih reakcija u ispitivanom oku iznosila je 20,1% u grupi liječenoj faricimabom svake 4 nedjelje i 24,6% u grupi liječenoj afliberceptom svake 4 nedjelje, dok je incidenca neželjenih reakcija izvan oka iznosila 32,9% u grupi liječenoj faricimabom svake 4 nedjelje i 36,4% u </w:t>
      </w:r>
      <w:r w:rsidRPr="0014404C">
        <w:rPr>
          <w:bCs/>
          <w:iCs/>
          <w:sz w:val="22"/>
          <w:szCs w:val="22"/>
          <w:lang w:val="sr-Latn-ME" w:eastAsia="ja-JP"/>
        </w:rPr>
        <w:lastRenderedPageBreak/>
        <w:t>grupi liječenoj afliberceptom svake 4 nedjelje (vidjeti dio 4.8).</w:t>
      </w:r>
    </w:p>
    <w:p w14:paraId="74DC5C15" w14:textId="14488D7A" w:rsidR="00146D5A" w:rsidRPr="0014404C" w:rsidRDefault="00146D5A" w:rsidP="0014404C">
      <w:pPr>
        <w:widowControl w:val="0"/>
        <w:jc w:val="both"/>
        <w:rPr>
          <w:sz w:val="22"/>
          <w:szCs w:val="22"/>
          <w:u w:val="single"/>
          <w:lang w:val="sr-Latn-ME" w:eastAsia="ja-JP"/>
        </w:rPr>
      </w:pPr>
    </w:p>
    <w:p w14:paraId="613BC757" w14:textId="45D1A3E0" w:rsidR="00D44D34" w:rsidRPr="0014404C" w:rsidRDefault="00D44D34" w:rsidP="0014404C">
      <w:pPr>
        <w:widowControl w:val="0"/>
        <w:jc w:val="both"/>
        <w:rPr>
          <w:sz w:val="22"/>
          <w:szCs w:val="22"/>
          <w:u w:val="single"/>
          <w:lang w:val="sr-Latn-ME" w:eastAsia="ja-JP"/>
        </w:rPr>
      </w:pPr>
      <w:r w:rsidRPr="0014404C">
        <w:rPr>
          <w:sz w:val="22"/>
          <w:szCs w:val="22"/>
          <w:u w:val="single"/>
          <w:lang w:val="sr-Latn-ME" w:eastAsia="ja-JP"/>
        </w:rPr>
        <w:t>Pedijatrijska populacija</w:t>
      </w:r>
    </w:p>
    <w:p w14:paraId="1688A8D0" w14:textId="77777777" w:rsidR="00146D5A" w:rsidRPr="0014404C" w:rsidRDefault="00146D5A" w:rsidP="0014404C">
      <w:pPr>
        <w:widowControl w:val="0"/>
        <w:jc w:val="both"/>
        <w:rPr>
          <w:bCs/>
          <w:iCs/>
          <w:sz w:val="22"/>
          <w:szCs w:val="22"/>
          <w:lang w:val="sr-Latn-ME" w:eastAsia="ja-JP"/>
        </w:rPr>
      </w:pPr>
    </w:p>
    <w:p w14:paraId="4D5B4FF0" w14:textId="7EA07FE7" w:rsidR="00D44D34" w:rsidRPr="0014404C" w:rsidRDefault="00D44D34" w:rsidP="0014404C">
      <w:pPr>
        <w:widowControl w:val="0"/>
        <w:jc w:val="both"/>
        <w:rPr>
          <w:rFonts w:eastAsia="Verdana"/>
          <w:sz w:val="22"/>
          <w:szCs w:val="22"/>
          <w:lang w:val="sr-Latn-ME" w:eastAsia="en-GB"/>
        </w:rPr>
      </w:pPr>
      <w:r w:rsidRPr="0014404C">
        <w:rPr>
          <w:rFonts w:eastAsia="Verdana"/>
          <w:sz w:val="22"/>
          <w:szCs w:val="22"/>
          <w:lang w:val="sr-Latn-ME" w:eastAsia="en-GB"/>
        </w:rPr>
        <w:t xml:space="preserve">Evropska agencija za </w:t>
      </w:r>
      <w:r w:rsidR="00162F5A" w:rsidRPr="0014404C">
        <w:rPr>
          <w:rFonts w:eastAsia="Verdana"/>
          <w:sz w:val="22"/>
          <w:szCs w:val="22"/>
          <w:lang w:val="sr-Latn-ME" w:eastAsia="en-GB"/>
        </w:rPr>
        <w:t xml:space="preserve">ljekove </w:t>
      </w:r>
      <w:r w:rsidRPr="0014404C">
        <w:rPr>
          <w:rFonts w:eastAsia="Verdana"/>
          <w:sz w:val="22"/>
          <w:szCs w:val="22"/>
          <w:lang w:val="sr-Latn-ME" w:eastAsia="en-GB"/>
        </w:rPr>
        <w:t>je izuzela obavezu podnošenja rezultata studija faricimaba u svim podgrupama pedijatrijske populacije sa nAMD</w:t>
      </w:r>
      <w:r w:rsidR="00346D28" w:rsidRPr="0014404C">
        <w:rPr>
          <w:rFonts w:eastAsia="Verdana"/>
          <w:sz w:val="22"/>
          <w:szCs w:val="22"/>
          <w:lang w:val="sr-Latn-ME" w:eastAsia="en-GB"/>
        </w:rPr>
        <w:t>,</w:t>
      </w:r>
      <w:r w:rsidRPr="0014404C">
        <w:rPr>
          <w:rFonts w:eastAsia="Verdana"/>
          <w:sz w:val="22"/>
          <w:szCs w:val="22"/>
          <w:lang w:val="sr-Latn-ME" w:eastAsia="en-GB"/>
        </w:rPr>
        <w:t xml:space="preserve"> DME </w:t>
      </w:r>
      <w:r w:rsidR="00346D28" w:rsidRPr="0014404C">
        <w:rPr>
          <w:rFonts w:eastAsia="Verdana"/>
          <w:sz w:val="22"/>
          <w:szCs w:val="22"/>
          <w:lang w:val="sr-Latn-ME" w:eastAsia="en-GB"/>
        </w:rPr>
        <w:t xml:space="preserve">i RVO </w:t>
      </w:r>
      <w:r w:rsidRPr="0014404C">
        <w:rPr>
          <w:rFonts w:eastAsia="Verdana"/>
          <w:sz w:val="22"/>
          <w:szCs w:val="22"/>
          <w:lang w:val="sr-Latn-ME" w:eastAsia="en-GB"/>
        </w:rPr>
        <w:t>(</w:t>
      </w:r>
      <w:r w:rsidR="00802EFD" w:rsidRPr="0014404C">
        <w:rPr>
          <w:rFonts w:eastAsia="Verdana"/>
          <w:sz w:val="22"/>
          <w:szCs w:val="22"/>
          <w:lang w:val="sr-Latn-ME" w:eastAsia="en-GB"/>
        </w:rPr>
        <w:t>vidjeti</w:t>
      </w:r>
      <w:r w:rsidRPr="0014404C">
        <w:rPr>
          <w:rFonts w:eastAsia="Verdana"/>
          <w:sz w:val="22"/>
          <w:szCs w:val="22"/>
          <w:lang w:val="sr-Latn-ME" w:eastAsia="en-GB"/>
        </w:rPr>
        <w:t xml:space="preserve"> </w:t>
      </w:r>
      <w:r w:rsidR="00802EFD" w:rsidRPr="0014404C">
        <w:rPr>
          <w:rFonts w:eastAsia="Verdana"/>
          <w:sz w:val="22"/>
          <w:szCs w:val="22"/>
          <w:lang w:val="sr-Latn-ME" w:eastAsia="en-GB"/>
        </w:rPr>
        <w:t>dio</w:t>
      </w:r>
      <w:r w:rsidRPr="0014404C">
        <w:rPr>
          <w:rFonts w:eastAsia="Verdana"/>
          <w:sz w:val="22"/>
          <w:szCs w:val="22"/>
          <w:lang w:val="sr-Latn-ME" w:eastAsia="en-GB"/>
        </w:rPr>
        <w:t xml:space="preserve"> 4.2 za informacije o pedijatrijskoj </w:t>
      </w:r>
      <w:r w:rsidR="00162F5A" w:rsidRPr="0014404C">
        <w:rPr>
          <w:rFonts w:eastAsia="Verdana"/>
          <w:sz w:val="22"/>
          <w:szCs w:val="22"/>
          <w:lang w:val="sr-Latn-ME" w:eastAsia="en-GB"/>
        </w:rPr>
        <w:t>primjeni</w:t>
      </w:r>
      <w:r w:rsidRPr="0014404C">
        <w:rPr>
          <w:rFonts w:eastAsia="Verdana"/>
          <w:sz w:val="22"/>
          <w:szCs w:val="22"/>
          <w:lang w:val="sr-Latn-ME" w:eastAsia="en-GB"/>
        </w:rPr>
        <w:t>).</w:t>
      </w:r>
    </w:p>
    <w:p w14:paraId="51B71382" w14:textId="76BE6D9B" w:rsidR="00810158" w:rsidRPr="0014404C" w:rsidRDefault="00810158" w:rsidP="0014404C">
      <w:pPr>
        <w:widowControl w:val="0"/>
        <w:tabs>
          <w:tab w:val="left" w:pos="540"/>
          <w:tab w:val="left" w:pos="569"/>
        </w:tabs>
        <w:jc w:val="both"/>
        <w:rPr>
          <w:b/>
          <w:bCs/>
          <w:sz w:val="22"/>
          <w:szCs w:val="22"/>
          <w:lang w:val="sr-Latn-ME"/>
        </w:rPr>
      </w:pPr>
    </w:p>
    <w:p w14:paraId="77743E76"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5.2. </w:t>
      </w:r>
      <w:r w:rsidR="00480FB1" w:rsidRPr="0014404C">
        <w:rPr>
          <w:b/>
          <w:bCs/>
          <w:sz w:val="22"/>
          <w:szCs w:val="22"/>
          <w:lang w:val="sr-Latn-ME"/>
        </w:rPr>
        <w:tab/>
      </w:r>
      <w:r w:rsidRPr="0014404C">
        <w:rPr>
          <w:b/>
          <w:bCs/>
          <w:sz w:val="22"/>
          <w:szCs w:val="22"/>
          <w:lang w:val="sr-Latn-ME"/>
        </w:rPr>
        <w:t>Farmakokinetički podaci</w:t>
      </w:r>
      <w:r w:rsidR="003A7059" w:rsidRPr="0014404C">
        <w:rPr>
          <w:b/>
          <w:bCs/>
          <w:sz w:val="22"/>
          <w:szCs w:val="22"/>
          <w:lang w:val="sr-Latn-ME"/>
        </w:rPr>
        <w:t xml:space="preserve"> </w:t>
      </w:r>
    </w:p>
    <w:p w14:paraId="418D25B6" w14:textId="77777777" w:rsidR="00D44D34" w:rsidRPr="0014404C" w:rsidRDefault="00D44D34" w:rsidP="0014404C">
      <w:pPr>
        <w:widowControl w:val="0"/>
        <w:tabs>
          <w:tab w:val="left" w:pos="540"/>
          <w:tab w:val="left" w:pos="569"/>
        </w:tabs>
        <w:jc w:val="both"/>
        <w:rPr>
          <w:b/>
          <w:bCs/>
          <w:sz w:val="22"/>
          <w:szCs w:val="22"/>
          <w:lang w:val="sr-Latn-ME"/>
        </w:rPr>
      </w:pPr>
    </w:p>
    <w:p w14:paraId="5EEC7FDF" w14:textId="4E2F22AF" w:rsidR="00D44D34" w:rsidRPr="0014404C" w:rsidRDefault="00D44D34" w:rsidP="0014404C">
      <w:pPr>
        <w:widowControl w:val="0"/>
        <w:numPr>
          <w:ilvl w:val="12"/>
          <w:numId w:val="0"/>
        </w:numPr>
        <w:ind w:right="2"/>
        <w:jc w:val="both"/>
        <w:rPr>
          <w:sz w:val="22"/>
          <w:szCs w:val="22"/>
          <w:lang w:val="sr-Latn-ME" w:eastAsia="ja-JP"/>
        </w:rPr>
      </w:pPr>
      <w:r w:rsidRPr="0014404C">
        <w:rPr>
          <w:sz w:val="22"/>
          <w:szCs w:val="22"/>
          <w:lang w:val="sr-Latn-ME" w:eastAsia="ja-JP"/>
        </w:rPr>
        <w:t xml:space="preserve">Faricimab se </w:t>
      </w:r>
      <w:r w:rsidR="00162F5A" w:rsidRPr="0014404C">
        <w:rPr>
          <w:sz w:val="22"/>
          <w:szCs w:val="22"/>
          <w:lang w:val="sr-Latn-ME" w:eastAsia="ja-JP"/>
        </w:rPr>
        <w:t xml:space="preserve">primjenjuje </w:t>
      </w:r>
      <w:r w:rsidRPr="0014404C">
        <w:rPr>
          <w:sz w:val="22"/>
          <w:szCs w:val="22"/>
          <w:lang w:val="sr-Latn-ME" w:eastAsia="ja-JP"/>
        </w:rPr>
        <w:t>intravitrealno kako bi ostvario lokalna dejstva u oku.</w:t>
      </w:r>
    </w:p>
    <w:p w14:paraId="31F2762A" w14:textId="77777777" w:rsidR="00D44D34" w:rsidRPr="0014404C" w:rsidRDefault="00D44D34" w:rsidP="0014404C">
      <w:pPr>
        <w:widowControl w:val="0"/>
        <w:numPr>
          <w:ilvl w:val="12"/>
          <w:numId w:val="0"/>
        </w:numPr>
        <w:ind w:right="2"/>
        <w:jc w:val="both"/>
        <w:rPr>
          <w:sz w:val="22"/>
          <w:szCs w:val="22"/>
          <w:lang w:val="sr-Latn-ME" w:eastAsia="ja-JP"/>
        </w:rPr>
      </w:pPr>
    </w:p>
    <w:p w14:paraId="3DABEF2B" w14:textId="77777777" w:rsidR="00D44D34" w:rsidRPr="0014404C" w:rsidRDefault="00D44D34" w:rsidP="0014404C">
      <w:pPr>
        <w:widowControl w:val="0"/>
        <w:numPr>
          <w:ilvl w:val="12"/>
          <w:numId w:val="0"/>
        </w:numPr>
        <w:jc w:val="both"/>
        <w:rPr>
          <w:sz w:val="22"/>
          <w:szCs w:val="22"/>
          <w:u w:val="single"/>
          <w:lang w:val="sr-Latn-ME" w:eastAsia="ja-JP"/>
        </w:rPr>
      </w:pPr>
      <w:r w:rsidRPr="0014404C">
        <w:rPr>
          <w:sz w:val="22"/>
          <w:szCs w:val="22"/>
          <w:u w:val="single"/>
          <w:lang w:val="sr-Latn-ME" w:eastAsia="ja-JP"/>
        </w:rPr>
        <w:t>Resorpcija i distribucija</w:t>
      </w:r>
    </w:p>
    <w:p w14:paraId="08030A29" w14:textId="77777777" w:rsidR="00D44D34" w:rsidRPr="0014404C" w:rsidRDefault="00D44D34" w:rsidP="0014404C">
      <w:pPr>
        <w:widowControl w:val="0"/>
        <w:numPr>
          <w:ilvl w:val="12"/>
          <w:numId w:val="0"/>
        </w:numPr>
        <w:jc w:val="both"/>
        <w:rPr>
          <w:sz w:val="22"/>
          <w:szCs w:val="22"/>
          <w:lang w:val="sr-Latn-ME" w:eastAsia="ja-JP"/>
        </w:rPr>
      </w:pPr>
    </w:p>
    <w:p w14:paraId="77A96995" w14:textId="58B36ECA" w:rsidR="00D44D34" w:rsidRPr="0014404C" w:rsidRDefault="00D44D34" w:rsidP="0014404C">
      <w:pPr>
        <w:widowControl w:val="0"/>
        <w:numPr>
          <w:ilvl w:val="12"/>
          <w:numId w:val="0"/>
        </w:numPr>
        <w:jc w:val="both"/>
        <w:rPr>
          <w:sz w:val="22"/>
          <w:szCs w:val="22"/>
          <w:lang w:val="sr-Latn-ME" w:eastAsia="ja-JP"/>
        </w:rPr>
      </w:pPr>
      <w:r w:rsidRPr="0014404C">
        <w:rPr>
          <w:sz w:val="22"/>
          <w:szCs w:val="22"/>
          <w:lang w:val="sr-Latn-ME" w:eastAsia="ja-JP"/>
        </w:rPr>
        <w:t xml:space="preserve">Na osnovu populacione farmakokinetičke analize (uključujući nAMD i DME, N = 2246) </w:t>
      </w:r>
      <w:r w:rsidR="00162F5A" w:rsidRPr="0014404C">
        <w:rPr>
          <w:sz w:val="22"/>
          <w:szCs w:val="22"/>
          <w:lang w:val="sr-Latn-ME" w:eastAsia="ja-JP"/>
        </w:rPr>
        <w:t xml:space="preserve">procjenjuje </w:t>
      </w:r>
      <w:r w:rsidRPr="0014404C">
        <w:rPr>
          <w:sz w:val="22"/>
          <w:szCs w:val="22"/>
          <w:lang w:val="sr-Latn-ME" w:eastAsia="ja-JP"/>
        </w:rPr>
        <w:t>se da će se maksimalne koncentracije (Cmax) slobodnog faricimaba u plazmi (nevezanog za</w:t>
      </w:r>
      <w:r w:rsidRPr="0014404C">
        <w:rPr>
          <w:i/>
          <w:iCs/>
          <w:sz w:val="22"/>
          <w:szCs w:val="22"/>
          <w:lang w:val="sr-Latn-ME" w:eastAsia="ja-JP"/>
        </w:rPr>
        <w:t xml:space="preserve"> VEGF-A i Ang-2</w:t>
      </w:r>
      <w:r w:rsidRPr="0014404C">
        <w:rPr>
          <w:sz w:val="22"/>
          <w:szCs w:val="22"/>
          <w:lang w:val="sr-Latn-ME" w:eastAsia="ja-JP"/>
        </w:rPr>
        <w:t xml:space="preserve">) dostići približno 2 dana nakon </w:t>
      </w:r>
      <w:r w:rsidR="00802EFD" w:rsidRPr="0014404C">
        <w:rPr>
          <w:sz w:val="22"/>
          <w:szCs w:val="22"/>
          <w:lang w:val="sr-Latn-ME" w:eastAsia="ja-JP"/>
        </w:rPr>
        <w:t>primjene</w:t>
      </w:r>
      <w:r w:rsidRPr="0014404C">
        <w:rPr>
          <w:sz w:val="22"/>
          <w:szCs w:val="22"/>
          <w:lang w:val="sr-Latn-ME" w:eastAsia="ja-JP"/>
        </w:rPr>
        <w:t xml:space="preserve"> doze. </w:t>
      </w:r>
      <w:r w:rsidR="00162F5A" w:rsidRPr="0014404C">
        <w:rPr>
          <w:sz w:val="22"/>
          <w:szCs w:val="22"/>
          <w:lang w:val="sr-Latn-ME" w:eastAsia="ja-JP"/>
        </w:rPr>
        <w:t xml:space="preserve">Procijenjena </w:t>
      </w:r>
      <w:r w:rsidRPr="0014404C">
        <w:rPr>
          <w:sz w:val="22"/>
          <w:szCs w:val="22"/>
          <w:lang w:val="sr-Latn-ME" w:eastAsia="ja-JP"/>
        </w:rPr>
        <w:t xml:space="preserve">srednja </w:t>
      </w:r>
      <w:r w:rsidR="00162F5A" w:rsidRPr="0014404C">
        <w:rPr>
          <w:sz w:val="22"/>
          <w:szCs w:val="22"/>
          <w:lang w:val="sr-Latn-ME" w:eastAsia="ja-JP"/>
        </w:rPr>
        <w:t xml:space="preserve">vrijednost </w:t>
      </w:r>
      <w:r w:rsidRPr="0014404C">
        <w:rPr>
          <w:sz w:val="22"/>
          <w:szCs w:val="22"/>
          <w:lang w:val="sr-Latn-ME" w:eastAsia="ja-JP"/>
        </w:rPr>
        <w:t>(±SD [standardna devijacija]) Cmax u plazmi iznosi 0,23 (0,07) µg/m kod pacijenata sa nAMD i 0,22 (0,07) µg/</w:t>
      </w:r>
      <w:r w:rsidR="00AC1659" w:rsidRPr="0014404C">
        <w:rPr>
          <w:sz w:val="22"/>
          <w:szCs w:val="22"/>
          <w:lang w:val="sr-Latn-ME" w:eastAsia="ja-JP"/>
        </w:rPr>
        <w:t>ml</w:t>
      </w:r>
      <w:r w:rsidRPr="0014404C">
        <w:rPr>
          <w:sz w:val="22"/>
          <w:szCs w:val="22"/>
          <w:lang w:val="sr-Latn-ME" w:eastAsia="ja-JP"/>
        </w:rPr>
        <w:t xml:space="preserve"> kod pacijenata sa DME. </w:t>
      </w:r>
      <w:r w:rsidR="00162F5A" w:rsidRPr="0014404C">
        <w:rPr>
          <w:sz w:val="22"/>
          <w:szCs w:val="22"/>
          <w:lang w:val="sr-Latn-ME" w:eastAsia="ja-JP"/>
        </w:rPr>
        <w:t xml:space="preserve">Procijenjena </w:t>
      </w:r>
      <w:r w:rsidRPr="0014404C">
        <w:rPr>
          <w:sz w:val="22"/>
          <w:szCs w:val="22"/>
          <w:lang w:val="sr-Latn-ME" w:eastAsia="ja-JP"/>
        </w:rPr>
        <w:t xml:space="preserve">srednja </w:t>
      </w:r>
      <w:r w:rsidR="00162F5A" w:rsidRPr="0014404C">
        <w:rPr>
          <w:sz w:val="22"/>
          <w:szCs w:val="22"/>
          <w:lang w:val="sr-Latn-ME" w:eastAsia="ja-JP"/>
        </w:rPr>
        <w:t xml:space="preserve">vrijednost </w:t>
      </w:r>
      <w:r w:rsidRPr="0014404C">
        <w:rPr>
          <w:sz w:val="22"/>
          <w:szCs w:val="22"/>
          <w:lang w:val="sr-Latn-ME" w:eastAsia="ja-JP"/>
        </w:rPr>
        <w:t xml:space="preserve">najnižih koncentracija slobodnog faricimaba u plazmi nakon ponovljene </w:t>
      </w:r>
      <w:r w:rsidR="00802EFD" w:rsidRPr="0014404C">
        <w:rPr>
          <w:sz w:val="22"/>
          <w:szCs w:val="22"/>
          <w:lang w:val="sr-Latn-ME" w:eastAsia="ja-JP"/>
        </w:rPr>
        <w:t>primjene</w:t>
      </w:r>
      <w:r w:rsidRPr="0014404C">
        <w:rPr>
          <w:sz w:val="22"/>
          <w:szCs w:val="22"/>
          <w:lang w:val="sr-Latn-ME" w:eastAsia="ja-JP"/>
        </w:rPr>
        <w:t xml:space="preserve"> svakih 8 </w:t>
      </w:r>
      <w:r w:rsidR="00802EFD" w:rsidRPr="0014404C">
        <w:rPr>
          <w:sz w:val="22"/>
          <w:szCs w:val="22"/>
          <w:lang w:val="sr-Latn-ME" w:eastAsia="ja-JP"/>
        </w:rPr>
        <w:t>nedjelja</w:t>
      </w:r>
      <w:r w:rsidRPr="0014404C">
        <w:rPr>
          <w:sz w:val="22"/>
          <w:szCs w:val="22"/>
          <w:lang w:val="sr-Latn-ME" w:eastAsia="ja-JP"/>
        </w:rPr>
        <w:t xml:space="preserve"> iznosi 0,002 – 0,003 µg/</w:t>
      </w:r>
      <w:r w:rsidR="00AC1659" w:rsidRPr="0014404C">
        <w:rPr>
          <w:sz w:val="22"/>
          <w:szCs w:val="22"/>
          <w:lang w:val="sr-Latn-ME" w:eastAsia="ja-JP"/>
        </w:rPr>
        <w:t>ml</w:t>
      </w:r>
      <w:r w:rsidRPr="0014404C">
        <w:rPr>
          <w:sz w:val="22"/>
          <w:szCs w:val="22"/>
          <w:lang w:val="sr-Latn-ME" w:eastAsia="ja-JP"/>
        </w:rPr>
        <w:t>.</w:t>
      </w:r>
    </w:p>
    <w:p w14:paraId="39447D27" w14:textId="77777777" w:rsidR="00D44D34" w:rsidRPr="0014404C" w:rsidRDefault="00D44D34" w:rsidP="0014404C">
      <w:pPr>
        <w:widowControl w:val="0"/>
        <w:numPr>
          <w:ilvl w:val="12"/>
          <w:numId w:val="0"/>
        </w:numPr>
        <w:ind w:right="2"/>
        <w:jc w:val="both"/>
        <w:rPr>
          <w:sz w:val="22"/>
          <w:szCs w:val="22"/>
          <w:lang w:val="sr-Latn-ME" w:eastAsia="ja-JP"/>
        </w:rPr>
      </w:pPr>
    </w:p>
    <w:p w14:paraId="13821D1C" w14:textId="5836432E" w:rsidR="00D44D34" w:rsidRPr="0014404C" w:rsidRDefault="00D44D34" w:rsidP="0014404C">
      <w:pPr>
        <w:widowControl w:val="0"/>
        <w:numPr>
          <w:ilvl w:val="12"/>
          <w:numId w:val="0"/>
        </w:numPr>
        <w:ind w:right="2"/>
        <w:jc w:val="both"/>
        <w:rPr>
          <w:sz w:val="22"/>
          <w:szCs w:val="22"/>
          <w:lang w:val="sr-Latn-ME" w:eastAsia="ja-JP"/>
        </w:rPr>
      </w:pPr>
      <w:r w:rsidRPr="0014404C">
        <w:rPr>
          <w:sz w:val="22"/>
          <w:szCs w:val="22"/>
          <w:lang w:val="sr-Latn-ME" w:eastAsia="ja-JP"/>
        </w:rPr>
        <w:t xml:space="preserve">Faricimab je pokazao farmakokinetiku proporcionalnu dozi (na osnovu Cmax i AUC) u rasponu doza od 0,5 mg do 6 mg. Nakon </w:t>
      </w:r>
      <w:r w:rsidR="00802EFD" w:rsidRPr="0014404C">
        <w:rPr>
          <w:sz w:val="22"/>
          <w:szCs w:val="22"/>
          <w:lang w:val="sr-Latn-ME" w:eastAsia="ja-JP"/>
        </w:rPr>
        <w:t>primjene</w:t>
      </w:r>
      <w:r w:rsidRPr="0014404C">
        <w:rPr>
          <w:sz w:val="22"/>
          <w:szCs w:val="22"/>
          <w:lang w:val="sr-Latn-ME" w:eastAsia="ja-JP"/>
        </w:rPr>
        <w:t xml:space="preserve"> jednom </w:t>
      </w:r>
      <w:r w:rsidR="00162F5A" w:rsidRPr="0014404C">
        <w:rPr>
          <w:sz w:val="22"/>
          <w:szCs w:val="22"/>
          <w:lang w:val="sr-Latn-ME" w:eastAsia="ja-JP"/>
        </w:rPr>
        <w:t xml:space="preserve">mjesečno </w:t>
      </w:r>
      <w:r w:rsidRPr="0014404C">
        <w:rPr>
          <w:sz w:val="22"/>
          <w:szCs w:val="22"/>
          <w:lang w:val="sr-Latn-ME" w:eastAsia="ja-JP"/>
        </w:rPr>
        <w:t xml:space="preserve">nije </w:t>
      </w:r>
      <w:r w:rsidR="00162F5A" w:rsidRPr="0014404C">
        <w:rPr>
          <w:sz w:val="22"/>
          <w:szCs w:val="22"/>
          <w:lang w:val="sr-Latn-ME" w:eastAsia="ja-JP"/>
        </w:rPr>
        <w:t xml:space="preserve">zabilježena </w:t>
      </w:r>
      <w:r w:rsidRPr="0014404C">
        <w:rPr>
          <w:sz w:val="22"/>
          <w:szCs w:val="22"/>
          <w:lang w:val="sr-Latn-ME" w:eastAsia="ja-JP"/>
        </w:rPr>
        <w:t xml:space="preserve">akumulacija faricimaba ni u staklastom </w:t>
      </w:r>
      <w:r w:rsidR="00162F5A" w:rsidRPr="0014404C">
        <w:rPr>
          <w:sz w:val="22"/>
          <w:szCs w:val="22"/>
          <w:lang w:val="sr-Latn-ME" w:eastAsia="ja-JP"/>
        </w:rPr>
        <w:t>tijelu</w:t>
      </w:r>
      <w:r w:rsidRPr="0014404C">
        <w:rPr>
          <w:sz w:val="22"/>
          <w:szCs w:val="22"/>
          <w:lang w:val="sr-Latn-ME" w:eastAsia="ja-JP"/>
        </w:rPr>
        <w:t>, ni u plazmi.</w:t>
      </w:r>
    </w:p>
    <w:p w14:paraId="01A369C8" w14:textId="77777777" w:rsidR="00D44D34" w:rsidRPr="0014404C" w:rsidRDefault="00D44D34" w:rsidP="0014404C">
      <w:pPr>
        <w:widowControl w:val="0"/>
        <w:numPr>
          <w:ilvl w:val="12"/>
          <w:numId w:val="0"/>
        </w:numPr>
        <w:ind w:right="2"/>
        <w:jc w:val="both"/>
        <w:rPr>
          <w:sz w:val="22"/>
          <w:szCs w:val="22"/>
          <w:lang w:val="sr-Latn-ME" w:eastAsia="ja-JP"/>
        </w:rPr>
      </w:pPr>
    </w:p>
    <w:p w14:paraId="751DD061" w14:textId="4FDBFE9A" w:rsidR="00D44D34" w:rsidRPr="0014404C" w:rsidRDefault="00D44D34" w:rsidP="0014404C">
      <w:pPr>
        <w:widowControl w:val="0"/>
        <w:numPr>
          <w:ilvl w:val="12"/>
          <w:numId w:val="0"/>
        </w:numPr>
        <w:ind w:right="2"/>
        <w:jc w:val="both"/>
        <w:rPr>
          <w:sz w:val="22"/>
          <w:szCs w:val="22"/>
          <w:lang w:val="sr-Latn-ME" w:eastAsia="ja-JP"/>
        </w:rPr>
      </w:pPr>
      <w:r w:rsidRPr="0014404C">
        <w:rPr>
          <w:sz w:val="22"/>
          <w:szCs w:val="22"/>
          <w:lang w:val="sr-Latn-ME" w:eastAsia="ja-JP"/>
        </w:rPr>
        <w:t xml:space="preserve">Predviđa se da su maksimalne koncentracije slobodnog faricimaba u plazmi približno 600 puta manje nego u očnoj vodici i približno 6000 puta manje nego u staklastom </w:t>
      </w:r>
      <w:r w:rsidR="00162F5A" w:rsidRPr="0014404C">
        <w:rPr>
          <w:sz w:val="22"/>
          <w:szCs w:val="22"/>
          <w:lang w:val="sr-Latn-ME" w:eastAsia="ja-JP"/>
        </w:rPr>
        <w:t>tijelu</w:t>
      </w:r>
      <w:r w:rsidRPr="0014404C">
        <w:rPr>
          <w:sz w:val="22"/>
          <w:szCs w:val="22"/>
          <w:lang w:val="sr-Latn-ME" w:eastAsia="ja-JP"/>
        </w:rPr>
        <w:t xml:space="preserve">. Stoga nije </w:t>
      </w:r>
      <w:r w:rsidR="00162F5A" w:rsidRPr="0014404C">
        <w:rPr>
          <w:sz w:val="22"/>
          <w:szCs w:val="22"/>
          <w:lang w:val="sr-Latn-ME" w:eastAsia="ja-JP"/>
        </w:rPr>
        <w:t xml:space="preserve">vjerovatno </w:t>
      </w:r>
      <w:r w:rsidRPr="0014404C">
        <w:rPr>
          <w:sz w:val="22"/>
          <w:szCs w:val="22"/>
          <w:lang w:val="sr-Latn-ME" w:eastAsia="ja-JP"/>
        </w:rPr>
        <w:t xml:space="preserve">da će doći do sistemskih farmakodinamičkih dejstava, što dodatno podržava i izostanak značajnih </w:t>
      </w:r>
      <w:r w:rsidR="00162F5A" w:rsidRPr="0014404C">
        <w:rPr>
          <w:sz w:val="22"/>
          <w:szCs w:val="22"/>
          <w:lang w:val="sr-Latn-ME" w:eastAsia="ja-JP"/>
        </w:rPr>
        <w:t xml:space="preserve">promjena </w:t>
      </w:r>
      <w:r w:rsidRPr="0014404C">
        <w:rPr>
          <w:sz w:val="22"/>
          <w:szCs w:val="22"/>
          <w:lang w:val="sr-Latn-ME" w:eastAsia="ja-JP"/>
        </w:rPr>
        <w:t xml:space="preserve">koncentracije slobodnog VEGF i Ang-2 u plazmi nakon </w:t>
      </w:r>
      <w:r w:rsidR="00162F5A" w:rsidRPr="0014404C">
        <w:rPr>
          <w:sz w:val="22"/>
          <w:szCs w:val="22"/>
          <w:lang w:val="sr-Latn-ME" w:eastAsia="ja-JP"/>
        </w:rPr>
        <w:t xml:space="preserve">liječenja </w:t>
      </w:r>
      <w:r w:rsidRPr="0014404C">
        <w:rPr>
          <w:sz w:val="22"/>
          <w:szCs w:val="22"/>
          <w:lang w:val="sr-Latn-ME" w:eastAsia="ja-JP"/>
        </w:rPr>
        <w:t>faricimabom u kliničkim studijama.</w:t>
      </w:r>
    </w:p>
    <w:p w14:paraId="13D01852" w14:textId="77777777" w:rsidR="00D44D34" w:rsidRPr="0014404C" w:rsidRDefault="00D44D34" w:rsidP="0014404C">
      <w:pPr>
        <w:widowControl w:val="0"/>
        <w:numPr>
          <w:ilvl w:val="12"/>
          <w:numId w:val="0"/>
        </w:numPr>
        <w:ind w:right="2"/>
        <w:jc w:val="both"/>
        <w:rPr>
          <w:sz w:val="22"/>
          <w:szCs w:val="22"/>
          <w:lang w:val="sr-Latn-ME" w:eastAsia="ja-JP"/>
        </w:rPr>
      </w:pPr>
    </w:p>
    <w:p w14:paraId="3141C334" w14:textId="6E80C25A" w:rsidR="00D44D34" w:rsidRPr="0014404C" w:rsidRDefault="00D44D34" w:rsidP="0014404C">
      <w:pPr>
        <w:widowControl w:val="0"/>
        <w:numPr>
          <w:ilvl w:val="12"/>
          <w:numId w:val="0"/>
        </w:numPr>
        <w:ind w:right="2"/>
        <w:jc w:val="both"/>
        <w:rPr>
          <w:sz w:val="22"/>
          <w:szCs w:val="22"/>
          <w:lang w:val="sr-Latn-ME" w:eastAsia="ja-JP"/>
        </w:rPr>
      </w:pPr>
      <w:r w:rsidRPr="0014404C">
        <w:rPr>
          <w:sz w:val="22"/>
          <w:szCs w:val="22"/>
          <w:lang w:val="sr-Latn-ME" w:eastAsia="ja-JP"/>
        </w:rPr>
        <w:t xml:space="preserve">Populaciona farmakokinetička analiza ukazala je na dejstvo godina života i </w:t>
      </w:r>
      <w:r w:rsidR="00162F5A" w:rsidRPr="0014404C">
        <w:rPr>
          <w:sz w:val="22"/>
          <w:szCs w:val="22"/>
          <w:lang w:val="sr-Latn-ME" w:eastAsia="ja-JP"/>
        </w:rPr>
        <w:t xml:space="preserve">tjelesne </w:t>
      </w:r>
      <w:r w:rsidRPr="0014404C">
        <w:rPr>
          <w:sz w:val="22"/>
          <w:szCs w:val="22"/>
          <w:lang w:val="sr-Latn-ME" w:eastAsia="ja-JP"/>
        </w:rPr>
        <w:t>mase na okularnu odnosno sistemsku farmakokinetiku faricimaba. Nijedno od tih dejstava nije se smatralo klinički značajnim; nije potrebno prilagođavati dozu.</w:t>
      </w:r>
    </w:p>
    <w:p w14:paraId="42EA6B52" w14:textId="77777777" w:rsidR="00D44D34" w:rsidRPr="0014404C" w:rsidRDefault="00D44D34" w:rsidP="0014404C">
      <w:pPr>
        <w:widowControl w:val="0"/>
        <w:numPr>
          <w:ilvl w:val="12"/>
          <w:numId w:val="0"/>
        </w:numPr>
        <w:ind w:right="2"/>
        <w:jc w:val="both"/>
        <w:rPr>
          <w:sz w:val="22"/>
          <w:szCs w:val="22"/>
          <w:lang w:val="sr-Latn-ME" w:eastAsia="ja-JP"/>
        </w:rPr>
      </w:pPr>
    </w:p>
    <w:p w14:paraId="362402EE" w14:textId="77777777" w:rsidR="00D44D34" w:rsidRPr="0014404C" w:rsidRDefault="00D44D34" w:rsidP="0014404C">
      <w:pPr>
        <w:widowControl w:val="0"/>
        <w:numPr>
          <w:ilvl w:val="12"/>
          <w:numId w:val="0"/>
        </w:numPr>
        <w:ind w:right="2"/>
        <w:jc w:val="both"/>
        <w:rPr>
          <w:sz w:val="22"/>
          <w:szCs w:val="22"/>
          <w:u w:val="single"/>
          <w:lang w:val="sr-Latn-ME" w:eastAsia="ja-JP"/>
        </w:rPr>
      </w:pPr>
      <w:r w:rsidRPr="0014404C">
        <w:rPr>
          <w:sz w:val="22"/>
          <w:szCs w:val="22"/>
          <w:u w:val="single"/>
          <w:lang w:val="sr-Latn-ME" w:eastAsia="ja-JP"/>
        </w:rPr>
        <w:t>Biotransformacija i eliminacija</w:t>
      </w:r>
    </w:p>
    <w:p w14:paraId="1E912BA5" w14:textId="77777777" w:rsidR="00D44D34" w:rsidRPr="0014404C" w:rsidRDefault="00D44D34" w:rsidP="0014404C">
      <w:pPr>
        <w:widowControl w:val="0"/>
        <w:numPr>
          <w:ilvl w:val="12"/>
          <w:numId w:val="0"/>
        </w:numPr>
        <w:ind w:right="2"/>
        <w:jc w:val="both"/>
        <w:rPr>
          <w:sz w:val="22"/>
          <w:szCs w:val="22"/>
          <w:u w:val="single"/>
          <w:lang w:val="sr-Latn-ME" w:eastAsia="ja-JP"/>
        </w:rPr>
      </w:pPr>
    </w:p>
    <w:p w14:paraId="424421D9" w14:textId="77777777" w:rsidR="00D44D34" w:rsidRPr="0014404C" w:rsidRDefault="00D44D34" w:rsidP="0014404C">
      <w:pPr>
        <w:widowControl w:val="0"/>
        <w:numPr>
          <w:ilvl w:val="12"/>
          <w:numId w:val="0"/>
        </w:numPr>
        <w:ind w:right="2"/>
        <w:jc w:val="both"/>
        <w:rPr>
          <w:sz w:val="22"/>
          <w:szCs w:val="22"/>
          <w:lang w:val="sr-Latn-ME" w:eastAsia="ja-JP"/>
        </w:rPr>
      </w:pPr>
      <w:r w:rsidRPr="0014404C">
        <w:rPr>
          <w:sz w:val="22"/>
          <w:szCs w:val="22"/>
          <w:lang w:val="sr-Latn-ME" w:eastAsia="ja-JP"/>
        </w:rPr>
        <w:t xml:space="preserve">Faricimab je proteinski </w:t>
      </w:r>
      <w:r w:rsidR="00802EFD" w:rsidRPr="0014404C">
        <w:rPr>
          <w:sz w:val="22"/>
          <w:szCs w:val="22"/>
          <w:lang w:val="sr-Latn-ME" w:eastAsia="ja-JP"/>
        </w:rPr>
        <w:t xml:space="preserve">lijek </w:t>
      </w:r>
      <w:r w:rsidRPr="0014404C">
        <w:rPr>
          <w:sz w:val="22"/>
          <w:szCs w:val="22"/>
          <w:lang w:val="sr-Latn-ME" w:eastAsia="ja-JP"/>
        </w:rPr>
        <w:t>pa njegov metabolizam i eliminacija nisu u potpunosti opisani. Očekuje se da će se faricimab u lizozomima katabolisati do malih peptida i aminokiselina, koji se mogu izlučiti putem bubrega, slično kao i endogeni IgG.</w:t>
      </w:r>
    </w:p>
    <w:p w14:paraId="4AD3518E" w14:textId="77777777" w:rsidR="00D44D34" w:rsidRPr="0014404C" w:rsidRDefault="00D44D34" w:rsidP="0014404C">
      <w:pPr>
        <w:widowControl w:val="0"/>
        <w:numPr>
          <w:ilvl w:val="12"/>
          <w:numId w:val="0"/>
        </w:numPr>
        <w:ind w:right="2"/>
        <w:jc w:val="both"/>
        <w:rPr>
          <w:sz w:val="22"/>
          <w:szCs w:val="22"/>
          <w:lang w:val="sr-Latn-ME" w:eastAsia="ja-JP"/>
        </w:rPr>
      </w:pPr>
    </w:p>
    <w:p w14:paraId="27EC989E" w14:textId="6B68D690" w:rsidR="00D44D34" w:rsidRPr="0014404C" w:rsidRDefault="00D44D34" w:rsidP="0014404C">
      <w:pPr>
        <w:widowControl w:val="0"/>
        <w:numPr>
          <w:ilvl w:val="12"/>
          <w:numId w:val="0"/>
        </w:numPr>
        <w:ind w:right="2"/>
        <w:jc w:val="both"/>
        <w:rPr>
          <w:sz w:val="22"/>
          <w:szCs w:val="22"/>
          <w:lang w:val="sr-Latn-ME" w:eastAsia="ja-JP"/>
        </w:rPr>
      </w:pPr>
      <w:r w:rsidRPr="0014404C">
        <w:rPr>
          <w:sz w:val="22"/>
          <w:szCs w:val="22"/>
          <w:lang w:val="sr-Latn-ME" w:eastAsia="ja-JP"/>
        </w:rPr>
        <w:t xml:space="preserve">Profil koncentracija faricimaba u plazmi kroz </w:t>
      </w:r>
      <w:r w:rsidR="00162F5A" w:rsidRPr="0014404C">
        <w:rPr>
          <w:sz w:val="22"/>
          <w:szCs w:val="22"/>
          <w:lang w:val="sr-Latn-ME" w:eastAsia="ja-JP"/>
        </w:rPr>
        <w:t xml:space="preserve">vrijeme </w:t>
      </w:r>
      <w:r w:rsidRPr="0014404C">
        <w:rPr>
          <w:sz w:val="22"/>
          <w:szCs w:val="22"/>
          <w:lang w:val="sr-Latn-ME" w:eastAsia="ja-JP"/>
        </w:rPr>
        <w:t xml:space="preserve">opadao je paralelno sa profilom koncentracije u staklastom </w:t>
      </w:r>
      <w:r w:rsidR="00162F5A" w:rsidRPr="0014404C">
        <w:rPr>
          <w:sz w:val="22"/>
          <w:szCs w:val="22"/>
          <w:lang w:val="sr-Latn-ME" w:eastAsia="ja-JP"/>
        </w:rPr>
        <w:t xml:space="preserve">tijelu </w:t>
      </w:r>
      <w:r w:rsidRPr="0014404C">
        <w:rPr>
          <w:sz w:val="22"/>
          <w:szCs w:val="22"/>
          <w:lang w:val="sr-Latn-ME" w:eastAsia="ja-JP"/>
        </w:rPr>
        <w:t xml:space="preserve">i očnoj vodici kroz </w:t>
      </w:r>
      <w:r w:rsidR="00162F5A" w:rsidRPr="0014404C">
        <w:rPr>
          <w:sz w:val="22"/>
          <w:szCs w:val="22"/>
          <w:lang w:val="sr-Latn-ME" w:eastAsia="ja-JP"/>
        </w:rPr>
        <w:t>vrijeme</w:t>
      </w:r>
      <w:r w:rsidRPr="0014404C">
        <w:rPr>
          <w:sz w:val="22"/>
          <w:szCs w:val="22"/>
          <w:lang w:val="sr-Latn-ME" w:eastAsia="ja-JP"/>
        </w:rPr>
        <w:t xml:space="preserve">. </w:t>
      </w:r>
      <w:r w:rsidR="00162F5A" w:rsidRPr="0014404C">
        <w:rPr>
          <w:sz w:val="22"/>
          <w:szCs w:val="22"/>
          <w:lang w:val="sr-Latn-ME" w:eastAsia="ja-JP"/>
        </w:rPr>
        <w:t xml:space="preserve">Procijenjena </w:t>
      </w:r>
      <w:r w:rsidRPr="0014404C">
        <w:rPr>
          <w:sz w:val="22"/>
          <w:szCs w:val="22"/>
          <w:lang w:val="sr-Latn-ME" w:eastAsia="ja-JP"/>
        </w:rPr>
        <w:t xml:space="preserve">srednja </w:t>
      </w:r>
      <w:r w:rsidR="00162F5A" w:rsidRPr="0014404C">
        <w:rPr>
          <w:sz w:val="22"/>
          <w:szCs w:val="22"/>
          <w:lang w:val="sr-Latn-ME" w:eastAsia="ja-JP"/>
        </w:rPr>
        <w:t xml:space="preserve">vrijednost </w:t>
      </w:r>
      <w:r w:rsidRPr="0014404C">
        <w:rPr>
          <w:sz w:val="22"/>
          <w:szCs w:val="22"/>
          <w:lang w:val="sr-Latn-ME" w:eastAsia="ja-JP"/>
        </w:rPr>
        <w:t xml:space="preserve">poluživota faricimaba u oku i njegovog detektabilnog sistemskog poluživota iznosi </w:t>
      </w:r>
      <w:r w:rsidR="00346D28" w:rsidRPr="0014404C">
        <w:rPr>
          <w:sz w:val="22"/>
          <w:szCs w:val="22"/>
          <w:lang w:val="sr-Latn-ME" w:eastAsia="ja-JP"/>
        </w:rPr>
        <w:t xml:space="preserve">približno </w:t>
      </w:r>
      <w:r w:rsidRPr="0014404C">
        <w:rPr>
          <w:sz w:val="22"/>
          <w:szCs w:val="22"/>
          <w:lang w:val="sr-Latn-ME" w:eastAsia="ja-JP"/>
        </w:rPr>
        <w:t>7,5 dana.</w:t>
      </w:r>
    </w:p>
    <w:p w14:paraId="3AA7ABAF" w14:textId="77F55252" w:rsidR="00D44D34" w:rsidRPr="0014404C" w:rsidRDefault="00D44D34" w:rsidP="0014404C">
      <w:pPr>
        <w:widowControl w:val="0"/>
        <w:jc w:val="both"/>
        <w:rPr>
          <w:sz w:val="22"/>
          <w:szCs w:val="22"/>
          <w:u w:val="single"/>
          <w:lang w:val="sr-Latn-ME" w:eastAsia="ja-JP"/>
        </w:rPr>
      </w:pPr>
    </w:p>
    <w:p w14:paraId="1963F98B" w14:textId="527D0DA3" w:rsidR="00346D28" w:rsidRPr="0014404C" w:rsidRDefault="00346D28" w:rsidP="0014404C">
      <w:pPr>
        <w:widowControl w:val="0"/>
        <w:jc w:val="both"/>
        <w:rPr>
          <w:sz w:val="22"/>
          <w:szCs w:val="22"/>
          <w:u w:val="single"/>
          <w:lang w:val="sr-Latn-ME" w:eastAsia="ja-JP"/>
        </w:rPr>
      </w:pPr>
      <w:r w:rsidRPr="0014404C">
        <w:rPr>
          <w:sz w:val="22"/>
          <w:szCs w:val="22"/>
          <w:u w:val="single"/>
          <w:lang w:val="sr-Latn-ME" w:eastAsia="ja-JP"/>
        </w:rPr>
        <w:t>Farmakokinetička analiza pacijenata sa nAMD, DME i RVO (N=2977) pokazala je da je farmakokinetika faricimaba uporediva kod pacijenata sa nAMD, DME i RVO.</w:t>
      </w:r>
    </w:p>
    <w:p w14:paraId="02AA627F" w14:textId="77777777" w:rsidR="00346D28" w:rsidRPr="0014404C" w:rsidRDefault="00346D28" w:rsidP="0014404C">
      <w:pPr>
        <w:widowControl w:val="0"/>
        <w:jc w:val="both"/>
        <w:rPr>
          <w:sz w:val="22"/>
          <w:szCs w:val="22"/>
          <w:u w:val="single"/>
          <w:lang w:val="sr-Latn-ME" w:eastAsia="ja-JP"/>
        </w:rPr>
      </w:pPr>
    </w:p>
    <w:p w14:paraId="4D721A96" w14:textId="77777777" w:rsidR="00D44D34" w:rsidRPr="0014404C" w:rsidRDefault="00D44D34" w:rsidP="0014404C">
      <w:pPr>
        <w:widowControl w:val="0"/>
        <w:numPr>
          <w:ilvl w:val="12"/>
          <w:numId w:val="0"/>
        </w:numPr>
        <w:jc w:val="both"/>
        <w:rPr>
          <w:iCs/>
          <w:sz w:val="22"/>
          <w:szCs w:val="22"/>
          <w:u w:val="single"/>
          <w:lang w:val="sr-Latn-ME" w:eastAsia="ja-JP"/>
        </w:rPr>
      </w:pPr>
      <w:r w:rsidRPr="0014404C">
        <w:rPr>
          <w:sz w:val="22"/>
          <w:szCs w:val="22"/>
          <w:u w:val="single"/>
          <w:lang w:val="sr-Latn-ME" w:eastAsia="ja-JP"/>
        </w:rPr>
        <w:t>Posebne populacije</w:t>
      </w:r>
    </w:p>
    <w:p w14:paraId="2D72C74F" w14:textId="77777777" w:rsidR="00D44D34" w:rsidRPr="0014404C" w:rsidRDefault="00D44D34" w:rsidP="0014404C">
      <w:pPr>
        <w:widowControl w:val="0"/>
        <w:numPr>
          <w:ilvl w:val="12"/>
          <w:numId w:val="0"/>
        </w:numPr>
        <w:jc w:val="both"/>
        <w:rPr>
          <w:iCs/>
          <w:sz w:val="22"/>
          <w:szCs w:val="22"/>
          <w:lang w:val="sr-Latn-ME" w:eastAsia="ja-JP"/>
        </w:rPr>
      </w:pPr>
    </w:p>
    <w:p w14:paraId="2754DADF" w14:textId="77777777" w:rsidR="00D44D34" w:rsidRPr="0014404C" w:rsidRDefault="00D44D34" w:rsidP="0014404C">
      <w:pPr>
        <w:widowControl w:val="0"/>
        <w:numPr>
          <w:ilvl w:val="12"/>
          <w:numId w:val="0"/>
        </w:numPr>
        <w:ind w:right="2"/>
        <w:jc w:val="both"/>
        <w:rPr>
          <w:i/>
          <w:iCs/>
          <w:sz w:val="22"/>
          <w:szCs w:val="22"/>
          <w:lang w:val="sr-Latn-ME" w:eastAsia="ja-JP"/>
        </w:rPr>
      </w:pPr>
      <w:r w:rsidRPr="0014404C">
        <w:rPr>
          <w:i/>
          <w:iCs/>
          <w:sz w:val="22"/>
          <w:szCs w:val="22"/>
          <w:lang w:val="sr-Latn-ME" w:eastAsia="ja-JP"/>
        </w:rPr>
        <w:t>Starije osobe</w:t>
      </w:r>
    </w:p>
    <w:p w14:paraId="7D5D6730" w14:textId="4B36BA6F" w:rsidR="00D44D34" w:rsidRPr="0014404C" w:rsidRDefault="00D44D34" w:rsidP="0014404C">
      <w:pPr>
        <w:widowControl w:val="0"/>
        <w:jc w:val="both"/>
        <w:rPr>
          <w:iCs/>
          <w:sz w:val="22"/>
          <w:szCs w:val="22"/>
          <w:lang w:val="sr-Latn-ME" w:eastAsia="ja-JP"/>
        </w:rPr>
      </w:pPr>
      <w:r w:rsidRPr="0014404C">
        <w:rPr>
          <w:sz w:val="22"/>
          <w:szCs w:val="22"/>
          <w:lang w:val="sr-Latn-ME" w:eastAsia="ja-JP"/>
        </w:rPr>
        <w:t xml:space="preserve">U </w:t>
      </w:r>
      <w:r w:rsidR="00346D28" w:rsidRPr="0014404C">
        <w:rPr>
          <w:sz w:val="22"/>
          <w:szCs w:val="22"/>
          <w:lang w:val="sr-Latn-ME" w:eastAsia="ja-JP"/>
        </w:rPr>
        <w:t xml:space="preserve">šest </w:t>
      </w:r>
      <w:r w:rsidRPr="0014404C">
        <w:rPr>
          <w:sz w:val="22"/>
          <w:szCs w:val="22"/>
          <w:lang w:val="sr-Latn-ME" w:eastAsia="ja-JP"/>
        </w:rPr>
        <w:t>kliničk</w:t>
      </w:r>
      <w:r w:rsidR="00346D28" w:rsidRPr="0014404C">
        <w:rPr>
          <w:sz w:val="22"/>
          <w:szCs w:val="22"/>
          <w:lang w:val="sr-Latn-ME" w:eastAsia="ja-JP"/>
        </w:rPr>
        <w:t>ih</w:t>
      </w:r>
      <w:r w:rsidRPr="0014404C">
        <w:rPr>
          <w:sz w:val="22"/>
          <w:szCs w:val="22"/>
          <w:lang w:val="sr-Latn-ME" w:eastAsia="ja-JP"/>
        </w:rPr>
        <w:t xml:space="preserve"> studij</w:t>
      </w:r>
      <w:r w:rsidR="00346D28" w:rsidRPr="0014404C">
        <w:rPr>
          <w:sz w:val="22"/>
          <w:szCs w:val="22"/>
          <w:lang w:val="sr-Latn-ME" w:eastAsia="ja-JP"/>
        </w:rPr>
        <w:t>a</w:t>
      </w:r>
      <w:r w:rsidRPr="0014404C">
        <w:rPr>
          <w:sz w:val="22"/>
          <w:szCs w:val="22"/>
          <w:lang w:val="sr-Latn-ME" w:eastAsia="ja-JP"/>
        </w:rPr>
        <w:t xml:space="preserve"> faze III, približno </w:t>
      </w:r>
      <w:r w:rsidR="00346D28" w:rsidRPr="0014404C">
        <w:rPr>
          <w:sz w:val="22"/>
          <w:szCs w:val="22"/>
          <w:lang w:val="sr-Latn-ME" w:eastAsia="ja-JP"/>
        </w:rPr>
        <w:t>58</w:t>
      </w:r>
      <w:r w:rsidRPr="0014404C">
        <w:rPr>
          <w:sz w:val="22"/>
          <w:szCs w:val="22"/>
          <w:lang w:val="sr-Latn-ME" w:eastAsia="ja-JP"/>
        </w:rPr>
        <w:t>% (</w:t>
      </w:r>
      <w:r w:rsidR="00346D28" w:rsidRPr="0014404C">
        <w:rPr>
          <w:sz w:val="22"/>
          <w:szCs w:val="22"/>
          <w:lang w:val="sr-Latn-ME" w:eastAsia="ja-JP"/>
        </w:rPr>
        <w:t>1496/2571</w:t>
      </w:r>
      <w:r w:rsidRPr="0014404C">
        <w:rPr>
          <w:sz w:val="22"/>
          <w:szCs w:val="22"/>
          <w:lang w:val="sr-Latn-ME" w:eastAsia="ja-JP"/>
        </w:rPr>
        <w:t xml:space="preserve">) pacijenata randomizovanih za </w:t>
      </w:r>
      <w:r w:rsidR="00162F5A" w:rsidRPr="0014404C">
        <w:rPr>
          <w:sz w:val="22"/>
          <w:szCs w:val="22"/>
          <w:lang w:val="sr-Latn-ME" w:eastAsia="ja-JP"/>
        </w:rPr>
        <w:t xml:space="preserve">liječenje </w:t>
      </w:r>
      <w:r w:rsidRPr="0014404C">
        <w:rPr>
          <w:sz w:val="22"/>
          <w:szCs w:val="22"/>
          <w:lang w:val="sr-Latn-ME" w:eastAsia="ja-JP"/>
        </w:rPr>
        <w:t xml:space="preserve">faricimabom je imalo ≥ 65 godina. Populaciona farmakokinetička analiza ukazala je na dejstvo godina života na okularnu farmakokinetiku faricimaba. Dejstvo nije smatrano klinički značajnim. Kod pacijenata starih 65 godina i starijih nije potrebno nikakvo podešavanje doze (pogledati </w:t>
      </w:r>
      <w:r w:rsidR="00802EFD" w:rsidRPr="0014404C">
        <w:rPr>
          <w:sz w:val="22"/>
          <w:szCs w:val="22"/>
          <w:lang w:val="sr-Latn-ME" w:eastAsia="ja-JP"/>
        </w:rPr>
        <w:t>dio</w:t>
      </w:r>
      <w:r w:rsidRPr="0014404C">
        <w:rPr>
          <w:sz w:val="22"/>
          <w:szCs w:val="22"/>
          <w:lang w:val="sr-Latn-ME" w:eastAsia="ja-JP"/>
        </w:rPr>
        <w:t xml:space="preserve"> 4.2).</w:t>
      </w:r>
    </w:p>
    <w:p w14:paraId="034C95E6" w14:textId="77777777" w:rsidR="00D44D34" w:rsidRPr="0014404C" w:rsidRDefault="00D44D34" w:rsidP="0014404C">
      <w:pPr>
        <w:widowControl w:val="0"/>
        <w:numPr>
          <w:ilvl w:val="12"/>
          <w:numId w:val="0"/>
        </w:numPr>
        <w:ind w:right="2"/>
        <w:jc w:val="both"/>
        <w:rPr>
          <w:i/>
          <w:iCs/>
          <w:sz w:val="22"/>
          <w:szCs w:val="22"/>
          <w:lang w:val="sr-Latn-ME" w:eastAsia="ja-JP"/>
        </w:rPr>
      </w:pPr>
    </w:p>
    <w:p w14:paraId="2C1F5CF7" w14:textId="77777777" w:rsidR="00D44D34" w:rsidRPr="0014404C" w:rsidRDefault="00D44D34" w:rsidP="0014404C">
      <w:pPr>
        <w:widowControl w:val="0"/>
        <w:numPr>
          <w:ilvl w:val="12"/>
          <w:numId w:val="0"/>
        </w:numPr>
        <w:ind w:right="2"/>
        <w:jc w:val="both"/>
        <w:rPr>
          <w:i/>
          <w:iCs/>
          <w:sz w:val="22"/>
          <w:szCs w:val="22"/>
          <w:lang w:val="sr-Latn-ME" w:eastAsia="ja-JP"/>
        </w:rPr>
      </w:pPr>
      <w:r w:rsidRPr="0014404C">
        <w:rPr>
          <w:i/>
          <w:iCs/>
          <w:sz w:val="22"/>
          <w:szCs w:val="22"/>
          <w:lang w:val="sr-Latn-ME" w:eastAsia="ja-JP"/>
        </w:rPr>
        <w:t>Oštećenje funkcije bubrega</w:t>
      </w:r>
    </w:p>
    <w:p w14:paraId="4A3E435A" w14:textId="1127AB2C" w:rsidR="00D44D34" w:rsidRPr="0014404C" w:rsidRDefault="00D44D34" w:rsidP="0014404C">
      <w:pPr>
        <w:widowControl w:val="0"/>
        <w:numPr>
          <w:ilvl w:val="12"/>
          <w:numId w:val="0"/>
        </w:numPr>
        <w:ind w:right="2"/>
        <w:jc w:val="both"/>
        <w:rPr>
          <w:iCs/>
          <w:sz w:val="22"/>
          <w:szCs w:val="22"/>
          <w:lang w:val="sr-Latn-ME" w:eastAsia="ja-JP"/>
        </w:rPr>
      </w:pPr>
      <w:r w:rsidRPr="0014404C">
        <w:rPr>
          <w:sz w:val="22"/>
          <w:szCs w:val="22"/>
          <w:lang w:val="sr-Latn-ME" w:eastAsia="ja-JP"/>
        </w:rPr>
        <w:t xml:space="preserve">Nisu sprovedene posebne studije sa faricimabom kod pacijenata sa oštećenom funkcijom bubrega. </w:t>
      </w:r>
      <w:r w:rsidRPr="0014404C">
        <w:rPr>
          <w:sz w:val="22"/>
          <w:szCs w:val="22"/>
          <w:lang w:val="sr-Latn-ME" w:eastAsia="ja-JP"/>
        </w:rPr>
        <w:lastRenderedPageBreak/>
        <w:t xml:space="preserve">Farmakokinetička analiza pacijenata iz </w:t>
      </w:r>
      <w:r w:rsidR="004810DC" w:rsidRPr="0014404C">
        <w:rPr>
          <w:sz w:val="22"/>
          <w:szCs w:val="22"/>
          <w:lang w:val="sr-Latn-ME" w:eastAsia="ja-JP"/>
        </w:rPr>
        <w:t xml:space="preserve">svih </w:t>
      </w:r>
      <w:r w:rsidRPr="0014404C">
        <w:rPr>
          <w:sz w:val="22"/>
          <w:szCs w:val="22"/>
          <w:lang w:val="sr-Latn-ME" w:eastAsia="ja-JP"/>
        </w:rPr>
        <w:t>kliničk</w:t>
      </w:r>
      <w:r w:rsidR="004810DC" w:rsidRPr="0014404C">
        <w:rPr>
          <w:sz w:val="22"/>
          <w:szCs w:val="22"/>
          <w:lang w:val="sr-Latn-ME" w:eastAsia="ja-JP"/>
        </w:rPr>
        <w:t>ih</w:t>
      </w:r>
      <w:r w:rsidRPr="0014404C">
        <w:rPr>
          <w:sz w:val="22"/>
          <w:szCs w:val="22"/>
          <w:lang w:val="sr-Latn-ME" w:eastAsia="ja-JP"/>
        </w:rPr>
        <w:t xml:space="preserve"> studij</w:t>
      </w:r>
      <w:r w:rsidR="004810DC" w:rsidRPr="0014404C">
        <w:rPr>
          <w:sz w:val="22"/>
          <w:szCs w:val="22"/>
          <w:lang w:val="sr-Latn-ME" w:eastAsia="ja-JP"/>
        </w:rPr>
        <w:t>a</w:t>
      </w:r>
      <w:r w:rsidRPr="0014404C">
        <w:rPr>
          <w:sz w:val="22"/>
          <w:szCs w:val="22"/>
          <w:lang w:val="sr-Latn-ME" w:eastAsia="ja-JP"/>
        </w:rPr>
        <w:t xml:space="preserve">, od kojih je njih </w:t>
      </w:r>
      <w:r w:rsidR="00346D28" w:rsidRPr="0014404C">
        <w:rPr>
          <w:sz w:val="22"/>
          <w:szCs w:val="22"/>
          <w:lang w:val="sr-Latn-ME" w:eastAsia="ja-JP"/>
        </w:rPr>
        <w:t>63</w:t>
      </w:r>
      <w:r w:rsidRPr="0014404C">
        <w:rPr>
          <w:sz w:val="22"/>
          <w:szCs w:val="22"/>
          <w:lang w:val="sr-Latn-ME" w:eastAsia="ja-JP"/>
        </w:rPr>
        <w:t xml:space="preserve">% imalo oštećenje funkcije bubrega (blago 38%, </w:t>
      </w:r>
      <w:r w:rsidR="00162F5A" w:rsidRPr="0014404C">
        <w:rPr>
          <w:sz w:val="22"/>
          <w:szCs w:val="22"/>
          <w:lang w:val="sr-Latn-ME" w:eastAsia="ja-JP"/>
        </w:rPr>
        <w:t xml:space="preserve">umjereno </w:t>
      </w:r>
      <w:r w:rsidR="00346D28" w:rsidRPr="0014404C">
        <w:rPr>
          <w:sz w:val="22"/>
          <w:szCs w:val="22"/>
          <w:lang w:val="sr-Latn-ME" w:eastAsia="ja-JP"/>
        </w:rPr>
        <w:t>23</w:t>
      </w:r>
      <w:r w:rsidRPr="0014404C">
        <w:rPr>
          <w:sz w:val="22"/>
          <w:szCs w:val="22"/>
          <w:lang w:val="sr-Latn-ME" w:eastAsia="ja-JP"/>
        </w:rPr>
        <w:t xml:space="preserve">%, teško 2%), nije ukazala ni na kakve razlike s obzirom na sistemsku farmakokinetiku faricimaba nakon intravitrealne </w:t>
      </w:r>
      <w:r w:rsidR="00802EFD" w:rsidRPr="0014404C">
        <w:rPr>
          <w:sz w:val="22"/>
          <w:szCs w:val="22"/>
          <w:lang w:val="sr-Latn-ME" w:eastAsia="ja-JP"/>
        </w:rPr>
        <w:t>primjene</w:t>
      </w:r>
      <w:r w:rsidRPr="0014404C">
        <w:rPr>
          <w:sz w:val="22"/>
          <w:szCs w:val="22"/>
          <w:lang w:val="sr-Latn-ME" w:eastAsia="ja-JP"/>
        </w:rPr>
        <w:t>. Nije potrebno prilagođavati dozu kod pacijenata sa oštećenjem funkcije bubrega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4.2).</w:t>
      </w:r>
    </w:p>
    <w:p w14:paraId="51AAB972" w14:textId="77777777" w:rsidR="00D44D34" w:rsidRPr="0014404C" w:rsidRDefault="00D44D34" w:rsidP="0014404C">
      <w:pPr>
        <w:widowControl w:val="0"/>
        <w:numPr>
          <w:ilvl w:val="12"/>
          <w:numId w:val="0"/>
        </w:numPr>
        <w:ind w:right="2"/>
        <w:jc w:val="both"/>
        <w:rPr>
          <w:iCs/>
          <w:sz w:val="22"/>
          <w:szCs w:val="22"/>
          <w:lang w:val="sr-Latn-ME" w:eastAsia="ja-JP"/>
        </w:rPr>
      </w:pPr>
    </w:p>
    <w:p w14:paraId="1D993DE2" w14:textId="77777777" w:rsidR="00D44D34" w:rsidRPr="0014404C" w:rsidRDefault="00D44D34" w:rsidP="0014404C">
      <w:pPr>
        <w:widowControl w:val="0"/>
        <w:numPr>
          <w:ilvl w:val="12"/>
          <w:numId w:val="0"/>
        </w:numPr>
        <w:ind w:right="2"/>
        <w:jc w:val="both"/>
        <w:rPr>
          <w:i/>
          <w:sz w:val="22"/>
          <w:szCs w:val="22"/>
          <w:lang w:val="sr-Latn-ME" w:eastAsia="ja-JP"/>
        </w:rPr>
      </w:pPr>
      <w:r w:rsidRPr="0014404C">
        <w:rPr>
          <w:i/>
          <w:iCs/>
          <w:sz w:val="22"/>
          <w:szCs w:val="22"/>
          <w:lang w:val="sr-Latn-ME" w:eastAsia="ja-JP"/>
        </w:rPr>
        <w:t>Oštećenje funkcije jetre</w:t>
      </w:r>
    </w:p>
    <w:p w14:paraId="1AE7B70F" w14:textId="76AE1AB1" w:rsidR="00D44D34" w:rsidRPr="0014404C" w:rsidRDefault="00D44D34" w:rsidP="0014404C">
      <w:pPr>
        <w:widowControl w:val="0"/>
        <w:numPr>
          <w:ilvl w:val="12"/>
          <w:numId w:val="0"/>
        </w:numPr>
        <w:ind w:right="2"/>
        <w:jc w:val="both"/>
        <w:rPr>
          <w:iCs/>
          <w:sz w:val="22"/>
          <w:szCs w:val="22"/>
          <w:lang w:val="sr-Latn-ME" w:eastAsia="ja-JP"/>
        </w:rPr>
      </w:pPr>
      <w:r w:rsidRPr="0014404C">
        <w:rPr>
          <w:sz w:val="22"/>
          <w:szCs w:val="22"/>
          <w:lang w:val="sr-Latn-ME" w:eastAsia="ja-JP"/>
        </w:rPr>
        <w:t>Nisu sprovedene posebne studije sa faricimabom kod pacijenata sa oštećenom funkcijom jetre. Međutim, ne treba p</w:t>
      </w:r>
      <w:r w:rsidR="001A1EE8" w:rsidRPr="0014404C">
        <w:rPr>
          <w:sz w:val="22"/>
          <w:szCs w:val="22"/>
          <w:lang w:val="sr-Latn-ME" w:eastAsia="ja-JP"/>
        </w:rPr>
        <w:t>re</w:t>
      </w:r>
      <w:r w:rsidRPr="0014404C">
        <w:rPr>
          <w:sz w:val="22"/>
          <w:szCs w:val="22"/>
          <w:lang w:val="sr-Latn-ME" w:eastAsia="ja-JP"/>
        </w:rPr>
        <w:t xml:space="preserve">duzimati posebne </w:t>
      </w:r>
      <w:r w:rsidR="00162F5A" w:rsidRPr="0014404C">
        <w:rPr>
          <w:sz w:val="22"/>
          <w:szCs w:val="22"/>
          <w:lang w:val="sr-Latn-ME" w:eastAsia="ja-JP"/>
        </w:rPr>
        <w:t xml:space="preserve">mjere </w:t>
      </w:r>
      <w:r w:rsidRPr="0014404C">
        <w:rPr>
          <w:sz w:val="22"/>
          <w:szCs w:val="22"/>
          <w:lang w:val="sr-Latn-ME" w:eastAsia="ja-JP"/>
        </w:rPr>
        <w:t xml:space="preserve">opreza u toj populaciji jer se metabolizam </w:t>
      </w:r>
      <w:r w:rsidR="00802EFD" w:rsidRPr="0014404C">
        <w:rPr>
          <w:sz w:val="22"/>
          <w:szCs w:val="22"/>
          <w:lang w:val="sr-Latn-ME" w:eastAsia="ja-JP"/>
        </w:rPr>
        <w:t>lijeka</w:t>
      </w:r>
      <w:r w:rsidRPr="0014404C">
        <w:rPr>
          <w:sz w:val="22"/>
          <w:szCs w:val="22"/>
          <w:lang w:val="sr-Latn-ME" w:eastAsia="ja-JP"/>
        </w:rPr>
        <w:t xml:space="preserve"> odvija proteolizom i ne zavisi od funkcije jetre. Nije potrebno prilagođavanje doze kod pacijenata sa oštećenom funkcijom jetre (</w:t>
      </w:r>
      <w:r w:rsidR="00802EFD" w:rsidRPr="0014404C">
        <w:rPr>
          <w:sz w:val="22"/>
          <w:szCs w:val="22"/>
          <w:lang w:val="sr-Latn-ME" w:eastAsia="ja-JP"/>
        </w:rPr>
        <w:t>vidjeti</w:t>
      </w:r>
      <w:r w:rsidRPr="0014404C">
        <w:rPr>
          <w:sz w:val="22"/>
          <w:szCs w:val="22"/>
          <w:lang w:val="sr-Latn-ME" w:eastAsia="ja-JP"/>
        </w:rPr>
        <w:t xml:space="preserve"> </w:t>
      </w:r>
      <w:r w:rsidR="00802EFD" w:rsidRPr="0014404C">
        <w:rPr>
          <w:sz w:val="22"/>
          <w:szCs w:val="22"/>
          <w:lang w:val="sr-Latn-ME" w:eastAsia="ja-JP"/>
        </w:rPr>
        <w:t>dio</w:t>
      </w:r>
      <w:r w:rsidRPr="0014404C">
        <w:rPr>
          <w:sz w:val="22"/>
          <w:szCs w:val="22"/>
          <w:lang w:val="sr-Latn-ME" w:eastAsia="ja-JP"/>
        </w:rPr>
        <w:t xml:space="preserve"> 4.2).</w:t>
      </w:r>
    </w:p>
    <w:p w14:paraId="592BD52B" w14:textId="55224B0F" w:rsidR="00650B15" w:rsidRPr="0014404C" w:rsidRDefault="00650B15" w:rsidP="0014404C">
      <w:pPr>
        <w:widowControl w:val="0"/>
        <w:numPr>
          <w:ilvl w:val="12"/>
          <w:numId w:val="0"/>
        </w:numPr>
        <w:jc w:val="both"/>
        <w:rPr>
          <w:sz w:val="22"/>
          <w:szCs w:val="22"/>
          <w:u w:val="single"/>
          <w:lang w:val="sr-Latn-ME" w:eastAsia="ja-JP"/>
        </w:rPr>
      </w:pPr>
    </w:p>
    <w:p w14:paraId="6403DE37" w14:textId="4AAC9062" w:rsidR="00D44D34" w:rsidRPr="0014404C" w:rsidRDefault="00D44D34" w:rsidP="0014404C">
      <w:pPr>
        <w:widowControl w:val="0"/>
        <w:numPr>
          <w:ilvl w:val="12"/>
          <w:numId w:val="0"/>
        </w:numPr>
        <w:jc w:val="both"/>
        <w:rPr>
          <w:iCs/>
          <w:sz w:val="22"/>
          <w:szCs w:val="22"/>
          <w:u w:val="single"/>
          <w:lang w:val="sr-Latn-ME" w:eastAsia="ja-JP"/>
        </w:rPr>
      </w:pPr>
      <w:r w:rsidRPr="0014404C">
        <w:rPr>
          <w:sz w:val="22"/>
          <w:szCs w:val="22"/>
          <w:u w:val="single"/>
          <w:lang w:val="sr-Latn-ME" w:eastAsia="ja-JP"/>
        </w:rPr>
        <w:t>Ostale posebne populacije</w:t>
      </w:r>
    </w:p>
    <w:p w14:paraId="0370C6F7" w14:textId="77777777" w:rsidR="00D44D34" w:rsidRPr="0014404C" w:rsidRDefault="00D44D34" w:rsidP="0014404C">
      <w:pPr>
        <w:widowControl w:val="0"/>
        <w:numPr>
          <w:ilvl w:val="12"/>
          <w:numId w:val="0"/>
        </w:numPr>
        <w:jc w:val="both"/>
        <w:rPr>
          <w:iCs/>
          <w:sz w:val="22"/>
          <w:szCs w:val="22"/>
          <w:lang w:val="sr-Latn-ME" w:eastAsia="ja-JP"/>
        </w:rPr>
      </w:pPr>
    </w:p>
    <w:p w14:paraId="188DA330" w14:textId="77777777" w:rsidR="00D44D34" w:rsidRPr="0014404C" w:rsidRDefault="00D44D34" w:rsidP="0014404C">
      <w:pPr>
        <w:widowControl w:val="0"/>
        <w:numPr>
          <w:ilvl w:val="12"/>
          <w:numId w:val="0"/>
        </w:numPr>
        <w:jc w:val="both"/>
        <w:rPr>
          <w:iCs/>
          <w:sz w:val="22"/>
          <w:szCs w:val="22"/>
          <w:lang w:val="sr-Latn-ME" w:eastAsia="ja-JP"/>
        </w:rPr>
      </w:pPr>
      <w:r w:rsidRPr="0014404C">
        <w:rPr>
          <w:sz w:val="22"/>
          <w:szCs w:val="22"/>
          <w:lang w:val="sr-Latn-ME" w:eastAsia="ja-JP"/>
        </w:rPr>
        <w:t>Rasa ne utiče na sistemsku farmakokinetiku faricimaba. Nije se pokazalo da pol ima klinički relevantan uticaj na sistemsku farmakokinetiku faricimaba. Nije potrebno podešavanje doze.</w:t>
      </w:r>
    </w:p>
    <w:p w14:paraId="0CBA176C" w14:textId="77777777" w:rsidR="0072020E" w:rsidRPr="0014404C" w:rsidRDefault="0072020E" w:rsidP="0014404C">
      <w:pPr>
        <w:widowControl w:val="0"/>
        <w:tabs>
          <w:tab w:val="left" w:pos="540"/>
          <w:tab w:val="left" w:pos="569"/>
        </w:tabs>
        <w:jc w:val="both"/>
        <w:rPr>
          <w:bCs/>
          <w:sz w:val="22"/>
          <w:szCs w:val="22"/>
          <w:lang w:val="sr-Latn-ME"/>
        </w:rPr>
      </w:pPr>
    </w:p>
    <w:p w14:paraId="5A213970"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5.3. </w:t>
      </w:r>
      <w:r w:rsidR="00480FB1" w:rsidRPr="0014404C">
        <w:rPr>
          <w:b/>
          <w:bCs/>
          <w:sz w:val="22"/>
          <w:szCs w:val="22"/>
          <w:lang w:val="sr-Latn-ME"/>
        </w:rPr>
        <w:tab/>
      </w:r>
      <w:r w:rsidRPr="0014404C">
        <w:rPr>
          <w:b/>
          <w:bCs/>
          <w:sz w:val="22"/>
          <w:szCs w:val="22"/>
          <w:lang w:val="sr-Latn-ME"/>
        </w:rPr>
        <w:t xml:space="preserve">Pretklinički podaci o bezbjednosti </w:t>
      </w:r>
    </w:p>
    <w:p w14:paraId="47A56829" w14:textId="77777777" w:rsidR="00D44D34" w:rsidRPr="0014404C" w:rsidRDefault="00D44D34" w:rsidP="0014404C">
      <w:pPr>
        <w:widowControl w:val="0"/>
        <w:tabs>
          <w:tab w:val="left" w:pos="540"/>
          <w:tab w:val="left" w:pos="569"/>
        </w:tabs>
        <w:jc w:val="both"/>
        <w:rPr>
          <w:b/>
          <w:bCs/>
          <w:sz w:val="22"/>
          <w:szCs w:val="22"/>
          <w:lang w:val="sr-Latn-ME"/>
        </w:rPr>
      </w:pPr>
    </w:p>
    <w:p w14:paraId="2F99CB01"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Nisu sprovedene studije o mutagenom ili kancerogenom potencijalu faricimaba.</w:t>
      </w:r>
    </w:p>
    <w:p w14:paraId="3A0DC499" w14:textId="77777777" w:rsidR="00D44D34" w:rsidRPr="0014404C" w:rsidRDefault="00D44D34" w:rsidP="0014404C">
      <w:pPr>
        <w:widowControl w:val="0"/>
        <w:jc w:val="both"/>
        <w:rPr>
          <w:sz w:val="22"/>
          <w:szCs w:val="22"/>
          <w:lang w:val="sr-Latn-ME" w:eastAsia="ja-JP"/>
        </w:rPr>
      </w:pPr>
    </w:p>
    <w:p w14:paraId="3D3BF640" w14:textId="54E21E48"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Kod skotnih ženki makaki majmuna </w:t>
      </w:r>
      <w:r w:rsidR="004810DC" w:rsidRPr="0014404C">
        <w:rPr>
          <w:sz w:val="22"/>
          <w:szCs w:val="22"/>
          <w:lang w:val="sr-Latn-ME" w:eastAsia="ja-JP"/>
        </w:rPr>
        <w:t>intravenske</w:t>
      </w:r>
      <w:r w:rsidRPr="0014404C">
        <w:rPr>
          <w:sz w:val="22"/>
          <w:szCs w:val="22"/>
          <w:lang w:val="sr-Latn-ME" w:eastAsia="ja-JP"/>
        </w:rPr>
        <w:t xml:space="preserve"> injekcije faricimaba kojima je postignuta serumska izloženost (Cmax) više od 500 puta veća od maksimalne izloženosti ljudi nisu uzrokovale razvojnu toksičnost ni teratogenost, a nisu uticale na težinu ni strukturu placente, iako faricimab s obzirom na njegovo farmakološko dejstvo treba smatrati potencijalno teratogenim i toksičnim za embrion i fetus.</w:t>
      </w:r>
    </w:p>
    <w:p w14:paraId="4062D8D4" w14:textId="77777777" w:rsidR="00D44D34" w:rsidRPr="0014404C" w:rsidRDefault="00D44D34" w:rsidP="0014404C">
      <w:pPr>
        <w:widowControl w:val="0"/>
        <w:jc w:val="both"/>
        <w:rPr>
          <w:sz w:val="22"/>
          <w:szCs w:val="22"/>
          <w:lang w:val="sr-Latn-ME" w:eastAsia="ja-JP"/>
        </w:rPr>
      </w:pPr>
    </w:p>
    <w:p w14:paraId="2B252637"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Sistemska izloženost nakon okularne </w:t>
      </w:r>
      <w:r w:rsidR="00802EFD" w:rsidRPr="0014404C">
        <w:rPr>
          <w:sz w:val="22"/>
          <w:szCs w:val="22"/>
          <w:lang w:val="sr-Latn-ME" w:eastAsia="ja-JP"/>
        </w:rPr>
        <w:t>primjene</w:t>
      </w:r>
      <w:r w:rsidRPr="0014404C">
        <w:rPr>
          <w:sz w:val="22"/>
          <w:szCs w:val="22"/>
          <w:lang w:val="sr-Latn-ME" w:eastAsia="ja-JP"/>
        </w:rPr>
        <w:t xml:space="preserve"> faricimaba</w:t>
      </w:r>
      <w:r w:rsidRPr="0014404C">
        <w:rPr>
          <w:i/>
          <w:iCs/>
          <w:color w:val="FF0000"/>
          <w:sz w:val="22"/>
          <w:szCs w:val="22"/>
          <w:lang w:val="sr-Latn-ME" w:eastAsia="ja-JP"/>
        </w:rPr>
        <w:t xml:space="preserve"> </w:t>
      </w:r>
      <w:r w:rsidRPr="0014404C">
        <w:rPr>
          <w:sz w:val="22"/>
          <w:szCs w:val="22"/>
          <w:lang w:val="sr-Latn-ME" w:eastAsia="ja-JP"/>
        </w:rPr>
        <w:t>je veoma niska.</w:t>
      </w:r>
    </w:p>
    <w:p w14:paraId="4B37E6B8" w14:textId="77777777" w:rsidR="00836B35" w:rsidRPr="0014404C" w:rsidRDefault="00836B35" w:rsidP="0014404C">
      <w:pPr>
        <w:widowControl w:val="0"/>
        <w:tabs>
          <w:tab w:val="left" w:pos="540"/>
          <w:tab w:val="left" w:pos="569"/>
        </w:tabs>
        <w:jc w:val="both"/>
        <w:rPr>
          <w:bCs/>
          <w:sz w:val="22"/>
          <w:szCs w:val="22"/>
          <w:lang w:val="sr-Latn-ME"/>
        </w:rPr>
      </w:pPr>
    </w:p>
    <w:p w14:paraId="3A9AF969" w14:textId="77777777" w:rsidR="00396DFD" w:rsidRPr="0014404C" w:rsidRDefault="00396DFD" w:rsidP="0014404C">
      <w:pPr>
        <w:widowControl w:val="0"/>
        <w:tabs>
          <w:tab w:val="left" w:pos="540"/>
          <w:tab w:val="left" w:pos="569"/>
        </w:tabs>
        <w:jc w:val="both"/>
        <w:rPr>
          <w:b/>
          <w:bCs/>
          <w:sz w:val="22"/>
          <w:szCs w:val="22"/>
          <w:lang w:val="sr-Latn-ME"/>
        </w:rPr>
      </w:pPr>
    </w:p>
    <w:p w14:paraId="665EFF71"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6. </w:t>
      </w:r>
      <w:r w:rsidR="00480FB1" w:rsidRPr="0014404C">
        <w:rPr>
          <w:b/>
          <w:bCs/>
          <w:sz w:val="22"/>
          <w:szCs w:val="22"/>
          <w:lang w:val="sr-Latn-ME"/>
        </w:rPr>
        <w:tab/>
      </w:r>
      <w:r w:rsidRPr="0014404C">
        <w:rPr>
          <w:b/>
          <w:bCs/>
          <w:sz w:val="22"/>
          <w:szCs w:val="22"/>
          <w:lang w:val="sr-Latn-ME"/>
        </w:rPr>
        <w:t>FARMACEUTSKI PODACI</w:t>
      </w:r>
    </w:p>
    <w:p w14:paraId="657A8B22" w14:textId="77777777" w:rsidR="00836B35" w:rsidRPr="0014404C" w:rsidRDefault="00836B35" w:rsidP="0014404C">
      <w:pPr>
        <w:widowControl w:val="0"/>
        <w:tabs>
          <w:tab w:val="left" w:pos="540"/>
          <w:tab w:val="left" w:pos="569"/>
        </w:tabs>
        <w:jc w:val="both"/>
        <w:rPr>
          <w:bCs/>
          <w:sz w:val="22"/>
          <w:szCs w:val="22"/>
          <w:lang w:val="sr-Latn-ME"/>
        </w:rPr>
      </w:pPr>
    </w:p>
    <w:p w14:paraId="29388593"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6.1. </w:t>
      </w:r>
      <w:r w:rsidR="00480FB1" w:rsidRPr="0014404C">
        <w:rPr>
          <w:b/>
          <w:bCs/>
          <w:sz w:val="22"/>
          <w:szCs w:val="22"/>
          <w:lang w:val="sr-Latn-ME"/>
        </w:rPr>
        <w:tab/>
      </w:r>
      <w:r w:rsidRPr="0014404C">
        <w:rPr>
          <w:b/>
          <w:bCs/>
          <w:sz w:val="22"/>
          <w:szCs w:val="22"/>
          <w:lang w:val="sr-Latn-ME"/>
        </w:rPr>
        <w:t>Lista pomoćnih supstanci</w:t>
      </w:r>
      <w:r w:rsidR="002E0135" w:rsidRPr="0014404C">
        <w:rPr>
          <w:b/>
          <w:bCs/>
          <w:sz w:val="22"/>
          <w:szCs w:val="22"/>
          <w:lang w:val="sr-Latn-ME"/>
        </w:rPr>
        <w:t xml:space="preserve"> (ekscipijenasa)</w:t>
      </w:r>
    </w:p>
    <w:p w14:paraId="7869134B" w14:textId="77777777" w:rsidR="00D44D34" w:rsidRPr="0014404C" w:rsidRDefault="00D44D34" w:rsidP="0014404C">
      <w:pPr>
        <w:widowControl w:val="0"/>
        <w:tabs>
          <w:tab w:val="left" w:pos="540"/>
          <w:tab w:val="left" w:pos="569"/>
        </w:tabs>
        <w:jc w:val="both"/>
        <w:rPr>
          <w:b/>
          <w:bCs/>
          <w:sz w:val="22"/>
          <w:szCs w:val="22"/>
          <w:lang w:val="sr-Latn-ME"/>
        </w:rPr>
      </w:pPr>
    </w:p>
    <w:p w14:paraId="72161B9B"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L-histidin</w:t>
      </w:r>
    </w:p>
    <w:p w14:paraId="552DF0C9" w14:textId="42574FB3" w:rsidR="00D44D34" w:rsidRPr="0014404C" w:rsidRDefault="00D44D34" w:rsidP="0014404C">
      <w:pPr>
        <w:widowControl w:val="0"/>
        <w:jc w:val="both"/>
        <w:rPr>
          <w:sz w:val="22"/>
          <w:szCs w:val="22"/>
          <w:lang w:val="sr-Latn-ME" w:eastAsia="ja-JP"/>
        </w:rPr>
      </w:pPr>
      <w:r w:rsidRPr="0014404C">
        <w:rPr>
          <w:sz w:val="22"/>
          <w:szCs w:val="22"/>
          <w:lang w:val="sr-Latn-ME" w:eastAsia="ja-JP"/>
        </w:rPr>
        <w:t>Acetatna kiselina 30% (za podešavanje pH)</w:t>
      </w:r>
      <w:r w:rsidR="00346D28" w:rsidRPr="0014404C">
        <w:rPr>
          <w:sz w:val="22"/>
          <w:szCs w:val="22"/>
          <w:lang w:val="sr-Latn-ME" w:eastAsia="ja-JP"/>
        </w:rPr>
        <w:t xml:space="preserve"> (E 260)</w:t>
      </w:r>
    </w:p>
    <w:p w14:paraId="5E7B2303"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L-metionin</w:t>
      </w:r>
    </w:p>
    <w:p w14:paraId="34FB1BAF" w14:textId="223CC130" w:rsidR="00D44D34" w:rsidRPr="0014404C" w:rsidRDefault="00D44D34" w:rsidP="0014404C">
      <w:pPr>
        <w:widowControl w:val="0"/>
        <w:jc w:val="both"/>
        <w:rPr>
          <w:sz w:val="22"/>
          <w:szCs w:val="22"/>
          <w:lang w:val="sr-Latn-ME" w:eastAsia="ja-JP"/>
        </w:rPr>
      </w:pPr>
      <w:r w:rsidRPr="0014404C">
        <w:rPr>
          <w:sz w:val="22"/>
          <w:szCs w:val="22"/>
          <w:lang w:val="sr-Latn-ME" w:eastAsia="ja-JP"/>
        </w:rPr>
        <w:t>Polisorbat 20</w:t>
      </w:r>
      <w:r w:rsidR="00346D28" w:rsidRPr="0014404C">
        <w:rPr>
          <w:sz w:val="22"/>
          <w:szCs w:val="22"/>
          <w:lang w:val="sr-Latn-ME" w:eastAsia="ja-JP"/>
        </w:rPr>
        <w:t xml:space="preserve"> (E 432)</w:t>
      </w:r>
    </w:p>
    <w:p w14:paraId="2061CA24" w14:textId="1042DF68" w:rsidR="00D44D34" w:rsidRPr="0014404C" w:rsidRDefault="00D44D34" w:rsidP="0014404C">
      <w:pPr>
        <w:widowControl w:val="0"/>
        <w:jc w:val="both"/>
        <w:rPr>
          <w:sz w:val="22"/>
          <w:szCs w:val="22"/>
          <w:lang w:val="sr-Latn-ME" w:eastAsia="ja-JP"/>
        </w:rPr>
      </w:pPr>
      <w:r w:rsidRPr="0014404C">
        <w:rPr>
          <w:sz w:val="22"/>
          <w:szCs w:val="22"/>
          <w:lang w:val="sr-Latn-ME" w:eastAsia="ja-JP"/>
        </w:rPr>
        <w:t>Natrijum</w:t>
      </w:r>
      <w:r w:rsidR="00AC1659" w:rsidRPr="0014404C">
        <w:rPr>
          <w:sz w:val="22"/>
          <w:szCs w:val="22"/>
          <w:lang w:val="sr-Latn-ME" w:eastAsia="ja-JP"/>
        </w:rPr>
        <w:t xml:space="preserve"> </w:t>
      </w:r>
      <w:r w:rsidRPr="0014404C">
        <w:rPr>
          <w:sz w:val="22"/>
          <w:szCs w:val="22"/>
          <w:lang w:val="sr-Latn-ME" w:eastAsia="ja-JP"/>
        </w:rPr>
        <w:t xml:space="preserve">hlorid </w:t>
      </w:r>
    </w:p>
    <w:p w14:paraId="62947814"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D-saharoza</w:t>
      </w:r>
    </w:p>
    <w:p w14:paraId="74CF8F86" w14:textId="708149DB"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Voda za </w:t>
      </w:r>
      <w:r w:rsidR="00AC1659" w:rsidRPr="0014404C">
        <w:rPr>
          <w:sz w:val="22"/>
          <w:szCs w:val="22"/>
          <w:lang w:val="sr-Latn-ME" w:eastAsia="ja-JP"/>
        </w:rPr>
        <w:t>injekcije</w:t>
      </w:r>
    </w:p>
    <w:p w14:paraId="59C1F5F9" w14:textId="77777777" w:rsidR="0072020E" w:rsidRPr="0014404C" w:rsidRDefault="0072020E" w:rsidP="0014404C">
      <w:pPr>
        <w:widowControl w:val="0"/>
        <w:tabs>
          <w:tab w:val="left" w:pos="540"/>
          <w:tab w:val="left" w:pos="569"/>
        </w:tabs>
        <w:jc w:val="both"/>
        <w:rPr>
          <w:bCs/>
          <w:sz w:val="22"/>
          <w:szCs w:val="22"/>
          <w:lang w:val="sr-Latn-ME"/>
        </w:rPr>
      </w:pPr>
    </w:p>
    <w:p w14:paraId="010639B0"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6.2. </w:t>
      </w:r>
      <w:r w:rsidR="00480FB1" w:rsidRPr="0014404C">
        <w:rPr>
          <w:b/>
          <w:bCs/>
          <w:sz w:val="22"/>
          <w:szCs w:val="22"/>
          <w:lang w:val="sr-Latn-ME"/>
        </w:rPr>
        <w:tab/>
      </w:r>
      <w:r w:rsidRPr="0014404C">
        <w:rPr>
          <w:b/>
          <w:bCs/>
          <w:sz w:val="22"/>
          <w:szCs w:val="22"/>
          <w:lang w:val="sr-Latn-ME"/>
        </w:rPr>
        <w:t>Inkompatibilnost</w:t>
      </w:r>
      <w:r w:rsidR="002846DB" w:rsidRPr="0014404C">
        <w:rPr>
          <w:b/>
          <w:bCs/>
          <w:sz w:val="22"/>
          <w:szCs w:val="22"/>
          <w:lang w:val="sr-Latn-ME"/>
        </w:rPr>
        <w:t>i</w:t>
      </w:r>
    </w:p>
    <w:p w14:paraId="66DFBB73" w14:textId="77777777" w:rsidR="00D44D34" w:rsidRPr="0014404C" w:rsidRDefault="00D44D34" w:rsidP="0014404C">
      <w:pPr>
        <w:widowControl w:val="0"/>
        <w:tabs>
          <w:tab w:val="left" w:pos="540"/>
          <w:tab w:val="left" w:pos="569"/>
        </w:tabs>
        <w:jc w:val="both"/>
        <w:rPr>
          <w:b/>
          <w:bCs/>
          <w:sz w:val="22"/>
          <w:szCs w:val="22"/>
          <w:lang w:val="sr-Latn-ME"/>
        </w:rPr>
      </w:pPr>
    </w:p>
    <w:p w14:paraId="3027128E" w14:textId="66E9ED80"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U odsustvu studija kompatibilnosti, ovaj </w:t>
      </w:r>
      <w:r w:rsidR="00802EFD" w:rsidRPr="0014404C">
        <w:rPr>
          <w:sz w:val="22"/>
          <w:szCs w:val="22"/>
          <w:lang w:val="sr-Latn-ME" w:eastAsia="ja-JP"/>
        </w:rPr>
        <w:t xml:space="preserve">lijek </w:t>
      </w:r>
      <w:r w:rsidRPr="0014404C">
        <w:rPr>
          <w:sz w:val="22"/>
          <w:szCs w:val="22"/>
          <w:lang w:val="sr-Latn-ME" w:eastAsia="ja-JP"/>
        </w:rPr>
        <w:t xml:space="preserve">se ne </w:t>
      </w:r>
      <w:r w:rsidR="00162F5A" w:rsidRPr="0014404C">
        <w:rPr>
          <w:sz w:val="22"/>
          <w:szCs w:val="22"/>
          <w:lang w:val="sr-Latn-ME" w:eastAsia="ja-JP"/>
        </w:rPr>
        <w:t xml:space="preserve">smije miješati </w:t>
      </w:r>
      <w:r w:rsidRPr="0014404C">
        <w:rPr>
          <w:sz w:val="22"/>
          <w:szCs w:val="22"/>
          <w:lang w:val="sr-Latn-ME" w:eastAsia="ja-JP"/>
        </w:rPr>
        <w:t>s</w:t>
      </w:r>
      <w:r w:rsidR="00AC1659" w:rsidRPr="0014404C">
        <w:rPr>
          <w:sz w:val="22"/>
          <w:szCs w:val="22"/>
          <w:lang w:val="sr-Latn-ME" w:eastAsia="ja-JP"/>
        </w:rPr>
        <w:t>a</w:t>
      </w:r>
      <w:r w:rsidRPr="0014404C">
        <w:rPr>
          <w:sz w:val="22"/>
          <w:szCs w:val="22"/>
          <w:lang w:val="sr-Latn-ME" w:eastAsia="ja-JP"/>
        </w:rPr>
        <w:t xml:space="preserve"> drugim </w:t>
      </w:r>
      <w:r w:rsidR="00162F5A" w:rsidRPr="0014404C">
        <w:rPr>
          <w:sz w:val="22"/>
          <w:szCs w:val="22"/>
          <w:lang w:val="sr-Latn-ME" w:eastAsia="ja-JP"/>
        </w:rPr>
        <w:t>ljekovima</w:t>
      </w:r>
      <w:r w:rsidRPr="0014404C">
        <w:rPr>
          <w:sz w:val="22"/>
          <w:szCs w:val="22"/>
          <w:lang w:val="sr-Latn-ME" w:eastAsia="ja-JP"/>
        </w:rPr>
        <w:t>.</w:t>
      </w:r>
    </w:p>
    <w:p w14:paraId="65FFA67A" w14:textId="77777777" w:rsidR="0072020E" w:rsidRPr="0014404C" w:rsidRDefault="0072020E" w:rsidP="0014404C">
      <w:pPr>
        <w:widowControl w:val="0"/>
        <w:tabs>
          <w:tab w:val="left" w:pos="540"/>
          <w:tab w:val="left" w:pos="569"/>
        </w:tabs>
        <w:jc w:val="both"/>
        <w:rPr>
          <w:bCs/>
          <w:sz w:val="22"/>
          <w:szCs w:val="22"/>
          <w:lang w:val="sr-Latn-ME"/>
        </w:rPr>
      </w:pPr>
    </w:p>
    <w:p w14:paraId="1BA28ECF"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6.3.</w:t>
      </w:r>
      <w:r w:rsidR="00C05DF8" w:rsidRPr="0014404C">
        <w:rPr>
          <w:b/>
          <w:bCs/>
          <w:sz w:val="22"/>
          <w:szCs w:val="22"/>
          <w:lang w:val="sr-Latn-ME"/>
        </w:rPr>
        <w:t xml:space="preserve"> </w:t>
      </w:r>
      <w:r w:rsidR="00480FB1" w:rsidRPr="0014404C">
        <w:rPr>
          <w:b/>
          <w:bCs/>
          <w:sz w:val="22"/>
          <w:szCs w:val="22"/>
          <w:lang w:val="sr-Latn-ME"/>
        </w:rPr>
        <w:tab/>
      </w:r>
      <w:r w:rsidRPr="0014404C">
        <w:rPr>
          <w:b/>
          <w:bCs/>
          <w:sz w:val="22"/>
          <w:szCs w:val="22"/>
          <w:lang w:val="sr-Latn-ME"/>
        </w:rPr>
        <w:t>Rok upotrebe</w:t>
      </w:r>
    </w:p>
    <w:p w14:paraId="464D51AC" w14:textId="77777777" w:rsidR="00D44D34" w:rsidRPr="0014404C" w:rsidRDefault="00D44D34" w:rsidP="0014404C">
      <w:pPr>
        <w:widowControl w:val="0"/>
        <w:tabs>
          <w:tab w:val="left" w:pos="540"/>
          <w:tab w:val="left" w:pos="569"/>
        </w:tabs>
        <w:jc w:val="both"/>
        <w:rPr>
          <w:b/>
          <w:bCs/>
          <w:sz w:val="22"/>
          <w:szCs w:val="22"/>
          <w:lang w:val="sr-Latn-ME"/>
        </w:rPr>
      </w:pPr>
    </w:p>
    <w:p w14:paraId="1F430F59" w14:textId="4C7DB994" w:rsidR="00D44D34" w:rsidRPr="0014404C" w:rsidRDefault="00D44D34" w:rsidP="0014404C">
      <w:pPr>
        <w:widowControl w:val="0"/>
        <w:tabs>
          <w:tab w:val="left" w:pos="540"/>
          <w:tab w:val="left" w:pos="569"/>
        </w:tabs>
        <w:jc w:val="both"/>
        <w:rPr>
          <w:bCs/>
          <w:sz w:val="22"/>
          <w:szCs w:val="22"/>
          <w:lang w:val="sr-Latn-ME"/>
        </w:rPr>
      </w:pPr>
      <w:r w:rsidRPr="0014404C">
        <w:rPr>
          <w:bCs/>
          <w:sz w:val="22"/>
          <w:szCs w:val="22"/>
          <w:lang w:val="sr-Latn-ME"/>
        </w:rPr>
        <w:t>30 mjeseci</w:t>
      </w:r>
      <w:r w:rsidR="00E61257" w:rsidRPr="0014404C">
        <w:rPr>
          <w:bCs/>
          <w:sz w:val="22"/>
          <w:szCs w:val="22"/>
          <w:lang w:val="sr-Latn-ME"/>
        </w:rPr>
        <w:t>.</w:t>
      </w:r>
    </w:p>
    <w:p w14:paraId="6AB09755" w14:textId="77777777" w:rsidR="0072020E" w:rsidRPr="0014404C" w:rsidRDefault="0072020E" w:rsidP="0014404C">
      <w:pPr>
        <w:widowControl w:val="0"/>
        <w:tabs>
          <w:tab w:val="left" w:pos="540"/>
          <w:tab w:val="left" w:pos="569"/>
        </w:tabs>
        <w:jc w:val="both"/>
        <w:rPr>
          <w:bCs/>
          <w:sz w:val="22"/>
          <w:szCs w:val="22"/>
          <w:lang w:val="sr-Latn-ME"/>
        </w:rPr>
      </w:pPr>
    </w:p>
    <w:p w14:paraId="13AA7518"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6.4. </w:t>
      </w:r>
      <w:r w:rsidR="00480FB1" w:rsidRPr="0014404C">
        <w:rPr>
          <w:b/>
          <w:bCs/>
          <w:sz w:val="22"/>
          <w:szCs w:val="22"/>
          <w:lang w:val="sr-Latn-ME"/>
        </w:rPr>
        <w:tab/>
      </w:r>
      <w:r w:rsidRPr="0014404C">
        <w:rPr>
          <w:b/>
          <w:bCs/>
          <w:sz w:val="22"/>
          <w:szCs w:val="22"/>
          <w:lang w:val="sr-Latn-ME"/>
        </w:rPr>
        <w:t>Posebne mjere upozorenja pri čuvanju</w:t>
      </w:r>
      <w:r w:rsidR="00F8570A" w:rsidRPr="0014404C">
        <w:rPr>
          <w:b/>
          <w:bCs/>
          <w:sz w:val="22"/>
          <w:szCs w:val="22"/>
          <w:lang w:val="sr-Latn-ME"/>
        </w:rPr>
        <w:t xml:space="preserve"> lijeka</w:t>
      </w:r>
    </w:p>
    <w:p w14:paraId="0D5ACBB3" w14:textId="77777777" w:rsidR="00D44D34" w:rsidRPr="0014404C" w:rsidRDefault="00D44D34" w:rsidP="0014404C">
      <w:pPr>
        <w:widowControl w:val="0"/>
        <w:tabs>
          <w:tab w:val="left" w:pos="540"/>
          <w:tab w:val="left" w:pos="569"/>
        </w:tabs>
        <w:jc w:val="both"/>
        <w:rPr>
          <w:b/>
          <w:bCs/>
          <w:sz w:val="22"/>
          <w:szCs w:val="22"/>
          <w:lang w:val="sr-Latn-ME"/>
        </w:rPr>
      </w:pPr>
    </w:p>
    <w:p w14:paraId="6F454B6B" w14:textId="0716EA59" w:rsidR="00D44D34" w:rsidRPr="0014404C" w:rsidRDefault="00D44D34" w:rsidP="0014404C">
      <w:pPr>
        <w:widowControl w:val="0"/>
        <w:jc w:val="both"/>
        <w:rPr>
          <w:rFonts w:eastAsia="Verdana"/>
          <w:sz w:val="22"/>
          <w:szCs w:val="22"/>
          <w:lang w:val="sr-Latn-ME" w:eastAsia="en-GB"/>
        </w:rPr>
      </w:pPr>
      <w:r w:rsidRPr="0014404C">
        <w:rPr>
          <w:rFonts w:eastAsia="Verdana"/>
          <w:sz w:val="22"/>
          <w:szCs w:val="22"/>
          <w:lang w:val="sr-Latn-ME" w:eastAsia="en-GB"/>
        </w:rPr>
        <w:t>Čuvajte u frižideru (2</w:t>
      </w:r>
      <w:r w:rsidR="00AC1659" w:rsidRPr="0014404C">
        <w:rPr>
          <w:rFonts w:eastAsia="Verdana"/>
          <w:sz w:val="22"/>
          <w:szCs w:val="22"/>
          <w:lang w:val="sr-Latn-ME" w:eastAsia="en-GB"/>
        </w:rPr>
        <w:t>ºC</w:t>
      </w:r>
      <w:r w:rsidRPr="0014404C">
        <w:rPr>
          <w:rFonts w:eastAsia="Verdana"/>
          <w:sz w:val="22"/>
          <w:szCs w:val="22"/>
          <w:lang w:val="sr-Latn-ME" w:eastAsia="en-GB"/>
        </w:rPr>
        <w:t xml:space="preserve"> do 8</w:t>
      </w:r>
      <w:r w:rsidR="00AC1659" w:rsidRPr="0014404C">
        <w:rPr>
          <w:rFonts w:eastAsia="Verdana"/>
          <w:sz w:val="22"/>
          <w:szCs w:val="22"/>
          <w:lang w:val="sr-Latn-ME" w:eastAsia="en-GB"/>
        </w:rPr>
        <w:t>º</w:t>
      </w:r>
      <w:r w:rsidRPr="0014404C">
        <w:rPr>
          <w:rFonts w:eastAsia="Verdana"/>
          <w:sz w:val="22"/>
          <w:szCs w:val="22"/>
          <w:lang w:val="sr-Latn-ME" w:eastAsia="en-GB"/>
        </w:rPr>
        <w:t>C).</w:t>
      </w:r>
    </w:p>
    <w:p w14:paraId="506B4D51" w14:textId="77777777" w:rsidR="00D44D34" w:rsidRPr="0014404C" w:rsidRDefault="00D44D34" w:rsidP="0014404C">
      <w:pPr>
        <w:widowControl w:val="0"/>
        <w:jc w:val="both"/>
        <w:rPr>
          <w:rFonts w:eastAsia="Verdana"/>
          <w:sz w:val="22"/>
          <w:szCs w:val="22"/>
          <w:lang w:val="sr-Latn-ME" w:eastAsia="en-GB"/>
        </w:rPr>
      </w:pPr>
      <w:r w:rsidRPr="0014404C">
        <w:rPr>
          <w:rFonts w:eastAsia="Verdana"/>
          <w:sz w:val="22"/>
          <w:szCs w:val="22"/>
          <w:lang w:val="sr-Latn-ME" w:eastAsia="en-GB"/>
        </w:rPr>
        <w:t xml:space="preserve">Ne zamrzavajte. </w:t>
      </w:r>
    </w:p>
    <w:p w14:paraId="3F820999" w14:textId="10B606C5" w:rsidR="00D44D34" w:rsidRPr="0014404C" w:rsidRDefault="00D44D34" w:rsidP="0014404C">
      <w:pPr>
        <w:widowControl w:val="0"/>
        <w:jc w:val="both"/>
        <w:rPr>
          <w:rFonts w:eastAsia="Verdana"/>
          <w:sz w:val="22"/>
          <w:szCs w:val="22"/>
          <w:lang w:val="sr-Latn-ME" w:eastAsia="en-GB"/>
        </w:rPr>
      </w:pPr>
      <w:r w:rsidRPr="0014404C">
        <w:rPr>
          <w:rFonts w:eastAsia="Verdana"/>
          <w:sz w:val="22"/>
          <w:szCs w:val="22"/>
          <w:lang w:val="sr-Latn-ME" w:eastAsia="en-GB"/>
        </w:rPr>
        <w:t xml:space="preserve">Bočicu čuvati u spoljašnjem kartonskom pakovanju radi zaštite od </w:t>
      </w:r>
      <w:r w:rsidR="00162F5A" w:rsidRPr="0014404C">
        <w:rPr>
          <w:rFonts w:eastAsia="Verdana"/>
          <w:sz w:val="22"/>
          <w:szCs w:val="22"/>
          <w:lang w:val="sr-Latn-ME" w:eastAsia="en-GB"/>
        </w:rPr>
        <w:t>svjetlosti</w:t>
      </w:r>
      <w:r w:rsidRPr="0014404C">
        <w:rPr>
          <w:rFonts w:eastAsia="Verdana"/>
          <w:sz w:val="22"/>
          <w:szCs w:val="22"/>
          <w:lang w:val="sr-Latn-ME" w:eastAsia="en-GB"/>
        </w:rPr>
        <w:t>.</w:t>
      </w:r>
    </w:p>
    <w:p w14:paraId="7AB6FF01" w14:textId="15290225" w:rsidR="00D44D34" w:rsidRPr="0014404C" w:rsidRDefault="00162F5A" w:rsidP="0014404C">
      <w:pPr>
        <w:widowControl w:val="0"/>
        <w:jc w:val="both"/>
        <w:rPr>
          <w:rFonts w:eastAsia="Verdana"/>
          <w:sz w:val="22"/>
          <w:szCs w:val="22"/>
          <w:lang w:val="sr-Latn-ME" w:eastAsia="en-GB"/>
        </w:rPr>
      </w:pPr>
      <w:r w:rsidRPr="0014404C">
        <w:rPr>
          <w:rFonts w:eastAsia="Verdana"/>
          <w:sz w:val="22"/>
          <w:szCs w:val="22"/>
          <w:lang w:val="sr-Latn-ME" w:eastAsia="en-GB"/>
        </w:rPr>
        <w:t xml:space="preserve">Prije </w:t>
      </w:r>
      <w:r w:rsidR="00D44D34" w:rsidRPr="0014404C">
        <w:rPr>
          <w:rFonts w:eastAsia="Verdana"/>
          <w:sz w:val="22"/>
          <w:szCs w:val="22"/>
          <w:lang w:val="sr-Latn-ME" w:eastAsia="en-GB"/>
        </w:rPr>
        <w:t>upotrebe, neotvorena bočica može se čuvati na sobnoj temperaturi od 20</w:t>
      </w:r>
      <w:r w:rsidR="00AC1659" w:rsidRPr="0014404C">
        <w:rPr>
          <w:rFonts w:eastAsia="Verdana"/>
          <w:sz w:val="22"/>
          <w:szCs w:val="22"/>
          <w:lang w:val="sr-Latn-ME" w:eastAsia="en-GB"/>
        </w:rPr>
        <w:t>ºC</w:t>
      </w:r>
      <w:r w:rsidR="00D44D34" w:rsidRPr="0014404C">
        <w:rPr>
          <w:rFonts w:eastAsia="Verdana"/>
          <w:sz w:val="22"/>
          <w:szCs w:val="22"/>
          <w:lang w:val="sr-Latn-ME" w:eastAsia="en-GB"/>
        </w:rPr>
        <w:t xml:space="preserve"> do 25</w:t>
      </w:r>
      <w:r w:rsidR="00AC1659" w:rsidRPr="0014404C">
        <w:rPr>
          <w:rFonts w:eastAsia="Verdana"/>
          <w:sz w:val="22"/>
          <w:szCs w:val="22"/>
          <w:lang w:val="sr-Latn-ME" w:eastAsia="en-GB"/>
        </w:rPr>
        <w:t>º</w:t>
      </w:r>
      <w:r w:rsidR="00D44D34" w:rsidRPr="0014404C">
        <w:rPr>
          <w:rFonts w:eastAsia="Verdana"/>
          <w:sz w:val="22"/>
          <w:szCs w:val="22"/>
          <w:lang w:val="sr-Latn-ME" w:eastAsia="en-GB"/>
        </w:rPr>
        <w:t>C, najviše 24 sata.</w:t>
      </w:r>
    </w:p>
    <w:p w14:paraId="5961D40E" w14:textId="39BFEF89"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Injekcija se mora </w:t>
      </w:r>
      <w:r w:rsidR="00162F5A" w:rsidRPr="0014404C">
        <w:rPr>
          <w:sz w:val="22"/>
          <w:szCs w:val="22"/>
          <w:lang w:val="sr-Latn-ME" w:eastAsia="ja-JP"/>
        </w:rPr>
        <w:t xml:space="preserve">primijeniti </w:t>
      </w:r>
      <w:r w:rsidRPr="0014404C">
        <w:rPr>
          <w:sz w:val="22"/>
          <w:szCs w:val="22"/>
          <w:lang w:val="sr-Latn-ME" w:eastAsia="ja-JP"/>
        </w:rPr>
        <w:t>odmah nakon pripreme doze.</w:t>
      </w:r>
    </w:p>
    <w:p w14:paraId="13553E34" w14:textId="34C480B3" w:rsidR="00650B15" w:rsidRPr="0014404C" w:rsidRDefault="00650B15" w:rsidP="0014404C">
      <w:pPr>
        <w:widowControl w:val="0"/>
        <w:jc w:val="both"/>
        <w:rPr>
          <w:sz w:val="22"/>
          <w:szCs w:val="22"/>
          <w:lang w:val="sr-Latn-ME" w:eastAsia="ja-JP"/>
        </w:rPr>
      </w:pPr>
    </w:p>
    <w:p w14:paraId="3C1FA549"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lastRenderedPageBreak/>
        <w:t xml:space="preserve">6.5. </w:t>
      </w:r>
      <w:r w:rsidR="00480FB1" w:rsidRPr="0014404C">
        <w:rPr>
          <w:b/>
          <w:bCs/>
          <w:sz w:val="22"/>
          <w:szCs w:val="22"/>
          <w:lang w:val="sr-Latn-ME"/>
        </w:rPr>
        <w:tab/>
      </w:r>
      <w:r w:rsidR="002846DB" w:rsidRPr="0014404C">
        <w:rPr>
          <w:b/>
          <w:bCs/>
          <w:sz w:val="22"/>
          <w:szCs w:val="22"/>
          <w:lang w:val="sr-Latn-ME"/>
        </w:rPr>
        <w:t xml:space="preserve">Vrsta i sadržaj </w:t>
      </w:r>
      <w:r w:rsidR="00F8570A" w:rsidRPr="0014404C">
        <w:rPr>
          <w:b/>
          <w:bCs/>
          <w:sz w:val="22"/>
          <w:szCs w:val="22"/>
          <w:lang w:val="sr-Latn-ME"/>
        </w:rPr>
        <w:t>pakovanja</w:t>
      </w:r>
      <w:r w:rsidR="00C06864" w:rsidRPr="0014404C">
        <w:rPr>
          <w:b/>
          <w:bCs/>
          <w:sz w:val="22"/>
          <w:szCs w:val="22"/>
          <w:lang w:val="sr-Latn-ME"/>
        </w:rPr>
        <w:t xml:space="preserve"> </w:t>
      </w:r>
    </w:p>
    <w:p w14:paraId="2514B9B6" w14:textId="77777777" w:rsidR="00D44D34" w:rsidRPr="0014404C" w:rsidRDefault="00D44D34" w:rsidP="0014404C">
      <w:pPr>
        <w:widowControl w:val="0"/>
        <w:tabs>
          <w:tab w:val="left" w:pos="540"/>
          <w:tab w:val="left" w:pos="569"/>
        </w:tabs>
        <w:jc w:val="both"/>
        <w:rPr>
          <w:b/>
          <w:bCs/>
          <w:sz w:val="22"/>
          <w:szCs w:val="22"/>
          <w:lang w:val="sr-Latn-ME"/>
        </w:rPr>
      </w:pPr>
    </w:p>
    <w:p w14:paraId="27254CF1" w14:textId="09BC4982" w:rsidR="00D44D34" w:rsidRPr="0014404C" w:rsidRDefault="00D44D34" w:rsidP="0014404C">
      <w:pPr>
        <w:pStyle w:val="BodytextAgency"/>
        <w:widowControl w:val="0"/>
        <w:spacing w:after="0" w:line="240" w:lineRule="auto"/>
        <w:jc w:val="both"/>
        <w:rPr>
          <w:rFonts w:ascii="Times New Roman" w:hAnsi="Times New Roman" w:cs="Times New Roman"/>
          <w:sz w:val="22"/>
          <w:szCs w:val="22"/>
          <w:lang w:val="sr-Latn-ME"/>
        </w:rPr>
      </w:pPr>
      <w:r w:rsidRPr="0014404C">
        <w:rPr>
          <w:rFonts w:ascii="Times New Roman" w:hAnsi="Times New Roman" w:cs="Times New Roman"/>
          <w:sz w:val="22"/>
          <w:szCs w:val="22"/>
          <w:lang w:val="sr-Latn-ME"/>
        </w:rPr>
        <w:t xml:space="preserve">0,24 </w:t>
      </w:r>
      <w:r w:rsidR="00AC1659" w:rsidRPr="0014404C">
        <w:rPr>
          <w:rFonts w:ascii="Times New Roman" w:hAnsi="Times New Roman" w:cs="Times New Roman"/>
          <w:sz w:val="22"/>
          <w:szCs w:val="22"/>
          <w:lang w:val="sr-Latn-ME"/>
        </w:rPr>
        <w:t>ml</w:t>
      </w:r>
      <w:r w:rsidRPr="0014404C">
        <w:rPr>
          <w:rFonts w:ascii="Times New Roman" w:hAnsi="Times New Roman" w:cs="Times New Roman"/>
          <w:sz w:val="22"/>
          <w:szCs w:val="22"/>
          <w:lang w:val="sr-Latn-ME"/>
        </w:rPr>
        <w:t xml:space="preserve"> sterilnog rastvora u staklenoj bočici sa obloženim gumenim čepom i aluminijskim zaštitnim zatvaračem sa žutim, plastičnim </w:t>
      </w:r>
      <w:r w:rsidRPr="0014404C">
        <w:rPr>
          <w:rFonts w:ascii="Times New Roman" w:hAnsi="Times New Roman" w:cs="Times New Roman"/>
          <w:i/>
          <w:iCs/>
          <w:sz w:val="22"/>
          <w:szCs w:val="22"/>
          <w:lang w:val="sr-Latn-ME"/>
        </w:rPr>
        <w:t>flip-off</w:t>
      </w:r>
      <w:r w:rsidRPr="0014404C">
        <w:rPr>
          <w:rFonts w:ascii="Times New Roman" w:hAnsi="Times New Roman" w:cs="Times New Roman"/>
          <w:sz w:val="22"/>
          <w:szCs w:val="22"/>
          <w:lang w:val="sr-Latn-ME"/>
        </w:rPr>
        <w:t xml:space="preserve"> poklopcem.</w:t>
      </w:r>
    </w:p>
    <w:p w14:paraId="5D057A83" w14:textId="77777777" w:rsidR="00D44D34" w:rsidRPr="0014404C" w:rsidRDefault="00D44D34" w:rsidP="0014404C">
      <w:pPr>
        <w:pStyle w:val="BodytextAgency"/>
        <w:widowControl w:val="0"/>
        <w:spacing w:after="0" w:line="240" w:lineRule="auto"/>
        <w:jc w:val="both"/>
        <w:rPr>
          <w:rFonts w:ascii="Times New Roman" w:hAnsi="Times New Roman" w:cs="Times New Roman"/>
          <w:sz w:val="22"/>
          <w:szCs w:val="22"/>
          <w:lang w:val="sr-Latn-ME"/>
        </w:rPr>
      </w:pPr>
    </w:p>
    <w:p w14:paraId="3639DFF0" w14:textId="3536CCC3" w:rsidR="00D44D34" w:rsidRPr="0014404C" w:rsidRDefault="00D44D34" w:rsidP="0014404C">
      <w:pPr>
        <w:pStyle w:val="BodytextAgency"/>
        <w:widowControl w:val="0"/>
        <w:spacing w:after="0" w:line="240" w:lineRule="auto"/>
        <w:jc w:val="both"/>
        <w:rPr>
          <w:rFonts w:ascii="Times New Roman" w:hAnsi="Times New Roman" w:cs="Times New Roman"/>
          <w:sz w:val="22"/>
          <w:szCs w:val="22"/>
          <w:lang w:val="sr-Latn-ME"/>
        </w:rPr>
      </w:pPr>
      <w:r w:rsidRPr="0014404C">
        <w:rPr>
          <w:rFonts w:ascii="Times New Roman" w:hAnsi="Times New Roman" w:cs="Times New Roman"/>
          <w:sz w:val="22"/>
          <w:szCs w:val="22"/>
          <w:lang w:val="sr-Latn-ME"/>
        </w:rPr>
        <w:t>Veličina pakovanja: 1 bočica i 1 transferna igla sa filterom i zatupljenim vrhom</w:t>
      </w:r>
      <w:r w:rsidR="00AC1659" w:rsidRPr="0014404C">
        <w:rPr>
          <w:rFonts w:ascii="Times New Roman" w:hAnsi="Times New Roman" w:cs="Times New Roman"/>
          <w:sz w:val="22"/>
          <w:szCs w:val="22"/>
          <w:lang w:val="sr-Latn-ME"/>
        </w:rPr>
        <w:t xml:space="preserve"> </w:t>
      </w:r>
      <w:r w:rsidRPr="0014404C">
        <w:rPr>
          <w:rFonts w:ascii="Times New Roman" w:hAnsi="Times New Roman" w:cs="Times New Roman"/>
          <w:sz w:val="22"/>
          <w:szCs w:val="22"/>
          <w:lang w:val="sr-Latn-ME"/>
        </w:rPr>
        <w:t>(18 G x 1½ inča, 1,2 mm x 40 mm, 5 µm).</w:t>
      </w:r>
    </w:p>
    <w:p w14:paraId="6550C6B0" w14:textId="77777777" w:rsidR="0072020E" w:rsidRPr="0014404C" w:rsidRDefault="0072020E" w:rsidP="0014404C">
      <w:pPr>
        <w:widowControl w:val="0"/>
        <w:tabs>
          <w:tab w:val="left" w:pos="540"/>
          <w:tab w:val="left" w:pos="569"/>
        </w:tabs>
        <w:jc w:val="both"/>
        <w:rPr>
          <w:bCs/>
          <w:sz w:val="22"/>
          <w:szCs w:val="22"/>
          <w:lang w:val="sr-Latn-ME"/>
        </w:rPr>
      </w:pPr>
    </w:p>
    <w:p w14:paraId="66E3393C" w14:textId="77777777" w:rsidR="002846DB"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6.6. </w:t>
      </w:r>
      <w:r w:rsidR="00480FB1" w:rsidRPr="0014404C">
        <w:rPr>
          <w:b/>
          <w:bCs/>
          <w:sz w:val="22"/>
          <w:szCs w:val="22"/>
          <w:lang w:val="sr-Latn-ME"/>
        </w:rPr>
        <w:tab/>
      </w:r>
      <w:r w:rsidRPr="0014404C">
        <w:rPr>
          <w:b/>
          <w:bCs/>
          <w:color w:val="000000"/>
          <w:sz w:val="22"/>
          <w:szCs w:val="22"/>
          <w:lang w:val="sr-Latn-ME"/>
        </w:rPr>
        <w:t>Posebne mjere opreza pri odlaganju materijala koji treba odbaciti nakon primjene lijeka</w:t>
      </w:r>
      <w:r w:rsidRPr="0014404C">
        <w:rPr>
          <w:b/>
          <w:bCs/>
          <w:sz w:val="22"/>
          <w:szCs w:val="22"/>
          <w:lang w:val="sr-Latn-ME"/>
        </w:rPr>
        <w:t xml:space="preserve"> </w:t>
      </w:r>
      <w:r w:rsidR="00310F03" w:rsidRPr="0014404C">
        <w:rPr>
          <w:b/>
          <w:bCs/>
          <w:sz w:val="22"/>
          <w:szCs w:val="22"/>
          <w:lang w:val="sr-Latn-ME"/>
        </w:rPr>
        <w:t>(i druga uputs</w:t>
      </w:r>
      <w:r w:rsidR="004109FA" w:rsidRPr="0014404C">
        <w:rPr>
          <w:b/>
          <w:bCs/>
          <w:sz w:val="22"/>
          <w:szCs w:val="22"/>
          <w:lang w:val="sr-Latn-ME"/>
        </w:rPr>
        <w:t>t</w:t>
      </w:r>
      <w:r w:rsidR="00310F03" w:rsidRPr="0014404C">
        <w:rPr>
          <w:b/>
          <w:bCs/>
          <w:sz w:val="22"/>
          <w:szCs w:val="22"/>
          <w:lang w:val="sr-Latn-ME"/>
        </w:rPr>
        <w:t xml:space="preserve">va za rukovanje lijekom) </w:t>
      </w:r>
    </w:p>
    <w:p w14:paraId="361790D5" w14:textId="77777777" w:rsidR="00B66A70" w:rsidRPr="0014404C" w:rsidRDefault="00B66A70" w:rsidP="0014404C">
      <w:pPr>
        <w:widowControl w:val="0"/>
        <w:tabs>
          <w:tab w:val="left" w:pos="540"/>
          <w:tab w:val="left" w:pos="569"/>
        </w:tabs>
        <w:jc w:val="both"/>
        <w:rPr>
          <w:b/>
          <w:bCs/>
          <w:sz w:val="22"/>
          <w:szCs w:val="22"/>
          <w:lang w:val="sr-Latn-ME"/>
        </w:rPr>
      </w:pPr>
    </w:p>
    <w:p w14:paraId="411C13A5" w14:textId="77777777" w:rsidR="00D44D34" w:rsidRPr="0014404C" w:rsidRDefault="00D44D34" w:rsidP="0014404C">
      <w:pPr>
        <w:widowControl w:val="0"/>
        <w:jc w:val="both"/>
        <w:rPr>
          <w:sz w:val="22"/>
          <w:szCs w:val="22"/>
          <w:lang w:val="sr-Latn-ME" w:eastAsia="ja-JP"/>
        </w:rPr>
      </w:pPr>
      <w:r w:rsidRPr="0014404C">
        <w:rPr>
          <w:sz w:val="22"/>
          <w:szCs w:val="22"/>
          <w:lang w:val="sr-Latn-ME" w:eastAsia="ja-JP"/>
        </w:rPr>
        <w:t>Ne mućkajte.</w:t>
      </w:r>
    </w:p>
    <w:p w14:paraId="6D2A79BB" w14:textId="77777777" w:rsidR="00D44D34" w:rsidRPr="0014404C" w:rsidRDefault="00D44D34" w:rsidP="0014404C">
      <w:pPr>
        <w:widowControl w:val="0"/>
        <w:jc w:val="both"/>
        <w:rPr>
          <w:sz w:val="22"/>
          <w:szCs w:val="22"/>
          <w:lang w:val="sr-Latn-ME" w:eastAsia="ja-JP"/>
        </w:rPr>
      </w:pPr>
    </w:p>
    <w:p w14:paraId="118CDE24" w14:textId="27838B8A"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Bočica sadrži više od preporučene doze od 6 mg. Ne </w:t>
      </w:r>
      <w:r w:rsidR="00162F5A" w:rsidRPr="0014404C">
        <w:rPr>
          <w:sz w:val="22"/>
          <w:szCs w:val="22"/>
          <w:lang w:val="sr-Latn-ME" w:eastAsia="ja-JP"/>
        </w:rPr>
        <w:t xml:space="preserve">smije </w:t>
      </w:r>
      <w:r w:rsidRPr="0014404C">
        <w:rPr>
          <w:sz w:val="22"/>
          <w:szCs w:val="22"/>
          <w:lang w:val="sr-Latn-ME" w:eastAsia="ja-JP"/>
        </w:rPr>
        <w:t>se upotr</w:t>
      </w:r>
      <w:r w:rsidR="00AC1659" w:rsidRPr="0014404C">
        <w:rPr>
          <w:sz w:val="22"/>
          <w:szCs w:val="22"/>
          <w:lang w:val="sr-Latn-ME" w:eastAsia="ja-JP"/>
        </w:rPr>
        <w:t>ij</w:t>
      </w:r>
      <w:r w:rsidRPr="0014404C">
        <w:rPr>
          <w:sz w:val="22"/>
          <w:szCs w:val="22"/>
          <w:lang w:val="sr-Latn-ME" w:eastAsia="ja-JP"/>
        </w:rPr>
        <w:t xml:space="preserve">ebiti ukupna zapremina </w:t>
      </w:r>
      <w:r w:rsidR="00802EFD" w:rsidRPr="0014404C">
        <w:rPr>
          <w:sz w:val="22"/>
          <w:szCs w:val="22"/>
          <w:lang w:val="sr-Latn-ME" w:eastAsia="ja-JP"/>
        </w:rPr>
        <w:t>lijeka</w:t>
      </w:r>
      <w:r w:rsidRPr="0014404C">
        <w:rPr>
          <w:sz w:val="22"/>
          <w:szCs w:val="22"/>
          <w:lang w:val="sr-Latn-ME" w:eastAsia="ja-JP"/>
        </w:rPr>
        <w:t xml:space="preserve"> sadržana u bočici (0,24 </w:t>
      </w:r>
      <w:r w:rsidR="00AC1659" w:rsidRPr="0014404C">
        <w:rPr>
          <w:sz w:val="22"/>
          <w:szCs w:val="22"/>
          <w:lang w:val="sr-Latn-ME" w:eastAsia="ja-JP"/>
        </w:rPr>
        <w:t>ml</w:t>
      </w:r>
      <w:r w:rsidRPr="0014404C">
        <w:rPr>
          <w:sz w:val="22"/>
          <w:szCs w:val="22"/>
          <w:lang w:val="sr-Latn-ME" w:eastAsia="ja-JP"/>
        </w:rPr>
        <w:t xml:space="preserve">). </w:t>
      </w:r>
      <w:r w:rsidR="00162F5A" w:rsidRPr="0014404C">
        <w:rPr>
          <w:sz w:val="22"/>
          <w:szCs w:val="22"/>
          <w:lang w:val="sr-Latn-ME" w:eastAsia="ja-JP"/>
        </w:rPr>
        <w:t xml:space="preserve">Prije </w:t>
      </w:r>
      <w:r w:rsidR="00802EFD" w:rsidRPr="0014404C">
        <w:rPr>
          <w:sz w:val="22"/>
          <w:szCs w:val="22"/>
          <w:lang w:val="sr-Latn-ME" w:eastAsia="ja-JP"/>
        </w:rPr>
        <w:t>primjene</w:t>
      </w:r>
      <w:r w:rsidRPr="0014404C">
        <w:rPr>
          <w:sz w:val="22"/>
          <w:szCs w:val="22"/>
          <w:lang w:val="sr-Latn-ME" w:eastAsia="ja-JP"/>
        </w:rPr>
        <w:t xml:space="preserve"> injekcije treba istisnuti suvišnu zapreminu. Ubrizgavanje ukupne zapremine koja se nalazi u bočici dovodi do predoziranja. Doza za injekciju mora biti podešena na oznaku doze od 0,05 </w:t>
      </w:r>
      <w:r w:rsidR="00AC1659" w:rsidRPr="0014404C">
        <w:rPr>
          <w:sz w:val="22"/>
          <w:szCs w:val="22"/>
          <w:lang w:val="sr-Latn-ME" w:eastAsia="ja-JP"/>
        </w:rPr>
        <w:t>ml</w:t>
      </w:r>
      <w:r w:rsidRPr="0014404C">
        <w:rPr>
          <w:sz w:val="22"/>
          <w:szCs w:val="22"/>
          <w:lang w:val="sr-Latn-ME" w:eastAsia="ja-JP"/>
        </w:rPr>
        <w:t xml:space="preserve"> tj. 6 mg za faricimab.</w:t>
      </w:r>
    </w:p>
    <w:p w14:paraId="6432D16F" w14:textId="77777777" w:rsidR="00D44D34" w:rsidRPr="0014404C" w:rsidRDefault="00D44D34" w:rsidP="0014404C">
      <w:pPr>
        <w:widowControl w:val="0"/>
        <w:jc w:val="both"/>
        <w:rPr>
          <w:sz w:val="22"/>
          <w:szCs w:val="22"/>
          <w:lang w:val="sr-Latn-ME" w:eastAsia="ja-JP"/>
        </w:rPr>
      </w:pPr>
    </w:p>
    <w:p w14:paraId="0C997EAC" w14:textId="448EF792"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Bočicu </w:t>
      </w:r>
      <w:r w:rsidR="00802EFD" w:rsidRPr="0014404C">
        <w:rPr>
          <w:sz w:val="22"/>
          <w:szCs w:val="22"/>
          <w:lang w:val="sr-Latn-ME" w:eastAsia="ja-JP"/>
        </w:rPr>
        <w:t>lijeka</w:t>
      </w:r>
      <w:r w:rsidRPr="0014404C">
        <w:rPr>
          <w:sz w:val="22"/>
          <w:szCs w:val="22"/>
          <w:lang w:val="sr-Latn-ME" w:eastAsia="ja-JP"/>
        </w:rPr>
        <w:t xml:space="preserve"> Vabysmo treba vizuelno </w:t>
      </w:r>
      <w:r w:rsidR="00954C42" w:rsidRPr="0014404C">
        <w:rPr>
          <w:sz w:val="22"/>
          <w:szCs w:val="22"/>
          <w:lang w:val="sr-Latn-ME" w:eastAsia="ja-JP"/>
        </w:rPr>
        <w:t xml:space="preserve">pregledati </w:t>
      </w:r>
      <w:r w:rsidRPr="0014404C">
        <w:rPr>
          <w:sz w:val="22"/>
          <w:szCs w:val="22"/>
          <w:lang w:val="sr-Latn-ME" w:eastAsia="ja-JP"/>
        </w:rPr>
        <w:t xml:space="preserve">nakon vađenja iz frižidera i </w:t>
      </w:r>
      <w:r w:rsidR="00162F5A" w:rsidRPr="0014404C">
        <w:rPr>
          <w:sz w:val="22"/>
          <w:szCs w:val="22"/>
          <w:lang w:val="sr-Latn-ME" w:eastAsia="ja-JP"/>
        </w:rPr>
        <w:t xml:space="preserve">prije </w:t>
      </w:r>
      <w:r w:rsidR="00802EFD" w:rsidRPr="0014404C">
        <w:rPr>
          <w:sz w:val="22"/>
          <w:szCs w:val="22"/>
          <w:lang w:val="sr-Latn-ME" w:eastAsia="ja-JP"/>
        </w:rPr>
        <w:t>primjene</w:t>
      </w:r>
      <w:r w:rsidRPr="0014404C">
        <w:rPr>
          <w:sz w:val="22"/>
          <w:szCs w:val="22"/>
          <w:lang w:val="sr-Latn-ME" w:eastAsia="ja-JP"/>
        </w:rPr>
        <w:t xml:space="preserve">. </w:t>
      </w:r>
      <w:r w:rsidR="00802EFD" w:rsidRPr="0014404C">
        <w:rPr>
          <w:sz w:val="22"/>
          <w:szCs w:val="22"/>
          <w:lang w:val="sr-Latn-ME" w:eastAsia="ja-JP"/>
        </w:rPr>
        <w:t xml:space="preserve">Lijek </w:t>
      </w:r>
      <w:r w:rsidRPr="0014404C">
        <w:rPr>
          <w:sz w:val="22"/>
          <w:szCs w:val="22"/>
          <w:lang w:val="sr-Latn-ME" w:eastAsia="ja-JP"/>
        </w:rPr>
        <w:t xml:space="preserve">se ne </w:t>
      </w:r>
      <w:r w:rsidR="00162F5A" w:rsidRPr="0014404C">
        <w:rPr>
          <w:sz w:val="22"/>
          <w:szCs w:val="22"/>
          <w:lang w:val="sr-Latn-ME" w:eastAsia="ja-JP"/>
        </w:rPr>
        <w:t xml:space="preserve">smije upotrijebiti </w:t>
      </w:r>
      <w:r w:rsidRPr="0014404C">
        <w:rPr>
          <w:sz w:val="22"/>
          <w:szCs w:val="22"/>
          <w:lang w:val="sr-Latn-ME" w:eastAsia="ja-JP"/>
        </w:rPr>
        <w:t>ako sadrži čestice ili ako je zamućen.</w:t>
      </w:r>
    </w:p>
    <w:p w14:paraId="779D3CCF" w14:textId="77777777" w:rsidR="00D44D34" w:rsidRPr="0014404C" w:rsidRDefault="00D44D34" w:rsidP="0014404C">
      <w:pPr>
        <w:widowControl w:val="0"/>
        <w:jc w:val="both"/>
        <w:rPr>
          <w:sz w:val="22"/>
          <w:szCs w:val="22"/>
          <w:lang w:val="sr-Latn-ME" w:eastAsia="ja-JP"/>
        </w:rPr>
      </w:pPr>
    </w:p>
    <w:p w14:paraId="6632D778" w14:textId="5D67C8D7"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Sadržaj bočice i transferna igla sa filterom su sterilni i </w:t>
      </w:r>
      <w:r w:rsidR="00162F5A" w:rsidRPr="0014404C">
        <w:rPr>
          <w:sz w:val="22"/>
          <w:szCs w:val="22"/>
          <w:lang w:val="sr-Latn-ME" w:eastAsia="ja-JP"/>
        </w:rPr>
        <w:t xml:space="preserve">namijenjeni </w:t>
      </w:r>
      <w:r w:rsidRPr="0014404C">
        <w:rPr>
          <w:sz w:val="22"/>
          <w:szCs w:val="22"/>
          <w:lang w:val="sr-Latn-ME" w:eastAsia="ja-JP"/>
        </w:rPr>
        <w:t xml:space="preserve">samo za jednokratnu upotrebu. </w:t>
      </w:r>
      <w:r w:rsidR="00802EFD" w:rsidRPr="0014404C">
        <w:rPr>
          <w:sz w:val="22"/>
          <w:szCs w:val="22"/>
          <w:lang w:val="sr-Latn-ME" w:eastAsia="ja-JP"/>
        </w:rPr>
        <w:t xml:space="preserve">Lijek </w:t>
      </w:r>
      <w:r w:rsidRPr="0014404C">
        <w:rPr>
          <w:sz w:val="22"/>
          <w:szCs w:val="22"/>
          <w:lang w:val="sr-Latn-ME" w:eastAsia="ja-JP"/>
        </w:rPr>
        <w:t xml:space="preserve">se ne </w:t>
      </w:r>
      <w:r w:rsidR="00162F5A" w:rsidRPr="0014404C">
        <w:rPr>
          <w:sz w:val="22"/>
          <w:szCs w:val="22"/>
          <w:lang w:val="sr-Latn-ME" w:eastAsia="ja-JP"/>
        </w:rPr>
        <w:t xml:space="preserve">smije upotrijebiti </w:t>
      </w:r>
      <w:r w:rsidRPr="0014404C">
        <w:rPr>
          <w:sz w:val="22"/>
          <w:szCs w:val="22"/>
          <w:lang w:val="sr-Latn-ME" w:eastAsia="ja-JP"/>
        </w:rPr>
        <w:t xml:space="preserve">ako su pakovanje, bočica i/ili transferna igla sa filterom oštećeni ili ako im je istekao rok trajanja. Detaljna uputstva za upotrebu nalaze se u uputstvu za </w:t>
      </w:r>
      <w:r w:rsidR="00162F5A" w:rsidRPr="0014404C">
        <w:rPr>
          <w:sz w:val="22"/>
          <w:szCs w:val="22"/>
          <w:lang w:val="sr-Latn-ME" w:eastAsia="ja-JP"/>
        </w:rPr>
        <w:t>lijek</w:t>
      </w:r>
      <w:r w:rsidRPr="0014404C">
        <w:rPr>
          <w:sz w:val="22"/>
          <w:szCs w:val="22"/>
          <w:lang w:val="sr-Latn-ME" w:eastAsia="ja-JP"/>
        </w:rPr>
        <w:t>.</w:t>
      </w:r>
    </w:p>
    <w:p w14:paraId="4781039D" w14:textId="77777777" w:rsidR="00D44D34" w:rsidRPr="0014404C" w:rsidRDefault="00D44D34" w:rsidP="0014404C">
      <w:pPr>
        <w:widowControl w:val="0"/>
        <w:jc w:val="both"/>
        <w:rPr>
          <w:sz w:val="22"/>
          <w:szCs w:val="22"/>
          <w:lang w:val="sr-Latn-ME" w:eastAsia="ja-JP"/>
        </w:rPr>
      </w:pPr>
    </w:p>
    <w:p w14:paraId="3B7482E4" w14:textId="0EDBD7DB" w:rsidR="00D44D34" w:rsidRPr="0014404C" w:rsidRDefault="00D44D34" w:rsidP="0014404C">
      <w:pPr>
        <w:widowControl w:val="0"/>
        <w:jc w:val="both"/>
        <w:rPr>
          <w:sz w:val="22"/>
          <w:szCs w:val="22"/>
          <w:lang w:val="sr-Latn-ME" w:eastAsia="ja-JP"/>
        </w:rPr>
      </w:pPr>
      <w:r w:rsidRPr="0014404C">
        <w:rPr>
          <w:sz w:val="22"/>
          <w:szCs w:val="22"/>
          <w:lang w:val="sr-Latn-ME" w:eastAsia="ja-JP"/>
        </w:rPr>
        <w:t xml:space="preserve">Svu neiskorišćenu količinu </w:t>
      </w:r>
      <w:r w:rsidR="00802EFD" w:rsidRPr="0014404C">
        <w:rPr>
          <w:sz w:val="22"/>
          <w:szCs w:val="22"/>
          <w:lang w:val="sr-Latn-ME" w:eastAsia="ja-JP"/>
        </w:rPr>
        <w:t>lijeka</w:t>
      </w:r>
      <w:r w:rsidRPr="0014404C">
        <w:rPr>
          <w:sz w:val="22"/>
          <w:szCs w:val="22"/>
          <w:lang w:val="sr-Latn-ME" w:eastAsia="ja-JP"/>
        </w:rPr>
        <w:t xml:space="preserve"> ili otpadnog materijala treba odložiti, u skladu s</w:t>
      </w:r>
      <w:r w:rsidR="00954C42" w:rsidRPr="0014404C">
        <w:rPr>
          <w:sz w:val="22"/>
          <w:szCs w:val="22"/>
          <w:lang w:val="sr-Latn-ME" w:eastAsia="ja-JP"/>
        </w:rPr>
        <w:t>a</w:t>
      </w:r>
      <w:r w:rsidRPr="0014404C">
        <w:rPr>
          <w:sz w:val="22"/>
          <w:szCs w:val="22"/>
          <w:lang w:val="sr-Latn-ME" w:eastAsia="ja-JP"/>
        </w:rPr>
        <w:t xml:space="preserve"> važećim propisima.</w:t>
      </w:r>
    </w:p>
    <w:p w14:paraId="7FCE2B08" w14:textId="77777777" w:rsidR="00D44D34" w:rsidRPr="0014404C" w:rsidRDefault="00D44D34" w:rsidP="0014404C">
      <w:pPr>
        <w:widowControl w:val="0"/>
        <w:tabs>
          <w:tab w:val="left" w:pos="540"/>
          <w:tab w:val="left" w:pos="569"/>
        </w:tabs>
        <w:jc w:val="both"/>
        <w:rPr>
          <w:b/>
          <w:bCs/>
          <w:sz w:val="22"/>
          <w:szCs w:val="22"/>
          <w:lang w:val="sr-Latn-ME"/>
        </w:rPr>
      </w:pPr>
    </w:p>
    <w:p w14:paraId="2355D9AE" w14:textId="77777777" w:rsidR="0072020E" w:rsidRPr="0014404C" w:rsidRDefault="0072020E" w:rsidP="0014404C">
      <w:pPr>
        <w:widowControl w:val="0"/>
        <w:tabs>
          <w:tab w:val="left" w:pos="540"/>
          <w:tab w:val="left" w:pos="569"/>
        </w:tabs>
        <w:jc w:val="both"/>
        <w:rPr>
          <w:bCs/>
          <w:sz w:val="22"/>
          <w:szCs w:val="22"/>
          <w:lang w:val="sr-Latn-ME"/>
        </w:rPr>
      </w:pPr>
    </w:p>
    <w:p w14:paraId="2F8CA0C8" w14:textId="77777777" w:rsidR="00F8570A"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7. </w:t>
      </w:r>
      <w:r w:rsidR="00480FB1" w:rsidRPr="0014404C">
        <w:rPr>
          <w:b/>
          <w:bCs/>
          <w:sz w:val="22"/>
          <w:szCs w:val="22"/>
          <w:lang w:val="sr-Latn-ME"/>
        </w:rPr>
        <w:tab/>
      </w:r>
      <w:r w:rsidRPr="0014404C">
        <w:rPr>
          <w:b/>
          <w:bCs/>
          <w:sz w:val="22"/>
          <w:szCs w:val="22"/>
          <w:lang w:val="sr-Latn-ME"/>
        </w:rPr>
        <w:t>NOSILAC DOZVOLE</w:t>
      </w:r>
      <w:r w:rsidR="00483928" w:rsidRPr="0014404C">
        <w:rPr>
          <w:b/>
          <w:bCs/>
          <w:sz w:val="22"/>
          <w:szCs w:val="22"/>
          <w:lang w:val="sr-Latn-ME"/>
        </w:rPr>
        <w:t xml:space="preserve"> </w:t>
      </w:r>
    </w:p>
    <w:p w14:paraId="4100F7D1" w14:textId="77777777" w:rsidR="00C61BE0" w:rsidRPr="0014404C" w:rsidRDefault="00C61BE0" w:rsidP="0014404C">
      <w:pPr>
        <w:widowControl w:val="0"/>
        <w:tabs>
          <w:tab w:val="left" w:pos="540"/>
          <w:tab w:val="left" w:pos="569"/>
        </w:tabs>
        <w:jc w:val="both"/>
        <w:rPr>
          <w:bCs/>
          <w:sz w:val="22"/>
          <w:szCs w:val="22"/>
          <w:lang w:val="sr-Latn-ME"/>
        </w:rPr>
      </w:pPr>
    </w:p>
    <w:p w14:paraId="5D2FDAA0" w14:textId="77777777" w:rsidR="0023235F" w:rsidRPr="0014404C" w:rsidRDefault="0023235F" w:rsidP="0014404C">
      <w:pPr>
        <w:widowControl w:val="0"/>
        <w:jc w:val="both"/>
        <w:rPr>
          <w:sz w:val="22"/>
          <w:szCs w:val="22"/>
          <w:lang w:val="sr-Latn-ME"/>
        </w:rPr>
      </w:pPr>
      <w:r w:rsidRPr="0014404C">
        <w:rPr>
          <w:sz w:val="22"/>
          <w:szCs w:val="22"/>
          <w:lang w:val="sr-Latn-ME"/>
        </w:rPr>
        <w:t>„Hoffmann–La Roche Ltd“ dio stranog društva Podgorica</w:t>
      </w:r>
    </w:p>
    <w:p w14:paraId="0FE313D4" w14:textId="77777777" w:rsidR="0023235F" w:rsidRPr="0014404C" w:rsidRDefault="0023235F" w:rsidP="0014404C">
      <w:pPr>
        <w:widowControl w:val="0"/>
        <w:jc w:val="both"/>
        <w:rPr>
          <w:sz w:val="22"/>
          <w:szCs w:val="22"/>
          <w:lang w:val="sr-Latn-ME"/>
        </w:rPr>
      </w:pPr>
      <w:r w:rsidRPr="0014404C">
        <w:rPr>
          <w:sz w:val="22"/>
          <w:szCs w:val="22"/>
          <w:lang w:val="sr-Latn-ME"/>
        </w:rPr>
        <w:t>ul. Cetinjska 11, 81000 Podgorica, Crna Gora</w:t>
      </w:r>
    </w:p>
    <w:p w14:paraId="157C6E7B" w14:textId="77B57C44" w:rsidR="00C37FD7" w:rsidRPr="0014404C" w:rsidRDefault="00C37FD7" w:rsidP="0014404C">
      <w:pPr>
        <w:widowControl w:val="0"/>
        <w:tabs>
          <w:tab w:val="left" w:pos="540"/>
          <w:tab w:val="left" w:pos="569"/>
        </w:tabs>
        <w:jc w:val="both"/>
        <w:rPr>
          <w:bCs/>
          <w:sz w:val="22"/>
          <w:szCs w:val="22"/>
          <w:lang w:val="sr-Latn-ME"/>
        </w:rPr>
      </w:pPr>
    </w:p>
    <w:p w14:paraId="086D3AF6" w14:textId="77777777" w:rsidR="00E61257" w:rsidRPr="0014404C" w:rsidRDefault="00E61257" w:rsidP="0014404C">
      <w:pPr>
        <w:widowControl w:val="0"/>
        <w:tabs>
          <w:tab w:val="left" w:pos="540"/>
          <w:tab w:val="left" w:pos="569"/>
        </w:tabs>
        <w:jc w:val="both"/>
        <w:rPr>
          <w:bCs/>
          <w:sz w:val="22"/>
          <w:szCs w:val="22"/>
          <w:lang w:val="sr-Latn-ME"/>
        </w:rPr>
      </w:pPr>
    </w:p>
    <w:p w14:paraId="61A71C94" w14:textId="77777777"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8. </w:t>
      </w:r>
      <w:r w:rsidR="00480FB1" w:rsidRPr="0014404C">
        <w:rPr>
          <w:b/>
          <w:bCs/>
          <w:sz w:val="22"/>
          <w:szCs w:val="22"/>
          <w:lang w:val="sr-Latn-ME"/>
        </w:rPr>
        <w:tab/>
      </w:r>
      <w:r w:rsidRPr="0014404C">
        <w:rPr>
          <w:b/>
          <w:bCs/>
          <w:sz w:val="22"/>
          <w:szCs w:val="22"/>
          <w:lang w:val="sr-Latn-ME"/>
        </w:rPr>
        <w:t>BROJ DOZVOLE</w:t>
      </w:r>
      <w:r w:rsidR="008A6D43" w:rsidRPr="0014404C">
        <w:rPr>
          <w:b/>
          <w:bCs/>
          <w:sz w:val="22"/>
          <w:szCs w:val="22"/>
          <w:lang w:val="sr-Latn-ME"/>
        </w:rPr>
        <w:t xml:space="preserve"> ZA STAVLJANJE LIJEKA U PROMET</w:t>
      </w:r>
    </w:p>
    <w:p w14:paraId="630046EF" w14:textId="49913886" w:rsidR="0072020E" w:rsidRPr="0014404C" w:rsidRDefault="0072020E" w:rsidP="0014404C">
      <w:pPr>
        <w:widowControl w:val="0"/>
        <w:tabs>
          <w:tab w:val="left" w:pos="540"/>
          <w:tab w:val="left" w:pos="569"/>
        </w:tabs>
        <w:jc w:val="both"/>
        <w:rPr>
          <w:bCs/>
          <w:sz w:val="22"/>
          <w:szCs w:val="22"/>
          <w:lang w:val="sr-Latn-ME"/>
        </w:rPr>
      </w:pPr>
    </w:p>
    <w:p w14:paraId="63325BB9" w14:textId="585AD8EC" w:rsidR="00650B15" w:rsidRPr="0014404C" w:rsidRDefault="00650B15" w:rsidP="0014404C">
      <w:pPr>
        <w:widowControl w:val="0"/>
        <w:tabs>
          <w:tab w:val="left" w:pos="540"/>
          <w:tab w:val="left" w:pos="569"/>
        </w:tabs>
        <w:jc w:val="both"/>
        <w:rPr>
          <w:bCs/>
          <w:sz w:val="22"/>
          <w:szCs w:val="22"/>
          <w:lang w:val="sr-Latn-ME"/>
        </w:rPr>
      </w:pPr>
      <w:r w:rsidRPr="0014404C">
        <w:rPr>
          <w:bCs/>
          <w:sz w:val="22"/>
          <w:szCs w:val="22"/>
          <w:lang w:val="sr-Latn-ME"/>
        </w:rPr>
        <w:t>2030/23/3071-1214</w:t>
      </w:r>
    </w:p>
    <w:p w14:paraId="1CAE319E" w14:textId="02F16A63" w:rsidR="00F45F77" w:rsidRPr="0014404C" w:rsidRDefault="00F45F77" w:rsidP="0014404C">
      <w:pPr>
        <w:widowControl w:val="0"/>
        <w:tabs>
          <w:tab w:val="left" w:pos="540"/>
          <w:tab w:val="left" w:pos="569"/>
        </w:tabs>
        <w:jc w:val="both"/>
        <w:rPr>
          <w:bCs/>
          <w:sz w:val="22"/>
          <w:szCs w:val="22"/>
          <w:lang w:val="sr-Latn-ME"/>
        </w:rPr>
      </w:pPr>
    </w:p>
    <w:p w14:paraId="028B0DD8" w14:textId="77777777" w:rsidR="00E61257" w:rsidRPr="0014404C" w:rsidRDefault="00E61257" w:rsidP="0014404C">
      <w:pPr>
        <w:widowControl w:val="0"/>
        <w:tabs>
          <w:tab w:val="left" w:pos="540"/>
          <w:tab w:val="left" w:pos="569"/>
        </w:tabs>
        <w:jc w:val="both"/>
        <w:rPr>
          <w:bCs/>
          <w:sz w:val="22"/>
          <w:szCs w:val="22"/>
          <w:lang w:val="sr-Latn-ME"/>
        </w:rPr>
      </w:pPr>
    </w:p>
    <w:p w14:paraId="61B2385D" w14:textId="59D6A261" w:rsidR="0072020E" w:rsidRPr="0014404C" w:rsidRDefault="0072020E" w:rsidP="0014404C">
      <w:pPr>
        <w:widowControl w:val="0"/>
        <w:tabs>
          <w:tab w:val="left" w:pos="540"/>
          <w:tab w:val="left" w:pos="569"/>
        </w:tabs>
        <w:jc w:val="both"/>
        <w:rPr>
          <w:b/>
          <w:bCs/>
          <w:sz w:val="22"/>
          <w:szCs w:val="22"/>
          <w:lang w:val="sr-Latn-ME"/>
        </w:rPr>
      </w:pPr>
      <w:r w:rsidRPr="0014404C">
        <w:rPr>
          <w:b/>
          <w:bCs/>
          <w:sz w:val="22"/>
          <w:szCs w:val="22"/>
          <w:lang w:val="sr-Latn-ME"/>
        </w:rPr>
        <w:t xml:space="preserve">9. </w:t>
      </w:r>
      <w:r w:rsidR="00480FB1" w:rsidRPr="0014404C">
        <w:rPr>
          <w:b/>
          <w:bCs/>
          <w:sz w:val="22"/>
          <w:szCs w:val="22"/>
          <w:lang w:val="sr-Latn-ME"/>
        </w:rPr>
        <w:tab/>
      </w:r>
      <w:r w:rsidRPr="0014404C">
        <w:rPr>
          <w:b/>
          <w:bCs/>
          <w:sz w:val="22"/>
          <w:szCs w:val="22"/>
          <w:lang w:val="sr-Latn-ME"/>
        </w:rPr>
        <w:t xml:space="preserve">DATUM </w:t>
      </w:r>
      <w:r w:rsidR="00C05DF8" w:rsidRPr="0014404C">
        <w:rPr>
          <w:b/>
          <w:bCs/>
          <w:sz w:val="22"/>
          <w:szCs w:val="22"/>
          <w:lang w:val="sr-Latn-ME"/>
        </w:rPr>
        <w:t xml:space="preserve">PRVE </w:t>
      </w:r>
      <w:r w:rsidR="008A6D43" w:rsidRPr="0014404C">
        <w:rPr>
          <w:b/>
          <w:bCs/>
          <w:sz w:val="22"/>
          <w:szCs w:val="22"/>
          <w:lang w:val="sr-Latn-ME"/>
        </w:rPr>
        <w:t>DOZVOLE</w:t>
      </w:r>
      <w:r w:rsidR="00C05DF8" w:rsidRPr="0014404C">
        <w:rPr>
          <w:b/>
          <w:bCs/>
          <w:sz w:val="22"/>
          <w:szCs w:val="22"/>
          <w:lang w:val="sr-Latn-ME"/>
        </w:rPr>
        <w:t>/OBNOVE DOZVOLE</w:t>
      </w:r>
      <w:r w:rsidR="008A6D43" w:rsidRPr="0014404C">
        <w:rPr>
          <w:b/>
          <w:bCs/>
          <w:sz w:val="22"/>
          <w:szCs w:val="22"/>
          <w:lang w:val="sr-Latn-ME"/>
        </w:rPr>
        <w:t xml:space="preserve"> ZA STAVLJANJE LIJEKA U PROMET</w:t>
      </w:r>
    </w:p>
    <w:p w14:paraId="1A203A4F" w14:textId="77777777" w:rsidR="00650B15" w:rsidRPr="0014404C" w:rsidRDefault="00650B15" w:rsidP="0014404C">
      <w:pPr>
        <w:widowControl w:val="0"/>
        <w:tabs>
          <w:tab w:val="left" w:pos="540"/>
          <w:tab w:val="left" w:pos="569"/>
        </w:tabs>
        <w:jc w:val="both"/>
        <w:rPr>
          <w:b/>
          <w:bCs/>
          <w:sz w:val="22"/>
          <w:szCs w:val="22"/>
          <w:lang w:val="sr-Latn-ME"/>
        </w:rPr>
      </w:pPr>
    </w:p>
    <w:p w14:paraId="0D2929F2" w14:textId="372286CA" w:rsidR="0072020E" w:rsidRPr="0014404C" w:rsidRDefault="00650B15" w:rsidP="0014404C">
      <w:pPr>
        <w:widowControl w:val="0"/>
        <w:tabs>
          <w:tab w:val="left" w:pos="540"/>
          <w:tab w:val="left" w:pos="569"/>
        </w:tabs>
        <w:jc w:val="both"/>
        <w:rPr>
          <w:sz w:val="22"/>
          <w:szCs w:val="22"/>
          <w:lang w:val="sr-Latn-ME"/>
        </w:rPr>
      </w:pPr>
      <w:r w:rsidRPr="0014404C">
        <w:rPr>
          <w:sz w:val="22"/>
          <w:szCs w:val="22"/>
          <w:lang w:val="sr-Latn-ME"/>
        </w:rPr>
        <w:t>21.08.2023. godine</w:t>
      </w:r>
    </w:p>
    <w:p w14:paraId="7F3ADA70" w14:textId="1CD3D647" w:rsidR="00836B35" w:rsidRPr="0014404C" w:rsidRDefault="00836B35" w:rsidP="0014404C">
      <w:pPr>
        <w:widowControl w:val="0"/>
        <w:tabs>
          <w:tab w:val="left" w:pos="540"/>
          <w:tab w:val="left" w:pos="569"/>
        </w:tabs>
        <w:jc w:val="both"/>
        <w:rPr>
          <w:bCs/>
          <w:sz w:val="22"/>
          <w:szCs w:val="22"/>
          <w:lang w:val="sr-Latn-ME"/>
        </w:rPr>
      </w:pPr>
    </w:p>
    <w:p w14:paraId="05D0277B" w14:textId="77777777" w:rsidR="00E61257" w:rsidRPr="0014404C" w:rsidRDefault="00E61257" w:rsidP="0014404C">
      <w:pPr>
        <w:widowControl w:val="0"/>
        <w:tabs>
          <w:tab w:val="left" w:pos="540"/>
          <w:tab w:val="left" w:pos="569"/>
        </w:tabs>
        <w:jc w:val="both"/>
        <w:rPr>
          <w:bCs/>
          <w:sz w:val="22"/>
          <w:szCs w:val="22"/>
          <w:lang w:val="sr-Latn-ME"/>
        </w:rPr>
      </w:pPr>
    </w:p>
    <w:p w14:paraId="0FDAFD5E" w14:textId="77777777" w:rsidR="003F6A59" w:rsidRPr="0014404C" w:rsidRDefault="0072020E" w:rsidP="0014404C">
      <w:pPr>
        <w:widowControl w:val="0"/>
        <w:tabs>
          <w:tab w:val="left" w:pos="540"/>
          <w:tab w:val="left" w:pos="569"/>
        </w:tabs>
        <w:ind w:left="540" w:hanging="540"/>
        <w:jc w:val="both"/>
        <w:rPr>
          <w:bCs/>
          <w:sz w:val="22"/>
          <w:szCs w:val="22"/>
          <w:lang w:val="sr-Latn-ME"/>
        </w:rPr>
      </w:pPr>
      <w:r w:rsidRPr="0014404C">
        <w:rPr>
          <w:b/>
          <w:bCs/>
          <w:sz w:val="22"/>
          <w:szCs w:val="22"/>
          <w:lang w:val="sr-Latn-ME"/>
        </w:rPr>
        <w:t xml:space="preserve">10. </w:t>
      </w:r>
      <w:r w:rsidR="00480FB1" w:rsidRPr="0014404C">
        <w:rPr>
          <w:b/>
          <w:bCs/>
          <w:sz w:val="22"/>
          <w:szCs w:val="22"/>
          <w:lang w:val="sr-Latn-ME"/>
        </w:rPr>
        <w:tab/>
      </w:r>
      <w:r w:rsidR="002846DB" w:rsidRPr="0014404C">
        <w:rPr>
          <w:b/>
          <w:bCs/>
          <w:sz w:val="22"/>
          <w:szCs w:val="22"/>
          <w:lang w:val="sr-Latn-ME"/>
        </w:rPr>
        <w:t>D</w:t>
      </w:r>
      <w:r w:rsidR="00EC2532" w:rsidRPr="0014404C">
        <w:rPr>
          <w:b/>
          <w:bCs/>
          <w:sz w:val="22"/>
          <w:szCs w:val="22"/>
          <w:lang w:val="sr-Latn-ME"/>
        </w:rPr>
        <w:t xml:space="preserve">ATUM REVIZIJE TEKSTA </w:t>
      </w:r>
    </w:p>
    <w:p w14:paraId="5F36AA3B" w14:textId="3F0E3856" w:rsidR="003F6A59" w:rsidRPr="0014404C" w:rsidRDefault="003F6A59" w:rsidP="0014404C">
      <w:pPr>
        <w:widowControl w:val="0"/>
        <w:jc w:val="both"/>
        <w:rPr>
          <w:sz w:val="22"/>
          <w:szCs w:val="22"/>
          <w:lang w:val="sr-Latn-ME"/>
        </w:rPr>
      </w:pPr>
    </w:p>
    <w:p w14:paraId="1F9409EB" w14:textId="16008D73" w:rsidR="00650B15" w:rsidRPr="0014404C" w:rsidRDefault="009D39E8" w:rsidP="0014404C">
      <w:pPr>
        <w:widowControl w:val="0"/>
        <w:jc w:val="both"/>
        <w:rPr>
          <w:sz w:val="22"/>
          <w:szCs w:val="22"/>
          <w:lang w:val="sr-Latn-ME"/>
        </w:rPr>
      </w:pPr>
      <w:r>
        <w:rPr>
          <w:sz w:val="22"/>
          <w:szCs w:val="22"/>
          <w:lang w:val="sr-Latn-ME"/>
        </w:rPr>
        <w:t>April</w:t>
      </w:r>
      <w:bookmarkStart w:id="2" w:name="_GoBack"/>
      <w:bookmarkEnd w:id="2"/>
      <w:r w:rsidR="00346D28" w:rsidRPr="0014404C">
        <w:rPr>
          <w:sz w:val="22"/>
          <w:szCs w:val="22"/>
          <w:lang w:val="sr-Latn-ME"/>
        </w:rPr>
        <w:t>, 2025</w:t>
      </w:r>
      <w:r w:rsidR="00EA72EB" w:rsidRPr="0014404C">
        <w:rPr>
          <w:sz w:val="22"/>
          <w:szCs w:val="22"/>
          <w:lang w:val="sr-Latn-ME"/>
        </w:rPr>
        <w:t>. godine</w:t>
      </w:r>
    </w:p>
    <w:sectPr w:rsidR="00650B15" w:rsidRPr="0014404C" w:rsidSect="006B5404">
      <w:footerReference w:type="defaul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01AF" w14:textId="77777777" w:rsidR="00161CC2" w:rsidRDefault="00161CC2">
      <w:r>
        <w:separator/>
      </w:r>
    </w:p>
  </w:endnote>
  <w:endnote w:type="continuationSeparator" w:id="0">
    <w:p w14:paraId="6F5DEBE1" w14:textId="77777777" w:rsidR="00161CC2" w:rsidRDefault="001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36C1" w14:textId="29A57B35" w:rsidR="0014404C" w:rsidRPr="00B23F69" w:rsidRDefault="0014404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D39E8">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D39E8">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733E2" w14:textId="77777777" w:rsidR="00161CC2" w:rsidRDefault="00161CC2">
      <w:r>
        <w:separator/>
      </w:r>
    </w:p>
  </w:footnote>
  <w:footnote w:type="continuationSeparator" w:id="0">
    <w:p w14:paraId="66750BA2" w14:textId="77777777" w:rsidR="00161CC2" w:rsidRDefault="0016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A2ADC"/>
    <w:multiLevelType w:val="hybridMultilevel"/>
    <w:tmpl w:val="EEE086AC"/>
    <w:lvl w:ilvl="0" w:tplc="0FF691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956"/>
    <w:rsid w:val="0001079D"/>
    <w:rsid w:val="000176CA"/>
    <w:rsid w:val="00034D1E"/>
    <w:rsid w:val="00036FA0"/>
    <w:rsid w:val="0003793F"/>
    <w:rsid w:val="000500C8"/>
    <w:rsid w:val="00057E35"/>
    <w:rsid w:val="0006785F"/>
    <w:rsid w:val="000732C4"/>
    <w:rsid w:val="00076726"/>
    <w:rsid w:val="00080303"/>
    <w:rsid w:val="0009126C"/>
    <w:rsid w:val="000A3F58"/>
    <w:rsid w:val="000D2343"/>
    <w:rsid w:val="000D3449"/>
    <w:rsid w:val="000D425A"/>
    <w:rsid w:val="000D60CC"/>
    <w:rsid w:val="000E0D11"/>
    <w:rsid w:val="000E2084"/>
    <w:rsid w:val="000E2255"/>
    <w:rsid w:val="000E6F55"/>
    <w:rsid w:val="000F77FA"/>
    <w:rsid w:val="00107BF7"/>
    <w:rsid w:val="00111782"/>
    <w:rsid w:val="00111BAA"/>
    <w:rsid w:val="001140A4"/>
    <w:rsid w:val="00126F53"/>
    <w:rsid w:val="0014404C"/>
    <w:rsid w:val="00146D5A"/>
    <w:rsid w:val="0014766D"/>
    <w:rsid w:val="001536CC"/>
    <w:rsid w:val="00161CC2"/>
    <w:rsid w:val="00162F5A"/>
    <w:rsid w:val="00186624"/>
    <w:rsid w:val="001A1EE8"/>
    <w:rsid w:val="001A3FBA"/>
    <w:rsid w:val="001A5518"/>
    <w:rsid w:val="001B1C6A"/>
    <w:rsid w:val="001C1263"/>
    <w:rsid w:val="001C1417"/>
    <w:rsid w:val="001D585C"/>
    <w:rsid w:val="001E390B"/>
    <w:rsid w:val="001F42FB"/>
    <w:rsid w:val="001F719A"/>
    <w:rsid w:val="00202C36"/>
    <w:rsid w:val="002031B3"/>
    <w:rsid w:val="00215931"/>
    <w:rsid w:val="00216011"/>
    <w:rsid w:val="0022145A"/>
    <w:rsid w:val="00224C91"/>
    <w:rsid w:val="00227BDB"/>
    <w:rsid w:val="00231D36"/>
    <w:rsid w:val="0023235F"/>
    <w:rsid w:val="00234CB1"/>
    <w:rsid w:val="002352F8"/>
    <w:rsid w:val="002510A5"/>
    <w:rsid w:val="00254A0A"/>
    <w:rsid w:val="0026006D"/>
    <w:rsid w:val="00266046"/>
    <w:rsid w:val="002846DB"/>
    <w:rsid w:val="00284CCD"/>
    <w:rsid w:val="0028661E"/>
    <w:rsid w:val="002B6C2D"/>
    <w:rsid w:val="002C5F99"/>
    <w:rsid w:val="002C6637"/>
    <w:rsid w:val="002E0135"/>
    <w:rsid w:val="002E37A5"/>
    <w:rsid w:val="00310F03"/>
    <w:rsid w:val="00314E11"/>
    <w:rsid w:val="003175F3"/>
    <w:rsid w:val="003247D2"/>
    <w:rsid w:val="003358D4"/>
    <w:rsid w:val="003445C1"/>
    <w:rsid w:val="00344725"/>
    <w:rsid w:val="00346D28"/>
    <w:rsid w:val="003531D1"/>
    <w:rsid w:val="00355B61"/>
    <w:rsid w:val="00362686"/>
    <w:rsid w:val="0036275D"/>
    <w:rsid w:val="00367833"/>
    <w:rsid w:val="00371510"/>
    <w:rsid w:val="00395EAA"/>
    <w:rsid w:val="00396DFD"/>
    <w:rsid w:val="003A3062"/>
    <w:rsid w:val="003A7059"/>
    <w:rsid w:val="003A781A"/>
    <w:rsid w:val="003B2229"/>
    <w:rsid w:val="003B7A36"/>
    <w:rsid w:val="003C17AB"/>
    <w:rsid w:val="003C1CAD"/>
    <w:rsid w:val="003C7823"/>
    <w:rsid w:val="003E1DCC"/>
    <w:rsid w:val="003F11A1"/>
    <w:rsid w:val="003F1A3C"/>
    <w:rsid w:val="003F6A59"/>
    <w:rsid w:val="004065C8"/>
    <w:rsid w:val="0040694E"/>
    <w:rsid w:val="004109FA"/>
    <w:rsid w:val="00411B4B"/>
    <w:rsid w:val="00415BEE"/>
    <w:rsid w:val="0042417D"/>
    <w:rsid w:val="00427F85"/>
    <w:rsid w:val="00436F42"/>
    <w:rsid w:val="004378B4"/>
    <w:rsid w:val="00451314"/>
    <w:rsid w:val="00452E9D"/>
    <w:rsid w:val="004534C7"/>
    <w:rsid w:val="00453961"/>
    <w:rsid w:val="00461BC6"/>
    <w:rsid w:val="00465D92"/>
    <w:rsid w:val="004671AA"/>
    <w:rsid w:val="0047333B"/>
    <w:rsid w:val="00480FB1"/>
    <w:rsid w:val="004810DC"/>
    <w:rsid w:val="00483928"/>
    <w:rsid w:val="00487858"/>
    <w:rsid w:val="004B2AC6"/>
    <w:rsid w:val="004C331F"/>
    <w:rsid w:val="004C55FC"/>
    <w:rsid w:val="004C72E9"/>
    <w:rsid w:val="004D31D1"/>
    <w:rsid w:val="004D6103"/>
    <w:rsid w:val="004E3BCE"/>
    <w:rsid w:val="004E4AD2"/>
    <w:rsid w:val="004E70AD"/>
    <w:rsid w:val="004F0E97"/>
    <w:rsid w:val="005000C0"/>
    <w:rsid w:val="00500C35"/>
    <w:rsid w:val="00501576"/>
    <w:rsid w:val="00501DD1"/>
    <w:rsid w:val="00503854"/>
    <w:rsid w:val="00515C21"/>
    <w:rsid w:val="00530BD7"/>
    <w:rsid w:val="00540141"/>
    <w:rsid w:val="00545CD2"/>
    <w:rsid w:val="005476F3"/>
    <w:rsid w:val="00554191"/>
    <w:rsid w:val="00572527"/>
    <w:rsid w:val="00573E40"/>
    <w:rsid w:val="00575717"/>
    <w:rsid w:val="00576348"/>
    <w:rsid w:val="00596B6A"/>
    <w:rsid w:val="005A0B2E"/>
    <w:rsid w:val="005A23D2"/>
    <w:rsid w:val="005A36CB"/>
    <w:rsid w:val="005B49B8"/>
    <w:rsid w:val="005C0741"/>
    <w:rsid w:val="005C2605"/>
    <w:rsid w:val="005C5EF4"/>
    <w:rsid w:val="005E2E0B"/>
    <w:rsid w:val="005E659C"/>
    <w:rsid w:val="005E7A7D"/>
    <w:rsid w:val="005F23C5"/>
    <w:rsid w:val="006008E9"/>
    <w:rsid w:val="00602457"/>
    <w:rsid w:val="00603F60"/>
    <w:rsid w:val="006131FF"/>
    <w:rsid w:val="00625B57"/>
    <w:rsid w:val="00644FC3"/>
    <w:rsid w:val="00646BD1"/>
    <w:rsid w:val="00650B15"/>
    <w:rsid w:val="006561C2"/>
    <w:rsid w:val="006630A1"/>
    <w:rsid w:val="00671CB3"/>
    <w:rsid w:val="00672105"/>
    <w:rsid w:val="00674BAF"/>
    <w:rsid w:val="006821C3"/>
    <w:rsid w:val="00682200"/>
    <w:rsid w:val="00692BF6"/>
    <w:rsid w:val="006A1497"/>
    <w:rsid w:val="006B0BD1"/>
    <w:rsid w:val="006B5404"/>
    <w:rsid w:val="006D1299"/>
    <w:rsid w:val="006D20A5"/>
    <w:rsid w:val="006D37BF"/>
    <w:rsid w:val="006D3EE8"/>
    <w:rsid w:val="00702E22"/>
    <w:rsid w:val="0072020E"/>
    <w:rsid w:val="0073123C"/>
    <w:rsid w:val="00760E94"/>
    <w:rsid w:val="00767132"/>
    <w:rsid w:val="007771D5"/>
    <w:rsid w:val="00786071"/>
    <w:rsid w:val="007A3ECB"/>
    <w:rsid w:val="007D7BB3"/>
    <w:rsid w:val="007F74C2"/>
    <w:rsid w:val="00802EFD"/>
    <w:rsid w:val="00810158"/>
    <w:rsid w:val="00810BCB"/>
    <w:rsid w:val="00824AB9"/>
    <w:rsid w:val="008262C9"/>
    <w:rsid w:val="00836B35"/>
    <w:rsid w:val="00843BDE"/>
    <w:rsid w:val="008447FC"/>
    <w:rsid w:val="00847B02"/>
    <w:rsid w:val="008536FC"/>
    <w:rsid w:val="00865800"/>
    <w:rsid w:val="00871FF9"/>
    <w:rsid w:val="008747F2"/>
    <w:rsid w:val="0087588C"/>
    <w:rsid w:val="00876E8B"/>
    <w:rsid w:val="00876ECB"/>
    <w:rsid w:val="00883AB1"/>
    <w:rsid w:val="00890FA0"/>
    <w:rsid w:val="00891071"/>
    <w:rsid w:val="0089705C"/>
    <w:rsid w:val="0089773F"/>
    <w:rsid w:val="008A6D43"/>
    <w:rsid w:val="008B491E"/>
    <w:rsid w:val="008C1A28"/>
    <w:rsid w:val="008C2E98"/>
    <w:rsid w:val="008C7BEC"/>
    <w:rsid w:val="008E49BD"/>
    <w:rsid w:val="008E53E9"/>
    <w:rsid w:val="008E5771"/>
    <w:rsid w:val="008F1547"/>
    <w:rsid w:val="008F4ACF"/>
    <w:rsid w:val="00905D2D"/>
    <w:rsid w:val="00906206"/>
    <w:rsid w:val="009220A3"/>
    <w:rsid w:val="00924166"/>
    <w:rsid w:val="00940B9B"/>
    <w:rsid w:val="0094261B"/>
    <w:rsid w:val="00942839"/>
    <w:rsid w:val="0095267A"/>
    <w:rsid w:val="00954C42"/>
    <w:rsid w:val="0095676E"/>
    <w:rsid w:val="00956983"/>
    <w:rsid w:val="00963CF0"/>
    <w:rsid w:val="00963E44"/>
    <w:rsid w:val="0096473A"/>
    <w:rsid w:val="00964BB1"/>
    <w:rsid w:val="009775D9"/>
    <w:rsid w:val="00987A21"/>
    <w:rsid w:val="0099251E"/>
    <w:rsid w:val="00997175"/>
    <w:rsid w:val="009A1847"/>
    <w:rsid w:val="009A2C1E"/>
    <w:rsid w:val="009A4672"/>
    <w:rsid w:val="009A689F"/>
    <w:rsid w:val="009B062A"/>
    <w:rsid w:val="009B1169"/>
    <w:rsid w:val="009B6776"/>
    <w:rsid w:val="009B6AC6"/>
    <w:rsid w:val="009D39E8"/>
    <w:rsid w:val="009E121E"/>
    <w:rsid w:val="009E7C6F"/>
    <w:rsid w:val="009F1793"/>
    <w:rsid w:val="009F2D23"/>
    <w:rsid w:val="00A01D69"/>
    <w:rsid w:val="00A02335"/>
    <w:rsid w:val="00A07AAD"/>
    <w:rsid w:val="00A24DCE"/>
    <w:rsid w:val="00A33F66"/>
    <w:rsid w:val="00A46C9A"/>
    <w:rsid w:val="00A52B13"/>
    <w:rsid w:val="00A56F3A"/>
    <w:rsid w:val="00A60A10"/>
    <w:rsid w:val="00A619F3"/>
    <w:rsid w:val="00A62A73"/>
    <w:rsid w:val="00A87FF6"/>
    <w:rsid w:val="00AA0A3B"/>
    <w:rsid w:val="00AA2763"/>
    <w:rsid w:val="00AA33B6"/>
    <w:rsid w:val="00AB50CA"/>
    <w:rsid w:val="00AB6D64"/>
    <w:rsid w:val="00AC1659"/>
    <w:rsid w:val="00AC53CE"/>
    <w:rsid w:val="00AD2193"/>
    <w:rsid w:val="00AD3112"/>
    <w:rsid w:val="00AD7400"/>
    <w:rsid w:val="00AE5479"/>
    <w:rsid w:val="00AF2AC7"/>
    <w:rsid w:val="00AF639E"/>
    <w:rsid w:val="00AF74CE"/>
    <w:rsid w:val="00B01F07"/>
    <w:rsid w:val="00B10E0F"/>
    <w:rsid w:val="00B208DB"/>
    <w:rsid w:val="00B23F69"/>
    <w:rsid w:val="00B60619"/>
    <w:rsid w:val="00B6067E"/>
    <w:rsid w:val="00B66A70"/>
    <w:rsid w:val="00B67366"/>
    <w:rsid w:val="00B80EE1"/>
    <w:rsid w:val="00B84135"/>
    <w:rsid w:val="00B8541A"/>
    <w:rsid w:val="00B95728"/>
    <w:rsid w:val="00BE72CB"/>
    <w:rsid w:val="00C043CA"/>
    <w:rsid w:val="00C04D34"/>
    <w:rsid w:val="00C05DF8"/>
    <w:rsid w:val="00C06864"/>
    <w:rsid w:val="00C10F54"/>
    <w:rsid w:val="00C23D8D"/>
    <w:rsid w:val="00C37167"/>
    <w:rsid w:val="00C37AA3"/>
    <w:rsid w:val="00C37FD7"/>
    <w:rsid w:val="00C43419"/>
    <w:rsid w:val="00C44CF3"/>
    <w:rsid w:val="00C61BE0"/>
    <w:rsid w:val="00C66538"/>
    <w:rsid w:val="00C66686"/>
    <w:rsid w:val="00C6707E"/>
    <w:rsid w:val="00C67D4B"/>
    <w:rsid w:val="00C70B0E"/>
    <w:rsid w:val="00C773CA"/>
    <w:rsid w:val="00C83785"/>
    <w:rsid w:val="00C8604E"/>
    <w:rsid w:val="00C94C0D"/>
    <w:rsid w:val="00CA1FEB"/>
    <w:rsid w:val="00CC5FCD"/>
    <w:rsid w:val="00CC6CFD"/>
    <w:rsid w:val="00CD438E"/>
    <w:rsid w:val="00CD4F85"/>
    <w:rsid w:val="00CD6F02"/>
    <w:rsid w:val="00CE246D"/>
    <w:rsid w:val="00CF07A0"/>
    <w:rsid w:val="00CF3E03"/>
    <w:rsid w:val="00D0082A"/>
    <w:rsid w:val="00D21455"/>
    <w:rsid w:val="00D44D34"/>
    <w:rsid w:val="00D47634"/>
    <w:rsid w:val="00D54986"/>
    <w:rsid w:val="00D709B3"/>
    <w:rsid w:val="00DA2ED6"/>
    <w:rsid w:val="00DA6B9F"/>
    <w:rsid w:val="00DB68F0"/>
    <w:rsid w:val="00DB76B8"/>
    <w:rsid w:val="00DC0C67"/>
    <w:rsid w:val="00DC2EA1"/>
    <w:rsid w:val="00DD6AAF"/>
    <w:rsid w:val="00DE3F5C"/>
    <w:rsid w:val="00DF1D20"/>
    <w:rsid w:val="00E21324"/>
    <w:rsid w:val="00E246B9"/>
    <w:rsid w:val="00E31FEA"/>
    <w:rsid w:val="00E45169"/>
    <w:rsid w:val="00E47787"/>
    <w:rsid w:val="00E50288"/>
    <w:rsid w:val="00E51C30"/>
    <w:rsid w:val="00E52B27"/>
    <w:rsid w:val="00E53C5A"/>
    <w:rsid w:val="00E61257"/>
    <w:rsid w:val="00E62EB9"/>
    <w:rsid w:val="00E64180"/>
    <w:rsid w:val="00E74AEE"/>
    <w:rsid w:val="00E868E5"/>
    <w:rsid w:val="00E91103"/>
    <w:rsid w:val="00E9237A"/>
    <w:rsid w:val="00E9272E"/>
    <w:rsid w:val="00E939FA"/>
    <w:rsid w:val="00EA5765"/>
    <w:rsid w:val="00EA72EB"/>
    <w:rsid w:val="00EB2059"/>
    <w:rsid w:val="00EC2532"/>
    <w:rsid w:val="00EC2A9B"/>
    <w:rsid w:val="00ED7812"/>
    <w:rsid w:val="00EE3127"/>
    <w:rsid w:val="00EF3B86"/>
    <w:rsid w:val="00F01535"/>
    <w:rsid w:val="00F15B26"/>
    <w:rsid w:val="00F15C9D"/>
    <w:rsid w:val="00F17D97"/>
    <w:rsid w:val="00F2111A"/>
    <w:rsid w:val="00F317E9"/>
    <w:rsid w:val="00F34554"/>
    <w:rsid w:val="00F45F77"/>
    <w:rsid w:val="00F5167F"/>
    <w:rsid w:val="00F52258"/>
    <w:rsid w:val="00F665AE"/>
    <w:rsid w:val="00F8570A"/>
    <w:rsid w:val="00F91C7B"/>
    <w:rsid w:val="00FB3F3E"/>
    <w:rsid w:val="00FB57BC"/>
    <w:rsid w:val="00FB5EB3"/>
    <w:rsid w:val="00FD06F9"/>
    <w:rsid w:val="00FD2F93"/>
    <w:rsid w:val="00FF298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C936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EMEAEnBodyText">
    <w:name w:val="EMEA En Body Text"/>
    <w:basedOn w:val="Normal"/>
    <w:rsid w:val="0036275D"/>
    <w:pPr>
      <w:spacing w:before="120" w:after="120"/>
      <w:jc w:val="both"/>
    </w:pPr>
    <w:rPr>
      <w:sz w:val="22"/>
      <w:szCs w:val="20"/>
      <w:lang w:eastAsia="ja-JP"/>
    </w:rPr>
  </w:style>
  <w:style w:type="paragraph" w:customStyle="1" w:styleId="BodytextAgency">
    <w:name w:val="Body text (Agency)"/>
    <w:basedOn w:val="Normal"/>
    <w:link w:val="BodytextAgencyChar"/>
    <w:qFormat/>
    <w:rsid w:val="00D44D34"/>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D44D34"/>
    <w:rPr>
      <w:rFonts w:ascii="Verdana" w:eastAsia="Verdana" w:hAnsi="Verdana" w:cs="Verdana"/>
      <w:sz w:val="18"/>
      <w:szCs w:val="18"/>
      <w:lang w:val="en-US" w:eastAsia="en-GB"/>
    </w:rPr>
  </w:style>
  <w:style w:type="paragraph" w:styleId="Revision">
    <w:name w:val="Revision"/>
    <w:hidden/>
    <w:uiPriority w:val="99"/>
    <w:semiHidden/>
    <w:rsid w:val="0009126C"/>
    <w:rPr>
      <w:sz w:val="24"/>
      <w:szCs w:val="24"/>
      <w:lang w:val="en-US" w:eastAsia="en-US"/>
    </w:rPr>
  </w:style>
  <w:style w:type="character" w:customStyle="1" w:styleId="FooterChar">
    <w:name w:val="Footer Char"/>
    <w:basedOn w:val="DefaultParagraphFont"/>
    <w:link w:val="Footer"/>
    <w:uiPriority w:val="99"/>
    <w:rsid w:val="004C72E9"/>
    <w:rPr>
      <w:sz w:val="24"/>
      <w:szCs w:val="24"/>
      <w:lang w:val="en-US" w:eastAsia="en-US"/>
    </w:rPr>
  </w:style>
  <w:style w:type="paragraph" w:styleId="ListParagraph">
    <w:name w:val="List Paragraph"/>
    <w:basedOn w:val="Normal"/>
    <w:uiPriority w:val="34"/>
    <w:qFormat/>
    <w:rsid w:val="00EB2059"/>
    <w:pPr>
      <w:ind w:left="720"/>
      <w:contextualSpacing/>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nezeljenadejstva@cinmed.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6FD3-397F-45E8-A5AD-8881784F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9637</Words>
  <Characters>54937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64446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8</cp:revision>
  <cp:lastPrinted>2024-08-21T09:25:00Z</cp:lastPrinted>
  <dcterms:created xsi:type="dcterms:W3CDTF">2025-03-05T11:47:00Z</dcterms:created>
  <dcterms:modified xsi:type="dcterms:W3CDTF">2025-04-30T11:06:00Z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