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07082" w14:textId="17B5B872" w:rsidR="00407DAC" w:rsidRPr="009C7A80" w:rsidRDefault="00407DAC" w:rsidP="00823F61">
      <w:pPr>
        <w:jc w:val="center"/>
        <w:rPr>
          <w:b/>
          <w:bCs/>
          <w:iCs/>
          <w:szCs w:val="22"/>
          <w:u w:val="single"/>
          <w:lang w:val="sr-Latn-ME"/>
        </w:rPr>
      </w:pPr>
      <w:r w:rsidRPr="009C7A80">
        <w:rPr>
          <w:b/>
          <w:bCs/>
          <w:iCs/>
          <w:szCs w:val="22"/>
          <w:u w:val="single"/>
          <w:lang w:val="sr-Latn-ME"/>
        </w:rPr>
        <w:t>SAŽETAK KARAKTERISTIKA L</w:t>
      </w:r>
      <w:r w:rsidR="0077140D" w:rsidRPr="009C7A80">
        <w:rPr>
          <w:b/>
          <w:bCs/>
          <w:iCs/>
          <w:szCs w:val="22"/>
          <w:u w:val="single"/>
          <w:lang w:val="sr-Latn-ME"/>
        </w:rPr>
        <w:t>IJ</w:t>
      </w:r>
      <w:r w:rsidRPr="009C7A80">
        <w:rPr>
          <w:b/>
          <w:bCs/>
          <w:iCs/>
          <w:szCs w:val="22"/>
          <w:u w:val="single"/>
          <w:lang w:val="sr-Latn-ME"/>
        </w:rPr>
        <w:t>EKA</w:t>
      </w:r>
    </w:p>
    <w:p w14:paraId="2308EFB7" w14:textId="77777777" w:rsidR="00407DAC" w:rsidRPr="009C7A80" w:rsidRDefault="00407DAC" w:rsidP="00823F61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 </w:t>
      </w:r>
    </w:p>
    <w:p w14:paraId="28E0F3B5" w14:textId="77777777" w:rsidR="00407DAC" w:rsidRPr="009C7A80" w:rsidRDefault="00407DAC" w:rsidP="00823F61">
      <w:pPr>
        <w:rPr>
          <w:b/>
          <w:bCs/>
          <w:szCs w:val="22"/>
          <w:lang w:val="sr-Latn-ME"/>
        </w:rPr>
      </w:pPr>
    </w:p>
    <w:p w14:paraId="58F23162" w14:textId="4CFE1166" w:rsidR="00407DAC" w:rsidRPr="009C7A80" w:rsidRDefault="00407DAC" w:rsidP="00F350E4">
      <w:pPr>
        <w:pStyle w:val="NASLOV123"/>
        <w:spacing w:before="0" w:after="0"/>
        <w:rPr>
          <w:lang w:val="sr-Latn-ME"/>
        </w:rPr>
      </w:pPr>
      <w:r w:rsidRPr="009C7A80">
        <w:rPr>
          <w:lang w:val="sr-Latn-ME"/>
        </w:rPr>
        <w:t xml:space="preserve">1. </w:t>
      </w:r>
      <w:r w:rsidR="00BE3B45" w:rsidRPr="009C7A80">
        <w:rPr>
          <w:lang w:val="sr-Latn-ME"/>
        </w:rPr>
        <w:t>NAZIV</w:t>
      </w:r>
      <w:r w:rsidRPr="009C7A80">
        <w:rPr>
          <w:lang w:val="sr-Latn-ME"/>
        </w:rPr>
        <w:t xml:space="preserve"> L</w:t>
      </w:r>
      <w:r w:rsidR="0077140D" w:rsidRPr="009C7A80">
        <w:rPr>
          <w:lang w:val="sr-Latn-ME"/>
        </w:rPr>
        <w:t>IJ</w:t>
      </w:r>
      <w:r w:rsidRPr="009C7A80">
        <w:rPr>
          <w:lang w:val="sr-Latn-ME"/>
        </w:rPr>
        <w:t>EKA</w:t>
      </w:r>
    </w:p>
    <w:p w14:paraId="52679105" w14:textId="77777777" w:rsidR="00823F61" w:rsidRDefault="00823F61" w:rsidP="00823F61">
      <w:pPr>
        <w:rPr>
          <w:bCs/>
          <w:szCs w:val="22"/>
          <w:lang w:val="sr-Latn-ME"/>
        </w:rPr>
      </w:pPr>
    </w:p>
    <w:p w14:paraId="3D4B846A" w14:textId="32C0FDDF" w:rsidR="00407DAC" w:rsidRPr="009C7A80" w:rsidRDefault="007C1BA5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Tobycin</w:t>
      </w:r>
      <w:r w:rsidR="001A58CC" w:rsidRPr="009C7A80">
        <w:rPr>
          <w:bCs/>
          <w:szCs w:val="22"/>
          <w:lang w:val="sr-Latn-ME"/>
        </w:rPr>
        <w:t xml:space="preserve">, </w:t>
      </w:r>
      <w:r w:rsidR="00EB67D1">
        <w:rPr>
          <w:bCs/>
          <w:szCs w:val="22"/>
          <w:lang w:val="sr-Latn-ME"/>
        </w:rPr>
        <w:t>3 mg/ml,</w:t>
      </w:r>
      <w:r w:rsidR="001A58CC" w:rsidRPr="009C7A80">
        <w:rPr>
          <w:bCs/>
          <w:szCs w:val="22"/>
          <w:lang w:val="sr-Latn-ME"/>
        </w:rPr>
        <w:t xml:space="preserve"> kapi za oči,</w:t>
      </w:r>
      <w:r w:rsidR="00C85579" w:rsidRPr="009C7A80">
        <w:rPr>
          <w:bCs/>
          <w:szCs w:val="22"/>
          <w:lang w:val="sr-Latn-ME"/>
        </w:rPr>
        <w:t xml:space="preserve"> rastvor</w:t>
      </w:r>
    </w:p>
    <w:p w14:paraId="1523A569" w14:textId="77777777" w:rsidR="00407DAC" w:rsidRPr="009C7A80" w:rsidRDefault="00407DAC">
      <w:pPr>
        <w:rPr>
          <w:bCs/>
          <w:szCs w:val="22"/>
          <w:lang w:val="sr-Latn-ME"/>
        </w:rPr>
      </w:pPr>
    </w:p>
    <w:p w14:paraId="138D6AE3" w14:textId="07146430" w:rsidR="00407DAC" w:rsidRDefault="00407DAC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INN: </w:t>
      </w:r>
      <w:r w:rsidR="00282B7E" w:rsidRPr="009C7A80">
        <w:rPr>
          <w:szCs w:val="22"/>
          <w:lang w:val="sr-Latn-ME"/>
        </w:rPr>
        <w:t>tobramicin</w:t>
      </w:r>
    </w:p>
    <w:p w14:paraId="3BA4795A" w14:textId="77777777" w:rsidR="0050103D" w:rsidRPr="009C7A80" w:rsidRDefault="0050103D">
      <w:pPr>
        <w:rPr>
          <w:szCs w:val="22"/>
          <w:lang w:val="sr-Latn-ME"/>
        </w:rPr>
      </w:pPr>
    </w:p>
    <w:p w14:paraId="3766B7C3" w14:textId="77777777" w:rsidR="00823F61" w:rsidRDefault="00823F61" w:rsidP="00F350E4">
      <w:pPr>
        <w:pStyle w:val="NASLOV123"/>
        <w:spacing w:before="0" w:after="0"/>
        <w:rPr>
          <w:lang w:val="sr-Latn-ME"/>
        </w:rPr>
      </w:pPr>
    </w:p>
    <w:p w14:paraId="334A53B8" w14:textId="4F3B7790" w:rsidR="00407DAC" w:rsidRPr="009C7A80" w:rsidRDefault="00407DAC" w:rsidP="00F350E4">
      <w:pPr>
        <w:pStyle w:val="NASLOV123"/>
        <w:spacing w:before="0" w:after="0"/>
        <w:rPr>
          <w:lang w:val="sr-Latn-ME"/>
        </w:rPr>
      </w:pPr>
      <w:r w:rsidRPr="009C7A80">
        <w:rPr>
          <w:lang w:val="sr-Latn-ME"/>
        </w:rPr>
        <w:t>2. KVALITATIVNI I KVANTITATIVNI SASTAV</w:t>
      </w:r>
    </w:p>
    <w:p w14:paraId="63D08363" w14:textId="77777777" w:rsidR="00823F61" w:rsidRDefault="00823F61" w:rsidP="00F350E4">
      <w:pPr>
        <w:pStyle w:val="NASLOV123"/>
        <w:spacing w:before="0" w:after="0"/>
        <w:rPr>
          <w:b w:val="0"/>
          <w:lang w:val="sr-Latn-ME"/>
        </w:rPr>
      </w:pPr>
    </w:p>
    <w:p w14:paraId="680FC7EA" w14:textId="471AA248" w:rsidR="00483509" w:rsidRPr="009C7A80" w:rsidRDefault="00483509" w:rsidP="00F350E4">
      <w:pPr>
        <w:pStyle w:val="NASLOV123"/>
        <w:spacing w:before="0" w:after="0"/>
        <w:rPr>
          <w:b w:val="0"/>
          <w:lang w:val="sr-Latn-ME"/>
        </w:rPr>
      </w:pPr>
      <w:r w:rsidRPr="009C7A80">
        <w:rPr>
          <w:b w:val="0"/>
          <w:lang w:val="sr-Latn-ME"/>
        </w:rPr>
        <w:t>1 m</w:t>
      </w:r>
      <w:r w:rsidR="00BE3B45" w:rsidRPr="009C7A80">
        <w:rPr>
          <w:b w:val="0"/>
          <w:lang w:val="sr-Latn-ME"/>
        </w:rPr>
        <w:t>l</w:t>
      </w:r>
      <w:r w:rsidRPr="009C7A80">
        <w:rPr>
          <w:b w:val="0"/>
          <w:lang w:val="sr-Latn-ME"/>
        </w:rPr>
        <w:t xml:space="preserve"> rastvora sadrži 3 mg tobramicina.</w:t>
      </w:r>
    </w:p>
    <w:p w14:paraId="78DC0E62" w14:textId="77777777" w:rsidR="00823F61" w:rsidRDefault="00823F61" w:rsidP="00F350E4">
      <w:pPr>
        <w:pStyle w:val="NASLOV123"/>
        <w:spacing w:before="0" w:after="0"/>
        <w:rPr>
          <w:b w:val="0"/>
          <w:lang w:val="sr-Latn-ME"/>
        </w:rPr>
      </w:pPr>
    </w:p>
    <w:p w14:paraId="40754761" w14:textId="79FCF8A7" w:rsidR="00483509" w:rsidRPr="009C7A80" w:rsidRDefault="00483509" w:rsidP="00F350E4">
      <w:pPr>
        <w:pStyle w:val="NASLOV123"/>
        <w:spacing w:before="0" w:after="0"/>
        <w:rPr>
          <w:b w:val="0"/>
          <w:lang w:val="sr-Latn-ME"/>
        </w:rPr>
      </w:pPr>
      <w:r w:rsidRPr="009C7A80">
        <w:rPr>
          <w:b w:val="0"/>
          <w:lang w:val="sr-Latn-ME"/>
        </w:rPr>
        <w:t>Pomoćne supstance sa potvrđenim dejstvom: 1 m</w:t>
      </w:r>
      <w:r w:rsidR="00BE3B45" w:rsidRPr="009C7A80">
        <w:rPr>
          <w:b w:val="0"/>
          <w:lang w:val="sr-Latn-ME"/>
        </w:rPr>
        <w:t>l</w:t>
      </w:r>
      <w:r w:rsidRPr="009C7A80">
        <w:rPr>
          <w:b w:val="0"/>
          <w:lang w:val="sr-Latn-ME"/>
        </w:rPr>
        <w:t xml:space="preserve"> rastvora sadrži 0,1 mg benzalkonijum</w:t>
      </w:r>
      <w:r w:rsidR="00BE3B45" w:rsidRPr="009C7A80">
        <w:rPr>
          <w:b w:val="0"/>
          <w:lang w:val="sr-Latn-ME"/>
        </w:rPr>
        <w:t xml:space="preserve"> </w:t>
      </w:r>
      <w:r w:rsidRPr="009C7A80">
        <w:rPr>
          <w:b w:val="0"/>
          <w:lang w:val="sr-Latn-ME"/>
        </w:rPr>
        <w:t>hlorida.</w:t>
      </w:r>
    </w:p>
    <w:p w14:paraId="024EEBD5" w14:textId="77777777" w:rsidR="00823F61" w:rsidRDefault="00823F61" w:rsidP="00823F61">
      <w:pPr>
        <w:tabs>
          <w:tab w:val="clear" w:pos="284"/>
        </w:tabs>
        <w:jc w:val="left"/>
        <w:rPr>
          <w:szCs w:val="22"/>
          <w:lang w:val="sr-Latn-ME"/>
        </w:rPr>
      </w:pPr>
    </w:p>
    <w:p w14:paraId="79972F6D" w14:textId="30673452" w:rsidR="00BE3B45" w:rsidRDefault="00BE3B45">
      <w:pPr>
        <w:tabs>
          <w:tab w:val="clear" w:pos="284"/>
        </w:tabs>
        <w:jc w:val="left"/>
        <w:rPr>
          <w:szCs w:val="22"/>
          <w:lang w:val="sr-Latn-ME"/>
        </w:rPr>
      </w:pPr>
      <w:r w:rsidRPr="009C7A80">
        <w:rPr>
          <w:szCs w:val="22"/>
          <w:lang w:val="sr-Latn-ME"/>
        </w:rPr>
        <w:t>Za spisak svih ekscipijenasa, pogledati dio 6.1.</w:t>
      </w:r>
    </w:p>
    <w:p w14:paraId="643F4054" w14:textId="3A057BAC" w:rsidR="0050103D" w:rsidRDefault="0050103D">
      <w:pPr>
        <w:tabs>
          <w:tab w:val="clear" w:pos="284"/>
        </w:tabs>
        <w:jc w:val="left"/>
        <w:rPr>
          <w:szCs w:val="22"/>
          <w:lang w:val="sr-Latn-ME"/>
        </w:rPr>
      </w:pPr>
    </w:p>
    <w:p w14:paraId="7F66444E" w14:textId="77777777" w:rsidR="00823F61" w:rsidRPr="009C7A80" w:rsidRDefault="00823F61">
      <w:pPr>
        <w:tabs>
          <w:tab w:val="clear" w:pos="284"/>
        </w:tabs>
        <w:jc w:val="left"/>
        <w:rPr>
          <w:szCs w:val="22"/>
          <w:lang w:val="sr-Latn-ME"/>
        </w:rPr>
      </w:pPr>
    </w:p>
    <w:p w14:paraId="14C67D4E" w14:textId="4FFC297E" w:rsidR="00407DAC" w:rsidRPr="009C7A80" w:rsidRDefault="00407DAC" w:rsidP="00F350E4">
      <w:pPr>
        <w:pStyle w:val="NASLOV123"/>
        <w:spacing w:before="0" w:after="0"/>
        <w:rPr>
          <w:lang w:val="sr-Latn-ME"/>
        </w:rPr>
      </w:pPr>
      <w:r w:rsidRPr="009C7A80">
        <w:rPr>
          <w:lang w:val="sr-Latn-ME"/>
        </w:rPr>
        <w:t>3. FARMACEUTSKI OBLIK</w:t>
      </w:r>
    </w:p>
    <w:p w14:paraId="72205D67" w14:textId="77777777" w:rsidR="00823F61" w:rsidRDefault="00823F61" w:rsidP="00823F61">
      <w:pPr>
        <w:rPr>
          <w:szCs w:val="22"/>
          <w:lang w:val="sr-Latn-ME"/>
        </w:rPr>
      </w:pPr>
    </w:p>
    <w:p w14:paraId="5613AA46" w14:textId="4CEB18B9" w:rsidR="00096319" w:rsidRDefault="00096319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Kapi za oči, rastvor.</w:t>
      </w:r>
    </w:p>
    <w:p w14:paraId="0B7AD2CE" w14:textId="77777777" w:rsidR="0016448E" w:rsidRPr="009C7A80" w:rsidRDefault="0016448E">
      <w:pPr>
        <w:rPr>
          <w:szCs w:val="22"/>
          <w:lang w:val="sr-Latn-ME"/>
        </w:rPr>
      </w:pPr>
    </w:p>
    <w:p w14:paraId="31731B5C" w14:textId="6DF6F1CD" w:rsidR="00407DAC" w:rsidRPr="009C7A80" w:rsidRDefault="005162F1">
      <w:pPr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7C1BA5">
        <w:rPr>
          <w:szCs w:val="22"/>
          <w:lang w:val="sr-Latn-ME"/>
        </w:rPr>
        <w:t>Tobycin</w:t>
      </w:r>
      <w:r w:rsidR="00096319" w:rsidRPr="009C7A80">
        <w:rPr>
          <w:szCs w:val="22"/>
          <w:lang w:val="sr-Latn-ME"/>
        </w:rPr>
        <w:t xml:space="preserve"> je bistar, bezbojan do blago žu</w:t>
      </w:r>
      <w:r w:rsidR="005C1B49" w:rsidRPr="009C7A80">
        <w:rPr>
          <w:szCs w:val="22"/>
          <w:lang w:val="sr-Latn-ME"/>
        </w:rPr>
        <w:t>ćkast</w:t>
      </w:r>
      <w:r w:rsidR="00023C5C" w:rsidRPr="009C7A80">
        <w:rPr>
          <w:szCs w:val="22"/>
          <w:lang w:val="sr-Latn-ME"/>
        </w:rPr>
        <w:t xml:space="preserve"> sterilni rastvor.</w:t>
      </w:r>
    </w:p>
    <w:p w14:paraId="27ED78EE" w14:textId="67715F21" w:rsidR="00407DAC" w:rsidRDefault="00407DAC">
      <w:pPr>
        <w:rPr>
          <w:color w:val="FF0000"/>
          <w:szCs w:val="22"/>
          <w:lang w:val="sr-Latn-ME"/>
        </w:rPr>
      </w:pPr>
    </w:p>
    <w:p w14:paraId="035B71E6" w14:textId="77777777" w:rsidR="00823F61" w:rsidRPr="009C7A80" w:rsidRDefault="00823F61">
      <w:pPr>
        <w:rPr>
          <w:color w:val="FF0000"/>
          <w:szCs w:val="22"/>
          <w:lang w:val="sr-Latn-ME"/>
        </w:rPr>
      </w:pPr>
    </w:p>
    <w:p w14:paraId="5C451A80" w14:textId="77777777" w:rsidR="00407DAC" w:rsidRPr="009C7A80" w:rsidRDefault="00407DAC" w:rsidP="00F350E4">
      <w:pPr>
        <w:pStyle w:val="NASLOV123"/>
        <w:spacing w:before="0" w:after="0"/>
        <w:rPr>
          <w:lang w:val="sr-Latn-ME"/>
        </w:rPr>
      </w:pPr>
      <w:r w:rsidRPr="009C7A80">
        <w:rPr>
          <w:lang w:val="sr-Latn-ME"/>
        </w:rPr>
        <w:t>4. KLINIČKI PODACI</w:t>
      </w:r>
    </w:p>
    <w:p w14:paraId="6622A247" w14:textId="77777777" w:rsidR="00823F61" w:rsidRDefault="00823F61" w:rsidP="00823F61">
      <w:pPr>
        <w:rPr>
          <w:b/>
          <w:bCs/>
          <w:szCs w:val="22"/>
          <w:lang w:val="sr-Latn-ME"/>
        </w:rPr>
      </w:pPr>
    </w:p>
    <w:p w14:paraId="62168ABF" w14:textId="7AE9605C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4.1. Terapijske indikacije</w:t>
      </w:r>
    </w:p>
    <w:p w14:paraId="15D5B0F5" w14:textId="77777777" w:rsidR="00407DAC" w:rsidRPr="009C7A80" w:rsidRDefault="00407DAC">
      <w:pPr>
        <w:rPr>
          <w:szCs w:val="22"/>
          <w:lang w:val="sr-Latn-ME"/>
        </w:rPr>
      </w:pPr>
    </w:p>
    <w:p w14:paraId="23736C11" w14:textId="6882C522" w:rsidR="00E43256" w:rsidRPr="009C7A80" w:rsidRDefault="00E43256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L</w:t>
      </w:r>
      <w:r w:rsidR="00E403A4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 xml:space="preserve">ek </w:t>
      </w:r>
      <w:r w:rsidR="007C1BA5">
        <w:rPr>
          <w:szCs w:val="22"/>
          <w:lang w:val="sr-Latn-ME"/>
        </w:rPr>
        <w:t>Tobycin</w:t>
      </w:r>
      <w:r w:rsidRPr="009C7A80">
        <w:rPr>
          <w:szCs w:val="22"/>
          <w:lang w:val="sr-Latn-ME"/>
        </w:rPr>
        <w:t xml:space="preserve"> je indikovan za l</w:t>
      </w:r>
      <w:r w:rsidR="00E403A4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ečenje spoljašnjih</w:t>
      </w:r>
      <w:r w:rsidR="00056531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infekcija oka i okolnih tkiva</w:t>
      </w:r>
      <w:r w:rsidR="0003504E" w:rsidRPr="009C7A80">
        <w:rPr>
          <w:szCs w:val="22"/>
          <w:lang w:val="sr-Latn-ME"/>
        </w:rPr>
        <w:t>,</w:t>
      </w:r>
      <w:r w:rsidR="00F5354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izazva</w:t>
      </w:r>
      <w:r w:rsidR="00F244C2" w:rsidRPr="009C7A80">
        <w:rPr>
          <w:szCs w:val="22"/>
          <w:lang w:val="sr-Latn-ME"/>
        </w:rPr>
        <w:t>n</w:t>
      </w:r>
      <w:r w:rsidR="0016448E">
        <w:rPr>
          <w:szCs w:val="22"/>
          <w:lang w:val="sr-Latn-ME"/>
        </w:rPr>
        <w:t>ih</w:t>
      </w:r>
      <w:r w:rsidRPr="009C7A80">
        <w:rPr>
          <w:szCs w:val="22"/>
          <w:lang w:val="sr-Latn-ME"/>
        </w:rPr>
        <w:t xml:space="preserve"> bakterijama os</w:t>
      </w:r>
      <w:r w:rsidR="00E403A4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etljivim na tobramicin, kod odraslih i d</w:t>
      </w:r>
      <w:r w:rsidR="00426C30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ece uzrasta godin</w:t>
      </w:r>
      <w:r w:rsidR="007C272A" w:rsidRPr="009C7A80">
        <w:rPr>
          <w:szCs w:val="22"/>
          <w:lang w:val="sr-Latn-ME"/>
        </w:rPr>
        <w:t>u dana</w:t>
      </w:r>
      <w:r w:rsidRPr="009C7A80">
        <w:rPr>
          <w:szCs w:val="22"/>
          <w:lang w:val="sr-Latn-ME"/>
        </w:rPr>
        <w:t xml:space="preserve"> i starije</w:t>
      </w:r>
      <w:r w:rsidR="00BD1CE3" w:rsidRPr="009C7A80">
        <w:rPr>
          <w:szCs w:val="22"/>
          <w:lang w:val="sr-Latn-ME"/>
        </w:rPr>
        <w:t>.</w:t>
      </w:r>
    </w:p>
    <w:p w14:paraId="4DE88A74" w14:textId="77777777" w:rsidR="00E43256" w:rsidRPr="009C7A80" w:rsidRDefault="00E43256">
      <w:pPr>
        <w:rPr>
          <w:b/>
          <w:bCs/>
          <w:szCs w:val="22"/>
          <w:lang w:val="sr-Latn-ME"/>
        </w:rPr>
      </w:pPr>
    </w:p>
    <w:p w14:paraId="676B7E22" w14:textId="4548AAAA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4.2. Doziranje i način prim</w:t>
      </w:r>
      <w:r w:rsidR="00426C30" w:rsidRPr="009C7A80">
        <w:rPr>
          <w:b/>
          <w:bCs/>
          <w:szCs w:val="22"/>
          <w:lang w:val="sr-Latn-ME"/>
        </w:rPr>
        <w:t>j</w:t>
      </w:r>
      <w:r w:rsidRPr="009C7A80">
        <w:rPr>
          <w:b/>
          <w:bCs/>
          <w:szCs w:val="22"/>
          <w:lang w:val="sr-Latn-ME"/>
        </w:rPr>
        <w:t>ene</w:t>
      </w:r>
    </w:p>
    <w:p w14:paraId="734C9CFC" w14:textId="26D29E4E" w:rsidR="00407DAC" w:rsidRDefault="00407DAC">
      <w:pPr>
        <w:rPr>
          <w:szCs w:val="22"/>
          <w:u w:val="single"/>
          <w:lang w:val="sr-Latn-ME"/>
        </w:rPr>
      </w:pPr>
    </w:p>
    <w:p w14:paraId="12B8EE90" w14:textId="77777777" w:rsidR="0024484D" w:rsidRPr="0024484D" w:rsidRDefault="0024484D">
      <w:pPr>
        <w:rPr>
          <w:b/>
          <w:bCs/>
          <w:szCs w:val="22"/>
          <w:lang w:val="sr-Latn-ME"/>
        </w:rPr>
      </w:pPr>
      <w:r w:rsidRPr="0024484D">
        <w:rPr>
          <w:b/>
          <w:bCs/>
          <w:szCs w:val="22"/>
          <w:lang w:val="sr-Latn-ME"/>
        </w:rPr>
        <w:t>Nakon što uklonite poklopac, ukoliko je olabavljen plastični prsten koji se nalazi na vratu bočice, skinite ga prije primjene lijeka.</w:t>
      </w:r>
    </w:p>
    <w:p w14:paraId="5BA4D5B0" w14:textId="77777777" w:rsidR="0024484D" w:rsidRPr="009C7A80" w:rsidRDefault="0024484D">
      <w:pPr>
        <w:rPr>
          <w:szCs w:val="22"/>
          <w:lang w:val="sr-Latn-ME"/>
        </w:rPr>
      </w:pPr>
    </w:p>
    <w:p w14:paraId="790FCD8E" w14:textId="25C1ADF0" w:rsidR="00F043A1" w:rsidRDefault="0024484D">
      <w:pPr>
        <w:rPr>
          <w:i/>
          <w:iCs/>
          <w:szCs w:val="22"/>
          <w:u w:val="single"/>
          <w:lang w:val="sr-Latn-ME"/>
        </w:rPr>
      </w:pPr>
      <w:r w:rsidRPr="00F350E4">
        <w:rPr>
          <w:i/>
          <w:iCs/>
          <w:szCs w:val="22"/>
          <w:u w:val="single"/>
          <w:lang w:val="sr-Latn-ME"/>
        </w:rPr>
        <w:t>Odrasli</w:t>
      </w:r>
      <w:r w:rsidR="0016448E" w:rsidRPr="00F350E4">
        <w:rPr>
          <w:i/>
          <w:iCs/>
          <w:szCs w:val="22"/>
          <w:u w:val="single"/>
          <w:lang w:val="sr-Latn-ME"/>
        </w:rPr>
        <w:t>:</w:t>
      </w:r>
    </w:p>
    <w:p w14:paraId="123A9340" w14:textId="77777777" w:rsidR="0016448E" w:rsidRPr="00F350E4" w:rsidRDefault="0016448E">
      <w:pPr>
        <w:rPr>
          <w:i/>
          <w:iCs/>
          <w:szCs w:val="22"/>
          <w:u w:val="single"/>
          <w:lang w:val="sr-Latn-ME"/>
        </w:rPr>
      </w:pPr>
    </w:p>
    <w:p w14:paraId="60DFDE1B" w14:textId="134DC82D" w:rsidR="008A61DC" w:rsidRPr="009C7A80" w:rsidRDefault="008A61DC">
      <w:pPr>
        <w:pStyle w:val="ListParagraph"/>
        <w:numPr>
          <w:ilvl w:val="0"/>
          <w:numId w:val="2"/>
        </w:numPr>
        <w:ind w:left="360"/>
        <w:rPr>
          <w:szCs w:val="22"/>
          <w:lang w:val="sr-Latn-ME"/>
        </w:rPr>
      </w:pPr>
      <w:r w:rsidRPr="009C7A80">
        <w:rPr>
          <w:szCs w:val="22"/>
          <w:lang w:val="sr-Latn-ME"/>
        </w:rPr>
        <w:t>Kod um</w:t>
      </w:r>
      <w:r w:rsidR="00426C30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erenih oboljenja, uobičajena doza je jedna ili dv</w:t>
      </w:r>
      <w:r w:rsidR="00426C30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 kapi ukapane u konjunktivalnu kesicu</w:t>
      </w:r>
      <w:r w:rsidR="00236BAC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obol</w:t>
      </w:r>
      <w:r w:rsidR="00426C30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elog oka (očiju) na svaka čet</w:t>
      </w:r>
      <w:r w:rsidR="0016448E">
        <w:rPr>
          <w:szCs w:val="22"/>
          <w:lang w:val="sr-Latn-ME"/>
        </w:rPr>
        <w:t>i</w:t>
      </w:r>
      <w:r w:rsidRPr="009C7A80">
        <w:rPr>
          <w:szCs w:val="22"/>
          <w:lang w:val="sr-Latn-ME"/>
        </w:rPr>
        <w:t>ri sata.</w:t>
      </w:r>
    </w:p>
    <w:p w14:paraId="54C80C39" w14:textId="6C2FC787" w:rsidR="00407DAC" w:rsidRDefault="008A61DC">
      <w:pPr>
        <w:pStyle w:val="ListParagraph"/>
        <w:numPr>
          <w:ilvl w:val="0"/>
          <w:numId w:val="2"/>
        </w:numPr>
        <w:ind w:left="360"/>
        <w:rPr>
          <w:szCs w:val="22"/>
          <w:lang w:val="sr-Latn-ME"/>
        </w:rPr>
      </w:pPr>
      <w:r w:rsidRPr="009C7A80">
        <w:rPr>
          <w:szCs w:val="22"/>
          <w:lang w:val="sr-Latn-ME"/>
        </w:rPr>
        <w:t>Kod težih infekcija uobičajena doza</w:t>
      </w:r>
      <w:r w:rsidR="00D07C33" w:rsidRPr="009C7A80">
        <w:rPr>
          <w:szCs w:val="22"/>
          <w:lang w:val="sr-Latn-ME"/>
        </w:rPr>
        <w:t xml:space="preserve"> je</w:t>
      </w:r>
      <w:r w:rsidRPr="009C7A80">
        <w:rPr>
          <w:szCs w:val="22"/>
          <w:lang w:val="sr-Latn-ME"/>
        </w:rPr>
        <w:t xml:space="preserve"> d</w:t>
      </w:r>
      <w:r w:rsidR="005E1C15">
        <w:rPr>
          <w:szCs w:val="22"/>
          <w:lang w:val="sr-Latn-ME"/>
        </w:rPr>
        <w:t>vij</w:t>
      </w:r>
      <w:r w:rsidRPr="009C7A80">
        <w:rPr>
          <w:szCs w:val="22"/>
          <w:lang w:val="sr-Latn-ME"/>
        </w:rPr>
        <w:t>e kapi ukapane u oko,</w:t>
      </w:r>
      <w:r w:rsidR="007A7A84">
        <w:rPr>
          <w:szCs w:val="22"/>
          <w:lang w:val="sr-Latn-ME"/>
        </w:rPr>
        <w:t xml:space="preserve"> svakog sata,</w:t>
      </w:r>
      <w:r w:rsidRPr="009C7A80">
        <w:rPr>
          <w:szCs w:val="22"/>
          <w:lang w:val="sr-Latn-ME"/>
        </w:rPr>
        <w:t xml:space="preserve"> sve dok</w:t>
      </w:r>
      <w:r w:rsidR="00E82F72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se ne</w:t>
      </w:r>
      <w:r w:rsidR="00D07C33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postigne poboljšanje, a zatim se učestalost ukapavanja smanjuje pr</w:t>
      </w:r>
      <w:r w:rsidR="009D169A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 obustavljanja l</w:t>
      </w:r>
      <w:r w:rsidR="009D169A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ečenja.</w:t>
      </w:r>
    </w:p>
    <w:p w14:paraId="0006789D" w14:textId="77777777" w:rsidR="0016448E" w:rsidRPr="009C7A80" w:rsidRDefault="0016448E" w:rsidP="00F350E4">
      <w:pPr>
        <w:pStyle w:val="ListParagraph"/>
        <w:ind w:left="360"/>
        <w:rPr>
          <w:szCs w:val="22"/>
          <w:lang w:val="sr-Latn-ME"/>
        </w:rPr>
      </w:pPr>
    </w:p>
    <w:p w14:paraId="4ED720EE" w14:textId="1F21857A" w:rsidR="008C1623" w:rsidRDefault="00F10B6A" w:rsidP="00823F61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Dužina terapije </w:t>
      </w:r>
      <w:r w:rsidR="00BF035B" w:rsidRPr="009C7A80">
        <w:rPr>
          <w:szCs w:val="22"/>
          <w:lang w:val="sr-Latn-ME"/>
        </w:rPr>
        <w:t>zavisi od por</w:t>
      </w:r>
      <w:r w:rsidR="0016448E">
        <w:rPr>
          <w:szCs w:val="22"/>
          <w:lang w:val="sr-Latn-ME"/>
        </w:rPr>
        <w:t>ij</w:t>
      </w:r>
      <w:r w:rsidR="00BF035B" w:rsidRPr="009C7A80">
        <w:rPr>
          <w:szCs w:val="22"/>
          <w:lang w:val="sr-Latn-ME"/>
        </w:rPr>
        <w:t xml:space="preserve">ekla infekcije i može varirati od nekoliko dana </w:t>
      </w:r>
      <w:r w:rsidR="008C1623" w:rsidRPr="009C7A80">
        <w:rPr>
          <w:szCs w:val="22"/>
          <w:lang w:val="sr-Latn-ME"/>
        </w:rPr>
        <w:t>do nekoliko nedjelja.</w:t>
      </w:r>
    </w:p>
    <w:p w14:paraId="55D6417A" w14:textId="77777777" w:rsidR="0024484D" w:rsidRPr="009C7A80" w:rsidRDefault="0024484D">
      <w:pPr>
        <w:rPr>
          <w:szCs w:val="22"/>
          <w:lang w:val="sr-Latn-ME"/>
        </w:rPr>
      </w:pPr>
    </w:p>
    <w:p w14:paraId="5F93FAB0" w14:textId="640A5496" w:rsidR="00062BB8" w:rsidRDefault="00062BB8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Kliničke studije su pokazale</w:t>
      </w:r>
      <w:r w:rsidR="008C1623" w:rsidRPr="009C7A80">
        <w:rPr>
          <w:szCs w:val="22"/>
          <w:lang w:val="sr-Latn-ME"/>
        </w:rPr>
        <w:t xml:space="preserve"> da je tobramicin takođe efikasan i bezb</w:t>
      </w:r>
      <w:r w:rsidR="005E1C15">
        <w:rPr>
          <w:szCs w:val="22"/>
          <w:lang w:val="sr-Latn-ME"/>
        </w:rPr>
        <w:t>j</w:t>
      </w:r>
      <w:r w:rsidR="008C1623" w:rsidRPr="009C7A80">
        <w:rPr>
          <w:szCs w:val="22"/>
          <w:lang w:val="sr-Latn-ME"/>
        </w:rPr>
        <w:t>edan za d</w:t>
      </w:r>
      <w:r w:rsidR="0016448E">
        <w:rPr>
          <w:szCs w:val="22"/>
          <w:lang w:val="sr-Latn-ME"/>
        </w:rPr>
        <w:t>j</w:t>
      </w:r>
      <w:r w:rsidR="008C1623" w:rsidRPr="009C7A80">
        <w:rPr>
          <w:szCs w:val="22"/>
          <w:lang w:val="sr-Latn-ME"/>
        </w:rPr>
        <w:t>ecu.</w:t>
      </w:r>
    </w:p>
    <w:p w14:paraId="64E1C5FA" w14:textId="77777777" w:rsidR="0024484D" w:rsidRPr="009C7A80" w:rsidRDefault="0024484D">
      <w:pPr>
        <w:rPr>
          <w:szCs w:val="22"/>
          <w:lang w:val="sr-Latn-ME"/>
        </w:rPr>
      </w:pPr>
    </w:p>
    <w:p w14:paraId="53227A48" w14:textId="7B5BF254" w:rsidR="006C5259" w:rsidRDefault="006C5259">
      <w:pPr>
        <w:rPr>
          <w:i/>
          <w:iCs/>
          <w:szCs w:val="22"/>
          <w:u w:val="single"/>
          <w:lang w:val="sr-Latn-ME"/>
        </w:rPr>
      </w:pPr>
      <w:r w:rsidRPr="0024484D">
        <w:rPr>
          <w:i/>
          <w:iCs/>
          <w:szCs w:val="22"/>
          <w:u w:val="single"/>
          <w:lang w:val="sr-Latn-ME"/>
        </w:rPr>
        <w:t>Pedijatrijska populacija</w:t>
      </w:r>
      <w:r w:rsidR="0024484D">
        <w:rPr>
          <w:i/>
          <w:iCs/>
          <w:szCs w:val="22"/>
          <w:u w:val="single"/>
          <w:lang w:val="sr-Latn-ME"/>
        </w:rPr>
        <w:t>:</w:t>
      </w:r>
    </w:p>
    <w:p w14:paraId="116C79AE" w14:textId="77777777" w:rsidR="0016448E" w:rsidRPr="0024484D" w:rsidRDefault="0016448E">
      <w:pPr>
        <w:rPr>
          <w:i/>
          <w:iCs/>
          <w:szCs w:val="22"/>
          <w:u w:val="single"/>
          <w:lang w:val="sr-Latn-ME"/>
        </w:rPr>
      </w:pPr>
    </w:p>
    <w:p w14:paraId="17E13E84" w14:textId="1A3C0624" w:rsidR="00EB30FB" w:rsidRPr="009C7A80" w:rsidRDefault="006C5259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lastRenderedPageBreak/>
        <w:t>L</w:t>
      </w:r>
      <w:r w:rsidR="009D169A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 xml:space="preserve">ek </w:t>
      </w:r>
      <w:r w:rsidR="007C1BA5">
        <w:rPr>
          <w:szCs w:val="22"/>
          <w:lang w:val="sr-Latn-ME"/>
        </w:rPr>
        <w:t>Tobycin</w:t>
      </w:r>
      <w:r w:rsidRPr="009C7A80">
        <w:rPr>
          <w:szCs w:val="22"/>
          <w:lang w:val="sr-Latn-ME"/>
        </w:rPr>
        <w:t>, kapi za oči, može se prim</w:t>
      </w:r>
      <w:r w:rsidR="009D169A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enjivati kod d</w:t>
      </w:r>
      <w:r w:rsidR="009D169A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ece uzrasta od godin</w:t>
      </w:r>
      <w:r w:rsidR="00BE4300" w:rsidRPr="009C7A80">
        <w:rPr>
          <w:szCs w:val="22"/>
          <w:lang w:val="sr-Latn-ME"/>
        </w:rPr>
        <w:t>u dana</w:t>
      </w:r>
      <w:r w:rsidRPr="009C7A80">
        <w:rPr>
          <w:szCs w:val="22"/>
          <w:lang w:val="sr-Latn-ME"/>
        </w:rPr>
        <w:t xml:space="preserve"> i starije</w:t>
      </w:r>
      <w:r w:rsidR="0016448E">
        <w:rPr>
          <w:szCs w:val="22"/>
          <w:lang w:val="sr-Latn-ME"/>
        </w:rPr>
        <w:t>,</w:t>
      </w:r>
      <w:r w:rsidRPr="009C7A80">
        <w:rPr>
          <w:szCs w:val="22"/>
          <w:lang w:val="sr-Latn-ME"/>
        </w:rPr>
        <w:t xml:space="preserve"> u istoj dozi kao kod</w:t>
      </w:r>
      <w:r w:rsidR="0031411E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odraslih</w:t>
      </w:r>
      <w:r w:rsidR="00AB6FAA" w:rsidRPr="009C7A80">
        <w:rPr>
          <w:szCs w:val="22"/>
          <w:lang w:val="sr-Latn-ME"/>
        </w:rPr>
        <w:t xml:space="preserve">. Maksimalna doza </w:t>
      </w:r>
      <w:r w:rsidR="00E25337" w:rsidRPr="009C7A80">
        <w:rPr>
          <w:szCs w:val="22"/>
          <w:lang w:val="sr-Latn-ME"/>
        </w:rPr>
        <w:t>l</w:t>
      </w:r>
      <w:r w:rsidR="005E1C15">
        <w:rPr>
          <w:szCs w:val="22"/>
          <w:lang w:val="sr-Latn-ME"/>
        </w:rPr>
        <w:t>ij</w:t>
      </w:r>
      <w:r w:rsidR="00E25337" w:rsidRPr="009C7A80">
        <w:rPr>
          <w:szCs w:val="22"/>
          <w:lang w:val="sr-Latn-ME"/>
        </w:rPr>
        <w:t xml:space="preserve">eka </w:t>
      </w:r>
      <w:r w:rsidR="007C1BA5">
        <w:rPr>
          <w:szCs w:val="22"/>
          <w:lang w:val="sr-Latn-ME"/>
        </w:rPr>
        <w:t>Tobycin</w:t>
      </w:r>
      <w:r w:rsidR="003006F2" w:rsidRPr="009C7A80">
        <w:rPr>
          <w:szCs w:val="22"/>
          <w:lang w:val="sr-Latn-ME"/>
        </w:rPr>
        <w:t>, kapi za oči</w:t>
      </w:r>
      <w:r w:rsidR="0016448E">
        <w:rPr>
          <w:szCs w:val="22"/>
          <w:lang w:val="sr-Latn-ME"/>
        </w:rPr>
        <w:t>,</w:t>
      </w:r>
      <w:r w:rsidR="003006F2" w:rsidRPr="009C7A80">
        <w:rPr>
          <w:szCs w:val="22"/>
          <w:lang w:val="sr-Latn-ME"/>
        </w:rPr>
        <w:t xml:space="preserve"> je 14 kapi/dan kod d</w:t>
      </w:r>
      <w:r w:rsidR="005E1C15">
        <w:rPr>
          <w:szCs w:val="22"/>
          <w:lang w:val="sr-Latn-ME"/>
        </w:rPr>
        <w:t>j</w:t>
      </w:r>
      <w:r w:rsidR="003006F2" w:rsidRPr="009C7A80">
        <w:rPr>
          <w:szCs w:val="22"/>
          <w:lang w:val="sr-Latn-ME"/>
        </w:rPr>
        <w:t>ece od 1 do &lt; 2 godine i 46 kapi/dan kod d</w:t>
      </w:r>
      <w:r w:rsidR="005E1C15">
        <w:rPr>
          <w:szCs w:val="22"/>
          <w:lang w:val="sr-Latn-ME"/>
        </w:rPr>
        <w:t>j</w:t>
      </w:r>
      <w:r w:rsidR="003006F2" w:rsidRPr="009C7A80">
        <w:rPr>
          <w:szCs w:val="22"/>
          <w:lang w:val="sr-Latn-ME"/>
        </w:rPr>
        <w:t xml:space="preserve">ece od 2 do &lt; 12 godina. Trenutno dostupni podaci su opisani u </w:t>
      </w:r>
      <w:r w:rsidR="005E1C15">
        <w:rPr>
          <w:szCs w:val="22"/>
          <w:lang w:val="sr-Latn-ME"/>
        </w:rPr>
        <w:t xml:space="preserve">dijelu </w:t>
      </w:r>
      <w:r w:rsidR="003006F2" w:rsidRPr="009C7A80">
        <w:rPr>
          <w:szCs w:val="22"/>
          <w:lang w:val="sr-Latn-ME"/>
        </w:rPr>
        <w:t>5.1. Bezb</w:t>
      </w:r>
      <w:r w:rsidR="005E1C15">
        <w:rPr>
          <w:szCs w:val="22"/>
          <w:lang w:val="sr-Latn-ME"/>
        </w:rPr>
        <w:t>j</w:t>
      </w:r>
      <w:r w:rsidR="003006F2" w:rsidRPr="009C7A80">
        <w:rPr>
          <w:szCs w:val="22"/>
          <w:lang w:val="sr-Latn-ME"/>
        </w:rPr>
        <w:t xml:space="preserve">ednost i efikasnost </w:t>
      </w:r>
      <w:r w:rsidR="0016448E">
        <w:rPr>
          <w:szCs w:val="22"/>
          <w:lang w:val="sr-Latn-ME"/>
        </w:rPr>
        <w:t xml:space="preserve">kod </w:t>
      </w:r>
      <w:r w:rsidR="003006F2" w:rsidRPr="009C7A80">
        <w:rPr>
          <w:szCs w:val="22"/>
          <w:lang w:val="sr-Latn-ME"/>
        </w:rPr>
        <w:t>d</w:t>
      </w:r>
      <w:r w:rsidR="005E1C15">
        <w:rPr>
          <w:szCs w:val="22"/>
          <w:lang w:val="sr-Latn-ME"/>
        </w:rPr>
        <w:t>j</w:t>
      </w:r>
      <w:r w:rsidR="003006F2" w:rsidRPr="009C7A80">
        <w:rPr>
          <w:szCs w:val="22"/>
          <w:lang w:val="sr-Latn-ME"/>
        </w:rPr>
        <w:t>ece mlađe od 1 godine ni</w:t>
      </w:r>
      <w:r w:rsidR="0016448E">
        <w:rPr>
          <w:szCs w:val="22"/>
          <w:lang w:val="sr-Latn-ME"/>
        </w:rPr>
        <w:t>je</w:t>
      </w:r>
      <w:r w:rsidR="003006F2" w:rsidRPr="009C7A80">
        <w:rPr>
          <w:szCs w:val="22"/>
          <w:lang w:val="sr-Latn-ME"/>
        </w:rPr>
        <w:t>su utvrđene, i nema dostupnih podataka.</w:t>
      </w:r>
    </w:p>
    <w:p w14:paraId="5BC05A49" w14:textId="77777777" w:rsidR="00BD1FDD" w:rsidRPr="009C7A80" w:rsidRDefault="00BD1FDD">
      <w:pPr>
        <w:rPr>
          <w:b/>
          <w:bCs/>
          <w:szCs w:val="22"/>
          <w:lang w:val="sr-Latn-ME"/>
        </w:rPr>
      </w:pPr>
    </w:p>
    <w:p w14:paraId="1490F1DC" w14:textId="0E93EB8E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4.3. Kontraindikacije</w:t>
      </w:r>
    </w:p>
    <w:p w14:paraId="179B3C85" w14:textId="77777777" w:rsidR="00407DAC" w:rsidRPr="009C7A80" w:rsidRDefault="00407DAC">
      <w:pPr>
        <w:rPr>
          <w:szCs w:val="22"/>
          <w:lang w:val="sr-Latn-ME"/>
        </w:rPr>
      </w:pPr>
    </w:p>
    <w:p w14:paraId="160CA945" w14:textId="3C9A278E" w:rsidR="00407DAC" w:rsidRPr="009C7A80" w:rsidRDefault="00505403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Preos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etljivost na aktivnu supstancu tobramicin</w:t>
      </w:r>
      <w:r w:rsidR="003006F2" w:rsidRPr="009C7A80">
        <w:rPr>
          <w:szCs w:val="22"/>
          <w:lang w:val="sr-Latn-ME"/>
        </w:rPr>
        <w:t xml:space="preserve">, bilo koji drugi aminoglikozid </w:t>
      </w:r>
      <w:r w:rsidRPr="009C7A80">
        <w:rPr>
          <w:szCs w:val="22"/>
          <w:lang w:val="sr-Latn-ME"/>
        </w:rPr>
        <w:t xml:space="preserve">ili bilo koju od pomoćnih supstanci navedenih u </w:t>
      </w:r>
      <w:r w:rsidR="005E1C15">
        <w:rPr>
          <w:szCs w:val="22"/>
          <w:lang w:val="sr-Latn-ME"/>
        </w:rPr>
        <w:t xml:space="preserve">dijelu </w:t>
      </w:r>
      <w:r w:rsidRPr="009C7A80">
        <w:rPr>
          <w:szCs w:val="22"/>
          <w:lang w:val="sr-Latn-ME"/>
        </w:rPr>
        <w:t>6.1.</w:t>
      </w:r>
    </w:p>
    <w:p w14:paraId="188357A6" w14:textId="77777777" w:rsidR="00505403" w:rsidRPr="009C7A80" w:rsidRDefault="00505403">
      <w:pPr>
        <w:rPr>
          <w:b/>
          <w:bCs/>
          <w:szCs w:val="22"/>
          <w:lang w:val="sr-Latn-ME"/>
        </w:rPr>
      </w:pPr>
    </w:p>
    <w:p w14:paraId="7EC67349" w14:textId="58B4241C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4.4. Posebna upozorenja i m</w:t>
      </w:r>
      <w:r w:rsidR="004D5A39" w:rsidRPr="009C7A80">
        <w:rPr>
          <w:b/>
          <w:bCs/>
          <w:szCs w:val="22"/>
          <w:lang w:val="sr-Latn-ME"/>
        </w:rPr>
        <w:t>j</w:t>
      </w:r>
      <w:r w:rsidRPr="009C7A80">
        <w:rPr>
          <w:b/>
          <w:bCs/>
          <w:szCs w:val="22"/>
          <w:lang w:val="sr-Latn-ME"/>
        </w:rPr>
        <w:t>ere opreza pri upotrebi l</w:t>
      </w:r>
      <w:r w:rsidR="004D5A39" w:rsidRPr="009C7A80">
        <w:rPr>
          <w:b/>
          <w:bCs/>
          <w:szCs w:val="22"/>
          <w:lang w:val="sr-Latn-ME"/>
        </w:rPr>
        <w:t>ij</w:t>
      </w:r>
      <w:r w:rsidRPr="009C7A80">
        <w:rPr>
          <w:b/>
          <w:bCs/>
          <w:szCs w:val="22"/>
          <w:lang w:val="sr-Latn-ME"/>
        </w:rPr>
        <w:t>eka</w:t>
      </w:r>
    </w:p>
    <w:p w14:paraId="1E41B2B4" w14:textId="77777777" w:rsidR="00407DAC" w:rsidRDefault="00407DAC">
      <w:pPr>
        <w:rPr>
          <w:szCs w:val="22"/>
          <w:lang w:val="sr-Latn-ME"/>
        </w:rPr>
      </w:pPr>
    </w:p>
    <w:p w14:paraId="39CCC651" w14:textId="05B0B1CB" w:rsidR="0024484D" w:rsidRPr="009C7A80" w:rsidRDefault="0024484D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 w:rsidRPr="0024484D">
        <w:rPr>
          <w:szCs w:val="22"/>
          <w:lang w:val="sr-Latn-ME"/>
        </w:rPr>
        <w:t>L</w:t>
      </w:r>
      <w:r w:rsidR="005E1C15">
        <w:rPr>
          <w:szCs w:val="22"/>
          <w:lang w:val="sr-Latn-ME"/>
        </w:rPr>
        <w:t>ij</w:t>
      </w:r>
      <w:r w:rsidRPr="0024484D">
        <w:rPr>
          <w:szCs w:val="22"/>
          <w:lang w:val="sr-Latn-ME"/>
        </w:rPr>
        <w:t xml:space="preserve">ek </w:t>
      </w:r>
      <w:r w:rsidR="007C1BA5">
        <w:rPr>
          <w:szCs w:val="22"/>
          <w:lang w:val="sr-Latn-ME"/>
        </w:rPr>
        <w:t>Tobycin</w:t>
      </w:r>
      <w:r>
        <w:rPr>
          <w:szCs w:val="22"/>
          <w:lang w:val="sr-Latn-ME"/>
        </w:rPr>
        <w:t xml:space="preserve"> </w:t>
      </w:r>
      <w:r w:rsidRPr="0024484D">
        <w:rPr>
          <w:szCs w:val="22"/>
          <w:lang w:val="sr-Latn-ME"/>
        </w:rPr>
        <w:t xml:space="preserve"> je nam</w:t>
      </w:r>
      <w:r w:rsidR="000E763C">
        <w:rPr>
          <w:szCs w:val="22"/>
          <w:lang w:val="sr-Latn-ME"/>
        </w:rPr>
        <w:t>i</w:t>
      </w:r>
      <w:r w:rsidR="005E1C15">
        <w:rPr>
          <w:szCs w:val="22"/>
          <w:lang w:val="sr-Latn-ME"/>
        </w:rPr>
        <w:t>j</w:t>
      </w:r>
      <w:r w:rsidRPr="0024484D">
        <w:rPr>
          <w:szCs w:val="22"/>
          <w:lang w:val="sr-Latn-ME"/>
        </w:rPr>
        <w:t>enjen samo</w:t>
      </w:r>
      <w:r>
        <w:rPr>
          <w:szCs w:val="22"/>
          <w:lang w:val="sr-Latn-ME"/>
        </w:rPr>
        <w:t xml:space="preserve"> za </w:t>
      </w:r>
      <w:r w:rsidRPr="0024484D">
        <w:rPr>
          <w:szCs w:val="22"/>
          <w:lang w:val="sr-Latn-ME"/>
        </w:rPr>
        <w:t>okularnu prim</w:t>
      </w:r>
      <w:r w:rsidR="005E1C15">
        <w:rPr>
          <w:szCs w:val="22"/>
          <w:lang w:val="sr-Latn-ME"/>
        </w:rPr>
        <w:t>j</w:t>
      </w:r>
      <w:r w:rsidRPr="0024484D">
        <w:rPr>
          <w:szCs w:val="22"/>
          <w:lang w:val="sr-Latn-ME"/>
        </w:rPr>
        <w:t xml:space="preserve">enu. Nije </w:t>
      </w:r>
      <w:r w:rsidR="000D7884">
        <w:rPr>
          <w:szCs w:val="22"/>
          <w:lang w:val="sr-Latn-ME"/>
        </w:rPr>
        <w:t xml:space="preserve">namijenjen </w:t>
      </w:r>
      <w:r w:rsidRPr="0024484D">
        <w:rPr>
          <w:szCs w:val="22"/>
          <w:lang w:val="sr-Latn-ME"/>
        </w:rPr>
        <w:t xml:space="preserve">za </w:t>
      </w:r>
      <w:r w:rsidR="000D7884">
        <w:rPr>
          <w:szCs w:val="22"/>
          <w:lang w:val="sr-Latn-ME"/>
        </w:rPr>
        <w:t>injektiranje</w:t>
      </w:r>
      <w:r w:rsidRPr="0024484D">
        <w:rPr>
          <w:szCs w:val="22"/>
          <w:lang w:val="sr-Latn-ME"/>
        </w:rPr>
        <w:t xml:space="preserve"> ili ingestiju</w:t>
      </w:r>
      <w:r>
        <w:rPr>
          <w:szCs w:val="22"/>
          <w:lang w:val="sr-Latn-ME"/>
        </w:rPr>
        <w:t>.</w:t>
      </w:r>
    </w:p>
    <w:p w14:paraId="3CFCEAE7" w14:textId="45E70659" w:rsidR="00C354E6" w:rsidRPr="009C7A80" w:rsidRDefault="009D579A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 w:rsidRPr="009C7A80">
        <w:rPr>
          <w:szCs w:val="22"/>
          <w:lang w:val="sr-Latn-ME"/>
        </w:rPr>
        <w:t>Kod nekih pacijenata mo</w:t>
      </w:r>
      <w:r w:rsidR="003541BE" w:rsidRPr="009C7A80">
        <w:rPr>
          <w:szCs w:val="22"/>
          <w:lang w:val="sr-Latn-ME"/>
        </w:rPr>
        <w:t xml:space="preserve">guća </w:t>
      </w:r>
      <w:r w:rsidRPr="009C7A80">
        <w:rPr>
          <w:szCs w:val="22"/>
          <w:lang w:val="sr-Latn-ME"/>
        </w:rPr>
        <w:t>je os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 xml:space="preserve">etljivost </w:t>
      </w:r>
      <w:r w:rsidR="00F3585B" w:rsidRPr="009C7A80">
        <w:rPr>
          <w:szCs w:val="22"/>
          <w:lang w:val="sr-Latn-ME"/>
        </w:rPr>
        <w:t>na topikaln</w:t>
      </w:r>
      <w:r w:rsidR="003541BE" w:rsidRPr="009C7A80">
        <w:rPr>
          <w:szCs w:val="22"/>
          <w:lang w:val="sr-Latn-ME"/>
        </w:rPr>
        <w:t>o prim</w:t>
      </w:r>
      <w:r w:rsidR="004D5A39" w:rsidRPr="009C7A80">
        <w:rPr>
          <w:szCs w:val="22"/>
          <w:lang w:val="sr-Latn-ME"/>
        </w:rPr>
        <w:t>ij</w:t>
      </w:r>
      <w:r w:rsidR="003541BE" w:rsidRPr="009C7A80">
        <w:rPr>
          <w:szCs w:val="22"/>
          <w:lang w:val="sr-Latn-ME"/>
        </w:rPr>
        <w:t xml:space="preserve">enjene aminiglikozide. </w:t>
      </w:r>
      <w:r w:rsidR="00C961B7" w:rsidRPr="009C7A80">
        <w:rPr>
          <w:szCs w:val="22"/>
          <w:lang w:val="sr-Latn-ME"/>
        </w:rPr>
        <w:t xml:space="preserve">Težina reakcija </w:t>
      </w:r>
      <w:r w:rsidR="00535507" w:rsidRPr="009C7A80">
        <w:rPr>
          <w:szCs w:val="22"/>
          <w:lang w:val="sr-Latn-ME"/>
        </w:rPr>
        <w:t>hipersenzitivn</w:t>
      </w:r>
      <w:r w:rsidR="00C961B7" w:rsidRPr="009C7A80">
        <w:rPr>
          <w:szCs w:val="22"/>
          <w:lang w:val="sr-Latn-ME"/>
        </w:rPr>
        <w:t>osti</w:t>
      </w:r>
      <w:r w:rsidR="00535507" w:rsidRPr="009C7A80">
        <w:rPr>
          <w:szCs w:val="22"/>
          <w:lang w:val="sr-Latn-ME"/>
        </w:rPr>
        <w:t xml:space="preserve"> </w:t>
      </w:r>
      <w:r w:rsidR="00B70E6C" w:rsidRPr="009C7A80">
        <w:rPr>
          <w:szCs w:val="22"/>
          <w:lang w:val="sr-Latn-ME"/>
        </w:rPr>
        <w:t>može da</w:t>
      </w:r>
      <w:r w:rsidR="00767F44" w:rsidRPr="009C7A80">
        <w:rPr>
          <w:szCs w:val="22"/>
          <w:lang w:val="sr-Latn-ME"/>
        </w:rPr>
        <w:t xml:space="preserve"> se razlikuje</w:t>
      </w:r>
      <w:r w:rsidR="00B70E6C" w:rsidRPr="009C7A80">
        <w:rPr>
          <w:szCs w:val="22"/>
          <w:lang w:val="sr-Latn-ME"/>
        </w:rPr>
        <w:t xml:space="preserve"> od lokalnih efekata do generalizovanih reakcija </w:t>
      </w:r>
      <w:r w:rsidR="00016125" w:rsidRPr="009C7A80">
        <w:rPr>
          <w:szCs w:val="22"/>
          <w:lang w:val="sr-Latn-ME"/>
        </w:rPr>
        <w:t xml:space="preserve">kao što su eritem, svrab, urtikarija, </w:t>
      </w:r>
      <w:r w:rsidR="00312B91" w:rsidRPr="009C7A80">
        <w:rPr>
          <w:szCs w:val="22"/>
          <w:lang w:val="sr-Latn-ME"/>
        </w:rPr>
        <w:t>osip, anafilaksa, anafilakt</w:t>
      </w:r>
      <w:r w:rsidR="00753386" w:rsidRPr="009C7A80">
        <w:rPr>
          <w:szCs w:val="22"/>
          <w:lang w:val="sr-Latn-ME"/>
        </w:rPr>
        <w:t>oidna</w:t>
      </w:r>
      <w:r w:rsidR="00312B91" w:rsidRPr="009C7A80">
        <w:rPr>
          <w:szCs w:val="22"/>
          <w:lang w:val="sr-Latn-ME"/>
        </w:rPr>
        <w:t xml:space="preserve"> reakcija ili </w:t>
      </w:r>
      <w:r w:rsidR="00AD0F3C" w:rsidRPr="009C7A80">
        <w:rPr>
          <w:szCs w:val="22"/>
          <w:lang w:val="sr-Latn-ME"/>
        </w:rPr>
        <w:t>bulozne reakcije.</w:t>
      </w:r>
      <w:r w:rsidR="00753386" w:rsidRPr="009C7A80">
        <w:rPr>
          <w:szCs w:val="22"/>
          <w:lang w:val="sr-Latn-ME"/>
        </w:rPr>
        <w:t xml:space="preserve"> </w:t>
      </w:r>
      <w:r w:rsidR="00937D2E" w:rsidRPr="009C7A80">
        <w:rPr>
          <w:szCs w:val="22"/>
          <w:lang w:val="sr-Latn-ME"/>
        </w:rPr>
        <w:t>Ako se hipersenzitivnost javi tokom prim</w:t>
      </w:r>
      <w:r w:rsidR="004D5A39" w:rsidRPr="009C7A80">
        <w:rPr>
          <w:szCs w:val="22"/>
          <w:lang w:val="sr-Latn-ME"/>
        </w:rPr>
        <w:t>j</w:t>
      </w:r>
      <w:r w:rsidR="00937D2E" w:rsidRPr="009C7A80">
        <w:rPr>
          <w:szCs w:val="22"/>
          <w:lang w:val="sr-Latn-ME"/>
        </w:rPr>
        <w:t>ene ovog l</w:t>
      </w:r>
      <w:r w:rsidR="004D5A39" w:rsidRPr="009C7A80">
        <w:rPr>
          <w:szCs w:val="22"/>
          <w:lang w:val="sr-Latn-ME"/>
        </w:rPr>
        <w:t>ij</w:t>
      </w:r>
      <w:r w:rsidR="00937D2E" w:rsidRPr="009C7A80">
        <w:rPr>
          <w:szCs w:val="22"/>
          <w:lang w:val="sr-Latn-ME"/>
        </w:rPr>
        <w:t>eka</w:t>
      </w:r>
      <w:r w:rsidR="00C354E6" w:rsidRPr="009C7A80">
        <w:rPr>
          <w:szCs w:val="22"/>
          <w:lang w:val="sr-Latn-ME"/>
        </w:rPr>
        <w:t>, l</w:t>
      </w:r>
      <w:r w:rsidR="004D5A39" w:rsidRPr="009C7A80">
        <w:rPr>
          <w:szCs w:val="22"/>
          <w:lang w:val="sr-Latn-ME"/>
        </w:rPr>
        <w:t>ij</w:t>
      </w:r>
      <w:r w:rsidR="00C354E6" w:rsidRPr="009C7A80">
        <w:rPr>
          <w:szCs w:val="22"/>
          <w:lang w:val="sr-Latn-ME"/>
        </w:rPr>
        <w:t>ečenje treba prekinuti.</w:t>
      </w:r>
    </w:p>
    <w:p w14:paraId="746155EE" w14:textId="78EDFB49" w:rsidR="00CA40B4" w:rsidRPr="009C7A80" w:rsidRDefault="00CA40B4">
      <w:pPr>
        <w:pStyle w:val="ListParagraph"/>
        <w:numPr>
          <w:ilvl w:val="0"/>
          <w:numId w:val="2"/>
        </w:numPr>
        <w:ind w:left="360"/>
        <w:rPr>
          <w:szCs w:val="22"/>
          <w:lang w:val="sr-Latn-ME"/>
        </w:rPr>
      </w:pPr>
      <w:r w:rsidRPr="009C7A80">
        <w:rPr>
          <w:szCs w:val="22"/>
          <w:lang w:val="sr-Latn-ME"/>
        </w:rPr>
        <w:t>Može se javiti ukrštena hipersenzitivnost na druge aminoglikozide. Treba razmotriti mogućnost da</w:t>
      </w:r>
    </w:p>
    <w:p w14:paraId="552A721D" w14:textId="5A9CFF38" w:rsidR="00CA40B4" w:rsidRPr="009C7A80" w:rsidRDefault="00CA40B4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pacijenti koji su os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etljivi na topikalnu prim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enu tobramicina, mogu razviti os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etljivost i na druge topikalne</w:t>
      </w:r>
    </w:p>
    <w:p w14:paraId="586896AE" w14:textId="5DFDE759" w:rsidR="00CA40B4" w:rsidRPr="00C57763" w:rsidRDefault="00CA40B4">
      <w:pPr>
        <w:rPr>
          <w:szCs w:val="22"/>
          <w:lang w:val="sr-Latn-RS"/>
        </w:rPr>
      </w:pPr>
      <w:r w:rsidRPr="009C7A80">
        <w:rPr>
          <w:szCs w:val="22"/>
          <w:lang w:val="sr-Latn-ME"/>
        </w:rPr>
        <w:t>i/ili sistemske aminoglikozide</w:t>
      </w:r>
      <w:r w:rsidR="003F682C">
        <w:rPr>
          <w:szCs w:val="22"/>
          <w:lang w:val="sr-Latn-ME"/>
        </w:rPr>
        <w:t>.</w:t>
      </w:r>
    </w:p>
    <w:p w14:paraId="00CF41E3" w14:textId="3B6223E5" w:rsidR="00CA40B4" w:rsidRPr="009C7A80" w:rsidRDefault="00D27AC1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- </w:t>
      </w:r>
      <w:r w:rsidR="00CA40B4" w:rsidRPr="009C7A80">
        <w:rPr>
          <w:szCs w:val="22"/>
          <w:lang w:val="sr-Latn-ME"/>
        </w:rPr>
        <w:t>Ozbiljne neželjene reakcije uključujući neurotoksičnost, ototoksičnost i nefrotoksičnost su se javljale kod</w:t>
      </w:r>
    </w:p>
    <w:p w14:paraId="258940E8" w14:textId="5AA78E08" w:rsidR="009C7A80" w:rsidRPr="00905A06" w:rsidRDefault="00CA40B4">
      <w:pPr>
        <w:rPr>
          <w:szCs w:val="22"/>
          <w:lang w:val="sr-Latn-RS"/>
        </w:rPr>
      </w:pPr>
      <w:r w:rsidRPr="009C7A80">
        <w:rPr>
          <w:szCs w:val="22"/>
          <w:lang w:val="sr-Latn-ME"/>
        </w:rPr>
        <w:t xml:space="preserve">pacijenata koji su primali sistemsku terapiju </w:t>
      </w:r>
      <w:r w:rsidR="006A494E" w:rsidRPr="009C7A80">
        <w:rPr>
          <w:szCs w:val="22"/>
          <w:lang w:val="sr-Latn-ME"/>
        </w:rPr>
        <w:t>aminoglikozid</w:t>
      </w:r>
      <w:r w:rsidR="00AF1E2C" w:rsidRPr="009C7A80">
        <w:rPr>
          <w:szCs w:val="22"/>
          <w:lang w:val="sr-Latn-ME"/>
        </w:rPr>
        <w:t>ima</w:t>
      </w:r>
      <w:r w:rsidRPr="009C7A80">
        <w:rPr>
          <w:szCs w:val="22"/>
          <w:lang w:val="sr-Latn-ME"/>
        </w:rPr>
        <w:t>. Sav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 xml:space="preserve">etuje se oprez kada </w:t>
      </w:r>
      <w:r w:rsidR="000D7884">
        <w:rPr>
          <w:szCs w:val="22"/>
          <w:lang w:val="sr-Latn-ME"/>
        </w:rPr>
        <w:t xml:space="preserve">se lijek </w:t>
      </w:r>
      <w:r w:rsidR="007C1BA5">
        <w:rPr>
          <w:szCs w:val="22"/>
          <w:lang w:val="sr-Latn-ME"/>
        </w:rPr>
        <w:t>Tobycin</w:t>
      </w:r>
      <w:r w:rsidR="000D7884">
        <w:rPr>
          <w:szCs w:val="22"/>
          <w:lang w:val="sr-Latn-ME"/>
        </w:rPr>
        <w:t xml:space="preserve">, kapi za oči, </w:t>
      </w:r>
      <w:r w:rsidRPr="009C7A80">
        <w:rPr>
          <w:szCs w:val="22"/>
          <w:lang w:val="sr-Latn-ME"/>
        </w:rPr>
        <w:t>istovremeno</w:t>
      </w:r>
      <w:r w:rsidR="000D7884">
        <w:rPr>
          <w:szCs w:val="22"/>
          <w:lang w:val="sr-Latn-ME"/>
        </w:rPr>
        <w:t xml:space="preserve"> primjenjuje sa sistemskim aminoglikozidima (pogledati dio 4.8).</w:t>
      </w:r>
    </w:p>
    <w:p w14:paraId="72499701" w14:textId="5AB4F0EF" w:rsidR="009C7A80" w:rsidRPr="009C7A80" w:rsidRDefault="009C7A80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Treba biti oprezan prilikom propisivanja </w:t>
      </w:r>
      <w:r w:rsidR="00494525">
        <w:rPr>
          <w:szCs w:val="22"/>
          <w:lang w:val="sr-Latn-ME"/>
        </w:rPr>
        <w:t xml:space="preserve">lijeka </w:t>
      </w:r>
      <w:r w:rsidR="007C1BA5">
        <w:rPr>
          <w:szCs w:val="22"/>
          <w:lang w:val="sr-Latn-ME"/>
        </w:rPr>
        <w:t>Tobycin</w:t>
      </w:r>
      <w:r>
        <w:rPr>
          <w:szCs w:val="22"/>
          <w:lang w:val="sr-Latn-ME"/>
        </w:rPr>
        <w:t>,</w:t>
      </w:r>
      <w:r w:rsidRPr="009C7A80">
        <w:rPr>
          <w:szCs w:val="22"/>
          <w:lang w:val="sr-Latn-ME"/>
        </w:rPr>
        <w:t xml:space="preserve"> kapi za oči,  pacijentima sa </w:t>
      </w:r>
      <w:r w:rsidR="000D7884">
        <w:rPr>
          <w:szCs w:val="22"/>
          <w:lang w:val="sr-Latn-ME"/>
        </w:rPr>
        <w:t xml:space="preserve">ustanovljenim, </w:t>
      </w:r>
      <w:r w:rsidRPr="009C7A80">
        <w:rPr>
          <w:szCs w:val="22"/>
          <w:lang w:val="sr-Latn-ME"/>
        </w:rPr>
        <w:t xml:space="preserve"> ili </w:t>
      </w:r>
      <w:r w:rsidR="000D7884">
        <w:rPr>
          <w:szCs w:val="22"/>
          <w:lang w:val="sr-Latn-ME"/>
        </w:rPr>
        <w:t>kod kojih postoji sumnja</w:t>
      </w:r>
      <w:r w:rsidRPr="009C7A80">
        <w:rPr>
          <w:szCs w:val="22"/>
          <w:lang w:val="sr-Latn-ME"/>
        </w:rPr>
        <w:t xml:space="preserve"> na neuromišićna oboljenja kao što su miastenija gravis ili Parkinsonova bolest. Aminoglikozidi mogu pogoršati slabost mišića zbog njihovog potencijalnog dejstva na neuromišićnu funkciju.</w:t>
      </w:r>
    </w:p>
    <w:p w14:paraId="5460F084" w14:textId="13F9EA4B" w:rsidR="00CA40B4" w:rsidRDefault="00CA40B4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 w:rsidRPr="009C7A80">
        <w:rPr>
          <w:szCs w:val="22"/>
          <w:lang w:val="sr-Latn-ME"/>
        </w:rPr>
        <w:t>Kao i kod drugih antibiotika, produžena upotreba l</w:t>
      </w:r>
      <w:r w:rsidR="004D5A39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 xml:space="preserve">eka </w:t>
      </w:r>
      <w:r w:rsidR="007C1BA5">
        <w:rPr>
          <w:szCs w:val="22"/>
          <w:lang w:val="sr-Latn-ME"/>
        </w:rPr>
        <w:t>Tobycin</w:t>
      </w:r>
      <w:r w:rsidR="00660BAD">
        <w:rPr>
          <w:szCs w:val="22"/>
          <w:lang w:val="sr-Latn-ME"/>
        </w:rPr>
        <w:t>, kapi za oči,</w:t>
      </w:r>
      <w:r w:rsidRPr="009C7A80">
        <w:rPr>
          <w:szCs w:val="22"/>
          <w:lang w:val="sr-Latn-ME"/>
        </w:rPr>
        <w:t xml:space="preserve"> može da dovede do pret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eranog</w:t>
      </w:r>
      <w:r w:rsidR="00C26C77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razmnožavanja neos</w:t>
      </w:r>
      <w:r w:rsidR="004D5A39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etljivih organizama, uključujući gljivice. Ukoliko dođe do superinfekcije,</w:t>
      </w:r>
      <w:r w:rsidR="00C26C77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 xml:space="preserve">neophodno je započeti </w:t>
      </w:r>
      <w:r w:rsidR="00660BAD">
        <w:rPr>
          <w:szCs w:val="22"/>
          <w:lang w:val="sr-Latn-ME"/>
        </w:rPr>
        <w:t>odgovarajuću terapiju</w:t>
      </w:r>
      <w:r w:rsidRPr="009C7A80">
        <w:rPr>
          <w:szCs w:val="22"/>
          <w:lang w:val="sr-Latn-ME"/>
        </w:rPr>
        <w:t>.</w:t>
      </w:r>
      <w:r w:rsidR="00A22F37" w:rsidRPr="009C7A80">
        <w:rPr>
          <w:szCs w:val="22"/>
          <w:lang w:val="sr-Latn-ME"/>
        </w:rPr>
        <w:t xml:space="preserve"> </w:t>
      </w:r>
    </w:p>
    <w:p w14:paraId="5125678B" w14:textId="7867281A" w:rsidR="001760AC" w:rsidRPr="001760AC" w:rsidRDefault="001760AC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pl-PL"/>
        </w:rPr>
      </w:pPr>
      <w:r w:rsidRPr="00C528A4">
        <w:rPr>
          <w:szCs w:val="22"/>
          <w:lang w:val="pl-PL"/>
        </w:rPr>
        <w:t>Nošenje kontaktnih sočiva tokom l</w:t>
      </w:r>
      <w:r w:rsidR="00660BAD">
        <w:rPr>
          <w:szCs w:val="22"/>
          <w:lang w:val="pl-PL"/>
        </w:rPr>
        <w:t>ij</w:t>
      </w:r>
      <w:r w:rsidRPr="00C528A4">
        <w:rPr>
          <w:szCs w:val="22"/>
          <w:lang w:val="pl-PL"/>
        </w:rPr>
        <w:t xml:space="preserve">ečenja infekcije oka se ne preporučuje. </w:t>
      </w:r>
    </w:p>
    <w:p w14:paraId="1853BE43" w14:textId="33F38BF9" w:rsidR="00CA40B4" w:rsidRPr="00A82856" w:rsidRDefault="003701D0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>
        <w:rPr>
          <w:szCs w:val="22"/>
          <w:lang w:val="sr-Latn-ME"/>
        </w:rPr>
        <w:t>Dodatno</w:t>
      </w:r>
      <w:r w:rsidR="00660BAD">
        <w:rPr>
          <w:szCs w:val="22"/>
          <w:lang w:val="sr-Latn-ME"/>
        </w:rPr>
        <w:t>,</w:t>
      </w:r>
      <w:r>
        <w:rPr>
          <w:szCs w:val="22"/>
          <w:lang w:val="sr-Latn-ME"/>
        </w:rPr>
        <w:t xml:space="preserve"> l</w:t>
      </w:r>
      <w:r w:rsidR="00031516" w:rsidRPr="009C7A80">
        <w:rPr>
          <w:szCs w:val="22"/>
          <w:lang w:val="sr-Latn-ME"/>
        </w:rPr>
        <w:t>ij</w:t>
      </w:r>
      <w:r w:rsidR="00CA40B4" w:rsidRPr="009C7A80">
        <w:rPr>
          <w:szCs w:val="22"/>
          <w:lang w:val="sr-Latn-ME"/>
        </w:rPr>
        <w:t xml:space="preserve">ek </w:t>
      </w:r>
      <w:r w:rsidR="007C1BA5">
        <w:rPr>
          <w:szCs w:val="22"/>
          <w:lang w:val="sr-Latn-ME"/>
        </w:rPr>
        <w:t>Tobycin</w:t>
      </w:r>
      <w:r>
        <w:rPr>
          <w:szCs w:val="22"/>
          <w:lang w:val="sr-Latn-ME"/>
        </w:rPr>
        <w:t xml:space="preserve">, </w:t>
      </w:r>
      <w:r w:rsidR="00E5571C">
        <w:rPr>
          <w:szCs w:val="22"/>
          <w:lang w:val="sr-Latn-ME"/>
        </w:rPr>
        <w:t>3</w:t>
      </w:r>
      <w:r w:rsidR="00660BAD">
        <w:rPr>
          <w:szCs w:val="22"/>
          <w:lang w:val="sr-Latn-ME"/>
        </w:rPr>
        <w:t xml:space="preserve"> </w:t>
      </w:r>
      <w:r w:rsidR="00E5571C">
        <w:rPr>
          <w:szCs w:val="22"/>
          <w:lang w:val="sr-Latn-ME"/>
        </w:rPr>
        <w:t>mg/ml</w:t>
      </w:r>
      <w:r w:rsidR="00CA40B4" w:rsidRPr="009C7A80">
        <w:rPr>
          <w:szCs w:val="22"/>
          <w:lang w:val="sr-Latn-ME"/>
        </w:rPr>
        <w:t>, kapi za oči</w:t>
      </w:r>
      <w:r w:rsidR="00660BAD">
        <w:rPr>
          <w:szCs w:val="22"/>
          <w:lang w:val="sr-Latn-ME"/>
        </w:rPr>
        <w:t>,</w:t>
      </w:r>
      <w:r>
        <w:rPr>
          <w:szCs w:val="22"/>
          <w:lang w:val="sr-Latn-ME"/>
        </w:rPr>
        <w:t xml:space="preserve"> sadr</w:t>
      </w:r>
      <w:r w:rsidR="00660BAD">
        <w:rPr>
          <w:szCs w:val="22"/>
          <w:lang w:val="sr-Latn-ME"/>
        </w:rPr>
        <w:t>ž</w:t>
      </w:r>
      <w:r>
        <w:rPr>
          <w:szCs w:val="22"/>
          <w:lang w:val="sr-Latn-ME"/>
        </w:rPr>
        <w:t>i 0,5 mg benzalkonijum</w:t>
      </w:r>
      <w:r w:rsidR="00E5571C">
        <w:rPr>
          <w:szCs w:val="22"/>
          <w:lang w:val="sr-Latn-ME"/>
        </w:rPr>
        <w:t xml:space="preserve"> </w:t>
      </w:r>
      <w:r>
        <w:rPr>
          <w:szCs w:val="22"/>
          <w:lang w:val="sr-Latn-ME"/>
        </w:rPr>
        <w:t xml:space="preserve">hlorida što </w:t>
      </w:r>
      <w:r w:rsidR="005F25C8">
        <w:rPr>
          <w:szCs w:val="22"/>
          <w:lang w:val="sr-Latn-ME"/>
        </w:rPr>
        <w:t>odgovara</w:t>
      </w:r>
      <w:r>
        <w:rPr>
          <w:szCs w:val="22"/>
          <w:lang w:val="sr-Latn-ME"/>
        </w:rPr>
        <w:t xml:space="preserve"> </w:t>
      </w:r>
      <w:r w:rsidR="005F25C8">
        <w:rPr>
          <w:szCs w:val="22"/>
          <w:lang w:val="pl-PL"/>
        </w:rPr>
        <w:t>0,1 mg/ml</w:t>
      </w:r>
      <w:r>
        <w:rPr>
          <w:szCs w:val="22"/>
          <w:lang w:val="sr-Latn-ME"/>
        </w:rPr>
        <w:t>. B</w:t>
      </w:r>
      <w:r w:rsidR="00CA40B4" w:rsidRPr="009C7A80">
        <w:rPr>
          <w:szCs w:val="22"/>
          <w:lang w:val="sr-Latn-ME"/>
        </w:rPr>
        <w:t>enzalkonijum</w:t>
      </w:r>
      <w:r w:rsidR="00E5571C">
        <w:rPr>
          <w:szCs w:val="22"/>
          <w:lang w:val="sr-Latn-ME"/>
        </w:rPr>
        <w:t xml:space="preserve"> </w:t>
      </w:r>
      <w:r w:rsidR="00CA40B4" w:rsidRPr="009C7A80">
        <w:rPr>
          <w:szCs w:val="22"/>
          <w:lang w:val="sr-Latn-ME"/>
        </w:rPr>
        <w:t xml:space="preserve">hlorid, </w:t>
      </w:r>
      <w:r>
        <w:rPr>
          <w:szCs w:val="22"/>
          <w:lang w:val="sr-Latn-ME"/>
        </w:rPr>
        <w:t xml:space="preserve">koji se koristi kao konzervans u lijeku </w:t>
      </w:r>
      <w:r w:rsidR="007C1BA5">
        <w:rPr>
          <w:szCs w:val="22"/>
          <w:lang w:val="sr-Latn-ME"/>
        </w:rPr>
        <w:t>Tobycin</w:t>
      </w:r>
      <w:r w:rsidR="00660BAD">
        <w:rPr>
          <w:szCs w:val="22"/>
          <w:lang w:val="sr-Latn-ME"/>
        </w:rPr>
        <w:t>, kapi za oči,</w:t>
      </w:r>
      <w:r w:rsidR="005F25C8">
        <w:rPr>
          <w:szCs w:val="22"/>
          <w:lang w:val="sr-Latn-ME"/>
        </w:rPr>
        <w:t xml:space="preserve"> mogu apsorbovati meka kontakta sočiva i može doći do prom</w:t>
      </w:r>
      <w:r w:rsidR="000E763C">
        <w:rPr>
          <w:szCs w:val="22"/>
          <w:lang w:val="sr-Latn-ME"/>
        </w:rPr>
        <w:t>j</w:t>
      </w:r>
      <w:r w:rsidR="005F25C8">
        <w:rPr>
          <w:szCs w:val="22"/>
          <w:lang w:val="sr-Latn-ME"/>
        </w:rPr>
        <w:t>ene njihove boje</w:t>
      </w:r>
      <w:r w:rsidR="00CA40B4" w:rsidRPr="009C7A80">
        <w:rPr>
          <w:szCs w:val="22"/>
          <w:lang w:val="sr-Latn-ME"/>
        </w:rPr>
        <w:t xml:space="preserve">. </w:t>
      </w:r>
      <w:r w:rsidR="005F25C8">
        <w:rPr>
          <w:szCs w:val="22"/>
          <w:lang w:val="sr-Latn-ME"/>
        </w:rPr>
        <w:t>P</w:t>
      </w:r>
      <w:r w:rsidR="00CA40B4" w:rsidRPr="009C7A80">
        <w:rPr>
          <w:szCs w:val="22"/>
          <w:lang w:val="sr-Latn-ME"/>
        </w:rPr>
        <w:t>acijente je potrebno sav</w:t>
      </w:r>
      <w:r w:rsidR="00DE4A3F" w:rsidRPr="009C7A80">
        <w:rPr>
          <w:szCs w:val="22"/>
          <w:lang w:val="sr-Latn-ME"/>
        </w:rPr>
        <w:t>j</w:t>
      </w:r>
      <w:r w:rsidR="00CA40B4" w:rsidRPr="009C7A80">
        <w:rPr>
          <w:szCs w:val="22"/>
          <w:lang w:val="sr-Latn-ME"/>
        </w:rPr>
        <w:t>etovati da obavezno skinu kontaktna sočiva pr</w:t>
      </w:r>
      <w:r w:rsidR="00DE4A3F" w:rsidRPr="009C7A80">
        <w:rPr>
          <w:szCs w:val="22"/>
          <w:lang w:val="sr-Latn-ME"/>
        </w:rPr>
        <w:t>ij</w:t>
      </w:r>
      <w:r w:rsidR="00CA40B4" w:rsidRPr="009C7A80">
        <w:rPr>
          <w:szCs w:val="22"/>
          <w:lang w:val="sr-Latn-ME"/>
        </w:rPr>
        <w:t>e prim</w:t>
      </w:r>
      <w:r w:rsidR="00DE4A3F" w:rsidRPr="009C7A80">
        <w:rPr>
          <w:szCs w:val="22"/>
          <w:lang w:val="sr-Latn-ME"/>
        </w:rPr>
        <w:t>j</w:t>
      </w:r>
      <w:r w:rsidR="00CA40B4" w:rsidRPr="009C7A80">
        <w:rPr>
          <w:szCs w:val="22"/>
          <w:lang w:val="sr-Latn-ME"/>
        </w:rPr>
        <w:t>ene</w:t>
      </w:r>
      <w:r w:rsidR="00301B99" w:rsidRPr="009C7A80">
        <w:rPr>
          <w:szCs w:val="22"/>
          <w:lang w:val="sr-Latn-ME"/>
        </w:rPr>
        <w:t xml:space="preserve"> </w:t>
      </w:r>
      <w:r w:rsidR="00CA40B4" w:rsidRPr="009C7A80">
        <w:rPr>
          <w:szCs w:val="22"/>
          <w:lang w:val="sr-Latn-ME"/>
        </w:rPr>
        <w:t>l</w:t>
      </w:r>
      <w:r w:rsidR="00DE4A3F" w:rsidRPr="009C7A80">
        <w:rPr>
          <w:szCs w:val="22"/>
          <w:lang w:val="sr-Latn-ME"/>
        </w:rPr>
        <w:t>ij</w:t>
      </w:r>
      <w:r w:rsidR="00CA40B4" w:rsidRPr="009C7A80">
        <w:rPr>
          <w:szCs w:val="22"/>
          <w:lang w:val="sr-Latn-ME"/>
        </w:rPr>
        <w:t xml:space="preserve">eka </w:t>
      </w:r>
      <w:r w:rsidR="007C1BA5">
        <w:rPr>
          <w:szCs w:val="22"/>
          <w:lang w:val="sr-Latn-ME"/>
        </w:rPr>
        <w:t>Tobycin</w:t>
      </w:r>
      <w:r w:rsidR="00CA40B4" w:rsidRPr="009C7A80">
        <w:rPr>
          <w:szCs w:val="22"/>
          <w:lang w:val="sr-Latn-ME"/>
        </w:rPr>
        <w:t>,</w:t>
      </w:r>
      <w:r w:rsidR="00660BAD">
        <w:rPr>
          <w:szCs w:val="22"/>
          <w:lang w:val="sr-Latn-ME"/>
        </w:rPr>
        <w:t xml:space="preserve"> kapi za oči,</w:t>
      </w:r>
      <w:r w:rsidR="00CA40B4" w:rsidRPr="009C7A80">
        <w:rPr>
          <w:szCs w:val="22"/>
          <w:lang w:val="sr-Latn-ME"/>
        </w:rPr>
        <w:t xml:space="preserve"> i da sačekaju najmanje 15 minuta nakon ukapavanja l</w:t>
      </w:r>
      <w:r w:rsidR="00DE4A3F" w:rsidRPr="009C7A80">
        <w:rPr>
          <w:szCs w:val="22"/>
          <w:lang w:val="sr-Latn-ME"/>
        </w:rPr>
        <w:t>ij</w:t>
      </w:r>
      <w:r w:rsidR="00CA40B4" w:rsidRPr="009C7A80">
        <w:rPr>
          <w:szCs w:val="22"/>
          <w:lang w:val="sr-Latn-ME"/>
        </w:rPr>
        <w:t>eka pr</w:t>
      </w:r>
      <w:r w:rsidR="00DE4A3F" w:rsidRPr="009C7A80">
        <w:rPr>
          <w:szCs w:val="22"/>
          <w:lang w:val="sr-Latn-ME"/>
        </w:rPr>
        <w:t>ij</w:t>
      </w:r>
      <w:r w:rsidR="00CA40B4" w:rsidRPr="009C7A80">
        <w:rPr>
          <w:szCs w:val="22"/>
          <w:lang w:val="sr-Latn-ME"/>
        </w:rPr>
        <w:t>e ponovnog stavljanja sočiva.</w:t>
      </w:r>
      <w:r w:rsidR="009C7A80">
        <w:rPr>
          <w:szCs w:val="22"/>
          <w:lang w:val="sr-Latn-ME"/>
        </w:rPr>
        <w:t xml:space="preserve"> Benzalkonijum</w:t>
      </w:r>
      <w:r w:rsidR="00E5571C">
        <w:rPr>
          <w:szCs w:val="22"/>
          <w:lang w:val="sr-Latn-ME"/>
        </w:rPr>
        <w:t xml:space="preserve"> </w:t>
      </w:r>
      <w:r w:rsidR="009C7A80">
        <w:rPr>
          <w:szCs w:val="22"/>
          <w:lang w:val="sr-Latn-ME"/>
        </w:rPr>
        <w:t>hlorid takođe može izazvati iritaciju oka, posebno ako imate suve oči ili poremećaje rožnjače</w:t>
      </w:r>
      <w:r w:rsidR="009E35BE">
        <w:rPr>
          <w:szCs w:val="22"/>
          <w:lang w:val="sr-Latn-ME"/>
        </w:rPr>
        <w:t>.</w:t>
      </w:r>
      <w:r w:rsidR="009C7A80">
        <w:rPr>
          <w:szCs w:val="22"/>
          <w:lang w:val="sr-Cyrl-RS"/>
        </w:rPr>
        <w:t xml:space="preserve"> </w:t>
      </w:r>
      <w:r w:rsidR="009C7A80">
        <w:rPr>
          <w:szCs w:val="22"/>
          <w:lang w:val="sr-Latn-RS"/>
        </w:rPr>
        <w:t xml:space="preserve">Ako </w:t>
      </w:r>
      <w:r w:rsidR="005F25C8">
        <w:rPr>
          <w:szCs w:val="22"/>
          <w:lang w:val="sr-Latn-RS"/>
        </w:rPr>
        <w:t xml:space="preserve">pacijent ima </w:t>
      </w:r>
      <w:r w:rsidR="009C7A80">
        <w:rPr>
          <w:szCs w:val="22"/>
          <w:lang w:val="sr-Latn-RS"/>
        </w:rPr>
        <w:t>abnormalne senzacije u očima, peckanje ili bol u oku nakon upotrebe ovog l</w:t>
      </w:r>
      <w:r w:rsidR="000E763C">
        <w:rPr>
          <w:szCs w:val="22"/>
          <w:lang w:val="sr-Latn-RS"/>
        </w:rPr>
        <w:t>ij</w:t>
      </w:r>
      <w:r w:rsidR="009C7A80">
        <w:rPr>
          <w:szCs w:val="22"/>
          <w:lang w:val="sr-Latn-RS"/>
        </w:rPr>
        <w:t>eka</w:t>
      </w:r>
      <w:r w:rsidR="00A82856">
        <w:rPr>
          <w:szCs w:val="22"/>
          <w:lang w:val="sr-Latn-RS"/>
        </w:rPr>
        <w:t xml:space="preserve">, </w:t>
      </w:r>
      <w:r w:rsidR="005F25C8">
        <w:rPr>
          <w:szCs w:val="22"/>
          <w:lang w:val="sr-Latn-RS"/>
        </w:rPr>
        <w:t xml:space="preserve">trebalo bi da se obrati </w:t>
      </w:r>
      <w:r w:rsidR="00A82856">
        <w:rPr>
          <w:szCs w:val="22"/>
          <w:lang w:val="sr-Latn-RS"/>
        </w:rPr>
        <w:t>l</w:t>
      </w:r>
      <w:r w:rsidR="000E763C">
        <w:rPr>
          <w:szCs w:val="22"/>
          <w:lang w:val="sr-Latn-RS"/>
        </w:rPr>
        <w:t>j</w:t>
      </w:r>
      <w:r w:rsidR="00A82856">
        <w:rPr>
          <w:szCs w:val="22"/>
          <w:lang w:val="sr-Latn-RS"/>
        </w:rPr>
        <w:t>ekaru.</w:t>
      </w:r>
    </w:p>
    <w:p w14:paraId="230465CD" w14:textId="77777777" w:rsidR="00A82856" w:rsidRDefault="00A82856">
      <w:pPr>
        <w:rPr>
          <w:szCs w:val="22"/>
          <w:lang w:val="sr-Latn-ME"/>
        </w:rPr>
      </w:pPr>
    </w:p>
    <w:p w14:paraId="34EDC813" w14:textId="47AA8062" w:rsidR="00A82856" w:rsidRDefault="00660BAD">
      <w:pPr>
        <w:rPr>
          <w:szCs w:val="22"/>
          <w:lang w:val="sr-Latn-ME"/>
        </w:rPr>
      </w:pPr>
      <w:r>
        <w:rPr>
          <w:szCs w:val="22"/>
          <w:lang w:val="sr-Latn-ME"/>
        </w:rPr>
        <w:t>Sljedeće smjernice su korisne u smanjenju sistemske resorpcije nakon primjene kapi za oči:</w:t>
      </w:r>
    </w:p>
    <w:p w14:paraId="250696AB" w14:textId="76CF5989" w:rsidR="00A82856" w:rsidRDefault="00A82856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>
        <w:rPr>
          <w:szCs w:val="22"/>
          <w:lang w:val="sr-Latn-ME"/>
        </w:rPr>
        <w:t>držati kap</w:t>
      </w:r>
      <w:r w:rsidR="00660BAD">
        <w:rPr>
          <w:szCs w:val="22"/>
          <w:lang w:val="sr-Latn-ME"/>
        </w:rPr>
        <w:t>ak</w:t>
      </w:r>
      <w:r>
        <w:rPr>
          <w:szCs w:val="22"/>
          <w:lang w:val="sr-Latn-ME"/>
        </w:rPr>
        <w:t xml:space="preserve"> zatvorenim 2 minuta;</w:t>
      </w:r>
    </w:p>
    <w:p w14:paraId="38DFD55F" w14:textId="07E5F17F" w:rsidR="00A82856" w:rsidRPr="00A82856" w:rsidRDefault="00A82856" w:rsidP="00F350E4">
      <w:pPr>
        <w:pStyle w:val="ListParagraph"/>
        <w:numPr>
          <w:ilvl w:val="0"/>
          <w:numId w:val="2"/>
        </w:numPr>
        <w:ind w:left="0" w:firstLine="0"/>
        <w:rPr>
          <w:szCs w:val="22"/>
          <w:lang w:val="sr-Latn-ME"/>
        </w:rPr>
      </w:pPr>
      <w:r>
        <w:rPr>
          <w:szCs w:val="22"/>
          <w:lang w:val="sr-Latn-ME"/>
        </w:rPr>
        <w:t>zatv</w:t>
      </w:r>
      <w:r w:rsidR="00C61C49">
        <w:rPr>
          <w:szCs w:val="22"/>
          <w:lang w:val="sr-Latn-ME"/>
        </w:rPr>
        <w:t>o</w:t>
      </w:r>
      <w:r>
        <w:rPr>
          <w:szCs w:val="22"/>
          <w:lang w:val="sr-Latn-ME"/>
        </w:rPr>
        <w:t>riti suzni kanal prstom 2 minuta</w:t>
      </w:r>
      <w:r w:rsidR="00660BAD">
        <w:rPr>
          <w:szCs w:val="22"/>
          <w:lang w:val="sr-Latn-ME"/>
        </w:rPr>
        <w:t>.</w:t>
      </w:r>
    </w:p>
    <w:p w14:paraId="177B08CC" w14:textId="77777777" w:rsidR="00407DAC" w:rsidRPr="009C7A80" w:rsidRDefault="00407DAC">
      <w:pPr>
        <w:rPr>
          <w:szCs w:val="22"/>
          <w:lang w:val="sr-Latn-ME"/>
        </w:rPr>
      </w:pPr>
    </w:p>
    <w:p w14:paraId="660D4749" w14:textId="1C16AD4D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4.5. Interakcije sa drugim l</w:t>
      </w:r>
      <w:r w:rsidR="00DE4A3F" w:rsidRPr="009C7A80">
        <w:rPr>
          <w:b/>
          <w:bCs/>
          <w:szCs w:val="22"/>
          <w:lang w:val="sr-Latn-ME"/>
        </w:rPr>
        <w:t>j</w:t>
      </w:r>
      <w:r w:rsidRPr="009C7A80">
        <w:rPr>
          <w:b/>
          <w:bCs/>
          <w:szCs w:val="22"/>
          <w:lang w:val="sr-Latn-ME"/>
        </w:rPr>
        <w:t>ekovima i druge vrste interakcija</w:t>
      </w:r>
    </w:p>
    <w:p w14:paraId="267498CF" w14:textId="77777777" w:rsidR="00407DAC" w:rsidRPr="009C7A80" w:rsidRDefault="00407DAC">
      <w:pPr>
        <w:rPr>
          <w:szCs w:val="22"/>
          <w:lang w:val="sr-Latn-ME"/>
        </w:rPr>
      </w:pPr>
    </w:p>
    <w:p w14:paraId="2F8E93A9" w14:textId="381D400C" w:rsidR="007F2B5C" w:rsidRPr="009C7A80" w:rsidRDefault="006B5D14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Ni</w:t>
      </w:r>
      <w:r w:rsidR="00DE4A3F" w:rsidRPr="009C7A80">
        <w:rPr>
          <w:szCs w:val="22"/>
          <w:lang w:val="sr-Latn-ME"/>
        </w:rPr>
        <w:t>je</w:t>
      </w:r>
      <w:r w:rsidRPr="009C7A80">
        <w:rPr>
          <w:szCs w:val="22"/>
          <w:lang w:val="sr-Latn-ME"/>
        </w:rPr>
        <w:t xml:space="preserve">su </w:t>
      </w:r>
      <w:r w:rsidR="007F2B5C" w:rsidRPr="009C7A80">
        <w:rPr>
          <w:szCs w:val="22"/>
          <w:lang w:val="sr-Latn-ME"/>
        </w:rPr>
        <w:t>opisane klinički značajne interakcije sa topikaln</w:t>
      </w:r>
      <w:r w:rsidR="00C7330A" w:rsidRPr="009C7A80">
        <w:rPr>
          <w:szCs w:val="22"/>
          <w:lang w:val="sr-Latn-ME"/>
        </w:rPr>
        <w:t>o</w:t>
      </w:r>
      <w:r w:rsidRPr="009C7A80">
        <w:rPr>
          <w:szCs w:val="22"/>
          <w:lang w:val="sr-Latn-ME"/>
        </w:rPr>
        <w:t xml:space="preserve"> </w:t>
      </w:r>
      <w:r w:rsidR="007F2B5C" w:rsidRPr="009C7A80">
        <w:rPr>
          <w:szCs w:val="22"/>
          <w:lang w:val="sr-Latn-ME"/>
        </w:rPr>
        <w:t>okula</w:t>
      </w:r>
      <w:r w:rsidR="002A47FF" w:rsidRPr="009C7A80">
        <w:rPr>
          <w:szCs w:val="22"/>
          <w:lang w:val="sr-Latn-ME"/>
        </w:rPr>
        <w:t>rno</w:t>
      </w:r>
      <w:r w:rsidR="007F2B5C" w:rsidRPr="009C7A80">
        <w:rPr>
          <w:szCs w:val="22"/>
          <w:lang w:val="sr-Latn-ME"/>
        </w:rPr>
        <w:t xml:space="preserve"> </w:t>
      </w:r>
      <w:r w:rsidR="002A47FF" w:rsidRPr="009C7A80">
        <w:rPr>
          <w:szCs w:val="22"/>
          <w:lang w:val="sr-Latn-ME"/>
        </w:rPr>
        <w:t>prim</w:t>
      </w:r>
      <w:r w:rsidR="00DE4A3F" w:rsidRPr="009C7A80">
        <w:rPr>
          <w:szCs w:val="22"/>
          <w:lang w:val="sr-Latn-ME"/>
        </w:rPr>
        <w:t>ij</w:t>
      </w:r>
      <w:r w:rsidR="002A47FF" w:rsidRPr="009C7A80">
        <w:rPr>
          <w:szCs w:val="22"/>
          <w:lang w:val="sr-Latn-ME"/>
        </w:rPr>
        <w:t>enjenim</w:t>
      </w:r>
      <w:r w:rsidR="007F2B5C" w:rsidRPr="009C7A80">
        <w:rPr>
          <w:szCs w:val="22"/>
          <w:lang w:val="sr-Latn-ME"/>
        </w:rPr>
        <w:t xml:space="preserve"> l</w:t>
      </w:r>
      <w:r w:rsidR="00DE4A3F" w:rsidRPr="009C7A80">
        <w:rPr>
          <w:szCs w:val="22"/>
          <w:lang w:val="sr-Latn-ME"/>
        </w:rPr>
        <w:t>ij</w:t>
      </w:r>
      <w:r w:rsidR="007F2B5C" w:rsidRPr="009C7A80">
        <w:rPr>
          <w:szCs w:val="22"/>
          <w:lang w:val="sr-Latn-ME"/>
        </w:rPr>
        <w:t xml:space="preserve">ekom </w:t>
      </w:r>
      <w:r w:rsidR="007C1BA5">
        <w:rPr>
          <w:szCs w:val="22"/>
          <w:lang w:val="sr-Latn-ME"/>
        </w:rPr>
        <w:t>Tobycin</w:t>
      </w:r>
      <w:r w:rsidR="007F2B5C" w:rsidRPr="009C7A80">
        <w:rPr>
          <w:szCs w:val="22"/>
          <w:lang w:val="sr-Latn-ME"/>
        </w:rPr>
        <w:t>.</w:t>
      </w:r>
    </w:p>
    <w:p w14:paraId="4ED548A3" w14:textId="703B0113" w:rsidR="001F0D4B" w:rsidRPr="009C7A80" w:rsidRDefault="001F0D4B">
      <w:pPr>
        <w:rPr>
          <w:szCs w:val="22"/>
          <w:lang w:val="sr-Latn-ME"/>
        </w:rPr>
      </w:pPr>
    </w:p>
    <w:p w14:paraId="22A5185C" w14:textId="357746C6" w:rsidR="00B81179" w:rsidRPr="009C7A80" w:rsidRDefault="00B81179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Prijavljene su interakcije sa tobramicinom nakon sistemske prim</w:t>
      </w:r>
      <w:r w:rsidR="00DE4A3F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ene.</w:t>
      </w:r>
      <w:r w:rsidR="00CC00C6" w:rsidRPr="009C7A80">
        <w:rPr>
          <w:szCs w:val="22"/>
          <w:lang w:val="sr-Latn-ME"/>
        </w:rPr>
        <w:t xml:space="preserve"> </w:t>
      </w:r>
      <w:r w:rsidR="003D1AA8" w:rsidRPr="009C7A80">
        <w:rPr>
          <w:szCs w:val="22"/>
          <w:lang w:val="sr-Latn-ME"/>
        </w:rPr>
        <w:t xml:space="preserve">Međutim, sistemska apsorpcija tobramicina nakon topikalne </w:t>
      </w:r>
      <w:r w:rsidR="00B00C82" w:rsidRPr="009C7A80">
        <w:rPr>
          <w:szCs w:val="22"/>
          <w:lang w:val="sr-Latn-ME"/>
        </w:rPr>
        <w:t xml:space="preserve">okularne </w:t>
      </w:r>
      <w:r w:rsidR="003D1AA8" w:rsidRPr="009C7A80">
        <w:rPr>
          <w:szCs w:val="22"/>
          <w:lang w:val="sr-Latn-ME"/>
        </w:rPr>
        <w:t>prim</w:t>
      </w:r>
      <w:r w:rsidR="00DE4A3F" w:rsidRPr="009C7A80">
        <w:rPr>
          <w:szCs w:val="22"/>
          <w:lang w:val="sr-Latn-ME"/>
        </w:rPr>
        <w:t>j</w:t>
      </w:r>
      <w:r w:rsidR="003D1AA8" w:rsidRPr="009C7A80">
        <w:rPr>
          <w:szCs w:val="22"/>
          <w:lang w:val="sr-Latn-ME"/>
        </w:rPr>
        <w:t xml:space="preserve">ene </w:t>
      </w:r>
      <w:r w:rsidR="00B00C82" w:rsidRPr="009C7A80">
        <w:rPr>
          <w:szCs w:val="22"/>
          <w:lang w:val="sr-Latn-ME"/>
        </w:rPr>
        <w:t xml:space="preserve">je veoma </w:t>
      </w:r>
      <w:r w:rsidR="00CF3ED0" w:rsidRPr="009C7A80">
        <w:rPr>
          <w:szCs w:val="22"/>
          <w:lang w:val="sr-Latn-ME"/>
        </w:rPr>
        <w:t>niska</w:t>
      </w:r>
      <w:r w:rsidR="00842247" w:rsidRPr="009C7A80">
        <w:rPr>
          <w:szCs w:val="22"/>
          <w:lang w:val="sr-Latn-ME"/>
        </w:rPr>
        <w:t xml:space="preserve">, </w:t>
      </w:r>
      <w:r w:rsidR="003C39A7" w:rsidRPr="009C7A80">
        <w:rPr>
          <w:szCs w:val="22"/>
          <w:lang w:val="sr-Latn-ME"/>
        </w:rPr>
        <w:t xml:space="preserve">tako da je rizik </w:t>
      </w:r>
      <w:r w:rsidR="00153B5F" w:rsidRPr="009C7A80">
        <w:rPr>
          <w:szCs w:val="22"/>
          <w:lang w:val="sr-Latn-ME"/>
        </w:rPr>
        <w:t>za pojavu bilo kakve interakcije minimalan.</w:t>
      </w:r>
    </w:p>
    <w:p w14:paraId="11A4F02A" w14:textId="77777777" w:rsidR="00D502A9" w:rsidRPr="009C7A80" w:rsidRDefault="00D502A9">
      <w:pPr>
        <w:rPr>
          <w:szCs w:val="22"/>
          <w:lang w:val="sr-Latn-ME"/>
        </w:rPr>
      </w:pPr>
    </w:p>
    <w:p w14:paraId="3AA912E1" w14:textId="5DFE73C6" w:rsidR="00E5571C" w:rsidRPr="00D861D3" w:rsidRDefault="00E5571C">
      <w:pPr>
        <w:rPr>
          <w:b/>
          <w:bCs/>
          <w:szCs w:val="22"/>
          <w:lang w:val="sr-Latn-ME"/>
        </w:rPr>
      </w:pPr>
      <w:r w:rsidRPr="00E5571C">
        <w:rPr>
          <w:szCs w:val="22"/>
          <w:lang w:val="sr-Latn-ME"/>
        </w:rPr>
        <w:lastRenderedPageBreak/>
        <w:t>Ukoliko se prim</w:t>
      </w:r>
      <w:r w:rsidR="00FA6DA6">
        <w:rPr>
          <w:szCs w:val="22"/>
          <w:lang w:val="sr-Latn-ME"/>
        </w:rPr>
        <w:t>j</w:t>
      </w:r>
      <w:r w:rsidRPr="00E5571C">
        <w:rPr>
          <w:szCs w:val="22"/>
          <w:lang w:val="sr-Latn-ME"/>
        </w:rPr>
        <w:t>enjuje više od jednog topikalnog lijeka u oko, ljekovi se moraju prim</w:t>
      </w:r>
      <w:r w:rsidR="00FA6DA6">
        <w:rPr>
          <w:szCs w:val="22"/>
          <w:lang w:val="sr-Latn-ME"/>
        </w:rPr>
        <w:t>j</w:t>
      </w:r>
      <w:r w:rsidRPr="00E5571C">
        <w:rPr>
          <w:szCs w:val="22"/>
          <w:lang w:val="sr-Latn-ME"/>
        </w:rPr>
        <w:t>enjivati sa razmakom od najmanje 5 minuta između prim</w:t>
      </w:r>
      <w:r w:rsidR="00FA6DA6">
        <w:rPr>
          <w:szCs w:val="22"/>
          <w:lang w:val="sr-Latn-ME"/>
        </w:rPr>
        <w:t>j</w:t>
      </w:r>
      <w:r w:rsidRPr="00E5571C">
        <w:rPr>
          <w:szCs w:val="22"/>
          <w:lang w:val="sr-Latn-ME"/>
        </w:rPr>
        <w:t>ena. Masti za oči je potrebno prim</w:t>
      </w:r>
      <w:r w:rsidR="00FA6DA6">
        <w:rPr>
          <w:szCs w:val="22"/>
          <w:lang w:val="sr-Latn-ME"/>
        </w:rPr>
        <w:t>j</w:t>
      </w:r>
      <w:r w:rsidRPr="00E5571C">
        <w:rPr>
          <w:szCs w:val="22"/>
          <w:lang w:val="sr-Latn-ME"/>
        </w:rPr>
        <w:t>enjivati na kraju.</w:t>
      </w:r>
    </w:p>
    <w:p w14:paraId="5F37DC22" w14:textId="77777777" w:rsidR="007F2B5C" w:rsidRPr="009C7A80" w:rsidRDefault="007F2B5C">
      <w:pPr>
        <w:rPr>
          <w:b/>
          <w:bCs/>
          <w:szCs w:val="22"/>
          <w:lang w:val="sr-Latn-ME"/>
        </w:rPr>
      </w:pPr>
    </w:p>
    <w:p w14:paraId="4D613021" w14:textId="4EFD1C6A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4.6. Plodnost, trudnoća i dojenje</w:t>
      </w:r>
    </w:p>
    <w:p w14:paraId="057BE40B" w14:textId="77777777" w:rsidR="00A82856" w:rsidRDefault="00A82856">
      <w:pPr>
        <w:rPr>
          <w:szCs w:val="22"/>
          <w:u w:val="single"/>
          <w:lang w:val="sr-Latn-ME"/>
        </w:rPr>
      </w:pPr>
    </w:p>
    <w:p w14:paraId="39996104" w14:textId="77777777" w:rsidR="00BC2E70" w:rsidRPr="009C7A80" w:rsidRDefault="00BC2E70">
      <w:pPr>
        <w:rPr>
          <w:szCs w:val="22"/>
          <w:u w:val="single"/>
          <w:lang w:val="sr-Latn-ME"/>
        </w:rPr>
      </w:pPr>
      <w:r w:rsidRPr="009C7A80">
        <w:rPr>
          <w:szCs w:val="22"/>
          <w:u w:val="single"/>
          <w:lang w:val="sr-Latn-ME"/>
        </w:rPr>
        <w:t>Plodnost</w:t>
      </w:r>
    </w:p>
    <w:p w14:paraId="4C2BACEC" w14:textId="5C9767FE" w:rsidR="00BC2E70" w:rsidRPr="009C7A80" w:rsidRDefault="00BC2E70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Nijesu sprovedene studije </w:t>
      </w:r>
      <w:r w:rsidR="00B02A0A">
        <w:rPr>
          <w:szCs w:val="22"/>
          <w:lang w:val="sr-Latn-ME"/>
        </w:rPr>
        <w:t>kojim bi se ispitao</w:t>
      </w:r>
      <w:r w:rsidRPr="009C7A80">
        <w:rPr>
          <w:szCs w:val="22"/>
          <w:lang w:val="sr-Latn-ME"/>
        </w:rPr>
        <w:t xml:space="preserve"> uticaj topikalne okularne primjene tobramicina na plodnost kod ljudi.</w:t>
      </w:r>
    </w:p>
    <w:p w14:paraId="6FBF3463" w14:textId="77777777" w:rsidR="00A82856" w:rsidRPr="00BC2E70" w:rsidRDefault="00A82856">
      <w:pPr>
        <w:rPr>
          <w:szCs w:val="22"/>
          <w:lang w:val="sr-Latn-ME"/>
        </w:rPr>
      </w:pPr>
    </w:p>
    <w:p w14:paraId="41C62CC0" w14:textId="107C23F3" w:rsidR="008D32B1" w:rsidRPr="009C7A80" w:rsidRDefault="008D32B1">
      <w:pPr>
        <w:rPr>
          <w:szCs w:val="22"/>
          <w:u w:val="single"/>
          <w:lang w:val="sr-Latn-ME"/>
        </w:rPr>
      </w:pPr>
      <w:r w:rsidRPr="009C7A80">
        <w:rPr>
          <w:szCs w:val="22"/>
          <w:u w:val="single"/>
          <w:lang w:val="sr-Latn-ME"/>
        </w:rPr>
        <w:t>Trudnoća</w:t>
      </w:r>
    </w:p>
    <w:p w14:paraId="0BB5BF6B" w14:textId="41080E8B" w:rsidR="00BC2E70" w:rsidRDefault="008D32B1">
      <w:pPr>
        <w:rPr>
          <w:szCs w:val="22"/>
          <w:lang w:val="hr-HR"/>
        </w:rPr>
      </w:pPr>
      <w:r w:rsidRPr="009C7A80">
        <w:rPr>
          <w:szCs w:val="22"/>
          <w:lang w:val="sr-Latn-ME"/>
        </w:rPr>
        <w:t>Nema</w:t>
      </w:r>
      <w:r w:rsidR="00B02A0A">
        <w:rPr>
          <w:szCs w:val="22"/>
          <w:lang w:val="sr-Latn-ME"/>
        </w:rPr>
        <w:t xml:space="preserve"> podataka, ili postoje ograničeni podaci</w:t>
      </w:r>
      <w:r w:rsidRPr="009C7A80">
        <w:rPr>
          <w:szCs w:val="22"/>
          <w:lang w:val="sr-Latn-ME"/>
        </w:rPr>
        <w:t xml:space="preserve"> o </w:t>
      </w:r>
      <w:r w:rsidR="000D5CF5">
        <w:rPr>
          <w:szCs w:val="22"/>
          <w:lang w:val="sr-Latn-ME"/>
        </w:rPr>
        <w:t xml:space="preserve">topikalnoj </w:t>
      </w:r>
      <w:r w:rsidRPr="009C7A80">
        <w:rPr>
          <w:szCs w:val="22"/>
          <w:lang w:val="sr-Latn-ME"/>
        </w:rPr>
        <w:t>prim</w:t>
      </w:r>
      <w:r w:rsidR="00DE4A3F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eni tobramicina kod trudn</w:t>
      </w:r>
      <w:r w:rsidR="00287BB1" w:rsidRPr="009C7A80">
        <w:rPr>
          <w:szCs w:val="22"/>
          <w:lang w:val="sr-Latn-ME"/>
        </w:rPr>
        <w:t>ica</w:t>
      </w:r>
      <w:r w:rsidR="00D60BB4" w:rsidRPr="009C7A80">
        <w:rPr>
          <w:szCs w:val="22"/>
          <w:lang w:val="sr-Latn-ME"/>
        </w:rPr>
        <w:t>.</w:t>
      </w:r>
      <w:r w:rsidR="00F030A8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Tobram</w:t>
      </w:r>
      <w:r w:rsidR="00D60BB4" w:rsidRPr="009C7A80">
        <w:rPr>
          <w:szCs w:val="22"/>
          <w:lang w:val="sr-Latn-ME"/>
        </w:rPr>
        <w:t>i</w:t>
      </w:r>
      <w:r w:rsidRPr="009C7A80">
        <w:rPr>
          <w:szCs w:val="22"/>
          <w:lang w:val="sr-Latn-ME"/>
        </w:rPr>
        <w:t>cin prolazi placentalnu</w:t>
      </w:r>
      <w:r w:rsidR="003959FA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barijeru i ulazi u cirkulaciju fetusa nakon intravenske</w:t>
      </w:r>
      <w:r w:rsidR="00A82856">
        <w:rPr>
          <w:szCs w:val="22"/>
          <w:lang w:val="sr-Latn-ME"/>
        </w:rPr>
        <w:t xml:space="preserve"> prim</w:t>
      </w:r>
      <w:r w:rsidR="003C0365">
        <w:rPr>
          <w:szCs w:val="22"/>
          <w:lang w:val="sr-Latn-ME"/>
        </w:rPr>
        <w:t>j</w:t>
      </w:r>
      <w:r w:rsidR="00A82856">
        <w:rPr>
          <w:szCs w:val="22"/>
          <w:lang w:val="sr-Latn-ME"/>
        </w:rPr>
        <w:t>ene</w:t>
      </w:r>
      <w:r w:rsidRPr="009C7A80">
        <w:rPr>
          <w:szCs w:val="22"/>
          <w:lang w:val="sr-Latn-ME"/>
        </w:rPr>
        <w:t xml:space="preserve"> kod trudni</w:t>
      </w:r>
      <w:r w:rsidR="00287BB1" w:rsidRPr="009C7A80">
        <w:rPr>
          <w:szCs w:val="22"/>
          <w:lang w:val="sr-Latn-ME"/>
        </w:rPr>
        <w:t>ca</w:t>
      </w:r>
      <w:r w:rsidRPr="009C7A80">
        <w:rPr>
          <w:szCs w:val="22"/>
          <w:lang w:val="sr-Latn-ME"/>
        </w:rPr>
        <w:t>. Ne očekuje se da tobramicin</w:t>
      </w:r>
      <w:r w:rsidR="004B034A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uzrokuje ototoksičnost kod izloženosti</w:t>
      </w:r>
      <w:r w:rsidR="00691309" w:rsidRPr="009C7A80">
        <w:rPr>
          <w:szCs w:val="22"/>
          <w:lang w:val="sr-Latn-ME"/>
        </w:rPr>
        <w:t xml:space="preserve"> </w:t>
      </w:r>
      <w:r w:rsidR="00691309" w:rsidRPr="009C7A80">
        <w:rPr>
          <w:i/>
          <w:iCs/>
          <w:szCs w:val="22"/>
          <w:lang w:val="sr-Latn-ME"/>
        </w:rPr>
        <w:t>in utero</w:t>
      </w:r>
      <w:r w:rsidRPr="009C7A80">
        <w:rPr>
          <w:szCs w:val="22"/>
          <w:lang w:val="sr-Latn-ME"/>
        </w:rPr>
        <w:t>.</w:t>
      </w:r>
      <w:r w:rsidR="00BC2E70">
        <w:rPr>
          <w:szCs w:val="22"/>
          <w:lang w:val="sr-Latn-ME"/>
        </w:rPr>
        <w:t xml:space="preserve"> </w:t>
      </w:r>
      <w:r w:rsidR="00BC2E70" w:rsidRPr="00E1668E">
        <w:rPr>
          <w:szCs w:val="22"/>
          <w:lang w:val="sr-Latn-ME"/>
        </w:rPr>
        <w:t>I</w:t>
      </w:r>
      <w:r w:rsidR="00BC2E70" w:rsidRPr="00E1668E">
        <w:rPr>
          <w:szCs w:val="22"/>
          <w:lang w:val="hr-HR"/>
        </w:rPr>
        <w:t>spitivanja na životinjama su pokazala reproduktivnu toksičnost  pri doziranju koje je značajno veće od maksimalne terapijske doze koja se prim</w:t>
      </w:r>
      <w:r w:rsidR="000E763C" w:rsidRPr="00E1668E">
        <w:rPr>
          <w:szCs w:val="22"/>
          <w:lang w:val="hr-HR"/>
        </w:rPr>
        <w:t>j</w:t>
      </w:r>
      <w:r w:rsidR="00BC2E70" w:rsidRPr="00E1668E">
        <w:rPr>
          <w:szCs w:val="22"/>
          <w:lang w:val="hr-HR"/>
        </w:rPr>
        <w:t>enjuje kod ljudi u vidu tobramicin kapi za oči i zbog toga imaju ograničen klinički značaj.</w:t>
      </w:r>
      <w:r w:rsidR="00BC2E70">
        <w:rPr>
          <w:szCs w:val="22"/>
          <w:lang w:val="hr-HR"/>
        </w:rPr>
        <w:t xml:space="preserve"> Tobramicin nije pokazao teratogenost kod pacova ili </w:t>
      </w:r>
      <w:r w:rsidR="00C4277D">
        <w:rPr>
          <w:szCs w:val="22"/>
          <w:lang w:val="hr-HR"/>
        </w:rPr>
        <w:t>zečeva</w:t>
      </w:r>
      <w:r w:rsidR="00BC2E70">
        <w:rPr>
          <w:szCs w:val="22"/>
          <w:lang w:val="hr-HR"/>
        </w:rPr>
        <w:t xml:space="preserve"> (</w:t>
      </w:r>
      <w:r w:rsidR="000E763C">
        <w:rPr>
          <w:szCs w:val="22"/>
          <w:lang w:val="hr-HR"/>
        </w:rPr>
        <w:t>Pogledati dio</w:t>
      </w:r>
      <w:r w:rsidR="00BC2E70">
        <w:rPr>
          <w:szCs w:val="22"/>
          <w:lang w:val="hr-HR"/>
        </w:rPr>
        <w:t xml:space="preserve"> 5.3).</w:t>
      </w:r>
    </w:p>
    <w:p w14:paraId="418A5EB9" w14:textId="7F8D6EE0" w:rsidR="00BC2E70" w:rsidRDefault="00BC2E70">
      <w:pPr>
        <w:rPr>
          <w:szCs w:val="22"/>
          <w:lang w:val="hr-HR"/>
        </w:rPr>
      </w:pPr>
      <w:r>
        <w:rPr>
          <w:szCs w:val="22"/>
          <w:lang w:val="hr-HR"/>
        </w:rPr>
        <w:t>L</w:t>
      </w:r>
      <w:r w:rsidR="000E763C">
        <w:rPr>
          <w:szCs w:val="22"/>
          <w:lang w:val="hr-HR"/>
        </w:rPr>
        <w:t>ij</w:t>
      </w:r>
      <w:r>
        <w:rPr>
          <w:szCs w:val="22"/>
          <w:lang w:val="hr-HR"/>
        </w:rPr>
        <w:t xml:space="preserve">ek </w:t>
      </w:r>
      <w:r w:rsidR="007C1BA5">
        <w:rPr>
          <w:szCs w:val="22"/>
          <w:lang w:val="hr-HR"/>
        </w:rPr>
        <w:t>Tobycin</w:t>
      </w:r>
      <w:r>
        <w:rPr>
          <w:szCs w:val="22"/>
          <w:lang w:val="hr-HR"/>
        </w:rPr>
        <w:t xml:space="preserve">, kapi za oči bi trebalo koristiti tokom trudnoće jedino ako je </w:t>
      </w:r>
      <w:r w:rsidR="003C0365">
        <w:rPr>
          <w:szCs w:val="22"/>
          <w:lang w:val="hr-HR"/>
        </w:rPr>
        <w:t xml:space="preserve">to </w:t>
      </w:r>
      <w:r>
        <w:rPr>
          <w:szCs w:val="22"/>
          <w:lang w:val="hr-HR"/>
        </w:rPr>
        <w:t>zaista neophodno.</w:t>
      </w:r>
    </w:p>
    <w:p w14:paraId="722E00DE" w14:textId="77777777" w:rsidR="00BC2E70" w:rsidRPr="00BC2E70" w:rsidRDefault="00BC2E70">
      <w:pPr>
        <w:rPr>
          <w:szCs w:val="22"/>
          <w:lang w:val="sr-Latn-RS"/>
        </w:rPr>
      </w:pPr>
    </w:p>
    <w:p w14:paraId="10B9D86D" w14:textId="34DE1A19" w:rsidR="00281512" w:rsidRPr="00BC2E70" w:rsidRDefault="008D32B1">
      <w:pPr>
        <w:rPr>
          <w:szCs w:val="22"/>
          <w:u w:val="single"/>
          <w:lang w:val="sr-Latn-ME"/>
        </w:rPr>
      </w:pPr>
      <w:r w:rsidRPr="009C7A80">
        <w:rPr>
          <w:szCs w:val="22"/>
          <w:u w:val="single"/>
          <w:lang w:val="sr-Latn-ME"/>
        </w:rPr>
        <w:t>Dojenje</w:t>
      </w:r>
    </w:p>
    <w:p w14:paraId="18DB817F" w14:textId="00F671A4" w:rsidR="00AD63F1" w:rsidRPr="009C7A80" w:rsidRDefault="00281512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 xml:space="preserve">Tobramicin se izlučuje u </w:t>
      </w:r>
      <w:r w:rsidR="00303A5E" w:rsidRPr="009C7A80">
        <w:rPr>
          <w:szCs w:val="22"/>
          <w:lang w:val="sr-Latn-ME"/>
        </w:rPr>
        <w:t>majčino ml</w:t>
      </w:r>
      <w:r w:rsidR="00592067" w:rsidRPr="009C7A80">
        <w:rPr>
          <w:szCs w:val="22"/>
          <w:lang w:val="sr-Latn-ME"/>
        </w:rPr>
        <w:t>ij</w:t>
      </w:r>
      <w:r w:rsidR="00303A5E" w:rsidRPr="009C7A80">
        <w:rPr>
          <w:szCs w:val="22"/>
          <w:lang w:val="sr-Latn-ME"/>
        </w:rPr>
        <w:t>eko nakon sistemske prim</w:t>
      </w:r>
      <w:r w:rsidR="00592067" w:rsidRPr="009C7A80">
        <w:rPr>
          <w:szCs w:val="22"/>
          <w:lang w:val="sr-Latn-ME"/>
        </w:rPr>
        <w:t>j</w:t>
      </w:r>
      <w:r w:rsidR="00303A5E" w:rsidRPr="009C7A80">
        <w:rPr>
          <w:szCs w:val="22"/>
          <w:lang w:val="sr-Latn-ME"/>
        </w:rPr>
        <w:t xml:space="preserve">ene. Nije poznato da li se tobramicin izlučuje </w:t>
      </w:r>
      <w:r w:rsidR="00482D41" w:rsidRPr="009C7A80">
        <w:rPr>
          <w:szCs w:val="22"/>
          <w:lang w:val="sr-Latn-ME"/>
        </w:rPr>
        <w:t>u majčino ml</w:t>
      </w:r>
      <w:r w:rsidR="00592067" w:rsidRPr="009C7A80">
        <w:rPr>
          <w:szCs w:val="22"/>
          <w:lang w:val="sr-Latn-ME"/>
        </w:rPr>
        <w:t>ij</w:t>
      </w:r>
      <w:r w:rsidR="00482D41" w:rsidRPr="009C7A80">
        <w:rPr>
          <w:szCs w:val="22"/>
          <w:lang w:val="sr-Latn-ME"/>
        </w:rPr>
        <w:t>eko nakon topikalne okularne prim</w:t>
      </w:r>
      <w:r w:rsidR="00592067" w:rsidRPr="009C7A80">
        <w:rPr>
          <w:szCs w:val="22"/>
          <w:lang w:val="sr-Latn-ME"/>
        </w:rPr>
        <w:t>j</w:t>
      </w:r>
      <w:r w:rsidR="00482D41" w:rsidRPr="009C7A80">
        <w:rPr>
          <w:szCs w:val="22"/>
          <w:lang w:val="sr-Latn-ME"/>
        </w:rPr>
        <w:t>ene.</w:t>
      </w:r>
      <w:r w:rsidR="00FA6DA6">
        <w:rPr>
          <w:szCs w:val="22"/>
          <w:lang w:val="sr-Latn-ME"/>
        </w:rPr>
        <w:t xml:space="preserve"> </w:t>
      </w:r>
      <w:r w:rsidR="00AD63F1" w:rsidRPr="009C7A80">
        <w:rPr>
          <w:szCs w:val="22"/>
          <w:lang w:val="sr-Latn-ME"/>
        </w:rPr>
        <w:t>Nije v</w:t>
      </w:r>
      <w:r w:rsidR="00592067" w:rsidRPr="009C7A80">
        <w:rPr>
          <w:szCs w:val="22"/>
          <w:lang w:val="sr-Latn-ME"/>
        </w:rPr>
        <w:t>j</w:t>
      </w:r>
      <w:r w:rsidR="00AD63F1" w:rsidRPr="009C7A80">
        <w:rPr>
          <w:szCs w:val="22"/>
          <w:lang w:val="sr-Latn-ME"/>
        </w:rPr>
        <w:t>erovatno da bi se količina tobramicina mogla otkriti u majčinom ml</w:t>
      </w:r>
      <w:r w:rsidR="00592067" w:rsidRPr="009C7A80">
        <w:rPr>
          <w:szCs w:val="22"/>
          <w:lang w:val="sr-Latn-ME"/>
        </w:rPr>
        <w:t>ij</w:t>
      </w:r>
      <w:r w:rsidR="00AD63F1" w:rsidRPr="009C7A80">
        <w:rPr>
          <w:szCs w:val="22"/>
          <w:lang w:val="sr-Latn-ME"/>
        </w:rPr>
        <w:t xml:space="preserve">eku ili da bi mogla da proizvede kliničke efekte kod novorođenčeta nakon </w:t>
      </w:r>
      <w:r w:rsidR="00D34262">
        <w:rPr>
          <w:szCs w:val="22"/>
          <w:lang w:val="sr-Latn-ME"/>
        </w:rPr>
        <w:t>topikalne</w:t>
      </w:r>
      <w:r w:rsidR="00AD63F1" w:rsidRPr="009C7A80">
        <w:rPr>
          <w:szCs w:val="22"/>
          <w:lang w:val="sr-Latn-ME"/>
        </w:rPr>
        <w:t xml:space="preserve"> upotrebe proizvoda. </w:t>
      </w:r>
      <w:r w:rsidR="00C4277D">
        <w:rPr>
          <w:szCs w:val="22"/>
          <w:lang w:val="sr-Latn-ME"/>
        </w:rPr>
        <w:t>Ipak, n</w:t>
      </w:r>
      <w:r w:rsidR="00AD63F1" w:rsidRPr="009C7A80">
        <w:rPr>
          <w:szCs w:val="22"/>
          <w:lang w:val="sr-Latn-ME"/>
        </w:rPr>
        <w:t>e može se isključiti rizik za dojenče.</w:t>
      </w:r>
    </w:p>
    <w:p w14:paraId="6C563A97" w14:textId="1FF7C0BC" w:rsidR="008D32B1" w:rsidRPr="009C7A80" w:rsidRDefault="0044469E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Odluka o prekid</w:t>
      </w:r>
      <w:r w:rsidR="00E57788">
        <w:rPr>
          <w:szCs w:val="22"/>
          <w:lang w:val="sr-Latn-ME"/>
        </w:rPr>
        <w:t>u</w:t>
      </w:r>
      <w:r w:rsidRPr="009C7A80">
        <w:rPr>
          <w:szCs w:val="22"/>
          <w:lang w:val="sr-Latn-ME"/>
        </w:rPr>
        <w:t xml:space="preserve"> dojenja ili prekid</w:t>
      </w:r>
      <w:r w:rsidR="00E57788">
        <w:rPr>
          <w:szCs w:val="22"/>
          <w:lang w:val="sr-Latn-ME"/>
        </w:rPr>
        <w:t>u</w:t>
      </w:r>
      <w:r w:rsidRPr="009C7A80">
        <w:rPr>
          <w:szCs w:val="22"/>
          <w:lang w:val="sr-Latn-ME"/>
        </w:rPr>
        <w:t>/</w:t>
      </w:r>
      <w:r w:rsidR="00B60BD5" w:rsidRPr="009C7A80">
        <w:rPr>
          <w:szCs w:val="22"/>
          <w:lang w:val="sr-Latn-ME"/>
        </w:rPr>
        <w:t>izostanku</w:t>
      </w:r>
      <w:r w:rsidRPr="009C7A80">
        <w:rPr>
          <w:szCs w:val="22"/>
          <w:lang w:val="sr-Latn-ME"/>
        </w:rPr>
        <w:t xml:space="preserve"> terapije</w:t>
      </w:r>
      <w:r w:rsidR="004A06D9" w:rsidRPr="009C7A80">
        <w:rPr>
          <w:szCs w:val="22"/>
          <w:lang w:val="sr-Latn-ME"/>
        </w:rPr>
        <w:t xml:space="preserve"> m</w:t>
      </w:r>
      <w:r w:rsidR="00AD63F1" w:rsidRPr="009C7A80">
        <w:rPr>
          <w:szCs w:val="22"/>
          <w:lang w:val="sr-Latn-ME"/>
        </w:rPr>
        <w:t>ora se don</w:t>
      </w:r>
      <w:r w:rsidR="00592067" w:rsidRPr="009C7A80">
        <w:rPr>
          <w:szCs w:val="22"/>
          <w:lang w:val="sr-Latn-ME"/>
        </w:rPr>
        <w:t>ij</w:t>
      </w:r>
      <w:r w:rsidR="00AD63F1" w:rsidRPr="009C7A80">
        <w:rPr>
          <w:szCs w:val="22"/>
          <w:lang w:val="sr-Latn-ME"/>
        </w:rPr>
        <w:t>eti uzimajući u obzir korist dojenja za d</w:t>
      </w:r>
      <w:r w:rsidR="00592067" w:rsidRPr="009C7A80">
        <w:rPr>
          <w:szCs w:val="22"/>
          <w:lang w:val="sr-Latn-ME"/>
        </w:rPr>
        <w:t>ij</w:t>
      </w:r>
      <w:r w:rsidR="00AD63F1" w:rsidRPr="009C7A80">
        <w:rPr>
          <w:szCs w:val="22"/>
          <w:lang w:val="sr-Latn-ME"/>
        </w:rPr>
        <w:t>ete i korist terapije za ženu.</w:t>
      </w:r>
    </w:p>
    <w:p w14:paraId="374D0417" w14:textId="77777777" w:rsidR="008D32B1" w:rsidRPr="009C7A80" w:rsidRDefault="008D32B1">
      <w:pPr>
        <w:rPr>
          <w:szCs w:val="22"/>
          <w:lang w:val="sr-Latn-ME"/>
        </w:rPr>
      </w:pPr>
    </w:p>
    <w:p w14:paraId="685B0D0F" w14:textId="237F2AF9" w:rsidR="00407DAC" w:rsidRPr="009C7A80" w:rsidRDefault="00407DAC">
      <w:pPr>
        <w:rPr>
          <w:b/>
          <w:bCs/>
          <w:spacing w:val="-8"/>
          <w:szCs w:val="22"/>
          <w:lang w:val="sr-Latn-ME"/>
        </w:rPr>
      </w:pPr>
      <w:r w:rsidRPr="009C7A80">
        <w:rPr>
          <w:b/>
          <w:bCs/>
          <w:spacing w:val="-8"/>
          <w:szCs w:val="22"/>
          <w:lang w:val="sr-Latn-ME"/>
        </w:rPr>
        <w:t>4.7. Uticaj l</w:t>
      </w:r>
      <w:r w:rsidR="00592067" w:rsidRPr="009C7A80">
        <w:rPr>
          <w:b/>
          <w:bCs/>
          <w:spacing w:val="-8"/>
          <w:szCs w:val="22"/>
          <w:lang w:val="sr-Latn-ME"/>
        </w:rPr>
        <w:t>ij</w:t>
      </w:r>
      <w:r w:rsidRPr="009C7A80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0D2628F0" w14:textId="77777777" w:rsidR="00E93408" w:rsidRPr="009C7A80" w:rsidRDefault="00E93408">
      <w:pPr>
        <w:rPr>
          <w:lang w:val="sr-Latn-ME"/>
        </w:rPr>
      </w:pPr>
    </w:p>
    <w:p w14:paraId="4C3252F9" w14:textId="03992FC3" w:rsidR="001A72BB" w:rsidRDefault="001A72BB">
      <w:pPr>
        <w:rPr>
          <w:lang w:val="hr-HR"/>
        </w:rPr>
      </w:pPr>
      <w:r w:rsidRPr="00AF32F9">
        <w:rPr>
          <w:lang w:val="hr-HR"/>
        </w:rPr>
        <w:t>L</w:t>
      </w:r>
      <w:r w:rsidR="000E763C">
        <w:rPr>
          <w:lang w:val="hr-HR"/>
        </w:rPr>
        <w:t>ij</w:t>
      </w:r>
      <w:r w:rsidRPr="00AF32F9">
        <w:rPr>
          <w:lang w:val="hr-HR"/>
        </w:rPr>
        <w:t xml:space="preserve">ek </w:t>
      </w:r>
      <w:r w:rsidR="007C1BA5">
        <w:rPr>
          <w:lang w:val="hr-HR"/>
        </w:rPr>
        <w:t>Tobycin</w:t>
      </w:r>
      <w:r w:rsidRPr="00AF32F9">
        <w:rPr>
          <w:lang w:val="hr-HR"/>
        </w:rPr>
        <w:t>, kapi za o</w:t>
      </w:r>
      <w:r w:rsidRPr="00AF32F9">
        <w:rPr>
          <w:rFonts w:hint="eastAsia"/>
          <w:lang w:val="hr-HR"/>
        </w:rPr>
        <w:t>č</w:t>
      </w:r>
      <w:r w:rsidRPr="00AF32F9">
        <w:rPr>
          <w:lang w:val="hr-HR"/>
        </w:rPr>
        <w:t>i nema ili ima zanemarljiv uticaj na sposobnost upravljanja vozilima i rukovanja</w:t>
      </w:r>
      <w:r>
        <w:rPr>
          <w:lang w:val="hr-HR"/>
        </w:rPr>
        <w:t xml:space="preserve"> </w:t>
      </w:r>
      <w:r w:rsidRPr="00AF32F9">
        <w:rPr>
          <w:lang w:val="hr-HR"/>
        </w:rPr>
        <w:t>ma</w:t>
      </w:r>
      <w:r w:rsidRPr="00AF32F9">
        <w:rPr>
          <w:rFonts w:hint="eastAsia"/>
          <w:lang w:val="hr-HR"/>
        </w:rPr>
        <w:t>š</w:t>
      </w:r>
      <w:r w:rsidRPr="00AF32F9">
        <w:rPr>
          <w:lang w:val="hr-HR"/>
        </w:rPr>
        <w:t>inama.</w:t>
      </w:r>
    </w:p>
    <w:p w14:paraId="0B1D9301" w14:textId="14D50BCC" w:rsidR="00407DAC" w:rsidRPr="001A72BB" w:rsidRDefault="009D700A">
      <w:pPr>
        <w:rPr>
          <w:lang w:val="hr-HR"/>
        </w:rPr>
      </w:pPr>
      <w:r w:rsidRPr="009C7A80">
        <w:rPr>
          <w:lang w:val="sr-Latn-ME"/>
        </w:rPr>
        <w:t>Kao i kod bilo kojih kapi za oči, privremeno zamućenje vida ili drugi poremećaji vida mogu da</w:t>
      </w:r>
      <w:r w:rsidR="000108F9" w:rsidRPr="009C7A80">
        <w:rPr>
          <w:lang w:val="sr-Latn-ME"/>
        </w:rPr>
        <w:t xml:space="preserve"> </w:t>
      </w:r>
      <w:r w:rsidRPr="009C7A80">
        <w:rPr>
          <w:lang w:val="sr-Latn-ME"/>
        </w:rPr>
        <w:t>utiču na sposobnost upravljanja vozilom ili mašinama. Ukoliko dođe do zamućenja vida prilikom ukapavanja l</w:t>
      </w:r>
      <w:r w:rsidR="00592067" w:rsidRPr="009C7A80">
        <w:rPr>
          <w:lang w:val="sr-Latn-ME"/>
        </w:rPr>
        <w:t>ij</w:t>
      </w:r>
      <w:r w:rsidRPr="009C7A80">
        <w:rPr>
          <w:lang w:val="sr-Latn-ME"/>
        </w:rPr>
        <w:t>eka, pacijent mora da sačeka dok se vid razbistri pr</w:t>
      </w:r>
      <w:r w:rsidR="00592067" w:rsidRPr="009C7A80">
        <w:rPr>
          <w:lang w:val="sr-Latn-ME"/>
        </w:rPr>
        <w:t>ij</w:t>
      </w:r>
      <w:r w:rsidRPr="009C7A80">
        <w:rPr>
          <w:lang w:val="sr-Latn-ME"/>
        </w:rPr>
        <w:t>e vožnje ili rukovanja mašinama.</w:t>
      </w:r>
    </w:p>
    <w:p w14:paraId="089D384D" w14:textId="77777777" w:rsidR="00407DAC" w:rsidRPr="009C7A80" w:rsidRDefault="00407DAC">
      <w:pPr>
        <w:rPr>
          <w:szCs w:val="22"/>
          <w:lang w:val="sr-Latn-ME"/>
        </w:rPr>
      </w:pPr>
    </w:p>
    <w:p w14:paraId="12859886" w14:textId="77777777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4.8. Neželjena dejstva</w:t>
      </w:r>
    </w:p>
    <w:p w14:paraId="174370B4" w14:textId="12AEF815" w:rsidR="00747FE9" w:rsidRPr="009C7A80" w:rsidRDefault="00747FE9">
      <w:pPr>
        <w:rPr>
          <w:noProof/>
          <w:szCs w:val="22"/>
          <w:lang w:val="sr-Latn-ME"/>
        </w:rPr>
      </w:pPr>
    </w:p>
    <w:p w14:paraId="5D6FE677" w14:textId="6F401E5F" w:rsidR="00664476" w:rsidRPr="009C7A80" w:rsidRDefault="00664476">
      <w:pPr>
        <w:rPr>
          <w:noProof/>
          <w:szCs w:val="22"/>
          <w:u w:val="single"/>
          <w:lang w:val="sr-Latn-ME"/>
        </w:rPr>
      </w:pPr>
      <w:r w:rsidRPr="009C7A80">
        <w:rPr>
          <w:noProof/>
          <w:szCs w:val="22"/>
          <w:u w:val="single"/>
          <w:lang w:val="sr-Latn-ME"/>
        </w:rPr>
        <w:t xml:space="preserve">Tabelarni prikaz </w:t>
      </w:r>
      <w:r w:rsidR="0096056C" w:rsidRPr="009C7A80">
        <w:rPr>
          <w:noProof/>
          <w:szCs w:val="22"/>
          <w:u w:val="single"/>
          <w:lang w:val="sr-Latn-ME"/>
        </w:rPr>
        <w:t>neželjenih reakcija</w:t>
      </w:r>
    </w:p>
    <w:p w14:paraId="4D7E5088" w14:textId="2EF590DB" w:rsidR="007F2DCE" w:rsidRPr="009C7A80" w:rsidRDefault="007F2DCE">
      <w:pPr>
        <w:rPr>
          <w:noProof/>
          <w:szCs w:val="22"/>
          <w:lang w:val="sr-Latn-ME"/>
        </w:rPr>
      </w:pPr>
      <w:r w:rsidRPr="009C7A80">
        <w:rPr>
          <w:noProof/>
          <w:szCs w:val="22"/>
          <w:lang w:val="sr-Latn-ME"/>
        </w:rPr>
        <w:t>Sl</w:t>
      </w:r>
      <w:r w:rsidR="00D34262">
        <w:rPr>
          <w:noProof/>
          <w:szCs w:val="22"/>
          <w:lang w:val="sr-Latn-ME"/>
        </w:rPr>
        <w:t>j</w:t>
      </w:r>
      <w:r w:rsidRPr="009C7A80">
        <w:rPr>
          <w:noProof/>
          <w:szCs w:val="22"/>
          <w:lang w:val="sr-Latn-ME"/>
        </w:rPr>
        <w:t xml:space="preserve">edeće neželjene reakcije su </w:t>
      </w:r>
      <w:r w:rsidR="00A87F1D" w:rsidRPr="009C7A80">
        <w:rPr>
          <w:noProof/>
          <w:szCs w:val="22"/>
          <w:lang w:val="sr-Latn-ME"/>
        </w:rPr>
        <w:t xml:space="preserve">prijavljene </w:t>
      </w:r>
      <w:r w:rsidR="004E2EEF" w:rsidRPr="009C7A80">
        <w:rPr>
          <w:noProof/>
          <w:szCs w:val="22"/>
          <w:lang w:val="sr-Latn-ME"/>
        </w:rPr>
        <w:t>pri prim</w:t>
      </w:r>
      <w:r w:rsidR="00592067" w:rsidRPr="009C7A80">
        <w:rPr>
          <w:noProof/>
          <w:szCs w:val="22"/>
          <w:lang w:val="sr-Latn-ME"/>
        </w:rPr>
        <w:t>j</w:t>
      </w:r>
      <w:r w:rsidR="004E2EEF" w:rsidRPr="009C7A80">
        <w:rPr>
          <w:noProof/>
          <w:szCs w:val="22"/>
          <w:lang w:val="sr-Latn-ME"/>
        </w:rPr>
        <w:t>eni l</w:t>
      </w:r>
      <w:r w:rsidR="00592067" w:rsidRPr="009C7A80">
        <w:rPr>
          <w:noProof/>
          <w:szCs w:val="22"/>
          <w:lang w:val="sr-Latn-ME"/>
        </w:rPr>
        <w:t>ij</w:t>
      </w:r>
      <w:r w:rsidR="004E2EEF" w:rsidRPr="009C7A80">
        <w:rPr>
          <w:noProof/>
          <w:szCs w:val="22"/>
          <w:lang w:val="sr-Latn-ME"/>
        </w:rPr>
        <w:t xml:space="preserve">eka </w:t>
      </w:r>
      <w:r w:rsidR="007C1BA5">
        <w:rPr>
          <w:noProof/>
          <w:szCs w:val="22"/>
          <w:lang w:val="sr-Latn-ME"/>
        </w:rPr>
        <w:t>Tobycin</w:t>
      </w:r>
      <w:r w:rsidR="00D34262">
        <w:rPr>
          <w:noProof/>
          <w:szCs w:val="22"/>
          <w:lang w:val="sr-Latn-ME"/>
        </w:rPr>
        <w:t>, kapi za oči</w:t>
      </w:r>
      <w:r w:rsidR="004E2EEF" w:rsidRPr="009C7A80">
        <w:rPr>
          <w:noProof/>
          <w:szCs w:val="22"/>
          <w:lang w:val="sr-Latn-ME"/>
        </w:rPr>
        <w:t xml:space="preserve"> </w:t>
      </w:r>
      <w:r w:rsidR="00B822A0" w:rsidRPr="009C7A80">
        <w:rPr>
          <w:noProof/>
          <w:szCs w:val="22"/>
          <w:lang w:val="sr-Latn-ME"/>
        </w:rPr>
        <w:t>tokom kliničk</w:t>
      </w:r>
      <w:r w:rsidR="00782F42" w:rsidRPr="009C7A80">
        <w:rPr>
          <w:noProof/>
          <w:szCs w:val="22"/>
          <w:lang w:val="sr-Latn-ME"/>
        </w:rPr>
        <w:t>ih</w:t>
      </w:r>
      <w:r w:rsidR="00B822A0" w:rsidRPr="009C7A80">
        <w:rPr>
          <w:noProof/>
          <w:szCs w:val="22"/>
          <w:lang w:val="sr-Latn-ME"/>
        </w:rPr>
        <w:t xml:space="preserve"> studij</w:t>
      </w:r>
      <w:r w:rsidR="00782F42" w:rsidRPr="009C7A80">
        <w:rPr>
          <w:noProof/>
          <w:szCs w:val="22"/>
          <w:lang w:val="sr-Latn-ME"/>
        </w:rPr>
        <w:t>a</w:t>
      </w:r>
      <w:r w:rsidR="00B822A0" w:rsidRPr="009C7A80">
        <w:rPr>
          <w:noProof/>
          <w:szCs w:val="22"/>
          <w:lang w:val="sr-Latn-ME"/>
        </w:rPr>
        <w:t xml:space="preserve"> ili tokom </w:t>
      </w:r>
      <w:r w:rsidR="00113014" w:rsidRPr="009C7A80">
        <w:rPr>
          <w:noProof/>
          <w:szCs w:val="22"/>
          <w:lang w:val="sr-Latn-ME"/>
        </w:rPr>
        <w:t>postmarketin</w:t>
      </w:r>
      <w:r w:rsidR="00A86C48" w:rsidRPr="009C7A80">
        <w:rPr>
          <w:noProof/>
          <w:szCs w:val="22"/>
          <w:lang w:val="sr-Latn-ME"/>
        </w:rPr>
        <w:t>ških s</w:t>
      </w:r>
      <w:r w:rsidR="00F51C0C" w:rsidRPr="009C7A80">
        <w:rPr>
          <w:noProof/>
          <w:szCs w:val="22"/>
          <w:lang w:val="sr-Latn-ME"/>
        </w:rPr>
        <w:t>p</w:t>
      </w:r>
      <w:r w:rsidR="00A86C48" w:rsidRPr="009C7A80">
        <w:rPr>
          <w:noProof/>
          <w:szCs w:val="22"/>
          <w:lang w:val="sr-Latn-ME"/>
        </w:rPr>
        <w:t>ontanih izv</w:t>
      </w:r>
      <w:r w:rsidR="00D34262">
        <w:rPr>
          <w:noProof/>
          <w:szCs w:val="22"/>
          <w:lang w:val="sr-Latn-ME"/>
        </w:rPr>
        <w:t>j</w:t>
      </w:r>
      <w:r w:rsidR="00A86C48" w:rsidRPr="009C7A80">
        <w:rPr>
          <w:noProof/>
          <w:szCs w:val="22"/>
          <w:lang w:val="sr-Latn-ME"/>
        </w:rPr>
        <w:t xml:space="preserve">eštaja </w:t>
      </w:r>
      <w:r w:rsidR="00113014" w:rsidRPr="009C7A80">
        <w:rPr>
          <w:noProof/>
          <w:szCs w:val="22"/>
          <w:lang w:val="sr-Latn-ME"/>
        </w:rPr>
        <w:t xml:space="preserve">i </w:t>
      </w:r>
      <w:r w:rsidRPr="009C7A80">
        <w:rPr>
          <w:noProof/>
          <w:szCs w:val="22"/>
          <w:lang w:val="sr-Latn-ME"/>
        </w:rPr>
        <w:t xml:space="preserve">klasifikovane </w:t>
      </w:r>
      <w:r w:rsidR="00A741B6" w:rsidRPr="009C7A80">
        <w:rPr>
          <w:noProof/>
          <w:szCs w:val="22"/>
          <w:lang w:val="sr-Latn-ME"/>
        </w:rPr>
        <w:t xml:space="preserve">su </w:t>
      </w:r>
      <w:r w:rsidRPr="009C7A80">
        <w:rPr>
          <w:noProof/>
          <w:szCs w:val="22"/>
          <w:lang w:val="sr-Latn-ME"/>
        </w:rPr>
        <w:t>prema sl</w:t>
      </w:r>
      <w:r w:rsidR="00D34262">
        <w:rPr>
          <w:noProof/>
          <w:szCs w:val="22"/>
          <w:lang w:val="sr-Latn-ME"/>
        </w:rPr>
        <w:t>j</w:t>
      </w:r>
      <w:r w:rsidRPr="009C7A80">
        <w:rPr>
          <w:noProof/>
          <w:szCs w:val="22"/>
          <w:lang w:val="sr-Latn-ME"/>
        </w:rPr>
        <w:t>edećem pravilu: veoma često (≥1/10), često (≥1/100</w:t>
      </w:r>
      <w:r w:rsidR="00A86C48" w:rsidRPr="009C7A80">
        <w:rPr>
          <w:noProof/>
          <w:szCs w:val="22"/>
          <w:lang w:val="sr-Latn-ME"/>
        </w:rPr>
        <w:t xml:space="preserve"> </w:t>
      </w:r>
      <w:r w:rsidRPr="009C7A80">
        <w:rPr>
          <w:noProof/>
          <w:szCs w:val="22"/>
          <w:lang w:val="sr-Latn-ME"/>
        </w:rPr>
        <w:t>do&lt;1/10), povremeno (≥1/1000 do &lt;1/100), r</w:t>
      </w:r>
      <w:r w:rsidR="000E763C">
        <w:rPr>
          <w:noProof/>
          <w:szCs w:val="22"/>
          <w:lang w:val="sr-Latn-ME"/>
        </w:rPr>
        <w:t>ij</w:t>
      </w:r>
      <w:r w:rsidRPr="009C7A80">
        <w:rPr>
          <w:noProof/>
          <w:szCs w:val="22"/>
          <w:lang w:val="sr-Latn-ME"/>
        </w:rPr>
        <w:t>etko (≥1/10000 do &lt;1/1000), veoma r</w:t>
      </w:r>
      <w:r w:rsidR="00F754B8" w:rsidRPr="009C7A80">
        <w:rPr>
          <w:noProof/>
          <w:szCs w:val="22"/>
          <w:lang w:val="sr-Latn-ME"/>
        </w:rPr>
        <w:t>ij</w:t>
      </w:r>
      <w:r w:rsidRPr="009C7A80">
        <w:rPr>
          <w:noProof/>
          <w:szCs w:val="22"/>
          <w:lang w:val="sr-Latn-ME"/>
        </w:rPr>
        <w:t>etko (&lt;1/10000) ili</w:t>
      </w:r>
      <w:r w:rsidR="00A86C48" w:rsidRPr="009C7A80">
        <w:rPr>
          <w:noProof/>
          <w:szCs w:val="22"/>
          <w:lang w:val="sr-Latn-ME"/>
        </w:rPr>
        <w:t xml:space="preserve"> </w:t>
      </w:r>
      <w:r w:rsidRPr="009C7A80">
        <w:rPr>
          <w:noProof/>
          <w:szCs w:val="22"/>
          <w:lang w:val="sr-Latn-ME"/>
        </w:rPr>
        <w:t>nepoznate učestalosti (</w:t>
      </w:r>
      <w:r w:rsidR="00D34262" w:rsidRPr="00E4202C">
        <w:rPr>
          <w:noProof/>
          <w:szCs w:val="22"/>
          <w:lang w:val="sr-Latn-ME"/>
        </w:rPr>
        <w:t>ne može se procijeniti na osnovu dostupnih podataka</w:t>
      </w:r>
      <w:r w:rsidRPr="009C7A80">
        <w:rPr>
          <w:noProof/>
          <w:szCs w:val="22"/>
          <w:lang w:val="sr-Latn-ME"/>
        </w:rPr>
        <w:t>). U svakoj grupi, neželjena dejstva su</w:t>
      </w:r>
      <w:r w:rsidR="00A86C48" w:rsidRPr="009C7A80">
        <w:rPr>
          <w:noProof/>
          <w:szCs w:val="22"/>
          <w:lang w:val="sr-Latn-ME"/>
        </w:rPr>
        <w:t xml:space="preserve"> </w:t>
      </w:r>
      <w:r w:rsidRPr="009C7A80">
        <w:rPr>
          <w:noProof/>
          <w:szCs w:val="22"/>
          <w:lang w:val="sr-Latn-ME"/>
        </w:rPr>
        <w:t>poređana prema ozbiljnosti, opadajućim redo</w:t>
      </w:r>
      <w:r w:rsidR="00D34262">
        <w:rPr>
          <w:noProof/>
          <w:szCs w:val="22"/>
          <w:lang w:val="sr-Latn-ME"/>
        </w:rPr>
        <w:t>sljedo</w:t>
      </w:r>
      <w:r w:rsidRPr="009C7A80">
        <w:rPr>
          <w:noProof/>
          <w:szCs w:val="22"/>
          <w:lang w:val="sr-Latn-ME"/>
        </w:rPr>
        <w:t xml:space="preserve">m. </w:t>
      </w:r>
    </w:p>
    <w:p w14:paraId="2FB90C7E" w14:textId="77777777" w:rsidR="007F2DCE" w:rsidRPr="009C7A80" w:rsidRDefault="007F2DCE">
      <w:pPr>
        <w:rPr>
          <w:noProof/>
          <w:szCs w:val="22"/>
          <w:lang w:val="sr-Latn-ME"/>
        </w:rPr>
      </w:pPr>
    </w:p>
    <w:p w14:paraId="2A390926" w14:textId="5C0B0B89" w:rsidR="00407DAC" w:rsidRPr="009C7A80" w:rsidRDefault="007F2DCE">
      <w:pPr>
        <w:rPr>
          <w:noProof/>
          <w:szCs w:val="22"/>
          <w:lang w:val="sr-Latn-ME"/>
        </w:rPr>
      </w:pPr>
      <w:r w:rsidRPr="009C7A80">
        <w:rPr>
          <w:noProof/>
          <w:szCs w:val="22"/>
          <w:lang w:val="sr-Latn-ME"/>
        </w:rPr>
        <w:t>Sl</w:t>
      </w:r>
      <w:r w:rsidR="00D34262">
        <w:rPr>
          <w:noProof/>
          <w:szCs w:val="22"/>
          <w:lang w:val="sr-Latn-ME"/>
        </w:rPr>
        <w:t>j</w:t>
      </w:r>
      <w:r w:rsidRPr="009C7A80">
        <w:rPr>
          <w:noProof/>
          <w:szCs w:val="22"/>
          <w:lang w:val="sr-Latn-ME"/>
        </w:rPr>
        <w:t>edeće neželjene reakcije su uočene nakon okularne upotrebe l</w:t>
      </w:r>
      <w:r w:rsidR="00F754B8" w:rsidRPr="009C7A80">
        <w:rPr>
          <w:noProof/>
          <w:szCs w:val="22"/>
          <w:lang w:val="sr-Latn-ME"/>
        </w:rPr>
        <w:t>ij</w:t>
      </w:r>
      <w:r w:rsidRPr="009C7A80">
        <w:rPr>
          <w:noProof/>
          <w:szCs w:val="22"/>
          <w:lang w:val="sr-Latn-ME"/>
        </w:rPr>
        <w:t xml:space="preserve">eka </w:t>
      </w:r>
      <w:r w:rsidR="007C1BA5">
        <w:rPr>
          <w:noProof/>
          <w:szCs w:val="22"/>
          <w:lang w:val="sr-Latn-ME"/>
        </w:rPr>
        <w:t>Tobycin</w:t>
      </w:r>
      <w:r w:rsidRPr="009C7A80">
        <w:rPr>
          <w:noProof/>
          <w:szCs w:val="22"/>
          <w:lang w:val="sr-Latn-ME"/>
        </w:rPr>
        <w:t>:</w:t>
      </w:r>
    </w:p>
    <w:p w14:paraId="47E7B2E2" w14:textId="69211882" w:rsidR="001420D1" w:rsidRPr="009C7A80" w:rsidRDefault="001420D1">
      <w:pPr>
        <w:rPr>
          <w:noProof/>
          <w:szCs w:val="22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405A" w:rsidRPr="009C7A80" w14:paraId="7DD7AEF7" w14:textId="77777777" w:rsidTr="00824CD6">
        <w:tc>
          <w:tcPr>
            <w:tcW w:w="4675" w:type="dxa"/>
          </w:tcPr>
          <w:p w14:paraId="01BD8A6C" w14:textId="259A72BC" w:rsidR="00824CD6" w:rsidRPr="009C7A80" w:rsidRDefault="00824CD6">
            <w:pPr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9C7A80">
              <w:rPr>
                <w:rFonts w:eastAsiaTheme="minorHAnsi"/>
                <w:b/>
                <w:bCs/>
                <w:sz w:val="22"/>
                <w:szCs w:val="22"/>
                <w:lang w:val="sr-Latn-ME"/>
              </w:rPr>
              <w:t>Klasifikacija sistema organa</w:t>
            </w:r>
          </w:p>
        </w:tc>
        <w:tc>
          <w:tcPr>
            <w:tcW w:w="4675" w:type="dxa"/>
          </w:tcPr>
          <w:p w14:paraId="5F73F054" w14:textId="12175592" w:rsidR="00824CD6" w:rsidRPr="009C7A80" w:rsidRDefault="00FA1EBF">
            <w:pPr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E1668E">
              <w:rPr>
                <w:rFonts w:eastAsiaTheme="minorHAnsi"/>
                <w:b/>
                <w:bCs/>
                <w:szCs w:val="22"/>
                <w:lang w:val="sr-Latn-ME"/>
              </w:rPr>
              <w:t>Neželjene</w:t>
            </w:r>
            <w:r w:rsidR="00D34262" w:rsidRPr="00E1668E">
              <w:rPr>
                <w:rFonts w:eastAsiaTheme="minorHAnsi"/>
                <w:b/>
                <w:bCs/>
                <w:szCs w:val="22"/>
                <w:lang w:val="sr-Latn-ME"/>
              </w:rPr>
              <w:t xml:space="preserve"> reakcij</w:t>
            </w:r>
            <w:r w:rsidRPr="00E1668E">
              <w:rPr>
                <w:rFonts w:eastAsiaTheme="minorHAnsi"/>
                <w:b/>
                <w:bCs/>
                <w:szCs w:val="22"/>
                <w:lang w:val="sr-Latn-ME"/>
              </w:rPr>
              <w:t>e</w:t>
            </w:r>
          </w:p>
        </w:tc>
      </w:tr>
      <w:tr w:rsidR="008D405A" w:rsidRPr="009C7A80" w14:paraId="713D8959" w14:textId="77777777" w:rsidTr="00824CD6">
        <w:tc>
          <w:tcPr>
            <w:tcW w:w="4675" w:type="dxa"/>
          </w:tcPr>
          <w:p w14:paraId="56603284" w14:textId="4D0F21B5" w:rsidR="00824CD6" w:rsidRPr="009C7A80" w:rsidRDefault="002E1660" w:rsidP="00823F61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4675" w:type="dxa"/>
          </w:tcPr>
          <w:p w14:paraId="437EC44D" w14:textId="4B096199" w:rsidR="00824CD6" w:rsidRPr="009C7A80" w:rsidRDefault="002E1660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Povremeno: hipersenzitivnost</w:t>
            </w:r>
          </w:p>
        </w:tc>
      </w:tr>
      <w:tr w:rsidR="008D405A" w:rsidRPr="009C7A80" w14:paraId="0EE61B67" w14:textId="77777777" w:rsidTr="00824CD6">
        <w:tc>
          <w:tcPr>
            <w:tcW w:w="4675" w:type="dxa"/>
          </w:tcPr>
          <w:p w14:paraId="60CB1131" w14:textId="3A156F1F" w:rsidR="00824CD6" w:rsidRPr="009C7A80" w:rsidRDefault="002E1660" w:rsidP="00823F61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4675" w:type="dxa"/>
          </w:tcPr>
          <w:p w14:paraId="695F7A5C" w14:textId="490E9E6B" w:rsidR="00824CD6" w:rsidRPr="009C7A80" w:rsidRDefault="001E1D3A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Povremeno: glavobolja</w:t>
            </w:r>
          </w:p>
        </w:tc>
      </w:tr>
      <w:tr w:rsidR="008D405A" w:rsidRPr="00347667" w14:paraId="213BD51E" w14:textId="77777777" w:rsidTr="00824CD6">
        <w:tc>
          <w:tcPr>
            <w:tcW w:w="4675" w:type="dxa"/>
          </w:tcPr>
          <w:p w14:paraId="2CB5FB30" w14:textId="5F94519C" w:rsidR="00824CD6" w:rsidRPr="009C7A80" w:rsidRDefault="001E1D3A" w:rsidP="00823F61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4675" w:type="dxa"/>
          </w:tcPr>
          <w:p w14:paraId="2C7EFC74" w14:textId="59B47BCD" w:rsidR="009D1CA5" w:rsidRDefault="009D1CA5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Često: nelagodnost u oku, okularna hiperemija</w:t>
            </w:r>
          </w:p>
          <w:p w14:paraId="67DC808A" w14:textId="77777777" w:rsidR="00BC2E70" w:rsidRPr="009C7A80" w:rsidRDefault="00BC2E70">
            <w:pPr>
              <w:rPr>
                <w:noProof/>
                <w:sz w:val="22"/>
                <w:szCs w:val="22"/>
                <w:lang w:val="sr-Latn-ME"/>
              </w:rPr>
            </w:pPr>
          </w:p>
          <w:p w14:paraId="6368EC5A" w14:textId="0F879B85" w:rsidR="009D1CA5" w:rsidRDefault="009D1CA5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lastRenderedPageBreak/>
              <w:t>Povremeno:</w:t>
            </w:r>
            <w:r w:rsidR="00BC2E70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9C7A80">
              <w:rPr>
                <w:noProof/>
                <w:sz w:val="22"/>
                <w:szCs w:val="22"/>
                <w:lang w:val="sr-Latn-ME"/>
              </w:rPr>
              <w:t xml:space="preserve">keratitis, </w:t>
            </w:r>
            <w:r w:rsidR="001A3D8D" w:rsidRPr="009C7A80">
              <w:rPr>
                <w:noProof/>
                <w:sz w:val="22"/>
                <w:szCs w:val="22"/>
                <w:lang w:val="sr-Latn-ME"/>
              </w:rPr>
              <w:t>oštećenje</w:t>
            </w:r>
            <w:r w:rsidR="00E5571C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8D405A" w:rsidRPr="009C7A80">
              <w:rPr>
                <w:noProof/>
                <w:sz w:val="22"/>
                <w:szCs w:val="22"/>
                <w:lang w:val="sr-Latn-ME"/>
              </w:rPr>
              <w:t>rožnjače</w:t>
            </w:r>
            <w:r w:rsidRPr="009C7A80">
              <w:rPr>
                <w:noProof/>
                <w:sz w:val="22"/>
                <w:szCs w:val="22"/>
                <w:lang w:val="sr-Latn-ME"/>
              </w:rPr>
              <w:t xml:space="preserve">, </w:t>
            </w:r>
            <w:r w:rsidR="001A3D8D" w:rsidRPr="009C7A80">
              <w:rPr>
                <w:noProof/>
                <w:sz w:val="22"/>
                <w:szCs w:val="22"/>
                <w:lang w:val="sr-Latn-ME"/>
              </w:rPr>
              <w:t>pore</w:t>
            </w:r>
            <w:r w:rsidR="00245F0E" w:rsidRPr="009C7A80">
              <w:rPr>
                <w:noProof/>
                <w:sz w:val="22"/>
                <w:szCs w:val="22"/>
                <w:lang w:val="sr-Latn-ME"/>
              </w:rPr>
              <w:t>m</w:t>
            </w:r>
            <w:r w:rsidR="001A3D8D" w:rsidRPr="009C7A80">
              <w:rPr>
                <w:noProof/>
                <w:sz w:val="22"/>
                <w:szCs w:val="22"/>
                <w:lang w:val="sr-Latn-ME"/>
              </w:rPr>
              <w:t xml:space="preserve">ećaj </w:t>
            </w:r>
            <w:r w:rsidRPr="009C7A80">
              <w:rPr>
                <w:noProof/>
                <w:sz w:val="22"/>
                <w:szCs w:val="22"/>
                <w:lang w:val="sr-Latn-ME"/>
              </w:rPr>
              <w:t>vida, zamućen vid, eritem očnih kapaka,</w:t>
            </w:r>
            <w:r w:rsidR="002C1719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C1719" w:rsidRPr="009C7A80">
              <w:rPr>
                <w:noProof/>
                <w:sz w:val="22"/>
                <w:szCs w:val="22"/>
                <w:lang w:val="sr-Latn-ME"/>
              </w:rPr>
              <w:t>edem konjunktive</w:t>
            </w:r>
            <w:r w:rsidR="002C1719">
              <w:rPr>
                <w:noProof/>
                <w:sz w:val="22"/>
                <w:szCs w:val="22"/>
                <w:lang w:val="sr-Latn-ME"/>
              </w:rPr>
              <w:t>,</w:t>
            </w:r>
            <w:r w:rsidRPr="009C7A80">
              <w:rPr>
                <w:noProof/>
                <w:sz w:val="22"/>
                <w:szCs w:val="22"/>
                <w:lang w:val="sr-Latn-ME"/>
              </w:rPr>
              <w:t xml:space="preserve"> edem očnih</w:t>
            </w:r>
            <w:r w:rsidR="00507692" w:rsidRPr="009C7A80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9C7A80">
              <w:rPr>
                <w:noProof/>
                <w:sz w:val="22"/>
                <w:szCs w:val="22"/>
                <w:lang w:val="sr-Latn-ME"/>
              </w:rPr>
              <w:t>kapaka,</w:t>
            </w:r>
            <w:r w:rsidR="002C1719" w:rsidRPr="009C7A80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C1719">
              <w:rPr>
                <w:noProof/>
                <w:sz w:val="22"/>
                <w:szCs w:val="22"/>
                <w:lang w:val="sr-Latn-ME"/>
              </w:rPr>
              <w:t xml:space="preserve">bol u oku, suvoća očiju, </w:t>
            </w:r>
            <w:r w:rsidRPr="009C7A80">
              <w:rPr>
                <w:noProof/>
                <w:sz w:val="22"/>
                <w:szCs w:val="22"/>
                <w:lang w:val="sr-Latn-ME"/>
              </w:rPr>
              <w:t xml:space="preserve">sekrecija iz oka, </w:t>
            </w:r>
            <w:r w:rsidR="00426D96">
              <w:rPr>
                <w:noProof/>
                <w:sz w:val="22"/>
                <w:szCs w:val="22"/>
                <w:lang w:val="sr-Latn-ME"/>
              </w:rPr>
              <w:t xml:space="preserve">svrab očiju, </w:t>
            </w:r>
            <w:r w:rsidRPr="009C7A80">
              <w:rPr>
                <w:noProof/>
                <w:sz w:val="22"/>
                <w:szCs w:val="22"/>
                <w:lang w:val="sr-Latn-ME"/>
              </w:rPr>
              <w:t>pojačano su</w:t>
            </w:r>
            <w:r w:rsidR="00D34262">
              <w:rPr>
                <w:noProof/>
                <w:sz w:val="22"/>
                <w:szCs w:val="22"/>
                <w:lang w:val="sr-Latn-RS"/>
              </w:rPr>
              <w:t>z</w:t>
            </w:r>
            <w:r w:rsidRPr="009C7A80">
              <w:rPr>
                <w:noProof/>
                <w:sz w:val="22"/>
                <w:szCs w:val="22"/>
                <w:lang w:val="sr-Latn-ME"/>
              </w:rPr>
              <w:t>enje</w:t>
            </w:r>
          </w:p>
          <w:p w14:paraId="0A4CE14A" w14:textId="77777777" w:rsidR="002C1719" w:rsidRPr="009C7A80" w:rsidRDefault="002C1719">
            <w:pPr>
              <w:rPr>
                <w:noProof/>
                <w:sz w:val="22"/>
                <w:szCs w:val="22"/>
                <w:lang w:val="sr-Latn-ME"/>
              </w:rPr>
            </w:pPr>
          </w:p>
          <w:p w14:paraId="5C721FD3" w14:textId="05EA23F3" w:rsidR="00824CD6" w:rsidRPr="009C7A80" w:rsidRDefault="009D1CA5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Nepoznat</w:t>
            </w:r>
            <w:r w:rsidR="00D34262">
              <w:rPr>
                <w:noProof/>
                <w:sz w:val="22"/>
                <w:szCs w:val="22"/>
                <w:lang w:val="sr-Latn-ME"/>
              </w:rPr>
              <w:t>a</w:t>
            </w:r>
            <w:r w:rsidRPr="009C7A80">
              <w:rPr>
                <w:noProof/>
                <w:sz w:val="22"/>
                <w:szCs w:val="22"/>
                <w:lang w:val="sr-Latn-ME"/>
              </w:rPr>
              <w:t xml:space="preserve"> učestalost: </w:t>
            </w:r>
            <w:r w:rsidR="00426D96">
              <w:rPr>
                <w:noProof/>
                <w:sz w:val="22"/>
                <w:szCs w:val="22"/>
                <w:lang w:val="sr-Latn-ME"/>
              </w:rPr>
              <w:t xml:space="preserve">alergija oka, iritacija oka, </w:t>
            </w:r>
            <w:r w:rsidRPr="009C7A80">
              <w:rPr>
                <w:noProof/>
                <w:sz w:val="22"/>
                <w:szCs w:val="22"/>
                <w:lang w:val="sr-Latn-ME"/>
              </w:rPr>
              <w:t>svrab očnih</w:t>
            </w:r>
            <w:r w:rsidR="00B02D43" w:rsidRPr="009C7A80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9C7A80">
              <w:rPr>
                <w:noProof/>
                <w:sz w:val="22"/>
                <w:szCs w:val="22"/>
                <w:lang w:val="sr-Latn-ME"/>
              </w:rPr>
              <w:t>kapaka</w:t>
            </w:r>
          </w:p>
        </w:tc>
      </w:tr>
      <w:tr w:rsidR="008D405A" w:rsidRPr="00347667" w14:paraId="7F9F7A67" w14:textId="77777777" w:rsidTr="00824CD6">
        <w:tc>
          <w:tcPr>
            <w:tcW w:w="4675" w:type="dxa"/>
          </w:tcPr>
          <w:p w14:paraId="0F6BB638" w14:textId="6DD812AC" w:rsidR="00824CD6" w:rsidRPr="009C7A80" w:rsidRDefault="009D1CA5" w:rsidP="00823F61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lastRenderedPageBreak/>
              <w:t>Poremećaji kože i potkožnog tkiva</w:t>
            </w:r>
          </w:p>
        </w:tc>
        <w:tc>
          <w:tcPr>
            <w:tcW w:w="4675" w:type="dxa"/>
          </w:tcPr>
          <w:p w14:paraId="323A3F69" w14:textId="01E9F936" w:rsidR="00824CD6" w:rsidRPr="009C7A80" w:rsidRDefault="00AF57FE">
            <w:pPr>
              <w:tabs>
                <w:tab w:val="clear" w:pos="284"/>
                <w:tab w:val="left" w:pos="1365"/>
              </w:tabs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 xml:space="preserve">Povremeno: urtikarija, dermatitis, </w:t>
            </w:r>
            <w:r w:rsidR="00E36E6F" w:rsidRPr="009C7A80">
              <w:rPr>
                <w:noProof/>
                <w:sz w:val="22"/>
                <w:szCs w:val="22"/>
                <w:lang w:val="sr-Latn-ME"/>
              </w:rPr>
              <w:t>madaro</w:t>
            </w:r>
            <w:r w:rsidR="00124CA1" w:rsidRPr="009C7A80">
              <w:rPr>
                <w:noProof/>
                <w:sz w:val="22"/>
                <w:szCs w:val="22"/>
                <w:lang w:val="sr-Latn-ME"/>
              </w:rPr>
              <w:t>zis</w:t>
            </w:r>
            <w:r w:rsidR="001043A1" w:rsidRPr="009C7A80">
              <w:rPr>
                <w:noProof/>
                <w:sz w:val="22"/>
                <w:szCs w:val="22"/>
                <w:lang w:val="sr-Latn-ME"/>
              </w:rPr>
              <w:t>,</w:t>
            </w:r>
            <w:r w:rsidR="0011222A" w:rsidRPr="009C7A80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9C7A80">
              <w:rPr>
                <w:noProof/>
                <w:sz w:val="22"/>
                <w:szCs w:val="22"/>
                <w:lang w:val="sr-Latn-ME"/>
              </w:rPr>
              <w:t>leukoderma, pruritus, suvoća kože</w:t>
            </w:r>
          </w:p>
        </w:tc>
      </w:tr>
    </w:tbl>
    <w:p w14:paraId="35B63228" w14:textId="77777777" w:rsidR="007F2DCE" w:rsidRDefault="007F2DCE" w:rsidP="00823F61">
      <w:pPr>
        <w:rPr>
          <w:noProof/>
          <w:color w:val="FF0000"/>
          <w:szCs w:val="22"/>
          <w:u w:val="single"/>
          <w:lang w:val="sr-Latn-ME"/>
        </w:rPr>
      </w:pPr>
    </w:p>
    <w:p w14:paraId="3D17FFC4" w14:textId="003B605D" w:rsidR="00426D96" w:rsidRDefault="00426D96">
      <w:pPr>
        <w:rPr>
          <w:noProof/>
          <w:szCs w:val="22"/>
          <w:lang w:val="sr-Latn-ME"/>
        </w:rPr>
      </w:pPr>
      <w:r>
        <w:rPr>
          <w:noProof/>
          <w:szCs w:val="22"/>
          <w:lang w:val="sr-Latn-ME"/>
        </w:rPr>
        <w:t xml:space="preserve">Dodatne neželjene reakcije identifikovane tokom </w:t>
      </w:r>
      <w:r w:rsidR="00D34262">
        <w:rPr>
          <w:noProof/>
          <w:szCs w:val="22"/>
          <w:lang w:val="sr-Latn-ME"/>
        </w:rPr>
        <w:t>postmarketinškog praćenja</w:t>
      </w:r>
      <w:r>
        <w:rPr>
          <w:noProof/>
          <w:szCs w:val="22"/>
          <w:lang w:val="sr-Latn-ME"/>
        </w:rPr>
        <w:t xml:space="preserve"> uključuju sl</w:t>
      </w:r>
      <w:r w:rsidR="00D34262">
        <w:rPr>
          <w:noProof/>
          <w:szCs w:val="22"/>
          <w:lang w:val="sr-Latn-ME"/>
        </w:rPr>
        <w:t>j</w:t>
      </w:r>
      <w:r>
        <w:rPr>
          <w:noProof/>
          <w:szCs w:val="22"/>
          <w:lang w:val="sr-Latn-ME"/>
        </w:rPr>
        <w:t>edeće</w:t>
      </w:r>
      <w:r w:rsidR="0069356B">
        <w:rPr>
          <w:noProof/>
          <w:szCs w:val="22"/>
          <w:lang w:val="sr-Latn-ME"/>
        </w:rPr>
        <w:t>:</w:t>
      </w:r>
    </w:p>
    <w:p w14:paraId="18B98421" w14:textId="27085340" w:rsidR="00426D96" w:rsidRPr="00EC2A23" w:rsidRDefault="0069356B">
      <w:pPr>
        <w:rPr>
          <w:noProof/>
          <w:szCs w:val="22"/>
        </w:rPr>
      </w:pPr>
      <w:r>
        <w:rPr>
          <w:noProof/>
          <w:szCs w:val="22"/>
          <w:lang w:val="sr-Latn-ME"/>
        </w:rPr>
        <w:t>*</w:t>
      </w:r>
      <w:r w:rsidR="00D31A59">
        <w:rPr>
          <w:noProof/>
          <w:szCs w:val="22"/>
          <w:lang w:val="sr-Latn-ME"/>
        </w:rPr>
        <w:t>U</w:t>
      </w:r>
      <w:r w:rsidR="00426D96">
        <w:rPr>
          <w:noProof/>
          <w:szCs w:val="22"/>
          <w:lang w:val="sr-Latn-ME"/>
        </w:rPr>
        <w:t>čestalost se ne može proc</w:t>
      </w:r>
      <w:r>
        <w:rPr>
          <w:noProof/>
          <w:szCs w:val="22"/>
          <w:lang w:val="sr-Latn-ME"/>
        </w:rPr>
        <w:t>ij</w:t>
      </w:r>
      <w:r w:rsidR="00426D96">
        <w:rPr>
          <w:noProof/>
          <w:szCs w:val="22"/>
          <w:lang w:val="sr-Latn-ME"/>
        </w:rPr>
        <w:t>eniti na osnovu dostupnih podataka</w:t>
      </w:r>
      <w:r>
        <w:rPr>
          <w:noProof/>
          <w:szCs w:val="22"/>
          <w:lang w:val="sr-Latn-ME"/>
        </w:rPr>
        <w:t>.</w:t>
      </w:r>
    </w:p>
    <w:p w14:paraId="647AC7CC" w14:textId="77777777" w:rsidR="00426D96" w:rsidRPr="00426D96" w:rsidRDefault="00426D96">
      <w:pPr>
        <w:rPr>
          <w:noProof/>
          <w:szCs w:val="22"/>
          <w:lang w:val="sr-Latn-ME"/>
        </w:rPr>
      </w:pPr>
    </w:p>
    <w:tbl>
      <w:tblPr>
        <w:tblStyle w:val="TableGrid"/>
        <w:tblW w:w="9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4"/>
      </w:tblGrid>
      <w:tr w:rsidR="00426D96" w:rsidRPr="009C7A80" w14:paraId="7B6DC2E1" w14:textId="77777777" w:rsidTr="00426D96">
        <w:trPr>
          <w:trHeight w:val="252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697D" w14:textId="77777777" w:rsidR="00426D96" w:rsidRPr="009C7A80" w:rsidRDefault="00426D96">
            <w:pPr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9C7A80">
              <w:rPr>
                <w:rFonts w:eastAsiaTheme="minorHAnsi"/>
                <w:b/>
                <w:bCs/>
                <w:sz w:val="22"/>
                <w:szCs w:val="22"/>
                <w:lang w:val="sr-Latn-ME"/>
              </w:rPr>
              <w:t>Klasifikacija sistema organa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31A" w14:textId="68DD6353" w:rsidR="00426D96" w:rsidRPr="00F350E4" w:rsidRDefault="00E57788">
            <w:pPr>
              <w:rPr>
                <w:noProof/>
                <w:sz w:val="22"/>
                <w:szCs w:val="22"/>
                <w:highlight w:val="lightGray"/>
                <w:u w:val="single"/>
                <w:lang w:val="sr-Latn-ME"/>
              </w:rPr>
            </w:pPr>
            <w:r w:rsidRPr="00E1668E">
              <w:rPr>
                <w:rFonts w:eastAsiaTheme="minorHAnsi"/>
                <w:b/>
                <w:bCs/>
                <w:szCs w:val="22"/>
                <w:lang w:val="sr-Latn-ME"/>
              </w:rPr>
              <w:t>Neželjene reakcije</w:t>
            </w:r>
          </w:p>
        </w:tc>
      </w:tr>
      <w:tr w:rsidR="00426D96" w:rsidRPr="009C7A80" w14:paraId="3B6827EE" w14:textId="77777777" w:rsidTr="00426D96">
        <w:trPr>
          <w:trHeight w:val="252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8E9" w14:textId="77777777" w:rsidR="00426D96" w:rsidRPr="009C7A80" w:rsidRDefault="00426D96" w:rsidP="00823F61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033" w14:textId="5D24078C" w:rsidR="00426D96" w:rsidRPr="009C7A80" w:rsidRDefault="00426D96">
            <w:pPr>
              <w:rPr>
                <w:noProof/>
                <w:sz w:val="22"/>
                <w:szCs w:val="22"/>
                <w:lang w:val="sr-Latn-ME"/>
              </w:rPr>
            </w:pPr>
            <w:r>
              <w:rPr>
                <w:noProof/>
                <w:sz w:val="22"/>
                <w:szCs w:val="22"/>
                <w:lang w:val="sr-Latn-ME"/>
              </w:rPr>
              <w:t>Anafilaktička reakcija</w:t>
            </w:r>
          </w:p>
        </w:tc>
      </w:tr>
      <w:tr w:rsidR="00426D96" w:rsidRPr="00347667" w14:paraId="5FFD7B6A" w14:textId="77777777" w:rsidTr="00426D96">
        <w:trPr>
          <w:trHeight w:val="252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02B" w14:textId="32A65D96" w:rsidR="00426D96" w:rsidRPr="009C7A80" w:rsidRDefault="00426D96" w:rsidP="00823F61">
            <w:pPr>
              <w:rPr>
                <w:noProof/>
                <w:sz w:val="22"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8C5" w14:textId="3B0AB841" w:rsidR="00426D96" w:rsidRPr="009C7A80" w:rsidRDefault="00426D96">
            <w:pPr>
              <w:rPr>
                <w:noProof/>
                <w:sz w:val="22"/>
                <w:szCs w:val="22"/>
                <w:lang w:val="sr-Latn-ME"/>
              </w:rPr>
            </w:pPr>
            <w:r>
              <w:rPr>
                <w:noProof/>
                <w:sz w:val="22"/>
                <w:szCs w:val="22"/>
                <w:lang w:val="sr-Latn-ME"/>
              </w:rPr>
              <w:t>Alergija oka, iritacija oka, svrab očnih kapaka</w:t>
            </w:r>
          </w:p>
        </w:tc>
      </w:tr>
      <w:tr w:rsidR="00426D96" w:rsidRPr="00347667" w14:paraId="05C21851" w14:textId="77777777" w:rsidTr="00426D96">
        <w:trPr>
          <w:trHeight w:val="252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392" w14:textId="5DB11318" w:rsidR="00426D96" w:rsidRPr="009C7A80" w:rsidRDefault="00426D96" w:rsidP="00823F61">
            <w:pPr>
              <w:rPr>
                <w:noProof/>
                <w:szCs w:val="22"/>
                <w:lang w:val="sr-Latn-ME"/>
              </w:rPr>
            </w:pPr>
            <w:r w:rsidRPr="009C7A80">
              <w:rPr>
                <w:noProof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A0B" w14:textId="5207301A" w:rsidR="00426D96" w:rsidRPr="00426D96" w:rsidRDefault="00426D96">
            <w:pPr>
              <w:rPr>
                <w:noProof/>
                <w:sz w:val="22"/>
                <w:szCs w:val="22"/>
                <w:lang w:val="sr-Latn-ME"/>
              </w:rPr>
            </w:pPr>
            <w:r w:rsidRPr="00426D96">
              <w:rPr>
                <w:i/>
                <w:iCs/>
                <w:noProof/>
                <w:sz w:val="22"/>
                <w:szCs w:val="22"/>
                <w:lang w:val="sr-Latn-ME"/>
              </w:rPr>
              <w:t>Stevens-Johnsov-ov sindrom</w:t>
            </w:r>
            <w:r w:rsidRPr="00426D96">
              <w:rPr>
                <w:noProof/>
                <w:sz w:val="22"/>
                <w:szCs w:val="22"/>
                <w:lang w:val="sr-Latn-ME"/>
              </w:rPr>
              <w:t>, eritema multiforme</w:t>
            </w:r>
            <w:r>
              <w:rPr>
                <w:noProof/>
                <w:sz w:val="22"/>
                <w:szCs w:val="22"/>
                <w:lang w:val="sr-Latn-ME"/>
              </w:rPr>
              <w:t>, svrab</w:t>
            </w:r>
            <w:r w:rsidR="005910F2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426D96" w:rsidRPr="00347667" w14:paraId="68B94D3D" w14:textId="77777777" w:rsidTr="00426D96">
        <w:trPr>
          <w:gridAfter w:val="1"/>
          <w:wAfter w:w="4684" w:type="dxa"/>
          <w:trHeight w:val="60"/>
        </w:trPr>
        <w:tc>
          <w:tcPr>
            <w:tcW w:w="4684" w:type="dxa"/>
          </w:tcPr>
          <w:p w14:paraId="55A9A8B0" w14:textId="6AEFA5C3" w:rsidR="00426D96" w:rsidRPr="009C7A80" w:rsidRDefault="00426D96" w:rsidP="00823F61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426D96" w:rsidRPr="00347667" w14:paraId="20CFEB83" w14:textId="77777777" w:rsidTr="00426D96">
        <w:trPr>
          <w:trHeight w:val="252"/>
        </w:trPr>
        <w:tc>
          <w:tcPr>
            <w:tcW w:w="4684" w:type="dxa"/>
          </w:tcPr>
          <w:p w14:paraId="27D50D2E" w14:textId="3B938793" w:rsidR="00426D96" w:rsidRPr="009C7A80" w:rsidRDefault="00426D96" w:rsidP="00823F61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684" w:type="dxa"/>
          </w:tcPr>
          <w:p w14:paraId="33676664" w14:textId="748208AB" w:rsidR="00426D96" w:rsidRPr="009C7A80" w:rsidRDefault="00426D96">
            <w:pPr>
              <w:tabs>
                <w:tab w:val="clear" w:pos="284"/>
                <w:tab w:val="left" w:pos="1365"/>
              </w:tabs>
              <w:rPr>
                <w:noProof/>
                <w:sz w:val="22"/>
                <w:szCs w:val="22"/>
                <w:lang w:val="sr-Latn-ME"/>
              </w:rPr>
            </w:pPr>
          </w:p>
        </w:tc>
      </w:tr>
    </w:tbl>
    <w:p w14:paraId="45757EA7" w14:textId="2A35361E" w:rsidR="00AF57FE" w:rsidRPr="009C7A80" w:rsidRDefault="00AF57FE" w:rsidP="00823F61">
      <w:pPr>
        <w:rPr>
          <w:noProof/>
          <w:szCs w:val="22"/>
          <w:u w:val="single"/>
          <w:lang w:val="sr-Latn-ME"/>
        </w:rPr>
      </w:pPr>
      <w:r w:rsidRPr="009C7A80">
        <w:rPr>
          <w:noProof/>
          <w:szCs w:val="22"/>
          <w:u w:val="single"/>
          <w:lang w:val="sr-Latn-ME"/>
        </w:rPr>
        <w:t xml:space="preserve">Opis odabranih neželjenih </w:t>
      </w:r>
      <w:r w:rsidR="001D16B6" w:rsidRPr="009C7A80">
        <w:rPr>
          <w:noProof/>
          <w:szCs w:val="22"/>
          <w:u w:val="single"/>
          <w:lang w:val="sr-Latn-ME"/>
        </w:rPr>
        <w:t>reakcija</w:t>
      </w:r>
    </w:p>
    <w:p w14:paraId="251B68B7" w14:textId="4973CA92" w:rsidR="005910F2" w:rsidRPr="009C7A80" w:rsidRDefault="00AF57FE" w:rsidP="00F350E4">
      <w:pPr>
        <w:rPr>
          <w:noProof/>
          <w:lang w:val="sr-Latn-ME"/>
        </w:rPr>
      </w:pPr>
      <w:r w:rsidRPr="005910F2">
        <w:rPr>
          <w:noProof/>
          <w:szCs w:val="22"/>
          <w:lang w:val="sr-Latn-ME"/>
        </w:rPr>
        <w:t>Os</w:t>
      </w:r>
      <w:r w:rsidR="00F754B8" w:rsidRPr="005910F2">
        <w:rPr>
          <w:noProof/>
          <w:szCs w:val="22"/>
          <w:lang w:val="sr-Latn-ME"/>
        </w:rPr>
        <w:t>j</w:t>
      </w:r>
      <w:r w:rsidRPr="005910F2">
        <w:rPr>
          <w:noProof/>
          <w:szCs w:val="22"/>
          <w:lang w:val="sr-Latn-ME"/>
        </w:rPr>
        <w:t>etljivost na topikalno prim</w:t>
      </w:r>
      <w:r w:rsidR="00F754B8" w:rsidRPr="005910F2">
        <w:rPr>
          <w:noProof/>
          <w:szCs w:val="22"/>
          <w:lang w:val="sr-Latn-ME"/>
        </w:rPr>
        <w:t>ij</w:t>
      </w:r>
      <w:r w:rsidRPr="005910F2">
        <w:rPr>
          <w:noProof/>
          <w:szCs w:val="22"/>
          <w:lang w:val="sr-Latn-ME"/>
        </w:rPr>
        <w:t>enjene aminoglikozide može da se javi kod nekih pacijenata (</w:t>
      </w:r>
      <w:r w:rsidR="000E763C">
        <w:rPr>
          <w:noProof/>
          <w:szCs w:val="22"/>
          <w:lang w:val="sr-Latn-ME"/>
        </w:rPr>
        <w:t xml:space="preserve">pogledati dio </w:t>
      </w:r>
      <w:r w:rsidRPr="005910F2">
        <w:rPr>
          <w:noProof/>
          <w:szCs w:val="22"/>
          <w:lang w:val="sr-Latn-ME"/>
        </w:rPr>
        <w:t>4.4).</w:t>
      </w:r>
      <w:r w:rsidR="005910F2">
        <w:rPr>
          <w:noProof/>
          <w:szCs w:val="22"/>
          <w:lang w:val="sr-Latn-ME"/>
        </w:rPr>
        <w:t xml:space="preserve"> </w:t>
      </w:r>
      <w:r w:rsidR="005910F2" w:rsidRPr="009C7A80">
        <w:rPr>
          <w:noProof/>
          <w:szCs w:val="22"/>
          <w:lang w:val="sr-Latn-ME"/>
        </w:rPr>
        <w:t xml:space="preserve">Ozbiljne neželjene reakcije uključujući neurotoksičnost, ototoksičnost i nefrotoksičnost su se događale kod pacijenata koji su primali </w:t>
      </w:r>
      <w:r w:rsidR="005910F2" w:rsidRPr="00FA1EBF">
        <w:rPr>
          <w:noProof/>
          <w:szCs w:val="22"/>
          <w:lang w:val="sr-Latn-ME"/>
        </w:rPr>
        <w:t>sistemsku terapiju tobramicina</w:t>
      </w:r>
      <w:r w:rsidR="00494525">
        <w:rPr>
          <w:noProof/>
          <w:szCs w:val="22"/>
          <w:lang w:val="sr-Latn-ME"/>
        </w:rPr>
        <w:t xml:space="preserve">. </w:t>
      </w:r>
      <w:r w:rsidR="005910F2">
        <w:rPr>
          <w:noProof/>
          <w:szCs w:val="22"/>
          <w:lang w:val="sr-Latn-ME"/>
        </w:rPr>
        <w:t>Međutim</w:t>
      </w:r>
      <w:r w:rsidR="0069356B">
        <w:rPr>
          <w:noProof/>
          <w:szCs w:val="22"/>
          <w:lang w:val="sr-Latn-ME"/>
        </w:rPr>
        <w:t>,</w:t>
      </w:r>
      <w:r w:rsidR="005910F2">
        <w:rPr>
          <w:noProof/>
          <w:szCs w:val="22"/>
          <w:lang w:val="sr-Latn-ME"/>
        </w:rPr>
        <w:t xml:space="preserve"> ovi efekti ni</w:t>
      </w:r>
      <w:r w:rsidR="0069356B">
        <w:rPr>
          <w:noProof/>
          <w:szCs w:val="22"/>
          <w:lang w:val="sr-Latn-ME"/>
        </w:rPr>
        <w:t>je</w:t>
      </w:r>
      <w:r w:rsidR="005910F2">
        <w:rPr>
          <w:noProof/>
          <w:szCs w:val="22"/>
          <w:lang w:val="sr-Latn-ME"/>
        </w:rPr>
        <w:t xml:space="preserve">su prijavljeni nakon topikalne </w:t>
      </w:r>
      <w:r w:rsidR="0069356B">
        <w:rPr>
          <w:noProof/>
          <w:szCs w:val="22"/>
          <w:lang w:val="sr-Latn-ME"/>
        </w:rPr>
        <w:t>okularne</w:t>
      </w:r>
      <w:r w:rsidR="005910F2">
        <w:rPr>
          <w:noProof/>
          <w:szCs w:val="22"/>
          <w:lang w:val="sr-Latn-ME"/>
        </w:rPr>
        <w:t xml:space="preserve"> prim</w:t>
      </w:r>
      <w:r w:rsidR="0069356B">
        <w:rPr>
          <w:noProof/>
          <w:szCs w:val="22"/>
          <w:lang w:val="sr-Latn-ME"/>
        </w:rPr>
        <w:t>j</w:t>
      </w:r>
      <w:r w:rsidR="005910F2">
        <w:rPr>
          <w:noProof/>
          <w:szCs w:val="22"/>
          <w:lang w:val="sr-Latn-ME"/>
        </w:rPr>
        <w:t>ene tobramicina (</w:t>
      </w:r>
      <w:r w:rsidR="000E763C">
        <w:rPr>
          <w:noProof/>
          <w:szCs w:val="22"/>
          <w:lang w:val="sr-Latn-ME"/>
        </w:rPr>
        <w:t>pogledati dio</w:t>
      </w:r>
      <w:r w:rsidR="005910F2" w:rsidRPr="009C7A80">
        <w:rPr>
          <w:noProof/>
          <w:szCs w:val="22"/>
          <w:lang w:val="sr-Latn-ME"/>
        </w:rPr>
        <w:t xml:space="preserve"> 4.4</w:t>
      </w:r>
      <w:r w:rsidR="005910F2">
        <w:rPr>
          <w:noProof/>
          <w:szCs w:val="22"/>
          <w:lang w:val="sr-Latn-ME"/>
        </w:rPr>
        <w:t>).</w:t>
      </w:r>
    </w:p>
    <w:p w14:paraId="46748F26" w14:textId="77777777" w:rsidR="00AF57FE" w:rsidRPr="009C7A80" w:rsidRDefault="00AF57FE">
      <w:pPr>
        <w:rPr>
          <w:noProof/>
          <w:szCs w:val="22"/>
          <w:u w:val="single"/>
          <w:lang w:val="sr-Latn-ME"/>
        </w:rPr>
      </w:pPr>
    </w:p>
    <w:p w14:paraId="598C0D54" w14:textId="77777777" w:rsidR="00BE3B45" w:rsidRPr="009C7A80" w:rsidRDefault="00BE3B45" w:rsidP="00F350E4">
      <w:pPr>
        <w:tabs>
          <w:tab w:val="clear" w:pos="284"/>
        </w:tabs>
        <w:spacing w:line="276" w:lineRule="auto"/>
        <w:jc w:val="left"/>
        <w:rPr>
          <w:rFonts w:eastAsia="Calibri"/>
          <w:szCs w:val="22"/>
          <w:u w:val="single"/>
          <w:lang w:val="sr-Latn-ME"/>
        </w:rPr>
      </w:pPr>
      <w:r w:rsidRPr="009C7A80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63F2C424" w14:textId="1C5A0A31" w:rsidR="0016448E" w:rsidRDefault="0016448E" w:rsidP="00F350E4">
      <w:pPr>
        <w:rPr>
          <w:rFonts w:eastAsia="Calibri"/>
          <w:szCs w:val="22"/>
          <w:lang w:val="sr-Latn-RS"/>
        </w:rPr>
      </w:pPr>
      <w:r w:rsidRPr="00786071">
        <w:rPr>
          <w:rFonts w:eastAsia="Calibri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Cs w:val="22"/>
          <w:lang w:val="sr-Latn-RS"/>
        </w:rPr>
        <w:t>Institutu</w:t>
      </w:r>
      <w:r w:rsidRPr="00786071">
        <w:rPr>
          <w:rFonts w:eastAsia="Calibri"/>
          <w:szCs w:val="22"/>
          <w:lang w:val="sr-Latn-RS"/>
        </w:rPr>
        <w:t xml:space="preserve"> za ljekove i medicinska sredstva</w:t>
      </w:r>
      <w:r>
        <w:rPr>
          <w:rFonts w:eastAsia="Calibri"/>
          <w:szCs w:val="22"/>
          <w:lang w:val="sr-Latn-RS"/>
        </w:rPr>
        <w:t xml:space="preserve"> </w:t>
      </w:r>
      <w:r w:rsidRPr="00786071">
        <w:rPr>
          <w:rFonts w:eastAsia="Calibri"/>
          <w:szCs w:val="22"/>
          <w:lang w:val="sr-Latn-RS"/>
        </w:rPr>
        <w:t>(C</w:t>
      </w:r>
      <w:r>
        <w:rPr>
          <w:rFonts w:eastAsia="Calibri"/>
          <w:szCs w:val="22"/>
          <w:lang w:val="sr-Latn-RS"/>
        </w:rPr>
        <w:t>InMED</w:t>
      </w:r>
      <w:r w:rsidRPr="00786071">
        <w:rPr>
          <w:rFonts w:eastAsia="Calibri"/>
          <w:szCs w:val="22"/>
          <w:lang w:val="sr-Latn-RS"/>
        </w:rPr>
        <w:t>):</w:t>
      </w:r>
    </w:p>
    <w:p w14:paraId="4545B85E" w14:textId="77777777" w:rsidR="00823F61" w:rsidRPr="00786071" w:rsidRDefault="00823F61" w:rsidP="00F350E4">
      <w:pPr>
        <w:rPr>
          <w:rFonts w:eastAsia="Calibri"/>
          <w:szCs w:val="22"/>
          <w:lang w:val="sr-Latn-RS"/>
        </w:rPr>
      </w:pPr>
    </w:p>
    <w:p w14:paraId="735B875F" w14:textId="77777777" w:rsidR="0016448E" w:rsidRPr="00786071" w:rsidRDefault="0016448E" w:rsidP="00823F6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19652FBD" w14:textId="77777777" w:rsidR="0016448E" w:rsidRPr="00786071" w:rsidRDefault="0016448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59E5329C" w14:textId="77777777" w:rsidR="0016448E" w:rsidRPr="00786071" w:rsidRDefault="0016448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48D3796A" w14:textId="77777777" w:rsidR="0016448E" w:rsidRPr="00786071" w:rsidRDefault="0016448E">
      <w:pPr>
        <w:pStyle w:val="NoSpacing"/>
        <w:rPr>
          <w:rFonts w:eastAsia="Calibri"/>
          <w:sz w:val="22"/>
          <w:szCs w:val="22"/>
          <w:lang w:val="sr-Latn-RS"/>
        </w:rPr>
      </w:pPr>
    </w:p>
    <w:p w14:paraId="73E5C32D" w14:textId="77777777" w:rsidR="0016448E" w:rsidRPr="00786071" w:rsidRDefault="0016448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507D9639" w14:textId="77777777" w:rsidR="0016448E" w:rsidRPr="00786071" w:rsidRDefault="0016448E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7CF8F2BA" w14:textId="77777777" w:rsidR="0016448E" w:rsidRPr="00786071" w:rsidRDefault="008E63E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16448E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584CA98" w14:textId="77777777" w:rsidR="0016448E" w:rsidRPr="00786071" w:rsidRDefault="008E63E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16448E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025D2155" w14:textId="77777777" w:rsidR="0016448E" w:rsidRDefault="0016448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49D473F3" w14:textId="77777777" w:rsidR="0016448E" w:rsidRDefault="0016448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6710259" w14:textId="77777777" w:rsidR="0016448E" w:rsidRDefault="0016448E">
      <w:pPr>
        <w:pStyle w:val="NoSpacing"/>
        <w:rPr>
          <w:rFonts w:eastAsia="Calibri"/>
          <w:sz w:val="22"/>
          <w:szCs w:val="22"/>
          <w:lang w:val="sr-Latn-RS"/>
        </w:rPr>
      </w:pPr>
    </w:p>
    <w:p w14:paraId="687415B4" w14:textId="77777777" w:rsidR="0016448E" w:rsidRDefault="0016448E">
      <w:pPr>
        <w:tabs>
          <w:tab w:val="left" w:pos="540"/>
          <w:tab w:val="left" w:pos="569"/>
        </w:tabs>
        <w:rPr>
          <w:b/>
          <w:bCs/>
          <w:szCs w:val="22"/>
        </w:rPr>
      </w:pPr>
      <w:r w:rsidRPr="007F661E">
        <w:rPr>
          <w:b/>
          <w:bCs/>
          <w:noProof/>
          <w:szCs w:val="22"/>
        </w:rPr>
        <w:drawing>
          <wp:inline distT="0" distB="0" distL="0" distR="0" wp14:anchorId="48718085" wp14:editId="1F876892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A562D" w14:textId="77777777" w:rsidR="00407DAC" w:rsidRPr="009C7A80" w:rsidRDefault="00407DAC">
      <w:pPr>
        <w:rPr>
          <w:szCs w:val="22"/>
          <w:lang w:val="sr-Latn-ME"/>
        </w:rPr>
      </w:pPr>
    </w:p>
    <w:p w14:paraId="5BCCDD57" w14:textId="77777777" w:rsidR="00FB737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lastRenderedPageBreak/>
        <w:t>4.9. Predoziranje</w:t>
      </w:r>
    </w:p>
    <w:p w14:paraId="05223616" w14:textId="77777777" w:rsidR="00FB737C" w:rsidRPr="009C7A80" w:rsidRDefault="00FB737C">
      <w:pPr>
        <w:rPr>
          <w:b/>
          <w:bCs/>
          <w:szCs w:val="22"/>
          <w:lang w:val="sr-Latn-ME"/>
        </w:rPr>
      </w:pPr>
    </w:p>
    <w:p w14:paraId="77F97567" w14:textId="165A7A06" w:rsidR="00FB737C" w:rsidRDefault="00FB737C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Zbog karakteristika ovog l</w:t>
      </w:r>
      <w:r w:rsidR="00D037B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 xml:space="preserve">eka, </w:t>
      </w:r>
      <w:r w:rsidR="00475230">
        <w:rPr>
          <w:szCs w:val="22"/>
          <w:lang w:val="sr-Latn-ME"/>
        </w:rPr>
        <w:t>ne očekuju se toksična dejstva u slučaju okularnog predoziranja, ili u slučaju slučajne ingestije sadržaja jedne bočice.</w:t>
      </w:r>
    </w:p>
    <w:p w14:paraId="69CB1786" w14:textId="77777777" w:rsidR="005910F2" w:rsidRDefault="005910F2">
      <w:pPr>
        <w:rPr>
          <w:szCs w:val="22"/>
          <w:lang w:val="sr-Latn-ME"/>
        </w:rPr>
      </w:pPr>
    </w:p>
    <w:p w14:paraId="062E1EB6" w14:textId="0E4971C2" w:rsidR="005910F2" w:rsidRPr="004A063D" w:rsidRDefault="005910F2">
      <w:pPr>
        <w:rPr>
          <w:szCs w:val="22"/>
          <w:lang w:val="sr-Latn-ME"/>
        </w:rPr>
      </w:pPr>
      <w:r>
        <w:rPr>
          <w:szCs w:val="22"/>
          <w:lang w:val="sr-Latn-ME"/>
        </w:rPr>
        <w:t>Klinički vidljivi znaci i simptomi predoziranja l</w:t>
      </w:r>
      <w:r w:rsidR="000E763C">
        <w:rPr>
          <w:szCs w:val="22"/>
          <w:lang w:val="sr-Latn-ME"/>
        </w:rPr>
        <w:t>ij</w:t>
      </w:r>
      <w:r>
        <w:rPr>
          <w:szCs w:val="22"/>
          <w:lang w:val="sr-Latn-ME"/>
        </w:rPr>
        <w:t xml:space="preserve">ekom </w:t>
      </w:r>
      <w:r w:rsidR="007C1BA5">
        <w:rPr>
          <w:szCs w:val="22"/>
          <w:lang w:val="sr-Latn-ME"/>
        </w:rPr>
        <w:t>Tobycin</w:t>
      </w:r>
      <w:r w:rsidR="00475230">
        <w:rPr>
          <w:szCs w:val="22"/>
          <w:lang w:val="sr-Latn-ME"/>
        </w:rPr>
        <w:t>,</w:t>
      </w:r>
      <w:r>
        <w:rPr>
          <w:szCs w:val="22"/>
          <w:lang w:val="sr-Latn-ME"/>
        </w:rPr>
        <w:t xml:space="preserve"> kapi za oči </w:t>
      </w:r>
      <w:r w:rsidRPr="005910F2">
        <w:rPr>
          <w:szCs w:val="22"/>
          <w:lang w:val="sr-Latn-ME"/>
        </w:rPr>
        <w:t>(</w:t>
      </w:r>
      <w:r>
        <w:rPr>
          <w:szCs w:val="22"/>
          <w:lang w:val="sr-Latn-ME"/>
        </w:rPr>
        <w:t>ta</w:t>
      </w:r>
      <w:r>
        <w:rPr>
          <w:szCs w:val="22"/>
          <w:lang w:val="sr-Latn-RS"/>
        </w:rPr>
        <w:t>čkasti keratitis, eritem, pojačano su</w:t>
      </w:r>
      <w:r w:rsidR="00475230">
        <w:rPr>
          <w:szCs w:val="22"/>
          <w:lang w:val="sr-Latn-RS"/>
        </w:rPr>
        <w:t>z</w:t>
      </w:r>
      <w:r>
        <w:rPr>
          <w:szCs w:val="22"/>
          <w:lang w:val="sr-Latn-RS"/>
        </w:rPr>
        <w:t>enje, edem i svrab kapaka</w:t>
      </w:r>
      <w:r>
        <w:rPr>
          <w:szCs w:val="22"/>
          <w:lang w:val="sr-Latn-ME"/>
        </w:rPr>
        <w:t xml:space="preserve">) </w:t>
      </w:r>
      <w:r w:rsidRPr="00FA1EBF">
        <w:rPr>
          <w:szCs w:val="22"/>
          <w:lang w:val="sr-Latn-ME"/>
        </w:rPr>
        <w:t>mogu biti slični efektima neželjenih reakcija viđeni</w:t>
      </w:r>
      <w:r w:rsidR="00475230" w:rsidRPr="00F350E4">
        <w:rPr>
          <w:szCs w:val="22"/>
          <w:lang w:val="sr-Latn-ME"/>
        </w:rPr>
        <w:t>h</w:t>
      </w:r>
      <w:r w:rsidRPr="00FA1EBF">
        <w:rPr>
          <w:szCs w:val="22"/>
          <w:lang w:val="sr-Latn-ME"/>
        </w:rPr>
        <w:t xml:space="preserve"> kod nekih pacijenata.</w:t>
      </w:r>
    </w:p>
    <w:p w14:paraId="4157E72F" w14:textId="77777777" w:rsidR="005910F2" w:rsidRPr="00FA1EBF" w:rsidRDefault="005910F2">
      <w:pPr>
        <w:rPr>
          <w:szCs w:val="22"/>
          <w:lang w:val="sr-Latn-ME"/>
        </w:rPr>
      </w:pPr>
    </w:p>
    <w:p w14:paraId="5F14F143" w14:textId="6B39F1BE" w:rsidR="00475230" w:rsidRDefault="00475230">
      <w:pPr>
        <w:rPr>
          <w:szCs w:val="22"/>
          <w:lang w:val="sr-Latn-ME"/>
        </w:rPr>
      </w:pPr>
      <w:r w:rsidRPr="00FA1EBF">
        <w:rPr>
          <w:szCs w:val="22"/>
          <w:lang w:val="sr-Latn-ME"/>
        </w:rPr>
        <w:t xml:space="preserve">U slučaju topikalnog predoziranja lijekom </w:t>
      </w:r>
      <w:r w:rsidR="007C1BA5">
        <w:rPr>
          <w:szCs w:val="22"/>
          <w:lang w:val="sr-Latn-ME"/>
        </w:rPr>
        <w:t>Tobycin</w:t>
      </w:r>
      <w:r w:rsidRPr="00FA1EBF">
        <w:rPr>
          <w:szCs w:val="22"/>
          <w:lang w:val="sr-Latn-ME"/>
        </w:rPr>
        <w:t>, kapi za oči, oči treba isprati mlakom vodom.</w:t>
      </w:r>
      <w:r>
        <w:rPr>
          <w:szCs w:val="22"/>
          <w:lang w:val="sr-Latn-ME"/>
        </w:rPr>
        <w:t xml:space="preserve"> </w:t>
      </w:r>
    </w:p>
    <w:p w14:paraId="5A9F6B90" w14:textId="177438BD" w:rsidR="00D31A59" w:rsidRDefault="00D31A59">
      <w:pPr>
        <w:rPr>
          <w:b/>
          <w:bCs/>
          <w:szCs w:val="22"/>
          <w:lang w:val="sr-Latn-ME"/>
        </w:rPr>
      </w:pPr>
    </w:p>
    <w:p w14:paraId="60B173B7" w14:textId="77777777" w:rsidR="00823F61" w:rsidRPr="005910F2" w:rsidRDefault="00823F61">
      <w:pPr>
        <w:rPr>
          <w:b/>
          <w:bCs/>
          <w:szCs w:val="22"/>
          <w:lang w:val="sr-Latn-ME"/>
        </w:rPr>
      </w:pPr>
    </w:p>
    <w:p w14:paraId="4D444347" w14:textId="29772597" w:rsidR="00407DAC" w:rsidRPr="009C7A80" w:rsidRDefault="00407DAC" w:rsidP="00F350E4">
      <w:pPr>
        <w:jc w:val="left"/>
        <w:rPr>
          <w:b/>
          <w:szCs w:val="22"/>
          <w:lang w:val="sr-Latn-ME"/>
        </w:rPr>
      </w:pPr>
      <w:r w:rsidRPr="009C7A80">
        <w:rPr>
          <w:b/>
          <w:szCs w:val="22"/>
          <w:lang w:val="sr-Latn-ME"/>
        </w:rPr>
        <w:t>5. FARMAKOLOŠKI PODACI</w:t>
      </w:r>
    </w:p>
    <w:p w14:paraId="25CE4C0F" w14:textId="77777777" w:rsidR="00823F61" w:rsidRDefault="00823F61" w:rsidP="00823F61">
      <w:pPr>
        <w:rPr>
          <w:b/>
          <w:bCs/>
          <w:szCs w:val="22"/>
          <w:lang w:val="sr-Latn-ME"/>
        </w:rPr>
      </w:pPr>
    </w:p>
    <w:p w14:paraId="4ED5E8F0" w14:textId="197B2F32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5.1. Farmakodinamski podaci</w:t>
      </w:r>
    </w:p>
    <w:p w14:paraId="2CB7E227" w14:textId="77777777" w:rsidR="00C61C49" w:rsidRDefault="00C61C49">
      <w:pPr>
        <w:rPr>
          <w:b/>
          <w:bCs/>
          <w:szCs w:val="22"/>
          <w:lang w:val="sr-Latn-ME"/>
        </w:rPr>
      </w:pPr>
    </w:p>
    <w:p w14:paraId="251C3271" w14:textId="19495112" w:rsidR="00407DAC" w:rsidRPr="009C7A80" w:rsidRDefault="00407DAC">
      <w:pPr>
        <w:rPr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 xml:space="preserve">Farmakoterapijska grupa: </w:t>
      </w:r>
      <w:r w:rsidR="006519CB" w:rsidRPr="009C7A80">
        <w:rPr>
          <w:szCs w:val="22"/>
          <w:lang w:val="sr-Latn-ME"/>
        </w:rPr>
        <w:t>L</w:t>
      </w:r>
      <w:r w:rsidR="00D037B8" w:rsidRPr="009C7A80">
        <w:rPr>
          <w:szCs w:val="22"/>
          <w:lang w:val="sr-Latn-ME"/>
        </w:rPr>
        <w:t>j</w:t>
      </w:r>
      <w:r w:rsidR="006519CB" w:rsidRPr="009C7A80">
        <w:rPr>
          <w:szCs w:val="22"/>
          <w:lang w:val="sr-Latn-ME"/>
        </w:rPr>
        <w:t>ekovi koji d</w:t>
      </w:r>
      <w:r w:rsidR="00D037B8" w:rsidRPr="009C7A80">
        <w:rPr>
          <w:szCs w:val="22"/>
          <w:lang w:val="sr-Latn-ME"/>
        </w:rPr>
        <w:t>j</w:t>
      </w:r>
      <w:r w:rsidR="006519CB" w:rsidRPr="009C7A80">
        <w:rPr>
          <w:szCs w:val="22"/>
          <w:lang w:val="sr-Latn-ME"/>
        </w:rPr>
        <w:t>eluju na oko, antibiotici</w:t>
      </w:r>
    </w:p>
    <w:p w14:paraId="19E7B67F" w14:textId="77777777" w:rsidR="006519CB" w:rsidRPr="009C7A80" w:rsidRDefault="006519CB">
      <w:pPr>
        <w:rPr>
          <w:b/>
          <w:bCs/>
          <w:szCs w:val="22"/>
          <w:lang w:val="sr-Latn-ME"/>
        </w:rPr>
      </w:pPr>
    </w:p>
    <w:p w14:paraId="45C7D9B7" w14:textId="46345224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 xml:space="preserve">ATC šifra: </w:t>
      </w:r>
      <w:r w:rsidR="006519CB" w:rsidRPr="009C7A80">
        <w:rPr>
          <w:szCs w:val="22"/>
          <w:lang w:val="sr-Latn-ME"/>
        </w:rPr>
        <w:t>S01AA12</w:t>
      </w:r>
    </w:p>
    <w:p w14:paraId="359A9EEF" w14:textId="77777777" w:rsidR="00C61C49" w:rsidRDefault="00C61C49" w:rsidP="00F350E4">
      <w:pPr>
        <w:widowControl w:val="0"/>
        <w:tabs>
          <w:tab w:val="clear" w:pos="284"/>
        </w:tabs>
        <w:autoSpaceDE w:val="0"/>
        <w:autoSpaceDN w:val="0"/>
        <w:ind w:right="112"/>
        <w:rPr>
          <w:szCs w:val="22"/>
          <w:u w:val="single"/>
          <w:lang w:val="sr-Latn-ME"/>
        </w:rPr>
      </w:pPr>
    </w:p>
    <w:p w14:paraId="4D1E097B" w14:textId="508C68BB" w:rsidR="003F7753" w:rsidRPr="009C7A80" w:rsidRDefault="003F7753" w:rsidP="00F350E4">
      <w:pPr>
        <w:widowControl w:val="0"/>
        <w:tabs>
          <w:tab w:val="clear" w:pos="284"/>
        </w:tabs>
        <w:autoSpaceDE w:val="0"/>
        <w:autoSpaceDN w:val="0"/>
        <w:ind w:right="112"/>
        <w:rPr>
          <w:szCs w:val="22"/>
          <w:u w:val="single"/>
          <w:lang w:val="sr-Latn-ME"/>
        </w:rPr>
      </w:pPr>
      <w:r w:rsidRPr="009C7A80">
        <w:rPr>
          <w:szCs w:val="22"/>
          <w:u w:val="single"/>
          <w:lang w:val="sr-Latn-ME"/>
        </w:rPr>
        <w:t>Mehanizam dejstva</w:t>
      </w:r>
    </w:p>
    <w:p w14:paraId="11C9DC78" w14:textId="0C3B9D20" w:rsidR="00C84CC2" w:rsidRDefault="00C84CC2" w:rsidP="00F350E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C7A80">
        <w:rPr>
          <w:szCs w:val="22"/>
          <w:lang w:val="sr-Latn-ME"/>
        </w:rPr>
        <w:t>Tobramicin je jak aminoglikozidni antibiotik širokog spektra</w:t>
      </w:r>
      <w:r w:rsidR="00475230">
        <w:rPr>
          <w:szCs w:val="22"/>
          <w:lang w:val="sr-Latn-ME"/>
        </w:rPr>
        <w:t>,</w:t>
      </w:r>
      <w:r w:rsidRPr="009C7A80">
        <w:rPr>
          <w:szCs w:val="22"/>
          <w:lang w:val="sr-Latn-ME"/>
        </w:rPr>
        <w:t xml:space="preserve"> koji ima brzo baktericidno dejstvo. Primarno dejstvo ima na bakterijske ćelije gd</w:t>
      </w:r>
      <w:r w:rsidR="0047523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 xml:space="preserve">e inhibira nakupljanje i sintezu polipeptida u ribozomima. </w:t>
      </w:r>
    </w:p>
    <w:p w14:paraId="660785A0" w14:textId="77777777" w:rsidR="00823F61" w:rsidRPr="009C7A80" w:rsidRDefault="00823F61" w:rsidP="00F350E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42977198" w14:textId="77777777" w:rsidR="00407DAC" w:rsidRPr="009C7A80" w:rsidRDefault="00407DAC" w:rsidP="00F350E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C7A80">
        <w:rPr>
          <w:szCs w:val="22"/>
          <w:u w:val="single"/>
          <w:lang w:val="sr-Latn-ME"/>
        </w:rPr>
        <w:t>Mehanizam</w:t>
      </w:r>
      <w:r w:rsidRPr="009C7A80">
        <w:rPr>
          <w:spacing w:val="-7"/>
          <w:szCs w:val="22"/>
          <w:u w:val="single"/>
          <w:lang w:val="sr-Latn-ME"/>
        </w:rPr>
        <w:t xml:space="preserve"> </w:t>
      </w:r>
      <w:r w:rsidRPr="009C7A80">
        <w:rPr>
          <w:szCs w:val="22"/>
          <w:u w:val="single"/>
          <w:lang w:val="sr-Latn-ME"/>
        </w:rPr>
        <w:t>rezistencije</w:t>
      </w:r>
    </w:p>
    <w:p w14:paraId="1DEF459A" w14:textId="46FFDC7F" w:rsidR="008F0E97" w:rsidRDefault="008F0E97" w:rsidP="00F350E4">
      <w:pPr>
        <w:widowControl w:val="0"/>
        <w:tabs>
          <w:tab w:val="clear" w:pos="284"/>
          <w:tab w:val="left" w:pos="720"/>
        </w:tabs>
        <w:autoSpaceDE w:val="0"/>
        <w:autoSpaceDN w:val="0"/>
        <w:rPr>
          <w:szCs w:val="22"/>
          <w:lang w:val="hr-HR"/>
        </w:rPr>
      </w:pPr>
      <w:r>
        <w:rPr>
          <w:szCs w:val="22"/>
          <w:lang w:val="hr-HR"/>
        </w:rPr>
        <w:t>Rezistencija na tobramicin se javlja na nekoliko različitih načina, uključujući</w:t>
      </w:r>
      <w:r w:rsidR="00475230">
        <w:rPr>
          <w:szCs w:val="22"/>
          <w:lang w:val="hr-HR"/>
        </w:rPr>
        <w:t>:</w:t>
      </w:r>
      <w:r>
        <w:rPr>
          <w:szCs w:val="22"/>
          <w:lang w:val="hr-HR"/>
        </w:rPr>
        <w:t xml:space="preserve"> (1) alteracije ribozomalne</w:t>
      </w:r>
      <w:r w:rsidR="00BE1F53">
        <w:rPr>
          <w:szCs w:val="22"/>
          <w:lang w:val="hr-HR"/>
        </w:rPr>
        <w:t xml:space="preserve"> </w:t>
      </w:r>
      <w:r>
        <w:rPr>
          <w:szCs w:val="22"/>
          <w:lang w:val="hr-HR"/>
        </w:rPr>
        <w:t>subjedinice u sklopu bakterijske ćelije, (2) interferencij</w:t>
      </w:r>
      <w:r w:rsidR="00475230">
        <w:rPr>
          <w:szCs w:val="22"/>
          <w:lang w:val="hr-HR"/>
        </w:rPr>
        <w:t>u</w:t>
      </w:r>
      <w:r>
        <w:rPr>
          <w:szCs w:val="22"/>
          <w:lang w:val="hr-HR"/>
        </w:rPr>
        <w:t xml:space="preserve"> sa transportom tobramicina u ćeliju i (3) inaktivacij</w:t>
      </w:r>
      <w:r w:rsidR="003C68E7">
        <w:rPr>
          <w:szCs w:val="22"/>
          <w:lang w:val="hr-HR"/>
        </w:rPr>
        <w:t>u</w:t>
      </w:r>
      <w:r>
        <w:rPr>
          <w:szCs w:val="22"/>
          <w:lang w:val="hr-HR"/>
        </w:rPr>
        <w:t xml:space="preserve"> tobramicina enzimima (adenilacije, fosforilacije i acetilacije). Genetička informacija za produkciju inaktivišućih enzima može da se nalazi na bakterijskim hromozomima ili plazmidima. Može se javiti ukrštena rezistencija sa ostalim aminoglikozidima.</w:t>
      </w:r>
    </w:p>
    <w:p w14:paraId="41BA8967" w14:textId="77777777" w:rsidR="00823F61" w:rsidRDefault="00823F61" w:rsidP="00F350E4">
      <w:pPr>
        <w:widowControl w:val="0"/>
        <w:tabs>
          <w:tab w:val="clear" w:pos="284"/>
          <w:tab w:val="left" w:pos="720"/>
        </w:tabs>
        <w:autoSpaceDE w:val="0"/>
        <w:autoSpaceDN w:val="0"/>
        <w:rPr>
          <w:szCs w:val="22"/>
          <w:lang w:val="hr-HR"/>
        </w:rPr>
      </w:pPr>
    </w:p>
    <w:p w14:paraId="5B6553E3" w14:textId="776E260C" w:rsidR="00407DAC" w:rsidRPr="009C7A80" w:rsidRDefault="00407DAC" w:rsidP="00F350E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C7A80">
        <w:rPr>
          <w:szCs w:val="22"/>
          <w:u w:val="single"/>
          <w:lang w:val="sr-Latn-ME"/>
        </w:rPr>
        <w:t>Granične</w:t>
      </w:r>
      <w:r w:rsidRPr="009C7A80">
        <w:rPr>
          <w:spacing w:val="-6"/>
          <w:szCs w:val="22"/>
          <w:u w:val="single"/>
          <w:lang w:val="sr-Latn-ME"/>
        </w:rPr>
        <w:t xml:space="preserve"> </w:t>
      </w:r>
      <w:r w:rsidRPr="009C7A80">
        <w:rPr>
          <w:szCs w:val="22"/>
          <w:u w:val="single"/>
          <w:lang w:val="sr-Latn-ME"/>
        </w:rPr>
        <w:t>vr</w:t>
      </w:r>
      <w:r w:rsidR="00D037B8" w:rsidRPr="009C7A80">
        <w:rPr>
          <w:szCs w:val="22"/>
          <w:u w:val="single"/>
          <w:lang w:val="sr-Latn-ME"/>
        </w:rPr>
        <w:t>ij</w:t>
      </w:r>
      <w:r w:rsidRPr="009C7A80">
        <w:rPr>
          <w:szCs w:val="22"/>
          <w:u w:val="single"/>
          <w:lang w:val="sr-Latn-ME"/>
        </w:rPr>
        <w:t>ednosti</w:t>
      </w:r>
    </w:p>
    <w:p w14:paraId="37C385B1" w14:textId="7B3DBD12" w:rsidR="00310A42" w:rsidRPr="009C7A80" w:rsidRDefault="00310A42" w:rsidP="00823F61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Granične vr</w:t>
      </w:r>
      <w:r w:rsidR="00D037B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ednosti</w:t>
      </w:r>
      <w:r w:rsidR="00976166">
        <w:rPr>
          <w:szCs w:val="22"/>
          <w:lang w:val="sr-Latn-ME"/>
        </w:rPr>
        <w:t xml:space="preserve"> </w:t>
      </w:r>
      <w:r w:rsidR="00976166" w:rsidRPr="00976166">
        <w:rPr>
          <w:szCs w:val="22"/>
          <w:lang w:val="sr-Latn-ME"/>
        </w:rPr>
        <w:t xml:space="preserve">i </w:t>
      </w:r>
      <w:r w:rsidR="00976166" w:rsidRPr="00976166">
        <w:rPr>
          <w:i/>
          <w:iCs/>
          <w:szCs w:val="22"/>
          <w:lang w:val="sr-Latn-ME"/>
        </w:rPr>
        <w:t>in vitro</w:t>
      </w:r>
      <w:r w:rsidR="00976166" w:rsidRPr="00976166">
        <w:rPr>
          <w:szCs w:val="22"/>
          <w:lang w:val="sr-Latn-ME"/>
        </w:rPr>
        <w:t xml:space="preserve"> spektar</w:t>
      </w:r>
      <w:r w:rsidR="00976166">
        <w:rPr>
          <w:szCs w:val="22"/>
          <w:lang w:val="sr-Latn-ME"/>
        </w:rPr>
        <w:t xml:space="preserve">, </w:t>
      </w:r>
      <w:r w:rsidRPr="009C7A80">
        <w:rPr>
          <w:szCs w:val="22"/>
          <w:lang w:val="sr-Latn-ME"/>
        </w:rPr>
        <w:t>naveden</w:t>
      </w:r>
      <w:r w:rsidR="00CA11F7">
        <w:rPr>
          <w:szCs w:val="22"/>
          <w:lang w:val="sr-Latn-ME"/>
        </w:rPr>
        <w:t>i</w:t>
      </w:r>
      <w:r w:rsidRPr="009C7A80">
        <w:rPr>
          <w:szCs w:val="22"/>
          <w:lang w:val="sr-Latn-ME"/>
        </w:rPr>
        <w:t xml:space="preserve"> u nastavku teksta, zasnivaju se na sistemskoj upotrebi</w:t>
      </w:r>
      <w:r w:rsidR="003819C6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tobramicina. Ove granične vr</w:t>
      </w:r>
      <w:r w:rsidR="00D037B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ednosti ne moraju biti prim</w:t>
      </w:r>
      <w:r w:rsidR="00D037B8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enljive za okularnu upotrebu antibiotika pošto se</w:t>
      </w:r>
      <w:r w:rsidR="0081689A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lokalno postižu više koncentracije i lokalne fizičko-hemijske osobine mogu da utiču na aktivnost l</w:t>
      </w:r>
      <w:r w:rsidR="0078669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eka na</w:t>
      </w:r>
      <w:r w:rsidR="0081689A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m</w:t>
      </w:r>
      <w:r w:rsidR="00786698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estu prim</w:t>
      </w:r>
      <w:r w:rsidR="00786698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ene. U skladu sa EUCAST, sl</w:t>
      </w:r>
      <w:r w:rsidR="00CA11F7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edeće granične vr</w:t>
      </w:r>
      <w:r w:rsidR="0078669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ednosti su definisane za tobramicin:</w:t>
      </w:r>
    </w:p>
    <w:p w14:paraId="62EC9A82" w14:textId="03EC4F17" w:rsidR="00310A42" w:rsidRPr="009C7A80" w:rsidRDefault="00310A42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9C7A80">
        <w:rPr>
          <w:i/>
          <w:iCs/>
          <w:szCs w:val="22"/>
          <w:lang w:val="sr-Latn-ME"/>
        </w:rPr>
        <w:t xml:space="preserve">Enterobacteriaceae </w:t>
      </w:r>
      <w:r w:rsidR="00F13E3D" w:rsidRPr="009C7A80">
        <w:rPr>
          <w:i/>
          <w:iCs/>
          <w:szCs w:val="22"/>
          <w:lang w:val="sr-Latn-ME"/>
        </w:rPr>
        <w:t xml:space="preserve">    </w:t>
      </w:r>
      <w:r w:rsidRPr="009C7A80">
        <w:rPr>
          <w:szCs w:val="22"/>
          <w:lang w:val="sr-Latn-ME"/>
        </w:rPr>
        <w:t>S ≤ 2 mg/L, R &gt; 4 mg/L</w:t>
      </w:r>
    </w:p>
    <w:p w14:paraId="29F06ACF" w14:textId="4D2E4A7C" w:rsidR="00310A42" w:rsidRPr="009C7A80" w:rsidRDefault="00310A42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9C7A80">
        <w:rPr>
          <w:i/>
          <w:iCs/>
          <w:szCs w:val="22"/>
          <w:lang w:val="sr-Latn-ME"/>
        </w:rPr>
        <w:t xml:space="preserve">Pseudomonas spp. </w:t>
      </w:r>
      <w:r w:rsidR="00F13E3D" w:rsidRPr="009C7A80">
        <w:rPr>
          <w:i/>
          <w:iCs/>
          <w:szCs w:val="22"/>
          <w:lang w:val="sr-Latn-ME"/>
        </w:rPr>
        <w:t xml:space="preserve">      </w:t>
      </w:r>
      <w:r w:rsidRPr="009C7A80">
        <w:rPr>
          <w:szCs w:val="22"/>
          <w:lang w:val="sr-Latn-ME"/>
        </w:rPr>
        <w:t>S ≤ 4 mg/L, R &gt; 4 mg/L</w:t>
      </w:r>
    </w:p>
    <w:p w14:paraId="073E4B2A" w14:textId="1BA2E93E" w:rsidR="00310A42" w:rsidRPr="009C7A80" w:rsidRDefault="00310A42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9C7A80">
        <w:rPr>
          <w:i/>
          <w:iCs/>
          <w:szCs w:val="22"/>
          <w:lang w:val="sr-Latn-ME"/>
        </w:rPr>
        <w:t xml:space="preserve">Acinetobacter spp. </w:t>
      </w:r>
      <w:r w:rsidR="00F13E3D" w:rsidRPr="009C7A80">
        <w:rPr>
          <w:i/>
          <w:iCs/>
          <w:szCs w:val="22"/>
          <w:lang w:val="sr-Latn-ME"/>
        </w:rPr>
        <w:t xml:space="preserve">      </w:t>
      </w:r>
      <w:r w:rsidRPr="009C7A80">
        <w:rPr>
          <w:szCs w:val="22"/>
          <w:lang w:val="sr-Latn-ME"/>
        </w:rPr>
        <w:t>S ≤ 4 mg/L, R &gt; 4 mg/L</w:t>
      </w:r>
    </w:p>
    <w:p w14:paraId="7BD63411" w14:textId="07905582" w:rsidR="00310A42" w:rsidRPr="009C7A80" w:rsidRDefault="00310A42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9C7A80">
        <w:rPr>
          <w:i/>
          <w:iCs/>
          <w:szCs w:val="22"/>
          <w:lang w:val="sr-Latn-ME"/>
        </w:rPr>
        <w:t>Staphylococcus spp.</w:t>
      </w:r>
      <w:r w:rsidR="00F13E3D" w:rsidRPr="009C7A80">
        <w:rPr>
          <w:i/>
          <w:iCs/>
          <w:szCs w:val="22"/>
          <w:lang w:val="sr-Latn-ME"/>
        </w:rPr>
        <w:t xml:space="preserve">   </w:t>
      </w:r>
      <w:r w:rsidRPr="009C7A80">
        <w:rPr>
          <w:i/>
          <w:iCs/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S ≤ 1 mg/L, R &gt; 1 mg/L</w:t>
      </w:r>
    </w:p>
    <w:p w14:paraId="2EC43D67" w14:textId="2D510EBC" w:rsidR="00407DAC" w:rsidRPr="009C7A80" w:rsidRDefault="00F369B4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9C7A80">
        <w:rPr>
          <w:i/>
          <w:iCs/>
          <w:szCs w:val="22"/>
          <w:lang w:val="sr-Latn-ME"/>
        </w:rPr>
        <w:t xml:space="preserve">Druge vrste                  </w:t>
      </w:r>
      <w:r w:rsidR="00310A42" w:rsidRPr="009C7A80">
        <w:rPr>
          <w:szCs w:val="22"/>
          <w:lang w:val="sr-Latn-ME"/>
        </w:rPr>
        <w:t>S ≤ 2 mg/L, R &gt; 4 mg/L</w:t>
      </w:r>
    </w:p>
    <w:p w14:paraId="0EE31C5E" w14:textId="0466FBE0" w:rsidR="006724B4" w:rsidRPr="009C7A80" w:rsidRDefault="006724B4">
      <w:pPr>
        <w:rPr>
          <w:color w:val="FF0000"/>
          <w:szCs w:val="22"/>
          <w:lang w:val="sr-Latn-ME"/>
        </w:rPr>
      </w:pPr>
    </w:p>
    <w:p w14:paraId="15FC7158" w14:textId="77777777" w:rsidR="00FF7360" w:rsidRPr="00854055" w:rsidRDefault="00FF7360">
      <w:pPr>
        <w:rPr>
          <w:szCs w:val="22"/>
          <w:u w:val="single"/>
          <w:lang w:val="hr-HR"/>
        </w:rPr>
      </w:pPr>
      <w:r w:rsidRPr="00AF32F9">
        <w:rPr>
          <w:szCs w:val="22"/>
          <w:u w:val="single"/>
          <w:lang w:val="hr-HR"/>
        </w:rPr>
        <w:t>Klini</w:t>
      </w:r>
      <w:r w:rsidRPr="00AF32F9">
        <w:rPr>
          <w:rFonts w:hint="eastAsia"/>
          <w:szCs w:val="22"/>
          <w:u w:val="single"/>
          <w:lang w:val="hr-HR"/>
        </w:rPr>
        <w:t>č</w:t>
      </w:r>
      <w:r w:rsidRPr="00AF32F9">
        <w:rPr>
          <w:szCs w:val="22"/>
          <w:u w:val="single"/>
          <w:lang w:val="hr-HR"/>
        </w:rPr>
        <w:t>ka efikasnost protiv</w:t>
      </w:r>
      <w:r>
        <w:rPr>
          <w:szCs w:val="22"/>
          <w:u w:val="single"/>
          <w:lang w:val="hr-HR"/>
        </w:rPr>
        <w:t xml:space="preserve"> </w:t>
      </w:r>
      <w:r w:rsidRPr="00854055">
        <w:rPr>
          <w:szCs w:val="22"/>
          <w:u w:val="single"/>
          <w:lang w:val="hr-HR"/>
        </w:rPr>
        <w:t>određen</w:t>
      </w:r>
      <w:r>
        <w:rPr>
          <w:szCs w:val="22"/>
          <w:u w:val="single"/>
          <w:lang w:val="hr-HR"/>
        </w:rPr>
        <w:t>ih</w:t>
      </w:r>
      <w:r w:rsidRPr="00854055">
        <w:rPr>
          <w:szCs w:val="22"/>
          <w:u w:val="single"/>
          <w:lang w:val="hr-HR"/>
        </w:rPr>
        <w:t xml:space="preserve"> patogen</w:t>
      </w:r>
      <w:r>
        <w:rPr>
          <w:szCs w:val="22"/>
          <w:u w:val="single"/>
          <w:lang w:val="hr-HR"/>
        </w:rPr>
        <w:t>a</w:t>
      </w:r>
    </w:p>
    <w:p w14:paraId="3BBB24E8" w14:textId="64A7D1EC" w:rsidR="006C33A2" w:rsidRDefault="006C33A2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Informacije koje se nalaze u nastavku teksta predstavljaju samo aproksimativni vodič u odlučivanju da li će</w:t>
      </w:r>
      <w:r w:rsidR="00E70470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mikroorganizmi biti os</w:t>
      </w:r>
      <w:r w:rsidR="00786698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etljivi na tobramicin iz l</w:t>
      </w:r>
      <w:r w:rsidR="0078669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 xml:space="preserve">eka </w:t>
      </w:r>
      <w:r w:rsidR="007C1BA5">
        <w:rPr>
          <w:szCs w:val="22"/>
          <w:lang w:val="sr-Latn-ME"/>
        </w:rPr>
        <w:t>Tobycin</w:t>
      </w:r>
      <w:r w:rsidRPr="009C7A80">
        <w:rPr>
          <w:szCs w:val="22"/>
          <w:lang w:val="sr-Latn-ME"/>
        </w:rPr>
        <w:t>. Bakterijski sojevi koji su nađeni kod spoljašnjih</w:t>
      </w:r>
      <w:r w:rsidR="006A31C8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infekcija oka, kao što je konjuktivitis, su prikazani u ovom tekstu.</w:t>
      </w:r>
    </w:p>
    <w:p w14:paraId="6CF2AB73" w14:textId="77777777" w:rsidR="008F0E97" w:rsidRPr="009C7A80" w:rsidRDefault="008F0E97">
      <w:pPr>
        <w:rPr>
          <w:szCs w:val="22"/>
          <w:lang w:val="sr-Latn-ME"/>
        </w:rPr>
      </w:pPr>
    </w:p>
    <w:p w14:paraId="38F43125" w14:textId="3D8239AF" w:rsidR="00C978AA" w:rsidRPr="009C7A80" w:rsidRDefault="006C33A2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Prevalenca stečene rezistencije za sl</w:t>
      </w:r>
      <w:r w:rsidR="00786698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edeće sojeve može da varira geografski i u vremenu, i poželjne su</w:t>
      </w:r>
      <w:r w:rsidR="00823F61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lokalne informacije o os</w:t>
      </w:r>
      <w:r w:rsidR="000E763C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etljivosti bakterija, naročito kada se l</w:t>
      </w:r>
      <w:r w:rsidR="00786698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eče teže infekcije</w:t>
      </w:r>
      <w:r w:rsidR="00976166">
        <w:rPr>
          <w:szCs w:val="22"/>
          <w:lang w:val="sr-Latn-ME"/>
        </w:rPr>
        <w:t>. P</w:t>
      </w:r>
      <w:r w:rsidRPr="009C7A80">
        <w:rPr>
          <w:szCs w:val="22"/>
          <w:lang w:val="sr-Latn-ME"/>
        </w:rPr>
        <w:t xml:space="preserve">otrebno je da se </w:t>
      </w:r>
      <w:r w:rsidRPr="009C7A80">
        <w:rPr>
          <w:szCs w:val="22"/>
          <w:lang w:val="sr-Latn-ME"/>
        </w:rPr>
        <w:lastRenderedPageBreak/>
        <w:t>posav</w:t>
      </w:r>
      <w:r w:rsidR="000E763C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etuj</w:t>
      </w:r>
      <w:r w:rsidR="00E5267D">
        <w:rPr>
          <w:szCs w:val="22"/>
          <w:lang w:val="sr-Latn-ME"/>
        </w:rPr>
        <w:t>e</w:t>
      </w:r>
      <w:r w:rsidRPr="009C7A80">
        <w:rPr>
          <w:szCs w:val="22"/>
          <w:lang w:val="sr-Latn-ME"/>
        </w:rPr>
        <w:t>te</w:t>
      </w:r>
      <w:r w:rsidR="00854055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 xml:space="preserve"> sa stručnjakom ako je prevalenca lokalne rezistencije takva da je korist tobramicina kod nekih infekcija</w:t>
      </w:r>
      <w:r w:rsidR="00C978AA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upitna.</w:t>
      </w:r>
    </w:p>
    <w:p w14:paraId="37224E91" w14:textId="77777777" w:rsidR="00C978AA" w:rsidRPr="009C7A80" w:rsidRDefault="00C978AA">
      <w:pPr>
        <w:rPr>
          <w:color w:val="FF0000"/>
          <w:szCs w:val="22"/>
          <w:lang w:val="sr-Latn-ME"/>
        </w:rPr>
      </w:pPr>
    </w:p>
    <w:p w14:paraId="09E652B5" w14:textId="029B1D78" w:rsidR="006C33A2" w:rsidRPr="00D31A59" w:rsidRDefault="006C33A2">
      <w:pPr>
        <w:rPr>
          <w:b/>
          <w:bCs/>
          <w:szCs w:val="22"/>
          <w:lang w:val="sr-Latn-ME"/>
        </w:rPr>
      </w:pPr>
      <w:r w:rsidRPr="00D31A59">
        <w:rPr>
          <w:b/>
          <w:bCs/>
          <w:szCs w:val="22"/>
          <w:lang w:val="sr-Latn-ME"/>
        </w:rPr>
        <w:t>UOBIČAJENO OS</w:t>
      </w:r>
      <w:r w:rsidR="00EB6C24" w:rsidRPr="00D31A59">
        <w:rPr>
          <w:b/>
          <w:bCs/>
          <w:szCs w:val="22"/>
          <w:lang w:val="sr-Latn-ME"/>
        </w:rPr>
        <w:t>J</w:t>
      </w:r>
      <w:r w:rsidRPr="00D31A59">
        <w:rPr>
          <w:b/>
          <w:bCs/>
          <w:szCs w:val="22"/>
          <w:lang w:val="sr-Latn-ME"/>
        </w:rPr>
        <w:t>ETLJIVI SOJEVI</w:t>
      </w:r>
    </w:p>
    <w:p w14:paraId="672DC722" w14:textId="77777777" w:rsidR="00C978AA" w:rsidRPr="009C7A80" w:rsidRDefault="00C978AA">
      <w:pPr>
        <w:rPr>
          <w:color w:val="FF0000"/>
          <w:szCs w:val="22"/>
          <w:lang w:val="sr-Latn-ME"/>
        </w:rPr>
      </w:pPr>
    </w:p>
    <w:p w14:paraId="63FFA193" w14:textId="3A2CE3D9" w:rsidR="006C33A2" w:rsidRPr="009C7A80" w:rsidRDefault="006C33A2">
      <w:pPr>
        <w:rPr>
          <w:b/>
          <w:bCs/>
          <w:i/>
          <w:iCs/>
          <w:szCs w:val="22"/>
          <w:lang w:val="sr-Latn-ME"/>
        </w:rPr>
      </w:pPr>
      <w:r w:rsidRPr="009C7A80">
        <w:rPr>
          <w:b/>
          <w:bCs/>
          <w:i/>
          <w:iCs/>
          <w:szCs w:val="22"/>
          <w:lang w:val="sr-Latn-ME"/>
        </w:rPr>
        <w:t>Aerobni Gram-pozitivni mikroorganizmi</w:t>
      </w:r>
    </w:p>
    <w:p w14:paraId="3FC8327D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  <w:lang w:val="hr-HR"/>
        </w:rPr>
      </w:pPr>
      <w:r>
        <w:rPr>
          <w:i/>
          <w:iCs/>
          <w:szCs w:val="22"/>
        </w:rPr>
        <w:t xml:space="preserve">Bacillus </w:t>
      </w:r>
      <w:proofErr w:type="spellStart"/>
      <w:r>
        <w:rPr>
          <w:i/>
          <w:iCs/>
          <w:szCs w:val="22"/>
        </w:rPr>
        <w:t>megaterium</w:t>
      </w:r>
      <w:proofErr w:type="spellEnd"/>
    </w:p>
    <w:p w14:paraId="7E45AB51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</w:rPr>
      </w:pPr>
      <w:r>
        <w:rPr>
          <w:i/>
          <w:iCs/>
          <w:szCs w:val="22"/>
        </w:rPr>
        <w:t xml:space="preserve">Bacillus </w:t>
      </w:r>
      <w:proofErr w:type="spellStart"/>
      <w:r>
        <w:rPr>
          <w:i/>
          <w:iCs/>
          <w:szCs w:val="22"/>
        </w:rPr>
        <w:t>pumilus</w:t>
      </w:r>
      <w:proofErr w:type="spellEnd"/>
    </w:p>
    <w:p w14:paraId="51CA2E52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  <w:lang w:val="hr-HR"/>
        </w:rPr>
      </w:pPr>
      <w:proofErr w:type="spellStart"/>
      <w:r>
        <w:rPr>
          <w:i/>
          <w:iCs/>
          <w:szCs w:val="22"/>
        </w:rPr>
        <w:t>Corynebacterium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accolens</w:t>
      </w:r>
      <w:proofErr w:type="spellEnd"/>
    </w:p>
    <w:p w14:paraId="545FEF35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Corynebacterium bovis</w:t>
      </w:r>
    </w:p>
    <w:p w14:paraId="7F68A1E9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Corynebacterium macginleyi</w:t>
      </w:r>
    </w:p>
    <w:p w14:paraId="6C1869CB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Corynebacterium pseudodiphtheriticum</w:t>
      </w:r>
    </w:p>
    <w:p w14:paraId="7F9F7E36" w14:textId="77777777" w:rsidR="008F0E97" w:rsidRDefault="008F0E97">
      <w:pPr>
        <w:pStyle w:val="ListParagraph"/>
        <w:numPr>
          <w:ilvl w:val="0"/>
          <w:numId w:val="14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Kocuria kristinae</w:t>
      </w:r>
    </w:p>
    <w:p w14:paraId="24B9EC5C" w14:textId="77777777" w:rsidR="008F0E97" w:rsidRDefault="008F0E97">
      <w:pPr>
        <w:pStyle w:val="ListParagraph"/>
        <w:numPr>
          <w:ilvl w:val="0"/>
          <w:numId w:val="14"/>
        </w:numPr>
        <w:rPr>
          <w:szCs w:val="22"/>
          <w:lang w:val="hr-HR"/>
        </w:rPr>
      </w:pPr>
      <w:r>
        <w:rPr>
          <w:i/>
          <w:iCs/>
          <w:szCs w:val="22"/>
          <w:lang w:val="hr-HR"/>
        </w:rPr>
        <w:t>Staphylococcus aureus</w:t>
      </w:r>
      <w:r>
        <w:rPr>
          <w:szCs w:val="22"/>
          <w:lang w:val="hr-HR"/>
        </w:rPr>
        <w:t xml:space="preserve"> (meticillin osetljiv - MSSA)</w:t>
      </w:r>
    </w:p>
    <w:p w14:paraId="008AC0A3" w14:textId="537A9E14" w:rsidR="008F0E97" w:rsidRPr="008F0E97" w:rsidRDefault="008F0E97">
      <w:pPr>
        <w:pStyle w:val="ListParagraph"/>
        <w:numPr>
          <w:ilvl w:val="0"/>
          <w:numId w:val="14"/>
        </w:numPr>
        <w:rPr>
          <w:szCs w:val="22"/>
          <w:lang w:val="hr-HR"/>
        </w:rPr>
      </w:pPr>
      <w:r>
        <w:rPr>
          <w:i/>
          <w:iCs/>
          <w:szCs w:val="22"/>
          <w:lang w:val="hr-HR"/>
        </w:rPr>
        <w:t xml:space="preserve">Saphylococcus haemolyticus </w:t>
      </w:r>
      <w:r>
        <w:rPr>
          <w:szCs w:val="22"/>
          <w:lang w:val="hr-HR"/>
        </w:rPr>
        <w:t>(meticillin osetljiv - MSSH)</w:t>
      </w:r>
    </w:p>
    <w:p w14:paraId="5824F3EF" w14:textId="77777777" w:rsidR="008F0E97" w:rsidRDefault="008F0E97">
      <w:pPr>
        <w:rPr>
          <w:b/>
          <w:bCs/>
          <w:i/>
          <w:iCs/>
          <w:szCs w:val="22"/>
          <w:lang w:val="hr-HR"/>
        </w:rPr>
      </w:pPr>
    </w:p>
    <w:p w14:paraId="7C9A6EDF" w14:textId="3CB0727D" w:rsidR="006C33A2" w:rsidRPr="009C7A80" w:rsidRDefault="006C33A2">
      <w:pPr>
        <w:rPr>
          <w:b/>
          <w:bCs/>
          <w:i/>
          <w:iCs/>
          <w:szCs w:val="22"/>
          <w:lang w:val="sr-Latn-ME"/>
        </w:rPr>
      </w:pPr>
      <w:r w:rsidRPr="009C7A80">
        <w:rPr>
          <w:b/>
          <w:bCs/>
          <w:i/>
          <w:iCs/>
          <w:szCs w:val="22"/>
          <w:lang w:val="sr-Latn-ME"/>
        </w:rPr>
        <w:t>Aerobni Gram-negativni mikroorganizmi</w:t>
      </w:r>
    </w:p>
    <w:p w14:paraId="23308C39" w14:textId="77777777" w:rsidR="008F0E97" w:rsidRDefault="008F0E97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Acinetobacter junii</w:t>
      </w:r>
    </w:p>
    <w:p w14:paraId="18801F95" w14:textId="77777777" w:rsidR="008F0E97" w:rsidRDefault="008F0E97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Acinetobacter ursingii</w:t>
      </w:r>
    </w:p>
    <w:p w14:paraId="06484570" w14:textId="77777777" w:rsidR="008F0E97" w:rsidRDefault="008F0E97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Citrobacter koseri</w:t>
      </w:r>
    </w:p>
    <w:p w14:paraId="161F8976" w14:textId="77777777" w:rsidR="0007337E" w:rsidRDefault="0007337E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Escherichia coli</w:t>
      </w:r>
    </w:p>
    <w:p w14:paraId="72D308BF" w14:textId="77777777" w:rsidR="0007337E" w:rsidRDefault="0007337E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Klebsiella oxytoca</w:t>
      </w:r>
    </w:p>
    <w:p w14:paraId="36E387C8" w14:textId="4E66BD70" w:rsidR="008F0E97" w:rsidRPr="0007337E" w:rsidRDefault="0007337E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Klebsiella pneumoniae</w:t>
      </w:r>
    </w:p>
    <w:p w14:paraId="1F6F76BA" w14:textId="77777777" w:rsidR="008F0E97" w:rsidRDefault="008F0E97">
      <w:pPr>
        <w:pStyle w:val="ListParagraph"/>
        <w:numPr>
          <w:ilvl w:val="0"/>
          <w:numId w:val="15"/>
        </w:numPr>
        <w:rPr>
          <w:i/>
          <w:iCs/>
          <w:szCs w:val="22"/>
        </w:rPr>
      </w:pPr>
      <w:r>
        <w:rPr>
          <w:i/>
          <w:iCs/>
          <w:szCs w:val="22"/>
        </w:rPr>
        <w:t xml:space="preserve">Moraxella </w:t>
      </w:r>
      <w:proofErr w:type="spellStart"/>
      <w:r>
        <w:rPr>
          <w:i/>
          <w:iCs/>
          <w:szCs w:val="22"/>
        </w:rPr>
        <w:t>catarrhalis</w:t>
      </w:r>
      <w:proofErr w:type="spellEnd"/>
    </w:p>
    <w:p w14:paraId="122A856E" w14:textId="77777777" w:rsidR="008F0E97" w:rsidRPr="0007337E" w:rsidRDefault="008F0E97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r>
        <w:rPr>
          <w:i/>
          <w:iCs/>
          <w:szCs w:val="22"/>
        </w:rPr>
        <w:t xml:space="preserve">Moraxella </w:t>
      </w:r>
      <w:proofErr w:type="spellStart"/>
      <w:r>
        <w:rPr>
          <w:i/>
          <w:iCs/>
          <w:szCs w:val="22"/>
        </w:rPr>
        <w:t>oslonensis</w:t>
      </w:r>
      <w:proofErr w:type="spellEnd"/>
    </w:p>
    <w:p w14:paraId="6839AA93" w14:textId="25FA8681" w:rsidR="0007337E" w:rsidRDefault="0007337E">
      <w:pPr>
        <w:pStyle w:val="ListParagraph"/>
        <w:numPr>
          <w:ilvl w:val="0"/>
          <w:numId w:val="15"/>
        </w:numPr>
        <w:rPr>
          <w:i/>
          <w:iCs/>
          <w:szCs w:val="22"/>
          <w:lang w:val="hr-HR"/>
        </w:rPr>
      </w:pPr>
      <w:proofErr w:type="spellStart"/>
      <w:r>
        <w:rPr>
          <w:i/>
          <w:iCs/>
          <w:szCs w:val="22"/>
        </w:rPr>
        <w:t>Morganella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morganii</w:t>
      </w:r>
      <w:proofErr w:type="spellEnd"/>
    </w:p>
    <w:p w14:paraId="2D61AD8F" w14:textId="00392AB4" w:rsidR="008F0E97" w:rsidRDefault="00D31A59">
      <w:pPr>
        <w:pStyle w:val="ListParagraph"/>
        <w:numPr>
          <w:ilvl w:val="0"/>
          <w:numId w:val="16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Neisseria perflava</w:t>
      </w:r>
    </w:p>
    <w:p w14:paraId="174C07FD" w14:textId="77777777" w:rsidR="008F0E97" w:rsidRDefault="008F0E97">
      <w:pPr>
        <w:pStyle w:val="ListParagraph"/>
        <w:numPr>
          <w:ilvl w:val="0"/>
          <w:numId w:val="16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Proteus mirabilis</w:t>
      </w:r>
    </w:p>
    <w:p w14:paraId="287A83AB" w14:textId="1D0372A4" w:rsidR="008F0E97" w:rsidRPr="0007337E" w:rsidRDefault="008F0E97">
      <w:pPr>
        <w:pStyle w:val="ListParagraph"/>
        <w:numPr>
          <w:ilvl w:val="0"/>
          <w:numId w:val="16"/>
        </w:numPr>
        <w:rPr>
          <w:i/>
          <w:iCs/>
          <w:szCs w:val="22"/>
          <w:lang w:val="hr-HR"/>
        </w:rPr>
      </w:pPr>
      <w:r w:rsidRPr="0007337E">
        <w:rPr>
          <w:i/>
          <w:iCs/>
          <w:szCs w:val="22"/>
          <w:lang w:val="hr-HR"/>
        </w:rPr>
        <w:t>Pseudomonas aeruginosa</w:t>
      </w:r>
    </w:p>
    <w:p w14:paraId="7F19FC6D" w14:textId="77777777" w:rsidR="008F0E97" w:rsidRDefault="008F0E97">
      <w:pPr>
        <w:pStyle w:val="ListParagraph"/>
        <w:numPr>
          <w:ilvl w:val="0"/>
          <w:numId w:val="16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Serratia liquifaciens</w:t>
      </w:r>
    </w:p>
    <w:p w14:paraId="00F916E5" w14:textId="24A35C0A" w:rsidR="00D200F7" w:rsidRPr="009C7A80" w:rsidRDefault="00D200F7">
      <w:pPr>
        <w:rPr>
          <w:szCs w:val="22"/>
          <w:lang w:val="sr-Latn-ME"/>
        </w:rPr>
      </w:pPr>
    </w:p>
    <w:p w14:paraId="546D6E4B" w14:textId="44D17F7B" w:rsidR="0007337E" w:rsidRDefault="0007337E">
      <w:pPr>
        <w:rPr>
          <w:b/>
          <w:bCs/>
          <w:szCs w:val="22"/>
          <w:lang w:val="sr-Latn-ME"/>
        </w:rPr>
      </w:pPr>
      <w:r w:rsidRPr="00FF7360">
        <w:rPr>
          <w:b/>
          <w:bCs/>
          <w:szCs w:val="22"/>
          <w:lang w:val="sr-Latn-ME"/>
        </w:rPr>
        <w:t>VRSTE KOD KOJIH STEČENA REZISTENCIJA MOŽE DA PREDSTAVLJA PROBLEM</w:t>
      </w:r>
    </w:p>
    <w:p w14:paraId="34145E56" w14:textId="77777777" w:rsidR="00E5267D" w:rsidRPr="00FF7360" w:rsidRDefault="00E5267D">
      <w:pPr>
        <w:rPr>
          <w:b/>
          <w:bCs/>
          <w:szCs w:val="22"/>
          <w:lang w:val="sr-Latn-ME"/>
        </w:rPr>
      </w:pPr>
    </w:p>
    <w:p w14:paraId="6461713A" w14:textId="77777777" w:rsidR="0007337E" w:rsidRPr="0007337E" w:rsidRDefault="0007337E">
      <w:pPr>
        <w:pStyle w:val="ListParagraph"/>
        <w:numPr>
          <w:ilvl w:val="0"/>
          <w:numId w:val="7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</w:pPr>
      <w:r w:rsidRPr="0007337E"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  <w:t>Acinetobacter baumanii</w:t>
      </w:r>
    </w:p>
    <w:p w14:paraId="0941A03B" w14:textId="6211B49B" w:rsidR="0007337E" w:rsidRDefault="0007337E">
      <w:pPr>
        <w:pStyle w:val="ListParagraph"/>
        <w:numPr>
          <w:ilvl w:val="0"/>
          <w:numId w:val="7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</w:pPr>
      <w:r w:rsidRPr="0007337E"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  <w:t>Bacillus cereus</w:t>
      </w:r>
      <w:r w:rsidR="00D31A59"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  <w:t xml:space="preserve"> Bacillus</w:t>
      </w:r>
    </w:p>
    <w:p w14:paraId="1762F7D3" w14:textId="20141EDB" w:rsidR="0007337E" w:rsidRPr="0007337E" w:rsidRDefault="0007337E">
      <w:pPr>
        <w:pStyle w:val="ListParagraph"/>
        <w:numPr>
          <w:ilvl w:val="0"/>
          <w:numId w:val="7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</w:pPr>
      <w:r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  <w:t>thuringiensis Kocuria rhizophila</w:t>
      </w:r>
    </w:p>
    <w:p w14:paraId="196D80EE" w14:textId="2C18468A" w:rsidR="00493D18" w:rsidRPr="009C7A80" w:rsidRDefault="00493D18">
      <w:pPr>
        <w:pStyle w:val="ListParagraph"/>
        <w:numPr>
          <w:ilvl w:val="0"/>
          <w:numId w:val="7"/>
        </w:numPr>
        <w:rPr>
          <w:i/>
          <w:iCs/>
          <w:szCs w:val="22"/>
          <w:lang w:val="sr-Latn-ME"/>
        </w:rPr>
      </w:pPr>
      <w:r w:rsidRPr="009C7A80">
        <w:rPr>
          <w:i/>
          <w:iCs/>
          <w:szCs w:val="22"/>
          <w:lang w:val="sr-Latn-ME"/>
        </w:rPr>
        <w:t>Staphylococcus epidermidis</w:t>
      </w:r>
    </w:p>
    <w:p w14:paraId="21DC1EE2" w14:textId="77777777" w:rsidR="0007337E" w:rsidRPr="0007337E" w:rsidRDefault="0007337E">
      <w:pPr>
        <w:pStyle w:val="ListParagraph"/>
        <w:numPr>
          <w:ilvl w:val="0"/>
          <w:numId w:val="7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NewRoman" w:eastAsia="TimesNewRoman" w:hAnsi="TimesNewRoman,Bold" w:cs="TimesNewRoman"/>
          <w:szCs w:val="22"/>
          <w:lang w:val="pl-PL"/>
        </w:rPr>
      </w:pPr>
      <w:r w:rsidRPr="0007337E"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  <w:t>Staphylococcus haemolyticus (meticillin rezistentni –MRSH)</w:t>
      </w:r>
    </w:p>
    <w:p w14:paraId="1B5CC4DF" w14:textId="77777777" w:rsidR="0007337E" w:rsidRPr="0007337E" w:rsidRDefault="0007337E">
      <w:pPr>
        <w:pStyle w:val="ListParagraph"/>
        <w:numPr>
          <w:ilvl w:val="0"/>
          <w:numId w:val="7"/>
        </w:numPr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</w:pPr>
      <w:r w:rsidRPr="0007337E">
        <w:rPr>
          <w:rFonts w:ascii="TimesNewRoman,Italic" w:eastAsiaTheme="minorHAnsi" w:hAnsi="TimesNewRoman,Italic" w:cs="TimesNewRoman,Italic"/>
          <w:i/>
          <w:iCs/>
          <w:szCs w:val="22"/>
          <w:lang w:val="pl-PL"/>
        </w:rPr>
        <w:t>Staphylococcus, drugi koagulaza negativni spp.</w:t>
      </w:r>
    </w:p>
    <w:p w14:paraId="50F96D16" w14:textId="77777777" w:rsidR="0007337E" w:rsidRDefault="0007337E">
      <w:pPr>
        <w:pStyle w:val="ListParagraph"/>
        <w:numPr>
          <w:ilvl w:val="0"/>
          <w:numId w:val="7"/>
        </w:numPr>
        <w:rPr>
          <w:i/>
          <w:iCs/>
          <w:szCs w:val="22"/>
          <w:lang w:val="pl-PL"/>
        </w:rPr>
      </w:pPr>
      <w:r w:rsidRPr="0007337E">
        <w:rPr>
          <w:i/>
          <w:iCs/>
          <w:szCs w:val="22"/>
          <w:lang w:val="pl-PL"/>
        </w:rPr>
        <w:t>Serratia marcescens</w:t>
      </w:r>
    </w:p>
    <w:p w14:paraId="188F689F" w14:textId="77777777" w:rsidR="006E2E0E" w:rsidRPr="006E2E0E" w:rsidRDefault="006E2E0E">
      <w:pPr>
        <w:ind w:left="360"/>
        <w:rPr>
          <w:i/>
          <w:iCs/>
          <w:szCs w:val="22"/>
          <w:lang w:val="pl-PL"/>
        </w:rPr>
      </w:pPr>
    </w:p>
    <w:p w14:paraId="4F300577" w14:textId="77777777" w:rsidR="00D31A59" w:rsidRPr="00D341A0" w:rsidRDefault="00D31A59">
      <w:pPr>
        <w:rPr>
          <w:b/>
          <w:bCs/>
          <w:szCs w:val="22"/>
          <w:lang w:val="hr-HR"/>
        </w:rPr>
      </w:pPr>
      <w:r w:rsidRPr="00D341A0">
        <w:rPr>
          <w:b/>
          <w:bCs/>
          <w:szCs w:val="22"/>
          <w:lang w:val="pl-PL"/>
        </w:rPr>
        <w:t>INHERENTNO REZISTENTNI MIKROORGANIZMI</w:t>
      </w:r>
    </w:p>
    <w:p w14:paraId="006A726A" w14:textId="77777777" w:rsidR="006E2E0E" w:rsidRPr="006E2E0E" w:rsidRDefault="006E2E0E">
      <w:pPr>
        <w:rPr>
          <w:szCs w:val="22"/>
          <w:lang w:val="sr-Latn-ME"/>
        </w:rPr>
      </w:pPr>
    </w:p>
    <w:p w14:paraId="6C26248F" w14:textId="77777777" w:rsidR="006E2E0E" w:rsidRDefault="006E2E0E">
      <w:pPr>
        <w:rPr>
          <w:b/>
          <w:bCs/>
          <w:i/>
          <w:iCs/>
          <w:szCs w:val="22"/>
          <w:lang w:val="hr-HR"/>
        </w:rPr>
      </w:pPr>
      <w:r>
        <w:rPr>
          <w:b/>
          <w:bCs/>
          <w:i/>
          <w:iCs/>
          <w:szCs w:val="22"/>
          <w:lang w:val="hr-HR"/>
        </w:rPr>
        <w:t>Aerobni Gram-pozitivni mikroorganizmi</w:t>
      </w:r>
    </w:p>
    <w:p w14:paraId="0E55665B" w14:textId="0D633AB2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 xml:space="preserve">Enterococcus </w:t>
      </w:r>
      <w:proofErr w:type="spellStart"/>
      <w:r>
        <w:rPr>
          <w:i/>
          <w:iCs/>
          <w:szCs w:val="22"/>
        </w:rPr>
        <w:t>faecalis</w:t>
      </w:r>
      <w:proofErr w:type="spellEnd"/>
    </w:p>
    <w:p w14:paraId="7D4473D1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 xml:space="preserve">Staphylococcus aureus </w:t>
      </w:r>
      <w:r>
        <w:rPr>
          <w:szCs w:val="22"/>
          <w:lang w:val="hr-HR"/>
        </w:rPr>
        <w:t>(meticillin rezistentni MRSA)</w:t>
      </w:r>
    </w:p>
    <w:p w14:paraId="461C130F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</w:rPr>
      </w:pPr>
      <w:r>
        <w:rPr>
          <w:i/>
          <w:iCs/>
          <w:szCs w:val="22"/>
        </w:rPr>
        <w:t>Streptococcus mitis</w:t>
      </w:r>
    </w:p>
    <w:p w14:paraId="3E140349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</w:rPr>
      </w:pPr>
      <w:r>
        <w:rPr>
          <w:i/>
          <w:iCs/>
          <w:szCs w:val="22"/>
        </w:rPr>
        <w:t xml:space="preserve">Streptococcus </w:t>
      </w:r>
      <w:proofErr w:type="spellStart"/>
      <w:r>
        <w:rPr>
          <w:i/>
          <w:iCs/>
          <w:szCs w:val="22"/>
        </w:rPr>
        <w:t>pneumoniae</w:t>
      </w:r>
      <w:proofErr w:type="spellEnd"/>
    </w:p>
    <w:p w14:paraId="20CEE362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</w:rPr>
      </w:pPr>
      <w:r>
        <w:rPr>
          <w:i/>
          <w:iCs/>
          <w:szCs w:val="22"/>
        </w:rPr>
        <w:t xml:space="preserve">Streptococcus </w:t>
      </w:r>
      <w:proofErr w:type="spellStart"/>
      <w:r>
        <w:rPr>
          <w:i/>
          <w:iCs/>
          <w:szCs w:val="22"/>
        </w:rPr>
        <w:t>pyogenes</w:t>
      </w:r>
      <w:proofErr w:type="spellEnd"/>
    </w:p>
    <w:p w14:paraId="27D2765B" w14:textId="4DA81C13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</w:rPr>
      </w:pPr>
      <w:r>
        <w:rPr>
          <w:i/>
          <w:iCs/>
          <w:szCs w:val="22"/>
        </w:rPr>
        <w:lastRenderedPageBreak/>
        <w:t xml:space="preserve">Streptococcus </w:t>
      </w:r>
      <w:proofErr w:type="spellStart"/>
      <w:r w:rsidR="00D31A59">
        <w:rPr>
          <w:i/>
          <w:iCs/>
          <w:szCs w:val="22"/>
        </w:rPr>
        <w:t>s</w:t>
      </w:r>
      <w:r>
        <w:rPr>
          <w:i/>
          <w:iCs/>
          <w:szCs w:val="22"/>
        </w:rPr>
        <w:t>anguis</w:t>
      </w:r>
      <w:proofErr w:type="spellEnd"/>
    </w:p>
    <w:p w14:paraId="733072B2" w14:textId="77777777" w:rsidR="007E4CF8" w:rsidRPr="009C7A80" w:rsidRDefault="007E4CF8">
      <w:pPr>
        <w:rPr>
          <w:szCs w:val="22"/>
          <w:lang w:val="sr-Latn-ME"/>
        </w:rPr>
      </w:pPr>
    </w:p>
    <w:p w14:paraId="37177ADF" w14:textId="0ADCB0DC" w:rsidR="005B03DD" w:rsidRPr="009C7A80" w:rsidRDefault="005B03DD">
      <w:pPr>
        <w:rPr>
          <w:b/>
          <w:bCs/>
          <w:i/>
          <w:iCs/>
          <w:szCs w:val="22"/>
          <w:lang w:val="sr-Latn-ME"/>
        </w:rPr>
      </w:pPr>
      <w:r w:rsidRPr="009C7A80">
        <w:rPr>
          <w:b/>
          <w:bCs/>
          <w:i/>
          <w:iCs/>
          <w:szCs w:val="22"/>
          <w:lang w:val="sr-Latn-ME"/>
        </w:rPr>
        <w:t>Aerobni Gram-negativni mikroorganizmi</w:t>
      </w:r>
    </w:p>
    <w:p w14:paraId="42B0E3F3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Chryseobacterium indologenes</w:t>
      </w:r>
    </w:p>
    <w:p w14:paraId="61BB699A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Haemophilus influenzae</w:t>
      </w:r>
    </w:p>
    <w:p w14:paraId="65725EAD" w14:textId="77777777" w:rsidR="006E2E0E" w:rsidRDefault="006E2E0E">
      <w:pPr>
        <w:pStyle w:val="ListParagraph"/>
        <w:numPr>
          <w:ilvl w:val="0"/>
          <w:numId w:val="17"/>
        </w:numPr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Stenotrophomonas maltophilia</w:t>
      </w:r>
    </w:p>
    <w:p w14:paraId="062114B7" w14:textId="77777777" w:rsidR="003F0E9E" w:rsidRPr="009C7A80" w:rsidRDefault="003F0E9E">
      <w:pPr>
        <w:pStyle w:val="ListParagraph"/>
        <w:rPr>
          <w:szCs w:val="22"/>
          <w:lang w:val="sr-Latn-ME"/>
        </w:rPr>
      </w:pPr>
    </w:p>
    <w:p w14:paraId="15F8D5B8" w14:textId="63AF777D" w:rsidR="003F0E9E" w:rsidRPr="009C7A80" w:rsidRDefault="003F0E9E">
      <w:pPr>
        <w:rPr>
          <w:b/>
          <w:bCs/>
          <w:i/>
          <w:iCs/>
          <w:szCs w:val="22"/>
          <w:lang w:val="sr-Latn-ME"/>
        </w:rPr>
      </w:pPr>
      <w:r w:rsidRPr="009C7A80">
        <w:rPr>
          <w:b/>
          <w:bCs/>
          <w:i/>
          <w:iCs/>
          <w:szCs w:val="22"/>
          <w:lang w:val="sr-Latn-ME"/>
        </w:rPr>
        <w:t>Ana</w:t>
      </w:r>
      <w:r w:rsidR="003148DF" w:rsidRPr="009C7A80">
        <w:rPr>
          <w:b/>
          <w:bCs/>
          <w:i/>
          <w:iCs/>
          <w:szCs w:val="22"/>
          <w:lang w:val="sr-Latn-ME"/>
        </w:rPr>
        <w:t>e</w:t>
      </w:r>
      <w:r w:rsidRPr="009C7A80">
        <w:rPr>
          <w:b/>
          <w:bCs/>
          <w:i/>
          <w:iCs/>
          <w:szCs w:val="22"/>
          <w:lang w:val="sr-Latn-ME"/>
        </w:rPr>
        <w:t>robn</w:t>
      </w:r>
      <w:r w:rsidR="002C094D" w:rsidRPr="009C7A80">
        <w:rPr>
          <w:b/>
          <w:bCs/>
          <w:i/>
          <w:iCs/>
          <w:szCs w:val="22"/>
          <w:lang w:val="sr-Latn-ME"/>
        </w:rPr>
        <w:t>i mikroorganizmi</w:t>
      </w:r>
    </w:p>
    <w:p w14:paraId="6CEAFED1" w14:textId="67B546A9" w:rsidR="002C094D" w:rsidRPr="006E2E0E" w:rsidRDefault="006E2E0E">
      <w:pPr>
        <w:pStyle w:val="ListParagraph"/>
        <w:numPr>
          <w:ilvl w:val="0"/>
          <w:numId w:val="9"/>
        </w:numPr>
        <w:rPr>
          <w:b/>
          <w:bCs/>
          <w:i/>
          <w:iCs/>
          <w:szCs w:val="22"/>
          <w:lang w:val="hr-HR"/>
        </w:rPr>
      </w:pPr>
      <w:proofErr w:type="spellStart"/>
      <w:r w:rsidRPr="006E2E0E">
        <w:rPr>
          <w:i/>
          <w:iCs/>
          <w:szCs w:val="22"/>
        </w:rPr>
        <w:t>Propionibacterium</w:t>
      </w:r>
      <w:proofErr w:type="spellEnd"/>
      <w:r w:rsidRPr="006E2E0E">
        <w:rPr>
          <w:i/>
          <w:iCs/>
          <w:szCs w:val="22"/>
        </w:rPr>
        <w:t xml:space="preserve"> acnes</w:t>
      </w:r>
    </w:p>
    <w:p w14:paraId="21E5D274" w14:textId="77777777" w:rsidR="00D17859" w:rsidRPr="009C7A80" w:rsidRDefault="00D17859">
      <w:pPr>
        <w:rPr>
          <w:color w:val="FF0000"/>
          <w:szCs w:val="22"/>
          <w:lang w:val="sr-Latn-ME"/>
        </w:rPr>
      </w:pPr>
    </w:p>
    <w:p w14:paraId="641EEEB1" w14:textId="0D3769E3" w:rsidR="006C33A2" w:rsidRPr="009C7A80" w:rsidRDefault="006C33A2">
      <w:pPr>
        <w:rPr>
          <w:szCs w:val="22"/>
          <w:u w:val="single"/>
          <w:lang w:val="sr-Latn-ME"/>
        </w:rPr>
      </w:pPr>
      <w:r w:rsidRPr="009C7A80">
        <w:rPr>
          <w:szCs w:val="22"/>
          <w:u w:val="single"/>
          <w:lang w:val="sr-Latn-ME"/>
        </w:rPr>
        <w:t>Pedijatrijska populacija</w:t>
      </w:r>
    </w:p>
    <w:p w14:paraId="7DD97F9C" w14:textId="7A368916" w:rsidR="006724B4" w:rsidRPr="009C7A80" w:rsidRDefault="006C33A2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Više od 600 pedijatrijskih pacijenata je bilo uključeno u 10 kliničkih studija sa l</w:t>
      </w:r>
      <w:r w:rsidR="00EB6C24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ekom tobramicin kapi za oči</w:t>
      </w:r>
      <w:r w:rsidR="006B1678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ili mast za oči, u l</w:t>
      </w:r>
      <w:r w:rsidR="00EB6C24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>ečenju bakterijskog konjunktivitis</w:t>
      </w:r>
      <w:r w:rsidR="000A52FB">
        <w:rPr>
          <w:szCs w:val="22"/>
          <w:lang w:val="sr-Latn-ME"/>
        </w:rPr>
        <w:t>a</w:t>
      </w:r>
      <w:r w:rsidRPr="009C7A80">
        <w:rPr>
          <w:szCs w:val="22"/>
          <w:lang w:val="sr-Latn-ME"/>
        </w:rPr>
        <w:t>, blefaritisa ili blefarokonjunktivitisa. Ovi pacijenti su</w:t>
      </w:r>
      <w:r w:rsidR="006B1678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bili uzrasta od 1 do 18 godina. Sveukupno, bezb</w:t>
      </w:r>
      <w:r w:rsidR="00EB6C24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ednosni profil kod pedijatrijskih pacijenata je bio uporediv</w:t>
      </w:r>
      <w:r w:rsidR="006B1678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sa onim kod odraslih pacijenata. Za d</w:t>
      </w:r>
      <w:r w:rsidR="00283181" w:rsidRPr="009C7A80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 xml:space="preserve">ecu mlađu od </w:t>
      </w:r>
      <w:r w:rsidR="001F6FC0" w:rsidRPr="009C7A80">
        <w:rPr>
          <w:szCs w:val="22"/>
          <w:lang w:val="sr-Latn-ME"/>
        </w:rPr>
        <w:t>godinu dana</w:t>
      </w:r>
      <w:r w:rsidRPr="009C7A80">
        <w:rPr>
          <w:szCs w:val="22"/>
          <w:lang w:val="sr-Latn-ME"/>
        </w:rPr>
        <w:t>, ne mogu se dati preporuke za doziranje</w:t>
      </w:r>
      <w:r w:rsidR="003B34FB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usl</w:t>
      </w:r>
      <w:r w:rsidR="000E763C">
        <w:rPr>
          <w:szCs w:val="22"/>
          <w:lang w:val="sr-Latn-ME"/>
        </w:rPr>
        <w:t>j</w:t>
      </w:r>
      <w:r w:rsidRPr="009C7A80">
        <w:rPr>
          <w:szCs w:val="22"/>
          <w:lang w:val="sr-Latn-ME"/>
        </w:rPr>
        <w:t>ed nedostatka podataka.</w:t>
      </w:r>
    </w:p>
    <w:p w14:paraId="62D4D5EB" w14:textId="77777777" w:rsidR="00310A42" w:rsidRPr="009C7A80" w:rsidRDefault="00310A42">
      <w:pPr>
        <w:rPr>
          <w:b/>
          <w:bCs/>
          <w:szCs w:val="22"/>
          <w:lang w:val="sr-Latn-ME"/>
        </w:rPr>
      </w:pPr>
    </w:p>
    <w:p w14:paraId="397451D0" w14:textId="2234E8D4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5.2. Farmakokinetički podaci</w:t>
      </w:r>
    </w:p>
    <w:p w14:paraId="3E7377A6" w14:textId="77777777" w:rsidR="00407DAC" w:rsidRPr="009C7A80" w:rsidRDefault="00407DAC">
      <w:pPr>
        <w:rPr>
          <w:szCs w:val="22"/>
          <w:lang w:val="sr-Latn-ME"/>
        </w:rPr>
      </w:pPr>
    </w:p>
    <w:p w14:paraId="3CE53987" w14:textId="2679E787" w:rsidR="006E2E0E" w:rsidRDefault="006E2E0E">
      <w:pPr>
        <w:rPr>
          <w:szCs w:val="22"/>
          <w:lang w:val="hr-HR"/>
        </w:rPr>
      </w:pPr>
      <w:r>
        <w:rPr>
          <w:szCs w:val="22"/>
          <w:lang w:val="hr-HR"/>
        </w:rPr>
        <w:t>Tobramicin se slabo resorbuje preko kornee i konjuktive kod kunića i minimalne količine se resorbuju u oko nakon topikalne prim</w:t>
      </w:r>
      <w:r w:rsidR="000E763C">
        <w:rPr>
          <w:szCs w:val="22"/>
          <w:lang w:val="hr-HR"/>
        </w:rPr>
        <w:t>j</w:t>
      </w:r>
      <w:r>
        <w:rPr>
          <w:szCs w:val="22"/>
          <w:lang w:val="hr-HR"/>
        </w:rPr>
        <w:t>ene tobramicina.</w:t>
      </w:r>
    </w:p>
    <w:p w14:paraId="6212F5C3" w14:textId="77777777" w:rsidR="006E2E0E" w:rsidRDefault="006E2E0E">
      <w:pPr>
        <w:rPr>
          <w:szCs w:val="22"/>
          <w:lang w:val="hr-HR"/>
        </w:rPr>
      </w:pPr>
    </w:p>
    <w:p w14:paraId="4CC19FF7" w14:textId="790A4004" w:rsidR="006E2E0E" w:rsidRDefault="006E2E0E">
      <w:pPr>
        <w:rPr>
          <w:szCs w:val="22"/>
          <w:lang w:val="pl-PL"/>
        </w:rPr>
      </w:pPr>
      <w:r>
        <w:rPr>
          <w:szCs w:val="22"/>
          <w:lang w:val="pl-PL"/>
        </w:rPr>
        <w:t>Zbog velike koncentracije tobramicina u l</w:t>
      </w:r>
      <w:r w:rsidR="000E763C">
        <w:rPr>
          <w:szCs w:val="22"/>
          <w:lang w:val="pl-PL"/>
        </w:rPr>
        <w:t>ij</w:t>
      </w:r>
      <w:r>
        <w:rPr>
          <w:szCs w:val="22"/>
          <w:lang w:val="pl-PL"/>
        </w:rPr>
        <w:t xml:space="preserve">eku </w:t>
      </w:r>
      <w:r w:rsidR="007C1BA5">
        <w:rPr>
          <w:szCs w:val="22"/>
          <w:lang w:val="pl-PL"/>
        </w:rPr>
        <w:t>Tobycin</w:t>
      </w:r>
      <w:r>
        <w:rPr>
          <w:szCs w:val="22"/>
          <w:lang w:val="pl-PL"/>
        </w:rPr>
        <w:t>, tobramicin je dostupan na m</w:t>
      </w:r>
      <w:r w:rsidR="000E763C">
        <w:rPr>
          <w:szCs w:val="22"/>
          <w:lang w:val="pl-PL"/>
        </w:rPr>
        <w:t>j</w:t>
      </w:r>
      <w:r>
        <w:rPr>
          <w:szCs w:val="22"/>
          <w:lang w:val="pl-PL"/>
        </w:rPr>
        <w:t>estu infekcije (okularna površina) u koncentraciji koja je uopšteno dosta veća od MIC većine rezistentnih izolata (MIC</w:t>
      </w:r>
      <w:r w:rsidR="00976166">
        <w:rPr>
          <w:szCs w:val="22"/>
          <w:lang w:val="pl-PL"/>
        </w:rPr>
        <w:t>s</w:t>
      </w:r>
      <w:r>
        <w:rPr>
          <w:szCs w:val="22"/>
          <w:lang w:val="pl-PL"/>
        </w:rPr>
        <w:t xml:space="preserve"> &gt; 64 mikrograma/mL; koncentracija tobramicina u ljudskom oku nakon pojedinačne doze l</w:t>
      </w:r>
      <w:r w:rsidR="000E763C">
        <w:rPr>
          <w:szCs w:val="22"/>
          <w:lang w:val="pl-PL"/>
        </w:rPr>
        <w:t>ij</w:t>
      </w:r>
      <w:r>
        <w:rPr>
          <w:szCs w:val="22"/>
          <w:lang w:val="pl-PL"/>
        </w:rPr>
        <w:t xml:space="preserve">eka </w:t>
      </w:r>
      <w:r w:rsidR="007C1BA5">
        <w:rPr>
          <w:szCs w:val="22"/>
          <w:lang w:val="pl-PL"/>
        </w:rPr>
        <w:t>Tobycin</w:t>
      </w:r>
      <w:r>
        <w:rPr>
          <w:szCs w:val="22"/>
          <w:lang w:val="pl-PL"/>
        </w:rPr>
        <w:t xml:space="preserve"> je 848 ± 674 mikrograma/mL, 1 minut nakon prim</w:t>
      </w:r>
      <w:r w:rsidR="000E763C">
        <w:rPr>
          <w:szCs w:val="22"/>
          <w:lang w:val="pl-PL"/>
        </w:rPr>
        <w:t>j</w:t>
      </w:r>
      <w:r>
        <w:rPr>
          <w:szCs w:val="22"/>
          <w:lang w:val="pl-PL"/>
        </w:rPr>
        <w:t>ene).</w:t>
      </w:r>
    </w:p>
    <w:p w14:paraId="0448FB97" w14:textId="77777777" w:rsidR="006E2E0E" w:rsidRDefault="006E2E0E">
      <w:pPr>
        <w:rPr>
          <w:szCs w:val="22"/>
          <w:lang w:val="pl-PL"/>
        </w:rPr>
      </w:pPr>
    </w:p>
    <w:p w14:paraId="3B22A18B" w14:textId="31B54078" w:rsidR="006E2E0E" w:rsidRDefault="006E2E0E">
      <w:pPr>
        <w:rPr>
          <w:szCs w:val="22"/>
          <w:lang w:val="pl-PL"/>
        </w:rPr>
      </w:pPr>
      <w:r>
        <w:rPr>
          <w:szCs w:val="22"/>
          <w:lang w:val="pl-PL"/>
        </w:rPr>
        <w:t>Koncentracija tobramicina u ljudskim suzama kod zdravih ljudi ostaje iznad MIC</w:t>
      </w:r>
      <w:r w:rsidR="00976166" w:rsidRPr="00976166">
        <w:rPr>
          <w:sz w:val="20"/>
          <w:szCs w:val="20"/>
          <w:lang w:val="pl-PL"/>
        </w:rPr>
        <w:t>90</w:t>
      </w:r>
      <w:r>
        <w:rPr>
          <w:szCs w:val="22"/>
          <w:lang w:val="pl-PL"/>
        </w:rPr>
        <w:t xml:space="preserve"> (16 </w:t>
      </w:r>
      <w:r w:rsidR="00D31A59">
        <w:rPr>
          <w:szCs w:val="22"/>
          <w:lang w:val="pl-PL"/>
        </w:rPr>
        <w:t>g</w:t>
      </w:r>
      <w:r>
        <w:rPr>
          <w:szCs w:val="22"/>
          <w:lang w:val="pl-PL"/>
        </w:rPr>
        <w:t>/mL</w:t>
      </w:r>
    </w:p>
    <w:p w14:paraId="3A9C3108" w14:textId="4EF06A27" w:rsidR="006E2E0E" w:rsidRDefault="006E2E0E">
      <w:pPr>
        <w:rPr>
          <w:color w:val="FF0000"/>
          <w:szCs w:val="22"/>
          <w:lang w:val="hr-HR"/>
        </w:rPr>
      </w:pPr>
      <w:r>
        <w:rPr>
          <w:szCs w:val="22"/>
          <w:lang w:val="pl-PL"/>
        </w:rPr>
        <w:t>opisano kao za okularni izolat) najmanje do 44 minuta nakon prim</w:t>
      </w:r>
      <w:r w:rsidR="000E763C">
        <w:rPr>
          <w:szCs w:val="22"/>
          <w:lang w:val="pl-PL"/>
        </w:rPr>
        <w:t>j</w:t>
      </w:r>
      <w:r>
        <w:rPr>
          <w:szCs w:val="22"/>
          <w:lang w:val="pl-PL"/>
        </w:rPr>
        <w:t>ene tokom l</w:t>
      </w:r>
      <w:r w:rsidR="000E763C">
        <w:rPr>
          <w:szCs w:val="22"/>
          <w:lang w:val="pl-PL"/>
        </w:rPr>
        <w:t>ij</w:t>
      </w:r>
      <w:r>
        <w:rPr>
          <w:szCs w:val="22"/>
          <w:lang w:val="pl-PL"/>
        </w:rPr>
        <w:t>ečenja l</w:t>
      </w:r>
      <w:r w:rsidR="000E763C">
        <w:rPr>
          <w:szCs w:val="22"/>
          <w:lang w:val="pl-PL"/>
        </w:rPr>
        <w:t>ij</w:t>
      </w:r>
      <w:r>
        <w:rPr>
          <w:szCs w:val="22"/>
          <w:lang w:val="pl-PL"/>
        </w:rPr>
        <w:t xml:space="preserve">ekom </w:t>
      </w:r>
      <w:r w:rsidR="007C1BA5">
        <w:rPr>
          <w:szCs w:val="22"/>
          <w:lang w:val="pl-PL"/>
        </w:rPr>
        <w:t>Tobycin</w:t>
      </w:r>
      <w:r w:rsidR="008D116E">
        <w:rPr>
          <w:szCs w:val="22"/>
          <w:lang w:val="pl-PL"/>
        </w:rPr>
        <w:t>, kapi za oči</w:t>
      </w:r>
      <w:r>
        <w:rPr>
          <w:szCs w:val="22"/>
          <w:lang w:val="pl-PL"/>
        </w:rPr>
        <w:t>.</w:t>
      </w:r>
    </w:p>
    <w:p w14:paraId="0FDD984D" w14:textId="77777777" w:rsidR="00350853" w:rsidRPr="009C7A80" w:rsidRDefault="00350853">
      <w:pPr>
        <w:rPr>
          <w:b/>
          <w:bCs/>
          <w:szCs w:val="22"/>
          <w:lang w:val="sr-Latn-ME"/>
        </w:rPr>
      </w:pPr>
    </w:p>
    <w:p w14:paraId="786C32D3" w14:textId="0F1BC822" w:rsidR="00407DAC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5.3. Pretklinički podaci o bezb</w:t>
      </w:r>
      <w:r w:rsidR="000E763C">
        <w:rPr>
          <w:b/>
          <w:bCs/>
          <w:szCs w:val="22"/>
          <w:lang w:val="sr-Latn-ME"/>
        </w:rPr>
        <w:t>j</w:t>
      </w:r>
      <w:r w:rsidRPr="009C7A80">
        <w:rPr>
          <w:b/>
          <w:bCs/>
          <w:szCs w:val="22"/>
          <w:lang w:val="sr-Latn-ME"/>
        </w:rPr>
        <w:t>ednosti l</w:t>
      </w:r>
      <w:r w:rsidR="000E763C">
        <w:rPr>
          <w:b/>
          <w:bCs/>
          <w:szCs w:val="22"/>
          <w:lang w:val="sr-Latn-ME"/>
        </w:rPr>
        <w:t>ij</w:t>
      </w:r>
      <w:r w:rsidRPr="009C7A80">
        <w:rPr>
          <w:b/>
          <w:bCs/>
          <w:szCs w:val="22"/>
          <w:lang w:val="sr-Latn-ME"/>
        </w:rPr>
        <w:t>eka</w:t>
      </w:r>
    </w:p>
    <w:p w14:paraId="57C3D5C7" w14:textId="77777777" w:rsidR="006E2E0E" w:rsidRDefault="006E2E0E">
      <w:pPr>
        <w:rPr>
          <w:b/>
          <w:bCs/>
          <w:szCs w:val="22"/>
          <w:lang w:val="sr-Latn-ME"/>
        </w:rPr>
      </w:pPr>
    </w:p>
    <w:p w14:paraId="69AE72F6" w14:textId="0071D9B7" w:rsidR="006E2E0E" w:rsidRDefault="006E2E0E">
      <w:pPr>
        <w:rPr>
          <w:szCs w:val="22"/>
          <w:lang w:val="ru-RU"/>
        </w:rPr>
      </w:pPr>
      <w:proofErr w:type="spellStart"/>
      <w:r>
        <w:rPr>
          <w:szCs w:val="22"/>
        </w:rPr>
        <w:t>Tobramicin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se</w:t>
      </w:r>
      <w:r>
        <w:rPr>
          <w:szCs w:val="22"/>
          <w:lang w:val="ru-RU"/>
        </w:rPr>
        <w:t xml:space="preserve"> </w:t>
      </w:r>
      <w:r w:rsidR="00C4277D">
        <w:rPr>
          <w:szCs w:val="22"/>
          <w:lang w:val="sr-Latn-ME"/>
        </w:rPr>
        <w:t xml:space="preserve">veoma </w:t>
      </w:r>
      <w:proofErr w:type="spellStart"/>
      <w:r>
        <w:rPr>
          <w:szCs w:val="22"/>
        </w:rPr>
        <w:t>slabo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resorbuje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iz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gastrointestinalnog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trakta</w:t>
      </w:r>
      <w:proofErr w:type="spellEnd"/>
      <w:r>
        <w:rPr>
          <w:szCs w:val="22"/>
          <w:lang w:val="ru-RU"/>
        </w:rPr>
        <w:t xml:space="preserve">. </w:t>
      </w:r>
      <w:proofErr w:type="spellStart"/>
      <w:r>
        <w:rPr>
          <w:szCs w:val="22"/>
        </w:rPr>
        <w:t>Za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parenteralno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prim</w:t>
      </w:r>
      <w:r w:rsidR="000E763C">
        <w:rPr>
          <w:szCs w:val="22"/>
        </w:rPr>
        <w:t>ij</w:t>
      </w:r>
      <w:r>
        <w:rPr>
          <w:szCs w:val="22"/>
        </w:rPr>
        <w:t>enjene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velike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doze</w:t>
      </w:r>
      <w:r>
        <w:rPr>
          <w:szCs w:val="22"/>
          <w:lang w:val="sr-Latn-RS"/>
        </w:rPr>
        <w:t xml:space="preserve"> </w:t>
      </w:r>
      <w:proofErr w:type="spellStart"/>
      <w:r>
        <w:rPr>
          <w:szCs w:val="22"/>
        </w:rPr>
        <w:t>tobramicina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je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prijavljeno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da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mogu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da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izazovu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renalnu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toksi</w:t>
      </w:r>
      <w:proofErr w:type="spellEnd"/>
      <w:r>
        <w:rPr>
          <w:szCs w:val="22"/>
          <w:lang w:val="ru-RU"/>
        </w:rPr>
        <w:t>č</w:t>
      </w:r>
      <w:proofErr w:type="spellStart"/>
      <w:r>
        <w:rPr>
          <w:szCs w:val="22"/>
        </w:rPr>
        <w:t>nost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kod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pacova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pasa</w:t>
      </w:r>
      <w:proofErr w:type="spellEnd"/>
      <w:r>
        <w:rPr>
          <w:szCs w:val="22"/>
          <w:lang w:val="ru-RU"/>
        </w:rPr>
        <w:t xml:space="preserve">, </w:t>
      </w:r>
      <w:proofErr w:type="spellStart"/>
      <w:r>
        <w:rPr>
          <w:szCs w:val="22"/>
        </w:rPr>
        <w:t>i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ototoksi</w:t>
      </w:r>
      <w:proofErr w:type="spellEnd"/>
      <w:r>
        <w:rPr>
          <w:szCs w:val="22"/>
          <w:lang w:val="ru-RU"/>
        </w:rPr>
        <w:t>č</w:t>
      </w:r>
      <w:proofErr w:type="spellStart"/>
      <w:r>
        <w:rPr>
          <w:szCs w:val="22"/>
        </w:rPr>
        <w:t>nost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kod</w:t>
      </w:r>
      <w:proofErr w:type="spellEnd"/>
      <w:r>
        <w:rPr>
          <w:szCs w:val="22"/>
          <w:lang w:val="sr-Latn-RS"/>
        </w:rPr>
        <w:t xml:space="preserve"> </w:t>
      </w:r>
      <w:r>
        <w:rPr>
          <w:szCs w:val="22"/>
        </w:rPr>
        <w:t>ma</w:t>
      </w:r>
      <w:r>
        <w:rPr>
          <w:szCs w:val="22"/>
          <w:lang w:val="ru-RU"/>
        </w:rPr>
        <w:t>č</w:t>
      </w:r>
      <w:r>
        <w:rPr>
          <w:szCs w:val="22"/>
        </w:rPr>
        <w:t>aka</w:t>
      </w:r>
      <w:r>
        <w:rPr>
          <w:szCs w:val="22"/>
          <w:lang w:val="ru-RU"/>
        </w:rPr>
        <w:t>.</w:t>
      </w:r>
    </w:p>
    <w:p w14:paraId="2AB9E9DE" w14:textId="77777777" w:rsidR="003F6BFC" w:rsidRDefault="003F6BFC">
      <w:pPr>
        <w:rPr>
          <w:szCs w:val="22"/>
          <w:lang w:val="ru-RU"/>
        </w:rPr>
      </w:pPr>
    </w:p>
    <w:p w14:paraId="37292282" w14:textId="3C8E1204" w:rsidR="006E2E0E" w:rsidRDefault="00186286">
      <w:pPr>
        <w:rPr>
          <w:szCs w:val="22"/>
          <w:lang w:val="ru-RU"/>
        </w:rPr>
      </w:pPr>
      <w:proofErr w:type="spellStart"/>
      <w:r>
        <w:rPr>
          <w:szCs w:val="22"/>
        </w:rPr>
        <w:t>Pretklini</w:t>
      </w:r>
      <w:proofErr w:type="spellEnd"/>
      <w:r>
        <w:rPr>
          <w:szCs w:val="22"/>
          <w:lang w:val="ru-RU"/>
        </w:rPr>
        <w:t>č</w:t>
      </w:r>
      <w:proofErr w:type="spellStart"/>
      <w:r>
        <w:rPr>
          <w:szCs w:val="22"/>
        </w:rPr>
        <w:t>ka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ispitivanja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su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pokazala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da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su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velike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sistemske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doze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tobramicina</w:t>
      </w:r>
      <w:proofErr w:type="spellEnd"/>
      <w:r>
        <w:rPr>
          <w:szCs w:val="22"/>
          <w:lang w:val="ru-RU"/>
        </w:rPr>
        <w:t xml:space="preserve">, 30 </w:t>
      </w:r>
      <w:proofErr w:type="spellStart"/>
      <w:r>
        <w:rPr>
          <w:szCs w:val="22"/>
        </w:rPr>
        <w:t>i</w:t>
      </w:r>
      <w:proofErr w:type="spellEnd"/>
      <w:r>
        <w:rPr>
          <w:szCs w:val="22"/>
          <w:lang w:val="ru-RU"/>
        </w:rPr>
        <w:t xml:space="preserve"> 60 </w:t>
      </w:r>
      <w:r>
        <w:rPr>
          <w:szCs w:val="22"/>
        </w:rPr>
        <w:t>mg</w:t>
      </w:r>
      <w:r>
        <w:rPr>
          <w:szCs w:val="22"/>
          <w:lang w:val="ru-RU"/>
        </w:rPr>
        <w:t>/</w:t>
      </w:r>
      <w:r>
        <w:rPr>
          <w:szCs w:val="22"/>
        </w:rPr>
        <w:t>kg</w:t>
      </w:r>
      <w:r w:rsidR="000A52FB" w:rsidRPr="00F350E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prim</w:t>
      </w:r>
      <w:r w:rsidR="003A790D">
        <w:rPr>
          <w:szCs w:val="22"/>
        </w:rPr>
        <w:t>ij</w:t>
      </w:r>
      <w:r>
        <w:rPr>
          <w:szCs w:val="22"/>
        </w:rPr>
        <w:t>enjene</w:t>
      </w:r>
      <w:proofErr w:type="spellEnd"/>
      <w:r>
        <w:rPr>
          <w:szCs w:val="22"/>
          <w:lang w:val="sr-Latn-RS"/>
        </w:rPr>
        <w:t xml:space="preserve"> </w:t>
      </w:r>
      <w:proofErr w:type="spellStart"/>
      <w:r>
        <w:rPr>
          <w:szCs w:val="22"/>
        </w:rPr>
        <w:t>intraperitonealnim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putem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kod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pacova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tokom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perioda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glavne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organogeneze</w:t>
      </w:r>
      <w:proofErr w:type="spellEnd"/>
      <w:r w:rsidR="000A52FB">
        <w:rPr>
          <w:szCs w:val="22"/>
          <w:lang w:val="sr-Latn-ME"/>
        </w:rPr>
        <w:t>,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dovele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do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pove</w:t>
      </w:r>
      <w:proofErr w:type="spellEnd"/>
      <w:r>
        <w:rPr>
          <w:szCs w:val="22"/>
          <w:lang w:val="ru-RU"/>
        </w:rPr>
        <w:t>ć</w:t>
      </w:r>
      <w:proofErr w:type="spellStart"/>
      <w:r>
        <w:rPr>
          <w:szCs w:val="22"/>
        </w:rPr>
        <w:t>anja</w:t>
      </w:r>
      <w:proofErr w:type="spellEnd"/>
      <w:r>
        <w:rPr>
          <w:szCs w:val="22"/>
          <w:lang w:val="sr-Latn-RS"/>
        </w:rPr>
        <w:t xml:space="preserve"> </w:t>
      </w:r>
      <w:proofErr w:type="spellStart"/>
      <w:r>
        <w:rPr>
          <w:szCs w:val="22"/>
        </w:rPr>
        <w:t>glomerularne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gustine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do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smanjenja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kortikalne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povr</w:t>
      </w:r>
      <w:proofErr w:type="spellEnd"/>
      <w:r>
        <w:rPr>
          <w:szCs w:val="22"/>
          <w:lang w:val="ru-RU"/>
        </w:rPr>
        <w:t>š</w:t>
      </w:r>
      <w:proofErr w:type="spellStart"/>
      <w:r>
        <w:rPr>
          <w:szCs w:val="22"/>
        </w:rPr>
        <w:t>ine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bubrega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kod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fetusa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kod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novoro</w:t>
      </w:r>
      <w:proofErr w:type="spellEnd"/>
      <w:r>
        <w:rPr>
          <w:szCs w:val="22"/>
          <w:lang w:val="ru-RU"/>
        </w:rPr>
        <w:t>đ</w:t>
      </w:r>
      <w:proofErr w:type="spellStart"/>
      <w:r>
        <w:rPr>
          <w:szCs w:val="22"/>
        </w:rPr>
        <w:t>enih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pacova</w:t>
      </w:r>
      <w:proofErr w:type="spellEnd"/>
      <w:r>
        <w:rPr>
          <w:szCs w:val="22"/>
          <w:lang w:val="ru-RU"/>
        </w:rPr>
        <w:t>.</w:t>
      </w:r>
    </w:p>
    <w:p w14:paraId="58DC281B" w14:textId="77777777" w:rsidR="00823F61" w:rsidRPr="006E2E0E" w:rsidRDefault="00823F61">
      <w:pPr>
        <w:rPr>
          <w:b/>
          <w:bCs/>
          <w:szCs w:val="22"/>
          <w:lang w:val="ru-RU"/>
        </w:rPr>
      </w:pPr>
    </w:p>
    <w:p w14:paraId="240CBE6F" w14:textId="0A5D82F6" w:rsidR="00823F61" w:rsidRDefault="00186286" w:rsidP="00F350E4">
      <w:pPr>
        <w:rPr>
          <w:szCs w:val="22"/>
          <w:lang w:val="pl-PL"/>
        </w:rPr>
      </w:pPr>
      <w:r>
        <w:rPr>
          <w:szCs w:val="22"/>
          <w:lang w:val="sr-Latn-RS"/>
        </w:rPr>
        <w:t>Sli</w:t>
      </w:r>
      <w:r>
        <w:rPr>
          <w:szCs w:val="22"/>
          <w:lang w:val="ru-RU"/>
        </w:rPr>
        <w:t>č</w:t>
      </w:r>
      <w:r>
        <w:rPr>
          <w:szCs w:val="22"/>
          <w:lang w:val="sr-Latn-RS"/>
        </w:rPr>
        <w:t>no</w:t>
      </w:r>
      <w:r>
        <w:rPr>
          <w:szCs w:val="22"/>
          <w:lang w:val="ru-RU"/>
        </w:rPr>
        <w:t xml:space="preserve">, </w:t>
      </w:r>
      <w:r>
        <w:rPr>
          <w:szCs w:val="22"/>
          <w:lang w:val="sr-Latn-RS"/>
        </w:rPr>
        <w:t>i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za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druge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laboratorijske</w:t>
      </w:r>
      <w:r>
        <w:rPr>
          <w:szCs w:val="22"/>
          <w:lang w:val="ru-RU"/>
        </w:rPr>
        <w:t xml:space="preserve"> ž</w:t>
      </w:r>
      <w:r>
        <w:rPr>
          <w:szCs w:val="22"/>
          <w:lang w:val="sr-Latn-RS"/>
        </w:rPr>
        <w:t>ivotinje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se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smatra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da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aminoglikozidni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antibiotici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mogu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da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budu</w:t>
      </w:r>
      <w:r>
        <w:rPr>
          <w:szCs w:val="22"/>
          <w:lang w:val="ru-RU"/>
        </w:rPr>
        <w:t xml:space="preserve"> </w:t>
      </w:r>
      <w:r w:rsidR="00823F61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totoksi</w:t>
      </w:r>
      <w:r>
        <w:rPr>
          <w:szCs w:val="22"/>
          <w:lang w:val="ru-RU"/>
        </w:rPr>
        <w:t>č</w:t>
      </w:r>
      <w:r>
        <w:rPr>
          <w:szCs w:val="22"/>
          <w:lang w:val="sr-Latn-RS"/>
        </w:rPr>
        <w:t>ni</w:t>
      </w:r>
      <w:r>
        <w:rPr>
          <w:szCs w:val="22"/>
          <w:lang w:val="ru-RU"/>
        </w:rPr>
        <w:t>.</w:t>
      </w:r>
      <w:r>
        <w:rPr>
          <w:szCs w:val="22"/>
          <w:lang w:val="sr-Latn-RS"/>
        </w:rPr>
        <w:t xml:space="preserve"> Produ</w:t>
      </w:r>
      <w:r>
        <w:rPr>
          <w:szCs w:val="22"/>
          <w:lang w:val="ru-RU"/>
        </w:rPr>
        <w:t>ž</w:t>
      </w:r>
      <w:r>
        <w:rPr>
          <w:szCs w:val="22"/>
          <w:lang w:val="sr-Latn-RS"/>
        </w:rPr>
        <w:t>eno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sistemsko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l</w:t>
      </w:r>
      <w:r w:rsidR="003A790D">
        <w:rPr>
          <w:szCs w:val="22"/>
          <w:lang w:val="sr-Latn-RS"/>
        </w:rPr>
        <w:t>ij</w:t>
      </w:r>
      <w:r>
        <w:rPr>
          <w:szCs w:val="22"/>
          <w:lang w:val="sr-Latn-RS"/>
        </w:rPr>
        <w:t>e</w:t>
      </w:r>
      <w:r>
        <w:rPr>
          <w:szCs w:val="22"/>
          <w:lang w:val="ru-RU"/>
        </w:rPr>
        <w:t>č</w:t>
      </w:r>
      <w:r>
        <w:rPr>
          <w:szCs w:val="22"/>
          <w:lang w:val="sr-Latn-RS"/>
        </w:rPr>
        <w:t>enje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tobramicinom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kod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ma</w:t>
      </w:r>
      <w:r>
        <w:rPr>
          <w:szCs w:val="22"/>
          <w:lang w:val="ru-RU"/>
        </w:rPr>
        <w:t>č</w:t>
      </w:r>
      <w:r>
        <w:rPr>
          <w:szCs w:val="22"/>
          <w:lang w:val="sr-Latn-RS"/>
        </w:rPr>
        <w:t>aka</w:t>
      </w:r>
      <w:r>
        <w:rPr>
          <w:szCs w:val="22"/>
          <w:lang w:val="ru-RU"/>
        </w:rPr>
        <w:t xml:space="preserve">, </w:t>
      </w:r>
      <w:r>
        <w:rPr>
          <w:szCs w:val="22"/>
          <w:lang w:val="sr-Latn-RS"/>
        </w:rPr>
        <w:t>prim</w:t>
      </w:r>
      <w:r w:rsidR="003A790D">
        <w:rPr>
          <w:szCs w:val="22"/>
          <w:lang w:val="sr-Latn-RS"/>
        </w:rPr>
        <w:t>ij</w:t>
      </w:r>
      <w:r>
        <w:rPr>
          <w:szCs w:val="22"/>
          <w:lang w:val="sr-Latn-RS"/>
        </w:rPr>
        <w:t>enjeno</w:t>
      </w:r>
      <w:r>
        <w:rPr>
          <w:szCs w:val="22"/>
          <w:lang w:val="ru-RU"/>
        </w:rPr>
        <w:t xml:space="preserve"> </w:t>
      </w:r>
      <w:r w:rsidR="009D776A">
        <w:rPr>
          <w:szCs w:val="22"/>
          <w:lang w:val="sr-Latn-ME"/>
        </w:rPr>
        <w:t xml:space="preserve">u dozi od </w:t>
      </w:r>
      <w:r>
        <w:rPr>
          <w:szCs w:val="22"/>
          <w:lang w:val="ru-RU"/>
        </w:rPr>
        <w:t xml:space="preserve">20, 40 </w:t>
      </w:r>
      <w:r>
        <w:rPr>
          <w:szCs w:val="22"/>
          <w:lang w:val="sr-Latn-RS"/>
        </w:rPr>
        <w:t>i</w:t>
      </w:r>
      <w:r>
        <w:rPr>
          <w:szCs w:val="22"/>
          <w:lang w:val="ru-RU"/>
        </w:rPr>
        <w:t xml:space="preserve"> 80 </w:t>
      </w:r>
      <w:r>
        <w:rPr>
          <w:szCs w:val="22"/>
          <w:lang w:val="sr-Latn-RS"/>
        </w:rPr>
        <w:t>mg</w:t>
      </w:r>
      <w:r>
        <w:rPr>
          <w:szCs w:val="22"/>
          <w:lang w:val="ru-RU"/>
        </w:rPr>
        <w:t>/</w:t>
      </w:r>
      <w:r>
        <w:rPr>
          <w:szCs w:val="22"/>
          <w:lang w:val="sr-Latn-RS"/>
        </w:rPr>
        <w:t>kg</w:t>
      </w:r>
      <w:r>
        <w:rPr>
          <w:szCs w:val="22"/>
          <w:lang w:val="ru-RU"/>
        </w:rPr>
        <w:t>/</w:t>
      </w:r>
      <w:r>
        <w:rPr>
          <w:szCs w:val="22"/>
          <w:lang w:val="sr-Latn-RS"/>
        </w:rPr>
        <w:t>dan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supkutanim putem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tokom</w:t>
      </w:r>
      <w:r>
        <w:rPr>
          <w:szCs w:val="22"/>
          <w:lang w:val="ru-RU"/>
        </w:rPr>
        <w:t xml:space="preserve"> 30 </w:t>
      </w:r>
      <w:r>
        <w:rPr>
          <w:szCs w:val="22"/>
          <w:lang w:val="sr-Latn-RS"/>
        </w:rPr>
        <w:t>ned</w:t>
      </w:r>
      <w:r w:rsidR="009D776A">
        <w:rPr>
          <w:szCs w:val="22"/>
          <w:lang w:val="sr-Latn-RS"/>
        </w:rPr>
        <w:t>j</w:t>
      </w:r>
      <w:r>
        <w:rPr>
          <w:szCs w:val="22"/>
          <w:lang w:val="sr-Latn-RS"/>
        </w:rPr>
        <w:t>elja</w:t>
      </w:r>
      <w:r>
        <w:rPr>
          <w:szCs w:val="22"/>
          <w:lang w:val="ru-RU"/>
        </w:rPr>
        <w:t xml:space="preserve">, </w:t>
      </w:r>
      <w:r>
        <w:rPr>
          <w:szCs w:val="22"/>
          <w:lang w:val="sr-Latn-RS"/>
        </w:rPr>
        <w:t>dovelo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je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do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dozno</w:t>
      </w:r>
      <w:r>
        <w:rPr>
          <w:szCs w:val="22"/>
          <w:lang w:val="ru-RU"/>
        </w:rPr>
        <w:t>-</w:t>
      </w:r>
      <w:r>
        <w:rPr>
          <w:szCs w:val="22"/>
          <w:lang w:val="sr-Latn-RS"/>
        </w:rPr>
        <w:t>zavisne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degeneracije</w:t>
      </w:r>
      <w:r>
        <w:rPr>
          <w:szCs w:val="22"/>
          <w:lang w:val="ru-RU"/>
        </w:rPr>
        <w:t xml:space="preserve"> ć</w:t>
      </w:r>
      <w:r>
        <w:rPr>
          <w:szCs w:val="22"/>
          <w:lang w:val="sr-Latn-RS"/>
        </w:rPr>
        <w:t>elija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dlaka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i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potpor</w:t>
      </w:r>
      <w:r w:rsidR="003F6BFC">
        <w:rPr>
          <w:szCs w:val="22"/>
          <w:lang w:val="sr-Latn-RS"/>
        </w:rPr>
        <w:t>nih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senzornih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struktura u</w:t>
      </w:r>
      <w:r>
        <w:rPr>
          <w:szCs w:val="22"/>
          <w:lang w:val="ru-RU"/>
        </w:rPr>
        <w:t xml:space="preserve"> </w:t>
      </w:r>
      <w:r>
        <w:rPr>
          <w:szCs w:val="22"/>
          <w:lang w:val="sr-Latn-RS"/>
        </w:rPr>
        <w:t>uhu</w:t>
      </w:r>
      <w:r>
        <w:rPr>
          <w:szCs w:val="22"/>
          <w:lang w:val="ru-RU"/>
        </w:rPr>
        <w:t xml:space="preserve">. </w:t>
      </w:r>
      <w:r>
        <w:rPr>
          <w:szCs w:val="22"/>
        </w:rPr>
        <w:t>Me</w:t>
      </w:r>
      <w:r>
        <w:rPr>
          <w:szCs w:val="22"/>
          <w:lang w:val="ru-RU"/>
        </w:rPr>
        <w:t>đ</w:t>
      </w:r>
      <w:proofErr w:type="spellStart"/>
      <w:r>
        <w:rPr>
          <w:szCs w:val="22"/>
        </w:rPr>
        <w:t>utim</w:t>
      </w:r>
      <w:proofErr w:type="spellEnd"/>
      <w:r>
        <w:rPr>
          <w:szCs w:val="22"/>
          <w:lang w:val="ru-RU"/>
        </w:rPr>
        <w:t xml:space="preserve">, </w:t>
      </w:r>
      <w:proofErr w:type="spellStart"/>
      <w:r>
        <w:rPr>
          <w:szCs w:val="22"/>
        </w:rPr>
        <w:t>ljudsko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uho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se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smatra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anatomski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za</w:t>
      </w:r>
      <w:proofErr w:type="spellEnd"/>
      <w:r>
        <w:rPr>
          <w:szCs w:val="22"/>
          <w:lang w:val="ru-RU"/>
        </w:rPr>
        <w:t>š</w:t>
      </w:r>
      <w:proofErr w:type="spellStart"/>
      <w:r>
        <w:rPr>
          <w:szCs w:val="22"/>
        </w:rPr>
        <w:t>ti</w:t>
      </w:r>
      <w:proofErr w:type="spellEnd"/>
      <w:r>
        <w:rPr>
          <w:szCs w:val="22"/>
          <w:lang w:val="ru-RU"/>
        </w:rPr>
        <w:t>ć</w:t>
      </w:r>
      <w:proofErr w:type="spellStart"/>
      <w:r>
        <w:rPr>
          <w:szCs w:val="22"/>
        </w:rPr>
        <w:t>enijim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zbog</w:t>
      </w:r>
      <w:proofErr w:type="spellEnd"/>
      <w:r>
        <w:rPr>
          <w:szCs w:val="22"/>
          <w:lang w:val="ru-RU"/>
        </w:rPr>
        <w:t xml:space="preserve"> </w:t>
      </w:r>
      <w:r>
        <w:rPr>
          <w:szCs w:val="22"/>
        </w:rPr>
        <w:t>toga</w:t>
      </w:r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manje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os</w:t>
      </w:r>
      <w:r w:rsidR="003A790D">
        <w:rPr>
          <w:szCs w:val="22"/>
        </w:rPr>
        <w:t>j</w:t>
      </w:r>
      <w:r>
        <w:rPr>
          <w:szCs w:val="22"/>
        </w:rPr>
        <w:t>etljivim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na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</w:rPr>
        <w:t>povrede</w:t>
      </w:r>
      <w:proofErr w:type="spellEnd"/>
      <w:r>
        <w:rPr>
          <w:szCs w:val="22"/>
          <w:lang w:val="sr-Latn-RS"/>
        </w:rPr>
        <w:t xml:space="preserve"> </w:t>
      </w:r>
      <w:r>
        <w:rPr>
          <w:szCs w:val="22"/>
          <w:lang w:val="pl-PL"/>
        </w:rPr>
        <w:t>uzrokovane</w:t>
      </w:r>
      <w:r>
        <w:rPr>
          <w:szCs w:val="22"/>
          <w:lang w:val="ru-RU"/>
        </w:rPr>
        <w:t xml:space="preserve"> </w:t>
      </w:r>
      <w:r>
        <w:rPr>
          <w:szCs w:val="22"/>
          <w:lang w:val="pl-PL"/>
        </w:rPr>
        <w:t>aminoglikozidima</w:t>
      </w:r>
      <w:r>
        <w:rPr>
          <w:szCs w:val="22"/>
          <w:lang w:val="ru-RU"/>
        </w:rPr>
        <w:t xml:space="preserve"> </w:t>
      </w:r>
      <w:r>
        <w:rPr>
          <w:szCs w:val="22"/>
          <w:lang w:val="pl-PL"/>
        </w:rPr>
        <w:t>u</w:t>
      </w:r>
      <w:r>
        <w:rPr>
          <w:szCs w:val="22"/>
          <w:lang w:val="ru-RU"/>
        </w:rPr>
        <w:t xml:space="preserve"> </w:t>
      </w:r>
      <w:r>
        <w:rPr>
          <w:szCs w:val="22"/>
          <w:lang w:val="pl-PL"/>
        </w:rPr>
        <w:t>odnosu</w:t>
      </w:r>
      <w:r>
        <w:rPr>
          <w:szCs w:val="22"/>
          <w:lang w:val="ru-RU"/>
        </w:rPr>
        <w:t xml:space="preserve"> </w:t>
      </w:r>
      <w:r>
        <w:rPr>
          <w:szCs w:val="22"/>
          <w:lang w:val="pl-PL"/>
        </w:rPr>
        <w:t>na</w:t>
      </w:r>
      <w:r>
        <w:rPr>
          <w:szCs w:val="22"/>
          <w:lang w:val="ru-RU"/>
        </w:rPr>
        <w:t xml:space="preserve"> </w:t>
      </w:r>
      <w:r w:rsidR="003F6BFC">
        <w:rPr>
          <w:szCs w:val="22"/>
          <w:lang w:val="pl-PL"/>
        </w:rPr>
        <w:t>životinjske</w:t>
      </w:r>
      <w:r w:rsidR="009D776A">
        <w:rPr>
          <w:szCs w:val="22"/>
          <w:lang w:val="pl-PL"/>
        </w:rPr>
        <w:t xml:space="preserve"> model</w:t>
      </w:r>
      <w:r w:rsidR="003F6BFC">
        <w:rPr>
          <w:szCs w:val="22"/>
          <w:lang w:val="pl-PL"/>
        </w:rPr>
        <w:t>e</w:t>
      </w:r>
      <w:r w:rsidR="009D776A">
        <w:rPr>
          <w:szCs w:val="22"/>
          <w:lang w:val="pl-PL"/>
        </w:rPr>
        <w:t>.</w:t>
      </w:r>
    </w:p>
    <w:p w14:paraId="7DA5DCF0" w14:textId="3386E70E" w:rsidR="00186286" w:rsidRDefault="00186286" w:rsidP="00F350E4">
      <w:pPr>
        <w:rPr>
          <w:szCs w:val="22"/>
          <w:lang w:val="pl-PL"/>
        </w:rPr>
      </w:pPr>
    </w:p>
    <w:p w14:paraId="539F9A86" w14:textId="77777777" w:rsidR="009B56F2" w:rsidRDefault="009B56F2" w:rsidP="00F350E4">
      <w:pPr>
        <w:jc w:val="left"/>
        <w:rPr>
          <w:b/>
          <w:szCs w:val="22"/>
          <w:lang w:val="sr-Latn-ME"/>
        </w:rPr>
      </w:pPr>
    </w:p>
    <w:p w14:paraId="74F388A9" w14:textId="27CBE1BB" w:rsidR="00407DAC" w:rsidRPr="009C7A80" w:rsidRDefault="00407DAC" w:rsidP="00F350E4">
      <w:pPr>
        <w:jc w:val="left"/>
        <w:rPr>
          <w:b/>
          <w:szCs w:val="22"/>
          <w:lang w:val="sr-Latn-ME"/>
        </w:rPr>
      </w:pPr>
      <w:r w:rsidRPr="009C7A80">
        <w:rPr>
          <w:b/>
          <w:szCs w:val="22"/>
          <w:lang w:val="sr-Latn-ME"/>
        </w:rPr>
        <w:t>6. FARMACEUTSKI PODACI</w:t>
      </w:r>
    </w:p>
    <w:p w14:paraId="771C3448" w14:textId="77777777" w:rsidR="00823F61" w:rsidRDefault="00823F61" w:rsidP="00823F61">
      <w:pPr>
        <w:rPr>
          <w:b/>
          <w:bCs/>
          <w:szCs w:val="22"/>
          <w:lang w:val="sr-Latn-ME"/>
        </w:rPr>
      </w:pPr>
    </w:p>
    <w:p w14:paraId="3DCEA485" w14:textId="697636AB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lastRenderedPageBreak/>
        <w:t>6.1. Lista pomoćnih supstanci</w:t>
      </w:r>
      <w:r w:rsidR="001A72BB">
        <w:rPr>
          <w:b/>
          <w:bCs/>
          <w:szCs w:val="22"/>
          <w:lang w:val="sr-Latn-ME"/>
        </w:rPr>
        <w:t xml:space="preserve"> </w:t>
      </w:r>
      <w:r w:rsidR="00BE3B45" w:rsidRPr="009C7A80">
        <w:rPr>
          <w:b/>
          <w:bCs/>
          <w:szCs w:val="22"/>
          <w:lang w:val="sr-Latn-ME"/>
        </w:rPr>
        <w:t>(ekscipijenasa)</w:t>
      </w:r>
    </w:p>
    <w:p w14:paraId="3B8A5629" w14:textId="77777777" w:rsidR="00407DAC" w:rsidRPr="009C7A80" w:rsidRDefault="00407DAC">
      <w:pPr>
        <w:rPr>
          <w:szCs w:val="22"/>
          <w:lang w:val="sr-Latn-ME"/>
        </w:rPr>
      </w:pPr>
    </w:p>
    <w:p w14:paraId="37ED6B7D" w14:textId="181B821C" w:rsidR="00301F8B" w:rsidRPr="009C7A80" w:rsidRDefault="00301F8B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Borna kiselina</w:t>
      </w:r>
      <w:r w:rsidR="00186286">
        <w:rPr>
          <w:szCs w:val="22"/>
          <w:lang w:val="sr-Latn-ME"/>
        </w:rPr>
        <w:t>;</w:t>
      </w:r>
    </w:p>
    <w:p w14:paraId="2A41651E" w14:textId="725B1E25" w:rsidR="00301F8B" w:rsidRPr="009C7A80" w:rsidRDefault="00301F8B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Natrijum</w:t>
      </w:r>
      <w:r w:rsidR="00BE3B45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sulfat, bezvodni</w:t>
      </w:r>
      <w:r w:rsidR="00186286">
        <w:rPr>
          <w:szCs w:val="22"/>
          <w:lang w:val="sr-Latn-ME"/>
        </w:rPr>
        <w:t>;</w:t>
      </w:r>
    </w:p>
    <w:p w14:paraId="29D0E70C" w14:textId="2CA07791" w:rsidR="00301F8B" w:rsidRPr="009C7A80" w:rsidRDefault="00301F8B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Natrijum</w:t>
      </w:r>
      <w:r w:rsidR="00BE3B45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hlorid</w:t>
      </w:r>
      <w:r w:rsidR="00186286">
        <w:rPr>
          <w:szCs w:val="22"/>
          <w:lang w:val="sr-Latn-ME"/>
        </w:rPr>
        <w:t>;</w:t>
      </w:r>
    </w:p>
    <w:p w14:paraId="2F9ED2A2" w14:textId="2317AE8C" w:rsidR="00301F8B" w:rsidRPr="009C7A80" w:rsidRDefault="00217A6B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Polisorbat 80</w:t>
      </w:r>
      <w:r w:rsidR="00186286">
        <w:rPr>
          <w:szCs w:val="22"/>
          <w:lang w:val="sr-Latn-ME"/>
        </w:rPr>
        <w:t>;</w:t>
      </w:r>
    </w:p>
    <w:p w14:paraId="02CF37E5" w14:textId="1D96AE04" w:rsidR="00301F8B" w:rsidRPr="009C7A80" w:rsidRDefault="00301F8B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Benzalkonijum</w:t>
      </w:r>
      <w:r w:rsidR="00BE3B45" w:rsidRPr="009C7A80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hlorid</w:t>
      </w:r>
      <w:r w:rsidR="00186286">
        <w:rPr>
          <w:szCs w:val="22"/>
          <w:lang w:val="sr-Latn-ME"/>
        </w:rPr>
        <w:t>;</w:t>
      </w:r>
    </w:p>
    <w:p w14:paraId="5DFF8699" w14:textId="3DD9E704" w:rsidR="00217A6B" w:rsidRPr="009C7A80" w:rsidRDefault="00301F8B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Voda</w:t>
      </w:r>
      <w:r w:rsidR="008859E3">
        <w:rPr>
          <w:szCs w:val="22"/>
          <w:lang w:val="sr-Latn-ME"/>
        </w:rPr>
        <w:t xml:space="preserve"> za injekcije</w:t>
      </w:r>
      <w:r w:rsidR="00186286">
        <w:rPr>
          <w:szCs w:val="22"/>
          <w:lang w:val="sr-Latn-ME"/>
        </w:rPr>
        <w:t>.</w:t>
      </w:r>
    </w:p>
    <w:p w14:paraId="343D2185" w14:textId="77777777" w:rsidR="00217A6B" w:rsidRPr="009C7A80" w:rsidRDefault="00217A6B">
      <w:pPr>
        <w:rPr>
          <w:szCs w:val="22"/>
          <w:lang w:val="sr-Latn-ME"/>
        </w:rPr>
      </w:pPr>
    </w:p>
    <w:p w14:paraId="64FF3828" w14:textId="7DD93443" w:rsidR="00407DAC" w:rsidRPr="009C7A80" w:rsidRDefault="00407DAC">
      <w:pPr>
        <w:rPr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6.2. Inkompatibilnost</w:t>
      </w:r>
      <w:r w:rsidR="0016448E">
        <w:rPr>
          <w:b/>
          <w:bCs/>
          <w:szCs w:val="22"/>
          <w:lang w:val="sr-Latn-ME"/>
        </w:rPr>
        <w:t>i</w:t>
      </w:r>
    </w:p>
    <w:p w14:paraId="2E1A55D6" w14:textId="77777777" w:rsidR="00407DAC" w:rsidRPr="009C7A80" w:rsidRDefault="00407DAC">
      <w:pPr>
        <w:rPr>
          <w:szCs w:val="22"/>
          <w:lang w:val="sr-Latn-ME"/>
        </w:rPr>
      </w:pPr>
    </w:p>
    <w:p w14:paraId="31827BCC" w14:textId="39276CE5" w:rsidR="00407DAC" w:rsidRPr="009C7A80" w:rsidRDefault="00014C72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Ni</w:t>
      </w:r>
      <w:r w:rsidR="009020D5" w:rsidRPr="009C7A80">
        <w:rPr>
          <w:szCs w:val="22"/>
          <w:lang w:val="sr-Latn-ME"/>
        </w:rPr>
        <w:t>je</w:t>
      </w:r>
      <w:r w:rsidRPr="009C7A80">
        <w:rPr>
          <w:szCs w:val="22"/>
          <w:lang w:val="sr-Latn-ME"/>
        </w:rPr>
        <w:t>su rađene ciljane studije za inkompatibilnost.</w:t>
      </w:r>
    </w:p>
    <w:p w14:paraId="4D94ACDF" w14:textId="77777777" w:rsidR="00014C72" w:rsidRPr="009C7A80" w:rsidRDefault="00014C72">
      <w:pPr>
        <w:rPr>
          <w:b/>
          <w:bCs/>
          <w:szCs w:val="22"/>
          <w:lang w:val="sr-Latn-ME"/>
        </w:rPr>
      </w:pPr>
    </w:p>
    <w:p w14:paraId="75D40AD6" w14:textId="73CE54B6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6.3. Rok upotrebe</w:t>
      </w:r>
    </w:p>
    <w:p w14:paraId="58578F44" w14:textId="77777777" w:rsidR="00186286" w:rsidRDefault="00186286">
      <w:pPr>
        <w:rPr>
          <w:szCs w:val="22"/>
          <w:lang w:val="sr-Latn-ME"/>
        </w:rPr>
      </w:pPr>
    </w:p>
    <w:p w14:paraId="7EEBEC19" w14:textId="4BE84ECC" w:rsidR="00186286" w:rsidRPr="00186286" w:rsidRDefault="00186286">
      <w:pPr>
        <w:rPr>
          <w:szCs w:val="22"/>
          <w:lang w:val="sr-Latn-ME"/>
        </w:rPr>
      </w:pPr>
      <w:r w:rsidRPr="00186286">
        <w:rPr>
          <w:szCs w:val="22"/>
          <w:lang w:val="sr-Latn-ME"/>
        </w:rPr>
        <w:t>Rok upotrebe neotvorenog lijeka: 24 mjeseca</w:t>
      </w:r>
      <w:r w:rsidR="009B56F2">
        <w:rPr>
          <w:szCs w:val="22"/>
          <w:lang w:val="sr-Latn-ME"/>
        </w:rPr>
        <w:t xml:space="preserve"> na temperaturi </w:t>
      </w:r>
      <w:r w:rsidR="00015E6B">
        <w:rPr>
          <w:szCs w:val="22"/>
          <w:lang w:val="sr-Latn-ME"/>
        </w:rPr>
        <w:t>do</w:t>
      </w:r>
      <w:r w:rsidR="009B56F2">
        <w:rPr>
          <w:szCs w:val="22"/>
          <w:lang w:val="sr-Latn-ME"/>
        </w:rPr>
        <w:t xml:space="preserve"> 25</w:t>
      </w:r>
      <w:r w:rsidR="009B56F2" w:rsidRPr="00384E1C">
        <w:rPr>
          <w:szCs w:val="22"/>
          <w:lang w:val="sr-Latn-ME"/>
        </w:rPr>
        <w:t>°C</w:t>
      </w:r>
      <w:r w:rsidR="009B56F2">
        <w:rPr>
          <w:szCs w:val="22"/>
          <w:lang w:val="sr-Latn-ME"/>
        </w:rPr>
        <w:t>.</w:t>
      </w:r>
    </w:p>
    <w:p w14:paraId="3BCD65DB" w14:textId="77777777" w:rsidR="00186286" w:rsidRPr="00186286" w:rsidRDefault="00186286">
      <w:pPr>
        <w:rPr>
          <w:szCs w:val="22"/>
          <w:lang w:val="sr-Latn-ME"/>
        </w:rPr>
      </w:pPr>
      <w:r w:rsidRPr="00186286">
        <w:rPr>
          <w:szCs w:val="22"/>
          <w:lang w:val="sr-Latn-ME"/>
        </w:rPr>
        <w:t xml:space="preserve">Rok upotrebe nakon prvog otvaranja: 28 dana </w:t>
      </w:r>
      <w:bookmarkStart w:id="0" w:name="_Hlk176782514"/>
      <w:r w:rsidRPr="00186286">
        <w:rPr>
          <w:szCs w:val="22"/>
          <w:lang w:val="sr-Latn-ME"/>
        </w:rPr>
        <w:t xml:space="preserve">na temperaturi do </w:t>
      </w:r>
      <w:smartTag w:uri="urn:schemas-microsoft-com:office:smarttags" w:element="metricconverter">
        <w:smartTagPr>
          <w:attr w:name="ProductID" w:val="25°C"/>
        </w:smartTagPr>
        <w:r w:rsidRPr="00384E1C">
          <w:rPr>
            <w:szCs w:val="22"/>
            <w:lang w:val="sr-Latn-ME"/>
          </w:rPr>
          <w:t>25°C</w:t>
        </w:r>
      </w:smartTag>
      <w:r w:rsidRPr="00384E1C">
        <w:rPr>
          <w:szCs w:val="22"/>
          <w:lang w:val="sr-Latn-ME"/>
        </w:rPr>
        <w:t>.</w:t>
      </w:r>
    </w:p>
    <w:bookmarkEnd w:id="0"/>
    <w:p w14:paraId="554B3BB7" w14:textId="77777777" w:rsidR="002132B0" w:rsidRPr="009C7A80" w:rsidRDefault="002132B0">
      <w:pPr>
        <w:rPr>
          <w:b/>
          <w:bCs/>
          <w:color w:val="FF0000"/>
          <w:szCs w:val="22"/>
          <w:lang w:val="sr-Latn-ME"/>
        </w:rPr>
      </w:pPr>
    </w:p>
    <w:p w14:paraId="4FE19023" w14:textId="66765431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6.4. Posebne m</w:t>
      </w:r>
      <w:r w:rsidR="003A790D">
        <w:rPr>
          <w:b/>
          <w:bCs/>
          <w:szCs w:val="22"/>
          <w:lang w:val="sr-Latn-ME"/>
        </w:rPr>
        <w:t>je</w:t>
      </w:r>
      <w:r w:rsidRPr="009C7A80">
        <w:rPr>
          <w:b/>
          <w:bCs/>
          <w:szCs w:val="22"/>
          <w:lang w:val="sr-Latn-ME"/>
        </w:rPr>
        <w:t xml:space="preserve">re </w:t>
      </w:r>
      <w:r w:rsidR="0016448E">
        <w:rPr>
          <w:b/>
          <w:bCs/>
          <w:szCs w:val="22"/>
          <w:lang w:val="sr-Latn-ME"/>
        </w:rPr>
        <w:t>upozorenja</w:t>
      </w:r>
      <w:r w:rsidRPr="009C7A80">
        <w:rPr>
          <w:b/>
          <w:bCs/>
          <w:szCs w:val="22"/>
          <w:lang w:val="sr-Latn-ME"/>
        </w:rPr>
        <w:t xml:space="preserve"> pri čuvanju</w:t>
      </w:r>
      <w:r w:rsidR="00BE3B45" w:rsidRPr="009C7A80">
        <w:rPr>
          <w:b/>
          <w:bCs/>
          <w:szCs w:val="22"/>
          <w:lang w:val="sr-Latn-ME"/>
        </w:rPr>
        <w:t xml:space="preserve"> lijeka</w:t>
      </w:r>
    </w:p>
    <w:p w14:paraId="1B6368DB" w14:textId="77777777" w:rsidR="00407DAC" w:rsidRPr="009C7A80" w:rsidRDefault="00407DAC">
      <w:pPr>
        <w:rPr>
          <w:szCs w:val="22"/>
          <w:lang w:val="sr-Latn-ME"/>
        </w:rPr>
      </w:pPr>
    </w:p>
    <w:p w14:paraId="7BCCEF9C" w14:textId="5D724E59" w:rsidR="006375F0" w:rsidRPr="003318B7" w:rsidRDefault="006375F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3318B7">
        <w:rPr>
          <w:szCs w:val="22"/>
          <w:lang w:val="sr-Latn-ME"/>
        </w:rPr>
        <w:t>Čuvati na temperaturi do 25°C</w:t>
      </w:r>
      <w:r w:rsidR="003E0F5E">
        <w:rPr>
          <w:szCs w:val="22"/>
          <w:lang w:val="sr-Latn-ME"/>
        </w:rPr>
        <w:t>, u originalnom pakovanju radi zaštite od svjetlosti.</w:t>
      </w:r>
    </w:p>
    <w:p w14:paraId="00113E25" w14:textId="77777777" w:rsidR="006375F0" w:rsidRPr="003318B7" w:rsidRDefault="006375F0">
      <w:pPr>
        <w:rPr>
          <w:szCs w:val="22"/>
          <w:lang w:val="sr-Latn-ME"/>
        </w:rPr>
      </w:pPr>
      <w:r w:rsidRPr="003318B7">
        <w:rPr>
          <w:szCs w:val="22"/>
          <w:lang w:val="sr-Latn-ME"/>
        </w:rPr>
        <w:t>Za uslove čuvanja nakon prvog otvaranja lijeka, pogledati dio 6.3.</w:t>
      </w:r>
    </w:p>
    <w:p w14:paraId="6B08772F" w14:textId="77777777" w:rsidR="00407DAC" w:rsidRPr="009C7A80" w:rsidRDefault="00407DAC">
      <w:pPr>
        <w:rPr>
          <w:szCs w:val="22"/>
          <w:lang w:val="sr-Latn-ME"/>
        </w:rPr>
      </w:pPr>
    </w:p>
    <w:p w14:paraId="3ED12A1B" w14:textId="126F293D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 xml:space="preserve">6.5. </w:t>
      </w:r>
      <w:r w:rsidR="00BE3B45" w:rsidRPr="009C7A80">
        <w:rPr>
          <w:b/>
          <w:bCs/>
          <w:szCs w:val="22"/>
          <w:lang w:val="sr-Latn-ME"/>
        </w:rPr>
        <w:t>Vrsta</w:t>
      </w:r>
      <w:r w:rsidRPr="009C7A80">
        <w:rPr>
          <w:b/>
          <w:bCs/>
          <w:szCs w:val="22"/>
          <w:lang w:val="sr-Latn-ME"/>
        </w:rPr>
        <w:t xml:space="preserve"> i sadržaj pakovanja </w:t>
      </w:r>
    </w:p>
    <w:p w14:paraId="7949142A" w14:textId="77777777" w:rsidR="00407DAC" w:rsidRPr="009C7A80" w:rsidRDefault="00407DAC">
      <w:pPr>
        <w:rPr>
          <w:color w:val="FF0000"/>
          <w:szCs w:val="22"/>
          <w:lang w:val="sr-Latn-ME"/>
        </w:rPr>
      </w:pPr>
    </w:p>
    <w:p w14:paraId="259C88BF" w14:textId="0617B3D6" w:rsidR="00C25617" w:rsidRPr="009C7A80" w:rsidRDefault="00BA482A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U</w:t>
      </w:r>
      <w:r w:rsidR="0030627D" w:rsidRPr="009C7A80">
        <w:rPr>
          <w:szCs w:val="22"/>
          <w:lang w:val="sr-Latn-ME"/>
        </w:rPr>
        <w:t>nutra</w:t>
      </w:r>
      <w:r w:rsidRPr="009C7A80">
        <w:rPr>
          <w:szCs w:val="22"/>
          <w:lang w:val="sr-Latn-ME"/>
        </w:rPr>
        <w:t>šnje pakovanje l</w:t>
      </w:r>
      <w:r w:rsidR="009020D5" w:rsidRPr="009C7A80">
        <w:rPr>
          <w:szCs w:val="22"/>
          <w:lang w:val="sr-Latn-ME"/>
        </w:rPr>
        <w:t>ij</w:t>
      </w:r>
      <w:r w:rsidRPr="009C7A80">
        <w:rPr>
          <w:szCs w:val="22"/>
          <w:lang w:val="sr-Latn-ME"/>
        </w:rPr>
        <w:t xml:space="preserve">eka </w:t>
      </w:r>
      <w:r w:rsidR="004D03D6" w:rsidRPr="009C7A80">
        <w:rPr>
          <w:szCs w:val="22"/>
          <w:lang w:val="sr-Latn-ME"/>
        </w:rPr>
        <w:t xml:space="preserve">se sastoji od </w:t>
      </w:r>
      <w:r w:rsidR="00C25617" w:rsidRPr="009C7A80">
        <w:rPr>
          <w:szCs w:val="22"/>
          <w:lang w:val="sr-Latn-ME"/>
        </w:rPr>
        <w:t>b</w:t>
      </w:r>
      <w:r w:rsidR="009020D5" w:rsidRPr="009C7A80">
        <w:rPr>
          <w:szCs w:val="22"/>
          <w:lang w:val="sr-Latn-ME"/>
        </w:rPr>
        <w:t>ij</w:t>
      </w:r>
      <w:r w:rsidR="00C25617" w:rsidRPr="009C7A80">
        <w:rPr>
          <w:szCs w:val="22"/>
          <w:lang w:val="sr-Latn-ME"/>
        </w:rPr>
        <w:t>ele sterilne bočice sa vrhom kapaljke (mlaznicom) i poklopcem na navoj. Bočice i mlaznice su napravljene od polietilena niske gustine (LDPE), dok su poklopci sa navojem napravljeni od polietilena visoke gustine (HDPE).</w:t>
      </w:r>
    </w:p>
    <w:p w14:paraId="69D0C8D3" w14:textId="0D1CD7E0" w:rsidR="00407DAC" w:rsidRPr="009C7A80" w:rsidRDefault="0011619E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Zapremina b</w:t>
      </w:r>
      <w:r w:rsidR="00C25617" w:rsidRPr="009C7A80">
        <w:rPr>
          <w:szCs w:val="22"/>
          <w:lang w:val="sr-Latn-ME"/>
        </w:rPr>
        <w:t xml:space="preserve">očice </w:t>
      </w:r>
      <w:r w:rsidRPr="009C7A80">
        <w:rPr>
          <w:szCs w:val="22"/>
          <w:lang w:val="sr-Latn-ME"/>
        </w:rPr>
        <w:t xml:space="preserve">je </w:t>
      </w:r>
      <w:r w:rsidR="00C25617" w:rsidRPr="009C7A80">
        <w:rPr>
          <w:szCs w:val="22"/>
          <w:lang w:val="sr-Latn-ME"/>
        </w:rPr>
        <w:t xml:space="preserve">5 </w:t>
      </w:r>
      <w:r w:rsidR="00823F61" w:rsidRPr="009C7A80">
        <w:rPr>
          <w:szCs w:val="22"/>
          <w:lang w:val="sr-Latn-ME"/>
        </w:rPr>
        <w:t>m</w:t>
      </w:r>
      <w:r w:rsidR="00823F61">
        <w:rPr>
          <w:szCs w:val="22"/>
          <w:lang w:val="sr-Latn-ME"/>
        </w:rPr>
        <w:t>l</w:t>
      </w:r>
      <w:r w:rsidR="00C25617" w:rsidRPr="009C7A80">
        <w:rPr>
          <w:szCs w:val="22"/>
          <w:lang w:val="sr-Latn-ME"/>
        </w:rPr>
        <w:t xml:space="preserve">. </w:t>
      </w:r>
    </w:p>
    <w:p w14:paraId="5B1C43C8" w14:textId="7878CCCE" w:rsidR="004D03D6" w:rsidRPr="009C7A80" w:rsidRDefault="004D03D6">
      <w:pPr>
        <w:rPr>
          <w:szCs w:val="22"/>
          <w:lang w:val="sr-Latn-ME"/>
        </w:rPr>
      </w:pPr>
    </w:p>
    <w:p w14:paraId="4D55FBB6" w14:textId="56C4574F" w:rsidR="0063319E" w:rsidRPr="009C7A80" w:rsidRDefault="0063319E">
      <w:pPr>
        <w:rPr>
          <w:color w:val="FF0000"/>
          <w:szCs w:val="22"/>
          <w:lang w:val="sr-Latn-ME"/>
        </w:rPr>
      </w:pPr>
      <w:r w:rsidRPr="009C7A80">
        <w:rPr>
          <w:szCs w:val="22"/>
          <w:lang w:val="sr-Latn-ME"/>
        </w:rPr>
        <w:t>Spoljašnje pakovanje</w:t>
      </w:r>
      <w:r w:rsidR="002F33D8" w:rsidRPr="009C7A80">
        <w:rPr>
          <w:szCs w:val="22"/>
          <w:lang w:val="sr-Latn-ME"/>
        </w:rPr>
        <w:t>:</w:t>
      </w:r>
      <w:r w:rsidRPr="009C7A80">
        <w:rPr>
          <w:szCs w:val="22"/>
          <w:lang w:val="sr-Latn-ME"/>
        </w:rPr>
        <w:t xml:space="preserve"> </w:t>
      </w:r>
      <w:r w:rsidR="0048592B" w:rsidRPr="009C7A80">
        <w:rPr>
          <w:szCs w:val="22"/>
          <w:lang w:val="sr-Latn-ME"/>
        </w:rPr>
        <w:t xml:space="preserve">Složiva </w:t>
      </w:r>
      <w:r w:rsidR="00643FAE" w:rsidRPr="009C7A80">
        <w:rPr>
          <w:szCs w:val="22"/>
          <w:lang w:val="sr-Latn-ME"/>
        </w:rPr>
        <w:t>kartons</w:t>
      </w:r>
      <w:r w:rsidR="0048592B" w:rsidRPr="009C7A80">
        <w:rPr>
          <w:szCs w:val="22"/>
          <w:lang w:val="sr-Latn-ME"/>
        </w:rPr>
        <w:t>k</w:t>
      </w:r>
      <w:r w:rsidR="007A7542" w:rsidRPr="009C7A80">
        <w:rPr>
          <w:szCs w:val="22"/>
          <w:lang w:val="sr-Latn-ME"/>
        </w:rPr>
        <w:t>a</w:t>
      </w:r>
      <w:r w:rsidR="00643FAE" w:rsidRPr="009C7A80">
        <w:rPr>
          <w:szCs w:val="22"/>
          <w:lang w:val="sr-Latn-ME"/>
        </w:rPr>
        <w:t xml:space="preserve"> kutij</w:t>
      </w:r>
      <w:r w:rsidR="007A7542" w:rsidRPr="009C7A80">
        <w:rPr>
          <w:szCs w:val="22"/>
          <w:lang w:val="sr-Latn-ME"/>
        </w:rPr>
        <w:t xml:space="preserve">a </w:t>
      </w:r>
      <w:r w:rsidR="00284B47">
        <w:rPr>
          <w:szCs w:val="22"/>
          <w:lang w:val="sr-Latn-ME"/>
        </w:rPr>
        <w:t xml:space="preserve">koja sadrži 1 bočicu </w:t>
      </w:r>
      <w:r w:rsidR="007A7542" w:rsidRPr="009C7A80">
        <w:rPr>
          <w:szCs w:val="22"/>
          <w:lang w:val="sr-Latn-ME"/>
        </w:rPr>
        <w:t>i</w:t>
      </w:r>
      <w:r w:rsidR="00443D3C" w:rsidRPr="009C7A80">
        <w:rPr>
          <w:szCs w:val="22"/>
          <w:lang w:val="sr-Latn-ME"/>
        </w:rPr>
        <w:t xml:space="preserve"> </w:t>
      </w:r>
      <w:r w:rsidR="007A7542" w:rsidRPr="009C7A80">
        <w:rPr>
          <w:szCs w:val="22"/>
          <w:lang w:val="sr-Latn-ME"/>
        </w:rPr>
        <w:t>U</w:t>
      </w:r>
      <w:r w:rsidR="00643FAE" w:rsidRPr="009C7A80">
        <w:rPr>
          <w:szCs w:val="22"/>
          <w:lang w:val="sr-Latn-ME"/>
        </w:rPr>
        <w:t>putstv</w:t>
      </w:r>
      <w:r w:rsidR="007A7542" w:rsidRPr="009C7A80">
        <w:rPr>
          <w:szCs w:val="22"/>
          <w:lang w:val="sr-Latn-ME"/>
        </w:rPr>
        <w:t>o</w:t>
      </w:r>
      <w:r w:rsidR="00643FAE" w:rsidRPr="009C7A80">
        <w:rPr>
          <w:szCs w:val="22"/>
          <w:lang w:val="sr-Latn-ME"/>
        </w:rPr>
        <w:t xml:space="preserve"> za </w:t>
      </w:r>
      <w:r w:rsidR="00D1599B" w:rsidRPr="009C7A80">
        <w:rPr>
          <w:szCs w:val="22"/>
          <w:lang w:val="sr-Latn-ME"/>
        </w:rPr>
        <w:t>l</w:t>
      </w:r>
      <w:r w:rsidR="006350BB" w:rsidRPr="009C7A80">
        <w:rPr>
          <w:szCs w:val="22"/>
          <w:lang w:val="sr-Latn-ME"/>
        </w:rPr>
        <w:t>ij</w:t>
      </w:r>
      <w:r w:rsidR="00D1599B" w:rsidRPr="009C7A80">
        <w:rPr>
          <w:szCs w:val="22"/>
          <w:lang w:val="sr-Latn-ME"/>
        </w:rPr>
        <w:t>ek</w:t>
      </w:r>
      <w:r w:rsidR="00643FAE" w:rsidRPr="009C7A80">
        <w:rPr>
          <w:szCs w:val="22"/>
          <w:lang w:val="sr-Latn-ME"/>
        </w:rPr>
        <w:t xml:space="preserve"> (PIL). </w:t>
      </w:r>
    </w:p>
    <w:p w14:paraId="6C8FBD5A" w14:textId="77777777" w:rsidR="006D4D8B" w:rsidRPr="009C7A80" w:rsidRDefault="006D4D8B">
      <w:pPr>
        <w:rPr>
          <w:b/>
          <w:bCs/>
          <w:szCs w:val="22"/>
          <w:lang w:val="sr-Latn-ME"/>
        </w:rPr>
      </w:pPr>
    </w:p>
    <w:p w14:paraId="09B542F6" w14:textId="1122D826" w:rsidR="00407DAC" w:rsidRPr="009C7A80" w:rsidRDefault="00407DAC">
      <w:pPr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>6.6. Posebne m</w:t>
      </w:r>
      <w:r w:rsidR="006350BB" w:rsidRPr="009C7A80">
        <w:rPr>
          <w:b/>
          <w:bCs/>
          <w:szCs w:val="22"/>
          <w:lang w:val="sr-Latn-ME"/>
        </w:rPr>
        <w:t>j</w:t>
      </w:r>
      <w:r w:rsidRPr="009C7A80">
        <w:rPr>
          <w:b/>
          <w:bCs/>
          <w:szCs w:val="22"/>
          <w:lang w:val="sr-Latn-ME"/>
        </w:rPr>
        <w:t>ere opreza pri odlaganju materijala koji treba odbaciti nakon prim</w:t>
      </w:r>
      <w:r w:rsidR="006350BB" w:rsidRPr="009C7A80">
        <w:rPr>
          <w:b/>
          <w:bCs/>
          <w:szCs w:val="22"/>
          <w:lang w:val="sr-Latn-ME"/>
        </w:rPr>
        <w:t>j</w:t>
      </w:r>
      <w:r w:rsidRPr="009C7A80">
        <w:rPr>
          <w:b/>
          <w:bCs/>
          <w:szCs w:val="22"/>
          <w:lang w:val="sr-Latn-ME"/>
        </w:rPr>
        <w:t>ene l</w:t>
      </w:r>
      <w:r w:rsidR="006350BB" w:rsidRPr="009C7A80">
        <w:rPr>
          <w:b/>
          <w:bCs/>
          <w:szCs w:val="22"/>
          <w:lang w:val="sr-Latn-ME"/>
        </w:rPr>
        <w:t>ij</w:t>
      </w:r>
      <w:r w:rsidRPr="009C7A80">
        <w:rPr>
          <w:b/>
          <w:bCs/>
          <w:szCs w:val="22"/>
          <w:lang w:val="sr-Latn-ME"/>
        </w:rPr>
        <w:t>eka (i druga uputstva za rukovanje l</w:t>
      </w:r>
      <w:r w:rsidR="006350BB" w:rsidRPr="009C7A80">
        <w:rPr>
          <w:b/>
          <w:bCs/>
          <w:szCs w:val="22"/>
          <w:lang w:val="sr-Latn-ME"/>
        </w:rPr>
        <w:t>ij</w:t>
      </w:r>
      <w:r w:rsidRPr="009C7A80">
        <w:rPr>
          <w:b/>
          <w:bCs/>
          <w:szCs w:val="22"/>
          <w:lang w:val="sr-Latn-ME"/>
        </w:rPr>
        <w:t>ekom)</w:t>
      </w:r>
    </w:p>
    <w:p w14:paraId="09D697F6" w14:textId="77777777" w:rsidR="00407DAC" w:rsidRPr="009C7A80" w:rsidRDefault="00407DAC">
      <w:pPr>
        <w:rPr>
          <w:color w:val="FF0000"/>
          <w:szCs w:val="22"/>
          <w:lang w:val="sr-Latn-ME"/>
        </w:rPr>
      </w:pPr>
    </w:p>
    <w:p w14:paraId="3E39A42A" w14:textId="19787B32" w:rsidR="00407DAC" w:rsidRPr="009C7A80" w:rsidRDefault="004B30B4">
      <w:pPr>
        <w:rPr>
          <w:color w:val="FF0000"/>
          <w:szCs w:val="22"/>
          <w:lang w:val="sr-Latn-ME"/>
        </w:rPr>
      </w:pPr>
      <w:r w:rsidRPr="009C7A80">
        <w:rPr>
          <w:lang w:val="sr-Latn-ME"/>
        </w:rPr>
        <w:t>Svu neiskorišćenu količinu l</w:t>
      </w:r>
      <w:r w:rsidR="00BE3B45" w:rsidRPr="009C7A80">
        <w:rPr>
          <w:lang w:val="sr-Latn-ME"/>
        </w:rPr>
        <w:t>ij</w:t>
      </w:r>
      <w:r w:rsidRPr="009C7A80">
        <w:rPr>
          <w:lang w:val="sr-Latn-ME"/>
        </w:rPr>
        <w:t>eka ili otpadnog materijala nakon njegove upotrebe treba ukloniti u skladu sa važećim propisima</w:t>
      </w:r>
    </w:p>
    <w:p w14:paraId="67EE6633" w14:textId="77777777" w:rsidR="00823F61" w:rsidRDefault="00823F61" w:rsidP="00F350E4">
      <w:pPr>
        <w:jc w:val="left"/>
        <w:rPr>
          <w:b/>
          <w:szCs w:val="22"/>
          <w:lang w:val="sr-Latn-ME"/>
        </w:rPr>
      </w:pPr>
    </w:p>
    <w:p w14:paraId="133B94A7" w14:textId="77777777" w:rsidR="00823F61" w:rsidRDefault="00823F61" w:rsidP="00F350E4">
      <w:pPr>
        <w:jc w:val="left"/>
        <w:rPr>
          <w:b/>
          <w:szCs w:val="22"/>
          <w:lang w:val="sr-Latn-ME"/>
        </w:rPr>
      </w:pPr>
    </w:p>
    <w:p w14:paraId="445BA9D0" w14:textId="3AE8E23A" w:rsidR="00407DAC" w:rsidRPr="009C7A80" w:rsidRDefault="00407DAC" w:rsidP="00F350E4">
      <w:pPr>
        <w:jc w:val="left"/>
        <w:rPr>
          <w:b/>
          <w:szCs w:val="22"/>
          <w:lang w:val="sr-Latn-ME"/>
        </w:rPr>
      </w:pPr>
      <w:r w:rsidRPr="009C7A80">
        <w:rPr>
          <w:b/>
          <w:szCs w:val="22"/>
          <w:lang w:val="sr-Latn-ME"/>
        </w:rPr>
        <w:t xml:space="preserve">7. NOSILAC DOZVOLE </w:t>
      </w:r>
    </w:p>
    <w:p w14:paraId="7D47239C" w14:textId="77777777" w:rsidR="00823F61" w:rsidRDefault="00823F61" w:rsidP="00823F61">
      <w:pPr>
        <w:rPr>
          <w:szCs w:val="22"/>
          <w:lang w:val="sr-Latn-ME"/>
        </w:rPr>
      </w:pPr>
    </w:p>
    <w:p w14:paraId="15625CBB" w14:textId="169CF2D6" w:rsidR="00BE3B45" w:rsidRPr="009C7A80" w:rsidRDefault="00823F61" w:rsidP="00823F61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Hemofarm</w:t>
      </w:r>
      <w:r w:rsidR="00BE3B45" w:rsidRPr="009C7A80">
        <w:rPr>
          <w:szCs w:val="22"/>
          <w:lang w:val="sr-Latn-ME"/>
        </w:rPr>
        <w:t xml:space="preserve"> AD </w:t>
      </w:r>
      <w:r w:rsidRPr="009C7A80">
        <w:rPr>
          <w:szCs w:val="22"/>
          <w:lang w:val="sr-Latn-ME"/>
        </w:rPr>
        <w:t xml:space="preserve">Vršac </w:t>
      </w:r>
      <w:r w:rsidR="00BE3B45" w:rsidRPr="009C7A80">
        <w:rPr>
          <w:szCs w:val="22"/>
          <w:lang w:val="sr-Latn-ME"/>
        </w:rPr>
        <w:t xml:space="preserve">PJ </w:t>
      </w:r>
      <w:r w:rsidRPr="009C7A80">
        <w:rPr>
          <w:szCs w:val="22"/>
          <w:lang w:val="sr-Latn-ME"/>
        </w:rPr>
        <w:t>Podgorica</w:t>
      </w:r>
    </w:p>
    <w:p w14:paraId="798C33A4" w14:textId="0A9F7EDF" w:rsidR="00BE3B45" w:rsidRPr="009C7A80" w:rsidRDefault="00BE3B45" w:rsidP="00823F61">
      <w:pPr>
        <w:rPr>
          <w:szCs w:val="22"/>
          <w:lang w:val="sr-Latn-ME"/>
        </w:rPr>
      </w:pPr>
      <w:r w:rsidRPr="009C7A80">
        <w:rPr>
          <w:szCs w:val="22"/>
          <w:lang w:val="sr-Latn-ME"/>
        </w:rPr>
        <w:t>8 marta 55A,</w:t>
      </w:r>
      <w:r w:rsidR="00823F61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Podgorica,</w:t>
      </w:r>
      <w:r w:rsidR="00284B47">
        <w:rPr>
          <w:szCs w:val="22"/>
          <w:lang w:val="sr-Latn-ME"/>
        </w:rPr>
        <w:t xml:space="preserve"> </w:t>
      </w:r>
      <w:r w:rsidRPr="009C7A80">
        <w:rPr>
          <w:szCs w:val="22"/>
          <w:lang w:val="sr-Latn-ME"/>
        </w:rPr>
        <w:t>Crna Gora</w:t>
      </w:r>
    </w:p>
    <w:p w14:paraId="5059CF29" w14:textId="661A7782" w:rsidR="00BE3B45" w:rsidRDefault="00BE3B45" w:rsidP="00823F61">
      <w:pPr>
        <w:rPr>
          <w:szCs w:val="22"/>
          <w:lang w:val="sr-Latn-ME"/>
        </w:rPr>
      </w:pPr>
    </w:p>
    <w:p w14:paraId="20679EE7" w14:textId="77777777" w:rsidR="00823F61" w:rsidRPr="009C7A80" w:rsidRDefault="00823F61" w:rsidP="00823F61">
      <w:pPr>
        <w:rPr>
          <w:szCs w:val="22"/>
          <w:lang w:val="sr-Latn-ME"/>
        </w:rPr>
      </w:pPr>
    </w:p>
    <w:p w14:paraId="3032C553" w14:textId="1FEAB4C4" w:rsidR="00BE3B45" w:rsidRDefault="00BE3B45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 xml:space="preserve">8. </w:t>
      </w:r>
      <w:r w:rsidRPr="009C7A80">
        <w:rPr>
          <w:b/>
          <w:bCs/>
          <w:szCs w:val="22"/>
          <w:lang w:val="sr-Latn-ME"/>
        </w:rPr>
        <w:tab/>
        <w:t>BROJ DOZVOLE ZA STAVLJANJE LIJEKA U PROMET</w:t>
      </w:r>
    </w:p>
    <w:p w14:paraId="0A259148" w14:textId="7E1669C7" w:rsidR="00CF5DA2" w:rsidRDefault="00CF5DA2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</w:p>
    <w:p w14:paraId="3CE4FFBD" w14:textId="49B67D7A" w:rsidR="00CF5DA2" w:rsidRPr="00CF5DA2" w:rsidRDefault="00CF5DA2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RS"/>
        </w:rPr>
      </w:pPr>
      <w:r w:rsidRPr="00CF5DA2">
        <w:rPr>
          <w:szCs w:val="22"/>
          <w:lang w:val="sr-Latn-RS"/>
        </w:rPr>
        <w:t>2030/24/6468 - 5265</w:t>
      </w:r>
    </w:p>
    <w:p w14:paraId="26C8CD0E" w14:textId="77777777" w:rsidR="00BE3B45" w:rsidRPr="009C7A80" w:rsidRDefault="00BE3B45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006F6C01" w14:textId="77777777" w:rsidR="00BE3B45" w:rsidRPr="009C7A80" w:rsidRDefault="00BE3B45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4D8F14A4" w14:textId="77777777" w:rsidR="00BE3B45" w:rsidRPr="009C7A80" w:rsidRDefault="00BE3B45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 xml:space="preserve">9. </w:t>
      </w:r>
      <w:r w:rsidRPr="009C7A80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0517ACDA" w14:textId="77777777" w:rsidR="00BE3B45" w:rsidRPr="009C7A80" w:rsidRDefault="00BE3B45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784EDAE5" w14:textId="7B50D82E" w:rsidR="00BE3B45" w:rsidRDefault="00CF5DA2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CF5DA2">
        <w:rPr>
          <w:bCs/>
          <w:szCs w:val="22"/>
          <w:lang w:val="sr-Latn-ME"/>
        </w:rPr>
        <w:t>0</w:t>
      </w:r>
      <w:r w:rsidR="00F92ED0">
        <w:rPr>
          <w:bCs/>
          <w:szCs w:val="22"/>
          <w:lang w:val="sr-Latn-ME"/>
        </w:rPr>
        <w:t>4</w:t>
      </w:r>
      <w:r w:rsidRPr="00CF5DA2">
        <w:rPr>
          <w:bCs/>
          <w:szCs w:val="22"/>
          <w:lang w:val="sr-Latn-ME"/>
        </w:rPr>
        <w:t>.12.2024. godine</w:t>
      </w:r>
    </w:p>
    <w:p w14:paraId="5A47CE94" w14:textId="318D42EB" w:rsidR="00CF5DA2" w:rsidRDefault="00CF5DA2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134D0A2A" w14:textId="77777777" w:rsidR="00CF5DA2" w:rsidRPr="009C7A80" w:rsidRDefault="00CF5DA2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043069C6" w14:textId="77777777" w:rsidR="00BE3B45" w:rsidRPr="009C7A80" w:rsidRDefault="00BE3B45">
      <w:pPr>
        <w:tabs>
          <w:tab w:val="clear" w:pos="284"/>
          <w:tab w:val="left" w:pos="540"/>
          <w:tab w:val="left" w:pos="569"/>
        </w:tabs>
        <w:ind w:left="540" w:hanging="540"/>
        <w:jc w:val="left"/>
        <w:rPr>
          <w:b/>
          <w:bCs/>
          <w:szCs w:val="22"/>
          <w:lang w:val="sr-Latn-ME"/>
        </w:rPr>
      </w:pPr>
      <w:r w:rsidRPr="009C7A80">
        <w:rPr>
          <w:b/>
          <w:bCs/>
          <w:szCs w:val="22"/>
          <w:lang w:val="sr-Latn-ME"/>
        </w:rPr>
        <w:t xml:space="preserve">10. </w:t>
      </w:r>
      <w:r w:rsidRPr="009C7A80">
        <w:rPr>
          <w:b/>
          <w:bCs/>
          <w:szCs w:val="22"/>
          <w:lang w:val="sr-Latn-ME"/>
        </w:rPr>
        <w:tab/>
        <w:t xml:space="preserve">DATUM REVIZIJE TEKSTA </w:t>
      </w:r>
    </w:p>
    <w:p w14:paraId="505677AB" w14:textId="77777777" w:rsidR="00BE3B45" w:rsidRPr="009C7A80" w:rsidRDefault="00BE3B45">
      <w:pPr>
        <w:tabs>
          <w:tab w:val="clear" w:pos="284"/>
          <w:tab w:val="left" w:pos="540"/>
          <w:tab w:val="left" w:pos="569"/>
        </w:tabs>
        <w:ind w:left="540" w:hanging="540"/>
        <w:jc w:val="left"/>
        <w:rPr>
          <w:bCs/>
          <w:szCs w:val="22"/>
          <w:lang w:val="sr-Latn-ME"/>
        </w:rPr>
      </w:pPr>
    </w:p>
    <w:p w14:paraId="397A1286" w14:textId="4758FECC" w:rsidR="00407DAC" w:rsidRPr="009C7A80" w:rsidRDefault="007C1BA5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Maj</w:t>
      </w:r>
      <w:r w:rsidR="00CF5DA2">
        <w:rPr>
          <w:bCs/>
          <w:szCs w:val="22"/>
          <w:lang w:val="sr-Latn-ME"/>
        </w:rPr>
        <w:t>, 202</w:t>
      </w:r>
      <w:r>
        <w:rPr>
          <w:bCs/>
          <w:szCs w:val="22"/>
          <w:lang w:val="sr-Latn-ME"/>
        </w:rPr>
        <w:t>5</w:t>
      </w:r>
      <w:bookmarkStart w:id="1" w:name="_GoBack"/>
      <w:bookmarkEnd w:id="1"/>
      <w:r w:rsidR="00CF5DA2">
        <w:rPr>
          <w:bCs/>
          <w:szCs w:val="22"/>
          <w:lang w:val="sr-Latn-ME"/>
        </w:rPr>
        <w:t>. godine</w:t>
      </w:r>
    </w:p>
    <w:p w14:paraId="7C53A7BD" w14:textId="77777777" w:rsidR="00407DAC" w:rsidRPr="009C7A80" w:rsidRDefault="00407DAC">
      <w:pPr>
        <w:rPr>
          <w:lang w:val="sr-Latn-ME"/>
        </w:rPr>
      </w:pPr>
    </w:p>
    <w:sectPr w:rsidR="00407DAC" w:rsidRPr="009C7A8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9765F" w14:textId="77777777" w:rsidR="008E63EF" w:rsidRDefault="008E63EF" w:rsidP="00C61C49">
      <w:r>
        <w:separator/>
      </w:r>
    </w:p>
  </w:endnote>
  <w:endnote w:type="continuationSeparator" w:id="0">
    <w:p w14:paraId="7B42CF13" w14:textId="77777777" w:rsidR="008E63EF" w:rsidRDefault="008E63EF" w:rsidP="00C6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EF9E" w14:textId="66376145" w:rsidR="00C61C49" w:rsidRPr="00823F61" w:rsidRDefault="00C61C49" w:rsidP="00F350E4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7C1BA5">
      <w:rPr>
        <w:noProof/>
        <w:szCs w:val="22"/>
      </w:rPr>
      <w:t>6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7C1BA5">
      <w:rPr>
        <w:noProof/>
        <w:szCs w:val="22"/>
      </w:rPr>
      <w:t>9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B918" w14:textId="77777777" w:rsidR="008E63EF" w:rsidRDefault="008E63EF" w:rsidP="00C61C49">
      <w:r>
        <w:separator/>
      </w:r>
    </w:p>
  </w:footnote>
  <w:footnote w:type="continuationSeparator" w:id="0">
    <w:p w14:paraId="0F1B6B16" w14:textId="77777777" w:rsidR="008E63EF" w:rsidRDefault="008E63EF" w:rsidP="00C6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0FA"/>
    <w:multiLevelType w:val="hybridMultilevel"/>
    <w:tmpl w:val="A906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0597"/>
    <w:multiLevelType w:val="hybridMultilevel"/>
    <w:tmpl w:val="55F0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50380"/>
    <w:multiLevelType w:val="hybridMultilevel"/>
    <w:tmpl w:val="9C84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4CB5"/>
    <w:multiLevelType w:val="hybridMultilevel"/>
    <w:tmpl w:val="2B3E75A6"/>
    <w:lvl w:ilvl="0" w:tplc="E6002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45F4F"/>
    <w:multiLevelType w:val="hybridMultilevel"/>
    <w:tmpl w:val="55482C56"/>
    <w:lvl w:ilvl="0" w:tplc="E6002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46DC9"/>
    <w:multiLevelType w:val="hybridMultilevel"/>
    <w:tmpl w:val="3D3E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09A9"/>
    <w:multiLevelType w:val="hybridMultilevel"/>
    <w:tmpl w:val="A06AAC1A"/>
    <w:lvl w:ilvl="0" w:tplc="E6002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A0D71"/>
    <w:multiLevelType w:val="hybridMultilevel"/>
    <w:tmpl w:val="1F70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5454A"/>
    <w:multiLevelType w:val="hybridMultilevel"/>
    <w:tmpl w:val="B774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8059C"/>
    <w:multiLevelType w:val="hybridMultilevel"/>
    <w:tmpl w:val="ABC2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04D7B"/>
    <w:multiLevelType w:val="hybridMultilevel"/>
    <w:tmpl w:val="74C4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B443E"/>
    <w:multiLevelType w:val="hybridMultilevel"/>
    <w:tmpl w:val="9290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71E5"/>
    <w:multiLevelType w:val="hybridMultilevel"/>
    <w:tmpl w:val="5EAEA0D0"/>
    <w:lvl w:ilvl="0" w:tplc="E6002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884"/>
    <w:multiLevelType w:val="hybridMultilevel"/>
    <w:tmpl w:val="3B80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AC"/>
    <w:rsid w:val="000108F9"/>
    <w:rsid w:val="000113B8"/>
    <w:rsid w:val="00013294"/>
    <w:rsid w:val="00014C72"/>
    <w:rsid w:val="0001550E"/>
    <w:rsid w:val="00015E6B"/>
    <w:rsid w:val="00016125"/>
    <w:rsid w:val="00016C66"/>
    <w:rsid w:val="000203F8"/>
    <w:rsid w:val="000223DA"/>
    <w:rsid w:val="00023C5C"/>
    <w:rsid w:val="00031516"/>
    <w:rsid w:val="0003504E"/>
    <w:rsid w:val="00036C4C"/>
    <w:rsid w:val="00037ADC"/>
    <w:rsid w:val="0005334C"/>
    <w:rsid w:val="00056531"/>
    <w:rsid w:val="00061A50"/>
    <w:rsid w:val="00062BB8"/>
    <w:rsid w:val="00062FB1"/>
    <w:rsid w:val="0007337E"/>
    <w:rsid w:val="000756C8"/>
    <w:rsid w:val="00082B84"/>
    <w:rsid w:val="0009235C"/>
    <w:rsid w:val="00092F1A"/>
    <w:rsid w:val="00096319"/>
    <w:rsid w:val="000A52FB"/>
    <w:rsid w:val="000C3875"/>
    <w:rsid w:val="000C45A3"/>
    <w:rsid w:val="000D5CF5"/>
    <w:rsid w:val="000D699C"/>
    <w:rsid w:val="000D7884"/>
    <w:rsid w:val="000E195C"/>
    <w:rsid w:val="000E1C15"/>
    <w:rsid w:val="000E763C"/>
    <w:rsid w:val="000F403F"/>
    <w:rsid w:val="000F56C9"/>
    <w:rsid w:val="000F6170"/>
    <w:rsid w:val="000F6D15"/>
    <w:rsid w:val="001043A1"/>
    <w:rsid w:val="0011222A"/>
    <w:rsid w:val="00113014"/>
    <w:rsid w:val="001139FE"/>
    <w:rsid w:val="0011619E"/>
    <w:rsid w:val="001168F8"/>
    <w:rsid w:val="00117869"/>
    <w:rsid w:val="00121B00"/>
    <w:rsid w:val="00124CA1"/>
    <w:rsid w:val="00130150"/>
    <w:rsid w:val="00130F6E"/>
    <w:rsid w:val="00134CB5"/>
    <w:rsid w:val="001420D1"/>
    <w:rsid w:val="00142DC1"/>
    <w:rsid w:val="0014573D"/>
    <w:rsid w:val="001507AD"/>
    <w:rsid w:val="0015240E"/>
    <w:rsid w:val="00153B5F"/>
    <w:rsid w:val="00160510"/>
    <w:rsid w:val="0016448E"/>
    <w:rsid w:val="001653E2"/>
    <w:rsid w:val="00165E6B"/>
    <w:rsid w:val="001760AC"/>
    <w:rsid w:val="00182054"/>
    <w:rsid w:val="00186286"/>
    <w:rsid w:val="0019560B"/>
    <w:rsid w:val="001A18A5"/>
    <w:rsid w:val="001A3D8D"/>
    <w:rsid w:val="001A58CC"/>
    <w:rsid w:val="001A72BB"/>
    <w:rsid w:val="001C0B30"/>
    <w:rsid w:val="001C757C"/>
    <w:rsid w:val="001D1217"/>
    <w:rsid w:val="001D16B6"/>
    <w:rsid w:val="001D624A"/>
    <w:rsid w:val="001E1D3A"/>
    <w:rsid w:val="001E2D7E"/>
    <w:rsid w:val="001F0D4B"/>
    <w:rsid w:val="001F4A62"/>
    <w:rsid w:val="001F51EA"/>
    <w:rsid w:val="001F6FC0"/>
    <w:rsid w:val="002132B0"/>
    <w:rsid w:val="002150D7"/>
    <w:rsid w:val="00217A6B"/>
    <w:rsid w:val="00221EF5"/>
    <w:rsid w:val="00235A01"/>
    <w:rsid w:val="00236BAC"/>
    <w:rsid w:val="00236EA9"/>
    <w:rsid w:val="002427C6"/>
    <w:rsid w:val="0024484D"/>
    <w:rsid w:val="00245F0E"/>
    <w:rsid w:val="0024750F"/>
    <w:rsid w:val="00252DBC"/>
    <w:rsid w:val="00256367"/>
    <w:rsid w:val="00256F3F"/>
    <w:rsid w:val="00260A94"/>
    <w:rsid w:val="00265F1D"/>
    <w:rsid w:val="00272614"/>
    <w:rsid w:val="002757B3"/>
    <w:rsid w:val="00275F32"/>
    <w:rsid w:val="0027695E"/>
    <w:rsid w:val="00276A0B"/>
    <w:rsid w:val="00281512"/>
    <w:rsid w:val="00282B7E"/>
    <w:rsid w:val="00283181"/>
    <w:rsid w:val="00284B47"/>
    <w:rsid w:val="002865AF"/>
    <w:rsid w:val="002870BD"/>
    <w:rsid w:val="00287BB1"/>
    <w:rsid w:val="00287D1F"/>
    <w:rsid w:val="00291A7C"/>
    <w:rsid w:val="002940A9"/>
    <w:rsid w:val="00297808"/>
    <w:rsid w:val="002A3A01"/>
    <w:rsid w:val="002A47FF"/>
    <w:rsid w:val="002B30CE"/>
    <w:rsid w:val="002B323C"/>
    <w:rsid w:val="002C094D"/>
    <w:rsid w:val="002C1719"/>
    <w:rsid w:val="002C36DE"/>
    <w:rsid w:val="002C770E"/>
    <w:rsid w:val="002D5919"/>
    <w:rsid w:val="002E0328"/>
    <w:rsid w:val="002E1660"/>
    <w:rsid w:val="002E5E07"/>
    <w:rsid w:val="002F0215"/>
    <w:rsid w:val="002F0D68"/>
    <w:rsid w:val="002F2D6A"/>
    <w:rsid w:val="002F2ED2"/>
    <w:rsid w:val="002F33D8"/>
    <w:rsid w:val="002F7296"/>
    <w:rsid w:val="003006F2"/>
    <w:rsid w:val="00301B99"/>
    <w:rsid w:val="00301F8B"/>
    <w:rsid w:val="00303A5E"/>
    <w:rsid w:val="00305A5B"/>
    <w:rsid w:val="0030627D"/>
    <w:rsid w:val="00310A42"/>
    <w:rsid w:val="00311933"/>
    <w:rsid w:val="00312B91"/>
    <w:rsid w:val="00313FFB"/>
    <w:rsid w:val="0031411E"/>
    <w:rsid w:val="003148DF"/>
    <w:rsid w:val="00336286"/>
    <w:rsid w:val="00336658"/>
    <w:rsid w:val="003409C0"/>
    <w:rsid w:val="0034325A"/>
    <w:rsid w:val="00343504"/>
    <w:rsid w:val="00347667"/>
    <w:rsid w:val="00350853"/>
    <w:rsid w:val="003509F9"/>
    <w:rsid w:val="003541BE"/>
    <w:rsid w:val="003562D1"/>
    <w:rsid w:val="00360BAD"/>
    <w:rsid w:val="00363699"/>
    <w:rsid w:val="00366B5E"/>
    <w:rsid w:val="00366CEB"/>
    <w:rsid w:val="003701D0"/>
    <w:rsid w:val="003771EB"/>
    <w:rsid w:val="00381912"/>
    <w:rsid w:val="003819C6"/>
    <w:rsid w:val="003831D5"/>
    <w:rsid w:val="00387294"/>
    <w:rsid w:val="003918CC"/>
    <w:rsid w:val="003959FA"/>
    <w:rsid w:val="003A108F"/>
    <w:rsid w:val="003A2585"/>
    <w:rsid w:val="003A5F83"/>
    <w:rsid w:val="003A70F3"/>
    <w:rsid w:val="003A711B"/>
    <w:rsid w:val="003A790D"/>
    <w:rsid w:val="003B031E"/>
    <w:rsid w:val="003B34FB"/>
    <w:rsid w:val="003B7DCF"/>
    <w:rsid w:val="003C0365"/>
    <w:rsid w:val="003C39A7"/>
    <w:rsid w:val="003C68E7"/>
    <w:rsid w:val="003D1AA8"/>
    <w:rsid w:val="003D5F0A"/>
    <w:rsid w:val="003D6D66"/>
    <w:rsid w:val="003E0F5E"/>
    <w:rsid w:val="003E1026"/>
    <w:rsid w:val="003E5830"/>
    <w:rsid w:val="003F0E9E"/>
    <w:rsid w:val="003F682C"/>
    <w:rsid w:val="003F6BFC"/>
    <w:rsid w:val="003F7753"/>
    <w:rsid w:val="004006B6"/>
    <w:rsid w:val="004029E4"/>
    <w:rsid w:val="00407DAC"/>
    <w:rsid w:val="004243A2"/>
    <w:rsid w:val="0042564D"/>
    <w:rsid w:val="00426C30"/>
    <w:rsid w:val="00426D96"/>
    <w:rsid w:val="004325C2"/>
    <w:rsid w:val="00442808"/>
    <w:rsid w:val="00443D3C"/>
    <w:rsid w:val="00443E1C"/>
    <w:rsid w:val="0044469E"/>
    <w:rsid w:val="00444CD4"/>
    <w:rsid w:val="00447F1D"/>
    <w:rsid w:val="004664E1"/>
    <w:rsid w:val="0047042B"/>
    <w:rsid w:val="00475230"/>
    <w:rsid w:val="00475CA0"/>
    <w:rsid w:val="00477D80"/>
    <w:rsid w:val="004804E7"/>
    <w:rsid w:val="00482D41"/>
    <w:rsid w:val="00483509"/>
    <w:rsid w:val="0048592B"/>
    <w:rsid w:val="0049257A"/>
    <w:rsid w:val="00493D18"/>
    <w:rsid w:val="00494525"/>
    <w:rsid w:val="004A063D"/>
    <w:rsid w:val="004A06D9"/>
    <w:rsid w:val="004A1051"/>
    <w:rsid w:val="004B034A"/>
    <w:rsid w:val="004B30B4"/>
    <w:rsid w:val="004B3862"/>
    <w:rsid w:val="004D03D6"/>
    <w:rsid w:val="004D5A39"/>
    <w:rsid w:val="004E2EEF"/>
    <w:rsid w:val="004E4FFE"/>
    <w:rsid w:val="004E51AE"/>
    <w:rsid w:val="004E7358"/>
    <w:rsid w:val="0050103D"/>
    <w:rsid w:val="00505403"/>
    <w:rsid w:val="00505E9F"/>
    <w:rsid w:val="00507692"/>
    <w:rsid w:val="005162F1"/>
    <w:rsid w:val="0051669E"/>
    <w:rsid w:val="00526CC7"/>
    <w:rsid w:val="005312F3"/>
    <w:rsid w:val="00535507"/>
    <w:rsid w:val="0053703C"/>
    <w:rsid w:val="005374A7"/>
    <w:rsid w:val="00537D0A"/>
    <w:rsid w:val="00541CED"/>
    <w:rsid w:val="00543B18"/>
    <w:rsid w:val="00552F03"/>
    <w:rsid w:val="00553833"/>
    <w:rsid w:val="00553A70"/>
    <w:rsid w:val="005551C1"/>
    <w:rsid w:val="005579DC"/>
    <w:rsid w:val="0056224F"/>
    <w:rsid w:val="00565FCC"/>
    <w:rsid w:val="00566BA6"/>
    <w:rsid w:val="00573E6B"/>
    <w:rsid w:val="005760D2"/>
    <w:rsid w:val="00580673"/>
    <w:rsid w:val="005910F2"/>
    <w:rsid w:val="00592067"/>
    <w:rsid w:val="005A038D"/>
    <w:rsid w:val="005A23DA"/>
    <w:rsid w:val="005A51B6"/>
    <w:rsid w:val="005A5C37"/>
    <w:rsid w:val="005B03DD"/>
    <w:rsid w:val="005C1B49"/>
    <w:rsid w:val="005C3A22"/>
    <w:rsid w:val="005C40B3"/>
    <w:rsid w:val="005D341B"/>
    <w:rsid w:val="005D43A3"/>
    <w:rsid w:val="005D67A5"/>
    <w:rsid w:val="005E1C15"/>
    <w:rsid w:val="005F25C8"/>
    <w:rsid w:val="005F2C1F"/>
    <w:rsid w:val="005F71E9"/>
    <w:rsid w:val="00603864"/>
    <w:rsid w:val="00617A83"/>
    <w:rsid w:val="006205D4"/>
    <w:rsid w:val="006212A9"/>
    <w:rsid w:val="00622939"/>
    <w:rsid w:val="00624DB1"/>
    <w:rsid w:val="00625050"/>
    <w:rsid w:val="006270DC"/>
    <w:rsid w:val="00627DA4"/>
    <w:rsid w:val="00631236"/>
    <w:rsid w:val="0063319E"/>
    <w:rsid w:val="006350BB"/>
    <w:rsid w:val="006375F0"/>
    <w:rsid w:val="00640E4F"/>
    <w:rsid w:val="00643FAE"/>
    <w:rsid w:val="006443F9"/>
    <w:rsid w:val="006446B9"/>
    <w:rsid w:val="006519CB"/>
    <w:rsid w:val="00652DE4"/>
    <w:rsid w:val="00654727"/>
    <w:rsid w:val="00656775"/>
    <w:rsid w:val="006603EB"/>
    <w:rsid w:val="00660BAD"/>
    <w:rsid w:val="00663328"/>
    <w:rsid w:val="00664476"/>
    <w:rsid w:val="00670C91"/>
    <w:rsid w:val="006724B4"/>
    <w:rsid w:val="00691309"/>
    <w:rsid w:val="0069356B"/>
    <w:rsid w:val="00693C3B"/>
    <w:rsid w:val="006A31C8"/>
    <w:rsid w:val="006A494E"/>
    <w:rsid w:val="006A515D"/>
    <w:rsid w:val="006B1140"/>
    <w:rsid w:val="006B1678"/>
    <w:rsid w:val="006B5D14"/>
    <w:rsid w:val="006B7ECC"/>
    <w:rsid w:val="006C2425"/>
    <w:rsid w:val="006C33A2"/>
    <w:rsid w:val="006C5259"/>
    <w:rsid w:val="006C72F0"/>
    <w:rsid w:val="006D4D8B"/>
    <w:rsid w:val="006D62F8"/>
    <w:rsid w:val="006E0ABD"/>
    <w:rsid w:val="006E2B72"/>
    <w:rsid w:val="006E2C97"/>
    <w:rsid w:val="006E2E0E"/>
    <w:rsid w:val="00702067"/>
    <w:rsid w:val="007061F0"/>
    <w:rsid w:val="00710A3A"/>
    <w:rsid w:val="00712947"/>
    <w:rsid w:val="00715D1C"/>
    <w:rsid w:val="007164D0"/>
    <w:rsid w:val="00721A28"/>
    <w:rsid w:val="00722C57"/>
    <w:rsid w:val="007263F4"/>
    <w:rsid w:val="00733709"/>
    <w:rsid w:val="00734A3A"/>
    <w:rsid w:val="00737F98"/>
    <w:rsid w:val="00746DAC"/>
    <w:rsid w:val="00747777"/>
    <w:rsid w:val="00747FE9"/>
    <w:rsid w:val="00753386"/>
    <w:rsid w:val="00753AFC"/>
    <w:rsid w:val="00763E8A"/>
    <w:rsid w:val="00765771"/>
    <w:rsid w:val="00765F87"/>
    <w:rsid w:val="00767F44"/>
    <w:rsid w:val="0077140D"/>
    <w:rsid w:val="007740C3"/>
    <w:rsid w:val="00780848"/>
    <w:rsid w:val="00782F42"/>
    <w:rsid w:val="00786698"/>
    <w:rsid w:val="00791573"/>
    <w:rsid w:val="00797BD6"/>
    <w:rsid w:val="007A58C3"/>
    <w:rsid w:val="007A7542"/>
    <w:rsid w:val="007A7A84"/>
    <w:rsid w:val="007B39BA"/>
    <w:rsid w:val="007B4300"/>
    <w:rsid w:val="007C0BD0"/>
    <w:rsid w:val="007C133C"/>
    <w:rsid w:val="007C1BA5"/>
    <w:rsid w:val="007C272A"/>
    <w:rsid w:val="007C7BF6"/>
    <w:rsid w:val="007D3CA9"/>
    <w:rsid w:val="007D5DEC"/>
    <w:rsid w:val="007E283E"/>
    <w:rsid w:val="007E4CF8"/>
    <w:rsid w:val="007E53D8"/>
    <w:rsid w:val="007E6736"/>
    <w:rsid w:val="007E6DA8"/>
    <w:rsid w:val="007E7475"/>
    <w:rsid w:val="007F132D"/>
    <w:rsid w:val="007F2B5C"/>
    <w:rsid w:val="007F2DCE"/>
    <w:rsid w:val="00802087"/>
    <w:rsid w:val="00806278"/>
    <w:rsid w:val="00807EE0"/>
    <w:rsid w:val="00811695"/>
    <w:rsid w:val="00812D7D"/>
    <w:rsid w:val="00816870"/>
    <w:rsid w:val="0081689A"/>
    <w:rsid w:val="00821777"/>
    <w:rsid w:val="00823F61"/>
    <w:rsid w:val="00824CD6"/>
    <w:rsid w:val="00830813"/>
    <w:rsid w:val="008333E4"/>
    <w:rsid w:val="008378C5"/>
    <w:rsid w:val="008409A5"/>
    <w:rsid w:val="00840A12"/>
    <w:rsid w:val="00840B8B"/>
    <w:rsid w:val="00842247"/>
    <w:rsid w:val="00845A61"/>
    <w:rsid w:val="00847F85"/>
    <w:rsid w:val="00854055"/>
    <w:rsid w:val="00861C3D"/>
    <w:rsid w:val="00862542"/>
    <w:rsid w:val="008859E3"/>
    <w:rsid w:val="008875F2"/>
    <w:rsid w:val="0089092F"/>
    <w:rsid w:val="0089110B"/>
    <w:rsid w:val="008A61DC"/>
    <w:rsid w:val="008B0E3E"/>
    <w:rsid w:val="008B1B29"/>
    <w:rsid w:val="008B5720"/>
    <w:rsid w:val="008B6ECB"/>
    <w:rsid w:val="008C1623"/>
    <w:rsid w:val="008C450E"/>
    <w:rsid w:val="008C719A"/>
    <w:rsid w:val="008D116E"/>
    <w:rsid w:val="008D2ABE"/>
    <w:rsid w:val="008D32B1"/>
    <w:rsid w:val="008D405A"/>
    <w:rsid w:val="008D5F79"/>
    <w:rsid w:val="008D6238"/>
    <w:rsid w:val="008E08DE"/>
    <w:rsid w:val="008E3157"/>
    <w:rsid w:val="008E3327"/>
    <w:rsid w:val="008E50FE"/>
    <w:rsid w:val="008E5A5B"/>
    <w:rsid w:val="008E63EF"/>
    <w:rsid w:val="008E6A52"/>
    <w:rsid w:val="008F0DE5"/>
    <w:rsid w:val="008F0E97"/>
    <w:rsid w:val="008F18B9"/>
    <w:rsid w:val="008F7ACB"/>
    <w:rsid w:val="009020D5"/>
    <w:rsid w:val="00905A06"/>
    <w:rsid w:val="00910824"/>
    <w:rsid w:val="0091164A"/>
    <w:rsid w:val="009233C4"/>
    <w:rsid w:val="00923865"/>
    <w:rsid w:val="00931E98"/>
    <w:rsid w:val="00935EBE"/>
    <w:rsid w:val="0093641D"/>
    <w:rsid w:val="00937D2E"/>
    <w:rsid w:val="009404EC"/>
    <w:rsid w:val="00960059"/>
    <w:rsid w:val="0096056C"/>
    <w:rsid w:val="009637B5"/>
    <w:rsid w:val="00971A8B"/>
    <w:rsid w:val="00976166"/>
    <w:rsid w:val="009815A1"/>
    <w:rsid w:val="00995E3C"/>
    <w:rsid w:val="009A7543"/>
    <w:rsid w:val="009B27ED"/>
    <w:rsid w:val="009B3DD5"/>
    <w:rsid w:val="009B56F2"/>
    <w:rsid w:val="009B67EB"/>
    <w:rsid w:val="009C2B00"/>
    <w:rsid w:val="009C7A80"/>
    <w:rsid w:val="009D169A"/>
    <w:rsid w:val="009D1CA5"/>
    <w:rsid w:val="009D4E72"/>
    <w:rsid w:val="009D4FD8"/>
    <w:rsid w:val="009D579A"/>
    <w:rsid w:val="009D700A"/>
    <w:rsid w:val="009D776A"/>
    <w:rsid w:val="009E0600"/>
    <w:rsid w:val="009E2048"/>
    <w:rsid w:val="009E35BE"/>
    <w:rsid w:val="009F4F00"/>
    <w:rsid w:val="009F63E8"/>
    <w:rsid w:val="00A01DA8"/>
    <w:rsid w:val="00A039F6"/>
    <w:rsid w:val="00A10D89"/>
    <w:rsid w:val="00A11EBE"/>
    <w:rsid w:val="00A17FE2"/>
    <w:rsid w:val="00A22F37"/>
    <w:rsid w:val="00A27CF8"/>
    <w:rsid w:val="00A436A3"/>
    <w:rsid w:val="00A43BC7"/>
    <w:rsid w:val="00A5159F"/>
    <w:rsid w:val="00A5207C"/>
    <w:rsid w:val="00A5314C"/>
    <w:rsid w:val="00A61CE8"/>
    <w:rsid w:val="00A62B9F"/>
    <w:rsid w:val="00A62DE8"/>
    <w:rsid w:val="00A63B52"/>
    <w:rsid w:val="00A669E9"/>
    <w:rsid w:val="00A718A1"/>
    <w:rsid w:val="00A73186"/>
    <w:rsid w:val="00A741B6"/>
    <w:rsid w:val="00A82856"/>
    <w:rsid w:val="00A86C48"/>
    <w:rsid w:val="00A87F1D"/>
    <w:rsid w:val="00A9376C"/>
    <w:rsid w:val="00A96F46"/>
    <w:rsid w:val="00AA4714"/>
    <w:rsid w:val="00AA568A"/>
    <w:rsid w:val="00AA5F3B"/>
    <w:rsid w:val="00AB0674"/>
    <w:rsid w:val="00AB356B"/>
    <w:rsid w:val="00AB5CAE"/>
    <w:rsid w:val="00AB6FAA"/>
    <w:rsid w:val="00AB7A69"/>
    <w:rsid w:val="00AC2091"/>
    <w:rsid w:val="00AC5915"/>
    <w:rsid w:val="00AC5FC4"/>
    <w:rsid w:val="00AD0F3C"/>
    <w:rsid w:val="00AD1626"/>
    <w:rsid w:val="00AD16BE"/>
    <w:rsid w:val="00AD2BD7"/>
    <w:rsid w:val="00AD63F1"/>
    <w:rsid w:val="00AE16F2"/>
    <w:rsid w:val="00AE1C1D"/>
    <w:rsid w:val="00AE2B19"/>
    <w:rsid w:val="00AF1B27"/>
    <w:rsid w:val="00AF1E2C"/>
    <w:rsid w:val="00AF57FE"/>
    <w:rsid w:val="00B00C82"/>
    <w:rsid w:val="00B02A0A"/>
    <w:rsid w:val="00B02D43"/>
    <w:rsid w:val="00B0565E"/>
    <w:rsid w:val="00B1246A"/>
    <w:rsid w:val="00B3043B"/>
    <w:rsid w:val="00B378A5"/>
    <w:rsid w:val="00B414F2"/>
    <w:rsid w:val="00B419B9"/>
    <w:rsid w:val="00B44107"/>
    <w:rsid w:val="00B451A7"/>
    <w:rsid w:val="00B46C37"/>
    <w:rsid w:val="00B47818"/>
    <w:rsid w:val="00B523F6"/>
    <w:rsid w:val="00B55177"/>
    <w:rsid w:val="00B60BD5"/>
    <w:rsid w:val="00B62A83"/>
    <w:rsid w:val="00B62AAD"/>
    <w:rsid w:val="00B63B54"/>
    <w:rsid w:val="00B70E6C"/>
    <w:rsid w:val="00B70F66"/>
    <w:rsid w:val="00B724F7"/>
    <w:rsid w:val="00B74EC9"/>
    <w:rsid w:val="00B81179"/>
    <w:rsid w:val="00B822A0"/>
    <w:rsid w:val="00B84469"/>
    <w:rsid w:val="00B92B8E"/>
    <w:rsid w:val="00B94F2F"/>
    <w:rsid w:val="00B96B0B"/>
    <w:rsid w:val="00BA320C"/>
    <w:rsid w:val="00BA482A"/>
    <w:rsid w:val="00BA75B9"/>
    <w:rsid w:val="00BC1B14"/>
    <w:rsid w:val="00BC2E70"/>
    <w:rsid w:val="00BC50F1"/>
    <w:rsid w:val="00BD1CE3"/>
    <w:rsid w:val="00BD1FDD"/>
    <w:rsid w:val="00BD28A8"/>
    <w:rsid w:val="00BD3DD8"/>
    <w:rsid w:val="00BE1F53"/>
    <w:rsid w:val="00BE3B45"/>
    <w:rsid w:val="00BE4300"/>
    <w:rsid w:val="00BF035B"/>
    <w:rsid w:val="00BF3A70"/>
    <w:rsid w:val="00BF6CE3"/>
    <w:rsid w:val="00C00865"/>
    <w:rsid w:val="00C05809"/>
    <w:rsid w:val="00C06245"/>
    <w:rsid w:val="00C07ED0"/>
    <w:rsid w:val="00C14BE1"/>
    <w:rsid w:val="00C20C1D"/>
    <w:rsid w:val="00C25617"/>
    <w:rsid w:val="00C26AE9"/>
    <w:rsid w:val="00C26C77"/>
    <w:rsid w:val="00C30BA6"/>
    <w:rsid w:val="00C354E6"/>
    <w:rsid w:val="00C36820"/>
    <w:rsid w:val="00C40449"/>
    <w:rsid w:val="00C4277D"/>
    <w:rsid w:val="00C43376"/>
    <w:rsid w:val="00C43CD1"/>
    <w:rsid w:val="00C44FE1"/>
    <w:rsid w:val="00C57763"/>
    <w:rsid w:val="00C61C49"/>
    <w:rsid w:val="00C62FBC"/>
    <w:rsid w:val="00C7330A"/>
    <w:rsid w:val="00C8186E"/>
    <w:rsid w:val="00C81EFE"/>
    <w:rsid w:val="00C84CC2"/>
    <w:rsid w:val="00C85579"/>
    <w:rsid w:val="00C961B7"/>
    <w:rsid w:val="00C978AA"/>
    <w:rsid w:val="00C97D13"/>
    <w:rsid w:val="00CA11F7"/>
    <w:rsid w:val="00CA1CDA"/>
    <w:rsid w:val="00CA2646"/>
    <w:rsid w:val="00CA3AC4"/>
    <w:rsid w:val="00CA40B4"/>
    <w:rsid w:val="00CA494F"/>
    <w:rsid w:val="00CA5487"/>
    <w:rsid w:val="00CA58F9"/>
    <w:rsid w:val="00CA665C"/>
    <w:rsid w:val="00CA7058"/>
    <w:rsid w:val="00CB58C3"/>
    <w:rsid w:val="00CB70A9"/>
    <w:rsid w:val="00CC00C6"/>
    <w:rsid w:val="00CC11DC"/>
    <w:rsid w:val="00CC7A67"/>
    <w:rsid w:val="00CE5A76"/>
    <w:rsid w:val="00CE6BC5"/>
    <w:rsid w:val="00CF2042"/>
    <w:rsid w:val="00CF3ED0"/>
    <w:rsid w:val="00CF44B2"/>
    <w:rsid w:val="00CF5DA2"/>
    <w:rsid w:val="00CF79AE"/>
    <w:rsid w:val="00D011FA"/>
    <w:rsid w:val="00D01B84"/>
    <w:rsid w:val="00D02A72"/>
    <w:rsid w:val="00D037B8"/>
    <w:rsid w:val="00D04817"/>
    <w:rsid w:val="00D04960"/>
    <w:rsid w:val="00D07657"/>
    <w:rsid w:val="00D07C33"/>
    <w:rsid w:val="00D10E50"/>
    <w:rsid w:val="00D1248F"/>
    <w:rsid w:val="00D1267C"/>
    <w:rsid w:val="00D1599B"/>
    <w:rsid w:val="00D17859"/>
    <w:rsid w:val="00D200F7"/>
    <w:rsid w:val="00D27AC1"/>
    <w:rsid w:val="00D3113F"/>
    <w:rsid w:val="00D31A59"/>
    <w:rsid w:val="00D34262"/>
    <w:rsid w:val="00D40422"/>
    <w:rsid w:val="00D40452"/>
    <w:rsid w:val="00D47242"/>
    <w:rsid w:val="00D502A9"/>
    <w:rsid w:val="00D60BB4"/>
    <w:rsid w:val="00D719D9"/>
    <w:rsid w:val="00D72DDB"/>
    <w:rsid w:val="00D7523E"/>
    <w:rsid w:val="00D830BE"/>
    <w:rsid w:val="00D87C56"/>
    <w:rsid w:val="00D92DFA"/>
    <w:rsid w:val="00D95EF4"/>
    <w:rsid w:val="00DA3D14"/>
    <w:rsid w:val="00DA4378"/>
    <w:rsid w:val="00DB0509"/>
    <w:rsid w:val="00DB0E72"/>
    <w:rsid w:val="00DB1EBF"/>
    <w:rsid w:val="00DB6E41"/>
    <w:rsid w:val="00DC7E2E"/>
    <w:rsid w:val="00DE3EC2"/>
    <w:rsid w:val="00DE4A3F"/>
    <w:rsid w:val="00DE6B76"/>
    <w:rsid w:val="00DE7047"/>
    <w:rsid w:val="00E07AC5"/>
    <w:rsid w:val="00E1668E"/>
    <w:rsid w:val="00E2307E"/>
    <w:rsid w:val="00E25337"/>
    <w:rsid w:val="00E26BDD"/>
    <w:rsid w:val="00E32F1A"/>
    <w:rsid w:val="00E35067"/>
    <w:rsid w:val="00E35677"/>
    <w:rsid w:val="00E36E6F"/>
    <w:rsid w:val="00E403A4"/>
    <w:rsid w:val="00E4202C"/>
    <w:rsid w:val="00E43256"/>
    <w:rsid w:val="00E43485"/>
    <w:rsid w:val="00E46EDB"/>
    <w:rsid w:val="00E5267D"/>
    <w:rsid w:val="00E5571C"/>
    <w:rsid w:val="00E56182"/>
    <w:rsid w:val="00E57788"/>
    <w:rsid w:val="00E606D3"/>
    <w:rsid w:val="00E67C5D"/>
    <w:rsid w:val="00E67D8C"/>
    <w:rsid w:val="00E70470"/>
    <w:rsid w:val="00E70A02"/>
    <w:rsid w:val="00E717B4"/>
    <w:rsid w:val="00E73097"/>
    <w:rsid w:val="00E7353E"/>
    <w:rsid w:val="00E82F72"/>
    <w:rsid w:val="00E8356D"/>
    <w:rsid w:val="00E87D4C"/>
    <w:rsid w:val="00E91569"/>
    <w:rsid w:val="00E93408"/>
    <w:rsid w:val="00E943F5"/>
    <w:rsid w:val="00EA33ED"/>
    <w:rsid w:val="00EA7E73"/>
    <w:rsid w:val="00EB30FB"/>
    <w:rsid w:val="00EB349D"/>
    <w:rsid w:val="00EB628A"/>
    <w:rsid w:val="00EB67D1"/>
    <w:rsid w:val="00EB6C24"/>
    <w:rsid w:val="00EC2A23"/>
    <w:rsid w:val="00EC41E1"/>
    <w:rsid w:val="00EC4BA0"/>
    <w:rsid w:val="00ED4B8D"/>
    <w:rsid w:val="00ED4F92"/>
    <w:rsid w:val="00ED54D3"/>
    <w:rsid w:val="00ED788F"/>
    <w:rsid w:val="00EE091A"/>
    <w:rsid w:val="00EE0AEA"/>
    <w:rsid w:val="00EF06A9"/>
    <w:rsid w:val="00EF7353"/>
    <w:rsid w:val="00F0159B"/>
    <w:rsid w:val="00F030A8"/>
    <w:rsid w:val="00F043A1"/>
    <w:rsid w:val="00F066C2"/>
    <w:rsid w:val="00F07038"/>
    <w:rsid w:val="00F072F6"/>
    <w:rsid w:val="00F07F4B"/>
    <w:rsid w:val="00F10B6A"/>
    <w:rsid w:val="00F11105"/>
    <w:rsid w:val="00F131F2"/>
    <w:rsid w:val="00F13DD0"/>
    <w:rsid w:val="00F13E3D"/>
    <w:rsid w:val="00F157CA"/>
    <w:rsid w:val="00F15FDB"/>
    <w:rsid w:val="00F21F6F"/>
    <w:rsid w:val="00F244C2"/>
    <w:rsid w:val="00F27273"/>
    <w:rsid w:val="00F3372A"/>
    <w:rsid w:val="00F350E4"/>
    <w:rsid w:val="00F3585B"/>
    <w:rsid w:val="00F369B4"/>
    <w:rsid w:val="00F4490F"/>
    <w:rsid w:val="00F44F6D"/>
    <w:rsid w:val="00F51C0C"/>
    <w:rsid w:val="00F52140"/>
    <w:rsid w:val="00F53540"/>
    <w:rsid w:val="00F537FD"/>
    <w:rsid w:val="00F54D69"/>
    <w:rsid w:val="00F55852"/>
    <w:rsid w:val="00F57A35"/>
    <w:rsid w:val="00F661E4"/>
    <w:rsid w:val="00F732B3"/>
    <w:rsid w:val="00F754B8"/>
    <w:rsid w:val="00F7561D"/>
    <w:rsid w:val="00F778DB"/>
    <w:rsid w:val="00F819CB"/>
    <w:rsid w:val="00F8486B"/>
    <w:rsid w:val="00F92ED0"/>
    <w:rsid w:val="00F95052"/>
    <w:rsid w:val="00FA1EBF"/>
    <w:rsid w:val="00FA6DA6"/>
    <w:rsid w:val="00FA7C44"/>
    <w:rsid w:val="00FB737C"/>
    <w:rsid w:val="00FC095D"/>
    <w:rsid w:val="00FC3BE1"/>
    <w:rsid w:val="00FD08A0"/>
    <w:rsid w:val="00FD2B44"/>
    <w:rsid w:val="00FD5D5A"/>
    <w:rsid w:val="00FE291C"/>
    <w:rsid w:val="00FF0D56"/>
    <w:rsid w:val="00FF205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775D4BB"/>
  <w15:chartTrackingRefBased/>
  <w15:docId w15:val="{1DE48391-7052-4B31-98BD-1E9BE068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AC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23">
    <w:name w:val="NASLOV 123"/>
    <w:basedOn w:val="Normal"/>
    <w:qFormat/>
    <w:rsid w:val="00407DAC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407DAC"/>
    <w:pPr>
      <w:ind w:left="720"/>
      <w:contextualSpacing/>
    </w:pPr>
  </w:style>
  <w:style w:type="table" w:styleId="TableGrid">
    <w:name w:val="Table Grid"/>
    <w:basedOn w:val="TableNormal"/>
    <w:rsid w:val="00407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7DAC"/>
    <w:pPr>
      <w:widowControl w:val="0"/>
      <w:tabs>
        <w:tab w:val="clear" w:pos="284"/>
      </w:tabs>
      <w:autoSpaceDE w:val="0"/>
      <w:autoSpaceDN w:val="0"/>
      <w:ind w:left="232"/>
      <w:jc w:val="left"/>
    </w:pPr>
    <w:rPr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407DAC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164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644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8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1C49"/>
    <w:pPr>
      <w:tabs>
        <w:tab w:val="clear" w:pos="284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C4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C61C49"/>
    <w:pPr>
      <w:tabs>
        <w:tab w:val="clear" w:pos="284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C49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350E4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736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9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44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86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7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591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1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09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9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5D8A-DC38-410C-A6D9-6A122C56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47528-4B75-48F7-8B99-2A7CE76A6F76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BDA58D65-A18D-4539-889A-2176BD6EF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63EF1-AC1C-430D-98B1-86866AA6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Vojinovic</dc:creator>
  <cp:keywords/>
  <dc:description/>
  <cp:lastModifiedBy>Svetlana Rajc</cp:lastModifiedBy>
  <cp:revision>3</cp:revision>
  <cp:lastPrinted>2022-06-14T11:28:00Z</cp:lastPrinted>
  <dcterms:created xsi:type="dcterms:W3CDTF">2025-05-08T05:52:00Z</dcterms:created>
  <dcterms:modified xsi:type="dcterms:W3CDTF">2025-05-08T05:54:00Z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