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95BDD" w14:textId="1AFE1F55" w:rsidR="00930311" w:rsidRPr="00603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val="sr-Latn-ME"/>
        </w:rPr>
      </w:pPr>
    </w:p>
    <w:p w14:paraId="738609D2" w14:textId="77777777" w:rsidR="00930311" w:rsidRPr="0060351E" w:rsidRDefault="00930311" w:rsidP="009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val="sr-Latn-ME"/>
        </w:rPr>
      </w:pPr>
    </w:p>
    <w:p w14:paraId="7833A3A3" w14:textId="77777777" w:rsidR="00930311" w:rsidRPr="0060351E" w:rsidRDefault="00930311" w:rsidP="009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iCs/>
          <w:lang w:val="sr-Latn-ME"/>
        </w:rPr>
        <w:t>SAŽETAK KARAKTERISTIKA LIJEKA</w:t>
      </w:r>
    </w:p>
    <w:p w14:paraId="7019A936" w14:textId="77777777" w:rsidR="00930311" w:rsidRPr="0060351E" w:rsidRDefault="00930311" w:rsidP="0093031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37D6658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CCBFCD6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>1.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NAZIV LIJEKA</w:t>
      </w:r>
    </w:p>
    <w:p w14:paraId="6A8F72A4" w14:textId="77777777" w:rsidR="000755F2" w:rsidRPr="0060351E" w:rsidRDefault="000755F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279A483" w14:textId="089CA657" w:rsidR="00EC350B" w:rsidRPr="0060351E" w:rsidRDefault="00EC350B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90FA1A7" w14:textId="092C347E" w:rsidR="00930311" w:rsidRPr="0060351E" w:rsidRDefault="005244B4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Δ </w:t>
      </w:r>
      <w:r w:rsidR="00DE5E4D" w:rsidRPr="0060351E">
        <w:rPr>
          <w:rFonts w:ascii="Times New Roman" w:eastAsia="Times New Roman" w:hAnsi="Times New Roman" w:cs="Times New Roman"/>
          <w:lang w:val="sr-Latn-ME"/>
        </w:rPr>
        <w:t xml:space="preserve">Sodium </w:t>
      </w:r>
      <w:r w:rsidR="005A23B1" w:rsidRPr="0060351E">
        <w:rPr>
          <w:rFonts w:ascii="Times New Roman" w:eastAsia="Times New Roman" w:hAnsi="Times New Roman" w:cs="Times New Roman"/>
          <w:lang w:val="sr-Latn-ME"/>
        </w:rPr>
        <w:t>o</w:t>
      </w:r>
      <w:r w:rsidR="00DE5E4D" w:rsidRPr="0060351E">
        <w:rPr>
          <w:rFonts w:ascii="Times New Roman" w:eastAsia="Times New Roman" w:hAnsi="Times New Roman" w:cs="Times New Roman"/>
          <w:lang w:val="sr-Latn-ME"/>
        </w:rPr>
        <w:t>xybate Kalceks, 500 mg/ml, oralni rastvor</w:t>
      </w:r>
    </w:p>
    <w:p w14:paraId="55ADED52" w14:textId="166E1F12" w:rsidR="00930311" w:rsidRPr="00603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INN: </w:t>
      </w:r>
      <w:r w:rsidR="00DE5E4D" w:rsidRPr="0060351E">
        <w:rPr>
          <w:rFonts w:ascii="Times New Roman" w:eastAsia="Times New Roman" w:hAnsi="Times New Roman" w:cs="Times New Roman"/>
          <w:lang w:val="sr-Latn-ME"/>
        </w:rPr>
        <w:t>natrijum oksibat</w:t>
      </w:r>
    </w:p>
    <w:p w14:paraId="19AAB980" w14:textId="77777777" w:rsidR="006C30F5" w:rsidRPr="0060351E" w:rsidRDefault="006C30F5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C7653DC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27BD612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2.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KVALITATIVNI I KVANTITATIVNI SASTAV</w:t>
      </w:r>
    </w:p>
    <w:p w14:paraId="53D03E64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4649F61" w14:textId="74449528" w:rsidR="00DE5E4D" w:rsidRPr="0060351E" w:rsidRDefault="00DE5E4D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1 ml rastvora sadrži  500 mg natrijum oksibat</w:t>
      </w:r>
      <w:r w:rsidR="00EC61AB" w:rsidRPr="0060351E">
        <w:rPr>
          <w:rFonts w:ascii="Times New Roman" w:eastAsia="Times New Roman" w:hAnsi="Times New Roman" w:cs="Times New Roman"/>
          <w:lang w:val="sr-Latn-ME"/>
        </w:rPr>
        <w:t>a</w:t>
      </w:r>
    </w:p>
    <w:p w14:paraId="16907F03" w14:textId="77777777" w:rsidR="00DE5E4D" w:rsidRPr="0060351E" w:rsidRDefault="00DE5E4D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342FA9F" w14:textId="0D030EF2" w:rsidR="00DE5E4D" w:rsidRPr="0060351E" w:rsidRDefault="00DE5E4D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Pomoćne supstanc</w:t>
      </w:r>
      <w:r w:rsidR="004D340C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poznatim dejstvom</w:t>
      </w:r>
    </w:p>
    <w:p w14:paraId="491AA5AA" w14:textId="1750A296" w:rsidR="00930311" w:rsidRPr="0060351E" w:rsidRDefault="00DE5E4D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Svaka doza od 2</w:t>
      </w:r>
      <w:r w:rsidR="00EC61AB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25 g sadrži 0</w:t>
      </w:r>
      <w:r w:rsidR="00EC61AB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41 g natrijuma (</w:t>
      </w:r>
      <w:r w:rsidR="00D36E66" w:rsidRPr="0060351E">
        <w:rPr>
          <w:rFonts w:ascii="Times New Roman" w:eastAsia="Times New Roman" w:hAnsi="Times New Roman" w:cs="Times New Roman"/>
          <w:lang w:val="sr-Latn-ME"/>
        </w:rPr>
        <w:t>pogledati dio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4.4).</w:t>
      </w:r>
    </w:p>
    <w:p w14:paraId="39E1F443" w14:textId="77777777" w:rsidR="00DE5E4D" w:rsidRPr="0060351E" w:rsidRDefault="00DE5E4D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E525336" w14:textId="089CD00A" w:rsidR="00930311" w:rsidRPr="00603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Za </w:t>
      </w:r>
      <w:r w:rsidR="003C6D83" w:rsidRPr="0060351E">
        <w:rPr>
          <w:rFonts w:ascii="Times New Roman" w:eastAsia="Times New Roman" w:hAnsi="Times New Roman" w:cs="Times New Roman"/>
          <w:lang w:val="sr-Latn-ME"/>
        </w:rPr>
        <w:t>spisak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svih ekscipijenasa, pogledati dio 6.1.</w:t>
      </w:r>
    </w:p>
    <w:p w14:paraId="02E5BBB2" w14:textId="77777777" w:rsidR="006C30F5" w:rsidRPr="0060351E" w:rsidRDefault="006C30F5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BDB06B0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9C3220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3.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OBLIK</w:t>
      </w:r>
    </w:p>
    <w:p w14:paraId="3F3BEB90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47F49FA" w14:textId="077199E8" w:rsidR="00DE5E4D" w:rsidRPr="0060351E" w:rsidRDefault="00DE5E4D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Oralni rastvor</w:t>
      </w:r>
      <w:r w:rsidR="00C7168B" w:rsidRPr="00603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5F3B6B5E" w14:textId="202E28BE" w:rsidR="00930311" w:rsidRPr="0060351E" w:rsidRDefault="00DE5E4D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Bistar do blago mutan</w:t>
      </w:r>
      <w:r w:rsidR="005341F6" w:rsidRPr="0060351E">
        <w:rPr>
          <w:rFonts w:ascii="Times New Roman" w:eastAsia="Times New Roman" w:hAnsi="Times New Roman" w:cs="Times New Roman"/>
          <w:bCs/>
          <w:lang w:val="sr-Latn-ME"/>
        </w:rPr>
        <w:t>,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bezbojan do žut rastvor.</w:t>
      </w:r>
    </w:p>
    <w:p w14:paraId="134677CF" w14:textId="77777777" w:rsidR="006C30F5" w:rsidRPr="0060351E" w:rsidRDefault="006C30F5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9C2DC02" w14:textId="77777777" w:rsidR="00DE5E4D" w:rsidRPr="0060351E" w:rsidRDefault="00DE5E4D" w:rsidP="00DE5E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592EE9C" w14:textId="77777777" w:rsidR="00930311" w:rsidRPr="0060351E" w:rsidRDefault="00930311" w:rsidP="006C30F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KLINIČKI PODACI</w:t>
      </w:r>
    </w:p>
    <w:p w14:paraId="70D89B01" w14:textId="77777777" w:rsidR="00930311" w:rsidRPr="0060351E" w:rsidRDefault="00930311" w:rsidP="00AF038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0BF6861" w14:textId="77777777" w:rsidR="00930311" w:rsidRPr="0060351E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4.1.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Terapijske indikacije</w:t>
      </w:r>
    </w:p>
    <w:p w14:paraId="0A142430" w14:textId="77777777" w:rsidR="00930311" w:rsidRPr="0060351E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AC75B72" w14:textId="3B87AFC5" w:rsidR="000755F2" w:rsidRPr="0060351E" w:rsidRDefault="00C716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Terap</w:t>
      </w:r>
      <w:r w:rsidR="003A0692" w:rsidRPr="0060351E">
        <w:rPr>
          <w:rFonts w:ascii="Times New Roman" w:eastAsia="Times New Roman" w:hAnsi="Times New Roman" w:cs="Times New Roman"/>
          <w:lang w:val="sr-Latn-ME"/>
        </w:rPr>
        <w:t>ija narkolepsije sa katapleksijom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kod starijih pacijenata.</w:t>
      </w:r>
    </w:p>
    <w:p w14:paraId="2CA893BA" w14:textId="77777777" w:rsidR="00C7168B" w:rsidRPr="0060351E" w:rsidRDefault="00C716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F3214B" w14:textId="77777777" w:rsidR="00930311" w:rsidRPr="0060351E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4.2.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Doziranje i način primjene</w:t>
      </w:r>
    </w:p>
    <w:p w14:paraId="175127DE" w14:textId="77777777" w:rsidR="00930311" w:rsidRPr="0060351E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</w:p>
    <w:p w14:paraId="0597B2AE" w14:textId="34731790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L</w:t>
      </w:r>
      <w:r w:rsidR="00371FDB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ečenje treba da započne i da ostane pod nadzorom l</w:t>
      </w:r>
      <w:r w:rsidR="00371FDB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ekara koji ima iskustvo u l</w:t>
      </w:r>
      <w:r w:rsidR="00371FDB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ečenju poremećaja spavanja.</w:t>
      </w:r>
    </w:p>
    <w:p w14:paraId="27AE78A2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B5693E6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Doziranje </w:t>
      </w:r>
    </w:p>
    <w:p w14:paraId="7374CF78" w14:textId="58F4D295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Preporučena početna doza je 4</w:t>
      </w:r>
      <w:r w:rsidR="007166CD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5 g/dan natrijum oksibata pod</w:t>
      </w:r>
      <w:r w:rsidR="000F3CDE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eljena u dv</w:t>
      </w:r>
      <w:r w:rsidR="000F3CDE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 jednake doze od 2</w:t>
      </w:r>
      <w:r w:rsidR="000F3CDE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25 g/doza. Doza treba da se titrira prema efikasnosti i podnošljivosti (</w:t>
      </w:r>
      <w:r w:rsidR="00EA2E3D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7A3CDA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4.4) do maksimalno 9 g/dan pod</w:t>
      </w:r>
      <w:r w:rsidR="007A3CDA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eljenih u dv</w:t>
      </w:r>
      <w:r w:rsidR="007A3CDA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 jednake doze od 4</w:t>
      </w:r>
      <w:r w:rsidR="007A3CDA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5 g/doza, prilagođavajući dozu povećanjem ili smanjenjem </w:t>
      </w:r>
      <w:r w:rsidR="007E2194" w:rsidRPr="0060351E">
        <w:rPr>
          <w:rFonts w:ascii="Times New Roman" w:eastAsia="Times New Roman" w:hAnsi="Times New Roman" w:cs="Times New Roman"/>
          <w:bCs/>
          <w:lang w:val="sr-Latn-ME"/>
        </w:rPr>
        <w:t>za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1</w:t>
      </w:r>
      <w:r w:rsidR="007A3CDA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5 g/dan (tj. 0</w:t>
      </w:r>
      <w:r w:rsidR="007A3CDA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75 g/doza). Preporučuje se</w:t>
      </w:r>
      <w:r w:rsidR="00A33F6A" w:rsidRPr="0060351E">
        <w:rPr>
          <w:rFonts w:ascii="Times New Roman" w:eastAsia="Times New Roman" w:hAnsi="Times New Roman" w:cs="Times New Roman"/>
          <w:bCs/>
          <w:lang w:val="sr-Latn-ME"/>
        </w:rPr>
        <w:t xml:space="preserve"> da se doze povećavaju u vremenskim intervalima od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33F6A" w:rsidRPr="0060351E">
        <w:rPr>
          <w:rFonts w:ascii="Times New Roman" w:eastAsia="Times New Roman" w:hAnsi="Times New Roman" w:cs="Times New Roman"/>
          <w:bCs/>
          <w:lang w:val="sr-Latn-ME"/>
        </w:rPr>
        <w:t>najmanje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jedn</w:t>
      </w:r>
      <w:r w:rsidR="00A33F6A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do dv</w:t>
      </w:r>
      <w:r w:rsidR="007A3CDA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 ned</w:t>
      </w:r>
      <w:r w:rsidR="007A3CDA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elje. Doza od 9 g/dan ne sm</w:t>
      </w:r>
      <w:r w:rsidR="007A3CDA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 biti prekoračena zbog mogućeg javljanja teških simptoma pri dozama od 18 g/dan ili više (</w:t>
      </w:r>
      <w:r w:rsidR="00EA2E3D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5B2804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6348249B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B12B71" w14:textId="2F144118" w:rsidR="002308E6" w:rsidRPr="0060351E" w:rsidRDefault="002656B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Pojedinačne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 doze od 4</w:t>
      </w:r>
      <w:r w:rsidR="005B2804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>5 g ne sm</w:t>
      </w:r>
      <w:r w:rsidR="00D5588B" w:rsidRPr="0060351E">
        <w:rPr>
          <w:rFonts w:ascii="Times New Roman" w:eastAsia="Times New Roman" w:hAnsi="Times New Roman" w:cs="Times New Roman"/>
          <w:bCs/>
          <w:lang w:val="sr-Latn-ME"/>
        </w:rPr>
        <w:t>i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ju se </w:t>
      </w:r>
      <w:r w:rsidR="00D62F46" w:rsidRPr="0060351E">
        <w:rPr>
          <w:rFonts w:ascii="Times New Roman" w:eastAsia="Times New Roman" w:hAnsi="Times New Roman" w:cs="Times New Roman"/>
          <w:bCs/>
          <w:lang w:val="sr-Latn-ME"/>
        </w:rPr>
        <w:t>pr</w:t>
      </w:r>
      <w:r w:rsidR="00F663FA" w:rsidRPr="0060351E">
        <w:rPr>
          <w:rFonts w:ascii="Times New Roman" w:eastAsia="Times New Roman" w:hAnsi="Times New Roman" w:cs="Times New Roman"/>
          <w:bCs/>
          <w:lang w:val="sr-Latn-ME"/>
        </w:rPr>
        <w:t>imijeniti,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 osim ako</w:t>
      </w:r>
      <w:r w:rsidR="00F663FA" w:rsidRPr="0060351E">
        <w:rPr>
          <w:rFonts w:ascii="Times New Roman" w:eastAsia="Times New Roman" w:hAnsi="Times New Roman" w:cs="Times New Roman"/>
          <w:bCs/>
          <w:lang w:val="sr-Latn-ME"/>
        </w:rPr>
        <w:t xml:space="preserve"> je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663FA" w:rsidRPr="0060351E">
        <w:rPr>
          <w:rFonts w:ascii="Times New Roman" w:eastAsia="Times New Roman" w:hAnsi="Times New Roman" w:cs="Times New Roman"/>
          <w:bCs/>
          <w:lang w:val="sr-Latn-ME"/>
        </w:rPr>
        <w:t xml:space="preserve">kod 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>pacijen</w:t>
      </w:r>
      <w:r w:rsidR="00F663FA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>t</w:t>
      </w:r>
      <w:r w:rsidR="00F663FA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 prethodno </w:t>
      </w:r>
      <w:r w:rsidR="00F663FA" w:rsidRPr="0060351E">
        <w:rPr>
          <w:rFonts w:ascii="Times New Roman" w:eastAsia="Times New Roman" w:hAnsi="Times New Roman" w:cs="Times New Roman"/>
          <w:bCs/>
          <w:lang w:val="sr-Latn-ME"/>
        </w:rPr>
        <w:t>sprovedena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 titr</w:t>
      </w:r>
      <w:r w:rsidR="00F663FA" w:rsidRPr="0060351E">
        <w:rPr>
          <w:rFonts w:ascii="Times New Roman" w:eastAsia="Times New Roman" w:hAnsi="Times New Roman" w:cs="Times New Roman"/>
          <w:bCs/>
          <w:lang w:val="sr-Latn-ME"/>
        </w:rPr>
        <w:t>acija do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 te doze.</w:t>
      </w:r>
    </w:p>
    <w:p w14:paraId="64DC85C9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B0553E5" w14:textId="75E44B83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Ako se natrijum oksibat i valproat koriste istovremeno (</w:t>
      </w:r>
      <w:r w:rsidR="00EA2E3D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8D103C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4.5), preporučuje se smanjenje doze natrijum oksibata za 20 %. Preporučena početna doza za natrijum oksibat, kada se koristi istovremeno sa valproatom, je 3</w:t>
      </w:r>
      <w:r w:rsidR="008D103C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6 g/dan </w:t>
      </w:r>
      <w:r w:rsidR="008A5A89" w:rsidRPr="0060351E">
        <w:rPr>
          <w:rFonts w:ascii="Times New Roman" w:eastAsia="Times New Roman" w:hAnsi="Times New Roman" w:cs="Times New Roman"/>
          <w:bCs/>
          <w:lang w:val="sr-Latn-ME"/>
        </w:rPr>
        <w:t>primijenjeno per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oralno </w:t>
      </w:r>
      <w:r w:rsidR="008A5A89" w:rsidRPr="0060351E">
        <w:rPr>
          <w:rFonts w:ascii="Times New Roman" w:eastAsia="Times New Roman" w:hAnsi="Times New Roman" w:cs="Times New Roman"/>
          <w:bCs/>
          <w:lang w:val="sr-Latn-ME"/>
        </w:rPr>
        <w:t>i podijeljeno u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dv</w:t>
      </w:r>
      <w:r w:rsidR="008A5A89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 jednake </w:t>
      </w:r>
      <w:r w:rsidR="008A5A89" w:rsidRPr="0060351E">
        <w:rPr>
          <w:rFonts w:ascii="Times New Roman" w:eastAsia="Times New Roman" w:hAnsi="Times New Roman" w:cs="Times New Roman"/>
          <w:bCs/>
          <w:lang w:val="sr-Latn-ME"/>
        </w:rPr>
        <w:t>doze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od </w:t>
      </w:r>
      <w:r w:rsidR="008A5A89" w:rsidRPr="0060351E">
        <w:rPr>
          <w:rFonts w:ascii="Times New Roman" w:eastAsia="Times New Roman" w:hAnsi="Times New Roman" w:cs="Times New Roman"/>
          <w:bCs/>
          <w:lang w:val="sr-Latn-ME"/>
        </w:rPr>
        <w:t>približno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1</w:t>
      </w:r>
      <w:r w:rsidR="008A5A89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8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lastRenderedPageBreak/>
        <w:t>g. Ako je istovremena upotreba opravdana, treba pratiti odgovor pacijenta i podnošljivost i dozu prilagoditi prema tome (</w:t>
      </w:r>
      <w:r w:rsidR="00EA2E3D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8A5A89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16707D44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48263F4" w14:textId="74B92AAA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u w:val="single"/>
          <w:lang w:val="sr-Latn-ME"/>
        </w:rPr>
        <w:t>Prekid l</w:t>
      </w:r>
      <w:r w:rsidR="008A5A89" w:rsidRPr="0060351E">
        <w:rPr>
          <w:rFonts w:ascii="Times New Roman" w:eastAsia="Times New Roman" w:hAnsi="Times New Roman" w:cs="Times New Roman"/>
          <w:bCs/>
          <w:u w:val="single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ečenja </w:t>
      </w:r>
    </w:p>
    <w:p w14:paraId="49418811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20DDAE6" w14:textId="5231D314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Efekti prekida upotrebe natrijum oksibata ni</w:t>
      </w:r>
      <w:r w:rsidR="00560916" w:rsidRPr="00603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su sistematski evaluirani u kontrolisanim kliničkim ispitivanjima (</w:t>
      </w:r>
      <w:r w:rsidR="00EA2E3D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560916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1893AAE2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40F675B" w14:textId="568CC88C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Ako pacijent prekine uzimanje l</w:t>
      </w:r>
      <w:r w:rsidR="00560916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eka više od 14 uzastopnih dana, treba</w:t>
      </w:r>
      <w:r w:rsidR="002C6559" w:rsidRPr="0060351E">
        <w:rPr>
          <w:rFonts w:ascii="Times New Roman" w:eastAsia="Times New Roman" w:hAnsi="Times New Roman" w:cs="Times New Roman"/>
          <w:bCs/>
          <w:lang w:val="sr-Latn-ME"/>
        </w:rPr>
        <w:t xml:space="preserve"> započeti ponovnu titraciju od</w:t>
      </w:r>
      <w:r w:rsidR="001C7056" w:rsidRPr="0060351E">
        <w:rPr>
          <w:rFonts w:ascii="Times New Roman" w:eastAsia="Times New Roman" w:hAnsi="Times New Roman" w:cs="Times New Roman"/>
          <w:bCs/>
          <w:lang w:val="sr-Latn-ME"/>
        </w:rPr>
        <w:t xml:space="preserve"> najmanje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doze.</w:t>
      </w:r>
    </w:p>
    <w:p w14:paraId="0DFD044D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E9AA35D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u w:val="single"/>
          <w:lang w:val="sr-Latn-ME"/>
        </w:rPr>
        <w:t>Posebne populacije</w:t>
      </w:r>
    </w:p>
    <w:p w14:paraId="4D79F2C3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A6303B9" w14:textId="7CA1DAC5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>Starij</w:t>
      </w:r>
      <w:r w:rsidR="005D69B6"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>e osobe</w:t>
      </w:r>
    </w:p>
    <w:p w14:paraId="2392A4BA" w14:textId="5C7B9515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Stariji pacijenti treba da se pažljivo prate zbog oštećene motoričke i/ili kognitivne funkcije prilikom uzimanja natrijum oksibata (</w:t>
      </w:r>
      <w:r w:rsidR="00EA2E3D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D125F4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4BC64937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0F38E10" w14:textId="61BB6B32" w:rsidR="002308E6" w:rsidRPr="0060351E" w:rsidRDefault="00D125F4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>Oštećenje</w:t>
      </w:r>
      <w:r w:rsidR="002308E6"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funkcije jetre </w:t>
      </w:r>
    </w:p>
    <w:p w14:paraId="6A9DAF70" w14:textId="0C133946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Početna doza treba da se prepolovi kod svih pacijenata sa </w:t>
      </w:r>
      <w:r w:rsidR="006051D0" w:rsidRPr="0060351E">
        <w:rPr>
          <w:rFonts w:ascii="Times New Roman" w:eastAsia="Times New Roman" w:hAnsi="Times New Roman" w:cs="Times New Roman"/>
          <w:bCs/>
          <w:lang w:val="sr-Latn-ME"/>
        </w:rPr>
        <w:t>oštećenjem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funkcije jetre, a odgovor na </w:t>
      </w:r>
      <w:r w:rsidR="006051D0" w:rsidRPr="0060351E">
        <w:rPr>
          <w:rFonts w:ascii="Times New Roman" w:eastAsia="Times New Roman" w:hAnsi="Times New Roman" w:cs="Times New Roman"/>
          <w:bCs/>
          <w:lang w:val="sr-Latn-ME"/>
        </w:rPr>
        <w:t>povećanje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doze treba pažljivo pratiti (</w:t>
      </w:r>
      <w:r w:rsidR="00EA2E3D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6051D0" w:rsidRPr="0060351E">
        <w:rPr>
          <w:rFonts w:ascii="Times New Roman" w:eastAsia="Times New Roman" w:hAnsi="Times New Roman" w:cs="Times New Roman"/>
          <w:bCs/>
          <w:lang w:val="sr-Latn-ME"/>
        </w:rPr>
        <w:t>djelove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4.4 i 5.2).</w:t>
      </w:r>
    </w:p>
    <w:p w14:paraId="3E603B4C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CCFA3C3" w14:textId="5885A772" w:rsidR="002308E6" w:rsidRPr="0060351E" w:rsidRDefault="006051D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>Oštećenje</w:t>
      </w:r>
      <w:r w:rsidR="002308E6"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 funkcije bubrega</w:t>
      </w:r>
    </w:p>
    <w:p w14:paraId="14CA1874" w14:textId="4AF88FCE" w:rsidR="002308E6" w:rsidRPr="0060351E" w:rsidRDefault="00EA2E3D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Kod s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>vi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h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 pacijen</w:t>
      </w:r>
      <w:r w:rsidR="00667D4E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>t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 sa oštećenom funkcijom bubrega treba razmotriti preporuku za smanjenje unosa natrijuma (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6051D0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="002308E6" w:rsidRPr="0060351E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2818DEDA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2A1A53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Pedijatrijska populacija </w:t>
      </w:r>
    </w:p>
    <w:p w14:paraId="3340C6C8" w14:textId="67B4C7DD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Bezb</w:t>
      </w:r>
      <w:r w:rsidR="006E0280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ednost i efikasnost natrijum oksibata kod d</w:t>
      </w:r>
      <w:r w:rsidR="006E0280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ece i adolescenata uzrasta od 0-18 godina nije utvrđena. Nema dostupnih podataka.</w:t>
      </w:r>
    </w:p>
    <w:p w14:paraId="5716BE52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903D90" w14:textId="7875C72B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u w:val="single"/>
          <w:lang w:val="sr-Latn-ME"/>
        </w:rPr>
        <w:t>Način prim</w:t>
      </w:r>
      <w:r w:rsidR="002A6755" w:rsidRPr="0060351E">
        <w:rPr>
          <w:rFonts w:ascii="Times New Roman" w:eastAsia="Times New Roman" w:hAnsi="Times New Roman" w:cs="Times New Roman"/>
          <w:bCs/>
          <w:u w:val="single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u w:val="single"/>
          <w:lang w:val="sr-Latn-ME"/>
        </w:rPr>
        <w:t xml:space="preserve">ene </w:t>
      </w:r>
    </w:p>
    <w:p w14:paraId="1E9674C3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4A0F3EC" w14:textId="6FBC132D" w:rsidR="00930311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Natrijum oksibat treba uzeti oralno </w:t>
      </w:r>
      <w:r w:rsidR="002A6755" w:rsidRPr="0060351E">
        <w:rPr>
          <w:rFonts w:ascii="Times New Roman" w:eastAsia="Times New Roman" w:hAnsi="Times New Roman" w:cs="Times New Roman"/>
          <w:bCs/>
          <w:lang w:val="sr-Latn-ME"/>
        </w:rPr>
        <w:t xml:space="preserve">neposredno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pri</w:t>
      </w:r>
      <w:r w:rsidR="002A6755" w:rsidRPr="00603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odlask</w:t>
      </w:r>
      <w:r w:rsidR="002A6755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u krevet, a zatim ponovo između 2</w:t>
      </w:r>
      <w:r w:rsidR="002A6755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5</w:t>
      </w:r>
      <w:r w:rsidR="00AF038A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-</w:t>
      </w:r>
      <w:r w:rsidR="00AF038A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4 sata kasnije. Preporučuje se da</w:t>
      </w:r>
      <w:r w:rsidR="00B54138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ob</w:t>
      </w:r>
      <w:r w:rsidR="00B54138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 doze natrijum oksibata budu pripremljene istovremeno pri</w:t>
      </w:r>
      <w:r w:rsidR="00B8071C" w:rsidRPr="00603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odlask</w:t>
      </w:r>
      <w:r w:rsidR="00B8071C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u krevet. </w:t>
      </w:r>
      <w:r w:rsidR="0017210C" w:rsidRPr="0060351E">
        <w:rPr>
          <w:rFonts w:ascii="Times New Roman" w:eastAsia="Times New Roman" w:hAnsi="Times New Roman" w:cs="Times New Roman"/>
          <w:bCs/>
          <w:lang w:val="sr-Latn-ME"/>
        </w:rPr>
        <w:t>Uz l</w:t>
      </w:r>
      <w:r w:rsidR="00B8071C" w:rsidRPr="0060351E">
        <w:rPr>
          <w:rFonts w:ascii="Times New Roman" w:eastAsia="Times New Roman" w:hAnsi="Times New Roman" w:cs="Times New Roman"/>
          <w:bCs/>
          <w:lang w:val="sr-Latn-ME"/>
        </w:rPr>
        <w:t xml:space="preserve">ijek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Sodium </w:t>
      </w:r>
      <w:r w:rsidR="005118CD" w:rsidRPr="0060351E">
        <w:rPr>
          <w:rFonts w:ascii="Times New Roman" w:eastAsia="Times New Roman" w:hAnsi="Times New Roman" w:cs="Times New Roman"/>
          <w:bCs/>
          <w:lang w:val="sr-Latn-ME"/>
        </w:rPr>
        <w:t>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xybate </w:t>
      </w:r>
      <w:r w:rsidR="00B8071C" w:rsidRPr="0060351E">
        <w:rPr>
          <w:rFonts w:ascii="Times New Roman" w:eastAsia="Times New Roman" w:hAnsi="Times New Roman" w:cs="Times New Roman"/>
          <w:bCs/>
          <w:lang w:val="sr-Latn-ME"/>
        </w:rPr>
        <w:t>K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alceks </w:t>
      </w:r>
      <w:r w:rsidR="00B11C66" w:rsidRPr="0060351E">
        <w:rPr>
          <w:rFonts w:ascii="Times New Roman" w:eastAsia="Times New Roman" w:hAnsi="Times New Roman" w:cs="Times New Roman"/>
          <w:bCs/>
          <w:lang w:val="sr-Latn-ME"/>
        </w:rPr>
        <w:t>o</w:t>
      </w:r>
      <w:r w:rsidR="001820E6" w:rsidRPr="0060351E">
        <w:rPr>
          <w:rFonts w:ascii="Times New Roman" w:eastAsia="Times New Roman" w:hAnsi="Times New Roman" w:cs="Times New Roman"/>
          <w:bCs/>
          <w:lang w:val="sr-Latn-ME"/>
        </w:rPr>
        <w:t>bezbjeđena</w:t>
      </w:r>
      <w:r w:rsidR="00B11C66" w:rsidRPr="0060351E">
        <w:rPr>
          <w:rFonts w:ascii="Times New Roman" w:eastAsia="Times New Roman" w:hAnsi="Times New Roman" w:cs="Times New Roman"/>
          <w:bCs/>
          <w:lang w:val="sr-Latn-ME"/>
        </w:rPr>
        <w:t xml:space="preserve"> je </w:t>
      </w:r>
      <w:r w:rsidR="001820E6" w:rsidRPr="0060351E">
        <w:rPr>
          <w:rFonts w:ascii="Times New Roman" w:eastAsia="Times New Roman" w:hAnsi="Times New Roman" w:cs="Times New Roman"/>
          <w:bCs/>
          <w:lang w:val="sr-Latn-ME"/>
        </w:rPr>
        <w:t xml:space="preserve">graduisana </w:t>
      </w:r>
      <w:r w:rsidR="00F22D23" w:rsidRPr="0060351E">
        <w:rPr>
          <w:rFonts w:ascii="Times New Roman" w:eastAsia="Times New Roman" w:hAnsi="Times New Roman" w:cs="Times New Roman"/>
          <w:bCs/>
          <w:lang w:val="sr-Latn-ME"/>
        </w:rPr>
        <w:t>d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oz</w:t>
      </w:r>
      <w:r w:rsidR="00F22D23" w:rsidRPr="0060351E">
        <w:rPr>
          <w:rFonts w:ascii="Times New Roman" w:eastAsia="Times New Roman" w:hAnsi="Times New Roman" w:cs="Times New Roman"/>
          <w:bCs/>
          <w:lang w:val="sr-Latn-ME"/>
        </w:rPr>
        <w:t>ažna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pipet</w:t>
      </w:r>
      <w:r w:rsidR="00F22D23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1820E6" w:rsidRPr="0060351E">
        <w:rPr>
          <w:rFonts w:ascii="Times New Roman" w:eastAsia="Times New Roman" w:hAnsi="Times New Roman" w:cs="Times New Roman"/>
          <w:bCs/>
          <w:lang w:val="sr-Latn-ME"/>
        </w:rPr>
        <w:t xml:space="preserve">i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dv</w:t>
      </w:r>
      <w:r w:rsidR="004E1095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 doz</w:t>
      </w:r>
      <w:r w:rsidR="004E1095" w:rsidRPr="0060351E">
        <w:rPr>
          <w:rFonts w:ascii="Times New Roman" w:eastAsia="Times New Roman" w:hAnsi="Times New Roman" w:cs="Times New Roman"/>
          <w:bCs/>
          <w:lang w:val="sr-Latn-ME"/>
        </w:rPr>
        <w:t>ažne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čaše od 90 ml sa </w:t>
      </w:r>
      <w:r w:rsidR="00C4290D" w:rsidRPr="0060351E">
        <w:rPr>
          <w:rFonts w:ascii="Times New Roman" w:eastAsia="Times New Roman" w:hAnsi="Times New Roman" w:cs="Times New Roman"/>
          <w:bCs/>
          <w:lang w:val="sr-Latn-ME"/>
        </w:rPr>
        <w:t xml:space="preserve">zatvaračima bezbjednima za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d</w:t>
      </w:r>
      <w:r w:rsidR="00C4290D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ecu. Svaka izm</w:t>
      </w:r>
      <w:r w:rsidR="00C4290D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erena doza l</w:t>
      </w:r>
      <w:r w:rsidR="00C4290D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eka mora se </w:t>
      </w:r>
      <w:r w:rsidR="0074723D" w:rsidRPr="0060351E">
        <w:rPr>
          <w:rFonts w:ascii="Times New Roman" w:eastAsia="Times New Roman" w:hAnsi="Times New Roman" w:cs="Times New Roman"/>
          <w:bCs/>
          <w:lang w:val="sr-Latn-ME"/>
        </w:rPr>
        <w:t>prenijeti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u dozirnoj čaši i razblažiti sa 60 ml vode pr</w:t>
      </w:r>
      <w:r w:rsidR="0074723D" w:rsidRPr="0060351E">
        <w:rPr>
          <w:rFonts w:ascii="Times New Roman" w:eastAsia="Times New Roman" w:hAnsi="Times New Roman" w:cs="Times New Roman"/>
          <w:bCs/>
          <w:lang w:val="sr-Latn-ME"/>
        </w:rPr>
        <w:t>ije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74723D" w:rsidRPr="0060351E">
        <w:rPr>
          <w:rFonts w:ascii="Times New Roman" w:eastAsia="Times New Roman" w:hAnsi="Times New Roman" w:cs="Times New Roman"/>
          <w:bCs/>
          <w:lang w:val="sr-Latn-ME"/>
        </w:rPr>
        <w:t>uzimanja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. Budući da hrana značajno smanjuje bioraspoloživost natrijum oksibata, pacijenti treba</w:t>
      </w:r>
      <w:r w:rsidR="00AF038A" w:rsidRPr="0060351E">
        <w:rPr>
          <w:rFonts w:ascii="Times New Roman" w:eastAsia="Times New Roman" w:hAnsi="Times New Roman" w:cs="Times New Roman"/>
          <w:bCs/>
          <w:lang w:val="sr-Latn-ME"/>
        </w:rPr>
        <w:t xml:space="preserve"> da uzimaju obrok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najmanje nekoliko (2-3) sata pr</w:t>
      </w:r>
      <w:r w:rsidR="0074723D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 uzimanja prve doze natrijum oksibata pr</w:t>
      </w:r>
      <w:r w:rsidR="00B54E34" w:rsidRPr="0060351E">
        <w:rPr>
          <w:rFonts w:ascii="Times New Roman" w:eastAsia="Times New Roman" w:hAnsi="Times New Roman" w:cs="Times New Roman"/>
          <w:bCs/>
          <w:lang w:val="sr-Latn-ME"/>
        </w:rPr>
        <w:t>ije</w:t>
      </w:r>
      <w:r w:rsidR="008E2166" w:rsidRPr="0060351E">
        <w:rPr>
          <w:rFonts w:ascii="Times New Roman" w:eastAsia="Times New Roman" w:hAnsi="Times New Roman" w:cs="Times New Roman"/>
          <w:bCs/>
          <w:lang w:val="sr-Latn-ME"/>
        </w:rPr>
        <w:t xml:space="preserve"> odlazak na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spavanje. Pacijenti </w:t>
      </w:r>
      <w:r w:rsidR="00C24244" w:rsidRPr="0060351E">
        <w:rPr>
          <w:rFonts w:ascii="Times New Roman" w:eastAsia="Times New Roman" w:hAnsi="Times New Roman" w:cs="Times New Roman"/>
          <w:bCs/>
          <w:lang w:val="sr-Latn-ME"/>
        </w:rPr>
        <w:t>treba</w:t>
      </w:r>
      <w:r w:rsidR="00AF038A" w:rsidRPr="0060351E">
        <w:rPr>
          <w:rFonts w:ascii="Times New Roman" w:eastAsia="Times New Roman" w:hAnsi="Times New Roman" w:cs="Times New Roman"/>
          <w:bCs/>
          <w:lang w:val="sr-Latn-ME"/>
        </w:rPr>
        <w:t xml:space="preserve"> da</w:t>
      </w:r>
      <w:r w:rsidR="00C24244" w:rsidRPr="0060351E">
        <w:rPr>
          <w:rFonts w:ascii="Times New Roman" w:eastAsia="Times New Roman" w:hAnsi="Times New Roman" w:cs="Times New Roman"/>
          <w:bCs/>
          <w:lang w:val="sr-Latn-ME"/>
        </w:rPr>
        <w:t xml:space="preserve"> vod</w:t>
      </w:r>
      <w:r w:rsidR="00AF038A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="00C24244" w:rsidRPr="0060351E">
        <w:rPr>
          <w:rFonts w:ascii="Times New Roman" w:eastAsia="Times New Roman" w:hAnsi="Times New Roman" w:cs="Times New Roman"/>
          <w:bCs/>
          <w:lang w:val="sr-Latn-ME"/>
        </w:rPr>
        <w:t xml:space="preserve"> računa o tome da lijek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uv</w:t>
      </w:r>
      <w:r w:rsidR="002A52E8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ek </w:t>
      </w:r>
      <w:r w:rsidR="00C24244" w:rsidRPr="0060351E">
        <w:rPr>
          <w:rFonts w:ascii="Times New Roman" w:eastAsia="Times New Roman" w:hAnsi="Times New Roman" w:cs="Times New Roman"/>
          <w:bCs/>
          <w:lang w:val="sr-Latn-ME"/>
        </w:rPr>
        <w:t>uzi</w:t>
      </w:r>
      <w:r w:rsidR="008E2166" w:rsidRPr="0060351E">
        <w:rPr>
          <w:rFonts w:ascii="Times New Roman" w:eastAsia="Times New Roman" w:hAnsi="Times New Roman" w:cs="Times New Roman"/>
          <w:bCs/>
          <w:lang w:val="sr-Latn-ME"/>
        </w:rPr>
        <w:t>maju u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isto vr</w:t>
      </w:r>
      <w:r w:rsidR="002A52E8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eme u odnosu na obroke. </w:t>
      </w:r>
      <w:r w:rsidR="008E2166" w:rsidRPr="0060351E">
        <w:rPr>
          <w:rFonts w:ascii="Times New Roman" w:eastAsia="Times New Roman" w:hAnsi="Times New Roman" w:cs="Times New Roman"/>
          <w:bCs/>
          <w:lang w:val="sr-Latn-ME"/>
        </w:rPr>
        <w:t>Nakon pripreme, d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oze treba u</w:t>
      </w:r>
      <w:r w:rsidR="00E22847" w:rsidRPr="0060351E">
        <w:rPr>
          <w:rFonts w:ascii="Times New Roman" w:eastAsia="Times New Roman" w:hAnsi="Times New Roman" w:cs="Times New Roman"/>
          <w:bCs/>
          <w:lang w:val="sr-Latn-ME"/>
        </w:rPr>
        <w:t>potrijebiti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F038A" w:rsidRPr="0060351E">
        <w:rPr>
          <w:rFonts w:ascii="Times New Roman" w:eastAsia="Times New Roman" w:hAnsi="Times New Roman" w:cs="Times New Roman"/>
          <w:bCs/>
          <w:lang w:val="sr-Latn-ME"/>
        </w:rPr>
        <w:t xml:space="preserve">u roku od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24 sata (</w:t>
      </w:r>
      <w:r w:rsidR="00AF038A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E22847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6.3) ili </w:t>
      </w:r>
      <w:r w:rsidR="00E22847" w:rsidRPr="0060351E">
        <w:rPr>
          <w:rFonts w:ascii="Times New Roman" w:eastAsia="Times New Roman" w:hAnsi="Times New Roman" w:cs="Times New Roman"/>
          <w:bCs/>
          <w:lang w:val="sr-Latn-ME"/>
        </w:rPr>
        <w:t>u suprotnom baciti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6C639FEB" w14:textId="77777777" w:rsidR="000755F2" w:rsidRPr="0060351E" w:rsidRDefault="000755F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BA8C22" w14:textId="77777777" w:rsidR="00930311" w:rsidRPr="0060351E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4.3.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Kontraindikacije</w:t>
      </w:r>
    </w:p>
    <w:p w14:paraId="589EE7AA" w14:textId="77777777" w:rsidR="00930311" w:rsidRPr="0060351E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B0ADD50" w14:textId="392928AA" w:rsidR="002B2650" w:rsidRPr="0060351E" w:rsidRDefault="002B2650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Preosjetljivost na aktivnu supstancu ili na bilo koju od pomoćnih supstanci navedenih u dijelu 6.1.</w:t>
      </w:r>
    </w:p>
    <w:p w14:paraId="7B09CDA8" w14:textId="77777777" w:rsidR="00AF038A" w:rsidRPr="0060351E" w:rsidRDefault="00AF038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0CF4280D" w14:textId="77777777" w:rsidR="00AF038A" w:rsidRPr="0060351E" w:rsidRDefault="00322D0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Pacijenti sa teškom depresijom.</w:t>
      </w:r>
    </w:p>
    <w:p w14:paraId="115E28B0" w14:textId="6C762EF4" w:rsidR="002B2650" w:rsidRPr="0060351E" w:rsidRDefault="00322D0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</w:p>
    <w:p w14:paraId="34488715" w14:textId="11520FA0" w:rsidR="00936FAF" w:rsidRPr="0060351E" w:rsidRDefault="00322D0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Pacijenti sa nedostatkom sukcin</w:t>
      </w:r>
      <w:r w:rsidR="005477D1" w:rsidRPr="0060351E">
        <w:rPr>
          <w:rFonts w:ascii="Times New Roman" w:eastAsia="Times New Roman" w:hAnsi="Times New Roman" w:cs="Times New Roman"/>
          <w:bCs/>
          <w:lang w:val="sr-Latn-ME"/>
        </w:rPr>
        <w:t>at-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semialdehid</w:t>
      </w:r>
      <w:r w:rsidR="005477D1" w:rsidRPr="0060351E">
        <w:rPr>
          <w:rFonts w:ascii="Times New Roman" w:eastAsia="Times New Roman" w:hAnsi="Times New Roman" w:cs="Times New Roman"/>
          <w:bCs/>
          <w:lang w:val="sr-Latn-ME"/>
        </w:rPr>
        <w:t>-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dehidrogenaze. </w:t>
      </w:r>
    </w:p>
    <w:p w14:paraId="142E2925" w14:textId="77777777" w:rsidR="00AF038A" w:rsidRPr="0060351E" w:rsidRDefault="00AF038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5C39EF4" w14:textId="54469ED7" w:rsidR="00322D0F" w:rsidRPr="0060351E" w:rsidRDefault="00322D0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Pacijenti koji se l</w:t>
      </w:r>
      <w:r w:rsidR="005477D1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eče opioidima ili barbituratima.</w:t>
      </w:r>
    </w:p>
    <w:p w14:paraId="13B01A30" w14:textId="77777777" w:rsidR="002308E6" w:rsidRPr="0060351E" w:rsidRDefault="002308E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EBB08F" w14:textId="77777777" w:rsidR="00930311" w:rsidRPr="0060351E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4.4.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Posebna upozorenja i mjere opreza pri upotrebi lijeka</w:t>
      </w:r>
    </w:p>
    <w:p w14:paraId="7DE12F8B" w14:textId="77777777" w:rsidR="00930311" w:rsidRPr="0060351E" w:rsidRDefault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0"/>
      </w:tblGrid>
      <w:tr w:rsidR="00EE40A1" w:rsidRPr="0060351E" w14:paraId="1D522C27" w14:textId="77777777" w:rsidTr="00EE40A1">
        <w:trPr>
          <w:trHeight w:val="288"/>
        </w:trPr>
        <w:tc>
          <w:tcPr>
            <w:tcW w:w="8850" w:type="dxa"/>
          </w:tcPr>
          <w:p w14:paraId="28609C1F" w14:textId="1F177C49" w:rsidR="00EE40A1" w:rsidRPr="0060351E" w:rsidRDefault="00EE40A1">
            <w:pPr>
              <w:tabs>
                <w:tab w:val="left" w:pos="540"/>
                <w:tab w:val="left" w:pos="569"/>
              </w:tabs>
              <w:spacing w:after="0" w:line="240" w:lineRule="auto"/>
              <w:ind w:left="-60"/>
              <w:jc w:val="both"/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 xml:space="preserve">Ovaj lijek može da izazove </w:t>
            </w:r>
            <w:r w:rsidR="00AF038A" w:rsidRPr="0060351E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 xml:space="preserve">respiratornu </w:t>
            </w:r>
            <w:r w:rsidRPr="0060351E">
              <w:rPr>
                <w:rFonts w:ascii="Times New Roman" w:eastAsia="Times New Roman" w:hAnsi="Times New Roman" w:cs="Times New Roman"/>
                <w:b/>
                <w:bCs/>
                <w:lang w:val="sr-Latn-ME"/>
              </w:rPr>
              <w:t xml:space="preserve">depresiju </w:t>
            </w:r>
          </w:p>
        </w:tc>
      </w:tr>
    </w:tbl>
    <w:p w14:paraId="69AB0C98" w14:textId="77777777" w:rsidR="00936FAF" w:rsidRPr="0060351E" w:rsidRDefault="00936FAF" w:rsidP="006C30F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5326B0BC" w14:textId="535B1E6D" w:rsidR="00936FAF" w:rsidRPr="0060351E" w:rsidRDefault="00AC5536" w:rsidP="00AF038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Respiratorna i depresija centralnog nervnog sistema (CNS)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7FC90DD2" w14:textId="5047E8E2" w:rsidR="00AC5536" w:rsidRPr="0060351E" w:rsidRDefault="00AC5536" w:rsidP="00AF038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Natrijum oksibat </w:t>
      </w:r>
      <w:r w:rsidR="00483D08" w:rsidRPr="0060351E">
        <w:rPr>
          <w:rFonts w:ascii="Times New Roman" w:eastAsia="Times New Roman" w:hAnsi="Times New Roman" w:cs="Times New Roman"/>
          <w:lang w:val="sr-Latn-ME"/>
        </w:rPr>
        <w:t>ima</w:t>
      </w:r>
      <w:r w:rsidR="006E7168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483D08" w:rsidRPr="0060351E">
        <w:rPr>
          <w:rFonts w:ascii="Times New Roman" w:eastAsia="Times New Roman" w:hAnsi="Times New Roman" w:cs="Times New Roman"/>
          <w:lang w:val="sr-Latn-ME"/>
        </w:rPr>
        <w:t>potencijal da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667D4E" w:rsidRPr="0060351E">
        <w:rPr>
          <w:rFonts w:ascii="Times New Roman" w:eastAsia="Times New Roman" w:hAnsi="Times New Roman" w:cs="Times New Roman"/>
          <w:lang w:val="sr-Latn-ME"/>
        </w:rPr>
        <w:t>u</w:t>
      </w:r>
      <w:r w:rsidR="006E7168" w:rsidRPr="0060351E">
        <w:rPr>
          <w:rFonts w:ascii="Times New Roman" w:eastAsia="Times New Roman" w:hAnsi="Times New Roman" w:cs="Times New Roman"/>
          <w:lang w:val="sr-Latn-ME"/>
        </w:rPr>
        <w:t>zrokuje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respiratornu depresiju. </w:t>
      </w:r>
      <w:r w:rsidR="002E17DB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>pnea i respiratorna depresija</w:t>
      </w:r>
      <w:r w:rsidR="002E17DB" w:rsidRPr="0060351E">
        <w:rPr>
          <w:rFonts w:ascii="Times New Roman" w:eastAsia="Times New Roman" w:hAnsi="Times New Roman" w:cs="Times New Roman"/>
          <w:lang w:val="sr-Latn-ME"/>
        </w:rPr>
        <w:t xml:space="preserve"> zabilježe</w:t>
      </w:r>
      <w:r w:rsidR="007356E1" w:rsidRPr="0060351E">
        <w:rPr>
          <w:rFonts w:ascii="Times New Roman" w:eastAsia="Times New Roman" w:hAnsi="Times New Roman" w:cs="Times New Roman"/>
          <w:lang w:val="sr-Latn-ME"/>
        </w:rPr>
        <w:t>ne su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kod zdrav</w:t>
      </w:r>
      <w:r w:rsidR="007356E1" w:rsidRPr="0060351E">
        <w:rPr>
          <w:rFonts w:ascii="Times New Roman" w:eastAsia="Times New Roman" w:hAnsi="Times New Roman" w:cs="Times New Roman"/>
          <w:lang w:val="sr-Latn-ME"/>
        </w:rPr>
        <w:t>ih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7356E1" w:rsidRPr="0060351E">
        <w:rPr>
          <w:rFonts w:ascii="Times New Roman" w:eastAsia="Times New Roman" w:hAnsi="Times New Roman" w:cs="Times New Roman"/>
          <w:lang w:val="sr-Latn-ME"/>
        </w:rPr>
        <w:t>ispitanika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nakon </w:t>
      </w:r>
      <w:r w:rsidR="00AF038A" w:rsidRPr="0060351E">
        <w:rPr>
          <w:rFonts w:ascii="Times New Roman" w:eastAsia="Times New Roman" w:hAnsi="Times New Roman" w:cs="Times New Roman"/>
          <w:lang w:val="sr-Latn-ME"/>
        </w:rPr>
        <w:t xml:space="preserve">pojedinačnog </w:t>
      </w:r>
      <w:r w:rsidR="00CF40D6" w:rsidRPr="0060351E">
        <w:rPr>
          <w:rFonts w:ascii="Times New Roman" w:eastAsia="Times New Roman" w:hAnsi="Times New Roman" w:cs="Times New Roman"/>
          <w:lang w:val="sr-Latn-ME"/>
        </w:rPr>
        <w:t>uzimanja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</w:t>
      </w:r>
      <w:r w:rsidR="00CF40D6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5 g </w:t>
      </w:r>
      <w:r w:rsidR="00CF40D6" w:rsidRPr="0060351E">
        <w:rPr>
          <w:rFonts w:ascii="Times New Roman" w:eastAsia="Times New Roman" w:hAnsi="Times New Roman" w:cs="Times New Roman"/>
          <w:lang w:val="sr-Latn-ME"/>
        </w:rPr>
        <w:t xml:space="preserve">natašte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(dvostruko </w:t>
      </w:r>
      <w:r w:rsidR="00CF40D6" w:rsidRPr="0060351E">
        <w:rPr>
          <w:rFonts w:ascii="Times New Roman" w:eastAsia="Times New Roman" w:hAnsi="Times New Roman" w:cs="Times New Roman"/>
          <w:lang w:val="sr-Latn-ME"/>
        </w:rPr>
        <w:t>veća d</w:t>
      </w:r>
      <w:r w:rsidR="00AF038A" w:rsidRPr="0060351E">
        <w:rPr>
          <w:rFonts w:ascii="Times New Roman" w:eastAsia="Times New Roman" w:hAnsi="Times New Roman" w:cs="Times New Roman"/>
          <w:lang w:val="sr-Latn-ME"/>
        </w:rPr>
        <w:t>o</w:t>
      </w:r>
      <w:r w:rsidR="00CF40D6" w:rsidRPr="0060351E">
        <w:rPr>
          <w:rFonts w:ascii="Times New Roman" w:eastAsia="Times New Roman" w:hAnsi="Times New Roman" w:cs="Times New Roman"/>
          <w:lang w:val="sr-Latn-ME"/>
        </w:rPr>
        <w:t xml:space="preserve">za od </w:t>
      </w:r>
      <w:r w:rsidRPr="0060351E">
        <w:rPr>
          <w:rFonts w:ascii="Times New Roman" w:eastAsia="Times New Roman" w:hAnsi="Times New Roman" w:cs="Times New Roman"/>
          <w:lang w:val="sr-Latn-ME"/>
        </w:rPr>
        <w:t>preporučen</w:t>
      </w:r>
      <w:r w:rsidR="00CF40D6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početn</w:t>
      </w:r>
      <w:r w:rsidR="00CF40D6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doz</w:t>
      </w:r>
      <w:r w:rsidR="00CF40D6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). Pacijente treba ispitati u vezi sa znakovima depresije centralnog nervnog sistema (CNS) ili respiratorne depresije. Poseban oprez </w:t>
      </w:r>
      <w:r w:rsidR="00564E0A" w:rsidRPr="0060351E">
        <w:rPr>
          <w:rFonts w:ascii="Times New Roman" w:eastAsia="Times New Roman" w:hAnsi="Times New Roman" w:cs="Times New Roman"/>
          <w:lang w:val="sr-Latn-ME"/>
        </w:rPr>
        <w:t>je potreban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kod pacijenata sa </w:t>
      </w:r>
      <w:r w:rsidR="00FC6284" w:rsidRPr="0060351E">
        <w:rPr>
          <w:rFonts w:ascii="Times New Roman" w:eastAsia="Times New Roman" w:hAnsi="Times New Roman" w:cs="Times New Roman"/>
          <w:lang w:val="sr-Latn-ME"/>
        </w:rPr>
        <w:t>postojećim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poremećajem</w:t>
      </w:r>
      <w:r w:rsidR="00BA274C" w:rsidRPr="0060351E">
        <w:rPr>
          <w:rFonts w:ascii="Times New Roman" w:eastAsia="Times New Roman" w:hAnsi="Times New Roman" w:cs="Times New Roman"/>
          <w:lang w:val="sr-Latn-ME"/>
        </w:rPr>
        <w:t xml:space="preserve"> respiratornog sistema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. Zbog </w:t>
      </w:r>
      <w:r w:rsidR="00BA274C" w:rsidRPr="0060351E">
        <w:rPr>
          <w:rFonts w:ascii="Times New Roman" w:eastAsia="Times New Roman" w:hAnsi="Times New Roman" w:cs="Times New Roman"/>
          <w:lang w:val="sr-Latn-ME"/>
        </w:rPr>
        <w:t>po</w:t>
      </w:r>
      <w:r w:rsidRPr="0060351E">
        <w:rPr>
          <w:rFonts w:ascii="Times New Roman" w:eastAsia="Times New Roman" w:hAnsi="Times New Roman" w:cs="Times New Roman"/>
          <w:lang w:val="sr-Latn-ME"/>
        </w:rPr>
        <w:t>već</w:t>
      </w:r>
      <w:r w:rsidR="00BA274C" w:rsidRPr="0060351E">
        <w:rPr>
          <w:rFonts w:ascii="Times New Roman" w:eastAsia="Times New Roman" w:hAnsi="Times New Roman" w:cs="Times New Roman"/>
          <w:lang w:val="sr-Latn-ME"/>
        </w:rPr>
        <w:t>ano</w:t>
      </w:r>
      <w:r w:rsidRPr="0060351E">
        <w:rPr>
          <w:rFonts w:ascii="Times New Roman" w:eastAsia="Times New Roman" w:hAnsi="Times New Roman" w:cs="Times New Roman"/>
          <w:lang w:val="sr-Latn-ME"/>
        </w:rPr>
        <w:t>g rizika od apnee u snu, pacijenti sa BMI ≥</w:t>
      </w:r>
      <w:r w:rsidR="00BA274C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40 kg/m</w:t>
      </w:r>
      <w:r w:rsidRPr="0060351E">
        <w:rPr>
          <w:rFonts w:ascii="Times New Roman" w:eastAsia="Times New Roman" w:hAnsi="Times New Roman" w:cs="Times New Roman"/>
          <w:vertAlign w:val="superscript"/>
          <w:lang w:val="sr-Latn-ME"/>
        </w:rPr>
        <w:t>2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treba da budu pažljivo praćeni prilikom uzimanja natrijum oksibata.</w:t>
      </w:r>
    </w:p>
    <w:p w14:paraId="46CB6C5C" w14:textId="77777777" w:rsidR="00AF038A" w:rsidRPr="0060351E" w:rsidRDefault="00AF038A" w:rsidP="00AF038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F242234" w14:textId="2235C509" w:rsidR="00AC5536" w:rsidRPr="0060351E" w:rsidRDefault="00AC5536" w:rsidP="00AF038A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Približno 80 % pacijenata koji su primali natrijum oksibat tokom kliničkih ispitivanja i </w:t>
      </w:r>
      <w:r w:rsidR="008D7E4B" w:rsidRPr="0060351E">
        <w:rPr>
          <w:rFonts w:ascii="Times New Roman" w:eastAsia="Times New Roman" w:hAnsi="Times New Roman" w:cs="Times New Roman"/>
          <w:lang w:val="sr-Latn-ME"/>
        </w:rPr>
        <w:t>nastavili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korist</w:t>
      </w:r>
      <w:r w:rsidR="00CD3922" w:rsidRPr="0060351E">
        <w:rPr>
          <w:rFonts w:ascii="Times New Roman" w:eastAsia="Times New Roman" w:hAnsi="Times New Roman" w:cs="Times New Roman"/>
          <w:lang w:val="sr-Latn-ME"/>
        </w:rPr>
        <w:t>iti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CNS stimulanse. </w:t>
      </w:r>
      <w:r w:rsidR="00CD3922" w:rsidRPr="0060351E">
        <w:rPr>
          <w:rFonts w:ascii="Times New Roman" w:eastAsia="Times New Roman" w:hAnsi="Times New Roman" w:cs="Times New Roman"/>
          <w:lang w:val="sr-Latn-ME"/>
        </w:rPr>
        <w:t>Nije poznato d</w:t>
      </w:r>
      <w:r w:rsidRPr="0060351E">
        <w:rPr>
          <w:rFonts w:ascii="Times New Roman" w:eastAsia="Times New Roman" w:hAnsi="Times New Roman" w:cs="Times New Roman"/>
          <w:lang w:val="sr-Latn-ME"/>
        </w:rPr>
        <w:t>a li je to uticalo na disanje tokom noći. Pr</w:t>
      </w:r>
      <w:r w:rsidR="00CD3922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 povećanja doze natrijum oksibata (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 xml:space="preserve">vidjeti </w:t>
      </w:r>
      <w:r w:rsidR="00CD3922" w:rsidRPr="0060351E">
        <w:rPr>
          <w:rFonts w:ascii="Times New Roman" w:eastAsia="Times New Roman" w:hAnsi="Times New Roman" w:cs="Times New Roman"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4.2), </w:t>
      </w:r>
      <w:r w:rsidR="00B365D0" w:rsidRPr="0060351E">
        <w:rPr>
          <w:rFonts w:ascii="Times New Roman" w:eastAsia="Times New Roman" w:hAnsi="Times New Roman" w:cs="Times New Roman"/>
          <w:lang w:val="sr-Latn-ME"/>
        </w:rPr>
        <w:t>ljekari koji propisuju lijek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treba da budu sv</w:t>
      </w:r>
      <w:r w:rsidR="00770A8D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esni da se apnea u snu javlja kod do 50 % pacijenata sa narkolepsijom.</w:t>
      </w:r>
    </w:p>
    <w:p w14:paraId="2EE9AAF5" w14:textId="77777777" w:rsidR="00066CAB" w:rsidRPr="0060351E" w:rsidRDefault="00066CA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CE6F183" w14:textId="77777777" w:rsidR="00066CAB" w:rsidRPr="0060351E" w:rsidRDefault="00AC5536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• </w:t>
      </w: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 xml:space="preserve">Benzodiazepini </w:t>
      </w:r>
    </w:p>
    <w:p w14:paraId="08411AE8" w14:textId="21220917" w:rsidR="00AC5536" w:rsidRPr="0060351E" w:rsidRDefault="00AC5536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S obzirom na mogućnost povećanja rizika od respiratorne depresije, istovremen</w:t>
      </w:r>
      <w:r w:rsidR="00667D4E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upotreb</w:t>
      </w:r>
      <w:r w:rsidR="00667D4E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benzodiazepina i natrijum oksibata treba izb</w:t>
      </w:r>
      <w:r w:rsidR="0002094C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egava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>ti</w:t>
      </w:r>
      <w:r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5DE3EB2E" w14:textId="77777777" w:rsidR="0002094C" w:rsidRPr="0060351E" w:rsidRDefault="0002094C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sr-Latn-ME"/>
        </w:rPr>
      </w:pPr>
    </w:p>
    <w:p w14:paraId="35DF8340" w14:textId="77777777" w:rsidR="0002094C" w:rsidRPr="0060351E" w:rsidRDefault="00AC5536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• </w:t>
      </w: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Alkohol i depresori CNS-a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44B1ECFB" w14:textId="44B078E6" w:rsidR="00AC5536" w:rsidRPr="0060351E" w:rsidRDefault="00AC5536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Kombinovana upotreba alkohola ili bilo kojeg </w:t>
      </w:r>
      <w:r w:rsidR="00CE035E" w:rsidRPr="0060351E">
        <w:rPr>
          <w:rFonts w:ascii="Times New Roman" w:eastAsia="Times New Roman" w:hAnsi="Times New Roman" w:cs="Times New Roman"/>
          <w:lang w:val="sr-Latn-ME"/>
        </w:rPr>
        <w:t>depresora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CNS</w:t>
      </w:r>
      <w:r w:rsidR="00CE035E" w:rsidRPr="0060351E">
        <w:rPr>
          <w:rFonts w:ascii="Times New Roman" w:eastAsia="Times New Roman" w:hAnsi="Times New Roman" w:cs="Times New Roman"/>
          <w:lang w:val="sr-Latn-ME"/>
        </w:rPr>
        <w:t>-a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natrijum oksibatom može </w:t>
      </w:r>
      <w:r w:rsidR="009321AA" w:rsidRPr="0060351E">
        <w:rPr>
          <w:rFonts w:ascii="Times New Roman" w:eastAsia="Times New Roman" w:hAnsi="Times New Roman" w:cs="Times New Roman"/>
          <w:lang w:val="sr-Latn-ME"/>
        </w:rPr>
        <w:t>dovesti do pojačavanja depresornih efekata natrijum oksibata na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CNS-a, kao i pove</w:t>
      </w:r>
      <w:r w:rsidR="009321AA" w:rsidRPr="0060351E">
        <w:rPr>
          <w:rFonts w:ascii="Times New Roman" w:eastAsia="Times New Roman" w:hAnsi="Times New Roman" w:cs="Times New Roman"/>
          <w:lang w:val="sr-Latn-ME"/>
        </w:rPr>
        <w:t>ćati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rizik od respiratorne depresije. Stoga pacijent</w:t>
      </w:r>
      <w:r w:rsidR="009321AA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treba upozoriti da izb</w:t>
      </w:r>
      <w:r w:rsidR="009321AA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egavaju upotrebu alkohola zajedno sa natrijum oksibatom.</w:t>
      </w:r>
    </w:p>
    <w:p w14:paraId="3BAAEF1F" w14:textId="77777777" w:rsidR="00DD0C7A" w:rsidRPr="0060351E" w:rsidRDefault="00DD0C7A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sr-Latn-ME"/>
        </w:rPr>
      </w:pPr>
    </w:p>
    <w:p w14:paraId="5E216036" w14:textId="77777777" w:rsidR="00DD0C7A" w:rsidRPr="0060351E" w:rsidRDefault="00AC5536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• </w:t>
      </w: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 xml:space="preserve">Inhibitori gama-hidroksibutirat (GHB) dehidrogenaze </w:t>
      </w:r>
    </w:p>
    <w:p w14:paraId="78DD2396" w14:textId="35CE6689" w:rsidR="00AC5536" w:rsidRPr="0060351E" w:rsidRDefault="00AC5536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Potreb</w:t>
      </w:r>
      <w:r w:rsidR="00DD0C7A" w:rsidRPr="0060351E">
        <w:rPr>
          <w:rFonts w:ascii="Times New Roman" w:eastAsia="Times New Roman" w:hAnsi="Times New Roman" w:cs="Times New Roman"/>
          <w:lang w:val="sr-Latn-ME"/>
        </w:rPr>
        <w:t>an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je oprez kod pacijenata koji se istovremeno l</w:t>
      </w:r>
      <w:r w:rsidR="00DD0C7A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eče valproatom ili drugim inhibitorima GHB dehidrogenaze, budući da su </w:t>
      </w:r>
      <w:r w:rsidR="00DD0C7A" w:rsidRPr="0060351E">
        <w:rPr>
          <w:rFonts w:ascii="Times New Roman" w:eastAsia="Times New Roman" w:hAnsi="Times New Roman" w:cs="Times New Roman"/>
          <w:lang w:val="sr-Latn-ME"/>
        </w:rPr>
        <w:t>zabilježene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farmakokinetičke i farmakodinamičke interakcije kada se natrijum oksibat prim</w:t>
      </w:r>
      <w:r w:rsidR="00DD0C7A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enjuje zajedno sa valproatom (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 xml:space="preserve">vidjeti </w:t>
      </w:r>
      <w:r w:rsidR="00DD0C7A" w:rsidRPr="0060351E">
        <w:rPr>
          <w:rFonts w:ascii="Times New Roman" w:eastAsia="Times New Roman" w:hAnsi="Times New Roman" w:cs="Times New Roman"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4.5). Ako je istovremena upotreba opravdana, treba razmotriti prilagođavanje doze (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 xml:space="preserve">vidjeti </w:t>
      </w:r>
      <w:r w:rsidR="00DD0C7A" w:rsidRPr="0060351E">
        <w:rPr>
          <w:rFonts w:ascii="Times New Roman" w:eastAsia="Times New Roman" w:hAnsi="Times New Roman" w:cs="Times New Roman"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4.2). Dodatno, </w:t>
      </w:r>
      <w:r w:rsidR="00DD0C7A" w:rsidRPr="0060351E">
        <w:rPr>
          <w:rFonts w:ascii="Times New Roman" w:eastAsia="Times New Roman" w:hAnsi="Times New Roman" w:cs="Times New Roman"/>
          <w:lang w:val="sr-Latn-ME"/>
        </w:rPr>
        <w:t xml:space="preserve">treba pažljivo pratiti </w:t>
      </w:r>
      <w:r w:rsidRPr="0060351E">
        <w:rPr>
          <w:rFonts w:ascii="Times New Roman" w:eastAsia="Times New Roman" w:hAnsi="Times New Roman" w:cs="Times New Roman"/>
          <w:lang w:val="sr-Latn-ME"/>
        </w:rPr>
        <w:t>odgovor pacijenta i podnošljivost, a doz</w:t>
      </w:r>
      <w:r w:rsidR="00142FB6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prilagoditi prema tome.</w:t>
      </w:r>
    </w:p>
    <w:p w14:paraId="58C6C85B" w14:textId="77777777" w:rsidR="00E13D89" w:rsidRPr="0060351E" w:rsidRDefault="00E13D89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sr-Latn-ME"/>
        </w:rPr>
      </w:pPr>
    </w:p>
    <w:p w14:paraId="0FE5DDBF" w14:textId="77777777" w:rsidR="00E13D89" w:rsidRPr="0060351E" w:rsidRDefault="00AC5536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• </w:t>
      </w: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 xml:space="preserve">Topiramat </w:t>
      </w:r>
    </w:p>
    <w:p w14:paraId="56AB197E" w14:textId="4A407155" w:rsidR="00AC5536" w:rsidRPr="0060351E" w:rsidRDefault="003E7039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Nakon istovrem</w:t>
      </w:r>
      <w:r w:rsidR="004377AF" w:rsidRPr="0060351E">
        <w:rPr>
          <w:rFonts w:ascii="Times New Roman" w:eastAsia="Times New Roman" w:hAnsi="Times New Roman" w:cs="Times New Roman"/>
          <w:lang w:val="sr-Latn-ME"/>
        </w:rPr>
        <w:t xml:space="preserve">ene primjene natrijum oksibata i topiramata </w:t>
      </w:r>
      <w:r w:rsidR="00605617" w:rsidRPr="0060351E">
        <w:rPr>
          <w:rFonts w:ascii="Times New Roman" w:eastAsia="Times New Roman" w:hAnsi="Times New Roman" w:cs="Times New Roman"/>
          <w:lang w:val="sr-Latn-ME"/>
        </w:rPr>
        <w:t>pr</w:t>
      </w:r>
      <w:r w:rsidR="006A1B1D" w:rsidRPr="0060351E">
        <w:rPr>
          <w:rFonts w:ascii="Times New Roman" w:eastAsia="Times New Roman" w:hAnsi="Times New Roman" w:cs="Times New Roman"/>
          <w:lang w:val="sr-Latn-ME"/>
        </w:rPr>
        <w:t>i</w:t>
      </w:r>
      <w:r w:rsidR="00605617" w:rsidRPr="0060351E">
        <w:rPr>
          <w:rFonts w:ascii="Times New Roman" w:eastAsia="Times New Roman" w:hAnsi="Times New Roman" w:cs="Times New Roman"/>
          <w:lang w:val="sr-Latn-ME"/>
        </w:rPr>
        <w:t>javljen</w:t>
      </w:r>
      <w:r w:rsidR="006A1B1D" w:rsidRPr="0060351E">
        <w:rPr>
          <w:rFonts w:ascii="Times New Roman" w:eastAsia="Times New Roman" w:hAnsi="Times New Roman" w:cs="Times New Roman"/>
          <w:lang w:val="sr-Latn-ME"/>
        </w:rPr>
        <w:t>i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su klinički slučajevi kome i pov</w:t>
      </w:r>
      <w:r w:rsidR="006A1B1D" w:rsidRPr="0060351E">
        <w:rPr>
          <w:rFonts w:ascii="Times New Roman" w:eastAsia="Times New Roman" w:hAnsi="Times New Roman" w:cs="Times New Roman"/>
          <w:lang w:val="sr-Latn-ME"/>
        </w:rPr>
        <w:t>išene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koncentracije GHB u plazmi. Stoga pacijent</w:t>
      </w:r>
      <w:r w:rsidR="00246BE5" w:rsidRPr="0060351E">
        <w:rPr>
          <w:rFonts w:ascii="Times New Roman" w:eastAsia="Times New Roman" w:hAnsi="Times New Roman" w:cs="Times New Roman"/>
          <w:lang w:val="sr-Latn-ME"/>
        </w:rPr>
        <w:t>e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treba upozoriti da izb</w:t>
      </w:r>
      <w:r w:rsidR="00246BE5" w:rsidRPr="0060351E">
        <w:rPr>
          <w:rFonts w:ascii="Times New Roman" w:eastAsia="Times New Roman" w:hAnsi="Times New Roman" w:cs="Times New Roman"/>
          <w:lang w:val="sr-Latn-ME"/>
        </w:rPr>
        <w:t>j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>egavaju upotrebu topiramata zajedno sa natrijum oksibatom (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 xml:space="preserve">vidjeti </w:t>
      </w:r>
      <w:r w:rsidR="00246BE5" w:rsidRPr="0060351E">
        <w:rPr>
          <w:rFonts w:ascii="Times New Roman" w:eastAsia="Times New Roman" w:hAnsi="Times New Roman" w:cs="Times New Roman"/>
          <w:lang w:val="sr-Latn-ME"/>
        </w:rPr>
        <w:t>dio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4.5).</w:t>
      </w:r>
    </w:p>
    <w:p w14:paraId="172ED131" w14:textId="77777777" w:rsidR="00246BE5" w:rsidRPr="0060351E" w:rsidRDefault="00246BE5">
      <w:pPr>
        <w:tabs>
          <w:tab w:val="left" w:pos="540"/>
          <w:tab w:val="left" w:pos="569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val="sr-Latn-ME"/>
        </w:rPr>
      </w:pPr>
    </w:p>
    <w:p w14:paraId="1EBD05B5" w14:textId="618E4465" w:rsidR="00246BE5" w:rsidRPr="0060351E" w:rsidRDefault="00E3142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Rizik od</w:t>
      </w:r>
      <w:r w:rsidR="00AC5536"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 zloupotreb</w:t>
      </w:r>
      <w:r w:rsidRPr="0060351E">
        <w:rPr>
          <w:rFonts w:ascii="Times New Roman" w:eastAsia="Times New Roman" w:hAnsi="Times New Roman" w:cs="Times New Roman"/>
          <w:u w:val="single"/>
          <w:lang w:val="sr-Latn-ME"/>
        </w:rPr>
        <w:t>e</w:t>
      </w:r>
      <w:r w:rsidR="00AC5536"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 i zavisnost</w:t>
      </w:r>
      <w:r w:rsidRPr="0060351E">
        <w:rPr>
          <w:rFonts w:ascii="Times New Roman" w:eastAsia="Times New Roman" w:hAnsi="Times New Roman" w:cs="Times New Roman"/>
          <w:u w:val="single"/>
          <w:lang w:val="sr-Latn-ME"/>
        </w:rPr>
        <w:t>i</w:t>
      </w:r>
      <w:r w:rsidR="00AC5536"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 </w:t>
      </w:r>
    </w:p>
    <w:p w14:paraId="7CFDD51B" w14:textId="7BB571C2" w:rsidR="00AC5536" w:rsidRPr="0060351E" w:rsidRDefault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Natrijum oksibat, koji je natrijumova so GHB-a, je</w:t>
      </w:r>
      <w:r w:rsidR="00E31426" w:rsidRPr="0060351E">
        <w:rPr>
          <w:rFonts w:ascii="Times New Roman" w:eastAsia="Times New Roman" w:hAnsi="Times New Roman" w:cs="Times New Roman"/>
          <w:lang w:val="sr-Latn-ME"/>
        </w:rPr>
        <w:t xml:space="preserve"> aktivna supstanca koja uzrokuje depresiju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CNS</w:t>
      </w:r>
      <w:r w:rsidR="00E31426" w:rsidRPr="0060351E">
        <w:rPr>
          <w:rFonts w:ascii="Times New Roman" w:eastAsia="Times New Roman" w:hAnsi="Times New Roman" w:cs="Times New Roman"/>
          <w:lang w:val="sr-Latn-ME"/>
        </w:rPr>
        <w:t>-</w:t>
      </w:r>
      <w:r w:rsidR="007A474A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dobro poznatim potencijalom zloupotreb</w:t>
      </w:r>
      <w:r w:rsidR="007A474A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>. Pr</w:t>
      </w:r>
      <w:r w:rsidR="007A474A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 </w:t>
      </w:r>
      <w:r w:rsidR="007A474A" w:rsidRPr="0060351E">
        <w:rPr>
          <w:rFonts w:ascii="Times New Roman" w:eastAsia="Times New Roman" w:hAnsi="Times New Roman" w:cs="Times New Roman"/>
          <w:lang w:val="sr-Latn-ME"/>
        </w:rPr>
        <w:t>započinjanja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l</w:t>
      </w:r>
      <w:r w:rsidR="007A474A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ečenja, l</w:t>
      </w:r>
      <w:r w:rsidR="007A474A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ekari trebaju proc</w:t>
      </w:r>
      <w:r w:rsidR="007A474A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eniti pacijente u vezi sa</w:t>
      </w:r>
      <w:r w:rsidR="00CC23FB" w:rsidRPr="0060351E">
        <w:rPr>
          <w:rFonts w:ascii="Times New Roman" w:eastAsia="Times New Roman" w:hAnsi="Times New Roman" w:cs="Times New Roman"/>
          <w:lang w:val="sr-Latn-ME"/>
        </w:rPr>
        <w:t xml:space="preserve"> zloupotrebom ljekova u anamnezi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ili </w:t>
      </w:r>
      <w:r w:rsidR="003B7407" w:rsidRPr="0060351E">
        <w:rPr>
          <w:rFonts w:ascii="Times New Roman" w:eastAsia="Times New Roman" w:hAnsi="Times New Roman" w:cs="Times New Roman"/>
          <w:lang w:val="sr-Latn-ME"/>
        </w:rPr>
        <w:t>sklono</w:t>
      </w:r>
      <w:r w:rsidR="00324AA3" w:rsidRPr="0060351E">
        <w:rPr>
          <w:rFonts w:ascii="Times New Roman" w:eastAsia="Times New Roman" w:hAnsi="Times New Roman" w:cs="Times New Roman"/>
          <w:lang w:val="sr-Latn-ME"/>
        </w:rPr>
        <w:t>šću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zloupotrebe </w:t>
      </w:r>
      <w:r w:rsidR="00324AA3" w:rsidRPr="0060351E">
        <w:rPr>
          <w:rFonts w:ascii="Times New Roman" w:eastAsia="Times New Roman" w:hAnsi="Times New Roman" w:cs="Times New Roman"/>
          <w:lang w:val="sr-Latn-ME"/>
        </w:rPr>
        <w:t>ljekova</w:t>
      </w:r>
      <w:r w:rsidRPr="0060351E">
        <w:rPr>
          <w:rFonts w:ascii="Times New Roman" w:eastAsia="Times New Roman" w:hAnsi="Times New Roman" w:cs="Times New Roman"/>
          <w:lang w:val="sr-Latn-ME"/>
        </w:rPr>
        <w:t>. Pacijent</w:t>
      </w:r>
      <w:r w:rsidR="00F03A72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treba redovno pra</w:t>
      </w:r>
      <w:r w:rsidR="00F03A72" w:rsidRPr="0060351E">
        <w:rPr>
          <w:rFonts w:ascii="Times New Roman" w:eastAsia="Times New Roman" w:hAnsi="Times New Roman" w:cs="Times New Roman"/>
          <w:lang w:val="sr-Latn-ME"/>
        </w:rPr>
        <w:t>titi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 u slučaju sumnje na zloupotrebu, l</w:t>
      </w:r>
      <w:r w:rsidR="00F03A72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ečenje natrijum oksibatom treba prekinuti.</w:t>
      </w:r>
    </w:p>
    <w:p w14:paraId="1BEFF41E" w14:textId="77777777" w:rsidR="00F03A72" w:rsidRPr="0060351E" w:rsidRDefault="00F03A7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0E560F3" w14:textId="6DF239B7" w:rsidR="00AC5536" w:rsidRPr="0060351E" w:rsidRDefault="00A85E84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Zabilježeni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su slučajevi zavisnosti nakon ne</w:t>
      </w:r>
      <w:r w:rsidR="000839FF" w:rsidRPr="0060351E">
        <w:rPr>
          <w:rFonts w:ascii="Times New Roman" w:eastAsia="Times New Roman" w:hAnsi="Times New Roman" w:cs="Times New Roman"/>
          <w:lang w:val="sr-Latn-ME"/>
        </w:rPr>
        <w:t>dozvoljene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upotrebe GHB-a u</w:t>
      </w:r>
      <w:r w:rsidR="000839FF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>čestim ponavljanim dozama (18-250 g/dan) v</w:t>
      </w:r>
      <w:r w:rsidR="00826FD3" w:rsidRPr="0060351E">
        <w:rPr>
          <w:rFonts w:ascii="Times New Roman" w:eastAsia="Times New Roman" w:hAnsi="Times New Roman" w:cs="Times New Roman"/>
          <w:lang w:val="sr-Latn-ME"/>
        </w:rPr>
        <w:t>ećim od uobičajenog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terapijskog raspona doza. Iako nema jasnih dokaza o pojavi zavisnosti kod pacijenata koji uzimaju natrijum oksibat u terapijskim dozama, ova mogućnost ne može se isključiti.</w:t>
      </w:r>
    </w:p>
    <w:p w14:paraId="173A3504" w14:textId="77777777" w:rsidR="00525744" w:rsidRPr="0060351E" w:rsidRDefault="00525744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87B444A" w14:textId="77777777" w:rsidR="003F5009" w:rsidRPr="0060351E" w:rsidRDefault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Pacijenti sa porfirijom </w:t>
      </w:r>
    </w:p>
    <w:p w14:paraId="6AC512BB" w14:textId="3A107E50" w:rsidR="00AC5536" w:rsidRPr="0060351E" w:rsidRDefault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Natrijum oksibat se </w:t>
      </w:r>
      <w:r w:rsidR="00F605F5" w:rsidRPr="0060351E">
        <w:rPr>
          <w:rFonts w:ascii="Times New Roman" w:eastAsia="Times New Roman" w:hAnsi="Times New Roman" w:cs="Times New Roman"/>
          <w:lang w:val="sr-Latn-ME"/>
        </w:rPr>
        <w:t xml:space="preserve">ne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smatra 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 xml:space="preserve">bezbjednim </w:t>
      </w:r>
      <w:r w:rsidR="00F605F5" w:rsidRPr="0060351E">
        <w:rPr>
          <w:rFonts w:ascii="Times New Roman" w:eastAsia="Times New Roman" w:hAnsi="Times New Roman" w:cs="Times New Roman"/>
          <w:lang w:val="sr-Latn-ME"/>
        </w:rPr>
        <w:t xml:space="preserve">za primjenu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kod pacijenata sa porfirijom jer je </w:t>
      </w:r>
      <w:r w:rsidR="00F605F5" w:rsidRPr="0060351E">
        <w:rPr>
          <w:rFonts w:ascii="Times New Roman" w:eastAsia="Times New Roman" w:hAnsi="Times New Roman" w:cs="Times New Roman"/>
          <w:lang w:val="sr-Latn-ME"/>
        </w:rPr>
        <w:t>utvrđeno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da </w:t>
      </w:r>
      <w:r w:rsidR="00F605F5" w:rsidRPr="0060351E">
        <w:rPr>
          <w:rFonts w:ascii="Times New Roman" w:eastAsia="Times New Roman" w:hAnsi="Times New Roman" w:cs="Times New Roman"/>
          <w:lang w:val="sr-Latn-ME"/>
        </w:rPr>
        <w:t>ima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porfirogeni </w:t>
      </w:r>
      <w:r w:rsidR="00233C19" w:rsidRPr="0060351E">
        <w:rPr>
          <w:rFonts w:ascii="Times New Roman" w:eastAsia="Times New Roman" w:hAnsi="Times New Roman" w:cs="Times New Roman"/>
          <w:lang w:val="sr-Latn-ME"/>
        </w:rPr>
        <w:t xml:space="preserve">efekat </w:t>
      </w:r>
      <w:r w:rsidRPr="0060351E">
        <w:rPr>
          <w:rFonts w:ascii="Times New Roman" w:eastAsia="Times New Roman" w:hAnsi="Times New Roman" w:cs="Times New Roman"/>
          <w:lang w:val="sr-Latn-ME"/>
        </w:rPr>
        <w:t>kod životinja i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 xml:space="preserve"> u </w:t>
      </w: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in vitro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sistem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>ima</w:t>
      </w:r>
      <w:r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7DB33104" w14:textId="77777777" w:rsidR="00233C19" w:rsidRPr="0060351E" w:rsidRDefault="00233C1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8A804A2" w14:textId="2109529E" w:rsidR="00233C19" w:rsidRPr="0060351E" w:rsidRDefault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Neuropsihijatrijski događaji </w:t>
      </w:r>
    </w:p>
    <w:p w14:paraId="4EDA17F2" w14:textId="36F6E1FA" w:rsidR="00AC5536" w:rsidRPr="0060351E" w:rsidRDefault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Pacijenti</w:t>
      </w:r>
      <w:r w:rsidR="00E32C1C" w:rsidRPr="0060351E">
        <w:rPr>
          <w:rFonts w:ascii="Times New Roman" w:eastAsia="Times New Roman" w:hAnsi="Times New Roman" w:cs="Times New Roman"/>
          <w:lang w:val="sr-Latn-ME"/>
        </w:rPr>
        <w:t xml:space="preserve"> tokom liječenja natrijum oksibatom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mogu postati </w:t>
      </w:r>
      <w:r w:rsidR="00E32C1C" w:rsidRPr="0060351E">
        <w:rPr>
          <w:rFonts w:ascii="Times New Roman" w:eastAsia="Times New Roman" w:hAnsi="Times New Roman" w:cs="Times New Roman"/>
          <w:lang w:val="sr-Latn-ME"/>
        </w:rPr>
        <w:t>konfuzni</w:t>
      </w:r>
      <w:r w:rsidRPr="0060351E">
        <w:rPr>
          <w:rFonts w:ascii="Times New Roman" w:eastAsia="Times New Roman" w:hAnsi="Times New Roman" w:cs="Times New Roman"/>
          <w:lang w:val="sr-Latn-ME"/>
        </w:rPr>
        <w:t>. Ako se to desi, treba ih</w:t>
      </w:r>
      <w:r w:rsidR="00BA64FA" w:rsidRPr="0060351E">
        <w:rPr>
          <w:rFonts w:ascii="Times New Roman" w:eastAsia="Times New Roman" w:hAnsi="Times New Roman" w:cs="Times New Roman"/>
          <w:lang w:val="sr-Latn-ME"/>
        </w:rPr>
        <w:t xml:space="preserve"> ponovo 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potpuno</w:t>
      </w:r>
      <w:r w:rsidR="00BA64FA" w:rsidRPr="0060351E">
        <w:rPr>
          <w:rFonts w:ascii="Times New Roman" w:eastAsia="Times New Roman" w:hAnsi="Times New Roman" w:cs="Times New Roman"/>
          <w:lang w:val="sr-Latn-ME"/>
        </w:rPr>
        <w:t>sti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BA64FA" w:rsidRPr="0060351E">
        <w:rPr>
          <w:rFonts w:ascii="Times New Roman" w:eastAsia="Times New Roman" w:hAnsi="Times New Roman" w:cs="Times New Roman"/>
          <w:lang w:val="sr-Latn-ME"/>
        </w:rPr>
        <w:t>evaluirati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 </w:t>
      </w:r>
      <w:r w:rsidR="00E30460" w:rsidRPr="0060351E">
        <w:rPr>
          <w:rFonts w:ascii="Times New Roman" w:eastAsia="Times New Roman" w:hAnsi="Times New Roman" w:cs="Times New Roman"/>
          <w:lang w:val="sr-Latn-ME"/>
        </w:rPr>
        <w:t xml:space="preserve">ako je potrebno </w:t>
      </w:r>
      <w:r w:rsidR="008E2662" w:rsidRPr="0060351E">
        <w:rPr>
          <w:rFonts w:ascii="Times New Roman" w:eastAsia="Times New Roman" w:hAnsi="Times New Roman" w:cs="Times New Roman"/>
          <w:lang w:val="sr-Latn-ME"/>
        </w:rPr>
        <w:t>s</w:t>
      </w:r>
      <w:r w:rsidR="00E30460" w:rsidRPr="0060351E">
        <w:rPr>
          <w:rFonts w:ascii="Times New Roman" w:eastAsia="Times New Roman" w:hAnsi="Times New Roman" w:cs="Times New Roman"/>
          <w:lang w:val="sr-Latn-ME"/>
        </w:rPr>
        <w:t>provesti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odgovarajuć</w:t>
      </w:r>
      <w:r w:rsidR="00B7431A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individualn</w:t>
      </w:r>
      <w:r w:rsidR="00B7431A" w:rsidRPr="0060351E">
        <w:rPr>
          <w:rFonts w:ascii="Times New Roman" w:eastAsia="Times New Roman" w:hAnsi="Times New Roman" w:cs="Times New Roman"/>
          <w:lang w:val="sr-Latn-ME"/>
        </w:rPr>
        <w:t>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B7431A" w:rsidRPr="0060351E">
        <w:rPr>
          <w:rFonts w:ascii="Times New Roman" w:eastAsia="Times New Roman" w:hAnsi="Times New Roman" w:cs="Times New Roman"/>
          <w:lang w:val="sr-Latn-ME"/>
        </w:rPr>
        <w:t>prilagođenu intervenciju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. </w:t>
      </w:r>
      <w:r w:rsidR="00F530DD" w:rsidRPr="0060351E">
        <w:rPr>
          <w:rFonts w:ascii="Times New Roman" w:eastAsia="Times New Roman" w:hAnsi="Times New Roman" w:cs="Times New Roman"/>
          <w:lang w:val="sr-Latn-ME"/>
        </w:rPr>
        <w:t>Mogu se javiti i drugi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neuropsihijatrijski događaji </w:t>
      </w:r>
      <w:r w:rsidR="00F530DD" w:rsidRPr="0060351E">
        <w:rPr>
          <w:rFonts w:ascii="Times New Roman" w:eastAsia="Times New Roman" w:hAnsi="Times New Roman" w:cs="Times New Roman"/>
          <w:lang w:val="sr-Latn-ME"/>
        </w:rPr>
        <w:t>kao što su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anksioznost, psihoz</w:t>
      </w:r>
      <w:r w:rsidR="00F530DD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>, paranoj</w:t>
      </w:r>
      <w:r w:rsidR="00F530DD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, </w:t>
      </w:r>
      <w:r w:rsidRPr="0060351E">
        <w:rPr>
          <w:rFonts w:ascii="Times New Roman" w:eastAsia="Times New Roman" w:hAnsi="Times New Roman" w:cs="Times New Roman"/>
          <w:lang w:val="sr-Latn-ME"/>
        </w:rPr>
        <w:lastRenderedPageBreak/>
        <w:t>halucinacije i agitacij</w:t>
      </w:r>
      <w:r w:rsidR="00F530DD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. </w:t>
      </w:r>
      <w:r w:rsidR="00832470" w:rsidRPr="0060351E">
        <w:rPr>
          <w:rFonts w:ascii="Times New Roman" w:eastAsia="Times New Roman" w:hAnsi="Times New Roman" w:cs="Times New Roman"/>
          <w:lang w:val="sr-Latn-ME"/>
        </w:rPr>
        <w:t>Ako se tokom liječenja natrijum oksibatom</w:t>
      </w:r>
      <w:r w:rsidR="009A263E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jav</w:t>
      </w:r>
      <w:r w:rsidR="009A263E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poremećaj</w:t>
      </w:r>
      <w:r w:rsidR="009A263E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9A263E" w:rsidRPr="0060351E">
        <w:rPr>
          <w:rFonts w:ascii="Times New Roman" w:eastAsia="Times New Roman" w:hAnsi="Times New Roman" w:cs="Times New Roman"/>
          <w:lang w:val="sr-Latn-ME"/>
        </w:rPr>
        <w:t>razmišljanja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, uključujući misli o izvršenju nasilnih </w:t>
      </w:r>
      <w:r w:rsidR="009A263E" w:rsidRPr="0060351E">
        <w:rPr>
          <w:rFonts w:ascii="Times New Roman" w:eastAsia="Times New Roman" w:hAnsi="Times New Roman" w:cs="Times New Roman"/>
          <w:lang w:val="sr-Latn-ME"/>
        </w:rPr>
        <w:t>dijela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(uključujući </w:t>
      </w:r>
      <w:r w:rsidR="006B34E3" w:rsidRPr="0060351E">
        <w:rPr>
          <w:rFonts w:ascii="Times New Roman" w:eastAsia="Times New Roman" w:hAnsi="Times New Roman" w:cs="Times New Roman"/>
          <w:lang w:val="sr-Latn-ME"/>
        </w:rPr>
        <w:t>povrede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drugi</w:t>
      </w:r>
      <w:r w:rsidR="006B34E3" w:rsidRPr="0060351E">
        <w:rPr>
          <w:rFonts w:ascii="Times New Roman" w:eastAsia="Times New Roman" w:hAnsi="Times New Roman" w:cs="Times New Roman"/>
          <w:lang w:val="sr-Latn-ME"/>
        </w:rPr>
        <w:t>h</w:t>
      </w:r>
      <w:r w:rsidRPr="0060351E">
        <w:rPr>
          <w:rFonts w:ascii="Times New Roman" w:eastAsia="Times New Roman" w:hAnsi="Times New Roman" w:cs="Times New Roman"/>
          <w:lang w:val="sr-Latn-ME"/>
        </w:rPr>
        <w:t>) i/ili abnormalno ponašanj</w:t>
      </w:r>
      <w:r w:rsidR="006B34E3" w:rsidRPr="0060351E">
        <w:rPr>
          <w:rFonts w:ascii="Times New Roman" w:eastAsia="Times New Roman" w:hAnsi="Times New Roman" w:cs="Times New Roman"/>
          <w:lang w:val="sr-Latn-ME"/>
        </w:rPr>
        <w:t>e</w:t>
      </w:r>
      <w:r w:rsidR="005F4805" w:rsidRPr="0060351E">
        <w:rPr>
          <w:rFonts w:ascii="Times New Roman" w:eastAsia="Times New Roman" w:hAnsi="Times New Roman" w:cs="Times New Roman"/>
          <w:lang w:val="sr-Latn-ME"/>
        </w:rPr>
        <w:t>,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5F4805" w:rsidRPr="0060351E">
        <w:rPr>
          <w:rFonts w:ascii="Times New Roman" w:eastAsia="Times New Roman" w:hAnsi="Times New Roman" w:cs="Times New Roman"/>
          <w:lang w:val="sr-Latn-ME"/>
        </w:rPr>
        <w:t>potrebno je napraviti detaljnu i pravovremenu procjenu</w:t>
      </w:r>
      <w:r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7B2579E6" w14:textId="77777777" w:rsidR="00603705" w:rsidRPr="0060351E" w:rsidRDefault="0060370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FD570E3" w14:textId="66F21240" w:rsidR="00AC5536" w:rsidRPr="0060351E" w:rsidRDefault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Pojava depresije kod pacijenata koji se l</w:t>
      </w:r>
      <w:r w:rsidR="0060370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eče natrijum oksibatom zaht</w:t>
      </w:r>
      <w:r w:rsidR="0060370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eva p</w:t>
      </w:r>
      <w:r w:rsidR="00711406" w:rsidRPr="0060351E">
        <w:rPr>
          <w:rFonts w:ascii="Times New Roman" w:eastAsia="Times New Roman" w:hAnsi="Times New Roman" w:cs="Times New Roman"/>
          <w:lang w:val="sr-Latn-ME"/>
        </w:rPr>
        <w:t>ravovremenu i detalj</w:t>
      </w:r>
      <w:r w:rsidR="008A4114" w:rsidRPr="0060351E">
        <w:rPr>
          <w:rFonts w:ascii="Times New Roman" w:eastAsia="Times New Roman" w:hAnsi="Times New Roman" w:cs="Times New Roman"/>
          <w:lang w:val="sr-Latn-ME"/>
        </w:rPr>
        <w:t>n</w:t>
      </w:r>
      <w:r w:rsidR="00711406" w:rsidRPr="0060351E">
        <w:rPr>
          <w:rFonts w:ascii="Times New Roman" w:eastAsia="Times New Roman" w:hAnsi="Times New Roman" w:cs="Times New Roman"/>
          <w:lang w:val="sr-Latn-ME"/>
        </w:rPr>
        <w:t>u procjenu</w:t>
      </w:r>
      <w:r w:rsidRPr="0060351E">
        <w:rPr>
          <w:rFonts w:ascii="Times New Roman" w:eastAsia="Times New Roman" w:hAnsi="Times New Roman" w:cs="Times New Roman"/>
          <w:lang w:val="sr-Latn-ME"/>
        </w:rPr>
        <w:t>. Pacijent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prethodnom istorijom depresivnog oboljenja i/ili pokušajem samoubistva treba pažljivo pra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>titi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zbog pojave simptoma depresije tokom uzimanja natrijum oksibata. </w:t>
      </w:r>
      <w:r w:rsidR="00077D9E" w:rsidRPr="0060351E">
        <w:rPr>
          <w:rFonts w:ascii="Times New Roman" w:eastAsia="Times New Roman" w:hAnsi="Times New Roman" w:cs="Times New Roman"/>
          <w:lang w:val="sr-Latn-ME"/>
        </w:rPr>
        <w:t>Primjena natrijum oksibata kod pacijenata sa t</w:t>
      </w:r>
      <w:r w:rsidRPr="0060351E">
        <w:rPr>
          <w:rFonts w:ascii="Times New Roman" w:eastAsia="Times New Roman" w:hAnsi="Times New Roman" w:cs="Times New Roman"/>
          <w:lang w:val="sr-Latn-ME"/>
        </w:rPr>
        <w:t>ešk</w:t>
      </w:r>
      <w:r w:rsidR="00077D9E" w:rsidRPr="0060351E">
        <w:rPr>
          <w:rFonts w:ascii="Times New Roman" w:eastAsia="Times New Roman" w:hAnsi="Times New Roman" w:cs="Times New Roman"/>
          <w:lang w:val="sr-Latn-ME"/>
        </w:rPr>
        <w:t>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depresij</w:t>
      </w:r>
      <w:r w:rsidR="00077D9E" w:rsidRPr="0060351E">
        <w:rPr>
          <w:rFonts w:ascii="Times New Roman" w:eastAsia="Times New Roman" w:hAnsi="Times New Roman" w:cs="Times New Roman"/>
          <w:lang w:val="sr-Latn-ME"/>
        </w:rPr>
        <w:t>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je kontraindikovana (</w:t>
      </w:r>
      <w:r w:rsidR="0005711E" w:rsidRPr="0060351E">
        <w:rPr>
          <w:rFonts w:ascii="Times New Roman" w:eastAsia="Times New Roman" w:hAnsi="Times New Roman" w:cs="Times New Roman"/>
          <w:lang w:val="sr-Latn-ME"/>
        </w:rPr>
        <w:t xml:space="preserve">vidjeti </w:t>
      </w:r>
      <w:r w:rsidR="00077D9E" w:rsidRPr="0060351E">
        <w:rPr>
          <w:rFonts w:ascii="Times New Roman" w:eastAsia="Times New Roman" w:hAnsi="Times New Roman" w:cs="Times New Roman"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4.3).</w:t>
      </w:r>
    </w:p>
    <w:p w14:paraId="341BD6C5" w14:textId="77777777" w:rsidR="0005711E" w:rsidRPr="0060351E" w:rsidRDefault="0005711E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A58835D" w14:textId="4453E51E" w:rsidR="00AC5536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Ako </w:t>
      </w:r>
      <w:r w:rsidR="000E3AB1" w:rsidRPr="0060351E">
        <w:rPr>
          <w:rFonts w:ascii="Times New Roman" w:eastAsia="Times New Roman" w:hAnsi="Times New Roman" w:cs="Times New Roman"/>
          <w:lang w:val="sr-Latn-ME"/>
        </w:rPr>
        <w:t>se pacijentu tokom terapije natrijum oksibatom javi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inkontinencij</w:t>
      </w:r>
      <w:r w:rsidR="008A4114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urina </w:t>
      </w:r>
      <w:r w:rsidR="000E3AB1" w:rsidRPr="0060351E">
        <w:rPr>
          <w:rFonts w:ascii="Times New Roman" w:eastAsia="Times New Roman" w:hAnsi="Times New Roman" w:cs="Times New Roman"/>
          <w:lang w:val="sr-Latn-ME"/>
        </w:rPr>
        <w:t>i/</w:t>
      </w:r>
      <w:r w:rsidRPr="0060351E">
        <w:rPr>
          <w:rFonts w:ascii="Times New Roman" w:eastAsia="Times New Roman" w:hAnsi="Times New Roman" w:cs="Times New Roman"/>
          <w:lang w:val="sr-Latn-ME"/>
        </w:rPr>
        <w:t>ili fecesa</w:t>
      </w:r>
      <w:r w:rsidR="000E3AB1" w:rsidRPr="0060351E">
        <w:rPr>
          <w:rFonts w:ascii="Times New Roman" w:eastAsia="Times New Roman" w:hAnsi="Times New Roman" w:cs="Times New Roman"/>
          <w:lang w:val="sr-Latn-ME"/>
        </w:rPr>
        <w:t>,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0E3AB1" w:rsidRPr="0060351E">
        <w:rPr>
          <w:rFonts w:ascii="Times New Roman" w:eastAsia="Times New Roman" w:hAnsi="Times New Roman" w:cs="Times New Roman"/>
          <w:lang w:val="sr-Latn-ME"/>
        </w:rPr>
        <w:t>ljekar koji je propisao</w:t>
      </w:r>
      <w:r w:rsidR="00854064" w:rsidRPr="0060351E">
        <w:rPr>
          <w:rFonts w:ascii="Times New Roman" w:eastAsia="Times New Roman" w:hAnsi="Times New Roman" w:cs="Times New Roman"/>
          <w:lang w:val="sr-Latn-ME"/>
        </w:rPr>
        <w:t xml:space="preserve"> lijek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treba da razmotri sprovođenje </w:t>
      </w:r>
      <w:r w:rsidR="00854064" w:rsidRPr="0060351E">
        <w:rPr>
          <w:rFonts w:ascii="Times New Roman" w:eastAsia="Times New Roman" w:hAnsi="Times New Roman" w:cs="Times New Roman"/>
          <w:lang w:val="sr-Latn-ME"/>
        </w:rPr>
        <w:t xml:space="preserve">dodatnih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ispitivanja radi isključivanja </w:t>
      </w:r>
      <w:r w:rsidR="00493989" w:rsidRPr="0060351E">
        <w:rPr>
          <w:rFonts w:ascii="Times New Roman" w:eastAsia="Times New Roman" w:hAnsi="Times New Roman" w:cs="Times New Roman"/>
          <w:lang w:val="sr-Latn-ME"/>
        </w:rPr>
        <w:t xml:space="preserve">drugih </w:t>
      </w:r>
      <w:r w:rsidRPr="0060351E">
        <w:rPr>
          <w:rFonts w:ascii="Times New Roman" w:eastAsia="Times New Roman" w:hAnsi="Times New Roman" w:cs="Times New Roman"/>
          <w:lang w:val="sr-Latn-ME"/>
        </w:rPr>
        <w:t>uzroka.</w:t>
      </w:r>
    </w:p>
    <w:p w14:paraId="2CBF5FB2" w14:textId="77777777" w:rsidR="00854064" w:rsidRPr="0060351E" w:rsidRDefault="00854064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0B46AE4" w14:textId="77777777" w:rsidR="00AC5536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Prijavljeni su slučajevi hodanja u snu kod pacijenata koji su učestvovali u kliničkim ispitivanjima sa natrijum oksibatom.</w:t>
      </w:r>
    </w:p>
    <w:p w14:paraId="74757A14" w14:textId="6B9CFBDD" w:rsidR="00AC5536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N</w:t>
      </w:r>
      <w:r w:rsidR="007441BB" w:rsidRPr="0060351E">
        <w:rPr>
          <w:rFonts w:ascii="Times New Roman" w:eastAsia="Times New Roman" w:hAnsi="Times New Roman" w:cs="Times New Roman"/>
          <w:lang w:val="sr-Latn-ME"/>
        </w:rPr>
        <w:t>ije poznato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da li neka </w:t>
      </w:r>
      <w:r w:rsidR="004440D6" w:rsidRPr="0060351E">
        <w:rPr>
          <w:rFonts w:ascii="Times New Roman" w:eastAsia="Times New Roman" w:hAnsi="Times New Roman" w:cs="Times New Roman"/>
          <w:lang w:val="sr-Latn-ME"/>
        </w:rPr>
        <w:t xml:space="preserve">ili sve te </w:t>
      </w:r>
      <w:r w:rsidRPr="0060351E">
        <w:rPr>
          <w:rFonts w:ascii="Times New Roman" w:eastAsia="Times New Roman" w:hAnsi="Times New Roman" w:cs="Times New Roman"/>
          <w:lang w:val="sr-Latn-ME"/>
        </w:rPr>
        <w:t>epizod</w:t>
      </w:r>
      <w:r w:rsidR="004440D6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odgovaraju pravom somnambulizmu (parasomnija koja se javlja tokom n</w:t>
      </w:r>
      <w:r w:rsidR="004440D6" w:rsidRPr="0060351E">
        <w:rPr>
          <w:rFonts w:ascii="Times New Roman" w:eastAsia="Times New Roman" w:hAnsi="Times New Roman" w:cs="Times New Roman"/>
          <w:lang w:val="sr-Latn-ME"/>
        </w:rPr>
        <w:t>on-REM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4440D6" w:rsidRPr="0060351E">
        <w:rPr>
          <w:rFonts w:ascii="Times New Roman" w:eastAsia="Times New Roman" w:hAnsi="Times New Roman" w:cs="Times New Roman"/>
          <w:lang w:val="sr-Latn-ME"/>
        </w:rPr>
        <w:t xml:space="preserve">faze </w:t>
      </w:r>
      <w:r w:rsidRPr="0060351E">
        <w:rPr>
          <w:rFonts w:ascii="Times New Roman" w:eastAsia="Times New Roman" w:hAnsi="Times New Roman" w:cs="Times New Roman"/>
          <w:lang w:val="sr-Latn-ME"/>
        </w:rPr>
        <w:t>s</w:t>
      </w:r>
      <w:r w:rsidR="004440D6" w:rsidRPr="0060351E">
        <w:rPr>
          <w:rFonts w:ascii="Times New Roman" w:eastAsia="Times New Roman" w:hAnsi="Times New Roman" w:cs="Times New Roman"/>
          <w:lang w:val="sr-Latn-ME"/>
        </w:rPr>
        <w:t>pavanja</w:t>
      </w:r>
      <w:r w:rsidRPr="0060351E">
        <w:rPr>
          <w:rFonts w:ascii="Times New Roman" w:eastAsia="Times New Roman" w:hAnsi="Times New Roman" w:cs="Times New Roman"/>
          <w:lang w:val="sr-Latn-ME"/>
        </w:rPr>
        <w:t>) ili nekom drugom specifičnom medicinskom poremećaju.</w:t>
      </w:r>
    </w:p>
    <w:p w14:paraId="59D93585" w14:textId="22CE868A" w:rsidR="00AC5536" w:rsidRPr="0060351E" w:rsidRDefault="004440D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Treba voditi računa o r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>izik</w:t>
      </w:r>
      <w:r w:rsidRPr="0060351E">
        <w:rPr>
          <w:rFonts w:ascii="Times New Roman" w:eastAsia="Times New Roman" w:hAnsi="Times New Roman" w:cs="Times New Roman"/>
          <w:lang w:val="sr-Latn-ME"/>
        </w:rPr>
        <w:t>u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od povrede ili samopo</w:t>
      </w:r>
      <w:r w:rsidR="00B16F62" w:rsidRPr="0060351E">
        <w:rPr>
          <w:rFonts w:ascii="Times New Roman" w:eastAsia="Times New Roman" w:hAnsi="Times New Roman" w:cs="Times New Roman"/>
          <w:lang w:val="sr-Latn-ME"/>
        </w:rPr>
        <w:t>vređivanja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kod pacijen</w:t>
      </w:r>
      <w:r w:rsidR="00B16F62" w:rsidRPr="0060351E">
        <w:rPr>
          <w:rFonts w:ascii="Times New Roman" w:eastAsia="Times New Roman" w:hAnsi="Times New Roman" w:cs="Times New Roman"/>
          <w:lang w:val="sr-Latn-ME"/>
        </w:rPr>
        <w:t>a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ta koji </w:t>
      </w:r>
      <w:r w:rsidR="00B16F62" w:rsidRPr="0060351E">
        <w:rPr>
          <w:rFonts w:ascii="Times New Roman" w:eastAsia="Times New Roman" w:hAnsi="Times New Roman" w:cs="Times New Roman"/>
          <w:lang w:val="sr-Latn-ME"/>
        </w:rPr>
        <w:t xml:space="preserve">hodaju 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>u snu. Stoga epizode hodanja u snu treba</w:t>
      </w:r>
      <w:r w:rsidR="00F6779F" w:rsidRPr="0060351E">
        <w:rPr>
          <w:rFonts w:ascii="Times New Roman" w:eastAsia="Times New Roman" w:hAnsi="Times New Roman" w:cs="Times New Roman"/>
          <w:lang w:val="sr-Latn-ME"/>
        </w:rPr>
        <w:t xml:space="preserve"> u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potpuno</w:t>
      </w:r>
      <w:r w:rsidR="00F6779F" w:rsidRPr="0060351E">
        <w:rPr>
          <w:rFonts w:ascii="Times New Roman" w:eastAsia="Times New Roman" w:hAnsi="Times New Roman" w:cs="Times New Roman"/>
          <w:lang w:val="sr-Latn-ME"/>
        </w:rPr>
        <w:t>sti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F6779F" w:rsidRPr="0060351E">
        <w:rPr>
          <w:rFonts w:ascii="Times New Roman" w:eastAsia="Times New Roman" w:hAnsi="Times New Roman" w:cs="Times New Roman"/>
          <w:lang w:val="sr-Latn-ME"/>
        </w:rPr>
        <w:t>evaluirati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i razmotriti</w:t>
      </w:r>
      <w:r w:rsidR="00AE7DBE" w:rsidRPr="0060351E">
        <w:rPr>
          <w:rFonts w:ascii="Times New Roman" w:eastAsia="Times New Roman" w:hAnsi="Times New Roman" w:cs="Times New Roman"/>
          <w:lang w:val="sr-Latn-ME"/>
        </w:rPr>
        <w:t xml:space="preserve"> sprovođenje 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odgovarajuć</w:t>
      </w:r>
      <w:r w:rsidR="00AE7DBE" w:rsidRPr="0060351E">
        <w:rPr>
          <w:rFonts w:ascii="Times New Roman" w:eastAsia="Times New Roman" w:hAnsi="Times New Roman" w:cs="Times New Roman"/>
          <w:lang w:val="sr-Latn-ME"/>
        </w:rPr>
        <w:t>ih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 xml:space="preserve"> intervencij</w:t>
      </w:r>
      <w:r w:rsidR="00AE7DBE" w:rsidRPr="0060351E">
        <w:rPr>
          <w:rFonts w:ascii="Times New Roman" w:eastAsia="Times New Roman" w:hAnsi="Times New Roman" w:cs="Times New Roman"/>
          <w:lang w:val="sr-Latn-ME"/>
        </w:rPr>
        <w:t>a</w:t>
      </w:r>
      <w:r w:rsidR="00AC5536"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3551BC38" w14:textId="77777777" w:rsidR="00AE7DBE" w:rsidRPr="0060351E" w:rsidRDefault="00AE7DBE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0FB0A21" w14:textId="77777777" w:rsidR="00AE7DBE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Unos natrijuma </w:t>
      </w:r>
    </w:p>
    <w:p w14:paraId="7CE70AA7" w14:textId="6DB7FDD3" w:rsidR="00AC5536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Ovaj l</w:t>
      </w:r>
      <w:r w:rsidR="00AE7DBE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ek sadrži 0</w:t>
      </w:r>
      <w:r w:rsidR="00AE7DBE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41 g natrijuma </w:t>
      </w:r>
      <w:r w:rsidR="008E17FF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dozi od 2</w:t>
      </w:r>
      <w:r w:rsidR="00952796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25 g, što je ekvivalentno 20 % maksimalnog dnevnog unosa natrijuma prema prepor</w:t>
      </w:r>
      <w:r w:rsidR="00476EA6" w:rsidRPr="0060351E">
        <w:rPr>
          <w:rFonts w:ascii="Times New Roman" w:eastAsia="Times New Roman" w:hAnsi="Times New Roman" w:cs="Times New Roman"/>
          <w:lang w:val="sr-Latn-ME"/>
        </w:rPr>
        <w:t>ukama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SZO. </w:t>
      </w:r>
    </w:p>
    <w:p w14:paraId="5777C609" w14:textId="1D143646" w:rsidR="006C1319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Maksimalna dnevna doza ovog proizvoda je ekvivalentna 80 % maksimalnog dnevnog unosa natrijuma prema prepor</w:t>
      </w:r>
      <w:r w:rsidR="000D617B" w:rsidRPr="0060351E">
        <w:rPr>
          <w:rFonts w:ascii="Times New Roman" w:eastAsia="Times New Roman" w:hAnsi="Times New Roman" w:cs="Times New Roman"/>
          <w:lang w:val="sr-Latn-ME"/>
        </w:rPr>
        <w:t>ukama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SZO. </w:t>
      </w:r>
    </w:p>
    <w:p w14:paraId="4690929E" w14:textId="61898431" w:rsidR="00AC5536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Smatra se</w:t>
      </w:r>
      <w:r w:rsidR="006C1319" w:rsidRPr="0060351E">
        <w:rPr>
          <w:rFonts w:ascii="Times New Roman" w:eastAsia="Times New Roman" w:hAnsi="Times New Roman" w:cs="Times New Roman"/>
          <w:lang w:val="sr-Latn-ME"/>
        </w:rPr>
        <w:t xml:space="preserve"> da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6C1319" w:rsidRPr="0060351E">
        <w:rPr>
          <w:rFonts w:ascii="Times New Roman" w:eastAsia="Times New Roman" w:hAnsi="Times New Roman" w:cs="Times New Roman"/>
          <w:lang w:val="sr-Latn-ME"/>
        </w:rPr>
        <w:t>ovaj lijek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D72BEE" w:rsidRPr="0060351E">
        <w:rPr>
          <w:rFonts w:ascii="Times New Roman" w:eastAsia="Times New Roman" w:hAnsi="Times New Roman" w:cs="Times New Roman"/>
          <w:lang w:val="sr-Latn-ME"/>
        </w:rPr>
        <w:t>ima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vi</w:t>
      </w:r>
      <w:r w:rsidR="00F00B70" w:rsidRPr="0060351E">
        <w:rPr>
          <w:rFonts w:ascii="Times New Roman" w:eastAsia="Times New Roman" w:hAnsi="Times New Roman" w:cs="Times New Roman"/>
          <w:lang w:val="sr-Latn-ME"/>
        </w:rPr>
        <w:t>soki ud</w:t>
      </w:r>
      <w:r w:rsidR="007949ED" w:rsidRPr="0060351E">
        <w:rPr>
          <w:rFonts w:ascii="Times New Roman" w:eastAsia="Times New Roman" w:hAnsi="Times New Roman" w:cs="Times New Roman"/>
          <w:lang w:val="sr-Latn-ME"/>
        </w:rPr>
        <w:t>i</w:t>
      </w:r>
      <w:r w:rsidR="00F00B70" w:rsidRPr="0060351E">
        <w:rPr>
          <w:rFonts w:ascii="Times New Roman" w:eastAsia="Times New Roman" w:hAnsi="Times New Roman" w:cs="Times New Roman"/>
          <w:lang w:val="sr-Latn-ME"/>
        </w:rPr>
        <w:t>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natrijuma. To </w:t>
      </w:r>
      <w:r w:rsidR="001B0101" w:rsidRPr="0060351E">
        <w:rPr>
          <w:rFonts w:ascii="Times New Roman" w:eastAsia="Times New Roman" w:hAnsi="Times New Roman" w:cs="Times New Roman"/>
          <w:lang w:val="sr-Latn-ME"/>
        </w:rPr>
        <w:t xml:space="preserve">posebno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treba uzeti u obzir kod osoba </w:t>
      </w:r>
      <w:r w:rsidR="00F00B70" w:rsidRPr="0060351E">
        <w:rPr>
          <w:rFonts w:ascii="Times New Roman" w:eastAsia="Times New Roman" w:hAnsi="Times New Roman" w:cs="Times New Roman"/>
          <w:lang w:val="sr-Latn-ME"/>
        </w:rPr>
        <w:t xml:space="preserve">koje su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na </w:t>
      </w:r>
      <w:r w:rsidR="00F00B70" w:rsidRPr="0060351E">
        <w:rPr>
          <w:rFonts w:ascii="Times New Roman" w:eastAsia="Times New Roman" w:hAnsi="Times New Roman" w:cs="Times New Roman"/>
          <w:lang w:val="sr-Latn-ME"/>
        </w:rPr>
        <w:t xml:space="preserve">ishrani sa </w:t>
      </w:r>
      <w:r w:rsidRPr="0060351E">
        <w:rPr>
          <w:rFonts w:ascii="Times New Roman" w:eastAsia="Times New Roman" w:hAnsi="Times New Roman" w:cs="Times New Roman"/>
          <w:lang w:val="sr-Latn-ME"/>
        </w:rPr>
        <w:t>niskom u</w:t>
      </w:r>
      <w:r w:rsidR="00F00B70" w:rsidRPr="0060351E">
        <w:rPr>
          <w:rFonts w:ascii="Times New Roman" w:eastAsia="Times New Roman" w:hAnsi="Times New Roman" w:cs="Times New Roman"/>
          <w:lang w:val="sr-Latn-ME"/>
        </w:rPr>
        <w:t>djelom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soli. Prep</w:t>
      </w:r>
      <w:r w:rsidR="00B61F6B" w:rsidRPr="0060351E">
        <w:rPr>
          <w:rFonts w:ascii="Times New Roman" w:eastAsia="Times New Roman" w:hAnsi="Times New Roman" w:cs="Times New Roman"/>
          <w:lang w:val="sr-Latn-ME"/>
        </w:rPr>
        <w:t>oručuje se pažljivo razmotriti preporuku za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smanjenje unosa natrijuma </w:t>
      </w:r>
      <w:r w:rsidR="00B61F6B" w:rsidRPr="0060351E">
        <w:rPr>
          <w:rFonts w:ascii="Times New Roman" w:eastAsia="Times New Roman" w:hAnsi="Times New Roman" w:cs="Times New Roman"/>
          <w:lang w:val="sr-Latn-ME"/>
        </w:rPr>
        <w:t>kod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pacijen</w:t>
      </w:r>
      <w:r w:rsidR="00B61F6B" w:rsidRPr="0060351E">
        <w:rPr>
          <w:rFonts w:ascii="Times New Roman" w:eastAsia="Times New Roman" w:hAnsi="Times New Roman" w:cs="Times New Roman"/>
          <w:lang w:val="sr-Latn-ME"/>
        </w:rPr>
        <w:t>ata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sčanom i</w:t>
      </w:r>
      <w:r w:rsidR="008A4114" w:rsidRPr="0060351E">
        <w:rPr>
          <w:rFonts w:ascii="Times New Roman" w:eastAsia="Times New Roman" w:hAnsi="Times New Roman" w:cs="Times New Roman"/>
          <w:lang w:val="sr-Latn-ME"/>
        </w:rPr>
        <w:t>n</w:t>
      </w:r>
      <w:r w:rsidRPr="0060351E">
        <w:rPr>
          <w:rFonts w:ascii="Times New Roman" w:eastAsia="Times New Roman" w:hAnsi="Times New Roman" w:cs="Times New Roman"/>
          <w:lang w:val="sr-Latn-ME"/>
        </w:rPr>
        <w:t>suficijencijom, hipertenzijom ili oštećen</w:t>
      </w:r>
      <w:r w:rsidR="007542FF" w:rsidRPr="0060351E">
        <w:rPr>
          <w:rFonts w:ascii="Times New Roman" w:eastAsia="Times New Roman" w:hAnsi="Times New Roman" w:cs="Times New Roman"/>
          <w:lang w:val="sr-Latn-ME"/>
        </w:rPr>
        <w:t>jem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funkcij</w:t>
      </w:r>
      <w:r w:rsidR="007542FF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bubrega (</w:t>
      </w:r>
      <w:r w:rsidR="00493989" w:rsidRPr="0060351E">
        <w:rPr>
          <w:rFonts w:ascii="Times New Roman" w:eastAsia="Times New Roman" w:hAnsi="Times New Roman" w:cs="Times New Roman"/>
          <w:lang w:val="sr-Latn-ME"/>
        </w:rPr>
        <w:t xml:space="preserve">vidjeti </w:t>
      </w:r>
      <w:r w:rsidR="00B019E4" w:rsidRPr="0060351E">
        <w:rPr>
          <w:rFonts w:ascii="Times New Roman" w:eastAsia="Times New Roman" w:hAnsi="Times New Roman" w:cs="Times New Roman"/>
          <w:lang w:val="sr-Latn-ME"/>
        </w:rPr>
        <w:t>djelove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4.2 i 4.9).</w:t>
      </w:r>
    </w:p>
    <w:p w14:paraId="5875FAA9" w14:textId="77777777" w:rsidR="007542FF" w:rsidRPr="0060351E" w:rsidRDefault="007542FF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3558B3F" w14:textId="46A47FF8" w:rsidR="00AC5536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Starij</w:t>
      </w:r>
      <w:r w:rsidR="007542FF" w:rsidRPr="0060351E">
        <w:rPr>
          <w:rFonts w:ascii="Times New Roman" w:eastAsia="Times New Roman" w:hAnsi="Times New Roman" w:cs="Times New Roman"/>
          <w:u w:val="single"/>
          <w:lang w:val="sr-Latn-ME"/>
        </w:rPr>
        <w:t>e osobe</w:t>
      </w:r>
    </w:p>
    <w:p w14:paraId="73CBAD2D" w14:textId="7BAD6B8F" w:rsidR="00AC5536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Postoje vrlo ograničena iskustva sa </w:t>
      </w:r>
      <w:r w:rsidR="007542FF" w:rsidRPr="0060351E">
        <w:rPr>
          <w:rFonts w:ascii="Times New Roman" w:eastAsia="Times New Roman" w:hAnsi="Times New Roman" w:cs="Times New Roman"/>
          <w:lang w:val="sr-Latn-ME"/>
        </w:rPr>
        <w:t xml:space="preserve">primjenom </w:t>
      </w:r>
      <w:r w:rsidRPr="0060351E">
        <w:rPr>
          <w:rFonts w:ascii="Times New Roman" w:eastAsia="Times New Roman" w:hAnsi="Times New Roman" w:cs="Times New Roman"/>
          <w:lang w:val="sr-Latn-ME"/>
        </w:rPr>
        <w:t>natrijum oksibat</w:t>
      </w:r>
      <w:r w:rsidR="007353E6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kod starijih osoba. Stoga, starij</w:t>
      </w:r>
      <w:r w:rsidR="00493989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pacijent</w:t>
      </w:r>
      <w:r w:rsidR="00493989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treba</w:t>
      </w:r>
      <w:r w:rsidR="00493989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pažljivo pra</w:t>
      </w:r>
      <w:r w:rsidR="00493989" w:rsidRPr="0060351E">
        <w:rPr>
          <w:rFonts w:ascii="Times New Roman" w:eastAsia="Times New Roman" w:hAnsi="Times New Roman" w:cs="Times New Roman"/>
          <w:lang w:val="sr-Latn-ME"/>
        </w:rPr>
        <w:t>titi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zbog oštećene motoričke i/ili kognitivne funkcije prilikom uzimanja natrijum oksibata.</w:t>
      </w:r>
    </w:p>
    <w:p w14:paraId="14B259BD" w14:textId="77777777" w:rsidR="007542FF" w:rsidRPr="0060351E" w:rsidRDefault="007542FF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7BF8783" w14:textId="77777777" w:rsidR="00AC5536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Pacijenti sa epilepsijom </w:t>
      </w:r>
    </w:p>
    <w:p w14:paraId="39BEA9A5" w14:textId="3718DB1D" w:rsidR="00AC5536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Prim</w:t>
      </w:r>
      <w:r w:rsidR="00493989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ećeni su napadi kod pacijenata koji su se l</w:t>
      </w:r>
      <w:r w:rsidR="00EA2B9C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ečili natrijum oksibatom. Kod pacijenata sa epilepsijom, bezb</w:t>
      </w:r>
      <w:r w:rsidR="00EA2B9C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ednost i efikasnost natrijum oksibata ni</w:t>
      </w:r>
      <w:r w:rsidR="00EA2B9C" w:rsidRPr="0060351E">
        <w:rPr>
          <w:rFonts w:ascii="Times New Roman" w:eastAsia="Times New Roman" w:hAnsi="Times New Roman" w:cs="Times New Roman"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lang w:val="sr-Latn-ME"/>
        </w:rPr>
        <w:t>su utvrđene, stoga se ne preporučuje upotreba.</w:t>
      </w:r>
    </w:p>
    <w:p w14:paraId="4A7A79B4" w14:textId="77777777" w:rsidR="00EA2B9C" w:rsidRPr="0060351E" w:rsidRDefault="00EA2B9C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27EFED9" w14:textId="6641099E" w:rsidR="00AC5536" w:rsidRPr="0060351E" w:rsidRDefault="000015B1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Povratno djelovanje</w:t>
      </w:r>
      <w:r w:rsidR="00AC5536"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 i sindrom </w:t>
      </w:r>
      <w:r w:rsidR="00AD3D27" w:rsidRPr="0060351E">
        <w:rPr>
          <w:rFonts w:ascii="Times New Roman" w:eastAsia="Times New Roman" w:hAnsi="Times New Roman" w:cs="Times New Roman"/>
          <w:u w:val="single"/>
          <w:lang w:val="sr-Latn-ME"/>
        </w:rPr>
        <w:t>obustave</w:t>
      </w:r>
      <w:r w:rsidR="00AC5536"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 </w:t>
      </w:r>
    </w:p>
    <w:p w14:paraId="265EEC0E" w14:textId="567D08D5" w:rsidR="007D397D" w:rsidRPr="0060351E" w:rsidRDefault="00AC5536" w:rsidP="00AC5536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Efekti prekida prim</w:t>
      </w:r>
      <w:r w:rsidR="00944509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ene natrijum oksibata ni</w:t>
      </w:r>
      <w:r w:rsidR="00944509" w:rsidRPr="0060351E">
        <w:rPr>
          <w:rFonts w:ascii="Times New Roman" w:eastAsia="Times New Roman" w:hAnsi="Times New Roman" w:cs="Times New Roman"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lang w:val="sr-Latn-ME"/>
        </w:rPr>
        <w:t>su sistematski evaluirani u kontrolisanim kliničkim ispitivanjima. Kod nekih pacijenata, katapleksija se može češće javiti nakon prestanka terapije natrijum oksibatom, međutim, to može biti posl</w:t>
      </w:r>
      <w:r w:rsidR="00FB7185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edica normalne varijabilnosti</w:t>
      </w:r>
      <w:r w:rsidR="00FB7185" w:rsidRPr="0060351E">
        <w:rPr>
          <w:rFonts w:ascii="Times New Roman" w:eastAsia="Times New Roman" w:hAnsi="Times New Roman" w:cs="Times New Roman"/>
          <w:lang w:val="sr-Latn-ME"/>
        </w:rPr>
        <w:t xml:space="preserve"> osnovne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bolesti. Iako iskustv</w:t>
      </w:r>
      <w:r w:rsidR="00FB7185" w:rsidRPr="0060351E">
        <w:rPr>
          <w:rFonts w:ascii="Times New Roman" w:eastAsia="Times New Roman" w:hAnsi="Times New Roman" w:cs="Times New Roman"/>
          <w:lang w:val="sr-Latn-ME"/>
        </w:rPr>
        <w:t>a iz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kliničkih ispitivanja sa </w:t>
      </w:r>
      <w:r w:rsidR="00FB7185" w:rsidRPr="0060351E">
        <w:rPr>
          <w:rFonts w:ascii="Times New Roman" w:eastAsia="Times New Roman" w:hAnsi="Times New Roman" w:cs="Times New Roman"/>
          <w:lang w:val="sr-Latn-ME"/>
        </w:rPr>
        <w:t xml:space="preserve">primjenom </w:t>
      </w:r>
      <w:r w:rsidRPr="0060351E">
        <w:rPr>
          <w:rFonts w:ascii="Times New Roman" w:eastAsia="Times New Roman" w:hAnsi="Times New Roman" w:cs="Times New Roman"/>
          <w:lang w:val="sr-Latn-ME"/>
        </w:rPr>
        <w:t>natrijum oksibat</w:t>
      </w:r>
      <w:r w:rsidR="00FB7185" w:rsidRPr="0060351E">
        <w:rPr>
          <w:rFonts w:ascii="Times New Roman" w:eastAsia="Times New Roman" w:hAnsi="Times New Roman" w:cs="Times New Roman"/>
          <w:lang w:val="sr-Latn-ME"/>
        </w:rPr>
        <w:t>a</w:t>
      </w:r>
      <w:r w:rsidR="004F7FAE" w:rsidRPr="0060351E">
        <w:rPr>
          <w:rFonts w:ascii="Times New Roman" w:eastAsia="Times New Roman" w:hAnsi="Times New Roman" w:cs="Times New Roman"/>
          <w:lang w:val="sr-Latn-ME"/>
        </w:rPr>
        <w:t xml:space="preserve"> u terapijskim dozama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kod pacijenata sa narkolepsijom/katapleksijom ne </w:t>
      </w:r>
      <w:r w:rsidR="004F7FAE" w:rsidRPr="0060351E">
        <w:rPr>
          <w:rFonts w:ascii="Times New Roman" w:eastAsia="Times New Roman" w:hAnsi="Times New Roman" w:cs="Times New Roman"/>
          <w:lang w:val="sr-Latn-ME"/>
        </w:rPr>
        <w:t>ukazuju na mogućnost pojave</w:t>
      </w:r>
      <w:r w:rsidR="0067289D" w:rsidRPr="0060351E">
        <w:rPr>
          <w:rFonts w:ascii="Times New Roman" w:eastAsia="Times New Roman" w:hAnsi="Times New Roman" w:cs="Times New Roman"/>
          <w:lang w:val="sr-Latn-ME"/>
        </w:rPr>
        <w:t xml:space="preserve"> sindroma obustave</w:t>
      </w:r>
      <w:r w:rsidRPr="0060351E">
        <w:rPr>
          <w:rFonts w:ascii="Times New Roman" w:eastAsia="Times New Roman" w:hAnsi="Times New Roman" w:cs="Times New Roman"/>
          <w:lang w:val="sr-Latn-ME"/>
        </w:rPr>
        <w:t>, u r</w:t>
      </w:r>
      <w:r w:rsidR="0067289D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etkim slučajevima nakon prekida prim</w:t>
      </w:r>
      <w:r w:rsidR="0067289D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ene GHB-a </w:t>
      </w:r>
      <w:r w:rsidR="0067289D" w:rsidRPr="0060351E">
        <w:rPr>
          <w:rFonts w:ascii="Times New Roman" w:eastAsia="Times New Roman" w:hAnsi="Times New Roman" w:cs="Times New Roman"/>
          <w:lang w:val="sr-Latn-ME"/>
        </w:rPr>
        <w:t>zabilježeni su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događaji poput nesanice, glavobolje, anksioznosti, vrtoglavice, poremećaja spavanja, pospanosti, halucinacija i psihičkih poremećaja</w:t>
      </w:r>
      <w:r w:rsidR="00D76FFF"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09D99AAF" w14:textId="77777777" w:rsidR="000755F2" w:rsidRPr="0060351E" w:rsidRDefault="000755F2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407D536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4.5.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Interakcije sa drugim ljekovima i druge vrste interakcija</w:t>
      </w:r>
    </w:p>
    <w:p w14:paraId="0B8B3BE8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B083566" w14:textId="435587D7" w:rsidR="00A81CCF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Istovremena </w:t>
      </w:r>
      <w:r w:rsidR="001C638D" w:rsidRPr="0060351E">
        <w:rPr>
          <w:rFonts w:ascii="Times New Roman" w:eastAsia="Times New Roman" w:hAnsi="Times New Roman" w:cs="Times New Roman"/>
          <w:bCs/>
          <w:lang w:val="sr-Latn-ME"/>
        </w:rPr>
        <w:t>primjena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alkohola sa natrijum oksibatom može rezultirati pojačanim depresivnim efektima na centralni nervni sistem (CNS) od strane natrijum oksibata. Pacijent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treba upozor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>iti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da ne koriste alkoholna pića zajedno sa natrijum oksibatom.</w:t>
      </w:r>
    </w:p>
    <w:p w14:paraId="3AFE47EE" w14:textId="77777777" w:rsidR="00DE7923" w:rsidRPr="0060351E" w:rsidRDefault="00DE7923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4F55FD8" w14:textId="31AC4DD0" w:rsidR="00A81CCF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lastRenderedPageBreak/>
        <w:t>Natrijum oksibat se ne sm</w:t>
      </w:r>
      <w:r w:rsidR="00DE7923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 koristiti istovremeno sa sedativnim hipnoticima ili drugim depresorima CNS-a.</w:t>
      </w:r>
    </w:p>
    <w:p w14:paraId="220093A9" w14:textId="77777777" w:rsidR="0070565D" w:rsidRPr="0060351E" w:rsidRDefault="0070565D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DCABCE8" w14:textId="77777777" w:rsidR="0070565D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Sedativni hipnotici </w:t>
      </w:r>
    </w:p>
    <w:p w14:paraId="346AE0D9" w14:textId="47D511C6" w:rsidR="00A81CCF" w:rsidRPr="0060351E" w:rsidRDefault="00ED19E2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U ispitivanjima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interakcij</w:t>
      </w:r>
      <w:r w:rsidR="004968B9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l</w:t>
      </w:r>
      <w:r w:rsidR="00730B70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ekova kod zdravih odraslih osoba </w:t>
      </w:r>
      <w:r w:rsidR="004968B9" w:rsidRPr="0060351E">
        <w:rPr>
          <w:rFonts w:ascii="Times New Roman" w:eastAsia="Times New Roman" w:hAnsi="Times New Roman" w:cs="Times New Roman"/>
          <w:bCs/>
          <w:lang w:val="sr-Latn-ME"/>
        </w:rPr>
        <w:t>kod kojih su istovremeno primjenjivani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natrijum oksibat (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doza od 2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25 g) i lorazepam (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doza od 2 mg) i zolpidem tartrat (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doza od 5 mg) ni</w:t>
      </w:r>
      <w:r w:rsidR="004968B9" w:rsidRPr="0060351E">
        <w:rPr>
          <w:rFonts w:ascii="Times New Roman" w:eastAsia="Times New Roman" w:hAnsi="Times New Roman" w:cs="Times New Roman"/>
          <w:bCs/>
          <w:lang w:val="sr-Latn-ME"/>
        </w:rPr>
        <w:t>je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su </w:t>
      </w:r>
      <w:r w:rsidR="004968B9" w:rsidRPr="0060351E">
        <w:rPr>
          <w:rFonts w:ascii="Times New Roman" w:eastAsia="Times New Roman" w:hAnsi="Times New Roman" w:cs="Times New Roman"/>
          <w:bCs/>
          <w:lang w:val="sr-Latn-ME"/>
        </w:rPr>
        <w:t>zabilježene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farmakokinetičke interakcije. Povećana pospanost je prim</w:t>
      </w:r>
      <w:r w:rsidR="00A82ED0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ećena nakon istovremene prim</w:t>
      </w:r>
      <w:r w:rsidR="00A82ED0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ene natrijum oksibata (2</w:t>
      </w:r>
      <w:r w:rsidR="00A82ED0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25 g) i lorazepama (2 mg). Farmakodinamičk</w:t>
      </w:r>
      <w:r w:rsidR="00A82ED0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interakcij</w:t>
      </w:r>
      <w:r w:rsidR="00A82ED0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sa zolpidemom ni</w:t>
      </w:r>
      <w:r w:rsidR="00A82ED0" w:rsidRPr="0060351E">
        <w:rPr>
          <w:rFonts w:ascii="Times New Roman" w:eastAsia="Times New Roman" w:hAnsi="Times New Roman" w:cs="Times New Roman"/>
          <w:bCs/>
          <w:lang w:val="sr-Latn-ME"/>
        </w:rPr>
        <w:t>jesu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82ED0" w:rsidRPr="0060351E">
        <w:rPr>
          <w:rFonts w:ascii="Times New Roman" w:eastAsia="Times New Roman" w:hAnsi="Times New Roman" w:cs="Times New Roman"/>
          <w:bCs/>
          <w:lang w:val="sr-Latn-ME"/>
        </w:rPr>
        <w:t>ispitivane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. Kada se </w:t>
      </w:r>
      <w:r w:rsidR="00AE0CB5" w:rsidRPr="0060351E">
        <w:rPr>
          <w:rFonts w:ascii="Times New Roman" w:eastAsia="Times New Roman" w:hAnsi="Times New Roman" w:cs="Times New Roman"/>
          <w:bCs/>
          <w:lang w:val="sr-Latn-ME"/>
        </w:rPr>
        <w:t xml:space="preserve">istovremeno </w:t>
      </w:r>
      <w:r w:rsidR="00C43F56" w:rsidRPr="0060351E">
        <w:rPr>
          <w:rFonts w:ascii="Times New Roman" w:eastAsia="Times New Roman" w:hAnsi="Times New Roman" w:cs="Times New Roman"/>
          <w:bCs/>
          <w:lang w:val="sr-Latn-ME"/>
        </w:rPr>
        <w:t xml:space="preserve">primjenjuju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vi</w:t>
      </w:r>
      <w:r w:rsidR="00C43F56" w:rsidRPr="0060351E">
        <w:rPr>
          <w:rFonts w:ascii="Times New Roman" w:eastAsia="Times New Roman" w:hAnsi="Times New Roman" w:cs="Times New Roman"/>
          <w:bCs/>
          <w:lang w:val="sr-Latn-ME"/>
        </w:rPr>
        <w:t>soke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doz</w:t>
      </w:r>
      <w:r w:rsidR="00C43F56" w:rsidRPr="0060351E">
        <w:rPr>
          <w:rFonts w:ascii="Times New Roman" w:eastAsia="Times New Roman" w:hAnsi="Times New Roman" w:cs="Times New Roman"/>
          <w:bCs/>
          <w:lang w:val="sr-Latn-ME"/>
        </w:rPr>
        <w:t>e natrijum oksibata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do 9 g/dan </w:t>
      </w:r>
      <w:r w:rsidR="00C43F56" w:rsidRPr="0060351E">
        <w:rPr>
          <w:rFonts w:ascii="Times New Roman" w:eastAsia="Times New Roman" w:hAnsi="Times New Roman" w:cs="Times New Roman"/>
          <w:bCs/>
          <w:lang w:val="sr-Latn-ME"/>
        </w:rPr>
        <w:t>s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a v</w:t>
      </w:r>
      <w:r w:rsidR="00C43F56" w:rsidRPr="0060351E">
        <w:rPr>
          <w:rFonts w:ascii="Times New Roman" w:eastAsia="Times New Roman" w:hAnsi="Times New Roman" w:cs="Times New Roman"/>
          <w:bCs/>
          <w:lang w:val="sr-Latn-ME"/>
        </w:rPr>
        <w:t>isokim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dozama hipnotika (unutar preporučenog </w:t>
      </w:r>
      <w:r w:rsidR="00323118" w:rsidRPr="0060351E">
        <w:rPr>
          <w:rFonts w:ascii="Times New Roman" w:eastAsia="Times New Roman" w:hAnsi="Times New Roman" w:cs="Times New Roman"/>
          <w:bCs/>
          <w:lang w:val="sr-Latn-ME"/>
        </w:rPr>
        <w:t xml:space="preserve">terapijskog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raspona), ne može se isključiti </w:t>
      </w:r>
      <w:r w:rsidR="00323118" w:rsidRPr="0060351E">
        <w:rPr>
          <w:rFonts w:ascii="Times New Roman" w:eastAsia="Times New Roman" w:hAnsi="Times New Roman" w:cs="Times New Roman"/>
          <w:bCs/>
          <w:lang w:val="sr-Latn-ME"/>
        </w:rPr>
        <w:t xml:space="preserve">pojava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farmakodinamičk</w:t>
      </w:r>
      <w:r w:rsidR="00323118" w:rsidRPr="0060351E">
        <w:rPr>
          <w:rFonts w:ascii="Times New Roman" w:eastAsia="Times New Roman" w:hAnsi="Times New Roman" w:cs="Times New Roman"/>
          <w:bCs/>
          <w:lang w:val="sr-Latn-ME"/>
        </w:rPr>
        <w:t>ih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interakcija povezan</w:t>
      </w:r>
      <w:r w:rsidR="00323118" w:rsidRPr="0060351E">
        <w:rPr>
          <w:rFonts w:ascii="Times New Roman" w:eastAsia="Times New Roman" w:hAnsi="Times New Roman" w:cs="Times New Roman"/>
          <w:bCs/>
          <w:lang w:val="sr-Latn-ME"/>
        </w:rPr>
        <w:t>ih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sa simptomima depresije CNS-a i/ili respiratorne depresije (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323118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4.3).</w:t>
      </w:r>
    </w:p>
    <w:p w14:paraId="10EAB246" w14:textId="77777777" w:rsidR="00323118" w:rsidRPr="0060351E" w:rsidRDefault="00323118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13A9322" w14:textId="77777777" w:rsidR="00323118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Tramadol </w:t>
      </w:r>
    </w:p>
    <w:p w14:paraId="0340B695" w14:textId="09097919" w:rsidR="00A81CCF" w:rsidRPr="0060351E" w:rsidRDefault="00323118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U ispitivanjima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interakcija l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ekova kod zdravih odraslih osoba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kod kojih su istovremeno pri</w:t>
      </w:r>
      <w:r w:rsidR="00911D10" w:rsidRPr="0060351E">
        <w:rPr>
          <w:rFonts w:ascii="Times New Roman" w:eastAsia="Times New Roman" w:hAnsi="Times New Roman" w:cs="Times New Roman"/>
          <w:bCs/>
          <w:lang w:val="sr-Latn-ME"/>
        </w:rPr>
        <w:t>mjenjivani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natrijum oksibat (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doza od 2</w:t>
      </w:r>
      <w:r w:rsidR="00911D10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25 g) i tramadol (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doza od 100 mg) nij</w:t>
      </w:r>
      <w:r w:rsidR="00911D10" w:rsidRPr="0060351E">
        <w:rPr>
          <w:rFonts w:ascii="Times New Roman" w:eastAsia="Times New Roman" w:hAnsi="Times New Roman" w:cs="Times New Roman"/>
          <w:bCs/>
          <w:lang w:val="sr-Latn-ME"/>
        </w:rPr>
        <w:t>esu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4A584C" w:rsidRPr="0060351E">
        <w:rPr>
          <w:rFonts w:ascii="Times New Roman" w:eastAsia="Times New Roman" w:hAnsi="Times New Roman" w:cs="Times New Roman"/>
          <w:bCs/>
          <w:lang w:val="sr-Latn-ME"/>
        </w:rPr>
        <w:t>zabilježene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farmakokinetičke/farmakodinamičke interakcije. K</w:t>
      </w:r>
      <w:r w:rsidR="004A584C" w:rsidRPr="0060351E">
        <w:rPr>
          <w:rFonts w:ascii="Times New Roman" w:eastAsia="Times New Roman" w:hAnsi="Times New Roman" w:cs="Times New Roman"/>
          <w:bCs/>
          <w:lang w:val="sr-Latn-ME"/>
        </w:rPr>
        <w:t>od istovremene primjene visokih doza natrijum oksibata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do 9 g/dan </w:t>
      </w:r>
      <w:r w:rsidR="004A584C" w:rsidRPr="0060351E">
        <w:rPr>
          <w:rFonts w:ascii="Times New Roman" w:eastAsia="Times New Roman" w:hAnsi="Times New Roman" w:cs="Times New Roman"/>
          <w:bCs/>
          <w:lang w:val="sr-Latn-ME"/>
        </w:rPr>
        <w:t>i visokih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doza opioida (</w:t>
      </w:r>
      <w:r w:rsidR="004A584C" w:rsidRPr="0060351E">
        <w:rPr>
          <w:rFonts w:ascii="Times New Roman" w:eastAsia="Times New Roman" w:hAnsi="Times New Roman" w:cs="Times New Roman"/>
          <w:bCs/>
          <w:lang w:val="sr-Latn-ME"/>
        </w:rPr>
        <w:t xml:space="preserve">koje su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unutar preporučenog</w:t>
      </w:r>
      <w:r w:rsidR="004A584C" w:rsidRPr="0060351E">
        <w:rPr>
          <w:rFonts w:ascii="Times New Roman" w:eastAsia="Times New Roman" w:hAnsi="Times New Roman" w:cs="Times New Roman"/>
          <w:bCs/>
          <w:lang w:val="sr-Latn-ME"/>
        </w:rPr>
        <w:t xml:space="preserve"> terapijskog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raspona), ne može se isključiti </w:t>
      </w:r>
      <w:r w:rsidR="004A584C" w:rsidRPr="0060351E">
        <w:rPr>
          <w:rFonts w:ascii="Times New Roman" w:eastAsia="Times New Roman" w:hAnsi="Times New Roman" w:cs="Times New Roman"/>
          <w:bCs/>
          <w:lang w:val="sr-Latn-ME"/>
        </w:rPr>
        <w:t xml:space="preserve">pojava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farmakodinamičk</w:t>
      </w:r>
      <w:r w:rsidR="004A584C" w:rsidRPr="0060351E">
        <w:rPr>
          <w:rFonts w:ascii="Times New Roman" w:eastAsia="Times New Roman" w:hAnsi="Times New Roman" w:cs="Times New Roman"/>
          <w:bCs/>
          <w:lang w:val="sr-Latn-ME"/>
        </w:rPr>
        <w:t>ih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interakcija poveza</w:t>
      </w:r>
      <w:r w:rsidR="004A584C" w:rsidRPr="0060351E">
        <w:rPr>
          <w:rFonts w:ascii="Times New Roman" w:eastAsia="Times New Roman" w:hAnsi="Times New Roman" w:cs="Times New Roman"/>
          <w:bCs/>
          <w:lang w:val="sr-Latn-ME"/>
        </w:rPr>
        <w:t>nih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sa simptomima depresije CNS-a i/ili respiratorne depresije (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4A584C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4.3).</w:t>
      </w:r>
    </w:p>
    <w:p w14:paraId="5CFE0603" w14:textId="77777777" w:rsidR="004A584C" w:rsidRPr="0060351E" w:rsidRDefault="004A584C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1EB5A16" w14:textId="77777777" w:rsidR="004A584C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Antidepresivi </w:t>
      </w:r>
    </w:p>
    <w:p w14:paraId="64A92C1F" w14:textId="46F4F46E" w:rsidR="00A81CCF" w:rsidRPr="0060351E" w:rsidRDefault="004A584C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U ispitivanjima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interakcija l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ekova kod zdravih odraslih osoba </w:t>
      </w:r>
      <w:r w:rsidR="006F11F2" w:rsidRPr="0060351E">
        <w:rPr>
          <w:rFonts w:ascii="Times New Roman" w:eastAsia="Times New Roman" w:hAnsi="Times New Roman" w:cs="Times New Roman"/>
          <w:bCs/>
          <w:lang w:val="sr-Latn-ME"/>
        </w:rPr>
        <w:t>kod kojih su istovremeno primjenjivani natrijum oksibat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doza od 2</w:t>
      </w:r>
      <w:r w:rsidR="006F11F2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25 g) i antidepresiv protriptilin hidrohlorid (</w:t>
      </w:r>
      <w:r w:rsidR="00493989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doza od 10 mg) i duloksentin (60 mg u stanju </w:t>
      </w:r>
      <w:r w:rsidR="002C5AD9" w:rsidRPr="0060351E">
        <w:rPr>
          <w:rFonts w:ascii="Times New Roman" w:eastAsia="Times New Roman" w:hAnsi="Times New Roman" w:cs="Times New Roman"/>
          <w:bCs/>
          <w:lang w:val="sr-Latn-ME"/>
        </w:rPr>
        <w:t xml:space="preserve">dinamičke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ravnoteže)</w:t>
      </w:r>
      <w:r w:rsidR="002C5AD9" w:rsidRPr="0060351E">
        <w:rPr>
          <w:rFonts w:ascii="Times New Roman" w:eastAsia="Times New Roman" w:hAnsi="Times New Roman" w:cs="Times New Roman"/>
          <w:bCs/>
          <w:lang w:val="sr-Latn-ME"/>
        </w:rPr>
        <w:t xml:space="preserve"> nijesu zabilježene </w:t>
      </w:r>
      <w:r w:rsidR="00BD65A0" w:rsidRPr="0060351E">
        <w:rPr>
          <w:rFonts w:ascii="Times New Roman" w:eastAsia="Times New Roman" w:hAnsi="Times New Roman" w:cs="Times New Roman"/>
          <w:bCs/>
          <w:lang w:val="sr-Latn-ME"/>
        </w:rPr>
        <w:t>farmakokinetičke interakcije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. Nije </w:t>
      </w:r>
      <w:r w:rsidR="00BD65A0" w:rsidRPr="0060351E">
        <w:rPr>
          <w:rFonts w:ascii="Times New Roman" w:eastAsia="Times New Roman" w:hAnsi="Times New Roman" w:cs="Times New Roman"/>
          <w:bCs/>
          <w:lang w:val="sr-Latn-ME"/>
        </w:rPr>
        <w:t>zabilježen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dodatni efekat na pospanost pri poređenju </w:t>
      </w:r>
      <w:r w:rsidR="00B82C1C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pojedinačnih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doza</w:t>
      </w:r>
      <w:r w:rsidR="00BD65A0" w:rsidRPr="0060351E">
        <w:rPr>
          <w:rFonts w:ascii="Times New Roman" w:eastAsia="Times New Roman" w:hAnsi="Times New Roman" w:cs="Times New Roman"/>
          <w:bCs/>
          <w:lang w:val="sr-Latn-ME"/>
        </w:rPr>
        <w:t xml:space="preserve"> samo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natrijum oksibata (2</w:t>
      </w:r>
      <w:r w:rsidR="00BD65A0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25 g) i </w:t>
      </w:r>
      <w:r w:rsidR="002D16BE" w:rsidRPr="0060351E">
        <w:rPr>
          <w:rFonts w:ascii="Times New Roman" w:eastAsia="Times New Roman" w:hAnsi="Times New Roman" w:cs="Times New Roman"/>
          <w:bCs/>
          <w:lang w:val="sr-Latn-ME"/>
        </w:rPr>
        <w:t xml:space="preserve">kombinacije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natrijum oksibata (2</w:t>
      </w:r>
      <w:r w:rsidR="002D16BE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25 g) </w:t>
      </w:r>
      <w:r w:rsidR="00B003EE" w:rsidRPr="0060351E">
        <w:rPr>
          <w:rFonts w:ascii="Times New Roman" w:eastAsia="Times New Roman" w:hAnsi="Times New Roman" w:cs="Times New Roman"/>
          <w:bCs/>
          <w:lang w:val="sr-Latn-ME"/>
        </w:rPr>
        <w:t>i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duloksetin</w:t>
      </w:r>
      <w:r w:rsidR="00B003EE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(60 mg u stanju</w:t>
      </w:r>
      <w:r w:rsidR="00B003EE" w:rsidRPr="0060351E">
        <w:rPr>
          <w:rFonts w:ascii="Times New Roman" w:eastAsia="Times New Roman" w:hAnsi="Times New Roman" w:cs="Times New Roman"/>
          <w:bCs/>
          <w:lang w:val="sr-Latn-ME"/>
        </w:rPr>
        <w:t xml:space="preserve"> dinamičke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ravnoteže). Antidepresivi se</w:t>
      </w:r>
      <w:r w:rsidR="00B003EE" w:rsidRPr="0060351E">
        <w:rPr>
          <w:rFonts w:ascii="Times New Roman" w:eastAsia="Times New Roman" w:hAnsi="Times New Roman" w:cs="Times New Roman"/>
          <w:bCs/>
          <w:lang w:val="sr-Latn-ME"/>
        </w:rPr>
        <w:t xml:space="preserve"> takođe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koriste u l</w:t>
      </w:r>
      <w:r w:rsidR="00E4364E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ečenju katapleksije. Moguć</w:t>
      </w:r>
      <w:r w:rsidR="00E4364E" w:rsidRPr="0060351E">
        <w:rPr>
          <w:rFonts w:ascii="Times New Roman" w:eastAsia="Times New Roman" w:hAnsi="Times New Roman" w:cs="Times New Roman"/>
          <w:bCs/>
          <w:lang w:val="sr-Latn-ME"/>
        </w:rPr>
        <w:t>i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dodatn</w:t>
      </w:r>
      <w:r w:rsidR="00E4364E" w:rsidRPr="0060351E">
        <w:rPr>
          <w:rFonts w:ascii="Times New Roman" w:eastAsia="Times New Roman" w:hAnsi="Times New Roman" w:cs="Times New Roman"/>
          <w:bCs/>
          <w:lang w:val="sr-Latn-ME"/>
        </w:rPr>
        <w:t>i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ef</w:t>
      </w:r>
      <w:r w:rsidR="00E4364E" w:rsidRPr="0060351E">
        <w:rPr>
          <w:rFonts w:ascii="Times New Roman" w:eastAsia="Times New Roman" w:hAnsi="Times New Roman" w:cs="Times New Roman"/>
          <w:bCs/>
          <w:lang w:val="sr-Latn-ME"/>
        </w:rPr>
        <w:t>ekat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antidepresiva i natrijum oksibata ne može se isključiti. Stopa neželjenih </w:t>
      </w:r>
      <w:r w:rsidR="00E4364E" w:rsidRPr="0060351E">
        <w:rPr>
          <w:rFonts w:ascii="Times New Roman" w:eastAsia="Times New Roman" w:hAnsi="Times New Roman" w:cs="Times New Roman"/>
          <w:bCs/>
          <w:lang w:val="sr-Latn-ME"/>
        </w:rPr>
        <w:t>dejstava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je povećana kada se natrijum oksibat prim</w:t>
      </w:r>
      <w:r w:rsidR="00E4364E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enjuje istovremeno sa tricikličnim antidepresivima.</w:t>
      </w:r>
    </w:p>
    <w:p w14:paraId="427B7F66" w14:textId="77777777" w:rsidR="007521EC" w:rsidRPr="0060351E" w:rsidRDefault="007521EC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2A02EB1" w14:textId="77777777" w:rsidR="007521EC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Modafinil </w:t>
      </w:r>
    </w:p>
    <w:p w14:paraId="490E91BB" w14:textId="22BAD330" w:rsidR="00A81CCF" w:rsidRPr="0060351E" w:rsidRDefault="007521EC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U ispitivanju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interakcij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l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ekova kod zdravih odraslih osoba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kod kojih su istovremeno primjenjivani natrijum oskibat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r w:rsidR="00011CED" w:rsidRPr="0060351E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="00B82C1C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pojedinačnoj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doz</w:t>
      </w:r>
      <w:r w:rsidR="00011CED" w:rsidRPr="0060351E">
        <w:rPr>
          <w:rFonts w:ascii="Times New Roman" w:eastAsia="Times New Roman" w:hAnsi="Times New Roman" w:cs="Times New Roman"/>
          <w:bCs/>
          <w:lang w:val="sr-Latn-ME"/>
        </w:rPr>
        <w:t>i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od 4</w:t>
      </w:r>
      <w:r w:rsidR="00011CED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5 g) i modafinil (</w:t>
      </w:r>
      <w:r w:rsidR="00011CED" w:rsidRPr="0060351E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="00B82C1C" w:rsidRPr="0060351E">
        <w:rPr>
          <w:rFonts w:ascii="Times New Roman" w:eastAsia="Times New Roman" w:hAnsi="Times New Roman" w:cs="Times New Roman"/>
          <w:bCs/>
          <w:lang w:val="sr-Latn-ME"/>
        </w:rPr>
        <w:t xml:space="preserve">pojedinačnoj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doz</w:t>
      </w:r>
      <w:r w:rsidR="00011CED" w:rsidRPr="0060351E">
        <w:rPr>
          <w:rFonts w:ascii="Times New Roman" w:eastAsia="Times New Roman" w:hAnsi="Times New Roman" w:cs="Times New Roman"/>
          <w:bCs/>
          <w:lang w:val="sr-Latn-ME"/>
        </w:rPr>
        <w:t>i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od 200 mg)</w:t>
      </w:r>
      <w:r w:rsidR="00011CED" w:rsidRPr="0060351E">
        <w:rPr>
          <w:rFonts w:ascii="Times New Roman" w:eastAsia="Times New Roman" w:hAnsi="Times New Roman" w:cs="Times New Roman"/>
          <w:bCs/>
          <w:lang w:val="sr-Latn-ME"/>
        </w:rPr>
        <w:t xml:space="preserve"> nijesu zabilježene farmakokinetičke interakcije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r w:rsidR="00BC0C5F" w:rsidRPr="0060351E">
        <w:rPr>
          <w:rFonts w:ascii="Times New Roman" w:eastAsia="Times New Roman" w:hAnsi="Times New Roman" w:cs="Times New Roman"/>
          <w:bCs/>
          <w:lang w:val="sr-Latn-ME"/>
        </w:rPr>
        <w:t>U kliničkim ispitivanjima kod pacijenata sa narkolepsijom</w:t>
      </w:r>
      <w:r w:rsidR="00FC22FE" w:rsidRPr="0060351E">
        <w:rPr>
          <w:rFonts w:ascii="Times New Roman" w:eastAsia="Times New Roman" w:hAnsi="Times New Roman" w:cs="Times New Roman"/>
          <w:bCs/>
          <w:lang w:val="sr-Latn-ME"/>
        </w:rPr>
        <w:t>,</w:t>
      </w:r>
      <w:r w:rsidR="00BC0C5F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C22FE" w:rsidRPr="0060351E">
        <w:rPr>
          <w:rFonts w:ascii="Times New Roman" w:eastAsia="Times New Roman" w:hAnsi="Times New Roman" w:cs="Times New Roman"/>
          <w:bCs/>
          <w:lang w:val="sr-Latn-ME"/>
        </w:rPr>
        <w:t>približno 80</w:t>
      </w:r>
      <w:r w:rsidR="00A00428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C22FE" w:rsidRPr="0060351E">
        <w:rPr>
          <w:rFonts w:ascii="Times New Roman" w:eastAsia="Times New Roman" w:hAnsi="Times New Roman" w:cs="Times New Roman"/>
          <w:bCs/>
          <w:lang w:val="sr-Latn-ME"/>
        </w:rPr>
        <w:t>% pacijenata uzimalo je n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atrijum oksibat istovremeno sa </w:t>
      </w:r>
      <w:r w:rsidR="00B45AF1" w:rsidRPr="0060351E">
        <w:rPr>
          <w:rFonts w:ascii="Times New Roman" w:eastAsia="Times New Roman" w:hAnsi="Times New Roman" w:cs="Times New Roman"/>
          <w:bCs/>
          <w:lang w:val="sr-Latn-ME"/>
        </w:rPr>
        <w:t xml:space="preserve">stimulansima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CNS</w:t>
      </w:r>
      <w:r w:rsidR="00B45AF1" w:rsidRPr="0060351E">
        <w:rPr>
          <w:rFonts w:ascii="Times New Roman" w:eastAsia="Times New Roman" w:hAnsi="Times New Roman" w:cs="Times New Roman"/>
          <w:bCs/>
          <w:lang w:val="sr-Latn-ME"/>
        </w:rPr>
        <w:t>-a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r w:rsidR="00B45AF1" w:rsidRPr="0060351E">
        <w:rPr>
          <w:rFonts w:ascii="Times New Roman" w:eastAsia="Times New Roman" w:hAnsi="Times New Roman" w:cs="Times New Roman"/>
          <w:bCs/>
          <w:lang w:val="sr-Latn-ME"/>
        </w:rPr>
        <w:t>Nije utvrđeno ima li to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uti</w:t>
      </w:r>
      <w:r w:rsidR="004F187F" w:rsidRPr="0060351E">
        <w:rPr>
          <w:rFonts w:ascii="Times New Roman" w:eastAsia="Times New Roman" w:hAnsi="Times New Roman" w:cs="Times New Roman"/>
          <w:bCs/>
          <w:lang w:val="sr-Latn-ME"/>
        </w:rPr>
        <w:t>caja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na disanje tokom noći.</w:t>
      </w:r>
    </w:p>
    <w:p w14:paraId="700389F4" w14:textId="77777777" w:rsidR="004F187F" w:rsidRPr="0060351E" w:rsidRDefault="004F187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DDEACC4" w14:textId="77777777" w:rsidR="004F187F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Omeprazol </w:t>
      </w:r>
    </w:p>
    <w:p w14:paraId="4EF99610" w14:textId="0D48F559" w:rsidR="00A81CCF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Istovremena prim</w:t>
      </w:r>
      <w:r w:rsidR="004F187F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ena omeprazola nema klinički značajan uticaj na farmakokinetiku natrijum oksibata. </w:t>
      </w:r>
      <w:r w:rsidR="003B0CFF" w:rsidRPr="0060351E">
        <w:rPr>
          <w:rFonts w:ascii="Times New Roman" w:eastAsia="Times New Roman" w:hAnsi="Times New Roman" w:cs="Times New Roman"/>
          <w:bCs/>
          <w:lang w:val="sr-Latn-ME"/>
        </w:rPr>
        <w:t xml:space="preserve">S toga nije potrebno prilagođavati dozu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natrijum oksibata</w:t>
      </w:r>
      <w:r w:rsidR="00AD1F73" w:rsidRPr="0060351E">
        <w:rPr>
          <w:rFonts w:ascii="Times New Roman" w:eastAsia="Times New Roman" w:hAnsi="Times New Roman" w:cs="Times New Roman"/>
          <w:bCs/>
          <w:lang w:val="sr-Latn-ME"/>
        </w:rPr>
        <w:t xml:space="preserve"> tokom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istovremen</w:t>
      </w:r>
      <w:r w:rsidR="00AD1F73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D1F73" w:rsidRPr="0060351E">
        <w:rPr>
          <w:rFonts w:ascii="Times New Roman" w:eastAsia="Times New Roman" w:hAnsi="Times New Roman" w:cs="Times New Roman"/>
          <w:bCs/>
          <w:lang w:val="sr-Latn-ME"/>
        </w:rPr>
        <w:t xml:space="preserve">primjene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sa inhibitorima protonske pumpe.</w:t>
      </w:r>
    </w:p>
    <w:p w14:paraId="66FB1A8D" w14:textId="77777777" w:rsidR="00AD1F73" w:rsidRPr="0060351E" w:rsidRDefault="00AD1F73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7391702" w14:textId="77777777" w:rsidR="00AD1F73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Ibuprofen </w:t>
      </w:r>
    </w:p>
    <w:p w14:paraId="57FEC990" w14:textId="5CA87120" w:rsidR="00A81CCF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Studije interakcija l</w:t>
      </w:r>
      <w:r w:rsidR="002B12C3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ekova kod zdravih odraslih osoba ni</w:t>
      </w:r>
      <w:r w:rsidR="002B12C3" w:rsidRPr="00603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su pokazale farmakokinetičke interakcije između natrijum oksibata i ibuprofena.</w:t>
      </w:r>
    </w:p>
    <w:p w14:paraId="7CB88E1C" w14:textId="77777777" w:rsidR="002B12C3" w:rsidRPr="0060351E" w:rsidRDefault="002B12C3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0AF69F" w14:textId="77777777" w:rsidR="002B12C3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Diklofenak </w:t>
      </w:r>
    </w:p>
    <w:p w14:paraId="64878CC6" w14:textId="3CE78667" w:rsidR="00A81CCF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Studije interakcija l</w:t>
      </w:r>
      <w:r w:rsidR="002B12C3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ekova kod zdravih odraslih osoba ni</w:t>
      </w:r>
      <w:r w:rsidR="002B12C3" w:rsidRPr="00603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su pokazale farmakokinetičke interakcije između natrijum oksibata i diklofenaka. Istovremena prim</w:t>
      </w:r>
      <w:r w:rsidR="00B36491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ena natrijum oksibata i diklofenaka kod zdravih dobrovoljaca smanjila je </w:t>
      </w:r>
      <w:r w:rsidR="00B36491" w:rsidRPr="0060351E">
        <w:rPr>
          <w:rFonts w:ascii="Times New Roman" w:eastAsia="Times New Roman" w:hAnsi="Times New Roman" w:cs="Times New Roman"/>
          <w:bCs/>
          <w:lang w:val="sr-Latn-ME"/>
        </w:rPr>
        <w:t>poremećaj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pažnje uzroko</w:t>
      </w:r>
      <w:r w:rsidR="00052209" w:rsidRPr="0060351E">
        <w:rPr>
          <w:rFonts w:ascii="Times New Roman" w:eastAsia="Times New Roman" w:hAnsi="Times New Roman" w:cs="Times New Roman"/>
          <w:bCs/>
          <w:lang w:val="sr-Latn-ME"/>
        </w:rPr>
        <w:t>van primjenom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sam</w:t>
      </w:r>
      <w:r w:rsidR="00052209" w:rsidRPr="0060351E">
        <w:rPr>
          <w:rFonts w:ascii="Times New Roman" w:eastAsia="Times New Roman" w:hAnsi="Times New Roman" w:cs="Times New Roman"/>
          <w:bCs/>
          <w:lang w:val="sr-Latn-ME"/>
        </w:rPr>
        <w:t>og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natrijum oksibat</w:t>
      </w:r>
      <w:r w:rsidR="00052209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, što je m</w:t>
      </w:r>
      <w:r w:rsidR="006E4F66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ereno psihometrijskim testovima.</w:t>
      </w:r>
    </w:p>
    <w:p w14:paraId="32E05900" w14:textId="77777777" w:rsidR="00052209" w:rsidRPr="0060351E" w:rsidRDefault="00052209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4E0C1F" w14:textId="77777777" w:rsidR="006E4F66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Inhibitori GHB dehidrogenaze </w:t>
      </w:r>
    </w:p>
    <w:p w14:paraId="3F30849C" w14:textId="7C879CC4" w:rsidR="00A81CCF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lastRenderedPageBreak/>
        <w:t>S obzirom na to da se natrijum oksibat metaboli</w:t>
      </w:r>
      <w:r w:rsidR="00B82C1C" w:rsidRPr="0060351E">
        <w:rPr>
          <w:rFonts w:ascii="Times New Roman" w:eastAsia="Times New Roman" w:hAnsi="Times New Roman" w:cs="Times New Roman"/>
          <w:bCs/>
          <w:lang w:val="sr-Latn-ME"/>
        </w:rPr>
        <w:t>še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putem GHB dehidrogenaze, postoji potencijalni rizik od interakcije sa l</w:t>
      </w:r>
      <w:r w:rsidR="0076095B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ekovima koji stimulišu ili inhibi</w:t>
      </w:r>
      <w:r w:rsidR="00B82C1C" w:rsidRPr="0060351E">
        <w:rPr>
          <w:rFonts w:ascii="Times New Roman" w:eastAsia="Times New Roman" w:hAnsi="Times New Roman" w:cs="Times New Roman"/>
          <w:bCs/>
          <w:lang w:val="sr-Latn-ME"/>
        </w:rPr>
        <w:t>šu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ovaj enzim (npr. valproat, fenitoin ili etosuksimid) (</w:t>
      </w:r>
      <w:r w:rsidR="00B82C1C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76095B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575B679D" w14:textId="77777777" w:rsidR="00057485" w:rsidRPr="0060351E" w:rsidRDefault="00057485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5C381A" w14:textId="79960E06" w:rsidR="00A81CCF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Istovremena prim</w:t>
      </w:r>
      <w:r w:rsidR="00057485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ena natrijum oksibata (6 g dnevno) sa valproatom (1250 mg dnevno) rezultirala je povećanjem sistemskog izlaganja natrijum oksibatu za približno 25</w:t>
      </w:r>
      <w:r w:rsidR="00A00428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% i </w:t>
      </w:r>
      <w:r w:rsidR="00057485" w:rsidRPr="0060351E">
        <w:rPr>
          <w:rFonts w:ascii="Times New Roman" w:eastAsia="Times New Roman" w:hAnsi="Times New Roman" w:cs="Times New Roman"/>
          <w:bCs/>
          <w:lang w:val="sr-Latn-ME"/>
        </w:rPr>
        <w:t>neznatne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prom</w:t>
      </w:r>
      <w:r w:rsidR="00057485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ene </w:t>
      </w:r>
      <w:r w:rsidR="00057485" w:rsidRPr="0060351E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C</w:t>
      </w:r>
      <w:r w:rsidRPr="0060351E">
        <w:rPr>
          <w:rFonts w:ascii="Times New Roman" w:eastAsia="Times New Roman" w:hAnsi="Times New Roman" w:cs="Times New Roman"/>
          <w:bCs/>
          <w:vertAlign w:val="subscript"/>
          <w:lang w:val="sr-Latn-ME"/>
        </w:rPr>
        <w:t>max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. Nije prim</w:t>
      </w:r>
      <w:r w:rsidR="00554F26" w:rsidRPr="0060351E">
        <w:rPr>
          <w:rFonts w:ascii="Times New Roman" w:eastAsia="Times New Roman" w:hAnsi="Times New Roman" w:cs="Times New Roman"/>
          <w:bCs/>
          <w:lang w:val="sr-Latn-ME"/>
        </w:rPr>
        <w:t>i</w:t>
      </w:r>
      <w:r w:rsidR="00057485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ećen efekat na farmakokinetiku valproata. </w:t>
      </w:r>
      <w:r w:rsidR="00057485" w:rsidRPr="0060351E">
        <w:rPr>
          <w:rFonts w:ascii="Times New Roman" w:eastAsia="Times New Roman" w:hAnsi="Times New Roman" w:cs="Times New Roman"/>
          <w:bCs/>
          <w:lang w:val="sr-Latn-ME"/>
        </w:rPr>
        <w:t>Nastali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farmakodinamički efekti, uključujući povećano oštećenje kognitivne funkcije i pospanost, bili su veći pri istovremenoj prim</w:t>
      </w:r>
      <w:r w:rsidR="00057485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eni nego </w:t>
      </w:r>
      <w:r w:rsidR="00CD2770" w:rsidRPr="0060351E">
        <w:rPr>
          <w:rFonts w:ascii="Times New Roman" w:eastAsia="Times New Roman" w:hAnsi="Times New Roman" w:cs="Times New Roman"/>
          <w:bCs/>
          <w:lang w:val="sr-Latn-ME"/>
        </w:rPr>
        <w:t>kada se primjenjivao lijek sam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. Ako je istovremena upotreba opravdana, odgovor pacijenta i podnošljivost treba pratiti i, ako je potrebno, prilagoditi doz</w:t>
      </w:r>
      <w:r w:rsidR="00CD2770" w:rsidRPr="0060351E">
        <w:rPr>
          <w:rFonts w:ascii="Times New Roman" w:eastAsia="Times New Roman" w:hAnsi="Times New Roman" w:cs="Times New Roman"/>
          <w:bCs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(</w:t>
      </w:r>
      <w:r w:rsidR="00554F26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CD2770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4.2).</w:t>
      </w:r>
    </w:p>
    <w:p w14:paraId="463112C8" w14:textId="77777777" w:rsidR="00CD2770" w:rsidRPr="0060351E" w:rsidRDefault="00CD2770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0835CE9" w14:textId="77777777" w:rsidR="00CD2770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 xml:space="preserve">Topiramat </w:t>
      </w:r>
    </w:p>
    <w:p w14:paraId="43E118B5" w14:textId="314D8385" w:rsidR="00A81CCF" w:rsidRPr="0060351E" w:rsidRDefault="00911C13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M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oguće farmakodinamičke i farmakokinetičke interakcije k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od istovrem</w:t>
      </w:r>
      <w:r w:rsidR="00F94001" w:rsidRPr="0060351E">
        <w:rPr>
          <w:rFonts w:ascii="Times New Roman" w:eastAsia="Times New Roman" w:hAnsi="Times New Roman" w:cs="Times New Roman"/>
          <w:bCs/>
          <w:lang w:val="sr-Latn-ME"/>
        </w:rPr>
        <w:t>enog uzimanja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natrijum oksibat</w:t>
      </w:r>
      <w:r w:rsidR="00F94001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F94001" w:rsidRPr="0060351E">
        <w:rPr>
          <w:rFonts w:ascii="Times New Roman" w:eastAsia="Times New Roman" w:hAnsi="Times New Roman" w:cs="Times New Roman"/>
          <w:bCs/>
          <w:lang w:val="sr-Latn-ME"/>
        </w:rPr>
        <w:t>i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topiramat</w:t>
      </w:r>
      <w:r w:rsidR="00F94001" w:rsidRPr="0060351E">
        <w:rPr>
          <w:rFonts w:ascii="Times New Roman" w:eastAsia="Times New Roman" w:hAnsi="Times New Roman" w:cs="Times New Roman"/>
          <w:bCs/>
          <w:lang w:val="sr-Latn-ME"/>
        </w:rPr>
        <w:t>a nije moguće isključiti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, s obzirom na to da su prijavljene kliničke opservacije kome i povećane koncentracije GHB u plazmi kod pacijenta</w:t>
      </w:r>
      <w:r w:rsidR="00A00428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>(pacijenata) koji su koristili natrijum oksibat i topiramat istovremeno (</w:t>
      </w:r>
      <w:r w:rsidR="00554F26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5E4901" w:rsidRPr="0060351E">
        <w:rPr>
          <w:rFonts w:ascii="Times New Roman" w:eastAsia="Times New Roman" w:hAnsi="Times New Roman" w:cs="Times New Roman"/>
          <w:bCs/>
          <w:lang w:val="sr-Latn-ME"/>
        </w:rPr>
        <w:t>dio</w:t>
      </w:r>
      <w:r w:rsidR="00A81CCF" w:rsidRPr="0060351E">
        <w:rPr>
          <w:rFonts w:ascii="Times New Roman" w:eastAsia="Times New Roman" w:hAnsi="Times New Roman" w:cs="Times New Roman"/>
          <w:bCs/>
          <w:lang w:val="sr-Latn-ME"/>
        </w:rPr>
        <w:t xml:space="preserve"> 4.4).</w:t>
      </w:r>
    </w:p>
    <w:p w14:paraId="66CC2FB5" w14:textId="77777777" w:rsidR="001A4564" w:rsidRPr="0060351E" w:rsidRDefault="001A4564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E4E9F31" w14:textId="05BB5F62" w:rsidR="000755F2" w:rsidRPr="0060351E" w:rsidRDefault="00A81CCF" w:rsidP="00A81C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Studije </w:t>
      </w:r>
      <w:r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>in vitro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sa ljudskim jetrenim mikrozomima ukazuju da natrijum oksibat ne značajno inhibira aktivnost humanih izoenzima (</w:t>
      </w:r>
      <w:r w:rsidR="00554F26" w:rsidRPr="0060351E">
        <w:rPr>
          <w:rFonts w:ascii="Times New Roman" w:eastAsia="Times New Roman" w:hAnsi="Times New Roman" w:cs="Times New Roman"/>
          <w:bCs/>
          <w:lang w:val="sr-Latn-ME"/>
        </w:rPr>
        <w:t xml:space="preserve">vidjeti </w:t>
      </w:r>
      <w:r w:rsidR="00FA460F" w:rsidRPr="0060351E">
        <w:rPr>
          <w:rFonts w:ascii="Times New Roman" w:eastAsia="Times New Roman" w:hAnsi="Times New Roman" w:cs="Times New Roman"/>
          <w:bCs/>
          <w:lang w:val="sr-Latn-ME"/>
        </w:rPr>
        <w:t>di</w:t>
      </w:r>
      <w:r w:rsidR="0023149D" w:rsidRPr="0060351E">
        <w:rPr>
          <w:rFonts w:ascii="Times New Roman" w:eastAsia="Times New Roman" w:hAnsi="Times New Roman" w:cs="Times New Roman"/>
          <w:bCs/>
          <w:lang w:val="sr-Latn-ME"/>
        </w:rPr>
        <w:t>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5.2).</w:t>
      </w:r>
    </w:p>
    <w:p w14:paraId="485685CC" w14:textId="77777777" w:rsidR="00AC5536" w:rsidRPr="0060351E" w:rsidRDefault="00AC5536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5B965F0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4.6.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Plodnost, trudnoća i dojenje</w:t>
      </w:r>
    </w:p>
    <w:p w14:paraId="74887F54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8BE9FA2" w14:textId="77777777" w:rsidR="0023149D" w:rsidRPr="0060351E" w:rsidRDefault="009635DF" w:rsidP="009635D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Trudnoća </w:t>
      </w:r>
    </w:p>
    <w:p w14:paraId="4CF52448" w14:textId="3CDE08F4" w:rsidR="00E87B51" w:rsidRPr="0060351E" w:rsidRDefault="009635DF" w:rsidP="009635D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Studije na životinjama ni</w:t>
      </w:r>
      <w:r w:rsidR="00744F61" w:rsidRPr="0060351E">
        <w:rPr>
          <w:rFonts w:ascii="Times New Roman" w:eastAsia="Times New Roman" w:hAnsi="Times New Roman" w:cs="Times New Roman"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su pokazale teratogenost, ali </w:t>
      </w:r>
      <w:r w:rsidR="00744F61" w:rsidRPr="0060351E">
        <w:rPr>
          <w:rFonts w:ascii="Times New Roman" w:eastAsia="Times New Roman" w:hAnsi="Times New Roman" w:cs="Times New Roman"/>
          <w:lang w:val="sr-Latn-ME"/>
        </w:rPr>
        <w:t>je zabilježena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embrioletaln</w:t>
      </w:r>
      <w:r w:rsidR="00744F61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smrt</w:t>
      </w:r>
      <w:r w:rsidR="004B25D9" w:rsidRPr="0060351E">
        <w:rPr>
          <w:rFonts w:ascii="Times New Roman" w:eastAsia="Times New Roman" w:hAnsi="Times New Roman" w:cs="Times New Roman"/>
          <w:lang w:val="sr-Latn-ME"/>
        </w:rPr>
        <w:t>nost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397511" w:rsidRPr="0060351E">
        <w:rPr>
          <w:rFonts w:ascii="Times New Roman" w:eastAsia="Times New Roman" w:hAnsi="Times New Roman" w:cs="Times New Roman"/>
          <w:lang w:val="sr-Latn-ME"/>
        </w:rPr>
        <w:t xml:space="preserve">i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u studijama na pacovima i </w:t>
      </w:r>
      <w:r w:rsidR="00554F26" w:rsidRPr="0060351E">
        <w:rPr>
          <w:rFonts w:ascii="Times New Roman" w:eastAsia="Times New Roman" w:hAnsi="Times New Roman" w:cs="Times New Roman"/>
          <w:lang w:val="sr-Latn-ME"/>
        </w:rPr>
        <w:t xml:space="preserve">kunićima </w:t>
      </w:r>
      <w:r w:rsidRPr="0060351E">
        <w:rPr>
          <w:rFonts w:ascii="Times New Roman" w:eastAsia="Times New Roman" w:hAnsi="Times New Roman" w:cs="Times New Roman"/>
          <w:lang w:val="sr-Latn-ME"/>
        </w:rPr>
        <w:t>(</w:t>
      </w:r>
      <w:r w:rsidR="00554F26" w:rsidRPr="0060351E">
        <w:rPr>
          <w:rFonts w:ascii="Times New Roman" w:eastAsia="Times New Roman" w:hAnsi="Times New Roman" w:cs="Times New Roman"/>
          <w:lang w:val="sr-Latn-ME"/>
        </w:rPr>
        <w:t xml:space="preserve">vidjeti </w:t>
      </w:r>
      <w:r w:rsidR="00A15C5D" w:rsidRPr="0060351E">
        <w:rPr>
          <w:rFonts w:ascii="Times New Roman" w:eastAsia="Times New Roman" w:hAnsi="Times New Roman" w:cs="Times New Roman"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5.3). </w:t>
      </w:r>
    </w:p>
    <w:p w14:paraId="5A0A3D9D" w14:textId="6A23ACDA" w:rsidR="009635DF" w:rsidRPr="0060351E" w:rsidRDefault="009635DF" w:rsidP="009635D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Podaci dobijeni od ograničenog broja trudnica izloženih</w:t>
      </w:r>
      <w:r w:rsidR="00E87B51" w:rsidRPr="0060351E">
        <w:rPr>
          <w:rFonts w:ascii="Times New Roman" w:eastAsia="Times New Roman" w:hAnsi="Times New Roman" w:cs="Times New Roman"/>
          <w:lang w:val="sr-Latn-ME"/>
        </w:rPr>
        <w:t xml:space="preserve"> lijeku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 prvom tr</w:t>
      </w:r>
      <w:r w:rsidR="00542D1F" w:rsidRPr="0060351E">
        <w:rPr>
          <w:rFonts w:ascii="Times New Roman" w:eastAsia="Times New Roman" w:hAnsi="Times New Roman" w:cs="Times New Roman"/>
          <w:lang w:val="sr-Latn-ME"/>
        </w:rPr>
        <w:t>omjesečju trudnoće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ukazuju na mogući povećan rizik od spontanih pobačaja. Do danas ni</w:t>
      </w:r>
      <w:r w:rsidR="00CE0050" w:rsidRPr="0060351E">
        <w:rPr>
          <w:rFonts w:ascii="Times New Roman" w:eastAsia="Times New Roman" w:hAnsi="Times New Roman" w:cs="Times New Roman"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su dostupni drugi relevantni epidemiološki podaci. </w:t>
      </w:r>
      <w:r w:rsidR="00D456F4" w:rsidRPr="0060351E">
        <w:rPr>
          <w:rFonts w:ascii="Times New Roman" w:eastAsia="Times New Roman" w:hAnsi="Times New Roman" w:cs="Times New Roman"/>
          <w:lang w:val="sr-Latn-ME"/>
        </w:rPr>
        <w:t>Primjena natrijum oksibata kod malog broja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trudni</w:t>
      </w:r>
      <w:r w:rsidR="001333A5" w:rsidRPr="0060351E">
        <w:rPr>
          <w:rFonts w:ascii="Times New Roman" w:eastAsia="Times New Roman" w:hAnsi="Times New Roman" w:cs="Times New Roman"/>
          <w:lang w:val="sr-Latn-ME"/>
        </w:rPr>
        <w:t>h pacijentkinja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tokom drugog i trećeg tr</w:t>
      </w:r>
      <w:r w:rsidR="001333A5" w:rsidRPr="0060351E">
        <w:rPr>
          <w:rFonts w:ascii="Times New Roman" w:eastAsia="Times New Roman" w:hAnsi="Times New Roman" w:cs="Times New Roman"/>
          <w:lang w:val="sr-Latn-ME"/>
        </w:rPr>
        <w:t>omjesečja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ukazuj</w:t>
      </w:r>
      <w:r w:rsidR="0058246D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 odsustvo malformacija ili toksičn</w:t>
      </w:r>
      <w:r w:rsidR="00903049" w:rsidRPr="0060351E">
        <w:rPr>
          <w:rFonts w:ascii="Times New Roman" w:eastAsia="Times New Roman" w:hAnsi="Times New Roman" w:cs="Times New Roman"/>
          <w:lang w:val="sr-Latn-ME"/>
        </w:rPr>
        <w:t>ih efekata na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903049" w:rsidRPr="0060351E">
        <w:rPr>
          <w:rFonts w:ascii="Times New Roman" w:eastAsia="Times New Roman" w:hAnsi="Times New Roman" w:cs="Times New Roman"/>
          <w:lang w:val="sr-Latn-ME"/>
        </w:rPr>
        <w:t>plod</w:t>
      </w:r>
      <w:r w:rsidRPr="0060351E">
        <w:rPr>
          <w:rFonts w:ascii="Times New Roman" w:eastAsia="Times New Roman" w:hAnsi="Times New Roman" w:cs="Times New Roman"/>
          <w:lang w:val="sr-Latn-ME"/>
        </w:rPr>
        <w:t>/</w:t>
      </w:r>
      <w:r w:rsidR="00903049" w:rsidRPr="0060351E">
        <w:rPr>
          <w:rFonts w:ascii="Times New Roman" w:eastAsia="Times New Roman" w:hAnsi="Times New Roman" w:cs="Times New Roman"/>
          <w:lang w:val="sr-Latn-ME"/>
        </w:rPr>
        <w:t>novorođenče</w:t>
      </w:r>
      <w:r w:rsidRPr="0060351E">
        <w:rPr>
          <w:rFonts w:ascii="Times New Roman" w:eastAsia="Times New Roman" w:hAnsi="Times New Roman" w:cs="Times New Roman"/>
          <w:lang w:val="sr-Latn-ME"/>
        </w:rPr>
        <w:t>. Natrijum oksibat se ne preporučuje tokom trudnoće.</w:t>
      </w:r>
    </w:p>
    <w:p w14:paraId="2A46AD05" w14:textId="77777777" w:rsidR="00440C1D" w:rsidRPr="0060351E" w:rsidRDefault="00440C1D" w:rsidP="009635D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1AAFAC0" w14:textId="77777777" w:rsidR="00440C1D" w:rsidRPr="0060351E" w:rsidRDefault="009635DF" w:rsidP="009635D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Dojenje </w:t>
      </w:r>
    </w:p>
    <w:p w14:paraId="55EAA6B8" w14:textId="2D0A47FE" w:rsidR="009635DF" w:rsidRPr="0060351E" w:rsidRDefault="009635DF" w:rsidP="009635D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Natrijum oksibat i/ili njegovi metaboliti izlučuju se u majčino ml</w:t>
      </w:r>
      <w:r w:rsidR="00440C1D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eko. Prim</w:t>
      </w:r>
      <w:r w:rsidR="00E23F9F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ećen</w:t>
      </w:r>
      <w:r w:rsidR="00942C2A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942C2A" w:rsidRPr="0060351E">
        <w:rPr>
          <w:rFonts w:ascii="Times New Roman" w:eastAsia="Times New Roman" w:hAnsi="Times New Roman" w:cs="Times New Roman"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prom</w:t>
      </w:r>
      <w:r w:rsidR="00E23F9F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</w:t>
      </w:r>
      <w:r w:rsidR="00942C2A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obra</w:t>
      </w:r>
      <w:r w:rsidR="00942C2A" w:rsidRPr="0060351E">
        <w:rPr>
          <w:rFonts w:ascii="Times New Roman" w:eastAsia="Times New Roman" w:hAnsi="Times New Roman" w:cs="Times New Roman"/>
          <w:lang w:val="sr-Latn-ME"/>
        </w:rPr>
        <w:t>zaca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spavanja</w:t>
      </w:r>
      <w:r w:rsidR="00942C2A" w:rsidRPr="0060351E">
        <w:rPr>
          <w:rFonts w:ascii="Times New Roman" w:eastAsia="Times New Roman" w:hAnsi="Times New Roman" w:cs="Times New Roman"/>
          <w:lang w:val="sr-Latn-ME"/>
        </w:rPr>
        <w:t xml:space="preserve"> kod </w:t>
      </w:r>
      <w:r w:rsidR="00554F26" w:rsidRPr="0060351E">
        <w:rPr>
          <w:rFonts w:ascii="Times New Roman" w:eastAsia="Times New Roman" w:hAnsi="Times New Roman" w:cs="Times New Roman"/>
          <w:lang w:val="sr-Latn-ME"/>
        </w:rPr>
        <w:t xml:space="preserve">odojčadi </w:t>
      </w:r>
      <w:r w:rsidR="006944E7" w:rsidRPr="0060351E">
        <w:rPr>
          <w:rFonts w:ascii="Times New Roman" w:eastAsia="Times New Roman" w:hAnsi="Times New Roman" w:cs="Times New Roman"/>
          <w:lang w:val="sr-Latn-ME"/>
        </w:rPr>
        <w:t>na majčinom mlijeku liječenih žena</w:t>
      </w:r>
      <w:r w:rsidRPr="0060351E">
        <w:rPr>
          <w:rFonts w:ascii="Times New Roman" w:eastAsia="Times New Roman" w:hAnsi="Times New Roman" w:cs="Times New Roman"/>
          <w:lang w:val="sr-Latn-ME"/>
        </w:rPr>
        <w:t>, što može biti u skladu sa efektima natrijum oksibata na nervni sistem. Natrijum oksibat se ne sm</w:t>
      </w:r>
      <w:r w:rsidR="00076EA1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 koristiti tokom dojenja.</w:t>
      </w:r>
    </w:p>
    <w:p w14:paraId="3A2CC61C" w14:textId="77777777" w:rsidR="005D639A" w:rsidRPr="0060351E" w:rsidRDefault="005D639A" w:rsidP="009635D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EFFC3E1" w14:textId="77777777" w:rsidR="005D639A" w:rsidRPr="0060351E" w:rsidRDefault="009635DF" w:rsidP="009635D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Plodnost </w:t>
      </w:r>
    </w:p>
    <w:p w14:paraId="7BF593A5" w14:textId="43657F7B" w:rsidR="000755F2" w:rsidRPr="0060351E" w:rsidRDefault="009635DF" w:rsidP="009635D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Nema dostupnih kliničkih podataka o uticaju natrijum oksibata na plodnost. Studije na mužjacima i ženkama pacova kod kojih su prim</w:t>
      </w:r>
      <w:r w:rsidR="002F638B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enjivane doze do 1000 mg/kg/dan GHB</w:t>
      </w:r>
      <w:r w:rsidR="002F638B" w:rsidRPr="0060351E">
        <w:rPr>
          <w:rFonts w:ascii="Times New Roman" w:eastAsia="Times New Roman" w:hAnsi="Times New Roman" w:cs="Times New Roman"/>
          <w:lang w:val="sr-Latn-ME"/>
        </w:rPr>
        <w:t>-a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ni</w:t>
      </w:r>
      <w:r w:rsidR="002F638B" w:rsidRPr="0060351E">
        <w:rPr>
          <w:rFonts w:ascii="Times New Roman" w:eastAsia="Times New Roman" w:hAnsi="Times New Roman" w:cs="Times New Roman"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lang w:val="sr-Latn-ME"/>
        </w:rPr>
        <w:t>su pokazale dokaze o štetnom uticaju na plodnost.</w:t>
      </w:r>
    </w:p>
    <w:p w14:paraId="70601E88" w14:textId="77777777" w:rsidR="00A81CCF" w:rsidRPr="0060351E" w:rsidRDefault="00A81CCF" w:rsidP="000755F2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603FCB7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4.7.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Uticaj na sposobnost upravljanja vozilima i rukovanje mašinama</w:t>
      </w:r>
    </w:p>
    <w:p w14:paraId="2202DC5D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41BD065" w14:textId="77777777" w:rsidR="0043256C" w:rsidRPr="0060351E" w:rsidRDefault="002150FF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Natrijum oksibat </w:t>
      </w:r>
      <w:r w:rsidR="003068B0" w:rsidRPr="0060351E">
        <w:rPr>
          <w:rFonts w:ascii="Times New Roman" w:eastAsia="Times New Roman" w:hAnsi="Times New Roman" w:cs="Times New Roman"/>
          <w:lang w:val="sr-Latn-ME"/>
        </w:rPr>
        <w:t xml:space="preserve">značajno utiče </w:t>
      </w:r>
      <w:r w:rsidRPr="0060351E">
        <w:rPr>
          <w:rFonts w:ascii="Times New Roman" w:eastAsia="Times New Roman" w:hAnsi="Times New Roman" w:cs="Times New Roman"/>
          <w:lang w:val="sr-Latn-ME"/>
        </w:rPr>
        <w:t>na sposobnost upravljanja vozil</w:t>
      </w:r>
      <w:r w:rsidR="003068B0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>m</w:t>
      </w:r>
      <w:r w:rsidR="003068B0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 </w:t>
      </w:r>
      <w:r w:rsidR="003068B0" w:rsidRPr="0060351E">
        <w:rPr>
          <w:rFonts w:ascii="Times New Roman" w:eastAsia="Times New Roman" w:hAnsi="Times New Roman" w:cs="Times New Roman"/>
          <w:lang w:val="sr-Latn-ME"/>
        </w:rPr>
        <w:t>rukovanje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mašina</w:t>
      </w:r>
      <w:r w:rsidR="003068B0" w:rsidRPr="0060351E">
        <w:rPr>
          <w:rFonts w:ascii="Times New Roman" w:eastAsia="Times New Roman" w:hAnsi="Times New Roman" w:cs="Times New Roman"/>
          <w:lang w:val="sr-Latn-ME"/>
        </w:rPr>
        <w:t>ma</w:t>
      </w:r>
      <w:r w:rsidRPr="0060351E">
        <w:rPr>
          <w:rFonts w:ascii="Times New Roman" w:eastAsia="Times New Roman" w:hAnsi="Times New Roman" w:cs="Times New Roman"/>
          <w:lang w:val="sr-Latn-ME"/>
        </w:rPr>
        <w:t>. Najmanje šest sati nakon uzimanja natrijum oksibata, pacijenti ne sm</w:t>
      </w:r>
      <w:r w:rsidR="004F055B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>ju obavljati aktivnosti koje zaht</w:t>
      </w:r>
      <w:r w:rsidR="004F055B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evaju potpunu mentalnu budnost i</w:t>
      </w:r>
      <w:r w:rsidR="0043256C" w:rsidRPr="0060351E">
        <w:rPr>
          <w:rFonts w:ascii="Times New Roman" w:eastAsia="Times New Roman" w:hAnsi="Times New Roman" w:cs="Times New Roman"/>
          <w:lang w:val="sr-Latn-ME"/>
        </w:rPr>
        <w:t>li motoričku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koordinaciju, kao što </w:t>
      </w:r>
      <w:r w:rsidR="0043256C" w:rsidRPr="0060351E">
        <w:rPr>
          <w:rFonts w:ascii="Times New Roman" w:eastAsia="Times New Roman" w:hAnsi="Times New Roman" w:cs="Times New Roman"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upravljanje mašinama ili vožnja. </w:t>
      </w:r>
    </w:p>
    <w:p w14:paraId="5AF71EB5" w14:textId="718D9D7C" w:rsidR="000755F2" w:rsidRPr="0060351E" w:rsidRDefault="002150FF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Kada pacijenti prvi put počnu koristiti natrijum oksibat </w:t>
      </w:r>
      <w:r w:rsidR="00F0568B" w:rsidRPr="0060351E">
        <w:rPr>
          <w:rFonts w:ascii="Times New Roman" w:eastAsia="Times New Roman" w:hAnsi="Times New Roman" w:cs="Times New Roman"/>
          <w:lang w:val="sr-Latn-ME"/>
        </w:rPr>
        <w:t>moraju</w:t>
      </w:r>
      <w:r w:rsidR="00CF44FC" w:rsidRPr="0060351E">
        <w:rPr>
          <w:rFonts w:ascii="Times New Roman" w:eastAsia="Times New Roman" w:hAnsi="Times New Roman" w:cs="Times New Roman"/>
          <w:lang w:val="sr-Latn-ME"/>
        </w:rPr>
        <w:t xml:space="preserve"> biti </w:t>
      </w:r>
      <w:r w:rsidR="00F0568B" w:rsidRPr="0060351E">
        <w:rPr>
          <w:rFonts w:ascii="Times New Roman" w:eastAsia="Times New Roman" w:hAnsi="Times New Roman" w:cs="Times New Roman"/>
          <w:lang w:val="sr-Latn-ME"/>
        </w:rPr>
        <w:t>vrlo</w:t>
      </w:r>
      <w:r w:rsidR="00CF44FC" w:rsidRPr="0060351E">
        <w:rPr>
          <w:rFonts w:ascii="Times New Roman" w:eastAsia="Times New Roman" w:hAnsi="Times New Roman" w:cs="Times New Roman"/>
          <w:lang w:val="sr-Latn-ME"/>
        </w:rPr>
        <w:t xml:space="preserve"> oprezni prilikom vožnje automobila, upravljanja teškim mašinama ili obavljanja bilo ko</w:t>
      </w:r>
      <w:r w:rsidR="00D31397" w:rsidRPr="0060351E">
        <w:rPr>
          <w:rFonts w:ascii="Times New Roman" w:eastAsia="Times New Roman" w:hAnsi="Times New Roman" w:cs="Times New Roman"/>
          <w:lang w:val="sr-Latn-ME"/>
        </w:rPr>
        <w:t>jeg</w:t>
      </w:r>
      <w:r w:rsidR="00CF44FC" w:rsidRPr="0060351E">
        <w:rPr>
          <w:rFonts w:ascii="Times New Roman" w:eastAsia="Times New Roman" w:hAnsi="Times New Roman" w:cs="Times New Roman"/>
          <w:lang w:val="sr-Latn-ME"/>
        </w:rPr>
        <w:t xml:space="preserve"> drugog zadatka koji </w:t>
      </w:r>
      <w:r w:rsidR="00D31397" w:rsidRPr="0060351E">
        <w:rPr>
          <w:rFonts w:ascii="Times New Roman" w:eastAsia="Times New Roman" w:hAnsi="Times New Roman" w:cs="Times New Roman"/>
          <w:lang w:val="sr-Latn-ME"/>
        </w:rPr>
        <w:t>bi mogao</w:t>
      </w:r>
      <w:r w:rsidR="00CF44FC" w:rsidRPr="0060351E">
        <w:rPr>
          <w:rFonts w:ascii="Times New Roman" w:eastAsia="Times New Roman" w:hAnsi="Times New Roman" w:cs="Times New Roman"/>
          <w:lang w:val="sr-Latn-ME"/>
        </w:rPr>
        <w:t xml:space="preserve"> biti opasan ili zaht</w:t>
      </w:r>
      <w:r w:rsidR="00D31397" w:rsidRPr="0060351E">
        <w:rPr>
          <w:rFonts w:ascii="Times New Roman" w:eastAsia="Times New Roman" w:hAnsi="Times New Roman" w:cs="Times New Roman"/>
          <w:lang w:val="sr-Latn-ME"/>
        </w:rPr>
        <w:t>ij</w:t>
      </w:r>
      <w:r w:rsidR="00CF44FC" w:rsidRPr="0060351E">
        <w:rPr>
          <w:rFonts w:ascii="Times New Roman" w:eastAsia="Times New Roman" w:hAnsi="Times New Roman" w:cs="Times New Roman"/>
          <w:lang w:val="sr-Latn-ME"/>
        </w:rPr>
        <w:t xml:space="preserve">evati punu mentalnu budnost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sve dok ne </w:t>
      </w:r>
      <w:r w:rsidR="00D31397" w:rsidRPr="0060351E">
        <w:rPr>
          <w:rFonts w:ascii="Times New Roman" w:eastAsia="Times New Roman" w:hAnsi="Times New Roman" w:cs="Times New Roman"/>
          <w:lang w:val="sr-Latn-ME"/>
        </w:rPr>
        <w:t>utvrde kako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ovaj l</w:t>
      </w:r>
      <w:r w:rsidR="00D31397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ek </w:t>
      </w:r>
      <w:r w:rsidR="00D31397" w:rsidRPr="0060351E">
        <w:rPr>
          <w:rFonts w:ascii="Times New Roman" w:eastAsia="Times New Roman" w:hAnsi="Times New Roman" w:cs="Times New Roman"/>
          <w:lang w:val="sr-Latn-ME"/>
        </w:rPr>
        <w:t>utiče na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njih </w:t>
      </w:r>
      <w:r w:rsidR="00D31397" w:rsidRPr="0060351E">
        <w:rPr>
          <w:rFonts w:ascii="Times New Roman" w:eastAsia="Times New Roman" w:hAnsi="Times New Roman" w:cs="Times New Roman"/>
          <w:lang w:val="sr-Latn-ME"/>
        </w:rPr>
        <w:t>idući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dan.</w:t>
      </w:r>
    </w:p>
    <w:p w14:paraId="59A0B7DB" w14:textId="77777777" w:rsidR="002150FF" w:rsidRPr="0060351E" w:rsidRDefault="002150FF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2B1BD17" w14:textId="77777777" w:rsidR="00930311" w:rsidRPr="0060351E" w:rsidRDefault="00930311" w:rsidP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4.8.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Neželjena dejstva</w:t>
      </w:r>
    </w:p>
    <w:p w14:paraId="17AFE862" w14:textId="77777777" w:rsidR="00930311" w:rsidRPr="0060351E" w:rsidRDefault="00930311" w:rsidP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212FF58" w14:textId="55537C19" w:rsidR="00C2332D" w:rsidRPr="0060351E" w:rsidRDefault="00C2332D" w:rsidP="00930311">
      <w:pPr>
        <w:tabs>
          <w:tab w:val="left" w:pos="54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Sažetak bezbjednosnog profila</w:t>
      </w:r>
    </w:p>
    <w:p w14:paraId="4EF64891" w14:textId="70030350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lastRenderedPageBreak/>
        <w:t>Najčešće prijavljen</w:t>
      </w:r>
      <w:r w:rsidR="003C23F5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neželjen</w:t>
      </w:r>
      <w:r w:rsidR="003C23F5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3C23F5" w:rsidRPr="0060351E">
        <w:rPr>
          <w:rFonts w:ascii="Times New Roman" w:eastAsia="Times New Roman" w:hAnsi="Times New Roman" w:cs="Times New Roman"/>
          <w:lang w:val="sr-Latn-ME"/>
        </w:rPr>
        <w:t>dejstva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vrtoglavica, mučnina i glavobolja, koje se javljaju kod 10-20</w:t>
      </w:r>
      <w:r w:rsidR="00751FA3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% pacijenata. Najozbiljnij</w:t>
      </w:r>
      <w:r w:rsidR="003C23F5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neželjen</w:t>
      </w:r>
      <w:r w:rsidR="003C23F5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3C23F5" w:rsidRPr="0060351E">
        <w:rPr>
          <w:rFonts w:ascii="Times New Roman" w:eastAsia="Times New Roman" w:hAnsi="Times New Roman" w:cs="Times New Roman"/>
          <w:lang w:val="sr-Latn-ME"/>
        </w:rPr>
        <w:t>dejstva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pokušaj samoubistva, psihoza, respiratorna depresija i konvulzije.</w:t>
      </w:r>
    </w:p>
    <w:p w14:paraId="271432A9" w14:textId="77777777" w:rsidR="00C320D5" w:rsidRPr="0060351E" w:rsidRDefault="00C320D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94AC1FC" w14:textId="7B1A6154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Bezb</w:t>
      </w:r>
      <w:r w:rsidR="003C23F5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ednost i efikasnost natrijum oksibata za l</w:t>
      </w:r>
      <w:r w:rsidR="003C23F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ečenje simptoma narkolepsije su utvrđene u četiri multicentričn</w:t>
      </w:r>
      <w:r w:rsidR="006D4155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>, randomizovan</w:t>
      </w:r>
      <w:r w:rsidR="006D4155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>, dvostruko sl</w:t>
      </w:r>
      <w:r w:rsidR="003C23F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ep</w:t>
      </w:r>
      <w:r w:rsidR="006D4155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>, placebom</w:t>
      </w:r>
      <w:r w:rsidR="006D4155" w:rsidRPr="0060351E">
        <w:rPr>
          <w:rFonts w:ascii="Times New Roman" w:eastAsia="Times New Roman" w:hAnsi="Times New Roman" w:cs="Times New Roman"/>
          <w:lang w:val="sr-Latn-ME"/>
        </w:rPr>
        <w:t xml:space="preserve"> kontrolisana</w:t>
      </w:r>
      <w:r w:rsidR="00165352" w:rsidRPr="0060351E">
        <w:rPr>
          <w:rFonts w:ascii="Times New Roman" w:eastAsia="Times New Roman" w:hAnsi="Times New Roman" w:cs="Times New Roman"/>
          <w:lang w:val="sr-Latn-ME"/>
        </w:rPr>
        <w:t xml:space="preserve"> ispitivanja sa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paraleln</w:t>
      </w:r>
      <w:r w:rsidR="00165352" w:rsidRPr="0060351E">
        <w:rPr>
          <w:rFonts w:ascii="Times New Roman" w:eastAsia="Times New Roman" w:hAnsi="Times New Roman" w:cs="Times New Roman"/>
          <w:lang w:val="sr-Latn-ME"/>
        </w:rPr>
        <w:t>im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65352" w:rsidRPr="0060351E">
        <w:rPr>
          <w:rFonts w:ascii="Times New Roman" w:eastAsia="Times New Roman" w:hAnsi="Times New Roman" w:cs="Times New Roman"/>
          <w:lang w:val="sr-Latn-ME"/>
        </w:rPr>
        <w:t>grupama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kod pacijenata sa narkolepsijom sa katapleksijom, osim 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>kod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jedno</w:t>
      </w:r>
      <w:r w:rsidR="00165352" w:rsidRPr="0060351E">
        <w:rPr>
          <w:rFonts w:ascii="Times New Roman" w:eastAsia="Times New Roman" w:hAnsi="Times New Roman" w:cs="Times New Roman"/>
          <w:lang w:val="sr-Latn-ME"/>
        </w:rPr>
        <w:t>g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65352" w:rsidRPr="0060351E">
        <w:rPr>
          <w:rFonts w:ascii="Times New Roman" w:eastAsia="Times New Roman" w:hAnsi="Times New Roman" w:cs="Times New Roman"/>
          <w:lang w:val="sr-Latn-ME"/>
        </w:rPr>
        <w:t>is</w:t>
      </w:r>
      <w:r w:rsidR="00EA0B15" w:rsidRPr="0060351E">
        <w:rPr>
          <w:rFonts w:ascii="Times New Roman" w:eastAsia="Times New Roman" w:hAnsi="Times New Roman" w:cs="Times New Roman"/>
          <w:lang w:val="sr-Latn-ME"/>
        </w:rPr>
        <w:t>pitivanja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EA0B15" w:rsidRPr="0060351E">
        <w:rPr>
          <w:rFonts w:ascii="Times New Roman" w:eastAsia="Times New Roman" w:hAnsi="Times New Roman" w:cs="Times New Roman"/>
          <w:lang w:val="sr-Latn-ME"/>
        </w:rPr>
        <w:t>u koje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katapleksija nije bila </w:t>
      </w:r>
      <w:r w:rsidR="00EA0B15" w:rsidRPr="0060351E">
        <w:rPr>
          <w:rFonts w:ascii="Times New Roman" w:eastAsia="Times New Roman" w:hAnsi="Times New Roman" w:cs="Times New Roman"/>
          <w:lang w:val="sr-Latn-ME"/>
        </w:rPr>
        <w:t>uslov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za uključivanje. </w:t>
      </w:r>
      <w:r w:rsidR="00645D0D" w:rsidRPr="0060351E">
        <w:rPr>
          <w:rFonts w:ascii="Times New Roman" w:eastAsia="Times New Roman" w:hAnsi="Times New Roman" w:cs="Times New Roman"/>
          <w:lang w:val="sr-Latn-ME"/>
        </w:rPr>
        <w:t>Sprovedena su dva</w:t>
      </w:r>
      <w:r w:rsidR="006A6CAF" w:rsidRPr="0060351E">
        <w:rPr>
          <w:rFonts w:ascii="Times New Roman" w:eastAsia="Times New Roman" w:hAnsi="Times New Roman" w:cs="Times New Roman"/>
          <w:lang w:val="sr-Latn-ME"/>
        </w:rPr>
        <w:t xml:space="preserve"> dvostruko slije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>p</w:t>
      </w:r>
      <w:r w:rsidR="006A6CAF" w:rsidRPr="0060351E">
        <w:rPr>
          <w:rFonts w:ascii="Times New Roman" w:eastAsia="Times New Roman" w:hAnsi="Times New Roman" w:cs="Times New Roman"/>
          <w:lang w:val="sr-Latn-ME"/>
        </w:rPr>
        <w:t xml:space="preserve">a, placebom kontrolisana ispitivanja sa paralelnim grupama </w:t>
      </w:r>
      <w:r w:rsidRPr="0060351E">
        <w:rPr>
          <w:rFonts w:ascii="Times New Roman" w:eastAsia="Times New Roman" w:hAnsi="Times New Roman" w:cs="Times New Roman"/>
          <w:lang w:val="sr-Latn-ME"/>
        </w:rPr>
        <w:t>faze 3 i jedn</w:t>
      </w:r>
      <w:r w:rsidR="00325EC5" w:rsidRPr="0060351E">
        <w:rPr>
          <w:rFonts w:ascii="Times New Roman" w:eastAsia="Times New Roman" w:hAnsi="Times New Roman" w:cs="Times New Roman"/>
          <w:lang w:val="sr-Latn-ME"/>
        </w:rPr>
        <w:t>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faz</w:t>
      </w:r>
      <w:r w:rsidR="00325EC5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2 </w:t>
      </w:r>
      <w:r w:rsidR="00415B80" w:rsidRPr="0060351E">
        <w:rPr>
          <w:rFonts w:ascii="Times New Roman" w:eastAsia="Times New Roman" w:hAnsi="Times New Roman" w:cs="Times New Roman"/>
          <w:lang w:val="sr-Latn-ME"/>
        </w:rPr>
        <w:t>radi ocjene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indikacij</w:t>
      </w:r>
      <w:r w:rsidR="002171A0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natrijum oksibata kod fibromialgije. Takođe, </w:t>
      </w:r>
      <w:r w:rsidR="00CC27AA" w:rsidRPr="0060351E">
        <w:rPr>
          <w:rFonts w:ascii="Times New Roman" w:eastAsia="Times New Roman" w:hAnsi="Times New Roman" w:cs="Times New Roman"/>
          <w:lang w:val="sr-Latn-ME"/>
        </w:rPr>
        <w:t>sprovedena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randomizovan</w:t>
      </w:r>
      <w:r w:rsidR="00CC27AA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>, dvostruko sl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ep</w:t>
      </w:r>
      <w:r w:rsidR="00A47AD1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>, placebo</w:t>
      </w:r>
      <w:r w:rsidR="00A47AD1" w:rsidRPr="0060351E">
        <w:rPr>
          <w:rFonts w:ascii="Times New Roman" w:eastAsia="Times New Roman" w:hAnsi="Times New Roman" w:cs="Times New Roman"/>
          <w:lang w:val="sr-Latn-ME"/>
        </w:rPr>
        <w:t xml:space="preserve">m kontrolisana </w:t>
      </w:r>
      <w:r w:rsidR="004A1020" w:rsidRPr="0060351E">
        <w:rPr>
          <w:rFonts w:ascii="Times New Roman" w:eastAsia="Times New Roman" w:hAnsi="Times New Roman" w:cs="Times New Roman"/>
          <w:lang w:val="sr-Latn-ME"/>
        </w:rPr>
        <w:t xml:space="preserve">unakrsna </w:t>
      </w:r>
      <w:r w:rsidR="00A47AD1" w:rsidRPr="0060351E">
        <w:rPr>
          <w:rFonts w:ascii="Times New Roman" w:eastAsia="Times New Roman" w:hAnsi="Times New Roman" w:cs="Times New Roman"/>
          <w:lang w:val="sr-Latn-ME"/>
        </w:rPr>
        <w:t xml:space="preserve">ispitivanja </w:t>
      </w:r>
      <w:r w:rsidRPr="0060351E">
        <w:rPr>
          <w:rFonts w:ascii="Times New Roman" w:eastAsia="Times New Roman" w:hAnsi="Times New Roman" w:cs="Times New Roman"/>
          <w:lang w:val="sr-Latn-ME"/>
        </w:rPr>
        <w:t>interakcija</w:t>
      </w:r>
      <w:r w:rsidR="004A1020" w:rsidRPr="0060351E">
        <w:rPr>
          <w:rFonts w:ascii="Times New Roman" w:eastAsia="Times New Roman" w:hAnsi="Times New Roman" w:cs="Times New Roman"/>
          <w:lang w:val="sr-Latn-ME"/>
        </w:rPr>
        <w:t xml:space="preserve"> među</w:t>
      </w:r>
      <w:r w:rsidR="00C93150" w:rsidRPr="0060351E">
        <w:rPr>
          <w:rFonts w:ascii="Times New Roman" w:eastAsia="Times New Roman" w:hAnsi="Times New Roman" w:cs="Times New Roman"/>
          <w:lang w:val="sr-Latn-ME"/>
        </w:rPr>
        <w:t xml:space="preserve"> ljekovima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ibuprofenom, diklofenakom i valproatom kod zdravih ispitanika, a rezultati su sumirani u </w:t>
      </w:r>
      <w:r w:rsidR="00F6566B" w:rsidRPr="0060351E">
        <w:rPr>
          <w:rFonts w:ascii="Times New Roman" w:eastAsia="Times New Roman" w:hAnsi="Times New Roman" w:cs="Times New Roman"/>
          <w:lang w:val="sr-Latn-ME"/>
        </w:rPr>
        <w:t>dijelu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4.5. Pored neželjenih </w:t>
      </w:r>
      <w:r w:rsidR="00A679E7" w:rsidRPr="0060351E">
        <w:rPr>
          <w:rFonts w:ascii="Times New Roman" w:eastAsia="Times New Roman" w:hAnsi="Times New Roman" w:cs="Times New Roman"/>
          <w:lang w:val="sr-Latn-ME"/>
        </w:rPr>
        <w:t>dejstava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prijavljenih tokom kliničkih </w:t>
      </w:r>
      <w:r w:rsidR="00A679E7" w:rsidRPr="0060351E">
        <w:rPr>
          <w:rFonts w:ascii="Times New Roman" w:eastAsia="Times New Roman" w:hAnsi="Times New Roman" w:cs="Times New Roman"/>
          <w:lang w:val="sr-Latn-ME"/>
        </w:rPr>
        <w:t>ispitivanja</w:t>
      </w:r>
      <w:r w:rsidRPr="0060351E">
        <w:rPr>
          <w:rFonts w:ascii="Times New Roman" w:eastAsia="Times New Roman" w:hAnsi="Times New Roman" w:cs="Times New Roman"/>
          <w:lang w:val="sr-Latn-ME"/>
        </w:rPr>
        <w:t>,</w:t>
      </w:r>
      <w:r w:rsidR="00A679E7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neželjen</w:t>
      </w:r>
      <w:r w:rsidR="00A679E7" w:rsidRPr="0060351E">
        <w:rPr>
          <w:rFonts w:ascii="Times New Roman" w:eastAsia="Times New Roman" w:hAnsi="Times New Roman" w:cs="Times New Roman"/>
          <w:lang w:val="sr-Latn-ME"/>
        </w:rPr>
        <w:t>a dejstva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prijavljen</w:t>
      </w:r>
      <w:r w:rsidR="00A679E7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 tokom </w:t>
      </w:r>
      <w:r w:rsidR="00765321" w:rsidRPr="0060351E">
        <w:rPr>
          <w:rFonts w:ascii="Times New Roman" w:eastAsia="Times New Roman" w:hAnsi="Times New Roman" w:cs="Times New Roman"/>
          <w:lang w:val="sr-Latn-ME"/>
        </w:rPr>
        <w:t>perioda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nakon </w:t>
      </w:r>
      <w:r w:rsidR="00765321" w:rsidRPr="0060351E">
        <w:rPr>
          <w:rFonts w:ascii="Times New Roman" w:eastAsia="Times New Roman" w:hAnsi="Times New Roman" w:cs="Times New Roman"/>
          <w:lang w:val="sr-Latn-ME"/>
        </w:rPr>
        <w:t>stavljanja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l</w:t>
      </w:r>
      <w:r w:rsidR="00994F9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eka </w:t>
      </w:r>
      <w:r w:rsidR="00994F95" w:rsidRPr="0060351E">
        <w:rPr>
          <w:rFonts w:ascii="Times New Roman" w:eastAsia="Times New Roman" w:hAnsi="Times New Roman" w:cs="Times New Roman"/>
          <w:lang w:val="sr-Latn-ME"/>
        </w:rPr>
        <w:t>u promet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. </w:t>
      </w:r>
      <w:r w:rsidR="00994F95" w:rsidRPr="0060351E">
        <w:rPr>
          <w:rFonts w:ascii="Times New Roman" w:eastAsia="Times New Roman" w:hAnsi="Times New Roman" w:cs="Times New Roman"/>
          <w:lang w:val="sr-Latn-ME"/>
        </w:rPr>
        <w:t>Nije u</w:t>
      </w:r>
      <w:r w:rsidRPr="0060351E">
        <w:rPr>
          <w:rFonts w:ascii="Times New Roman" w:eastAsia="Times New Roman" w:hAnsi="Times New Roman" w:cs="Times New Roman"/>
          <w:lang w:val="sr-Latn-ME"/>
        </w:rPr>
        <w:t>v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ek moguće pouzdano proc</w:t>
      </w:r>
      <w:r w:rsidR="00994F9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eniti učestalost njihovog javljanja u populaciji koja se l</w:t>
      </w:r>
      <w:r w:rsidR="00994F9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eči.</w:t>
      </w:r>
    </w:p>
    <w:p w14:paraId="60E17CE3" w14:textId="77777777" w:rsidR="00D61DF1" w:rsidRPr="0060351E" w:rsidRDefault="00D61DF1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23B6738" w14:textId="40CB4317" w:rsidR="00D61DF1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Tabelarni prikaz neželjenih </w:t>
      </w:r>
      <w:r w:rsidR="00D61DF1" w:rsidRPr="0060351E">
        <w:rPr>
          <w:rFonts w:ascii="Times New Roman" w:eastAsia="Times New Roman" w:hAnsi="Times New Roman" w:cs="Times New Roman"/>
          <w:u w:val="single"/>
          <w:lang w:val="sr-Latn-ME"/>
        </w:rPr>
        <w:t>dejstava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2400BC30" w14:textId="31725531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Neželjen</w:t>
      </w:r>
      <w:r w:rsidR="00D61DF1" w:rsidRPr="0060351E">
        <w:rPr>
          <w:rFonts w:ascii="Times New Roman" w:eastAsia="Times New Roman" w:hAnsi="Times New Roman" w:cs="Times New Roman"/>
          <w:lang w:val="sr-Latn-ME"/>
        </w:rPr>
        <w:t>a dejstva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naveden</w:t>
      </w:r>
      <w:r w:rsidR="00D61DF1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prema klasifikaciji MedDRA sistema organskih grupa.</w:t>
      </w:r>
    </w:p>
    <w:p w14:paraId="4B403688" w14:textId="64875478" w:rsidR="001536C5" w:rsidRPr="0060351E" w:rsidRDefault="00811374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Procijenjena u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čestalost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: v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eoma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 često (≥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1/10), često (≥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1/100 do &lt;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1/10), 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povremeno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 (≥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1/1000 do &lt;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1/100), r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ij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etko (≥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1/10 000 do &lt;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1/1000); v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eoma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 r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ij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etko (&lt;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1/10 000), nepoznato (ne može se proc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ij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eniti na osnovu dostupnih podataka).</w:t>
      </w:r>
    </w:p>
    <w:p w14:paraId="05567123" w14:textId="77777777" w:rsidR="00E05D33" w:rsidRPr="0060351E" w:rsidRDefault="00E05D33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978E8FA" w14:textId="6FA78E4B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Unutar svake grupe učestalosti, neželjen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dejstva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predstavljen</w:t>
      </w:r>
      <w:r w:rsidR="00E05D33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prema opadajućem stepenu ozbiljnosti.</w:t>
      </w:r>
    </w:p>
    <w:p w14:paraId="20BFA447" w14:textId="77777777" w:rsidR="00BA2B8A" w:rsidRPr="0060351E" w:rsidRDefault="00BA2B8A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973F455" w14:textId="77777777" w:rsidR="00811374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Infekcije i infestacije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2E8EBC67" w14:textId="13CBB88F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60351E">
        <w:rPr>
          <w:rFonts w:ascii="Times New Roman" w:eastAsia="Times New Roman" w:hAnsi="Times New Roman" w:cs="Times New Roman"/>
          <w:lang w:val="sr-Latn-ME"/>
        </w:rPr>
        <w:t>: nazofaringitis, sinusitis.</w:t>
      </w:r>
    </w:p>
    <w:p w14:paraId="4FA7BBE4" w14:textId="77777777" w:rsidR="00811374" w:rsidRPr="0060351E" w:rsidRDefault="00811374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AC49698" w14:textId="77777777" w:rsidR="00811374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Poremećaji imunološkog sistema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34DE7F61" w14:textId="11BFC8EF" w:rsidR="001536C5" w:rsidRPr="0060351E" w:rsidRDefault="00672ED8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: preos</w:t>
      </w:r>
      <w:r w:rsidRPr="0060351E">
        <w:rPr>
          <w:rFonts w:ascii="Times New Roman" w:eastAsia="Times New Roman" w:hAnsi="Times New Roman" w:cs="Times New Roman"/>
          <w:lang w:val="sr-Latn-ME"/>
        </w:rPr>
        <w:t>j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>etljivost.</w:t>
      </w:r>
    </w:p>
    <w:p w14:paraId="6C89A348" w14:textId="77777777" w:rsidR="00672ED8" w:rsidRPr="0060351E" w:rsidRDefault="00672ED8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B290EED" w14:textId="77777777" w:rsidR="00672ED8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Poremećaji metabolizma i ishrane </w:t>
      </w:r>
    </w:p>
    <w:p w14:paraId="4C3FF48E" w14:textId="77777777" w:rsidR="00E946D8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: anoreksija, smanjen apetit. </w:t>
      </w:r>
    </w:p>
    <w:p w14:paraId="56C97C69" w14:textId="1E7A1337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Nepoznato</w:t>
      </w:r>
      <w:r w:rsidRPr="0060351E">
        <w:rPr>
          <w:rFonts w:ascii="Times New Roman" w:eastAsia="Times New Roman" w:hAnsi="Times New Roman" w:cs="Times New Roman"/>
          <w:lang w:val="sr-Latn-ME"/>
        </w:rPr>
        <w:t>: dehidratacija, povećan apetit.</w:t>
      </w:r>
    </w:p>
    <w:p w14:paraId="2833FEBD" w14:textId="77777777" w:rsidR="00E946D8" w:rsidRPr="0060351E" w:rsidRDefault="00E946D8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35C9958" w14:textId="77777777" w:rsidR="00E946D8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P</w:t>
      </w:r>
      <w:r w:rsidR="00E946D8" w:rsidRPr="0060351E">
        <w:rPr>
          <w:rFonts w:ascii="Times New Roman" w:eastAsia="Times New Roman" w:hAnsi="Times New Roman" w:cs="Times New Roman"/>
          <w:u w:val="single"/>
          <w:lang w:val="sr-Latn-ME"/>
        </w:rPr>
        <w:t>sihijatrijski poremećaji</w:t>
      </w:r>
    </w:p>
    <w:p w14:paraId="1D27AE18" w14:textId="77777777" w:rsidR="00076077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depresija, katapleksija, anksioznost, abnormalni snovi, konfuzno stanje, dezorijentacija, noćne more, hodanje u snu, poremećaj spavanja, </w:t>
      </w:r>
      <w:r w:rsidR="00076077" w:rsidRPr="0060351E">
        <w:rPr>
          <w:rFonts w:ascii="Times New Roman" w:eastAsia="Times New Roman" w:hAnsi="Times New Roman" w:cs="Times New Roman"/>
          <w:lang w:val="sr-Latn-ME"/>
        </w:rPr>
        <w:t>insomnija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, srednja </w:t>
      </w:r>
      <w:r w:rsidR="00076077" w:rsidRPr="0060351E">
        <w:rPr>
          <w:rFonts w:ascii="Times New Roman" w:eastAsia="Times New Roman" w:hAnsi="Times New Roman" w:cs="Times New Roman"/>
          <w:lang w:val="sr-Latn-ME"/>
        </w:rPr>
        <w:t>insomnija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, nervoza. </w:t>
      </w:r>
    </w:p>
    <w:p w14:paraId="6CBE2C36" w14:textId="77777777" w:rsidR="00AB604C" w:rsidRPr="0060351E" w:rsidRDefault="00076077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: pokušaj samoubistva, psihoza, paranoja, halucinacija, </w:t>
      </w:r>
      <w:r w:rsidR="00AB604C" w:rsidRPr="0060351E">
        <w:rPr>
          <w:rFonts w:ascii="Times New Roman" w:eastAsia="Times New Roman" w:hAnsi="Times New Roman" w:cs="Times New Roman"/>
          <w:lang w:val="sr-Latn-ME"/>
        </w:rPr>
        <w:t>neuobičajeno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 razmišljanje, agitacija, početna </w:t>
      </w:r>
      <w:r w:rsidR="00AB604C" w:rsidRPr="0060351E">
        <w:rPr>
          <w:rFonts w:ascii="Times New Roman" w:eastAsia="Times New Roman" w:hAnsi="Times New Roman" w:cs="Times New Roman"/>
          <w:lang w:val="sr-Latn-ME"/>
        </w:rPr>
        <w:t>insomnija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. </w:t>
      </w:r>
    </w:p>
    <w:p w14:paraId="0AB6AFA0" w14:textId="1CF50F4C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Nepoznato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: suicidalne misli, homicidne misli, agresivnost, euforično raspoloženje, poremećaj ishrane povezan sa spavanjem, napad panike, manija/bipolarni poremećaj, </w:t>
      </w:r>
      <w:r w:rsidR="00AB604C" w:rsidRPr="0060351E">
        <w:rPr>
          <w:rFonts w:ascii="Times New Roman" w:eastAsia="Times New Roman" w:hAnsi="Times New Roman" w:cs="Times New Roman"/>
          <w:lang w:val="sr-Latn-ME"/>
        </w:rPr>
        <w:t>de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luzija, </w:t>
      </w:r>
      <w:r w:rsidR="00AB604C" w:rsidRPr="0060351E">
        <w:rPr>
          <w:rFonts w:ascii="Times New Roman" w:eastAsia="Times New Roman" w:hAnsi="Times New Roman" w:cs="Times New Roman"/>
          <w:lang w:val="sr-Latn-ME"/>
        </w:rPr>
        <w:t>bruksizam</w:t>
      </w:r>
      <w:r w:rsidRPr="0060351E">
        <w:rPr>
          <w:rFonts w:ascii="Times New Roman" w:eastAsia="Times New Roman" w:hAnsi="Times New Roman" w:cs="Times New Roman"/>
          <w:lang w:val="sr-Latn-ME"/>
        </w:rPr>
        <w:t>, razdražljivost i povećan</w:t>
      </w:r>
      <w:r w:rsidR="00AB604C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libido.</w:t>
      </w:r>
    </w:p>
    <w:p w14:paraId="60CFF2FD" w14:textId="77777777" w:rsidR="00AB604C" w:rsidRPr="0060351E" w:rsidRDefault="00AB604C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F21E04A" w14:textId="77777777" w:rsidR="00AB604C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Poremećaji nervnog sistema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678CC6BE" w14:textId="77777777" w:rsidR="00AB604C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V</w:t>
      </w:r>
      <w:r w:rsidR="00AB604C" w:rsidRPr="0060351E">
        <w:rPr>
          <w:rFonts w:ascii="Times New Roman" w:eastAsia="Times New Roman" w:hAnsi="Times New Roman" w:cs="Times New Roman"/>
          <w:i/>
          <w:iCs/>
          <w:lang w:val="sr-Latn-ME"/>
        </w:rPr>
        <w:t>eoma</w:t>
      </w: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 xml:space="preserve"> često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: vrtoglavica, glavobolja. </w:t>
      </w:r>
    </w:p>
    <w:p w14:paraId="641508DA" w14:textId="77777777" w:rsidR="001738AE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60351E">
        <w:rPr>
          <w:rFonts w:ascii="Times New Roman" w:eastAsia="Times New Roman" w:hAnsi="Times New Roman" w:cs="Times New Roman"/>
          <w:lang w:val="sr-Latn-ME"/>
        </w:rPr>
        <w:t>: paraliza</w:t>
      </w:r>
      <w:r w:rsidR="00AB604C" w:rsidRPr="0060351E">
        <w:rPr>
          <w:rFonts w:ascii="Times New Roman" w:eastAsia="Times New Roman" w:hAnsi="Times New Roman" w:cs="Times New Roman"/>
          <w:lang w:val="sr-Latn-ME"/>
        </w:rPr>
        <w:t xml:space="preserve"> 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sn</w:t>
      </w:r>
      <w:r w:rsidR="00AB604C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, </w:t>
      </w:r>
      <w:r w:rsidR="001738AE" w:rsidRPr="0060351E">
        <w:rPr>
          <w:rFonts w:ascii="Times New Roman" w:eastAsia="Times New Roman" w:hAnsi="Times New Roman" w:cs="Times New Roman"/>
          <w:lang w:val="sr-Latn-ME"/>
        </w:rPr>
        <w:t>somnolencija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, tremor, poremećaj ravnoteže, poremećaj pažnje, hipoestezija, parestezija, sedacija, disgeuzija. </w:t>
      </w:r>
    </w:p>
    <w:p w14:paraId="3766D796" w14:textId="77777777" w:rsidR="001738AE" w:rsidRPr="0060351E" w:rsidRDefault="001738AE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: mioklonus, amnezija, sindrom nemirnih nogu. </w:t>
      </w:r>
    </w:p>
    <w:p w14:paraId="1D7C3AAF" w14:textId="0A28E9D5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Nepoznato: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konvulzije, gubitak sv</w:t>
      </w:r>
      <w:r w:rsidR="001738AE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esti, diskinezija.</w:t>
      </w:r>
    </w:p>
    <w:p w14:paraId="1E378307" w14:textId="77777777" w:rsidR="001738AE" w:rsidRPr="0060351E" w:rsidRDefault="001738AE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D885916" w14:textId="60A0D96E" w:rsidR="001738AE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Poremećaji o</w:t>
      </w:r>
      <w:r w:rsidR="001738AE" w:rsidRPr="0060351E">
        <w:rPr>
          <w:rFonts w:ascii="Times New Roman" w:eastAsia="Times New Roman" w:hAnsi="Times New Roman" w:cs="Times New Roman"/>
          <w:u w:val="single"/>
          <w:lang w:val="sr-Latn-ME"/>
        </w:rPr>
        <w:t>ka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41E40FD6" w14:textId="52AA6242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60351E">
        <w:rPr>
          <w:rFonts w:ascii="Times New Roman" w:eastAsia="Times New Roman" w:hAnsi="Times New Roman" w:cs="Times New Roman"/>
          <w:lang w:val="sr-Latn-ME"/>
        </w:rPr>
        <w:t>: zamućen vid.</w:t>
      </w:r>
    </w:p>
    <w:p w14:paraId="580FE831" w14:textId="77777777" w:rsidR="001738AE" w:rsidRPr="0060351E" w:rsidRDefault="001738AE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C3E51F9" w14:textId="77777777" w:rsidR="001738AE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Poremećaji uha i labirinta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5CF48898" w14:textId="77777777" w:rsidR="001738AE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vrtoglavica. </w:t>
      </w:r>
    </w:p>
    <w:p w14:paraId="65404A6C" w14:textId="7902484B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lastRenderedPageBreak/>
        <w:t>Nepoznato: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738AE" w:rsidRPr="0060351E">
        <w:rPr>
          <w:rFonts w:ascii="Times New Roman" w:eastAsia="Times New Roman" w:hAnsi="Times New Roman" w:cs="Times New Roman"/>
          <w:lang w:val="sr-Latn-ME"/>
        </w:rPr>
        <w:t>tinitus</w:t>
      </w:r>
      <w:r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7E6D2E83" w14:textId="77777777" w:rsidR="00C320D5" w:rsidRPr="0060351E" w:rsidRDefault="00C320D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6792F449" w14:textId="4CF2171A" w:rsidR="001738AE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Poremećaji srca </w:t>
      </w:r>
    </w:p>
    <w:p w14:paraId="6E740E96" w14:textId="513489B0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60351E">
        <w:rPr>
          <w:rFonts w:ascii="Times New Roman" w:eastAsia="Times New Roman" w:hAnsi="Times New Roman" w:cs="Times New Roman"/>
          <w:lang w:val="sr-Latn-ME"/>
        </w:rPr>
        <w:t>: palpitacije.</w:t>
      </w:r>
    </w:p>
    <w:p w14:paraId="594E996D" w14:textId="77777777" w:rsidR="001738AE" w:rsidRPr="0060351E" w:rsidRDefault="001738AE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8429882" w14:textId="575600AB" w:rsidR="001738AE" w:rsidRPr="0060351E" w:rsidRDefault="001738AE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Vaskularni poremećaji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75608C45" w14:textId="3760D11A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60351E">
        <w:rPr>
          <w:rFonts w:ascii="Times New Roman" w:eastAsia="Times New Roman" w:hAnsi="Times New Roman" w:cs="Times New Roman"/>
          <w:lang w:val="sr-Latn-ME"/>
        </w:rPr>
        <w:t>: hipertenzija.</w:t>
      </w:r>
    </w:p>
    <w:p w14:paraId="3F319DD5" w14:textId="77777777" w:rsidR="001738AE" w:rsidRPr="0060351E" w:rsidRDefault="001738AE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2970267" w14:textId="77777777" w:rsidR="008F4269" w:rsidRPr="0060351E" w:rsidRDefault="008F4269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Respiratorni, torakalni i medijastinalni poremećaji</w:t>
      </w:r>
    </w:p>
    <w:p w14:paraId="6BDBBA06" w14:textId="77777777" w:rsidR="008F4269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dispneja, hrkanje, nazalna kongestija. </w:t>
      </w:r>
    </w:p>
    <w:p w14:paraId="13F235F8" w14:textId="66F0E43F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Nepoznato: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respiratorna depresija, apnea u snu.</w:t>
      </w:r>
    </w:p>
    <w:p w14:paraId="20F8D1F8" w14:textId="77777777" w:rsidR="00A16E77" w:rsidRPr="0060351E" w:rsidRDefault="00A16E77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BF23730" w14:textId="77777777" w:rsidR="00A16E77" w:rsidRPr="0060351E" w:rsidRDefault="00A16E77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G</w:t>
      </w:r>
      <w:r w:rsidR="001536C5" w:rsidRPr="0060351E">
        <w:rPr>
          <w:rFonts w:ascii="Times New Roman" w:eastAsia="Times New Roman" w:hAnsi="Times New Roman" w:cs="Times New Roman"/>
          <w:u w:val="single"/>
          <w:lang w:val="sr-Latn-ME"/>
        </w:rPr>
        <w:t>astrointestin</w:t>
      </w:r>
      <w:r w:rsidRPr="0060351E">
        <w:rPr>
          <w:rFonts w:ascii="Times New Roman" w:eastAsia="Times New Roman" w:hAnsi="Times New Roman" w:cs="Times New Roman"/>
          <w:u w:val="single"/>
          <w:lang w:val="sr-Latn-ME"/>
        </w:rPr>
        <w:t>alni poremećaji</w:t>
      </w:r>
      <w:r w:rsidR="001536C5"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 </w:t>
      </w:r>
    </w:p>
    <w:p w14:paraId="311CA6D9" w14:textId="77777777" w:rsidR="00A16E77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V</w:t>
      </w:r>
      <w:r w:rsidR="00A16E77" w:rsidRPr="0060351E">
        <w:rPr>
          <w:rFonts w:ascii="Times New Roman" w:eastAsia="Times New Roman" w:hAnsi="Times New Roman" w:cs="Times New Roman"/>
          <w:i/>
          <w:iCs/>
          <w:lang w:val="sr-Latn-ME"/>
        </w:rPr>
        <w:t>eoma</w:t>
      </w: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 xml:space="preserve"> često: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mučnina (</w:t>
      </w:r>
      <w:r w:rsidR="00A16E77" w:rsidRPr="0060351E">
        <w:rPr>
          <w:rFonts w:ascii="Times New Roman" w:eastAsia="Times New Roman" w:hAnsi="Times New Roman" w:cs="Times New Roman"/>
          <w:lang w:val="sr-Latn-ME"/>
        </w:rPr>
        <w:t>učestalost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mučnine je veća kod žena nego kod muškaraca). </w:t>
      </w:r>
    </w:p>
    <w:p w14:paraId="4986D1FA" w14:textId="77777777" w:rsidR="002C0832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povraćanje, dijareja, bol u gornjem d</w:t>
      </w:r>
      <w:r w:rsidR="002C0832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elu </w:t>
      </w:r>
      <w:r w:rsidR="002C0832" w:rsidRPr="0060351E">
        <w:rPr>
          <w:rFonts w:ascii="Times New Roman" w:eastAsia="Times New Roman" w:hAnsi="Times New Roman" w:cs="Times New Roman"/>
          <w:lang w:val="sr-Latn-ME"/>
        </w:rPr>
        <w:t>abdomena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. </w:t>
      </w:r>
    </w:p>
    <w:p w14:paraId="54E7C932" w14:textId="77777777" w:rsidR="002C0832" w:rsidRPr="0060351E" w:rsidRDefault="002C0832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Povremeno</w:t>
      </w:r>
      <w:r w:rsidR="001536C5" w:rsidRPr="0060351E">
        <w:rPr>
          <w:rFonts w:ascii="Times New Roman" w:eastAsia="Times New Roman" w:hAnsi="Times New Roman" w:cs="Times New Roman"/>
          <w:i/>
          <w:iCs/>
          <w:lang w:val="sr-Latn-ME"/>
        </w:rPr>
        <w:t>:</w:t>
      </w:r>
      <w:r w:rsidR="001536C5" w:rsidRPr="0060351E">
        <w:rPr>
          <w:rFonts w:ascii="Times New Roman" w:eastAsia="Times New Roman" w:hAnsi="Times New Roman" w:cs="Times New Roman"/>
          <w:lang w:val="sr-Latn-ME"/>
        </w:rPr>
        <w:t xml:space="preserve"> inkontinencija stolice. </w:t>
      </w:r>
    </w:p>
    <w:p w14:paraId="4E0D2B28" w14:textId="72C0436E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Nepoznato: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suva usta.</w:t>
      </w:r>
    </w:p>
    <w:p w14:paraId="3A861722" w14:textId="77777777" w:rsidR="002C0832" w:rsidRPr="0060351E" w:rsidRDefault="002C0832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36D65651" w14:textId="77777777" w:rsidR="002C0832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Poremećaji kože i potkožnog tkiva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7BD31C11" w14:textId="77777777" w:rsidR="00B17F7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: hiperhidroza, osip. </w:t>
      </w:r>
    </w:p>
    <w:p w14:paraId="6A3D82FB" w14:textId="0AF533DB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Nepoznato: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urtikarija, angioedem, seboreja.</w:t>
      </w:r>
    </w:p>
    <w:p w14:paraId="34FF298B" w14:textId="77777777" w:rsidR="00B17F75" w:rsidRPr="0060351E" w:rsidRDefault="00B17F7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98FA9E3" w14:textId="77777777" w:rsidR="00B17F7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Poremećaji mišićno-koštanog sistema i vezivnog tkiva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54D6D523" w14:textId="4C1C49BA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60351E">
        <w:rPr>
          <w:rFonts w:ascii="Times New Roman" w:eastAsia="Times New Roman" w:hAnsi="Times New Roman" w:cs="Times New Roman"/>
          <w:lang w:val="sr-Latn-ME"/>
        </w:rPr>
        <w:t>: artralgija, grčevi</w:t>
      </w:r>
      <w:r w:rsidR="00B17F75" w:rsidRPr="0060351E">
        <w:rPr>
          <w:rFonts w:ascii="Times New Roman" w:eastAsia="Times New Roman" w:hAnsi="Times New Roman" w:cs="Times New Roman"/>
          <w:lang w:val="sr-Latn-ME"/>
        </w:rPr>
        <w:t xml:space="preserve"> 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mišić</w:t>
      </w:r>
      <w:r w:rsidR="00B17F75" w:rsidRPr="0060351E">
        <w:rPr>
          <w:rFonts w:ascii="Times New Roman" w:eastAsia="Times New Roman" w:hAnsi="Times New Roman" w:cs="Times New Roman"/>
          <w:lang w:val="sr-Latn-ME"/>
        </w:rPr>
        <w:t>im</w:t>
      </w:r>
      <w:r w:rsidRPr="0060351E">
        <w:rPr>
          <w:rFonts w:ascii="Times New Roman" w:eastAsia="Times New Roman" w:hAnsi="Times New Roman" w:cs="Times New Roman"/>
          <w:lang w:val="sr-Latn-ME"/>
        </w:rPr>
        <w:t>a, bol u leđima.</w:t>
      </w:r>
    </w:p>
    <w:p w14:paraId="1EF3D9C5" w14:textId="77777777" w:rsidR="00B17F75" w:rsidRPr="0060351E" w:rsidRDefault="00B17F7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91E1252" w14:textId="77777777" w:rsidR="00B17F7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Poremećaji bubrega i urinarnog sistema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19D1239B" w14:textId="77777777" w:rsidR="00B17F7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: noćno mokrenje, </w:t>
      </w:r>
      <w:r w:rsidR="00B17F75" w:rsidRPr="0060351E">
        <w:rPr>
          <w:rFonts w:ascii="Times New Roman" w:eastAsia="Times New Roman" w:hAnsi="Times New Roman" w:cs="Times New Roman"/>
          <w:lang w:val="sr-Latn-ME"/>
        </w:rPr>
        <w:t xml:space="preserve">urinarna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inkontinencija. </w:t>
      </w:r>
    </w:p>
    <w:p w14:paraId="50BB8684" w14:textId="0E8B53FF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Nepoznato</w:t>
      </w:r>
      <w:r w:rsidRPr="0060351E">
        <w:rPr>
          <w:rFonts w:ascii="Times New Roman" w:eastAsia="Times New Roman" w:hAnsi="Times New Roman" w:cs="Times New Roman"/>
          <w:lang w:val="sr-Latn-ME"/>
        </w:rPr>
        <w:t>: polakiurija/</w:t>
      </w:r>
      <w:r w:rsidR="00B17F75" w:rsidRPr="0060351E">
        <w:rPr>
          <w:rFonts w:ascii="Times New Roman" w:eastAsia="Times New Roman" w:hAnsi="Times New Roman" w:cs="Times New Roman"/>
          <w:lang w:val="sr-Latn-ME"/>
        </w:rPr>
        <w:t>neod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>l</w:t>
      </w:r>
      <w:r w:rsidR="00B17F75" w:rsidRPr="0060351E">
        <w:rPr>
          <w:rFonts w:ascii="Times New Roman" w:eastAsia="Times New Roman" w:hAnsi="Times New Roman" w:cs="Times New Roman"/>
          <w:lang w:val="sr-Latn-ME"/>
        </w:rPr>
        <w:t>o</w:t>
      </w:r>
      <w:r w:rsidR="00C320D5" w:rsidRPr="0060351E">
        <w:rPr>
          <w:rFonts w:ascii="Times New Roman" w:eastAsia="Times New Roman" w:hAnsi="Times New Roman" w:cs="Times New Roman"/>
          <w:lang w:val="sr-Latn-ME"/>
        </w:rPr>
        <w:t>ž</w:t>
      </w:r>
      <w:r w:rsidR="00B17F75" w:rsidRPr="0060351E">
        <w:rPr>
          <w:rFonts w:ascii="Times New Roman" w:eastAsia="Times New Roman" w:hAnsi="Times New Roman" w:cs="Times New Roman"/>
          <w:lang w:val="sr-Latn-ME"/>
        </w:rPr>
        <w:t>iva potreba za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mokrenj</w:t>
      </w:r>
      <w:r w:rsidR="00B17F75" w:rsidRPr="0060351E">
        <w:rPr>
          <w:rFonts w:ascii="Times New Roman" w:eastAsia="Times New Roman" w:hAnsi="Times New Roman" w:cs="Times New Roman"/>
          <w:lang w:val="sr-Latn-ME"/>
        </w:rPr>
        <w:t>em</w:t>
      </w:r>
      <w:r w:rsidRPr="0060351E">
        <w:rPr>
          <w:rFonts w:ascii="Times New Roman" w:eastAsia="Times New Roman" w:hAnsi="Times New Roman" w:cs="Times New Roman"/>
          <w:lang w:val="sr-Latn-ME"/>
        </w:rPr>
        <w:t>, nokturija.</w:t>
      </w:r>
    </w:p>
    <w:p w14:paraId="4302B151" w14:textId="77777777" w:rsidR="00220D0A" w:rsidRPr="0060351E" w:rsidRDefault="00220D0A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1937C5C" w14:textId="77777777" w:rsidR="00220D0A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Opšti poremećaji i </w:t>
      </w:r>
      <w:r w:rsidR="00220D0A" w:rsidRPr="0060351E">
        <w:rPr>
          <w:rFonts w:ascii="Times New Roman" w:eastAsia="Times New Roman" w:hAnsi="Times New Roman" w:cs="Times New Roman"/>
          <w:u w:val="single"/>
          <w:lang w:val="sr-Latn-ME"/>
        </w:rPr>
        <w:t>reakcije</w:t>
      </w: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 na m</w:t>
      </w:r>
      <w:r w:rsidR="00220D0A" w:rsidRPr="0060351E">
        <w:rPr>
          <w:rFonts w:ascii="Times New Roman" w:eastAsia="Times New Roman" w:hAnsi="Times New Roman" w:cs="Times New Roman"/>
          <w:u w:val="single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u w:val="single"/>
          <w:lang w:val="sr-Latn-ME"/>
        </w:rPr>
        <w:t>estu prim</w:t>
      </w:r>
      <w:r w:rsidR="00220D0A" w:rsidRPr="0060351E">
        <w:rPr>
          <w:rFonts w:ascii="Times New Roman" w:eastAsia="Times New Roman" w:hAnsi="Times New Roman" w:cs="Times New Roman"/>
          <w:u w:val="single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u w:val="single"/>
          <w:lang w:val="sr-Latn-ME"/>
        </w:rPr>
        <w:t>ene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452457E2" w14:textId="5FB9ADF3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astenija, umor, os</w:t>
      </w:r>
      <w:r w:rsidR="00A3482F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ećaj </w:t>
      </w:r>
      <w:r w:rsidR="00A3482F" w:rsidRPr="0060351E">
        <w:rPr>
          <w:rFonts w:ascii="Times New Roman" w:eastAsia="Times New Roman" w:hAnsi="Times New Roman" w:cs="Times New Roman"/>
          <w:lang w:val="sr-Latn-ME"/>
        </w:rPr>
        <w:t>opijenosti</w:t>
      </w:r>
      <w:r w:rsidRPr="0060351E">
        <w:rPr>
          <w:rFonts w:ascii="Times New Roman" w:eastAsia="Times New Roman" w:hAnsi="Times New Roman" w:cs="Times New Roman"/>
          <w:lang w:val="sr-Latn-ME"/>
        </w:rPr>
        <w:t>, periferni edem.</w:t>
      </w:r>
    </w:p>
    <w:p w14:paraId="212B648D" w14:textId="77777777" w:rsidR="00A3482F" w:rsidRPr="0060351E" w:rsidRDefault="00A3482F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B7EB052" w14:textId="77777777" w:rsidR="00A3482F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Ispitivanja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1E4C6274" w14:textId="627EF951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povišen krvni pritisak, smanjenje t</w:t>
      </w:r>
      <w:r w:rsidR="00A3482F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elesne </w:t>
      </w:r>
      <w:r w:rsidR="00A3482F" w:rsidRPr="0060351E">
        <w:rPr>
          <w:rFonts w:ascii="Times New Roman" w:eastAsia="Times New Roman" w:hAnsi="Times New Roman" w:cs="Times New Roman"/>
          <w:lang w:val="sr-Latn-ME"/>
        </w:rPr>
        <w:t>mase</w:t>
      </w:r>
      <w:r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05D76E81" w14:textId="77777777" w:rsidR="00A3482F" w:rsidRPr="0060351E" w:rsidRDefault="00A3482F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7BDAD0F" w14:textId="77777777" w:rsidR="00A3482F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Povrede, trovanja i </w:t>
      </w:r>
      <w:r w:rsidR="00A3482F" w:rsidRPr="0060351E">
        <w:rPr>
          <w:rFonts w:ascii="Times New Roman" w:eastAsia="Times New Roman" w:hAnsi="Times New Roman" w:cs="Times New Roman"/>
          <w:u w:val="single"/>
          <w:lang w:val="sr-Latn-ME"/>
        </w:rPr>
        <w:t xml:space="preserve">proceduralne </w:t>
      </w:r>
      <w:r w:rsidRPr="0060351E">
        <w:rPr>
          <w:rFonts w:ascii="Times New Roman" w:eastAsia="Times New Roman" w:hAnsi="Times New Roman" w:cs="Times New Roman"/>
          <w:u w:val="single"/>
          <w:lang w:val="sr-Latn-ME"/>
        </w:rPr>
        <w:t>komplikacije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7369BE73" w14:textId="0CC25EDB" w:rsidR="001536C5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lang w:val="sr-Latn-ME"/>
        </w:rPr>
        <w:t>Često: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pad.</w:t>
      </w:r>
    </w:p>
    <w:p w14:paraId="6B29A6FC" w14:textId="77777777" w:rsidR="00A3482F" w:rsidRPr="0060351E" w:rsidRDefault="00A3482F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2944715" w14:textId="77777777" w:rsidR="00A3482F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Opis odabranih neželjenih reakcija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</w:p>
    <w:p w14:paraId="38500631" w14:textId="0962F223" w:rsidR="00930311" w:rsidRPr="0060351E" w:rsidRDefault="001536C5" w:rsidP="00153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Kod nekih pacijenata</w:t>
      </w:r>
      <w:r w:rsidR="00A3482F" w:rsidRPr="0060351E">
        <w:rPr>
          <w:rFonts w:ascii="Times New Roman" w:eastAsia="Times New Roman" w:hAnsi="Times New Roman" w:cs="Times New Roman"/>
          <w:lang w:val="sr-Latn-ME"/>
        </w:rPr>
        <w:t xml:space="preserve"> ukidanje</w:t>
      </w:r>
      <w:r w:rsidR="00EA516C" w:rsidRPr="0060351E">
        <w:rPr>
          <w:rFonts w:ascii="Times New Roman" w:eastAsia="Times New Roman" w:hAnsi="Times New Roman" w:cs="Times New Roman"/>
          <w:lang w:val="sr-Latn-ME"/>
        </w:rPr>
        <w:t>m terapije natrijum oksibata može se ponovo javiti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katapleksija</w:t>
      </w:r>
      <w:r w:rsidR="00EA516C" w:rsidRPr="0060351E">
        <w:rPr>
          <w:rFonts w:ascii="Times New Roman" w:eastAsia="Times New Roman" w:hAnsi="Times New Roman" w:cs="Times New Roman"/>
          <w:lang w:val="sr-Latn-ME"/>
        </w:rPr>
        <w:t xml:space="preserve"> i to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većom učestalošću</w:t>
      </w:r>
      <w:r w:rsidR="002479B3" w:rsidRPr="0060351E">
        <w:rPr>
          <w:rFonts w:ascii="Times New Roman" w:eastAsia="Times New Roman" w:hAnsi="Times New Roman" w:cs="Times New Roman"/>
          <w:lang w:val="sr-Latn-ME"/>
        </w:rPr>
        <w:t>;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međutim, to može biti posl</w:t>
      </w:r>
      <w:r w:rsidR="002479B3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edica normalne varijabilnosti </w:t>
      </w:r>
      <w:r w:rsidR="002479B3" w:rsidRPr="0060351E">
        <w:rPr>
          <w:rFonts w:ascii="Times New Roman" w:eastAsia="Times New Roman" w:hAnsi="Times New Roman" w:cs="Times New Roman"/>
          <w:lang w:val="sr-Latn-ME"/>
        </w:rPr>
        <w:t xml:space="preserve">osnovne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bolesti. Iako kliničko iskustvo sa natrijum oksibatom </w:t>
      </w:r>
      <w:r w:rsidR="002479B3" w:rsidRPr="0060351E">
        <w:rPr>
          <w:rFonts w:ascii="Times New Roman" w:eastAsia="Times New Roman" w:hAnsi="Times New Roman" w:cs="Times New Roman"/>
          <w:lang w:val="sr-Latn-ME"/>
        </w:rPr>
        <w:t xml:space="preserve">u terapijskim dozama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kod pacijenata sa narkolepsijom/katapleksijom </w:t>
      </w:r>
      <w:r w:rsidR="002479B3" w:rsidRPr="0060351E">
        <w:rPr>
          <w:rFonts w:ascii="Times New Roman" w:eastAsia="Times New Roman" w:hAnsi="Times New Roman" w:cs="Times New Roman"/>
          <w:lang w:val="sr-Latn-ME"/>
        </w:rPr>
        <w:t>ne</w:t>
      </w:r>
      <w:r w:rsidR="00346A12" w:rsidRPr="0060351E">
        <w:rPr>
          <w:rFonts w:ascii="Times New Roman" w:eastAsia="Times New Roman" w:hAnsi="Times New Roman" w:cs="Times New Roman"/>
          <w:lang w:val="sr-Latn-ME"/>
        </w:rPr>
        <w:t xml:space="preserve"> ukazuje na mogućnost pojave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si</w:t>
      </w:r>
      <w:r w:rsidR="00346A12" w:rsidRPr="0060351E">
        <w:rPr>
          <w:rFonts w:ascii="Times New Roman" w:eastAsia="Times New Roman" w:hAnsi="Times New Roman" w:cs="Times New Roman"/>
          <w:lang w:val="sr-Latn-ME"/>
        </w:rPr>
        <w:t>mptoma obustave</w:t>
      </w:r>
      <w:r w:rsidRPr="0060351E">
        <w:rPr>
          <w:rFonts w:ascii="Times New Roman" w:eastAsia="Times New Roman" w:hAnsi="Times New Roman" w:cs="Times New Roman"/>
          <w:lang w:val="sr-Latn-ME"/>
        </w:rPr>
        <w:t>, u r</w:t>
      </w:r>
      <w:r w:rsidR="00346A12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etkim slučajevima</w:t>
      </w:r>
      <w:r w:rsidR="006A47D5" w:rsidRPr="0060351E">
        <w:rPr>
          <w:rFonts w:ascii="Times New Roman" w:eastAsia="Times New Roman" w:hAnsi="Times New Roman" w:cs="Times New Roman"/>
          <w:lang w:val="sr-Latn-ME"/>
        </w:rPr>
        <w:t>, nakon prekida primjene GHB-a zabilježene su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neželjene reakcije kao što </w:t>
      </w:r>
      <w:r w:rsidR="006A47D5" w:rsidRPr="0060351E">
        <w:rPr>
          <w:rFonts w:ascii="Times New Roman" w:eastAsia="Times New Roman" w:hAnsi="Times New Roman" w:cs="Times New Roman"/>
          <w:lang w:val="sr-Latn-ME"/>
        </w:rPr>
        <w:t>insomnija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, glavobolja, anksioznost, vrtoglavica, poremećaj spavanja, </w:t>
      </w:r>
      <w:r w:rsidR="006A47D5" w:rsidRPr="0060351E">
        <w:rPr>
          <w:rFonts w:ascii="Times New Roman" w:eastAsia="Times New Roman" w:hAnsi="Times New Roman" w:cs="Times New Roman"/>
          <w:lang w:val="sr-Latn-ME"/>
        </w:rPr>
        <w:t>som</w:t>
      </w:r>
      <w:r w:rsidR="00A26387" w:rsidRPr="0060351E">
        <w:rPr>
          <w:rFonts w:ascii="Times New Roman" w:eastAsia="Times New Roman" w:hAnsi="Times New Roman" w:cs="Times New Roman"/>
          <w:lang w:val="sr-Latn-ME"/>
        </w:rPr>
        <w:t>nolencija</w:t>
      </w:r>
      <w:r w:rsidRPr="0060351E">
        <w:rPr>
          <w:rFonts w:ascii="Times New Roman" w:eastAsia="Times New Roman" w:hAnsi="Times New Roman" w:cs="Times New Roman"/>
          <w:lang w:val="sr-Latn-ME"/>
        </w:rPr>
        <w:t>, halucinacije i psih</w:t>
      </w:r>
      <w:r w:rsidR="00A26387" w:rsidRPr="0060351E">
        <w:rPr>
          <w:rFonts w:ascii="Times New Roman" w:eastAsia="Times New Roman" w:hAnsi="Times New Roman" w:cs="Times New Roman"/>
          <w:lang w:val="sr-Latn-ME"/>
        </w:rPr>
        <w:t>otični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poremećaji.</w:t>
      </w:r>
    </w:p>
    <w:p w14:paraId="04950A27" w14:textId="77777777" w:rsidR="000755F2" w:rsidRPr="0060351E" w:rsidRDefault="000755F2" w:rsidP="0093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0A62A2" w14:textId="77777777" w:rsidR="00930311" w:rsidRPr="0060351E" w:rsidRDefault="00930311" w:rsidP="00930311">
      <w:pPr>
        <w:spacing w:after="200" w:line="276" w:lineRule="auto"/>
        <w:jc w:val="both"/>
        <w:rPr>
          <w:rFonts w:ascii="Times New Roman" w:eastAsia="Calibri" w:hAnsi="Times New Roman" w:cs="Times New Roman"/>
          <w:u w:val="single"/>
          <w:lang w:val="sr-Latn-ME"/>
        </w:rPr>
      </w:pPr>
      <w:r w:rsidRPr="0060351E">
        <w:rPr>
          <w:rFonts w:ascii="Times New Roman" w:eastAsia="Calibri" w:hAnsi="Times New Roman" w:cs="Times New Roman"/>
          <w:u w:val="single"/>
          <w:lang w:val="sr-Latn-ME"/>
        </w:rPr>
        <w:t>Prijavljivanje sumnji na neželjena dejstva</w:t>
      </w:r>
    </w:p>
    <w:p w14:paraId="3676E314" w14:textId="77777777" w:rsidR="00930311" w:rsidRPr="0060351E" w:rsidRDefault="00930311" w:rsidP="00930311">
      <w:pPr>
        <w:spacing w:after="20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60351E">
        <w:rPr>
          <w:rFonts w:ascii="Times New Roman" w:eastAsia="Calibri" w:hAnsi="Times New Roman" w:cs="Times New Roman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 (CInMED):</w:t>
      </w:r>
    </w:p>
    <w:p w14:paraId="09F2446B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60351E">
        <w:rPr>
          <w:rFonts w:ascii="Times New Roman" w:eastAsia="Calibri" w:hAnsi="Times New Roman" w:cs="Times New Roman"/>
          <w:lang w:val="sr-Latn-ME"/>
        </w:rPr>
        <w:t xml:space="preserve">Institut za ljekove i medicinska sredstva </w:t>
      </w:r>
    </w:p>
    <w:p w14:paraId="2E3781A8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60351E">
        <w:rPr>
          <w:rFonts w:ascii="Times New Roman" w:eastAsia="Calibri" w:hAnsi="Times New Roman" w:cs="Times New Roman"/>
          <w:lang w:val="sr-Latn-ME"/>
        </w:rPr>
        <w:t>Odjeljenje za farmakovigilancu</w:t>
      </w:r>
    </w:p>
    <w:p w14:paraId="2275DA22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60351E">
        <w:rPr>
          <w:rFonts w:ascii="Times New Roman" w:eastAsia="Calibri" w:hAnsi="Times New Roman" w:cs="Times New Roman"/>
          <w:lang w:val="sr-Latn-ME"/>
        </w:rPr>
        <w:lastRenderedPageBreak/>
        <w:t>Bulevar Ivana Crnojevića 64a, 81000 Podgorica</w:t>
      </w:r>
    </w:p>
    <w:p w14:paraId="1E3E0480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</w:p>
    <w:p w14:paraId="4C3F542D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60351E">
        <w:rPr>
          <w:rFonts w:ascii="Times New Roman" w:eastAsia="Calibri" w:hAnsi="Times New Roman" w:cs="Times New Roman"/>
          <w:lang w:val="sr-Latn-ME"/>
        </w:rPr>
        <w:t>tel: +382 (0) 20 310 280</w:t>
      </w:r>
    </w:p>
    <w:p w14:paraId="348D2C99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60351E">
        <w:rPr>
          <w:rFonts w:ascii="Times New Roman" w:eastAsia="Calibri" w:hAnsi="Times New Roman" w:cs="Times New Roman"/>
          <w:lang w:val="sr-Latn-ME"/>
        </w:rPr>
        <w:t>fax: +382 (0) 20 310 581</w:t>
      </w:r>
    </w:p>
    <w:p w14:paraId="26F4B2CA" w14:textId="77777777" w:rsidR="00930311" w:rsidRPr="0060351E" w:rsidRDefault="00641E67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hyperlink r:id="rId8" w:history="1">
        <w:r w:rsidR="00930311" w:rsidRPr="0060351E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www.cinmed.me</w:t>
        </w:r>
      </w:hyperlink>
    </w:p>
    <w:p w14:paraId="147BB49F" w14:textId="77777777" w:rsidR="00930311" w:rsidRPr="0060351E" w:rsidRDefault="00641E67" w:rsidP="00930311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u w:val="single"/>
          <w:lang w:val="sr-Latn-ME"/>
        </w:rPr>
      </w:pPr>
      <w:hyperlink r:id="rId9" w:history="1">
        <w:r w:rsidR="00930311" w:rsidRPr="0060351E">
          <w:rPr>
            <w:rStyle w:val="Hyperlink"/>
            <w:rFonts w:ascii="Times New Roman" w:eastAsia="Calibri" w:hAnsi="Times New Roman" w:cs="Times New Roman"/>
            <w:color w:val="0563C1"/>
            <w:lang w:val="sr-Latn-ME"/>
          </w:rPr>
          <w:t>nezeljenadejstva@cinmed.me</w:t>
        </w:r>
      </w:hyperlink>
    </w:p>
    <w:p w14:paraId="68CCE4F1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Calibri" w:hAnsi="Times New Roman" w:cs="Times New Roman"/>
          <w:lang w:val="sr-Latn-ME"/>
        </w:rPr>
      </w:pPr>
      <w:r w:rsidRPr="0060351E">
        <w:rPr>
          <w:rFonts w:ascii="Times New Roman" w:eastAsia="Calibri" w:hAnsi="Times New Roman" w:cs="Times New Roman"/>
          <w:lang w:val="sr-Latn-ME"/>
        </w:rPr>
        <w:t>putem IS zdravstvene zaštite</w:t>
      </w:r>
    </w:p>
    <w:p w14:paraId="0493B28B" w14:textId="77777777" w:rsidR="009A7C03" w:rsidRPr="0060351E" w:rsidRDefault="009A7C03" w:rsidP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QR kod za online prijavu sumnje na neželjeno dejstvo lijeka:</w:t>
      </w:r>
    </w:p>
    <w:p w14:paraId="313541C8" w14:textId="77777777" w:rsidR="009A7C03" w:rsidRPr="0060351E" w:rsidRDefault="009A7C03" w:rsidP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32973D7" w14:textId="0A9B0250" w:rsidR="009A7C03" w:rsidRPr="0060351E" w:rsidRDefault="00517442" w:rsidP="009A7C0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7F661E">
        <w:rPr>
          <w:b/>
          <w:bCs/>
          <w:noProof/>
        </w:rPr>
        <w:drawing>
          <wp:inline distT="0" distB="0" distL="0" distR="0" wp14:anchorId="77B45E52" wp14:editId="5D9376E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77DFB3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CCD89F3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4.9.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Predoziranje </w:t>
      </w:r>
    </w:p>
    <w:p w14:paraId="24322AC3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67725DA3" w14:textId="2023F905" w:rsidR="00317EA5" w:rsidRPr="0060351E" w:rsidRDefault="00317EA5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Informacije o znacima i simptomima povezanim sa predoziranjem natrijum oksibatom su ograničene. Većina podataka potiče od nedozvoljene upotrebe GHB. Natrijum oksibat je natrijumova so GHB</w:t>
      </w:r>
      <w:r w:rsidR="00A26387" w:rsidRPr="0060351E">
        <w:rPr>
          <w:rFonts w:ascii="Times New Roman" w:eastAsia="Times New Roman" w:hAnsi="Times New Roman" w:cs="Times New Roman"/>
          <w:lang w:val="sr-Latn-ME"/>
        </w:rPr>
        <w:t>-a</w:t>
      </w:r>
      <w:r w:rsidRPr="0060351E">
        <w:rPr>
          <w:rFonts w:ascii="Times New Roman" w:eastAsia="Times New Roman" w:hAnsi="Times New Roman" w:cs="Times New Roman"/>
          <w:lang w:val="sr-Latn-ME"/>
        </w:rPr>
        <w:t>. Događaji povezani sa s</w:t>
      </w:r>
      <w:r w:rsidR="00A26387" w:rsidRPr="0060351E">
        <w:rPr>
          <w:rFonts w:ascii="Times New Roman" w:eastAsia="Times New Roman" w:hAnsi="Times New Roman" w:cs="Times New Roman"/>
          <w:lang w:val="sr-Latn-ME"/>
        </w:rPr>
        <w:t>imptomima obustave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874AEF" w:rsidRPr="0060351E">
        <w:rPr>
          <w:rFonts w:ascii="Times New Roman" w:eastAsia="Times New Roman" w:hAnsi="Times New Roman" w:cs="Times New Roman"/>
          <w:lang w:val="sr-Latn-ME"/>
        </w:rPr>
        <w:t>zabilježeni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</w:t>
      </w:r>
      <w:r w:rsidR="00874AEF" w:rsidRPr="0060351E">
        <w:rPr>
          <w:rFonts w:ascii="Times New Roman" w:eastAsia="Times New Roman" w:hAnsi="Times New Roman" w:cs="Times New Roman"/>
          <w:lang w:val="sr-Latn-ME"/>
        </w:rPr>
        <w:t xml:space="preserve">pri dozama koje su bile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izvan terapijskog </w:t>
      </w:r>
      <w:r w:rsidR="00874AEF" w:rsidRPr="0060351E">
        <w:rPr>
          <w:rFonts w:ascii="Times New Roman" w:eastAsia="Times New Roman" w:hAnsi="Times New Roman" w:cs="Times New Roman"/>
          <w:lang w:val="sr-Latn-ME"/>
        </w:rPr>
        <w:t>raspona</w:t>
      </w:r>
      <w:r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297F3512" w14:textId="77777777" w:rsidR="00317EA5" w:rsidRPr="0060351E" w:rsidRDefault="00317EA5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023BAE0" w14:textId="77777777" w:rsidR="00317EA5" w:rsidRPr="0060351E" w:rsidRDefault="00317EA5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Simptomi</w:t>
      </w:r>
    </w:p>
    <w:p w14:paraId="45C4D3DB" w14:textId="36C8D918" w:rsidR="00317EA5" w:rsidRPr="0060351E" w:rsidRDefault="00317EA5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Pacijenti su ispoljili različite stepene </w:t>
      </w:r>
      <w:r w:rsidR="00456BA7" w:rsidRPr="0060351E">
        <w:rPr>
          <w:rFonts w:ascii="Times New Roman" w:eastAsia="Times New Roman" w:hAnsi="Times New Roman" w:cs="Times New Roman"/>
          <w:lang w:val="sr-Latn-ME"/>
        </w:rPr>
        <w:t>suženog stanja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sv</w:t>
      </w:r>
      <w:r w:rsidR="00456BA7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esti koj</w:t>
      </w:r>
      <w:r w:rsidR="00456BA7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može </w:t>
      </w:r>
      <w:r w:rsidR="00456BA7" w:rsidRPr="0060351E">
        <w:rPr>
          <w:rFonts w:ascii="Times New Roman" w:eastAsia="Times New Roman" w:hAnsi="Times New Roman" w:cs="Times New Roman"/>
          <w:lang w:val="sr-Latn-ME"/>
        </w:rPr>
        <w:t>značajno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varira</w:t>
      </w:r>
      <w:r w:rsidR="00456BA7" w:rsidRPr="0060351E">
        <w:rPr>
          <w:rFonts w:ascii="Times New Roman" w:eastAsia="Times New Roman" w:hAnsi="Times New Roman" w:cs="Times New Roman"/>
          <w:lang w:val="sr-Latn-ME"/>
        </w:rPr>
        <w:t>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287777" w:rsidRPr="0060351E">
        <w:rPr>
          <w:rFonts w:ascii="Times New Roman" w:eastAsia="Times New Roman" w:hAnsi="Times New Roman" w:cs="Times New Roman"/>
          <w:lang w:val="sr-Latn-ME"/>
        </w:rPr>
        <w:t>od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konfuz</w:t>
      </w:r>
      <w:r w:rsidR="00287777" w:rsidRPr="0060351E">
        <w:rPr>
          <w:rFonts w:ascii="Times New Roman" w:eastAsia="Times New Roman" w:hAnsi="Times New Roman" w:cs="Times New Roman"/>
          <w:lang w:val="sr-Latn-ME"/>
        </w:rPr>
        <w:t>ije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, </w:t>
      </w:r>
      <w:r w:rsidR="00287777" w:rsidRPr="0060351E">
        <w:rPr>
          <w:rFonts w:ascii="Times New Roman" w:eastAsia="Times New Roman" w:hAnsi="Times New Roman" w:cs="Times New Roman"/>
          <w:lang w:val="sr-Latn-ME"/>
        </w:rPr>
        <w:t>agitiranog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borbenog stanja sa ataksijom i komom. </w:t>
      </w:r>
      <w:r w:rsidR="006076F1" w:rsidRPr="0060351E">
        <w:rPr>
          <w:rFonts w:ascii="Times New Roman" w:eastAsia="Times New Roman" w:hAnsi="Times New Roman" w:cs="Times New Roman"/>
          <w:lang w:val="sr-Latn-ME"/>
        </w:rPr>
        <w:t>Isto tako 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ože se </w:t>
      </w:r>
      <w:r w:rsidR="006076F1" w:rsidRPr="0060351E">
        <w:rPr>
          <w:rFonts w:ascii="Times New Roman" w:eastAsia="Times New Roman" w:hAnsi="Times New Roman" w:cs="Times New Roman"/>
          <w:lang w:val="sr-Latn-ME"/>
        </w:rPr>
        <w:t>javiti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povraćanje (čak i </w:t>
      </w:r>
      <w:r w:rsidR="006076F1" w:rsidRPr="0060351E">
        <w:rPr>
          <w:rFonts w:ascii="Times New Roman" w:eastAsia="Times New Roman" w:hAnsi="Times New Roman" w:cs="Times New Roman"/>
          <w:lang w:val="sr-Latn-ME"/>
        </w:rPr>
        <w:t>kod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poreme</w:t>
      </w:r>
      <w:r w:rsidR="00B617FF" w:rsidRPr="0060351E">
        <w:rPr>
          <w:rFonts w:ascii="Times New Roman" w:eastAsia="Times New Roman" w:hAnsi="Times New Roman" w:cs="Times New Roman"/>
          <w:lang w:val="sr-Latn-ME"/>
        </w:rPr>
        <w:t>ćaja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sv</w:t>
      </w:r>
      <w:r w:rsidR="00B617FF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</w:t>
      </w:r>
      <w:r w:rsidR="00B617FF" w:rsidRPr="0060351E">
        <w:rPr>
          <w:rFonts w:ascii="Times New Roman" w:eastAsia="Times New Roman" w:hAnsi="Times New Roman" w:cs="Times New Roman"/>
          <w:lang w:val="sr-Latn-ME"/>
        </w:rPr>
        <w:t>sti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), </w:t>
      </w:r>
      <w:r w:rsidR="00B617FF" w:rsidRPr="0060351E">
        <w:rPr>
          <w:rFonts w:ascii="Times New Roman" w:eastAsia="Times New Roman" w:hAnsi="Times New Roman" w:cs="Times New Roman"/>
          <w:lang w:val="sr-Latn-ME"/>
        </w:rPr>
        <w:t>pojačano znojenje</w:t>
      </w:r>
      <w:r w:rsidRPr="0060351E">
        <w:rPr>
          <w:rFonts w:ascii="Times New Roman" w:eastAsia="Times New Roman" w:hAnsi="Times New Roman" w:cs="Times New Roman"/>
          <w:lang w:val="sr-Latn-ME"/>
        </w:rPr>
        <w:t>, glavobolja i por</w:t>
      </w:r>
      <w:r w:rsidR="00B617FF" w:rsidRPr="0060351E">
        <w:rPr>
          <w:rFonts w:ascii="Times New Roman" w:eastAsia="Times New Roman" w:hAnsi="Times New Roman" w:cs="Times New Roman"/>
          <w:lang w:val="sr-Latn-ME"/>
        </w:rPr>
        <w:t>emećaj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psihomotoričke sposobnosti. Prijavljen je zamagljen vid. Pri većim dozama </w:t>
      </w:r>
      <w:r w:rsidR="00F94B12" w:rsidRPr="0060351E">
        <w:rPr>
          <w:rFonts w:ascii="Times New Roman" w:eastAsia="Times New Roman" w:hAnsi="Times New Roman" w:cs="Times New Roman"/>
          <w:lang w:val="sr-Latn-ME"/>
        </w:rPr>
        <w:t>uočeno je povećanje stepena kom</w:t>
      </w:r>
      <w:r w:rsidR="00C63F6A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2B00400B" w14:textId="40B50EAC" w:rsidR="00317EA5" w:rsidRPr="0060351E" w:rsidRDefault="00317EA5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Prijavljeni su </w:t>
      </w:r>
      <w:r w:rsidR="0045235C" w:rsidRPr="0060351E">
        <w:rPr>
          <w:rFonts w:ascii="Times New Roman" w:eastAsia="Times New Roman" w:hAnsi="Times New Roman" w:cs="Times New Roman"/>
          <w:lang w:val="sr-Latn-ME"/>
        </w:rPr>
        <w:t xml:space="preserve">i </w:t>
      </w:r>
      <w:r w:rsidRPr="0060351E">
        <w:rPr>
          <w:rFonts w:ascii="Times New Roman" w:eastAsia="Times New Roman" w:hAnsi="Times New Roman" w:cs="Times New Roman"/>
          <w:lang w:val="sr-Latn-ME"/>
        </w:rPr>
        <w:t>mioklonus i tonično-klonični napadi. Postoje izv</w:t>
      </w:r>
      <w:r w:rsidR="0045235C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eštaji o </w:t>
      </w:r>
      <w:r w:rsidR="009F639A" w:rsidRPr="0060351E">
        <w:rPr>
          <w:rFonts w:ascii="Times New Roman" w:eastAsia="Times New Roman" w:hAnsi="Times New Roman" w:cs="Times New Roman"/>
          <w:lang w:val="sr-Latn-ME"/>
        </w:rPr>
        <w:t>smanjenoj frek</w:t>
      </w:r>
      <w:r w:rsidR="00C8005E" w:rsidRPr="0060351E">
        <w:rPr>
          <w:rFonts w:ascii="Times New Roman" w:eastAsia="Times New Roman" w:hAnsi="Times New Roman" w:cs="Times New Roman"/>
          <w:lang w:val="sr-Latn-ME"/>
        </w:rPr>
        <w:t>venciji 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dubini disanja i </w:t>
      </w:r>
      <w:r w:rsidR="00C8005E" w:rsidRPr="0060351E">
        <w:rPr>
          <w:rFonts w:ascii="Times New Roman" w:eastAsia="Times New Roman" w:hAnsi="Times New Roman" w:cs="Times New Roman"/>
          <w:lang w:val="sr-Latn-ME"/>
        </w:rPr>
        <w:t>p</w:t>
      </w:r>
      <w:r w:rsidRPr="0060351E">
        <w:rPr>
          <w:rFonts w:ascii="Times New Roman" w:eastAsia="Times New Roman" w:hAnsi="Times New Roman" w:cs="Times New Roman"/>
          <w:lang w:val="sr-Latn-ME"/>
        </w:rPr>
        <w:t>o</w:t>
      </w:r>
      <w:r w:rsidR="00C8005E" w:rsidRPr="0060351E">
        <w:rPr>
          <w:rFonts w:ascii="Times New Roman" w:eastAsia="Times New Roman" w:hAnsi="Times New Roman" w:cs="Times New Roman"/>
          <w:lang w:val="sr-Latn-ME"/>
        </w:rPr>
        <w:t xml:space="preserve"> život opasnoj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respiratornoj depresiji koja zaht</w:t>
      </w:r>
      <w:r w:rsidR="00C8005E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eva intubaciju i </w:t>
      </w:r>
      <w:r w:rsidR="008D455D" w:rsidRPr="0060351E">
        <w:rPr>
          <w:rFonts w:ascii="Times New Roman" w:eastAsia="Times New Roman" w:hAnsi="Times New Roman" w:cs="Times New Roman"/>
          <w:lang w:val="sr-Latn-ME"/>
        </w:rPr>
        <w:t>v</w:t>
      </w:r>
      <w:r w:rsidR="008619FA" w:rsidRPr="0060351E">
        <w:rPr>
          <w:rFonts w:ascii="Times New Roman" w:eastAsia="Times New Roman" w:hAnsi="Times New Roman" w:cs="Times New Roman"/>
          <w:lang w:val="sr-Latn-ME"/>
        </w:rPr>
        <w:t xml:space="preserve">ještačku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ventilaciju. Uočeno je </w:t>
      </w:r>
      <w:r w:rsidR="008619FA" w:rsidRPr="0060351E">
        <w:rPr>
          <w:rFonts w:ascii="Times New Roman" w:eastAsia="Times New Roman" w:hAnsi="Times New Roman" w:cs="Times New Roman"/>
          <w:lang w:val="sr-Latn-ME"/>
        </w:rPr>
        <w:t xml:space="preserve">i </w:t>
      </w:r>
      <w:r w:rsidRPr="0060351E">
        <w:rPr>
          <w:rFonts w:ascii="Times New Roman" w:eastAsia="Times New Roman" w:hAnsi="Times New Roman" w:cs="Times New Roman"/>
          <w:lang w:val="sr-Latn-ME"/>
        </w:rPr>
        <w:t>Che</w:t>
      </w:r>
      <w:r w:rsidR="008619FA" w:rsidRPr="0060351E">
        <w:rPr>
          <w:rFonts w:ascii="Times New Roman" w:eastAsia="Times New Roman" w:hAnsi="Times New Roman" w:cs="Times New Roman"/>
          <w:lang w:val="sr-Latn-ME"/>
        </w:rPr>
        <w:t>y</w:t>
      </w:r>
      <w:r w:rsidRPr="0060351E">
        <w:rPr>
          <w:rFonts w:ascii="Times New Roman" w:eastAsia="Times New Roman" w:hAnsi="Times New Roman" w:cs="Times New Roman"/>
          <w:lang w:val="sr-Latn-ME"/>
        </w:rPr>
        <w:t>ne</w:t>
      </w:r>
      <w:r w:rsidR="008619FA" w:rsidRPr="0060351E">
        <w:rPr>
          <w:rFonts w:ascii="Times New Roman" w:eastAsia="Times New Roman" w:hAnsi="Times New Roman" w:cs="Times New Roman"/>
          <w:lang w:val="sr-Latn-ME"/>
        </w:rPr>
        <w:t>-</w:t>
      </w:r>
      <w:r w:rsidRPr="0060351E">
        <w:rPr>
          <w:rFonts w:ascii="Times New Roman" w:eastAsia="Times New Roman" w:hAnsi="Times New Roman" w:cs="Times New Roman"/>
          <w:lang w:val="sr-Latn-ME"/>
        </w:rPr>
        <w:t>Stoke</w:t>
      </w:r>
      <w:r w:rsidR="008619FA" w:rsidRPr="0060351E">
        <w:rPr>
          <w:rFonts w:ascii="Times New Roman" w:eastAsia="Times New Roman" w:hAnsi="Times New Roman" w:cs="Times New Roman"/>
          <w:lang w:val="sr-Latn-ME"/>
        </w:rPr>
        <w:t>s-ov</w:t>
      </w:r>
      <w:r w:rsidR="0097348B" w:rsidRPr="0060351E">
        <w:rPr>
          <w:rFonts w:ascii="Times New Roman" w:eastAsia="Times New Roman" w:hAnsi="Times New Roman" w:cs="Times New Roman"/>
          <w:lang w:val="sr-Latn-ME"/>
        </w:rPr>
        <w:t>o disanje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 apnea.</w:t>
      </w:r>
      <w:r w:rsidR="0097348B" w:rsidRPr="0060351E">
        <w:rPr>
          <w:rFonts w:ascii="Times New Roman" w:eastAsia="Times New Roman" w:hAnsi="Times New Roman" w:cs="Times New Roman"/>
          <w:lang w:val="sr-Latn-ME"/>
        </w:rPr>
        <w:t xml:space="preserve"> Gubitak svijesti može biti praćen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97348B" w:rsidRPr="0060351E">
        <w:rPr>
          <w:rFonts w:ascii="Times New Roman" w:eastAsia="Times New Roman" w:hAnsi="Times New Roman" w:cs="Times New Roman"/>
          <w:lang w:val="sr-Latn-ME"/>
        </w:rPr>
        <w:t>b</w:t>
      </w:r>
      <w:r w:rsidRPr="0060351E">
        <w:rPr>
          <w:rFonts w:ascii="Times New Roman" w:eastAsia="Times New Roman" w:hAnsi="Times New Roman" w:cs="Times New Roman"/>
          <w:lang w:val="sr-Latn-ME"/>
        </w:rPr>
        <w:t>radikardij</w:t>
      </w:r>
      <w:r w:rsidR="0097348B" w:rsidRPr="0060351E">
        <w:rPr>
          <w:rFonts w:ascii="Times New Roman" w:eastAsia="Times New Roman" w:hAnsi="Times New Roman" w:cs="Times New Roman"/>
          <w:lang w:val="sr-Latn-ME"/>
        </w:rPr>
        <w:t>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 hipotermij</w:t>
      </w:r>
      <w:r w:rsidR="00DB711B" w:rsidRPr="0060351E">
        <w:rPr>
          <w:rFonts w:ascii="Times New Roman" w:eastAsia="Times New Roman" w:hAnsi="Times New Roman" w:cs="Times New Roman"/>
          <w:lang w:val="sr-Latn-ME"/>
        </w:rPr>
        <w:t>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kao i mišić</w:t>
      </w:r>
      <w:r w:rsidR="00DB711B" w:rsidRPr="0060351E">
        <w:rPr>
          <w:rFonts w:ascii="Times New Roman" w:eastAsia="Times New Roman" w:hAnsi="Times New Roman" w:cs="Times New Roman"/>
          <w:lang w:val="sr-Latn-ME"/>
        </w:rPr>
        <w:t>nim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hipoto</w:t>
      </w:r>
      <w:r w:rsidR="00DB711B" w:rsidRPr="0060351E">
        <w:rPr>
          <w:rFonts w:ascii="Times New Roman" w:eastAsia="Times New Roman" w:hAnsi="Times New Roman" w:cs="Times New Roman"/>
          <w:lang w:val="sr-Latn-ME"/>
        </w:rPr>
        <w:t>nusom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, </w:t>
      </w:r>
      <w:r w:rsidR="00DB711B" w:rsidRPr="0060351E">
        <w:rPr>
          <w:rFonts w:ascii="Times New Roman" w:eastAsia="Times New Roman" w:hAnsi="Times New Roman" w:cs="Times New Roman"/>
          <w:lang w:val="sr-Latn-ME"/>
        </w:rPr>
        <w:t>uz očuvane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tetiv</w:t>
      </w:r>
      <w:r w:rsidR="00DB711B" w:rsidRPr="0060351E">
        <w:rPr>
          <w:rFonts w:ascii="Times New Roman" w:eastAsia="Times New Roman" w:hAnsi="Times New Roman" w:cs="Times New Roman"/>
          <w:lang w:val="sr-Latn-ME"/>
        </w:rPr>
        <w:t>ne reflekse</w:t>
      </w:r>
      <w:r w:rsidRPr="0060351E">
        <w:rPr>
          <w:rFonts w:ascii="Times New Roman" w:eastAsia="Times New Roman" w:hAnsi="Times New Roman" w:cs="Times New Roman"/>
          <w:lang w:val="sr-Latn-ME"/>
        </w:rPr>
        <w:t>. Bradikardija je reagovala na intravensku prim</w:t>
      </w:r>
      <w:r w:rsidR="00091AA4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enu atropina. Događaji hipernatr</w:t>
      </w:r>
      <w:r w:rsidR="00091AA4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emije sa metaboličkom alkalozom prijavljeni su u kontekstu istovremene upotrebe infuzije NaCl.</w:t>
      </w:r>
    </w:p>
    <w:p w14:paraId="43A5A469" w14:textId="77777777" w:rsidR="00317EA5" w:rsidRPr="0060351E" w:rsidRDefault="00317EA5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4A135BF" w14:textId="10977B34" w:rsidR="00317EA5" w:rsidRPr="0060351E" w:rsidRDefault="00091AA4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u w:val="single"/>
          <w:lang w:val="sr-Latn-ME"/>
        </w:rPr>
        <w:t>Zbrinjavanje</w:t>
      </w:r>
    </w:p>
    <w:p w14:paraId="7797C5E9" w14:textId="7D00B26C" w:rsidR="00317EA5" w:rsidRPr="0060351E" w:rsidRDefault="00091AA4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Ako postoji sumnja na istovremeno uzimanje drugih</w:t>
      </w:r>
      <w:r w:rsidR="000336B0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784C26" w:rsidRPr="0060351E">
        <w:rPr>
          <w:rFonts w:ascii="Times New Roman" w:eastAsia="Times New Roman" w:hAnsi="Times New Roman" w:cs="Times New Roman"/>
          <w:lang w:val="sr-Latn-ME"/>
        </w:rPr>
        <w:t>supstan</w:t>
      </w:r>
      <w:r w:rsidR="001E5990" w:rsidRPr="0060351E">
        <w:rPr>
          <w:rFonts w:ascii="Times New Roman" w:eastAsia="Times New Roman" w:hAnsi="Times New Roman" w:cs="Times New Roman"/>
          <w:lang w:val="sr-Latn-ME"/>
        </w:rPr>
        <w:t>c</w:t>
      </w:r>
      <w:r w:rsidR="00784C26" w:rsidRPr="0060351E">
        <w:rPr>
          <w:rFonts w:ascii="Times New Roman" w:eastAsia="Times New Roman" w:hAnsi="Times New Roman" w:cs="Times New Roman"/>
          <w:lang w:val="sr-Latn-ME"/>
        </w:rPr>
        <w:t>i, m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ože se </w:t>
      </w:r>
      <w:r w:rsidR="00784C26" w:rsidRPr="0060351E">
        <w:rPr>
          <w:rFonts w:ascii="Times New Roman" w:eastAsia="Times New Roman" w:hAnsi="Times New Roman" w:cs="Times New Roman"/>
          <w:lang w:val="sr-Latn-ME"/>
        </w:rPr>
        <w:t>primjeniti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ispiranje želuca. </w:t>
      </w:r>
      <w:r w:rsidR="0086155E" w:rsidRPr="0060351E">
        <w:rPr>
          <w:rFonts w:ascii="Times New Roman" w:eastAsia="Times New Roman" w:hAnsi="Times New Roman" w:cs="Times New Roman"/>
          <w:lang w:val="sr-Latn-ME"/>
        </w:rPr>
        <w:t>Budući da može doći do po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>vraćanj</w:t>
      </w:r>
      <w:r w:rsidR="0086155E" w:rsidRPr="0060351E">
        <w:rPr>
          <w:rFonts w:ascii="Times New Roman" w:eastAsia="Times New Roman" w:hAnsi="Times New Roman" w:cs="Times New Roman"/>
          <w:lang w:val="sr-Latn-ME"/>
        </w:rPr>
        <w:t>a u stanju poremećaja svijesti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>,</w:t>
      </w:r>
      <w:r w:rsidR="007D100A" w:rsidRPr="0060351E">
        <w:rPr>
          <w:rFonts w:ascii="Times New Roman" w:eastAsia="Times New Roman" w:hAnsi="Times New Roman" w:cs="Times New Roman"/>
          <w:lang w:val="sr-Latn-ME"/>
        </w:rPr>
        <w:t xml:space="preserve"> pacijenta treba staviti u odgovarajući položaj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(l</w:t>
      </w:r>
      <w:r w:rsidR="007D100A" w:rsidRPr="0060351E">
        <w:rPr>
          <w:rFonts w:ascii="Times New Roman" w:eastAsia="Times New Roman" w:hAnsi="Times New Roman" w:cs="Times New Roman"/>
          <w:lang w:val="sr-Latn-ME"/>
        </w:rPr>
        <w:t>ij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evo bočno ležeći položaj) i </w:t>
      </w:r>
      <w:r w:rsidR="007D100A" w:rsidRPr="0060351E">
        <w:rPr>
          <w:rFonts w:ascii="Times New Roman" w:eastAsia="Times New Roman" w:hAnsi="Times New Roman" w:cs="Times New Roman"/>
          <w:lang w:val="sr-Latn-ME"/>
        </w:rPr>
        <w:t>omogućiti prohodnost disajnih puteva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intubacijom. Iako refleks </w:t>
      </w:r>
      <w:r w:rsidR="00404600" w:rsidRPr="0060351E">
        <w:rPr>
          <w:rFonts w:ascii="Times New Roman" w:eastAsia="Times New Roman" w:hAnsi="Times New Roman" w:cs="Times New Roman"/>
          <w:lang w:val="sr-Latn-ME"/>
        </w:rPr>
        <w:t>povraćanja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može biti odsutan kod pacijenata u dubokoj komi, čak i pacijenti bez sv</w:t>
      </w:r>
      <w:r w:rsidR="00404600" w:rsidRPr="0060351E">
        <w:rPr>
          <w:rFonts w:ascii="Times New Roman" w:eastAsia="Times New Roman" w:hAnsi="Times New Roman" w:cs="Times New Roman"/>
          <w:lang w:val="sr-Latn-ME"/>
        </w:rPr>
        <w:t>ij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esti mogu postati </w:t>
      </w:r>
      <w:r w:rsidR="00404600" w:rsidRPr="0060351E">
        <w:rPr>
          <w:rFonts w:ascii="Times New Roman" w:eastAsia="Times New Roman" w:hAnsi="Times New Roman" w:cs="Times New Roman"/>
          <w:lang w:val="sr-Latn-ME"/>
        </w:rPr>
        <w:t>agresivni kod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intubacij</w:t>
      </w:r>
      <w:r w:rsidR="00404600" w:rsidRPr="0060351E">
        <w:rPr>
          <w:rFonts w:ascii="Times New Roman" w:eastAsia="Times New Roman" w:hAnsi="Times New Roman" w:cs="Times New Roman"/>
          <w:lang w:val="sr-Latn-ME"/>
        </w:rPr>
        <w:t>a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>, pa treba raz</w:t>
      </w:r>
      <w:r w:rsidR="001F4CE9" w:rsidRPr="0060351E">
        <w:rPr>
          <w:rFonts w:ascii="Times New Roman" w:eastAsia="Times New Roman" w:hAnsi="Times New Roman" w:cs="Times New Roman"/>
          <w:lang w:val="sr-Latn-ME"/>
        </w:rPr>
        <w:t>misliti o brzoj intubaciji u slijedu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(bez </w:t>
      </w:r>
      <w:r w:rsidR="008D455D" w:rsidRPr="0060351E">
        <w:rPr>
          <w:rFonts w:ascii="Times New Roman" w:eastAsia="Times New Roman" w:hAnsi="Times New Roman" w:cs="Times New Roman"/>
          <w:lang w:val="sr-Latn-ME"/>
        </w:rPr>
        <w:t xml:space="preserve">primjene 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>sedativa).</w:t>
      </w:r>
    </w:p>
    <w:p w14:paraId="14908092" w14:textId="77777777" w:rsidR="00317EA5" w:rsidRPr="0060351E" w:rsidRDefault="00317EA5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E5FBB6B" w14:textId="193D4A12" w:rsidR="00930311" w:rsidRPr="0060351E" w:rsidRDefault="001F4CE9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Primjena flumazenila</w:t>
      </w:r>
      <w:r w:rsidR="006512C3" w:rsidRPr="0060351E">
        <w:rPr>
          <w:rFonts w:ascii="Times New Roman" w:eastAsia="Times New Roman" w:hAnsi="Times New Roman" w:cs="Times New Roman"/>
          <w:lang w:val="sr-Latn-ME"/>
        </w:rPr>
        <w:t xml:space="preserve"> neće dovesti do povlačenje simptoma depresije CNS-a zbog uzimanja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natrijum oksibata. Nema dovoljno dokaza </w:t>
      </w:r>
      <w:r w:rsidR="006512C3" w:rsidRPr="0060351E">
        <w:rPr>
          <w:rFonts w:ascii="Times New Roman" w:eastAsia="Times New Roman" w:hAnsi="Times New Roman" w:cs="Times New Roman"/>
          <w:lang w:val="sr-Latn-ME"/>
        </w:rPr>
        <w:t xml:space="preserve">za 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>preporu</w:t>
      </w:r>
      <w:r w:rsidR="006512C3" w:rsidRPr="0060351E">
        <w:rPr>
          <w:rFonts w:ascii="Times New Roman" w:eastAsia="Times New Roman" w:hAnsi="Times New Roman" w:cs="Times New Roman"/>
          <w:lang w:val="sr-Latn-ME"/>
        </w:rPr>
        <w:t>ku primjene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naloksona u l</w:t>
      </w:r>
      <w:r w:rsidR="006512C3" w:rsidRPr="0060351E">
        <w:rPr>
          <w:rFonts w:ascii="Times New Roman" w:eastAsia="Times New Roman" w:hAnsi="Times New Roman" w:cs="Times New Roman"/>
          <w:lang w:val="sr-Latn-ME"/>
        </w:rPr>
        <w:t>ij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>ečenju predoziranja GHB</w:t>
      </w:r>
      <w:r w:rsidR="006512C3" w:rsidRPr="0060351E">
        <w:rPr>
          <w:rFonts w:ascii="Times New Roman" w:eastAsia="Times New Roman" w:hAnsi="Times New Roman" w:cs="Times New Roman"/>
          <w:lang w:val="sr-Latn-ME"/>
        </w:rPr>
        <w:t>-om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. </w:t>
      </w:r>
      <w:r w:rsidR="006512C3" w:rsidRPr="0060351E">
        <w:rPr>
          <w:rFonts w:ascii="Times New Roman" w:eastAsia="Times New Roman" w:hAnsi="Times New Roman" w:cs="Times New Roman"/>
          <w:lang w:val="sr-Latn-ME"/>
        </w:rPr>
        <w:t>Primjena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hemodijalize i drugih oblika ekstrakorporalnog uklanjanja l</w:t>
      </w:r>
      <w:r w:rsidR="006512C3" w:rsidRPr="0060351E">
        <w:rPr>
          <w:rFonts w:ascii="Times New Roman" w:eastAsia="Times New Roman" w:hAnsi="Times New Roman" w:cs="Times New Roman"/>
          <w:lang w:val="sr-Latn-ME"/>
        </w:rPr>
        <w:t>ij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eka nije </w:t>
      </w:r>
      <w:r w:rsidR="00FE2073" w:rsidRPr="0060351E">
        <w:rPr>
          <w:rFonts w:ascii="Times New Roman" w:eastAsia="Times New Roman" w:hAnsi="Times New Roman" w:cs="Times New Roman"/>
          <w:lang w:val="sr-Latn-ME"/>
        </w:rPr>
        <w:t>ispitivana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u sluča</w:t>
      </w:r>
      <w:r w:rsidR="00FE2073" w:rsidRPr="0060351E">
        <w:rPr>
          <w:rFonts w:ascii="Times New Roman" w:eastAsia="Times New Roman" w:hAnsi="Times New Roman" w:cs="Times New Roman"/>
          <w:lang w:val="sr-Latn-ME"/>
        </w:rPr>
        <w:t>jevima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 xml:space="preserve"> predoziranja natrijum oksibatom. Međutim, zbog brzog metabolizma natrijum oksibata, ove m</w:t>
      </w:r>
      <w:r w:rsidR="00FE2073" w:rsidRPr="0060351E">
        <w:rPr>
          <w:rFonts w:ascii="Times New Roman" w:eastAsia="Times New Roman" w:hAnsi="Times New Roman" w:cs="Times New Roman"/>
          <w:lang w:val="sr-Latn-ME"/>
        </w:rPr>
        <w:t>j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>ere ni</w:t>
      </w:r>
      <w:r w:rsidR="00FE2073" w:rsidRPr="0060351E">
        <w:rPr>
          <w:rFonts w:ascii="Times New Roman" w:eastAsia="Times New Roman" w:hAnsi="Times New Roman" w:cs="Times New Roman"/>
          <w:lang w:val="sr-Latn-ME"/>
        </w:rPr>
        <w:t>je</w:t>
      </w:r>
      <w:r w:rsidR="00317EA5" w:rsidRPr="0060351E">
        <w:rPr>
          <w:rFonts w:ascii="Times New Roman" w:eastAsia="Times New Roman" w:hAnsi="Times New Roman" w:cs="Times New Roman"/>
          <w:lang w:val="sr-Latn-ME"/>
        </w:rPr>
        <w:t>su opravdane.</w:t>
      </w:r>
    </w:p>
    <w:p w14:paraId="5F4F45B1" w14:textId="77777777" w:rsidR="008D455D" w:rsidRPr="0060351E" w:rsidRDefault="008D455D" w:rsidP="00317EA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ECB38F2" w14:textId="77777777" w:rsidR="001536C5" w:rsidRPr="0060351E" w:rsidRDefault="001536C5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9A5C98B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5.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FARMAKOLOŠKI PODACI</w:t>
      </w:r>
    </w:p>
    <w:p w14:paraId="7831B2E2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25A87CB1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5.1.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Farmakodinamski podaci</w:t>
      </w:r>
    </w:p>
    <w:p w14:paraId="4BC45E0E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7590B10" w14:textId="73BC9D65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Farmakoterapijska grupa: </w:t>
      </w:r>
      <w:r w:rsidR="00094EB9" w:rsidRPr="0060351E">
        <w:rPr>
          <w:rFonts w:ascii="Times New Roman" w:eastAsia="Times New Roman" w:hAnsi="Times New Roman" w:cs="Times New Roman"/>
          <w:bCs/>
          <w:lang w:val="sr-Latn-ME"/>
        </w:rPr>
        <w:t>Ostali</w:t>
      </w:r>
      <w:r w:rsidR="00A14C5A" w:rsidRPr="0060351E">
        <w:rPr>
          <w:rFonts w:ascii="Times New Roman" w:eastAsia="Times New Roman" w:hAnsi="Times New Roman" w:cs="Times New Roman"/>
          <w:bCs/>
          <w:lang w:val="sr-Latn-ME"/>
        </w:rPr>
        <w:t xml:space="preserve"> l</w:t>
      </w:r>
      <w:r w:rsidR="00094EB9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="00A14C5A" w:rsidRPr="0060351E">
        <w:rPr>
          <w:rFonts w:ascii="Times New Roman" w:eastAsia="Times New Roman" w:hAnsi="Times New Roman" w:cs="Times New Roman"/>
          <w:bCs/>
          <w:lang w:val="sr-Latn-ME"/>
        </w:rPr>
        <w:t>ekovi</w:t>
      </w:r>
      <w:r w:rsidR="00094EB9" w:rsidRPr="0060351E">
        <w:rPr>
          <w:rFonts w:ascii="Times New Roman" w:eastAsia="Times New Roman" w:hAnsi="Times New Roman" w:cs="Times New Roman"/>
          <w:bCs/>
          <w:lang w:val="sr-Latn-ME"/>
        </w:rPr>
        <w:t xml:space="preserve"> koji djeluju na</w:t>
      </w:r>
      <w:r w:rsidR="00A14C5A" w:rsidRPr="0060351E">
        <w:rPr>
          <w:rFonts w:ascii="Times New Roman" w:eastAsia="Times New Roman" w:hAnsi="Times New Roman" w:cs="Times New Roman"/>
          <w:bCs/>
          <w:lang w:val="sr-Latn-ME"/>
        </w:rPr>
        <w:t xml:space="preserve"> nervni sistem</w:t>
      </w:r>
    </w:p>
    <w:p w14:paraId="25EF1724" w14:textId="77777777" w:rsidR="00A80063" w:rsidRPr="0060351E" w:rsidRDefault="00A80063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E0A45B2" w14:textId="2BC3933A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lastRenderedPageBreak/>
        <w:t>ATC kod:</w:t>
      </w:r>
      <w:r w:rsidR="00317EA5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3F23B7" w:rsidRPr="0060351E">
        <w:rPr>
          <w:rFonts w:ascii="Times New Roman" w:eastAsia="Times New Roman" w:hAnsi="Times New Roman" w:cs="Times New Roman"/>
          <w:bCs/>
          <w:lang w:val="sr-Latn-ME"/>
        </w:rPr>
        <w:t>N07XX04</w:t>
      </w:r>
    </w:p>
    <w:p w14:paraId="2B20922F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239C982" w14:textId="76ECEF3E" w:rsidR="00CF1CFA" w:rsidRPr="0060351E" w:rsidRDefault="00094EB9" w:rsidP="00CF1C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60351E">
        <w:rPr>
          <w:rFonts w:ascii="Times New Roman" w:eastAsia="SimSun" w:hAnsi="Times New Roman" w:cs="Times New Roman"/>
          <w:color w:val="000000"/>
          <w:lang w:val="sr-Latn-ME"/>
        </w:rPr>
        <w:t>Natrijum oksibat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je depres</w:t>
      </w:r>
      <w:r w:rsidR="00645719" w:rsidRPr="0060351E">
        <w:rPr>
          <w:rFonts w:ascii="Times New Roman" w:eastAsia="SimSun" w:hAnsi="Times New Roman" w:cs="Times New Roman"/>
          <w:color w:val="000000"/>
          <w:lang w:val="sr-Latn-ME"/>
        </w:rPr>
        <w:t>or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centralnog nervnog sistema koji smanjuje prekom</w:t>
      </w:r>
      <w:r w:rsidR="00645719" w:rsidRPr="0060351E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ernu dnevnu pospanost i katapleksiju kod pacijenata sa narkolepsijom i </w:t>
      </w:r>
      <w:r w:rsidR="00645719" w:rsidRPr="0060351E">
        <w:rPr>
          <w:rFonts w:ascii="Times New Roman" w:eastAsia="SimSun" w:hAnsi="Times New Roman" w:cs="Times New Roman"/>
          <w:color w:val="000000"/>
          <w:lang w:val="sr-Latn-ME"/>
        </w:rPr>
        <w:t>popravlja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arhitekturu s</w:t>
      </w:r>
      <w:r w:rsidR="00645719" w:rsidRPr="0060351E">
        <w:rPr>
          <w:rFonts w:ascii="Times New Roman" w:eastAsia="SimSun" w:hAnsi="Times New Roman" w:cs="Times New Roman"/>
          <w:color w:val="000000"/>
          <w:lang w:val="sr-Latn-ME"/>
        </w:rPr>
        <w:t>pavanja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smanjujući </w:t>
      </w:r>
      <w:r w:rsidR="00645719" w:rsidRPr="0060351E">
        <w:rPr>
          <w:rFonts w:ascii="Times New Roman" w:eastAsia="SimSun" w:hAnsi="Times New Roman" w:cs="Times New Roman"/>
          <w:color w:val="000000"/>
          <w:lang w:val="sr-Latn-ME"/>
        </w:rPr>
        <w:t>isprekidanost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noć</w:t>
      </w:r>
      <w:r w:rsidR="00645719" w:rsidRPr="0060351E">
        <w:rPr>
          <w:rFonts w:ascii="Times New Roman" w:eastAsia="SimSun" w:hAnsi="Times New Roman" w:cs="Times New Roman"/>
          <w:color w:val="000000"/>
          <w:lang w:val="sr-Latn-ME"/>
        </w:rPr>
        <w:t>nog spavanja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. </w:t>
      </w:r>
      <w:r w:rsidR="00645719" w:rsidRPr="0060351E">
        <w:rPr>
          <w:rFonts w:ascii="Times New Roman" w:eastAsia="SimSun" w:hAnsi="Times New Roman" w:cs="Times New Roman"/>
          <w:color w:val="000000"/>
          <w:lang w:val="sr-Latn-ME"/>
        </w:rPr>
        <w:t>Tačan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mehanizam d</w:t>
      </w:r>
      <w:r w:rsidR="00645719" w:rsidRPr="0060351E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>elovanja natrijum oksibata nije poznat, ali se pretpostavlja da d</w:t>
      </w:r>
      <w:r w:rsidR="00645719" w:rsidRPr="0060351E">
        <w:rPr>
          <w:rFonts w:ascii="Times New Roman" w:eastAsia="SimSun" w:hAnsi="Times New Roman" w:cs="Times New Roman"/>
          <w:color w:val="000000"/>
          <w:lang w:val="sr-Latn-ME"/>
        </w:rPr>
        <w:t>j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>eluje tako što p</w:t>
      </w:r>
      <w:r w:rsidR="00DD5CE4" w:rsidRPr="0060351E">
        <w:rPr>
          <w:rFonts w:ascii="Times New Roman" w:eastAsia="SimSun" w:hAnsi="Times New Roman" w:cs="Times New Roman"/>
          <w:color w:val="000000"/>
          <w:lang w:val="sr-Latn-ME"/>
        </w:rPr>
        <w:t>otiče nastajanje sporih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(delta) talas</w:t>
      </w:r>
      <w:r w:rsidR="00DD5CE4" w:rsidRPr="0060351E">
        <w:rPr>
          <w:rFonts w:ascii="Times New Roman" w:eastAsia="SimSun" w:hAnsi="Times New Roman" w:cs="Times New Roman"/>
          <w:color w:val="000000"/>
          <w:lang w:val="sr-Latn-ME"/>
        </w:rPr>
        <w:t>a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</w:t>
      </w:r>
      <w:r w:rsidR="00DD5CE4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u spavanju 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>i</w:t>
      </w:r>
      <w:r w:rsidR="00DD5CE4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poboljšava spavanje po noći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>. Natrijum oksibat koji se prim</w:t>
      </w:r>
      <w:r w:rsidR="00B84EA8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>enjuje pr</w:t>
      </w:r>
      <w:r w:rsidR="00B84EA8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>e noćnog s</w:t>
      </w:r>
      <w:r w:rsidR="00E831AF" w:rsidRPr="0060351E">
        <w:rPr>
          <w:rFonts w:ascii="Times New Roman" w:eastAsia="SimSun" w:hAnsi="Times New Roman" w:cs="Times New Roman"/>
          <w:color w:val="000000"/>
          <w:lang w:val="sr-Latn-ME"/>
        </w:rPr>
        <w:t>pavanja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po</w:t>
      </w:r>
      <w:r w:rsidR="00E831AF" w:rsidRPr="0060351E">
        <w:rPr>
          <w:rFonts w:ascii="Times New Roman" w:eastAsia="SimSun" w:hAnsi="Times New Roman" w:cs="Times New Roman"/>
          <w:color w:val="000000"/>
          <w:lang w:val="sr-Latn-ME"/>
        </w:rPr>
        <w:t>jačava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faz</w:t>
      </w:r>
      <w:r w:rsidR="00E831AF" w:rsidRPr="0060351E">
        <w:rPr>
          <w:rFonts w:ascii="Times New Roman" w:eastAsia="SimSun" w:hAnsi="Times New Roman" w:cs="Times New Roman"/>
          <w:color w:val="000000"/>
          <w:lang w:val="sr-Latn-ME"/>
        </w:rPr>
        <w:t>e spavanja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3 i 4</w:t>
      </w:r>
      <w:r w:rsidR="00E831AF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i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produžava vr</w:t>
      </w:r>
      <w:r w:rsidR="00E831AF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>eme do uspavljivanja, dok istovremeno smanjuje u</w:t>
      </w:r>
      <w:r w:rsidR="006D3FB6" w:rsidRPr="0060351E">
        <w:rPr>
          <w:rFonts w:ascii="Times New Roman" w:eastAsia="SimSun" w:hAnsi="Times New Roman" w:cs="Times New Roman"/>
          <w:color w:val="000000"/>
          <w:lang w:val="sr-Latn-ME"/>
        </w:rPr>
        <w:t>čestlost pojavljivanja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REM </w:t>
      </w:r>
      <w:r w:rsidR="006D3FB6" w:rsidRPr="0060351E">
        <w:rPr>
          <w:rFonts w:ascii="Times New Roman" w:eastAsia="SimSun" w:hAnsi="Times New Roman" w:cs="Times New Roman"/>
          <w:color w:val="000000"/>
          <w:lang w:val="sr-Latn-ME"/>
        </w:rPr>
        <w:t>faza</w:t>
      </w:r>
      <w:r w:rsidR="00D46FE9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spavanja na početku spavanja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(SOREMP</w:t>
      </w:r>
      <w:r w:rsidR="00D46FE9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, engl. </w:t>
      </w:r>
      <w:r w:rsidR="00D46FE9" w:rsidRPr="0060351E">
        <w:rPr>
          <w:rFonts w:ascii="Times New Roman" w:eastAsia="SimSun" w:hAnsi="Times New Roman" w:cs="Times New Roman"/>
          <w:i/>
          <w:iCs/>
          <w:color w:val="000000"/>
          <w:lang w:val="sr-Latn-ME"/>
        </w:rPr>
        <w:t>sleep onset REM period</w:t>
      </w:r>
      <w:r w:rsidR="00CF1CFA" w:rsidRPr="0060351E">
        <w:rPr>
          <w:rFonts w:ascii="Times New Roman" w:eastAsia="SimSun" w:hAnsi="Times New Roman" w:cs="Times New Roman"/>
          <w:color w:val="000000"/>
          <w:lang w:val="sr-Latn-ME"/>
        </w:rPr>
        <w:t>).</w:t>
      </w:r>
    </w:p>
    <w:p w14:paraId="6DF441DC" w14:textId="6A82498A" w:rsidR="00CF1CFA" w:rsidRPr="0060351E" w:rsidRDefault="00CF1CFA" w:rsidP="00CF1C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60351E">
        <w:rPr>
          <w:rFonts w:ascii="Times New Roman" w:eastAsia="SimSun" w:hAnsi="Times New Roman" w:cs="Times New Roman"/>
          <w:color w:val="000000"/>
          <w:lang w:val="sr-Latn-ME"/>
        </w:rPr>
        <w:t>Postoje i drugi mehanizmi koji još uv</w:t>
      </w:r>
      <w:r w:rsidR="00E42E1C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ek ni</w:t>
      </w:r>
      <w:r w:rsidR="00E42E1C" w:rsidRPr="0060351E">
        <w:rPr>
          <w:rFonts w:ascii="Times New Roman" w:eastAsia="SimSun" w:hAnsi="Times New Roman" w:cs="Times New Roman"/>
          <w:color w:val="000000"/>
          <w:lang w:val="sr-Latn-ME"/>
        </w:rPr>
        <w:t>je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su razjašnjeni, a koji takođe mogu biti uključeni. </w:t>
      </w:r>
      <w:r w:rsidR="00E42E1C" w:rsidRPr="0060351E">
        <w:rPr>
          <w:rFonts w:ascii="Times New Roman" w:eastAsia="SimSun" w:hAnsi="Times New Roman" w:cs="Times New Roman"/>
          <w:color w:val="000000"/>
          <w:lang w:val="sr-Latn-ME"/>
        </w:rPr>
        <w:t>Na osnovu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</w:t>
      </w:r>
      <w:r w:rsidR="002775C2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podataka iz 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kliničkih ispitivanja, više od 80</w:t>
      </w:r>
      <w:r w:rsidR="001E5990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% pacijenata je </w:t>
      </w:r>
      <w:r w:rsidR="002775C2" w:rsidRPr="0060351E">
        <w:rPr>
          <w:rFonts w:ascii="Times New Roman" w:eastAsia="SimSun" w:hAnsi="Times New Roman" w:cs="Times New Roman"/>
          <w:color w:val="000000"/>
          <w:lang w:val="sr-Latn-ME"/>
        </w:rPr>
        <w:t>istovremeno uzimalo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stimulanse sa natrijum oksibatom.</w:t>
      </w:r>
    </w:p>
    <w:p w14:paraId="695EE44C" w14:textId="77777777" w:rsidR="00A80063" w:rsidRPr="0060351E" w:rsidRDefault="00A80063" w:rsidP="00CF1C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4E8F999F" w14:textId="3EE75952" w:rsidR="00CF1CFA" w:rsidRPr="0060351E" w:rsidRDefault="00CF1CFA" w:rsidP="00CF1C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  <w:r w:rsidRPr="0060351E">
        <w:rPr>
          <w:rFonts w:ascii="Times New Roman" w:eastAsia="SimSun" w:hAnsi="Times New Roman" w:cs="Times New Roman"/>
          <w:color w:val="000000"/>
          <w:lang w:val="sr-Latn-ME"/>
        </w:rPr>
        <w:t>Efikasnost natrijum oksibata u l</w:t>
      </w:r>
      <w:r w:rsidR="002775C2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ečenju simptoma narkolepsije je dokazana u četiri multicentrična, randomizovana, dvostruko sl</w:t>
      </w:r>
      <w:r w:rsidR="002775C2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epa, placebo</w:t>
      </w:r>
      <w:r w:rsidR="002775C2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m 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kontrolisana ispitivanja</w:t>
      </w:r>
      <w:r w:rsidR="00AC00F9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u paralelnim grupama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(Ispitivanje 1, 2, 3 i 4) kod pacijenata sa narkolepsijom </w:t>
      </w:r>
      <w:r w:rsidR="00AC00F9" w:rsidRPr="0060351E">
        <w:rPr>
          <w:rFonts w:ascii="Times New Roman" w:eastAsia="SimSun" w:hAnsi="Times New Roman" w:cs="Times New Roman"/>
          <w:color w:val="000000"/>
          <w:lang w:val="sr-Latn-ME"/>
        </w:rPr>
        <w:t>i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katapleksijom, osim u Ispitivanju 2 </w:t>
      </w:r>
      <w:r w:rsidR="00AC00F9" w:rsidRPr="0060351E">
        <w:rPr>
          <w:rFonts w:ascii="Times New Roman" w:eastAsia="SimSun" w:hAnsi="Times New Roman" w:cs="Times New Roman"/>
          <w:color w:val="000000"/>
          <w:lang w:val="sr-Latn-ME"/>
        </w:rPr>
        <w:t>u kojem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katapleksija nije bila </w:t>
      </w:r>
      <w:r w:rsidR="00AC00F9" w:rsidRPr="0060351E">
        <w:rPr>
          <w:rFonts w:ascii="Times New Roman" w:eastAsia="SimSun" w:hAnsi="Times New Roman" w:cs="Times New Roman"/>
          <w:color w:val="000000"/>
          <w:lang w:val="sr-Latn-ME"/>
        </w:rPr>
        <w:t>uslov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za uključivanje</w:t>
      </w:r>
      <w:r w:rsidR="00AC00F9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u ispitivanje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. </w:t>
      </w:r>
      <w:r w:rsidR="00AC00F9" w:rsidRPr="0060351E">
        <w:rPr>
          <w:rFonts w:ascii="Times New Roman" w:eastAsia="SimSun" w:hAnsi="Times New Roman" w:cs="Times New Roman"/>
          <w:color w:val="000000"/>
          <w:lang w:val="sr-Latn-ME"/>
        </w:rPr>
        <w:t>Istovremena p</w:t>
      </w:r>
      <w:r w:rsidR="00C53956" w:rsidRPr="0060351E">
        <w:rPr>
          <w:rFonts w:ascii="Times New Roman" w:eastAsia="SimSun" w:hAnsi="Times New Roman" w:cs="Times New Roman"/>
          <w:color w:val="000000"/>
          <w:lang w:val="sr-Latn-ME"/>
        </w:rPr>
        <w:t>rimjena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stimulansa </w:t>
      </w:r>
      <w:r w:rsidR="00C53956" w:rsidRPr="0060351E">
        <w:rPr>
          <w:rFonts w:ascii="Times New Roman" w:eastAsia="SimSun" w:hAnsi="Times New Roman" w:cs="Times New Roman"/>
          <w:color w:val="000000"/>
          <w:lang w:val="sr-Latn-ME"/>
        </w:rPr>
        <w:t>s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a natrijum oksibatom bil</w:t>
      </w:r>
      <w:r w:rsidR="00C53956" w:rsidRPr="0060351E">
        <w:rPr>
          <w:rFonts w:ascii="Times New Roman" w:eastAsia="SimSun" w:hAnsi="Times New Roman" w:cs="Times New Roman"/>
          <w:color w:val="000000"/>
          <w:lang w:val="sr-Latn-ME"/>
        </w:rPr>
        <w:t>a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je dozvoljen</w:t>
      </w:r>
      <w:r w:rsidR="00C53956" w:rsidRPr="0060351E">
        <w:rPr>
          <w:rFonts w:ascii="Times New Roman" w:eastAsia="SimSun" w:hAnsi="Times New Roman" w:cs="Times New Roman"/>
          <w:color w:val="000000"/>
          <w:lang w:val="sr-Latn-ME"/>
        </w:rPr>
        <w:t>a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u svim ispitivanjima (osim </w:t>
      </w:r>
      <w:r w:rsidR="00C53956" w:rsidRPr="0060351E">
        <w:rPr>
          <w:rFonts w:ascii="Times New Roman" w:eastAsia="SimSun" w:hAnsi="Times New Roman" w:cs="Times New Roman"/>
          <w:color w:val="000000"/>
          <w:lang w:val="sr-Latn-ME"/>
        </w:rPr>
        <w:t>u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aktivno</w:t>
      </w:r>
      <w:r w:rsidR="00C53956" w:rsidRPr="0060351E">
        <w:rPr>
          <w:rFonts w:ascii="Times New Roman" w:eastAsia="SimSun" w:hAnsi="Times New Roman" w:cs="Times New Roman"/>
          <w:color w:val="000000"/>
          <w:lang w:val="sr-Latn-ME"/>
        </w:rPr>
        <w:t>j fazi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l</w:t>
      </w:r>
      <w:r w:rsidR="00C53956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ečenja u Ispitivanju 2)</w:t>
      </w:r>
      <w:r w:rsidR="00935A9C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; u svim ispitivanjima je prije početka 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aktivnog l</w:t>
      </w:r>
      <w:r w:rsidR="00935A9C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ečenja </w:t>
      </w:r>
      <w:r w:rsidR="00310D57" w:rsidRPr="0060351E">
        <w:rPr>
          <w:rFonts w:ascii="Times New Roman" w:eastAsia="SimSun" w:hAnsi="Times New Roman" w:cs="Times New Roman"/>
          <w:color w:val="000000"/>
          <w:lang w:val="sr-Latn-ME"/>
        </w:rPr>
        <w:t>prekinuta primjena svih antidepresiva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osim u Ispitivanju 2. U svakom ispitivanju, dnevna doza je bila pod</w:t>
      </w:r>
      <w:r w:rsidR="00310D57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eljena na dv</w:t>
      </w:r>
      <w:r w:rsidR="00310D57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e jednake doze. </w:t>
      </w:r>
      <w:r w:rsidR="00310D57"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Ispitanici su </w:t>
      </w:r>
      <w:r w:rsidR="00332A04" w:rsidRPr="0060351E">
        <w:rPr>
          <w:rFonts w:ascii="Times New Roman" w:eastAsia="SimSun" w:hAnsi="Times New Roman" w:cs="Times New Roman"/>
          <w:color w:val="000000"/>
          <w:lang w:val="sr-Latn-ME"/>
        </w:rPr>
        <w:t>p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rv</w:t>
      </w:r>
      <w:r w:rsidR="00332A04" w:rsidRPr="0060351E">
        <w:rPr>
          <w:rFonts w:ascii="Times New Roman" w:eastAsia="SimSun" w:hAnsi="Times New Roman" w:cs="Times New Roman"/>
          <w:color w:val="000000"/>
          <w:lang w:val="sr-Latn-ME"/>
        </w:rPr>
        <w:t>u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doz</w:t>
      </w:r>
      <w:r w:rsidR="00332A04" w:rsidRPr="0060351E">
        <w:rPr>
          <w:rFonts w:ascii="Times New Roman" w:eastAsia="SimSun" w:hAnsi="Times New Roman" w:cs="Times New Roman"/>
          <w:color w:val="000000"/>
          <w:lang w:val="sr-Latn-ME"/>
        </w:rPr>
        <w:t>u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uzimal</w:t>
      </w:r>
      <w:r w:rsidR="00332A04" w:rsidRPr="0060351E">
        <w:rPr>
          <w:rFonts w:ascii="Times New Roman" w:eastAsia="SimSun" w:hAnsi="Times New Roman" w:cs="Times New Roman"/>
          <w:color w:val="000000"/>
          <w:lang w:val="sr-Latn-ME"/>
        </w:rPr>
        <w:t>i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pr</w:t>
      </w:r>
      <w:r w:rsidR="00332A04" w:rsidRPr="0060351E">
        <w:rPr>
          <w:rFonts w:ascii="Times New Roman" w:eastAsia="SimSun" w:hAnsi="Times New Roman" w:cs="Times New Roman"/>
          <w:color w:val="000000"/>
          <w:lang w:val="sr-Latn-ME"/>
        </w:rPr>
        <w:t>ij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e spavanj</w:t>
      </w:r>
      <w:r w:rsidR="00332A04" w:rsidRPr="0060351E">
        <w:rPr>
          <w:rFonts w:ascii="Times New Roman" w:eastAsia="SimSun" w:hAnsi="Times New Roman" w:cs="Times New Roman"/>
          <w:color w:val="000000"/>
          <w:lang w:val="sr-Latn-ME"/>
        </w:rPr>
        <w:t>e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, a drug</w:t>
      </w:r>
      <w:r w:rsidR="00332A04" w:rsidRPr="0060351E">
        <w:rPr>
          <w:rFonts w:ascii="Times New Roman" w:eastAsia="SimSun" w:hAnsi="Times New Roman" w:cs="Times New Roman"/>
          <w:color w:val="000000"/>
          <w:lang w:val="sr-Latn-ME"/>
        </w:rPr>
        <w:t>u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 xml:space="preserve"> 2</w:t>
      </w:r>
      <w:r w:rsidR="00332A04" w:rsidRPr="0060351E">
        <w:rPr>
          <w:rFonts w:ascii="Times New Roman" w:eastAsia="SimSun" w:hAnsi="Times New Roman" w:cs="Times New Roman"/>
          <w:color w:val="000000"/>
          <w:lang w:val="sr-Latn-ME"/>
        </w:rPr>
        <w:t>.</w:t>
      </w:r>
      <w:r w:rsidRPr="0060351E">
        <w:rPr>
          <w:rFonts w:ascii="Times New Roman" w:eastAsia="SimSun" w:hAnsi="Times New Roman" w:cs="Times New Roman"/>
          <w:color w:val="000000"/>
          <w:lang w:val="sr-Latn-ME"/>
        </w:rPr>
        <w:t>5-4 sata kasnije.</w:t>
      </w:r>
    </w:p>
    <w:p w14:paraId="7605369C" w14:textId="77777777" w:rsidR="00CF1CFA" w:rsidRPr="0060351E" w:rsidRDefault="00CF1CFA" w:rsidP="00CF1C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259A4701" w14:textId="7599AA9A" w:rsidR="00925839" w:rsidRPr="0060351E" w:rsidRDefault="00CF1CFA" w:rsidP="000055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lang w:val="sr-Latn-ME"/>
        </w:rPr>
      </w:pPr>
      <w:r w:rsidRPr="0060351E">
        <w:rPr>
          <w:rFonts w:ascii="Times New Roman" w:eastAsia="SimSun" w:hAnsi="Times New Roman" w:cs="Times New Roman"/>
          <w:b/>
          <w:bCs/>
          <w:color w:val="000000"/>
          <w:lang w:val="sr-Latn-ME"/>
        </w:rPr>
        <w:t>Tabela 1</w:t>
      </w:r>
      <w:r w:rsidR="00332A04" w:rsidRPr="0060351E">
        <w:rPr>
          <w:rFonts w:ascii="Times New Roman" w:eastAsia="SimSun" w:hAnsi="Times New Roman" w:cs="Times New Roman"/>
          <w:b/>
          <w:bCs/>
          <w:color w:val="000000"/>
          <w:lang w:val="sr-Latn-ME"/>
        </w:rPr>
        <w:t>.</w:t>
      </w:r>
      <w:r w:rsidRPr="0060351E">
        <w:rPr>
          <w:rFonts w:ascii="Times New Roman" w:eastAsia="SimSun" w:hAnsi="Times New Roman" w:cs="Times New Roman"/>
          <w:b/>
          <w:bCs/>
          <w:color w:val="000000"/>
          <w:lang w:val="sr-Latn-ME"/>
        </w:rPr>
        <w:t xml:space="preserve"> Podaci kliničkih ispitivanja l</w:t>
      </w:r>
      <w:r w:rsidR="0040793A" w:rsidRPr="0060351E">
        <w:rPr>
          <w:rFonts w:ascii="Times New Roman" w:eastAsia="SimSun" w:hAnsi="Times New Roman" w:cs="Times New Roman"/>
          <w:b/>
          <w:bCs/>
          <w:color w:val="000000"/>
          <w:lang w:val="sr-Latn-ME"/>
        </w:rPr>
        <w:t>ij</w:t>
      </w:r>
      <w:r w:rsidRPr="0060351E">
        <w:rPr>
          <w:rFonts w:ascii="Times New Roman" w:eastAsia="SimSun" w:hAnsi="Times New Roman" w:cs="Times New Roman"/>
          <w:b/>
          <w:bCs/>
          <w:color w:val="000000"/>
          <w:lang w:val="sr-Latn-ME"/>
        </w:rPr>
        <w:t>ečenj</w:t>
      </w:r>
      <w:r w:rsidR="0040793A" w:rsidRPr="0060351E">
        <w:rPr>
          <w:rFonts w:ascii="Times New Roman" w:eastAsia="SimSun" w:hAnsi="Times New Roman" w:cs="Times New Roman"/>
          <w:b/>
          <w:bCs/>
          <w:color w:val="000000"/>
          <w:lang w:val="sr-Latn-ME"/>
        </w:rPr>
        <w:t>a</w:t>
      </w:r>
      <w:r w:rsidRPr="0060351E">
        <w:rPr>
          <w:rFonts w:ascii="Times New Roman" w:eastAsia="SimSun" w:hAnsi="Times New Roman" w:cs="Times New Roman"/>
          <w:b/>
          <w:bCs/>
          <w:color w:val="000000"/>
          <w:lang w:val="sr-Latn-ME"/>
        </w:rPr>
        <w:t xml:space="preserve"> narkolepsije</w:t>
      </w:r>
      <w:r w:rsidR="0040793A" w:rsidRPr="0060351E">
        <w:rPr>
          <w:rFonts w:ascii="Times New Roman" w:eastAsia="SimSun" w:hAnsi="Times New Roman" w:cs="Times New Roman"/>
          <w:b/>
          <w:bCs/>
          <w:color w:val="000000"/>
          <w:lang w:val="sr-Latn-ME"/>
        </w:rPr>
        <w:t xml:space="preserve"> primjenom natrijum oksibata</w:t>
      </w:r>
    </w:p>
    <w:p w14:paraId="2332C6B7" w14:textId="77777777" w:rsidR="0074562C" w:rsidRPr="0060351E" w:rsidRDefault="0074562C" w:rsidP="0000551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lang w:val="sr-Latn-M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664"/>
        <w:gridCol w:w="756"/>
        <w:gridCol w:w="2723"/>
        <w:gridCol w:w="1210"/>
        <w:gridCol w:w="1698"/>
      </w:tblGrid>
      <w:tr w:rsidR="00925839" w:rsidRPr="0060351E" w14:paraId="25D17FE4" w14:textId="77777777" w:rsidTr="00005514">
        <w:trPr>
          <w:trHeight w:val="5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A2BB78" w14:textId="22F4B4A7" w:rsidR="00925839" w:rsidRPr="0060351E" w:rsidRDefault="0040793A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Ispitivanje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FEB6B9" w14:textId="3C6542EF" w:rsidR="00925839" w:rsidRPr="0060351E" w:rsidRDefault="009301E8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Primarn</w:t>
            </w:r>
            <w:r w:rsidR="0052763B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a</w:t>
            </w:r>
            <w:r w:rsidR="0026407B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 xml:space="preserve"> </w:t>
            </w:r>
            <w:r w:rsidR="0052763B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mjera</w:t>
            </w:r>
            <w:r w:rsidR="0026407B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 xml:space="preserve"> </w:t>
            </w: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efikasnosti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9B49FAA" w14:textId="343FE844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N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5E090A" w14:textId="7A62D3D3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S</w:t>
            </w:r>
            <w:r w:rsidR="009301E8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ekundarn</w:t>
            </w:r>
            <w:r w:rsidR="0052763B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e mjere</w:t>
            </w:r>
            <w:r w:rsidR="009301E8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 xml:space="preserve"> efikasnosti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8D74A9" w14:textId="583D6119" w:rsidR="00925839" w:rsidRPr="0060351E" w:rsidRDefault="009301E8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Trajanje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C161CB" w14:textId="2E84C3B6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A</w:t>
            </w:r>
            <w:r w:rsidR="009301E8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ktivno liječenje i doza</w:t>
            </w: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 xml:space="preserve"> (g/d)</w:t>
            </w:r>
          </w:p>
        </w:tc>
      </w:tr>
      <w:tr w:rsidR="00925839" w:rsidRPr="0060351E" w14:paraId="64D8B3D9" w14:textId="77777777" w:rsidTr="00005514">
        <w:trPr>
          <w:trHeight w:val="543"/>
        </w:trPr>
        <w:tc>
          <w:tcPr>
            <w:tcW w:w="1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0AD1" w14:textId="765AAAE8" w:rsidR="00925839" w:rsidRPr="0060351E" w:rsidRDefault="009B513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Ispitivanje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1</w:t>
            </w:r>
          </w:p>
        </w:tc>
        <w:tc>
          <w:tcPr>
            <w:tcW w:w="1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EE96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EDS (ESS); CGIc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B14D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246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DBC0" w14:textId="59BA7CA6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MWT/</w:t>
            </w:r>
            <w:r w:rsidR="009B5133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arhitektura spavanja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/ </w:t>
            </w:r>
            <w:r w:rsidR="009B5133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katapleksija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/Naps/FOSQ</w:t>
            </w:r>
          </w:p>
        </w:tc>
        <w:tc>
          <w:tcPr>
            <w:tcW w:w="12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0321" w14:textId="2608C11F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8 ned</w:t>
            </w:r>
            <w:r w:rsidR="002D764C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j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elja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F38A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pacing w:val="-2"/>
                <w:szCs w:val="24"/>
                <w:lang w:val="sr-Latn-ME"/>
              </w:rPr>
              <w:t>Natrijum oksibat 4.5–9</w:t>
            </w:r>
          </w:p>
        </w:tc>
      </w:tr>
      <w:tr w:rsidR="00925839" w:rsidRPr="0060351E" w14:paraId="7E7FA2E3" w14:textId="77777777" w:rsidTr="00005514">
        <w:trPr>
          <w:trHeight w:val="543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66F1" w14:textId="711A102F" w:rsidR="00925839" w:rsidRPr="0060351E" w:rsidRDefault="009B513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Ispitivanje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26F5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EDS (MWT)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6510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231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EB8F" w14:textId="2384C5A1" w:rsidR="00925839" w:rsidRPr="0060351E" w:rsidRDefault="009B513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arhitektura s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pavanj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a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/ ESS/CGIc/Naps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9122" w14:textId="38E59103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8 ned</w:t>
            </w:r>
            <w:r w:rsidR="002D764C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j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elja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AA6D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pacing w:val="-2"/>
                <w:szCs w:val="24"/>
                <w:lang w:val="sr-Latn-ME"/>
              </w:rPr>
              <w:t xml:space="preserve">Natrijum oksibat 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6–9</w:t>
            </w:r>
          </w:p>
          <w:p w14:paraId="47861926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Modafinil 200-600 mg</w:t>
            </w:r>
          </w:p>
        </w:tc>
      </w:tr>
      <w:tr w:rsidR="00925839" w:rsidRPr="0060351E" w14:paraId="20ED78A9" w14:textId="77777777" w:rsidTr="00005514">
        <w:trPr>
          <w:trHeight w:val="30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E7BD" w14:textId="7E1704B3" w:rsidR="00925839" w:rsidRPr="0060351E" w:rsidRDefault="009B513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Ispitivanje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E825" w14:textId="3BB55C53" w:rsidR="00925839" w:rsidRPr="0060351E" w:rsidRDefault="009B513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Katapleksija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ACE9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136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20F0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EDS (ESS)/CGIc/Naps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7D2A" w14:textId="59F8F642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4 ned</w:t>
            </w:r>
            <w:r w:rsidR="002D764C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j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elja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9643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pacing w:val="-2"/>
                <w:szCs w:val="24"/>
                <w:lang w:val="sr-Latn-ME"/>
              </w:rPr>
              <w:t xml:space="preserve">Natrijum oksibat 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sym w:font="Symbol" w:char="F02D"/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9</w:t>
            </w:r>
          </w:p>
        </w:tc>
      </w:tr>
      <w:tr w:rsidR="00925839" w:rsidRPr="0060351E" w14:paraId="352BB236" w14:textId="77777777" w:rsidTr="00005514">
        <w:trPr>
          <w:trHeight w:val="30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A9A9" w14:textId="23CC80B7" w:rsidR="00925839" w:rsidRPr="0060351E" w:rsidRDefault="009B513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Ispitivanje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B900F" w14:textId="146CD0CD" w:rsidR="00925839" w:rsidRPr="0060351E" w:rsidRDefault="009B513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Katapleksija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7D38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55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AB27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/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E0E4" w14:textId="3F0C1778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4 ned</w:t>
            </w:r>
            <w:r w:rsidR="002D764C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j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elja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700E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pacing w:val="-2"/>
                <w:szCs w:val="24"/>
                <w:lang w:val="sr-Latn-ME"/>
              </w:rPr>
              <w:t xml:space="preserve">Natrijum oksibat 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sym w:font="Symbol" w:char="F02D"/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9</w:t>
            </w:r>
          </w:p>
        </w:tc>
      </w:tr>
    </w:tbl>
    <w:p w14:paraId="68609576" w14:textId="1D6FF7CC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EDS</w:t>
      </w:r>
      <w:r w:rsidR="001C2DC8" w:rsidRPr="0060351E">
        <w:rPr>
          <w:rFonts w:ascii="Times New Roman" w:eastAsia="Times New Roman" w:hAnsi="Times New Roman" w:cs="Times New Roman"/>
          <w:lang w:val="sr-Latn-ME"/>
        </w:rPr>
        <w:t xml:space="preserve"> (engl. </w:t>
      </w:r>
      <w:r w:rsidR="006D508E" w:rsidRPr="0060351E">
        <w:rPr>
          <w:rFonts w:ascii="Times New Roman" w:eastAsia="Times New Roman" w:hAnsi="Times New Roman" w:cs="Times New Roman"/>
          <w:i/>
          <w:iCs/>
          <w:lang w:val="sr-Latn-ME"/>
        </w:rPr>
        <w:t>e</w:t>
      </w:r>
      <w:r w:rsidR="001C2DC8" w:rsidRPr="0060351E">
        <w:rPr>
          <w:rFonts w:ascii="Times New Roman" w:eastAsia="Times New Roman" w:hAnsi="Times New Roman" w:cs="Times New Roman"/>
          <w:i/>
          <w:iCs/>
          <w:lang w:val="sr-Latn-ME"/>
        </w:rPr>
        <w:t>xcessive day</w:t>
      </w:r>
      <w:r w:rsidR="006D508E" w:rsidRPr="0060351E">
        <w:rPr>
          <w:rFonts w:ascii="Times New Roman" w:eastAsia="Times New Roman" w:hAnsi="Times New Roman" w:cs="Times New Roman"/>
          <w:i/>
          <w:iCs/>
          <w:lang w:val="sr-Latn-ME"/>
        </w:rPr>
        <w:t>time sleepiness</w:t>
      </w:r>
      <w:r w:rsidR="006D508E" w:rsidRPr="0060351E">
        <w:rPr>
          <w:rFonts w:ascii="Times New Roman" w:eastAsia="Times New Roman" w:hAnsi="Times New Roman" w:cs="Times New Roman"/>
          <w:lang w:val="sr-Latn-ME"/>
        </w:rPr>
        <w:t>)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– </w:t>
      </w:r>
      <w:r w:rsidR="00446C31" w:rsidRPr="0060351E">
        <w:rPr>
          <w:rFonts w:ascii="Times New Roman" w:eastAsia="Times New Roman" w:hAnsi="Times New Roman" w:cs="Times New Roman"/>
          <w:lang w:val="sr-Latn-ME"/>
        </w:rPr>
        <w:t>p</w:t>
      </w:r>
      <w:r w:rsidRPr="0060351E">
        <w:rPr>
          <w:rFonts w:ascii="Times New Roman" w:eastAsia="Times New Roman" w:hAnsi="Times New Roman" w:cs="Times New Roman"/>
          <w:lang w:val="sr-Latn-ME"/>
        </w:rPr>
        <w:t>rekom</w:t>
      </w:r>
      <w:r w:rsidR="006D508E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erna dnevna pospanost; ESS – Ep</w:t>
      </w:r>
      <w:r w:rsidR="006D508E" w:rsidRPr="0060351E">
        <w:rPr>
          <w:rFonts w:ascii="Times New Roman" w:eastAsia="Times New Roman" w:hAnsi="Times New Roman" w:cs="Times New Roman"/>
          <w:lang w:val="sr-Latn-ME"/>
        </w:rPr>
        <w:t>w</w:t>
      </w:r>
      <w:r w:rsidRPr="0060351E">
        <w:rPr>
          <w:rFonts w:ascii="Times New Roman" w:eastAsia="Times New Roman" w:hAnsi="Times New Roman" w:cs="Times New Roman"/>
          <w:lang w:val="sr-Latn-ME"/>
        </w:rPr>
        <w:t>ort</w:t>
      </w:r>
      <w:r w:rsidR="006D508E" w:rsidRPr="0060351E">
        <w:rPr>
          <w:rFonts w:ascii="Times New Roman" w:eastAsia="Times New Roman" w:hAnsi="Times New Roman" w:cs="Times New Roman"/>
          <w:lang w:val="sr-Latn-ME"/>
        </w:rPr>
        <w:t>h-ova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skala pospanosti; MWT</w:t>
      </w:r>
      <w:r w:rsidR="006D508E" w:rsidRPr="0060351E">
        <w:rPr>
          <w:rFonts w:ascii="Times New Roman" w:eastAsia="Times New Roman" w:hAnsi="Times New Roman" w:cs="Times New Roman"/>
          <w:lang w:val="sr-Latn-ME"/>
        </w:rPr>
        <w:t xml:space="preserve"> (engl. </w:t>
      </w:r>
      <w:r w:rsidR="006D508E" w:rsidRPr="0060351E">
        <w:rPr>
          <w:rFonts w:ascii="Times New Roman" w:eastAsia="Times New Roman" w:hAnsi="Times New Roman" w:cs="Times New Roman"/>
          <w:i/>
          <w:iCs/>
          <w:lang w:val="sr-Latn-ME"/>
        </w:rPr>
        <w:t>Maint</w:t>
      </w:r>
      <w:r w:rsidR="000839F7" w:rsidRPr="0060351E">
        <w:rPr>
          <w:rFonts w:ascii="Times New Roman" w:eastAsia="Times New Roman" w:hAnsi="Times New Roman" w:cs="Times New Roman"/>
          <w:i/>
          <w:iCs/>
          <w:lang w:val="sr-Latn-ME"/>
        </w:rPr>
        <w:t>enance of Wakefulness Test</w:t>
      </w:r>
      <w:r w:rsidR="000839F7" w:rsidRPr="0060351E">
        <w:rPr>
          <w:rFonts w:ascii="Times New Roman" w:eastAsia="Times New Roman" w:hAnsi="Times New Roman" w:cs="Times New Roman"/>
          <w:lang w:val="sr-Latn-ME"/>
        </w:rPr>
        <w:t>)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– </w:t>
      </w:r>
      <w:r w:rsidR="00446C31" w:rsidRPr="0060351E">
        <w:rPr>
          <w:rFonts w:ascii="Times New Roman" w:eastAsia="Times New Roman" w:hAnsi="Times New Roman" w:cs="Times New Roman"/>
          <w:lang w:val="sr-Latn-ME"/>
        </w:rPr>
        <w:t>t</w:t>
      </w:r>
      <w:r w:rsidRPr="0060351E">
        <w:rPr>
          <w:rFonts w:ascii="Times New Roman" w:eastAsia="Times New Roman" w:hAnsi="Times New Roman" w:cs="Times New Roman"/>
          <w:lang w:val="sr-Latn-ME"/>
        </w:rPr>
        <w:t>est održavanja budnosti; Naps</w:t>
      </w:r>
      <w:r w:rsidR="00446C31" w:rsidRPr="0060351E">
        <w:rPr>
          <w:rFonts w:ascii="Times New Roman" w:eastAsia="Times New Roman" w:hAnsi="Times New Roman" w:cs="Times New Roman"/>
          <w:lang w:val="sr-Latn-ME"/>
        </w:rPr>
        <w:t xml:space="preserve"> engl. </w:t>
      </w:r>
      <w:r w:rsidR="00446C31" w:rsidRPr="0060351E">
        <w:rPr>
          <w:rFonts w:ascii="Times New Roman" w:eastAsia="Times New Roman" w:hAnsi="Times New Roman" w:cs="Times New Roman"/>
          <w:i/>
          <w:iCs/>
          <w:lang w:val="sr-Latn-ME"/>
        </w:rPr>
        <w:t>Number of inadvertent daytime</w:t>
      </w:r>
      <w:r w:rsidR="00446C31" w:rsidRPr="0060351E">
        <w:rPr>
          <w:rFonts w:ascii="Times New Roman" w:eastAsia="Times New Roman" w:hAnsi="Times New Roman" w:cs="Times New Roman"/>
          <w:lang w:val="sr-Latn-ME"/>
        </w:rPr>
        <w:t>)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– </w:t>
      </w:r>
      <w:r w:rsidR="00446C31" w:rsidRPr="0060351E">
        <w:rPr>
          <w:rFonts w:ascii="Times New Roman" w:eastAsia="Times New Roman" w:hAnsi="Times New Roman" w:cs="Times New Roman"/>
          <w:lang w:val="sr-Latn-ME"/>
        </w:rPr>
        <w:t>b</w:t>
      </w:r>
      <w:r w:rsidRPr="0060351E">
        <w:rPr>
          <w:rFonts w:ascii="Times New Roman" w:eastAsia="Times New Roman" w:hAnsi="Times New Roman" w:cs="Times New Roman"/>
          <w:lang w:val="sr-Latn-ME"/>
        </w:rPr>
        <w:t>roj ne</w:t>
      </w:r>
      <w:r w:rsidR="00446C31" w:rsidRPr="0060351E">
        <w:rPr>
          <w:rFonts w:ascii="Times New Roman" w:eastAsia="Times New Roman" w:hAnsi="Times New Roman" w:cs="Times New Roman"/>
          <w:lang w:val="sr-Latn-ME"/>
        </w:rPr>
        <w:t>hotičnih dnevnih epizoda spavanja</w:t>
      </w:r>
      <w:r w:rsidRPr="0060351E">
        <w:rPr>
          <w:rFonts w:ascii="Times New Roman" w:eastAsia="Times New Roman" w:hAnsi="Times New Roman" w:cs="Times New Roman"/>
          <w:lang w:val="sr-Latn-ME"/>
        </w:rPr>
        <w:t>; CGIc</w:t>
      </w:r>
      <w:r w:rsidR="00446C31" w:rsidRPr="0060351E">
        <w:rPr>
          <w:rFonts w:ascii="Times New Roman" w:eastAsia="Times New Roman" w:hAnsi="Times New Roman" w:cs="Times New Roman"/>
          <w:lang w:val="sr-Latn-ME"/>
        </w:rPr>
        <w:t xml:space="preserve"> (engl</w:t>
      </w:r>
      <w:r w:rsidR="006325B4" w:rsidRPr="0060351E">
        <w:rPr>
          <w:rFonts w:ascii="Times New Roman" w:eastAsia="Times New Roman" w:hAnsi="Times New Roman" w:cs="Times New Roman"/>
          <w:lang w:val="sr-Latn-ME"/>
        </w:rPr>
        <w:t xml:space="preserve">. </w:t>
      </w:r>
      <w:r w:rsidR="006325B4" w:rsidRPr="0060351E">
        <w:rPr>
          <w:rFonts w:ascii="Times New Roman" w:eastAsia="Times New Roman" w:hAnsi="Times New Roman" w:cs="Times New Roman"/>
          <w:i/>
          <w:iCs/>
          <w:lang w:val="sr-Latn-ME"/>
        </w:rPr>
        <w:t>Clinical Global Impressions of Change</w:t>
      </w:r>
      <w:r w:rsidR="006325B4" w:rsidRPr="0060351E">
        <w:rPr>
          <w:rFonts w:ascii="Times New Roman" w:eastAsia="Times New Roman" w:hAnsi="Times New Roman" w:cs="Times New Roman"/>
          <w:lang w:val="sr-Latn-ME"/>
        </w:rPr>
        <w:t>)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– </w:t>
      </w:r>
      <w:r w:rsidR="006325B4" w:rsidRPr="0060351E">
        <w:rPr>
          <w:rFonts w:ascii="Times New Roman" w:eastAsia="Times New Roman" w:hAnsi="Times New Roman" w:cs="Times New Roman"/>
          <w:lang w:val="sr-Latn-ME"/>
        </w:rPr>
        <w:t>k</w:t>
      </w:r>
      <w:r w:rsidRPr="0060351E">
        <w:rPr>
          <w:rFonts w:ascii="Times New Roman" w:eastAsia="Times New Roman" w:hAnsi="Times New Roman" w:cs="Times New Roman"/>
          <w:lang w:val="sr-Latn-ME"/>
        </w:rPr>
        <w:t>liničk</w:t>
      </w:r>
      <w:r w:rsidR="00EA300D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globalna proc</w:t>
      </w:r>
      <w:r w:rsidR="00EA300D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ena prom</w:t>
      </w:r>
      <w:r w:rsidR="00EA300D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ene; FOSQ </w:t>
      </w:r>
      <w:r w:rsidR="00EA300D" w:rsidRPr="0060351E">
        <w:rPr>
          <w:rFonts w:ascii="Times New Roman" w:eastAsia="Times New Roman" w:hAnsi="Times New Roman" w:cs="Times New Roman"/>
          <w:lang w:val="sr-Latn-ME"/>
        </w:rPr>
        <w:t xml:space="preserve">(engl. </w:t>
      </w:r>
      <w:r w:rsidR="00EA300D" w:rsidRPr="0060351E">
        <w:rPr>
          <w:rFonts w:ascii="Times New Roman" w:eastAsia="Times New Roman" w:hAnsi="Times New Roman" w:cs="Times New Roman"/>
          <w:i/>
          <w:iCs/>
          <w:lang w:val="sr-Latn-ME"/>
        </w:rPr>
        <w:t>Functional Outcomes of Sleep Questionnaire</w:t>
      </w:r>
      <w:r w:rsidR="00EA300D" w:rsidRPr="0060351E">
        <w:rPr>
          <w:rFonts w:ascii="Times New Roman" w:eastAsia="Times New Roman" w:hAnsi="Times New Roman" w:cs="Times New Roman"/>
          <w:lang w:val="sr-Latn-ME"/>
        </w:rPr>
        <w:t>)</w:t>
      </w:r>
      <w:r w:rsidR="001E5990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– </w:t>
      </w:r>
      <w:r w:rsidR="00EA300D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>pitnik</w:t>
      </w:r>
      <w:r w:rsidR="00EA300D" w:rsidRPr="0060351E">
        <w:rPr>
          <w:rFonts w:ascii="Times New Roman" w:eastAsia="Times New Roman" w:hAnsi="Times New Roman" w:cs="Times New Roman"/>
          <w:lang w:val="sr-Latn-ME"/>
        </w:rPr>
        <w:t xml:space="preserve"> 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funkcional</w:t>
      </w:r>
      <w:r w:rsidR="001926D9" w:rsidRPr="0060351E">
        <w:rPr>
          <w:rFonts w:ascii="Times New Roman" w:eastAsia="Times New Roman" w:hAnsi="Times New Roman" w:cs="Times New Roman"/>
          <w:lang w:val="sr-Latn-ME"/>
        </w:rPr>
        <w:t>nom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ishod</w:t>
      </w:r>
      <w:r w:rsidR="001926D9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</w:t>
      </w:r>
      <w:r w:rsidR="001926D9" w:rsidRPr="0060351E">
        <w:rPr>
          <w:rFonts w:ascii="Times New Roman" w:eastAsia="Times New Roman" w:hAnsi="Times New Roman" w:cs="Times New Roman"/>
          <w:lang w:val="sr-Latn-ME"/>
        </w:rPr>
        <w:t>pavanja</w:t>
      </w:r>
      <w:r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5C52B385" w14:textId="77777777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6BBDE57B" w14:textId="0F76B2A7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Ispitivanje 1 je obuhvatilo 246 pacijenata sa narkolepsijom </w:t>
      </w:r>
      <w:r w:rsidR="00D44ED4" w:rsidRPr="0060351E">
        <w:rPr>
          <w:rFonts w:ascii="Times New Roman" w:eastAsia="Times New Roman" w:hAnsi="Times New Roman" w:cs="Times New Roman"/>
          <w:lang w:val="sr-Latn-ME"/>
        </w:rPr>
        <w:t>uz titracijski period u trajanju od 1 nedjelje</w:t>
      </w:r>
      <w:r w:rsidRPr="0060351E">
        <w:rPr>
          <w:rFonts w:ascii="Times New Roman" w:eastAsia="Times New Roman" w:hAnsi="Times New Roman" w:cs="Times New Roman"/>
          <w:lang w:val="sr-Latn-ME"/>
        </w:rPr>
        <w:t>. Primarn</w:t>
      </w:r>
      <w:r w:rsidR="0052763B" w:rsidRPr="0060351E">
        <w:rPr>
          <w:rFonts w:ascii="Times New Roman" w:eastAsia="Times New Roman" w:hAnsi="Times New Roman" w:cs="Times New Roman"/>
          <w:lang w:val="sr-Latn-ME"/>
        </w:rPr>
        <w:t>e mjere</w:t>
      </w:r>
      <w:r w:rsidR="00B042A5" w:rsidRPr="0060351E">
        <w:rPr>
          <w:rFonts w:ascii="Times New Roman" w:eastAsia="Times New Roman" w:hAnsi="Times New Roman" w:cs="Times New Roman"/>
          <w:lang w:val="sr-Latn-ME"/>
        </w:rPr>
        <w:t xml:space="preserve"> efikasnonsti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bile prom</w:t>
      </w:r>
      <w:r w:rsidR="00B042A5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ene u prekom</w:t>
      </w:r>
      <w:r w:rsidR="00B042A5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ernoj dnevnoj pospanosti </w:t>
      </w:r>
      <w:r w:rsidR="00B042A5" w:rsidRPr="0060351E">
        <w:rPr>
          <w:rFonts w:ascii="Times New Roman" w:eastAsia="Times New Roman" w:hAnsi="Times New Roman" w:cs="Times New Roman"/>
          <w:lang w:val="sr-Latn-ME"/>
        </w:rPr>
        <w:t>koje su određivane</w:t>
      </w:r>
      <w:r w:rsidR="006165BE" w:rsidRPr="0060351E">
        <w:rPr>
          <w:rFonts w:ascii="Times New Roman" w:eastAsia="Times New Roman" w:hAnsi="Times New Roman" w:cs="Times New Roman"/>
          <w:lang w:val="sr-Latn-ME"/>
        </w:rPr>
        <w:t xml:space="preserve"> pomoću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Epworth</w:t>
      </w:r>
      <w:r w:rsidR="006165BE" w:rsidRPr="0060351E">
        <w:rPr>
          <w:rFonts w:ascii="Times New Roman" w:eastAsia="Times New Roman" w:hAnsi="Times New Roman" w:cs="Times New Roman"/>
          <w:lang w:val="sr-Latn-ME"/>
        </w:rPr>
        <w:t>-ove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6165BE" w:rsidRPr="0060351E">
        <w:rPr>
          <w:rFonts w:ascii="Times New Roman" w:eastAsia="Times New Roman" w:hAnsi="Times New Roman" w:cs="Times New Roman"/>
          <w:lang w:val="sr-Latn-ME"/>
        </w:rPr>
        <w:t>skale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pospanosti (ESS), kao i prom</w:t>
      </w:r>
      <w:r w:rsidR="006165BE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</w:t>
      </w:r>
      <w:r w:rsidR="006165BE" w:rsidRPr="0060351E">
        <w:rPr>
          <w:rFonts w:ascii="Times New Roman" w:eastAsia="Times New Roman" w:hAnsi="Times New Roman" w:cs="Times New Roman"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 ukupnoj težini simptoma </w:t>
      </w:r>
      <w:r w:rsidR="00E1780F" w:rsidRPr="0060351E">
        <w:rPr>
          <w:rFonts w:ascii="Times New Roman" w:eastAsia="Times New Roman" w:hAnsi="Times New Roman" w:cs="Times New Roman"/>
          <w:lang w:val="sr-Latn-ME"/>
        </w:rPr>
        <w:t xml:space="preserve">pacijenata sa </w:t>
      </w:r>
      <w:r w:rsidRPr="0060351E">
        <w:rPr>
          <w:rFonts w:ascii="Times New Roman" w:eastAsia="Times New Roman" w:hAnsi="Times New Roman" w:cs="Times New Roman"/>
          <w:lang w:val="sr-Latn-ME"/>
        </w:rPr>
        <w:t>narkolepsij</w:t>
      </w:r>
      <w:r w:rsidR="00E1780F" w:rsidRPr="0060351E">
        <w:rPr>
          <w:rFonts w:ascii="Times New Roman" w:eastAsia="Times New Roman" w:hAnsi="Times New Roman" w:cs="Times New Roman"/>
          <w:lang w:val="sr-Latn-ME"/>
        </w:rPr>
        <w:t>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52763B" w:rsidRPr="0060351E">
        <w:rPr>
          <w:rFonts w:ascii="Times New Roman" w:eastAsia="Times New Roman" w:hAnsi="Times New Roman" w:cs="Times New Roman"/>
          <w:lang w:val="sr-Latn-ME"/>
        </w:rPr>
        <w:t xml:space="preserve">koje je </w:t>
      </w:r>
      <w:r w:rsidRPr="0060351E">
        <w:rPr>
          <w:rFonts w:ascii="Times New Roman" w:eastAsia="Times New Roman" w:hAnsi="Times New Roman" w:cs="Times New Roman"/>
          <w:lang w:val="sr-Latn-ME"/>
        </w:rPr>
        <w:t>proc</w:t>
      </w:r>
      <w:r w:rsidR="00052A51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enjen</w:t>
      </w:r>
      <w:r w:rsidR="0052763B" w:rsidRPr="0060351E">
        <w:rPr>
          <w:rFonts w:ascii="Times New Roman" w:eastAsia="Times New Roman" w:hAnsi="Times New Roman" w:cs="Times New Roman"/>
          <w:lang w:val="sr-Latn-ME"/>
        </w:rPr>
        <w:t>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od strane istraživača korišćenjem </w:t>
      </w:r>
      <w:r w:rsidR="00502229" w:rsidRPr="0060351E">
        <w:rPr>
          <w:rFonts w:ascii="Times New Roman" w:eastAsia="Times New Roman" w:hAnsi="Times New Roman" w:cs="Times New Roman"/>
          <w:lang w:val="sr-Latn-ME"/>
        </w:rPr>
        <w:t xml:space="preserve">metode </w:t>
      </w:r>
      <w:r w:rsidRPr="0060351E">
        <w:rPr>
          <w:rFonts w:ascii="Times New Roman" w:eastAsia="Times New Roman" w:hAnsi="Times New Roman" w:cs="Times New Roman"/>
          <w:lang w:val="sr-Latn-ME"/>
        </w:rPr>
        <w:t>Kliničke globalne proc</w:t>
      </w:r>
      <w:r w:rsidR="00052A51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ene prom</w:t>
      </w:r>
      <w:r w:rsidR="00052A51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ene (CGI-c).</w:t>
      </w:r>
    </w:p>
    <w:p w14:paraId="6F199CA9" w14:textId="77777777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449BFEB3" w14:textId="1EC9E68D" w:rsidR="00925839" w:rsidRPr="0060351E" w:rsidRDefault="00925839" w:rsidP="0000551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Tabela 2 </w:t>
      </w:r>
      <w:r w:rsidR="009033D2" w:rsidRPr="0060351E">
        <w:rPr>
          <w:rFonts w:ascii="Times New Roman" w:eastAsia="Times New Roman" w:hAnsi="Times New Roman" w:cs="Times New Roman"/>
          <w:b/>
          <w:bCs/>
          <w:lang w:val="sr-Latn-ME"/>
        </w:rPr>
        <w:t>Pregled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 EES</w:t>
      </w:r>
      <w:r w:rsidR="00330F66" w:rsidRPr="0060351E">
        <w:rPr>
          <w:rFonts w:ascii="Times New Roman" w:eastAsia="Times New Roman" w:hAnsi="Times New Roman" w:cs="Times New Roman"/>
          <w:b/>
          <w:bCs/>
          <w:lang w:val="sr-Latn-ME"/>
        </w:rPr>
        <w:t>-a u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  <w:r w:rsidR="00502229" w:rsidRPr="0060351E">
        <w:rPr>
          <w:rFonts w:ascii="Times New Roman" w:eastAsia="Times New Roman" w:hAnsi="Times New Roman" w:cs="Times New Roman"/>
          <w:b/>
          <w:bCs/>
          <w:lang w:val="sr-Latn-ME"/>
        </w:rPr>
        <w:t>Istitivanj</w:t>
      </w:r>
      <w:r w:rsidR="00330F66" w:rsidRPr="0060351E">
        <w:rPr>
          <w:rFonts w:ascii="Times New Roman" w:eastAsia="Times New Roman" w:hAnsi="Times New Roman" w:cs="Times New Roman"/>
          <w:b/>
          <w:bCs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 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1288"/>
        <w:gridCol w:w="1274"/>
        <w:gridCol w:w="1690"/>
        <w:gridCol w:w="2604"/>
      </w:tblGrid>
      <w:tr w:rsidR="00925839" w:rsidRPr="0060351E" w14:paraId="64E11A2F" w14:textId="77777777" w:rsidTr="00005514">
        <w:trPr>
          <w:trHeight w:val="311"/>
        </w:trPr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F86E3E2" w14:textId="10E916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Epworth</w:t>
            </w:r>
            <w:r w:rsidR="009033D2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-ova</w:t>
            </w: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 xml:space="preserve"> </w:t>
            </w:r>
            <w:r w:rsidR="009033D2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skala pospanosti</w:t>
            </w: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 xml:space="preserve"> (ESS; r</w:t>
            </w:r>
            <w:r w:rsidR="009033D2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aspon</w:t>
            </w: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 xml:space="preserve"> 0-24)</w:t>
            </w:r>
          </w:p>
        </w:tc>
      </w:tr>
      <w:tr w:rsidR="009033D2" w:rsidRPr="0060351E" w14:paraId="776F4A79" w14:textId="77777777" w:rsidTr="00005514">
        <w:trPr>
          <w:trHeight w:val="311"/>
        </w:trPr>
        <w:tc>
          <w:tcPr>
            <w:tcW w:w="21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B6690C" w14:textId="39F71316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Do</w:t>
            </w:r>
            <w:r w:rsidR="009033D2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za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[g/d (n)]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E8C162" w14:textId="511473B7" w:rsidR="00925839" w:rsidRPr="0060351E" w:rsidRDefault="009033D2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Početno stanje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4FA625" w14:textId="1269E3AE" w:rsidR="00925839" w:rsidRPr="0060351E" w:rsidRDefault="009033D2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Krajno stanje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8A58F3D" w14:textId="4E6A9CAB" w:rsidR="00925839" w:rsidRPr="0060351E" w:rsidRDefault="00D90455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Medijana</w:t>
            </w:r>
            <w:r w:rsidR="009033D2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promjene u </w:t>
            </w:r>
            <w:r w:rsidR="009033D2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lastRenderedPageBreak/>
              <w:t>odnosu</w:t>
            </w:r>
            <w:r w:rsidR="00303FC5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na početno stanje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750108" w14:textId="6D3E3922" w:rsidR="00925839" w:rsidRPr="0060351E" w:rsidRDefault="00303FC5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lastRenderedPageBreak/>
              <w:t>Promjena od početnog stanja u odnosu na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placebo</w:t>
            </w:r>
          </w:p>
          <w:p w14:paraId="3DB582FF" w14:textId="4FB351DB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(p-v</w:t>
            </w:r>
            <w:r w:rsidR="00A834B6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rijednost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)</w:t>
            </w:r>
          </w:p>
        </w:tc>
      </w:tr>
      <w:tr w:rsidR="009033D2" w:rsidRPr="0060351E" w14:paraId="38D81CE6" w14:textId="77777777" w:rsidTr="00005514">
        <w:trPr>
          <w:trHeight w:val="311"/>
        </w:trPr>
        <w:tc>
          <w:tcPr>
            <w:tcW w:w="21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FBFF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Placebo (60)</w:t>
            </w:r>
          </w:p>
        </w:tc>
        <w:tc>
          <w:tcPr>
            <w:tcW w:w="1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18D0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17.3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1CBFBA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16.7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0615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-0.5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205B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</w:t>
            </w:r>
          </w:p>
        </w:tc>
      </w:tr>
      <w:tr w:rsidR="009033D2" w:rsidRPr="0060351E" w14:paraId="1BE6BAB6" w14:textId="77777777" w:rsidTr="00005514">
        <w:trPr>
          <w:trHeight w:val="31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753A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4.5 (68)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B76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17.5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8B7C17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15.7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7079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-1.0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9DEF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0.119</w:t>
            </w:r>
          </w:p>
        </w:tc>
      </w:tr>
      <w:tr w:rsidR="009033D2" w:rsidRPr="0060351E" w14:paraId="49D7FC76" w14:textId="77777777" w:rsidTr="00005514">
        <w:trPr>
          <w:trHeight w:val="31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8645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6 (63)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0112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17.9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2F010E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15.3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571E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-2.0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FC5A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0.001</w:t>
            </w:r>
          </w:p>
        </w:tc>
      </w:tr>
      <w:tr w:rsidR="009033D2" w:rsidRPr="0060351E" w14:paraId="72C2E728" w14:textId="77777777" w:rsidTr="00005514">
        <w:trPr>
          <w:trHeight w:val="31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06B1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9 (55)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D9B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17.9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6F1683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13.1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552A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-2.0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013A" w14:textId="3F441F45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&lt;</w:t>
            </w:r>
            <w:r w:rsidR="0074562C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0.001</w:t>
            </w:r>
          </w:p>
        </w:tc>
      </w:tr>
    </w:tbl>
    <w:p w14:paraId="3A2AE89C" w14:textId="77777777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5128ECB1" w14:textId="429E78E1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Tabela 3 </w:t>
      </w:r>
      <w:r w:rsidR="00A834B6" w:rsidRPr="0060351E">
        <w:rPr>
          <w:rFonts w:ascii="Times New Roman" w:eastAsia="Times New Roman" w:hAnsi="Times New Roman" w:cs="Times New Roman"/>
          <w:b/>
          <w:bCs/>
          <w:lang w:val="sr-Latn-ME"/>
        </w:rPr>
        <w:t>Pregled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b/>
          <w:szCs w:val="24"/>
          <w:lang w:val="sr-Latn-ME"/>
        </w:rPr>
        <w:t>CGI</w:t>
      </w:r>
      <w:r w:rsidR="00A834B6" w:rsidRPr="0060351E">
        <w:rPr>
          <w:rFonts w:ascii="Times New Roman" w:eastAsia="Times New Roman" w:hAnsi="Times New Roman" w:cs="Times New Roman"/>
          <w:b/>
          <w:szCs w:val="24"/>
          <w:lang w:val="sr-Latn-ME"/>
        </w:rPr>
        <w:t>-c-a</w:t>
      </w:r>
      <w:r w:rsidRPr="0060351E">
        <w:rPr>
          <w:rFonts w:ascii="Times New Roman" w:eastAsia="Times New Roman" w:hAnsi="Times New Roman" w:cs="Times New Roman"/>
          <w:b/>
          <w:szCs w:val="24"/>
          <w:lang w:val="sr-Latn-ME"/>
        </w:rPr>
        <w:t xml:space="preserve"> </w:t>
      </w:r>
      <w:r w:rsidR="00A834B6" w:rsidRPr="0060351E">
        <w:rPr>
          <w:rFonts w:ascii="Times New Roman" w:eastAsia="Times New Roman" w:hAnsi="Times New Roman" w:cs="Times New Roman"/>
          <w:b/>
          <w:szCs w:val="24"/>
          <w:lang w:val="sr-Latn-ME"/>
        </w:rPr>
        <w:t>u Ispitivanju</w:t>
      </w:r>
      <w:r w:rsidRPr="0060351E">
        <w:rPr>
          <w:rFonts w:ascii="Times New Roman" w:eastAsia="Times New Roman" w:hAnsi="Times New Roman" w:cs="Times New Roman"/>
          <w:b/>
          <w:szCs w:val="24"/>
          <w:lang w:val="sr-Latn-ME"/>
        </w:rPr>
        <w:t xml:space="preserve">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3046"/>
        <w:gridCol w:w="2937"/>
      </w:tblGrid>
      <w:tr w:rsidR="00925839" w:rsidRPr="0060351E" w14:paraId="53B865DA" w14:textId="77777777" w:rsidTr="00925839">
        <w:trPr>
          <w:trHeight w:val="283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0D1A58" w14:textId="01E333D0" w:rsidR="00925839" w:rsidRPr="0060351E" w:rsidRDefault="008E6D8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Klinička globalna procjena promjene</w:t>
            </w:r>
            <w:r w:rsidR="00925839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 xml:space="preserve"> (CGI-c)</w:t>
            </w:r>
          </w:p>
        </w:tc>
      </w:tr>
      <w:tr w:rsidR="00925839" w:rsidRPr="0060351E" w14:paraId="32BCE3ED" w14:textId="77777777" w:rsidTr="00925839">
        <w:trPr>
          <w:trHeight w:val="283"/>
        </w:trPr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284BC3" w14:textId="2B2254FE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Do</w:t>
            </w:r>
            <w:r w:rsidR="008E6D83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za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[g/d (n)]</w:t>
            </w:r>
          </w:p>
        </w:tc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8EF636F" w14:textId="6B888875" w:rsidR="00925839" w:rsidRPr="0060351E" w:rsidRDefault="008E6D8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Pacijenti sa odgovorom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*</w:t>
            </w:r>
          </w:p>
          <w:p w14:paraId="12C6933C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N (%)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0B2CA7" w14:textId="7A93C647" w:rsidR="00925839" w:rsidRPr="0060351E" w:rsidRDefault="008E6D8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Promjena od početnog stanja u </w:t>
            </w:r>
            <w:r w:rsidR="002D466F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odnosu na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placebo (p-v</w:t>
            </w:r>
            <w:r w:rsidR="002D466F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rijednost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)</w:t>
            </w:r>
          </w:p>
        </w:tc>
      </w:tr>
      <w:tr w:rsidR="00925839" w:rsidRPr="0060351E" w14:paraId="1AAFEC5D" w14:textId="77777777" w:rsidTr="00925839">
        <w:trPr>
          <w:trHeight w:val="283"/>
        </w:trPr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80CC19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Placebo (60)</w:t>
            </w:r>
          </w:p>
        </w:tc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229C1F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13 (21.7)</w:t>
            </w:r>
          </w:p>
        </w:tc>
        <w:tc>
          <w:tcPr>
            <w:tcW w:w="29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1E36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</w:t>
            </w:r>
          </w:p>
        </w:tc>
      </w:tr>
      <w:tr w:rsidR="00925839" w:rsidRPr="0060351E" w14:paraId="0A96A094" w14:textId="77777777" w:rsidTr="00925839">
        <w:trPr>
          <w:trHeight w:val="28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0B713E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4.5 (68)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043FF9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32 (47.1)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153D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0.002</w:t>
            </w:r>
          </w:p>
        </w:tc>
      </w:tr>
      <w:tr w:rsidR="00925839" w:rsidRPr="0060351E" w14:paraId="4A76C872" w14:textId="77777777" w:rsidTr="00925839">
        <w:trPr>
          <w:trHeight w:val="28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9AF1F5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6 (63)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411395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30 (47.6)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EADD" w14:textId="5ED28C9F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&lt;</w:t>
            </w:r>
            <w:r w:rsidR="0074562C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0.001</w:t>
            </w:r>
          </w:p>
        </w:tc>
      </w:tr>
      <w:tr w:rsidR="00925839" w:rsidRPr="0060351E" w14:paraId="738B9D2D" w14:textId="77777777" w:rsidTr="00925839">
        <w:trPr>
          <w:trHeight w:val="283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F4A50A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9 (55)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6C527D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30 (54.4)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67CA" w14:textId="426855E0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&lt;</w:t>
            </w:r>
            <w:r w:rsidR="0074562C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0.001</w:t>
            </w:r>
          </w:p>
        </w:tc>
      </w:tr>
    </w:tbl>
    <w:p w14:paraId="4E19BDA9" w14:textId="74CFC902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sr-Latn-ME"/>
        </w:rPr>
      </w:pPr>
      <w:r w:rsidRPr="0060351E">
        <w:rPr>
          <w:rFonts w:ascii="Times New Roman" w:eastAsia="Times New Roman" w:hAnsi="Times New Roman" w:cs="Times New Roman"/>
          <w:szCs w:val="24"/>
          <w:lang w:val="sr-Latn-ME"/>
        </w:rPr>
        <w:t>* CGI-c</w:t>
      </w:r>
      <w:r w:rsidR="002D466F" w:rsidRPr="0060351E">
        <w:rPr>
          <w:rFonts w:ascii="Times New Roman" w:eastAsia="Times New Roman" w:hAnsi="Times New Roman" w:cs="Times New Roman"/>
          <w:szCs w:val="24"/>
          <w:lang w:val="sr-Latn-ME"/>
        </w:rPr>
        <w:t xml:space="preserve"> podaci</w:t>
      </w:r>
      <w:r w:rsidRPr="0060351E">
        <w:rPr>
          <w:rFonts w:ascii="Times New Roman" w:eastAsia="Times New Roman" w:hAnsi="Times New Roman" w:cs="Times New Roman"/>
          <w:szCs w:val="24"/>
          <w:lang w:val="sr-Latn-ME"/>
        </w:rPr>
        <w:t xml:space="preserve"> analizirani su </w:t>
      </w:r>
      <w:r w:rsidR="00B83540" w:rsidRPr="0060351E">
        <w:rPr>
          <w:rFonts w:ascii="Times New Roman" w:eastAsia="Times New Roman" w:hAnsi="Times New Roman" w:cs="Times New Roman"/>
          <w:szCs w:val="24"/>
          <w:lang w:val="sr-Latn-ME"/>
        </w:rPr>
        <w:t xml:space="preserve">na način da su pacijenti sa odgovorom </w:t>
      </w:r>
      <w:r w:rsidRPr="0060351E">
        <w:rPr>
          <w:rFonts w:ascii="Times New Roman" w:eastAsia="Times New Roman" w:hAnsi="Times New Roman" w:cs="Times New Roman"/>
          <w:szCs w:val="24"/>
          <w:lang w:val="sr-Latn-ME"/>
        </w:rPr>
        <w:t>definis</w:t>
      </w:r>
      <w:r w:rsidR="00B83540" w:rsidRPr="0060351E">
        <w:rPr>
          <w:rFonts w:ascii="Times New Roman" w:eastAsia="Times New Roman" w:hAnsi="Times New Roman" w:cs="Times New Roman"/>
          <w:szCs w:val="24"/>
          <w:lang w:val="sr-Latn-ME"/>
        </w:rPr>
        <w:t>ani</w:t>
      </w:r>
      <w:r w:rsidRPr="0060351E">
        <w:rPr>
          <w:rFonts w:ascii="Times New Roman" w:eastAsia="Times New Roman" w:hAnsi="Times New Roman" w:cs="Times New Roman"/>
          <w:szCs w:val="24"/>
          <w:lang w:val="sr-Latn-ME"/>
        </w:rPr>
        <w:t xml:space="preserve"> kao oni </w:t>
      </w:r>
      <w:r w:rsidR="009D15F2" w:rsidRPr="0060351E">
        <w:rPr>
          <w:rFonts w:ascii="Times New Roman" w:eastAsia="Times New Roman" w:hAnsi="Times New Roman" w:cs="Times New Roman"/>
          <w:szCs w:val="24"/>
          <w:lang w:val="sr-Latn-ME"/>
        </w:rPr>
        <w:t xml:space="preserve">kojima se stanje </w:t>
      </w:r>
      <w:r w:rsidR="00D31318" w:rsidRPr="0060351E">
        <w:rPr>
          <w:rFonts w:ascii="Times New Roman" w:eastAsia="Times New Roman" w:hAnsi="Times New Roman" w:cs="Times New Roman"/>
          <w:szCs w:val="24"/>
          <w:lang w:val="sr-Latn-ME"/>
        </w:rPr>
        <w:t>značajno</w:t>
      </w:r>
      <w:r w:rsidRPr="0060351E">
        <w:rPr>
          <w:rFonts w:ascii="Times New Roman" w:eastAsia="Times New Roman" w:hAnsi="Times New Roman" w:cs="Times New Roman"/>
          <w:szCs w:val="24"/>
          <w:lang w:val="sr-Latn-ME"/>
        </w:rPr>
        <w:t xml:space="preserve"> ili </w:t>
      </w:r>
      <w:r w:rsidR="00D31318" w:rsidRPr="0060351E">
        <w:rPr>
          <w:rFonts w:ascii="Times New Roman" w:eastAsia="Times New Roman" w:hAnsi="Times New Roman" w:cs="Times New Roman"/>
          <w:szCs w:val="24"/>
          <w:lang w:val="sr-Latn-ME"/>
        </w:rPr>
        <w:t xml:space="preserve">veoma </w:t>
      </w:r>
      <w:r w:rsidRPr="0060351E">
        <w:rPr>
          <w:rFonts w:ascii="Times New Roman" w:eastAsia="Times New Roman" w:hAnsi="Times New Roman" w:cs="Times New Roman"/>
          <w:szCs w:val="24"/>
          <w:lang w:val="sr-Latn-ME"/>
        </w:rPr>
        <w:t>zna</w:t>
      </w:r>
      <w:r w:rsidR="00D31318" w:rsidRPr="0060351E">
        <w:rPr>
          <w:rFonts w:ascii="Times New Roman" w:eastAsia="Times New Roman" w:hAnsi="Times New Roman" w:cs="Times New Roman"/>
          <w:szCs w:val="24"/>
          <w:lang w:val="sr-Latn-ME"/>
        </w:rPr>
        <w:t>čajno popravilo</w:t>
      </w:r>
      <w:r w:rsidRPr="0060351E">
        <w:rPr>
          <w:rFonts w:ascii="Times New Roman" w:eastAsia="Times New Roman" w:hAnsi="Times New Roman" w:cs="Times New Roman"/>
          <w:szCs w:val="24"/>
          <w:lang w:val="sr-Latn-ME"/>
        </w:rPr>
        <w:t>.</w:t>
      </w:r>
    </w:p>
    <w:p w14:paraId="4C8DCF0A" w14:textId="040F03F1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szCs w:val="24"/>
          <w:lang w:val="sr-Latn-ME"/>
        </w:rPr>
        <w:br/>
      </w:r>
      <w:r w:rsidRPr="0060351E">
        <w:rPr>
          <w:rFonts w:ascii="Times New Roman" w:eastAsia="Times New Roman" w:hAnsi="Times New Roman" w:cs="Times New Roman"/>
          <w:lang w:val="sr-Latn-ME"/>
        </w:rPr>
        <w:t>Ispitivanje 2 je uporedilo efekte oralno prim</w:t>
      </w:r>
      <w:r w:rsidR="00D31318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enjenog natrijum oksibata, modafinila i kombinacije natrijum oksibata i modafinila sa placebom u l</w:t>
      </w:r>
      <w:r w:rsidR="001C40E1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ečenju </w:t>
      </w:r>
      <w:r w:rsidR="00D06BB1" w:rsidRPr="0060351E">
        <w:rPr>
          <w:rFonts w:ascii="Times New Roman" w:eastAsia="Times New Roman" w:hAnsi="Times New Roman" w:cs="Times New Roman"/>
          <w:lang w:val="sr-Latn-ME"/>
        </w:rPr>
        <w:t xml:space="preserve">dnevne </w:t>
      </w:r>
      <w:r w:rsidRPr="0060351E">
        <w:rPr>
          <w:rFonts w:ascii="Times New Roman" w:eastAsia="Times New Roman" w:hAnsi="Times New Roman" w:cs="Times New Roman"/>
          <w:lang w:val="sr-Latn-ME"/>
        </w:rPr>
        <w:t>pospanosti kod narkolepsije. Tokom</w:t>
      </w:r>
      <w:r w:rsidR="00457111" w:rsidRPr="0060351E">
        <w:rPr>
          <w:rFonts w:ascii="Times New Roman" w:eastAsia="Times New Roman" w:hAnsi="Times New Roman" w:cs="Times New Roman"/>
          <w:lang w:val="sr-Latn-ME"/>
        </w:rPr>
        <w:t xml:space="preserve"> dvostruko slijepog perioda od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8-n</w:t>
      </w:r>
      <w:r w:rsidR="00457111" w:rsidRPr="0060351E">
        <w:rPr>
          <w:rFonts w:ascii="Times New Roman" w:eastAsia="Times New Roman" w:hAnsi="Times New Roman" w:cs="Times New Roman"/>
          <w:lang w:val="sr-Latn-ME"/>
        </w:rPr>
        <w:t>edjelja</w:t>
      </w:r>
      <w:r w:rsidRPr="0060351E">
        <w:rPr>
          <w:rFonts w:ascii="Times New Roman" w:eastAsia="Times New Roman" w:hAnsi="Times New Roman" w:cs="Times New Roman"/>
          <w:lang w:val="sr-Latn-ME"/>
        </w:rPr>
        <w:t>, pacijenti su primali modafinil u svojoj utvrđenoj dozi ili ekvivalent placeba. Doza natrijum oksibata ili ekvivalenta placeba bila je 6 g/dnevno u prvih 4 ned</w:t>
      </w:r>
      <w:r w:rsidR="00E31480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elje, a zatim je povećana na 9 g/dnevno u preostalih 4 ned</w:t>
      </w:r>
      <w:r w:rsidR="006F303A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elje. Primarn</w:t>
      </w:r>
      <w:r w:rsidR="006F303A" w:rsidRPr="0060351E">
        <w:rPr>
          <w:rFonts w:ascii="Times New Roman" w:eastAsia="Times New Roman" w:hAnsi="Times New Roman" w:cs="Times New Roman"/>
          <w:lang w:val="sr-Latn-ME"/>
        </w:rPr>
        <w:t>a mjera efikasnosti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bi</w:t>
      </w:r>
      <w:r w:rsidR="006F303A" w:rsidRPr="0060351E">
        <w:rPr>
          <w:rFonts w:ascii="Times New Roman" w:eastAsia="Times New Roman" w:hAnsi="Times New Roman" w:cs="Times New Roman"/>
          <w:lang w:val="sr-Latn-ME"/>
        </w:rPr>
        <w:t>la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je prekom</w:t>
      </w:r>
      <w:r w:rsidR="006F303A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erna dnevna pospanost, proc</w:t>
      </w:r>
      <w:r w:rsidR="0015049D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enjena objektivnim odgovorom u Testu održavanja budnosti (MWT).</w:t>
      </w:r>
    </w:p>
    <w:p w14:paraId="774C99E2" w14:textId="77777777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4B273762" w14:textId="3B929DD5" w:rsidR="00925839" w:rsidRPr="0060351E" w:rsidRDefault="00925839" w:rsidP="0000551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Tabela 4 </w:t>
      </w:r>
      <w:r w:rsidR="00403602"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Pregled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>MVT</w:t>
      </w:r>
      <w:r w:rsidR="00403602" w:rsidRPr="0060351E">
        <w:rPr>
          <w:rFonts w:ascii="Times New Roman" w:eastAsia="Times New Roman" w:hAnsi="Times New Roman" w:cs="Times New Roman"/>
          <w:b/>
          <w:bCs/>
          <w:lang w:val="sr-Latn-ME"/>
        </w:rPr>
        <w:t>-a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 u </w:t>
      </w:r>
      <w:r w:rsidR="006E0221" w:rsidRPr="0060351E">
        <w:rPr>
          <w:rFonts w:ascii="Times New Roman" w:eastAsia="Times New Roman" w:hAnsi="Times New Roman" w:cs="Times New Roman"/>
          <w:b/>
          <w:bCs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>spitivanj</w:t>
      </w:r>
      <w:r w:rsidR="006E0221" w:rsidRPr="0060351E">
        <w:rPr>
          <w:rFonts w:ascii="Times New Roman" w:eastAsia="Times New Roman" w:hAnsi="Times New Roman" w:cs="Times New Roman"/>
          <w:b/>
          <w:bCs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 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1261"/>
        <w:gridCol w:w="1260"/>
        <w:gridCol w:w="1677"/>
        <w:gridCol w:w="2628"/>
      </w:tblGrid>
      <w:tr w:rsidR="00925839" w:rsidRPr="0060351E" w14:paraId="06B4AD6D" w14:textId="77777777" w:rsidTr="00005514"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847621" w14:textId="0C03C417" w:rsidR="00925839" w:rsidRPr="0060351E" w:rsidRDefault="0086687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ISPITIVANJE</w:t>
            </w:r>
            <w:r w:rsidR="00925839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 xml:space="preserve"> 2</w:t>
            </w:r>
          </w:p>
        </w:tc>
      </w:tr>
      <w:tr w:rsidR="00925839" w:rsidRPr="0060351E" w14:paraId="5E352182" w14:textId="77777777" w:rsidTr="00005514">
        <w:tc>
          <w:tcPr>
            <w:tcW w:w="21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C6DF57A" w14:textId="178EFE11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Do</w:t>
            </w:r>
            <w:r w:rsidR="00866873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za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6F4315" w14:textId="75F2F5B9" w:rsidR="00925839" w:rsidRPr="0060351E" w:rsidRDefault="0086687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Početno stanje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6D367A" w14:textId="41141B32" w:rsidR="00925839" w:rsidRPr="0060351E" w:rsidRDefault="00866873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Krajnje stanje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CFA27E" w14:textId="0AE7140E" w:rsidR="00925839" w:rsidRPr="0060351E" w:rsidRDefault="00E21EF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Srednja vrijednost promjene u odnosu na početno stanje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997549" w14:textId="3D79FCD6" w:rsidR="00925839" w:rsidRPr="0060351E" w:rsidRDefault="00D90455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Krajnje stanje u odnosu na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placebo (p-</w:t>
            </w:r>
            <w:r w:rsidR="0015049D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v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rijednost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)</w:t>
            </w:r>
          </w:p>
        </w:tc>
      </w:tr>
      <w:tr w:rsidR="00925839" w:rsidRPr="0060351E" w14:paraId="1AF88249" w14:textId="77777777" w:rsidTr="00005514">
        <w:tc>
          <w:tcPr>
            <w:tcW w:w="21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7253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Placebo (56)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A023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9.9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AED2B37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6.9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C848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-2.7</w:t>
            </w:r>
          </w:p>
        </w:tc>
        <w:tc>
          <w:tcPr>
            <w:tcW w:w="26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29D5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</w:t>
            </w:r>
          </w:p>
        </w:tc>
      </w:tr>
      <w:tr w:rsidR="00925839" w:rsidRPr="0060351E" w14:paraId="254D1564" w14:textId="77777777" w:rsidTr="00005514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DCF2" w14:textId="53458E39" w:rsidR="00925839" w:rsidRPr="0060351E" w:rsidRDefault="00E55A46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Natrijum oksibat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(55)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131F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11.5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49529F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11.3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66BF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0.16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5DB8" w14:textId="7DD66C34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&lt;</w:t>
            </w:r>
            <w:r w:rsidR="0074562C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0.001</w:t>
            </w:r>
          </w:p>
        </w:tc>
      </w:tr>
      <w:tr w:rsidR="00925839" w:rsidRPr="0060351E" w14:paraId="1A3D5DA8" w14:textId="77777777" w:rsidTr="00005514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63FD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Modafinil (63)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9F66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10.5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61F8A0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9.8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F39B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-0.6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737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0.004</w:t>
            </w:r>
          </w:p>
        </w:tc>
      </w:tr>
      <w:tr w:rsidR="00925839" w:rsidRPr="0060351E" w14:paraId="0D052225" w14:textId="77777777" w:rsidTr="00005514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C41B" w14:textId="582B5D22" w:rsidR="00925839" w:rsidRPr="0060351E" w:rsidRDefault="00E55A46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Natrijum oksibat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+ Modafinil (57)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23FC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10.4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CF7522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12.7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531F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2.3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A7D3" w14:textId="5C71CD42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&lt;</w:t>
            </w:r>
            <w:r w:rsidR="0074562C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0.001</w:t>
            </w:r>
          </w:p>
        </w:tc>
      </w:tr>
    </w:tbl>
    <w:p w14:paraId="33F4298E" w14:textId="77777777" w:rsidR="006B5544" w:rsidRPr="0060351E" w:rsidRDefault="006B5544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8FBACC7" w14:textId="5490186B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U ispitivanje 3 uključeno je 136 pacijenata sa narkolepsijom sa um</w:t>
      </w:r>
      <w:r w:rsidR="006B5544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erenom do teškom katapleksijom (medijan</w:t>
      </w:r>
      <w:r w:rsidR="00043B31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napada katapleksije</w:t>
      </w:r>
      <w:r w:rsidR="00E059D8" w:rsidRPr="0060351E">
        <w:rPr>
          <w:rFonts w:ascii="Times New Roman" w:eastAsia="Times New Roman" w:hAnsi="Times New Roman" w:cs="Times New Roman"/>
          <w:lang w:val="sr-Latn-ME"/>
        </w:rPr>
        <w:t xml:space="preserve"> je iznosila 21 napada </w:t>
      </w:r>
      <w:r w:rsidRPr="0060351E">
        <w:rPr>
          <w:rFonts w:ascii="Times New Roman" w:eastAsia="Times New Roman" w:hAnsi="Times New Roman" w:cs="Times New Roman"/>
          <w:lang w:val="sr-Latn-ME"/>
        </w:rPr>
        <w:t>ned</w:t>
      </w:r>
      <w:r w:rsidR="00E059D8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eljno) na početku</w:t>
      </w:r>
      <w:r w:rsidR="00E059D8" w:rsidRPr="0060351E">
        <w:rPr>
          <w:rFonts w:ascii="Times New Roman" w:eastAsia="Times New Roman" w:hAnsi="Times New Roman" w:cs="Times New Roman"/>
          <w:lang w:val="sr-Latn-ME"/>
        </w:rPr>
        <w:t xml:space="preserve"> ispitivanja</w:t>
      </w:r>
      <w:r w:rsidRPr="0060351E">
        <w:rPr>
          <w:rFonts w:ascii="Times New Roman" w:eastAsia="Times New Roman" w:hAnsi="Times New Roman" w:cs="Times New Roman"/>
          <w:lang w:val="sr-Latn-ME"/>
        </w:rPr>
        <w:t>. Primarna m</w:t>
      </w:r>
      <w:r w:rsidR="00E059D8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era efikasnosti u ovom ispitivanju bila je učestalost napada katapleksije.</w:t>
      </w:r>
    </w:p>
    <w:p w14:paraId="0A1FFEC6" w14:textId="77777777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87DB96A" w14:textId="771E8013" w:rsidR="00925839" w:rsidRPr="0060351E" w:rsidRDefault="00925839" w:rsidP="0000551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Tabela 5 Sažetak ishoda </w:t>
      </w:r>
      <w:r w:rsidR="00E059D8" w:rsidRPr="0060351E">
        <w:rPr>
          <w:rFonts w:ascii="Times New Roman" w:eastAsia="Times New Roman" w:hAnsi="Times New Roman" w:cs="Times New Roman"/>
          <w:b/>
          <w:bCs/>
          <w:lang w:val="sr-Latn-ME"/>
        </w:rPr>
        <w:t>u I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>spitivanj</w:t>
      </w:r>
      <w:r w:rsidR="00E059D8" w:rsidRPr="0060351E">
        <w:rPr>
          <w:rFonts w:ascii="Times New Roman" w:eastAsia="Times New Roman" w:hAnsi="Times New Roman" w:cs="Times New Roman"/>
          <w:b/>
          <w:bCs/>
          <w:lang w:val="sr-Latn-ME"/>
        </w:rPr>
        <w:t>u 3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2268"/>
        <w:gridCol w:w="1795"/>
        <w:gridCol w:w="1795"/>
        <w:gridCol w:w="1796"/>
      </w:tblGrid>
      <w:tr w:rsidR="00925839" w:rsidRPr="0060351E" w14:paraId="2735D021" w14:textId="77777777" w:rsidTr="00005514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A3ED5EC" w14:textId="65E12562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Do</w:t>
            </w:r>
            <w:r w:rsidR="00622FC8"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A1A457" w14:textId="7DFB29AF" w:rsidR="00925839" w:rsidRPr="0060351E" w:rsidRDefault="00622FC8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Broj ispitanika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2A5CC5" w14:textId="79BDDF30" w:rsidR="00925839" w:rsidRPr="0060351E" w:rsidRDefault="00622FC8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Napadi katapleksije</w:t>
            </w:r>
          </w:p>
        </w:tc>
      </w:tr>
      <w:tr w:rsidR="00925839" w:rsidRPr="0060351E" w14:paraId="25641B8B" w14:textId="77777777" w:rsidTr="00005514">
        <w:tc>
          <w:tcPr>
            <w:tcW w:w="37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67E3E4E" w14:textId="3BE5D7DD" w:rsidR="00925839" w:rsidRPr="0060351E" w:rsidRDefault="00622FC8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Ispitivanje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 3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2918A4" w14:textId="39329FE0" w:rsidR="00925839" w:rsidRPr="0060351E" w:rsidRDefault="00622FC8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Početno stanje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A33167" w14:textId="3B53F5B1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M</w:t>
            </w:r>
            <w:r w:rsidR="00622FC8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edijana promjene od početnog stanja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AB36DA" w14:textId="3705A20E" w:rsidR="00925839" w:rsidRPr="0060351E" w:rsidRDefault="00622FC8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Promjena od po</w:t>
            </w:r>
            <w:r w:rsidR="00AF71AE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četnog stanja u odnosu na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placebo (p-</w:t>
            </w:r>
            <w:r w:rsidR="00AF71AE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vrijednost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)</w:t>
            </w:r>
          </w:p>
        </w:tc>
      </w:tr>
      <w:tr w:rsidR="00925839" w:rsidRPr="0060351E" w14:paraId="4F1C9E80" w14:textId="77777777" w:rsidTr="00005514">
        <w:trPr>
          <w:trHeight w:val="283"/>
        </w:trPr>
        <w:tc>
          <w:tcPr>
            <w:tcW w:w="37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6EE1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56DF" w14:textId="05927511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Medi</w:t>
            </w:r>
            <w:r w:rsidR="00AF71AE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jana napada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/</w:t>
            </w:r>
            <w:r w:rsidR="00AF71AE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nedjelja</w:t>
            </w:r>
          </w:p>
        </w:tc>
      </w:tr>
      <w:tr w:rsidR="00925839" w:rsidRPr="0060351E" w14:paraId="2C17E89B" w14:textId="77777777" w:rsidTr="00005514">
        <w:trPr>
          <w:trHeight w:val="28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6726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Placebo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DDB1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B4AD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20.5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47D5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A14E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</w:t>
            </w:r>
          </w:p>
        </w:tc>
      </w:tr>
      <w:tr w:rsidR="00925839" w:rsidRPr="0060351E" w14:paraId="6D4F0CC5" w14:textId="77777777" w:rsidTr="00005514">
        <w:trPr>
          <w:trHeight w:val="28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4FC9" w14:textId="389B930C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3.0 g/d</w:t>
            </w:r>
            <w:r w:rsidR="006100B8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A4D1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B4C0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20.0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06E2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03D6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0.5235</w:t>
            </w:r>
          </w:p>
        </w:tc>
      </w:tr>
      <w:tr w:rsidR="00925839" w:rsidRPr="0060351E" w14:paraId="0E541C8B" w14:textId="77777777" w:rsidTr="00005514">
        <w:trPr>
          <w:trHeight w:val="28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CE37" w14:textId="16FD2C19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6.0 g/da</w:t>
            </w:r>
            <w:r w:rsidR="006100B8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D624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0BD5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23.0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9B4F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F0A1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0.0529</w:t>
            </w:r>
          </w:p>
        </w:tc>
      </w:tr>
      <w:tr w:rsidR="00925839" w:rsidRPr="0060351E" w14:paraId="6B294E07" w14:textId="77777777" w:rsidTr="00005514">
        <w:trPr>
          <w:trHeight w:val="28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C1FC" w14:textId="2CDAE6FA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9.0 g/da</w:t>
            </w:r>
            <w:r w:rsidR="006100B8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B0F2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33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09EE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23.5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DD62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-16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BDFB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0.0008</w:t>
            </w:r>
          </w:p>
        </w:tc>
      </w:tr>
    </w:tbl>
    <w:p w14:paraId="5E4AF57C" w14:textId="77777777" w:rsidR="006100B8" w:rsidRPr="0060351E" w:rsidRDefault="006100B8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AA34886" w14:textId="5F31ED0E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Ispitivanje 4 uključilo je 55 pacijenata sa narkolepsi</w:t>
      </w:r>
      <w:r w:rsidR="0015049D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om koji su </w:t>
      </w:r>
      <w:r w:rsidR="0090211E" w:rsidRPr="0060351E">
        <w:rPr>
          <w:rFonts w:ascii="Times New Roman" w:eastAsia="Times New Roman" w:hAnsi="Times New Roman" w:cs="Times New Roman"/>
          <w:lang w:val="sr-Latn-ME"/>
        </w:rPr>
        <w:t xml:space="preserve">u otvorenom ispitivanju </w:t>
      </w:r>
      <w:r w:rsidRPr="0060351E">
        <w:rPr>
          <w:rFonts w:ascii="Times New Roman" w:eastAsia="Times New Roman" w:hAnsi="Times New Roman" w:cs="Times New Roman"/>
          <w:lang w:val="sr-Latn-ME"/>
        </w:rPr>
        <w:t>uzimali natrijum oksibat tokom 7</w:t>
      </w:r>
      <w:r w:rsidR="0090211E" w:rsidRPr="0060351E">
        <w:rPr>
          <w:rFonts w:ascii="Times New Roman" w:eastAsia="Times New Roman" w:hAnsi="Times New Roman" w:cs="Times New Roman"/>
          <w:lang w:val="sr-Latn-ME"/>
        </w:rPr>
        <w:t xml:space="preserve"> do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44 m</w:t>
      </w:r>
      <w:r w:rsidR="0090211E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esec</w:t>
      </w:r>
      <w:r w:rsidR="0090211E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. Pacijenti su </w:t>
      </w:r>
      <w:r w:rsidR="0090211E" w:rsidRPr="0060351E">
        <w:rPr>
          <w:rFonts w:ascii="Times New Roman" w:eastAsia="Times New Roman" w:hAnsi="Times New Roman" w:cs="Times New Roman"/>
          <w:lang w:val="sr-Latn-ME"/>
        </w:rPr>
        <w:t xml:space="preserve">zatim </w:t>
      </w:r>
      <w:r w:rsidRPr="0060351E">
        <w:rPr>
          <w:rFonts w:ascii="Times New Roman" w:eastAsia="Times New Roman" w:hAnsi="Times New Roman" w:cs="Times New Roman"/>
          <w:lang w:val="sr-Latn-ME"/>
        </w:rPr>
        <w:t>randomiz</w:t>
      </w:r>
      <w:r w:rsidR="00B2351C" w:rsidRPr="0060351E">
        <w:rPr>
          <w:rFonts w:ascii="Times New Roman" w:eastAsia="Times New Roman" w:hAnsi="Times New Roman" w:cs="Times New Roman"/>
          <w:lang w:val="sr-Latn-ME"/>
        </w:rPr>
        <w:t>ovani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90211E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nastav</w:t>
      </w:r>
      <w:r w:rsidR="0090211E" w:rsidRPr="0060351E">
        <w:rPr>
          <w:rFonts w:ascii="Times New Roman" w:eastAsia="Times New Roman" w:hAnsi="Times New Roman" w:cs="Times New Roman"/>
          <w:lang w:val="sr-Latn-ME"/>
        </w:rPr>
        <w:t>ili s</w:t>
      </w:r>
      <w:r w:rsidR="001F6A37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l</w:t>
      </w:r>
      <w:r w:rsidR="0090211E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ečenj</w:t>
      </w:r>
      <w:r w:rsidR="0090211E" w:rsidRPr="0060351E">
        <w:rPr>
          <w:rFonts w:ascii="Times New Roman" w:eastAsia="Times New Roman" w:hAnsi="Times New Roman" w:cs="Times New Roman"/>
          <w:lang w:val="sr-Latn-ME"/>
        </w:rPr>
        <w:t>e</w:t>
      </w:r>
      <w:r w:rsidR="001F6A37" w:rsidRPr="0060351E">
        <w:rPr>
          <w:rFonts w:ascii="Times New Roman" w:eastAsia="Times New Roman" w:hAnsi="Times New Roman" w:cs="Times New Roman"/>
          <w:lang w:val="sr-Latn-ME"/>
        </w:rPr>
        <w:t xml:space="preserve"> sa</w:t>
      </w:r>
      <w:r w:rsidR="00FA615E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natrijum oksibatom u stabilnoj dozi ili </w:t>
      </w:r>
      <w:r w:rsidR="001F6A37" w:rsidRPr="0060351E">
        <w:rPr>
          <w:rFonts w:ascii="Times New Roman" w:eastAsia="Times New Roman" w:hAnsi="Times New Roman" w:cs="Times New Roman"/>
          <w:lang w:val="sr-Latn-ME"/>
        </w:rPr>
        <w:t>sa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placebo</w:t>
      </w:r>
      <w:r w:rsidR="001F6A37" w:rsidRPr="0060351E">
        <w:rPr>
          <w:rFonts w:ascii="Times New Roman" w:eastAsia="Times New Roman" w:hAnsi="Times New Roman" w:cs="Times New Roman"/>
          <w:lang w:val="sr-Latn-ME"/>
        </w:rPr>
        <w:t>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. Ispitivanje 4 je dizajnirano </w:t>
      </w:r>
      <w:r w:rsidR="0076693F" w:rsidRPr="0060351E">
        <w:rPr>
          <w:rFonts w:ascii="Times New Roman" w:eastAsia="Times New Roman" w:hAnsi="Times New Roman" w:cs="Times New Roman"/>
          <w:lang w:val="sr-Latn-ME"/>
        </w:rPr>
        <w:t xml:space="preserve">specifično da bi se ocijenio nastavak </w:t>
      </w:r>
      <w:r w:rsidRPr="0060351E">
        <w:rPr>
          <w:rFonts w:ascii="Times New Roman" w:eastAsia="Times New Roman" w:hAnsi="Times New Roman" w:cs="Times New Roman"/>
          <w:lang w:val="sr-Latn-ME"/>
        </w:rPr>
        <w:t>efikasnost</w:t>
      </w:r>
      <w:r w:rsidR="0076693F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natrijum oksibata nakon dugotrajne </w:t>
      </w:r>
      <w:r w:rsidR="0076693F" w:rsidRPr="0060351E">
        <w:rPr>
          <w:rFonts w:ascii="Times New Roman" w:eastAsia="Times New Roman" w:hAnsi="Times New Roman" w:cs="Times New Roman"/>
          <w:lang w:val="sr-Latn-ME"/>
        </w:rPr>
        <w:t>primjene</w:t>
      </w:r>
      <w:r w:rsidRPr="0060351E">
        <w:rPr>
          <w:rFonts w:ascii="Times New Roman" w:eastAsia="Times New Roman" w:hAnsi="Times New Roman" w:cs="Times New Roman"/>
          <w:lang w:val="sr-Latn-ME"/>
        </w:rPr>
        <w:t>. Primarna m</w:t>
      </w:r>
      <w:r w:rsidR="0076693F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era efikasnosti u ovom ispitivanju bila je učestalost napada katapleksije</w:t>
      </w:r>
      <w:r w:rsidR="0074562C"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4B09844B" w14:textId="77777777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6F68D25" w14:textId="610EDD6A" w:rsidR="00925839" w:rsidRPr="0060351E" w:rsidRDefault="00925839" w:rsidP="00005514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>Tabela 6 Sažetak ishoda</w:t>
      </w:r>
      <w:r w:rsidR="0076693F"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 u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 </w:t>
      </w:r>
      <w:r w:rsidR="0076693F" w:rsidRPr="0060351E">
        <w:rPr>
          <w:rFonts w:ascii="Times New Roman" w:eastAsia="Times New Roman" w:hAnsi="Times New Roman" w:cs="Times New Roman"/>
          <w:b/>
          <w:bCs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>spitivanj</w:t>
      </w:r>
      <w:r w:rsidR="0076693F" w:rsidRPr="0060351E">
        <w:rPr>
          <w:rFonts w:ascii="Times New Roman" w:eastAsia="Times New Roman" w:hAnsi="Times New Roman" w:cs="Times New Roman"/>
          <w:b/>
          <w:bCs/>
          <w:lang w:val="sr-Latn-ME"/>
        </w:rPr>
        <w:t>u 4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1785"/>
        <w:gridCol w:w="1777"/>
        <w:gridCol w:w="1781"/>
        <w:gridCol w:w="1787"/>
      </w:tblGrid>
      <w:tr w:rsidR="0076693F" w:rsidRPr="0060351E" w14:paraId="065501EC" w14:textId="77777777" w:rsidTr="00005514">
        <w:trPr>
          <w:trHeight w:val="28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B91863B" w14:textId="28560942" w:rsidR="00925839" w:rsidRPr="0060351E" w:rsidRDefault="0076693F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Liječena grupa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8D74B57" w14:textId="62375BC3" w:rsidR="00925839" w:rsidRPr="0060351E" w:rsidRDefault="0076693F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Broj ispitanika</w:t>
            </w:r>
          </w:p>
        </w:tc>
        <w:tc>
          <w:tcPr>
            <w:tcW w:w="53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723481" w14:textId="05D1B655" w:rsidR="00925839" w:rsidRPr="0060351E" w:rsidRDefault="0076693F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b/>
                <w:szCs w:val="24"/>
                <w:lang w:val="sr-Latn-ME"/>
              </w:rPr>
              <w:t>Napadi katapleksije</w:t>
            </w:r>
          </w:p>
        </w:tc>
      </w:tr>
      <w:tr w:rsidR="0076693F" w:rsidRPr="0060351E" w14:paraId="44B7EA9A" w14:textId="77777777" w:rsidTr="00005514">
        <w:trPr>
          <w:trHeight w:val="283"/>
        </w:trPr>
        <w:tc>
          <w:tcPr>
            <w:tcW w:w="367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6377209" w14:textId="2127BED3" w:rsidR="00925839" w:rsidRPr="0060351E" w:rsidRDefault="0076693F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Ispitivanje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 4</w:t>
            </w:r>
          </w:p>
        </w:tc>
        <w:tc>
          <w:tcPr>
            <w:tcW w:w="1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81E78B2" w14:textId="5AD7F188" w:rsidR="00925839" w:rsidRPr="0060351E" w:rsidRDefault="0076693F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Početno stanje</w:t>
            </w:r>
          </w:p>
        </w:tc>
        <w:tc>
          <w:tcPr>
            <w:tcW w:w="17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4090BB2" w14:textId="456BF5D8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Medi</w:t>
            </w:r>
            <w:r w:rsidR="0076693F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jana promjene od početnog stanja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128CFF" w14:textId="1960251B" w:rsidR="00925839" w:rsidRPr="0060351E" w:rsidRDefault="0076693F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Promjena od početnog stanja u odnosu na 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placebo (p-v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rijednost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)</w:t>
            </w:r>
          </w:p>
        </w:tc>
      </w:tr>
      <w:tr w:rsidR="00925839" w:rsidRPr="0060351E" w14:paraId="2C9E54EA" w14:textId="77777777" w:rsidTr="00005514">
        <w:trPr>
          <w:trHeight w:val="283"/>
        </w:trPr>
        <w:tc>
          <w:tcPr>
            <w:tcW w:w="36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939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5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F366" w14:textId="0022203F" w:rsidR="00925839" w:rsidRPr="0060351E" w:rsidRDefault="0076693F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Medijana napada</w:t>
            </w:r>
            <w:r w:rsidR="00925839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/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dvije nedelje</w:t>
            </w:r>
          </w:p>
        </w:tc>
      </w:tr>
      <w:tr w:rsidR="0076693F" w:rsidRPr="0060351E" w14:paraId="1E9C445D" w14:textId="77777777" w:rsidTr="00005514">
        <w:trPr>
          <w:trHeight w:val="28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6C13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Placebo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F14A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7C4C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4.0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5656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21.0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FC34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-</w:t>
            </w:r>
          </w:p>
        </w:tc>
      </w:tr>
      <w:tr w:rsidR="0076693F" w:rsidRPr="0060351E" w14:paraId="2575A5E2" w14:textId="77777777" w:rsidTr="00005514">
        <w:trPr>
          <w:trHeight w:val="28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65CB" w14:textId="2F1CF6F5" w:rsidR="00925839" w:rsidRPr="0060351E" w:rsidRDefault="001848FB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Natrijum oksibat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1DED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26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C645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1.9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0F3F" w14:textId="77777777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B6FC" w14:textId="053AD6CB" w:rsidR="00925839" w:rsidRPr="0060351E" w:rsidRDefault="00925839" w:rsidP="00925839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sr-Latn-ME"/>
              </w:rPr>
            </w:pP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p &lt;</w:t>
            </w:r>
            <w:r w:rsidR="001848FB"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 xml:space="preserve"> </w:t>
            </w:r>
            <w:r w:rsidRPr="0060351E">
              <w:rPr>
                <w:rFonts w:ascii="Times New Roman" w:eastAsia="Times New Roman" w:hAnsi="Times New Roman" w:cs="Times New Roman"/>
                <w:szCs w:val="24"/>
                <w:lang w:val="sr-Latn-ME"/>
              </w:rPr>
              <w:t>0.001</w:t>
            </w:r>
          </w:p>
        </w:tc>
      </w:tr>
    </w:tbl>
    <w:p w14:paraId="184CC591" w14:textId="77777777" w:rsidR="001848FB" w:rsidRPr="0060351E" w:rsidRDefault="001848FB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D699BC1" w14:textId="61EB0DDE" w:rsidR="00925839" w:rsidRPr="0060351E" w:rsidRDefault="00925839" w:rsidP="00925839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U </w:t>
      </w:r>
      <w:r w:rsidR="001848FB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spitivanju 4, odgovor je bio brojčano </w:t>
      </w:r>
      <w:r w:rsidR="001848FB" w:rsidRPr="0060351E">
        <w:rPr>
          <w:rFonts w:ascii="Times New Roman" w:eastAsia="Times New Roman" w:hAnsi="Times New Roman" w:cs="Times New Roman"/>
          <w:lang w:val="sr-Latn-ME"/>
        </w:rPr>
        <w:t>jednak kod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pacijen</w:t>
      </w:r>
      <w:r w:rsidR="001848FB" w:rsidRPr="0060351E">
        <w:rPr>
          <w:rFonts w:ascii="Times New Roman" w:eastAsia="Times New Roman" w:hAnsi="Times New Roman" w:cs="Times New Roman"/>
          <w:lang w:val="sr-Latn-ME"/>
        </w:rPr>
        <w:t>ata li</w:t>
      </w:r>
      <w:r w:rsidR="0015049D" w:rsidRPr="0060351E">
        <w:rPr>
          <w:rFonts w:ascii="Times New Roman" w:eastAsia="Times New Roman" w:hAnsi="Times New Roman" w:cs="Times New Roman"/>
          <w:lang w:val="sr-Latn-ME"/>
        </w:rPr>
        <w:t>j</w:t>
      </w:r>
      <w:r w:rsidR="001848FB" w:rsidRPr="0060351E">
        <w:rPr>
          <w:rFonts w:ascii="Times New Roman" w:eastAsia="Times New Roman" w:hAnsi="Times New Roman" w:cs="Times New Roman"/>
          <w:lang w:val="sr-Latn-ME"/>
        </w:rPr>
        <w:t>ečenih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dozama od 6 do 9 g/dan, </w:t>
      </w:r>
      <w:r w:rsidR="003046F2" w:rsidRPr="0060351E">
        <w:rPr>
          <w:rFonts w:ascii="Times New Roman" w:eastAsia="Times New Roman" w:hAnsi="Times New Roman" w:cs="Times New Roman"/>
          <w:lang w:val="sr-Latn-ME"/>
        </w:rPr>
        <w:t xml:space="preserve">dok kod pacijenata koji su uzimali doze manje od </w:t>
      </w:r>
      <w:r w:rsidRPr="0060351E">
        <w:rPr>
          <w:rFonts w:ascii="Times New Roman" w:eastAsia="Times New Roman" w:hAnsi="Times New Roman" w:cs="Times New Roman"/>
          <w:lang w:val="sr-Latn-ME"/>
        </w:rPr>
        <w:t>6 g/dan</w:t>
      </w:r>
      <w:r w:rsidR="003046F2" w:rsidRPr="0060351E">
        <w:rPr>
          <w:rFonts w:ascii="Times New Roman" w:eastAsia="Times New Roman" w:hAnsi="Times New Roman" w:cs="Times New Roman"/>
          <w:lang w:val="sr-Latn-ME"/>
        </w:rPr>
        <w:t xml:space="preserve"> nije zabilježen efekat</w:t>
      </w:r>
      <w:r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11DC2616" w14:textId="77777777" w:rsidR="003F23B7" w:rsidRPr="0060351E" w:rsidRDefault="003F23B7" w:rsidP="0093031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val="sr-Latn-ME"/>
        </w:rPr>
      </w:pPr>
    </w:p>
    <w:p w14:paraId="2CD94B2B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5.2.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Farmakokinetički podaci</w:t>
      </w:r>
    </w:p>
    <w:p w14:paraId="27258A63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232BA41" w14:textId="187C2952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Natrijum oksibat se brzo i skoro </w:t>
      </w:r>
      <w:r w:rsidR="00D072CF" w:rsidRPr="0060351E">
        <w:rPr>
          <w:rFonts w:ascii="Times New Roman" w:eastAsia="Times New Roman" w:hAnsi="Times New Roman" w:cs="Times New Roman"/>
          <w:lang w:val="sr-Latn-ME"/>
        </w:rPr>
        <w:t xml:space="preserve">u </w:t>
      </w:r>
      <w:r w:rsidRPr="0060351E">
        <w:rPr>
          <w:rFonts w:ascii="Times New Roman" w:eastAsia="Times New Roman" w:hAnsi="Times New Roman" w:cs="Times New Roman"/>
          <w:lang w:val="sr-Latn-ME"/>
        </w:rPr>
        <w:t>potpuno</w:t>
      </w:r>
      <w:r w:rsidR="00D072CF" w:rsidRPr="0060351E">
        <w:rPr>
          <w:rFonts w:ascii="Times New Roman" w:eastAsia="Times New Roman" w:hAnsi="Times New Roman" w:cs="Times New Roman"/>
          <w:lang w:val="sr-Latn-ME"/>
        </w:rPr>
        <w:t>sti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D072CF" w:rsidRPr="0060351E">
        <w:rPr>
          <w:rFonts w:ascii="Times New Roman" w:eastAsia="Times New Roman" w:hAnsi="Times New Roman" w:cs="Times New Roman"/>
          <w:lang w:val="sr-Latn-ME"/>
        </w:rPr>
        <w:t>re</w:t>
      </w:r>
      <w:r w:rsidRPr="0060351E">
        <w:rPr>
          <w:rFonts w:ascii="Times New Roman" w:eastAsia="Times New Roman" w:hAnsi="Times New Roman" w:cs="Times New Roman"/>
          <w:lang w:val="sr-Latn-ME"/>
        </w:rPr>
        <w:t>sorbuje nakon oralne prim</w:t>
      </w:r>
      <w:r w:rsidR="00D072CF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ene; </w:t>
      </w:r>
      <w:r w:rsidR="00D072CF" w:rsidRPr="0060351E">
        <w:rPr>
          <w:rFonts w:ascii="Times New Roman" w:eastAsia="Times New Roman" w:hAnsi="Times New Roman" w:cs="Times New Roman"/>
          <w:lang w:val="sr-Latn-ME"/>
        </w:rPr>
        <w:t>re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sorpcija je odložena i smanjena </w:t>
      </w:r>
      <w:r w:rsidR="00887AC1" w:rsidRPr="0060351E">
        <w:rPr>
          <w:rFonts w:ascii="Times New Roman" w:eastAsia="Times New Roman" w:hAnsi="Times New Roman" w:cs="Times New Roman"/>
          <w:lang w:val="sr-Latn-ME"/>
        </w:rPr>
        <w:t xml:space="preserve">nakon </w:t>
      </w:r>
      <w:r w:rsidRPr="0060351E">
        <w:rPr>
          <w:rFonts w:ascii="Times New Roman" w:eastAsia="Times New Roman" w:hAnsi="Times New Roman" w:cs="Times New Roman"/>
          <w:lang w:val="sr-Latn-ME"/>
        </w:rPr>
        <w:t>obrok</w:t>
      </w:r>
      <w:r w:rsidR="00887AC1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visokim </w:t>
      </w:r>
      <w:r w:rsidR="00887AC1" w:rsidRPr="0060351E">
        <w:rPr>
          <w:rFonts w:ascii="Times New Roman" w:eastAsia="Times New Roman" w:hAnsi="Times New Roman" w:cs="Times New Roman"/>
          <w:lang w:val="sr-Latn-ME"/>
        </w:rPr>
        <w:t>udjelom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masti. </w:t>
      </w:r>
      <w:r w:rsidR="00887AC1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>glavnom</w:t>
      </w:r>
      <w:r w:rsidR="00887AC1" w:rsidRPr="0060351E">
        <w:rPr>
          <w:rFonts w:ascii="Times New Roman" w:eastAsia="Times New Roman" w:hAnsi="Times New Roman" w:cs="Times New Roman"/>
          <w:lang w:val="sr-Latn-ME"/>
        </w:rPr>
        <w:t xml:space="preserve"> se eliminiše</w:t>
      </w:r>
      <w:r w:rsidR="000128BE" w:rsidRPr="0060351E">
        <w:rPr>
          <w:rFonts w:ascii="Times New Roman" w:eastAsia="Times New Roman" w:hAnsi="Times New Roman" w:cs="Times New Roman"/>
          <w:lang w:val="sr-Latn-ME"/>
        </w:rPr>
        <w:t xml:space="preserve"> tako da se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metaboli</w:t>
      </w:r>
      <w:r w:rsidR="000128BE" w:rsidRPr="0060351E">
        <w:rPr>
          <w:rFonts w:ascii="Times New Roman" w:eastAsia="Times New Roman" w:hAnsi="Times New Roman" w:cs="Times New Roman"/>
          <w:lang w:val="sr-Latn-ME"/>
        </w:rPr>
        <w:t>še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polu</w:t>
      </w:r>
      <w:r w:rsidR="000128BE" w:rsidRPr="0060351E">
        <w:rPr>
          <w:rFonts w:ascii="Times New Roman" w:eastAsia="Times New Roman" w:hAnsi="Times New Roman" w:cs="Times New Roman"/>
          <w:lang w:val="sr-Latn-ME"/>
        </w:rPr>
        <w:t>vremenom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od 0</w:t>
      </w:r>
      <w:r w:rsidR="000128BE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5 </w:t>
      </w:r>
      <w:r w:rsidR="000128BE" w:rsidRPr="0060351E">
        <w:rPr>
          <w:rFonts w:ascii="Times New Roman" w:eastAsia="Times New Roman" w:hAnsi="Times New Roman" w:cs="Times New Roman"/>
          <w:lang w:val="sr-Latn-ME"/>
        </w:rPr>
        <w:t xml:space="preserve">do </w:t>
      </w:r>
      <w:r w:rsidRPr="0060351E">
        <w:rPr>
          <w:rFonts w:ascii="Times New Roman" w:eastAsia="Times New Roman" w:hAnsi="Times New Roman" w:cs="Times New Roman"/>
          <w:lang w:val="sr-Latn-ME"/>
        </w:rPr>
        <w:t>1 sat. Farmakokinetika je nelinearna sa površinom ispod krive koncentracije u plazmi (</w:t>
      </w:r>
      <w:r w:rsidR="005478DE" w:rsidRPr="0060351E">
        <w:rPr>
          <w:rFonts w:ascii="Times New Roman" w:eastAsia="Times New Roman" w:hAnsi="Times New Roman" w:cs="Times New Roman"/>
          <w:lang w:val="sr-Latn-ME"/>
        </w:rPr>
        <w:t>PIK</w:t>
      </w:r>
      <w:r w:rsidRPr="0060351E">
        <w:rPr>
          <w:rFonts w:ascii="Times New Roman" w:eastAsia="Times New Roman" w:hAnsi="Times New Roman" w:cs="Times New Roman"/>
          <w:lang w:val="sr-Latn-ME"/>
        </w:rPr>
        <w:t>) u odnosu na vr</w:t>
      </w:r>
      <w:r w:rsidR="005478DE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eme koja se povećava 3</w:t>
      </w:r>
      <w:r w:rsidR="005478DE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8 puta kako se doza udvostruč</w:t>
      </w:r>
      <w:r w:rsidR="00A53713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(sa 4</w:t>
      </w:r>
      <w:r w:rsidR="005478DE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5 g na 9 g). Farmakokinetika se ne m</w:t>
      </w:r>
      <w:r w:rsidR="005478DE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enja pri ponovljenom doziranju.</w:t>
      </w:r>
    </w:p>
    <w:p w14:paraId="4F204C98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5273C29" w14:textId="3BC2A401" w:rsidR="00470CC3" w:rsidRPr="0060351E" w:rsidRDefault="00675A65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Re</w:t>
      </w:r>
      <w:r w:rsidR="00470CC3"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sorpcija</w:t>
      </w:r>
    </w:p>
    <w:p w14:paraId="6D3BBBAC" w14:textId="22DEE35C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Natrijum oksibat se brzo </w:t>
      </w:r>
      <w:r w:rsidR="00675A65" w:rsidRPr="0060351E">
        <w:rPr>
          <w:rFonts w:ascii="Times New Roman" w:eastAsia="Times New Roman" w:hAnsi="Times New Roman" w:cs="Times New Roman"/>
          <w:lang w:val="sr-Latn-ME"/>
        </w:rPr>
        <w:t>re</w:t>
      </w:r>
      <w:r w:rsidRPr="0060351E">
        <w:rPr>
          <w:rFonts w:ascii="Times New Roman" w:eastAsia="Times New Roman" w:hAnsi="Times New Roman" w:cs="Times New Roman"/>
          <w:lang w:val="sr-Latn-ME"/>
        </w:rPr>
        <w:t>sorbuje nakon oralne prim</w:t>
      </w:r>
      <w:r w:rsidR="00675A65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ene uz apsolutnu bioraspoloživost od oko 88</w:t>
      </w:r>
      <w:r w:rsidR="0015049D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%. </w:t>
      </w:r>
      <w:r w:rsidR="0059556A" w:rsidRPr="0060351E">
        <w:rPr>
          <w:rFonts w:ascii="Times New Roman" w:eastAsia="Times New Roman" w:hAnsi="Times New Roman" w:cs="Times New Roman"/>
          <w:lang w:val="sr-Latn-ME"/>
        </w:rPr>
        <w:t>Nakon primjene dnevne doze od 9 g podijeljene u dvije ekvivalentne doze date u razmaku od četiri sata</w:t>
      </w:r>
      <w:r w:rsidR="00BC6866" w:rsidRPr="0060351E">
        <w:rPr>
          <w:rFonts w:ascii="Times New Roman" w:eastAsia="Times New Roman" w:hAnsi="Times New Roman" w:cs="Times New Roman"/>
          <w:lang w:val="sr-Latn-ME"/>
        </w:rPr>
        <w:t>,</w:t>
      </w:r>
      <w:r w:rsidR="0059556A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2756A4" w:rsidRPr="0060351E">
        <w:rPr>
          <w:rFonts w:ascii="Times New Roman" w:eastAsia="Times New Roman" w:hAnsi="Times New Roman" w:cs="Times New Roman"/>
          <w:lang w:val="sr-Latn-ME"/>
        </w:rPr>
        <w:t>p</w:t>
      </w:r>
      <w:r w:rsidRPr="0060351E">
        <w:rPr>
          <w:rFonts w:ascii="Times New Roman" w:eastAsia="Times New Roman" w:hAnsi="Times New Roman" w:cs="Times New Roman"/>
          <w:lang w:val="sr-Latn-ME"/>
        </w:rPr>
        <w:t>ros</w:t>
      </w:r>
      <w:r w:rsidR="002756A4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ečn</w:t>
      </w:r>
      <w:r w:rsidR="00172FE0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172FE0" w:rsidRPr="0060351E">
        <w:rPr>
          <w:rFonts w:ascii="Times New Roman" w:eastAsia="Times New Roman" w:hAnsi="Times New Roman" w:cs="Times New Roman"/>
          <w:lang w:val="sr-Latn-ME"/>
        </w:rPr>
        <w:t>maksimalna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koncentracij</w:t>
      </w:r>
      <w:r w:rsidR="00172FE0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 plazmi </w:t>
      </w:r>
      <w:r w:rsidR="00BC6866" w:rsidRPr="0060351E">
        <w:rPr>
          <w:rFonts w:ascii="Times New Roman" w:eastAsia="Times New Roman" w:hAnsi="Times New Roman" w:cs="Times New Roman"/>
          <w:lang w:val="sr-Latn-ME"/>
        </w:rPr>
        <w:t xml:space="preserve">je iznosila </w:t>
      </w:r>
      <w:r w:rsidRPr="0060351E">
        <w:rPr>
          <w:rFonts w:ascii="Times New Roman" w:eastAsia="Times New Roman" w:hAnsi="Times New Roman" w:cs="Times New Roman"/>
          <w:lang w:val="sr-Latn-ME"/>
        </w:rPr>
        <w:t>78</w:t>
      </w:r>
      <w:r w:rsidR="00BC6866" w:rsidRPr="0060351E">
        <w:rPr>
          <w:lang w:val="sr-Latn-ME"/>
        </w:rPr>
        <w:t xml:space="preserve"> </w:t>
      </w:r>
      <w:r w:rsidR="00BC6866" w:rsidRPr="0060351E">
        <w:rPr>
          <w:rFonts w:ascii="Times New Roman" w:eastAsia="Times New Roman" w:hAnsi="Times New Roman" w:cs="Times New Roman"/>
          <w:lang w:val="sr-Latn-ME"/>
        </w:rPr>
        <w:t>µg/ml, odnosno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142 </w:t>
      </w:r>
      <w:r w:rsidR="00BC6866" w:rsidRPr="0060351E">
        <w:rPr>
          <w:rFonts w:ascii="Times New Roman" w:eastAsia="Times New Roman" w:hAnsi="Times New Roman" w:cs="Times New Roman"/>
          <w:lang w:val="sr-Latn-ME"/>
        </w:rPr>
        <w:t>µg</w:t>
      </w:r>
      <w:r w:rsidRPr="0060351E">
        <w:rPr>
          <w:rFonts w:ascii="Times New Roman" w:eastAsia="Times New Roman" w:hAnsi="Times New Roman" w:cs="Times New Roman"/>
          <w:lang w:val="sr-Latn-ME"/>
        </w:rPr>
        <w:t>/ml. Pros</w:t>
      </w:r>
      <w:r w:rsidR="00461115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ečno vr</w:t>
      </w:r>
      <w:r w:rsidR="00B478C9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eme </w:t>
      </w:r>
      <w:r w:rsidR="00B478C9" w:rsidRPr="0060351E">
        <w:rPr>
          <w:rFonts w:ascii="Times New Roman" w:eastAsia="Times New Roman" w:hAnsi="Times New Roman" w:cs="Times New Roman"/>
          <w:lang w:val="sr-Latn-ME"/>
        </w:rPr>
        <w:t>za postizanje maksi</w:t>
      </w:r>
      <w:r w:rsidR="0015049D" w:rsidRPr="0060351E">
        <w:rPr>
          <w:rFonts w:ascii="Times New Roman" w:eastAsia="Times New Roman" w:hAnsi="Times New Roman" w:cs="Times New Roman"/>
          <w:lang w:val="sr-Latn-ME"/>
        </w:rPr>
        <w:t>m</w:t>
      </w:r>
      <w:r w:rsidR="00B478C9" w:rsidRPr="0060351E">
        <w:rPr>
          <w:rFonts w:ascii="Times New Roman" w:eastAsia="Times New Roman" w:hAnsi="Times New Roman" w:cs="Times New Roman"/>
          <w:lang w:val="sr-Latn-ME"/>
        </w:rPr>
        <w:t>alne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koncentracije u plazmi (T</w:t>
      </w:r>
      <w:r w:rsidRPr="0060351E">
        <w:rPr>
          <w:rFonts w:ascii="Times New Roman" w:eastAsia="Times New Roman" w:hAnsi="Times New Roman" w:cs="Times New Roman"/>
          <w:vertAlign w:val="subscript"/>
          <w:lang w:val="sr-Latn-ME"/>
        </w:rPr>
        <w:t>ma</w:t>
      </w:r>
      <w:r w:rsidR="00B478C9" w:rsidRPr="0060351E">
        <w:rPr>
          <w:rFonts w:ascii="Times New Roman" w:eastAsia="Times New Roman" w:hAnsi="Times New Roman" w:cs="Times New Roman"/>
          <w:vertAlign w:val="subscript"/>
          <w:lang w:val="sr-Latn-ME"/>
        </w:rPr>
        <w:t>x</w:t>
      </w:r>
      <w:r w:rsidRPr="0060351E">
        <w:rPr>
          <w:rFonts w:ascii="Times New Roman" w:eastAsia="Times New Roman" w:hAnsi="Times New Roman" w:cs="Times New Roman"/>
          <w:lang w:val="sr-Latn-ME"/>
        </w:rPr>
        <w:t>) kretalo se od 0</w:t>
      </w:r>
      <w:r w:rsidR="00B478C9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5 do 2 sata u osam farmakokinetičkih </w:t>
      </w:r>
      <w:r w:rsidR="00B478C9" w:rsidRPr="0060351E">
        <w:rPr>
          <w:rFonts w:ascii="Times New Roman" w:eastAsia="Times New Roman" w:hAnsi="Times New Roman" w:cs="Times New Roman"/>
          <w:lang w:val="sr-Latn-ME"/>
        </w:rPr>
        <w:t>ispitivanja</w:t>
      </w:r>
      <w:r w:rsidRPr="0060351E">
        <w:rPr>
          <w:rFonts w:ascii="Times New Roman" w:eastAsia="Times New Roman" w:hAnsi="Times New Roman" w:cs="Times New Roman"/>
          <w:lang w:val="sr-Latn-ME"/>
        </w:rPr>
        <w:t>. Nakon oralne prim</w:t>
      </w:r>
      <w:r w:rsidR="00B478C9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ene, nivoi natrijum oksibata u plazmi se povećavaju više nego proporcionalno sa povećanjem doze. Pojedinačne doze veće od 4</w:t>
      </w:r>
      <w:r w:rsidR="00B478C9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5 g ni</w:t>
      </w:r>
      <w:r w:rsidR="00B478C9" w:rsidRPr="0060351E">
        <w:rPr>
          <w:rFonts w:ascii="Times New Roman" w:eastAsia="Times New Roman" w:hAnsi="Times New Roman" w:cs="Times New Roman"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su </w:t>
      </w:r>
      <w:r w:rsidR="00B478C9" w:rsidRPr="0060351E">
        <w:rPr>
          <w:rFonts w:ascii="Times New Roman" w:eastAsia="Times New Roman" w:hAnsi="Times New Roman" w:cs="Times New Roman"/>
          <w:lang w:val="sr-Latn-ME"/>
        </w:rPr>
        <w:t>ispitivane</w:t>
      </w:r>
      <w:r w:rsidRPr="0060351E">
        <w:rPr>
          <w:rFonts w:ascii="Times New Roman" w:eastAsia="Times New Roman" w:hAnsi="Times New Roman" w:cs="Times New Roman"/>
          <w:lang w:val="sr-Latn-ME"/>
        </w:rPr>
        <w:t>. Prim</w:t>
      </w:r>
      <w:r w:rsidR="00016F6C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ena natrijum oksibata </w:t>
      </w:r>
      <w:r w:rsidR="00016F6C" w:rsidRPr="0060351E">
        <w:rPr>
          <w:rFonts w:ascii="Times New Roman" w:eastAsia="Times New Roman" w:hAnsi="Times New Roman" w:cs="Times New Roman"/>
          <w:lang w:val="sr-Latn-ME"/>
        </w:rPr>
        <w:t>neposredno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nakon obroka sa visokim </w:t>
      </w:r>
      <w:r w:rsidR="00016F6C" w:rsidRPr="0060351E">
        <w:rPr>
          <w:rFonts w:ascii="Times New Roman" w:eastAsia="Times New Roman" w:hAnsi="Times New Roman" w:cs="Times New Roman"/>
          <w:lang w:val="sr-Latn-ME"/>
        </w:rPr>
        <w:t>udjelom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masti je rezultirala odloženom </w:t>
      </w:r>
      <w:r w:rsidR="00016F6C" w:rsidRPr="0060351E">
        <w:rPr>
          <w:rFonts w:ascii="Times New Roman" w:eastAsia="Times New Roman" w:hAnsi="Times New Roman" w:cs="Times New Roman"/>
          <w:lang w:val="sr-Latn-ME"/>
        </w:rPr>
        <w:t>re</w:t>
      </w:r>
      <w:r w:rsidRPr="0060351E">
        <w:rPr>
          <w:rFonts w:ascii="Times New Roman" w:eastAsia="Times New Roman" w:hAnsi="Times New Roman" w:cs="Times New Roman"/>
          <w:lang w:val="sr-Latn-ME"/>
        </w:rPr>
        <w:t>sorpcijom (pros</w:t>
      </w:r>
      <w:r w:rsidR="000E2CBE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eč</w:t>
      </w:r>
      <w:r w:rsidR="000E2CBE" w:rsidRPr="0060351E">
        <w:rPr>
          <w:rFonts w:ascii="Times New Roman" w:eastAsia="Times New Roman" w:hAnsi="Times New Roman" w:cs="Times New Roman"/>
          <w:lang w:val="sr-Latn-ME"/>
        </w:rPr>
        <w:t>an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</w:t>
      </w:r>
      <w:r w:rsidRPr="0060351E">
        <w:rPr>
          <w:rFonts w:ascii="Times New Roman" w:eastAsia="Times New Roman" w:hAnsi="Times New Roman" w:cs="Times New Roman"/>
          <w:vertAlign w:val="subscript"/>
          <w:lang w:val="sr-Latn-ME"/>
        </w:rPr>
        <w:t>ma</w:t>
      </w:r>
      <w:r w:rsidR="000E2CBE" w:rsidRPr="0060351E">
        <w:rPr>
          <w:rFonts w:ascii="Times New Roman" w:eastAsia="Times New Roman" w:hAnsi="Times New Roman" w:cs="Times New Roman"/>
          <w:vertAlign w:val="subscript"/>
          <w:lang w:val="sr-Latn-ME"/>
        </w:rPr>
        <w:t>x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povećan sa 0</w:t>
      </w:r>
      <w:r w:rsidR="000E2CBE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75 na 2</w:t>
      </w:r>
      <w:r w:rsidR="000E2CBE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0 sata) i smanjenjem </w:t>
      </w:r>
      <w:r w:rsidR="000E2CBE" w:rsidRPr="0060351E">
        <w:rPr>
          <w:rFonts w:ascii="Times New Roman" w:eastAsia="Times New Roman" w:hAnsi="Times New Roman" w:cs="Times New Roman"/>
          <w:lang w:val="sr-Latn-ME"/>
        </w:rPr>
        <w:t>maksimalnog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nivoa u plazmi (C</w:t>
      </w:r>
      <w:r w:rsidRPr="0060351E">
        <w:rPr>
          <w:rFonts w:ascii="Times New Roman" w:eastAsia="Times New Roman" w:hAnsi="Times New Roman" w:cs="Times New Roman"/>
          <w:vertAlign w:val="subscript"/>
          <w:lang w:val="sr-Latn-ME"/>
        </w:rPr>
        <w:t>ma</w:t>
      </w:r>
      <w:r w:rsidR="000E2CBE" w:rsidRPr="0060351E">
        <w:rPr>
          <w:rFonts w:ascii="Times New Roman" w:eastAsia="Times New Roman" w:hAnsi="Times New Roman" w:cs="Times New Roman"/>
          <w:vertAlign w:val="subscript"/>
          <w:lang w:val="sr-Latn-ME"/>
        </w:rPr>
        <w:t>x</w:t>
      </w:r>
      <w:r w:rsidRPr="0060351E">
        <w:rPr>
          <w:rFonts w:ascii="Times New Roman" w:eastAsia="Times New Roman" w:hAnsi="Times New Roman" w:cs="Times New Roman"/>
          <w:lang w:val="sr-Latn-ME"/>
        </w:rPr>
        <w:t>) u pros</w:t>
      </w:r>
      <w:r w:rsidR="000E2CBE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eku za 58</w:t>
      </w:r>
      <w:r w:rsidR="0015049D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% i sistemske izloženosti (</w:t>
      </w:r>
      <w:r w:rsidR="000636E0" w:rsidRPr="0060351E">
        <w:rPr>
          <w:rFonts w:ascii="Times New Roman" w:eastAsia="Times New Roman" w:hAnsi="Times New Roman" w:cs="Times New Roman"/>
          <w:lang w:val="sr-Latn-ME"/>
        </w:rPr>
        <w:t>PIK</w:t>
      </w:r>
      <w:r w:rsidRPr="0060351E">
        <w:rPr>
          <w:rFonts w:ascii="Times New Roman" w:eastAsia="Times New Roman" w:hAnsi="Times New Roman" w:cs="Times New Roman"/>
          <w:lang w:val="sr-Latn-ME"/>
        </w:rPr>
        <w:t>) za 37</w:t>
      </w:r>
      <w:r w:rsidR="0015049D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%.</w:t>
      </w:r>
    </w:p>
    <w:p w14:paraId="279B99F7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76E628A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Distribucija</w:t>
      </w:r>
    </w:p>
    <w:p w14:paraId="00C6F864" w14:textId="6790F711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Natrijum oksibat je hidrofilno jedinjenje sa </w:t>
      </w:r>
      <w:r w:rsidR="000636E0" w:rsidRPr="0060351E">
        <w:rPr>
          <w:rFonts w:ascii="Times New Roman" w:eastAsia="Times New Roman" w:hAnsi="Times New Roman" w:cs="Times New Roman"/>
          <w:lang w:val="sr-Latn-ME"/>
        </w:rPr>
        <w:t xml:space="preserve">prosječnim </w:t>
      </w:r>
      <w:r w:rsidRPr="0060351E">
        <w:rPr>
          <w:rFonts w:ascii="Times New Roman" w:eastAsia="Times New Roman" w:hAnsi="Times New Roman" w:cs="Times New Roman"/>
          <w:lang w:val="sr-Latn-ME"/>
        </w:rPr>
        <w:t>prividn</w:t>
      </w:r>
      <w:r w:rsidR="000636E0" w:rsidRPr="0060351E">
        <w:rPr>
          <w:rFonts w:ascii="Times New Roman" w:eastAsia="Times New Roman" w:hAnsi="Times New Roman" w:cs="Times New Roman"/>
          <w:lang w:val="sr-Latn-ME"/>
        </w:rPr>
        <w:t>im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0636E0" w:rsidRPr="0060351E">
        <w:rPr>
          <w:rFonts w:ascii="Times New Roman" w:eastAsia="Times New Roman" w:hAnsi="Times New Roman" w:cs="Times New Roman"/>
          <w:lang w:val="sr-Latn-ME"/>
        </w:rPr>
        <w:t>volumenom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distribucije od 190</w:t>
      </w:r>
      <w:r w:rsidR="000636E0" w:rsidRPr="0060351E">
        <w:rPr>
          <w:rFonts w:ascii="Times New Roman" w:eastAsia="Times New Roman" w:hAnsi="Times New Roman" w:cs="Times New Roman"/>
          <w:lang w:val="sr-Latn-ME"/>
        </w:rPr>
        <w:t xml:space="preserve"> do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384 ml/kg. Pri koncentracijama natrijum oksibata u rasponu od 3</w:t>
      </w:r>
      <w:r w:rsidR="000219B2" w:rsidRPr="0060351E">
        <w:rPr>
          <w:rFonts w:ascii="Times New Roman" w:eastAsia="Times New Roman" w:hAnsi="Times New Roman" w:cs="Times New Roman"/>
          <w:lang w:val="sr-Latn-ME"/>
        </w:rPr>
        <w:t xml:space="preserve"> do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300 </w:t>
      </w:r>
      <w:r w:rsidR="000219B2" w:rsidRPr="0060351E">
        <w:rPr>
          <w:rFonts w:ascii="Times New Roman" w:eastAsia="Times New Roman" w:hAnsi="Times New Roman" w:cs="Times New Roman"/>
          <w:lang w:val="sr-Latn-ME"/>
        </w:rPr>
        <w:t>µg</w:t>
      </w:r>
      <w:r w:rsidRPr="0060351E">
        <w:rPr>
          <w:rFonts w:ascii="Times New Roman" w:eastAsia="Times New Roman" w:hAnsi="Times New Roman" w:cs="Times New Roman"/>
          <w:lang w:val="sr-Latn-ME"/>
        </w:rPr>
        <w:t>/ml, manje od 1</w:t>
      </w:r>
      <w:r w:rsidR="0015049D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% se vezuje za proteine plazme.</w:t>
      </w:r>
    </w:p>
    <w:p w14:paraId="6C33C6E7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9627D10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Biotransformacija</w:t>
      </w:r>
    </w:p>
    <w:p w14:paraId="72649877" w14:textId="3FD4D88C" w:rsidR="00470CC3" w:rsidRPr="0060351E" w:rsidRDefault="000219B2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Ispitivanja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na životinjama </w:t>
      </w:r>
      <w:r w:rsidRPr="0060351E">
        <w:rPr>
          <w:rFonts w:ascii="Times New Roman" w:eastAsia="Times New Roman" w:hAnsi="Times New Roman" w:cs="Times New Roman"/>
          <w:lang w:val="sr-Latn-ME"/>
        </w:rPr>
        <w:t>su pokazala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da je metabolizam glavni put eliminacije natrijum oksibata, koji proizvodi ugljen</w:t>
      </w:r>
      <w:r w:rsidR="00A53713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dioksid i vodu putem ciklusa trikarboksilne kiseline (Krebs</w:t>
      </w:r>
      <w:r w:rsidR="00904D54" w:rsidRPr="0060351E">
        <w:rPr>
          <w:rFonts w:ascii="Times New Roman" w:eastAsia="Times New Roman" w:hAnsi="Times New Roman" w:cs="Times New Roman"/>
          <w:lang w:val="sr-Latn-ME"/>
        </w:rPr>
        <w:t>-ov ciklus)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i sekundarno </w:t>
      </w:r>
      <w:r w:rsidR="00904D54" w:rsidRPr="0060351E">
        <w:rPr>
          <w:rFonts w:ascii="Times New Roman" w:eastAsia="Times New Roman" w:hAnsi="Times New Roman" w:cs="Times New Roman"/>
          <w:lang w:val="sr-Latn-ME"/>
        </w:rPr>
        <w:t>β-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lastRenderedPageBreak/>
        <w:t xml:space="preserve">oksidacijom. Primarni </w:t>
      </w:r>
      <w:r w:rsidR="00DA43A2" w:rsidRPr="0060351E">
        <w:rPr>
          <w:rFonts w:ascii="Times New Roman" w:eastAsia="Times New Roman" w:hAnsi="Times New Roman" w:cs="Times New Roman"/>
          <w:lang w:val="sr-Latn-ME"/>
        </w:rPr>
        <w:t xml:space="preserve">metabolički 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put uključuje cit</w:t>
      </w:r>
      <w:r w:rsidR="00DA43A2" w:rsidRPr="0060351E">
        <w:rPr>
          <w:rFonts w:ascii="Times New Roman" w:eastAsia="Times New Roman" w:hAnsi="Times New Roman" w:cs="Times New Roman"/>
          <w:lang w:val="sr-Latn-ME"/>
        </w:rPr>
        <w:t>oplazmatski</w:t>
      </w:r>
      <w:r w:rsidR="00826C62" w:rsidRPr="0060351E">
        <w:rPr>
          <w:rFonts w:ascii="Times New Roman" w:eastAsia="Times New Roman" w:hAnsi="Times New Roman" w:cs="Times New Roman"/>
          <w:lang w:val="sr-Latn-ME"/>
        </w:rPr>
        <w:t xml:space="preserve"> enzim povezan sa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NADP+, GHB dehidrogenazu koj</w:t>
      </w:r>
      <w:r w:rsidR="00826C62" w:rsidRPr="0060351E">
        <w:rPr>
          <w:rFonts w:ascii="Times New Roman" w:eastAsia="Times New Roman" w:hAnsi="Times New Roman" w:cs="Times New Roman"/>
          <w:lang w:val="sr-Latn-ME"/>
        </w:rPr>
        <w:t>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katalizuje konverziju natrijum oksibata u </w:t>
      </w:r>
      <w:r w:rsidR="00826C62" w:rsidRPr="0060351E">
        <w:rPr>
          <w:rFonts w:ascii="Times New Roman" w:eastAsia="Times New Roman" w:hAnsi="Times New Roman" w:cs="Times New Roman"/>
          <w:lang w:val="sr-Latn-ME"/>
        </w:rPr>
        <w:t>sukcinat-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sem</w:t>
      </w:r>
      <w:r w:rsidR="00355DBE" w:rsidRPr="0060351E">
        <w:rPr>
          <w:rFonts w:ascii="Times New Roman" w:eastAsia="Times New Roman" w:hAnsi="Times New Roman" w:cs="Times New Roman"/>
          <w:lang w:val="sr-Latn-ME"/>
        </w:rPr>
        <w:t>i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aldehid koji se zatim biotransformiše u </w:t>
      </w:r>
      <w:r w:rsidR="00355DBE" w:rsidRPr="0060351E">
        <w:rPr>
          <w:rFonts w:ascii="Times New Roman" w:eastAsia="Times New Roman" w:hAnsi="Times New Roman" w:cs="Times New Roman"/>
          <w:lang w:val="sr-Latn-ME"/>
        </w:rPr>
        <w:t>sukcinatnu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kiselinu pomoću enzima sukci</w:t>
      </w:r>
      <w:r w:rsidR="00355DBE" w:rsidRPr="0060351E">
        <w:rPr>
          <w:rFonts w:ascii="Times New Roman" w:eastAsia="Times New Roman" w:hAnsi="Times New Roman" w:cs="Times New Roman"/>
          <w:lang w:val="sr-Latn-ME"/>
        </w:rPr>
        <w:t>nat-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sem</w:t>
      </w:r>
      <w:r w:rsidR="00355DBE" w:rsidRPr="0060351E">
        <w:rPr>
          <w:rFonts w:ascii="Times New Roman" w:eastAsia="Times New Roman" w:hAnsi="Times New Roman" w:cs="Times New Roman"/>
          <w:lang w:val="sr-Latn-ME"/>
        </w:rPr>
        <w:t>i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aldehid dehidrogenaz</w:t>
      </w:r>
      <w:r w:rsidR="00355DBE" w:rsidRPr="0060351E">
        <w:rPr>
          <w:rFonts w:ascii="Times New Roman" w:eastAsia="Times New Roman" w:hAnsi="Times New Roman" w:cs="Times New Roman"/>
          <w:lang w:val="sr-Latn-ME"/>
        </w:rPr>
        <w:t>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. </w:t>
      </w:r>
      <w:r w:rsidR="00355DBE" w:rsidRPr="0060351E">
        <w:rPr>
          <w:rFonts w:ascii="Times New Roman" w:eastAsia="Times New Roman" w:hAnsi="Times New Roman" w:cs="Times New Roman"/>
          <w:lang w:val="sr-Latn-ME"/>
        </w:rPr>
        <w:t>Sukcinatna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kiselina ulazi u Krebs</w:t>
      </w:r>
      <w:r w:rsidR="00650331" w:rsidRPr="0060351E">
        <w:rPr>
          <w:rFonts w:ascii="Times New Roman" w:eastAsia="Times New Roman" w:hAnsi="Times New Roman" w:cs="Times New Roman"/>
          <w:lang w:val="sr-Latn-ME"/>
        </w:rPr>
        <w:t>-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ov ciklus gd</w:t>
      </w:r>
      <w:r w:rsidR="00650331" w:rsidRPr="0060351E">
        <w:rPr>
          <w:rFonts w:ascii="Times New Roman" w:eastAsia="Times New Roman" w:hAnsi="Times New Roman" w:cs="Times New Roman"/>
          <w:lang w:val="sr-Latn-ME"/>
        </w:rPr>
        <w:t>j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e se </w:t>
      </w:r>
      <w:r w:rsidR="00650331" w:rsidRPr="0060351E">
        <w:rPr>
          <w:rFonts w:ascii="Times New Roman" w:eastAsia="Times New Roman" w:hAnsi="Times New Roman" w:cs="Times New Roman"/>
          <w:lang w:val="sr-Latn-ME"/>
        </w:rPr>
        <w:t xml:space="preserve">dalje 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metaboliše </w:t>
      </w:r>
      <w:r w:rsidR="00650331" w:rsidRPr="0060351E">
        <w:rPr>
          <w:rFonts w:ascii="Times New Roman" w:eastAsia="Times New Roman" w:hAnsi="Times New Roman" w:cs="Times New Roman"/>
          <w:lang w:val="sr-Latn-ME"/>
        </w:rPr>
        <w:t>u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ugljen-dioksid i vodu. Drugi</w:t>
      </w:r>
      <w:r w:rsidR="009C0956" w:rsidRPr="0060351E">
        <w:rPr>
          <w:rFonts w:ascii="Times New Roman" w:eastAsia="Times New Roman" w:hAnsi="Times New Roman" w:cs="Times New Roman"/>
          <w:lang w:val="sr-Latn-ME"/>
        </w:rPr>
        <w:t xml:space="preserve"> mitohondrijski oksido</w:t>
      </w:r>
      <w:r w:rsidR="003C1D7C" w:rsidRPr="0060351E">
        <w:rPr>
          <w:rFonts w:ascii="Times New Roman" w:eastAsia="Times New Roman" w:hAnsi="Times New Roman" w:cs="Times New Roman"/>
          <w:lang w:val="sr-Latn-ME"/>
        </w:rPr>
        <w:t>redukcijski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enzim, transhidrogenaza, takođe katalizuje konverziju u sukcin</w:t>
      </w:r>
      <w:r w:rsidR="00F42515" w:rsidRPr="0060351E">
        <w:rPr>
          <w:rFonts w:ascii="Times New Roman" w:eastAsia="Times New Roman" w:hAnsi="Times New Roman" w:cs="Times New Roman"/>
          <w:lang w:val="sr-Latn-ME"/>
        </w:rPr>
        <w:t>at-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sem</w:t>
      </w:r>
      <w:r w:rsidR="00F42515" w:rsidRPr="0060351E">
        <w:rPr>
          <w:rFonts w:ascii="Times New Roman" w:eastAsia="Times New Roman" w:hAnsi="Times New Roman" w:cs="Times New Roman"/>
          <w:lang w:val="sr-Latn-ME"/>
        </w:rPr>
        <w:t>i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aldehid u prisustvu </w:t>
      </w:r>
      <w:r w:rsidR="00BE0B2F" w:rsidRPr="0060351E">
        <w:rPr>
          <w:rFonts w:ascii="Times New Roman" w:eastAsia="Times New Roman" w:hAnsi="Times New Roman" w:cs="Times New Roman"/>
          <w:lang w:val="sr-Latn-ME"/>
        </w:rPr>
        <w:t>α-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ketoglutarata. Alternativni put biotransformacije uključuje </w:t>
      </w:r>
      <w:r w:rsidR="00BE0B2F" w:rsidRPr="0060351E">
        <w:rPr>
          <w:rFonts w:ascii="Times New Roman" w:eastAsia="Times New Roman" w:hAnsi="Times New Roman" w:cs="Times New Roman"/>
          <w:lang w:val="sr-Latn-ME"/>
        </w:rPr>
        <w:t>β-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oksidaciju preko 3,4</w:t>
      </w:r>
      <w:r w:rsidR="00393187" w:rsidRPr="0060351E">
        <w:rPr>
          <w:rFonts w:ascii="Times New Roman" w:eastAsia="Times New Roman" w:hAnsi="Times New Roman" w:cs="Times New Roman"/>
          <w:lang w:val="sr-Latn-ME"/>
        </w:rPr>
        <w:t>-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dihidroksibutirata do acetil CoA, koji takođe ulazi u ciklus </w:t>
      </w:r>
      <w:r w:rsidR="00393187" w:rsidRPr="0060351E">
        <w:rPr>
          <w:rFonts w:ascii="Times New Roman" w:eastAsia="Times New Roman" w:hAnsi="Times New Roman" w:cs="Times New Roman"/>
          <w:lang w:val="sr-Latn-ME"/>
        </w:rPr>
        <w:t>trikarboksilnih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kiselin</w:t>
      </w:r>
      <w:r w:rsidR="00393187" w:rsidRPr="0060351E">
        <w:rPr>
          <w:rFonts w:ascii="Times New Roman" w:eastAsia="Times New Roman" w:hAnsi="Times New Roman" w:cs="Times New Roman"/>
          <w:lang w:val="sr-Latn-ME"/>
        </w:rPr>
        <w:t>a</w:t>
      </w:r>
      <w:r w:rsidR="00507B59" w:rsidRPr="0060351E">
        <w:rPr>
          <w:rFonts w:ascii="Times New Roman" w:eastAsia="Times New Roman" w:hAnsi="Times New Roman" w:cs="Times New Roman"/>
          <w:lang w:val="sr-Latn-ME"/>
        </w:rPr>
        <w:t xml:space="preserve"> i na kraju nastaju 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ugljen</w:t>
      </w:r>
      <w:r w:rsidR="003F1064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dioksid i vod</w:t>
      </w:r>
      <w:r w:rsidR="003F1064" w:rsidRPr="0060351E">
        <w:rPr>
          <w:rFonts w:ascii="Times New Roman" w:eastAsia="Times New Roman" w:hAnsi="Times New Roman" w:cs="Times New Roman"/>
          <w:lang w:val="sr-Latn-ME"/>
        </w:rPr>
        <w:t>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. Ni</w:t>
      </w:r>
      <w:r w:rsidR="004D72DD" w:rsidRPr="0060351E">
        <w:rPr>
          <w:rFonts w:ascii="Times New Roman" w:eastAsia="Times New Roman" w:hAnsi="Times New Roman" w:cs="Times New Roman"/>
          <w:lang w:val="sr-Latn-ME"/>
        </w:rPr>
        <w:t>je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su identifikovani aktivni metaboliti.</w:t>
      </w:r>
    </w:p>
    <w:p w14:paraId="1839FC47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38FEAC4" w14:textId="7E6962EF" w:rsidR="00470CC3" w:rsidRPr="0060351E" w:rsidRDefault="004D72DD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Ispitivanja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470CC3" w:rsidRPr="0060351E">
        <w:rPr>
          <w:rFonts w:ascii="Times New Roman" w:eastAsia="Times New Roman" w:hAnsi="Times New Roman" w:cs="Times New Roman"/>
          <w:i/>
          <w:iCs/>
          <w:lang w:val="sr-Latn-ME"/>
        </w:rPr>
        <w:t>in vitro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sa </w:t>
      </w:r>
      <w:r w:rsidR="0099504C" w:rsidRPr="0060351E">
        <w:rPr>
          <w:rFonts w:ascii="Times New Roman" w:eastAsia="Times New Roman" w:hAnsi="Times New Roman" w:cs="Times New Roman"/>
          <w:lang w:val="sr-Latn-ME"/>
        </w:rPr>
        <w:t>združenim humanim jetrenim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mikrozomima pokazuju da natrijum oksibat ne</w:t>
      </w:r>
      <w:r w:rsidR="0099504C" w:rsidRPr="0060351E">
        <w:rPr>
          <w:rFonts w:ascii="Times New Roman" w:eastAsia="Times New Roman" w:hAnsi="Times New Roman" w:cs="Times New Roman"/>
          <w:lang w:val="sr-Latn-ME"/>
        </w:rPr>
        <w:t>ma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značajno</w:t>
      </w:r>
      <w:r w:rsidR="0099504C" w:rsidRPr="0060351E">
        <w:rPr>
          <w:rFonts w:ascii="Times New Roman" w:eastAsia="Times New Roman" w:hAnsi="Times New Roman" w:cs="Times New Roman"/>
          <w:lang w:val="sr-Latn-ME"/>
        </w:rPr>
        <w:t>g uticaja na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aktivnosti </w:t>
      </w:r>
      <w:r w:rsidR="0099504C" w:rsidRPr="0060351E">
        <w:rPr>
          <w:rFonts w:ascii="Times New Roman" w:eastAsia="Times New Roman" w:hAnsi="Times New Roman" w:cs="Times New Roman"/>
          <w:lang w:val="sr-Latn-ME"/>
        </w:rPr>
        <w:t>humanih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izoenzima: C</w:t>
      </w:r>
      <w:r w:rsidR="0063514E" w:rsidRPr="0060351E">
        <w:rPr>
          <w:rFonts w:ascii="Times New Roman" w:eastAsia="Times New Roman" w:hAnsi="Times New Roman" w:cs="Times New Roman"/>
          <w:lang w:val="sr-Latn-ME"/>
        </w:rPr>
        <w:t>Y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P1A2, C</w:t>
      </w:r>
      <w:r w:rsidR="0063514E" w:rsidRPr="0060351E">
        <w:rPr>
          <w:rFonts w:ascii="Times New Roman" w:eastAsia="Times New Roman" w:hAnsi="Times New Roman" w:cs="Times New Roman"/>
          <w:lang w:val="sr-Latn-ME"/>
        </w:rPr>
        <w:t>Y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P2C9, C</w:t>
      </w:r>
      <w:r w:rsidR="0063514E" w:rsidRPr="0060351E">
        <w:rPr>
          <w:rFonts w:ascii="Times New Roman" w:eastAsia="Times New Roman" w:hAnsi="Times New Roman" w:cs="Times New Roman"/>
          <w:lang w:val="sr-Latn-ME"/>
        </w:rPr>
        <w:t>Y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P2C19, C</w:t>
      </w:r>
      <w:r w:rsidR="0063514E" w:rsidRPr="0060351E">
        <w:rPr>
          <w:rFonts w:ascii="Times New Roman" w:eastAsia="Times New Roman" w:hAnsi="Times New Roman" w:cs="Times New Roman"/>
          <w:lang w:val="sr-Latn-ME"/>
        </w:rPr>
        <w:t>Y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P2D6, C</w:t>
      </w:r>
      <w:r w:rsidR="0063514E" w:rsidRPr="0060351E">
        <w:rPr>
          <w:rFonts w:ascii="Times New Roman" w:eastAsia="Times New Roman" w:hAnsi="Times New Roman" w:cs="Times New Roman"/>
          <w:lang w:val="sr-Latn-ME"/>
        </w:rPr>
        <w:t>Y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P2E1 ili C</w:t>
      </w:r>
      <w:r w:rsidR="0063514E" w:rsidRPr="0060351E">
        <w:rPr>
          <w:rFonts w:ascii="Times New Roman" w:eastAsia="Times New Roman" w:hAnsi="Times New Roman" w:cs="Times New Roman"/>
          <w:lang w:val="sr-Latn-ME"/>
        </w:rPr>
        <w:t>Y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P3A </w:t>
      </w:r>
      <w:r w:rsidR="0099504C" w:rsidRPr="0060351E">
        <w:rPr>
          <w:rFonts w:ascii="Times New Roman" w:eastAsia="Times New Roman" w:hAnsi="Times New Roman" w:cs="Times New Roman"/>
          <w:lang w:val="sr-Latn-ME"/>
        </w:rPr>
        <w:t>u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koncentracij</w:t>
      </w:r>
      <w:r w:rsidR="0099504C" w:rsidRPr="0060351E">
        <w:rPr>
          <w:rFonts w:ascii="Times New Roman" w:eastAsia="Times New Roman" w:hAnsi="Times New Roman" w:cs="Times New Roman"/>
          <w:lang w:val="sr-Latn-ME"/>
        </w:rPr>
        <w:t>ama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od 3 mM (378 </w:t>
      </w:r>
      <w:r w:rsidR="00AA5A38" w:rsidRPr="0060351E">
        <w:rPr>
          <w:rFonts w:ascii="Times New Roman" w:eastAsia="Times New Roman" w:hAnsi="Times New Roman" w:cs="Times New Roman"/>
          <w:lang w:val="sr-Latn-ME"/>
        </w:rPr>
        <w:t>µg/ml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). Ovi nivoi su znatno v</w:t>
      </w:r>
      <w:r w:rsidR="00AA5A38" w:rsidRPr="0060351E">
        <w:rPr>
          <w:rFonts w:ascii="Times New Roman" w:eastAsia="Times New Roman" w:hAnsi="Times New Roman" w:cs="Times New Roman"/>
          <w:lang w:val="sr-Latn-ME"/>
        </w:rPr>
        <w:t>eći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od nivoa postignutih sa terapeutskim dozama.</w:t>
      </w:r>
    </w:p>
    <w:p w14:paraId="432E12CE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1A502A88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Eliminacija</w:t>
      </w:r>
    </w:p>
    <w:p w14:paraId="107C596F" w14:textId="2C05560C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Klirens natrijum oksibata je skoro u potpunosti </w:t>
      </w:r>
      <w:r w:rsidR="00C064D7" w:rsidRPr="0060351E">
        <w:rPr>
          <w:rFonts w:ascii="Times New Roman" w:eastAsia="Times New Roman" w:hAnsi="Times New Roman" w:cs="Times New Roman"/>
          <w:lang w:val="sr-Latn-ME"/>
        </w:rPr>
        <w:t xml:space="preserve">posljedica </w:t>
      </w:r>
      <w:r w:rsidRPr="0060351E">
        <w:rPr>
          <w:rFonts w:ascii="Times New Roman" w:eastAsia="Times New Roman" w:hAnsi="Times New Roman" w:cs="Times New Roman"/>
          <w:lang w:val="sr-Latn-ME"/>
        </w:rPr>
        <w:t>biotransformaci</w:t>
      </w:r>
      <w:r w:rsidR="00C064D7" w:rsidRPr="0060351E">
        <w:rPr>
          <w:rFonts w:ascii="Times New Roman" w:eastAsia="Times New Roman" w:hAnsi="Times New Roman" w:cs="Times New Roman"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u ugljen</w:t>
      </w:r>
      <w:r w:rsidR="00A53713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dioksid, koji se zatim eliminiše disanjem. U pros</w:t>
      </w:r>
      <w:r w:rsidR="00C064D7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eku, manje od 5</w:t>
      </w:r>
      <w:r w:rsidR="0063514E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% neprom</w:t>
      </w:r>
      <w:r w:rsidR="00C064D7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enjenog l</w:t>
      </w:r>
      <w:r w:rsidR="00C064D7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eka se pojavljuje u ljudskom urinu u roku od 6</w:t>
      </w:r>
      <w:r w:rsidR="00C064D7" w:rsidRPr="0060351E">
        <w:rPr>
          <w:rFonts w:ascii="Times New Roman" w:eastAsia="Times New Roman" w:hAnsi="Times New Roman" w:cs="Times New Roman"/>
          <w:lang w:val="sr-Latn-ME"/>
        </w:rPr>
        <w:t xml:space="preserve"> do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8 sati nakon doziranja. Izlučivanje </w:t>
      </w:r>
      <w:r w:rsidR="00A763B1" w:rsidRPr="0060351E">
        <w:rPr>
          <w:rFonts w:ascii="Times New Roman" w:eastAsia="Times New Roman" w:hAnsi="Times New Roman" w:cs="Times New Roman"/>
          <w:lang w:val="sr-Latn-ME"/>
        </w:rPr>
        <w:t>putem stolice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je zanemarljivo.</w:t>
      </w:r>
    </w:p>
    <w:p w14:paraId="0D7FA961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591AE99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Starije osobe</w:t>
      </w:r>
    </w:p>
    <w:p w14:paraId="70E424E8" w14:textId="0AF8387C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Kod ograničenog broja pacijenata starijih od 65 godina, farmakokinetika natrijum oksibata se nije razlikovala od </w:t>
      </w:r>
      <w:r w:rsidR="003B5D95" w:rsidRPr="0060351E">
        <w:rPr>
          <w:rFonts w:ascii="Times New Roman" w:eastAsia="Times New Roman" w:hAnsi="Times New Roman" w:cs="Times New Roman"/>
          <w:lang w:val="sr-Latn-ME"/>
        </w:rPr>
        <w:t>one kod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mlađih od 65 godina.</w:t>
      </w:r>
    </w:p>
    <w:p w14:paraId="7B68C5E6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sr-Latn-ME"/>
        </w:rPr>
      </w:pPr>
    </w:p>
    <w:p w14:paraId="7D7CFEDD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Pedijatrijska populacija</w:t>
      </w:r>
    </w:p>
    <w:p w14:paraId="3F4A5D4B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Farmakokinetika natrijum oksibata kod pedijatrijskih pacijenata mlađih od 18 godina nije proučavana.</w:t>
      </w:r>
    </w:p>
    <w:p w14:paraId="22E9ED93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34BE664" w14:textId="60750A09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 xml:space="preserve">Oštećenje </w:t>
      </w:r>
      <w:r w:rsidR="00A2639C"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 xml:space="preserve">funkcije </w:t>
      </w: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bubrega</w:t>
      </w:r>
    </w:p>
    <w:p w14:paraId="11D23078" w14:textId="63C2E180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Poš</w:t>
      </w:r>
      <w:r w:rsidR="00A2639C" w:rsidRPr="0060351E">
        <w:rPr>
          <w:rFonts w:ascii="Times New Roman" w:eastAsia="Times New Roman" w:hAnsi="Times New Roman" w:cs="Times New Roman"/>
          <w:lang w:val="sr-Latn-ME"/>
        </w:rPr>
        <w:t>to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bubre</w:t>
      </w:r>
      <w:r w:rsidR="002A56BC" w:rsidRPr="0060351E">
        <w:rPr>
          <w:rFonts w:ascii="Times New Roman" w:eastAsia="Times New Roman" w:hAnsi="Times New Roman" w:cs="Times New Roman"/>
          <w:lang w:val="sr-Latn-ME"/>
        </w:rPr>
        <w:t>zi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nema</w:t>
      </w:r>
      <w:r w:rsidR="002A56BC" w:rsidRPr="0060351E">
        <w:rPr>
          <w:rFonts w:ascii="Times New Roman" w:eastAsia="Times New Roman" w:hAnsi="Times New Roman" w:cs="Times New Roman"/>
          <w:lang w:val="sr-Latn-ME"/>
        </w:rPr>
        <w:t>ju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značajnu ulogu u izlučivanju natrijum oksibata, nije sprovedena farmakokinetička studija kod pacijenata sa </w:t>
      </w:r>
      <w:r w:rsidR="00B60B7C" w:rsidRPr="0060351E">
        <w:rPr>
          <w:rFonts w:ascii="Times New Roman" w:eastAsia="Times New Roman" w:hAnsi="Times New Roman" w:cs="Times New Roman"/>
          <w:lang w:val="sr-Latn-ME"/>
        </w:rPr>
        <w:t>poremećenom funkcijum bubrega.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B60B7C" w:rsidRPr="0060351E">
        <w:rPr>
          <w:rFonts w:ascii="Times New Roman" w:eastAsia="Times New Roman" w:hAnsi="Times New Roman" w:cs="Times New Roman"/>
          <w:lang w:val="sr-Latn-ME"/>
        </w:rPr>
        <w:t>N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 </w:t>
      </w:r>
      <w:r w:rsidR="00B60B7C" w:rsidRPr="0060351E">
        <w:rPr>
          <w:rFonts w:ascii="Times New Roman" w:eastAsia="Times New Roman" w:hAnsi="Times New Roman" w:cs="Times New Roman"/>
          <w:lang w:val="sr-Latn-ME"/>
        </w:rPr>
        <w:t xml:space="preserve">očekuje se da </w:t>
      </w:r>
      <w:r w:rsidRPr="0060351E">
        <w:rPr>
          <w:rFonts w:ascii="Times New Roman" w:eastAsia="Times New Roman" w:hAnsi="Times New Roman" w:cs="Times New Roman"/>
          <w:lang w:val="sr-Latn-ME"/>
        </w:rPr>
        <w:t>funkcij</w:t>
      </w:r>
      <w:r w:rsidR="00B60B7C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bubrega</w:t>
      </w:r>
      <w:r w:rsidR="00B60B7C" w:rsidRPr="0060351E">
        <w:rPr>
          <w:rFonts w:ascii="Times New Roman" w:eastAsia="Times New Roman" w:hAnsi="Times New Roman" w:cs="Times New Roman"/>
          <w:lang w:val="sr-Latn-ME"/>
        </w:rPr>
        <w:t xml:space="preserve"> djeluje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na farmakokinetiku natrijum oksibata.</w:t>
      </w:r>
    </w:p>
    <w:p w14:paraId="479A3088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0144A016" w14:textId="10696D4C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Oštećenje</w:t>
      </w:r>
      <w:r w:rsidR="004922EF"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 xml:space="preserve"> funkcije</w:t>
      </w: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 xml:space="preserve"> jetre</w:t>
      </w:r>
    </w:p>
    <w:p w14:paraId="40BE14D4" w14:textId="26D8BBD1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Natrijum oksibat </w:t>
      </w:r>
      <w:r w:rsidR="004922EF" w:rsidRPr="0060351E">
        <w:rPr>
          <w:rFonts w:ascii="Times New Roman" w:eastAsia="Times New Roman" w:hAnsi="Times New Roman" w:cs="Times New Roman"/>
          <w:lang w:val="sr-Latn-ME"/>
        </w:rPr>
        <w:t>prolazi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značaj</w:t>
      </w:r>
      <w:r w:rsidR="004922EF" w:rsidRPr="0060351E">
        <w:rPr>
          <w:rFonts w:ascii="Times New Roman" w:eastAsia="Times New Roman" w:hAnsi="Times New Roman" w:cs="Times New Roman"/>
          <w:lang w:val="sr-Latn-ME"/>
        </w:rPr>
        <w:t>an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presistemsk</w:t>
      </w:r>
      <w:r w:rsidR="004922EF" w:rsidRPr="0060351E">
        <w:rPr>
          <w:rFonts w:ascii="Times New Roman" w:eastAsia="Times New Roman" w:hAnsi="Times New Roman" w:cs="Times New Roman"/>
          <w:lang w:val="sr-Latn-ME"/>
        </w:rPr>
        <w:t>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metaboliz</w:t>
      </w:r>
      <w:r w:rsidR="004922EF" w:rsidRPr="0060351E">
        <w:rPr>
          <w:rFonts w:ascii="Times New Roman" w:eastAsia="Times New Roman" w:hAnsi="Times New Roman" w:cs="Times New Roman"/>
          <w:lang w:val="sr-Latn-ME"/>
        </w:rPr>
        <w:t>am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(prvi prolaz kroz jetru). </w:t>
      </w:r>
      <w:r w:rsidR="00845654" w:rsidRPr="0060351E">
        <w:rPr>
          <w:rFonts w:ascii="Times New Roman" w:eastAsia="Times New Roman" w:hAnsi="Times New Roman" w:cs="Times New Roman"/>
          <w:lang w:val="sr-Latn-ME"/>
        </w:rPr>
        <w:t xml:space="preserve">Nakon pojedinačne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oralne doze od 25 mg/kg, </w:t>
      </w:r>
      <w:r w:rsidR="004922EF" w:rsidRPr="0060351E">
        <w:rPr>
          <w:rFonts w:ascii="Times New Roman" w:eastAsia="Times New Roman" w:hAnsi="Times New Roman" w:cs="Times New Roman"/>
          <w:lang w:val="sr-Latn-ME"/>
        </w:rPr>
        <w:t>PIK vrijednosti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su bile udvostručene kod pacijenata sa cirozom</w:t>
      </w:r>
      <w:r w:rsidR="004922EF" w:rsidRPr="0060351E">
        <w:rPr>
          <w:rFonts w:ascii="Times New Roman" w:eastAsia="Times New Roman" w:hAnsi="Times New Roman" w:cs="Times New Roman"/>
          <w:lang w:val="sr-Latn-ME"/>
        </w:rPr>
        <w:t xml:space="preserve"> jetre</w:t>
      </w:r>
      <w:r w:rsidR="00DF46DB" w:rsidRPr="0060351E">
        <w:rPr>
          <w:rFonts w:ascii="Times New Roman" w:eastAsia="Times New Roman" w:hAnsi="Times New Roman" w:cs="Times New Roman"/>
          <w:lang w:val="sr-Latn-ME"/>
        </w:rPr>
        <w:t xml:space="preserve"> uz značajno</w:t>
      </w:r>
      <w:r w:rsidR="00F95D9B" w:rsidRPr="0060351E">
        <w:rPr>
          <w:rFonts w:ascii="Times New Roman" w:eastAsia="Times New Roman" w:hAnsi="Times New Roman" w:cs="Times New Roman"/>
          <w:lang w:val="sr-Latn-ME"/>
        </w:rPr>
        <w:t xml:space="preserve"> smanjenje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oraln</w:t>
      </w:r>
      <w:r w:rsidR="00F95D9B" w:rsidRPr="0060351E">
        <w:rPr>
          <w:rFonts w:ascii="Times New Roman" w:eastAsia="Times New Roman" w:hAnsi="Times New Roman" w:cs="Times New Roman"/>
          <w:lang w:val="sr-Latn-ME"/>
        </w:rPr>
        <w:t>og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klirens</w:t>
      </w:r>
      <w:r w:rsidR="00F95D9B" w:rsidRPr="0060351E">
        <w:rPr>
          <w:rFonts w:ascii="Times New Roman" w:eastAsia="Times New Roman" w:hAnsi="Times New Roman" w:cs="Times New Roman"/>
          <w:lang w:val="sr-Latn-ME"/>
        </w:rPr>
        <w:t>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sa 9</w:t>
      </w:r>
      <w:r w:rsidR="00F95D9B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1 kod zdravih odraslih </w:t>
      </w:r>
      <w:r w:rsidR="00F95D9B" w:rsidRPr="0060351E">
        <w:rPr>
          <w:rFonts w:ascii="Times New Roman" w:eastAsia="Times New Roman" w:hAnsi="Times New Roman" w:cs="Times New Roman"/>
          <w:lang w:val="sr-Latn-ME"/>
        </w:rPr>
        <w:t xml:space="preserve">ispitanika </w:t>
      </w:r>
      <w:r w:rsidRPr="0060351E">
        <w:rPr>
          <w:rFonts w:ascii="Times New Roman" w:eastAsia="Times New Roman" w:hAnsi="Times New Roman" w:cs="Times New Roman"/>
          <w:lang w:val="sr-Latn-ME"/>
        </w:rPr>
        <w:t>na 4</w:t>
      </w:r>
      <w:r w:rsidR="00F95D9B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5</w:t>
      </w:r>
      <w:r w:rsidR="00F95D9B" w:rsidRPr="0060351E">
        <w:rPr>
          <w:rFonts w:ascii="Times New Roman" w:eastAsia="Times New Roman" w:hAnsi="Times New Roman" w:cs="Times New Roman"/>
          <w:lang w:val="sr-Latn-ME"/>
        </w:rPr>
        <w:t>, odnosno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</w:t>
      </w:r>
      <w:r w:rsidR="00F95D9B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1 ml/min/kg u klasi A (bez ascitesa) i klasi C (sa ascites). Poluvr</w:t>
      </w:r>
      <w:r w:rsidR="00B14102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eme eliminacije je bilo značajno duže kod pacijenata klase C i klase A nego kod kontrolnih </w:t>
      </w:r>
      <w:r w:rsidR="00B14102" w:rsidRPr="0060351E">
        <w:rPr>
          <w:rFonts w:ascii="Times New Roman" w:eastAsia="Times New Roman" w:hAnsi="Times New Roman" w:cs="Times New Roman"/>
          <w:lang w:val="sr-Latn-ME"/>
        </w:rPr>
        <w:t>ispitanika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(sredn</w:t>
      </w:r>
      <w:r w:rsidR="00B14102" w:rsidRPr="0060351E">
        <w:rPr>
          <w:rFonts w:ascii="Times New Roman" w:eastAsia="Times New Roman" w:hAnsi="Times New Roman" w:cs="Times New Roman"/>
          <w:lang w:val="sr-Latn-ME"/>
        </w:rPr>
        <w:t>ja vrijednost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t</w:t>
      </w:r>
      <w:r w:rsidRPr="0060351E">
        <w:rPr>
          <w:rFonts w:ascii="Times New Roman" w:eastAsia="Times New Roman" w:hAnsi="Times New Roman" w:cs="Times New Roman"/>
          <w:vertAlign w:val="subscript"/>
          <w:lang w:val="sr-Latn-ME"/>
        </w:rPr>
        <w:t xml:space="preserve">1/2 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od 59 i 32 u odnosu na 22 minuta). </w:t>
      </w:r>
      <w:r w:rsidR="001C43E6" w:rsidRPr="0060351E">
        <w:rPr>
          <w:rFonts w:ascii="Times New Roman" w:eastAsia="Times New Roman" w:hAnsi="Times New Roman" w:cs="Times New Roman"/>
          <w:lang w:val="sr-Latn-ME"/>
        </w:rPr>
        <w:t>Kod svih pacijenata sa oštećenjem funkcije jetre p</w:t>
      </w:r>
      <w:r w:rsidRPr="0060351E">
        <w:rPr>
          <w:rFonts w:ascii="Times New Roman" w:eastAsia="Times New Roman" w:hAnsi="Times New Roman" w:cs="Times New Roman"/>
          <w:lang w:val="sr-Latn-ME"/>
        </w:rPr>
        <w:t>očetnu dozu treba prepoloviti, a odgovor na povećanje doze treba pažljivo pratiti (</w:t>
      </w:r>
      <w:r w:rsidR="00845654" w:rsidRPr="0060351E">
        <w:rPr>
          <w:rFonts w:ascii="Times New Roman" w:eastAsia="Times New Roman" w:hAnsi="Times New Roman" w:cs="Times New Roman"/>
          <w:lang w:val="sr-Latn-ME"/>
        </w:rPr>
        <w:t xml:space="preserve">vidjeti </w:t>
      </w:r>
      <w:r w:rsidR="001C43E6" w:rsidRPr="0060351E">
        <w:rPr>
          <w:rFonts w:ascii="Times New Roman" w:eastAsia="Times New Roman" w:hAnsi="Times New Roman" w:cs="Times New Roman"/>
          <w:lang w:val="sr-Latn-ME"/>
        </w:rPr>
        <w:t>dio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4.2).</w:t>
      </w:r>
    </w:p>
    <w:p w14:paraId="5731E2A1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2FD02915" w14:textId="77777777" w:rsidR="00470CC3" w:rsidRPr="0060351E" w:rsidRDefault="00470CC3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val="sr-Latn-ME"/>
        </w:rPr>
      </w:pPr>
      <w:r w:rsidRPr="0060351E">
        <w:rPr>
          <w:rFonts w:ascii="Times New Roman" w:eastAsia="Times New Roman" w:hAnsi="Times New Roman" w:cs="Times New Roman"/>
          <w:i/>
          <w:iCs/>
          <w:u w:val="single"/>
          <w:lang w:val="sr-Latn-ME"/>
        </w:rPr>
        <w:t>Rasa</w:t>
      </w:r>
    </w:p>
    <w:p w14:paraId="2DBA7939" w14:textId="07C860C6" w:rsidR="00925839" w:rsidRPr="0060351E" w:rsidRDefault="00480452" w:rsidP="00470CC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Uticaj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 xml:space="preserve"> rase na metabolizam natrijum oksibata nije proc</w:t>
      </w:r>
      <w:r w:rsidR="009D13AC" w:rsidRPr="0060351E">
        <w:rPr>
          <w:rFonts w:ascii="Times New Roman" w:eastAsia="Times New Roman" w:hAnsi="Times New Roman" w:cs="Times New Roman"/>
          <w:lang w:val="sr-Latn-ME"/>
        </w:rPr>
        <w:t>ij</w:t>
      </w:r>
      <w:r w:rsidR="00470CC3" w:rsidRPr="0060351E">
        <w:rPr>
          <w:rFonts w:ascii="Times New Roman" w:eastAsia="Times New Roman" w:hAnsi="Times New Roman" w:cs="Times New Roman"/>
          <w:lang w:val="sr-Latn-ME"/>
        </w:rPr>
        <w:t>enjen.</w:t>
      </w:r>
    </w:p>
    <w:p w14:paraId="26F04BA5" w14:textId="77777777" w:rsidR="00861A2B" w:rsidRPr="0060351E" w:rsidRDefault="00861A2B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1090BA6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5.3.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Pretklinički podaci o bezbjednosti </w:t>
      </w:r>
    </w:p>
    <w:p w14:paraId="0310DA91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908F343" w14:textId="784920E2" w:rsidR="00085855" w:rsidRPr="0060351E" w:rsidRDefault="00085855" w:rsidP="000858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Ponovljena prim</w:t>
      </w:r>
      <w:r w:rsidR="009D13AC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ena natrijum oksibata pacovima (90 dana i 26 ned</w:t>
      </w:r>
      <w:r w:rsidR="0098276D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elja) i psima (52 ned</w:t>
      </w:r>
      <w:r w:rsidR="0098276D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elje) nije rezultirala značajnim nalazima u kliničkoj hemiji i mikro i makro patologiji. Klinički znaci povezani sa l</w:t>
      </w:r>
      <w:r w:rsidR="00845654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ečenjem uglavnom su se odnosili na sedaciju, smanjen</w:t>
      </w:r>
      <w:r w:rsidR="003E1942" w:rsidRPr="0060351E">
        <w:rPr>
          <w:rFonts w:ascii="Times New Roman" w:eastAsia="Times New Roman" w:hAnsi="Times New Roman" w:cs="Times New Roman"/>
          <w:bCs/>
          <w:lang w:val="sr-Latn-ME"/>
        </w:rPr>
        <w:t>i unos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hrane i sekundarne prom</w:t>
      </w:r>
      <w:r w:rsidR="00F51068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ene t</w:t>
      </w:r>
      <w:r w:rsidR="00F51068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elesne </w:t>
      </w:r>
      <w:r w:rsidR="00F51068" w:rsidRPr="0060351E">
        <w:rPr>
          <w:rFonts w:ascii="Times New Roman" w:eastAsia="Times New Roman" w:hAnsi="Times New Roman" w:cs="Times New Roman"/>
          <w:bCs/>
          <w:lang w:val="sr-Latn-ME"/>
        </w:rPr>
        <w:t>mase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, povećanje t</w:t>
      </w:r>
      <w:r w:rsidR="00F51068" w:rsidRPr="0060351E">
        <w:rPr>
          <w:rFonts w:ascii="Times New Roman" w:eastAsia="Times New Roman" w:hAnsi="Times New Roman" w:cs="Times New Roman"/>
          <w:bCs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elesne </w:t>
      </w:r>
      <w:r w:rsidR="00F51068" w:rsidRPr="0060351E">
        <w:rPr>
          <w:rFonts w:ascii="Times New Roman" w:eastAsia="Times New Roman" w:hAnsi="Times New Roman" w:cs="Times New Roman"/>
          <w:bCs/>
          <w:lang w:val="sr-Latn-ME"/>
        </w:rPr>
        <w:t>mase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r w:rsidR="00CC4A47" w:rsidRPr="0060351E">
        <w:rPr>
          <w:rFonts w:ascii="Times New Roman" w:eastAsia="Times New Roman" w:hAnsi="Times New Roman" w:cs="Times New Roman"/>
          <w:bCs/>
          <w:lang w:val="sr-Latn-ME"/>
        </w:rPr>
        <w:t>mase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organa. </w:t>
      </w:r>
      <w:r w:rsidR="00CC4A47" w:rsidRPr="0060351E">
        <w:rPr>
          <w:rFonts w:ascii="Times New Roman" w:eastAsia="Times New Roman" w:hAnsi="Times New Roman" w:cs="Times New Roman"/>
          <w:bCs/>
          <w:lang w:val="sr-Latn-ME"/>
        </w:rPr>
        <w:t>Stepen 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zloženost</w:t>
      </w:r>
      <w:r w:rsidR="00CC4A47" w:rsidRPr="0060351E">
        <w:rPr>
          <w:rFonts w:ascii="Times New Roman" w:eastAsia="Times New Roman" w:hAnsi="Times New Roman" w:cs="Times New Roman"/>
          <w:bCs/>
          <w:lang w:val="sr-Latn-ME"/>
        </w:rPr>
        <w:t>i</w:t>
      </w:r>
      <w:r w:rsidR="00EC3CBD" w:rsidRPr="0060351E">
        <w:rPr>
          <w:rFonts w:ascii="Times New Roman" w:eastAsia="Times New Roman" w:hAnsi="Times New Roman" w:cs="Times New Roman"/>
          <w:bCs/>
          <w:lang w:val="sr-Latn-ME"/>
        </w:rPr>
        <w:t xml:space="preserve"> kod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pacova i pasa na </w:t>
      </w:r>
      <w:r w:rsidR="00733CFD" w:rsidRPr="0060351E">
        <w:rPr>
          <w:rFonts w:ascii="Times New Roman" w:eastAsia="Times New Roman" w:hAnsi="Times New Roman" w:cs="Times New Roman"/>
          <w:bCs/>
          <w:lang w:val="sr-Latn-ME"/>
        </w:rPr>
        <w:t>nivou bez uočenog efekta (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NOEL</w:t>
      </w:r>
      <w:r w:rsidR="00733CFD" w:rsidRPr="0060351E">
        <w:rPr>
          <w:rFonts w:ascii="Times New Roman" w:eastAsia="Times New Roman" w:hAnsi="Times New Roman" w:cs="Times New Roman"/>
          <w:bCs/>
          <w:lang w:val="sr-Latn-ME"/>
        </w:rPr>
        <w:t>)</w:t>
      </w:r>
      <w:r w:rsidR="00DB17EC" w:rsidRPr="0060351E">
        <w:rPr>
          <w:rFonts w:ascii="Times New Roman" w:eastAsia="Times New Roman" w:hAnsi="Times New Roman" w:cs="Times New Roman"/>
          <w:bCs/>
          <w:lang w:val="sr-Latn-ME"/>
        </w:rPr>
        <w:t>,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bi</w:t>
      </w:r>
      <w:r w:rsidR="00DB17EC" w:rsidRPr="0060351E">
        <w:rPr>
          <w:rFonts w:ascii="Times New Roman" w:eastAsia="Times New Roman" w:hAnsi="Times New Roman" w:cs="Times New Roman"/>
          <w:bCs/>
          <w:lang w:val="sr-Latn-ME"/>
        </w:rPr>
        <w:t>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je </w:t>
      </w:r>
      <w:r w:rsidR="00DB17EC" w:rsidRPr="0060351E">
        <w:rPr>
          <w:rFonts w:ascii="Times New Roman" w:eastAsia="Times New Roman" w:hAnsi="Times New Roman" w:cs="Times New Roman"/>
          <w:bCs/>
          <w:lang w:val="sr-Latn-ME"/>
        </w:rPr>
        <w:t>manji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(~50 %) nego kod ljudi. </w:t>
      </w:r>
      <w:r w:rsidR="006021DC" w:rsidRPr="0060351E">
        <w:rPr>
          <w:rFonts w:ascii="Times New Roman" w:eastAsia="Times New Roman" w:hAnsi="Times New Roman" w:cs="Times New Roman"/>
          <w:bCs/>
          <w:lang w:val="sr-Latn-ME"/>
        </w:rPr>
        <w:t xml:space="preserve">U </w:t>
      </w:r>
      <w:r w:rsidR="006021DC"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>in vitro</w:t>
      </w:r>
      <w:r w:rsidR="006021DC" w:rsidRPr="0060351E">
        <w:rPr>
          <w:rFonts w:ascii="Times New Roman" w:eastAsia="Times New Roman" w:hAnsi="Times New Roman" w:cs="Times New Roman"/>
          <w:bCs/>
          <w:lang w:val="sr-Latn-ME"/>
        </w:rPr>
        <w:t xml:space="preserve"> i </w:t>
      </w:r>
      <w:r w:rsidR="006021DC" w:rsidRPr="0060351E">
        <w:rPr>
          <w:rFonts w:ascii="Times New Roman" w:eastAsia="Times New Roman" w:hAnsi="Times New Roman" w:cs="Times New Roman"/>
          <w:bCs/>
          <w:i/>
          <w:iCs/>
          <w:lang w:val="sr-Latn-ME"/>
        </w:rPr>
        <w:t>in vivo</w:t>
      </w:r>
      <w:r w:rsidR="006021DC" w:rsidRPr="0060351E">
        <w:rPr>
          <w:rFonts w:ascii="Times New Roman" w:eastAsia="Times New Roman" w:hAnsi="Times New Roman" w:cs="Times New Roman"/>
          <w:bCs/>
          <w:lang w:val="sr-Latn-ME"/>
        </w:rPr>
        <w:t xml:space="preserve"> ispitivanjima nije zabilježen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mutagen i</w:t>
      </w:r>
      <w:r w:rsidR="004E0622" w:rsidRPr="0060351E">
        <w:rPr>
          <w:rFonts w:ascii="Times New Roman" w:eastAsia="Times New Roman" w:hAnsi="Times New Roman" w:cs="Times New Roman"/>
          <w:bCs/>
          <w:lang w:val="sr-Latn-ME"/>
        </w:rPr>
        <w:t>li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klastogen</w:t>
      </w:r>
      <w:r w:rsidR="004E0622" w:rsidRPr="0060351E">
        <w:rPr>
          <w:rFonts w:ascii="Times New Roman" w:eastAsia="Times New Roman" w:hAnsi="Times New Roman" w:cs="Times New Roman"/>
          <w:bCs/>
          <w:lang w:val="sr-Latn-ME"/>
        </w:rPr>
        <w:t xml:space="preserve"> efekat natrium oksibata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176930BA" w14:textId="77777777" w:rsidR="00085855" w:rsidRPr="0060351E" w:rsidRDefault="00085855" w:rsidP="000858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97F0BD0" w14:textId="00E5C8CA" w:rsidR="00085855" w:rsidRPr="0060351E" w:rsidRDefault="00085855" w:rsidP="000858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Gama butirolakton (GBL), prol</w:t>
      </w:r>
      <w:r w:rsidR="00F37E1C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ek GHB</w:t>
      </w:r>
      <w:r w:rsidR="0063514E" w:rsidRPr="0060351E">
        <w:rPr>
          <w:rFonts w:ascii="Times New Roman" w:eastAsia="Times New Roman" w:hAnsi="Times New Roman" w:cs="Times New Roman"/>
          <w:bCs/>
          <w:lang w:val="sr-Latn-ME"/>
        </w:rPr>
        <w:t>-a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testiran na izloženosti sličnim </w:t>
      </w:r>
      <w:r w:rsidR="002835D1" w:rsidRPr="0060351E">
        <w:rPr>
          <w:rFonts w:ascii="Times New Roman" w:eastAsia="Times New Roman" w:hAnsi="Times New Roman" w:cs="Times New Roman"/>
          <w:bCs/>
          <w:lang w:val="sr-Latn-ME"/>
        </w:rPr>
        <w:t xml:space="preserve">onima koje se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oček</w:t>
      </w:r>
      <w:r w:rsidR="002835D1" w:rsidRPr="0060351E">
        <w:rPr>
          <w:rFonts w:ascii="Times New Roman" w:eastAsia="Times New Roman" w:hAnsi="Times New Roman" w:cs="Times New Roman"/>
          <w:bCs/>
          <w:lang w:val="sr-Latn-ME"/>
        </w:rPr>
        <w:t>uju kod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ljudi (1</w:t>
      </w:r>
      <w:r w:rsidR="00A22597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21 </w:t>
      </w:r>
      <w:r w:rsidR="00A22597" w:rsidRPr="0060351E">
        <w:rPr>
          <w:rFonts w:ascii="Times New Roman" w:eastAsia="Times New Roman" w:hAnsi="Times New Roman" w:cs="Times New Roman"/>
          <w:bCs/>
          <w:lang w:val="sr-Latn-ME"/>
        </w:rPr>
        <w:t xml:space="preserve">–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1</w:t>
      </w:r>
      <w:r w:rsidR="00A22597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64 puta), NTP</w:t>
      </w:r>
      <w:r w:rsidR="002835D1" w:rsidRPr="0060351E">
        <w:rPr>
          <w:rFonts w:ascii="Times New Roman" w:eastAsia="Times New Roman" w:hAnsi="Times New Roman" w:cs="Times New Roman"/>
          <w:bCs/>
          <w:lang w:val="sr-Latn-ME"/>
        </w:rPr>
        <w:t xml:space="preserve"> (Nacionalni toksikološki program)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je klasifikovao kao nekancerogen kod pacova i </w:t>
      </w:r>
      <w:r w:rsidR="002835D1" w:rsidRPr="0060351E">
        <w:rPr>
          <w:rFonts w:ascii="Times New Roman" w:eastAsia="Times New Roman" w:hAnsi="Times New Roman" w:cs="Times New Roman"/>
          <w:bCs/>
          <w:lang w:val="sr-Latn-ME"/>
        </w:rPr>
        <w:t>neodređeno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kancerogen kod miševa, zbog blagog povećanja</w:t>
      </w:r>
      <w:r w:rsidR="004F4FE0" w:rsidRPr="0060351E">
        <w:rPr>
          <w:rFonts w:ascii="Times New Roman" w:eastAsia="Times New Roman" w:hAnsi="Times New Roman" w:cs="Times New Roman"/>
          <w:bCs/>
          <w:lang w:val="sr-Latn-ME"/>
        </w:rPr>
        <w:t xml:space="preserve"> učestalosti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feohromocitoma što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lastRenderedPageBreak/>
        <w:t xml:space="preserve">je bilo teško tumačiti zbog visokog mortaliteta u grupi </w:t>
      </w:r>
      <w:r w:rsidR="004F4FE0" w:rsidRPr="0060351E">
        <w:rPr>
          <w:rFonts w:ascii="Times New Roman" w:eastAsia="Times New Roman" w:hAnsi="Times New Roman" w:cs="Times New Roman"/>
          <w:bCs/>
          <w:lang w:val="sr-Latn-ME"/>
        </w:rPr>
        <w:t xml:space="preserve">koja je primala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visok</w:t>
      </w:r>
      <w:r w:rsidR="004F4FE0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doz</w:t>
      </w:r>
      <w:r w:rsidR="004F4FE0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. U </w:t>
      </w:r>
      <w:r w:rsidR="00526528" w:rsidRPr="0060351E">
        <w:rPr>
          <w:rFonts w:ascii="Times New Roman" w:eastAsia="Times New Roman" w:hAnsi="Times New Roman" w:cs="Times New Roman"/>
          <w:bCs/>
          <w:lang w:val="sr-Latn-ME"/>
        </w:rPr>
        <w:t>ispitivanju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kancerogenosti</w:t>
      </w:r>
      <w:r w:rsidR="00E248AB" w:rsidRPr="0060351E">
        <w:rPr>
          <w:rFonts w:ascii="Times New Roman" w:eastAsia="Times New Roman" w:hAnsi="Times New Roman" w:cs="Times New Roman"/>
          <w:bCs/>
          <w:lang w:val="sr-Latn-ME"/>
        </w:rPr>
        <w:t xml:space="preserve"> oksibata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kod pacova ni</w:t>
      </w:r>
      <w:r w:rsidR="00E248AB" w:rsidRPr="0060351E">
        <w:rPr>
          <w:rFonts w:ascii="Times New Roman" w:eastAsia="Times New Roman" w:hAnsi="Times New Roman" w:cs="Times New Roman"/>
          <w:bCs/>
          <w:lang w:val="sr-Latn-ME"/>
        </w:rPr>
        <w:t>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su identifikovani tumori povezani sa </w:t>
      </w:r>
      <w:r w:rsidR="00E248AB" w:rsidRPr="0060351E">
        <w:rPr>
          <w:rFonts w:ascii="Times New Roman" w:eastAsia="Times New Roman" w:hAnsi="Times New Roman" w:cs="Times New Roman"/>
          <w:bCs/>
          <w:lang w:val="sr-Latn-ME"/>
        </w:rPr>
        <w:t>lijekom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59F505E6" w14:textId="77777777" w:rsidR="00085855" w:rsidRPr="0060351E" w:rsidRDefault="00085855" w:rsidP="000858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7F03281" w14:textId="2DAE2CCA" w:rsidR="00085855" w:rsidRPr="0060351E" w:rsidRDefault="00085855" w:rsidP="000858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GHB nije imao uticaj na parenje, opštu plodnost ili parametre sperme i nije </w:t>
      </w:r>
      <w:r w:rsidR="00E248AB" w:rsidRPr="0060351E">
        <w:rPr>
          <w:rFonts w:ascii="Times New Roman" w:eastAsia="Times New Roman" w:hAnsi="Times New Roman" w:cs="Times New Roman"/>
          <w:bCs/>
          <w:lang w:val="sr-Latn-ME"/>
        </w:rPr>
        <w:t>uzrokovao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embr</w:t>
      </w:r>
      <w:r w:rsidR="00E96B8A" w:rsidRPr="0060351E">
        <w:rPr>
          <w:rFonts w:ascii="Times New Roman" w:eastAsia="Times New Roman" w:hAnsi="Times New Roman" w:cs="Times New Roman"/>
          <w:bCs/>
          <w:lang w:val="sr-Latn-ME"/>
        </w:rPr>
        <w:t>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fetalnu toksičnost kod pacova izloženih do 1000 mg/kg/dan GHB</w:t>
      </w:r>
      <w:r w:rsidR="00E96B8A" w:rsidRPr="0060351E">
        <w:rPr>
          <w:rFonts w:ascii="Times New Roman" w:eastAsia="Times New Roman" w:hAnsi="Times New Roman" w:cs="Times New Roman"/>
          <w:bCs/>
          <w:lang w:val="sr-Latn-ME"/>
        </w:rPr>
        <w:t>-a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(1</w:t>
      </w:r>
      <w:r w:rsidR="00E96B8A" w:rsidRPr="0060351E">
        <w:rPr>
          <w:rFonts w:ascii="Times New Roman" w:eastAsia="Times New Roman" w:hAnsi="Times New Roman" w:cs="Times New Roman"/>
          <w:bCs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64 puta veća izloženost</w:t>
      </w:r>
      <w:r w:rsidR="00E96B8A" w:rsidRPr="0060351E">
        <w:rPr>
          <w:rFonts w:ascii="Times New Roman" w:eastAsia="Times New Roman" w:hAnsi="Times New Roman" w:cs="Times New Roman"/>
          <w:bCs/>
          <w:lang w:val="sr-Latn-ME"/>
        </w:rPr>
        <w:t xml:space="preserve"> nego kod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ljudi</w:t>
      </w:r>
      <w:r w:rsidR="00E96B8A" w:rsidRPr="0060351E">
        <w:rPr>
          <w:rFonts w:ascii="Times New Roman" w:eastAsia="Times New Roman" w:hAnsi="Times New Roman" w:cs="Times New Roman"/>
          <w:bCs/>
          <w:lang w:val="sr-Latn-ME"/>
        </w:rPr>
        <w:t>,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izračunat</w:t>
      </w:r>
      <w:r w:rsidR="00E96B8A" w:rsidRPr="0060351E">
        <w:rPr>
          <w:rFonts w:ascii="Times New Roman" w:eastAsia="Times New Roman" w:hAnsi="Times New Roman" w:cs="Times New Roman"/>
          <w:bCs/>
          <w:lang w:val="sr-Latn-ME"/>
        </w:rPr>
        <w:t>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E96B8A" w:rsidRPr="0060351E">
        <w:rPr>
          <w:rFonts w:ascii="Times New Roman" w:eastAsia="Times New Roman" w:hAnsi="Times New Roman" w:cs="Times New Roman"/>
          <w:bCs/>
          <w:lang w:val="sr-Latn-ME"/>
        </w:rPr>
        <w:t>u odnosu na životinje koje</w:t>
      </w:r>
      <w:r w:rsidR="00F67ECF" w:rsidRPr="0060351E">
        <w:rPr>
          <w:rFonts w:ascii="Times New Roman" w:eastAsia="Times New Roman" w:hAnsi="Times New Roman" w:cs="Times New Roman"/>
          <w:bCs/>
          <w:lang w:val="sr-Latn-ME"/>
        </w:rPr>
        <w:t xml:space="preserve"> nijesu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gravidn</w:t>
      </w:r>
      <w:r w:rsidR="00F67ECF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). Perinatalni mortalitet je </w:t>
      </w:r>
      <w:r w:rsidR="00F67ECF" w:rsidRPr="0060351E">
        <w:rPr>
          <w:rFonts w:ascii="Times New Roman" w:eastAsia="Times New Roman" w:hAnsi="Times New Roman" w:cs="Times New Roman"/>
          <w:bCs/>
          <w:lang w:val="sr-Latn-ME"/>
        </w:rPr>
        <w:t xml:space="preserve">bio 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povećan, a </w:t>
      </w:r>
      <w:r w:rsidR="00F67ECF" w:rsidRPr="0060351E">
        <w:rPr>
          <w:rFonts w:ascii="Times New Roman" w:eastAsia="Times New Roman" w:hAnsi="Times New Roman" w:cs="Times New Roman"/>
          <w:bCs/>
          <w:lang w:val="sr-Latn-ME"/>
        </w:rPr>
        <w:t>prosječna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težina </w:t>
      </w:r>
      <w:r w:rsidR="00F67ECF" w:rsidRPr="0060351E">
        <w:rPr>
          <w:rFonts w:ascii="Times New Roman" w:eastAsia="Times New Roman" w:hAnsi="Times New Roman" w:cs="Times New Roman"/>
          <w:bCs/>
          <w:lang w:val="sr-Latn-ME"/>
        </w:rPr>
        <w:t>mladunčadi</w:t>
      </w:r>
      <w:r w:rsidR="009B248D" w:rsidRPr="0060351E">
        <w:rPr>
          <w:rFonts w:ascii="Times New Roman" w:eastAsia="Times New Roman" w:hAnsi="Times New Roman" w:cs="Times New Roman"/>
          <w:bCs/>
          <w:lang w:val="sr-Latn-ME"/>
        </w:rPr>
        <w:t xml:space="preserve"> bila je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smanjena tokom perioda laktacije kod</w:t>
      </w:r>
      <w:r w:rsidR="009B248D" w:rsidRPr="0060351E">
        <w:rPr>
          <w:rFonts w:ascii="Times New Roman" w:eastAsia="Times New Roman" w:hAnsi="Times New Roman" w:cs="Times New Roman"/>
          <w:bCs/>
          <w:lang w:val="sr-Latn-ME"/>
        </w:rPr>
        <w:t xml:space="preserve"> F1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životinja</w:t>
      </w:r>
      <w:r w:rsidR="009B248D" w:rsidRPr="0060351E">
        <w:rPr>
          <w:rFonts w:ascii="Times New Roman" w:eastAsia="Times New Roman" w:hAnsi="Times New Roman" w:cs="Times New Roman"/>
          <w:bCs/>
          <w:lang w:val="sr-Latn-ME"/>
        </w:rPr>
        <w:t xml:space="preserve"> koje su primale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visok</w:t>
      </w:r>
      <w:r w:rsidR="00AE01EB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doz</w:t>
      </w:r>
      <w:r w:rsidR="00AE01EB" w:rsidRPr="0060351E">
        <w:rPr>
          <w:rFonts w:ascii="Times New Roman" w:eastAsia="Times New Roman" w:hAnsi="Times New Roman" w:cs="Times New Roman"/>
          <w:bCs/>
          <w:lang w:val="sr-Latn-ME"/>
        </w:rPr>
        <w:t>e lijeka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r w:rsidR="00AE01EB" w:rsidRPr="0060351E">
        <w:rPr>
          <w:rFonts w:ascii="Times New Roman" w:eastAsia="Times New Roman" w:hAnsi="Times New Roman" w:cs="Times New Roman"/>
          <w:bCs/>
          <w:lang w:val="sr-Latn-ME"/>
        </w:rPr>
        <w:t>P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ovezanost ovih razvojnih efekata sa toksičnošću</w:t>
      </w:r>
      <w:r w:rsidR="00AE01EB" w:rsidRPr="0060351E">
        <w:rPr>
          <w:rFonts w:ascii="Times New Roman" w:eastAsia="Times New Roman" w:hAnsi="Times New Roman" w:cs="Times New Roman"/>
          <w:bCs/>
          <w:lang w:val="sr-Latn-ME"/>
        </w:rPr>
        <w:t xml:space="preserve"> lijeka za ženke ne može se utvrditi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. Kod </w:t>
      </w:r>
      <w:r w:rsidR="00690560" w:rsidRPr="0060351E">
        <w:rPr>
          <w:rFonts w:ascii="Times New Roman" w:eastAsia="Times New Roman" w:hAnsi="Times New Roman" w:cs="Times New Roman"/>
          <w:bCs/>
          <w:lang w:val="sr-Latn-ME"/>
        </w:rPr>
        <w:t>kunića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je prim</w:t>
      </w:r>
      <w:r w:rsidR="00690560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ećena blaga fetotoksičnost.</w:t>
      </w:r>
    </w:p>
    <w:p w14:paraId="44CE528F" w14:textId="77777777" w:rsidR="00085855" w:rsidRPr="0060351E" w:rsidRDefault="00085855" w:rsidP="000858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8378CB0" w14:textId="2F8E1176" w:rsidR="00470CC3" w:rsidRPr="0060351E" w:rsidRDefault="00690560" w:rsidP="000858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Ispitivanja</w:t>
      </w:r>
      <w:r w:rsidR="00085855" w:rsidRPr="0060351E">
        <w:rPr>
          <w:rFonts w:ascii="Times New Roman" w:eastAsia="Times New Roman" w:hAnsi="Times New Roman" w:cs="Times New Roman"/>
          <w:bCs/>
          <w:lang w:val="sr-Latn-ME"/>
        </w:rPr>
        <w:t xml:space="preserve"> diskriminacije narkotika pokazuju da GHB proizvodi jedinstveni diskriminativni stimulans koji je u nekim aspektima sličan alkoholu, morfijumu i određenim</w:t>
      </w:r>
      <w:r w:rsidR="00DA4F2E" w:rsidRPr="0060351E">
        <w:rPr>
          <w:rFonts w:ascii="Times New Roman" w:eastAsia="Times New Roman" w:hAnsi="Times New Roman" w:cs="Times New Roman"/>
          <w:bCs/>
          <w:lang w:val="sr-Latn-ME"/>
        </w:rPr>
        <w:t xml:space="preserve"> ljekovima sa</w:t>
      </w:r>
      <w:r w:rsidR="00085855" w:rsidRPr="0060351E">
        <w:rPr>
          <w:rFonts w:ascii="Times New Roman" w:eastAsia="Times New Roman" w:hAnsi="Times New Roman" w:cs="Times New Roman"/>
          <w:bCs/>
          <w:lang w:val="sr-Latn-ME"/>
        </w:rPr>
        <w:t xml:space="preserve"> GABA</w:t>
      </w:r>
      <w:r w:rsidR="00DA4F2E" w:rsidRPr="0060351E">
        <w:rPr>
          <w:rFonts w:ascii="Times New Roman" w:eastAsia="Times New Roman" w:hAnsi="Times New Roman" w:cs="Times New Roman"/>
          <w:bCs/>
          <w:lang w:val="sr-Latn-ME"/>
        </w:rPr>
        <w:t>-mimetičkim dj</w:t>
      </w:r>
      <w:r w:rsidR="00845654" w:rsidRPr="0060351E">
        <w:rPr>
          <w:rFonts w:ascii="Times New Roman" w:eastAsia="Times New Roman" w:hAnsi="Times New Roman" w:cs="Times New Roman"/>
          <w:bCs/>
          <w:lang w:val="sr-Latn-ME"/>
        </w:rPr>
        <w:t>e</w:t>
      </w:r>
      <w:r w:rsidR="00DA4F2E" w:rsidRPr="0060351E">
        <w:rPr>
          <w:rFonts w:ascii="Times New Roman" w:eastAsia="Times New Roman" w:hAnsi="Times New Roman" w:cs="Times New Roman"/>
          <w:bCs/>
          <w:lang w:val="sr-Latn-ME"/>
        </w:rPr>
        <w:t>lovanjem</w:t>
      </w:r>
      <w:r w:rsidR="00085855" w:rsidRPr="0060351E">
        <w:rPr>
          <w:rFonts w:ascii="Times New Roman" w:eastAsia="Times New Roman" w:hAnsi="Times New Roman" w:cs="Times New Roman"/>
          <w:bCs/>
          <w:lang w:val="sr-Latn-ME"/>
        </w:rPr>
        <w:t xml:space="preserve">. </w:t>
      </w:r>
      <w:r w:rsidR="00365418" w:rsidRPr="0060351E">
        <w:rPr>
          <w:rFonts w:ascii="Times New Roman" w:eastAsia="Times New Roman" w:hAnsi="Times New Roman" w:cs="Times New Roman"/>
          <w:bCs/>
          <w:lang w:val="sr-Latn-ME"/>
        </w:rPr>
        <w:t>Ispitivanja</w:t>
      </w:r>
      <w:r w:rsidR="00085855" w:rsidRPr="0060351E">
        <w:rPr>
          <w:rFonts w:ascii="Times New Roman" w:eastAsia="Times New Roman" w:hAnsi="Times New Roman" w:cs="Times New Roman"/>
          <w:bCs/>
          <w:lang w:val="sr-Latn-ME"/>
        </w:rPr>
        <w:t xml:space="preserve"> samoprim</w:t>
      </w:r>
      <w:r w:rsidR="00845654" w:rsidRPr="0060351E">
        <w:rPr>
          <w:rFonts w:ascii="Times New Roman" w:eastAsia="Times New Roman" w:hAnsi="Times New Roman" w:cs="Times New Roman"/>
          <w:bCs/>
          <w:lang w:val="sr-Latn-ME"/>
        </w:rPr>
        <w:t>jene</w:t>
      </w:r>
      <w:r w:rsidR="00085855" w:rsidRPr="0060351E">
        <w:rPr>
          <w:rFonts w:ascii="Times New Roman" w:eastAsia="Times New Roman" w:hAnsi="Times New Roman" w:cs="Times New Roman"/>
          <w:bCs/>
          <w:lang w:val="sr-Latn-ME"/>
        </w:rPr>
        <w:t xml:space="preserve"> </w:t>
      </w:r>
      <w:r w:rsidR="00845654" w:rsidRPr="0060351E">
        <w:rPr>
          <w:rFonts w:ascii="Times New Roman" w:eastAsia="Times New Roman" w:hAnsi="Times New Roman" w:cs="Times New Roman"/>
          <w:bCs/>
          <w:lang w:val="sr-Latn-ME"/>
        </w:rPr>
        <w:t xml:space="preserve">kod </w:t>
      </w:r>
      <w:r w:rsidR="00085855" w:rsidRPr="0060351E">
        <w:rPr>
          <w:rFonts w:ascii="Times New Roman" w:eastAsia="Times New Roman" w:hAnsi="Times New Roman" w:cs="Times New Roman"/>
          <w:bCs/>
          <w:lang w:val="sr-Latn-ME"/>
        </w:rPr>
        <w:t>pacov</w:t>
      </w:r>
      <w:r w:rsidR="00845654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085855" w:rsidRPr="0060351E">
        <w:rPr>
          <w:rFonts w:ascii="Times New Roman" w:eastAsia="Times New Roman" w:hAnsi="Times New Roman" w:cs="Times New Roman"/>
          <w:bCs/>
          <w:lang w:val="sr-Latn-ME"/>
        </w:rPr>
        <w:t>, mišev</w:t>
      </w:r>
      <w:r w:rsidR="00845654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085855" w:rsidRPr="0060351E">
        <w:rPr>
          <w:rFonts w:ascii="Times New Roman" w:eastAsia="Times New Roman" w:hAnsi="Times New Roman" w:cs="Times New Roman"/>
          <w:bCs/>
          <w:lang w:val="sr-Latn-ME"/>
        </w:rPr>
        <w:t xml:space="preserve"> i majmun</w:t>
      </w:r>
      <w:r w:rsidR="00845654" w:rsidRPr="0060351E">
        <w:rPr>
          <w:rFonts w:ascii="Times New Roman" w:eastAsia="Times New Roman" w:hAnsi="Times New Roman" w:cs="Times New Roman"/>
          <w:bCs/>
          <w:lang w:val="sr-Latn-ME"/>
        </w:rPr>
        <w:t>a</w:t>
      </w:r>
      <w:r w:rsidR="00085855" w:rsidRPr="0060351E">
        <w:rPr>
          <w:rFonts w:ascii="Times New Roman" w:eastAsia="Times New Roman" w:hAnsi="Times New Roman" w:cs="Times New Roman"/>
          <w:bCs/>
          <w:lang w:val="sr-Latn-ME"/>
        </w:rPr>
        <w:t xml:space="preserve"> dale su oprečne rezultate, dok je tolerancija na GHB, kao i unakrsna tolerancija na alkohol i baklofen, jasno pokazana kod glodara.</w:t>
      </w:r>
    </w:p>
    <w:p w14:paraId="5990ECC5" w14:textId="5CEB8B11" w:rsidR="00845654" w:rsidRPr="0060351E" w:rsidRDefault="00845654" w:rsidP="00085855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02F8AF3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AF26585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6.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FARMACEUTSKI PODACI</w:t>
      </w:r>
    </w:p>
    <w:p w14:paraId="602D5F9A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7B9914E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6.1.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Lista pomoćnih supstanci (ekscipijenasa)</w:t>
      </w:r>
    </w:p>
    <w:p w14:paraId="35082891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C5706DF" w14:textId="4A934F89" w:rsidR="00CE3EB1" w:rsidRPr="0060351E" w:rsidRDefault="00517442" w:rsidP="00CE3EB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 xml:space="preserve">- </w:t>
      </w:r>
      <w:r w:rsidR="00CE3EB1" w:rsidRPr="0060351E">
        <w:rPr>
          <w:rFonts w:ascii="Times New Roman" w:eastAsia="SimSun" w:hAnsi="Times New Roman" w:cs="Times New Roman"/>
          <w:lang w:val="sr-Latn-ME"/>
        </w:rPr>
        <w:t>Jabučna kiselina (za podešavanje pH vr</w:t>
      </w:r>
      <w:r w:rsidR="00196812" w:rsidRPr="0060351E">
        <w:rPr>
          <w:rFonts w:ascii="Times New Roman" w:eastAsia="SimSun" w:hAnsi="Times New Roman" w:cs="Times New Roman"/>
          <w:lang w:val="sr-Latn-ME"/>
        </w:rPr>
        <w:t>ij</w:t>
      </w:r>
      <w:r w:rsidR="00CE3EB1" w:rsidRPr="0060351E">
        <w:rPr>
          <w:rFonts w:ascii="Times New Roman" w:eastAsia="SimSun" w:hAnsi="Times New Roman" w:cs="Times New Roman"/>
          <w:lang w:val="sr-Latn-ME"/>
        </w:rPr>
        <w:t>ednosti)</w:t>
      </w:r>
    </w:p>
    <w:p w14:paraId="51AF54CE" w14:textId="65F79C9C" w:rsidR="00CE3EB1" w:rsidRPr="0060351E" w:rsidRDefault="00517442" w:rsidP="00CE3EB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>- n</w:t>
      </w:r>
      <w:r w:rsidR="00CE3EB1" w:rsidRPr="0060351E">
        <w:rPr>
          <w:rFonts w:ascii="Times New Roman" w:eastAsia="SimSun" w:hAnsi="Times New Roman" w:cs="Times New Roman"/>
          <w:lang w:val="sr-Latn-ME"/>
        </w:rPr>
        <w:t>atrijum hidroksid (za podešavanje pH vr</w:t>
      </w:r>
      <w:r w:rsidR="00196812" w:rsidRPr="0060351E">
        <w:rPr>
          <w:rFonts w:ascii="Times New Roman" w:eastAsia="SimSun" w:hAnsi="Times New Roman" w:cs="Times New Roman"/>
          <w:lang w:val="sr-Latn-ME"/>
        </w:rPr>
        <w:t>ij</w:t>
      </w:r>
      <w:r w:rsidR="00CE3EB1" w:rsidRPr="0060351E">
        <w:rPr>
          <w:rFonts w:ascii="Times New Roman" w:eastAsia="SimSun" w:hAnsi="Times New Roman" w:cs="Times New Roman"/>
          <w:lang w:val="sr-Latn-ME"/>
        </w:rPr>
        <w:t>ednosti)</w:t>
      </w:r>
    </w:p>
    <w:p w14:paraId="3BA10F38" w14:textId="3C412A8B" w:rsidR="00861A2B" w:rsidRPr="0060351E" w:rsidRDefault="00517442" w:rsidP="00CE3EB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SimSun" w:hAnsi="Times New Roman" w:cs="Times New Roman"/>
          <w:lang w:val="sr-Latn-ME"/>
        </w:rPr>
      </w:pPr>
      <w:r>
        <w:rPr>
          <w:rFonts w:ascii="Times New Roman" w:eastAsia="SimSun" w:hAnsi="Times New Roman" w:cs="Times New Roman"/>
          <w:lang w:val="sr-Latn-ME"/>
        </w:rPr>
        <w:t>- p</w:t>
      </w:r>
      <w:r w:rsidR="00CE3EB1" w:rsidRPr="0060351E">
        <w:rPr>
          <w:rFonts w:ascii="Times New Roman" w:eastAsia="SimSun" w:hAnsi="Times New Roman" w:cs="Times New Roman"/>
          <w:lang w:val="sr-Latn-ME"/>
        </w:rPr>
        <w:t>rečišćena voda</w:t>
      </w:r>
    </w:p>
    <w:p w14:paraId="2B69A46C" w14:textId="77777777" w:rsidR="00085855" w:rsidRPr="0060351E" w:rsidRDefault="00085855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5D675FF0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6.2.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Inkompatibilnosti</w:t>
      </w:r>
    </w:p>
    <w:p w14:paraId="26056199" w14:textId="77777777" w:rsidR="00196812" w:rsidRPr="0060351E" w:rsidRDefault="00196812" w:rsidP="00517442">
      <w:pPr>
        <w:spacing w:after="0"/>
        <w:rPr>
          <w:rFonts w:ascii="Times New Roman" w:eastAsia="Times New Roman" w:hAnsi="Times New Roman" w:cs="Times New Roman"/>
          <w:lang w:val="sr-Latn-ME"/>
        </w:rPr>
      </w:pPr>
    </w:p>
    <w:p w14:paraId="24291674" w14:textId="2815514B" w:rsidR="00861A2B" w:rsidRPr="0060351E" w:rsidRDefault="003E61AF" w:rsidP="00517442">
      <w:pPr>
        <w:spacing w:after="0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Ovaj l</w:t>
      </w:r>
      <w:r w:rsidR="00196812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ek se ne sm</w:t>
      </w:r>
      <w:r w:rsidR="00196812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 m</w:t>
      </w:r>
      <w:r w:rsidR="00FD63AA" w:rsidRPr="0060351E">
        <w:rPr>
          <w:rFonts w:ascii="Times New Roman" w:eastAsia="Times New Roman" w:hAnsi="Times New Roman" w:cs="Times New Roman"/>
          <w:lang w:val="sr-Latn-ME"/>
        </w:rPr>
        <w:t>i</w:t>
      </w:r>
      <w:r w:rsidR="00196812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ešati sa drugim l</w:t>
      </w:r>
      <w:r w:rsidR="00FD63AA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ekovima.</w:t>
      </w:r>
    </w:p>
    <w:p w14:paraId="0250F98A" w14:textId="77777777" w:rsidR="005341F6" w:rsidRPr="0060351E" w:rsidRDefault="005341F6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B32DF17" w14:textId="2CB04B99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>6.3.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Rok upotrebe</w:t>
      </w:r>
    </w:p>
    <w:p w14:paraId="49A56526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C8389E0" w14:textId="7C8CD6BA" w:rsidR="005253CF" w:rsidRPr="0060351E" w:rsidRDefault="00517442" w:rsidP="005253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>
        <w:rPr>
          <w:rFonts w:ascii="Times New Roman" w:eastAsia="Times New Roman" w:hAnsi="Times New Roman" w:cs="Times New Roman"/>
          <w:lang w:val="sr-Latn-ME"/>
        </w:rPr>
        <w:t>5</w:t>
      </w:r>
      <w:r w:rsidR="005253CF" w:rsidRPr="0060351E">
        <w:rPr>
          <w:rFonts w:ascii="Times New Roman" w:eastAsia="Times New Roman" w:hAnsi="Times New Roman" w:cs="Times New Roman"/>
          <w:lang w:val="sr-Latn-ME"/>
        </w:rPr>
        <w:t xml:space="preserve"> godin</w:t>
      </w:r>
      <w:r>
        <w:rPr>
          <w:rFonts w:ascii="Times New Roman" w:eastAsia="Times New Roman" w:hAnsi="Times New Roman" w:cs="Times New Roman"/>
          <w:lang w:val="sr-Latn-ME"/>
        </w:rPr>
        <w:t>a</w:t>
      </w:r>
      <w:r w:rsidR="005253CF"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5D4D523B" w14:textId="5284A34C" w:rsidR="005253CF" w:rsidRPr="0060351E" w:rsidRDefault="005253CF" w:rsidP="005253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Nakon prvog otvaranja: </w:t>
      </w:r>
      <w:r w:rsidR="00517442">
        <w:rPr>
          <w:rFonts w:ascii="Times New Roman" w:eastAsia="Times New Roman" w:hAnsi="Times New Roman" w:cs="Times New Roman"/>
          <w:lang w:val="sr-Latn-ME"/>
        </w:rPr>
        <w:t>9</w:t>
      </w:r>
      <w:r w:rsidRPr="0060351E">
        <w:rPr>
          <w:rFonts w:ascii="Times New Roman" w:eastAsia="Times New Roman" w:hAnsi="Times New Roman" w:cs="Times New Roman"/>
          <w:lang w:val="sr-Latn-ME"/>
        </w:rPr>
        <w:t>0 dana.</w:t>
      </w:r>
    </w:p>
    <w:p w14:paraId="6EB33B13" w14:textId="7840B867" w:rsidR="003E61AF" w:rsidRPr="0060351E" w:rsidRDefault="005253CF" w:rsidP="005253CF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Nakon razblaživanja u čašama za doziranje, </w:t>
      </w:r>
      <w:r w:rsidR="005341F6" w:rsidRPr="0060351E">
        <w:rPr>
          <w:rFonts w:ascii="Times New Roman" w:eastAsia="Times New Roman" w:hAnsi="Times New Roman" w:cs="Times New Roman"/>
          <w:lang w:val="sr-Latn-ME"/>
        </w:rPr>
        <w:t xml:space="preserve">rastvor </w:t>
      </w:r>
      <w:r w:rsidRPr="0060351E">
        <w:rPr>
          <w:rFonts w:ascii="Times New Roman" w:eastAsia="Times New Roman" w:hAnsi="Times New Roman" w:cs="Times New Roman"/>
          <w:lang w:val="sr-Latn-ME"/>
        </w:rPr>
        <w:t>treba upotr</w:t>
      </w:r>
      <w:r w:rsidR="00086839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ebiti u roku od 24 sata.</w:t>
      </w:r>
    </w:p>
    <w:p w14:paraId="545879F8" w14:textId="77777777" w:rsidR="00861A2B" w:rsidRPr="0060351E" w:rsidRDefault="00861A2B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50EFDEDC" w14:textId="4537AA57" w:rsidR="00930311" w:rsidRPr="0060351E" w:rsidRDefault="00930311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6.4.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Posebne mjere upozorenja pri čuvanju lijeka</w:t>
      </w:r>
    </w:p>
    <w:p w14:paraId="038E9D22" w14:textId="77777777" w:rsidR="00E31B8B" w:rsidRPr="0060351E" w:rsidRDefault="00E31B8B" w:rsidP="00E31B8B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1032C824" w14:textId="2A8A88B2" w:rsidR="00780FF9" w:rsidRPr="0060351E" w:rsidRDefault="00780FF9" w:rsidP="00780FF9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Ovaj l</w:t>
      </w:r>
      <w:r w:rsidR="00FD63AA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ek ne zaht</w:t>
      </w:r>
      <w:r w:rsidR="00FD63AA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eva nikakve posebne uslove </w:t>
      </w:r>
      <w:r w:rsidR="00B133A3" w:rsidRPr="0060351E">
        <w:rPr>
          <w:rFonts w:ascii="Times New Roman" w:eastAsia="Times New Roman" w:hAnsi="Times New Roman" w:cs="Times New Roman"/>
          <w:bCs/>
          <w:lang w:val="sr-Latn-ME"/>
        </w:rPr>
        <w:t>čuvanja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>.</w:t>
      </w:r>
    </w:p>
    <w:p w14:paraId="0734CBDF" w14:textId="6DE755EF" w:rsidR="00780FF9" w:rsidRPr="0060351E" w:rsidRDefault="00780FF9" w:rsidP="00780FF9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Za uslove </w:t>
      </w:r>
      <w:r w:rsidR="005D3F45" w:rsidRPr="0060351E">
        <w:rPr>
          <w:rFonts w:ascii="Times New Roman" w:eastAsia="Times New Roman" w:hAnsi="Times New Roman" w:cs="Times New Roman"/>
          <w:bCs/>
          <w:lang w:val="sr-Latn-ME"/>
        </w:rPr>
        <w:t>čuvanja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nakon prvog otvaranja l</w:t>
      </w:r>
      <w:r w:rsidR="00FD63AA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eka </w:t>
      </w:r>
      <w:r w:rsidR="00FD63AA" w:rsidRPr="0060351E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6.3.</w:t>
      </w:r>
    </w:p>
    <w:p w14:paraId="5873DBB1" w14:textId="09D1F580" w:rsidR="00861A2B" w:rsidRPr="0060351E" w:rsidRDefault="00780FF9" w:rsidP="00780FF9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Za uslove </w:t>
      </w:r>
      <w:r w:rsidR="005D3F45" w:rsidRPr="0060351E">
        <w:rPr>
          <w:rFonts w:ascii="Times New Roman" w:eastAsia="Times New Roman" w:hAnsi="Times New Roman" w:cs="Times New Roman"/>
          <w:bCs/>
          <w:lang w:val="sr-Latn-ME"/>
        </w:rPr>
        <w:t>čuvanja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nakon razblaženja l</w:t>
      </w:r>
      <w:r w:rsidR="00FD63AA" w:rsidRPr="0060351E">
        <w:rPr>
          <w:rFonts w:ascii="Times New Roman" w:eastAsia="Times New Roman" w:hAnsi="Times New Roman" w:cs="Times New Roman"/>
          <w:bCs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eka, </w:t>
      </w:r>
      <w:r w:rsidR="00FD63AA" w:rsidRPr="0060351E">
        <w:rPr>
          <w:rFonts w:ascii="Times New Roman" w:eastAsia="Times New Roman" w:hAnsi="Times New Roman" w:cs="Times New Roman"/>
          <w:bCs/>
          <w:lang w:val="sr-Latn-ME"/>
        </w:rPr>
        <w:t>pogledati dio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6.3.</w:t>
      </w:r>
    </w:p>
    <w:p w14:paraId="56878629" w14:textId="77777777" w:rsidR="005253CF" w:rsidRPr="0060351E" w:rsidRDefault="005253CF" w:rsidP="00930311">
      <w:pPr>
        <w:tabs>
          <w:tab w:val="left" w:pos="56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lang w:val="sr-Latn-ME"/>
        </w:rPr>
      </w:pPr>
    </w:p>
    <w:p w14:paraId="604C1829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6.5.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Vrsta i sadržaj pakovanja</w:t>
      </w:r>
    </w:p>
    <w:p w14:paraId="6247CB90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3B32F01D" w14:textId="61B522AE" w:rsidR="008D1267" w:rsidRPr="0060351E" w:rsidRDefault="008D1267" w:rsidP="008D12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180 ml rastvora u </w:t>
      </w:r>
      <w:r w:rsidR="000362AD" w:rsidRPr="0060351E">
        <w:rPr>
          <w:rFonts w:ascii="Times New Roman" w:eastAsia="Times New Roman" w:hAnsi="Times New Roman" w:cs="Times New Roman"/>
          <w:lang w:val="sr-Latn-ME"/>
        </w:rPr>
        <w:t>ćilibarnoj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PET bo</w:t>
      </w:r>
      <w:r w:rsidR="00163E6F" w:rsidRPr="0060351E">
        <w:rPr>
          <w:rFonts w:ascii="Times New Roman" w:eastAsia="Times New Roman" w:hAnsi="Times New Roman" w:cs="Times New Roman"/>
          <w:lang w:val="sr-Latn-ME"/>
        </w:rPr>
        <w:t>ci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od 200 ml koja je zatvorena poklopcem </w:t>
      </w:r>
      <w:r w:rsidR="000362AD" w:rsidRPr="0060351E">
        <w:rPr>
          <w:rFonts w:ascii="Times New Roman" w:eastAsia="Times New Roman" w:hAnsi="Times New Roman" w:cs="Times New Roman"/>
          <w:lang w:val="sr-Latn-ME"/>
        </w:rPr>
        <w:t>bezbjednim za djecu</w:t>
      </w:r>
      <w:r w:rsidR="00533E28" w:rsidRPr="0060351E">
        <w:rPr>
          <w:rFonts w:ascii="Times New Roman" w:eastAsia="Times New Roman" w:hAnsi="Times New Roman" w:cs="Times New Roman"/>
          <w:lang w:val="sr-Latn-ME"/>
        </w:rPr>
        <w:t>,</w:t>
      </w:r>
      <w:r w:rsidR="007E7617" w:rsidRPr="0060351E">
        <w:rPr>
          <w:rFonts w:ascii="Times New Roman" w:eastAsia="Times New Roman" w:hAnsi="Times New Roman" w:cs="Times New Roman"/>
          <w:lang w:val="sr-Latn-ME"/>
        </w:rPr>
        <w:t xml:space="preserve"> koji se sastoji od </w:t>
      </w:r>
      <w:r w:rsidR="00E5616C" w:rsidRPr="0060351E">
        <w:rPr>
          <w:rFonts w:ascii="Times New Roman" w:eastAsia="Times New Roman" w:hAnsi="Times New Roman" w:cs="Times New Roman"/>
          <w:lang w:val="sr-Latn-ME"/>
        </w:rPr>
        <w:t>polipropilenskog</w:t>
      </w:r>
      <w:r w:rsidR="007E7617" w:rsidRPr="0060351E">
        <w:rPr>
          <w:rFonts w:ascii="Times New Roman" w:eastAsia="Times New Roman" w:hAnsi="Times New Roman" w:cs="Times New Roman"/>
          <w:lang w:val="sr-Latn-ME"/>
        </w:rPr>
        <w:t>/HDPE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60095A" w:rsidRPr="0060351E">
        <w:rPr>
          <w:rFonts w:ascii="Times New Roman" w:eastAsia="Times New Roman" w:hAnsi="Times New Roman" w:cs="Times New Roman"/>
          <w:lang w:val="sr-Latn-ME"/>
        </w:rPr>
        <w:t>poklopca koji sprečava</w:t>
      </w:r>
      <w:r w:rsidR="00E5616C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Pr="0060351E">
        <w:rPr>
          <w:rFonts w:ascii="Times New Roman" w:eastAsia="Times New Roman" w:hAnsi="Times New Roman" w:cs="Times New Roman"/>
          <w:lang w:val="sr-Latn-ME"/>
        </w:rPr>
        <w:t>vidljivo neovlašćeno korišćenje</w:t>
      </w:r>
      <w:r w:rsidR="00AC29E8" w:rsidRPr="0060351E">
        <w:rPr>
          <w:rFonts w:ascii="Times New Roman" w:eastAsia="Times New Roman" w:hAnsi="Times New Roman" w:cs="Times New Roman"/>
          <w:lang w:val="sr-Latn-ME"/>
        </w:rPr>
        <w:t xml:space="preserve"> (</w:t>
      </w:r>
      <w:r w:rsidR="00AC29E8" w:rsidRPr="0060351E">
        <w:rPr>
          <w:rFonts w:ascii="Times New Roman" w:eastAsia="Times New Roman" w:hAnsi="Times New Roman" w:cs="Times New Roman"/>
          <w:i/>
          <w:lang w:val="sr-Latn-ME"/>
        </w:rPr>
        <w:t>anti tampering</w:t>
      </w:r>
      <w:r w:rsidR="00AC29E8" w:rsidRPr="0060351E">
        <w:rPr>
          <w:rFonts w:ascii="Times New Roman" w:eastAsia="Times New Roman" w:hAnsi="Times New Roman" w:cs="Times New Roman"/>
          <w:lang w:val="sr-Latn-ME"/>
        </w:rPr>
        <w:t xml:space="preserve">) </w:t>
      </w:r>
      <w:r w:rsidRPr="0060351E">
        <w:rPr>
          <w:rFonts w:ascii="Times New Roman" w:eastAsia="Times New Roman" w:hAnsi="Times New Roman" w:cs="Times New Roman"/>
          <w:lang w:val="sr-Latn-ME"/>
        </w:rPr>
        <w:t>i unutrašnjom oblogom</w:t>
      </w:r>
      <w:r w:rsidR="0060095A" w:rsidRPr="0060351E">
        <w:rPr>
          <w:rFonts w:ascii="Times New Roman" w:eastAsia="Times New Roman" w:hAnsi="Times New Roman" w:cs="Times New Roman"/>
          <w:lang w:val="sr-Latn-ME"/>
        </w:rPr>
        <w:t xml:space="preserve"> od polespana.</w:t>
      </w:r>
    </w:p>
    <w:p w14:paraId="25053AE0" w14:textId="6537B748" w:rsidR="00861A2B" w:rsidRPr="0060351E" w:rsidRDefault="008D1267" w:rsidP="008D1267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 xml:space="preserve">Svaka kutija sadrži jednu bocu, LDPE </w:t>
      </w:r>
      <w:r w:rsidR="00163E6F" w:rsidRPr="0060351E">
        <w:rPr>
          <w:rFonts w:ascii="Times New Roman" w:eastAsia="Times New Roman" w:hAnsi="Times New Roman" w:cs="Times New Roman"/>
          <w:lang w:val="sr-Latn-ME"/>
        </w:rPr>
        <w:t>nastavak koji se utisne u bocu,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doz</w:t>
      </w:r>
      <w:r w:rsidR="00194945" w:rsidRPr="0060351E">
        <w:rPr>
          <w:rFonts w:ascii="Times New Roman" w:eastAsia="Times New Roman" w:hAnsi="Times New Roman" w:cs="Times New Roman"/>
          <w:lang w:val="sr-Latn-ME"/>
        </w:rPr>
        <w:t>ažnu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pipetu od polipropilena/</w:t>
      </w:r>
      <w:r w:rsidR="00937CE0">
        <w:rPr>
          <w:rFonts w:ascii="Times New Roman" w:eastAsia="Times New Roman" w:hAnsi="Times New Roman" w:cs="Times New Roman"/>
          <w:lang w:val="sr-Latn-ME"/>
        </w:rPr>
        <w:t>polietilena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(grad</w:t>
      </w:r>
      <w:r w:rsidR="005244B4" w:rsidRPr="0060351E">
        <w:rPr>
          <w:rFonts w:ascii="Times New Roman" w:eastAsia="Times New Roman" w:hAnsi="Times New Roman" w:cs="Times New Roman"/>
          <w:lang w:val="sr-Latn-ME"/>
        </w:rPr>
        <w:t>u</w:t>
      </w:r>
      <w:r w:rsidRPr="0060351E">
        <w:rPr>
          <w:rFonts w:ascii="Times New Roman" w:eastAsia="Times New Roman" w:hAnsi="Times New Roman" w:cs="Times New Roman"/>
          <w:lang w:val="sr-Latn-ME"/>
        </w:rPr>
        <w:t>i</w:t>
      </w:r>
      <w:r w:rsidR="00194945" w:rsidRPr="0060351E">
        <w:rPr>
          <w:rFonts w:ascii="Times New Roman" w:eastAsia="Times New Roman" w:hAnsi="Times New Roman" w:cs="Times New Roman"/>
          <w:lang w:val="sr-Latn-ME"/>
        </w:rPr>
        <w:t>sana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 za doziranje od 1</w:t>
      </w:r>
      <w:r w:rsidR="00194945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5 g do 4</w:t>
      </w:r>
      <w:r w:rsidR="00194945" w:rsidRPr="0060351E">
        <w:rPr>
          <w:rFonts w:ascii="Times New Roman" w:eastAsia="Times New Roman" w:hAnsi="Times New Roman" w:cs="Times New Roman"/>
          <w:lang w:val="sr-Latn-ME"/>
        </w:rPr>
        <w:t>.</w:t>
      </w:r>
      <w:r w:rsidRPr="0060351E">
        <w:rPr>
          <w:rFonts w:ascii="Times New Roman" w:eastAsia="Times New Roman" w:hAnsi="Times New Roman" w:cs="Times New Roman"/>
          <w:lang w:val="sr-Latn-ME"/>
        </w:rPr>
        <w:t>5 g), dv</w:t>
      </w:r>
      <w:r w:rsidR="00194945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 xml:space="preserve">e polipropilenske čašice za doziranje sa HDPE poklopcima na </w:t>
      </w:r>
      <w:r w:rsidR="00287ACF" w:rsidRPr="0060351E">
        <w:rPr>
          <w:rFonts w:ascii="Times New Roman" w:eastAsia="Times New Roman" w:hAnsi="Times New Roman" w:cs="Times New Roman"/>
          <w:lang w:val="sr-Latn-ME"/>
        </w:rPr>
        <w:t>navoj</w:t>
      </w:r>
      <w:r w:rsidR="00D223E6" w:rsidRPr="0060351E">
        <w:rPr>
          <w:rFonts w:ascii="Times New Roman" w:eastAsia="Times New Roman" w:hAnsi="Times New Roman" w:cs="Times New Roman"/>
          <w:lang w:val="sr-Latn-ME"/>
        </w:rPr>
        <w:t xml:space="preserve">, </w:t>
      </w:r>
      <w:r w:rsidR="00DD52CD" w:rsidRPr="0060351E">
        <w:rPr>
          <w:rFonts w:ascii="Times New Roman" w:eastAsia="Times New Roman" w:hAnsi="Times New Roman" w:cs="Times New Roman"/>
          <w:lang w:val="sr-Latn-ME"/>
        </w:rPr>
        <w:t>bezbjed</w:t>
      </w:r>
      <w:r w:rsidR="00D223E6" w:rsidRPr="0060351E">
        <w:rPr>
          <w:rFonts w:ascii="Times New Roman" w:eastAsia="Times New Roman" w:hAnsi="Times New Roman" w:cs="Times New Roman"/>
          <w:lang w:val="sr-Latn-ME"/>
        </w:rPr>
        <w:t>nim</w:t>
      </w:r>
      <w:r w:rsidR="00447E47" w:rsidRPr="0060351E">
        <w:rPr>
          <w:rFonts w:ascii="Times New Roman" w:eastAsia="Times New Roman" w:hAnsi="Times New Roman" w:cs="Times New Roman"/>
          <w:lang w:val="sr-Latn-ME"/>
        </w:rPr>
        <w:t xml:space="preserve"> </w:t>
      </w:r>
      <w:r w:rsidR="00DD52CD" w:rsidRPr="0060351E">
        <w:rPr>
          <w:rFonts w:ascii="Times New Roman" w:eastAsia="Times New Roman" w:hAnsi="Times New Roman" w:cs="Times New Roman"/>
          <w:lang w:val="sr-Latn-ME"/>
        </w:rPr>
        <w:t>z</w:t>
      </w:r>
      <w:r w:rsidRPr="0060351E">
        <w:rPr>
          <w:rFonts w:ascii="Times New Roman" w:eastAsia="Times New Roman" w:hAnsi="Times New Roman" w:cs="Times New Roman"/>
          <w:lang w:val="sr-Latn-ME"/>
        </w:rPr>
        <w:t>a d</w:t>
      </w:r>
      <w:r w:rsidR="00DD52CD" w:rsidRPr="0060351E">
        <w:rPr>
          <w:rFonts w:ascii="Times New Roman" w:eastAsia="Times New Roman" w:hAnsi="Times New Roman" w:cs="Times New Roman"/>
          <w:lang w:val="sr-Latn-ME"/>
        </w:rPr>
        <w:t>j</w:t>
      </w:r>
      <w:r w:rsidRPr="0060351E">
        <w:rPr>
          <w:rFonts w:ascii="Times New Roman" w:eastAsia="Times New Roman" w:hAnsi="Times New Roman" w:cs="Times New Roman"/>
          <w:lang w:val="sr-Latn-ME"/>
        </w:rPr>
        <w:t>ecu.</w:t>
      </w:r>
      <w:bookmarkStart w:id="0" w:name="_GoBack"/>
      <w:bookmarkEnd w:id="0"/>
    </w:p>
    <w:p w14:paraId="4A29C5B7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3F92E2A2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6.6.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Posebne mjere opreza pri odlaganju materijala koji treba odbaciti nakon primjene lijeka (i druga uputstva za rukovanje lijekom)  </w:t>
      </w:r>
    </w:p>
    <w:p w14:paraId="010D42F0" w14:textId="77777777" w:rsidR="00930311" w:rsidRPr="0060351E" w:rsidRDefault="00930311" w:rsidP="00930311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</w:p>
    <w:p w14:paraId="711C595B" w14:textId="3A9B3626" w:rsidR="00930311" w:rsidRPr="0060351E" w:rsidRDefault="00927059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Nema specijalnih zaht</w:t>
      </w:r>
      <w:r w:rsidR="000362AD" w:rsidRPr="0060351E">
        <w:rPr>
          <w:rFonts w:ascii="Times New Roman" w:eastAsia="Times New Roman" w:hAnsi="Times New Roman" w:cs="Times New Roman"/>
          <w:lang w:val="sr-Latn-ME"/>
        </w:rPr>
        <w:t>ij</w:t>
      </w:r>
      <w:r w:rsidRPr="0060351E">
        <w:rPr>
          <w:rFonts w:ascii="Times New Roman" w:eastAsia="Times New Roman" w:hAnsi="Times New Roman" w:cs="Times New Roman"/>
          <w:lang w:val="sr-Latn-ME"/>
        </w:rPr>
        <w:t>eva</w:t>
      </w:r>
      <w:r w:rsidR="00C8372E" w:rsidRPr="0060351E">
        <w:rPr>
          <w:rFonts w:ascii="Times New Roman" w:eastAsia="Times New Roman" w:hAnsi="Times New Roman" w:cs="Times New Roman"/>
          <w:lang w:val="sr-Latn-ME"/>
        </w:rPr>
        <w:t>.</w:t>
      </w:r>
    </w:p>
    <w:p w14:paraId="66167B27" w14:textId="1BF22A4F" w:rsidR="00C8372E" w:rsidRPr="0060351E" w:rsidRDefault="00C8372E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60351E">
        <w:rPr>
          <w:rFonts w:ascii="Times New Roman" w:eastAsia="Times New Roman" w:hAnsi="Times New Roman" w:cs="Times New Roman"/>
          <w:lang w:val="sr-Latn-ME"/>
        </w:rPr>
        <w:t>Svu neiskorišćenu količinu lijeka ili otpadnog materijala nakon njegove upotrebe treba ukloniti u skladu sa važećim propisima.</w:t>
      </w:r>
    </w:p>
    <w:p w14:paraId="679CDD36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4C50BAB" w14:textId="77777777" w:rsidR="005341F6" w:rsidRPr="0060351E" w:rsidRDefault="005341F6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07DF42DA" w14:textId="16CDEB35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7.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NOSILAC DOZVOLE </w:t>
      </w:r>
    </w:p>
    <w:p w14:paraId="1B145DB2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</w:r>
    </w:p>
    <w:p w14:paraId="11FB2661" w14:textId="0BCFA8F0" w:rsidR="00205799" w:rsidRPr="0060351E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Rhei Life d.o.o. Beograd – DIO STRANOG DRUŠTVA PODGORICA</w:t>
      </w:r>
    </w:p>
    <w:p w14:paraId="6AFC0BC3" w14:textId="6E114E3D" w:rsidR="00205799" w:rsidRPr="0060351E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Ul. Vladike Visariona Bori</w:t>
      </w:r>
      <w:r w:rsidR="005244B4" w:rsidRPr="0060351E">
        <w:rPr>
          <w:rFonts w:ascii="Times New Roman" w:eastAsia="Times New Roman" w:hAnsi="Times New Roman" w:cs="Times New Roman"/>
          <w:bCs/>
          <w:lang w:val="sr-Latn-ME"/>
        </w:rPr>
        <w:t>lovića</w:t>
      </w:r>
      <w:r w:rsidRPr="0060351E">
        <w:rPr>
          <w:rFonts w:ascii="Times New Roman" w:eastAsia="Times New Roman" w:hAnsi="Times New Roman" w:cs="Times New Roman"/>
          <w:bCs/>
          <w:lang w:val="sr-Latn-ME"/>
        </w:rPr>
        <w:t xml:space="preserve"> br. 10</w:t>
      </w:r>
    </w:p>
    <w:p w14:paraId="3A070B2D" w14:textId="4F52D061" w:rsidR="005341F6" w:rsidRPr="0060351E" w:rsidRDefault="00205799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Cs/>
          <w:lang w:val="sr-Latn-ME"/>
        </w:rPr>
        <w:t>81 000 Podgorica, Crna Gora</w:t>
      </w:r>
    </w:p>
    <w:p w14:paraId="485EA318" w14:textId="77777777" w:rsidR="005341F6" w:rsidRPr="0060351E" w:rsidRDefault="005341F6" w:rsidP="00205799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FEBED7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1EEC2549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8.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BROJ DOZVOLE ZA STAVLJANJE LIJEKA U PROMET</w:t>
      </w:r>
    </w:p>
    <w:p w14:paraId="645F1990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3EE8A79" w14:textId="379597A3" w:rsidR="005341F6" w:rsidRPr="00CE1D5D" w:rsidRDefault="00CE1D5D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ME"/>
        </w:rPr>
      </w:pPr>
      <w:r w:rsidRPr="00CE1D5D">
        <w:rPr>
          <w:rFonts w:ascii="Times New Roman" w:eastAsia="Times New Roman" w:hAnsi="Times New Roman" w:cs="Times New Roman"/>
          <w:lang w:val="sr-Latn-ME"/>
        </w:rPr>
        <w:t>2030/24/3263 - 5905</w:t>
      </w:r>
    </w:p>
    <w:p w14:paraId="6B6F1590" w14:textId="201135B2" w:rsidR="00945270" w:rsidRDefault="0094527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F45C04F" w14:textId="77777777" w:rsidR="00921614" w:rsidRPr="0060351E" w:rsidRDefault="00921614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4304876B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9.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>DATUM PRVE DOZVOLE/ OBNOVE DOZVOLE ZA STAVLJANJE LIJEKA U PROMET</w:t>
      </w:r>
    </w:p>
    <w:p w14:paraId="1FCBF8F4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71D2AD9F" w14:textId="2DCB71E3" w:rsidR="005341F6" w:rsidRPr="0060351E" w:rsidRDefault="00CE1D5D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28.06.2024. godine</w:t>
      </w:r>
    </w:p>
    <w:p w14:paraId="30236B35" w14:textId="3D0285C0" w:rsidR="00945270" w:rsidRDefault="0094527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4D1EF3E" w14:textId="77777777" w:rsidR="00921614" w:rsidRPr="0060351E" w:rsidRDefault="00921614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617D9A5F" w14:textId="63F39929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 xml:space="preserve">10. </w:t>
      </w:r>
      <w:r w:rsidRPr="0060351E">
        <w:rPr>
          <w:rFonts w:ascii="Times New Roman" w:eastAsia="Times New Roman" w:hAnsi="Times New Roman" w:cs="Times New Roman"/>
          <w:b/>
          <w:bCs/>
          <w:lang w:val="sr-Latn-ME"/>
        </w:rPr>
        <w:tab/>
        <w:t xml:space="preserve">DATUM  REVIZIJE TEKSTA </w:t>
      </w:r>
    </w:p>
    <w:p w14:paraId="1347B60E" w14:textId="1DCA8033" w:rsidR="005A04D0" w:rsidRPr="0060351E" w:rsidRDefault="005A04D0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Latn-ME"/>
        </w:rPr>
      </w:pPr>
    </w:p>
    <w:p w14:paraId="7CA4F931" w14:textId="45BBAF56" w:rsidR="005A04D0" w:rsidRPr="0060351E" w:rsidRDefault="00517442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  <w:r>
        <w:rPr>
          <w:rFonts w:ascii="Times New Roman" w:eastAsia="Times New Roman" w:hAnsi="Times New Roman" w:cs="Times New Roman"/>
          <w:bCs/>
          <w:lang w:val="sr-Latn-ME"/>
        </w:rPr>
        <w:t>Maj</w:t>
      </w:r>
      <w:r w:rsidR="005A04D0" w:rsidRPr="0060351E">
        <w:rPr>
          <w:rFonts w:ascii="Times New Roman" w:eastAsia="Times New Roman" w:hAnsi="Times New Roman" w:cs="Times New Roman"/>
          <w:bCs/>
          <w:lang w:val="sr-Latn-ME"/>
        </w:rPr>
        <w:t>, 202</w:t>
      </w:r>
      <w:r>
        <w:rPr>
          <w:rFonts w:ascii="Times New Roman" w:eastAsia="Times New Roman" w:hAnsi="Times New Roman" w:cs="Times New Roman"/>
          <w:bCs/>
          <w:lang w:val="sr-Latn-ME"/>
        </w:rPr>
        <w:t>5</w:t>
      </w:r>
      <w:r w:rsidR="005A04D0" w:rsidRPr="0060351E">
        <w:rPr>
          <w:rFonts w:ascii="Times New Roman" w:eastAsia="Times New Roman" w:hAnsi="Times New Roman" w:cs="Times New Roman"/>
          <w:bCs/>
          <w:lang w:val="sr-Latn-ME"/>
        </w:rPr>
        <w:t>. godine</w:t>
      </w:r>
    </w:p>
    <w:p w14:paraId="2A980EA5" w14:textId="77777777" w:rsidR="00930311" w:rsidRPr="0060351E" w:rsidRDefault="00930311" w:rsidP="00930311">
      <w:pPr>
        <w:tabs>
          <w:tab w:val="left" w:pos="540"/>
          <w:tab w:val="left" w:pos="5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ME"/>
        </w:rPr>
      </w:pPr>
    </w:p>
    <w:p w14:paraId="2676AB81" w14:textId="77777777" w:rsidR="00930311" w:rsidRPr="0060351E" w:rsidRDefault="00930311" w:rsidP="00930311">
      <w:pPr>
        <w:rPr>
          <w:lang w:val="sr-Latn-ME"/>
        </w:rPr>
      </w:pPr>
    </w:p>
    <w:p w14:paraId="3800F0E4" w14:textId="77777777" w:rsidR="00651BFF" w:rsidRPr="0060351E" w:rsidRDefault="00651BFF">
      <w:pPr>
        <w:rPr>
          <w:lang w:val="sr-Latn-ME"/>
        </w:rPr>
      </w:pPr>
    </w:p>
    <w:sectPr w:rsidR="00651BFF" w:rsidRPr="0060351E" w:rsidSect="00E31B8B">
      <w:footerReference w:type="default" r:id="rId12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02D7F" w14:textId="77777777" w:rsidR="00641E67" w:rsidRDefault="00641E67" w:rsidP="00E31B8B">
      <w:pPr>
        <w:spacing w:after="0" w:line="240" w:lineRule="auto"/>
      </w:pPr>
      <w:r>
        <w:separator/>
      </w:r>
    </w:p>
  </w:endnote>
  <w:endnote w:type="continuationSeparator" w:id="0">
    <w:p w14:paraId="6926388E" w14:textId="77777777" w:rsidR="00641E67" w:rsidRDefault="00641E67" w:rsidP="00E31B8B">
      <w:pPr>
        <w:spacing w:after="0" w:line="240" w:lineRule="auto"/>
      </w:pPr>
      <w:r>
        <w:continuationSeparator/>
      </w:r>
    </w:p>
  </w:endnote>
  <w:endnote w:type="continuationNotice" w:id="1">
    <w:p w14:paraId="18697DC0" w14:textId="77777777" w:rsidR="00641E67" w:rsidRDefault="00641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52288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5089A2" w14:textId="6BF010CF" w:rsidR="00EC350B" w:rsidRDefault="00EC350B">
            <w:pPr>
              <w:pStyle w:val="Footer"/>
              <w:jc w:val="center"/>
            </w:pPr>
            <w:r w:rsidRPr="00E31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37CE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E31B8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37CE0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15</w:t>
            </w:r>
            <w:r w:rsidRPr="00E31B8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B00418" w14:textId="77777777" w:rsidR="00EC350B" w:rsidRDefault="00EC3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44A1A" w14:textId="77777777" w:rsidR="00641E67" w:rsidRDefault="00641E67" w:rsidP="00E31B8B">
      <w:pPr>
        <w:spacing w:after="0" w:line="240" w:lineRule="auto"/>
      </w:pPr>
      <w:r>
        <w:separator/>
      </w:r>
    </w:p>
  </w:footnote>
  <w:footnote w:type="continuationSeparator" w:id="0">
    <w:p w14:paraId="4008B36A" w14:textId="77777777" w:rsidR="00641E67" w:rsidRDefault="00641E67" w:rsidP="00E31B8B">
      <w:pPr>
        <w:spacing w:after="0" w:line="240" w:lineRule="auto"/>
      </w:pPr>
      <w:r>
        <w:continuationSeparator/>
      </w:r>
    </w:p>
  </w:footnote>
  <w:footnote w:type="continuationNotice" w:id="1">
    <w:p w14:paraId="7AB584BF" w14:textId="77777777" w:rsidR="00641E67" w:rsidRDefault="00641E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A1837"/>
    <w:multiLevelType w:val="hybridMultilevel"/>
    <w:tmpl w:val="705AA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11"/>
    <w:rsid w:val="000015B1"/>
    <w:rsid w:val="00005514"/>
    <w:rsid w:val="0001164A"/>
    <w:rsid w:val="00011CED"/>
    <w:rsid w:val="000128BE"/>
    <w:rsid w:val="000135DA"/>
    <w:rsid w:val="00013C4A"/>
    <w:rsid w:val="0001628F"/>
    <w:rsid w:val="00016F6C"/>
    <w:rsid w:val="0002001B"/>
    <w:rsid w:val="0002094C"/>
    <w:rsid w:val="000219B2"/>
    <w:rsid w:val="000336B0"/>
    <w:rsid w:val="000362AD"/>
    <w:rsid w:val="00043B31"/>
    <w:rsid w:val="00047AF7"/>
    <w:rsid w:val="00052209"/>
    <w:rsid w:val="00052A51"/>
    <w:rsid w:val="00055E04"/>
    <w:rsid w:val="0005711E"/>
    <w:rsid w:val="00057485"/>
    <w:rsid w:val="00057838"/>
    <w:rsid w:val="00061088"/>
    <w:rsid w:val="000636E0"/>
    <w:rsid w:val="00066CAB"/>
    <w:rsid w:val="000755F2"/>
    <w:rsid w:val="00076077"/>
    <w:rsid w:val="00076EA1"/>
    <w:rsid w:val="00077D9E"/>
    <w:rsid w:val="00080434"/>
    <w:rsid w:val="000839F7"/>
    <w:rsid w:val="000839FF"/>
    <w:rsid w:val="00085855"/>
    <w:rsid w:val="00086839"/>
    <w:rsid w:val="00091AA4"/>
    <w:rsid w:val="00094EB9"/>
    <w:rsid w:val="00097A22"/>
    <w:rsid w:val="00097B36"/>
    <w:rsid w:val="000A7D1D"/>
    <w:rsid w:val="000C06E7"/>
    <w:rsid w:val="000D1443"/>
    <w:rsid w:val="000D205C"/>
    <w:rsid w:val="000D5272"/>
    <w:rsid w:val="000D617B"/>
    <w:rsid w:val="000E2CBE"/>
    <w:rsid w:val="000E3AB1"/>
    <w:rsid w:val="000F1162"/>
    <w:rsid w:val="000F1856"/>
    <w:rsid w:val="000F3CDE"/>
    <w:rsid w:val="00110B8C"/>
    <w:rsid w:val="0012031A"/>
    <w:rsid w:val="001333A5"/>
    <w:rsid w:val="00142FB6"/>
    <w:rsid w:val="00143FDE"/>
    <w:rsid w:val="0015049D"/>
    <w:rsid w:val="00152569"/>
    <w:rsid w:val="001536C5"/>
    <w:rsid w:val="00160A7E"/>
    <w:rsid w:val="00163E6F"/>
    <w:rsid w:val="00165352"/>
    <w:rsid w:val="0017210C"/>
    <w:rsid w:val="00172FE0"/>
    <w:rsid w:val="001738AE"/>
    <w:rsid w:val="001820E6"/>
    <w:rsid w:val="00183547"/>
    <w:rsid w:val="001848FB"/>
    <w:rsid w:val="001926D9"/>
    <w:rsid w:val="00194945"/>
    <w:rsid w:val="00194FD6"/>
    <w:rsid w:val="00196812"/>
    <w:rsid w:val="001A2694"/>
    <w:rsid w:val="001A4564"/>
    <w:rsid w:val="001A737A"/>
    <w:rsid w:val="001B0101"/>
    <w:rsid w:val="001B28B0"/>
    <w:rsid w:val="001C2DC8"/>
    <w:rsid w:val="001C40E1"/>
    <w:rsid w:val="001C43E6"/>
    <w:rsid w:val="001C638D"/>
    <w:rsid w:val="001C7056"/>
    <w:rsid w:val="001D7339"/>
    <w:rsid w:val="001E2AD9"/>
    <w:rsid w:val="001E5990"/>
    <w:rsid w:val="001F4CE9"/>
    <w:rsid w:val="001F6A37"/>
    <w:rsid w:val="00205799"/>
    <w:rsid w:val="002150FF"/>
    <w:rsid w:val="002171A0"/>
    <w:rsid w:val="00220D0A"/>
    <w:rsid w:val="002253DF"/>
    <w:rsid w:val="002278B3"/>
    <w:rsid w:val="002308E6"/>
    <w:rsid w:val="0023149D"/>
    <w:rsid w:val="00233C19"/>
    <w:rsid w:val="00236E27"/>
    <w:rsid w:val="002429D2"/>
    <w:rsid w:val="002439A3"/>
    <w:rsid w:val="00246BE5"/>
    <w:rsid w:val="002479B3"/>
    <w:rsid w:val="002617D1"/>
    <w:rsid w:val="0026407B"/>
    <w:rsid w:val="002647E5"/>
    <w:rsid w:val="002656B2"/>
    <w:rsid w:val="0027285B"/>
    <w:rsid w:val="002756A4"/>
    <w:rsid w:val="002775C2"/>
    <w:rsid w:val="002835D1"/>
    <w:rsid w:val="0028630C"/>
    <w:rsid w:val="00287777"/>
    <w:rsid w:val="00287ACF"/>
    <w:rsid w:val="00291F06"/>
    <w:rsid w:val="002A3092"/>
    <w:rsid w:val="002A52E8"/>
    <w:rsid w:val="002A56BC"/>
    <w:rsid w:val="002A6755"/>
    <w:rsid w:val="002B12C3"/>
    <w:rsid w:val="002B2650"/>
    <w:rsid w:val="002C0832"/>
    <w:rsid w:val="002C5AD9"/>
    <w:rsid w:val="002C6559"/>
    <w:rsid w:val="002D16BE"/>
    <w:rsid w:val="002D2F51"/>
    <w:rsid w:val="002D466F"/>
    <w:rsid w:val="002D6197"/>
    <w:rsid w:val="002D764C"/>
    <w:rsid w:val="002E098B"/>
    <w:rsid w:val="002E17DB"/>
    <w:rsid w:val="002F5339"/>
    <w:rsid w:val="002F638B"/>
    <w:rsid w:val="00303FC5"/>
    <w:rsid w:val="003046F2"/>
    <w:rsid w:val="00305268"/>
    <w:rsid w:val="003068B0"/>
    <w:rsid w:val="00310D57"/>
    <w:rsid w:val="00317EA5"/>
    <w:rsid w:val="00322D0F"/>
    <w:rsid w:val="00323118"/>
    <w:rsid w:val="00324AA3"/>
    <w:rsid w:val="00325EC5"/>
    <w:rsid w:val="00330F66"/>
    <w:rsid w:val="00332A04"/>
    <w:rsid w:val="00335090"/>
    <w:rsid w:val="0033541D"/>
    <w:rsid w:val="00344B4B"/>
    <w:rsid w:val="003457B8"/>
    <w:rsid w:val="00346913"/>
    <w:rsid w:val="00346A12"/>
    <w:rsid w:val="00347E97"/>
    <w:rsid w:val="00347F08"/>
    <w:rsid w:val="00355DBE"/>
    <w:rsid w:val="0036158D"/>
    <w:rsid w:val="00363750"/>
    <w:rsid w:val="00365418"/>
    <w:rsid w:val="00371FDB"/>
    <w:rsid w:val="003851A1"/>
    <w:rsid w:val="0038603C"/>
    <w:rsid w:val="00393187"/>
    <w:rsid w:val="00397511"/>
    <w:rsid w:val="003A0692"/>
    <w:rsid w:val="003B0492"/>
    <w:rsid w:val="003B0CFF"/>
    <w:rsid w:val="003B5D95"/>
    <w:rsid w:val="003B7407"/>
    <w:rsid w:val="003C1D7C"/>
    <w:rsid w:val="003C23F5"/>
    <w:rsid w:val="003C5510"/>
    <w:rsid w:val="003C6D83"/>
    <w:rsid w:val="003E1942"/>
    <w:rsid w:val="003E4746"/>
    <w:rsid w:val="003E61AF"/>
    <w:rsid w:val="003E682F"/>
    <w:rsid w:val="003E7039"/>
    <w:rsid w:val="003F1064"/>
    <w:rsid w:val="003F23B7"/>
    <w:rsid w:val="003F5009"/>
    <w:rsid w:val="003F6672"/>
    <w:rsid w:val="00403602"/>
    <w:rsid w:val="00404600"/>
    <w:rsid w:val="0040588D"/>
    <w:rsid w:val="0040793A"/>
    <w:rsid w:val="00415B80"/>
    <w:rsid w:val="00417820"/>
    <w:rsid w:val="004271F7"/>
    <w:rsid w:val="0043256C"/>
    <w:rsid w:val="00435DB3"/>
    <w:rsid w:val="00435F60"/>
    <w:rsid w:val="004377AF"/>
    <w:rsid w:val="00440C1D"/>
    <w:rsid w:val="004440D6"/>
    <w:rsid w:val="00446118"/>
    <w:rsid w:val="00446C31"/>
    <w:rsid w:val="00447E47"/>
    <w:rsid w:val="0045235C"/>
    <w:rsid w:val="00456BA7"/>
    <w:rsid w:val="00457111"/>
    <w:rsid w:val="00461115"/>
    <w:rsid w:val="00470CC3"/>
    <w:rsid w:val="00470F41"/>
    <w:rsid w:val="0047342A"/>
    <w:rsid w:val="00476EA6"/>
    <w:rsid w:val="00480452"/>
    <w:rsid w:val="00483D08"/>
    <w:rsid w:val="00491F62"/>
    <w:rsid w:val="004922EF"/>
    <w:rsid w:val="00493989"/>
    <w:rsid w:val="004968B9"/>
    <w:rsid w:val="004A1020"/>
    <w:rsid w:val="004A14A9"/>
    <w:rsid w:val="004A584C"/>
    <w:rsid w:val="004B25D9"/>
    <w:rsid w:val="004C3B2E"/>
    <w:rsid w:val="004D340C"/>
    <w:rsid w:val="004D3898"/>
    <w:rsid w:val="004D72DD"/>
    <w:rsid w:val="004E0622"/>
    <w:rsid w:val="004E1095"/>
    <w:rsid w:val="004E6C19"/>
    <w:rsid w:val="004F055B"/>
    <w:rsid w:val="004F187F"/>
    <w:rsid w:val="004F4FE0"/>
    <w:rsid w:val="004F7FAE"/>
    <w:rsid w:val="00502229"/>
    <w:rsid w:val="00507B59"/>
    <w:rsid w:val="005118CD"/>
    <w:rsid w:val="00513B06"/>
    <w:rsid w:val="005154C0"/>
    <w:rsid w:val="00515902"/>
    <w:rsid w:val="00517442"/>
    <w:rsid w:val="00521D1E"/>
    <w:rsid w:val="005244B4"/>
    <w:rsid w:val="00524E7B"/>
    <w:rsid w:val="005253CF"/>
    <w:rsid w:val="00525744"/>
    <w:rsid w:val="00526528"/>
    <w:rsid w:val="0052763B"/>
    <w:rsid w:val="005315CC"/>
    <w:rsid w:val="00533E28"/>
    <w:rsid w:val="005341F6"/>
    <w:rsid w:val="005426DD"/>
    <w:rsid w:val="00542D1F"/>
    <w:rsid w:val="00543C12"/>
    <w:rsid w:val="005477D1"/>
    <w:rsid w:val="005478DE"/>
    <w:rsid w:val="00554F26"/>
    <w:rsid w:val="00560916"/>
    <w:rsid w:val="00564E0A"/>
    <w:rsid w:val="00570135"/>
    <w:rsid w:val="00570955"/>
    <w:rsid w:val="00577178"/>
    <w:rsid w:val="0058246D"/>
    <w:rsid w:val="0059556A"/>
    <w:rsid w:val="005A04D0"/>
    <w:rsid w:val="005A23B1"/>
    <w:rsid w:val="005A443C"/>
    <w:rsid w:val="005B2804"/>
    <w:rsid w:val="005C0D11"/>
    <w:rsid w:val="005C11A6"/>
    <w:rsid w:val="005C4751"/>
    <w:rsid w:val="005D3F45"/>
    <w:rsid w:val="005D639A"/>
    <w:rsid w:val="005D69B6"/>
    <w:rsid w:val="005D7A98"/>
    <w:rsid w:val="005E4901"/>
    <w:rsid w:val="005E7EC5"/>
    <w:rsid w:val="005F05AA"/>
    <w:rsid w:val="005F4805"/>
    <w:rsid w:val="005F6DD3"/>
    <w:rsid w:val="0060095A"/>
    <w:rsid w:val="006021DC"/>
    <w:rsid w:val="0060351E"/>
    <w:rsid w:val="00603705"/>
    <w:rsid w:val="00603952"/>
    <w:rsid w:val="006051D0"/>
    <w:rsid w:val="00605617"/>
    <w:rsid w:val="006076F1"/>
    <w:rsid w:val="006100B8"/>
    <w:rsid w:val="006165BE"/>
    <w:rsid w:val="00622FC8"/>
    <w:rsid w:val="00624D86"/>
    <w:rsid w:val="0063034D"/>
    <w:rsid w:val="006325B4"/>
    <w:rsid w:val="00634342"/>
    <w:rsid w:val="0063514E"/>
    <w:rsid w:val="00641E67"/>
    <w:rsid w:val="00645719"/>
    <w:rsid w:val="00645D0D"/>
    <w:rsid w:val="00650331"/>
    <w:rsid w:val="006512C3"/>
    <w:rsid w:val="00651749"/>
    <w:rsid w:val="00651BFF"/>
    <w:rsid w:val="006568C2"/>
    <w:rsid w:val="00667D4E"/>
    <w:rsid w:val="0067289D"/>
    <w:rsid w:val="00672ED8"/>
    <w:rsid w:val="00675A65"/>
    <w:rsid w:val="0068784D"/>
    <w:rsid w:val="00690560"/>
    <w:rsid w:val="00691FB6"/>
    <w:rsid w:val="006944E7"/>
    <w:rsid w:val="00697457"/>
    <w:rsid w:val="006A1B1D"/>
    <w:rsid w:val="006A29FD"/>
    <w:rsid w:val="006A2ECD"/>
    <w:rsid w:val="006A47D5"/>
    <w:rsid w:val="006A680F"/>
    <w:rsid w:val="006A6CAF"/>
    <w:rsid w:val="006B34E3"/>
    <w:rsid w:val="006B5544"/>
    <w:rsid w:val="006C1319"/>
    <w:rsid w:val="006C30F5"/>
    <w:rsid w:val="006C54EA"/>
    <w:rsid w:val="006D3FB6"/>
    <w:rsid w:val="006D4155"/>
    <w:rsid w:val="006D508E"/>
    <w:rsid w:val="006D7955"/>
    <w:rsid w:val="006E0221"/>
    <w:rsid w:val="006E0280"/>
    <w:rsid w:val="006E16C6"/>
    <w:rsid w:val="006E4F66"/>
    <w:rsid w:val="006E7168"/>
    <w:rsid w:val="006F04FD"/>
    <w:rsid w:val="006F11F2"/>
    <w:rsid w:val="006F1DB2"/>
    <w:rsid w:val="006F303A"/>
    <w:rsid w:val="0070565D"/>
    <w:rsid w:val="00711406"/>
    <w:rsid w:val="007166CD"/>
    <w:rsid w:val="00722D76"/>
    <w:rsid w:val="00730B70"/>
    <w:rsid w:val="00730D86"/>
    <w:rsid w:val="00733CFD"/>
    <w:rsid w:val="007353E6"/>
    <w:rsid w:val="007356E1"/>
    <w:rsid w:val="007441BB"/>
    <w:rsid w:val="00744F61"/>
    <w:rsid w:val="0074562C"/>
    <w:rsid w:val="0074723D"/>
    <w:rsid w:val="00751FA3"/>
    <w:rsid w:val="007521EC"/>
    <w:rsid w:val="007542FF"/>
    <w:rsid w:val="007562E5"/>
    <w:rsid w:val="0076095B"/>
    <w:rsid w:val="00763B38"/>
    <w:rsid w:val="00765321"/>
    <w:rsid w:val="0076693F"/>
    <w:rsid w:val="00770A8D"/>
    <w:rsid w:val="0077384C"/>
    <w:rsid w:val="007749E7"/>
    <w:rsid w:val="00775259"/>
    <w:rsid w:val="00780FF9"/>
    <w:rsid w:val="00784C26"/>
    <w:rsid w:val="007949ED"/>
    <w:rsid w:val="007A3CDA"/>
    <w:rsid w:val="007A474A"/>
    <w:rsid w:val="007C0185"/>
    <w:rsid w:val="007C6788"/>
    <w:rsid w:val="007D100A"/>
    <w:rsid w:val="007D397D"/>
    <w:rsid w:val="007E2194"/>
    <w:rsid w:val="007E7617"/>
    <w:rsid w:val="007F3F17"/>
    <w:rsid w:val="007F7DD9"/>
    <w:rsid w:val="008021D5"/>
    <w:rsid w:val="00811374"/>
    <w:rsid w:val="00826C62"/>
    <w:rsid w:val="00826FD3"/>
    <w:rsid w:val="00830C03"/>
    <w:rsid w:val="00830C5B"/>
    <w:rsid w:val="0083176B"/>
    <w:rsid w:val="00832470"/>
    <w:rsid w:val="00842FBA"/>
    <w:rsid w:val="00845654"/>
    <w:rsid w:val="00854064"/>
    <w:rsid w:val="0086155E"/>
    <w:rsid w:val="008619FA"/>
    <w:rsid w:val="00861A2B"/>
    <w:rsid w:val="00866873"/>
    <w:rsid w:val="008716ED"/>
    <w:rsid w:val="00874AEF"/>
    <w:rsid w:val="0087756F"/>
    <w:rsid w:val="00887AC1"/>
    <w:rsid w:val="0089174C"/>
    <w:rsid w:val="008964EA"/>
    <w:rsid w:val="008A0F28"/>
    <w:rsid w:val="008A4114"/>
    <w:rsid w:val="008A5A89"/>
    <w:rsid w:val="008B234B"/>
    <w:rsid w:val="008D103C"/>
    <w:rsid w:val="008D1267"/>
    <w:rsid w:val="008D455D"/>
    <w:rsid w:val="008D7E4B"/>
    <w:rsid w:val="008E0307"/>
    <w:rsid w:val="008E17FF"/>
    <w:rsid w:val="008E2166"/>
    <w:rsid w:val="008E2662"/>
    <w:rsid w:val="008E6D83"/>
    <w:rsid w:val="008E79A8"/>
    <w:rsid w:val="008F0431"/>
    <w:rsid w:val="008F4269"/>
    <w:rsid w:val="0090211E"/>
    <w:rsid w:val="00903049"/>
    <w:rsid w:val="009033D2"/>
    <w:rsid w:val="00904D54"/>
    <w:rsid w:val="00911C13"/>
    <w:rsid w:val="00911D10"/>
    <w:rsid w:val="00921614"/>
    <w:rsid w:val="00925839"/>
    <w:rsid w:val="00927059"/>
    <w:rsid w:val="009301E8"/>
    <w:rsid w:val="00930311"/>
    <w:rsid w:val="009321AA"/>
    <w:rsid w:val="00934466"/>
    <w:rsid w:val="00935A9C"/>
    <w:rsid w:val="00936FAF"/>
    <w:rsid w:val="00937CE0"/>
    <w:rsid w:val="00942C2A"/>
    <w:rsid w:val="00944509"/>
    <w:rsid w:val="00945270"/>
    <w:rsid w:val="009500F0"/>
    <w:rsid w:val="00952796"/>
    <w:rsid w:val="009635DF"/>
    <w:rsid w:val="00966ABB"/>
    <w:rsid w:val="0097348B"/>
    <w:rsid w:val="0097566C"/>
    <w:rsid w:val="009772B8"/>
    <w:rsid w:val="0098276D"/>
    <w:rsid w:val="0098603F"/>
    <w:rsid w:val="00994F95"/>
    <w:rsid w:val="0099504C"/>
    <w:rsid w:val="009A263E"/>
    <w:rsid w:val="009A7C03"/>
    <w:rsid w:val="009B248D"/>
    <w:rsid w:val="009B5133"/>
    <w:rsid w:val="009C0198"/>
    <w:rsid w:val="009C0956"/>
    <w:rsid w:val="009D13AC"/>
    <w:rsid w:val="009D15F2"/>
    <w:rsid w:val="009E4435"/>
    <w:rsid w:val="009E4F30"/>
    <w:rsid w:val="009F639A"/>
    <w:rsid w:val="00A00428"/>
    <w:rsid w:val="00A14C5A"/>
    <w:rsid w:val="00A15C5D"/>
    <w:rsid w:val="00A16E77"/>
    <w:rsid w:val="00A22597"/>
    <w:rsid w:val="00A2307E"/>
    <w:rsid w:val="00A26387"/>
    <w:rsid w:val="00A2639C"/>
    <w:rsid w:val="00A33F6A"/>
    <w:rsid w:val="00A3482F"/>
    <w:rsid w:val="00A45E19"/>
    <w:rsid w:val="00A46826"/>
    <w:rsid w:val="00A47AD1"/>
    <w:rsid w:val="00A53713"/>
    <w:rsid w:val="00A679E7"/>
    <w:rsid w:val="00A763B1"/>
    <w:rsid w:val="00A77BE7"/>
    <w:rsid w:val="00A80063"/>
    <w:rsid w:val="00A81CCF"/>
    <w:rsid w:val="00A82ED0"/>
    <w:rsid w:val="00A834B6"/>
    <w:rsid w:val="00A85E84"/>
    <w:rsid w:val="00AA57A8"/>
    <w:rsid w:val="00AA5A38"/>
    <w:rsid w:val="00AA7AAD"/>
    <w:rsid w:val="00AB604C"/>
    <w:rsid w:val="00AC00F9"/>
    <w:rsid w:val="00AC29E8"/>
    <w:rsid w:val="00AC5536"/>
    <w:rsid w:val="00AD1F73"/>
    <w:rsid w:val="00AD3D27"/>
    <w:rsid w:val="00AE01EB"/>
    <w:rsid w:val="00AE0CB5"/>
    <w:rsid w:val="00AE7DBE"/>
    <w:rsid w:val="00AF038A"/>
    <w:rsid w:val="00AF5814"/>
    <w:rsid w:val="00AF71AE"/>
    <w:rsid w:val="00B003EE"/>
    <w:rsid w:val="00B019E4"/>
    <w:rsid w:val="00B042A5"/>
    <w:rsid w:val="00B11C66"/>
    <w:rsid w:val="00B12959"/>
    <w:rsid w:val="00B133A3"/>
    <w:rsid w:val="00B14102"/>
    <w:rsid w:val="00B16F62"/>
    <w:rsid w:val="00B17F75"/>
    <w:rsid w:val="00B2351C"/>
    <w:rsid w:val="00B36491"/>
    <w:rsid w:val="00B365D0"/>
    <w:rsid w:val="00B417E0"/>
    <w:rsid w:val="00B45AF1"/>
    <w:rsid w:val="00B478C9"/>
    <w:rsid w:val="00B54138"/>
    <w:rsid w:val="00B54E34"/>
    <w:rsid w:val="00B60B7C"/>
    <w:rsid w:val="00B617FF"/>
    <w:rsid w:val="00B61F6B"/>
    <w:rsid w:val="00B7431A"/>
    <w:rsid w:val="00B8071C"/>
    <w:rsid w:val="00B82C1C"/>
    <w:rsid w:val="00B83540"/>
    <w:rsid w:val="00B84EA8"/>
    <w:rsid w:val="00BA1E9F"/>
    <w:rsid w:val="00BA274C"/>
    <w:rsid w:val="00BA2B8A"/>
    <w:rsid w:val="00BA64FA"/>
    <w:rsid w:val="00BA790D"/>
    <w:rsid w:val="00BB0FDC"/>
    <w:rsid w:val="00BB5DF0"/>
    <w:rsid w:val="00BC0C5F"/>
    <w:rsid w:val="00BC6866"/>
    <w:rsid w:val="00BD65A0"/>
    <w:rsid w:val="00BE0B2F"/>
    <w:rsid w:val="00BF1DCE"/>
    <w:rsid w:val="00C064D7"/>
    <w:rsid w:val="00C1088F"/>
    <w:rsid w:val="00C112CD"/>
    <w:rsid w:val="00C21AEB"/>
    <w:rsid w:val="00C21EB4"/>
    <w:rsid w:val="00C22CE4"/>
    <w:rsid w:val="00C2332D"/>
    <w:rsid w:val="00C24244"/>
    <w:rsid w:val="00C24BB3"/>
    <w:rsid w:val="00C24EDE"/>
    <w:rsid w:val="00C320D5"/>
    <w:rsid w:val="00C340E2"/>
    <w:rsid w:val="00C36D9B"/>
    <w:rsid w:val="00C4290D"/>
    <w:rsid w:val="00C43F56"/>
    <w:rsid w:val="00C53956"/>
    <w:rsid w:val="00C61D89"/>
    <w:rsid w:val="00C63F6A"/>
    <w:rsid w:val="00C70AC2"/>
    <w:rsid w:val="00C7168B"/>
    <w:rsid w:val="00C73173"/>
    <w:rsid w:val="00C8005E"/>
    <w:rsid w:val="00C8372E"/>
    <w:rsid w:val="00C87063"/>
    <w:rsid w:val="00C93150"/>
    <w:rsid w:val="00C93A9C"/>
    <w:rsid w:val="00CC23FB"/>
    <w:rsid w:val="00CC27AA"/>
    <w:rsid w:val="00CC4A47"/>
    <w:rsid w:val="00CD2770"/>
    <w:rsid w:val="00CD3922"/>
    <w:rsid w:val="00CD65EF"/>
    <w:rsid w:val="00CD7169"/>
    <w:rsid w:val="00CE0050"/>
    <w:rsid w:val="00CE035E"/>
    <w:rsid w:val="00CE1D5D"/>
    <w:rsid w:val="00CE3EB1"/>
    <w:rsid w:val="00CE4B32"/>
    <w:rsid w:val="00CF1CFA"/>
    <w:rsid w:val="00CF40D6"/>
    <w:rsid w:val="00CF44FC"/>
    <w:rsid w:val="00D053F4"/>
    <w:rsid w:val="00D06BB1"/>
    <w:rsid w:val="00D072CF"/>
    <w:rsid w:val="00D10126"/>
    <w:rsid w:val="00D125F4"/>
    <w:rsid w:val="00D21259"/>
    <w:rsid w:val="00D223E6"/>
    <w:rsid w:val="00D2536F"/>
    <w:rsid w:val="00D27898"/>
    <w:rsid w:val="00D31318"/>
    <w:rsid w:val="00D31397"/>
    <w:rsid w:val="00D3566F"/>
    <w:rsid w:val="00D36E66"/>
    <w:rsid w:val="00D44ED4"/>
    <w:rsid w:val="00D456F4"/>
    <w:rsid w:val="00D46FE9"/>
    <w:rsid w:val="00D5588B"/>
    <w:rsid w:val="00D61DF1"/>
    <w:rsid w:val="00D62F46"/>
    <w:rsid w:val="00D65ABF"/>
    <w:rsid w:val="00D72BEE"/>
    <w:rsid w:val="00D76FFF"/>
    <w:rsid w:val="00D90455"/>
    <w:rsid w:val="00D90AAC"/>
    <w:rsid w:val="00D950AA"/>
    <w:rsid w:val="00D95955"/>
    <w:rsid w:val="00D97124"/>
    <w:rsid w:val="00DA27B2"/>
    <w:rsid w:val="00DA43A2"/>
    <w:rsid w:val="00DA4F2E"/>
    <w:rsid w:val="00DB17EC"/>
    <w:rsid w:val="00DB711B"/>
    <w:rsid w:val="00DD0C7A"/>
    <w:rsid w:val="00DD50A6"/>
    <w:rsid w:val="00DD52CD"/>
    <w:rsid w:val="00DD5CE4"/>
    <w:rsid w:val="00DD7D2A"/>
    <w:rsid w:val="00DE3E12"/>
    <w:rsid w:val="00DE5454"/>
    <w:rsid w:val="00DE5E4D"/>
    <w:rsid w:val="00DE7923"/>
    <w:rsid w:val="00DF46DB"/>
    <w:rsid w:val="00E059D8"/>
    <w:rsid w:val="00E05D33"/>
    <w:rsid w:val="00E11C93"/>
    <w:rsid w:val="00E13D89"/>
    <w:rsid w:val="00E1780F"/>
    <w:rsid w:val="00E21EF9"/>
    <w:rsid w:val="00E22847"/>
    <w:rsid w:val="00E23F9F"/>
    <w:rsid w:val="00E248AB"/>
    <w:rsid w:val="00E30460"/>
    <w:rsid w:val="00E31426"/>
    <w:rsid w:val="00E31480"/>
    <w:rsid w:val="00E31B8B"/>
    <w:rsid w:val="00E32C1C"/>
    <w:rsid w:val="00E35993"/>
    <w:rsid w:val="00E42E1C"/>
    <w:rsid w:val="00E4364E"/>
    <w:rsid w:val="00E51920"/>
    <w:rsid w:val="00E55A46"/>
    <w:rsid w:val="00E5616C"/>
    <w:rsid w:val="00E75943"/>
    <w:rsid w:val="00E76C01"/>
    <w:rsid w:val="00E8001F"/>
    <w:rsid w:val="00E831AF"/>
    <w:rsid w:val="00E878E3"/>
    <w:rsid w:val="00E87B51"/>
    <w:rsid w:val="00E905A9"/>
    <w:rsid w:val="00E936E2"/>
    <w:rsid w:val="00E946D8"/>
    <w:rsid w:val="00E96B8A"/>
    <w:rsid w:val="00EA0B15"/>
    <w:rsid w:val="00EA2B9C"/>
    <w:rsid w:val="00EA2E3D"/>
    <w:rsid w:val="00EA300D"/>
    <w:rsid w:val="00EA328B"/>
    <w:rsid w:val="00EA516C"/>
    <w:rsid w:val="00EC350B"/>
    <w:rsid w:val="00EC3BB3"/>
    <w:rsid w:val="00EC3CBD"/>
    <w:rsid w:val="00EC61AB"/>
    <w:rsid w:val="00ED19E2"/>
    <w:rsid w:val="00EE0BF0"/>
    <w:rsid w:val="00EE40A1"/>
    <w:rsid w:val="00F00B70"/>
    <w:rsid w:val="00F03A72"/>
    <w:rsid w:val="00F0568B"/>
    <w:rsid w:val="00F06F80"/>
    <w:rsid w:val="00F22D23"/>
    <w:rsid w:val="00F2646F"/>
    <w:rsid w:val="00F37E1C"/>
    <w:rsid w:val="00F42515"/>
    <w:rsid w:val="00F4348E"/>
    <w:rsid w:val="00F51068"/>
    <w:rsid w:val="00F530DD"/>
    <w:rsid w:val="00F553F3"/>
    <w:rsid w:val="00F605F5"/>
    <w:rsid w:val="00F6566B"/>
    <w:rsid w:val="00F663FA"/>
    <w:rsid w:val="00F670AC"/>
    <w:rsid w:val="00F6779F"/>
    <w:rsid w:val="00F67ECF"/>
    <w:rsid w:val="00F81E1B"/>
    <w:rsid w:val="00F94001"/>
    <w:rsid w:val="00F94B12"/>
    <w:rsid w:val="00F95D9B"/>
    <w:rsid w:val="00FA1CB9"/>
    <w:rsid w:val="00FA460F"/>
    <w:rsid w:val="00FA615E"/>
    <w:rsid w:val="00FB0AA6"/>
    <w:rsid w:val="00FB27C7"/>
    <w:rsid w:val="00FB5550"/>
    <w:rsid w:val="00FB7185"/>
    <w:rsid w:val="00FC22FE"/>
    <w:rsid w:val="00FC2B0F"/>
    <w:rsid w:val="00FC2DD3"/>
    <w:rsid w:val="00FC6284"/>
    <w:rsid w:val="00FC642F"/>
    <w:rsid w:val="00FD63AA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DEB0F"/>
  <w15:docId w15:val="{D300D9AC-FDF2-4644-A606-AEA39D55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3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3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B8B"/>
  </w:style>
  <w:style w:type="paragraph" w:styleId="Footer">
    <w:name w:val="footer"/>
    <w:basedOn w:val="Normal"/>
    <w:link w:val="FooterChar"/>
    <w:uiPriority w:val="99"/>
    <w:unhideWhenUsed/>
    <w:rsid w:val="00E3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B8B"/>
  </w:style>
  <w:style w:type="table" w:styleId="TableGrid">
    <w:name w:val="Table Grid"/>
    <w:basedOn w:val="TableNormal"/>
    <w:uiPriority w:val="39"/>
    <w:rsid w:val="0019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755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5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0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6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7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9B36-355C-4817-B41B-09857775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5998</Words>
  <Characters>34195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Aleksandra Minić</cp:lastModifiedBy>
  <cp:revision>5</cp:revision>
  <dcterms:created xsi:type="dcterms:W3CDTF">2024-06-28T10:21:00Z</dcterms:created>
  <dcterms:modified xsi:type="dcterms:W3CDTF">2025-05-08T10:34:00Z</dcterms:modified>
</cp:coreProperties>
</file>