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B6A50" w14:textId="77777777" w:rsidR="00D26E8E" w:rsidRPr="00C83E6A" w:rsidRDefault="006C4396" w:rsidP="00D13EED">
      <w:pPr>
        <w:numPr>
          <w:ilvl w:val="12"/>
          <w:numId w:val="0"/>
        </w:numPr>
        <w:jc w:val="center"/>
        <w:rPr>
          <w:rFonts w:eastAsia="PMingLiU"/>
          <w:b/>
          <w:bCs/>
          <w:u w:val="single"/>
          <w:lang w:val="sr-Latn-RS"/>
        </w:rPr>
      </w:pPr>
      <w:r w:rsidRPr="00C83E6A">
        <w:rPr>
          <w:b/>
          <w:u w:val="single"/>
          <w:lang w:val="sr-Latn-RS"/>
        </w:rPr>
        <w:t>SAŽETAK KARAKTERISTIKA LIJEKA</w:t>
      </w:r>
    </w:p>
    <w:p w14:paraId="31AA7992" w14:textId="77777777" w:rsidR="00D26E8E" w:rsidRPr="00C83E6A" w:rsidRDefault="00D26E8E" w:rsidP="001D6451">
      <w:pPr>
        <w:tabs>
          <w:tab w:val="clear" w:pos="567"/>
          <w:tab w:val="left" w:pos="-1440"/>
          <w:tab w:val="left" w:pos="-720"/>
        </w:tabs>
        <w:suppressAutoHyphens/>
        <w:ind w:right="-1"/>
        <w:jc w:val="both"/>
        <w:rPr>
          <w:rFonts w:eastAsia="PMingLiU"/>
          <w:lang w:val="sr-Latn-RS"/>
        </w:rPr>
      </w:pPr>
    </w:p>
    <w:p w14:paraId="7406AF47" w14:textId="77777777" w:rsidR="00D26E8E" w:rsidRPr="00C83E6A" w:rsidRDefault="00D26E8E" w:rsidP="001D6451">
      <w:pPr>
        <w:tabs>
          <w:tab w:val="clear" w:pos="567"/>
          <w:tab w:val="left" w:pos="-1440"/>
          <w:tab w:val="left" w:pos="-720"/>
        </w:tabs>
        <w:suppressAutoHyphens/>
        <w:jc w:val="both"/>
        <w:rPr>
          <w:rFonts w:eastAsia="PMingLiU"/>
          <w:lang w:val="sr-Latn-RS"/>
        </w:rPr>
      </w:pPr>
    </w:p>
    <w:p w14:paraId="3F7F1D72" w14:textId="77777777" w:rsidR="00D26E8E" w:rsidRPr="00C83E6A" w:rsidRDefault="00096D7F" w:rsidP="001D6451">
      <w:pPr>
        <w:keepNext/>
        <w:suppressAutoHyphens/>
        <w:ind w:left="567" w:hanging="567"/>
        <w:jc w:val="both"/>
        <w:rPr>
          <w:rFonts w:eastAsia="PMingLiU"/>
          <w:bCs/>
          <w:lang w:val="sr-Latn-RS"/>
        </w:rPr>
      </w:pPr>
      <w:r w:rsidRPr="00C83E6A">
        <w:rPr>
          <w:b/>
          <w:lang w:val="sr-Latn-RS"/>
        </w:rPr>
        <w:t>1.</w:t>
      </w:r>
      <w:r w:rsidRPr="00C83E6A">
        <w:rPr>
          <w:b/>
          <w:lang w:val="sr-Latn-RS"/>
        </w:rPr>
        <w:tab/>
        <w:t>NAZIV LIJEKA</w:t>
      </w:r>
    </w:p>
    <w:p w14:paraId="0A997290" w14:textId="77777777" w:rsidR="00D26E8E" w:rsidRPr="00C83E6A" w:rsidRDefault="00D26E8E" w:rsidP="001D6451">
      <w:pPr>
        <w:keepNext/>
        <w:jc w:val="both"/>
        <w:rPr>
          <w:rFonts w:eastAsia="PMingLiU"/>
          <w:lang w:val="sr-Latn-RS"/>
        </w:rPr>
      </w:pPr>
    </w:p>
    <w:p w14:paraId="3BCCB11D" w14:textId="0F6384F5" w:rsidR="00D26E8E" w:rsidRPr="00C83E6A" w:rsidRDefault="00096D7F" w:rsidP="001D6451">
      <w:pPr>
        <w:tabs>
          <w:tab w:val="clear" w:pos="567"/>
          <w:tab w:val="left" w:pos="0"/>
        </w:tabs>
        <w:jc w:val="both"/>
        <w:rPr>
          <w:rFonts w:eastAsia="PMingLiU"/>
          <w:lang w:val="sr-Latn-RS"/>
        </w:rPr>
      </w:pPr>
      <w:r w:rsidRPr="00C83E6A">
        <w:rPr>
          <w:lang w:val="sr-Latn-RS"/>
        </w:rPr>
        <w:t xml:space="preserve">Repatha </w:t>
      </w:r>
      <w:r w:rsidR="00845517" w:rsidRPr="00C83E6A">
        <w:rPr>
          <w:lang w:val="sr-Latn-RS"/>
        </w:rPr>
        <w:t>140 mg</w:t>
      </w:r>
      <w:r w:rsidRPr="00C83E6A">
        <w:rPr>
          <w:lang w:val="sr-Latn-RS"/>
        </w:rPr>
        <w:t xml:space="preserve"> rastvor za injekciju u napunjenom injekcionom penu</w:t>
      </w:r>
    </w:p>
    <w:p w14:paraId="36B38538" w14:textId="77777777" w:rsidR="008D5DE0" w:rsidRPr="00C83E6A" w:rsidRDefault="008D5DE0" w:rsidP="001D6451">
      <w:pPr>
        <w:jc w:val="both"/>
        <w:rPr>
          <w:rFonts w:eastAsia="PMingLiU"/>
          <w:lang w:val="sr-Latn-RS"/>
        </w:rPr>
      </w:pPr>
    </w:p>
    <w:p w14:paraId="200A8D76" w14:textId="77777777" w:rsidR="00D26E8E" w:rsidRPr="00C83E6A" w:rsidRDefault="004055B1" w:rsidP="001D6451">
      <w:pPr>
        <w:jc w:val="both"/>
        <w:rPr>
          <w:rFonts w:eastAsia="PMingLiU"/>
          <w:lang w:val="sr-Latn-RS"/>
        </w:rPr>
      </w:pPr>
      <w:r w:rsidRPr="00C83E6A">
        <w:rPr>
          <w:lang w:val="sr-Latn-RS"/>
        </w:rPr>
        <w:t>INN: evolokumab</w:t>
      </w:r>
    </w:p>
    <w:p w14:paraId="4FE1B2B8" w14:textId="77777777" w:rsidR="00D26E8E" w:rsidRPr="00C83E6A" w:rsidRDefault="00D26E8E" w:rsidP="001D6451">
      <w:pPr>
        <w:jc w:val="both"/>
        <w:rPr>
          <w:rFonts w:eastAsia="PMingLiU"/>
          <w:lang w:val="sr-Latn-RS"/>
        </w:rPr>
      </w:pPr>
    </w:p>
    <w:p w14:paraId="2092284B" w14:textId="77777777" w:rsidR="00D26E8E" w:rsidRPr="00C83E6A" w:rsidRDefault="00D26E8E" w:rsidP="001D6451">
      <w:pPr>
        <w:jc w:val="both"/>
        <w:rPr>
          <w:rFonts w:eastAsia="PMingLiU"/>
          <w:lang w:val="sr-Latn-RS"/>
        </w:rPr>
      </w:pPr>
    </w:p>
    <w:p w14:paraId="22208ADB" w14:textId="77777777" w:rsidR="00D26E8E" w:rsidRPr="00C83E6A" w:rsidRDefault="00096D7F" w:rsidP="001D6451">
      <w:pPr>
        <w:keepNext/>
        <w:suppressAutoHyphens/>
        <w:ind w:left="567" w:hanging="567"/>
        <w:jc w:val="both"/>
        <w:rPr>
          <w:rFonts w:eastAsia="PMingLiU"/>
          <w:bCs/>
          <w:lang w:val="sr-Latn-RS"/>
        </w:rPr>
      </w:pPr>
      <w:r w:rsidRPr="00C83E6A">
        <w:rPr>
          <w:b/>
          <w:lang w:val="sr-Latn-RS"/>
        </w:rPr>
        <w:t>2.</w:t>
      </w:r>
      <w:r w:rsidRPr="00C83E6A">
        <w:rPr>
          <w:b/>
          <w:lang w:val="sr-Latn-RS"/>
        </w:rPr>
        <w:tab/>
        <w:t>KVALITATIVNI I KVANTITATIVNI SASTAV</w:t>
      </w:r>
    </w:p>
    <w:p w14:paraId="557BC395" w14:textId="77777777" w:rsidR="00D26E8E" w:rsidRPr="00C83E6A" w:rsidRDefault="00D26E8E" w:rsidP="001D6451">
      <w:pPr>
        <w:keepNext/>
        <w:jc w:val="both"/>
        <w:rPr>
          <w:rFonts w:eastAsia="PMingLiU"/>
          <w:lang w:val="sr-Latn-RS"/>
        </w:rPr>
      </w:pPr>
    </w:p>
    <w:p w14:paraId="080B04AC" w14:textId="77777777" w:rsidR="00D26E8E" w:rsidRPr="00C83E6A" w:rsidRDefault="00096D7F" w:rsidP="001D6451">
      <w:pPr>
        <w:jc w:val="both"/>
        <w:rPr>
          <w:rFonts w:eastAsia="PMingLiU"/>
          <w:lang w:val="sr-Latn-RS"/>
        </w:rPr>
      </w:pPr>
      <w:r w:rsidRPr="00C83E6A">
        <w:rPr>
          <w:lang w:val="sr-Latn-RS"/>
        </w:rPr>
        <w:t>Jedan napunjen</w:t>
      </w:r>
      <w:r w:rsidR="002D1367" w:rsidRPr="00C83E6A">
        <w:rPr>
          <w:lang w:val="sr-Latn-RS"/>
        </w:rPr>
        <w:t>i</w:t>
      </w:r>
      <w:r w:rsidRPr="00C83E6A">
        <w:rPr>
          <w:lang w:val="sr-Latn-RS"/>
        </w:rPr>
        <w:t xml:space="preserve"> injekcioni pen sadrži 140 mg evolokumaba u 1 ml rastvora.</w:t>
      </w:r>
    </w:p>
    <w:p w14:paraId="29BEF049" w14:textId="77777777" w:rsidR="00D26E8E" w:rsidRPr="00C83E6A" w:rsidRDefault="00D26E8E" w:rsidP="001D6451">
      <w:pPr>
        <w:jc w:val="both"/>
        <w:rPr>
          <w:rFonts w:eastAsia="PMingLiU"/>
          <w:lang w:val="sr-Latn-RS"/>
        </w:rPr>
      </w:pPr>
    </w:p>
    <w:p w14:paraId="1D14E408" w14:textId="77777777" w:rsidR="00D26E8E" w:rsidRPr="00C83E6A" w:rsidRDefault="00096D7F" w:rsidP="001D6451">
      <w:pPr>
        <w:jc w:val="both"/>
        <w:rPr>
          <w:rFonts w:eastAsia="PMingLiU"/>
          <w:lang w:val="sr-Latn-RS"/>
        </w:rPr>
      </w:pPr>
      <w:r w:rsidRPr="00C83E6A">
        <w:rPr>
          <w:lang w:val="sr-Latn-RS"/>
        </w:rPr>
        <w:t>Repatha je humano monoklonsko IgG2 antitijelo, proizvedeno u ćelijama ovarijuma kineskog hrčka (CHO) tehnologijom rekombinantne DNA.</w:t>
      </w:r>
    </w:p>
    <w:p w14:paraId="457CD3A2" w14:textId="77777777" w:rsidR="00D26E8E" w:rsidRPr="00C83E6A" w:rsidRDefault="00D26E8E" w:rsidP="001D6451">
      <w:pPr>
        <w:jc w:val="both"/>
        <w:rPr>
          <w:rFonts w:eastAsia="PMingLiU"/>
          <w:lang w:val="sr-Latn-RS"/>
        </w:rPr>
      </w:pPr>
    </w:p>
    <w:p w14:paraId="60CFC7B0" w14:textId="77777777" w:rsidR="00D26E8E" w:rsidRPr="00C83E6A" w:rsidRDefault="00096D7F" w:rsidP="001D6451">
      <w:pPr>
        <w:jc w:val="both"/>
        <w:rPr>
          <w:rFonts w:eastAsia="PMingLiU"/>
          <w:lang w:val="sr-Latn-RS"/>
        </w:rPr>
      </w:pPr>
      <w:r w:rsidRPr="00C83E6A">
        <w:rPr>
          <w:lang w:val="sr-Latn-RS"/>
        </w:rPr>
        <w:t>Za listu svih pomoćnih supstanci, vidjeti dio 6.1.</w:t>
      </w:r>
    </w:p>
    <w:p w14:paraId="1E2CA2FA" w14:textId="77777777" w:rsidR="00D26E8E" w:rsidRPr="00C83E6A" w:rsidRDefault="00D26E8E" w:rsidP="001D6451">
      <w:pPr>
        <w:jc w:val="both"/>
        <w:rPr>
          <w:rFonts w:eastAsia="PMingLiU"/>
          <w:lang w:val="sr-Latn-RS"/>
        </w:rPr>
      </w:pPr>
    </w:p>
    <w:p w14:paraId="317503D9" w14:textId="77777777" w:rsidR="00D26E8E" w:rsidRPr="00C83E6A" w:rsidRDefault="00D26E8E" w:rsidP="001D6451">
      <w:pPr>
        <w:jc w:val="both"/>
        <w:rPr>
          <w:rFonts w:eastAsia="PMingLiU"/>
          <w:lang w:val="sr-Latn-RS"/>
        </w:rPr>
      </w:pPr>
    </w:p>
    <w:p w14:paraId="71216A0E" w14:textId="77777777" w:rsidR="00D26E8E" w:rsidRPr="00C83E6A" w:rsidRDefault="00096D7F" w:rsidP="001D6451">
      <w:pPr>
        <w:keepNext/>
        <w:suppressAutoHyphens/>
        <w:ind w:left="567" w:hanging="567"/>
        <w:jc w:val="both"/>
        <w:rPr>
          <w:rFonts w:eastAsia="PMingLiU"/>
          <w:bCs/>
          <w:caps/>
          <w:lang w:val="sr-Latn-RS"/>
        </w:rPr>
      </w:pPr>
      <w:r w:rsidRPr="00C83E6A">
        <w:rPr>
          <w:b/>
          <w:lang w:val="sr-Latn-RS"/>
        </w:rPr>
        <w:t>3.</w:t>
      </w:r>
      <w:r w:rsidRPr="00C83E6A">
        <w:rPr>
          <w:b/>
          <w:lang w:val="sr-Latn-RS"/>
        </w:rPr>
        <w:tab/>
        <w:t>FARMACEUTSKI OBLIK</w:t>
      </w:r>
    </w:p>
    <w:p w14:paraId="29EE8D34" w14:textId="77777777" w:rsidR="00D26E8E" w:rsidRPr="00C83E6A" w:rsidRDefault="00D26E8E" w:rsidP="001D6451">
      <w:pPr>
        <w:keepNext/>
        <w:jc w:val="both"/>
        <w:rPr>
          <w:rFonts w:eastAsia="PMingLiU"/>
          <w:lang w:val="sr-Latn-RS"/>
        </w:rPr>
      </w:pPr>
    </w:p>
    <w:p w14:paraId="3FABCFF1" w14:textId="77777777" w:rsidR="00D26E8E" w:rsidRPr="00C83E6A" w:rsidRDefault="00096D7F" w:rsidP="001D6451">
      <w:pPr>
        <w:jc w:val="both"/>
        <w:rPr>
          <w:rFonts w:eastAsia="PMingLiU"/>
          <w:lang w:val="sr-Latn-RS"/>
        </w:rPr>
      </w:pPr>
      <w:r w:rsidRPr="00C83E6A">
        <w:rPr>
          <w:lang w:val="sr-Latn-RS"/>
        </w:rPr>
        <w:t>Rastvor za injekciju u napunjenom injekcionom penu.</w:t>
      </w:r>
    </w:p>
    <w:p w14:paraId="3D553867" w14:textId="77777777" w:rsidR="00D26E8E" w:rsidRPr="00C83E6A" w:rsidRDefault="00D26E8E" w:rsidP="001D6451">
      <w:pPr>
        <w:jc w:val="both"/>
        <w:rPr>
          <w:rFonts w:eastAsia="PMingLiU"/>
          <w:lang w:val="sr-Latn-RS"/>
        </w:rPr>
      </w:pPr>
    </w:p>
    <w:p w14:paraId="096197D2" w14:textId="77777777" w:rsidR="00D26E8E" w:rsidRPr="00C83E6A" w:rsidRDefault="00096D7F" w:rsidP="001D6451">
      <w:pPr>
        <w:tabs>
          <w:tab w:val="clear" w:pos="567"/>
        </w:tabs>
        <w:autoSpaceDE w:val="0"/>
        <w:autoSpaceDN w:val="0"/>
        <w:adjustRightInd w:val="0"/>
        <w:jc w:val="both"/>
        <w:rPr>
          <w:rFonts w:eastAsia="PMingLiU"/>
          <w:lang w:val="sr-Latn-RS"/>
        </w:rPr>
      </w:pPr>
      <w:r w:rsidRPr="00C83E6A">
        <w:rPr>
          <w:lang w:val="sr-Latn-RS"/>
        </w:rPr>
        <w:t>Rastvor je bistar do opalescentan, bezbojan do žućkast i praktično bez čestica.</w:t>
      </w:r>
    </w:p>
    <w:p w14:paraId="000A02F3" w14:textId="77777777" w:rsidR="00D26E8E" w:rsidRPr="00C83E6A" w:rsidRDefault="00D26E8E" w:rsidP="001D6451">
      <w:pPr>
        <w:jc w:val="both"/>
        <w:rPr>
          <w:rFonts w:eastAsia="PMingLiU"/>
          <w:lang w:val="sr-Latn-RS"/>
        </w:rPr>
      </w:pPr>
    </w:p>
    <w:p w14:paraId="1B1FC579" w14:textId="77777777" w:rsidR="00D26E8E" w:rsidRPr="00C83E6A" w:rsidRDefault="00D26E8E" w:rsidP="001D6451">
      <w:pPr>
        <w:jc w:val="both"/>
        <w:rPr>
          <w:rFonts w:eastAsia="PMingLiU"/>
          <w:lang w:val="sr-Latn-RS"/>
        </w:rPr>
      </w:pPr>
    </w:p>
    <w:p w14:paraId="2CE77858" w14:textId="77777777" w:rsidR="00D26E8E" w:rsidRPr="00C83E6A" w:rsidRDefault="00B46062" w:rsidP="001D6451">
      <w:pPr>
        <w:keepNext/>
        <w:suppressAutoHyphens/>
        <w:ind w:left="567" w:hanging="567"/>
        <w:jc w:val="both"/>
        <w:rPr>
          <w:rFonts w:eastAsia="PMingLiU"/>
          <w:bCs/>
          <w:caps/>
          <w:lang w:val="sr-Latn-RS"/>
        </w:rPr>
      </w:pPr>
      <w:r w:rsidRPr="00C83E6A">
        <w:rPr>
          <w:b/>
          <w:lang w:val="sr-Latn-RS"/>
        </w:rPr>
        <w:t>4.</w:t>
      </w:r>
      <w:r w:rsidRPr="00C83E6A">
        <w:rPr>
          <w:b/>
          <w:lang w:val="sr-Latn-RS"/>
        </w:rPr>
        <w:tab/>
        <w:t>KLINIČKI PODACI</w:t>
      </w:r>
    </w:p>
    <w:p w14:paraId="470090B9" w14:textId="77777777" w:rsidR="00D26E8E" w:rsidRPr="00C83E6A" w:rsidRDefault="00D26E8E" w:rsidP="001D6451">
      <w:pPr>
        <w:keepNext/>
        <w:jc w:val="both"/>
        <w:rPr>
          <w:rFonts w:eastAsia="PMingLiU"/>
          <w:lang w:val="sr-Latn-RS"/>
        </w:rPr>
      </w:pPr>
    </w:p>
    <w:p w14:paraId="7BBCF15B" w14:textId="77777777" w:rsidR="00D26E8E" w:rsidRPr="00C83E6A" w:rsidRDefault="00096D7F" w:rsidP="001D6451">
      <w:pPr>
        <w:keepNext/>
        <w:ind w:left="567" w:hanging="567"/>
        <w:jc w:val="both"/>
        <w:outlineLvl w:val="0"/>
        <w:rPr>
          <w:rFonts w:eastAsia="PMingLiU"/>
          <w:bCs/>
          <w:lang w:val="sr-Latn-RS"/>
        </w:rPr>
      </w:pPr>
      <w:r w:rsidRPr="00C83E6A">
        <w:rPr>
          <w:b/>
          <w:lang w:val="sr-Latn-RS"/>
        </w:rPr>
        <w:t>4.1.</w:t>
      </w:r>
      <w:r w:rsidRPr="00C83E6A">
        <w:rPr>
          <w:b/>
          <w:lang w:val="sr-Latn-RS"/>
        </w:rPr>
        <w:tab/>
        <w:t>Terapijske indikacije</w:t>
      </w:r>
    </w:p>
    <w:p w14:paraId="1A841C55" w14:textId="77777777" w:rsidR="00D26E8E" w:rsidRPr="00C83E6A" w:rsidRDefault="00D26E8E" w:rsidP="001D6451">
      <w:pPr>
        <w:pStyle w:val="TextItalicized"/>
        <w:keepNext/>
        <w:tabs>
          <w:tab w:val="left" w:pos="567"/>
        </w:tabs>
        <w:jc w:val="both"/>
        <w:rPr>
          <w:rFonts w:eastAsia="PMingLiU"/>
          <w:i w:val="0"/>
          <w:iCs w:val="0"/>
          <w:sz w:val="22"/>
          <w:szCs w:val="22"/>
          <w:u w:val="single"/>
          <w:lang w:val="sr-Latn-RS"/>
        </w:rPr>
      </w:pPr>
    </w:p>
    <w:p w14:paraId="593FAE7C" w14:textId="77777777" w:rsidR="00D26E8E" w:rsidRPr="00C83E6A" w:rsidRDefault="00096D7F" w:rsidP="001D6451">
      <w:pPr>
        <w:pStyle w:val="TextItalicized"/>
        <w:keepNext/>
        <w:tabs>
          <w:tab w:val="left" w:pos="567"/>
        </w:tabs>
        <w:jc w:val="both"/>
        <w:rPr>
          <w:rFonts w:eastAsia="PMingLiU"/>
          <w:i w:val="0"/>
          <w:iCs w:val="0"/>
          <w:sz w:val="22"/>
          <w:szCs w:val="22"/>
          <w:u w:val="single"/>
          <w:lang w:val="sr-Latn-RS"/>
        </w:rPr>
      </w:pPr>
      <w:r w:rsidRPr="00C83E6A">
        <w:rPr>
          <w:i w:val="0"/>
          <w:sz w:val="22"/>
          <w:szCs w:val="22"/>
          <w:u w:val="single"/>
          <w:lang w:val="sr-Latn-RS"/>
        </w:rPr>
        <w:t>Hiperholesterolemija i miješana dislipidemija</w:t>
      </w:r>
    </w:p>
    <w:p w14:paraId="7B15C16E" w14:textId="77777777" w:rsidR="00D26E8E" w:rsidRPr="00C83E6A" w:rsidRDefault="00D26E8E" w:rsidP="001D6451">
      <w:pPr>
        <w:pStyle w:val="TextItalicized"/>
        <w:keepNext/>
        <w:tabs>
          <w:tab w:val="left" w:pos="567"/>
        </w:tabs>
        <w:jc w:val="both"/>
        <w:rPr>
          <w:rFonts w:eastAsia="PMingLiU"/>
          <w:i w:val="0"/>
          <w:iCs w:val="0"/>
          <w:sz w:val="22"/>
          <w:szCs w:val="22"/>
          <w:u w:val="single"/>
          <w:lang w:val="sr-Latn-RS"/>
        </w:rPr>
      </w:pPr>
    </w:p>
    <w:p w14:paraId="0CAA98DE" w14:textId="77777777" w:rsidR="00D26E8E" w:rsidRPr="00C83E6A" w:rsidRDefault="00096D7F" w:rsidP="001D6451">
      <w:pPr>
        <w:keepNext/>
        <w:jc w:val="both"/>
        <w:rPr>
          <w:rFonts w:eastAsia="PMingLiU"/>
          <w:lang w:val="sr-Latn-RS"/>
        </w:rPr>
      </w:pPr>
      <w:r w:rsidRPr="00C83E6A">
        <w:rPr>
          <w:lang w:val="sr-Latn-RS"/>
        </w:rPr>
        <w:t>Lijek Repatha je indikovan kod odraslih sa primarnom hiperholesterolemijom (heterozigotna porodična i stečena) ili miješanom dislipidemijom, i kod pedijatrijskih pacijenata uzrasta od 10 i više godina sa heterozigotnom porodičnom hiperholesterolemijom, kao dodatak ishrani:</w:t>
      </w:r>
    </w:p>
    <w:p w14:paraId="07B73287" w14:textId="77777777" w:rsidR="00D26E8E" w:rsidRPr="00C83E6A" w:rsidRDefault="00096D7F" w:rsidP="001D6451">
      <w:pPr>
        <w:pStyle w:val="StyleBulleted"/>
        <w:jc w:val="both"/>
        <w:rPr>
          <w:rFonts w:eastAsia="PMingLiU"/>
          <w:i/>
          <w:lang w:val="sr-Latn-RS"/>
        </w:rPr>
      </w:pPr>
      <w:r w:rsidRPr="00C83E6A">
        <w:rPr>
          <w:lang w:val="sr-Latn-RS"/>
        </w:rPr>
        <w:t>u kombinaciji sa statinom ili sa statinom sa drugim terapijama za snižavanje nivoa lipida kod pacijenata koji ne mogu da postignu ciljne vrijednosti LDL</w:t>
      </w:r>
      <w:r w:rsidRPr="00C83E6A">
        <w:rPr>
          <w:lang w:val="sr-Latn-RS"/>
        </w:rPr>
        <w:noBreakHyphen/>
        <w:t>C</w:t>
      </w:r>
      <w:r w:rsidRPr="00C83E6A">
        <w:rPr>
          <w:lang w:val="sr-Latn-RS"/>
        </w:rPr>
        <w:noBreakHyphen/>
        <w:t xml:space="preserve">a (engl. </w:t>
      </w:r>
      <w:r w:rsidRPr="00C83E6A">
        <w:rPr>
          <w:i/>
          <w:lang w:val="sr-Latn-RS"/>
        </w:rPr>
        <w:t>Low Density Lipoprotein</w:t>
      </w:r>
      <w:r w:rsidRPr="00C83E6A">
        <w:rPr>
          <w:i/>
          <w:lang w:val="sr-Latn-RS"/>
        </w:rPr>
        <w:noBreakHyphen/>
        <w:t>Cholesterol</w:t>
      </w:r>
      <w:r w:rsidRPr="00C83E6A">
        <w:rPr>
          <w:lang w:val="sr-Latn-RS"/>
        </w:rPr>
        <w:t>) uz maksimalno podnošljive doze statina, ili</w:t>
      </w:r>
    </w:p>
    <w:p w14:paraId="1A1A0929" w14:textId="77777777" w:rsidR="00D26E8E" w:rsidRPr="00C83E6A" w:rsidRDefault="00096D7F" w:rsidP="001D6451">
      <w:pPr>
        <w:pStyle w:val="TextItalicized"/>
        <w:numPr>
          <w:ilvl w:val="0"/>
          <w:numId w:val="33"/>
        </w:numPr>
        <w:ind w:left="567" w:hanging="567"/>
        <w:jc w:val="both"/>
        <w:rPr>
          <w:rFonts w:eastAsia="PMingLiU"/>
          <w:i w:val="0"/>
          <w:iCs w:val="0"/>
          <w:sz w:val="22"/>
          <w:szCs w:val="22"/>
          <w:lang w:val="sr-Latn-RS"/>
        </w:rPr>
      </w:pPr>
      <w:r w:rsidRPr="00C83E6A">
        <w:rPr>
          <w:i w:val="0"/>
          <w:sz w:val="22"/>
          <w:szCs w:val="22"/>
          <w:lang w:val="sr-Latn-RS"/>
        </w:rPr>
        <w:t>sam ili u kombinaciji sa drugim terapijama za snižavanje nivoa lipida kod pacijenata koji ne podnose statine ili kod kojih je statin kontraindikovan.</w:t>
      </w:r>
    </w:p>
    <w:p w14:paraId="73DE327F" w14:textId="77777777" w:rsidR="00D26E8E" w:rsidRPr="00C83E6A" w:rsidRDefault="00D26E8E" w:rsidP="001D6451">
      <w:pPr>
        <w:pStyle w:val="TextItalicized"/>
        <w:jc w:val="both"/>
        <w:rPr>
          <w:rFonts w:eastAsia="PMingLiU"/>
          <w:i w:val="0"/>
          <w:iCs w:val="0"/>
          <w:sz w:val="22"/>
          <w:szCs w:val="22"/>
          <w:lang w:val="sr-Latn-RS"/>
        </w:rPr>
      </w:pPr>
    </w:p>
    <w:p w14:paraId="2E4432B7" w14:textId="77777777" w:rsidR="00D26E8E" w:rsidRPr="00C83E6A" w:rsidRDefault="00096D7F" w:rsidP="001D6451">
      <w:pPr>
        <w:pStyle w:val="TextItalicized"/>
        <w:keepNext/>
        <w:tabs>
          <w:tab w:val="left" w:pos="567"/>
        </w:tabs>
        <w:jc w:val="both"/>
        <w:rPr>
          <w:rFonts w:eastAsia="PMingLiU"/>
          <w:i w:val="0"/>
          <w:iCs w:val="0"/>
          <w:sz w:val="22"/>
          <w:szCs w:val="22"/>
          <w:u w:val="single"/>
          <w:lang w:val="sr-Latn-RS"/>
        </w:rPr>
      </w:pPr>
      <w:r w:rsidRPr="00C83E6A">
        <w:rPr>
          <w:i w:val="0"/>
          <w:sz w:val="22"/>
          <w:szCs w:val="22"/>
          <w:u w:val="single"/>
          <w:lang w:val="sr-Latn-RS"/>
        </w:rPr>
        <w:t>Homozigotna porodična hiperholesterolemija</w:t>
      </w:r>
    </w:p>
    <w:p w14:paraId="095A64A2" w14:textId="77777777" w:rsidR="00D26E8E" w:rsidRPr="00C83E6A" w:rsidRDefault="00D26E8E" w:rsidP="001D6451">
      <w:pPr>
        <w:pStyle w:val="TextItalicized"/>
        <w:keepNext/>
        <w:tabs>
          <w:tab w:val="left" w:pos="567"/>
        </w:tabs>
        <w:jc w:val="both"/>
        <w:rPr>
          <w:rFonts w:eastAsia="PMingLiU"/>
          <w:i w:val="0"/>
          <w:iCs w:val="0"/>
          <w:sz w:val="22"/>
          <w:szCs w:val="22"/>
          <w:u w:val="single"/>
          <w:lang w:val="sr-Latn-RS"/>
        </w:rPr>
      </w:pPr>
    </w:p>
    <w:p w14:paraId="6BD35FA2" w14:textId="77777777" w:rsidR="00D26E8E" w:rsidRPr="00C83E6A" w:rsidRDefault="00096D7F" w:rsidP="001D6451">
      <w:pPr>
        <w:pStyle w:val="TextItalicized"/>
        <w:tabs>
          <w:tab w:val="left" w:pos="567"/>
        </w:tabs>
        <w:jc w:val="both"/>
        <w:rPr>
          <w:rFonts w:eastAsia="PMingLiU"/>
          <w:i w:val="0"/>
          <w:iCs w:val="0"/>
          <w:sz w:val="22"/>
          <w:szCs w:val="22"/>
          <w:lang w:val="sr-Latn-RS"/>
        </w:rPr>
      </w:pPr>
      <w:r w:rsidRPr="00C83E6A">
        <w:rPr>
          <w:i w:val="0"/>
          <w:sz w:val="22"/>
          <w:szCs w:val="22"/>
          <w:lang w:val="sr-Latn-RS"/>
        </w:rPr>
        <w:t>Lijek Repatha je indikovan kod odraslih i pedijatrijskih pacijenata uzrasta od 10 i više godina sa homozigotnom porodičnom hiperholesterolemijom u kombinaciji sa drugim terapijama za snižavanje nivoa lipida.</w:t>
      </w:r>
    </w:p>
    <w:p w14:paraId="2708C051" w14:textId="77777777" w:rsidR="00D26E8E" w:rsidRPr="00C83E6A" w:rsidRDefault="00D26E8E" w:rsidP="001D6451">
      <w:pPr>
        <w:pStyle w:val="TextItalicized"/>
        <w:tabs>
          <w:tab w:val="left" w:pos="567"/>
        </w:tabs>
        <w:jc w:val="both"/>
        <w:rPr>
          <w:rFonts w:eastAsia="PMingLiU"/>
          <w:i w:val="0"/>
          <w:iCs w:val="0"/>
          <w:sz w:val="22"/>
          <w:szCs w:val="22"/>
          <w:lang w:val="sr-Latn-RS"/>
        </w:rPr>
      </w:pPr>
    </w:p>
    <w:p w14:paraId="15C69DA6" w14:textId="77777777" w:rsidR="00D26E8E" w:rsidRPr="00C83E6A" w:rsidRDefault="008F7CA7" w:rsidP="001D6451">
      <w:pPr>
        <w:pStyle w:val="TextItalicized"/>
        <w:keepNext/>
        <w:tabs>
          <w:tab w:val="left" w:pos="567"/>
        </w:tabs>
        <w:jc w:val="both"/>
        <w:rPr>
          <w:rFonts w:eastAsia="PMingLiU"/>
          <w:i w:val="0"/>
          <w:iCs w:val="0"/>
          <w:sz w:val="22"/>
          <w:szCs w:val="22"/>
          <w:u w:val="single"/>
          <w:lang w:val="sr-Latn-RS"/>
        </w:rPr>
      </w:pPr>
      <w:r w:rsidRPr="00C83E6A">
        <w:rPr>
          <w:i w:val="0"/>
          <w:sz w:val="22"/>
          <w:szCs w:val="22"/>
          <w:u w:val="single"/>
          <w:lang w:val="sr-Latn-RS"/>
        </w:rPr>
        <w:lastRenderedPageBreak/>
        <w:t>Utvrđena aterosklerotska kardiovaskularna bolest</w:t>
      </w:r>
    </w:p>
    <w:p w14:paraId="7F9AA1F2" w14:textId="77777777" w:rsidR="00D26E8E" w:rsidRPr="00C83E6A" w:rsidRDefault="00D26E8E" w:rsidP="001D6451">
      <w:pPr>
        <w:pStyle w:val="TextItalicized"/>
        <w:keepNext/>
        <w:tabs>
          <w:tab w:val="left" w:pos="567"/>
        </w:tabs>
        <w:jc w:val="both"/>
        <w:rPr>
          <w:rFonts w:eastAsia="PMingLiU"/>
          <w:i w:val="0"/>
          <w:iCs w:val="0"/>
          <w:sz w:val="22"/>
          <w:szCs w:val="22"/>
          <w:u w:val="single"/>
          <w:lang w:val="sr-Latn-RS"/>
        </w:rPr>
      </w:pPr>
    </w:p>
    <w:p w14:paraId="6A43CD67" w14:textId="77777777" w:rsidR="00D26E8E" w:rsidRPr="00C83E6A" w:rsidRDefault="008F7CA7" w:rsidP="001D6451">
      <w:pPr>
        <w:keepNext/>
        <w:jc w:val="both"/>
        <w:rPr>
          <w:rFonts w:eastAsia="PMingLiU"/>
          <w:lang w:val="sr-Latn-RS"/>
        </w:rPr>
      </w:pPr>
      <w:r w:rsidRPr="00C83E6A">
        <w:rPr>
          <w:lang w:val="sr-Latn-RS"/>
        </w:rPr>
        <w:t>Lijek Repatha je indikovan kod odraslih osoba sa utvrđenom aterosklerotskom kardiovaskularnom bolešću (infarkt miokarda, moždani udar ili periferna arterijska bolest) za smanjivanje kardiovaskularnog rizika snižavanjem nivoa LDL</w:t>
      </w:r>
      <w:r w:rsidRPr="00C83E6A">
        <w:rPr>
          <w:lang w:val="sr-Latn-RS"/>
        </w:rPr>
        <w:noBreakHyphen/>
        <w:t>C</w:t>
      </w:r>
      <w:r w:rsidRPr="00C83E6A">
        <w:rPr>
          <w:lang w:val="sr-Latn-RS"/>
        </w:rPr>
        <w:noBreakHyphen/>
        <w:t>a, kao dodatak uz korekciju drugih faktora rizika:</w:t>
      </w:r>
    </w:p>
    <w:p w14:paraId="462BD870" w14:textId="77777777" w:rsidR="00D26E8E" w:rsidRPr="00C83E6A" w:rsidRDefault="008F7CA7" w:rsidP="001D6451">
      <w:pPr>
        <w:pStyle w:val="TextItalicized"/>
        <w:keepNext/>
        <w:numPr>
          <w:ilvl w:val="0"/>
          <w:numId w:val="82"/>
        </w:numPr>
        <w:ind w:left="567" w:hanging="567"/>
        <w:jc w:val="both"/>
        <w:rPr>
          <w:rFonts w:eastAsia="PMingLiU"/>
          <w:i w:val="0"/>
          <w:iCs w:val="0"/>
          <w:sz w:val="22"/>
          <w:szCs w:val="22"/>
          <w:lang w:val="sr-Latn-RS"/>
        </w:rPr>
      </w:pPr>
      <w:r w:rsidRPr="00C83E6A">
        <w:rPr>
          <w:i w:val="0"/>
          <w:sz w:val="22"/>
          <w:szCs w:val="22"/>
          <w:lang w:val="sr-Latn-RS"/>
        </w:rPr>
        <w:t>u kombinaciji sa maksimalnom tolerisanom dozom statina sa ili bez druge terapije za snižavanje nivoa holesterola, ili</w:t>
      </w:r>
    </w:p>
    <w:p w14:paraId="1B1B095F" w14:textId="77777777" w:rsidR="00D26E8E" w:rsidRPr="00C83E6A" w:rsidRDefault="008F7CA7" w:rsidP="001D6451">
      <w:pPr>
        <w:pStyle w:val="TextItalicized"/>
        <w:numPr>
          <w:ilvl w:val="0"/>
          <w:numId w:val="82"/>
        </w:numPr>
        <w:ind w:left="567" w:hanging="567"/>
        <w:jc w:val="both"/>
        <w:rPr>
          <w:rFonts w:eastAsia="PMingLiU"/>
          <w:i w:val="0"/>
          <w:iCs w:val="0"/>
          <w:sz w:val="22"/>
          <w:szCs w:val="22"/>
          <w:lang w:val="sr-Latn-RS"/>
        </w:rPr>
      </w:pPr>
      <w:r w:rsidRPr="00C83E6A">
        <w:rPr>
          <w:i w:val="0"/>
          <w:sz w:val="22"/>
          <w:szCs w:val="22"/>
          <w:lang w:val="sr-Latn-RS"/>
        </w:rPr>
        <w:t>sam ili u kombinaciji sa drugim terapijama za snižavanje nivoa lipida kod pacijenata koji ne podnose statine ili kod kojih je statin kontraindikovan.</w:t>
      </w:r>
    </w:p>
    <w:p w14:paraId="77433C54" w14:textId="77777777" w:rsidR="00D26E8E" w:rsidRPr="00C83E6A" w:rsidRDefault="00D26E8E" w:rsidP="001D6451">
      <w:pPr>
        <w:pStyle w:val="TextItalicized"/>
        <w:tabs>
          <w:tab w:val="left" w:pos="567"/>
        </w:tabs>
        <w:jc w:val="both"/>
        <w:rPr>
          <w:rFonts w:eastAsia="PMingLiU"/>
          <w:i w:val="0"/>
          <w:iCs w:val="0"/>
          <w:sz w:val="22"/>
          <w:szCs w:val="22"/>
          <w:lang w:val="sr-Latn-RS"/>
        </w:rPr>
      </w:pPr>
    </w:p>
    <w:p w14:paraId="696E52E8" w14:textId="77777777" w:rsidR="00D26E8E" w:rsidRPr="00C83E6A" w:rsidRDefault="008F7CA7" w:rsidP="001D6451">
      <w:pPr>
        <w:pStyle w:val="TextItalicized"/>
        <w:tabs>
          <w:tab w:val="left" w:pos="567"/>
        </w:tabs>
        <w:jc w:val="both"/>
        <w:rPr>
          <w:rFonts w:eastAsia="PMingLiU"/>
          <w:i w:val="0"/>
          <w:iCs w:val="0"/>
          <w:sz w:val="22"/>
          <w:szCs w:val="22"/>
          <w:lang w:val="sr-Latn-RS"/>
        </w:rPr>
      </w:pPr>
      <w:r w:rsidRPr="00C83E6A">
        <w:rPr>
          <w:i w:val="0"/>
          <w:sz w:val="22"/>
          <w:szCs w:val="22"/>
          <w:lang w:val="sr-Latn-RS"/>
        </w:rPr>
        <w:t>Rezultati studija u vezi sa efektima na LDL</w:t>
      </w:r>
      <w:r w:rsidRPr="00C83E6A">
        <w:rPr>
          <w:i w:val="0"/>
          <w:sz w:val="22"/>
          <w:szCs w:val="22"/>
          <w:lang w:val="sr-Latn-RS"/>
        </w:rPr>
        <w:noBreakHyphen/>
        <w:t>C, kardiovaskularne događaje i ispitivane populacije su opisani u dijelu 5.1.</w:t>
      </w:r>
    </w:p>
    <w:p w14:paraId="486F79CE" w14:textId="77777777" w:rsidR="00D26E8E" w:rsidRPr="00C83E6A" w:rsidRDefault="00D26E8E" w:rsidP="001D6451">
      <w:pPr>
        <w:pStyle w:val="TextItalicized"/>
        <w:tabs>
          <w:tab w:val="left" w:pos="567"/>
        </w:tabs>
        <w:jc w:val="both"/>
        <w:rPr>
          <w:rFonts w:eastAsia="PMingLiU"/>
          <w:i w:val="0"/>
          <w:iCs w:val="0"/>
          <w:sz w:val="22"/>
          <w:szCs w:val="22"/>
          <w:lang w:val="sr-Latn-RS"/>
        </w:rPr>
      </w:pPr>
    </w:p>
    <w:p w14:paraId="77A0A069" w14:textId="77777777" w:rsidR="00D26E8E" w:rsidRPr="00C83E6A" w:rsidRDefault="00096D7F" w:rsidP="001D6451">
      <w:pPr>
        <w:keepNext/>
        <w:ind w:left="567" w:hanging="567"/>
        <w:jc w:val="both"/>
        <w:outlineLvl w:val="0"/>
        <w:rPr>
          <w:rFonts w:eastAsia="PMingLiU"/>
          <w:b/>
          <w:bCs/>
          <w:lang w:val="sr-Latn-RS"/>
        </w:rPr>
      </w:pPr>
      <w:r w:rsidRPr="00C83E6A">
        <w:rPr>
          <w:b/>
          <w:lang w:val="sr-Latn-RS"/>
        </w:rPr>
        <w:t>4.2.</w:t>
      </w:r>
      <w:r w:rsidRPr="00C83E6A">
        <w:rPr>
          <w:b/>
          <w:lang w:val="sr-Latn-RS"/>
        </w:rPr>
        <w:tab/>
        <w:t>Doziranje i način primjene</w:t>
      </w:r>
    </w:p>
    <w:p w14:paraId="6836CE68" w14:textId="77777777" w:rsidR="00D26E8E" w:rsidRPr="00C83E6A" w:rsidRDefault="00D26E8E" w:rsidP="001D6451">
      <w:pPr>
        <w:keepNext/>
        <w:jc w:val="both"/>
        <w:rPr>
          <w:rFonts w:eastAsia="PMingLiU"/>
          <w:lang w:val="sr-Latn-RS"/>
        </w:rPr>
      </w:pPr>
    </w:p>
    <w:p w14:paraId="19996C23" w14:textId="77777777" w:rsidR="00D26E8E" w:rsidRPr="00C83E6A" w:rsidRDefault="00096D7F" w:rsidP="001D6451">
      <w:pPr>
        <w:tabs>
          <w:tab w:val="clear" w:pos="567"/>
        </w:tabs>
        <w:autoSpaceDE w:val="0"/>
        <w:autoSpaceDN w:val="0"/>
        <w:adjustRightInd w:val="0"/>
        <w:jc w:val="both"/>
        <w:rPr>
          <w:rFonts w:eastAsia="PMingLiU"/>
          <w:lang w:val="sr-Latn-RS"/>
        </w:rPr>
      </w:pPr>
      <w:r w:rsidRPr="00C83E6A">
        <w:rPr>
          <w:lang w:val="sr-Latn-RS"/>
        </w:rPr>
        <w:t>Prije početka primjene evolokumaba, potrebno je isključiti sekundarne uzroke hiperlipidemije ili miješane dislipidemije (npr. nefrotski sindrom, hipotireoza).</w:t>
      </w:r>
    </w:p>
    <w:p w14:paraId="2DD633F6" w14:textId="77777777" w:rsidR="00D26E8E" w:rsidRPr="00C83E6A" w:rsidRDefault="00D26E8E" w:rsidP="001D6451">
      <w:pPr>
        <w:tabs>
          <w:tab w:val="clear" w:pos="567"/>
        </w:tabs>
        <w:autoSpaceDE w:val="0"/>
        <w:autoSpaceDN w:val="0"/>
        <w:adjustRightInd w:val="0"/>
        <w:jc w:val="both"/>
        <w:rPr>
          <w:rFonts w:eastAsia="PMingLiU"/>
          <w:lang w:val="sr-Latn-RS"/>
        </w:rPr>
      </w:pPr>
    </w:p>
    <w:p w14:paraId="0D943585" w14:textId="77777777" w:rsidR="00D26E8E" w:rsidRPr="00C83E6A" w:rsidRDefault="00096D7F" w:rsidP="001D6451">
      <w:pPr>
        <w:keepNext/>
        <w:jc w:val="both"/>
        <w:rPr>
          <w:rFonts w:eastAsia="PMingLiU"/>
          <w:u w:val="single"/>
          <w:lang w:val="sr-Latn-RS"/>
        </w:rPr>
      </w:pPr>
      <w:r w:rsidRPr="00C83E6A">
        <w:rPr>
          <w:u w:val="single"/>
          <w:lang w:val="sr-Latn-RS"/>
        </w:rPr>
        <w:t>Doziranje</w:t>
      </w:r>
    </w:p>
    <w:p w14:paraId="09D5D7EE" w14:textId="77777777" w:rsidR="00D26E8E" w:rsidRPr="00C83E6A" w:rsidRDefault="00D26E8E" w:rsidP="001D6451">
      <w:pPr>
        <w:keepNext/>
        <w:tabs>
          <w:tab w:val="clear" w:pos="567"/>
        </w:tabs>
        <w:autoSpaceDE w:val="0"/>
        <w:autoSpaceDN w:val="0"/>
        <w:adjustRightInd w:val="0"/>
        <w:jc w:val="both"/>
        <w:rPr>
          <w:rFonts w:eastAsia="PMingLiU"/>
          <w:lang w:val="sr-Latn-RS"/>
        </w:rPr>
      </w:pPr>
    </w:p>
    <w:p w14:paraId="6BC98A2B" w14:textId="77777777" w:rsidR="00D26E8E" w:rsidRPr="00C83E6A" w:rsidRDefault="00096D7F" w:rsidP="001D6451">
      <w:pPr>
        <w:pStyle w:val="TextItalicized"/>
        <w:keepNext/>
        <w:jc w:val="both"/>
        <w:rPr>
          <w:sz w:val="22"/>
          <w:szCs w:val="22"/>
          <w:lang w:val="sr-Latn-RS"/>
        </w:rPr>
      </w:pPr>
      <w:r w:rsidRPr="00C83E6A">
        <w:rPr>
          <w:sz w:val="22"/>
          <w:szCs w:val="22"/>
          <w:lang w:val="sr-Latn-RS"/>
        </w:rPr>
        <w:t>Primarna hiperholesterolemija i miješana dislipidemija (uključujući heterozigotnu porodičnu hiperholesterolemiju)</w:t>
      </w:r>
    </w:p>
    <w:p w14:paraId="2DC6831E" w14:textId="77777777" w:rsidR="00A72B3E" w:rsidRPr="00C83E6A" w:rsidRDefault="00A72B3E" w:rsidP="001D6451">
      <w:pPr>
        <w:pStyle w:val="TextItalicized"/>
        <w:jc w:val="both"/>
        <w:rPr>
          <w:i w:val="0"/>
          <w:iCs w:val="0"/>
          <w:sz w:val="22"/>
          <w:szCs w:val="22"/>
          <w:lang w:val="sr-Latn-RS"/>
        </w:rPr>
      </w:pPr>
    </w:p>
    <w:p w14:paraId="33A0D42A" w14:textId="77777777" w:rsidR="00A72B3E" w:rsidRPr="00C83E6A" w:rsidRDefault="00A72B3E" w:rsidP="001D6451">
      <w:pPr>
        <w:pStyle w:val="Style11ptItalic"/>
        <w:keepNext/>
        <w:jc w:val="both"/>
        <w:rPr>
          <w:rFonts w:eastAsia="PMingLiU"/>
          <w:lang w:val="sr-Latn-RS"/>
        </w:rPr>
      </w:pPr>
      <w:r w:rsidRPr="00C83E6A">
        <w:rPr>
          <w:lang w:val="sr-Latn-RS"/>
        </w:rPr>
        <w:t>Odrasli i pedijatrijski pacijenti (uzrasta od 10 i više godina)</w:t>
      </w:r>
    </w:p>
    <w:p w14:paraId="3BF826ED" w14:textId="77777777" w:rsidR="00D26E8E" w:rsidRPr="00C83E6A" w:rsidRDefault="00096D7F" w:rsidP="001D6451">
      <w:pPr>
        <w:tabs>
          <w:tab w:val="clear" w:pos="567"/>
        </w:tabs>
        <w:autoSpaceDE w:val="0"/>
        <w:autoSpaceDN w:val="0"/>
        <w:adjustRightInd w:val="0"/>
        <w:jc w:val="both"/>
        <w:rPr>
          <w:rFonts w:eastAsia="PMingLiU"/>
          <w:lang w:val="sr-Latn-RS"/>
        </w:rPr>
      </w:pPr>
      <w:r w:rsidRPr="00C83E6A">
        <w:rPr>
          <w:lang w:val="sr-Latn-RS"/>
        </w:rPr>
        <w:t>Preporučena doza evolokumaba je 140 mg svake dvije nedjelje ili 420 mg jednom mjesečno; obje doze su klinički ekvivalentne.</w:t>
      </w:r>
    </w:p>
    <w:p w14:paraId="39FA1981" w14:textId="77777777" w:rsidR="00D26E8E" w:rsidRPr="00C83E6A" w:rsidRDefault="00D26E8E" w:rsidP="001D6451">
      <w:pPr>
        <w:tabs>
          <w:tab w:val="clear" w:pos="567"/>
        </w:tabs>
        <w:autoSpaceDE w:val="0"/>
        <w:autoSpaceDN w:val="0"/>
        <w:adjustRightInd w:val="0"/>
        <w:jc w:val="both"/>
        <w:rPr>
          <w:rFonts w:eastAsia="PMingLiU"/>
          <w:lang w:val="sr-Latn-RS"/>
        </w:rPr>
      </w:pPr>
    </w:p>
    <w:p w14:paraId="4AB147AC" w14:textId="77777777" w:rsidR="00D26E8E" w:rsidRPr="00C83E6A" w:rsidRDefault="00096D7F" w:rsidP="001D6451">
      <w:pPr>
        <w:pStyle w:val="TextItalicized"/>
        <w:keepNext/>
        <w:jc w:val="both"/>
        <w:rPr>
          <w:rFonts w:eastAsia="PMingLiU"/>
          <w:sz w:val="22"/>
          <w:szCs w:val="22"/>
          <w:lang w:val="sr-Latn-RS"/>
        </w:rPr>
      </w:pPr>
      <w:r w:rsidRPr="00C83E6A">
        <w:rPr>
          <w:sz w:val="22"/>
          <w:szCs w:val="22"/>
          <w:lang w:val="sr-Latn-RS"/>
        </w:rPr>
        <w:t>Homozigotna porodična hiperholesterolemija kod odraslih i pedijatrijskih pacijenata uzrasta od 10 i više godina</w:t>
      </w:r>
    </w:p>
    <w:p w14:paraId="0E177B36" w14:textId="77777777" w:rsidR="00D26E8E" w:rsidRPr="00C83E6A" w:rsidRDefault="00096D7F" w:rsidP="001D6451">
      <w:pPr>
        <w:pStyle w:val="TableCenterAlign"/>
        <w:spacing w:before="0" w:after="0" w:line="240" w:lineRule="auto"/>
        <w:jc w:val="both"/>
        <w:rPr>
          <w:rFonts w:ascii="Times New Roman" w:eastAsia="PMingLiU" w:hAnsi="Times New Roman"/>
          <w:lang w:val="sr-Latn-RS"/>
        </w:rPr>
      </w:pPr>
      <w:r w:rsidRPr="00C83E6A">
        <w:rPr>
          <w:rFonts w:ascii="Times New Roman" w:hAnsi="Times New Roman"/>
          <w:lang w:val="sr-Latn-RS"/>
        </w:rPr>
        <w:t>Preporučena početna doza je 420 mg jednom mjesečno. Ako klinički značajan odgovor nije postignut nakon 12 nedjelja liječenja, učestalost primjene doze može se povećati na 420 mg jednom svake 2 nedjelje. Pacijenti na aferezi mogu da započnu liječenje sa 420 mg svake dvije nedjelje kako bi bili u skladu sa svojim rasporedom afereze.</w:t>
      </w:r>
    </w:p>
    <w:p w14:paraId="35DE8568" w14:textId="77777777" w:rsidR="00D26E8E" w:rsidRPr="00C83E6A" w:rsidRDefault="00D26E8E" w:rsidP="001D6451">
      <w:pPr>
        <w:pStyle w:val="TextItalicized"/>
        <w:jc w:val="both"/>
        <w:rPr>
          <w:rFonts w:eastAsia="PMingLiU"/>
          <w:i w:val="0"/>
          <w:iCs w:val="0"/>
          <w:sz w:val="22"/>
          <w:szCs w:val="22"/>
          <w:lang w:val="sr-Latn-RS"/>
        </w:rPr>
      </w:pPr>
    </w:p>
    <w:p w14:paraId="34B0C8DD" w14:textId="77777777" w:rsidR="00D26E8E" w:rsidRPr="00C83E6A" w:rsidRDefault="008F7CA7" w:rsidP="001D6451">
      <w:pPr>
        <w:pStyle w:val="StyleItalicLeft"/>
        <w:jc w:val="both"/>
        <w:rPr>
          <w:rFonts w:eastAsia="PMingLiU"/>
          <w:bCs w:val="0"/>
          <w:lang w:val="sr-Latn-RS"/>
        </w:rPr>
      </w:pPr>
      <w:r w:rsidRPr="00C83E6A">
        <w:rPr>
          <w:lang w:val="sr-Latn-RS"/>
        </w:rPr>
        <w:t>Utvrđena aterosklerotska kardiovaskularna bolest kod odraslih</w:t>
      </w:r>
    </w:p>
    <w:p w14:paraId="7D169734" w14:textId="77777777" w:rsidR="00D26E8E" w:rsidRPr="00C83E6A" w:rsidRDefault="008F7CA7" w:rsidP="001D6451">
      <w:pPr>
        <w:tabs>
          <w:tab w:val="clear" w:pos="567"/>
        </w:tabs>
        <w:autoSpaceDE w:val="0"/>
        <w:autoSpaceDN w:val="0"/>
        <w:adjustRightInd w:val="0"/>
        <w:jc w:val="both"/>
        <w:rPr>
          <w:rFonts w:eastAsia="PMingLiU"/>
          <w:lang w:val="sr-Latn-RS"/>
        </w:rPr>
      </w:pPr>
      <w:r w:rsidRPr="00C83E6A">
        <w:rPr>
          <w:lang w:val="sr-Latn-RS"/>
        </w:rPr>
        <w:t>Preporučena doza evolokumaba je 140 mg svake dvije nedjelje ili 420 mg jednom mjesečno; obje doze su klinički ekvivalentne.</w:t>
      </w:r>
    </w:p>
    <w:p w14:paraId="66B3ACAF" w14:textId="77777777" w:rsidR="00D26E8E" w:rsidRPr="00C83E6A" w:rsidRDefault="00D26E8E" w:rsidP="001D6451">
      <w:pPr>
        <w:jc w:val="both"/>
        <w:rPr>
          <w:lang w:val="sr-Latn-RS"/>
        </w:rPr>
      </w:pPr>
    </w:p>
    <w:p w14:paraId="15F4AD16" w14:textId="77777777" w:rsidR="00D26E8E" w:rsidRPr="00C83E6A" w:rsidRDefault="000C0214" w:rsidP="001D6451">
      <w:pPr>
        <w:pStyle w:val="Style11ptunderline"/>
        <w:keepNext/>
        <w:jc w:val="both"/>
        <w:rPr>
          <w:lang w:val="sr-Latn-RS"/>
        </w:rPr>
      </w:pPr>
      <w:r w:rsidRPr="00C83E6A">
        <w:rPr>
          <w:lang w:val="sr-Latn-RS"/>
        </w:rPr>
        <w:t>Posebne populacije</w:t>
      </w:r>
    </w:p>
    <w:p w14:paraId="66A0F3F7" w14:textId="77777777" w:rsidR="00D26E8E" w:rsidRPr="00C83E6A" w:rsidRDefault="00D26E8E" w:rsidP="001D6451">
      <w:pPr>
        <w:keepNext/>
        <w:jc w:val="both"/>
        <w:rPr>
          <w:lang w:val="sr-Latn-RS"/>
        </w:rPr>
      </w:pPr>
    </w:p>
    <w:p w14:paraId="47BC35CE" w14:textId="77777777" w:rsidR="00D26E8E" w:rsidRPr="00C83E6A" w:rsidRDefault="000C0214" w:rsidP="001D6451">
      <w:pPr>
        <w:pStyle w:val="Style11ptItalic"/>
        <w:jc w:val="both"/>
        <w:rPr>
          <w:lang w:val="sr-Latn-RS"/>
        </w:rPr>
      </w:pPr>
      <w:r w:rsidRPr="00C83E6A">
        <w:rPr>
          <w:lang w:val="sr-Latn-RS"/>
        </w:rPr>
        <w:t>Stariji pacijenti (uzrasta ≥ 65 godina)</w:t>
      </w:r>
    </w:p>
    <w:p w14:paraId="1A68E8F8" w14:textId="77777777" w:rsidR="00D26E8E" w:rsidRPr="00C83E6A" w:rsidRDefault="000C0214" w:rsidP="001D6451">
      <w:pPr>
        <w:jc w:val="both"/>
        <w:rPr>
          <w:i/>
          <w:lang w:val="sr-Latn-RS"/>
        </w:rPr>
      </w:pPr>
      <w:r w:rsidRPr="00C83E6A">
        <w:rPr>
          <w:lang w:val="sr-Latn-RS"/>
        </w:rPr>
        <w:t>Nije potrebno prilagođavanje doze kod starijih pacijenata.</w:t>
      </w:r>
    </w:p>
    <w:p w14:paraId="45BE305C" w14:textId="77777777" w:rsidR="00D26E8E" w:rsidRPr="00C83E6A" w:rsidRDefault="00D26E8E" w:rsidP="001D6451">
      <w:pPr>
        <w:tabs>
          <w:tab w:val="clear" w:pos="567"/>
        </w:tabs>
        <w:autoSpaceDE w:val="0"/>
        <w:autoSpaceDN w:val="0"/>
        <w:adjustRightInd w:val="0"/>
        <w:jc w:val="both"/>
        <w:rPr>
          <w:rFonts w:eastAsia="PMingLiU"/>
          <w:lang w:val="sr-Latn-RS"/>
        </w:rPr>
      </w:pPr>
    </w:p>
    <w:p w14:paraId="2C521117" w14:textId="77777777" w:rsidR="00D26E8E" w:rsidRPr="00C83E6A" w:rsidRDefault="00096D7F" w:rsidP="001D6451">
      <w:pPr>
        <w:pStyle w:val="TableCenterAlign"/>
        <w:keepNext/>
        <w:spacing w:before="0" w:after="0" w:line="240" w:lineRule="auto"/>
        <w:jc w:val="both"/>
        <w:rPr>
          <w:rFonts w:ascii="Times New Roman" w:eastAsia="PMingLiU" w:hAnsi="Times New Roman"/>
          <w:i/>
          <w:lang w:val="sr-Latn-RS"/>
        </w:rPr>
      </w:pPr>
      <w:r w:rsidRPr="00C83E6A">
        <w:rPr>
          <w:rFonts w:ascii="Times New Roman" w:hAnsi="Times New Roman"/>
          <w:i/>
          <w:lang w:val="sr-Latn-RS"/>
        </w:rPr>
        <w:t>Pacijenti sa oštećenjem bubrega</w:t>
      </w:r>
    </w:p>
    <w:p w14:paraId="636666C3" w14:textId="77777777" w:rsidR="00D26E8E" w:rsidRPr="00C83E6A" w:rsidRDefault="00096D7F" w:rsidP="001D6451">
      <w:pPr>
        <w:jc w:val="both"/>
        <w:rPr>
          <w:rFonts w:eastAsia="PMingLiU"/>
          <w:lang w:val="sr-Latn-RS"/>
        </w:rPr>
      </w:pPr>
      <w:r w:rsidRPr="00C83E6A">
        <w:rPr>
          <w:lang w:val="sr-Latn-RS"/>
        </w:rPr>
        <w:t>Nije potrebno prilagođavanje doze kod pacijenata sa oštećenjem funkcije bubrega (vidjeti dio 5.2).</w:t>
      </w:r>
    </w:p>
    <w:p w14:paraId="6A8124A6" w14:textId="77777777" w:rsidR="00D26E8E" w:rsidRPr="00C83E6A" w:rsidRDefault="00D26E8E" w:rsidP="001D6451">
      <w:pPr>
        <w:jc w:val="both"/>
        <w:rPr>
          <w:rFonts w:eastAsia="PMingLiU"/>
          <w:lang w:val="sr-Latn-RS"/>
        </w:rPr>
      </w:pPr>
    </w:p>
    <w:p w14:paraId="7767DE07" w14:textId="77777777" w:rsidR="00D26E8E" w:rsidRPr="00C83E6A" w:rsidRDefault="00096D7F" w:rsidP="001D6451">
      <w:pPr>
        <w:pStyle w:val="TableCenterAlign"/>
        <w:keepNext/>
        <w:spacing w:before="0" w:after="0" w:line="240" w:lineRule="auto"/>
        <w:jc w:val="both"/>
        <w:rPr>
          <w:rFonts w:ascii="Times New Roman" w:eastAsia="PMingLiU" w:hAnsi="Times New Roman"/>
          <w:i/>
          <w:lang w:val="sr-Latn-RS"/>
        </w:rPr>
      </w:pPr>
      <w:r w:rsidRPr="00C83E6A">
        <w:rPr>
          <w:rFonts w:ascii="Times New Roman" w:hAnsi="Times New Roman"/>
          <w:i/>
          <w:lang w:val="sr-Latn-RS"/>
        </w:rPr>
        <w:t>Pacijenti sa oštećenjem jetre</w:t>
      </w:r>
    </w:p>
    <w:p w14:paraId="66BD97B2" w14:textId="77777777" w:rsidR="00D26E8E" w:rsidRPr="00C83E6A" w:rsidRDefault="00096D7F" w:rsidP="001D6451">
      <w:pPr>
        <w:jc w:val="both"/>
        <w:rPr>
          <w:rFonts w:eastAsia="PMingLiU"/>
          <w:lang w:val="sr-Latn-RS"/>
        </w:rPr>
      </w:pPr>
      <w:r w:rsidRPr="00C83E6A">
        <w:rPr>
          <w:lang w:val="sr-Latn-RS"/>
        </w:rPr>
        <w:t>Nije potrebno prilagođavanje doze kod pacijenata sa blagim oštećenjem jetre; vidjeti dio 4.4 za pacijente sa umjerenim i teškim oštećenjem jetre.</w:t>
      </w:r>
    </w:p>
    <w:p w14:paraId="127169E6" w14:textId="77777777" w:rsidR="00D26E8E" w:rsidRPr="00C83E6A" w:rsidRDefault="00D26E8E" w:rsidP="001D6451">
      <w:pPr>
        <w:jc w:val="both"/>
        <w:rPr>
          <w:rFonts w:eastAsia="PMingLiU"/>
          <w:i/>
          <w:iCs/>
          <w:lang w:val="sr-Latn-RS"/>
        </w:rPr>
      </w:pPr>
    </w:p>
    <w:p w14:paraId="23F8550D" w14:textId="77777777" w:rsidR="00D26E8E" w:rsidRPr="00C83E6A" w:rsidRDefault="00096D7F" w:rsidP="001D6451">
      <w:pPr>
        <w:keepNext/>
        <w:jc w:val="both"/>
        <w:rPr>
          <w:rFonts w:eastAsia="PMingLiU"/>
          <w:i/>
          <w:iCs/>
          <w:lang w:val="sr-Latn-RS"/>
        </w:rPr>
      </w:pPr>
      <w:r w:rsidRPr="00C83E6A">
        <w:rPr>
          <w:i/>
          <w:lang w:val="sr-Latn-RS"/>
        </w:rPr>
        <w:t>Pedijatrijska populacija</w:t>
      </w:r>
    </w:p>
    <w:p w14:paraId="08E3ABEB" w14:textId="77777777" w:rsidR="00C35036" w:rsidRPr="00C83E6A" w:rsidRDefault="00C35036" w:rsidP="001D6451">
      <w:pPr>
        <w:jc w:val="both"/>
        <w:rPr>
          <w:lang w:val="sr-Latn-RS"/>
        </w:rPr>
      </w:pPr>
      <w:r w:rsidRPr="00C83E6A">
        <w:rPr>
          <w:lang w:val="sr-Latn-RS"/>
        </w:rPr>
        <w:t xml:space="preserve">Bezbjednost i efikasnost lijeka Repatha nijesu još utvrđene kod pedijatrijskih pacijenata sa heterozigotnom porodičnom hiperholesterolemijom (engl. </w:t>
      </w:r>
      <w:r w:rsidRPr="00C83E6A">
        <w:rPr>
          <w:i/>
          <w:lang w:val="sr-Latn-RS"/>
        </w:rPr>
        <w:t>heterozygous familial hypercholesterolaemia</w:t>
      </w:r>
      <w:r w:rsidRPr="00C83E6A">
        <w:rPr>
          <w:lang w:val="sr-Latn-RS"/>
        </w:rPr>
        <w:t xml:space="preserve">, HeFH) ili homozigotnom porodičnom hiperholesterolemijom (engl. </w:t>
      </w:r>
      <w:r w:rsidRPr="00C83E6A">
        <w:rPr>
          <w:i/>
          <w:lang w:val="sr-Latn-RS"/>
        </w:rPr>
        <w:t>homozygous familial hypercholesterolaemia</w:t>
      </w:r>
      <w:r w:rsidRPr="00C83E6A">
        <w:rPr>
          <w:lang w:val="sr-Latn-RS"/>
        </w:rPr>
        <w:t>, HoFH) koji su mlađi od 10 godina, ili kod pedijatrijskih pacijenata sa drugim tipovima hiperlipidemije.</w:t>
      </w:r>
    </w:p>
    <w:p w14:paraId="214701D5" w14:textId="77777777" w:rsidR="00D26E8E" w:rsidRPr="00C83E6A" w:rsidRDefault="00D26E8E" w:rsidP="001D6451">
      <w:pPr>
        <w:tabs>
          <w:tab w:val="clear" w:pos="567"/>
        </w:tabs>
        <w:autoSpaceDE w:val="0"/>
        <w:autoSpaceDN w:val="0"/>
        <w:adjustRightInd w:val="0"/>
        <w:jc w:val="both"/>
        <w:rPr>
          <w:rFonts w:eastAsia="PMingLiU"/>
          <w:u w:val="single"/>
          <w:lang w:val="sr-Latn-RS"/>
        </w:rPr>
      </w:pPr>
    </w:p>
    <w:p w14:paraId="3C1E0958" w14:textId="77777777" w:rsidR="00D26E8E" w:rsidRPr="00C83E6A" w:rsidRDefault="00096D7F" w:rsidP="001D6451">
      <w:pPr>
        <w:keepNext/>
        <w:tabs>
          <w:tab w:val="clear" w:pos="567"/>
        </w:tabs>
        <w:autoSpaceDE w:val="0"/>
        <w:autoSpaceDN w:val="0"/>
        <w:adjustRightInd w:val="0"/>
        <w:jc w:val="both"/>
        <w:rPr>
          <w:rFonts w:eastAsia="PMingLiU"/>
          <w:u w:val="single"/>
          <w:lang w:val="sr-Latn-RS"/>
        </w:rPr>
      </w:pPr>
      <w:r w:rsidRPr="00C83E6A">
        <w:rPr>
          <w:u w:val="single"/>
          <w:lang w:val="sr-Latn-RS"/>
        </w:rPr>
        <w:t>Način primjene</w:t>
      </w:r>
    </w:p>
    <w:p w14:paraId="67593AF3" w14:textId="77777777" w:rsidR="00D26E8E" w:rsidRPr="00C83E6A" w:rsidRDefault="00D26E8E" w:rsidP="001D6451">
      <w:pPr>
        <w:keepNext/>
        <w:jc w:val="both"/>
        <w:rPr>
          <w:rFonts w:eastAsia="PMingLiU"/>
          <w:lang w:val="sr-Latn-RS"/>
        </w:rPr>
      </w:pPr>
    </w:p>
    <w:p w14:paraId="65376F24" w14:textId="77777777" w:rsidR="00D26E8E" w:rsidRPr="00C83E6A" w:rsidRDefault="00096D7F" w:rsidP="001D6451">
      <w:pPr>
        <w:jc w:val="both"/>
        <w:rPr>
          <w:rFonts w:eastAsia="PMingLiU"/>
          <w:lang w:val="sr-Latn-RS"/>
        </w:rPr>
      </w:pPr>
      <w:r w:rsidRPr="00C83E6A">
        <w:rPr>
          <w:lang w:val="sr-Latn-RS"/>
        </w:rPr>
        <w:t>Subkutana primjena.</w:t>
      </w:r>
    </w:p>
    <w:p w14:paraId="1AAFA361" w14:textId="77777777" w:rsidR="00D26E8E" w:rsidRPr="00C83E6A" w:rsidRDefault="00D26E8E" w:rsidP="001D6451">
      <w:pPr>
        <w:jc w:val="both"/>
        <w:rPr>
          <w:rFonts w:eastAsia="PMingLiU"/>
          <w:lang w:val="sr-Latn-RS"/>
        </w:rPr>
      </w:pPr>
    </w:p>
    <w:p w14:paraId="5F1B77E9" w14:textId="77777777" w:rsidR="00B14AAD" w:rsidRPr="00C83E6A" w:rsidRDefault="006D7C6C" w:rsidP="001D6451">
      <w:pPr>
        <w:jc w:val="both"/>
        <w:rPr>
          <w:rFonts w:eastAsia="PMingLiU"/>
          <w:lang w:val="sr-Latn-RS"/>
        </w:rPr>
      </w:pPr>
      <w:r w:rsidRPr="00C83E6A">
        <w:rPr>
          <w:lang w:val="sr-Latn-RS"/>
        </w:rPr>
        <w:t>Evolokumab se primjenjuje subkutanom injekcijom u područje abdomena, butine ili nadlaktice. Mjesta primjene treba mijenjati, a injekcije ne smiju da se primjenjuju na područjima na kojima je koža osjetljiva, sa modricama, crvena ili tvrda.</w:t>
      </w:r>
    </w:p>
    <w:p w14:paraId="3BD3FDE9" w14:textId="77777777" w:rsidR="00D26E8E" w:rsidRPr="00C83E6A" w:rsidRDefault="00D26E8E" w:rsidP="001D6451">
      <w:pPr>
        <w:jc w:val="both"/>
        <w:rPr>
          <w:lang w:val="sr-Latn-RS"/>
        </w:rPr>
      </w:pPr>
    </w:p>
    <w:p w14:paraId="4EC0AC6F" w14:textId="77777777" w:rsidR="00D26E8E" w:rsidRPr="00C83E6A" w:rsidRDefault="00310BAB" w:rsidP="001D6451">
      <w:pPr>
        <w:jc w:val="both"/>
        <w:rPr>
          <w:rFonts w:eastAsia="PMingLiU"/>
          <w:lang w:val="sr-Latn-RS"/>
        </w:rPr>
      </w:pPr>
      <w:r w:rsidRPr="00C83E6A">
        <w:rPr>
          <w:lang w:val="sr-Latn-RS"/>
        </w:rPr>
        <w:t>Evolokumab se ne smije primjenjivati intravenski ili intramuskularno.</w:t>
      </w:r>
    </w:p>
    <w:p w14:paraId="50A40187" w14:textId="77777777" w:rsidR="00D26E8E" w:rsidRPr="00C83E6A" w:rsidRDefault="00D26E8E" w:rsidP="001D6451">
      <w:pPr>
        <w:jc w:val="both"/>
        <w:rPr>
          <w:rFonts w:eastAsia="PMingLiU"/>
          <w:lang w:val="sr-Latn-RS"/>
        </w:rPr>
      </w:pPr>
    </w:p>
    <w:p w14:paraId="3EDB84C4" w14:textId="77777777" w:rsidR="00B14AAD" w:rsidRPr="00C83E6A" w:rsidRDefault="00474AD5" w:rsidP="001D6451">
      <w:pPr>
        <w:pStyle w:val="CommentText"/>
        <w:jc w:val="both"/>
        <w:rPr>
          <w:rFonts w:eastAsia="PMingLiU"/>
          <w:sz w:val="22"/>
          <w:lang w:val="sr-Latn-RS"/>
        </w:rPr>
      </w:pPr>
      <w:r w:rsidRPr="00C83E6A">
        <w:rPr>
          <w:sz w:val="22"/>
          <w:lang w:val="sr-Latn-RS"/>
        </w:rPr>
        <w:t>Dozu od 140 mg treba primijeniti koristeći jedan napunjen injekcioni pen.</w:t>
      </w:r>
    </w:p>
    <w:p w14:paraId="06811C30" w14:textId="77777777" w:rsidR="00D26E8E" w:rsidRPr="00C83E6A" w:rsidRDefault="00096D7F" w:rsidP="001D6451">
      <w:pPr>
        <w:pStyle w:val="CommentText"/>
        <w:jc w:val="both"/>
        <w:rPr>
          <w:rFonts w:eastAsia="PMingLiU"/>
          <w:sz w:val="22"/>
          <w:lang w:val="sr-Latn-RS"/>
        </w:rPr>
      </w:pPr>
      <w:r w:rsidRPr="00C83E6A">
        <w:rPr>
          <w:sz w:val="22"/>
          <w:lang w:val="sr-Latn-RS"/>
        </w:rPr>
        <w:t>Dozu od 420 mg treba primijeniti koristeći tri napunjena injekciona pena jedan za drugim u okviru 30 minuta.</w:t>
      </w:r>
    </w:p>
    <w:p w14:paraId="22230DC5" w14:textId="77777777" w:rsidR="00D26E8E" w:rsidRPr="00C83E6A" w:rsidRDefault="00D26E8E" w:rsidP="001D6451">
      <w:pPr>
        <w:pStyle w:val="CommentText"/>
        <w:jc w:val="both"/>
        <w:rPr>
          <w:rFonts w:eastAsia="PMingLiU"/>
          <w:sz w:val="22"/>
          <w:lang w:val="sr-Latn-RS"/>
        </w:rPr>
      </w:pPr>
    </w:p>
    <w:p w14:paraId="35D3F81D" w14:textId="77777777" w:rsidR="00D26E8E" w:rsidRPr="00C83E6A" w:rsidRDefault="00096D7F" w:rsidP="001D6451">
      <w:pPr>
        <w:pStyle w:val="TableCenterAlign"/>
        <w:spacing w:before="0" w:after="0" w:line="240" w:lineRule="auto"/>
        <w:jc w:val="both"/>
        <w:rPr>
          <w:rFonts w:ascii="Times New Roman" w:eastAsia="PMingLiU" w:hAnsi="Times New Roman"/>
          <w:lang w:val="sr-Latn-RS"/>
        </w:rPr>
      </w:pPr>
      <w:r w:rsidRPr="00C83E6A">
        <w:rPr>
          <w:rFonts w:ascii="Times New Roman" w:hAnsi="Times New Roman"/>
          <w:lang w:val="sr-Latn-RS"/>
        </w:rPr>
        <w:t>Lijek Repatha je namijenjen za samostalnu primjenu od strane pacijenta nakon odgovarajuće obuke. Primjenu evolokumaba takođe može da vrši lice koje je obučeno za primjenu lijeka.</w:t>
      </w:r>
    </w:p>
    <w:p w14:paraId="1FE23732" w14:textId="77777777" w:rsidR="00D26E8E" w:rsidRPr="00C83E6A" w:rsidRDefault="00D26E8E" w:rsidP="001D6451">
      <w:pPr>
        <w:jc w:val="both"/>
        <w:rPr>
          <w:rFonts w:eastAsia="PMingLiU"/>
          <w:lang w:val="sr-Latn-RS"/>
        </w:rPr>
      </w:pPr>
    </w:p>
    <w:p w14:paraId="446C37A8" w14:textId="77777777" w:rsidR="00D26E8E" w:rsidRPr="00C83E6A" w:rsidRDefault="000D39CC" w:rsidP="001D6451">
      <w:pPr>
        <w:jc w:val="both"/>
        <w:rPr>
          <w:rFonts w:eastAsia="PMingLiU"/>
          <w:lang w:val="sr-Latn-RS"/>
        </w:rPr>
      </w:pPr>
      <w:r w:rsidRPr="00C83E6A">
        <w:rPr>
          <w:lang w:val="sr-Latn-RS"/>
        </w:rPr>
        <w:t>Lijek je namijenjen isključivo za jednokratnu upotrebu.</w:t>
      </w:r>
    </w:p>
    <w:p w14:paraId="069FEE3E" w14:textId="77777777" w:rsidR="00D26E8E" w:rsidRPr="00C83E6A" w:rsidRDefault="00D26E8E" w:rsidP="001D6451">
      <w:pPr>
        <w:jc w:val="both"/>
        <w:rPr>
          <w:rFonts w:eastAsia="PMingLiU"/>
          <w:lang w:val="sr-Latn-RS"/>
        </w:rPr>
      </w:pPr>
    </w:p>
    <w:p w14:paraId="40837B91" w14:textId="77777777" w:rsidR="00D26E8E" w:rsidRPr="00C83E6A" w:rsidRDefault="00096D7F" w:rsidP="001D6451">
      <w:pPr>
        <w:keepNext/>
        <w:ind w:left="567" w:hanging="567"/>
        <w:jc w:val="both"/>
        <w:rPr>
          <w:rFonts w:eastAsia="PMingLiU"/>
          <w:bCs/>
          <w:lang w:val="sr-Latn-RS"/>
        </w:rPr>
      </w:pPr>
      <w:r w:rsidRPr="00C83E6A">
        <w:rPr>
          <w:b/>
          <w:lang w:val="sr-Latn-RS"/>
        </w:rPr>
        <w:t>4.3.</w:t>
      </w:r>
      <w:r w:rsidRPr="00C83E6A">
        <w:rPr>
          <w:b/>
          <w:lang w:val="sr-Latn-RS"/>
        </w:rPr>
        <w:tab/>
        <w:t>Kontraindikacije</w:t>
      </w:r>
    </w:p>
    <w:p w14:paraId="0F28489D" w14:textId="77777777" w:rsidR="00D26E8E" w:rsidRPr="00C83E6A" w:rsidRDefault="00D26E8E" w:rsidP="001D6451">
      <w:pPr>
        <w:keepNext/>
        <w:jc w:val="both"/>
        <w:rPr>
          <w:rFonts w:eastAsia="PMingLiU"/>
          <w:lang w:val="sr-Latn-RS" w:eastAsia="en-GB"/>
        </w:rPr>
      </w:pPr>
    </w:p>
    <w:p w14:paraId="177667D5" w14:textId="77777777" w:rsidR="00D26E8E" w:rsidRPr="00C83E6A" w:rsidRDefault="00096D7F" w:rsidP="001D6451">
      <w:pPr>
        <w:jc w:val="both"/>
        <w:rPr>
          <w:rFonts w:eastAsia="PMingLiU"/>
          <w:b/>
          <w:bCs/>
          <w:i/>
          <w:iCs/>
          <w:caps/>
          <w:lang w:val="sr-Latn-RS"/>
        </w:rPr>
      </w:pPr>
      <w:r w:rsidRPr="00C83E6A">
        <w:rPr>
          <w:lang w:val="sr-Latn-RS"/>
        </w:rPr>
        <w:t>Preosjetljivost na aktivnu supstancu ili na neku od pomoćnih supstanci koje su navedene u dijelu 6.1.</w:t>
      </w:r>
    </w:p>
    <w:p w14:paraId="347A2415" w14:textId="77777777" w:rsidR="00D26E8E" w:rsidRPr="00C83E6A" w:rsidRDefault="00D26E8E" w:rsidP="001D6451">
      <w:pPr>
        <w:jc w:val="both"/>
        <w:rPr>
          <w:rFonts w:eastAsia="PMingLiU"/>
          <w:lang w:val="sr-Latn-RS"/>
        </w:rPr>
      </w:pPr>
    </w:p>
    <w:p w14:paraId="4CC6FAF7" w14:textId="77777777" w:rsidR="00D26E8E" w:rsidRPr="00C83E6A" w:rsidRDefault="00096D7F" w:rsidP="001D6451">
      <w:pPr>
        <w:keepNext/>
        <w:ind w:left="567" w:hanging="567"/>
        <w:jc w:val="both"/>
        <w:rPr>
          <w:rFonts w:eastAsia="PMingLiU"/>
          <w:b/>
          <w:bCs/>
          <w:lang w:val="sr-Latn-RS"/>
        </w:rPr>
      </w:pPr>
      <w:r w:rsidRPr="00C83E6A">
        <w:rPr>
          <w:b/>
          <w:lang w:val="sr-Latn-RS"/>
        </w:rPr>
        <w:t>4.4.</w:t>
      </w:r>
      <w:r w:rsidRPr="00C83E6A">
        <w:rPr>
          <w:b/>
          <w:lang w:val="sr-Latn-RS"/>
        </w:rPr>
        <w:tab/>
        <w:t>Posebna upozorenja i mjere opreza pri upotrebi lijeka</w:t>
      </w:r>
    </w:p>
    <w:p w14:paraId="0896BE8F" w14:textId="77777777" w:rsidR="00D26E8E" w:rsidRPr="00C83E6A" w:rsidRDefault="00D26E8E" w:rsidP="001D6451">
      <w:pPr>
        <w:keepNext/>
        <w:tabs>
          <w:tab w:val="clear" w:pos="567"/>
          <w:tab w:val="left" w:pos="0"/>
        </w:tabs>
        <w:jc w:val="both"/>
        <w:rPr>
          <w:u w:val="single"/>
          <w:lang w:val="sr-Latn-RS"/>
        </w:rPr>
      </w:pPr>
    </w:p>
    <w:p w14:paraId="1A192BD9" w14:textId="77777777" w:rsidR="00D26E8E" w:rsidRPr="00C83E6A" w:rsidRDefault="00310BAB" w:rsidP="001D6451">
      <w:pPr>
        <w:pStyle w:val="Style11ptunderline"/>
        <w:keepNext/>
        <w:jc w:val="both"/>
        <w:rPr>
          <w:lang w:val="sr-Latn-RS"/>
        </w:rPr>
      </w:pPr>
      <w:r w:rsidRPr="00C83E6A">
        <w:rPr>
          <w:lang w:val="sr-Latn-RS"/>
        </w:rPr>
        <w:t>Praćenje</w:t>
      </w:r>
    </w:p>
    <w:p w14:paraId="52B3EAA3" w14:textId="77777777" w:rsidR="00D26E8E" w:rsidRPr="00C83E6A" w:rsidRDefault="00D26E8E" w:rsidP="001D6451">
      <w:pPr>
        <w:keepNext/>
        <w:tabs>
          <w:tab w:val="clear" w:pos="567"/>
          <w:tab w:val="left" w:pos="0"/>
        </w:tabs>
        <w:jc w:val="both"/>
        <w:rPr>
          <w:lang w:val="sr-Latn-RS"/>
        </w:rPr>
      </w:pPr>
    </w:p>
    <w:p w14:paraId="5B3D6201" w14:textId="77777777" w:rsidR="00D26E8E" w:rsidRPr="00C83E6A" w:rsidRDefault="00310BAB" w:rsidP="001D6451">
      <w:pPr>
        <w:tabs>
          <w:tab w:val="clear" w:pos="567"/>
          <w:tab w:val="left" w:pos="0"/>
        </w:tabs>
        <w:jc w:val="both"/>
        <w:rPr>
          <w:lang w:val="sr-Latn-RS"/>
        </w:rPr>
      </w:pPr>
      <w:r w:rsidRPr="00C83E6A">
        <w:rPr>
          <w:lang w:val="sr-Latn-RS"/>
        </w:rPr>
        <w:t>Kako bi se poboljšalo praćenje bioloških ljekova, potrebno je jasno zabilježiti ime i serijski broj primijenjenog proizvoda.</w:t>
      </w:r>
    </w:p>
    <w:p w14:paraId="5CE5A4B1" w14:textId="77777777" w:rsidR="00D26E8E" w:rsidRPr="00C83E6A" w:rsidRDefault="00D26E8E" w:rsidP="001D6451">
      <w:pPr>
        <w:tabs>
          <w:tab w:val="clear" w:pos="567"/>
          <w:tab w:val="left" w:pos="0"/>
        </w:tabs>
        <w:jc w:val="both"/>
        <w:rPr>
          <w:rFonts w:eastAsia="PMingLiU"/>
          <w:lang w:val="sr-Latn-RS"/>
        </w:rPr>
      </w:pPr>
    </w:p>
    <w:p w14:paraId="70EBFC74" w14:textId="77777777" w:rsidR="00D26E8E" w:rsidRPr="00C83E6A" w:rsidRDefault="00096D7F" w:rsidP="001D6451">
      <w:pPr>
        <w:keepNext/>
        <w:tabs>
          <w:tab w:val="clear" w:pos="567"/>
          <w:tab w:val="left" w:pos="0"/>
        </w:tabs>
        <w:jc w:val="both"/>
        <w:rPr>
          <w:rFonts w:eastAsia="PMingLiU"/>
          <w:u w:val="single"/>
          <w:lang w:val="sr-Latn-RS"/>
        </w:rPr>
      </w:pPr>
      <w:r w:rsidRPr="00C83E6A">
        <w:rPr>
          <w:u w:val="single"/>
          <w:lang w:val="sr-Latn-RS"/>
        </w:rPr>
        <w:t>Oštećenje jetre</w:t>
      </w:r>
    </w:p>
    <w:p w14:paraId="2840EC66" w14:textId="77777777" w:rsidR="00D26E8E" w:rsidRPr="00C83E6A" w:rsidRDefault="00D26E8E" w:rsidP="001D6451">
      <w:pPr>
        <w:keepNext/>
        <w:tabs>
          <w:tab w:val="clear" w:pos="567"/>
          <w:tab w:val="left" w:pos="0"/>
        </w:tabs>
        <w:jc w:val="both"/>
        <w:rPr>
          <w:rFonts w:eastAsia="PMingLiU"/>
          <w:lang w:val="sr-Latn-RS"/>
        </w:rPr>
      </w:pPr>
    </w:p>
    <w:p w14:paraId="5DB9BB14" w14:textId="77777777" w:rsidR="00D26E8E" w:rsidRPr="00C83E6A" w:rsidRDefault="00096D7F" w:rsidP="001D6451">
      <w:pPr>
        <w:tabs>
          <w:tab w:val="clear" w:pos="567"/>
          <w:tab w:val="left" w:pos="0"/>
        </w:tabs>
        <w:jc w:val="both"/>
        <w:rPr>
          <w:rFonts w:eastAsia="PMingLiU"/>
          <w:lang w:val="sr-Latn-RS"/>
        </w:rPr>
      </w:pPr>
      <w:r w:rsidRPr="00C83E6A">
        <w:rPr>
          <w:lang w:val="sr-Latn-RS"/>
        </w:rPr>
        <w:t>Kod pacijenata sa umjerenim oštećenjem jetre, primijećeno je smanjenje ukupne izloženosti evolokumabu, koje može dovesti do smanjenog dejstva na sniženje vrijednosti LDL</w:t>
      </w:r>
      <w:r w:rsidRPr="00C83E6A">
        <w:rPr>
          <w:lang w:val="sr-Latn-RS"/>
        </w:rPr>
        <w:noBreakHyphen/>
        <w:t>C</w:t>
      </w:r>
      <w:r w:rsidRPr="00C83E6A">
        <w:rPr>
          <w:lang w:val="sr-Latn-RS"/>
        </w:rPr>
        <w:noBreakHyphen/>
        <w:t>a. Stoga je potrebno pažljivo praćenje takvih pacijenata.</w:t>
      </w:r>
    </w:p>
    <w:p w14:paraId="394AC6AF" w14:textId="77777777" w:rsidR="00D26E8E" w:rsidRPr="00C83E6A" w:rsidRDefault="00D26E8E" w:rsidP="001D6451">
      <w:pPr>
        <w:tabs>
          <w:tab w:val="clear" w:pos="567"/>
          <w:tab w:val="left" w:pos="0"/>
        </w:tabs>
        <w:jc w:val="both"/>
        <w:rPr>
          <w:rFonts w:eastAsia="PMingLiU"/>
          <w:lang w:val="sr-Latn-RS"/>
        </w:rPr>
      </w:pPr>
    </w:p>
    <w:p w14:paraId="04B4E7F1" w14:textId="77777777" w:rsidR="00D26E8E" w:rsidRPr="00C83E6A" w:rsidRDefault="00096D7F" w:rsidP="001D6451">
      <w:pPr>
        <w:tabs>
          <w:tab w:val="clear" w:pos="567"/>
          <w:tab w:val="left" w:pos="0"/>
        </w:tabs>
        <w:jc w:val="both"/>
        <w:rPr>
          <w:rFonts w:eastAsia="PMingLiU"/>
          <w:lang w:val="sr-Latn-RS"/>
        </w:rPr>
      </w:pPr>
      <w:r w:rsidRPr="00C83E6A">
        <w:rPr>
          <w:lang w:val="sr-Latn-RS"/>
        </w:rPr>
        <w:t>Pacijenti sa teškim oštećenjem jetre (Child–Pugh stadijum C) nijesu ispitivani (vidjeti dio 5.2). Evolokumab treba primjenjivati sa oprezom kod pacijenata sa teškim oštećenjem jetre.</w:t>
      </w:r>
    </w:p>
    <w:p w14:paraId="2B32BD27" w14:textId="77777777" w:rsidR="00D26E8E" w:rsidRPr="00C83E6A" w:rsidRDefault="00D26E8E" w:rsidP="001D6451">
      <w:pPr>
        <w:tabs>
          <w:tab w:val="clear" w:pos="567"/>
          <w:tab w:val="left" w:pos="0"/>
        </w:tabs>
        <w:jc w:val="both"/>
        <w:rPr>
          <w:rFonts w:eastAsia="PMingLiU"/>
          <w:lang w:val="sr-Latn-RS"/>
        </w:rPr>
      </w:pPr>
    </w:p>
    <w:p w14:paraId="548F4846" w14:textId="77777777" w:rsidR="00D26E8E" w:rsidRPr="00C83E6A" w:rsidRDefault="00096D7F" w:rsidP="001D6451">
      <w:pPr>
        <w:keepNext/>
        <w:tabs>
          <w:tab w:val="clear" w:pos="567"/>
          <w:tab w:val="left" w:pos="0"/>
        </w:tabs>
        <w:jc w:val="both"/>
        <w:rPr>
          <w:rFonts w:eastAsia="PMingLiU"/>
          <w:u w:val="single"/>
          <w:lang w:val="sr-Latn-RS"/>
        </w:rPr>
      </w:pPr>
      <w:r w:rsidRPr="00C83E6A">
        <w:rPr>
          <w:u w:val="single"/>
          <w:lang w:val="sr-Latn-RS"/>
        </w:rPr>
        <w:t>Suva prirodna guma</w:t>
      </w:r>
    </w:p>
    <w:p w14:paraId="17D48DBC" w14:textId="77777777" w:rsidR="00D26E8E" w:rsidRPr="00C83E6A" w:rsidRDefault="00D26E8E" w:rsidP="001D6451">
      <w:pPr>
        <w:keepNext/>
        <w:tabs>
          <w:tab w:val="clear" w:pos="567"/>
          <w:tab w:val="left" w:pos="0"/>
        </w:tabs>
        <w:jc w:val="both"/>
        <w:rPr>
          <w:rFonts w:eastAsia="PMingLiU"/>
          <w:lang w:val="sr-Latn-RS"/>
        </w:rPr>
      </w:pPr>
    </w:p>
    <w:p w14:paraId="504E12C7" w14:textId="77777777" w:rsidR="00D26E8E" w:rsidRPr="00C83E6A" w:rsidRDefault="00096D7F" w:rsidP="001D6451">
      <w:pPr>
        <w:tabs>
          <w:tab w:val="clear" w:pos="567"/>
          <w:tab w:val="left" w:pos="0"/>
        </w:tabs>
        <w:jc w:val="both"/>
        <w:rPr>
          <w:rFonts w:eastAsia="PMingLiU"/>
          <w:lang w:val="sr-Latn-RS"/>
        </w:rPr>
      </w:pPr>
      <w:r w:rsidRPr="00C83E6A">
        <w:rPr>
          <w:lang w:val="sr-Latn-RS"/>
        </w:rPr>
        <w:t>Poklopac igle staklenog napunjenog injekcionog pena je napravljen od suve prirodne gume (derivat lateksa) koja može uzrokovati teške alergijske reakcije.</w:t>
      </w:r>
    </w:p>
    <w:p w14:paraId="5E333FF2" w14:textId="77777777" w:rsidR="00D26E8E" w:rsidRPr="00C83E6A" w:rsidRDefault="00D26E8E" w:rsidP="001D6451">
      <w:pPr>
        <w:ind w:left="567" w:hanging="567"/>
        <w:jc w:val="both"/>
        <w:rPr>
          <w:rFonts w:eastAsia="PMingLiU"/>
          <w:lang w:val="sr-Latn-RS"/>
        </w:rPr>
      </w:pPr>
    </w:p>
    <w:p w14:paraId="6F291714" w14:textId="77777777" w:rsidR="00D26E8E" w:rsidRPr="00C83E6A" w:rsidRDefault="00EC1731" w:rsidP="001D6451">
      <w:pPr>
        <w:keepNext/>
        <w:tabs>
          <w:tab w:val="clear" w:pos="567"/>
          <w:tab w:val="left" w:pos="0"/>
        </w:tabs>
        <w:jc w:val="both"/>
        <w:rPr>
          <w:rFonts w:eastAsia="PMingLiU"/>
          <w:u w:val="single"/>
          <w:lang w:val="sr-Latn-RS"/>
        </w:rPr>
      </w:pPr>
      <w:r w:rsidRPr="00C83E6A">
        <w:rPr>
          <w:u w:val="single"/>
          <w:lang w:val="sr-Latn-RS"/>
        </w:rPr>
        <w:t>Sadržaj natrijuma</w:t>
      </w:r>
    </w:p>
    <w:p w14:paraId="16675740" w14:textId="77777777" w:rsidR="00D26E8E" w:rsidRPr="00C83E6A" w:rsidRDefault="00D26E8E" w:rsidP="001D6451">
      <w:pPr>
        <w:keepNext/>
        <w:jc w:val="both"/>
        <w:rPr>
          <w:rFonts w:eastAsia="PMingLiU"/>
          <w:lang w:val="sr-Latn-RS"/>
        </w:rPr>
      </w:pPr>
    </w:p>
    <w:p w14:paraId="158AE4D4" w14:textId="77777777" w:rsidR="00D26E8E" w:rsidRPr="00C83E6A" w:rsidRDefault="00096D7F" w:rsidP="001D6451">
      <w:pPr>
        <w:jc w:val="both"/>
        <w:rPr>
          <w:rFonts w:eastAsia="PMingLiU"/>
          <w:lang w:val="sr-Latn-RS"/>
        </w:rPr>
      </w:pPr>
      <w:r w:rsidRPr="00C83E6A">
        <w:rPr>
          <w:lang w:val="sr-Latn-RS"/>
        </w:rPr>
        <w:t>Ovaj lijek sadrži manje od 1 mmol (23 mg) natrijuma po dozi, odnosno, suštinski je bez natrijuma.</w:t>
      </w:r>
    </w:p>
    <w:p w14:paraId="0C7963CC" w14:textId="77777777" w:rsidR="00D26E8E" w:rsidRPr="00C83E6A" w:rsidRDefault="00D26E8E" w:rsidP="001D6451">
      <w:pPr>
        <w:ind w:left="567" w:hanging="567"/>
        <w:jc w:val="both"/>
        <w:rPr>
          <w:rFonts w:eastAsia="PMingLiU"/>
          <w:lang w:val="sr-Latn-RS"/>
        </w:rPr>
      </w:pPr>
    </w:p>
    <w:p w14:paraId="27F6473A" w14:textId="77777777" w:rsidR="00D26E8E" w:rsidRPr="00C83E6A" w:rsidRDefault="00096D7F" w:rsidP="001D6451">
      <w:pPr>
        <w:keepNext/>
        <w:ind w:left="567" w:hanging="567"/>
        <w:jc w:val="both"/>
        <w:outlineLvl w:val="0"/>
        <w:rPr>
          <w:rFonts w:eastAsia="PMingLiU"/>
          <w:b/>
          <w:bCs/>
          <w:lang w:val="sr-Latn-RS"/>
        </w:rPr>
      </w:pPr>
      <w:r w:rsidRPr="00C83E6A">
        <w:rPr>
          <w:b/>
          <w:lang w:val="sr-Latn-RS"/>
        </w:rPr>
        <w:t>4.5.</w:t>
      </w:r>
      <w:r w:rsidRPr="00C83E6A">
        <w:rPr>
          <w:b/>
          <w:lang w:val="sr-Latn-RS"/>
        </w:rPr>
        <w:tab/>
        <w:t>Interakcije sa drugim ljekovima i druge vrste interakcija</w:t>
      </w:r>
    </w:p>
    <w:p w14:paraId="2E1745CD" w14:textId="77777777" w:rsidR="00D26E8E" w:rsidRPr="00C83E6A" w:rsidRDefault="00D26E8E" w:rsidP="001D6451">
      <w:pPr>
        <w:keepNext/>
        <w:ind w:left="567" w:hanging="567"/>
        <w:jc w:val="both"/>
        <w:outlineLvl w:val="0"/>
        <w:rPr>
          <w:rFonts w:eastAsia="PMingLiU"/>
          <w:b/>
          <w:bCs/>
          <w:lang w:val="sr-Latn-RS"/>
        </w:rPr>
      </w:pPr>
    </w:p>
    <w:p w14:paraId="4DDD991F" w14:textId="77777777" w:rsidR="00D26E8E" w:rsidRPr="00C83E6A" w:rsidRDefault="00096D7F" w:rsidP="001D6451">
      <w:pPr>
        <w:jc w:val="both"/>
        <w:rPr>
          <w:lang w:val="sr-Latn-RS"/>
        </w:rPr>
      </w:pPr>
      <w:r w:rsidRPr="00C83E6A">
        <w:rPr>
          <w:lang w:val="sr-Latn-RS"/>
        </w:rPr>
        <w:t>Nijesu obavljane studije interakcija.</w:t>
      </w:r>
    </w:p>
    <w:p w14:paraId="49481753" w14:textId="77777777" w:rsidR="00D26E8E" w:rsidRPr="00C83E6A" w:rsidRDefault="00D26E8E" w:rsidP="001D6451">
      <w:pPr>
        <w:jc w:val="both"/>
        <w:outlineLvl w:val="0"/>
        <w:rPr>
          <w:rFonts w:eastAsia="PMingLiU"/>
          <w:lang w:val="sr-Latn-RS"/>
        </w:rPr>
      </w:pPr>
    </w:p>
    <w:p w14:paraId="6DB3958E" w14:textId="77777777" w:rsidR="00D26E8E" w:rsidRPr="00C83E6A" w:rsidRDefault="00096D7F" w:rsidP="001D6451">
      <w:pPr>
        <w:jc w:val="both"/>
        <w:outlineLvl w:val="0"/>
        <w:rPr>
          <w:rFonts w:eastAsia="PMingLiU"/>
          <w:lang w:val="sr-Latn-RS"/>
        </w:rPr>
      </w:pPr>
      <w:r w:rsidRPr="00C83E6A">
        <w:rPr>
          <w:lang w:val="sr-Latn-RS"/>
        </w:rPr>
        <w:t xml:space="preserve">Farmakokinetička interakcija između statina i evolokumaba je procijenjena u kliničkim ispitivanjima. Povećanje klirensa evolokumaba za oko 20% uočeno je kod pacijenata koji su istovremeno primjenjivali statine. Ovo povećanje klirensa je djelimično posredovano statinima koji dovode do povećavanja </w:t>
      </w:r>
      <w:r w:rsidRPr="00C83E6A">
        <w:rPr>
          <w:lang w:val="sr-Latn-RS"/>
        </w:rPr>
        <w:lastRenderedPageBreak/>
        <w:t>koncentracije proproteinske konvertaze subtilizin/keksin tipa 9 (PCSK9) što nije nepovoljno uticalo na farmakodinamsko dejstvo evolokumaba na lipide. Nije potrebno prilagođavanje doze statina kada se primjenjuju u kombinaciji sa evolokumabom.</w:t>
      </w:r>
    </w:p>
    <w:p w14:paraId="1D7D5097" w14:textId="77777777" w:rsidR="00D26E8E" w:rsidRPr="00C83E6A" w:rsidRDefault="00D26E8E" w:rsidP="001D6451">
      <w:pPr>
        <w:jc w:val="both"/>
        <w:rPr>
          <w:rFonts w:eastAsia="PMingLiU"/>
          <w:lang w:val="sr-Latn-RS"/>
        </w:rPr>
      </w:pPr>
    </w:p>
    <w:p w14:paraId="6B8968D3" w14:textId="77777777" w:rsidR="00D26E8E" w:rsidRPr="00C83E6A" w:rsidRDefault="00096D7F" w:rsidP="001D6451">
      <w:pPr>
        <w:jc w:val="both"/>
        <w:rPr>
          <w:rFonts w:eastAsia="PMingLiU"/>
          <w:lang w:val="sr-Latn-RS"/>
        </w:rPr>
      </w:pPr>
      <w:r w:rsidRPr="00C83E6A">
        <w:rPr>
          <w:lang w:val="sr-Latn-RS"/>
        </w:rPr>
        <w:t>Osim za statine i ezetimib, nijesu vršene druge studije farmakokinetičkih i farmakodinamskih interakcija između evolokumaba i medicinskih proizvoda za snižavanje nivoa lipida.</w:t>
      </w:r>
    </w:p>
    <w:p w14:paraId="11875ACB" w14:textId="77777777" w:rsidR="00D26E8E" w:rsidRPr="00C83E6A" w:rsidRDefault="00D26E8E" w:rsidP="001D6451">
      <w:pPr>
        <w:jc w:val="both"/>
        <w:rPr>
          <w:rFonts w:eastAsia="PMingLiU"/>
          <w:lang w:val="sr-Latn-RS"/>
        </w:rPr>
      </w:pPr>
    </w:p>
    <w:p w14:paraId="10B2E634" w14:textId="77777777" w:rsidR="00D26E8E" w:rsidRPr="00C83E6A" w:rsidRDefault="00096D7F" w:rsidP="001D6451">
      <w:pPr>
        <w:keepNext/>
        <w:ind w:left="567" w:hanging="567"/>
        <w:jc w:val="both"/>
        <w:rPr>
          <w:rFonts w:eastAsia="PMingLiU"/>
          <w:b/>
          <w:bCs/>
          <w:lang w:val="sr-Latn-RS"/>
        </w:rPr>
      </w:pPr>
      <w:r w:rsidRPr="00C83E6A">
        <w:rPr>
          <w:b/>
          <w:lang w:val="sr-Latn-RS"/>
        </w:rPr>
        <w:t>4.6.</w:t>
      </w:r>
      <w:r w:rsidRPr="00C83E6A">
        <w:rPr>
          <w:b/>
          <w:lang w:val="sr-Latn-RS"/>
        </w:rPr>
        <w:tab/>
        <w:t>Plodnost, trudnoća i dojenje</w:t>
      </w:r>
    </w:p>
    <w:p w14:paraId="3A36252B" w14:textId="77777777" w:rsidR="00D26E8E" w:rsidRPr="00C83E6A" w:rsidRDefault="00D26E8E" w:rsidP="001D6451">
      <w:pPr>
        <w:keepNext/>
        <w:ind w:left="567" w:hanging="567"/>
        <w:jc w:val="both"/>
        <w:outlineLvl w:val="0"/>
        <w:rPr>
          <w:rFonts w:eastAsia="PMingLiU"/>
          <w:caps/>
          <w:lang w:val="sr-Latn-RS"/>
        </w:rPr>
      </w:pPr>
    </w:p>
    <w:p w14:paraId="4A3CB903" w14:textId="77777777" w:rsidR="00D26E8E" w:rsidRPr="00C83E6A" w:rsidRDefault="00096D7F" w:rsidP="001D6451">
      <w:pPr>
        <w:keepNext/>
        <w:jc w:val="both"/>
        <w:rPr>
          <w:rFonts w:eastAsia="PMingLiU"/>
          <w:lang w:val="sr-Latn-RS"/>
        </w:rPr>
      </w:pPr>
      <w:r w:rsidRPr="00C83E6A">
        <w:rPr>
          <w:u w:val="single"/>
          <w:lang w:val="sr-Latn-RS"/>
        </w:rPr>
        <w:t>Trudnoća</w:t>
      </w:r>
    </w:p>
    <w:p w14:paraId="1692927E" w14:textId="77777777" w:rsidR="00D26E8E" w:rsidRPr="00C83E6A" w:rsidRDefault="00D26E8E" w:rsidP="001D6451">
      <w:pPr>
        <w:pStyle w:val="Default"/>
        <w:keepNext/>
        <w:jc w:val="both"/>
        <w:rPr>
          <w:rFonts w:eastAsia="PMingLiU"/>
          <w:sz w:val="22"/>
          <w:szCs w:val="22"/>
          <w:lang w:val="sr-Latn-RS"/>
        </w:rPr>
      </w:pPr>
    </w:p>
    <w:p w14:paraId="100A9C8E" w14:textId="77777777" w:rsidR="00D26E8E" w:rsidRPr="00C83E6A" w:rsidRDefault="00096D7F" w:rsidP="001D6451">
      <w:pPr>
        <w:pStyle w:val="Default"/>
        <w:jc w:val="both"/>
        <w:rPr>
          <w:rFonts w:eastAsia="PMingLiU"/>
          <w:sz w:val="22"/>
          <w:szCs w:val="22"/>
          <w:lang w:val="sr-Latn-RS"/>
        </w:rPr>
      </w:pPr>
      <w:r w:rsidRPr="00C83E6A">
        <w:rPr>
          <w:sz w:val="22"/>
          <w:szCs w:val="22"/>
          <w:lang w:val="sr-Latn-RS"/>
        </w:rPr>
        <w:t>Postoji ograničen broj, ili uopšte nema podataka o primjeni lijeka Repatha kod trudnica.</w:t>
      </w:r>
    </w:p>
    <w:p w14:paraId="0224B095" w14:textId="77777777" w:rsidR="00D26E8E" w:rsidRPr="00C83E6A" w:rsidRDefault="00D26E8E" w:rsidP="001D6451">
      <w:pPr>
        <w:jc w:val="both"/>
        <w:rPr>
          <w:rFonts w:eastAsia="PMingLiU"/>
          <w:u w:val="single"/>
          <w:lang w:val="sr-Latn-RS"/>
        </w:rPr>
      </w:pPr>
    </w:p>
    <w:p w14:paraId="5496F20F" w14:textId="77777777" w:rsidR="00D26E8E" w:rsidRPr="00C83E6A" w:rsidRDefault="00096D7F" w:rsidP="001D6451">
      <w:pPr>
        <w:jc w:val="both"/>
        <w:rPr>
          <w:rFonts w:eastAsia="PMingLiU"/>
          <w:lang w:val="sr-Latn-RS"/>
        </w:rPr>
      </w:pPr>
      <w:r w:rsidRPr="00C83E6A">
        <w:rPr>
          <w:lang w:val="sr-Latn-RS"/>
        </w:rPr>
        <w:t>Studije na životinjama ne ukazuju na direktne ili indirektne efekte na reproduktivnu toksičnost (vidjeti dio 5.3).</w:t>
      </w:r>
    </w:p>
    <w:p w14:paraId="3DD1108E" w14:textId="77777777" w:rsidR="00D26E8E" w:rsidRPr="00C83E6A" w:rsidRDefault="00D26E8E" w:rsidP="001D6451">
      <w:pPr>
        <w:jc w:val="both"/>
        <w:rPr>
          <w:rFonts w:eastAsia="PMingLiU"/>
          <w:lang w:val="sr-Latn-RS"/>
        </w:rPr>
      </w:pPr>
    </w:p>
    <w:p w14:paraId="1874DFAB" w14:textId="77777777" w:rsidR="00D26E8E" w:rsidRPr="00C83E6A" w:rsidRDefault="00096D7F" w:rsidP="001D6451">
      <w:pPr>
        <w:jc w:val="both"/>
        <w:rPr>
          <w:rFonts w:eastAsia="PMingLiU"/>
          <w:lang w:val="sr-Latn-RS"/>
        </w:rPr>
      </w:pPr>
      <w:r w:rsidRPr="00C83E6A">
        <w:rPr>
          <w:lang w:val="sr-Latn-RS"/>
        </w:rPr>
        <w:t>Lijek Repatha se ne smije primjenjivati tokom trudnoće, osim ako kliničko stanje žene ne zahtijeva liječenje evolokumabom.</w:t>
      </w:r>
    </w:p>
    <w:p w14:paraId="56B572EB" w14:textId="77777777" w:rsidR="00D26E8E" w:rsidRPr="00C83E6A" w:rsidRDefault="00D26E8E" w:rsidP="001D6451">
      <w:pPr>
        <w:jc w:val="both"/>
        <w:rPr>
          <w:rFonts w:eastAsia="PMingLiU"/>
          <w:u w:val="single"/>
          <w:lang w:val="sr-Latn-RS"/>
        </w:rPr>
      </w:pPr>
    </w:p>
    <w:p w14:paraId="0A068C5F" w14:textId="77777777" w:rsidR="00D26E8E" w:rsidRPr="00C83E6A" w:rsidRDefault="00096D7F" w:rsidP="001D6451">
      <w:pPr>
        <w:keepNext/>
        <w:jc w:val="both"/>
        <w:rPr>
          <w:rFonts w:eastAsia="PMingLiU"/>
          <w:lang w:val="sr-Latn-RS"/>
        </w:rPr>
      </w:pPr>
      <w:r w:rsidRPr="00C83E6A">
        <w:rPr>
          <w:u w:val="single"/>
          <w:lang w:val="sr-Latn-RS"/>
        </w:rPr>
        <w:t>Dojenje</w:t>
      </w:r>
    </w:p>
    <w:p w14:paraId="3843DAAD" w14:textId="77777777" w:rsidR="00D26E8E" w:rsidRPr="00C83E6A" w:rsidRDefault="00D26E8E" w:rsidP="001D6451">
      <w:pPr>
        <w:pStyle w:val="Default"/>
        <w:keepNext/>
        <w:jc w:val="both"/>
        <w:rPr>
          <w:rFonts w:eastAsia="PMingLiU"/>
          <w:sz w:val="22"/>
          <w:szCs w:val="22"/>
          <w:lang w:val="sr-Latn-RS"/>
        </w:rPr>
      </w:pPr>
    </w:p>
    <w:p w14:paraId="1E28E13D" w14:textId="77777777" w:rsidR="00D26E8E" w:rsidRPr="00C83E6A" w:rsidRDefault="00096D7F" w:rsidP="001D6451">
      <w:pPr>
        <w:pStyle w:val="Default"/>
        <w:jc w:val="both"/>
        <w:rPr>
          <w:rFonts w:eastAsia="PMingLiU"/>
          <w:sz w:val="22"/>
          <w:szCs w:val="22"/>
          <w:lang w:val="sr-Latn-RS"/>
        </w:rPr>
      </w:pPr>
      <w:r w:rsidRPr="00C83E6A">
        <w:rPr>
          <w:sz w:val="22"/>
          <w:szCs w:val="22"/>
          <w:lang w:val="sr-Latn-RS"/>
        </w:rPr>
        <w:t>Nije poznato da li se evolokumab izlučuje u majčino mlijeko.</w:t>
      </w:r>
    </w:p>
    <w:p w14:paraId="21559217" w14:textId="77777777" w:rsidR="00D26E8E" w:rsidRPr="00C83E6A" w:rsidRDefault="00D26E8E" w:rsidP="001D6451">
      <w:pPr>
        <w:pStyle w:val="Default"/>
        <w:jc w:val="both"/>
        <w:rPr>
          <w:rFonts w:eastAsia="PMingLiU"/>
          <w:sz w:val="22"/>
          <w:szCs w:val="22"/>
          <w:lang w:val="sr-Latn-RS"/>
        </w:rPr>
      </w:pPr>
    </w:p>
    <w:p w14:paraId="6AD24748" w14:textId="77777777" w:rsidR="00D26E8E" w:rsidRPr="00C83E6A" w:rsidRDefault="00096D7F" w:rsidP="001D6451">
      <w:pPr>
        <w:jc w:val="both"/>
        <w:rPr>
          <w:rFonts w:eastAsia="PMingLiU"/>
          <w:lang w:val="sr-Latn-RS"/>
        </w:rPr>
      </w:pPr>
      <w:r w:rsidRPr="00C83E6A">
        <w:rPr>
          <w:lang w:val="sr-Latn-RS"/>
        </w:rPr>
        <w:t>Ne može se isključiti rizik za dojenu novorođenčad/odojčad.</w:t>
      </w:r>
    </w:p>
    <w:p w14:paraId="20058793" w14:textId="77777777" w:rsidR="00D26E8E" w:rsidRPr="00C83E6A" w:rsidRDefault="00D26E8E" w:rsidP="001D6451">
      <w:pPr>
        <w:jc w:val="both"/>
        <w:rPr>
          <w:rFonts w:eastAsia="PMingLiU"/>
          <w:lang w:val="sr-Latn-RS"/>
        </w:rPr>
      </w:pPr>
    </w:p>
    <w:p w14:paraId="0F2ED3F8" w14:textId="77777777" w:rsidR="00D26E8E" w:rsidRPr="00C83E6A" w:rsidRDefault="00096D7F" w:rsidP="001D6451">
      <w:pPr>
        <w:jc w:val="both"/>
        <w:rPr>
          <w:rFonts w:eastAsia="PMingLiU"/>
          <w:lang w:val="sr-Latn-RS"/>
        </w:rPr>
      </w:pPr>
      <w:r w:rsidRPr="00C83E6A">
        <w:rPr>
          <w:lang w:val="sr-Latn-RS"/>
        </w:rPr>
        <w:t>Potrebno je odlučiti da li prekinuti dojenje ili prekinuti liječenje odnosno uzdržati se od liječenja lijekom Repatha, uzimajući u obzir korist dojenja za dijete i korist liječenja za ženu.</w:t>
      </w:r>
    </w:p>
    <w:p w14:paraId="1286821A" w14:textId="77777777" w:rsidR="00D26E8E" w:rsidRPr="00C83E6A" w:rsidRDefault="00D26E8E" w:rsidP="001D6451">
      <w:pPr>
        <w:jc w:val="both"/>
        <w:rPr>
          <w:rFonts w:eastAsia="PMingLiU"/>
          <w:lang w:val="sr-Latn-RS"/>
        </w:rPr>
      </w:pPr>
    </w:p>
    <w:p w14:paraId="4D39CAFA" w14:textId="77777777" w:rsidR="00D26E8E" w:rsidRPr="00C83E6A" w:rsidRDefault="00096D7F" w:rsidP="001D6451">
      <w:pPr>
        <w:keepNext/>
        <w:jc w:val="both"/>
        <w:rPr>
          <w:rFonts w:eastAsia="PMingLiU"/>
          <w:lang w:val="sr-Latn-RS"/>
        </w:rPr>
      </w:pPr>
      <w:r w:rsidRPr="00C83E6A">
        <w:rPr>
          <w:u w:val="single"/>
          <w:lang w:val="sr-Latn-RS"/>
        </w:rPr>
        <w:t>Plodnost</w:t>
      </w:r>
    </w:p>
    <w:p w14:paraId="3D2CC71E" w14:textId="77777777" w:rsidR="00D26E8E" w:rsidRPr="00C83E6A" w:rsidRDefault="00D26E8E" w:rsidP="001D6451">
      <w:pPr>
        <w:keepNext/>
        <w:jc w:val="both"/>
        <w:rPr>
          <w:rFonts w:eastAsia="PMingLiU"/>
          <w:i/>
          <w:iCs/>
          <w:lang w:val="sr-Latn-RS"/>
        </w:rPr>
      </w:pPr>
    </w:p>
    <w:p w14:paraId="79DF8BC2" w14:textId="77777777" w:rsidR="00D26E8E" w:rsidRPr="00C83E6A" w:rsidRDefault="00096D7F" w:rsidP="001D6451">
      <w:pPr>
        <w:jc w:val="both"/>
        <w:rPr>
          <w:rFonts w:eastAsia="PMingLiU"/>
          <w:lang w:val="sr-Latn-RS"/>
        </w:rPr>
      </w:pPr>
      <w:r w:rsidRPr="00C83E6A">
        <w:rPr>
          <w:lang w:val="sr-Latn-RS"/>
        </w:rPr>
        <w:t>Podaci o efektima evolokumaba na plodnost ljudi nijesu dostupni. Studije na životinjama nijesu pokazale nikakve efekte na ishode plodnosti pri nivoima izloženosti (na osnovu površine ispod krive koncentracija vrijeme, PIK) koji su bili mnogo viši nego kod pacijenata koji su primali evolokumab u dozi od 420 mg jednom mjesečno (vidjeti dio 5.3).</w:t>
      </w:r>
    </w:p>
    <w:p w14:paraId="100184B8" w14:textId="77777777" w:rsidR="00D26E8E" w:rsidRPr="00C83E6A" w:rsidRDefault="00D26E8E" w:rsidP="001D6451">
      <w:pPr>
        <w:jc w:val="both"/>
        <w:rPr>
          <w:rFonts w:eastAsia="PMingLiU"/>
          <w:lang w:val="sr-Latn-RS"/>
        </w:rPr>
      </w:pPr>
    </w:p>
    <w:p w14:paraId="254D4868" w14:textId="77777777" w:rsidR="00D26E8E" w:rsidRPr="00C83E6A" w:rsidRDefault="00096D7F" w:rsidP="001D6451">
      <w:pPr>
        <w:keepNext/>
        <w:numPr>
          <w:ilvl w:val="12"/>
          <w:numId w:val="0"/>
        </w:numPr>
        <w:ind w:left="567" w:hanging="567"/>
        <w:jc w:val="both"/>
        <w:outlineLvl w:val="0"/>
        <w:rPr>
          <w:rFonts w:eastAsia="PMingLiU"/>
          <w:b/>
          <w:bCs/>
          <w:lang w:val="sr-Latn-RS"/>
        </w:rPr>
      </w:pPr>
      <w:r w:rsidRPr="00C83E6A">
        <w:rPr>
          <w:b/>
          <w:lang w:val="sr-Latn-RS"/>
        </w:rPr>
        <w:t>4.7.</w:t>
      </w:r>
      <w:r w:rsidRPr="00C83E6A">
        <w:rPr>
          <w:b/>
          <w:lang w:val="sr-Latn-RS"/>
        </w:rPr>
        <w:tab/>
        <w:t>Uticaj na sposobnost upravljanja vozilima i rukovanja mašinama</w:t>
      </w:r>
    </w:p>
    <w:p w14:paraId="20DF9526" w14:textId="77777777" w:rsidR="00D26E8E" w:rsidRPr="00C83E6A" w:rsidRDefault="00D26E8E" w:rsidP="001D6451">
      <w:pPr>
        <w:keepNext/>
        <w:ind w:left="567" w:hanging="567"/>
        <w:jc w:val="both"/>
        <w:outlineLvl w:val="0"/>
        <w:rPr>
          <w:rFonts w:eastAsia="PMingLiU"/>
          <w:lang w:val="sr-Latn-RS"/>
        </w:rPr>
      </w:pPr>
    </w:p>
    <w:p w14:paraId="3C69A4B4" w14:textId="77777777" w:rsidR="00D26E8E" w:rsidRPr="00C83E6A" w:rsidRDefault="00096D7F" w:rsidP="001D6451">
      <w:pPr>
        <w:jc w:val="both"/>
        <w:rPr>
          <w:rFonts w:eastAsia="PMingLiU"/>
          <w:lang w:val="sr-Latn-RS"/>
        </w:rPr>
      </w:pPr>
      <w:r w:rsidRPr="00C83E6A">
        <w:rPr>
          <w:lang w:val="sr-Latn-RS"/>
        </w:rPr>
        <w:t>Uticaj lijeka Repatha na sposobnost upravljanja motornim vozilom i rukovanja mašinama nije poznat ili je zanemarljiv.</w:t>
      </w:r>
    </w:p>
    <w:p w14:paraId="3BE05553" w14:textId="77777777" w:rsidR="00D26E8E" w:rsidRPr="00C83E6A" w:rsidRDefault="00D26E8E" w:rsidP="001D6451">
      <w:pPr>
        <w:jc w:val="both"/>
        <w:rPr>
          <w:rFonts w:eastAsia="PMingLiU"/>
          <w:lang w:val="sr-Latn-RS"/>
        </w:rPr>
      </w:pPr>
    </w:p>
    <w:p w14:paraId="28361304" w14:textId="77777777" w:rsidR="00D26E8E" w:rsidRPr="00C83E6A" w:rsidRDefault="00096D7F" w:rsidP="001D6451">
      <w:pPr>
        <w:keepNext/>
        <w:ind w:left="567" w:hanging="567"/>
        <w:jc w:val="both"/>
        <w:outlineLvl w:val="0"/>
        <w:rPr>
          <w:rFonts w:eastAsia="PMingLiU"/>
          <w:b/>
          <w:bCs/>
          <w:lang w:val="sr-Latn-RS"/>
        </w:rPr>
      </w:pPr>
      <w:r w:rsidRPr="00C83E6A">
        <w:rPr>
          <w:b/>
          <w:lang w:val="sr-Latn-RS"/>
        </w:rPr>
        <w:t>4.8.</w:t>
      </w:r>
      <w:r w:rsidRPr="00C83E6A">
        <w:rPr>
          <w:b/>
          <w:lang w:val="sr-Latn-RS"/>
        </w:rPr>
        <w:tab/>
        <w:t>Neželjena dejstva</w:t>
      </w:r>
    </w:p>
    <w:p w14:paraId="3D844D54" w14:textId="77777777" w:rsidR="00D26E8E" w:rsidRPr="00C83E6A" w:rsidRDefault="00D26E8E" w:rsidP="001D6451">
      <w:pPr>
        <w:keepNext/>
        <w:jc w:val="both"/>
        <w:rPr>
          <w:rFonts w:eastAsia="PMingLiU"/>
          <w:color w:val="000000"/>
          <w:u w:val="single"/>
          <w:lang w:val="sr-Latn-RS"/>
        </w:rPr>
      </w:pPr>
    </w:p>
    <w:p w14:paraId="1797774B" w14:textId="77777777" w:rsidR="00D26E8E" w:rsidRPr="00C83E6A" w:rsidRDefault="00096D7F" w:rsidP="001D6451">
      <w:pPr>
        <w:keepNext/>
        <w:jc w:val="both"/>
        <w:rPr>
          <w:rFonts w:eastAsia="PMingLiU"/>
          <w:color w:val="000000"/>
          <w:u w:val="single"/>
          <w:lang w:val="sr-Latn-RS"/>
        </w:rPr>
      </w:pPr>
      <w:r w:rsidRPr="00C83E6A">
        <w:rPr>
          <w:color w:val="000000"/>
          <w:u w:val="single"/>
          <w:lang w:val="sr-Latn-RS"/>
        </w:rPr>
        <w:t>Sažetak bezbjednosnog profila</w:t>
      </w:r>
    </w:p>
    <w:p w14:paraId="28C841AD" w14:textId="77777777" w:rsidR="00D26E8E" w:rsidRPr="00C83E6A" w:rsidRDefault="00D26E8E" w:rsidP="001D6451">
      <w:pPr>
        <w:keepNext/>
        <w:jc w:val="both"/>
        <w:rPr>
          <w:rFonts w:eastAsia="PMingLiU"/>
          <w:color w:val="000000"/>
          <w:u w:val="single"/>
          <w:lang w:val="sr-Latn-RS"/>
        </w:rPr>
      </w:pPr>
    </w:p>
    <w:p w14:paraId="258C63FD" w14:textId="77777777" w:rsidR="00D26E8E" w:rsidRPr="00C83E6A" w:rsidRDefault="00096D7F" w:rsidP="001D6451">
      <w:pPr>
        <w:jc w:val="both"/>
        <w:rPr>
          <w:rFonts w:eastAsia="PMingLiU"/>
          <w:lang w:val="sr-Latn-RS"/>
        </w:rPr>
      </w:pPr>
      <w:r w:rsidRPr="00C83E6A">
        <w:rPr>
          <w:lang w:val="sr-Latn-RS"/>
        </w:rPr>
        <w:t>Najčešće prijavljivane neželjene reakcije na lijek, primijenjen u preporučenoj dozi, su: nazofaringitis (7,4%), infekcija gornjih disajnih puteva (4,6%), bol u leđima (4,4%), artralgija (3,9%), grip (3,2%) i reakcije na mjestu primjene injekcije (2,2%). Bezbjednosni profil kod populacije sa homozigotnom porodičnom hiperholesterolemijom je u skladu sa onim što je dokazano kod populacije sa primarnom hiperholesterolemijom i miješanom dislipidemijom.</w:t>
      </w:r>
    </w:p>
    <w:p w14:paraId="15E4A818" w14:textId="77777777" w:rsidR="00D26E8E" w:rsidRPr="00C83E6A" w:rsidRDefault="00D26E8E" w:rsidP="001D6451">
      <w:pPr>
        <w:pStyle w:val="Text"/>
        <w:spacing w:before="0" w:after="0" w:line="240" w:lineRule="auto"/>
        <w:jc w:val="both"/>
        <w:rPr>
          <w:rFonts w:ascii="Times New Roman" w:eastAsia="PMingLiU" w:hAnsi="Times New Roman"/>
          <w:color w:val="000000"/>
          <w:lang w:val="sr-Latn-RS"/>
        </w:rPr>
      </w:pPr>
    </w:p>
    <w:p w14:paraId="001169A1" w14:textId="77777777" w:rsidR="00D26E8E" w:rsidRPr="00C83E6A" w:rsidRDefault="00096D7F" w:rsidP="001D6451">
      <w:pPr>
        <w:keepNext/>
        <w:jc w:val="both"/>
        <w:rPr>
          <w:rFonts w:eastAsia="PMingLiU"/>
          <w:color w:val="000000"/>
          <w:u w:val="single"/>
          <w:lang w:val="sr-Latn-RS"/>
        </w:rPr>
      </w:pPr>
      <w:r w:rsidRPr="00C83E6A">
        <w:rPr>
          <w:color w:val="000000"/>
          <w:u w:val="single"/>
          <w:lang w:val="sr-Latn-RS"/>
        </w:rPr>
        <w:t>Tabelarni prikaz neželjenih reakcija</w:t>
      </w:r>
    </w:p>
    <w:p w14:paraId="370DEED9" w14:textId="77777777" w:rsidR="00D26E8E" w:rsidRPr="00C83E6A" w:rsidRDefault="00D26E8E" w:rsidP="001D6451">
      <w:pPr>
        <w:keepNext/>
        <w:jc w:val="both"/>
        <w:rPr>
          <w:rFonts w:eastAsia="PMingLiU"/>
          <w:color w:val="000000"/>
          <w:lang w:val="sr-Latn-RS"/>
        </w:rPr>
      </w:pPr>
    </w:p>
    <w:p w14:paraId="2C90DEDD" w14:textId="77777777" w:rsidR="00D26E8E" w:rsidRPr="00C83E6A" w:rsidRDefault="00096D7F" w:rsidP="001D6451">
      <w:pPr>
        <w:jc w:val="both"/>
        <w:rPr>
          <w:rFonts w:eastAsia="PMingLiU"/>
          <w:color w:val="000000"/>
          <w:lang w:val="sr-Latn-RS"/>
        </w:rPr>
      </w:pPr>
      <w:r w:rsidRPr="00C83E6A">
        <w:rPr>
          <w:color w:val="000000"/>
          <w:lang w:val="sr-Latn-RS"/>
        </w:rPr>
        <w:t>Neželjene reakcije prijavljene u pivotalnim, kontrolisanim kliničkim studijama i spontanim prijavljivanjem prikazane su prema klasifikaciji sistema organa u Tabeli 1, pri čemu je učestalost ispoljavanja prikazana na sljedeći način: veoma često (≥ 1/10), često (≥ 1/100 i &lt; 1/10), povremeno (≥ 1/1000 i &lt; 1/100), rijetko (≥ 1/10</w:t>
      </w:r>
      <w:r w:rsidR="00D301B9" w:rsidRPr="00C83E6A">
        <w:rPr>
          <w:color w:val="000000"/>
          <w:lang w:val="sr-Latn-RS"/>
        </w:rPr>
        <w:t xml:space="preserve"> </w:t>
      </w:r>
      <w:r w:rsidRPr="00C83E6A">
        <w:rPr>
          <w:color w:val="000000"/>
          <w:lang w:val="sr-Latn-RS"/>
        </w:rPr>
        <w:t>000 i &lt; 1/1000) i veoma rijetko (&lt; 1/10</w:t>
      </w:r>
      <w:r w:rsidR="00D301B9" w:rsidRPr="00C83E6A">
        <w:rPr>
          <w:color w:val="000000"/>
          <w:lang w:val="sr-Latn-RS"/>
        </w:rPr>
        <w:t xml:space="preserve"> </w:t>
      </w:r>
      <w:r w:rsidRPr="00C83E6A">
        <w:rPr>
          <w:color w:val="000000"/>
          <w:lang w:val="sr-Latn-RS"/>
        </w:rPr>
        <w:t>000).</w:t>
      </w:r>
    </w:p>
    <w:p w14:paraId="4CC29834" w14:textId="77777777" w:rsidR="00D26E8E" w:rsidRPr="00C83E6A" w:rsidRDefault="00D26E8E" w:rsidP="001D6451">
      <w:pPr>
        <w:jc w:val="both"/>
        <w:rPr>
          <w:rFonts w:eastAsia="PMingLiU"/>
          <w:b/>
          <w:bCs/>
          <w:color w:val="000000"/>
          <w:lang w:val="sr-Latn-RS"/>
        </w:rPr>
      </w:pPr>
    </w:p>
    <w:p w14:paraId="6055ED83" w14:textId="77777777" w:rsidR="00D26E8E" w:rsidRPr="00C83E6A" w:rsidRDefault="00096D7F" w:rsidP="001D6451">
      <w:pPr>
        <w:keepNext/>
        <w:jc w:val="both"/>
        <w:rPr>
          <w:rFonts w:eastAsia="PMingLiU"/>
          <w:b/>
          <w:bCs/>
          <w:color w:val="000000"/>
          <w:lang w:val="sr-Latn-RS"/>
        </w:rPr>
      </w:pPr>
      <w:r w:rsidRPr="00C83E6A">
        <w:rPr>
          <w:b/>
          <w:color w:val="000000"/>
          <w:lang w:val="sr-Latn-RS"/>
        </w:rPr>
        <w:t>Tabela 1: Neželjene reakcije</w:t>
      </w:r>
    </w:p>
    <w:p w14:paraId="5B85A6A3" w14:textId="77777777" w:rsidR="00096D7F" w:rsidRPr="00C83E6A" w:rsidRDefault="00096D7F" w:rsidP="001D6451">
      <w:pPr>
        <w:keepNext/>
        <w:jc w:val="both"/>
        <w:rPr>
          <w:rFonts w:eastAsia="PMingLiU"/>
          <w:color w:val="000000"/>
          <w:u w:val="single"/>
          <w:lang w:val="sr-Latn-RS"/>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89"/>
        <w:gridCol w:w="2866"/>
        <w:gridCol w:w="2706"/>
      </w:tblGrid>
      <w:tr w:rsidR="00096D7F" w:rsidRPr="00C83E6A" w14:paraId="76872D2A" w14:textId="77777777" w:rsidTr="009C4CCE">
        <w:trPr>
          <w:cantSplit/>
          <w:tblHeader/>
        </w:trPr>
        <w:tc>
          <w:tcPr>
            <w:tcW w:w="1891" w:type="pct"/>
            <w:tcMar>
              <w:top w:w="0" w:type="dxa"/>
              <w:left w:w="108" w:type="dxa"/>
              <w:bottom w:w="0" w:type="dxa"/>
              <w:right w:w="108" w:type="dxa"/>
            </w:tcMar>
            <w:hideMark/>
          </w:tcPr>
          <w:p w14:paraId="31569235" w14:textId="77777777" w:rsidR="00096D7F" w:rsidRPr="00C83E6A" w:rsidRDefault="00096D7F" w:rsidP="00FD5322">
            <w:pPr>
              <w:keepNext/>
              <w:rPr>
                <w:rFonts w:eastAsia="Calibri"/>
                <w:color w:val="000000"/>
                <w:u w:val="single"/>
                <w:lang w:val="sr-Latn-RS"/>
              </w:rPr>
            </w:pPr>
            <w:r w:rsidRPr="00C83E6A">
              <w:rPr>
                <w:b/>
                <w:color w:val="000000"/>
                <w:lang w:val="sr-Latn-RS"/>
              </w:rPr>
              <w:t xml:space="preserve">MedDRA – klasifikacija sistema organa (engl. </w:t>
            </w:r>
            <w:r w:rsidRPr="00C83E6A">
              <w:rPr>
                <w:b/>
                <w:i/>
                <w:color w:val="000000"/>
                <w:lang w:val="sr-Latn-RS"/>
              </w:rPr>
              <w:t>System Organ Class</w:t>
            </w:r>
            <w:r w:rsidRPr="00C83E6A">
              <w:rPr>
                <w:b/>
                <w:color w:val="000000"/>
                <w:lang w:val="sr-Latn-RS"/>
              </w:rPr>
              <w:t>, SOC)</w:t>
            </w:r>
          </w:p>
        </w:tc>
        <w:tc>
          <w:tcPr>
            <w:tcW w:w="1599" w:type="pct"/>
            <w:tcMar>
              <w:top w:w="0" w:type="dxa"/>
              <w:left w:w="108" w:type="dxa"/>
              <w:bottom w:w="0" w:type="dxa"/>
              <w:right w:w="108" w:type="dxa"/>
            </w:tcMar>
            <w:hideMark/>
          </w:tcPr>
          <w:p w14:paraId="6133D0AC" w14:textId="77777777" w:rsidR="00096D7F" w:rsidRPr="00C83E6A" w:rsidRDefault="00096D7F" w:rsidP="001D6451">
            <w:pPr>
              <w:keepNext/>
              <w:jc w:val="both"/>
              <w:rPr>
                <w:rFonts w:eastAsia="Calibri"/>
                <w:color w:val="000000"/>
                <w:u w:val="single"/>
                <w:lang w:val="sr-Latn-RS"/>
              </w:rPr>
            </w:pPr>
            <w:r w:rsidRPr="00C83E6A">
              <w:rPr>
                <w:b/>
                <w:color w:val="000000"/>
                <w:lang w:val="sr-Latn-RS"/>
              </w:rPr>
              <w:t>Neželjene reakcije</w:t>
            </w:r>
          </w:p>
        </w:tc>
        <w:tc>
          <w:tcPr>
            <w:tcW w:w="1510" w:type="pct"/>
            <w:tcMar>
              <w:top w:w="0" w:type="dxa"/>
              <w:left w:w="108" w:type="dxa"/>
              <w:bottom w:w="0" w:type="dxa"/>
              <w:right w:w="108" w:type="dxa"/>
            </w:tcMar>
            <w:hideMark/>
          </w:tcPr>
          <w:p w14:paraId="1BD93306" w14:textId="77777777" w:rsidR="00096D7F" w:rsidRPr="00C83E6A" w:rsidRDefault="00096D7F" w:rsidP="001D6451">
            <w:pPr>
              <w:keepNext/>
              <w:jc w:val="both"/>
              <w:rPr>
                <w:rFonts w:eastAsia="Calibri"/>
                <w:b/>
                <w:bCs/>
                <w:color w:val="000000"/>
                <w:lang w:val="sr-Latn-RS"/>
              </w:rPr>
            </w:pPr>
            <w:r w:rsidRPr="00C83E6A">
              <w:rPr>
                <w:b/>
                <w:color w:val="000000"/>
                <w:lang w:val="sr-Latn-RS"/>
              </w:rPr>
              <w:t>Kategorija učestalosti</w:t>
            </w:r>
          </w:p>
        </w:tc>
      </w:tr>
      <w:tr w:rsidR="00096D7F" w:rsidRPr="00C83E6A" w14:paraId="2CFC785E" w14:textId="77777777" w:rsidTr="009C4CCE">
        <w:trPr>
          <w:cantSplit/>
          <w:trHeight w:val="195"/>
        </w:trPr>
        <w:tc>
          <w:tcPr>
            <w:tcW w:w="1891" w:type="pct"/>
            <w:vMerge w:val="restart"/>
            <w:tcMar>
              <w:top w:w="0" w:type="dxa"/>
              <w:left w:w="108" w:type="dxa"/>
              <w:bottom w:w="0" w:type="dxa"/>
              <w:right w:w="108" w:type="dxa"/>
            </w:tcMar>
            <w:hideMark/>
          </w:tcPr>
          <w:p w14:paraId="3ADCA91B" w14:textId="77777777" w:rsidR="00096D7F" w:rsidRPr="00C83E6A" w:rsidRDefault="00096D7F" w:rsidP="00FD5322">
            <w:pPr>
              <w:keepNext/>
              <w:rPr>
                <w:rFonts w:eastAsia="Calibri"/>
                <w:color w:val="000000"/>
                <w:lang w:val="sr-Latn-RS"/>
              </w:rPr>
            </w:pPr>
            <w:r w:rsidRPr="00C83E6A">
              <w:rPr>
                <w:color w:val="000000"/>
                <w:lang w:val="sr-Latn-RS"/>
              </w:rPr>
              <w:t>Infekcije i infestacije</w:t>
            </w:r>
          </w:p>
        </w:tc>
        <w:tc>
          <w:tcPr>
            <w:tcW w:w="1599" w:type="pct"/>
            <w:tcMar>
              <w:top w:w="0" w:type="dxa"/>
              <w:left w:w="108" w:type="dxa"/>
              <w:bottom w:w="0" w:type="dxa"/>
              <w:right w:w="108" w:type="dxa"/>
            </w:tcMar>
            <w:hideMark/>
          </w:tcPr>
          <w:p w14:paraId="3E504C99" w14:textId="77777777" w:rsidR="00096D7F" w:rsidRPr="00C83E6A" w:rsidRDefault="00096D7F" w:rsidP="00FD5322">
            <w:pPr>
              <w:keepNext/>
              <w:rPr>
                <w:rFonts w:eastAsia="Calibri"/>
                <w:color w:val="000000"/>
                <w:lang w:val="sr-Latn-RS"/>
              </w:rPr>
            </w:pPr>
            <w:r w:rsidRPr="00C83E6A">
              <w:rPr>
                <w:color w:val="000000"/>
                <w:lang w:val="sr-Latn-RS"/>
              </w:rPr>
              <w:t>Grip</w:t>
            </w:r>
          </w:p>
        </w:tc>
        <w:tc>
          <w:tcPr>
            <w:tcW w:w="1510" w:type="pct"/>
            <w:tcMar>
              <w:top w:w="0" w:type="dxa"/>
              <w:left w:w="108" w:type="dxa"/>
              <w:bottom w:w="0" w:type="dxa"/>
              <w:right w:w="108" w:type="dxa"/>
            </w:tcMar>
            <w:hideMark/>
          </w:tcPr>
          <w:p w14:paraId="2997509E" w14:textId="77777777" w:rsidR="00096D7F" w:rsidRPr="00C83E6A" w:rsidRDefault="00096D7F" w:rsidP="00FD5322">
            <w:pPr>
              <w:keepNext/>
              <w:rPr>
                <w:rFonts w:eastAsia="Calibri"/>
                <w:color w:val="000000"/>
                <w:lang w:val="sr-Latn-RS"/>
              </w:rPr>
            </w:pPr>
            <w:r w:rsidRPr="00C83E6A">
              <w:rPr>
                <w:color w:val="000000"/>
                <w:lang w:val="sr-Latn-RS"/>
              </w:rPr>
              <w:t>Često</w:t>
            </w:r>
          </w:p>
        </w:tc>
      </w:tr>
      <w:tr w:rsidR="00096D7F" w:rsidRPr="00C83E6A" w14:paraId="0EAD9659" w14:textId="77777777" w:rsidTr="009C4CCE">
        <w:trPr>
          <w:cantSplit/>
          <w:trHeight w:val="195"/>
        </w:trPr>
        <w:tc>
          <w:tcPr>
            <w:tcW w:w="1891" w:type="pct"/>
            <w:vMerge/>
            <w:vAlign w:val="center"/>
            <w:hideMark/>
          </w:tcPr>
          <w:p w14:paraId="6CA2861D" w14:textId="77777777" w:rsidR="00096D7F" w:rsidRPr="00C83E6A" w:rsidRDefault="00096D7F">
            <w:pPr>
              <w:keepNext/>
              <w:rPr>
                <w:rFonts w:eastAsia="Calibri"/>
                <w:color w:val="000000"/>
                <w:lang w:val="sr-Latn-RS"/>
              </w:rPr>
            </w:pPr>
          </w:p>
        </w:tc>
        <w:tc>
          <w:tcPr>
            <w:tcW w:w="1599" w:type="pct"/>
            <w:tcMar>
              <w:top w:w="0" w:type="dxa"/>
              <w:left w:w="108" w:type="dxa"/>
              <w:bottom w:w="0" w:type="dxa"/>
              <w:right w:w="108" w:type="dxa"/>
            </w:tcMar>
          </w:tcPr>
          <w:p w14:paraId="31FFE9D1" w14:textId="77777777" w:rsidR="00096D7F" w:rsidRPr="00C83E6A" w:rsidRDefault="00096D7F">
            <w:pPr>
              <w:keepNext/>
              <w:rPr>
                <w:rFonts w:eastAsia="Calibri"/>
                <w:color w:val="000000"/>
                <w:lang w:val="sr-Latn-RS"/>
              </w:rPr>
            </w:pPr>
            <w:r w:rsidRPr="00C83E6A">
              <w:rPr>
                <w:color w:val="000000"/>
                <w:lang w:val="sr-Latn-RS"/>
              </w:rPr>
              <w:t>Nazofaringitis</w:t>
            </w:r>
          </w:p>
        </w:tc>
        <w:tc>
          <w:tcPr>
            <w:tcW w:w="1510" w:type="pct"/>
            <w:tcMar>
              <w:top w:w="0" w:type="dxa"/>
              <w:left w:w="108" w:type="dxa"/>
              <w:bottom w:w="0" w:type="dxa"/>
              <w:right w:w="108" w:type="dxa"/>
            </w:tcMar>
            <w:hideMark/>
          </w:tcPr>
          <w:p w14:paraId="41B9C454" w14:textId="77777777" w:rsidR="00096D7F" w:rsidRPr="00C83E6A" w:rsidRDefault="00096D7F">
            <w:pPr>
              <w:keepNext/>
              <w:rPr>
                <w:rFonts w:eastAsia="Calibri"/>
                <w:color w:val="000000"/>
                <w:lang w:val="sr-Latn-RS"/>
              </w:rPr>
            </w:pPr>
            <w:r w:rsidRPr="00C83E6A">
              <w:rPr>
                <w:color w:val="000000"/>
                <w:lang w:val="sr-Latn-RS"/>
              </w:rPr>
              <w:t>Često</w:t>
            </w:r>
          </w:p>
        </w:tc>
      </w:tr>
      <w:tr w:rsidR="00096D7F" w:rsidRPr="00C83E6A" w14:paraId="629AC7FD" w14:textId="77777777" w:rsidTr="009C4CCE">
        <w:trPr>
          <w:cantSplit/>
          <w:trHeight w:val="195"/>
        </w:trPr>
        <w:tc>
          <w:tcPr>
            <w:tcW w:w="1891" w:type="pct"/>
            <w:vMerge/>
            <w:vAlign w:val="center"/>
            <w:hideMark/>
          </w:tcPr>
          <w:p w14:paraId="346D80EA" w14:textId="77777777" w:rsidR="00096D7F" w:rsidRPr="00C83E6A" w:rsidRDefault="00096D7F">
            <w:pPr>
              <w:keepNext/>
              <w:rPr>
                <w:rFonts w:eastAsia="Calibri"/>
                <w:color w:val="000000"/>
                <w:lang w:val="sr-Latn-RS"/>
              </w:rPr>
            </w:pPr>
          </w:p>
        </w:tc>
        <w:tc>
          <w:tcPr>
            <w:tcW w:w="1599" w:type="pct"/>
            <w:tcMar>
              <w:top w:w="0" w:type="dxa"/>
              <w:left w:w="108" w:type="dxa"/>
              <w:bottom w:w="0" w:type="dxa"/>
              <w:right w:w="108" w:type="dxa"/>
            </w:tcMar>
            <w:hideMark/>
          </w:tcPr>
          <w:p w14:paraId="67F76DC4" w14:textId="77777777" w:rsidR="00096D7F" w:rsidRPr="00C83E6A" w:rsidRDefault="00096D7F">
            <w:pPr>
              <w:keepNext/>
              <w:rPr>
                <w:rFonts w:eastAsia="Calibri"/>
                <w:color w:val="000000"/>
                <w:lang w:val="sr-Latn-RS"/>
              </w:rPr>
            </w:pPr>
            <w:r w:rsidRPr="00C83E6A">
              <w:rPr>
                <w:color w:val="000000"/>
                <w:lang w:val="sr-Latn-RS"/>
              </w:rPr>
              <w:t>Infekcija gornjih disajnih puteva</w:t>
            </w:r>
          </w:p>
        </w:tc>
        <w:tc>
          <w:tcPr>
            <w:tcW w:w="1510" w:type="pct"/>
            <w:tcMar>
              <w:top w:w="0" w:type="dxa"/>
              <w:left w:w="108" w:type="dxa"/>
              <w:bottom w:w="0" w:type="dxa"/>
              <w:right w:w="108" w:type="dxa"/>
            </w:tcMar>
            <w:hideMark/>
          </w:tcPr>
          <w:p w14:paraId="1A3AF376" w14:textId="77777777" w:rsidR="00096D7F" w:rsidRPr="00C83E6A" w:rsidRDefault="00096D7F">
            <w:pPr>
              <w:keepNext/>
              <w:rPr>
                <w:rFonts w:eastAsia="Calibri"/>
                <w:color w:val="000000"/>
                <w:lang w:val="sr-Latn-RS"/>
              </w:rPr>
            </w:pPr>
            <w:r w:rsidRPr="00C83E6A">
              <w:rPr>
                <w:color w:val="000000"/>
                <w:lang w:val="sr-Latn-RS"/>
              </w:rPr>
              <w:t>Često</w:t>
            </w:r>
          </w:p>
        </w:tc>
      </w:tr>
      <w:tr w:rsidR="008A66B8" w:rsidRPr="00C83E6A" w14:paraId="08B30D77" w14:textId="77777777" w:rsidTr="009C4CCE">
        <w:trPr>
          <w:cantSplit/>
        </w:trPr>
        <w:tc>
          <w:tcPr>
            <w:tcW w:w="1891" w:type="pct"/>
            <w:vMerge w:val="restart"/>
            <w:tcMar>
              <w:top w:w="0" w:type="dxa"/>
              <w:left w:w="108" w:type="dxa"/>
              <w:bottom w:w="0" w:type="dxa"/>
              <w:right w:w="108" w:type="dxa"/>
            </w:tcMar>
          </w:tcPr>
          <w:p w14:paraId="66F711BF" w14:textId="77777777" w:rsidR="008A66B8" w:rsidRPr="00C83E6A" w:rsidRDefault="008A66B8" w:rsidP="00FD5322">
            <w:pPr>
              <w:keepNext/>
              <w:rPr>
                <w:rFonts w:eastAsia="PMingLiU"/>
                <w:color w:val="000000"/>
                <w:lang w:val="sr-Latn-RS"/>
              </w:rPr>
            </w:pPr>
            <w:r w:rsidRPr="00C83E6A">
              <w:rPr>
                <w:color w:val="000000"/>
                <w:lang w:val="sr-Latn-RS"/>
              </w:rPr>
              <w:t>Poremećaji imunog sistema</w:t>
            </w:r>
          </w:p>
        </w:tc>
        <w:tc>
          <w:tcPr>
            <w:tcW w:w="1599" w:type="pct"/>
            <w:tcMar>
              <w:top w:w="0" w:type="dxa"/>
              <w:left w:w="108" w:type="dxa"/>
              <w:bottom w:w="0" w:type="dxa"/>
              <w:right w:w="108" w:type="dxa"/>
            </w:tcMar>
          </w:tcPr>
          <w:p w14:paraId="2F70A840" w14:textId="77777777" w:rsidR="008A66B8" w:rsidRPr="00C83E6A" w:rsidRDefault="008A66B8" w:rsidP="00FD5322">
            <w:pPr>
              <w:keepNext/>
              <w:rPr>
                <w:rFonts w:eastAsia="PMingLiU"/>
                <w:color w:val="000000"/>
                <w:lang w:val="sr-Latn-RS"/>
              </w:rPr>
            </w:pPr>
            <w:r w:rsidRPr="00C83E6A">
              <w:rPr>
                <w:lang w:val="sr-Latn-RS"/>
              </w:rPr>
              <w:t>Preosjetljivost</w:t>
            </w:r>
          </w:p>
        </w:tc>
        <w:tc>
          <w:tcPr>
            <w:tcW w:w="1510" w:type="pct"/>
            <w:tcMar>
              <w:top w:w="0" w:type="dxa"/>
              <w:left w:w="108" w:type="dxa"/>
              <w:bottom w:w="0" w:type="dxa"/>
              <w:right w:w="108" w:type="dxa"/>
            </w:tcMar>
          </w:tcPr>
          <w:p w14:paraId="0FF36D41" w14:textId="77777777" w:rsidR="008A66B8" w:rsidRPr="00C83E6A" w:rsidRDefault="008A66B8" w:rsidP="00FD5322">
            <w:pPr>
              <w:keepNext/>
              <w:rPr>
                <w:rFonts w:eastAsia="PMingLiU"/>
                <w:color w:val="000000"/>
                <w:lang w:val="sr-Latn-RS"/>
              </w:rPr>
            </w:pPr>
            <w:r w:rsidRPr="00C83E6A">
              <w:rPr>
                <w:lang w:val="sr-Latn-RS"/>
              </w:rPr>
              <w:t>Često</w:t>
            </w:r>
          </w:p>
        </w:tc>
      </w:tr>
      <w:tr w:rsidR="008A66B8" w:rsidRPr="00C83E6A" w14:paraId="6434A814" w14:textId="77777777" w:rsidTr="009C4CCE">
        <w:trPr>
          <w:cantSplit/>
        </w:trPr>
        <w:tc>
          <w:tcPr>
            <w:tcW w:w="1891" w:type="pct"/>
            <w:vMerge/>
            <w:tcMar>
              <w:top w:w="0" w:type="dxa"/>
              <w:left w:w="108" w:type="dxa"/>
              <w:bottom w:w="0" w:type="dxa"/>
              <w:right w:w="108" w:type="dxa"/>
            </w:tcMar>
          </w:tcPr>
          <w:p w14:paraId="58184035" w14:textId="77777777" w:rsidR="008A66B8" w:rsidRPr="00C83E6A" w:rsidRDefault="008A66B8">
            <w:pPr>
              <w:keepNext/>
              <w:rPr>
                <w:color w:val="000000"/>
                <w:lang w:val="sr-Latn-RS"/>
              </w:rPr>
            </w:pPr>
          </w:p>
        </w:tc>
        <w:tc>
          <w:tcPr>
            <w:tcW w:w="1599" w:type="pct"/>
            <w:tcMar>
              <w:top w:w="0" w:type="dxa"/>
              <w:left w:w="108" w:type="dxa"/>
              <w:bottom w:w="0" w:type="dxa"/>
              <w:right w:w="108" w:type="dxa"/>
            </w:tcMar>
          </w:tcPr>
          <w:p w14:paraId="35641103" w14:textId="77777777" w:rsidR="008A66B8" w:rsidRPr="00C83E6A" w:rsidRDefault="008A66B8">
            <w:pPr>
              <w:keepNext/>
              <w:rPr>
                <w:color w:val="000000"/>
                <w:lang w:val="sr-Latn-RS"/>
              </w:rPr>
            </w:pPr>
            <w:r w:rsidRPr="00C83E6A">
              <w:rPr>
                <w:color w:val="000000"/>
                <w:lang w:val="sr-Latn-RS"/>
              </w:rPr>
              <w:t>Osip</w:t>
            </w:r>
          </w:p>
        </w:tc>
        <w:tc>
          <w:tcPr>
            <w:tcW w:w="1510" w:type="pct"/>
            <w:tcMar>
              <w:top w:w="0" w:type="dxa"/>
              <w:left w:w="108" w:type="dxa"/>
              <w:bottom w:w="0" w:type="dxa"/>
              <w:right w:w="108" w:type="dxa"/>
            </w:tcMar>
          </w:tcPr>
          <w:p w14:paraId="5AED7F2C" w14:textId="77777777" w:rsidR="008A66B8" w:rsidRPr="00C83E6A" w:rsidRDefault="008A66B8">
            <w:pPr>
              <w:keepNext/>
              <w:rPr>
                <w:color w:val="000000"/>
                <w:lang w:val="sr-Latn-RS"/>
              </w:rPr>
            </w:pPr>
            <w:r w:rsidRPr="00C83E6A">
              <w:rPr>
                <w:color w:val="000000"/>
                <w:lang w:val="sr-Latn-RS"/>
              </w:rPr>
              <w:t>Često</w:t>
            </w:r>
          </w:p>
        </w:tc>
      </w:tr>
      <w:tr w:rsidR="008A66B8" w:rsidRPr="00C83E6A" w14:paraId="0A7AE9CC" w14:textId="77777777" w:rsidTr="009C4CCE">
        <w:trPr>
          <w:cantSplit/>
        </w:trPr>
        <w:tc>
          <w:tcPr>
            <w:tcW w:w="1891" w:type="pct"/>
            <w:vMerge/>
            <w:tcMar>
              <w:top w:w="0" w:type="dxa"/>
              <w:left w:w="108" w:type="dxa"/>
              <w:bottom w:w="0" w:type="dxa"/>
              <w:right w:w="108" w:type="dxa"/>
            </w:tcMar>
          </w:tcPr>
          <w:p w14:paraId="5320F316" w14:textId="77777777" w:rsidR="008A66B8" w:rsidRPr="00C83E6A" w:rsidRDefault="008A66B8">
            <w:pPr>
              <w:keepNext/>
              <w:rPr>
                <w:color w:val="000000"/>
                <w:lang w:val="sr-Latn-RS"/>
              </w:rPr>
            </w:pPr>
          </w:p>
        </w:tc>
        <w:tc>
          <w:tcPr>
            <w:tcW w:w="1599" w:type="pct"/>
            <w:tcMar>
              <w:top w:w="0" w:type="dxa"/>
              <w:left w:w="108" w:type="dxa"/>
              <w:bottom w:w="0" w:type="dxa"/>
              <w:right w:w="108" w:type="dxa"/>
            </w:tcMar>
          </w:tcPr>
          <w:p w14:paraId="321A7B72" w14:textId="77777777" w:rsidR="008A66B8" w:rsidRPr="00C83E6A" w:rsidRDefault="008A66B8">
            <w:pPr>
              <w:keepNext/>
              <w:rPr>
                <w:color w:val="000000"/>
                <w:lang w:val="sr-Latn-RS"/>
              </w:rPr>
            </w:pPr>
            <w:r w:rsidRPr="00C83E6A">
              <w:rPr>
                <w:color w:val="000000"/>
                <w:lang w:val="sr-Latn-RS"/>
              </w:rPr>
              <w:t>Urtikarija</w:t>
            </w:r>
          </w:p>
        </w:tc>
        <w:tc>
          <w:tcPr>
            <w:tcW w:w="1510" w:type="pct"/>
            <w:tcMar>
              <w:top w:w="0" w:type="dxa"/>
              <w:left w:w="108" w:type="dxa"/>
              <w:bottom w:w="0" w:type="dxa"/>
              <w:right w:w="108" w:type="dxa"/>
            </w:tcMar>
          </w:tcPr>
          <w:p w14:paraId="3CFE7FD5" w14:textId="77777777" w:rsidR="008A66B8" w:rsidRPr="00C83E6A" w:rsidRDefault="008A66B8">
            <w:pPr>
              <w:keepNext/>
              <w:rPr>
                <w:color w:val="000000"/>
                <w:lang w:val="sr-Latn-RS"/>
              </w:rPr>
            </w:pPr>
            <w:r w:rsidRPr="00C83E6A">
              <w:rPr>
                <w:color w:val="000000"/>
                <w:lang w:val="sr-Latn-RS"/>
              </w:rPr>
              <w:t>Povremeno</w:t>
            </w:r>
          </w:p>
        </w:tc>
      </w:tr>
      <w:tr w:rsidR="00C44B5F" w:rsidRPr="00C83E6A" w14:paraId="104C172B" w14:textId="77777777" w:rsidTr="009C4CCE">
        <w:trPr>
          <w:cantSplit/>
        </w:trPr>
        <w:tc>
          <w:tcPr>
            <w:tcW w:w="1891" w:type="pct"/>
            <w:tcMar>
              <w:top w:w="0" w:type="dxa"/>
              <w:left w:w="108" w:type="dxa"/>
              <w:bottom w:w="0" w:type="dxa"/>
              <w:right w:w="108" w:type="dxa"/>
            </w:tcMar>
          </w:tcPr>
          <w:p w14:paraId="2867DB4D" w14:textId="77777777" w:rsidR="00C44B5F" w:rsidRPr="00C83E6A" w:rsidRDefault="00C44B5F" w:rsidP="00FD5322">
            <w:pPr>
              <w:rPr>
                <w:rFonts w:eastAsia="PMingLiU"/>
                <w:color w:val="000000"/>
                <w:lang w:val="sr-Latn-RS"/>
              </w:rPr>
            </w:pPr>
            <w:r w:rsidRPr="00C83E6A">
              <w:rPr>
                <w:lang w:val="sr-Latn-RS"/>
              </w:rPr>
              <w:t>Poremećaji nervnog sistema</w:t>
            </w:r>
          </w:p>
        </w:tc>
        <w:tc>
          <w:tcPr>
            <w:tcW w:w="1599" w:type="pct"/>
            <w:tcMar>
              <w:top w:w="0" w:type="dxa"/>
              <w:left w:w="108" w:type="dxa"/>
              <w:bottom w:w="0" w:type="dxa"/>
              <w:right w:w="108" w:type="dxa"/>
            </w:tcMar>
          </w:tcPr>
          <w:p w14:paraId="3354E88C" w14:textId="77777777" w:rsidR="00C44B5F" w:rsidRPr="00C83E6A" w:rsidRDefault="00C44B5F" w:rsidP="00FD5322">
            <w:pPr>
              <w:keepNext/>
              <w:rPr>
                <w:rFonts w:eastAsia="PMingLiU"/>
                <w:color w:val="000000"/>
                <w:lang w:val="sr-Latn-RS"/>
              </w:rPr>
            </w:pPr>
            <w:r w:rsidRPr="00C83E6A">
              <w:rPr>
                <w:lang w:val="sr-Latn-RS"/>
              </w:rPr>
              <w:t>Glavobolja</w:t>
            </w:r>
          </w:p>
        </w:tc>
        <w:tc>
          <w:tcPr>
            <w:tcW w:w="1510" w:type="pct"/>
            <w:tcMar>
              <w:top w:w="0" w:type="dxa"/>
              <w:left w:w="108" w:type="dxa"/>
              <w:bottom w:w="0" w:type="dxa"/>
              <w:right w:w="108" w:type="dxa"/>
            </w:tcMar>
          </w:tcPr>
          <w:p w14:paraId="5B6A18F3" w14:textId="77777777" w:rsidR="00C44B5F" w:rsidRPr="00C83E6A" w:rsidRDefault="00C44B5F" w:rsidP="00FD5322">
            <w:pPr>
              <w:keepNext/>
              <w:rPr>
                <w:rFonts w:eastAsia="PMingLiU"/>
                <w:color w:val="000000"/>
                <w:lang w:val="sr-Latn-RS"/>
              </w:rPr>
            </w:pPr>
            <w:r w:rsidRPr="00C83E6A">
              <w:rPr>
                <w:lang w:val="sr-Latn-RS"/>
              </w:rPr>
              <w:t>Često</w:t>
            </w:r>
          </w:p>
        </w:tc>
      </w:tr>
      <w:tr w:rsidR="00C44B5F" w:rsidRPr="00C83E6A" w14:paraId="3C5CE979" w14:textId="77777777" w:rsidTr="009C4CCE">
        <w:trPr>
          <w:cantSplit/>
        </w:trPr>
        <w:tc>
          <w:tcPr>
            <w:tcW w:w="1891" w:type="pct"/>
            <w:tcMar>
              <w:top w:w="0" w:type="dxa"/>
              <w:left w:w="108" w:type="dxa"/>
              <w:bottom w:w="0" w:type="dxa"/>
              <w:right w:w="108" w:type="dxa"/>
            </w:tcMar>
            <w:hideMark/>
          </w:tcPr>
          <w:p w14:paraId="52218DE2" w14:textId="77777777" w:rsidR="00C44B5F" w:rsidRPr="00C83E6A" w:rsidRDefault="00C44B5F" w:rsidP="00FD5322">
            <w:pPr>
              <w:rPr>
                <w:rFonts w:eastAsia="Calibri"/>
                <w:color w:val="000000"/>
                <w:lang w:val="sr-Latn-RS"/>
              </w:rPr>
            </w:pPr>
            <w:r w:rsidRPr="00C83E6A">
              <w:rPr>
                <w:color w:val="000000"/>
                <w:lang w:val="sr-Latn-RS"/>
              </w:rPr>
              <w:t>Gastrointestinalni poremećaji</w:t>
            </w:r>
          </w:p>
        </w:tc>
        <w:tc>
          <w:tcPr>
            <w:tcW w:w="1599" w:type="pct"/>
            <w:tcMar>
              <w:top w:w="0" w:type="dxa"/>
              <w:left w:w="108" w:type="dxa"/>
              <w:bottom w:w="0" w:type="dxa"/>
              <w:right w:w="108" w:type="dxa"/>
            </w:tcMar>
            <w:hideMark/>
          </w:tcPr>
          <w:p w14:paraId="6C4CF8F5" w14:textId="77777777" w:rsidR="00C44B5F" w:rsidRPr="00C83E6A" w:rsidRDefault="00C44B5F" w:rsidP="00FD5322">
            <w:pPr>
              <w:keepNext/>
              <w:rPr>
                <w:rFonts w:eastAsia="Calibri"/>
                <w:color w:val="000000"/>
                <w:lang w:val="sr-Latn-RS"/>
              </w:rPr>
            </w:pPr>
            <w:r w:rsidRPr="00C83E6A">
              <w:rPr>
                <w:color w:val="000000"/>
                <w:lang w:val="sr-Latn-RS"/>
              </w:rPr>
              <w:t>Mučnina</w:t>
            </w:r>
          </w:p>
        </w:tc>
        <w:tc>
          <w:tcPr>
            <w:tcW w:w="1510" w:type="pct"/>
            <w:tcMar>
              <w:top w:w="0" w:type="dxa"/>
              <w:left w:w="108" w:type="dxa"/>
              <w:bottom w:w="0" w:type="dxa"/>
              <w:right w:w="108" w:type="dxa"/>
            </w:tcMar>
            <w:hideMark/>
          </w:tcPr>
          <w:p w14:paraId="5FF7B162" w14:textId="77777777" w:rsidR="00C44B5F" w:rsidRPr="00C83E6A" w:rsidRDefault="00C44B5F" w:rsidP="00FD5322">
            <w:pPr>
              <w:keepNext/>
              <w:rPr>
                <w:rFonts w:eastAsia="Calibri"/>
                <w:color w:val="000000"/>
                <w:lang w:val="sr-Latn-RS"/>
              </w:rPr>
            </w:pPr>
            <w:r w:rsidRPr="00C83E6A">
              <w:rPr>
                <w:color w:val="000000"/>
                <w:lang w:val="sr-Latn-RS"/>
              </w:rPr>
              <w:t>Često</w:t>
            </w:r>
          </w:p>
        </w:tc>
      </w:tr>
      <w:tr w:rsidR="00C44B5F" w:rsidRPr="00C83E6A" w14:paraId="749C87AC" w14:textId="77777777" w:rsidTr="009C4CCE">
        <w:trPr>
          <w:cantSplit/>
        </w:trPr>
        <w:tc>
          <w:tcPr>
            <w:tcW w:w="1891" w:type="pct"/>
            <w:tcMar>
              <w:top w:w="0" w:type="dxa"/>
              <w:left w:w="108" w:type="dxa"/>
              <w:bottom w:w="0" w:type="dxa"/>
              <w:right w:w="108" w:type="dxa"/>
            </w:tcMar>
          </w:tcPr>
          <w:p w14:paraId="53759DDF" w14:textId="77777777" w:rsidR="00C44B5F" w:rsidRPr="00C83E6A" w:rsidRDefault="00C44B5F" w:rsidP="00FD5322">
            <w:pPr>
              <w:rPr>
                <w:color w:val="000000"/>
                <w:lang w:val="sr-Latn-RS"/>
              </w:rPr>
            </w:pPr>
            <w:r w:rsidRPr="00C83E6A">
              <w:rPr>
                <w:color w:val="000000"/>
                <w:lang w:val="sr-Latn-RS"/>
              </w:rPr>
              <w:t>Poremećaji kože i potkožnog tkiva</w:t>
            </w:r>
          </w:p>
        </w:tc>
        <w:tc>
          <w:tcPr>
            <w:tcW w:w="1599" w:type="pct"/>
            <w:tcMar>
              <w:top w:w="0" w:type="dxa"/>
              <w:left w:w="108" w:type="dxa"/>
              <w:bottom w:w="0" w:type="dxa"/>
              <w:right w:w="108" w:type="dxa"/>
            </w:tcMar>
          </w:tcPr>
          <w:p w14:paraId="623668D3" w14:textId="77777777" w:rsidR="00C44B5F" w:rsidRPr="00C83E6A" w:rsidRDefault="00C44B5F" w:rsidP="00FD5322">
            <w:pPr>
              <w:keepNext/>
              <w:rPr>
                <w:color w:val="000000"/>
                <w:lang w:val="sr-Latn-RS"/>
              </w:rPr>
            </w:pPr>
            <w:r w:rsidRPr="00C83E6A">
              <w:rPr>
                <w:color w:val="000000"/>
                <w:lang w:val="sr-Latn-RS"/>
              </w:rPr>
              <w:t>Angioedem</w:t>
            </w:r>
          </w:p>
        </w:tc>
        <w:tc>
          <w:tcPr>
            <w:tcW w:w="1510" w:type="pct"/>
            <w:tcMar>
              <w:top w:w="0" w:type="dxa"/>
              <w:left w:w="108" w:type="dxa"/>
              <w:bottom w:w="0" w:type="dxa"/>
              <w:right w:w="108" w:type="dxa"/>
            </w:tcMar>
          </w:tcPr>
          <w:p w14:paraId="5C60474F" w14:textId="77777777" w:rsidR="00C44B5F" w:rsidRPr="00C83E6A" w:rsidRDefault="00C44B5F" w:rsidP="00FD5322">
            <w:pPr>
              <w:keepNext/>
              <w:rPr>
                <w:color w:val="000000"/>
                <w:lang w:val="sr-Latn-RS"/>
              </w:rPr>
            </w:pPr>
            <w:r w:rsidRPr="00C83E6A">
              <w:rPr>
                <w:color w:val="000000"/>
                <w:lang w:val="sr-Latn-RS"/>
              </w:rPr>
              <w:t>Rijetko</w:t>
            </w:r>
          </w:p>
        </w:tc>
      </w:tr>
      <w:tr w:rsidR="00C44B5F" w:rsidRPr="00C83E6A" w14:paraId="21D1FA24" w14:textId="77777777" w:rsidTr="009C4CCE">
        <w:trPr>
          <w:cantSplit/>
          <w:trHeight w:val="195"/>
        </w:trPr>
        <w:tc>
          <w:tcPr>
            <w:tcW w:w="1891" w:type="pct"/>
            <w:vMerge w:val="restart"/>
            <w:tcMar>
              <w:top w:w="0" w:type="dxa"/>
              <w:left w:w="108" w:type="dxa"/>
              <w:bottom w:w="0" w:type="dxa"/>
              <w:right w:w="108" w:type="dxa"/>
            </w:tcMar>
            <w:hideMark/>
          </w:tcPr>
          <w:p w14:paraId="340DD9DB" w14:textId="77777777" w:rsidR="00C44B5F" w:rsidRPr="00C83E6A" w:rsidRDefault="00C44B5F" w:rsidP="00FD5322">
            <w:pPr>
              <w:keepNext/>
              <w:rPr>
                <w:rFonts w:eastAsia="Calibri"/>
                <w:color w:val="000000"/>
                <w:lang w:val="sr-Latn-RS"/>
              </w:rPr>
            </w:pPr>
            <w:r w:rsidRPr="00C83E6A">
              <w:rPr>
                <w:color w:val="000000"/>
                <w:lang w:val="sr-Latn-RS"/>
              </w:rPr>
              <w:t>Poremećaji mišićno</w:t>
            </w:r>
            <w:r w:rsidRPr="00C83E6A">
              <w:rPr>
                <w:color w:val="000000"/>
                <w:lang w:val="sr-Latn-RS"/>
              </w:rPr>
              <w:noBreakHyphen/>
              <w:t>skeletnog i vezivnog tkiva</w:t>
            </w:r>
          </w:p>
        </w:tc>
        <w:tc>
          <w:tcPr>
            <w:tcW w:w="1599" w:type="pct"/>
            <w:tcMar>
              <w:top w:w="0" w:type="dxa"/>
              <w:left w:w="108" w:type="dxa"/>
              <w:bottom w:w="0" w:type="dxa"/>
              <w:right w:w="108" w:type="dxa"/>
            </w:tcMar>
          </w:tcPr>
          <w:p w14:paraId="126B7084" w14:textId="77777777" w:rsidR="00C44B5F" w:rsidRPr="00C83E6A" w:rsidRDefault="00C44B5F" w:rsidP="00FD5322">
            <w:pPr>
              <w:keepNext/>
              <w:rPr>
                <w:rFonts w:eastAsia="Calibri"/>
                <w:color w:val="000000"/>
                <w:lang w:val="sr-Latn-RS"/>
              </w:rPr>
            </w:pPr>
            <w:r w:rsidRPr="00C83E6A">
              <w:rPr>
                <w:color w:val="000000"/>
                <w:lang w:val="sr-Latn-RS"/>
              </w:rPr>
              <w:t>Bol u leđima</w:t>
            </w:r>
          </w:p>
        </w:tc>
        <w:tc>
          <w:tcPr>
            <w:tcW w:w="1510" w:type="pct"/>
            <w:tcMar>
              <w:top w:w="0" w:type="dxa"/>
              <w:left w:w="108" w:type="dxa"/>
              <w:bottom w:w="0" w:type="dxa"/>
              <w:right w:w="108" w:type="dxa"/>
            </w:tcMar>
            <w:hideMark/>
          </w:tcPr>
          <w:p w14:paraId="3EC83625" w14:textId="77777777" w:rsidR="00C44B5F" w:rsidRPr="00C83E6A" w:rsidRDefault="00C44B5F" w:rsidP="00FD5322">
            <w:pPr>
              <w:keepNext/>
              <w:rPr>
                <w:rFonts w:eastAsia="Calibri"/>
                <w:color w:val="000000"/>
                <w:lang w:val="sr-Latn-RS"/>
              </w:rPr>
            </w:pPr>
            <w:r w:rsidRPr="00C83E6A">
              <w:rPr>
                <w:color w:val="000000"/>
                <w:lang w:val="sr-Latn-RS"/>
              </w:rPr>
              <w:t>Često</w:t>
            </w:r>
          </w:p>
        </w:tc>
      </w:tr>
      <w:tr w:rsidR="00C44B5F" w:rsidRPr="00C83E6A" w14:paraId="60745176" w14:textId="77777777" w:rsidTr="009C4CCE">
        <w:trPr>
          <w:cantSplit/>
          <w:trHeight w:val="194"/>
        </w:trPr>
        <w:tc>
          <w:tcPr>
            <w:tcW w:w="1891" w:type="pct"/>
            <w:vMerge/>
            <w:vAlign w:val="center"/>
            <w:hideMark/>
          </w:tcPr>
          <w:p w14:paraId="0F76029C" w14:textId="77777777" w:rsidR="00C44B5F" w:rsidRPr="00C83E6A" w:rsidRDefault="00C44B5F">
            <w:pPr>
              <w:keepNext/>
              <w:rPr>
                <w:rFonts w:eastAsia="Calibri"/>
                <w:color w:val="000000"/>
                <w:lang w:val="sr-Latn-RS"/>
              </w:rPr>
            </w:pPr>
          </w:p>
        </w:tc>
        <w:tc>
          <w:tcPr>
            <w:tcW w:w="1599" w:type="pct"/>
            <w:tcMar>
              <w:top w:w="0" w:type="dxa"/>
              <w:left w:w="108" w:type="dxa"/>
              <w:bottom w:w="0" w:type="dxa"/>
              <w:right w:w="108" w:type="dxa"/>
            </w:tcMar>
            <w:hideMark/>
          </w:tcPr>
          <w:p w14:paraId="3D4ED1BF" w14:textId="77777777" w:rsidR="00C44B5F" w:rsidRPr="00C83E6A" w:rsidRDefault="00C44B5F">
            <w:pPr>
              <w:keepNext/>
              <w:rPr>
                <w:rFonts w:eastAsia="Calibri"/>
                <w:color w:val="000000"/>
                <w:lang w:val="sr-Latn-RS"/>
              </w:rPr>
            </w:pPr>
            <w:r w:rsidRPr="00C83E6A">
              <w:rPr>
                <w:color w:val="000000"/>
                <w:lang w:val="sr-Latn-RS"/>
              </w:rPr>
              <w:t>Artralgija</w:t>
            </w:r>
          </w:p>
        </w:tc>
        <w:tc>
          <w:tcPr>
            <w:tcW w:w="1510" w:type="pct"/>
            <w:tcMar>
              <w:top w:w="0" w:type="dxa"/>
              <w:left w:w="108" w:type="dxa"/>
              <w:bottom w:w="0" w:type="dxa"/>
              <w:right w:w="108" w:type="dxa"/>
            </w:tcMar>
            <w:hideMark/>
          </w:tcPr>
          <w:p w14:paraId="13D15346" w14:textId="77777777" w:rsidR="00C44B5F" w:rsidRPr="00C83E6A" w:rsidRDefault="00C44B5F">
            <w:pPr>
              <w:keepNext/>
              <w:rPr>
                <w:rFonts w:eastAsia="Calibri"/>
                <w:color w:val="000000"/>
                <w:lang w:val="sr-Latn-RS"/>
              </w:rPr>
            </w:pPr>
            <w:r w:rsidRPr="00C83E6A">
              <w:rPr>
                <w:color w:val="000000"/>
                <w:lang w:val="sr-Latn-RS"/>
              </w:rPr>
              <w:t>Često</w:t>
            </w:r>
          </w:p>
        </w:tc>
      </w:tr>
      <w:tr w:rsidR="00C44B5F" w:rsidRPr="00C83E6A" w14:paraId="25A6115F" w14:textId="77777777" w:rsidTr="009C4CCE">
        <w:trPr>
          <w:cantSplit/>
          <w:trHeight w:val="194"/>
        </w:trPr>
        <w:tc>
          <w:tcPr>
            <w:tcW w:w="1891" w:type="pct"/>
            <w:vMerge/>
            <w:vAlign w:val="center"/>
          </w:tcPr>
          <w:p w14:paraId="6965FC13" w14:textId="77777777" w:rsidR="00C44B5F" w:rsidRPr="00C83E6A" w:rsidRDefault="00C44B5F">
            <w:pPr>
              <w:keepNext/>
              <w:rPr>
                <w:rFonts w:eastAsia="Calibri"/>
                <w:color w:val="000000"/>
                <w:lang w:val="sr-Latn-RS"/>
              </w:rPr>
            </w:pPr>
          </w:p>
        </w:tc>
        <w:tc>
          <w:tcPr>
            <w:tcW w:w="1599" w:type="pct"/>
            <w:tcMar>
              <w:top w:w="0" w:type="dxa"/>
              <w:left w:w="108" w:type="dxa"/>
              <w:bottom w:w="0" w:type="dxa"/>
              <w:right w:w="108" w:type="dxa"/>
            </w:tcMar>
          </w:tcPr>
          <w:p w14:paraId="08844770" w14:textId="77777777" w:rsidR="00C44B5F" w:rsidRPr="00C83E6A" w:rsidRDefault="00C44B5F">
            <w:pPr>
              <w:rPr>
                <w:rFonts w:eastAsia="PMingLiU"/>
                <w:lang w:val="sr-Latn-RS"/>
              </w:rPr>
            </w:pPr>
            <w:r w:rsidRPr="00C83E6A">
              <w:rPr>
                <w:lang w:val="sr-Latn-RS"/>
              </w:rPr>
              <w:t>Mialgija</w:t>
            </w:r>
          </w:p>
        </w:tc>
        <w:tc>
          <w:tcPr>
            <w:tcW w:w="1510" w:type="pct"/>
            <w:tcMar>
              <w:top w:w="0" w:type="dxa"/>
              <w:left w:w="108" w:type="dxa"/>
              <w:bottom w:w="0" w:type="dxa"/>
              <w:right w:w="108" w:type="dxa"/>
            </w:tcMar>
          </w:tcPr>
          <w:p w14:paraId="55B541B1" w14:textId="77777777" w:rsidR="00C44B5F" w:rsidRPr="00C83E6A" w:rsidRDefault="00C44B5F">
            <w:pPr>
              <w:rPr>
                <w:rFonts w:eastAsia="PMingLiU"/>
                <w:lang w:val="sr-Latn-RS"/>
              </w:rPr>
            </w:pPr>
            <w:r w:rsidRPr="00C83E6A">
              <w:rPr>
                <w:lang w:val="sr-Latn-RS"/>
              </w:rPr>
              <w:t>Često</w:t>
            </w:r>
          </w:p>
        </w:tc>
      </w:tr>
      <w:tr w:rsidR="00C44B5F" w:rsidRPr="00C83E6A" w14:paraId="39D77A97" w14:textId="77777777" w:rsidTr="009C4CCE">
        <w:trPr>
          <w:cantSplit/>
          <w:trHeight w:val="194"/>
        </w:trPr>
        <w:tc>
          <w:tcPr>
            <w:tcW w:w="1891" w:type="pct"/>
            <w:vMerge w:val="restart"/>
            <w:tcMar>
              <w:top w:w="0" w:type="dxa"/>
              <w:left w:w="108" w:type="dxa"/>
              <w:bottom w:w="0" w:type="dxa"/>
              <w:right w:w="108" w:type="dxa"/>
            </w:tcMar>
            <w:hideMark/>
          </w:tcPr>
          <w:p w14:paraId="6EF53CD4" w14:textId="77777777" w:rsidR="00C44B5F" w:rsidRPr="00C83E6A" w:rsidRDefault="00C44B5F" w:rsidP="00FD5322">
            <w:pPr>
              <w:keepNext/>
              <w:rPr>
                <w:rFonts w:eastAsia="Calibri"/>
                <w:color w:val="000000"/>
                <w:lang w:val="sr-Latn-RS"/>
              </w:rPr>
            </w:pPr>
            <w:r w:rsidRPr="00C83E6A">
              <w:rPr>
                <w:color w:val="000000"/>
                <w:lang w:val="sr-Latn-RS"/>
              </w:rPr>
              <w:t>Opšti poremećaji i reakcije na mjestu primjene</w:t>
            </w:r>
          </w:p>
        </w:tc>
        <w:tc>
          <w:tcPr>
            <w:tcW w:w="1599" w:type="pct"/>
            <w:tcMar>
              <w:top w:w="0" w:type="dxa"/>
              <w:left w:w="108" w:type="dxa"/>
              <w:bottom w:w="0" w:type="dxa"/>
              <w:right w:w="108" w:type="dxa"/>
            </w:tcMar>
            <w:hideMark/>
          </w:tcPr>
          <w:p w14:paraId="512B909E" w14:textId="77777777" w:rsidR="00C44B5F" w:rsidRPr="00C83E6A" w:rsidRDefault="00C44B5F" w:rsidP="00FD5322">
            <w:pPr>
              <w:keepNext/>
              <w:rPr>
                <w:rFonts w:eastAsia="Calibri"/>
                <w:color w:val="000000"/>
                <w:lang w:val="sr-Latn-RS"/>
              </w:rPr>
            </w:pPr>
            <w:r w:rsidRPr="00C83E6A">
              <w:rPr>
                <w:color w:val="000000"/>
                <w:lang w:val="sr-Latn-RS"/>
              </w:rPr>
              <w:t>Reakcije na mjestu primjene</w:t>
            </w:r>
            <w:r w:rsidRPr="00C83E6A">
              <w:rPr>
                <w:color w:val="000000"/>
                <w:vertAlign w:val="superscript"/>
                <w:lang w:val="sr-Latn-RS"/>
              </w:rPr>
              <w:t>1</w:t>
            </w:r>
          </w:p>
        </w:tc>
        <w:tc>
          <w:tcPr>
            <w:tcW w:w="1510" w:type="pct"/>
            <w:tcMar>
              <w:top w:w="0" w:type="dxa"/>
              <w:left w:w="108" w:type="dxa"/>
              <w:bottom w:w="0" w:type="dxa"/>
              <w:right w:w="108" w:type="dxa"/>
            </w:tcMar>
            <w:hideMark/>
          </w:tcPr>
          <w:p w14:paraId="0F57E421" w14:textId="77777777" w:rsidR="00C44B5F" w:rsidRPr="00C83E6A" w:rsidRDefault="00C44B5F" w:rsidP="00FD5322">
            <w:pPr>
              <w:keepNext/>
              <w:rPr>
                <w:rFonts w:eastAsia="Calibri"/>
                <w:color w:val="000000"/>
                <w:lang w:val="sr-Latn-RS"/>
              </w:rPr>
            </w:pPr>
            <w:r w:rsidRPr="00C83E6A">
              <w:rPr>
                <w:color w:val="000000"/>
                <w:lang w:val="sr-Latn-RS"/>
              </w:rPr>
              <w:t>Često</w:t>
            </w:r>
          </w:p>
        </w:tc>
      </w:tr>
      <w:tr w:rsidR="00C44B5F" w:rsidRPr="00C83E6A" w14:paraId="00E9F864" w14:textId="77777777" w:rsidTr="009C4CCE">
        <w:trPr>
          <w:cantSplit/>
          <w:trHeight w:val="194"/>
        </w:trPr>
        <w:tc>
          <w:tcPr>
            <w:tcW w:w="1891" w:type="pct"/>
            <w:vMerge/>
            <w:tcMar>
              <w:top w:w="0" w:type="dxa"/>
              <w:left w:w="108" w:type="dxa"/>
              <w:bottom w:w="0" w:type="dxa"/>
              <w:right w:w="108" w:type="dxa"/>
            </w:tcMar>
          </w:tcPr>
          <w:p w14:paraId="1A86B9F7" w14:textId="77777777" w:rsidR="00C44B5F" w:rsidRPr="00C83E6A" w:rsidRDefault="00C44B5F" w:rsidP="001D6451">
            <w:pPr>
              <w:keepNext/>
              <w:jc w:val="both"/>
              <w:rPr>
                <w:color w:val="000000"/>
                <w:lang w:val="sr-Latn-RS"/>
              </w:rPr>
            </w:pPr>
          </w:p>
        </w:tc>
        <w:tc>
          <w:tcPr>
            <w:tcW w:w="1599" w:type="pct"/>
            <w:tcMar>
              <w:top w:w="0" w:type="dxa"/>
              <w:left w:w="108" w:type="dxa"/>
              <w:bottom w:w="0" w:type="dxa"/>
              <w:right w:w="108" w:type="dxa"/>
            </w:tcMar>
          </w:tcPr>
          <w:p w14:paraId="3D98FAAB" w14:textId="77777777" w:rsidR="00C44B5F" w:rsidRPr="00C83E6A" w:rsidRDefault="00C44B5F" w:rsidP="00FD5322">
            <w:pPr>
              <w:keepNext/>
              <w:rPr>
                <w:color w:val="000000"/>
                <w:lang w:val="sr-Latn-RS"/>
              </w:rPr>
            </w:pPr>
            <w:r w:rsidRPr="00C83E6A">
              <w:rPr>
                <w:color w:val="000000"/>
                <w:lang w:val="sr-Latn-RS"/>
              </w:rPr>
              <w:t>Stanja slična gripu</w:t>
            </w:r>
          </w:p>
        </w:tc>
        <w:tc>
          <w:tcPr>
            <w:tcW w:w="1510" w:type="pct"/>
            <w:tcMar>
              <w:top w:w="0" w:type="dxa"/>
              <w:left w:w="108" w:type="dxa"/>
              <w:bottom w:w="0" w:type="dxa"/>
              <w:right w:w="108" w:type="dxa"/>
            </w:tcMar>
          </w:tcPr>
          <w:p w14:paraId="30D545F8" w14:textId="77777777" w:rsidR="00C44B5F" w:rsidRPr="00C83E6A" w:rsidRDefault="00C44B5F" w:rsidP="00FD5322">
            <w:pPr>
              <w:keepNext/>
              <w:rPr>
                <w:color w:val="000000"/>
                <w:lang w:val="sr-Latn-RS"/>
              </w:rPr>
            </w:pPr>
            <w:r w:rsidRPr="00C83E6A">
              <w:rPr>
                <w:color w:val="000000"/>
                <w:lang w:val="sr-Latn-RS"/>
              </w:rPr>
              <w:t>Povremeno</w:t>
            </w:r>
          </w:p>
        </w:tc>
      </w:tr>
    </w:tbl>
    <w:p w14:paraId="2AEAB7C5" w14:textId="77777777" w:rsidR="00D26E8E" w:rsidRPr="00C83E6A" w:rsidRDefault="00096D7F" w:rsidP="001D6451">
      <w:pPr>
        <w:pStyle w:val="StyleTablenotes"/>
        <w:jc w:val="both"/>
        <w:rPr>
          <w:rFonts w:eastAsia="PMingLiU"/>
          <w:sz w:val="22"/>
          <w:szCs w:val="22"/>
          <w:lang w:val="sr-Latn-RS"/>
        </w:rPr>
      </w:pPr>
      <w:r w:rsidRPr="00C83E6A">
        <w:rPr>
          <w:sz w:val="22"/>
          <w:szCs w:val="22"/>
          <w:vertAlign w:val="superscript"/>
          <w:lang w:val="sr-Latn-RS"/>
        </w:rPr>
        <w:t>1</w:t>
      </w:r>
      <w:r w:rsidRPr="00C83E6A">
        <w:rPr>
          <w:sz w:val="22"/>
          <w:szCs w:val="22"/>
          <w:lang w:val="sr-Latn-RS"/>
        </w:rPr>
        <w:t xml:space="preserve"> Vidjeti dio Opis odabranih neželjenih reakcija.</w:t>
      </w:r>
    </w:p>
    <w:p w14:paraId="0998D730" w14:textId="77777777" w:rsidR="00AF2C2B" w:rsidRPr="00C83E6A" w:rsidRDefault="00AF2C2B" w:rsidP="001D6451">
      <w:pPr>
        <w:jc w:val="both"/>
        <w:rPr>
          <w:lang w:val="sr-Latn-RS"/>
        </w:rPr>
      </w:pPr>
    </w:p>
    <w:p w14:paraId="47840A84" w14:textId="77777777" w:rsidR="00AF2C2B" w:rsidRPr="00C83E6A" w:rsidRDefault="00AF2C2B" w:rsidP="001D6451">
      <w:pPr>
        <w:keepNext/>
        <w:jc w:val="both"/>
        <w:rPr>
          <w:color w:val="000000"/>
          <w:u w:val="single"/>
          <w:lang w:val="sr-Latn-RS"/>
        </w:rPr>
      </w:pPr>
      <w:r w:rsidRPr="00C83E6A">
        <w:rPr>
          <w:lang w:val="sr-Latn-RS"/>
        </w:rPr>
        <w:t>Bezbjednosni profil je bio konzistentan među ispitanicima sa nivoom LDL</w:t>
      </w:r>
      <w:r w:rsidRPr="00C83E6A">
        <w:rPr>
          <w:lang w:val="sr-Latn-RS"/>
        </w:rPr>
        <w:noBreakHyphen/>
        <w:t>C &lt; 25 mg/dl (0,65 mmol/l) odnosno &lt; 40 mg/dl (1,03 mmol/l) nakon početne vrijednosti u odnosu na ispitanike sa većim nivoom LDL</w:t>
      </w:r>
      <w:r w:rsidRPr="00C83E6A">
        <w:rPr>
          <w:lang w:val="sr-Latn-RS"/>
        </w:rPr>
        <w:noBreakHyphen/>
        <w:t>C nakon početne vrijednosti (≥ 40 mg/dl [1,03 mmol/l]), pri čemu je medijana (Q1, Q3) trajanja izloženosti lijeku Repatha iznosila 84,2 (78,1; 89,8) mjeseca kod ispitanika koji su nastavili terapiju lijekom Repatha, odnosno 59,8 (52,8; 60,3) mjeseci kod ispitanika na placebu koji su prevedeni na lijek Repatha u otvorenom produžetku studije.</w:t>
      </w:r>
    </w:p>
    <w:p w14:paraId="2F944362" w14:textId="77777777" w:rsidR="00D26E8E" w:rsidRPr="00C83E6A" w:rsidRDefault="00D26E8E" w:rsidP="001D6451">
      <w:pPr>
        <w:jc w:val="both"/>
        <w:rPr>
          <w:rFonts w:eastAsia="PMingLiU"/>
          <w:color w:val="000000"/>
          <w:lang w:val="sr-Latn-RS"/>
        </w:rPr>
      </w:pPr>
    </w:p>
    <w:p w14:paraId="65E9C517" w14:textId="77777777" w:rsidR="00D26E8E" w:rsidRPr="00C83E6A" w:rsidRDefault="00096D7F" w:rsidP="001D6451">
      <w:pPr>
        <w:keepNext/>
        <w:jc w:val="both"/>
        <w:rPr>
          <w:rFonts w:eastAsia="PMingLiU"/>
          <w:color w:val="000000"/>
          <w:u w:val="single"/>
          <w:lang w:val="sr-Latn-RS"/>
        </w:rPr>
      </w:pPr>
      <w:r w:rsidRPr="00C83E6A">
        <w:rPr>
          <w:color w:val="000000"/>
          <w:u w:val="single"/>
          <w:lang w:val="sr-Latn-RS"/>
        </w:rPr>
        <w:t>Opis odabranih neželjenih reakcija</w:t>
      </w:r>
    </w:p>
    <w:p w14:paraId="543AEFED" w14:textId="77777777" w:rsidR="00D26E8E" w:rsidRPr="00C83E6A" w:rsidRDefault="00D26E8E" w:rsidP="001D6451">
      <w:pPr>
        <w:keepNext/>
        <w:jc w:val="both"/>
        <w:rPr>
          <w:rFonts w:eastAsia="PMingLiU"/>
          <w:color w:val="000000"/>
          <w:lang w:val="sr-Latn-RS" w:eastAsia="en-GB"/>
        </w:rPr>
      </w:pPr>
    </w:p>
    <w:p w14:paraId="74133880" w14:textId="77777777" w:rsidR="00D26E8E" w:rsidRPr="00C83E6A" w:rsidRDefault="00096D7F" w:rsidP="001D6451">
      <w:pPr>
        <w:keepNext/>
        <w:jc w:val="both"/>
        <w:rPr>
          <w:rFonts w:eastAsia="PMingLiU"/>
          <w:i/>
          <w:iCs/>
          <w:color w:val="000000"/>
          <w:lang w:val="sr-Latn-RS"/>
        </w:rPr>
      </w:pPr>
      <w:r w:rsidRPr="00C83E6A">
        <w:rPr>
          <w:i/>
          <w:color w:val="000000"/>
          <w:lang w:val="sr-Latn-RS"/>
        </w:rPr>
        <w:t>Reakcije na mjestu primjene</w:t>
      </w:r>
    </w:p>
    <w:p w14:paraId="206B8BCD" w14:textId="77777777" w:rsidR="00D26E8E" w:rsidRPr="00C83E6A" w:rsidRDefault="00096D7F" w:rsidP="001D6451">
      <w:pPr>
        <w:jc w:val="both"/>
        <w:rPr>
          <w:rFonts w:eastAsia="PMingLiU"/>
          <w:lang w:val="sr-Latn-RS"/>
        </w:rPr>
      </w:pPr>
      <w:r w:rsidRPr="00C83E6A">
        <w:rPr>
          <w:lang w:val="sr-Latn-RS"/>
        </w:rPr>
        <w:t>Najčešće reakcije na mjestu primjene bile su modrice, eritem, krvarenje, bol na mjestu primjene i oticanje.</w:t>
      </w:r>
    </w:p>
    <w:p w14:paraId="58DEF058" w14:textId="77777777" w:rsidR="00D26E8E" w:rsidRPr="00C83E6A" w:rsidRDefault="00D26E8E" w:rsidP="001D6451">
      <w:pPr>
        <w:autoSpaceDE w:val="0"/>
        <w:autoSpaceDN w:val="0"/>
        <w:adjustRightInd w:val="0"/>
        <w:jc w:val="both"/>
        <w:rPr>
          <w:rFonts w:eastAsia="PMingLiU"/>
          <w:color w:val="000000"/>
          <w:u w:val="single"/>
          <w:lang w:val="sr-Latn-RS"/>
        </w:rPr>
      </w:pPr>
    </w:p>
    <w:p w14:paraId="7BB734A2" w14:textId="77777777" w:rsidR="00D26E8E" w:rsidRPr="00C83E6A" w:rsidRDefault="00096D7F" w:rsidP="001D6451">
      <w:pPr>
        <w:keepNext/>
        <w:autoSpaceDE w:val="0"/>
        <w:autoSpaceDN w:val="0"/>
        <w:adjustRightInd w:val="0"/>
        <w:jc w:val="both"/>
        <w:rPr>
          <w:rFonts w:eastAsia="PMingLiU"/>
          <w:u w:val="single"/>
          <w:lang w:val="sr-Latn-RS"/>
        </w:rPr>
      </w:pPr>
      <w:r w:rsidRPr="00C83E6A">
        <w:rPr>
          <w:u w:val="single"/>
          <w:lang w:val="sr-Latn-RS"/>
        </w:rPr>
        <w:t>Pedijatrijska populacija</w:t>
      </w:r>
    </w:p>
    <w:p w14:paraId="3E6B34CC" w14:textId="77777777" w:rsidR="00D26E8E" w:rsidRPr="00C83E6A" w:rsidRDefault="00D26E8E" w:rsidP="001D6451">
      <w:pPr>
        <w:keepNext/>
        <w:autoSpaceDE w:val="0"/>
        <w:autoSpaceDN w:val="0"/>
        <w:adjustRightInd w:val="0"/>
        <w:jc w:val="both"/>
        <w:rPr>
          <w:rFonts w:eastAsia="PMingLiU"/>
          <w:lang w:val="sr-Latn-RS"/>
        </w:rPr>
      </w:pPr>
    </w:p>
    <w:p w14:paraId="31D53906" w14:textId="77777777" w:rsidR="00D26E8E" w:rsidRPr="00C83E6A" w:rsidRDefault="003C2862" w:rsidP="001D6451">
      <w:pPr>
        <w:autoSpaceDE w:val="0"/>
        <w:autoSpaceDN w:val="0"/>
        <w:adjustRightInd w:val="0"/>
        <w:jc w:val="both"/>
        <w:rPr>
          <w:rFonts w:eastAsia="PMingLiU"/>
          <w:lang w:val="sr-Latn-RS"/>
        </w:rPr>
      </w:pPr>
      <w:r w:rsidRPr="00C83E6A">
        <w:rPr>
          <w:lang w:val="sr-Latn-RS"/>
        </w:rPr>
        <w:t>Bezbjednost i efikasnost lijeka Repatha su utvrđene kod pedijatrijskih pacijenata sa heterozigotnom i homozigotnom porodičnom hiperholesterolemijom. Klinička studija za procjenu dejstava lijeka Repatha sprovedena je kod 158 pedijatrijskih pacijenata uzrasta ≥ 10 do &lt; 18 godina sa heterozigotnom porodičnom hiperholesterolemijom. Nijesu utvrđeni novi bezbjednosni problemi i podaci o bezbjednosti u ovoj pedijatrijskoj populaciji bili su u skladu sa poznatim bezbjednosnim profilom lijeka kod odraslih sa heterozigotnom porodičnom hiperholesterolemijom. Dvadeset šest pedijatrijskih pacijenata sa homozigotnom porodičnom hiperholesterolemijom liječeno je lijekom Repatha u kliničkim studijama sprovedenim kod pacijenata uzrasta ≥ 10 do &lt; 18 godina. Nije primijećena razlika u bezbjednosti primjene između pedijatrijskih i odraslih pacijenata sa homozigotnom porodičnom hiperholesterolemijom.</w:t>
      </w:r>
    </w:p>
    <w:p w14:paraId="5BF95686" w14:textId="77777777" w:rsidR="00D26E8E" w:rsidRPr="00C83E6A" w:rsidRDefault="00D26E8E" w:rsidP="001D6451">
      <w:pPr>
        <w:autoSpaceDE w:val="0"/>
        <w:autoSpaceDN w:val="0"/>
        <w:adjustRightInd w:val="0"/>
        <w:jc w:val="both"/>
        <w:rPr>
          <w:rFonts w:eastAsia="PMingLiU"/>
          <w:lang w:val="sr-Latn-RS"/>
        </w:rPr>
      </w:pPr>
    </w:p>
    <w:p w14:paraId="07792721" w14:textId="77777777" w:rsidR="00D26E8E" w:rsidRPr="00C83E6A" w:rsidRDefault="00096D7F" w:rsidP="001D6451">
      <w:pPr>
        <w:keepNext/>
        <w:autoSpaceDE w:val="0"/>
        <w:autoSpaceDN w:val="0"/>
        <w:adjustRightInd w:val="0"/>
        <w:jc w:val="both"/>
        <w:rPr>
          <w:rFonts w:eastAsia="PMingLiU"/>
          <w:u w:val="single"/>
          <w:lang w:val="sr-Latn-RS"/>
        </w:rPr>
      </w:pPr>
      <w:r w:rsidRPr="00C83E6A">
        <w:rPr>
          <w:u w:val="single"/>
          <w:lang w:val="sr-Latn-RS"/>
        </w:rPr>
        <w:t>Starija populacija</w:t>
      </w:r>
    </w:p>
    <w:p w14:paraId="4DDEC54D" w14:textId="77777777" w:rsidR="00D26E8E" w:rsidRPr="00C83E6A" w:rsidRDefault="00D26E8E" w:rsidP="001D6451">
      <w:pPr>
        <w:keepNext/>
        <w:autoSpaceDE w:val="0"/>
        <w:autoSpaceDN w:val="0"/>
        <w:adjustRightInd w:val="0"/>
        <w:jc w:val="both"/>
        <w:rPr>
          <w:rFonts w:eastAsia="PMingLiU"/>
          <w:u w:val="single"/>
          <w:lang w:val="sr-Latn-RS"/>
        </w:rPr>
      </w:pPr>
    </w:p>
    <w:p w14:paraId="7643EA2B" w14:textId="77777777" w:rsidR="00D26E8E" w:rsidRPr="00C83E6A" w:rsidRDefault="00096D7F" w:rsidP="001D6451">
      <w:pPr>
        <w:autoSpaceDE w:val="0"/>
        <w:autoSpaceDN w:val="0"/>
        <w:adjustRightInd w:val="0"/>
        <w:jc w:val="both"/>
        <w:rPr>
          <w:rFonts w:eastAsia="PMingLiU"/>
          <w:lang w:val="sr-Latn-RS"/>
        </w:rPr>
      </w:pPr>
      <w:r w:rsidRPr="00C83E6A">
        <w:rPr>
          <w:lang w:val="sr-Latn-RS"/>
        </w:rPr>
        <w:t>U kliničkim studijama sa evolokumabom, od ukupno 18546 pacijenata, njih 7656 ( 41,3%) bilo je uzrasta ≥ 65 godina, dok je njih 1500 (8,1%) bilo uzrasta ≥ 75 godina. Nijesu uočene generalne razlike u bezbjednosti ili efikasnosti između tih i mlađih pacijenata.</w:t>
      </w:r>
    </w:p>
    <w:p w14:paraId="267B739A" w14:textId="77777777" w:rsidR="00D26E8E" w:rsidRPr="00C83E6A" w:rsidRDefault="00D26E8E" w:rsidP="001D6451">
      <w:pPr>
        <w:autoSpaceDE w:val="0"/>
        <w:autoSpaceDN w:val="0"/>
        <w:adjustRightInd w:val="0"/>
        <w:jc w:val="both"/>
        <w:rPr>
          <w:rFonts w:eastAsia="PMingLiU"/>
          <w:lang w:val="sr-Latn-RS"/>
        </w:rPr>
      </w:pPr>
    </w:p>
    <w:p w14:paraId="690E97B6" w14:textId="77777777" w:rsidR="00D26E8E" w:rsidRPr="00C83E6A" w:rsidRDefault="00096D7F" w:rsidP="001D6451">
      <w:pPr>
        <w:keepNext/>
        <w:autoSpaceDE w:val="0"/>
        <w:autoSpaceDN w:val="0"/>
        <w:adjustRightInd w:val="0"/>
        <w:jc w:val="both"/>
        <w:rPr>
          <w:rFonts w:eastAsia="PMingLiU"/>
          <w:u w:val="single"/>
          <w:lang w:val="sr-Latn-RS"/>
        </w:rPr>
      </w:pPr>
      <w:r w:rsidRPr="00C83E6A">
        <w:rPr>
          <w:u w:val="single"/>
          <w:lang w:val="sr-Latn-RS"/>
        </w:rPr>
        <w:lastRenderedPageBreak/>
        <w:t>Imunogenost</w:t>
      </w:r>
    </w:p>
    <w:p w14:paraId="6FDF06DE" w14:textId="77777777" w:rsidR="00D26E8E" w:rsidRPr="00C83E6A" w:rsidRDefault="00D26E8E" w:rsidP="001D6451">
      <w:pPr>
        <w:keepNext/>
        <w:autoSpaceDE w:val="0"/>
        <w:autoSpaceDN w:val="0"/>
        <w:adjustRightInd w:val="0"/>
        <w:jc w:val="both"/>
        <w:rPr>
          <w:rFonts w:eastAsia="PMingLiU"/>
          <w:u w:val="single"/>
          <w:lang w:val="sr-Latn-RS"/>
        </w:rPr>
      </w:pPr>
    </w:p>
    <w:p w14:paraId="5A17661D" w14:textId="77777777" w:rsidR="00D26E8E" w:rsidRPr="00C83E6A" w:rsidRDefault="00096D7F" w:rsidP="001D6451">
      <w:pPr>
        <w:autoSpaceDE w:val="0"/>
        <w:autoSpaceDN w:val="0"/>
        <w:adjustRightInd w:val="0"/>
        <w:jc w:val="both"/>
        <w:rPr>
          <w:rFonts w:eastAsia="PMingLiU"/>
          <w:lang w:val="sr-Latn-RS"/>
        </w:rPr>
      </w:pPr>
      <w:r w:rsidRPr="00C83E6A">
        <w:rPr>
          <w:lang w:val="sr-Latn-RS"/>
        </w:rPr>
        <w:t>U kliničkim studijama, 0,3% pacijenata (48 od 17992 pacijenata) liječenih najmanje jednom dozom evolokumaba, bilo je pozitivno na razvoj vezujućih antitijela. Kod pacijenata koji su bili pozitivni na vezujuća antitijela u serumu dodatno se provjeravala prisutnost neutrališućih antitijela i niko od pacijenata nije bio pozitivan na njih. Prisustvo anti</w:t>
      </w:r>
      <w:r w:rsidRPr="00C83E6A">
        <w:rPr>
          <w:lang w:val="sr-Latn-RS"/>
        </w:rPr>
        <w:noBreakHyphen/>
        <w:t>evolokumab vezujućih antitijela nije uticalo na farmakokinetički profil, klinički odgovor, ili bezbjednost evolokumaba.</w:t>
      </w:r>
    </w:p>
    <w:p w14:paraId="4EB53CED" w14:textId="77777777" w:rsidR="00986F9B" w:rsidRPr="00C83E6A" w:rsidRDefault="00986F9B" w:rsidP="001D6451">
      <w:pPr>
        <w:autoSpaceDE w:val="0"/>
        <w:autoSpaceDN w:val="0"/>
        <w:adjustRightInd w:val="0"/>
        <w:jc w:val="both"/>
        <w:rPr>
          <w:lang w:val="sr-Latn-RS"/>
        </w:rPr>
      </w:pPr>
    </w:p>
    <w:p w14:paraId="19EF3A80" w14:textId="77777777" w:rsidR="00986F9B" w:rsidRPr="00C83E6A" w:rsidRDefault="00986F9B" w:rsidP="001D6451">
      <w:pPr>
        <w:autoSpaceDE w:val="0"/>
        <w:autoSpaceDN w:val="0"/>
        <w:adjustRightInd w:val="0"/>
        <w:jc w:val="both"/>
        <w:rPr>
          <w:rFonts w:eastAsia="PMingLiU"/>
          <w:lang w:val="sr-Latn-RS"/>
        </w:rPr>
      </w:pPr>
      <w:r w:rsidRPr="00C83E6A">
        <w:rPr>
          <w:lang w:val="sr-Latn-RS"/>
        </w:rPr>
        <w:t>Razvoj antitijela protiv evolokumaba nije otkriven u kliničkim ispitivanjima pedijatrijskih pacijenata liječenih lijekom Repatha.</w:t>
      </w:r>
    </w:p>
    <w:p w14:paraId="09A3F148" w14:textId="77777777" w:rsidR="00D26E8E" w:rsidRPr="00C83E6A" w:rsidRDefault="00D26E8E" w:rsidP="001D6451">
      <w:pPr>
        <w:autoSpaceDE w:val="0"/>
        <w:autoSpaceDN w:val="0"/>
        <w:adjustRightInd w:val="0"/>
        <w:jc w:val="both"/>
        <w:rPr>
          <w:rFonts w:eastAsia="PMingLiU"/>
          <w:lang w:val="sr-Latn-RS"/>
        </w:rPr>
      </w:pPr>
    </w:p>
    <w:p w14:paraId="716C1425" w14:textId="77777777" w:rsidR="00D26E8E" w:rsidRPr="00C83E6A" w:rsidRDefault="00096D7F" w:rsidP="001D6451">
      <w:pPr>
        <w:keepNext/>
        <w:autoSpaceDE w:val="0"/>
        <w:autoSpaceDN w:val="0"/>
        <w:adjustRightInd w:val="0"/>
        <w:jc w:val="both"/>
        <w:rPr>
          <w:rFonts w:eastAsia="PMingLiU"/>
          <w:u w:val="single"/>
          <w:lang w:val="sr-Latn-RS"/>
        </w:rPr>
      </w:pPr>
      <w:r w:rsidRPr="00C83E6A">
        <w:rPr>
          <w:u w:val="single"/>
          <w:lang w:val="sr-Latn-RS"/>
        </w:rPr>
        <w:t>Prijavljivanje sumnji na neželjena dejstva</w:t>
      </w:r>
    </w:p>
    <w:p w14:paraId="5A4DCA19" w14:textId="77777777" w:rsidR="00D26E8E" w:rsidRPr="00C83E6A" w:rsidRDefault="00D26E8E" w:rsidP="001D6451">
      <w:pPr>
        <w:keepNext/>
        <w:autoSpaceDE w:val="0"/>
        <w:autoSpaceDN w:val="0"/>
        <w:adjustRightInd w:val="0"/>
        <w:jc w:val="both"/>
        <w:rPr>
          <w:rFonts w:eastAsia="PMingLiU"/>
          <w:u w:val="single"/>
          <w:lang w:val="sr-Latn-RS"/>
        </w:rPr>
      </w:pPr>
    </w:p>
    <w:p w14:paraId="754F0841" w14:textId="77777777" w:rsidR="00D26E8E" w:rsidRPr="00C83E6A" w:rsidRDefault="00096D7F" w:rsidP="001D6451">
      <w:pPr>
        <w:keepNext/>
        <w:jc w:val="both"/>
        <w:rPr>
          <w:rFonts w:eastAsia="PMingLiU"/>
          <w:lang w:val="sr-Latn-RS"/>
        </w:rPr>
      </w:pPr>
      <w:r w:rsidRPr="00C83E6A">
        <w:rPr>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73FCAA62" w14:textId="77777777" w:rsidR="00D26E8E" w:rsidRPr="00C83E6A" w:rsidRDefault="00D26E8E" w:rsidP="001D6451">
      <w:pPr>
        <w:keepNext/>
        <w:jc w:val="both"/>
        <w:rPr>
          <w:rFonts w:eastAsia="PMingLiU"/>
          <w:lang w:val="sr-Latn-RS"/>
        </w:rPr>
      </w:pPr>
    </w:p>
    <w:p w14:paraId="3F216CB6" w14:textId="77777777" w:rsidR="00D26E8E" w:rsidRPr="00C83E6A" w:rsidRDefault="00175C37" w:rsidP="001D6451">
      <w:pPr>
        <w:keepNext/>
        <w:jc w:val="both"/>
        <w:rPr>
          <w:rFonts w:eastAsia="PMingLiU"/>
          <w:lang w:val="sr-Latn-RS"/>
        </w:rPr>
      </w:pPr>
      <w:r w:rsidRPr="00C83E6A">
        <w:rPr>
          <w:lang w:val="sr-Latn-RS"/>
        </w:rPr>
        <w:t>Institut za ljekove i medicinska sredstva</w:t>
      </w:r>
    </w:p>
    <w:p w14:paraId="00544662" w14:textId="77777777" w:rsidR="00D26E8E" w:rsidRPr="00C83E6A" w:rsidRDefault="009C6862" w:rsidP="001D6451">
      <w:pPr>
        <w:keepNext/>
        <w:jc w:val="both"/>
        <w:rPr>
          <w:rFonts w:eastAsia="PMingLiU"/>
          <w:lang w:val="sr-Latn-RS"/>
        </w:rPr>
      </w:pPr>
      <w:r w:rsidRPr="00C83E6A">
        <w:rPr>
          <w:lang w:val="sr-Latn-RS"/>
        </w:rPr>
        <w:t>Odjeljenje za farmakovigilancu</w:t>
      </w:r>
    </w:p>
    <w:p w14:paraId="3C1CBCEC" w14:textId="77777777" w:rsidR="00EA4A1B" w:rsidRPr="00C83E6A" w:rsidRDefault="009C6862" w:rsidP="001D6451">
      <w:pPr>
        <w:keepNext/>
        <w:jc w:val="both"/>
        <w:rPr>
          <w:lang w:val="sr-Latn-RS"/>
        </w:rPr>
      </w:pPr>
      <w:r w:rsidRPr="00C83E6A">
        <w:rPr>
          <w:lang w:val="sr-Latn-RS"/>
        </w:rPr>
        <w:t>Bulevar Ivana Crnojevića 64a, 81000 Podgorica</w:t>
      </w:r>
    </w:p>
    <w:p w14:paraId="358880BB" w14:textId="77777777" w:rsidR="00D26E8E" w:rsidRPr="00C83E6A" w:rsidRDefault="00D26E8E" w:rsidP="001D6451">
      <w:pPr>
        <w:keepNext/>
        <w:jc w:val="both"/>
        <w:rPr>
          <w:rFonts w:eastAsia="PMingLiU"/>
          <w:lang w:val="sr-Latn-RS"/>
        </w:rPr>
      </w:pPr>
    </w:p>
    <w:p w14:paraId="50BF4360" w14:textId="77777777" w:rsidR="00D26E8E" w:rsidRPr="00C83E6A" w:rsidRDefault="009C6862" w:rsidP="001D6451">
      <w:pPr>
        <w:keepNext/>
        <w:jc w:val="both"/>
        <w:rPr>
          <w:rFonts w:eastAsia="PMingLiU"/>
          <w:lang w:val="sr-Latn-RS"/>
        </w:rPr>
      </w:pPr>
      <w:r w:rsidRPr="00C83E6A">
        <w:rPr>
          <w:lang w:val="sr-Latn-RS"/>
        </w:rPr>
        <w:t>tel: +382 (0) 20 310 280</w:t>
      </w:r>
    </w:p>
    <w:p w14:paraId="5488919D" w14:textId="77777777" w:rsidR="00D26E8E" w:rsidRPr="00C83E6A" w:rsidRDefault="009C6862" w:rsidP="001D6451">
      <w:pPr>
        <w:keepNext/>
        <w:jc w:val="both"/>
        <w:rPr>
          <w:rFonts w:eastAsia="PMingLiU"/>
          <w:lang w:val="sr-Latn-RS"/>
        </w:rPr>
      </w:pPr>
      <w:r w:rsidRPr="00C83E6A">
        <w:rPr>
          <w:lang w:val="sr-Latn-RS"/>
        </w:rPr>
        <w:t>fax: +382 (0) 20 310 581</w:t>
      </w:r>
    </w:p>
    <w:p w14:paraId="164728C7" w14:textId="77777777" w:rsidR="00175C37" w:rsidRPr="00C83E6A" w:rsidRDefault="00690AA6" w:rsidP="001D6451">
      <w:pPr>
        <w:keepNext/>
        <w:jc w:val="both"/>
        <w:rPr>
          <w:lang w:val="sr-Latn-RS"/>
        </w:rPr>
      </w:pPr>
      <w:hyperlink r:id="rId12" w:history="1">
        <w:r w:rsidR="003169FE" w:rsidRPr="00C83E6A">
          <w:rPr>
            <w:rStyle w:val="Hyperlink"/>
            <w:lang w:val="sr-Latn-RS"/>
          </w:rPr>
          <w:t>www.cinmed.me</w:t>
        </w:r>
      </w:hyperlink>
    </w:p>
    <w:p w14:paraId="42F40D9E" w14:textId="77777777" w:rsidR="00175C37" w:rsidRPr="00C83E6A" w:rsidRDefault="00690AA6" w:rsidP="001D6451">
      <w:pPr>
        <w:keepNext/>
        <w:jc w:val="both"/>
        <w:rPr>
          <w:rFonts w:eastAsia="PMingLiU"/>
          <w:lang w:val="sr-Latn-RS"/>
        </w:rPr>
      </w:pPr>
      <w:hyperlink r:id="rId13" w:history="1">
        <w:r w:rsidR="003169FE" w:rsidRPr="00C83E6A">
          <w:rPr>
            <w:rStyle w:val="Hyperlink"/>
            <w:lang w:val="sr-Latn-RS"/>
          </w:rPr>
          <w:t>nezeljenadejstva@cinmed.me</w:t>
        </w:r>
      </w:hyperlink>
    </w:p>
    <w:p w14:paraId="27BB5080" w14:textId="77777777" w:rsidR="00D26E8E" w:rsidRPr="00C83E6A" w:rsidRDefault="00D26E8E">
      <w:pPr>
        <w:keepNext/>
        <w:jc w:val="both"/>
        <w:rPr>
          <w:lang w:val="sr-Latn-RS"/>
        </w:rPr>
      </w:pPr>
    </w:p>
    <w:p w14:paraId="580BF9C4" w14:textId="77777777" w:rsidR="00EA4A1B" w:rsidRPr="00C83E6A" w:rsidRDefault="00EA4A1B" w:rsidP="00EA4A1B">
      <w:pPr>
        <w:tabs>
          <w:tab w:val="clear" w:pos="567"/>
        </w:tabs>
        <w:jc w:val="both"/>
        <w:rPr>
          <w:rFonts w:eastAsia="Calibri"/>
          <w:lang w:val="sr-Latn-RS"/>
        </w:rPr>
      </w:pPr>
      <w:r w:rsidRPr="00C83E6A">
        <w:rPr>
          <w:rFonts w:eastAsia="Calibri"/>
          <w:lang w:val="sr-Latn-RS"/>
        </w:rPr>
        <w:t>QR kod za online prijavu sumnje na neželjeno dejstvo lijeka:</w:t>
      </w:r>
    </w:p>
    <w:p w14:paraId="5E79C80A" w14:textId="77777777" w:rsidR="00EA4A1B" w:rsidRPr="00C83E6A" w:rsidRDefault="00EA4A1B">
      <w:pPr>
        <w:keepNext/>
        <w:jc w:val="both"/>
        <w:rPr>
          <w:lang w:val="sr-Latn-RS"/>
        </w:rPr>
      </w:pPr>
    </w:p>
    <w:p w14:paraId="00FC20CC" w14:textId="77777777" w:rsidR="00EA4A1B" w:rsidRPr="00C83E6A" w:rsidRDefault="00EA4A1B">
      <w:pPr>
        <w:keepNext/>
        <w:jc w:val="both"/>
        <w:rPr>
          <w:lang w:val="sr-Latn-RS"/>
        </w:rPr>
      </w:pPr>
      <w:r w:rsidRPr="00C83E6A">
        <w:rPr>
          <w:noProof/>
          <w:lang w:val="sr-Latn-RS"/>
        </w:rPr>
        <w:drawing>
          <wp:inline distT="0" distB="0" distL="0" distR="0" wp14:anchorId="5F83345F" wp14:editId="477D1ACB">
            <wp:extent cx="971550" cy="971550"/>
            <wp:effectExtent l="0" t="0" r="0" b="0"/>
            <wp:docPr id="53915753" name="Picture 53915753" descr="https://cinmed.me/wp-content/uploads/2022/11/Online-prijava-NDL-QR-code-300x300.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382DA92" w14:textId="77777777" w:rsidR="00D26E8E" w:rsidRPr="00C83E6A" w:rsidRDefault="00D26E8E" w:rsidP="001D6451">
      <w:pPr>
        <w:autoSpaceDE w:val="0"/>
        <w:autoSpaceDN w:val="0"/>
        <w:adjustRightInd w:val="0"/>
        <w:jc w:val="both"/>
        <w:rPr>
          <w:rFonts w:eastAsia="PMingLiU"/>
          <w:lang w:val="sr-Latn-RS"/>
        </w:rPr>
      </w:pPr>
    </w:p>
    <w:p w14:paraId="2E07F02D" w14:textId="77777777" w:rsidR="00D26E8E" w:rsidRPr="00C83E6A" w:rsidRDefault="00096D7F" w:rsidP="001D6451">
      <w:pPr>
        <w:keepNext/>
        <w:ind w:left="567" w:hanging="567"/>
        <w:jc w:val="both"/>
        <w:outlineLvl w:val="0"/>
        <w:rPr>
          <w:rFonts w:eastAsia="PMingLiU"/>
          <w:b/>
          <w:bCs/>
          <w:lang w:val="sr-Latn-RS"/>
        </w:rPr>
      </w:pPr>
      <w:r w:rsidRPr="00C83E6A">
        <w:rPr>
          <w:b/>
          <w:lang w:val="sr-Latn-RS"/>
        </w:rPr>
        <w:t>4.9.</w:t>
      </w:r>
      <w:r w:rsidRPr="00C83E6A">
        <w:rPr>
          <w:b/>
          <w:lang w:val="sr-Latn-RS"/>
        </w:rPr>
        <w:tab/>
        <w:t>Predoziranje</w:t>
      </w:r>
    </w:p>
    <w:p w14:paraId="0195CB30" w14:textId="77777777" w:rsidR="00D26E8E" w:rsidRPr="00C83E6A" w:rsidRDefault="00D26E8E" w:rsidP="001D6451">
      <w:pPr>
        <w:keepNext/>
        <w:jc w:val="both"/>
        <w:rPr>
          <w:rFonts w:eastAsia="PMingLiU"/>
          <w:lang w:val="sr-Latn-RS"/>
        </w:rPr>
      </w:pPr>
    </w:p>
    <w:p w14:paraId="6AA0A5EF" w14:textId="77777777" w:rsidR="00D26E8E" w:rsidRPr="00C83E6A" w:rsidRDefault="00096D7F" w:rsidP="001D6451">
      <w:pPr>
        <w:pStyle w:val="Default"/>
        <w:jc w:val="both"/>
        <w:rPr>
          <w:rFonts w:eastAsia="PMingLiU"/>
          <w:sz w:val="22"/>
          <w:szCs w:val="22"/>
          <w:lang w:val="sr-Latn-RS"/>
        </w:rPr>
      </w:pPr>
      <w:r w:rsidRPr="00C83E6A">
        <w:rPr>
          <w:sz w:val="22"/>
          <w:szCs w:val="22"/>
          <w:lang w:val="sr-Latn-RS"/>
        </w:rPr>
        <w:t>Nijesu primijećena nikakva neželjena dejstva u studijama na životinjama pri izloženosti do 300 puta većoj od one kod pacijenata liječenih evolokumabom u dozi od 420 mg jednom mjesečno.</w:t>
      </w:r>
    </w:p>
    <w:p w14:paraId="300AB631" w14:textId="77777777" w:rsidR="00D26E8E" w:rsidRPr="00C83E6A" w:rsidRDefault="00D26E8E" w:rsidP="001D6451">
      <w:pPr>
        <w:pStyle w:val="Default"/>
        <w:jc w:val="both"/>
        <w:rPr>
          <w:rFonts w:eastAsia="PMingLiU"/>
          <w:sz w:val="22"/>
          <w:szCs w:val="22"/>
          <w:lang w:val="sr-Latn-RS"/>
        </w:rPr>
      </w:pPr>
    </w:p>
    <w:p w14:paraId="25FC381D" w14:textId="77777777" w:rsidR="00D26E8E" w:rsidRPr="00C83E6A" w:rsidRDefault="00096D7F" w:rsidP="001D6451">
      <w:pPr>
        <w:jc w:val="both"/>
        <w:rPr>
          <w:rFonts w:eastAsia="PMingLiU"/>
          <w:lang w:val="sr-Latn-RS"/>
        </w:rPr>
      </w:pPr>
      <w:r w:rsidRPr="00C83E6A">
        <w:rPr>
          <w:lang w:val="sr-Latn-RS"/>
        </w:rPr>
        <w:t>Ne postoji specifično liječenje predoziranja evolokumabom. U slučaju predoziranja, pacijenta treba liječiti simptomatski i po potrebi primijeniti odgovarajuće suportivne mjere.</w:t>
      </w:r>
    </w:p>
    <w:p w14:paraId="580180DB" w14:textId="77777777" w:rsidR="00D26E8E" w:rsidRPr="00C83E6A" w:rsidRDefault="00D26E8E" w:rsidP="001D6451">
      <w:pPr>
        <w:suppressAutoHyphens/>
        <w:jc w:val="both"/>
        <w:rPr>
          <w:rFonts w:eastAsia="PMingLiU"/>
          <w:lang w:val="sr-Latn-RS"/>
        </w:rPr>
      </w:pPr>
    </w:p>
    <w:p w14:paraId="4CB946F9" w14:textId="77777777" w:rsidR="00D26E8E" w:rsidRPr="00C83E6A" w:rsidRDefault="00D26E8E" w:rsidP="001D6451">
      <w:pPr>
        <w:suppressAutoHyphens/>
        <w:ind w:left="567" w:hanging="567"/>
        <w:jc w:val="both"/>
        <w:rPr>
          <w:rFonts w:eastAsia="PMingLiU"/>
          <w:lang w:val="sr-Latn-RS"/>
        </w:rPr>
      </w:pPr>
    </w:p>
    <w:p w14:paraId="7AE48A22" w14:textId="77777777" w:rsidR="00D26E8E" w:rsidRPr="00C83E6A" w:rsidRDefault="00096D7F" w:rsidP="001D6451">
      <w:pPr>
        <w:keepNext/>
        <w:suppressAutoHyphens/>
        <w:ind w:left="567" w:hanging="567"/>
        <w:jc w:val="both"/>
        <w:rPr>
          <w:rFonts w:eastAsia="PMingLiU"/>
          <w:bCs/>
          <w:lang w:val="sr-Latn-RS"/>
        </w:rPr>
      </w:pPr>
      <w:r w:rsidRPr="00C83E6A">
        <w:rPr>
          <w:b/>
          <w:lang w:val="sr-Latn-RS"/>
        </w:rPr>
        <w:t>5.</w:t>
      </w:r>
      <w:r w:rsidRPr="00C83E6A">
        <w:rPr>
          <w:b/>
          <w:lang w:val="sr-Latn-RS"/>
        </w:rPr>
        <w:tab/>
        <w:t>FARMAKOLOŠKI PODACI</w:t>
      </w:r>
    </w:p>
    <w:p w14:paraId="2C9425BA" w14:textId="77777777" w:rsidR="00D26E8E" w:rsidRPr="00C83E6A" w:rsidRDefault="00D26E8E" w:rsidP="001D6451">
      <w:pPr>
        <w:keepNext/>
        <w:jc w:val="both"/>
        <w:rPr>
          <w:rFonts w:eastAsia="PMingLiU"/>
          <w:lang w:val="sr-Latn-RS"/>
        </w:rPr>
      </w:pPr>
    </w:p>
    <w:p w14:paraId="4A780F49" w14:textId="77777777" w:rsidR="00D26E8E" w:rsidRPr="00C83E6A" w:rsidRDefault="00096D7F" w:rsidP="001D6451">
      <w:pPr>
        <w:keepNext/>
        <w:ind w:left="567" w:hanging="567"/>
        <w:jc w:val="both"/>
        <w:outlineLvl w:val="0"/>
        <w:rPr>
          <w:rFonts w:eastAsia="PMingLiU"/>
          <w:bCs/>
          <w:lang w:val="sr-Latn-RS"/>
        </w:rPr>
      </w:pPr>
      <w:r w:rsidRPr="00C83E6A">
        <w:rPr>
          <w:b/>
          <w:lang w:val="sr-Latn-RS"/>
        </w:rPr>
        <w:t>5.1.</w:t>
      </w:r>
      <w:r w:rsidRPr="00C83E6A">
        <w:rPr>
          <w:b/>
          <w:lang w:val="sr-Latn-RS"/>
        </w:rPr>
        <w:tab/>
        <w:t>Farmakodinamski podaci</w:t>
      </w:r>
    </w:p>
    <w:p w14:paraId="7AEF3EA1" w14:textId="77777777" w:rsidR="00D26E8E" w:rsidRPr="00C83E6A" w:rsidRDefault="00D26E8E" w:rsidP="001D6451">
      <w:pPr>
        <w:keepNext/>
        <w:jc w:val="both"/>
        <w:rPr>
          <w:rFonts w:eastAsia="PMingLiU"/>
          <w:lang w:val="sr-Latn-RS"/>
        </w:rPr>
      </w:pPr>
    </w:p>
    <w:p w14:paraId="4742A1E5" w14:textId="77777777" w:rsidR="00D26E8E" w:rsidRPr="00C83E6A" w:rsidRDefault="00096D7F" w:rsidP="001D6451">
      <w:pPr>
        <w:jc w:val="both"/>
        <w:outlineLvl w:val="0"/>
        <w:rPr>
          <w:rFonts w:eastAsia="PMingLiU"/>
          <w:lang w:val="sr-Latn-RS"/>
        </w:rPr>
      </w:pPr>
      <w:r w:rsidRPr="00C83E6A">
        <w:rPr>
          <w:lang w:val="sr-Latn-RS"/>
        </w:rPr>
        <w:t>Farmakoterapijska grupa: ljekovi koji modifikuju lipide, ostali ljekovi koji modifikuju lipide.</w:t>
      </w:r>
    </w:p>
    <w:p w14:paraId="6249AE53" w14:textId="77777777" w:rsidR="00D26E8E" w:rsidRPr="00C83E6A" w:rsidRDefault="00D26E8E" w:rsidP="001D6451">
      <w:pPr>
        <w:jc w:val="both"/>
        <w:outlineLvl w:val="0"/>
        <w:rPr>
          <w:rFonts w:eastAsia="PMingLiU"/>
          <w:lang w:val="sr-Latn-RS"/>
        </w:rPr>
      </w:pPr>
    </w:p>
    <w:p w14:paraId="3FB181B7" w14:textId="77777777" w:rsidR="00D26E8E" w:rsidRPr="00C83E6A" w:rsidRDefault="00096D7F" w:rsidP="001D6451">
      <w:pPr>
        <w:jc w:val="both"/>
        <w:outlineLvl w:val="0"/>
        <w:rPr>
          <w:rFonts w:eastAsia="PMingLiU"/>
          <w:lang w:val="sr-Latn-RS"/>
        </w:rPr>
      </w:pPr>
      <w:r w:rsidRPr="00C83E6A">
        <w:rPr>
          <w:lang w:val="sr-Latn-RS"/>
        </w:rPr>
        <w:t>ATC kod: C10AX13</w:t>
      </w:r>
    </w:p>
    <w:p w14:paraId="17CA21F9" w14:textId="77777777" w:rsidR="00D26E8E" w:rsidRPr="00C83E6A" w:rsidRDefault="00D26E8E" w:rsidP="001D6451">
      <w:pPr>
        <w:jc w:val="both"/>
        <w:rPr>
          <w:rFonts w:eastAsia="PMingLiU"/>
          <w:i/>
          <w:iCs/>
          <w:lang w:val="sr-Latn-RS"/>
        </w:rPr>
      </w:pPr>
    </w:p>
    <w:p w14:paraId="408614CA" w14:textId="77777777" w:rsidR="00D26E8E" w:rsidRPr="00C83E6A" w:rsidRDefault="00096D7F" w:rsidP="001D6451">
      <w:pPr>
        <w:keepNext/>
        <w:autoSpaceDE w:val="0"/>
        <w:autoSpaceDN w:val="0"/>
        <w:adjustRightInd w:val="0"/>
        <w:jc w:val="both"/>
        <w:rPr>
          <w:rFonts w:eastAsia="PMingLiU"/>
          <w:u w:val="single"/>
          <w:lang w:val="sr-Latn-RS"/>
        </w:rPr>
      </w:pPr>
      <w:r w:rsidRPr="00C83E6A">
        <w:rPr>
          <w:u w:val="single"/>
          <w:lang w:val="sr-Latn-RS"/>
        </w:rPr>
        <w:t>Mehanizam djelovanja</w:t>
      </w:r>
    </w:p>
    <w:p w14:paraId="72D86039" w14:textId="77777777" w:rsidR="00D26E8E" w:rsidRPr="00C83E6A" w:rsidRDefault="00D26E8E" w:rsidP="001D6451">
      <w:pPr>
        <w:keepNext/>
        <w:autoSpaceDE w:val="0"/>
        <w:autoSpaceDN w:val="0"/>
        <w:adjustRightInd w:val="0"/>
        <w:jc w:val="both"/>
        <w:rPr>
          <w:rFonts w:eastAsia="PMingLiU"/>
          <w:lang w:val="sr-Latn-RS"/>
        </w:rPr>
      </w:pPr>
    </w:p>
    <w:p w14:paraId="71F0588D" w14:textId="194DB501" w:rsidR="00D26E8E" w:rsidRPr="00C83E6A" w:rsidRDefault="00096D7F" w:rsidP="001D6451">
      <w:pPr>
        <w:jc w:val="both"/>
        <w:rPr>
          <w:rFonts w:eastAsia="PMingLiU"/>
          <w:lang w:val="sr-Latn-RS"/>
        </w:rPr>
      </w:pPr>
      <w:r w:rsidRPr="00C83E6A">
        <w:rPr>
          <w:lang w:val="sr-Latn-RS"/>
        </w:rPr>
        <w:t xml:space="preserve">Evolokumab se selektivno vezuje za PCSK9 i sprečava vezivanje cirkulišućeg PCSK9 na receptor lipoproteina male gustine (engl. </w:t>
      </w:r>
      <w:r w:rsidRPr="00C83E6A">
        <w:rPr>
          <w:i/>
          <w:lang w:val="sr-Latn-RS"/>
        </w:rPr>
        <w:t>Low Density Lipoprotein Receptor</w:t>
      </w:r>
      <w:r w:rsidRPr="00C83E6A">
        <w:rPr>
          <w:lang w:val="sr-Latn-RS"/>
        </w:rPr>
        <w:t xml:space="preserve">, LDLR) na površini ćelija jetre, čime </w:t>
      </w:r>
      <w:r w:rsidRPr="00C83E6A">
        <w:rPr>
          <w:lang w:val="sr-Latn-RS"/>
        </w:rPr>
        <w:lastRenderedPageBreak/>
        <w:t>se sprečava PCSK9 posredovana LDLR degradacija. Povećanje LDLR vrijednosti u jetri posljedično dovodi do povezanih smanjenja nivoa serumskog LDL</w:t>
      </w:r>
      <w:r w:rsidRPr="00C83E6A">
        <w:rPr>
          <w:lang w:val="sr-Latn-RS"/>
        </w:rPr>
        <w:noBreakHyphen/>
        <w:t>holesterola (LDL</w:t>
      </w:r>
      <w:r w:rsidRPr="00C83E6A">
        <w:rPr>
          <w:lang w:val="sr-Latn-RS"/>
        </w:rPr>
        <w:noBreakHyphen/>
        <w:t>C).</w:t>
      </w:r>
    </w:p>
    <w:p w14:paraId="2C81FE27" w14:textId="77777777" w:rsidR="00D26E8E" w:rsidRPr="00C83E6A" w:rsidRDefault="00D26E8E" w:rsidP="001D6451">
      <w:pPr>
        <w:autoSpaceDE w:val="0"/>
        <w:autoSpaceDN w:val="0"/>
        <w:adjustRightInd w:val="0"/>
        <w:jc w:val="both"/>
        <w:rPr>
          <w:rFonts w:eastAsia="PMingLiU"/>
          <w:lang w:val="sr-Latn-RS"/>
        </w:rPr>
      </w:pPr>
    </w:p>
    <w:p w14:paraId="11FFEB6C" w14:textId="77777777" w:rsidR="00D26E8E" w:rsidRPr="00C83E6A" w:rsidRDefault="00096D7F" w:rsidP="001D6451">
      <w:pPr>
        <w:keepNext/>
        <w:autoSpaceDE w:val="0"/>
        <w:autoSpaceDN w:val="0"/>
        <w:adjustRightInd w:val="0"/>
        <w:jc w:val="both"/>
        <w:rPr>
          <w:rFonts w:eastAsia="PMingLiU"/>
          <w:u w:val="single"/>
          <w:lang w:val="sr-Latn-RS"/>
        </w:rPr>
      </w:pPr>
      <w:r w:rsidRPr="00C83E6A">
        <w:rPr>
          <w:u w:val="single"/>
          <w:lang w:val="sr-Latn-RS"/>
        </w:rPr>
        <w:t>Farmakodinamski efekti</w:t>
      </w:r>
    </w:p>
    <w:p w14:paraId="21F74C21" w14:textId="77777777" w:rsidR="00D26E8E" w:rsidRPr="00C83E6A" w:rsidRDefault="00D26E8E" w:rsidP="001D6451">
      <w:pPr>
        <w:keepNext/>
        <w:autoSpaceDE w:val="0"/>
        <w:autoSpaceDN w:val="0"/>
        <w:adjustRightInd w:val="0"/>
        <w:jc w:val="both"/>
        <w:rPr>
          <w:rFonts w:eastAsia="PMingLiU"/>
          <w:strike/>
          <w:lang w:val="sr-Latn-RS"/>
        </w:rPr>
      </w:pPr>
    </w:p>
    <w:p w14:paraId="273042D1" w14:textId="77777777" w:rsidR="00D26E8E" w:rsidRPr="00C83E6A" w:rsidRDefault="00096D7F" w:rsidP="001D6451">
      <w:pPr>
        <w:jc w:val="both"/>
        <w:rPr>
          <w:rFonts w:eastAsia="PMingLiU"/>
          <w:lang w:val="sr-Latn-RS"/>
        </w:rPr>
      </w:pPr>
      <w:r w:rsidRPr="00C83E6A">
        <w:rPr>
          <w:lang w:val="sr-Latn-RS"/>
        </w:rPr>
        <w:t>U kliničkim ispitivanjima, evolokumab je smanjio vrijednosti nevezanog PCSK9, LDL</w:t>
      </w:r>
      <w:r w:rsidRPr="00C83E6A">
        <w:rPr>
          <w:lang w:val="sr-Latn-RS"/>
        </w:rPr>
        <w:noBreakHyphen/>
        <w:t>C</w:t>
      </w:r>
      <w:r w:rsidRPr="00C83E6A">
        <w:rPr>
          <w:lang w:val="sr-Latn-RS"/>
        </w:rPr>
        <w:noBreakHyphen/>
        <w:t>a, TC</w:t>
      </w:r>
      <w:r w:rsidRPr="00C83E6A">
        <w:rPr>
          <w:lang w:val="sr-Latn-RS"/>
        </w:rPr>
        <w:noBreakHyphen/>
        <w:t xml:space="preserve">a (engl. </w:t>
      </w:r>
      <w:r w:rsidRPr="00C83E6A">
        <w:rPr>
          <w:i/>
          <w:lang w:val="sr-Latn-RS"/>
        </w:rPr>
        <w:t>Total Cholesterol</w:t>
      </w:r>
      <w:r w:rsidRPr="00C83E6A">
        <w:rPr>
          <w:lang w:val="sr-Latn-RS"/>
        </w:rPr>
        <w:t>), ApoB</w:t>
      </w:r>
      <w:r w:rsidRPr="00C83E6A">
        <w:rPr>
          <w:lang w:val="sr-Latn-RS"/>
        </w:rPr>
        <w:noBreakHyphen/>
        <w:t xml:space="preserve">a (engl. </w:t>
      </w:r>
      <w:r w:rsidRPr="00C83E6A">
        <w:rPr>
          <w:i/>
          <w:lang w:val="sr-Latn-RS"/>
        </w:rPr>
        <w:t>Apolipoprotein B</w:t>
      </w:r>
      <w:r w:rsidRPr="00C83E6A">
        <w:rPr>
          <w:lang w:val="sr-Latn-RS"/>
        </w:rPr>
        <w:t>), non</w:t>
      </w:r>
      <w:r w:rsidRPr="00C83E6A">
        <w:rPr>
          <w:lang w:val="sr-Latn-RS"/>
        </w:rPr>
        <w:noBreakHyphen/>
        <w:t>HDL</w:t>
      </w:r>
      <w:r w:rsidRPr="00C83E6A">
        <w:rPr>
          <w:lang w:val="sr-Latn-RS"/>
        </w:rPr>
        <w:noBreakHyphen/>
        <w:t>C</w:t>
      </w:r>
      <w:r w:rsidRPr="00C83E6A">
        <w:rPr>
          <w:lang w:val="sr-Latn-RS"/>
        </w:rPr>
        <w:noBreakHyphen/>
        <w:t xml:space="preserve">a (engl. </w:t>
      </w:r>
      <w:r w:rsidRPr="00C83E6A">
        <w:rPr>
          <w:i/>
          <w:lang w:val="sr-Latn-RS"/>
        </w:rPr>
        <w:t>Non</w:t>
      </w:r>
      <w:r w:rsidRPr="00C83E6A">
        <w:rPr>
          <w:i/>
          <w:lang w:val="sr-Latn-RS"/>
        </w:rPr>
        <w:noBreakHyphen/>
        <w:t>High</w:t>
      </w:r>
      <w:r w:rsidRPr="00C83E6A">
        <w:rPr>
          <w:i/>
          <w:lang w:val="sr-Latn-RS"/>
        </w:rPr>
        <w:noBreakHyphen/>
        <w:t>Density Lipoprotein</w:t>
      </w:r>
      <w:r w:rsidRPr="00C83E6A">
        <w:rPr>
          <w:i/>
          <w:lang w:val="sr-Latn-RS"/>
        </w:rPr>
        <w:noBreakHyphen/>
        <w:t>Cholesterol</w:t>
      </w:r>
      <w:r w:rsidRPr="00C83E6A">
        <w:rPr>
          <w:lang w:val="sr-Latn-RS"/>
        </w:rPr>
        <w:t>), TC/HDL</w:t>
      </w:r>
      <w:r w:rsidRPr="00C83E6A">
        <w:rPr>
          <w:lang w:val="sr-Latn-RS"/>
        </w:rPr>
        <w:noBreakHyphen/>
        <w:t>C</w:t>
      </w:r>
      <w:r w:rsidRPr="00C83E6A">
        <w:rPr>
          <w:lang w:val="sr-Latn-RS"/>
        </w:rPr>
        <w:noBreakHyphen/>
        <w:t>a, ApoB/ApoA1</w:t>
      </w:r>
      <w:r w:rsidRPr="00C83E6A">
        <w:rPr>
          <w:lang w:val="sr-Latn-RS"/>
        </w:rPr>
        <w:noBreakHyphen/>
        <w:t xml:space="preserve">a (engl. </w:t>
      </w:r>
      <w:r w:rsidRPr="00C83E6A">
        <w:rPr>
          <w:i/>
          <w:lang w:val="sr-Latn-RS"/>
        </w:rPr>
        <w:t>Apolipoprotein A1</w:t>
      </w:r>
      <w:r w:rsidRPr="00C83E6A">
        <w:rPr>
          <w:lang w:val="sr-Latn-RS"/>
        </w:rPr>
        <w:t>), VLDL</w:t>
      </w:r>
      <w:r w:rsidRPr="00C83E6A">
        <w:rPr>
          <w:lang w:val="sr-Latn-RS"/>
        </w:rPr>
        <w:noBreakHyphen/>
        <w:t>C</w:t>
      </w:r>
      <w:r w:rsidRPr="00C83E6A">
        <w:rPr>
          <w:lang w:val="sr-Latn-RS"/>
        </w:rPr>
        <w:noBreakHyphen/>
        <w:t xml:space="preserve">a (engl. </w:t>
      </w:r>
      <w:r w:rsidRPr="00C83E6A">
        <w:rPr>
          <w:i/>
          <w:lang w:val="sr-Latn-RS"/>
        </w:rPr>
        <w:t>Very</w:t>
      </w:r>
      <w:r w:rsidRPr="00C83E6A">
        <w:rPr>
          <w:i/>
          <w:lang w:val="sr-Latn-RS"/>
        </w:rPr>
        <w:noBreakHyphen/>
        <w:t>Low</w:t>
      </w:r>
      <w:r w:rsidRPr="00C83E6A">
        <w:rPr>
          <w:i/>
          <w:lang w:val="sr-Latn-RS"/>
        </w:rPr>
        <w:noBreakHyphen/>
        <w:t>Density Lipoprotein</w:t>
      </w:r>
      <w:r w:rsidRPr="00C83E6A">
        <w:rPr>
          <w:i/>
          <w:lang w:val="sr-Latn-RS"/>
        </w:rPr>
        <w:noBreakHyphen/>
        <w:t>Cholesterol</w:t>
      </w:r>
      <w:r w:rsidRPr="00C83E6A">
        <w:rPr>
          <w:lang w:val="sr-Latn-RS"/>
        </w:rPr>
        <w:t>), TG</w:t>
      </w:r>
      <w:r w:rsidRPr="00C83E6A">
        <w:rPr>
          <w:lang w:val="sr-Latn-RS"/>
        </w:rPr>
        <w:noBreakHyphen/>
        <w:t xml:space="preserve">a (engl. </w:t>
      </w:r>
      <w:r w:rsidRPr="00C83E6A">
        <w:rPr>
          <w:i/>
          <w:lang w:val="sr-Latn-RS"/>
        </w:rPr>
        <w:t>Triglyceride</w:t>
      </w:r>
      <w:r w:rsidRPr="00C83E6A">
        <w:rPr>
          <w:lang w:val="sr-Latn-RS"/>
        </w:rPr>
        <w:t>) i Lp(a)</w:t>
      </w:r>
      <w:r w:rsidRPr="00C83E6A">
        <w:rPr>
          <w:lang w:val="sr-Latn-RS"/>
        </w:rPr>
        <w:noBreakHyphen/>
        <w:t xml:space="preserve">a (engl. </w:t>
      </w:r>
      <w:r w:rsidRPr="00C83E6A">
        <w:rPr>
          <w:i/>
          <w:lang w:val="sr-Latn-RS"/>
        </w:rPr>
        <w:t>Lipoprotein(a)</w:t>
      </w:r>
      <w:r w:rsidRPr="00C83E6A">
        <w:rPr>
          <w:lang w:val="sr-Latn-RS"/>
        </w:rPr>
        <w:t>) i povećao vrijednosti HDL</w:t>
      </w:r>
      <w:r w:rsidRPr="00C83E6A">
        <w:rPr>
          <w:lang w:val="sr-Latn-RS"/>
        </w:rPr>
        <w:noBreakHyphen/>
        <w:t>C</w:t>
      </w:r>
      <w:r w:rsidRPr="00C83E6A">
        <w:rPr>
          <w:lang w:val="sr-Latn-RS"/>
        </w:rPr>
        <w:noBreakHyphen/>
        <w:t>a i ApoA1</w:t>
      </w:r>
      <w:r w:rsidRPr="00C83E6A">
        <w:rPr>
          <w:lang w:val="sr-Latn-RS"/>
        </w:rPr>
        <w:noBreakHyphen/>
        <w:t>a kod pacijenata sa primarnom hiperholesterolemijom i miješanom dislipidemijom.</w:t>
      </w:r>
    </w:p>
    <w:p w14:paraId="01800194" w14:textId="77777777" w:rsidR="00D26E8E" w:rsidRPr="00C83E6A" w:rsidRDefault="00D26E8E" w:rsidP="001D6451">
      <w:pPr>
        <w:autoSpaceDE w:val="0"/>
        <w:autoSpaceDN w:val="0"/>
        <w:adjustRightInd w:val="0"/>
        <w:jc w:val="both"/>
        <w:rPr>
          <w:rFonts w:eastAsia="PMingLiU"/>
          <w:lang w:val="sr-Latn-RS"/>
        </w:rPr>
      </w:pPr>
    </w:p>
    <w:p w14:paraId="26C94057" w14:textId="77777777" w:rsidR="00D26E8E" w:rsidRPr="00C83E6A" w:rsidRDefault="00096D7F" w:rsidP="001D6451">
      <w:pPr>
        <w:autoSpaceDE w:val="0"/>
        <w:autoSpaceDN w:val="0"/>
        <w:adjustRightInd w:val="0"/>
        <w:jc w:val="both"/>
        <w:rPr>
          <w:rFonts w:eastAsia="PMingLiU"/>
          <w:lang w:val="sr-Latn-RS"/>
        </w:rPr>
      </w:pPr>
      <w:r w:rsidRPr="00C83E6A">
        <w:rPr>
          <w:lang w:val="sr-Latn-RS"/>
        </w:rPr>
        <w:t>Pojedinačna subkutana primjena evolokumaba od 140 mg ili 420 mg rezultirala je maksimalnom supresijom cirkulišućeg nevezanog PCSK9 u roku od 4 sata, nakon čega je uslijedilo smanjivanje nivoa LDL</w:t>
      </w:r>
      <w:r w:rsidRPr="00C83E6A">
        <w:rPr>
          <w:lang w:val="sr-Latn-RS"/>
        </w:rPr>
        <w:noBreakHyphen/>
        <w:t>C</w:t>
      </w:r>
      <w:r w:rsidRPr="00C83E6A">
        <w:rPr>
          <w:lang w:val="sr-Latn-RS"/>
        </w:rPr>
        <w:noBreakHyphen/>
        <w:t>a, dosežući srednje najniže vrijednosti odgovora do 14. odnosno 21. dana. Te promjene vrijednosti nevezanog PCSK9 i serumskih lipoproteina bile su reverzibilne po prekidu primjene evolokumaba. Tokom perioda ispiranja evolokumaba iz organizma, nije uočeno povećanje nevezanog PCSK9 ili LDL</w:t>
      </w:r>
      <w:r w:rsidRPr="00C83E6A">
        <w:rPr>
          <w:lang w:val="sr-Latn-RS"/>
        </w:rPr>
        <w:noBreakHyphen/>
        <w:t>C</w:t>
      </w:r>
      <w:r w:rsidRPr="00C83E6A">
        <w:rPr>
          <w:lang w:val="sr-Latn-RS"/>
        </w:rPr>
        <w:noBreakHyphen/>
        <w:t>a iznad početnih vrijednosti, što ukazuje da tokom liječenja ne dolazi do kompenzujućih mehanizama koji povećavaju produkciju PCSK9 ili LDL</w:t>
      </w:r>
      <w:r w:rsidRPr="00C83E6A">
        <w:rPr>
          <w:lang w:val="sr-Latn-RS"/>
        </w:rPr>
        <w:noBreakHyphen/>
        <w:t>C</w:t>
      </w:r>
      <w:r w:rsidRPr="00C83E6A">
        <w:rPr>
          <w:lang w:val="sr-Latn-RS"/>
        </w:rPr>
        <w:noBreakHyphen/>
        <w:t>a.</w:t>
      </w:r>
    </w:p>
    <w:p w14:paraId="11B61E94" w14:textId="77777777" w:rsidR="00D26E8E" w:rsidRPr="00C83E6A" w:rsidRDefault="00D26E8E" w:rsidP="001D6451">
      <w:pPr>
        <w:autoSpaceDE w:val="0"/>
        <w:autoSpaceDN w:val="0"/>
        <w:adjustRightInd w:val="0"/>
        <w:jc w:val="both"/>
        <w:rPr>
          <w:rFonts w:eastAsia="PMingLiU"/>
          <w:lang w:val="sr-Latn-RS"/>
        </w:rPr>
      </w:pPr>
    </w:p>
    <w:p w14:paraId="12BFD1FF" w14:textId="77777777" w:rsidR="00D26E8E" w:rsidRPr="00C83E6A" w:rsidRDefault="00096D7F" w:rsidP="001D6451">
      <w:pPr>
        <w:autoSpaceDE w:val="0"/>
        <w:autoSpaceDN w:val="0"/>
        <w:adjustRightInd w:val="0"/>
        <w:jc w:val="both"/>
        <w:rPr>
          <w:rFonts w:eastAsia="PMingLiU"/>
          <w:lang w:val="sr-Latn-RS"/>
        </w:rPr>
      </w:pPr>
      <w:r w:rsidRPr="00C83E6A">
        <w:rPr>
          <w:lang w:val="sr-Latn-RS"/>
        </w:rPr>
        <w:t>Režimi doziranja koji uključuju subkutanu primjenu doze od 140 mg svake 2 nedjelje i od 420 mg jednom mjesečno su istovjetni u prosječnom snižavanju LDL</w:t>
      </w:r>
      <w:r w:rsidRPr="00C83E6A">
        <w:rPr>
          <w:lang w:val="sr-Latn-RS"/>
        </w:rPr>
        <w:noBreakHyphen/>
        <w:t>C</w:t>
      </w:r>
      <w:r w:rsidRPr="00C83E6A">
        <w:rPr>
          <w:lang w:val="sr-Latn-RS"/>
        </w:rPr>
        <w:noBreakHyphen/>
        <w:t>a (srednja vrijednost u 10. i 12. nedjelji), i dovode do -72% do -57% od početne vrijednosti u poređenju sa placebom. Liječenje evolokumabom je rezultiralo sličnim sniženjem LDL</w:t>
      </w:r>
      <w:r w:rsidRPr="00C83E6A">
        <w:rPr>
          <w:lang w:val="sr-Latn-RS"/>
        </w:rPr>
        <w:noBreakHyphen/>
        <w:t>C</w:t>
      </w:r>
      <w:r w:rsidRPr="00C83E6A">
        <w:rPr>
          <w:lang w:val="sr-Latn-RS"/>
        </w:rPr>
        <w:noBreakHyphen/>
        <w:t>a kada se lijek primjenjivao samostalno ili u kombinaciji sa drugim ljekovima za snižavanje vrijednosti lipida.</w:t>
      </w:r>
    </w:p>
    <w:p w14:paraId="63E7E4A3" w14:textId="77777777" w:rsidR="00D26E8E" w:rsidRPr="00C83E6A" w:rsidRDefault="00D26E8E" w:rsidP="001D6451">
      <w:pPr>
        <w:autoSpaceDE w:val="0"/>
        <w:autoSpaceDN w:val="0"/>
        <w:adjustRightInd w:val="0"/>
        <w:jc w:val="both"/>
        <w:rPr>
          <w:rFonts w:eastAsia="PMingLiU"/>
          <w:lang w:val="sr-Latn-RS"/>
        </w:rPr>
      </w:pPr>
    </w:p>
    <w:p w14:paraId="523B1DDD" w14:textId="77777777" w:rsidR="00D26E8E" w:rsidRPr="00C83E6A" w:rsidRDefault="00096D7F" w:rsidP="001D6451">
      <w:pPr>
        <w:keepNext/>
        <w:autoSpaceDE w:val="0"/>
        <w:autoSpaceDN w:val="0"/>
        <w:adjustRightInd w:val="0"/>
        <w:jc w:val="both"/>
        <w:rPr>
          <w:rFonts w:eastAsia="PMingLiU"/>
          <w:u w:val="single"/>
          <w:lang w:val="sr-Latn-RS"/>
        </w:rPr>
      </w:pPr>
      <w:r w:rsidRPr="00C83E6A">
        <w:rPr>
          <w:u w:val="single"/>
          <w:lang w:val="sr-Latn-RS"/>
        </w:rPr>
        <w:t>Klinička efikasnost u liječenju primarne hiperholesterolemije i miješane dislipidemije</w:t>
      </w:r>
    </w:p>
    <w:p w14:paraId="40F584F2" w14:textId="77777777" w:rsidR="00D26E8E" w:rsidRPr="00C83E6A" w:rsidRDefault="00D26E8E" w:rsidP="001D6451">
      <w:pPr>
        <w:keepNext/>
        <w:autoSpaceDE w:val="0"/>
        <w:autoSpaceDN w:val="0"/>
        <w:adjustRightInd w:val="0"/>
        <w:jc w:val="both"/>
        <w:rPr>
          <w:rFonts w:eastAsia="PMingLiU"/>
          <w:lang w:val="sr-Latn-RS"/>
        </w:rPr>
      </w:pPr>
    </w:p>
    <w:p w14:paraId="25FA13B4" w14:textId="77777777" w:rsidR="00D26E8E" w:rsidRPr="00C83E6A" w:rsidRDefault="00096D7F" w:rsidP="001D6451">
      <w:pPr>
        <w:autoSpaceDE w:val="0"/>
        <w:autoSpaceDN w:val="0"/>
        <w:adjustRightInd w:val="0"/>
        <w:jc w:val="both"/>
        <w:rPr>
          <w:rFonts w:eastAsia="PMingLiU"/>
          <w:lang w:val="sr-Latn-RS"/>
        </w:rPr>
      </w:pPr>
      <w:r w:rsidRPr="00C83E6A">
        <w:rPr>
          <w:lang w:val="sr-Latn-RS"/>
        </w:rPr>
        <w:t>Smanjenje LDL</w:t>
      </w:r>
      <w:r w:rsidRPr="00C83E6A">
        <w:rPr>
          <w:lang w:val="sr-Latn-RS"/>
        </w:rPr>
        <w:noBreakHyphen/>
        <w:t>C</w:t>
      </w:r>
      <w:r w:rsidRPr="00C83E6A">
        <w:rPr>
          <w:lang w:val="sr-Latn-RS"/>
        </w:rPr>
        <w:noBreakHyphen/>
        <w:t>a od oko 55% do 75% ostvareno je primjenom evolokumaba već u prvoj nedjelji i održalo se tokom dugotrajne terapije. Maksimalni odgovor je uglavnom postignut unutar 1 do 2 nedjelje nakon primjene doze od 140 mg svake 2 nedjelje, odnosno doze od 420 mg jednom mjesečno. Evolokumab je bio efikasan u svim podgrupama u odnosu na placebo i ezetimib. Nije bilo značajne razlike između podgrupa u odnosu na: uzrast, rasu, pol, regionalnu pripadnost, indeks tjelesne mase, NCEP rizik (engl. National Cholesterol Education Programme), trenutni pušački status, faktore rizika za razvoj koronarne bolesti srca (KBS) na početku studije, porodičnu anamnezu preuranjene KBS, toleranciju glukoze, (tj. dijabetes melitus tipa 2, metabolički sindrom ili ništa od navedenog), hipertenziju, dozu i intenzitet statina, kao i takođe u odnosu na vrijednosti nevezanog PCSK9, LDL</w:t>
      </w:r>
      <w:r w:rsidRPr="00C83E6A">
        <w:rPr>
          <w:lang w:val="sr-Latn-RS"/>
        </w:rPr>
        <w:noBreakHyphen/>
        <w:t>C</w:t>
      </w:r>
      <w:r w:rsidRPr="00C83E6A">
        <w:rPr>
          <w:lang w:val="sr-Latn-RS"/>
        </w:rPr>
        <w:noBreakHyphen/>
        <w:t>a i TG</w:t>
      </w:r>
      <w:r w:rsidRPr="00C83E6A">
        <w:rPr>
          <w:lang w:val="sr-Latn-RS"/>
        </w:rPr>
        <w:noBreakHyphen/>
        <w:t>a na početku studije.</w:t>
      </w:r>
    </w:p>
    <w:p w14:paraId="05D2A76D" w14:textId="77777777" w:rsidR="00D26E8E" w:rsidRPr="00C83E6A" w:rsidRDefault="00D26E8E" w:rsidP="001D6451">
      <w:pPr>
        <w:autoSpaceDE w:val="0"/>
        <w:autoSpaceDN w:val="0"/>
        <w:adjustRightInd w:val="0"/>
        <w:jc w:val="both"/>
        <w:rPr>
          <w:rFonts w:eastAsia="PMingLiU"/>
          <w:lang w:val="sr-Latn-RS"/>
        </w:rPr>
      </w:pPr>
    </w:p>
    <w:p w14:paraId="7D6DBB90" w14:textId="77777777" w:rsidR="00D26E8E" w:rsidRPr="00C83E6A" w:rsidRDefault="00BC1B7A" w:rsidP="001D6451">
      <w:pPr>
        <w:autoSpaceDE w:val="0"/>
        <w:autoSpaceDN w:val="0"/>
        <w:adjustRightInd w:val="0"/>
        <w:jc w:val="both"/>
        <w:rPr>
          <w:rFonts w:eastAsia="PMingLiU"/>
          <w:lang w:val="sr-Latn-RS"/>
        </w:rPr>
      </w:pPr>
      <w:r w:rsidRPr="00C83E6A">
        <w:rPr>
          <w:lang w:val="sr-Latn-RS"/>
        </w:rPr>
        <w:t>Kod 80</w:t>
      </w:r>
      <w:r w:rsidRPr="00C83E6A">
        <w:rPr>
          <w:lang w:val="sr-Latn-RS"/>
        </w:rPr>
        <w:noBreakHyphen/>
        <w:t>85% svih pacijenata sa primarnom hiperlipidemijom, liječenih bilo kojom od navedenih doza, evolokumab je pokazao smanjenje LDL</w:t>
      </w:r>
      <w:r w:rsidRPr="00C83E6A">
        <w:rPr>
          <w:lang w:val="sr-Latn-RS"/>
        </w:rPr>
        <w:noBreakHyphen/>
        <w:t>C</w:t>
      </w:r>
      <w:r w:rsidRPr="00C83E6A">
        <w:rPr>
          <w:lang w:val="sr-Latn-RS"/>
        </w:rPr>
        <w:noBreakHyphen/>
        <w:t>a od ≥ 50% pri srednjoj vrijednosti u 10. i 12. nedjelji. Do 99% pacijenata liječenih bilo kojom od navedenih doza evolokumaba postiglo je vrijednost LDL</w:t>
      </w:r>
      <w:r w:rsidRPr="00C83E6A">
        <w:rPr>
          <w:lang w:val="sr-Latn-RS"/>
        </w:rPr>
        <w:noBreakHyphen/>
        <w:t>C</w:t>
      </w:r>
      <w:r w:rsidRPr="00C83E6A">
        <w:rPr>
          <w:lang w:val="sr-Latn-RS"/>
        </w:rPr>
        <w:noBreakHyphen/>
        <w:t>a od &lt; 2,6 mmol/l, a do 95% njih postiglo je vrijednost LDL</w:t>
      </w:r>
      <w:r w:rsidRPr="00C83E6A">
        <w:rPr>
          <w:lang w:val="sr-Latn-RS"/>
        </w:rPr>
        <w:noBreakHyphen/>
        <w:t>C</w:t>
      </w:r>
      <w:r w:rsidRPr="00C83E6A">
        <w:rPr>
          <w:lang w:val="sr-Latn-RS"/>
        </w:rPr>
        <w:noBreakHyphen/>
        <w:t>a &lt; 1,8 mmol/l pri srednjoj vrijednosti u 10. i 12. nedjelji.</w:t>
      </w:r>
    </w:p>
    <w:p w14:paraId="75C181A3" w14:textId="77777777" w:rsidR="00D26E8E" w:rsidRPr="00C83E6A" w:rsidRDefault="00D26E8E" w:rsidP="001D6451">
      <w:pPr>
        <w:autoSpaceDE w:val="0"/>
        <w:autoSpaceDN w:val="0"/>
        <w:adjustRightInd w:val="0"/>
        <w:jc w:val="both"/>
        <w:rPr>
          <w:rFonts w:eastAsia="PMingLiU"/>
          <w:lang w:val="sr-Latn-RS"/>
        </w:rPr>
      </w:pPr>
    </w:p>
    <w:p w14:paraId="1B975403" w14:textId="77777777" w:rsidR="00D26E8E" w:rsidRPr="00C83E6A" w:rsidRDefault="00096D7F" w:rsidP="001D6451">
      <w:pPr>
        <w:keepNext/>
        <w:autoSpaceDE w:val="0"/>
        <w:autoSpaceDN w:val="0"/>
        <w:adjustRightInd w:val="0"/>
        <w:jc w:val="both"/>
        <w:rPr>
          <w:rFonts w:eastAsia="PMingLiU"/>
          <w:u w:val="single"/>
          <w:lang w:val="sr-Latn-RS"/>
        </w:rPr>
      </w:pPr>
      <w:r w:rsidRPr="00C83E6A">
        <w:rPr>
          <w:u w:val="single"/>
          <w:lang w:val="sr-Latn-RS"/>
        </w:rPr>
        <w:t>Kombinacija sa statinom ili statinom sa drugim terapijama za snižavanje lipida</w:t>
      </w:r>
    </w:p>
    <w:p w14:paraId="177EAC11" w14:textId="77777777" w:rsidR="00D26E8E" w:rsidRPr="00C83E6A" w:rsidRDefault="00D26E8E" w:rsidP="001D6451">
      <w:pPr>
        <w:pStyle w:val="TableCenterAlign"/>
        <w:keepNext/>
        <w:spacing w:before="0" w:after="0" w:line="240" w:lineRule="auto"/>
        <w:jc w:val="both"/>
        <w:rPr>
          <w:rFonts w:ascii="Times New Roman" w:eastAsia="PMingLiU" w:hAnsi="Times New Roman"/>
          <w:lang w:val="sr-Latn-RS"/>
        </w:rPr>
      </w:pPr>
    </w:p>
    <w:p w14:paraId="719BCBC2" w14:textId="77777777" w:rsidR="00D26E8E" w:rsidRPr="00C83E6A" w:rsidRDefault="00096D7F" w:rsidP="001D6451">
      <w:pPr>
        <w:pStyle w:val="TableCenterAlign"/>
        <w:spacing w:before="0" w:after="0" w:line="240" w:lineRule="auto"/>
        <w:jc w:val="both"/>
        <w:rPr>
          <w:rFonts w:ascii="Times New Roman" w:eastAsia="PMingLiU" w:hAnsi="Times New Roman"/>
          <w:lang w:val="sr-Latn-RS"/>
        </w:rPr>
      </w:pPr>
      <w:r w:rsidRPr="00C83E6A">
        <w:rPr>
          <w:rFonts w:ascii="Times New Roman" w:hAnsi="Times New Roman"/>
          <w:lang w:val="sr-Latn-RS"/>
        </w:rPr>
        <w:t>LAPLACE</w:t>
      </w:r>
      <w:r w:rsidRPr="00C83E6A">
        <w:rPr>
          <w:rFonts w:ascii="Times New Roman" w:hAnsi="Times New Roman"/>
          <w:lang w:val="sr-Latn-RS"/>
        </w:rPr>
        <w:noBreakHyphen/>
        <w:t>2 je bila međunarodna, multicentrična, dvostruko</w:t>
      </w:r>
      <w:r w:rsidRPr="00C83E6A">
        <w:rPr>
          <w:rFonts w:ascii="Times New Roman" w:hAnsi="Times New Roman"/>
          <w:lang w:val="sr-Latn-RS"/>
        </w:rPr>
        <w:noBreakHyphen/>
        <w:t>slijepa, randomizovana studija u trajanju od 12 nedjelja na 1896 pacijenata sa primarnom hiperholesterolemijom ili miješanom dislipidemijom. Pacijenti su randomizovani na kombinaciju evolokumaba i statina (rosuvastatin, simvastatin ili atorvastatin). Kombinacija evolokumaba sa rosuvastatinom odnosno simvastatinom upoređivana je sa placebom, dok je kombinacija primjene sa atorvastatinom upoređivana sa placebom i ezetimibom.</w:t>
      </w:r>
    </w:p>
    <w:p w14:paraId="00E4CB8A" w14:textId="77777777" w:rsidR="00D26E8E" w:rsidRPr="00C83E6A" w:rsidRDefault="00D26E8E" w:rsidP="001D6451">
      <w:pPr>
        <w:pStyle w:val="TableCenterAlign"/>
        <w:spacing w:before="0" w:after="0" w:line="240" w:lineRule="auto"/>
        <w:jc w:val="both"/>
        <w:rPr>
          <w:rFonts w:ascii="Times New Roman" w:eastAsia="PMingLiU" w:hAnsi="Times New Roman"/>
          <w:lang w:val="sr-Latn-RS"/>
        </w:rPr>
      </w:pPr>
    </w:p>
    <w:p w14:paraId="64611C8F" w14:textId="77777777" w:rsidR="00D26E8E" w:rsidRPr="00C83E6A" w:rsidRDefault="00096D7F" w:rsidP="001D6451">
      <w:pPr>
        <w:pStyle w:val="TableCenterAlign"/>
        <w:spacing w:before="0" w:after="0" w:line="240" w:lineRule="auto"/>
        <w:jc w:val="both"/>
        <w:rPr>
          <w:rFonts w:ascii="Times New Roman" w:eastAsia="PMingLiU" w:hAnsi="Times New Roman"/>
          <w:lang w:val="sr-Latn-RS"/>
        </w:rPr>
      </w:pPr>
      <w:r w:rsidRPr="00C83E6A">
        <w:rPr>
          <w:rFonts w:ascii="Times New Roman" w:hAnsi="Times New Roman"/>
          <w:lang w:val="sr-Latn-RS"/>
        </w:rPr>
        <w:t>Lijek Repatha je značajno smanjio početne vrijednosti LDL</w:t>
      </w:r>
      <w:r w:rsidRPr="00C83E6A">
        <w:rPr>
          <w:rFonts w:ascii="Times New Roman" w:hAnsi="Times New Roman"/>
          <w:lang w:val="sr-Latn-RS"/>
        </w:rPr>
        <w:noBreakHyphen/>
        <w:t>C</w:t>
      </w:r>
      <w:r w:rsidRPr="00C83E6A">
        <w:rPr>
          <w:rFonts w:ascii="Times New Roman" w:hAnsi="Times New Roman"/>
          <w:lang w:val="sr-Latn-RS"/>
        </w:rPr>
        <w:noBreakHyphen/>
        <w:t xml:space="preserve">a do srednje vrijednosti u 10. i 12. nedjelji, u poređenju sa placebom za grupe koje su primale rosuvastatin i simvastatin, i u poređenju sa placebom i ezetimibom za grupu koja je primala atorvastatin (p &lt; 0,001). Lijek Repatha je značajno </w:t>
      </w:r>
      <w:r w:rsidRPr="00C83E6A">
        <w:rPr>
          <w:rFonts w:ascii="Times New Roman" w:hAnsi="Times New Roman"/>
          <w:lang w:val="sr-Latn-RS"/>
        </w:rPr>
        <w:lastRenderedPageBreak/>
        <w:t>smanjio početne vrijednosti TC</w:t>
      </w:r>
      <w:r w:rsidRPr="00C83E6A">
        <w:rPr>
          <w:rFonts w:ascii="Times New Roman" w:hAnsi="Times New Roman"/>
          <w:lang w:val="sr-Latn-RS"/>
        </w:rPr>
        <w:noBreakHyphen/>
        <w:t>a, ApoB</w:t>
      </w:r>
      <w:r w:rsidRPr="00C83E6A">
        <w:rPr>
          <w:rFonts w:ascii="Times New Roman" w:hAnsi="Times New Roman"/>
          <w:lang w:val="sr-Latn-RS"/>
        </w:rPr>
        <w:noBreakHyphen/>
        <w:t>a, non</w:t>
      </w:r>
      <w:r w:rsidRPr="00C83E6A">
        <w:rPr>
          <w:rFonts w:ascii="Times New Roman" w:hAnsi="Times New Roman"/>
          <w:lang w:val="sr-Latn-RS"/>
        </w:rPr>
        <w:noBreakHyphen/>
        <w:t>HDL</w:t>
      </w:r>
      <w:r w:rsidRPr="00C83E6A">
        <w:rPr>
          <w:rFonts w:ascii="Times New Roman" w:hAnsi="Times New Roman"/>
          <w:lang w:val="sr-Latn-RS"/>
        </w:rPr>
        <w:noBreakHyphen/>
        <w:t>C</w:t>
      </w:r>
      <w:r w:rsidRPr="00C83E6A">
        <w:rPr>
          <w:rFonts w:ascii="Times New Roman" w:hAnsi="Times New Roman"/>
          <w:lang w:val="sr-Latn-RS"/>
        </w:rPr>
        <w:noBreakHyphen/>
        <w:t>a, TC/HDL</w:t>
      </w:r>
      <w:r w:rsidRPr="00C83E6A">
        <w:rPr>
          <w:rFonts w:ascii="Times New Roman" w:hAnsi="Times New Roman"/>
          <w:lang w:val="sr-Latn-RS"/>
        </w:rPr>
        <w:noBreakHyphen/>
        <w:t>C</w:t>
      </w:r>
      <w:r w:rsidRPr="00C83E6A">
        <w:rPr>
          <w:rFonts w:ascii="Times New Roman" w:hAnsi="Times New Roman"/>
          <w:lang w:val="sr-Latn-RS"/>
        </w:rPr>
        <w:noBreakHyphen/>
        <w:t>a, ApoB/ApoA1</w:t>
      </w:r>
      <w:r w:rsidRPr="00C83E6A">
        <w:rPr>
          <w:rFonts w:ascii="Times New Roman" w:hAnsi="Times New Roman"/>
          <w:lang w:val="sr-Latn-RS"/>
        </w:rPr>
        <w:noBreakHyphen/>
        <w:t>a, VLDL</w:t>
      </w:r>
      <w:r w:rsidRPr="00C83E6A">
        <w:rPr>
          <w:rFonts w:ascii="Times New Roman" w:hAnsi="Times New Roman"/>
          <w:lang w:val="sr-Latn-RS"/>
        </w:rPr>
        <w:noBreakHyphen/>
        <w:t>C</w:t>
      </w:r>
      <w:r w:rsidRPr="00C83E6A">
        <w:rPr>
          <w:rFonts w:ascii="Times New Roman" w:hAnsi="Times New Roman"/>
          <w:lang w:val="sr-Latn-RS"/>
        </w:rPr>
        <w:noBreakHyphen/>
        <w:t>a, TG</w:t>
      </w:r>
      <w:r w:rsidRPr="00C83E6A">
        <w:rPr>
          <w:rFonts w:ascii="Times New Roman" w:hAnsi="Times New Roman"/>
          <w:lang w:val="sr-Latn-RS"/>
        </w:rPr>
        <w:noBreakHyphen/>
        <w:t>a i Lp(a)</w:t>
      </w:r>
      <w:r w:rsidRPr="00C83E6A">
        <w:rPr>
          <w:rFonts w:ascii="Times New Roman" w:hAnsi="Times New Roman"/>
          <w:lang w:val="sr-Latn-RS"/>
        </w:rPr>
        <w:noBreakHyphen/>
        <w:t>a i povećao početnu vrijednost HDL</w:t>
      </w:r>
      <w:r w:rsidRPr="00C83E6A">
        <w:rPr>
          <w:rFonts w:ascii="Times New Roman" w:hAnsi="Times New Roman"/>
          <w:lang w:val="sr-Latn-RS"/>
        </w:rPr>
        <w:noBreakHyphen/>
        <w:t>C</w:t>
      </w:r>
      <w:r w:rsidRPr="00C83E6A">
        <w:rPr>
          <w:rFonts w:ascii="Times New Roman" w:hAnsi="Times New Roman"/>
          <w:lang w:val="sr-Latn-RS"/>
        </w:rPr>
        <w:noBreakHyphen/>
        <w:t>a do srednje vrijednosti u 10. i 12. nedjelji u poređenju sa placebom za grupe koje su primale rosuvastatin i simvastatin (p &lt; 0,05), i značajno je smanjio vrijednosti TC</w:t>
      </w:r>
      <w:r w:rsidRPr="00C83E6A">
        <w:rPr>
          <w:rFonts w:ascii="Times New Roman" w:hAnsi="Times New Roman"/>
          <w:lang w:val="sr-Latn-RS"/>
        </w:rPr>
        <w:noBreakHyphen/>
        <w:t>a, ApoB</w:t>
      </w:r>
      <w:r w:rsidRPr="00C83E6A">
        <w:rPr>
          <w:rFonts w:ascii="Times New Roman" w:hAnsi="Times New Roman"/>
          <w:lang w:val="sr-Latn-RS"/>
        </w:rPr>
        <w:noBreakHyphen/>
        <w:t>a, non</w:t>
      </w:r>
      <w:r w:rsidRPr="00C83E6A">
        <w:rPr>
          <w:rFonts w:ascii="Times New Roman" w:hAnsi="Times New Roman"/>
          <w:lang w:val="sr-Latn-RS"/>
        </w:rPr>
        <w:noBreakHyphen/>
        <w:t>HDL</w:t>
      </w:r>
      <w:r w:rsidRPr="00C83E6A">
        <w:rPr>
          <w:rFonts w:ascii="Times New Roman" w:hAnsi="Times New Roman"/>
          <w:lang w:val="sr-Latn-RS"/>
        </w:rPr>
        <w:noBreakHyphen/>
        <w:t>C</w:t>
      </w:r>
      <w:r w:rsidRPr="00C83E6A">
        <w:rPr>
          <w:rFonts w:ascii="Times New Roman" w:hAnsi="Times New Roman"/>
          <w:lang w:val="sr-Latn-RS"/>
        </w:rPr>
        <w:noBreakHyphen/>
        <w:t>a, TC/HDL</w:t>
      </w:r>
      <w:r w:rsidRPr="00C83E6A">
        <w:rPr>
          <w:rFonts w:ascii="Times New Roman" w:hAnsi="Times New Roman"/>
          <w:lang w:val="sr-Latn-RS"/>
        </w:rPr>
        <w:noBreakHyphen/>
        <w:t>C</w:t>
      </w:r>
      <w:r w:rsidRPr="00C83E6A">
        <w:rPr>
          <w:rFonts w:ascii="Times New Roman" w:hAnsi="Times New Roman"/>
          <w:lang w:val="sr-Latn-RS"/>
        </w:rPr>
        <w:noBreakHyphen/>
        <w:t>a, ApoB/ApoA1</w:t>
      </w:r>
      <w:r w:rsidRPr="00C83E6A">
        <w:rPr>
          <w:rFonts w:ascii="Times New Roman" w:hAnsi="Times New Roman"/>
          <w:lang w:val="sr-Latn-RS"/>
        </w:rPr>
        <w:noBreakHyphen/>
        <w:t>a i Lp(a)</w:t>
      </w:r>
      <w:r w:rsidRPr="00C83E6A">
        <w:rPr>
          <w:rFonts w:ascii="Times New Roman" w:hAnsi="Times New Roman"/>
          <w:lang w:val="sr-Latn-RS"/>
        </w:rPr>
        <w:noBreakHyphen/>
        <w:t>a u poređenju sa placebom i ezetimibom za grupu koja je primala atorvastatin (p &lt; 0,001) (vidjeti Tabelu 2 i 3).</w:t>
      </w:r>
    </w:p>
    <w:p w14:paraId="7C919953" w14:textId="77777777" w:rsidR="00D26E8E" w:rsidRPr="00C83E6A" w:rsidRDefault="00D26E8E" w:rsidP="001D6451">
      <w:pPr>
        <w:pStyle w:val="TableCenterAlign"/>
        <w:spacing w:before="0" w:after="0" w:line="240" w:lineRule="auto"/>
        <w:jc w:val="both"/>
        <w:rPr>
          <w:rFonts w:ascii="Times New Roman" w:eastAsia="PMingLiU" w:hAnsi="Times New Roman"/>
          <w:lang w:val="sr-Latn-RS"/>
        </w:rPr>
      </w:pPr>
    </w:p>
    <w:p w14:paraId="78B408B9" w14:textId="77777777" w:rsidR="00D26E8E" w:rsidRPr="00C83E6A" w:rsidRDefault="00096D7F" w:rsidP="001D6451">
      <w:pPr>
        <w:autoSpaceDE w:val="0"/>
        <w:autoSpaceDN w:val="0"/>
        <w:adjustRightInd w:val="0"/>
        <w:jc w:val="both"/>
        <w:rPr>
          <w:rFonts w:eastAsia="PMingLiU"/>
          <w:lang w:val="sr-Latn-RS"/>
        </w:rPr>
      </w:pPr>
      <w:r w:rsidRPr="00C83E6A">
        <w:rPr>
          <w:lang w:val="sr-Latn-RS"/>
        </w:rPr>
        <w:t>RUTHERFORD</w:t>
      </w:r>
      <w:r w:rsidRPr="00C83E6A">
        <w:rPr>
          <w:lang w:val="sr-Latn-RS"/>
        </w:rPr>
        <w:noBreakHyphen/>
        <w:t>2 je bila međunarodna, multicentrična, dvostruko</w:t>
      </w:r>
      <w:r w:rsidRPr="00C83E6A">
        <w:rPr>
          <w:lang w:val="sr-Latn-RS"/>
        </w:rPr>
        <w:noBreakHyphen/>
        <w:t>slijepa, randomizovana, placebom kontrolisana studija u trajanju od 12 nedjelja, na 329 pacijenata sa heterozigotnom porodičnom hiperholesterolemijom kod kojih su primjenjivane terapije za snižavanje lipida. Lijek Repatha je značajno smanjio početne vrijednosti LDL</w:t>
      </w:r>
      <w:r w:rsidRPr="00C83E6A">
        <w:rPr>
          <w:lang w:val="sr-Latn-RS"/>
        </w:rPr>
        <w:noBreakHyphen/>
        <w:t>C</w:t>
      </w:r>
      <w:r w:rsidRPr="00C83E6A">
        <w:rPr>
          <w:lang w:val="sr-Latn-RS"/>
        </w:rPr>
        <w:noBreakHyphen/>
        <w:t>a do srednje vrijednosti u 10. i 12. nedjelji, u poređenju sa placebom (p &lt; 0,001). Lijek Repatha je značajno smanjio početne vrijednosti TC</w:t>
      </w:r>
      <w:r w:rsidRPr="00C83E6A">
        <w:rPr>
          <w:lang w:val="sr-Latn-RS"/>
        </w:rPr>
        <w:noBreakHyphen/>
        <w:t>a, ApoB</w:t>
      </w:r>
      <w:r w:rsidRPr="00C83E6A">
        <w:rPr>
          <w:lang w:val="sr-Latn-RS"/>
        </w:rPr>
        <w:noBreakHyphen/>
        <w:t>a, non</w:t>
      </w:r>
      <w:r w:rsidRPr="00C83E6A">
        <w:rPr>
          <w:lang w:val="sr-Latn-RS"/>
        </w:rPr>
        <w:noBreakHyphen/>
        <w:t>HDL</w:t>
      </w:r>
      <w:r w:rsidRPr="00C83E6A">
        <w:rPr>
          <w:lang w:val="sr-Latn-RS"/>
        </w:rPr>
        <w:noBreakHyphen/>
        <w:t>C</w:t>
      </w:r>
      <w:r w:rsidRPr="00C83E6A">
        <w:rPr>
          <w:lang w:val="sr-Latn-RS"/>
        </w:rPr>
        <w:noBreakHyphen/>
        <w:t>a, TC/HDL</w:t>
      </w:r>
      <w:r w:rsidRPr="00C83E6A">
        <w:rPr>
          <w:lang w:val="sr-Latn-RS"/>
        </w:rPr>
        <w:noBreakHyphen/>
        <w:t>C</w:t>
      </w:r>
      <w:r w:rsidRPr="00C83E6A">
        <w:rPr>
          <w:lang w:val="sr-Latn-RS"/>
        </w:rPr>
        <w:noBreakHyphen/>
        <w:t>a, ApoB/ApoA1</w:t>
      </w:r>
      <w:r w:rsidRPr="00C83E6A">
        <w:rPr>
          <w:lang w:val="sr-Latn-RS"/>
        </w:rPr>
        <w:noBreakHyphen/>
        <w:t>a, VLDL</w:t>
      </w:r>
      <w:r w:rsidRPr="00C83E6A">
        <w:rPr>
          <w:lang w:val="sr-Latn-RS"/>
        </w:rPr>
        <w:noBreakHyphen/>
        <w:t>C</w:t>
      </w:r>
      <w:r w:rsidRPr="00C83E6A">
        <w:rPr>
          <w:lang w:val="sr-Latn-RS"/>
        </w:rPr>
        <w:noBreakHyphen/>
        <w:t>a, TG</w:t>
      </w:r>
      <w:r w:rsidRPr="00C83E6A">
        <w:rPr>
          <w:lang w:val="sr-Latn-RS"/>
        </w:rPr>
        <w:noBreakHyphen/>
        <w:t>a i Lp(a)</w:t>
      </w:r>
      <w:r w:rsidRPr="00C83E6A">
        <w:rPr>
          <w:lang w:val="sr-Latn-RS"/>
        </w:rPr>
        <w:noBreakHyphen/>
        <w:t>a i povećao početne vrijednosti HDL</w:t>
      </w:r>
      <w:r w:rsidRPr="00C83E6A">
        <w:rPr>
          <w:lang w:val="sr-Latn-RS"/>
        </w:rPr>
        <w:noBreakHyphen/>
        <w:t>C</w:t>
      </w:r>
      <w:r w:rsidRPr="00C83E6A">
        <w:rPr>
          <w:lang w:val="sr-Latn-RS"/>
        </w:rPr>
        <w:noBreakHyphen/>
        <w:t>a i ApoA1</w:t>
      </w:r>
      <w:r w:rsidRPr="00C83E6A">
        <w:rPr>
          <w:lang w:val="sr-Latn-RS"/>
        </w:rPr>
        <w:noBreakHyphen/>
        <w:t>a do srednje vrijednosti u 10. i 12. nedjelji, u odnosu na placebo (p &lt; 0,05) (vidjeti Tabelu 2).</w:t>
      </w:r>
    </w:p>
    <w:p w14:paraId="2DBF9FEA" w14:textId="77777777" w:rsidR="00D26E8E" w:rsidRPr="00C83E6A" w:rsidRDefault="00D26E8E" w:rsidP="001D6451">
      <w:pPr>
        <w:autoSpaceDE w:val="0"/>
        <w:autoSpaceDN w:val="0"/>
        <w:adjustRightInd w:val="0"/>
        <w:jc w:val="both"/>
        <w:rPr>
          <w:rFonts w:eastAsia="PMingLiU"/>
          <w:u w:val="single"/>
          <w:lang w:val="sr-Latn-RS"/>
        </w:rPr>
      </w:pPr>
    </w:p>
    <w:p w14:paraId="2B668D7B" w14:textId="77777777" w:rsidR="00D26E8E" w:rsidRPr="00C83E6A" w:rsidRDefault="00096D7F" w:rsidP="001D6451">
      <w:pPr>
        <w:keepNext/>
        <w:jc w:val="both"/>
        <w:rPr>
          <w:rFonts w:eastAsia="PMingLiU"/>
          <w:b/>
          <w:bCs/>
          <w:lang w:val="sr-Latn-RS"/>
        </w:rPr>
      </w:pPr>
      <w:r w:rsidRPr="00C83E6A">
        <w:rPr>
          <w:b/>
          <w:lang w:val="sr-Latn-RS"/>
        </w:rPr>
        <w:t>Tabela 2: Efekti liječenja evolokumabom u poređenju sa placebom kod pacijenata sa primarnom hiperholesterolemijom i miješanom dislipidemijom – srednji procenat promjene od početne vrijednosti do prosječne vrijednosti u 10. i 12. nedjelji (%, 95% CI)</w:t>
      </w:r>
    </w:p>
    <w:p w14:paraId="184E6760" w14:textId="77777777" w:rsidR="008131FF" w:rsidRPr="00C83E6A" w:rsidRDefault="008131FF" w:rsidP="001D6451">
      <w:pPr>
        <w:keepNext/>
        <w:autoSpaceDE w:val="0"/>
        <w:autoSpaceDN w:val="0"/>
        <w:adjustRightInd w:val="0"/>
        <w:jc w:val="both"/>
        <w:rPr>
          <w:rFonts w:eastAsia="PMingLiU"/>
          <w:u w:val="single"/>
          <w:lang w:val="sr-Latn-RS"/>
        </w:rPr>
      </w:pPr>
    </w:p>
    <w:tbl>
      <w:tblPr>
        <w:tblW w:w="5225" w:type="pct"/>
        <w:tblLayout w:type="fixed"/>
        <w:tblCellMar>
          <w:left w:w="0" w:type="dxa"/>
          <w:right w:w="0" w:type="dxa"/>
        </w:tblCellMar>
        <w:tblLook w:val="04A0" w:firstRow="1" w:lastRow="0" w:firstColumn="1" w:lastColumn="0" w:noHBand="0" w:noVBand="1"/>
      </w:tblPr>
      <w:tblGrid>
        <w:gridCol w:w="1367"/>
        <w:gridCol w:w="840"/>
        <w:gridCol w:w="679"/>
        <w:gridCol w:w="679"/>
        <w:gridCol w:w="620"/>
        <w:gridCol w:w="677"/>
        <w:gridCol w:w="675"/>
        <w:gridCol w:w="653"/>
        <w:gridCol w:w="564"/>
        <w:gridCol w:w="675"/>
        <w:gridCol w:w="620"/>
        <w:gridCol w:w="732"/>
        <w:gridCol w:w="677"/>
      </w:tblGrid>
      <w:tr w:rsidR="001935E8" w:rsidRPr="00C83E6A" w14:paraId="7B108890" w14:textId="77777777" w:rsidTr="001935E8">
        <w:trPr>
          <w:cantSplit/>
          <w:trHeight w:val="140"/>
          <w:tblHeader/>
        </w:trPr>
        <w:tc>
          <w:tcPr>
            <w:tcW w:w="722" w:type="pct"/>
            <w:tcBorders>
              <w:top w:val="single" w:sz="8" w:space="0" w:color="000000"/>
              <w:left w:val="single" w:sz="8" w:space="0" w:color="000000"/>
              <w:bottom w:val="single" w:sz="8" w:space="0" w:color="000000"/>
              <w:right w:val="single" w:sz="8" w:space="0" w:color="000000"/>
            </w:tcBorders>
            <w:shd w:val="clear" w:color="auto" w:fill="D9D9D9"/>
          </w:tcPr>
          <w:p w14:paraId="12E0907D" w14:textId="77777777" w:rsidR="00426E80" w:rsidRPr="00C83E6A" w:rsidRDefault="00426E80" w:rsidP="001D6451">
            <w:pPr>
              <w:keepNext/>
              <w:jc w:val="both"/>
              <w:rPr>
                <w:rFonts w:eastAsia="Calibri"/>
                <w:b/>
                <w:bCs/>
                <w:lang w:val="sr-Latn-RS"/>
              </w:rPr>
            </w:pPr>
            <w:r w:rsidRPr="00C83E6A">
              <w:rPr>
                <w:b/>
                <w:lang w:val="sr-Latn-RS"/>
              </w:rPr>
              <w:t>Studija</w:t>
            </w:r>
          </w:p>
        </w:tc>
        <w:tc>
          <w:tcPr>
            <w:tcW w:w="444" w:type="pct"/>
            <w:tcBorders>
              <w:top w:val="single" w:sz="8" w:space="0" w:color="000000"/>
              <w:left w:val="nil"/>
              <w:bottom w:val="single" w:sz="8" w:space="0" w:color="000000"/>
              <w:right w:val="single" w:sz="8" w:space="0" w:color="000000"/>
            </w:tcBorders>
            <w:shd w:val="clear" w:color="auto" w:fill="D9D9D9"/>
            <w:tcMar>
              <w:top w:w="11" w:type="dxa"/>
              <w:left w:w="90" w:type="dxa"/>
              <w:bottom w:w="0" w:type="dxa"/>
              <w:right w:w="90" w:type="dxa"/>
            </w:tcMar>
            <w:hideMark/>
          </w:tcPr>
          <w:p w14:paraId="4C13D13E" w14:textId="77777777" w:rsidR="00426E80" w:rsidRPr="00C83E6A" w:rsidRDefault="00426E80" w:rsidP="001D6451">
            <w:pPr>
              <w:keepNext/>
              <w:tabs>
                <w:tab w:val="clear" w:pos="567"/>
              </w:tabs>
              <w:ind w:left="-91" w:right="-89"/>
              <w:jc w:val="both"/>
              <w:rPr>
                <w:rFonts w:eastAsia="Calibri"/>
                <w:b/>
                <w:bCs/>
                <w:lang w:val="sr-Latn-RS"/>
              </w:rPr>
            </w:pPr>
            <w:r w:rsidRPr="00C83E6A">
              <w:rPr>
                <w:b/>
                <w:lang w:val="sr-Latn-RS"/>
              </w:rPr>
              <w:t>Režim doziranja</w:t>
            </w:r>
          </w:p>
        </w:tc>
        <w:tc>
          <w:tcPr>
            <w:tcW w:w="359" w:type="pct"/>
            <w:tcBorders>
              <w:top w:val="single" w:sz="8" w:space="0" w:color="000000"/>
              <w:left w:val="nil"/>
              <w:bottom w:val="single" w:sz="8" w:space="0" w:color="000000"/>
              <w:right w:val="single" w:sz="8" w:space="0" w:color="000000"/>
            </w:tcBorders>
            <w:shd w:val="clear" w:color="auto" w:fill="D9D9D9"/>
            <w:tcMar>
              <w:top w:w="11" w:type="dxa"/>
              <w:left w:w="90" w:type="dxa"/>
              <w:bottom w:w="0" w:type="dxa"/>
              <w:right w:w="90" w:type="dxa"/>
            </w:tcMar>
            <w:hideMark/>
          </w:tcPr>
          <w:p w14:paraId="2F4F1C74" w14:textId="77777777" w:rsidR="00D26E8E" w:rsidRPr="00C83E6A" w:rsidRDefault="00426E80" w:rsidP="001D6451">
            <w:pPr>
              <w:keepNext/>
              <w:ind w:left="-93" w:right="-85"/>
              <w:jc w:val="both"/>
              <w:rPr>
                <w:rFonts w:eastAsia="PMingLiU"/>
                <w:b/>
                <w:bCs/>
                <w:lang w:val="sr-Latn-RS"/>
              </w:rPr>
            </w:pPr>
            <w:r w:rsidRPr="00C83E6A">
              <w:rPr>
                <w:b/>
                <w:lang w:val="sr-Latn-RS"/>
              </w:rPr>
              <w:t>LDL-C</w:t>
            </w:r>
          </w:p>
          <w:p w14:paraId="09035B52" w14:textId="77777777" w:rsidR="00426E80" w:rsidRPr="00C83E6A" w:rsidRDefault="00426E80" w:rsidP="001D6451">
            <w:pPr>
              <w:keepNext/>
              <w:ind w:left="-93" w:right="-85"/>
              <w:jc w:val="both"/>
              <w:rPr>
                <w:rFonts w:eastAsia="Calibri"/>
                <w:b/>
                <w:bCs/>
                <w:lang w:val="sr-Latn-RS"/>
              </w:rPr>
            </w:pPr>
            <w:r w:rsidRPr="00C83E6A">
              <w:rPr>
                <w:b/>
                <w:lang w:val="sr-Latn-RS"/>
              </w:rPr>
              <w:t>(%)</w:t>
            </w:r>
          </w:p>
        </w:tc>
        <w:tc>
          <w:tcPr>
            <w:tcW w:w="359" w:type="pct"/>
            <w:tcBorders>
              <w:top w:val="single" w:sz="8" w:space="0" w:color="000000"/>
              <w:left w:val="nil"/>
              <w:bottom w:val="single" w:sz="8" w:space="0" w:color="000000"/>
              <w:right w:val="single" w:sz="8" w:space="0" w:color="000000"/>
            </w:tcBorders>
            <w:shd w:val="clear" w:color="auto" w:fill="D9D9D9"/>
            <w:tcMar>
              <w:top w:w="11" w:type="dxa"/>
              <w:left w:w="90" w:type="dxa"/>
              <w:bottom w:w="0" w:type="dxa"/>
              <w:right w:w="90" w:type="dxa"/>
            </w:tcMar>
            <w:hideMark/>
          </w:tcPr>
          <w:p w14:paraId="60D30FB6" w14:textId="77777777" w:rsidR="00D26E8E" w:rsidRPr="00C83E6A" w:rsidRDefault="00426E80" w:rsidP="001D6451">
            <w:pPr>
              <w:keepNext/>
              <w:ind w:left="-95" w:right="-83"/>
              <w:jc w:val="both"/>
              <w:rPr>
                <w:rFonts w:eastAsia="PMingLiU"/>
                <w:b/>
                <w:bCs/>
                <w:lang w:val="sr-Latn-RS"/>
              </w:rPr>
            </w:pPr>
            <w:r w:rsidRPr="00C83E6A">
              <w:rPr>
                <w:b/>
                <w:lang w:val="sr-Latn-RS"/>
              </w:rPr>
              <w:t>Non-HDL-C</w:t>
            </w:r>
          </w:p>
          <w:p w14:paraId="1C0E986E" w14:textId="77777777" w:rsidR="00426E80" w:rsidRPr="00C83E6A" w:rsidRDefault="00426E80" w:rsidP="001D6451">
            <w:pPr>
              <w:keepNext/>
              <w:ind w:left="-95" w:right="-83"/>
              <w:jc w:val="both"/>
              <w:rPr>
                <w:rFonts w:eastAsia="Calibri"/>
                <w:b/>
                <w:bCs/>
                <w:lang w:val="sr-Latn-RS"/>
              </w:rPr>
            </w:pPr>
            <w:r w:rsidRPr="00C83E6A">
              <w:rPr>
                <w:b/>
                <w:lang w:val="sr-Latn-RS"/>
              </w:rPr>
              <w:t>(%)</w:t>
            </w:r>
          </w:p>
        </w:tc>
        <w:tc>
          <w:tcPr>
            <w:tcW w:w="328" w:type="pct"/>
            <w:tcBorders>
              <w:top w:val="single" w:sz="8" w:space="0" w:color="000000"/>
              <w:left w:val="nil"/>
              <w:bottom w:val="single" w:sz="8" w:space="0" w:color="000000"/>
              <w:right w:val="single" w:sz="8" w:space="0" w:color="000000"/>
            </w:tcBorders>
            <w:shd w:val="clear" w:color="auto" w:fill="D9D9D9"/>
            <w:tcMar>
              <w:top w:w="11" w:type="dxa"/>
              <w:left w:w="11" w:type="dxa"/>
              <w:bottom w:w="0" w:type="dxa"/>
              <w:right w:w="11" w:type="dxa"/>
            </w:tcMar>
            <w:hideMark/>
          </w:tcPr>
          <w:p w14:paraId="76FA693B" w14:textId="77777777" w:rsidR="00D26E8E" w:rsidRPr="00C83E6A" w:rsidRDefault="00426E80" w:rsidP="001D6451">
            <w:pPr>
              <w:keepNext/>
              <w:jc w:val="both"/>
              <w:rPr>
                <w:rFonts w:eastAsia="PMingLiU"/>
                <w:b/>
                <w:bCs/>
                <w:lang w:val="sr-Latn-RS"/>
              </w:rPr>
            </w:pPr>
            <w:r w:rsidRPr="00C83E6A">
              <w:rPr>
                <w:b/>
                <w:lang w:val="sr-Latn-RS"/>
              </w:rPr>
              <w:t>ApoB</w:t>
            </w:r>
          </w:p>
          <w:p w14:paraId="7FA40241" w14:textId="77777777" w:rsidR="00426E80" w:rsidRPr="00C83E6A" w:rsidRDefault="00426E80" w:rsidP="001D6451">
            <w:pPr>
              <w:keepNext/>
              <w:jc w:val="both"/>
              <w:rPr>
                <w:rFonts w:eastAsia="Calibri"/>
                <w:b/>
                <w:bCs/>
                <w:lang w:val="sr-Latn-RS"/>
              </w:rPr>
            </w:pPr>
            <w:r w:rsidRPr="00C83E6A">
              <w:rPr>
                <w:b/>
                <w:lang w:val="sr-Latn-RS"/>
              </w:rPr>
              <w:t>(%)</w:t>
            </w:r>
          </w:p>
        </w:tc>
        <w:tc>
          <w:tcPr>
            <w:tcW w:w="358" w:type="pct"/>
            <w:tcBorders>
              <w:top w:val="single" w:sz="8" w:space="0" w:color="000000"/>
              <w:left w:val="nil"/>
              <w:bottom w:val="single" w:sz="8" w:space="0" w:color="000000"/>
              <w:right w:val="single" w:sz="8" w:space="0" w:color="000000"/>
            </w:tcBorders>
            <w:shd w:val="clear" w:color="auto" w:fill="D9D9D9"/>
            <w:tcMar>
              <w:top w:w="11" w:type="dxa"/>
              <w:left w:w="11" w:type="dxa"/>
              <w:bottom w:w="0" w:type="dxa"/>
              <w:right w:w="11" w:type="dxa"/>
            </w:tcMar>
            <w:hideMark/>
          </w:tcPr>
          <w:p w14:paraId="51F76156" w14:textId="77777777" w:rsidR="00D26E8E" w:rsidRPr="00C83E6A" w:rsidRDefault="00426E80" w:rsidP="001D6451">
            <w:pPr>
              <w:keepNext/>
              <w:jc w:val="both"/>
              <w:rPr>
                <w:rFonts w:eastAsia="PMingLiU"/>
                <w:b/>
                <w:bCs/>
                <w:lang w:val="sr-Latn-RS"/>
              </w:rPr>
            </w:pPr>
            <w:r w:rsidRPr="00C83E6A">
              <w:rPr>
                <w:b/>
                <w:lang w:val="sr-Latn-RS"/>
              </w:rPr>
              <w:t>TC</w:t>
            </w:r>
          </w:p>
          <w:p w14:paraId="1A5E0579" w14:textId="77777777" w:rsidR="00426E80" w:rsidRPr="00C83E6A" w:rsidRDefault="00426E80" w:rsidP="001D6451">
            <w:pPr>
              <w:keepNext/>
              <w:jc w:val="both"/>
              <w:rPr>
                <w:rFonts w:eastAsia="Calibri"/>
                <w:b/>
                <w:bCs/>
                <w:lang w:val="sr-Latn-RS"/>
              </w:rPr>
            </w:pPr>
            <w:r w:rsidRPr="00C83E6A">
              <w:rPr>
                <w:b/>
                <w:lang w:val="sr-Latn-RS"/>
              </w:rPr>
              <w:t>(%)</w:t>
            </w:r>
          </w:p>
        </w:tc>
        <w:tc>
          <w:tcPr>
            <w:tcW w:w="357" w:type="pct"/>
            <w:tcBorders>
              <w:top w:val="single" w:sz="8" w:space="0" w:color="000000"/>
              <w:left w:val="nil"/>
              <w:bottom w:val="single" w:sz="8" w:space="0" w:color="000000"/>
              <w:right w:val="single" w:sz="8" w:space="0" w:color="000000"/>
            </w:tcBorders>
            <w:shd w:val="clear" w:color="auto" w:fill="D9D9D9"/>
            <w:tcMar>
              <w:top w:w="11" w:type="dxa"/>
              <w:left w:w="11" w:type="dxa"/>
              <w:bottom w:w="0" w:type="dxa"/>
              <w:right w:w="11" w:type="dxa"/>
            </w:tcMar>
            <w:hideMark/>
          </w:tcPr>
          <w:p w14:paraId="2404B5A5" w14:textId="77777777" w:rsidR="00D26E8E" w:rsidRPr="00C83E6A" w:rsidRDefault="00426E80" w:rsidP="001D6451">
            <w:pPr>
              <w:keepNext/>
              <w:jc w:val="both"/>
              <w:rPr>
                <w:rFonts w:eastAsia="PMingLiU"/>
                <w:b/>
                <w:bCs/>
                <w:lang w:val="sr-Latn-RS"/>
              </w:rPr>
            </w:pPr>
            <w:r w:rsidRPr="00C83E6A">
              <w:rPr>
                <w:b/>
                <w:lang w:val="sr-Latn-RS"/>
              </w:rPr>
              <w:t>Lp(a)</w:t>
            </w:r>
          </w:p>
          <w:p w14:paraId="63B947BE" w14:textId="77777777" w:rsidR="00426E80" w:rsidRPr="00C83E6A" w:rsidRDefault="00426E80" w:rsidP="001D6451">
            <w:pPr>
              <w:keepNext/>
              <w:jc w:val="both"/>
              <w:rPr>
                <w:rFonts w:eastAsia="Calibri"/>
                <w:b/>
                <w:bCs/>
                <w:lang w:val="sr-Latn-RS"/>
              </w:rPr>
            </w:pPr>
            <w:r w:rsidRPr="00C83E6A">
              <w:rPr>
                <w:b/>
                <w:lang w:val="sr-Latn-RS"/>
              </w:rPr>
              <w:t>(%)</w:t>
            </w:r>
          </w:p>
        </w:tc>
        <w:tc>
          <w:tcPr>
            <w:tcW w:w="345" w:type="pct"/>
            <w:tcBorders>
              <w:top w:val="single" w:sz="8" w:space="0" w:color="000000"/>
              <w:left w:val="nil"/>
              <w:bottom w:val="single" w:sz="8" w:space="0" w:color="000000"/>
              <w:right w:val="single" w:sz="8" w:space="0" w:color="000000"/>
            </w:tcBorders>
            <w:shd w:val="clear" w:color="auto" w:fill="D9D9D9"/>
            <w:tcMar>
              <w:top w:w="11" w:type="dxa"/>
              <w:left w:w="11" w:type="dxa"/>
              <w:bottom w:w="0" w:type="dxa"/>
              <w:right w:w="11" w:type="dxa"/>
            </w:tcMar>
            <w:hideMark/>
          </w:tcPr>
          <w:p w14:paraId="560224D4" w14:textId="77777777" w:rsidR="00D26E8E" w:rsidRPr="00C83E6A" w:rsidRDefault="00426E80" w:rsidP="001D6451">
            <w:pPr>
              <w:keepNext/>
              <w:tabs>
                <w:tab w:val="clear" w:pos="567"/>
              </w:tabs>
              <w:jc w:val="both"/>
              <w:rPr>
                <w:rFonts w:eastAsia="PMingLiU"/>
                <w:b/>
                <w:bCs/>
                <w:lang w:val="sr-Latn-RS"/>
              </w:rPr>
            </w:pPr>
            <w:r w:rsidRPr="00C83E6A">
              <w:rPr>
                <w:b/>
                <w:lang w:val="sr-Latn-RS"/>
              </w:rPr>
              <w:t>VLDL-C</w:t>
            </w:r>
          </w:p>
          <w:p w14:paraId="2B4BCCEE" w14:textId="77777777" w:rsidR="00426E80" w:rsidRPr="00C83E6A" w:rsidRDefault="00426E80" w:rsidP="001D6451">
            <w:pPr>
              <w:keepNext/>
              <w:jc w:val="both"/>
              <w:rPr>
                <w:rFonts w:eastAsia="Calibri"/>
                <w:b/>
                <w:bCs/>
                <w:lang w:val="sr-Latn-RS"/>
              </w:rPr>
            </w:pPr>
            <w:r w:rsidRPr="00C83E6A">
              <w:rPr>
                <w:b/>
                <w:lang w:val="sr-Latn-RS"/>
              </w:rPr>
              <w:t>(%)</w:t>
            </w:r>
          </w:p>
        </w:tc>
        <w:tc>
          <w:tcPr>
            <w:tcW w:w="298" w:type="pct"/>
            <w:tcBorders>
              <w:top w:val="single" w:sz="8" w:space="0" w:color="000000"/>
              <w:left w:val="nil"/>
              <w:bottom w:val="single" w:sz="8" w:space="0" w:color="000000"/>
              <w:right w:val="single" w:sz="8" w:space="0" w:color="000000"/>
            </w:tcBorders>
            <w:shd w:val="clear" w:color="auto" w:fill="D9D9D9"/>
            <w:tcMar>
              <w:top w:w="11" w:type="dxa"/>
              <w:left w:w="11" w:type="dxa"/>
              <w:bottom w:w="0" w:type="dxa"/>
              <w:right w:w="11" w:type="dxa"/>
            </w:tcMar>
            <w:hideMark/>
          </w:tcPr>
          <w:p w14:paraId="1601A03A" w14:textId="77777777" w:rsidR="00D26E8E" w:rsidRPr="00C83E6A" w:rsidRDefault="00426E80" w:rsidP="001D6451">
            <w:pPr>
              <w:keepNext/>
              <w:jc w:val="both"/>
              <w:rPr>
                <w:rFonts w:eastAsia="PMingLiU"/>
                <w:b/>
                <w:bCs/>
                <w:lang w:val="sr-Latn-RS"/>
              </w:rPr>
            </w:pPr>
            <w:r w:rsidRPr="00C83E6A">
              <w:rPr>
                <w:b/>
                <w:lang w:val="sr-Latn-RS"/>
              </w:rPr>
              <w:t>HDL-C</w:t>
            </w:r>
          </w:p>
          <w:p w14:paraId="576C9BC6" w14:textId="77777777" w:rsidR="00426E80" w:rsidRPr="00C83E6A" w:rsidRDefault="00426E80" w:rsidP="001D6451">
            <w:pPr>
              <w:keepNext/>
              <w:jc w:val="both"/>
              <w:rPr>
                <w:rFonts w:eastAsia="Calibri"/>
                <w:b/>
                <w:bCs/>
                <w:lang w:val="sr-Latn-RS"/>
              </w:rPr>
            </w:pPr>
            <w:r w:rsidRPr="00C83E6A">
              <w:rPr>
                <w:b/>
                <w:lang w:val="sr-Latn-RS"/>
              </w:rPr>
              <w:t>(%)</w:t>
            </w:r>
          </w:p>
        </w:tc>
        <w:tc>
          <w:tcPr>
            <w:tcW w:w="357" w:type="pct"/>
            <w:tcBorders>
              <w:top w:val="single" w:sz="8" w:space="0" w:color="000000"/>
              <w:left w:val="nil"/>
              <w:bottom w:val="single" w:sz="8" w:space="0" w:color="000000"/>
              <w:right w:val="single" w:sz="8" w:space="0" w:color="000000"/>
            </w:tcBorders>
            <w:shd w:val="clear" w:color="auto" w:fill="D9D9D9"/>
            <w:hideMark/>
          </w:tcPr>
          <w:p w14:paraId="7CA0D870" w14:textId="77777777" w:rsidR="00D26E8E" w:rsidRPr="00C83E6A" w:rsidRDefault="00426E80" w:rsidP="001D6451">
            <w:pPr>
              <w:keepNext/>
              <w:jc w:val="both"/>
              <w:rPr>
                <w:rFonts w:eastAsia="PMingLiU"/>
                <w:b/>
                <w:bCs/>
                <w:lang w:val="sr-Latn-RS"/>
              </w:rPr>
            </w:pPr>
            <w:r w:rsidRPr="00C83E6A">
              <w:rPr>
                <w:b/>
                <w:lang w:val="sr-Latn-RS"/>
              </w:rPr>
              <w:t>TG</w:t>
            </w:r>
          </w:p>
          <w:p w14:paraId="419C34E7" w14:textId="77777777" w:rsidR="00426E80" w:rsidRPr="00C83E6A" w:rsidRDefault="00426E80" w:rsidP="001D6451">
            <w:pPr>
              <w:keepNext/>
              <w:jc w:val="both"/>
              <w:rPr>
                <w:rFonts w:eastAsia="Calibri"/>
                <w:b/>
                <w:bCs/>
                <w:lang w:val="sr-Latn-RS"/>
              </w:rPr>
            </w:pPr>
            <w:r w:rsidRPr="00C83E6A">
              <w:rPr>
                <w:b/>
                <w:lang w:val="sr-Latn-RS"/>
              </w:rPr>
              <w:t>(%)</w:t>
            </w:r>
          </w:p>
        </w:tc>
        <w:tc>
          <w:tcPr>
            <w:tcW w:w="328" w:type="pct"/>
            <w:tcBorders>
              <w:top w:val="single" w:sz="8" w:space="0" w:color="000000"/>
              <w:left w:val="nil"/>
              <w:bottom w:val="single" w:sz="8" w:space="0" w:color="000000"/>
              <w:right w:val="single" w:sz="8" w:space="0" w:color="000000"/>
            </w:tcBorders>
            <w:shd w:val="clear" w:color="auto" w:fill="D9D9D9"/>
            <w:tcMar>
              <w:top w:w="11" w:type="dxa"/>
              <w:left w:w="11" w:type="dxa"/>
              <w:bottom w:w="0" w:type="dxa"/>
              <w:right w:w="11" w:type="dxa"/>
            </w:tcMar>
            <w:hideMark/>
          </w:tcPr>
          <w:p w14:paraId="20A65145" w14:textId="77777777" w:rsidR="00D26E8E" w:rsidRPr="00C83E6A" w:rsidRDefault="00426E80" w:rsidP="001D6451">
            <w:pPr>
              <w:keepNext/>
              <w:jc w:val="both"/>
              <w:rPr>
                <w:rFonts w:eastAsia="PMingLiU"/>
                <w:b/>
                <w:bCs/>
                <w:lang w:val="sr-Latn-RS"/>
              </w:rPr>
            </w:pPr>
            <w:r w:rsidRPr="00C83E6A">
              <w:rPr>
                <w:b/>
                <w:lang w:val="sr-Latn-RS"/>
              </w:rPr>
              <w:t>ApoA1</w:t>
            </w:r>
          </w:p>
          <w:p w14:paraId="27888541" w14:textId="77777777" w:rsidR="00426E80" w:rsidRPr="00C83E6A" w:rsidRDefault="00426E80" w:rsidP="001D6451">
            <w:pPr>
              <w:keepNext/>
              <w:jc w:val="both"/>
              <w:rPr>
                <w:rFonts w:eastAsia="Calibri"/>
                <w:b/>
                <w:bCs/>
                <w:lang w:val="sr-Latn-RS"/>
              </w:rPr>
            </w:pPr>
            <w:r w:rsidRPr="00C83E6A">
              <w:rPr>
                <w:b/>
                <w:lang w:val="sr-Latn-RS"/>
              </w:rPr>
              <w:t>(%)</w:t>
            </w:r>
          </w:p>
        </w:tc>
        <w:tc>
          <w:tcPr>
            <w:tcW w:w="387" w:type="pct"/>
            <w:tcBorders>
              <w:top w:val="single" w:sz="8" w:space="0" w:color="000000"/>
              <w:left w:val="nil"/>
              <w:bottom w:val="single" w:sz="8" w:space="0" w:color="000000"/>
              <w:right w:val="single" w:sz="8" w:space="0" w:color="000000"/>
            </w:tcBorders>
            <w:shd w:val="clear" w:color="auto" w:fill="D9D9D9"/>
          </w:tcPr>
          <w:p w14:paraId="3B6CE980" w14:textId="77777777" w:rsidR="00D26E8E" w:rsidRPr="00C83E6A" w:rsidRDefault="00426E80" w:rsidP="001D6451">
            <w:pPr>
              <w:keepNext/>
              <w:ind w:left="28"/>
              <w:jc w:val="both"/>
              <w:rPr>
                <w:rFonts w:eastAsia="PMingLiU"/>
                <w:b/>
                <w:bCs/>
                <w:lang w:val="sr-Latn-RS"/>
              </w:rPr>
            </w:pPr>
            <w:r w:rsidRPr="00C83E6A">
              <w:rPr>
                <w:b/>
                <w:lang w:val="sr-Latn-RS"/>
              </w:rPr>
              <w:t>Odnos TC/</w:t>
            </w:r>
            <w:r w:rsidRPr="00C83E6A">
              <w:rPr>
                <w:b/>
                <w:lang w:val="sr-Latn-RS"/>
              </w:rPr>
              <w:br/>
              <w:t>HDL-C</w:t>
            </w:r>
          </w:p>
          <w:p w14:paraId="5C46BA00" w14:textId="77777777" w:rsidR="00426E80" w:rsidRPr="00C83E6A" w:rsidRDefault="00426E80" w:rsidP="001D6451">
            <w:pPr>
              <w:keepNext/>
              <w:ind w:left="28"/>
              <w:jc w:val="both"/>
              <w:rPr>
                <w:rFonts w:eastAsia="Calibri"/>
                <w:b/>
                <w:bCs/>
                <w:lang w:val="sr-Latn-RS"/>
              </w:rPr>
            </w:pPr>
            <w:r w:rsidRPr="00C83E6A">
              <w:rPr>
                <w:b/>
                <w:lang w:val="sr-Latn-RS"/>
              </w:rPr>
              <w:t>%</w:t>
            </w:r>
          </w:p>
        </w:tc>
        <w:tc>
          <w:tcPr>
            <w:tcW w:w="358" w:type="pct"/>
            <w:tcBorders>
              <w:top w:val="single" w:sz="8" w:space="0" w:color="000000"/>
              <w:left w:val="nil"/>
              <w:bottom w:val="single" w:sz="8" w:space="0" w:color="000000"/>
              <w:right w:val="single" w:sz="8" w:space="0" w:color="000000"/>
            </w:tcBorders>
            <w:shd w:val="clear" w:color="auto" w:fill="D9D9D9"/>
          </w:tcPr>
          <w:p w14:paraId="205A7E6C" w14:textId="77777777" w:rsidR="00D26E8E" w:rsidRPr="00C83E6A" w:rsidRDefault="00426E80" w:rsidP="001D6451">
            <w:pPr>
              <w:keepNext/>
              <w:tabs>
                <w:tab w:val="clear" w:pos="567"/>
              </w:tabs>
              <w:ind w:left="28"/>
              <w:jc w:val="both"/>
              <w:rPr>
                <w:rFonts w:eastAsia="PMingLiU"/>
                <w:b/>
                <w:bCs/>
                <w:lang w:val="sr-Latn-RS"/>
              </w:rPr>
            </w:pPr>
            <w:r w:rsidRPr="00C83E6A">
              <w:rPr>
                <w:b/>
                <w:lang w:val="sr-Latn-RS"/>
              </w:rPr>
              <w:t>Odnos ApoB/</w:t>
            </w:r>
            <w:r w:rsidRPr="00C83E6A">
              <w:rPr>
                <w:b/>
                <w:lang w:val="sr-Latn-RS"/>
              </w:rPr>
              <w:br/>
              <w:t>ApoA1</w:t>
            </w:r>
          </w:p>
          <w:p w14:paraId="4AB0C8B4" w14:textId="77777777" w:rsidR="00426E80" w:rsidRPr="00C83E6A" w:rsidRDefault="00426E80" w:rsidP="001D6451">
            <w:pPr>
              <w:keepNext/>
              <w:tabs>
                <w:tab w:val="clear" w:pos="567"/>
              </w:tabs>
              <w:ind w:left="28"/>
              <w:jc w:val="both"/>
              <w:rPr>
                <w:rFonts w:eastAsia="Calibri"/>
                <w:b/>
                <w:bCs/>
                <w:lang w:val="sr-Latn-RS"/>
              </w:rPr>
            </w:pPr>
            <w:r w:rsidRPr="00C83E6A">
              <w:rPr>
                <w:b/>
                <w:lang w:val="sr-Latn-RS"/>
              </w:rPr>
              <w:t>%</w:t>
            </w:r>
          </w:p>
        </w:tc>
      </w:tr>
      <w:tr w:rsidR="001935E8" w:rsidRPr="00C83E6A" w14:paraId="56858B06" w14:textId="77777777" w:rsidTr="001935E8">
        <w:trPr>
          <w:cantSplit/>
          <w:trHeight w:val="230"/>
        </w:trPr>
        <w:tc>
          <w:tcPr>
            <w:tcW w:w="722" w:type="pct"/>
            <w:vMerge w:val="restart"/>
            <w:tcBorders>
              <w:top w:val="nil"/>
              <w:left w:val="single" w:sz="8" w:space="0" w:color="000000"/>
              <w:right w:val="single" w:sz="8" w:space="0" w:color="000000"/>
            </w:tcBorders>
            <w:vAlign w:val="center"/>
            <w:hideMark/>
          </w:tcPr>
          <w:p w14:paraId="44540116" w14:textId="77777777" w:rsidR="00D26E8E" w:rsidRPr="00C83E6A" w:rsidRDefault="00426E80" w:rsidP="001D6451">
            <w:pPr>
              <w:keepNext/>
              <w:rPr>
                <w:rFonts w:eastAsia="PMingLiU"/>
                <w:lang w:val="sr-Latn-RS"/>
              </w:rPr>
            </w:pPr>
            <w:r w:rsidRPr="00C83E6A">
              <w:rPr>
                <w:lang w:val="sr-Latn-RS"/>
              </w:rPr>
              <w:t>LAPLACE</w:t>
            </w:r>
            <w:r w:rsidRPr="00C83E6A">
              <w:rPr>
                <w:lang w:val="sr-Latn-RS"/>
              </w:rPr>
              <w:noBreakHyphen/>
              <w:t>2</w:t>
            </w:r>
          </w:p>
          <w:p w14:paraId="65BA7DBC" w14:textId="77777777" w:rsidR="00D26E8E" w:rsidRPr="00C83E6A" w:rsidRDefault="00426E80" w:rsidP="001D6451">
            <w:pPr>
              <w:keepNext/>
              <w:rPr>
                <w:rFonts w:eastAsia="PMingLiU"/>
                <w:lang w:val="sr-Latn-RS"/>
              </w:rPr>
            </w:pPr>
            <w:r w:rsidRPr="00C83E6A">
              <w:rPr>
                <w:lang w:val="sr-Latn-RS"/>
              </w:rPr>
              <w:t>(HMD)</w:t>
            </w:r>
          </w:p>
          <w:p w14:paraId="3E767FD8" w14:textId="77777777" w:rsidR="00426E80" w:rsidRPr="00C83E6A" w:rsidRDefault="00426E80" w:rsidP="001D6451">
            <w:pPr>
              <w:keepNext/>
              <w:rPr>
                <w:rFonts w:eastAsia="Calibri"/>
                <w:color w:val="000000"/>
                <w:lang w:val="sr-Latn-RS"/>
              </w:rPr>
            </w:pPr>
            <w:r w:rsidRPr="00C83E6A">
              <w:rPr>
                <w:color w:val="000000"/>
                <w:lang w:val="sr-Latn-RS"/>
              </w:rPr>
              <w:t>(grupe koje su primale kombinaciju sa rosuvastatinom, simvastatinom i atorvastatinom)</w:t>
            </w:r>
          </w:p>
        </w:tc>
        <w:tc>
          <w:tcPr>
            <w:tcW w:w="444" w:type="pct"/>
            <w:tcBorders>
              <w:top w:val="nil"/>
              <w:left w:val="nil"/>
              <w:bottom w:val="single" w:sz="8" w:space="0" w:color="000000"/>
              <w:right w:val="single" w:sz="8" w:space="0" w:color="000000"/>
            </w:tcBorders>
            <w:tcMar>
              <w:top w:w="11" w:type="dxa"/>
              <w:left w:w="90" w:type="dxa"/>
              <w:bottom w:w="0" w:type="dxa"/>
              <w:right w:w="90" w:type="dxa"/>
            </w:tcMar>
            <w:vAlign w:val="center"/>
            <w:hideMark/>
          </w:tcPr>
          <w:p w14:paraId="6313668C" w14:textId="77777777" w:rsidR="00D26E8E" w:rsidRPr="00C83E6A" w:rsidRDefault="00426E80" w:rsidP="001D6451">
            <w:pPr>
              <w:pStyle w:val="StyleTablecell"/>
              <w:ind w:left="-57"/>
              <w:jc w:val="both"/>
              <w:rPr>
                <w:rFonts w:eastAsia="PMingLiU"/>
                <w:sz w:val="22"/>
                <w:szCs w:val="22"/>
                <w:lang w:val="sr-Latn-RS"/>
              </w:rPr>
            </w:pPr>
            <w:r w:rsidRPr="00C83E6A">
              <w:rPr>
                <w:sz w:val="22"/>
                <w:szCs w:val="22"/>
                <w:lang w:val="sr-Latn-RS"/>
              </w:rPr>
              <w:t>140 mg Q2W</w:t>
            </w:r>
          </w:p>
          <w:p w14:paraId="7A51E3F8" w14:textId="77777777" w:rsidR="00426E80" w:rsidRPr="00C83E6A" w:rsidRDefault="00426E80" w:rsidP="001D6451">
            <w:pPr>
              <w:pStyle w:val="StyleTablecell"/>
              <w:ind w:left="-57"/>
              <w:jc w:val="both"/>
              <w:rPr>
                <w:sz w:val="22"/>
                <w:szCs w:val="22"/>
                <w:lang w:val="sr-Latn-RS"/>
              </w:rPr>
            </w:pPr>
            <w:r w:rsidRPr="00C83E6A">
              <w:rPr>
                <w:sz w:val="22"/>
                <w:szCs w:val="22"/>
                <w:lang w:val="sr-Latn-RS"/>
              </w:rPr>
              <w:t>(N = 555)</w:t>
            </w:r>
          </w:p>
        </w:tc>
        <w:tc>
          <w:tcPr>
            <w:tcW w:w="359" w:type="pct"/>
            <w:tcBorders>
              <w:top w:val="nil"/>
              <w:left w:val="nil"/>
              <w:bottom w:val="single" w:sz="8" w:space="0" w:color="000000"/>
              <w:right w:val="single" w:sz="8" w:space="0" w:color="000000"/>
            </w:tcBorders>
            <w:tcMar>
              <w:top w:w="11" w:type="dxa"/>
              <w:left w:w="90" w:type="dxa"/>
              <w:bottom w:w="0" w:type="dxa"/>
              <w:right w:w="90" w:type="dxa"/>
            </w:tcMar>
            <w:vAlign w:val="center"/>
            <w:hideMark/>
          </w:tcPr>
          <w:p w14:paraId="32A39C80" w14:textId="77777777" w:rsidR="00D26E8E" w:rsidRPr="00C83E6A" w:rsidRDefault="00426E80" w:rsidP="009B7DAC">
            <w:pPr>
              <w:pStyle w:val="StyleTablecell"/>
              <w:tabs>
                <w:tab w:val="clear" w:pos="567"/>
              </w:tabs>
              <w:ind w:left="-57" w:right="-80"/>
              <w:rPr>
                <w:rFonts w:eastAsia="PMingLiU"/>
                <w:sz w:val="22"/>
                <w:szCs w:val="22"/>
                <w:lang w:val="sr-Latn-RS"/>
              </w:rPr>
            </w:pPr>
            <w:r w:rsidRPr="00C83E6A">
              <w:rPr>
                <w:sz w:val="22"/>
                <w:szCs w:val="22"/>
                <w:lang w:val="sr-Latn-RS"/>
              </w:rPr>
              <w:t>-72</w:t>
            </w:r>
            <w:r w:rsidRPr="00C83E6A">
              <w:rPr>
                <w:sz w:val="22"/>
                <w:szCs w:val="22"/>
                <w:vertAlign w:val="superscript"/>
                <w:lang w:val="sr-Latn-RS"/>
              </w:rPr>
              <w:t>b</w:t>
            </w:r>
          </w:p>
          <w:p w14:paraId="49B7BAA2" w14:textId="77777777" w:rsidR="00426E80" w:rsidRPr="00C83E6A" w:rsidRDefault="00426E80" w:rsidP="009B7DAC">
            <w:pPr>
              <w:keepNext/>
              <w:tabs>
                <w:tab w:val="clear" w:pos="567"/>
              </w:tabs>
              <w:autoSpaceDE w:val="0"/>
              <w:autoSpaceDN w:val="0"/>
              <w:adjustRightInd w:val="0"/>
              <w:ind w:left="-57" w:right="-80"/>
              <w:jc w:val="center"/>
              <w:rPr>
                <w:rFonts w:eastAsia="Calibri"/>
                <w:lang w:val="sr-Latn-RS"/>
              </w:rPr>
            </w:pPr>
            <w:r w:rsidRPr="00C83E6A">
              <w:rPr>
                <w:lang w:val="sr-Latn-RS"/>
              </w:rPr>
              <w:t>(-75, -69)</w:t>
            </w:r>
          </w:p>
        </w:tc>
        <w:tc>
          <w:tcPr>
            <w:tcW w:w="359" w:type="pct"/>
            <w:tcBorders>
              <w:top w:val="nil"/>
              <w:left w:val="nil"/>
              <w:bottom w:val="single" w:sz="8" w:space="0" w:color="000000"/>
              <w:right w:val="single" w:sz="8" w:space="0" w:color="000000"/>
            </w:tcBorders>
            <w:tcMar>
              <w:top w:w="11" w:type="dxa"/>
              <w:left w:w="90" w:type="dxa"/>
              <w:bottom w:w="0" w:type="dxa"/>
              <w:right w:w="90" w:type="dxa"/>
            </w:tcMar>
            <w:vAlign w:val="center"/>
            <w:hideMark/>
          </w:tcPr>
          <w:p w14:paraId="287FB46A" w14:textId="77777777" w:rsidR="00D26E8E" w:rsidRPr="00C83E6A" w:rsidRDefault="00426E80">
            <w:pPr>
              <w:keepNext/>
              <w:tabs>
                <w:tab w:val="clear" w:pos="567"/>
              </w:tabs>
              <w:autoSpaceDE w:val="0"/>
              <w:autoSpaceDN w:val="0"/>
              <w:adjustRightInd w:val="0"/>
              <w:ind w:left="-100" w:right="-96"/>
              <w:jc w:val="center"/>
              <w:rPr>
                <w:rFonts w:eastAsia="PMingLiU"/>
                <w:lang w:val="sr-Latn-RS"/>
              </w:rPr>
            </w:pPr>
            <w:r w:rsidRPr="00C83E6A">
              <w:rPr>
                <w:lang w:val="sr-Latn-RS"/>
              </w:rPr>
              <w:t>-60</w:t>
            </w:r>
            <w:r w:rsidRPr="00C83E6A">
              <w:rPr>
                <w:vertAlign w:val="superscript"/>
                <w:lang w:val="sr-Latn-RS"/>
              </w:rPr>
              <w:t>b</w:t>
            </w:r>
          </w:p>
          <w:p w14:paraId="46391F00" w14:textId="77777777" w:rsidR="00426E80" w:rsidRPr="00C83E6A" w:rsidRDefault="00426E80">
            <w:pPr>
              <w:keepNext/>
              <w:tabs>
                <w:tab w:val="clear" w:pos="567"/>
              </w:tabs>
              <w:autoSpaceDE w:val="0"/>
              <w:autoSpaceDN w:val="0"/>
              <w:adjustRightInd w:val="0"/>
              <w:ind w:left="-100" w:right="-96"/>
              <w:jc w:val="center"/>
              <w:rPr>
                <w:rFonts w:eastAsia="Calibri"/>
                <w:lang w:val="sr-Latn-RS"/>
              </w:rPr>
            </w:pPr>
            <w:r w:rsidRPr="00C83E6A">
              <w:rPr>
                <w:lang w:val="sr-Latn-RS"/>
              </w:rPr>
              <w:t>(-63, -58)</w:t>
            </w:r>
          </w:p>
        </w:tc>
        <w:tc>
          <w:tcPr>
            <w:tcW w:w="328" w:type="pct"/>
            <w:tcBorders>
              <w:top w:val="nil"/>
              <w:left w:val="nil"/>
              <w:bottom w:val="single" w:sz="8" w:space="0" w:color="000000"/>
              <w:right w:val="single" w:sz="8" w:space="0" w:color="000000"/>
            </w:tcBorders>
            <w:tcMar>
              <w:top w:w="11" w:type="dxa"/>
              <w:left w:w="11" w:type="dxa"/>
              <w:bottom w:w="0" w:type="dxa"/>
              <w:right w:w="11" w:type="dxa"/>
            </w:tcMar>
            <w:vAlign w:val="center"/>
            <w:hideMark/>
          </w:tcPr>
          <w:p w14:paraId="18670A56" w14:textId="77777777" w:rsidR="00D26E8E" w:rsidRPr="00C83E6A" w:rsidRDefault="00426E80">
            <w:pPr>
              <w:keepNext/>
              <w:ind w:left="-57"/>
              <w:jc w:val="center"/>
              <w:rPr>
                <w:rFonts w:eastAsia="PMingLiU"/>
                <w:lang w:val="sr-Latn-RS"/>
              </w:rPr>
            </w:pPr>
            <w:r w:rsidRPr="00C83E6A">
              <w:rPr>
                <w:lang w:val="sr-Latn-RS"/>
              </w:rPr>
              <w:t>-56</w:t>
            </w:r>
            <w:r w:rsidRPr="00C83E6A">
              <w:rPr>
                <w:vertAlign w:val="superscript"/>
                <w:lang w:val="sr-Latn-RS"/>
              </w:rPr>
              <w:t>b</w:t>
            </w:r>
          </w:p>
          <w:p w14:paraId="440435B9" w14:textId="77777777" w:rsidR="00426E80" w:rsidRPr="00C83E6A" w:rsidRDefault="00426E80">
            <w:pPr>
              <w:keepNext/>
              <w:ind w:left="-57"/>
              <w:jc w:val="center"/>
              <w:rPr>
                <w:rFonts w:eastAsia="Calibri"/>
                <w:lang w:val="sr-Latn-RS"/>
              </w:rPr>
            </w:pPr>
            <w:r w:rsidRPr="00C83E6A">
              <w:rPr>
                <w:lang w:val="sr-Latn-RS"/>
              </w:rPr>
              <w:t>(-58, -53)</w:t>
            </w:r>
          </w:p>
        </w:tc>
        <w:tc>
          <w:tcPr>
            <w:tcW w:w="358" w:type="pct"/>
            <w:tcBorders>
              <w:top w:val="nil"/>
              <w:left w:val="nil"/>
              <w:bottom w:val="single" w:sz="8" w:space="0" w:color="000000"/>
              <w:right w:val="single" w:sz="8" w:space="0" w:color="000000"/>
            </w:tcBorders>
            <w:tcMar>
              <w:top w:w="11" w:type="dxa"/>
              <w:left w:w="11" w:type="dxa"/>
              <w:bottom w:w="0" w:type="dxa"/>
              <w:right w:w="11" w:type="dxa"/>
            </w:tcMar>
            <w:vAlign w:val="center"/>
            <w:hideMark/>
          </w:tcPr>
          <w:p w14:paraId="708DC1B0" w14:textId="77777777" w:rsidR="00D26E8E" w:rsidRPr="00C83E6A" w:rsidRDefault="00426E80">
            <w:pPr>
              <w:keepNext/>
              <w:ind w:left="-57"/>
              <w:jc w:val="center"/>
              <w:rPr>
                <w:rFonts w:eastAsia="PMingLiU"/>
                <w:lang w:val="sr-Latn-RS"/>
              </w:rPr>
            </w:pPr>
            <w:r w:rsidRPr="00C83E6A">
              <w:rPr>
                <w:lang w:val="sr-Latn-RS"/>
              </w:rPr>
              <w:t>-41</w:t>
            </w:r>
            <w:r w:rsidRPr="00C83E6A">
              <w:rPr>
                <w:vertAlign w:val="superscript"/>
                <w:lang w:val="sr-Latn-RS"/>
              </w:rPr>
              <w:t>b</w:t>
            </w:r>
          </w:p>
          <w:p w14:paraId="094C61B8" w14:textId="77777777" w:rsidR="00426E80" w:rsidRPr="00C83E6A" w:rsidRDefault="00426E80">
            <w:pPr>
              <w:keepNext/>
              <w:ind w:left="-57"/>
              <w:jc w:val="center"/>
              <w:rPr>
                <w:rFonts w:eastAsia="Calibri"/>
                <w:lang w:val="sr-Latn-RS"/>
              </w:rPr>
            </w:pPr>
            <w:r w:rsidRPr="00C83E6A">
              <w:rPr>
                <w:lang w:val="sr-Latn-RS"/>
              </w:rPr>
              <w:t>(-43, -39)</w:t>
            </w:r>
          </w:p>
        </w:tc>
        <w:tc>
          <w:tcPr>
            <w:tcW w:w="357" w:type="pct"/>
            <w:tcBorders>
              <w:top w:val="nil"/>
              <w:left w:val="nil"/>
              <w:bottom w:val="single" w:sz="8" w:space="0" w:color="000000"/>
              <w:right w:val="single" w:sz="8" w:space="0" w:color="000000"/>
            </w:tcBorders>
            <w:tcMar>
              <w:top w:w="11" w:type="dxa"/>
              <w:left w:w="11" w:type="dxa"/>
              <w:bottom w:w="0" w:type="dxa"/>
              <w:right w:w="11" w:type="dxa"/>
            </w:tcMar>
            <w:vAlign w:val="center"/>
            <w:hideMark/>
          </w:tcPr>
          <w:p w14:paraId="524D8F28" w14:textId="77777777" w:rsidR="00D26E8E" w:rsidRPr="00C83E6A" w:rsidRDefault="00426E80">
            <w:pPr>
              <w:keepNext/>
              <w:ind w:left="-57"/>
              <w:jc w:val="center"/>
              <w:rPr>
                <w:rFonts w:eastAsia="PMingLiU"/>
                <w:lang w:val="sr-Latn-RS"/>
              </w:rPr>
            </w:pPr>
            <w:r w:rsidRPr="00C83E6A">
              <w:rPr>
                <w:lang w:val="sr-Latn-RS"/>
              </w:rPr>
              <w:t>-30</w:t>
            </w:r>
            <w:r w:rsidRPr="00C83E6A">
              <w:rPr>
                <w:vertAlign w:val="superscript"/>
                <w:lang w:val="sr-Latn-RS"/>
              </w:rPr>
              <w:t>b</w:t>
            </w:r>
          </w:p>
          <w:p w14:paraId="0479DE08" w14:textId="77777777" w:rsidR="00426E80" w:rsidRPr="00C83E6A" w:rsidRDefault="00426E80">
            <w:pPr>
              <w:keepNext/>
              <w:ind w:left="-57"/>
              <w:jc w:val="center"/>
              <w:rPr>
                <w:rFonts w:eastAsia="Calibri"/>
                <w:lang w:val="sr-Latn-RS"/>
              </w:rPr>
            </w:pPr>
            <w:r w:rsidRPr="00C83E6A">
              <w:rPr>
                <w:lang w:val="sr-Latn-RS"/>
              </w:rPr>
              <w:t>(-35, -25)</w:t>
            </w:r>
          </w:p>
        </w:tc>
        <w:tc>
          <w:tcPr>
            <w:tcW w:w="345" w:type="pct"/>
            <w:tcBorders>
              <w:top w:val="nil"/>
              <w:left w:val="nil"/>
              <w:bottom w:val="single" w:sz="8" w:space="0" w:color="000000"/>
              <w:right w:val="single" w:sz="8" w:space="0" w:color="000000"/>
            </w:tcBorders>
            <w:tcMar>
              <w:top w:w="11" w:type="dxa"/>
              <w:left w:w="11" w:type="dxa"/>
              <w:bottom w:w="0" w:type="dxa"/>
              <w:right w:w="11" w:type="dxa"/>
            </w:tcMar>
            <w:vAlign w:val="center"/>
            <w:hideMark/>
          </w:tcPr>
          <w:p w14:paraId="52478CFB" w14:textId="77777777" w:rsidR="00D26E8E" w:rsidRPr="00C83E6A" w:rsidRDefault="00426E80">
            <w:pPr>
              <w:keepNext/>
              <w:ind w:left="6"/>
              <w:jc w:val="center"/>
              <w:rPr>
                <w:rFonts w:eastAsia="PMingLiU"/>
                <w:lang w:val="sr-Latn-RS"/>
              </w:rPr>
            </w:pPr>
            <w:r w:rsidRPr="00C83E6A">
              <w:rPr>
                <w:lang w:val="sr-Latn-RS"/>
              </w:rPr>
              <w:t>-18</w:t>
            </w:r>
            <w:r w:rsidRPr="00C83E6A">
              <w:rPr>
                <w:vertAlign w:val="superscript"/>
                <w:lang w:val="sr-Latn-RS"/>
              </w:rPr>
              <w:t>b</w:t>
            </w:r>
          </w:p>
          <w:p w14:paraId="1DF85C3E" w14:textId="77777777" w:rsidR="00426E80" w:rsidRPr="00C83E6A" w:rsidRDefault="00426E80">
            <w:pPr>
              <w:keepNext/>
              <w:ind w:left="6"/>
              <w:jc w:val="center"/>
              <w:rPr>
                <w:rFonts w:eastAsia="Calibri"/>
                <w:lang w:val="sr-Latn-RS"/>
              </w:rPr>
            </w:pPr>
            <w:r w:rsidRPr="00C83E6A">
              <w:rPr>
                <w:lang w:val="sr-Latn-RS"/>
              </w:rPr>
              <w:t>(-23, -14)</w:t>
            </w:r>
          </w:p>
        </w:tc>
        <w:tc>
          <w:tcPr>
            <w:tcW w:w="298" w:type="pct"/>
            <w:tcBorders>
              <w:top w:val="nil"/>
              <w:left w:val="nil"/>
              <w:bottom w:val="single" w:sz="8" w:space="0" w:color="000000"/>
              <w:right w:val="single" w:sz="8" w:space="0" w:color="000000"/>
            </w:tcBorders>
            <w:tcMar>
              <w:top w:w="11" w:type="dxa"/>
              <w:left w:w="11" w:type="dxa"/>
              <w:bottom w:w="0" w:type="dxa"/>
              <w:right w:w="11" w:type="dxa"/>
            </w:tcMar>
            <w:vAlign w:val="center"/>
            <w:hideMark/>
          </w:tcPr>
          <w:p w14:paraId="5BF76EF1" w14:textId="77777777" w:rsidR="00D26E8E" w:rsidRPr="00C83E6A" w:rsidRDefault="00426E80">
            <w:pPr>
              <w:keepNext/>
              <w:ind w:left="-57"/>
              <w:jc w:val="center"/>
              <w:rPr>
                <w:rFonts w:eastAsia="PMingLiU"/>
                <w:lang w:val="sr-Latn-RS"/>
              </w:rPr>
            </w:pPr>
            <w:r w:rsidRPr="00C83E6A">
              <w:rPr>
                <w:lang w:val="sr-Latn-RS"/>
              </w:rPr>
              <w:t>6</w:t>
            </w:r>
            <w:r w:rsidRPr="00C83E6A">
              <w:rPr>
                <w:vertAlign w:val="superscript"/>
                <w:lang w:val="sr-Latn-RS"/>
              </w:rPr>
              <w:t>b</w:t>
            </w:r>
          </w:p>
          <w:p w14:paraId="3E680B23" w14:textId="77777777" w:rsidR="00426E80" w:rsidRPr="00C83E6A" w:rsidRDefault="00426E80">
            <w:pPr>
              <w:keepNext/>
              <w:ind w:left="-57"/>
              <w:jc w:val="center"/>
              <w:rPr>
                <w:rFonts w:eastAsia="Calibri"/>
                <w:lang w:val="sr-Latn-RS"/>
              </w:rPr>
            </w:pPr>
            <w:r w:rsidRPr="00C83E6A">
              <w:rPr>
                <w:lang w:val="sr-Latn-RS"/>
              </w:rPr>
              <w:t>(4, 8)</w:t>
            </w:r>
          </w:p>
        </w:tc>
        <w:tc>
          <w:tcPr>
            <w:tcW w:w="357" w:type="pct"/>
            <w:tcBorders>
              <w:top w:val="nil"/>
              <w:left w:val="nil"/>
              <w:bottom w:val="single" w:sz="8" w:space="0" w:color="000000"/>
              <w:right w:val="single" w:sz="8" w:space="0" w:color="000000"/>
            </w:tcBorders>
            <w:vAlign w:val="center"/>
            <w:hideMark/>
          </w:tcPr>
          <w:p w14:paraId="388013A9" w14:textId="77777777" w:rsidR="00D26E8E" w:rsidRPr="00C83E6A" w:rsidRDefault="00426E80">
            <w:pPr>
              <w:keepNext/>
              <w:ind w:left="-57"/>
              <w:jc w:val="center"/>
              <w:rPr>
                <w:rFonts w:eastAsia="PMingLiU"/>
                <w:lang w:val="sr-Latn-RS"/>
              </w:rPr>
            </w:pPr>
            <w:r w:rsidRPr="00C83E6A">
              <w:rPr>
                <w:lang w:val="sr-Latn-RS"/>
              </w:rPr>
              <w:t>-17</w:t>
            </w:r>
            <w:r w:rsidRPr="00C83E6A">
              <w:rPr>
                <w:vertAlign w:val="superscript"/>
                <w:lang w:val="sr-Latn-RS"/>
              </w:rPr>
              <w:t>b</w:t>
            </w:r>
          </w:p>
          <w:p w14:paraId="247EFAFC" w14:textId="77777777" w:rsidR="00426E80" w:rsidRPr="00C83E6A" w:rsidRDefault="00426E80">
            <w:pPr>
              <w:keepNext/>
              <w:ind w:left="-57"/>
              <w:jc w:val="center"/>
              <w:rPr>
                <w:rFonts w:eastAsia="Calibri"/>
                <w:lang w:val="sr-Latn-RS"/>
              </w:rPr>
            </w:pPr>
            <w:r w:rsidRPr="00C83E6A">
              <w:rPr>
                <w:lang w:val="sr-Latn-RS"/>
              </w:rPr>
              <w:t>(-22, -13)</w:t>
            </w:r>
          </w:p>
        </w:tc>
        <w:tc>
          <w:tcPr>
            <w:tcW w:w="328" w:type="pct"/>
            <w:tcBorders>
              <w:top w:val="nil"/>
              <w:left w:val="nil"/>
              <w:bottom w:val="single" w:sz="8" w:space="0" w:color="000000"/>
              <w:right w:val="single" w:sz="8" w:space="0" w:color="000000"/>
            </w:tcBorders>
            <w:tcMar>
              <w:top w:w="11" w:type="dxa"/>
              <w:left w:w="11" w:type="dxa"/>
              <w:bottom w:w="0" w:type="dxa"/>
              <w:right w:w="11" w:type="dxa"/>
            </w:tcMar>
            <w:vAlign w:val="center"/>
            <w:hideMark/>
          </w:tcPr>
          <w:p w14:paraId="366F5F0D" w14:textId="77777777" w:rsidR="00D26E8E" w:rsidRPr="00C83E6A" w:rsidRDefault="00426E80">
            <w:pPr>
              <w:keepNext/>
              <w:ind w:left="-57"/>
              <w:jc w:val="center"/>
              <w:rPr>
                <w:rFonts w:eastAsia="PMingLiU"/>
                <w:lang w:val="sr-Latn-RS"/>
              </w:rPr>
            </w:pPr>
            <w:r w:rsidRPr="00C83E6A">
              <w:rPr>
                <w:lang w:val="sr-Latn-RS"/>
              </w:rPr>
              <w:t>3</w:t>
            </w:r>
            <w:r w:rsidRPr="00C83E6A">
              <w:rPr>
                <w:vertAlign w:val="superscript"/>
                <w:lang w:val="sr-Latn-RS"/>
              </w:rPr>
              <w:t>b</w:t>
            </w:r>
          </w:p>
          <w:p w14:paraId="699E56D4" w14:textId="77777777" w:rsidR="00426E80" w:rsidRPr="00C83E6A" w:rsidRDefault="00426E80">
            <w:pPr>
              <w:keepNext/>
              <w:ind w:left="-57"/>
              <w:jc w:val="center"/>
              <w:rPr>
                <w:rFonts w:eastAsia="Calibri"/>
                <w:lang w:val="sr-Latn-RS"/>
              </w:rPr>
            </w:pPr>
            <w:r w:rsidRPr="00C83E6A">
              <w:rPr>
                <w:lang w:val="sr-Latn-RS"/>
              </w:rPr>
              <w:t>(1, 5)</w:t>
            </w:r>
          </w:p>
        </w:tc>
        <w:tc>
          <w:tcPr>
            <w:tcW w:w="387" w:type="pct"/>
            <w:tcBorders>
              <w:top w:val="nil"/>
              <w:left w:val="nil"/>
              <w:bottom w:val="single" w:sz="8" w:space="0" w:color="000000"/>
              <w:right w:val="single" w:sz="8" w:space="0" w:color="000000"/>
            </w:tcBorders>
            <w:vAlign w:val="center"/>
          </w:tcPr>
          <w:p w14:paraId="7A75EC70" w14:textId="77777777" w:rsidR="00D26E8E" w:rsidRPr="00C83E6A" w:rsidRDefault="00426E80">
            <w:pPr>
              <w:keepNext/>
              <w:ind w:left="28"/>
              <w:jc w:val="center"/>
              <w:rPr>
                <w:rFonts w:eastAsia="PMingLiU"/>
                <w:lang w:val="sr-Latn-RS"/>
              </w:rPr>
            </w:pPr>
            <w:r w:rsidRPr="00C83E6A">
              <w:rPr>
                <w:lang w:val="sr-Latn-RS"/>
              </w:rPr>
              <w:t>-45</w:t>
            </w:r>
            <w:r w:rsidRPr="00C83E6A">
              <w:rPr>
                <w:vertAlign w:val="superscript"/>
                <w:lang w:val="sr-Latn-RS"/>
              </w:rPr>
              <w:t>b</w:t>
            </w:r>
          </w:p>
          <w:p w14:paraId="18FC7455" w14:textId="77777777" w:rsidR="00426E80" w:rsidRPr="00C83E6A" w:rsidRDefault="00426E80">
            <w:pPr>
              <w:keepNext/>
              <w:ind w:left="28"/>
              <w:jc w:val="center"/>
              <w:rPr>
                <w:rFonts w:eastAsia="Calibri"/>
                <w:lang w:val="sr-Latn-RS"/>
              </w:rPr>
            </w:pPr>
            <w:r w:rsidRPr="00C83E6A">
              <w:rPr>
                <w:lang w:val="sr-Latn-RS"/>
              </w:rPr>
              <w:t>(-47, -42)</w:t>
            </w:r>
          </w:p>
        </w:tc>
        <w:tc>
          <w:tcPr>
            <w:tcW w:w="358" w:type="pct"/>
            <w:tcBorders>
              <w:top w:val="nil"/>
              <w:left w:val="nil"/>
              <w:bottom w:val="single" w:sz="8" w:space="0" w:color="000000"/>
              <w:right w:val="single" w:sz="8" w:space="0" w:color="000000"/>
            </w:tcBorders>
            <w:vAlign w:val="center"/>
          </w:tcPr>
          <w:p w14:paraId="2807AD3C" w14:textId="77777777" w:rsidR="00D26E8E" w:rsidRPr="00C83E6A" w:rsidRDefault="00426E80">
            <w:pPr>
              <w:keepNext/>
              <w:tabs>
                <w:tab w:val="clear" w:pos="567"/>
              </w:tabs>
              <w:ind w:left="28"/>
              <w:jc w:val="center"/>
              <w:rPr>
                <w:rFonts w:eastAsia="PMingLiU"/>
                <w:lang w:val="sr-Latn-RS"/>
              </w:rPr>
            </w:pPr>
            <w:r w:rsidRPr="00C83E6A">
              <w:rPr>
                <w:lang w:val="sr-Latn-RS"/>
              </w:rPr>
              <w:t>-56</w:t>
            </w:r>
            <w:r w:rsidRPr="00C83E6A">
              <w:rPr>
                <w:vertAlign w:val="superscript"/>
                <w:lang w:val="sr-Latn-RS"/>
              </w:rPr>
              <w:t>b</w:t>
            </w:r>
          </w:p>
          <w:p w14:paraId="498D8DCB" w14:textId="77777777" w:rsidR="00426E80" w:rsidRPr="00C83E6A" w:rsidRDefault="00426E80">
            <w:pPr>
              <w:keepNext/>
              <w:tabs>
                <w:tab w:val="clear" w:pos="567"/>
              </w:tabs>
              <w:ind w:left="28"/>
              <w:jc w:val="center"/>
              <w:rPr>
                <w:rFonts w:eastAsia="Calibri"/>
                <w:lang w:val="sr-Latn-RS"/>
              </w:rPr>
            </w:pPr>
            <w:r w:rsidRPr="00C83E6A">
              <w:rPr>
                <w:lang w:val="sr-Latn-RS"/>
              </w:rPr>
              <w:t>(-59, -53)</w:t>
            </w:r>
          </w:p>
        </w:tc>
      </w:tr>
      <w:tr w:rsidR="001935E8" w:rsidRPr="00C83E6A" w14:paraId="6BC65E15" w14:textId="77777777" w:rsidTr="001935E8">
        <w:trPr>
          <w:cantSplit/>
          <w:trHeight w:val="230"/>
        </w:trPr>
        <w:tc>
          <w:tcPr>
            <w:tcW w:w="722" w:type="pct"/>
            <w:vMerge/>
            <w:tcBorders>
              <w:left w:val="single" w:sz="8" w:space="0" w:color="000000"/>
              <w:bottom w:val="single" w:sz="8" w:space="0" w:color="000000"/>
              <w:right w:val="single" w:sz="8" w:space="0" w:color="000000"/>
            </w:tcBorders>
            <w:vAlign w:val="center"/>
            <w:hideMark/>
          </w:tcPr>
          <w:p w14:paraId="5C333CB2" w14:textId="77777777" w:rsidR="00426E80" w:rsidRPr="00C83E6A" w:rsidRDefault="00426E80" w:rsidP="001D6451">
            <w:pPr>
              <w:keepNext/>
              <w:rPr>
                <w:rFonts w:eastAsia="Calibri"/>
                <w:lang w:val="sr-Latn-RS"/>
              </w:rPr>
            </w:pPr>
          </w:p>
        </w:tc>
        <w:tc>
          <w:tcPr>
            <w:tcW w:w="444" w:type="pct"/>
            <w:tcBorders>
              <w:top w:val="nil"/>
              <w:left w:val="nil"/>
              <w:bottom w:val="single" w:sz="8" w:space="0" w:color="000000"/>
              <w:right w:val="single" w:sz="8" w:space="0" w:color="000000"/>
            </w:tcBorders>
            <w:tcMar>
              <w:top w:w="11" w:type="dxa"/>
              <w:left w:w="90" w:type="dxa"/>
              <w:bottom w:w="0" w:type="dxa"/>
              <w:right w:w="90" w:type="dxa"/>
            </w:tcMar>
            <w:vAlign w:val="center"/>
            <w:hideMark/>
          </w:tcPr>
          <w:p w14:paraId="34AC5880" w14:textId="77777777" w:rsidR="00D26E8E" w:rsidRPr="00C83E6A" w:rsidRDefault="00426E80" w:rsidP="001D6451">
            <w:pPr>
              <w:pStyle w:val="StyleTablecell"/>
              <w:ind w:left="-57"/>
              <w:jc w:val="both"/>
              <w:rPr>
                <w:rFonts w:eastAsia="PMingLiU"/>
                <w:sz w:val="22"/>
                <w:szCs w:val="22"/>
                <w:lang w:val="sr-Latn-RS"/>
              </w:rPr>
            </w:pPr>
            <w:r w:rsidRPr="00C83E6A">
              <w:rPr>
                <w:sz w:val="22"/>
                <w:szCs w:val="22"/>
                <w:lang w:val="sr-Latn-RS"/>
              </w:rPr>
              <w:t>420 mg QM</w:t>
            </w:r>
          </w:p>
          <w:p w14:paraId="52CBE630" w14:textId="77777777" w:rsidR="00426E80" w:rsidRPr="00C83E6A" w:rsidRDefault="00426E80" w:rsidP="001D6451">
            <w:pPr>
              <w:pStyle w:val="StyleTablecell"/>
              <w:ind w:left="-57"/>
              <w:jc w:val="both"/>
              <w:rPr>
                <w:sz w:val="22"/>
                <w:szCs w:val="22"/>
                <w:lang w:val="sr-Latn-RS"/>
              </w:rPr>
            </w:pPr>
            <w:r w:rsidRPr="00C83E6A">
              <w:rPr>
                <w:sz w:val="22"/>
                <w:szCs w:val="22"/>
                <w:lang w:val="sr-Latn-RS"/>
              </w:rPr>
              <w:t>(N = 562)</w:t>
            </w:r>
          </w:p>
        </w:tc>
        <w:tc>
          <w:tcPr>
            <w:tcW w:w="359" w:type="pct"/>
            <w:tcBorders>
              <w:top w:val="nil"/>
              <w:left w:val="nil"/>
              <w:bottom w:val="single" w:sz="8" w:space="0" w:color="000000"/>
              <w:right w:val="single" w:sz="8" w:space="0" w:color="000000"/>
            </w:tcBorders>
            <w:tcMar>
              <w:top w:w="11" w:type="dxa"/>
              <w:left w:w="90" w:type="dxa"/>
              <w:bottom w:w="0" w:type="dxa"/>
              <w:right w:w="90" w:type="dxa"/>
            </w:tcMar>
            <w:vAlign w:val="center"/>
            <w:hideMark/>
          </w:tcPr>
          <w:p w14:paraId="734AA869" w14:textId="77777777" w:rsidR="00D26E8E" w:rsidRPr="00C83E6A" w:rsidRDefault="00426E80" w:rsidP="009B7DAC">
            <w:pPr>
              <w:pStyle w:val="StyleTablecell"/>
              <w:tabs>
                <w:tab w:val="clear" w:pos="567"/>
              </w:tabs>
              <w:ind w:left="-57" w:right="-80"/>
              <w:rPr>
                <w:rFonts w:eastAsia="PMingLiU"/>
                <w:sz w:val="22"/>
                <w:szCs w:val="22"/>
                <w:lang w:val="sr-Latn-RS"/>
              </w:rPr>
            </w:pPr>
            <w:r w:rsidRPr="00C83E6A">
              <w:rPr>
                <w:sz w:val="22"/>
                <w:szCs w:val="22"/>
                <w:lang w:val="sr-Latn-RS"/>
              </w:rPr>
              <w:t>-69</w:t>
            </w:r>
            <w:r w:rsidRPr="00C83E6A">
              <w:rPr>
                <w:sz w:val="22"/>
                <w:szCs w:val="22"/>
                <w:vertAlign w:val="superscript"/>
                <w:lang w:val="sr-Latn-RS"/>
              </w:rPr>
              <w:t>b</w:t>
            </w:r>
          </w:p>
          <w:p w14:paraId="122BB058" w14:textId="77777777" w:rsidR="00426E80" w:rsidRPr="00C83E6A" w:rsidRDefault="00426E80" w:rsidP="009B7DAC">
            <w:pPr>
              <w:keepNext/>
              <w:tabs>
                <w:tab w:val="clear" w:pos="567"/>
              </w:tabs>
              <w:autoSpaceDE w:val="0"/>
              <w:autoSpaceDN w:val="0"/>
              <w:adjustRightInd w:val="0"/>
              <w:ind w:left="-57" w:right="-80"/>
              <w:jc w:val="center"/>
              <w:rPr>
                <w:rFonts w:eastAsia="Calibri"/>
                <w:lang w:val="sr-Latn-RS"/>
              </w:rPr>
            </w:pPr>
            <w:r w:rsidRPr="00C83E6A">
              <w:rPr>
                <w:lang w:val="sr-Latn-RS"/>
              </w:rPr>
              <w:t>(-73, -65)</w:t>
            </w:r>
          </w:p>
        </w:tc>
        <w:tc>
          <w:tcPr>
            <w:tcW w:w="359" w:type="pct"/>
            <w:tcBorders>
              <w:top w:val="nil"/>
              <w:left w:val="nil"/>
              <w:bottom w:val="single" w:sz="8" w:space="0" w:color="000000"/>
              <w:right w:val="single" w:sz="8" w:space="0" w:color="000000"/>
            </w:tcBorders>
            <w:tcMar>
              <w:top w:w="11" w:type="dxa"/>
              <w:left w:w="90" w:type="dxa"/>
              <w:bottom w:w="0" w:type="dxa"/>
              <w:right w:w="90" w:type="dxa"/>
            </w:tcMar>
            <w:vAlign w:val="center"/>
            <w:hideMark/>
          </w:tcPr>
          <w:p w14:paraId="3118DE89" w14:textId="77777777" w:rsidR="00D26E8E" w:rsidRPr="00C83E6A" w:rsidRDefault="00426E80">
            <w:pPr>
              <w:keepNext/>
              <w:tabs>
                <w:tab w:val="clear" w:pos="567"/>
              </w:tabs>
              <w:autoSpaceDE w:val="0"/>
              <w:autoSpaceDN w:val="0"/>
              <w:adjustRightInd w:val="0"/>
              <w:ind w:left="-100" w:right="-96"/>
              <w:jc w:val="center"/>
              <w:rPr>
                <w:rFonts w:eastAsia="PMingLiU"/>
                <w:lang w:val="sr-Latn-RS"/>
              </w:rPr>
            </w:pPr>
            <w:r w:rsidRPr="00C83E6A">
              <w:rPr>
                <w:lang w:val="sr-Latn-RS"/>
              </w:rPr>
              <w:t>-60</w:t>
            </w:r>
            <w:r w:rsidRPr="00C83E6A">
              <w:rPr>
                <w:vertAlign w:val="superscript"/>
                <w:lang w:val="sr-Latn-RS"/>
              </w:rPr>
              <w:t>b</w:t>
            </w:r>
          </w:p>
          <w:p w14:paraId="221DFAF3" w14:textId="77777777" w:rsidR="00426E80" w:rsidRPr="00C83E6A" w:rsidRDefault="00426E80">
            <w:pPr>
              <w:keepNext/>
              <w:tabs>
                <w:tab w:val="clear" w:pos="567"/>
              </w:tabs>
              <w:autoSpaceDE w:val="0"/>
              <w:autoSpaceDN w:val="0"/>
              <w:adjustRightInd w:val="0"/>
              <w:ind w:left="-100" w:right="-96"/>
              <w:jc w:val="center"/>
              <w:rPr>
                <w:rFonts w:eastAsia="Calibri"/>
                <w:lang w:val="sr-Latn-RS"/>
              </w:rPr>
            </w:pPr>
            <w:r w:rsidRPr="00C83E6A">
              <w:rPr>
                <w:lang w:val="sr-Latn-RS"/>
              </w:rPr>
              <w:t>(-63, -57)</w:t>
            </w:r>
          </w:p>
        </w:tc>
        <w:tc>
          <w:tcPr>
            <w:tcW w:w="328" w:type="pct"/>
            <w:tcBorders>
              <w:top w:val="nil"/>
              <w:left w:val="nil"/>
              <w:bottom w:val="single" w:sz="8" w:space="0" w:color="000000"/>
              <w:right w:val="single" w:sz="8" w:space="0" w:color="000000"/>
            </w:tcBorders>
            <w:tcMar>
              <w:top w:w="11" w:type="dxa"/>
              <w:left w:w="11" w:type="dxa"/>
              <w:bottom w:w="0" w:type="dxa"/>
              <w:right w:w="11" w:type="dxa"/>
            </w:tcMar>
            <w:vAlign w:val="center"/>
            <w:hideMark/>
          </w:tcPr>
          <w:p w14:paraId="7330F332" w14:textId="77777777" w:rsidR="00D26E8E" w:rsidRPr="00C83E6A" w:rsidRDefault="00426E80">
            <w:pPr>
              <w:keepNext/>
              <w:ind w:left="-57"/>
              <w:jc w:val="center"/>
              <w:rPr>
                <w:rFonts w:eastAsia="PMingLiU"/>
                <w:lang w:val="sr-Latn-RS"/>
              </w:rPr>
            </w:pPr>
            <w:r w:rsidRPr="00C83E6A">
              <w:rPr>
                <w:lang w:val="sr-Latn-RS"/>
              </w:rPr>
              <w:t>-56</w:t>
            </w:r>
            <w:r w:rsidRPr="00C83E6A">
              <w:rPr>
                <w:vertAlign w:val="superscript"/>
                <w:lang w:val="sr-Latn-RS"/>
              </w:rPr>
              <w:t>b</w:t>
            </w:r>
          </w:p>
          <w:p w14:paraId="37EECAD6" w14:textId="77777777" w:rsidR="00426E80" w:rsidRPr="00C83E6A" w:rsidRDefault="00426E80">
            <w:pPr>
              <w:keepNext/>
              <w:autoSpaceDE w:val="0"/>
              <w:autoSpaceDN w:val="0"/>
              <w:adjustRightInd w:val="0"/>
              <w:ind w:left="-57" w:right="-104"/>
              <w:jc w:val="center"/>
              <w:rPr>
                <w:rFonts w:eastAsia="Calibri"/>
                <w:lang w:val="sr-Latn-RS"/>
              </w:rPr>
            </w:pPr>
            <w:r w:rsidRPr="00C83E6A">
              <w:rPr>
                <w:lang w:val="sr-Latn-RS"/>
              </w:rPr>
              <w:t>(-58, -53)</w:t>
            </w:r>
          </w:p>
        </w:tc>
        <w:tc>
          <w:tcPr>
            <w:tcW w:w="358" w:type="pct"/>
            <w:tcBorders>
              <w:top w:val="nil"/>
              <w:left w:val="nil"/>
              <w:bottom w:val="single" w:sz="8" w:space="0" w:color="000000"/>
              <w:right w:val="single" w:sz="8" w:space="0" w:color="000000"/>
            </w:tcBorders>
            <w:tcMar>
              <w:top w:w="11" w:type="dxa"/>
              <w:left w:w="11" w:type="dxa"/>
              <w:bottom w:w="0" w:type="dxa"/>
              <w:right w:w="11" w:type="dxa"/>
            </w:tcMar>
            <w:vAlign w:val="center"/>
            <w:hideMark/>
          </w:tcPr>
          <w:p w14:paraId="5EE84F61" w14:textId="77777777" w:rsidR="00D26E8E" w:rsidRPr="00C83E6A" w:rsidRDefault="00426E80">
            <w:pPr>
              <w:keepNext/>
              <w:ind w:left="-57"/>
              <w:jc w:val="center"/>
              <w:rPr>
                <w:rFonts w:eastAsia="PMingLiU"/>
                <w:lang w:val="sr-Latn-RS"/>
              </w:rPr>
            </w:pPr>
            <w:r w:rsidRPr="00C83E6A">
              <w:rPr>
                <w:lang w:val="sr-Latn-RS"/>
              </w:rPr>
              <w:t>-40</w:t>
            </w:r>
            <w:r w:rsidRPr="00C83E6A">
              <w:rPr>
                <w:vertAlign w:val="superscript"/>
                <w:lang w:val="sr-Latn-RS"/>
              </w:rPr>
              <w:t>b</w:t>
            </w:r>
          </w:p>
          <w:p w14:paraId="113A1BB3" w14:textId="77777777" w:rsidR="00426E80" w:rsidRPr="00C83E6A" w:rsidRDefault="00426E80">
            <w:pPr>
              <w:keepNext/>
              <w:autoSpaceDE w:val="0"/>
              <w:autoSpaceDN w:val="0"/>
              <w:adjustRightInd w:val="0"/>
              <w:ind w:left="-57" w:right="-104"/>
              <w:jc w:val="center"/>
              <w:rPr>
                <w:rFonts w:eastAsia="Calibri"/>
                <w:lang w:val="sr-Latn-RS"/>
              </w:rPr>
            </w:pPr>
            <w:r w:rsidRPr="00C83E6A">
              <w:rPr>
                <w:lang w:val="sr-Latn-RS"/>
              </w:rPr>
              <w:t>(-42, -37)</w:t>
            </w:r>
          </w:p>
        </w:tc>
        <w:tc>
          <w:tcPr>
            <w:tcW w:w="357" w:type="pct"/>
            <w:tcBorders>
              <w:top w:val="nil"/>
              <w:left w:val="nil"/>
              <w:bottom w:val="single" w:sz="8" w:space="0" w:color="000000"/>
              <w:right w:val="single" w:sz="8" w:space="0" w:color="000000"/>
            </w:tcBorders>
            <w:tcMar>
              <w:top w:w="11" w:type="dxa"/>
              <w:left w:w="11" w:type="dxa"/>
              <w:bottom w:w="0" w:type="dxa"/>
              <w:right w:w="11" w:type="dxa"/>
            </w:tcMar>
            <w:vAlign w:val="center"/>
            <w:hideMark/>
          </w:tcPr>
          <w:p w14:paraId="7D45653C" w14:textId="77777777" w:rsidR="00D26E8E" w:rsidRPr="00C83E6A" w:rsidRDefault="00426E80">
            <w:pPr>
              <w:keepNext/>
              <w:ind w:left="-57"/>
              <w:jc w:val="center"/>
              <w:rPr>
                <w:rFonts w:eastAsia="PMingLiU"/>
                <w:lang w:val="sr-Latn-RS"/>
              </w:rPr>
            </w:pPr>
            <w:r w:rsidRPr="00C83E6A">
              <w:rPr>
                <w:lang w:val="sr-Latn-RS"/>
              </w:rPr>
              <w:t>-27</w:t>
            </w:r>
            <w:r w:rsidRPr="00C83E6A">
              <w:rPr>
                <w:vertAlign w:val="superscript"/>
                <w:lang w:val="sr-Latn-RS"/>
              </w:rPr>
              <w:t>b</w:t>
            </w:r>
          </w:p>
          <w:p w14:paraId="6A49AC60" w14:textId="77777777" w:rsidR="00426E80" w:rsidRPr="00C83E6A" w:rsidRDefault="00426E80">
            <w:pPr>
              <w:keepNext/>
              <w:autoSpaceDE w:val="0"/>
              <w:autoSpaceDN w:val="0"/>
              <w:adjustRightInd w:val="0"/>
              <w:ind w:left="-57" w:right="-104"/>
              <w:jc w:val="center"/>
              <w:rPr>
                <w:rFonts w:eastAsia="Calibri"/>
                <w:lang w:val="sr-Latn-RS"/>
              </w:rPr>
            </w:pPr>
            <w:r w:rsidRPr="00C83E6A">
              <w:rPr>
                <w:lang w:val="sr-Latn-RS"/>
              </w:rPr>
              <w:t>(-31, -24)</w:t>
            </w:r>
          </w:p>
        </w:tc>
        <w:tc>
          <w:tcPr>
            <w:tcW w:w="345" w:type="pct"/>
            <w:tcBorders>
              <w:top w:val="nil"/>
              <w:left w:val="nil"/>
              <w:bottom w:val="single" w:sz="8" w:space="0" w:color="000000"/>
              <w:right w:val="single" w:sz="8" w:space="0" w:color="000000"/>
            </w:tcBorders>
            <w:tcMar>
              <w:top w:w="11" w:type="dxa"/>
              <w:left w:w="11" w:type="dxa"/>
              <w:bottom w:w="0" w:type="dxa"/>
              <w:right w:w="11" w:type="dxa"/>
            </w:tcMar>
            <w:vAlign w:val="center"/>
            <w:hideMark/>
          </w:tcPr>
          <w:p w14:paraId="2766C933" w14:textId="77777777" w:rsidR="00D26E8E" w:rsidRPr="00C83E6A" w:rsidRDefault="00426E80">
            <w:pPr>
              <w:keepNext/>
              <w:ind w:left="6"/>
              <w:jc w:val="center"/>
              <w:rPr>
                <w:rFonts w:eastAsia="PMingLiU"/>
                <w:lang w:val="sr-Latn-RS"/>
              </w:rPr>
            </w:pPr>
            <w:r w:rsidRPr="00C83E6A">
              <w:rPr>
                <w:lang w:val="sr-Latn-RS"/>
              </w:rPr>
              <w:t>-22</w:t>
            </w:r>
            <w:r w:rsidRPr="00C83E6A">
              <w:rPr>
                <w:vertAlign w:val="superscript"/>
                <w:lang w:val="sr-Latn-RS"/>
              </w:rPr>
              <w:t>b</w:t>
            </w:r>
          </w:p>
          <w:p w14:paraId="2D4179B4" w14:textId="77777777" w:rsidR="00426E80" w:rsidRPr="00C83E6A" w:rsidRDefault="00426E80">
            <w:pPr>
              <w:keepNext/>
              <w:autoSpaceDE w:val="0"/>
              <w:autoSpaceDN w:val="0"/>
              <w:adjustRightInd w:val="0"/>
              <w:ind w:left="6" w:right="-104"/>
              <w:jc w:val="center"/>
              <w:rPr>
                <w:rFonts w:eastAsia="Calibri"/>
                <w:lang w:val="sr-Latn-RS"/>
              </w:rPr>
            </w:pPr>
            <w:r w:rsidRPr="00C83E6A">
              <w:rPr>
                <w:lang w:val="sr-Latn-RS"/>
              </w:rPr>
              <w:t>(-28, -17)</w:t>
            </w:r>
          </w:p>
        </w:tc>
        <w:tc>
          <w:tcPr>
            <w:tcW w:w="298" w:type="pct"/>
            <w:tcBorders>
              <w:top w:val="nil"/>
              <w:left w:val="nil"/>
              <w:bottom w:val="single" w:sz="8" w:space="0" w:color="000000"/>
              <w:right w:val="single" w:sz="8" w:space="0" w:color="000000"/>
            </w:tcBorders>
            <w:tcMar>
              <w:top w:w="11" w:type="dxa"/>
              <w:left w:w="11" w:type="dxa"/>
              <w:bottom w:w="0" w:type="dxa"/>
              <w:right w:w="11" w:type="dxa"/>
            </w:tcMar>
            <w:vAlign w:val="center"/>
            <w:hideMark/>
          </w:tcPr>
          <w:p w14:paraId="43E6AF81" w14:textId="77777777" w:rsidR="00D26E8E" w:rsidRPr="00C83E6A" w:rsidRDefault="00426E80">
            <w:pPr>
              <w:keepNext/>
              <w:ind w:left="-57"/>
              <w:jc w:val="center"/>
              <w:rPr>
                <w:rFonts w:eastAsia="PMingLiU"/>
                <w:lang w:val="sr-Latn-RS"/>
              </w:rPr>
            </w:pPr>
            <w:r w:rsidRPr="00C83E6A">
              <w:rPr>
                <w:lang w:val="sr-Latn-RS"/>
              </w:rPr>
              <w:t>8</w:t>
            </w:r>
            <w:r w:rsidRPr="00C83E6A">
              <w:rPr>
                <w:vertAlign w:val="superscript"/>
                <w:lang w:val="sr-Latn-RS"/>
              </w:rPr>
              <w:t>b</w:t>
            </w:r>
          </w:p>
          <w:p w14:paraId="03E7BBC9" w14:textId="77777777" w:rsidR="00426E80" w:rsidRPr="00C83E6A" w:rsidRDefault="00426E80">
            <w:pPr>
              <w:keepNext/>
              <w:autoSpaceDE w:val="0"/>
              <w:autoSpaceDN w:val="0"/>
              <w:adjustRightInd w:val="0"/>
              <w:ind w:left="-57" w:right="-104"/>
              <w:jc w:val="center"/>
              <w:rPr>
                <w:rFonts w:eastAsia="Calibri"/>
                <w:lang w:val="sr-Latn-RS"/>
              </w:rPr>
            </w:pPr>
            <w:r w:rsidRPr="00C83E6A">
              <w:rPr>
                <w:lang w:val="sr-Latn-RS"/>
              </w:rPr>
              <w:t>(6, 10)</w:t>
            </w:r>
          </w:p>
        </w:tc>
        <w:tc>
          <w:tcPr>
            <w:tcW w:w="357" w:type="pct"/>
            <w:tcBorders>
              <w:top w:val="nil"/>
              <w:left w:val="nil"/>
              <w:bottom w:val="single" w:sz="8" w:space="0" w:color="000000"/>
              <w:right w:val="single" w:sz="8" w:space="0" w:color="000000"/>
            </w:tcBorders>
            <w:vAlign w:val="center"/>
            <w:hideMark/>
          </w:tcPr>
          <w:p w14:paraId="6C1BD247" w14:textId="77777777" w:rsidR="00D26E8E" w:rsidRPr="00C83E6A" w:rsidRDefault="00426E80">
            <w:pPr>
              <w:keepNext/>
              <w:ind w:left="-57"/>
              <w:jc w:val="center"/>
              <w:rPr>
                <w:rFonts w:eastAsia="PMingLiU"/>
                <w:lang w:val="sr-Latn-RS"/>
              </w:rPr>
            </w:pPr>
            <w:r w:rsidRPr="00C83E6A">
              <w:rPr>
                <w:lang w:val="sr-Latn-RS"/>
              </w:rPr>
              <w:t>-23</w:t>
            </w:r>
            <w:r w:rsidRPr="00C83E6A">
              <w:rPr>
                <w:vertAlign w:val="superscript"/>
                <w:lang w:val="sr-Latn-RS"/>
              </w:rPr>
              <w:t>b</w:t>
            </w:r>
          </w:p>
          <w:p w14:paraId="025ED9D8" w14:textId="77777777" w:rsidR="00426E80" w:rsidRPr="00C83E6A" w:rsidRDefault="00426E80">
            <w:pPr>
              <w:keepNext/>
              <w:autoSpaceDE w:val="0"/>
              <w:autoSpaceDN w:val="0"/>
              <w:adjustRightInd w:val="0"/>
              <w:ind w:left="-57" w:right="-104"/>
              <w:jc w:val="center"/>
              <w:rPr>
                <w:rFonts w:eastAsia="Calibri"/>
                <w:lang w:val="sr-Latn-RS"/>
              </w:rPr>
            </w:pPr>
            <w:r w:rsidRPr="00C83E6A">
              <w:rPr>
                <w:lang w:val="sr-Latn-RS"/>
              </w:rPr>
              <w:t>(-28, -17)</w:t>
            </w:r>
          </w:p>
        </w:tc>
        <w:tc>
          <w:tcPr>
            <w:tcW w:w="328" w:type="pct"/>
            <w:tcBorders>
              <w:top w:val="nil"/>
              <w:left w:val="nil"/>
              <w:bottom w:val="single" w:sz="8" w:space="0" w:color="000000"/>
              <w:right w:val="single" w:sz="8" w:space="0" w:color="000000"/>
            </w:tcBorders>
            <w:tcMar>
              <w:top w:w="11" w:type="dxa"/>
              <w:left w:w="11" w:type="dxa"/>
              <w:bottom w:w="0" w:type="dxa"/>
              <w:right w:w="11" w:type="dxa"/>
            </w:tcMar>
            <w:vAlign w:val="center"/>
            <w:hideMark/>
          </w:tcPr>
          <w:p w14:paraId="0BD7E440" w14:textId="77777777" w:rsidR="00D26E8E" w:rsidRPr="00C83E6A" w:rsidRDefault="00426E80">
            <w:pPr>
              <w:keepNext/>
              <w:ind w:left="-57"/>
              <w:jc w:val="center"/>
              <w:rPr>
                <w:rFonts w:eastAsia="PMingLiU"/>
                <w:lang w:val="sr-Latn-RS"/>
              </w:rPr>
            </w:pPr>
            <w:r w:rsidRPr="00C83E6A">
              <w:rPr>
                <w:lang w:val="sr-Latn-RS"/>
              </w:rPr>
              <w:t>5</w:t>
            </w:r>
            <w:r w:rsidRPr="00C83E6A">
              <w:rPr>
                <w:vertAlign w:val="superscript"/>
                <w:lang w:val="sr-Latn-RS"/>
              </w:rPr>
              <w:t>b</w:t>
            </w:r>
          </w:p>
          <w:p w14:paraId="745C283E" w14:textId="77777777" w:rsidR="00426E80" w:rsidRPr="00C83E6A" w:rsidRDefault="00426E80">
            <w:pPr>
              <w:keepNext/>
              <w:autoSpaceDE w:val="0"/>
              <w:autoSpaceDN w:val="0"/>
              <w:adjustRightInd w:val="0"/>
              <w:ind w:left="-57" w:right="-104"/>
              <w:jc w:val="center"/>
              <w:rPr>
                <w:rFonts w:eastAsia="Calibri"/>
                <w:lang w:val="sr-Latn-RS"/>
              </w:rPr>
            </w:pPr>
            <w:r w:rsidRPr="00C83E6A">
              <w:rPr>
                <w:lang w:val="sr-Latn-RS"/>
              </w:rPr>
              <w:t>(3, 7)</w:t>
            </w:r>
          </w:p>
        </w:tc>
        <w:tc>
          <w:tcPr>
            <w:tcW w:w="387" w:type="pct"/>
            <w:tcBorders>
              <w:top w:val="nil"/>
              <w:left w:val="nil"/>
              <w:bottom w:val="single" w:sz="8" w:space="0" w:color="000000"/>
              <w:right w:val="single" w:sz="8" w:space="0" w:color="000000"/>
            </w:tcBorders>
            <w:vAlign w:val="center"/>
          </w:tcPr>
          <w:p w14:paraId="0E80BDD1" w14:textId="77777777" w:rsidR="00D26E8E" w:rsidRPr="00C83E6A" w:rsidRDefault="00426E80">
            <w:pPr>
              <w:keepNext/>
              <w:ind w:left="28"/>
              <w:jc w:val="center"/>
              <w:rPr>
                <w:rFonts w:eastAsia="PMingLiU"/>
                <w:lang w:val="sr-Latn-RS"/>
              </w:rPr>
            </w:pPr>
            <w:r w:rsidRPr="00C83E6A">
              <w:rPr>
                <w:lang w:val="sr-Latn-RS"/>
              </w:rPr>
              <w:t>-46</w:t>
            </w:r>
            <w:r w:rsidRPr="00C83E6A">
              <w:rPr>
                <w:vertAlign w:val="superscript"/>
                <w:lang w:val="sr-Latn-RS"/>
              </w:rPr>
              <w:t>b</w:t>
            </w:r>
          </w:p>
          <w:p w14:paraId="7BFEA375" w14:textId="77777777" w:rsidR="00426E80" w:rsidRPr="00C83E6A" w:rsidRDefault="00426E80">
            <w:pPr>
              <w:keepNext/>
              <w:autoSpaceDE w:val="0"/>
              <w:autoSpaceDN w:val="0"/>
              <w:adjustRightInd w:val="0"/>
              <w:ind w:left="28" w:right="-104"/>
              <w:jc w:val="center"/>
              <w:rPr>
                <w:rFonts w:eastAsia="Calibri"/>
                <w:lang w:val="sr-Latn-RS"/>
              </w:rPr>
            </w:pPr>
            <w:r w:rsidRPr="00C83E6A">
              <w:rPr>
                <w:lang w:val="sr-Latn-RS"/>
              </w:rPr>
              <w:t>(-48, -43)</w:t>
            </w:r>
          </w:p>
        </w:tc>
        <w:tc>
          <w:tcPr>
            <w:tcW w:w="358" w:type="pct"/>
            <w:tcBorders>
              <w:top w:val="nil"/>
              <w:left w:val="nil"/>
              <w:bottom w:val="single" w:sz="8" w:space="0" w:color="000000"/>
              <w:right w:val="single" w:sz="8" w:space="0" w:color="000000"/>
            </w:tcBorders>
            <w:vAlign w:val="center"/>
          </w:tcPr>
          <w:p w14:paraId="72D1C9F8" w14:textId="77777777" w:rsidR="00D26E8E" w:rsidRPr="00C83E6A" w:rsidRDefault="00426E80">
            <w:pPr>
              <w:keepNext/>
              <w:tabs>
                <w:tab w:val="clear" w:pos="567"/>
              </w:tabs>
              <w:ind w:left="28"/>
              <w:jc w:val="center"/>
              <w:rPr>
                <w:rFonts w:eastAsia="PMingLiU"/>
                <w:lang w:val="sr-Latn-RS"/>
              </w:rPr>
            </w:pPr>
            <w:r w:rsidRPr="00C83E6A">
              <w:rPr>
                <w:lang w:val="sr-Latn-RS"/>
              </w:rPr>
              <w:t>-58</w:t>
            </w:r>
            <w:r w:rsidRPr="00C83E6A">
              <w:rPr>
                <w:vertAlign w:val="superscript"/>
                <w:lang w:val="sr-Latn-RS"/>
              </w:rPr>
              <w:t>b</w:t>
            </w:r>
          </w:p>
          <w:p w14:paraId="753E22B5" w14:textId="77777777" w:rsidR="00426E80" w:rsidRPr="00C83E6A" w:rsidRDefault="00426E80">
            <w:pPr>
              <w:keepNext/>
              <w:tabs>
                <w:tab w:val="clear" w:pos="567"/>
              </w:tabs>
              <w:autoSpaceDE w:val="0"/>
              <w:autoSpaceDN w:val="0"/>
              <w:adjustRightInd w:val="0"/>
              <w:ind w:left="28"/>
              <w:jc w:val="center"/>
              <w:rPr>
                <w:rFonts w:eastAsia="Calibri"/>
                <w:lang w:val="sr-Latn-RS"/>
              </w:rPr>
            </w:pPr>
            <w:r w:rsidRPr="00C83E6A">
              <w:rPr>
                <w:lang w:val="sr-Latn-RS"/>
              </w:rPr>
              <w:t>(-60, -55)</w:t>
            </w:r>
          </w:p>
        </w:tc>
      </w:tr>
      <w:tr w:rsidR="001935E8" w:rsidRPr="00C83E6A" w14:paraId="72744EEE" w14:textId="77777777" w:rsidTr="001935E8">
        <w:trPr>
          <w:cantSplit/>
          <w:trHeight w:val="230"/>
        </w:trPr>
        <w:tc>
          <w:tcPr>
            <w:tcW w:w="722" w:type="pct"/>
            <w:vMerge w:val="restart"/>
            <w:tcBorders>
              <w:top w:val="nil"/>
              <w:left w:val="single" w:sz="8" w:space="0" w:color="000000"/>
              <w:right w:val="single" w:sz="8" w:space="0" w:color="000000"/>
            </w:tcBorders>
            <w:vAlign w:val="center"/>
            <w:hideMark/>
          </w:tcPr>
          <w:p w14:paraId="34142DDC" w14:textId="77777777" w:rsidR="00D26E8E" w:rsidRPr="00C83E6A" w:rsidRDefault="00426E80" w:rsidP="001D6451">
            <w:pPr>
              <w:keepNext/>
              <w:rPr>
                <w:rFonts w:eastAsia="PMingLiU"/>
                <w:lang w:val="sr-Latn-RS"/>
              </w:rPr>
            </w:pPr>
            <w:r w:rsidRPr="00C83E6A">
              <w:rPr>
                <w:lang w:val="sr-Latn-RS"/>
              </w:rPr>
              <w:t>RUTHERFORD</w:t>
            </w:r>
            <w:r w:rsidRPr="00C83E6A">
              <w:rPr>
                <w:lang w:val="sr-Latn-RS"/>
              </w:rPr>
              <w:noBreakHyphen/>
              <w:t>2</w:t>
            </w:r>
          </w:p>
          <w:p w14:paraId="05302FDC" w14:textId="77777777" w:rsidR="00426E80" w:rsidRPr="00C83E6A" w:rsidRDefault="00426E80" w:rsidP="001D6451">
            <w:pPr>
              <w:keepNext/>
              <w:rPr>
                <w:rFonts w:eastAsia="Calibri"/>
                <w:lang w:val="sr-Latn-RS"/>
              </w:rPr>
            </w:pPr>
            <w:r w:rsidRPr="00C83E6A">
              <w:rPr>
                <w:lang w:val="sr-Latn-RS"/>
              </w:rPr>
              <w:t>(HeFH)</w:t>
            </w:r>
          </w:p>
        </w:tc>
        <w:tc>
          <w:tcPr>
            <w:tcW w:w="444" w:type="pct"/>
            <w:tcBorders>
              <w:top w:val="nil"/>
              <w:left w:val="nil"/>
              <w:bottom w:val="single" w:sz="8" w:space="0" w:color="000000"/>
              <w:right w:val="single" w:sz="8" w:space="0" w:color="000000"/>
            </w:tcBorders>
            <w:tcMar>
              <w:top w:w="11" w:type="dxa"/>
              <w:left w:w="90" w:type="dxa"/>
              <w:bottom w:w="0" w:type="dxa"/>
              <w:right w:w="90" w:type="dxa"/>
            </w:tcMar>
            <w:vAlign w:val="center"/>
            <w:hideMark/>
          </w:tcPr>
          <w:p w14:paraId="24A8C3B8" w14:textId="77777777" w:rsidR="00D26E8E" w:rsidRPr="00C83E6A" w:rsidRDefault="00426E80" w:rsidP="001D6451">
            <w:pPr>
              <w:pStyle w:val="StyleTablecell"/>
              <w:ind w:left="-57"/>
              <w:jc w:val="both"/>
              <w:rPr>
                <w:rFonts w:eastAsia="PMingLiU"/>
                <w:sz w:val="22"/>
                <w:szCs w:val="22"/>
                <w:lang w:val="sr-Latn-RS"/>
              </w:rPr>
            </w:pPr>
            <w:r w:rsidRPr="00C83E6A">
              <w:rPr>
                <w:sz w:val="22"/>
                <w:szCs w:val="22"/>
                <w:lang w:val="sr-Latn-RS"/>
              </w:rPr>
              <w:t>140 mg Q2W</w:t>
            </w:r>
          </w:p>
          <w:p w14:paraId="7969378B" w14:textId="77777777" w:rsidR="00426E80" w:rsidRPr="00C83E6A" w:rsidRDefault="00426E80" w:rsidP="001D6451">
            <w:pPr>
              <w:pStyle w:val="StyleTablecell"/>
              <w:ind w:left="-57"/>
              <w:jc w:val="both"/>
              <w:rPr>
                <w:sz w:val="22"/>
                <w:szCs w:val="22"/>
                <w:lang w:val="sr-Latn-RS"/>
              </w:rPr>
            </w:pPr>
            <w:r w:rsidRPr="00C83E6A">
              <w:rPr>
                <w:sz w:val="22"/>
                <w:szCs w:val="22"/>
                <w:lang w:val="sr-Latn-RS"/>
              </w:rPr>
              <w:t>(N = 110)</w:t>
            </w:r>
          </w:p>
        </w:tc>
        <w:tc>
          <w:tcPr>
            <w:tcW w:w="359" w:type="pct"/>
            <w:tcBorders>
              <w:top w:val="nil"/>
              <w:left w:val="nil"/>
              <w:bottom w:val="single" w:sz="8" w:space="0" w:color="000000"/>
              <w:right w:val="single" w:sz="8" w:space="0" w:color="000000"/>
            </w:tcBorders>
            <w:tcMar>
              <w:top w:w="11" w:type="dxa"/>
              <w:left w:w="90" w:type="dxa"/>
              <w:bottom w:w="0" w:type="dxa"/>
              <w:right w:w="90" w:type="dxa"/>
            </w:tcMar>
            <w:vAlign w:val="center"/>
            <w:hideMark/>
          </w:tcPr>
          <w:p w14:paraId="5484B732" w14:textId="77777777" w:rsidR="00D26E8E" w:rsidRPr="00C83E6A" w:rsidRDefault="00426E80" w:rsidP="009B7DAC">
            <w:pPr>
              <w:keepNext/>
              <w:tabs>
                <w:tab w:val="clear" w:pos="567"/>
              </w:tabs>
              <w:ind w:left="-57" w:right="-80"/>
              <w:jc w:val="center"/>
              <w:rPr>
                <w:rFonts w:eastAsia="PMingLiU"/>
                <w:lang w:val="sr-Latn-RS"/>
              </w:rPr>
            </w:pPr>
            <w:r w:rsidRPr="00C83E6A">
              <w:rPr>
                <w:lang w:val="sr-Latn-RS"/>
              </w:rPr>
              <w:t>-61</w:t>
            </w:r>
            <w:r w:rsidRPr="00C83E6A">
              <w:rPr>
                <w:vertAlign w:val="superscript"/>
                <w:lang w:val="sr-Latn-RS"/>
              </w:rPr>
              <w:t>b</w:t>
            </w:r>
          </w:p>
          <w:p w14:paraId="0274E1FE" w14:textId="77777777" w:rsidR="00426E80" w:rsidRPr="00C83E6A" w:rsidRDefault="00426E80" w:rsidP="009B7DAC">
            <w:pPr>
              <w:keepNext/>
              <w:tabs>
                <w:tab w:val="clear" w:pos="567"/>
              </w:tabs>
              <w:autoSpaceDE w:val="0"/>
              <w:autoSpaceDN w:val="0"/>
              <w:adjustRightInd w:val="0"/>
              <w:ind w:left="-57" w:right="-80"/>
              <w:jc w:val="center"/>
              <w:rPr>
                <w:rFonts w:eastAsia="Calibri"/>
                <w:lang w:val="sr-Latn-RS"/>
              </w:rPr>
            </w:pPr>
            <w:r w:rsidRPr="00C83E6A">
              <w:rPr>
                <w:lang w:val="sr-Latn-RS"/>
              </w:rPr>
              <w:t>(-67, -55)</w:t>
            </w:r>
          </w:p>
        </w:tc>
        <w:tc>
          <w:tcPr>
            <w:tcW w:w="359" w:type="pct"/>
            <w:tcBorders>
              <w:top w:val="nil"/>
              <w:left w:val="nil"/>
              <w:bottom w:val="single" w:sz="8" w:space="0" w:color="000000"/>
              <w:right w:val="single" w:sz="8" w:space="0" w:color="000000"/>
            </w:tcBorders>
            <w:tcMar>
              <w:top w:w="11" w:type="dxa"/>
              <w:left w:w="90" w:type="dxa"/>
              <w:bottom w:w="0" w:type="dxa"/>
              <w:right w:w="90" w:type="dxa"/>
            </w:tcMar>
            <w:vAlign w:val="center"/>
            <w:hideMark/>
          </w:tcPr>
          <w:p w14:paraId="590E852B" w14:textId="77777777" w:rsidR="00D26E8E" w:rsidRPr="00C83E6A" w:rsidRDefault="00426E80">
            <w:pPr>
              <w:keepNext/>
              <w:tabs>
                <w:tab w:val="clear" w:pos="567"/>
              </w:tabs>
              <w:autoSpaceDE w:val="0"/>
              <w:autoSpaceDN w:val="0"/>
              <w:adjustRightInd w:val="0"/>
              <w:ind w:left="-100" w:right="-96"/>
              <w:jc w:val="center"/>
              <w:rPr>
                <w:rFonts w:eastAsia="PMingLiU"/>
                <w:vertAlign w:val="superscript"/>
                <w:lang w:val="sr-Latn-RS"/>
              </w:rPr>
            </w:pPr>
            <w:r w:rsidRPr="00C83E6A">
              <w:rPr>
                <w:lang w:val="sr-Latn-RS"/>
              </w:rPr>
              <w:t>-56</w:t>
            </w:r>
            <w:r w:rsidRPr="00C83E6A">
              <w:rPr>
                <w:vertAlign w:val="superscript"/>
                <w:lang w:val="sr-Latn-RS"/>
              </w:rPr>
              <w:t>b</w:t>
            </w:r>
          </w:p>
          <w:p w14:paraId="1D17AFCC" w14:textId="77777777" w:rsidR="00426E80" w:rsidRPr="00C83E6A" w:rsidRDefault="00426E80">
            <w:pPr>
              <w:keepNext/>
              <w:tabs>
                <w:tab w:val="clear" w:pos="567"/>
              </w:tabs>
              <w:autoSpaceDE w:val="0"/>
              <w:autoSpaceDN w:val="0"/>
              <w:adjustRightInd w:val="0"/>
              <w:ind w:left="-100" w:right="-96"/>
              <w:jc w:val="center"/>
              <w:rPr>
                <w:rFonts w:eastAsia="Calibri"/>
                <w:lang w:val="sr-Latn-RS"/>
              </w:rPr>
            </w:pPr>
            <w:r w:rsidRPr="00C83E6A">
              <w:rPr>
                <w:lang w:val="sr-Latn-RS"/>
              </w:rPr>
              <w:t>(-61, -51)</w:t>
            </w:r>
          </w:p>
        </w:tc>
        <w:tc>
          <w:tcPr>
            <w:tcW w:w="328" w:type="pct"/>
            <w:tcBorders>
              <w:top w:val="nil"/>
              <w:left w:val="nil"/>
              <w:bottom w:val="single" w:sz="8" w:space="0" w:color="000000"/>
              <w:right w:val="single" w:sz="8" w:space="0" w:color="000000"/>
            </w:tcBorders>
            <w:tcMar>
              <w:top w:w="11" w:type="dxa"/>
              <w:left w:w="11" w:type="dxa"/>
              <w:bottom w:w="0" w:type="dxa"/>
              <w:right w:w="11" w:type="dxa"/>
            </w:tcMar>
            <w:vAlign w:val="center"/>
            <w:hideMark/>
          </w:tcPr>
          <w:p w14:paraId="30BFE22D" w14:textId="77777777" w:rsidR="00D26E8E" w:rsidRPr="00C83E6A" w:rsidRDefault="00426E80">
            <w:pPr>
              <w:keepNext/>
              <w:ind w:left="-57"/>
              <w:jc w:val="center"/>
              <w:rPr>
                <w:rFonts w:eastAsia="PMingLiU"/>
                <w:vertAlign w:val="superscript"/>
                <w:lang w:val="sr-Latn-RS"/>
              </w:rPr>
            </w:pPr>
            <w:r w:rsidRPr="00C83E6A">
              <w:rPr>
                <w:lang w:val="sr-Latn-RS"/>
              </w:rPr>
              <w:t>-49</w:t>
            </w:r>
            <w:r w:rsidRPr="00C83E6A">
              <w:rPr>
                <w:vertAlign w:val="superscript"/>
                <w:lang w:val="sr-Latn-RS"/>
              </w:rPr>
              <w:t>b</w:t>
            </w:r>
          </w:p>
          <w:p w14:paraId="4C54B39C" w14:textId="77777777" w:rsidR="00426E80" w:rsidRPr="00C83E6A" w:rsidRDefault="00426E80">
            <w:pPr>
              <w:keepNext/>
              <w:autoSpaceDE w:val="0"/>
              <w:autoSpaceDN w:val="0"/>
              <w:adjustRightInd w:val="0"/>
              <w:ind w:left="-57" w:right="-104"/>
              <w:jc w:val="center"/>
              <w:rPr>
                <w:rFonts w:eastAsia="Calibri"/>
                <w:lang w:val="sr-Latn-RS"/>
              </w:rPr>
            </w:pPr>
            <w:r w:rsidRPr="00C83E6A">
              <w:rPr>
                <w:lang w:val="sr-Latn-RS"/>
              </w:rPr>
              <w:t>(-54, -44)</w:t>
            </w:r>
          </w:p>
        </w:tc>
        <w:tc>
          <w:tcPr>
            <w:tcW w:w="358" w:type="pct"/>
            <w:tcBorders>
              <w:top w:val="nil"/>
              <w:left w:val="nil"/>
              <w:bottom w:val="single" w:sz="8" w:space="0" w:color="000000"/>
              <w:right w:val="single" w:sz="8" w:space="0" w:color="000000"/>
            </w:tcBorders>
            <w:tcMar>
              <w:top w:w="11" w:type="dxa"/>
              <w:left w:w="11" w:type="dxa"/>
              <w:bottom w:w="0" w:type="dxa"/>
              <w:right w:w="11" w:type="dxa"/>
            </w:tcMar>
            <w:vAlign w:val="center"/>
            <w:hideMark/>
          </w:tcPr>
          <w:p w14:paraId="687B4AA6" w14:textId="77777777" w:rsidR="00D26E8E" w:rsidRPr="00C83E6A" w:rsidRDefault="00426E80">
            <w:pPr>
              <w:keepNext/>
              <w:ind w:left="-57"/>
              <w:jc w:val="center"/>
              <w:rPr>
                <w:rFonts w:eastAsia="PMingLiU"/>
                <w:vertAlign w:val="superscript"/>
                <w:lang w:val="sr-Latn-RS"/>
              </w:rPr>
            </w:pPr>
            <w:r w:rsidRPr="00C83E6A">
              <w:rPr>
                <w:lang w:val="sr-Latn-RS"/>
              </w:rPr>
              <w:t>-42</w:t>
            </w:r>
            <w:r w:rsidRPr="00C83E6A">
              <w:rPr>
                <w:vertAlign w:val="superscript"/>
                <w:lang w:val="sr-Latn-RS"/>
              </w:rPr>
              <w:t>b</w:t>
            </w:r>
          </w:p>
          <w:p w14:paraId="5CEBC07C" w14:textId="77777777" w:rsidR="00426E80" w:rsidRPr="00C83E6A" w:rsidRDefault="00426E80">
            <w:pPr>
              <w:keepNext/>
              <w:autoSpaceDE w:val="0"/>
              <w:autoSpaceDN w:val="0"/>
              <w:adjustRightInd w:val="0"/>
              <w:ind w:left="-57" w:right="-104"/>
              <w:jc w:val="center"/>
              <w:rPr>
                <w:rFonts w:eastAsia="Calibri"/>
                <w:lang w:val="sr-Latn-RS"/>
              </w:rPr>
            </w:pPr>
            <w:r w:rsidRPr="00C83E6A">
              <w:rPr>
                <w:lang w:val="sr-Latn-RS"/>
              </w:rPr>
              <w:t>(-46, -38)</w:t>
            </w:r>
          </w:p>
        </w:tc>
        <w:tc>
          <w:tcPr>
            <w:tcW w:w="357" w:type="pct"/>
            <w:tcBorders>
              <w:top w:val="nil"/>
              <w:left w:val="nil"/>
              <w:bottom w:val="single" w:sz="8" w:space="0" w:color="000000"/>
              <w:right w:val="single" w:sz="8" w:space="0" w:color="000000"/>
            </w:tcBorders>
            <w:tcMar>
              <w:top w:w="11" w:type="dxa"/>
              <w:left w:w="11" w:type="dxa"/>
              <w:bottom w:w="0" w:type="dxa"/>
              <w:right w:w="11" w:type="dxa"/>
            </w:tcMar>
            <w:vAlign w:val="center"/>
            <w:hideMark/>
          </w:tcPr>
          <w:p w14:paraId="5B442A64" w14:textId="77777777" w:rsidR="00D26E8E" w:rsidRPr="00C83E6A" w:rsidRDefault="00426E80">
            <w:pPr>
              <w:keepNext/>
              <w:ind w:left="-57"/>
              <w:jc w:val="center"/>
              <w:rPr>
                <w:rFonts w:eastAsia="PMingLiU"/>
                <w:vertAlign w:val="superscript"/>
                <w:lang w:val="sr-Latn-RS"/>
              </w:rPr>
            </w:pPr>
            <w:r w:rsidRPr="00C83E6A">
              <w:rPr>
                <w:lang w:val="sr-Latn-RS"/>
              </w:rPr>
              <w:t>-31</w:t>
            </w:r>
            <w:r w:rsidRPr="00C83E6A">
              <w:rPr>
                <w:vertAlign w:val="superscript"/>
                <w:lang w:val="sr-Latn-RS"/>
              </w:rPr>
              <w:t>b</w:t>
            </w:r>
          </w:p>
          <w:p w14:paraId="611B13E5" w14:textId="77777777" w:rsidR="00426E80" w:rsidRPr="00C83E6A" w:rsidRDefault="00426E80">
            <w:pPr>
              <w:keepNext/>
              <w:autoSpaceDE w:val="0"/>
              <w:autoSpaceDN w:val="0"/>
              <w:adjustRightInd w:val="0"/>
              <w:ind w:left="-57" w:right="-104"/>
              <w:jc w:val="center"/>
              <w:rPr>
                <w:rFonts w:eastAsia="Calibri"/>
                <w:lang w:val="sr-Latn-RS"/>
              </w:rPr>
            </w:pPr>
            <w:r w:rsidRPr="00C83E6A">
              <w:rPr>
                <w:lang w:val="sr-Latn-RS"/>
              </w:rPr>
              <w:t>(-38, -24)</w:t>
            </w:r>
          </w:p>
        </w:tc>
        <w:tc>
          <w:tcPr>
            <w:tcW w:w="345" w:type="pct"/>
            <w:tcBorders>
              <w:top w:val="nil"/>
              <w:left w:val="nil"/>
              <w:bottom w:val="single" w:sz="8" w:space="0" w:color="000000"/>
              <w:right w:val="single" w:sz="8" w:space="0" w:color="000000"/>
            </w:tcBorders>
            <w:tcMar>
              <w:top w:w="11" w:type="dxa"/>
              <w:left w:w="11" w:type="dxa"/>
              <w:bottom w:w="0" w:type="dxa"/>
              <w:right w:w="11" w:type="dxa"/>
            </w:tcMar>
            <w:vAlign w:val="center"/>
            <w:hideMark/>
          </w:tcPr>
          <w:p w14:paraId="66D722AA" w14:textId="77777777" w:rsidR="00D26E8E" w:rsidRPr="00C83E6A" w:rsidRDefault="00426E80">
            <w:pPr>
              <w:keepNext/>
              <w:ind w:left="6"/>
              <w:jc w:val="center"/>
              <w:rPr>
                <w:rFonts w:eastAsia="PMingLiU"/>
                <w:vertAlign w:val="superscript"/>
                <w:lang w:val="sr-Latn-RS"/>
              </w:rPr>
            </w:pPr>
            <w:r w:rsidRPr="00C83E6A">
              <w:rPr>
                <w:lang w:val="sr-Latn-RS"/>
              </w:rPr>
              <w:t>-22</w:t>
            </w:r>
            <w:r w:rsidRPr="00C83E6A">
              <w:rPr>
                <w:vertAlign w:val="superscript"/>
                <w:lang w:val="sr-Latn-RS"/>
              </w:rPr>
              <w:t>b</w:t>
            </w:r>
          </w:p>
          <w:p w14:paraId="6659B1DE" w14:textId="77777777" w:rsidR="00426E80" w:rsidRPr="00C83E6A" w:rsidRDefault="00426E80">
            <w:pPr>
              <w:keepNext/>
              <w:autoSpaceDE w:val="0"/>
              <w:autoSpaceDN w:val="0"/>
              <w:adjustRightInd w:val="0"/>
              <w:ind w:left="6" w:right="-104"/>
              <w:jc w:val="center"/>
              <w:rPr>
                <w:rFonts w:eastAsia="Calibri"/>
                <w:lang w:val="sr-Latn-RS"/>
              </w:rPr>
            </w:pPr>
            <w:r w:rsidRPr="00C83E6A">
              <w:rPr>
                <w:lang w:val="sr-Latn-RS"/>
              </w:rPr>
              <w:t>(-29, -16)</w:t>
            </w:r>
          </w:p>
        </w:tc>
        <w:tc>
          <w:tcPr>
            <w:tcW w:w="298" w:type="pct"/>
            <w:tcBorders>
              <w:top w:val="nil"/>
              <w:left w:val="nil"/>
              <w:bottom w:val="single" w:sz="8" w:space="0" w:color="000000"/>
              <w:right w:val="single" w:sz="8" w:space="0" w:color="000000"/>
            </w:tcBorders>
            <w:tcMar>
              <w:top w:w="11" w:type="dxa"/>
              <w:left w:w="11" w:type="dxa"/>
              <w:bottom w:w="0" w:type="dxa"/>
              <w:right w:w="11" w:type="dxa"/>
            </w:tcMar>
            <w:vAlign w:val="center"/>
            <w:hideMark/>
          </w:tcPr>
          <w:p w14:paraId="1A0970E3" w14:textId="77777777" w:rsidR="00D26E8E" w:rsidRPr="00C83E6A" w:rsidRDefault="00426E80">
            <w:pPr>
              <w:keepNext/>
              <w:ind w:left="-57"/>
              <w:jc w:val="center"/>
              <w:rPr>
                <w:rFonts w:eastAsia="PMingLiU"/>
                <w:vertAlign w:val="superscript"/>
                <w:lang w:val="sr-Latn-RS"/>
              </w:rPr>
            </w:pPr>
            <w:r w:rsidRPr="00C83E6A">
              <w:rPr>
                <w:lang w:val="sr-Latn-RS"/>
              </w:rPr>
              <w:t>8</w:t>
            </w:r>
            <w:r w:rsidRPr="00C83E6A">
              <w:rPr>
                <w:vertAlign w:val="superscript"/>
                <w:lang w:val="sr-Latn-RS"/>
              </w:rPr>
              <w:t>b</w:t>
            </w:r>
          </w:p>
          <w:p w14:paraId="773C62C4" w14:textId="77777777" w:rsidR="00426E80" w:rsidRPr="00C83E6A" w:rsidRDefault="00426E80">
            <w:pPr>
              <w:keepNext/>
              <w:ind w:left="-57"/>
              <w:jc w:val="center"/>
              <w:rPr>
                <w:rFonts w:eastAsia="Calibri"/>
                <w:lang w:val="sr-Latn-RS"/>
              </w:rPr>
            </w:pPr>
            <w:r w:rsidRPr="00C83E6A">
              <w:rPr>
                <w:lang w:val="sr-Latn-RS"/>
              </w:rPr>
              <w:t>(4, 12)</w:t>
            </w:r>
          </w:p>
        </w:tc>
        <w:tc>
          <w:tcPr>
            <w:tcW w:w="357" w:type="pct"/>
            <w:tcBorders>
              <w:top w:val="nil"/>
              <w:left w:val="nil"/>
              <w:bottom w:val="single" w:sz="8" w:space="0" w:color="000000"/>
              <w:right w:val="single" w:sz="8" w:space="0" w:color="000000"/>
            </w:tcBorders>
            <w:vAlign w:val="center"/>
            <w:hideMark/>
          </w:tcPr>
          <w:p w14:paraId="62A60325" w14:textId="77777777" w:rsidR="00D26E8E" w:rsidRPr="00C83E6A" w:rsidRDefault="00426E80">
            <w:pPr>
              <w:keepNext/>
              <w:ind w:left="-57"/>
              <w:jc w:val="center"/>
              <w:rPr>
                <w:rFonts w:eastAsia="PMingLiU"/>
                <w:vertAlign w:val="superscript"/>
                <w:lang w:val="sr-Latn-RS"/>
              </w:rPr>
            </w:pPr>
            <w:r w:rsidRPr="00C83E6A">
              <w:rPr>
                <w:lang w:val="sr-Latn-RS"/>
              </w:rPr>
              <w:t>-22</w:t>
            </w:r>
            <w:r w:rsidRPr="00C83E6A">
              <w:rPr>
                <w:vertAlign w:val="superscript"/>
                <w:lang w:val="sr-Latn-RS"/>
              </w:rPr>
              <w:t>b</w:t>
            </w:r>
          </w:p>
          <w:p w14:paraId="15D38BB8" w14:textId="77777777" w:rsidR="00426E80" w:rsidRPr="00C83E6A" w:rsidRDefault="00426E80">
            <w:pPr>
              <w:keepNext/>
              <w:ind w:left="-57"/>
              <w:jc w:val="center"/>
              <w:rPr>
                <w:rFonts w:eastAsia="Calibri"/>
                <w:lang w:val="sr-Latn-RS"/>
              </w:rPr>
            </w:pPr>
            <w:r w:rsidRPr="00C83E6A">
              <w:rPr>
                <w:lang w:val="sr-Latn-RS"/>
              </w:rPr>
              <w:t>(-29, -15)</w:t>
            </w:r>
          </w:p>
        </w:tc>
        <w:tc>
          <w:tcPr>
            <w:tcW w:w="328" w:type="pct"/>
            <w:tcBorders>
              <w:top w:val="nil"/>
              <w:left w:val="nil"/>
              <w:bottom w:val="single" w:sz="8" w:space="0" w:color="000000"/>
              <w:right w:val="single" w:sz="8" w:space="0" w:color="000000"/>
            </w:tcBorders>
            <w:tcMar>
              <w:top w:w="11" w:type="dxa"/>
              <w:left w:w="11" w:type="dxa"/>
              <w:bottom w:w="0" w:type="dxa"/>
              <w:right w:w="11" w:type="dxa"/>
            </w:tcMar>
            <w:vAlign w:val="center"/>
            <w:hideMark/>
          </w:tcPr>
          <w:p w14:paraId="6FA3CD2F" w14:textId="77777777" w:rsidR="00D26E8E" w:rsidRPr="00C83E6A" w:rsidRDefault="00426E80">
            <w:pPr>
              <w:keepNext/>
              <w:ind w:left="-57"/>
              <w:jc w:val="center"/>
              <w:rPr>
                <w:rFonts w:eastAsia="PMingLiU"/>
                <w:lang w:val="sr-Latn-RS"/>
              </w:rPr>
            </w:pPr>
            <w:r w:rsidRPr="00C83E6A">
              <w:rPr>
                <w:lang w:val="sr-Latn-RS"/>
              </w:rPr>
              <w:t>7</w:t>
            </w:r>
            <w:r w:rsidRPr="00C83E6A">
              <w:rPr>
                <w:vertAlign w:val="superscript"/>
                <w:lang w:val="sr-Latn-RS"/>
              </w:rPr>
              <w:t>a</w:t>
            </w:r>
          </w:p>
          <w:p w14:paraId="7A037EE1" w14:textId="77777777" w:rsidR="00426E80" w:rsidRPr="00C83E6A" w:rsidRDefault="00426E80">
            <w:pPr>
              <w:keepNext/>
              <w:ind w:left="-57"/>
              <w:jc w:val="center"/>
              <w:rPr>
                <w:rFonts w:eastAsia="Calibri"/>
                <w:lang w:val="sr-Latn-RS"/>
              </w:rPr>
            </w:pPr>
            <w:r w:rsidRPr="00C83E6A">
              <w:rPr>
                <w:lang w:val="sr-Latn-RS"/>
              </w:rPr>
              <w:t>(3, 12)</w:t>
            </w:r>
          </w:p>
        </w:tc>
        <w:tc>
          <w:tcPr>
            <w:tcW w:w="387" w:type="pct"/>
            <w:tcBorders>
              <w:top w:val="nil"/>
              <w:left w:val="nil"/>
              <w:bottom w:val="single" w:sz="8" w:space="0" w:color="000000"/>
              <w:right w:val="single" w:sz="8" w:space="0" w:color="000000"/>
            </w:tcBorders>
            <w:vAlign w:val="center"/>
          </w:tcPr>
          <w:p w14:paraId="732772D9" w14:textId="77777777" w:rsidR="00D26E8E" w:rsidRPr="00C83E6A" w:rsidRDefault="00426E80">
            <w:pPr>
              <w:keepNext/>
              <w:ind w:left="28"/>
              <w:jc w:val="center"/>
              <w:rPr>
                <w:rFonts w:eastAsia="PMingLiU"/>
                <w:lang w:val="sr-Latn-RS"/>
              </w:rPr>
            </w:pPr>
            <w:r w:rsidRPr="00C83E6A">
              <w:rPr>
                <w:lang w:val="sr-Latn-RS"/>
              </w:rPr>
              <w:t>-47</w:t>
            </w:r>
            <w:r w:rsidRPr="00C83E6A">
              <w:rPr>
                <w:vertAlign w:val="superscript"/>
                <w:lang w:val="sr-Latn-RS"/>
              </w:rPr>
              <w:t>b</w:t>
            </w:r>
          </w:p>
          <w:p w14:paraId="4B6DEB70" w14:textId="77777777" w:rsidR="00426E80" w:rsidRPr="00C83E6A" w:rsidRDefault="00426E80">
            <w:pPr>
              <w:keepNext/>
              <w:ind w:left="28"/>
              <w:jc w:val="center"/>
              <w:rPr>
                <w:rFonts w:eastAsia="Calibri"/>
                <w:lang w:val="sr-Latn-RS"/>
              </w:rPr>
            </w:pPr>
            <w:r w:rsidRPr="00C83E6A">
              <w:rPr>
                <w:lang w:val="sr-Latn-RS"/>
              </w:rPr>
              <w:t>(-51, -42)</w:t>
            </w:r>
          </w:p>
        </w:tc>
        <w:tc>
          <w:tcPr>
            <w:tcW w:w="358" w:type="pct"/>
            <w:tcBorders>
              <w:top w:val="nil"/>
              <w:left w:val="nil"/>
              <w:bottom w:val="single" w:sz="8" w:space="0" w:color="000000"/>
              <w:right w:val="single" w:sz="8" w:space="0" w:color="000000"/>
            </w:tcBorders>
            <w:vAlign w:val="center"/>
          </w:tcPr>
          <w:p w14:paraId="52EE0439" w14:textId="77777777" w:rsidR="00D26E8E" w:rsidRPr="00C83E6A" w:rsidRDefault="00426E80">
            <w:pPr>
              <w:keepNext/>
              <w:tabs>
                <w:tab w:val="clear" w:pos="567"/>
              </w:tabs>
              <w:ind w:left="28"/>
              <w:jc w:val="center"/>
              <w:rPr>
                <w:rFonts w:eastAsia="PMingLiU"/>
                <w:lang w:val="sr-Latn-RS"/>
              </w:rPr>
            </w:pPr>
            <w:r w:rsidRPr="00C83E6A">
              <w:rPr>
                <w:lang w:val="sr-Latn-RS"/>
              </w:rPr>
              <w:t>-53</w:t>
            </w:r>
          </w:p>
          <w:p w14:paraId="1024E510" w14:textId="77777777" w:rsidR="00426E80" w:rsidRPr="00C83E6A" w:rsidRDefault="00426E80">
            <w:pPr>
              <w:keepNext/>
              <w:tabs>
                <w:tab w:val="clear" w:pos="567"/>
              </w:tabs>
              <w:ind w:left="28"/>
              <w:jc w:val="center"/>
              <w:rPr>
                <w:rFonts w:eastAsia="Calibri"/>
                <w:lang w:val="sr-Latn-RS"/>
              </w:rPr>
            </w:pPr>
            <w:r w:rsidRPr="00C83E6A">
              <w:rPr>
                <w:lang w:val="sr-Latn-RS"/>
              </w:rPr>
              <w:t>(-58, -48)</w:t>
            </w:r>
          </w:p>
        </w:tc>
      </w:tr>
      <w:tr w:rsidR="001935E8" w:rsidRPr="00C83E6A" w14:paraId="7803187C" w14:textId="77777777" w:rsidTr="001935E8">
        <w:trPr>
          <w:cantSplit/>
          <w:trHeight w:val="248"/>
        </w:trPr>
        <w:tc>
          <w:tcPr>
            <w:tcW w:w="722" w:type="pct"/>
            <w:vMerge/>
            <w:tcBorders>
              <w:left w:val="single" w:sz="8" w:space="0" w:color="000000"/>
              <w:bottom w:val="single" w:sz="8" w:space="0" w:color="000000"/>
              <w:right w:val="single" w:sz="8" w:space="0" w:color="000000"/>
            </w:tcBorders>
            <w:vAlign w:val="center"/>
            <w:hideMark/>
          </w:tcPr>
          <w:p w14:paraId="73050289" w14:textId="77777777" w:rsidR="00426E80" w:rsidRPr="00C83E6A" w:rsidRDefault="00426E80" w:rsidP="001D6451">
            <w:pPr>
              <w:keepNext/>
              <w:jc w:val="both"/>
              <w:rPr>
                <w:rFonts w:eastAsia="Calibri"/>
                <w:lang w:val="sr-Latn-RS"/>
              </w:rPr>
            </w:pPr>
          </w:p>
        </w:tc>
        <w:tc>
          <w:tcPr>
            <w:tcW w:w="444" w:type="pct"/>
            <w:tcBorders>
              <w:top w:val="nil"/>
              <w:left w:val="nil"/>
              <w:bottom w:val="single" w:sz="8" w:space="0" w:color="000000"/>
              <w:right w:val="single" w:sz="8" w:space="0" w:color="000000"/>
            </w:tcBorders>
            <w:tcMar>
              <w:top w:w="11" w:type="dxa"/>
              <w:left w:w="90" w:type="dxa"/>
              <w:bottom w:w="0" w:type="dxa"/>
              <w:right w:w="90" w:type="dxa"/>
            </w:tcMar>
            <w:vAlign w:val="center"/>
            <w:hideMark/>
          </w:tcPr>
          <w:p w14:paraId="223F2833" w14:textId="77777777" w:rsidR="00D26E8E" w:rsidRPr="00C83E6A" w:rsidRDefault="00426E80" w:rsidP="001D6451">
            <w:pPr>
              <w:pStyle w:val="StyleTablecell"/>
              <w:ind w:left="-57"/>
              <w:jc w:val="both"/>
              <w:rPr>
                <w:rFonts w:eastAsia="PMingLiU"/>
                <w:sz w:val="22"/>
                <w:szCs w:val="22"/>
                <w:lang w:val="sr-Latn-RS"/>
              </w:rPr>
            </w:pPr>
            <w:r w:rsidRPr="00C83E6A">
              <w:rPr>
                <w:sz w:val="22"/>
                <w:szCs w:val="22"/>
                <w:lang w:val="sr-Latn-RS"/>
              </w:rPr>
              <w:t>420 mg QM</w:t>
            </w:r>
          </w:p>
          <w:p w14:paraId="6BF5EBB1" w14:textId="77777777" w:rsidR="00426E80" w:rsidRPr="00C83E6A" w:rsidRDefault="00426E80" w:rsidP="001D6451">
            <w:pPr>
              <w:pStyle w:val="StyleTablecell"/>
              <w:ind w:left="-57"/>
              <w:jc w:val="both"/>
              <w:rPr>
                <w:sz w:val="22"/>
                <w:szCs w:val="22"/>
                <w:lang w:val="sr-Latn-RS"/>
              </w:rPr>
            </w:pPr>
            <w:r w:rsidRPr="00C83E6A">
              <w:rPr>
                <w:sz w:val="22"/>
                <w:szCs w:val="22"/>
                <w:lang w:val="sr-Latn-RS"/>
              </w:rPr>
              <w:t>(N = 110)</w:t>
            </w:r>
          </w:p>
        </w:tc>
        <w:tc>
          <w:tcPr>
            <w:tcW w:w="359" w:type="pct"/>
            <w:tcBorders>
              <w:top w:val="nil"/>
              <w:left w:val="nil"/>
              <w:bottom w:val="single" w:sz="8" w:space="0" w:color="000000"/>
              <w:right w:val="single" w:sz="8" w:space="0" w:color="000000"/>
            </w:tcBorders>
            <w:tcMar>
              <w:top w:w="11" w:type="dxa"/>
              <w:left w:w="90" w:type="dxa"/>
              <w:bottom w:w="0" w:type="dxa"/>
              <w:right w:w="90" w:type="dxa"/>
            </w:tcMar>
            <w:vAlign w:val="center"/>
            <w:hideMark/>
          </w:tcPr>
          <w:p w14:paraId="545FC3DC" w14:textId="77777777" w:rsidR="00D26E8E" w:rsidRPr="00C83E6A" w:rsidRDefault="00426E80" w:rsidP="009B7DAC">
            <w:pPr>
              <w:keepNext/>
              <w:tabs>
                <w:tab w:val="clear" w:pos="567"/>
              </w:tabs>
              <w:ind w:left="-57" w:right="-80"/>
              <w:jc w:val="center"/>
              <w:rPr>
                <w:rFonts w:eastAsia="PMingLiU"/>
                <w:lang w:val="sr-Latn-RS"/>
              </w:rPr>
            </w:pPr>
            <w:r w:rsidRPr="00C83E6A">
              <w:rPr>
                <w:lang w:val="sr-Latn-RS"/>
              </w:rPr>
              <w:t>-66</w:t>
            </w:r>
            <w:r w:rsidRPr="00C83E6A">
              <w:rPr>
                <w:vertAlign w:val="superscript"/>
                <w:lang w:val="sr-Latn-RS"/>
              </w:rPr>
              <w:t>b</w:t>
            </w:r>
          </w:p>
          <w:p w14:paraId="78E9B1C0" w14:textId="77777777" w:rsidR="00426E80" w:rsidRPr="00C83E6A" w:rsidRDefault="00426E80" w:rsidP="009B7DAC">
            <w:pPr>
              <w:keepNext/>
              <w:tabs>
                <w:tab w:val="clear" w:pos="567"/>
              </w:tabs>
              <w:ind w:left="-57" w:right="-80"/>
              <w:jc w:val="center"/>
              <w:rPr>
                <w:rFonts w:eastAsia="Calibri"/>
                <w:lang w:val="sr-Latn-RS"/>
              </w:rPr>
            </w:pPr>
            <w:r w:rsidRPr="00C83E6A">
              <w:rPr>
                <w:lang w:val="sr-Latn-RS"/>
              </w:rPr>
              <w:t>(-72, -61)</w:t>
            </w:r>
          </w:p>
        </w:tc>
        <w:tc>
          <w:tcPr>
            <w:tcW w:w="359" w:type="pct"/>
            <w:tcBorders>
              <w:top w:val="nil"/>
              <w:left w:val="nil"/>
              <w:bottom w:val="single" w:sz="8" w:space="0" w:color="000000"/>
              <w:right w:val="single" w:sz="8" w:space="0" w:color="000000"/>
            </w:tcBorders>
            <w:tcMar>
              <w:top w:w="11" w:type="dxa"/>
              <w:left w:w="90" w:type="dxa"/>
              <w:bottom w:w="0" w:type="dxa"/>
              <w:right w:w="90" w:type="dxa"/>
            </w:tcMar>
            <w:vAlign w:val="center"/>
            <w:hideMark/>
          </w:tcPr>
          <w:p w14:paraId="385502FE" w14:textId="77777777" w:rsidR="00D26E8E" w:rsidRPr="00C83E6A" w:rsidRDefault="00426E80">
            <w:pPr>
              <w:keepNext/>
              <w:tabs>
                <w:tab w:val="clear" w:pos="567"/>
              </w:tabs>
              <w:ind w:left="-100" w:right="-96"/>
              <w:jc w:val="center"/>
              <w:rPr>
                <w:rFonts w:eastAsia="PMingLiU"/>
                <w:vertAlign w:val="superscript"/>
                <w:lang w:val="sr-Latn-RS"/>
              </w:rPr>
            </w:pPr>
            <w:r w:rsidRPr="00C83E6A">
              <w:rPr>
                <w:lang w:val="sr-Latn-RS"/>
              </w:rPr>
              <w:t>-60</w:t>
            </w:r>
            <w:r w:rsidRPr="00C83E6A">
              <w:rPr>
                <w:vertAlign w:val="superscript"/>
                <w:lang w:val="sr-Latn-RS"/>
              </w:rPr>
              <w:t>b</w:t>
            </w:r>
          </w:p>
          <w:p w14:paraId="3060A803" w14:textId="77777777" w:rsidR="00426E80" w:rsidRPr="00C83E6A" w:rsidRDefault="00426E80">
            <w:pPr>
              <w:keepNext/>
              <w:tabs>
                <w:tab w:val="clear" w:pos="567"/>
              </w:tabs>
              <w:ind w:left="-100" w:right="-96"/>
              <w:jc w:val="center"/>
              <w:rPr>
                <w:rFonts w:eastAsia="Calibri"/>
                <w:lang w:val="sr-Latn-RS"/>
              </w:rPr>
            </w:pPr>
            <w:r w:rsidRPr="00C83E6A">
              <w:rPr>
                <w:lang w:val="sr-Latn-RS"/>
              </w:rPr>
              <w:t>(-65, -55)</w:t>
            </w:r>
          </w:p>
        </w:tc>
        <w:tc>
          <w:tcPr>
            <w:tcW w:w="328" w:type="pct"/>
            <w:tcBorders>
              <w:top w:val="nil"/>
              <w:left w:val="nil"/>
              <w:bottom w:val="single" w:sz="8" w:space="0" w:color="000000"/>
              <w:right w:val="single" w:sz="8" w:space="0" w:color="000000"/>
            </w:tcBorders>
            <w:tcMar>
              <w:top w:w="11" w:type="dxa"/>
              <w:left w:w="11" w:type="dxa"/>
              <w:bottom w:w="0" w:type="dxa"/>
              <w:right w:w="11" w:type="dxa"/>
            </w:tcMar>
            <w:vAlign w:val="center"/>
            <w:hideMark/>
          </w:tcPr>
          <w:p w14:paraId="071A377C" w14:textId="77777777" w:rsidR="00D26E8E" w:rsidRPr="00C83E6A" w:rsidRDefault="00426E80">
            <w:pPr>
              <w:keepNext/>
              <w:ind w:left="-57"/>
              <w:jc w:val="center"/>
              <w:rPr>
                <w:rFonts w:eastAsia="PMingLiU"/>
                <w:vertAlign w:val="superscript"/>
                <w:lang w:val="sr-Latn-RS"/>
              </w:rPr>
            </w:pPr>
            <w:r w:rsidRPr="00C83E6A">
              <w:rPr>
                <w:lang w:val="sr-Latn-RS"/>
              </w:rPr>
              <w:t>-55</w:t>
            </w:r>
            <w:r w:rsidRPr="00C83E6A">
              <w:rPr>
                <w:vertAlign w:val="superscript"/>
                <w:lang w:val="sr-Latn-RS"/>
              </w:rPr>
              <w:t>b</w:t>
            </w:r>
          </w:p>
          <w:p w14:paraId="13CF52F6" w14:textId="77777777" w:rsidR="00426E80" w:rsidRPr="00C83E6A" w:rsidRDefault="00426E80">
            <w:pPr>
              <w:keepNext/>
              <w:ind w:left="-57"/>
              <w:jc w:val="center"/>
              <w:rPr>
                <w:rFonts w:eastAsia="Calibri"/>
                <w:lang w:val="sr-Latn-RS"/>
              </w:rPr>
            </w:pPr>
            <w:r w:rsidRPr="00C83E6A">
              <w:rPr>
                <w:lang w:val="sr-Latn-RS"/>
              </w:rPr>
              <w:t>(-60, -50)</w:t>
            </w:r>
          </w:p>
        </w:tc>
        <w:tc>
          <w:tcPr>
            <w:tcW w:w="358" w:type="pct"/>
            <w:tcBorders>
              <w:top w:val="nil"/>
              <w:left w:val="nil"/>
              <w:bottom w:val="single" w:sz="8" w:space="0" w:color="000000"/>
              <w:right w:val="single" w:sz="8" w:space="0" w:color="000000"/>
            </w:tcBorders>
            <w:tcMar>
              <w:top w:w="11" w:type="dxa"/>
              <w:left w:w="11" w:type="dxa"/>
              <w:bottom w:w="0" w:type="dxa"/>
              <w:right w:w="11" w:type="dxa"/>
            </w:tcMar>
            <w:vAlign w:val="center"/>
            <w:hideMark/>
          </w:tcPr>
          <w:p w14:paraId="13AE62B7" w14:textId="77777777" w:rsidR="00D26E8E" w:rsidRPr="00C83E6A" w:rsidRDefault="00426E80">
            <w:pPr>
              <w:keepNext/>
              <w:ind w:left="-57"/>
              <w:jc w:val="center"/>
              <w:rPr>
                <w:rFonts w:eastAsia="PMingLiU"/>
                <w:vertAlign w:val="superscript"/>
                <w:lang w:val="sr-Latn-RS"/>
              </w:rPr>
            </w:pPr>
            <w:r w:rsidRPr="00C83E6A">
              <w:rPr>
                <w:lang w:val="sr-Latn-RS"/>
              </w:rPr>
              <w:t>-44</w:t>
            </w:r>
            <w:r w:rsidRPr="00C83E6A">
              <w:rPr>
                <w:vertAlign w:val="superscript"/>
                <w:lang w:val="sr-Latn-RS"/>
              </w:rPr>
              <w:t>b</w:t>
            </w:r>
          </w:p>
          <w:p w14:paraId="240DB490" w14:textId="77777777" w:rsidR="00426E80" w:rsidRPr="00C83E6A" w:rsidRDefault="00426E80">
            <w:pPr>
              <w:keepNext/>
              <w:ind w:left="-57"/>
              <w:jc w:val="center"/>
              <w:rPr>
                <w:rFonts w:eastAsia="Calibri"/>
                <w:lang w:val="sr-Latn-RS"/>
              </w:rPr>
            </w:pPr>
            <w:r w:rsidRPr="00C83E6A">
              <w:rPr>
                <w:lang w:val="sr-Latn-RS"/>
              </w:rPr>
              <w:t>(-48, -40)</w:t>
            </w:r>
          </w:p>
        </w:tc>
        <w:tc>
          <w:tcPr>
            <w:tcW w:w="357" w:type="pct"/>
            <w:tcBorders>
              <w:top w:val="nil"/>
              <w:left w:val="nil"/>
              <w:bottom w:val="single" w:sz="8" w:space="0" w:color="000000"/>
              <w:right w:val="single" w:sz="8" w:space="0" w:color="000000"/>
            </w:tcBorders>
            <w:tcMar>
              <w:top w:w="11" w:type="dxa"/>
              <w:left w:w="11" w:type="dxa"/>
              <w:bottom w:w="0" w:type="dxa"/>
              <w:right w:w="11" w:type="dxa"/>
            </w:tcMar>
            <w:vAlign w:val="center"/>
            <w:hideMark/>
          </w:tcPr>
          <w:p w14:paraId="3CD4C6FD" w14:textId="77777777" w:rsidR="00D26E8E" w:rsidRPr="00C83E6A" w:rsidRDefault="00426E80">
            <w:pPr>
              <w:keepNext/>
              <w:ind w:left="-57"/>
              <w:jc w:val="center"/>
              <w:rPr>
                <w:rFonts w:eastAsia="PMingLiU"/>
                <w:vertAlign w:val="superscript"/>
                <w:lang w:val="sr-Latn-RS"/>
              </w:rPr>
            </w:pPr>
            <w:r w:rsidRPr="00C83E6A">
              <w:rPr>
                <w:lang w:val="sr-Latn-RS"/>
              </w:rPr>
              <w:t>-31</w:t>
            </w:r>
            <w:r w:rsidRPr="00C83E6A">
              <w:rPr>
                <w:vertAlign w:val="superscript"/>
                <w:lang w:val="sr-Latn-RS"/>
              </w:rPr>
              <w:t>b</w:t>
            </w:r>
          </w:p>
          <w:p w14:paraId="49E2A71C" w14:textId="77777777" w:rsidR="00426E80" w:rsidRPr="00C83E6A" w:rsidRDefault="00426E80">
            <w:pPr>
              <w:keepNext/>
              <w:ind w:left="-57"/>
              <w:jc w:val="center"/>
              <w:rPr>
                <w:rFonts w:eastAsia="Calibri"/>
                <w:lang w:val="sr-Latn-RS"/>
              </w:rPr>
            </w:pPr>
            <w:r w:rsidRPr="00C83E6A">
              <w:rPr>
                <w:lang w:val="sr-Latn-RS"/>
              </w:rPr>
              <w:t>(-38, -24)</w:t>
            </w:r>
          </w:p>
        </w:tc>
        <w:tc>
          <w:tcPr>
            <w:tcW w:w="345" w:type="pct"/>
            <w:tcBorders>
              <w:top w:val="nil"/>
              <w:left w:val="nil"/>
              <w:bottom w:val="single" w:sz="8" w:space="0" w:color="000000"/>
              <w:right w:val="single" w:sz="8" w:space="0" w:color="000000"/>
            </w:tcBorders>
            <w:tcMar>
              <w:top w:w="11" w:type="dxa"/>
              <w:left w:w="11" w:type="dxa"/>
              <w:bottom w:w="0" w:type="dxa"/>
              <w:right w:w="11" w:type="dxa"/>
            </w:tcMar>
            <w:vAlign w:val="center"/>
            <w:hideMark/>
          </w:tcPr>
          <w:p w14:paraId="1731B6CA" w14:textId="77777777" w:rsidR="00D26E8E" w:rsidRPr="00C83E6A" w:rsidRDefault="00426E80">
            <w:pPr>
              <w:keepNext/>
              <w:ind w:left="6"/>
              <w:jc w:val="center"/>
              <w:rPr>
                <w:rFonts w:eastAsia="PMingLiU"/>
                <w:vertAlign w:val="superscript"/>
                <w:lang w:val="sr-Latn-RS"/>
              </w:rPr>
            </w:pPr>
            <w:r w:rsidRPr="00C83E6A">
              <w:rPr>
                <w:lang w:val="sr-Latn-RS"/>
              </w:rPr>
              <w:t>-16</w:t>
            </w:r>
            <w:r w:rsidRPr="00C83E6A">
              <w:rPr>
                <w:vertAlign w:val="superscript"/>
                <w:lang w:val="sr-Latn-RS"/>
              </w:rPr>
              <w:t>b</w:t>
            </w:r>
          </w:p>
          <w:p w14:paraId="693E2026" w14:textId="77777777" w:rsidR="00426E80" w:rsidRPr="00C83E6A" w:rsidRDefault="00426E80">
            <w:pPr>
              <w:keepNext/>
              <w:ind w:left="6"/>
              <w:jc w:val="center"/>
              <w:rPr>
                <w:rFonts w:eastAsia="Calibri"/>
                <w:lang w:val="sr-Latn-RS"/>
              </w:rPr>
            </w:pPr>
            <w:r w:rsidRPr="00C83E6A">
              <w:rPr>
                <w:lang w:val="sr-Latn-RS"/>
              </w:rPr>
              <w:t>(-23, -8)</w:t>
            </w:r>
          </w:p>
        </w:tc>
        <w:tc>
          <w:tcPr>
            <w:tcW w:w="298" w:type="pct"/>
            <w:tcBorders>
              <w:top w:val="nil"/>
              <w:left w:val="nil"/>
              <w:bottom w:val="single" w:sz="8" w:space="0" w:color="000000"/>
              <w:right w:val="single" w:sz="8" w:space="0" w:color="000000"/>
            </w:tcBorders>
            <w:tcMar>
              <w:top w:w="11" w:type="dxa"/>
              <w:left w:w="11" w:type="dxa"/>
              <w:bottom w:w="0" w:type="dxa"/>
              <w:right w:w="11" w:type="dxa"/>
            </w:tcMar>
            <w:vAlign w:val="center"/>
            <w:hideMark/>
          </w:tcPr>
          <w:p w14:paraId="0F643790" w14:textId="77777777" w:rsidR="00D26E8E" w:rsidRPr="00C83E6A" w:rsidRDefault="00426E80">
            <w:pPr>
              <w:keepNext/>
              <w:ind w:left="-57"/>
              <w:jc w:val="center"/>
              <w:rPr>
                <w:rFonts w:eastAsia="PMingLiU"/>
                <w:vertAlign w:val="superscript"/>
                <w:lang w:val="sr-Latn-RS"/>
              </w:rPr>
            </w:pPr>
            <w:r w:rsidRPr="00C83E6A">
              <w:rPr>
                <w:lang w:val="sr-Latn-RS"/>
              </w:rPr>
              <w:t>9</w:t>
            </w:r>
            <w:r w:rsidRPr="00C83E6A">
              <w:rPr>
                <w:vertAlign w:val="superscript"/>
                <w:lang w:val="sr-Latn-RS"/>
              </w:rPr>
              <w:t>b</w:t>
            </w:r>
          </w:p>
          <w:p w14:paraId="12B4360E" w14:textId="77777777" w:rsidR="00426E80" w:rsidRPr="00C83E6A" w:rsidRDefault="00426E80">
            <w:pPr>
              <w:keepNext/>
              <w:ind w:left="-57"/>
              <w:jc w:val="center"/>
              <w:rPr>
                <w:rFonts w:eastAsia="Calibri"/>
                <w:lang w:val="sr-Latn-RS"/>
              </w:rPr>
            </w:pPr>
            <w:r w:rsidRPr="00C83E6A">
              <w:rPr>
                <w:lang w:val="sr-Latn-RS"/>
              </w:rPr>
              <w:t>(5, 14)</w:t>
            </w:r>
          </w:p>
        </w:tc>
        <w:tc>
          <w:tcPr>
            <w:tcW w:w="357" w:type="pct"/>
            <w:tcBorders>
              <w:top w:val="nil"/>
              <w:left w:val="nil"/>
              <w:bottom w:val="single" w:sz="8" w:space="0" w:color="000000"/>
              <w:right w:val="single" w:sz="8" w:space="0" w:color="000000"/>
            </w:tcBorders>
            <w:vAlign w:val="center"/>
            <w:hideMark/>
          </w:tcPr>
          <w:p w14:paraId="268A670B" w14:textId="77777777" w:rsidR="00D26E8E" w:rsidRPr="00C83E6A" w:rsidRDefault="00426E80">
            <w:pPr>
              <w:keepNext/>
              <w:ind w:left="-57"/>
              <w:jc w:val="center"/>
              <w:rPr>
                <w:rFonts w:eastAsia="PMingLiU"/>
                <w:vertAlign w:val="superscript"/>
                <w:lang w:val="sr-Latn-RS"/>
              </w:rPr>
            </w:pPr>
            <w:r w:rsidRPr="00C83E6A">
              <w:rPr>
                <w:lang w:val="sr-Latn-RS"/>
              </w:rPr>
              <w:t>-17</w:t>
            </w:r>
            <w:r w:rsidRPr="00C83E6A">
              <w:rPr>
                <w:vertAlign w:val="superscript"/>
                <w:lang w:val="sr-Latn-RS"/>
              </w:rPr>
              <w:t>b</w:t>
            </w:r>
          </w:p>
          <w:p w14:paraId="269FCE11" w14:textId="77777777" w:rsidR="00426E80" w:rsidRPr="00C83E6A" w:rsidRDefault="00426E80">
            <w:pPr>
              <w:keepNext/>
              <w:ind w:left="-57"/>
              <w:jc w:val="center"/>
              <w:rPr>
                <w:rFonts w:eastAsia="Calibri"/>
                <w:lang w:val="sr-Latn-RS"/>
              </w:rPr>
            </w:pPr>
            <w:r w:rsidRPr="00C83E6A">
              <w:rPr>
                <w:lang w:val="sr-Latn-RS"/>
              </w:rPr>
              <w:t>(-24, -9)</w:t>
            </w:r>
          </w:p>
        </w:tc>
        <w:tc>
          <w:tcPr>
            <w:tcW w:w="328" w:type="pct"/>
            <w:tcBorders>
              <w:top w:val="nil"/>
              <w:left w:val="nil"/>
              <w:bottom w:val="single" w:sz="8" w:space="0" w:color="000000"/>
              <w:right w:val="single" w:sz="8" w:space="0" w:color="000000"/>
            </w:tcBorders>
            <w:tcMar>
              <w:top w:w="11" w:type="dxa"/>
              <w:left w:w="11" w:type="dxa"/>
              <w:bottom w:w="0" w:type="dxa"/>
              <w:right w:w="11" w:type="dxa"/>
            </w:tcMar>
            <w:vAlign w:val="center"/>
            <w:hideMark/>
          </w:tcPr>
          <w:p w14:paraId="5BB11713" w14:textId="77777777" w:rsidR="00D26E8E" w:rsidRPr="00C83E6A" w:rsidRDefault="00426E80">
            <w:pPr>
              <w:keepNext/>
              <w:ind w:left="-57"/>
              <w:jc w:val="center"/>
              <w:rPr>
                <w:rFonts w:eastAsia="PMingLiU"/>
                <w:lang w:val="sr-Latn-RS"/>
              </w:rPr>
            </w:pPr>
            <w:r w:rsidRPr="00C83E6A">
              <w:rPr>
                <w:lang w:val="sr-Latn-RS"/>
              </w:rPr>
              <w:t>5</w:t>
            </w:r>
            <w:r w:rsidRPr="00C83E6A">
              <w:rPr>
                <w:vertAlign w:val="superscript"/>
                <w:lang w:val="sr-Latn-RS"/>
              </w:rPr>
              <w:t>a</w:t>
            </w:r>
          </w:p>
          <w:p w14:paraId="33CF16E2" w14:textId="77777777" w:rsidR="00426E80" w:rsidRPr="00C83E6A" w:rsidRDefault="00426E80">
            <w:pPr>
              <w:keepNext/>
              <w:ind w:left="-57"/>
              <w:jc w:val="center"/>
              <w:rPr>
                <w:rFonts w:eastAsia="Calibri"/>
                <w:lang w:val="sr-Latn-RS"/>
              </w:rPr>
            </w:pPr>
            <w:r w:rsidRPr="00C83E6A">
              <w:rPr>
                <w:lang w:val="sr-Latn-RS"/>
              </w:rPr>
              <w:t>(1, 9)</w:t>
            </w:r>
          </w:p>
        </w:tc>
        <w:tc>
          <w:tcPr>
            <w:tcW w:w="387" w:type="pct"/>
            <w:tcBorders>
              <w:top w:val="nil"/>
              <w:left w:val="nil"/>
              <w:bottom w:val="single" w:sz="8" w:space="0" w:color="000000"/>
              <w:right w:val="single" w:sz="8" w:space="0" w:color="000000"/>
            </w:tcBorders>
            <w:vAlign w:val="center"/>
          </w:tcPr>
          <w:p w14:paraId="2AADB3EB" w14:textId="77777777" w:rsidR="00D26E8E" w:rsidRPr="00C83E6A" w:rsidRDefault="00426E80">
            <w:pPr>
              <w:keepNext/>
              <w:ind w:left="28"/>
              <w:jc w:val="center"/>
              <w:rPr>
                <w:rFonts w:eastAsia="PMingLiU"/>
                <w:lang w:val="sr-Latn-RS"/>
              </w:rPr>
            </w:pPr>
            <w:r w:rsidRPr="00C83E6A">
              <w:rPr>
                <w:lang w:val="sr-Latn-RS"/>
              </w:rPr>
              <w:t>-49</w:t>
            </w:r>
            <w:r w:rsidRPr="00C83E6A">
              <w:rPr>
                <w:vertAlign w:val="superscript"/>
                <w:lang w:val="sr-Latn-RS"/>
              </w:rPr>
              <w:t>b</w:t>
            </w:r>
          </w:p>
          <w:p w14:paraId="64DC13B6" w14:textId="77777777" w:rsidR="00426E80" w:rsidRPr="00C83E6A" w:rsidRDefault="00426E80">
            <w:pPr>
              <w:keepNext/>
              <w:ind w:left="28"/>
              <w:jc w:val="center"/>
              <w:rPr>
                <w:rFonts w:eastAsia="Calibri"/>
                <w:lang w:val="sr-Latn-RS"/>
              </w:rPr>
            </w:pPr>
            <w:r w:rsidRPr="00C83E6A">
              <w:rPr>
                <w:lang w:val="sr-Latn-RS"/>
              </w:rPr>
              <w:t>(-54, -44)</w:t>
            </w:r>
          </w:p>
        </w:tc>
        <w:tc>
          <w:tcPr>
            <w:tcW w:w="358" w:type="pct"/>
            <w:tcBorders>
              <w:top w:val="nil"/>
              <w:left w:val="nil"/>
              <w:bottom w:val="single" w:sz="8" w:space="0" w:color="000000"/>
              <w:right w:val="single" w:sz="8" w:space="0" w:color="000000"/>
            </w:tcBorders>
            <w:vAlign w:val="center"/>
          </w:tcPr>
          <w:p w14:paraId="69ED290C" w14:textId="77777777" w:rsidR="00D26E8E" w:rsidRPr="00C83E6A" w:rsidRDefault="00426E80">
            <w:pPr>
              <w:keepNext/>
              <w:tabs>
                <w:tab w:val="clear" w:pos="567"/>
              </w:tabs>
              <w:ind w:left="28"/>
              <w:jc w:val="center"/>
              <w:rPr>
                <w:rFonts w:eastAsia="PMingLiU"/>
                <w:lang w:val="sr-Latn-RS"/>
              </w:rPr>
            </w:pPr>
            <w:r w:rsidRPr="00C83E6A">
              <w:rPr>
                <w:lang w:val="sr-Latn-RS"/>
              </w:rPr>
              <w:t>-56</w:t>
            </w:r>
            <w:r w:rsidRPr="00C83E6A">
              <w:rPr>
                <w:vertAlign w:val="superscript"/>
                <w:lang w:val="sr-Latn-RS"/>
              </w:rPr>
              <w:t>b</w:t>
            </w:r>
          </w:p>
          <w:p w14:paraId="4A4C9BD5" w14:textId="77777777" w:rsidR="00426E80" w:rsidRPr="00C83E6A" w:rsidRDefault="00426E80">
            <w:pPr>
              <w:keepNext/>
              <w:tabs>
                <w:tab w:val="clear" w:pos="567"/>
              </w:tabs>
              <w:ind w:left="28"/>
              <w:jc w:val="center"/>
              <w:rPr>
                <w:rFonts w:eastAsia="Calibri"/>
                <w:lang w:val="sr-Latn-RS"/>
              </w:rPr>
            </w:pPr>
            <w:r w:rsidRPr="00C83E6A">
              <w:rPr>
                <w:lang w:val="sr-Latn-RS"/>
              </w:rPr>
              <w:t>(-61, -50)</w:t>
            </w:r>
          </w:p>
        </w:tc>
      </w:tr>
    </w:tbl>
    <w:p w14:paraId="29CF52A5" w14:textId="77777777" w:rsidR="00567873" w:rsidRPr="00C83E6A" w:rsidRDefault="00096D7F" w:rsidP="001D6451">
      <w:pPr>
        <w:jc w:val="both"/>
        <w:rPr>
          <w:rFonts w:eastAsia="PMingLiU"/>
          <w:lang w:val="sr-Latn-RS"/>
        </w:rPr>
      </w:pPr>
      <w:r w:rsidRPr="00C83E6A">
        <w:rPr>
          <w:lang w:val="sr-Latn-RS"/>
        </w:rPr>
        <w:t>Legenda: Q2W = jednom na svake 2 nedjelje, QM = jednom mjesečno, HMD = primarna hiperholesterolemija i</w:t>
      </w:r>
      <w:r w:rsidR="002F120E" w:rsidRPr="00C83E6A">
        <w:rPr>
          <w:lang w:val="sr-Latn-RS"/>
        </w:rPr>
        <w:t xml:space="preserve"> </w:t>
      </w:r>
      <w:r w:rsidRPr="00C83E6A">
        <w:rPr>
          <w:lang w:val="sr-Latn-RS"/>
        </w:rPr>
        <w:t xml:space="preserve">miješana dislipidemija, HeFH = heterozigotna porodična hiperholesterolemija, </w:t>
      </w:r>
    </w:p>
    <w:p w14:paraId="11A258B0" w14:textId="77777777" w:rsidR="00567873" w:rsidRPr="00C83E6A" w:rsidRDefault="00096D7F" w:rsidP="001D6451">
      <w:pPr>
        <w:jc w:val="both"/>
        <w:rPr>
          <w:rFonts w:eastAsia="PMingLiU"/>
          <w:lang w:val="sr-Latn-RS"/>
        </w:rPr>
      </w:pPr>
      <w:r w:rsidRPr="00C83E6A">
        <w:rPr>
          <w:vertAlign w:val="superscript"/>
          <w:lang w:val="sr-Latn-RS"/>
        </w:rPr>
        <w:t>a</w:t>
      </w:r>
      <w:r w:rsidRPr="00C83E6A">
        <w:rPr>
          <w:lang w:val="sr-Latn-RS"/>
        </w:rPr>
        <w:t xml:space="preserve"> p vrijednost &lt; 0,05 pri poređenju sa placebom, </w:t>
      </w:r>
    </w:p>
    <w:p w14:paraId="1C311C20" w14:textId="77777777" w:rsidR="00D26E8E" w:rsidRPr="00C83E6A" w:rsidRDefault="00096D7F" w:rsidP="001D6451">
      <w:pPr>
        <w:jc w:val="both"/>
        <w:rPr>
          <w:rFonts w:eastAsia="PMingLiU"/>
          <w:lang w:val="sr-Latn-RS"/>
        </w:rPr>
      </w:pPr>
      <w:r w:rsidRPr="00C83E6A">
        <w:rPr>
          <w:vertAlign w:val="superscript"/>
          <w:lang w:val="sr-Latn-RS"/>
        </w:rPr>
        <w:t>b</w:t>
      </w:r>
      <w:r w:rsidRPr="00C83E6A">
        <w:rPr>
          <w:lang w:val="sr-Latn-RS"/>
        </w:rPr>
        <w:t> p vrijednost &lt; 0,001 pri poređenju sa placebom.</w:t>
      </w:r>
    </w:p>
    <w:p w14:paraId="2310B658" w14:textId="77777777" w:rsidR="00D26E8E" w:rsidRPr="00C83E6A" w:rsidRDefault="00D26E8E" w:rsidP="001D6451">
      <w:pPr>
        <w:autoSpaceDE w:val="0"/>
        <w:autoSpaceDN w:val="0"/>
        <w:adjustRightInd w:val="0"/>
        <w:jc w:val="both"/>
        <w:rPr>
          <w:rFonts w:eastAsia="PMingLiU"/>
          <w:u w:val="single"/>
          <w:lang w:val="sr-Latn-RS"/>
        </w:rPr>
      </w:pPr>
    </w:p>
    <w:p w14:paraId="533002B8" w14:textId="77777777" w:rsidR="00D26E8E" w:rsidRPr="00C83E6A" w:rsidRDefault="00096D7F" w:rsidP="001D6451">
      <w:pPr>
        <w:keepNext/>
        <w:autoSpaceDE w:val="0"/>
        <w:autoSpaceDN w:val="0"/>
        <w:adjustRightInd w:val="0"/>
        <w:jc w:val="both"/>
        <w:rPr>
          <w:rFonts w:eastAsia="PMingLiU"/>
          <w:u w:val="single"/>
          <w:lang w:val="sr-Latn-RS"/>
        </w:rPr>
      </w:pPr>
      <w:r w:rsidRPr="00C83E6A">
        <w:rPr>
          <w:u w:val="single"/>
          <w:lang w:val="sr-Latn-RS"/>
        </w:rPr>
        <w:t>Pacijenti koji ne podnose statine</w:t>
      </w:r>
    </w:p>
    <w:p w14:paraId="73E521E2" w14:textId="77777777" w:rsidR="00D26E8E" w:rsidRPr="00C83E6A" w:rsidRDefault="00D26E8E" w:rsidP="001D6451">
      <w:pPr>
        <w:keepNext/>
        <w:autoSpaceDE w:val="0"/>
        <w:autoSpaceDN w:val="0"/>
        <w:adjustRightInd w:val="0"/>
        <w:jc w:val="both"/>
        <w:rPr>
          <w:rFonts w:eastAsia="PMingLiU"/>
          <w:lang w:val="sr-Latn-RS"/>
        </w:rPr>
      </w:pPr>
    </w:p>
    <w:p w14:paraId="3851E186" w14:textId="77777777" w:rsidR="00D26E8E" w:rsidRPr="00C83E6A" w:rsidRDefault="00096D7F" w:rsidP="001D6451">
      <w:pPr>
        <w:autoSpaceDE w:val="0"/>
        <w:autoSpaceDN w:val="0"/>
        <w:adjustRightInd w:val="0"/>
        <w:jc w:val="both"/>
        <w:rPr>
          <w:rFonts w:eastAsia="PMingLiU"/>
          <w:lang w:val="sr-Latn-RS"/>
        </w:rPr>
      </w:pPr>
      <w:r w:rsidRPr="00C83E6A">
        <w:rPr>
          <w:lang w:val="sr-Latn-RS"/>
        </w:rPr>
        <w:t>GAUSS</w:t>
      </w:r>
      <w:r w:rsidRPr="00C83E6A">
        <w:rPr>
          <w:lang w:val="sr-Latn-RS"/>
        </w:rPr>
        <w:noBreakHyphen/>
        <w:t>2 je bila međunarodna, multicentrična, dvostruko</w:t>
      </w:r>
      <w:r w:rsidRPr="00C83E6A">
        <w:rPr>
          <w:lang w:val="sr-Latn-RS"/>
        </w:rPr>
        <w:noBreakHyphen/>
        <w:t>slijepa, randomizovana, ezetimibom kontrolisana studija u trajanju od 12 nedjelja na 307 pacijenata koji nijesu podnosili statine ili njihovu efektivnu dozu. Lijek Repatha je značajno smanjio vrijednosti LDL</w:t>
      </w:r>
      <w:r w:rsidRPr="00C83E6A">
        <w:rPr>
          <w:lang w:val="sr-Latn-RS"/>
        </w:rPr>
        <w:noBreakHyphen/>
        <w:t>C</w:t>
      </w:r>
      <w:r w:rsidRPr="00C83E6A">
        <w:rPr>
          <w:lang w:val="sr-Latn-RS"/>
        </w:rPr>
        <w:noBreakHyphen/>
        <w:t>a u poređenju sa ezetimibom (p &lt; 0,001). Lijek Repatha je značajno smanjio početne vrijednosti TC</w:t>
      </w:r>
      <w:r w:rsidRPr="00C83E6A">
        <w:rPr>
          <w:lang w:val="sr-Latn-RS"/>
        </w:rPr>
        <w:noBreakHyphen/>
        <w:t>a, ApoB</w:t>
      </w:r>
      <w:r w:rsidRPr="00C83E6A">
        <w:rPr>
          <w:lang w:val="sr-Latn-RS"/>
        </w:rPr>
        <w:noBreakHyphen/>
        <w:t>a, non</w:t>
      </w:r>
      <w:r w:rsidRPr="00C83E6A">
        <w:rPr>
          <w:lang w:val="sr-Latn-RS"/>
        </w:rPr>
        <w:noBreakHyphen/>
        <w:t>HDL</w:t>
      </w:r>
      <w:r w:rsidRPr="00C83E6A">
        <w:rPr>
          <w:lang w:val="sr-Latn-RS"/>
        </w:rPr>
        <w:noBreakHyphen/>
        <w:t>C</w:t>
      </w:r>
      <w:r w:rsidRPr="00C83E6A">
        <w:rPr>
          <w:lang w:val="sr-Latn-RS"/>
        </w:rPr>
        <w:noBreakHyphen/>
        <w:t>a, TC/HDL</w:t>
      </w:r>
      <w:r w:rsidRPr="00C83E6A">
        <w:rPr>
          <w:lang w:val="sr-Latn-RS"/>
        </w:rPr>
        <w:noBreakHyphen/>
        <w:t>C</w:t>
      </w:r>
      <w:r w:rsidRPr="00C83E6A">
        <w:rPr>
          <w:lang w:val="sr-Latn-RS"/>
        </w:rPr>
        <w:noBreakHyphen/>
        <w:t>a, ApoB/ApoA1</w:t>
      </w:r>
      <w:r w:rsidRPr="00C83E6A">
        <w:rPr>
          <w:lang w:val="sr-Latn-RS"/>
        </w:rPr>
        <w:noBreakHyphen/>
        <w:t>a i Lp(a)</w:t>
      </w:r>
      <w:r w:rsidRPr="00C83E6A">
        <w:rPr>
          <w:lang w:val="sr-Latn-RS"/>
        </w:rPr>
        <w:noBreakHyphen/>
        <w:t>a do srednje vrijednosti u 10. i 12. nedjelji u poređenju sa ezetimibom (p &lt; 0,001) (vidjeti Tabelu 3).</w:t>
      </w:r>
    </w:p>
    <w:p w14:paraId="3845A66D" w14:textId="77777777" w:rsidR="00D26E8E" w:rsidRPr="00C83E6A" w:rsidRDefault="00D26E8E" w:rsidP="001D6451">
      <w:pPr>
        <w:autoSpaceDE w:val="0"/>
        <w:autoSpaceDN w:val="0"/>
        <w:adjustRightInd w:val="0"/>
        <w:jc w:val="both"/>
        <w:rPr>
          <w:rFonts w:eastAsia="PMingLiU"/>
          <w:lang w:val="sr-Latn-RS"/>
        </w:rPr>
      </w:pPr>
    </w:p>
    <w:p w14:paraId="630E67C8" w14:textId="77777777" w:rsidR="00D26E8E" w:rsidRPr="00C83E6A" w:rsidRDefault="00096D7F" w:rsidP="001D6451">
      <w:pPr>
        <w:keepNext/>
        <w:autoSpaceDE w:val="0"/>
        <w:autoSpaceDN w:val="0"/>
        <w:adjustRightInd w:val="0"/>
        <w:jc w:val="both"/>
        <w:rPr>
          <w:rFonts w:eastAsia="PMingLiU"/>
          <w:u w:val="single"/>
          <w:lang w:val="sr-Latn-RS"/>
        </w:rPr>
      </w:pPr>
      <w:r w:rsidRPr="00C83E6A">
        <w:rPr>
          <w:u w:val="single"/>
          <w:lang w:val="sr-Latn-RS"/>
        </w:rPr>
        <w:t>Liječenje u odsustvu statina</w:t>
      </w:r>
    </w:p>
    <w:p w14:paraId="3AB048BC" w14:textId="77777777" w:rsidR="00D26E8E" w:rsidRPr="00C83E6A" w:rsidRDefault="00D26E8E" w:rsidP="001D6451">
      <w:pPr>
        <w:keepNext/>
        <w:tabs>
          <w:tab w:val="clear" w:pos="567"/>
        </w:tabs>
        <w:autoSpaceDE w:val="0"/>
        <w:autoSpaceDN w:val="0"/>
        <w:adjustRightInd w:val="0"/>
        <w:jc w:val="both"/>
        <w:rPr>
          <w:rFonts w:eastAsia="PMingLiU"/>
          <w:color w:val="000000"/>
          <w:lang w:val="sr-Latn-RS" w:eastAsia="en-GB"/>
        </w:rPr>
      </w:pPr>
    </w:p>
    <w:p w14:paraId="17E32F6A" w14:textId="77777777" w:rsidR="00D26E8E" w:rsidRPr="00C83E6A" w:rsidRDefault="00096D7F" w:rsidP="001D6451">
      <w:pPr>
        <w:jc w:val="both"/>
        <w:rPr>
          <w:rFonts w:eastAsia="PMingLiU"/>
          <w:lang w:val="sr-Latn-RS"/>
        </w:rPr>
      </w:pPr>
      <w:r w:rsidRPr="00C83E6A">
        <w:rPr>
          <w:lang w:val="sr-Latn-RS"/>
        </w:rPr>
        <w:t>MENDEL-2 je bila međunarodna, multicentrična, dvostruko slijepa, randomizovana, placebom i ezetimibom kontrolisana studija lijeka Repatha u trajanju od 12 nedjelja na 614 pacijenata sa primarnom hiperholesterolemijom i miješanom dislipidemijom. Lijek Repatha je značajno smanjio početne vrijednosti LDL</w:t>
      </w:r>
      <w:r w:rsidRPr="00C83E6A">
        <w:rPr>
          <w:lang w:val="sr-Latn-RS"/>
        </w:rPr>
        <w:noBreakHyphen/>
        <w:t>C</w:t>
      </w:r>
      <w:r w:rsidRPr="00C83E6A">
        <w:rPr>
          <w:lang w:val="sr-Latn-RS"/>
        </w:rPr>
        <w:noBreakHyphen/>
        <w:t>a do srednje vrijednosti u 10. i 12. nedjelji u poređenju i sa placebom i sa ezetimibom (p &lt; 0,001). Lijek Repatha je značajno smanjio početne nivoe TC</w:t>
      </w:r>
      <w:r w:rsidRPr="00C83E6A">
        <w:rPr>
          <w:lang w:val="sr-Latn-RS"/>
        </w:rPr>
        <w:noBreakHyphen/>
        <w:t>a, ApoB</w:t>
      </w:r>
      <w:r w:rsidRPr="00C83E6A">
        <w:rPr>
          <w:lang w:val="sr-Latn-RS"/>
        </w:rPr>
        <w:noBreakHyphen/>
        <w:t>a, non</w:t>
      </w:r>
      <w:r w:rsidRPr="00C83E6A">
        <w:rPr>
          <w:lang w:val="sr-Latn-RS"/>
        </w:rPr>
        <w:noBreakHyphen/>
        <w:t>HDL</w:t>
      </w:r>
      <w:r w:rsidRPr="00C83E6A">
        <w:rPr>
          <w:lang w:val="sr-Latn-RS"/>
        </w:rPr>
        <w:noBreakHyphen/>
        <w:t>C</w:t>
      </w:r>
      <w:r w:rsidRPr="00C83E6A">
        <w:rPr>
          <w:lang w:val="sr-Latn-RS"/>
        </w:rPr>
        <w:noBreakHyphen/>
        <w:t>a, TC/HDL</w:t>
      </w:r>
      <w:r w:rsidRPr="00C83E6A">
        <w:rPr>
          <w:lang w:val="sr-Latn-RS"/>
        </w:rPr>
        <w:noBreakHyphen/>
        <w:t>C</w:t>
      </w:r>
      <w:r w:rsidRPr="00C83E6A">
        <w:rPr>
          <w:lang w:val="sr-Latn-RS"/>
        </w:rPr>
        <w:noBreakHyphen/>
        <w:t>a, ApoB/ApoA1</w:t>
      </w:r>
      <w:r w:rsidRPr="00C83E6A">
        <w:rPr>
          <w:lang w:val="sr-Latn-RS"/>
        </w:rPr>
        <w:noBreakHyphen/>
        <w:t>a i Lp(a)</w:t>
      </w:r>
      <w:r w:rsidRPr="00C83E6A">
        <w:rPr>
          <w:lang w:val="sr-Latn-RS"/>
        </w:rPr>
        <w:noBreakHyphen/>
        <w:t>a, do srednje vrijednosti u 10. i 12. nedjelji u poređenju i sa placebom i sa ezetimibom (p &lt; 0,001) (vidjeti Tabelu 3).</w:t>
      </w:r>
    </w:p>
    <w:p w14:paraId="019EA431" w14:textId="77777777" w:rsidR="00D26E8E" w:rsidRPr="00C83E6A" w:rsidRDefault="00D26E8E" w:rsidP="001D6451">
      <w:pPr>
        <w:tabs>
          <w:tab w:val="clear" w:pos="567"/>
        </w:tabs>
        <w:autoSpaceDE w:val="0"/>
        <w:autoSpaceDN w:val="0"/>
        <w:adjustRightInd w:val="0"/>
        <w:jc w:val="both"/>
        <w:rPr>
          <w:rFonts w:eastAsia="PMingLiU"/>
          <w:color w:val="000000"/>
          <w:lang w:val="sr-Latn-RS"/>
        </w:rPr>
      </w:pPr>
    </w:p>
    <w:p w14:paraId="3E0DA57F" w14:textId="77777777" w:rsidR="00D26E8E" w:rsidRPr="00C83E6A" w:rsidRDefault="00096D7F" w:rsidP="001D6451">
      <w:pPr>
        <w:keepNext/>
        <w:autoSpaceDE w:val="0"/>
        <w:autoSpaceDN w:val="0"/>
        <w:adjustRightInd w:val="0"/>
        <w:jc w:val="both"/>
        <w:rPr>
          <w:rFonts w:eastAsia="PMingLiU"/>
          <w:b/>
          <w:bCs/>
          <w:lang w:val="sr-Latn-RS"/>
        </w:rPr>
      </w:pPr>
      <w:r w:rsidRPr="00C83E6A">
        <w:rPr>
          <w:b/>
          <w:lang w:val="sr-Latn-RS"/>
        </w:rPr>
        <w:t>Tabela 3: Efekti liječenja evolokumabom u poređenju sa ezetimibom kod pacijenata sa primarnom hiperholesterolemijom i miješanom dislipidemijom – srednji procenat promjene od početne vrijednosti do prosječne vrijednosti u 10. i 12. nedjelji (%, 95% CI)</w:t>
      </w:r>
    </w:p>
    <w:p w14:paraId="2C92CDBC" w14:textId="77777777" w:rsidR="008131FF" w:rsidRPr="00C83E6A" w:rsidRDefault="008131FF" w:rsidP="001D6451">
      <w:pPr>
        <w:keepNext/>
        <w:autoSpaceDE w:val="0"/>
        <w:autoSpaceDN w:val="0"/>
        <w:adjustRightInd w:val="0"/>
        <w:jc w:val="both"/>
        <w:rPr>
          <w:rFonts w:eastAsia="PMingLiU"/>
          <w:u w:val="single"/>
          <w:lang w:val="sr-Latn-RS"/>
        </w:rPr>
      </w:pPr>
    </w:p>
    <w:tbl>
      <w:tblPr>
        <w:tblW w:w="518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32"/>
        <w:gridCol w:w="1021"/>
        <w:gridCol w:w="683"/>
        <w:gridCol w:w="702"/>
        <w:gridCol w:w="676"/>
        <w:gridCol w:w="676"/>
        <w:gridCol w:w="698"/>
        <w:gridCol w:w="623"/>
        <w:gridCol w:w="587"/>
        <w:gridCol w:w="565"/>
        <w:gridCol w:w="677"/>
        <w:gridCol w:w="676"/>
        <w:gridCol w:w="666"/>
      </w:tblGrid>
      <w:tr w:rsidR="001935E8" w:rsidRPr="00C83E6A" w14:paraId="296DF48D" w14:textId="77777777" w:rsidTr="001935E8">
        <w:trPr>
          <w:cantSplit/>
          <w:trHeight w:val="248"/>
          <w:tblHeader/>
        </w:trPr>
        <w:tc>
          <w:tcPr>
            <w:tcW w:w="604" w:type="pct"/>
            <w:shd w:val="clear" w:color="auto" w:fill="D9D9D9"/>
          </w:tcPr>
          <w:p w14:paraId="16EB6703" w14:textId="77777777" w:rsidR="006741ED" w:rsidRPr="00C83E6A" w:rsidRDefault="006741ED" w:rsidP="001D6451">
            <w:pPr>
              <w:keepNext/>
              <w:jc w:val="both"/>
              <w:rPr>
                <w:rFonts w:eastAsia="Calibri"/>
                <w:b/>
                <w:bCs/>
                <w:lang w:val="sr-Latn-RS"/>
              </w:rPr>
            </w:pPr>
            <w:r w:rsidRPr="00C83E6A">
              <w:rPr>
                <w:b/>
                <w:lang w:val="sr-Latn-RS"/>
              </w:rPr>
              <w:t>Studija</w:t>
            </w:r>
          </w:p>
        </w:tc>
        <w:tc>
          <w:tcPr>
            <w:tcW w:w="544" w:type="pct"/>
            <w:shd w:val="clear" w:color="auto" w:fill="D9D9D9"/>
            <w:tcMar>
              <w:top w:w="11" w:type="dxa"/>
              <w:left w:w="90" w:type="dxa"/>
              <w:bottom w:w="0" w:type="dxa"/>
              <w:right w:w="90" w:type="dxa"/>
            </w:tcMar>
          </w:tcPr>
          <w:p w14:paraId="5FDB9D07" w14:textId="77777777" w:rsidR="006741ED" w:rsidRPr="00C83E6A" w:rsidRDefault="006741ED" w:rsidP="001D6451">
            <w:pPr>
              <w:keepNext/>
              <w:jc w:val="both"/>
              <w:rPr>
                <w:rFonts w:eastAsia="Calibri"/>
                <w:b/>
                <w:bCs/>
                <w:lang w:val="sr-Latn-RS"/>
              </w:rPr>
            </w:pPr>
            <w:r w:rsidRPr="00C83E6A">
              <w:rPr>
                <w:b/>
                <w:lang w:val="sr-Latn-RS"/>
              </w:rPr>
              <w:t>Režim doziranja</w:t>
            </w:r>
          </w:p>
        </w:tc>
        <w:tc>
          <w:tcPr>
            <w:tcW w:w="364" w:type="pct"/>
            <w:shd w:val="clear" w:color="auto" w:fill="D9D9D9"/>
            <w:tcMar>
              <w:top w:w="11" w:type="dxa"/>
              <w:left w:w="90" w:type="dxa"/>
              <w:bottom w:w="0" w:type="dxa"/>
              <w:right w:w="90" w:type="dxa"/>
            </w:tcMar>
          </w:tcPr>
          <w:p w14:paraId="07240591" w14:textId="77777777" w:rsidR="00D26E8E" w:rsidRPr="00C83E6A" w:rsidRDefault="006741ED" w:rsidP="001D6451">
            <w:pPr>
              <w:keepNext/>
              <w:ind w:left="-93" w:right="-85"/>
              <w:jc w:val="both"/>
              <w:rPr>
                <w:rFonts w:eastAsia="PMingLiU"/>
                <w:b/>
                <w:bCs/>
                <w:lang w:val="sr-Latn-RS"/>
              </w:rPr>
            </w:pPr>
            <w:r w:rsidRPr="00C83E6A">
              <w:rPr>
                <w:b/>
                <w:lang w:val="sr-Latn-RS"/>
              </w:rPr>
              <w:t>LDL-C</w:t>
            </w:r>
          </w:p>
          <w:p w14:paraId="0BF62DFF" w14:textId="77777777" w:rsidR="006741ED" w:rsidRPr="00C83E6A" w:rsidRDefault="006741ED" w:rsidP="001D6451">
            <w:pPr>
              <w:keepNext/>
              <w:ind w:left="-93" w:right="-85"/>
              <w:jc w:val="both"/>
              <w:rPr>
                <w:rFonts w:eastAsia="Calibri"/>
                <w:b/>
                <w:bCs/>
                <w:lang w:val="sr-Latn-RS"/>
              </w:rPr>
            </w:pPr>
            <w:r w:rsidRPr="00C83E6A">
              <w:rPr>
                <w:b/>
                <w:lang w:val="sr-Latn-RS"/>
              </w:rPr>
              <w:t>(%)</w:t>
            </w:r>
          </w:p>
        </w:tc>
        <w:tc>
          <w:tcPr>
            <w:tcW w:w="374" w:type="pct"/>
            <w:shd w:val="clear" w:color="auto" w:fill="D9D9D9"/>
            <w:tcMar>
              <w:top w:w="11" w:type="dxa"/>
              <w:left w:w="90" w:type="dxa"/>
              <w:bottom w:w="0" w:type="dxa"/>
              <w:right w:w="90" w:type="dxa"/>
            </w:tcMar>
          </w:tcPr>
          <w:p w14:paraId="7E4F4A74" w14:textId="77777777" w:rsidR="00D26E8E" w:rsidRPr="00C83E6A" w:rsidRDefault="006741ED" w:rsidP="001D6451">
            <w:pPr>
              <w:keepNext/>
              <w:tabs>
                <w:tab w:val="clear" w:pos="567"/>
              </w:tabs>
              <w:ind w:left="-95" w:right="-83"/>
              <w:jc w:val="both"/>
              <w:rPr>
                <w:rFonts w:eastAsia="PMingLiU"/>
                <w:b/>
                <w:bCs/>
                <w:lang w:val="sr-Latn-RS"/>
              </w:rPr>
            </w:pPr>
            <w:r w:rsidRPr="00C83E6A">
              <w:rPr>
                <w:b/>
                <w:lang w:val="sr-Latn-RS"/>
              </w:rPr>
              <w:t>Non-HDL-C</w:t>
            </w:r>
          </w:p>
          <w:p w14:paraId="42E83489" w14:textId="77777777" w:rsidR="006741ED" w:rsidRPr="00C83E6A" w:rsidRDefault="006741ED" w:rsidP="001D6451">
            <w:pPr>
              <w:keepNext/>
              <w:tabs>
                <w:tab w:val="clear" w:pos="567"/>
              </w:tabs>
              <w:ind w:left="-95" w:right="-83"/>
              <w:jc w:val="both"/>
              <w:rPr>
                <w:rFonts w:eastAsia="Calibri"/>
                <w:b/>
                <w:bCs/>
                <w:lang w:val="sr-Latn-RS"/>
              </w:rPr>
            </w:pPr>
            <w:r w:rsidRPr="00C83E6A">
              <w:rPr>
                <w:b/>
                <w:lang w:val="sr-Latn-RS"/>
              </w:rPr>
              <w:t>(%)</w:t>
            </w:r>
          </w:p>
        </w:tc>
        <w:tc>
          <w:tcPr>
            <w:tcW w:w="360" w:type="pct"/>
            <w:shd w:val="clear" w:color="auto" w:fill="D9D9D9"/>
            <w:tcMar>
              <w:top w:w="11" w:type="dxa"/>
              <w:left w:w="11" w:type="dxa"/>
              <w:bottom w:w="0" w:type="dxa"/>
              <w:right w:w="11" w:type="dxa"/>
            </w:tcMar>
          </w:tcPr>
          <w:p w14:paraId="613430ED" w14:textId="77777777" w:rsidR="00D26E8E" w:rsidRPr="00C83E6A" w:rsidRDefault="006741ED" w:rsidP="001D6451">
            <w:pPr>
              <w:keepNext/>
              <w:jc w:val="both"/>
              <w:rPr>
                <w:rFonts w:eastAsia="PMingLiU"/>
                <w:b/>
                <w:bCs/>
                <w:lang w:val="sr-Latn-RS"/>
              </w:rPr>
            </w:pPr>
            <w:r w:rsidRPr="00C83E6A">
              <w:rPr>
                <w:b/>
                <w:lang w:val="sr-Latn-RS"/>
              </w:rPr>
              <w:t>ApoB</w:t>
            </w:r>
          </w:p>
          <w:p w14:paraId="2A45E70A" w14:textId="77777777" w:rsidR="006741ED" w:rsidRPr="00C83E6A" w:rsidRDefault="006741ED" w:rsidP="001D6451">
            <w:pPr>
              <w:keepNext/>
              <w:jc w:val="both"/>
              <w:rPr>
                <w:rFonts w:eastAsia="Calibri"/>
                <w:b/>
                <w:bCs/>
                <w:lang w:val="sr-Latn-RS"/>
              </w:rPr>
            </w:pPr>
            <w:r w:rsidRPr="00C83E6A">
              <w:rPr>
                <w:b/>
                <w:lang w:val="sr-Latn-RS"/>
              </w:rPr>
              <w:t>(%)</w:t>
            </w:r>
          </w:p>
        </w:tc>
        <w:tc>
          <w:tcPr>
            <w:tcW w:w="360" w:type="pct"/>
            <w:shd w:val="clear" w:color="auto" w:fill="D9D9D9"/>
            <w:tcMar>
              <w:top w:w="11" w:type="dxa"/>
              <w:left w:w="11" w:type="dxa"/>
              <w:bottom w:w="0" w:type="dxa"/>
              <w:right w:w="11" w:type="dxa"/>
            </w:tcMar>
          </w:tcPr>
          <w:p w14:paraId="56BD3689" w14:textId="77777777" w:rsidR="00D26E8E" w:rsidRPr="00C83E6A" w:rsidRDefault="006741ED" w:rsidP="001D6451">
            <w:pPr>
              <w:keepNext/>
              <w:jc w:val="both"/>
              <w:rPr>
                <w:rFonts w:eastAsia="PMingLiU"/>
                <w:b/>
                <w:bCs/>
                <w:lang w:val="sr-Latn-RS"/>
              </w:rPr>
            </w:pPr>
            <w:r w:rsidRPr="00C83E6A">
              <w:rPr>
                <w:b/>
                <w:lang w:val="sr-Latn-RS"/>
              </w:rPr>
              <w:t>TC</w:t>
            </w:r>
          </w:p>
          <w:p w14:paraId="33E1FFAF" w14:textId="77777777" w:rsidR="006741ED" w:rsidRPr="00C83E6A" w:rsidRDefault="006741ED" w:rsidP="001D6451">
            <w:pPr>
              <w:keepNext/>
              <w:jc w:val="both"/>
              <w:rPr>
                <w:rFonts w:eastAsia="Calibri"/>
                <w:b/>
                <w:bCs/>
                <w:lang w:val="sr-Latn-RS"/>
              </w:rPr>
            </w:pPr>
            <w:r w:rsidRPr="00C83E6A">
              <w:rPr>
                <w:b/>
                <w:lang w:val="sr-Latn-RS"/>
              </w:rPr>
              <w:t>(%)</w:t>
            </w:r>
          </w:p>
        </w:tc>
        <w:tc>
          <w:tcPr>
            <w:tcW w:w="372" w:type="pct"/>
            <w:shd w:val="clear" w:color="auto" w:fill="D9D9D9"/>
            <w:tcMar>
              <w:top w:w="11" w:type="dxa"/>
              <w:left w:w="11" w:type="dxa"/>
              <w:bottom w:w="0" w:type="dxa"/>
              <w:right w:w="11" w:type="dxa"/>
            </w:tcMar>
          </w:tcPr>
          <w:p w14:paraId="001AB538" w14:textId="77777777" w:rsidR="00D26E8E" w:rsidRPr="00C83E6A" w:rsidRDefault="006741ED" w:rsidP="001D6451">
            <w:pPr>
              <w:keepNext/>
              <w:jc w:val="both"/>
              <w:rPr>
                <w:rFonts w:eastAsia="PMingLiU"/>
                <w:b/>
                <w:bCs/>
                <w:lang w:val="sr-Latn-RS"/>
              </w:rPr>
            </w:pPr>
            <w:r w:rsidRPr="00C83E6A">
              <w:rPr>
                <w:b/>
                <w:lang w:val="sr-Latn-RS"/>
              </w:rPr>
              <w:t>Lp(a)</w:t>
            </w:r>
          </w:p>
          <w:p w14:paraId="1BA6D440" w14:textId="77777777" w:rsidR="006741ED" w:rsidRPr="00C83E6A" w:rsidRDefault="006741ED" w:rsidP="001D6451">
            <w:pPr>
              <w:keepNext/>
              <w:jc w:val="both"/>
              <w:rPr>
                <w:rFonts w:eastAsia="Calibri"/>
                <w:b/>
                <w:bCs/>
                <w:lang w:val="sr-Latn-RS"/>
              </w:rPr>
            </w:pPr>
            <w:r w:rsidRPr="00C83E6A">
              <w:rPr>
                <w:b/>
                <w:lang w:val="sr-Latn-RS"/>
              </w:rPr>
              <w:t>(%)</w:t>
            </w:r>
          </w:p>
        </w:tc>
        <w:tc>
          <w:tcPr>
            <w:tcW w:w="332" w:type="pct"/>
            <w:shd w:val="clear" w:color="auto" w:fill="D9D9D9"/>
            <w:tcMar>
              <w:top w:w="11" w:type="dxa"/>
              <w:left w:w="11" w:type="dxa"/>
              <w:bottom w:w="0" w:type="dxa"/>
              <w:right w:w="11" w:type="dxa"/>
            </w:tcMar>
          </w:tcPr>
          <w:p w14:paraId="6A2969D9" w14:textId="77777777" w:rsidR="00D26E8E" w:rsidRPr="00C83E6A" w:rsidRDefault="006741ED" w:rsidP="001D6451">
            <w:pPr>
              <w:keepNext/>
              <w:tabs>
                <w:tab w:val="clear" w:pos="567"/>
              </w:tabs>
              <w:ind w:left="-19"/>
              <w:jc w:val="both"/>
              <w:rPr>
                <w:rFonts w:eastAsia="PMingLiU"/>
                <w:b/>
                <w:bCs/>
                <w:lang w:val="sr-Latn-RS"/>
              </w:rPr>
            </w:pPr>
            <w:r w:rsidRPr="00C83E6A">
              <w:rPr>
                <w:b/>
                <w:lang w:val="sr-Latn-RS"/>
              </w:rPr>
              <w:t>VLDL-C</w:t>
            </w:r>
          </w:p>
          <w:p w14:paraId="51CEA6D0" w14:textId="77777777" w:rsidR="006741ED" w:rsidRPr="00C83E6A" w:rsidRDefault="006741ED" w:rsidP="001D6451">
            <w:pPr>
              <w:keepNext/>
              <w:jc w:val="both"/>
              <w:rPr>
                <w:rFonts w:eastAsia="Calibri"/>
                <w:b/>
                <w:bCs/>
                <w:lang w:val="sr-Latn-RS"/>
              </w:rPr>
            </w:pPr>
            <w:r w:rsidRPr="00C83E6A">
              <w:rPr>
                <w:b/>
                <w:lang w:val="sr-Latn-RS"/>
              </w:rPr>
              <w:t>(%)</w:t>
            </w:r>
          </w:p>
        </w:tc>
        <w:tc>
          <w:tcPr>
            <w:tcW w:w="313" w:type="pct"/>
            <w:shd w:val="clear" w:color="auto" w:fill="D9D9D9"/>
            <w:tcMar>
              <w:top w:w="11" w:type="dxa"/>
              <w:left w:w="11" w:type="dxa"/>
              <w:bottom w:w="0" w:type="dxa"/>
              <w:right w:w="11" w:type="dxa"/>
            </w:tcMar>
          </w:tcPr>
          <w:p w14:paraId="7FE25280" w14:textId="77777777" w:rsidR="00D26E8E" w:rsidRPr="00C83E6A" w:rsidRDefault="006741ED" w:rsidP="001D6451">
            <w:pPr>
              <w:keepNext/>
              <w:jc w:val="both"/>
              <w:rPr>
                <w:rFonts w:eastAsia="PMingLiU"/>
                <w:b/>
                <w:bCs/>
                <w:lang w:val="sr-Latn-RS"/>
              </w:rPr>
            </w:pPr>
            <w:r w:rsidRPr="00C83E6A">
              <w:rPr>
                <w:b/>
                <w:lang w:val="sr-Latn-RS"/>
              </w:rPr>
              <w:t>HDL-C</w:t>
            </w:r>
          </w:p>
          <w:p w14:paraId="2883E9A5" w14:textId="77777777" w:rsidR="006741ED" w:rsidRPr="00C83E6A" w:rsidRDefault="006741ED" w:rsidP="001D6451">
            <w:pPr>
              <w:keepNext/>
              <w:jc w:val="both"/>
              <w:rPr>
                <w:rFonts w:eastAsia="Calibri"/>
                <w:b/>
                <w:bCs/>
                <w:lang w:val="sr-Latn-RS"/>
              </w:rPr>
            </w:pPr>
            <w:r w:rsidRPr="00C83E6A">
              <w:rPr>
                <w:b/>
                <w:lang w:val="sr-Latn-RS"/>
              </w:rPr>
              <w:t>(%)</w:t>
            </w:r>
          </w:p>
        </w:tc>
        <w:tc>
          <w:tcPr>
            <w:tcW w:w="301" w:type="pct"/>
            <w:shd w:val="clear" w:color="auto" w:fill="D9D9D9"/>
          </w:tcPr>
          <w:p w14:paraId="67A71D34" w14:textId="77777777" w:rsidR="00D26E8E" w:rsidRPr="00C83E6A" w:rsidRDefault="006741ED" w:rsidP="001D6451">
            <w:pPr>
              <w:keepNext/>
              <w:jc w:val="both"/>
              <w:rPr>
                <w:rFonts w:eastAsia="PMingLiU"/>
                <w:b/>
                <w:bCs/>
                <w:lang w:val="sr-Latn-RS"/>
              </w:rPr>
            </w:pPr>
            <w:r w:rsidRPr="00C83E6A">
              <w:rPr>
                <w:b/>
                <w:lang w:val="sr-Latn-RS"/>
              </w:rPr>
              <w:t>TG</w:t>
            </w:r>
          </w:p>
          <w:p w14:paraId="111851EC" w14:textId="77777777" w:rsidR="006741ED" w:rsidRPr="00C83E6A" w:rsidRDefault="006741ED" w:rsidP="001D6451">
            <w:pPr>
              <w:keepNext/>
              <w:jc w:val="both"/>
              <w:rPr>
                <w:rFonts w:eastAsia="Calibri"/>
                <w:b/>
                <w:bCs/>
                <w:lang w:val="sr-Latn-RS"/>
              </w:rPr>
            </w:pPr>
            <w:r w:rsidRPr="00C83E6A">
              <w:rPr>
                <w:b/>
                <w:lang w:val="sr-Latn-RS"/>
              </w:rPr>
              <w:t>(%)</w:t>
            </w:r>
          </w:p>
        </w:tc>
        <w:tc>
          <w:tcPr>
            <w:tcW w:w="361" w:type="pct"/>
            <w:shd w:val="clear" w:color="auto" w:fill="D9D9D9"/>
            <w:tcMar>
              <w:top w:w="11" w:type="dxa"/>
              <w:left w:w="11" w:type="dxa"/>
              <w:bottom w:w="0" w:type="dxa"/>
              <w:right w:w="11" w:type="dxa"/>
            </w:tcMar>
          </w:tcPr>
          <w:p w14:paraId="6D0B9223" w14:textId="77777777" w:rsidR="00D26E8E" w:rsidRPr="00C83E6A" w:rsidRDefault="006741ED" w:rsidP="001D6451">
            <w:pPr>
              <w:keepNext/>
              <w:jc w:val="both"/>
              <w:rPr>
                <w:rFonts w:eastAsia="PMingLiU"/>
                <w:b/>
                <w:bCs/>
                <w:lang w:val="sr-Latn-RS"/>
              </w:rPr>
            </w:pPr>
            <w:r w:rsidRPr="00C83E6A">
              <w:rPr>
                <w:b/>
                <w:lang w:val="sr-Latn-RS"/>
              </w:rPr>
              <w:t>ApoA1</w:t>
            </w:r>
          </w:p>
          <w:p w14:paraId="6FF24CE3" w14:textId="77777777" w:rsidR="006741ED" w:rsidRPr="00C83E6A" w:rsidRDefault="006741ED" w:rsidP="001D6451">
            <w:pPr>
              <w:keepNext/>
              <w:jc w:val="both"/>
              <w:rPr>
                <w:rFonts w:eastAsia="Calibri"/>
                <w:b/>
                <w:bCs/>
                <w:lang w:val="sr-Latn-RS"/>
              </w:rPr>
            </w:pPr>
            <w:r w:rsidRPr="00C83E6A">
              <w:rPr>
                <w:b/>
                <w:lang w:val="sr-Latn-RS"/>
              </w:rPr>
              <w:t>(%)</w:t>
            </w:r>
          </w:p>
        </w:tc>
        <w:tc>
          <w:tcPr>
            <w:tcW w:w="360" w:type="pct"/>
            <w:shd w:val="clear" w:color="auto" w:fill="D9D9D9"/>
          </w:tcPr>
          <w:p w14:paraId="3D7C8A30" w14:textId="77777777" w:rsidR="00D26E8E" w:rsidRPr="00C83E6A" w:rsidRDefault="006741ED" w:rsidP="001D6451">
            <w:pPr>
              <w:keepNext/>
              <w:jc w:val="both"/>
              <w:rPr>
                <w:rFonts w:eastAsia="PMingLiU"/>
                <w:b/>
                <w:bCs/>
                <w:color w:val="000000"/>
                <w:lang w:val="sr-Latn-RS"/>
              </w:rPr>
            </w:pPr>
            <w:r w:rsidRPr="00C83E6A">
              <w:rPr>
                <w:b/>
                <w:color w:val="000000"/>
                <w:lang w:val="sr-Latn-RS"/>
              </w:rPr>
              <w:t>Odnos TC/</w:t>
            </w:r>
            <w:r w:rsidRPr="00C83E6A">
              <w:rPr>
                <w:b/>
                <w:color w:val="000000"/>
                <w:lang w:val="sr-Latn-RS"/>
              </w:rPr>
              <w:br/>
              <w:t>HDL-C</w:t>
            </w:r>
          </w:p>
          <w:p w14:paraId="6DCE38AA" w14:textId="77777777" w:rsidR="006741ED" w:rsidRPr="00C83E6A" w:rsidRDefault="006741ED" w:rsidP="001D6451">
            <w:pPr>
              <w:keepNext/>
              <w:jc w:val="both"/>
              <w:rPr>
                <w:rFonts w:eastAsia="Calibri"/>
                <w:b/>
                <w:bCs/>
                <w:color w:val="000000"/>
                <w:lang w:val="sr-Latn-RS"/>
              </w:rPr>
            </w:pPr>
            <w:r w:rsidRPr="00C83E6A">
              <w:rPr>
                <w:b/>
                <w:color w:val="000000"/>
                <w:lang w:val="sr-Latn-RS"/>
              </w:rPr>
              <w:t>%</w:t>
            </w:r>
          </w:p>
        </w:tc>
        <w:tc>
          <w:tcPr>
            <w:tcW w:w="355" w:type="pct"/>
            <w:shd w:val="clear" w:color="auto" w:fill="D9D9D9"/>
          </w:tcPr>
          <w:p w14:paraId="1B60BACF" w14:textId="77777777" w:rsidR="00D26E8E" w:rsidRPr="00C83E6A" w:rsidRDefault="006741ED" w:rsidP="001D6451">
            <w:pPr>
              <w:keepNext/>
              <w:jc w:val="both"/>
              <w:rPr>
                <w:rFonts w:eastAsia="PMingLiU"/>
                <w:b/>
                <w:bCs/>
                <w:color w:val="000000"/>
                <w:lang w:val="sr-Latn-RS"/>
              </w:rPr>
            </w:pPr>
            <w:r w:rsidRPr="00C83E6A">
              <w:rPr>
                <w:b/>
                <w:color w:val="000000"/>
                <w:lang w:val="sr-Latn-RS"/>
              </w:rPr>
              <w:t>Odnos ApoB/</w:t>
            </w:r>
            <w:r w:rsidRPr="00C83E6A">
              <w:rPr>
                <w:b/>
                <w:color w:val="000000"/>
                <w:lang w:val="sr-Latn-RS"/>
              </w:rPr>
              <w:br/>
              <w:t>ApoA1</w:t>
            </w:r>
          </w:p>
          <w:p w14:paraId="68EB6426" w14:textId="77777777" w:rsidR="006741ED" w:rsidRPr="00C83E6A" w:rsidRDefault="006741ED" w:rsidP="001D6451">
            <w:pPr>
              <w:keepNext/>
              <w:jc w:val="both"/>
              <w:rPr>
                <w:rFonts w:eastAsia="Calibri"/>
                <w:b/>
                <w:bCs/>
                <w:color w:val="000000"/>
                <w:lang w:val="sr-Latn-RS"/>
              </w:rPr>
            </w:pPr>
            <w:r w:rsidRPr="00C83E6A">
              <w:rPr>
                <w:b/>
                <w:color w:val="000000"/>
                <w:lang w:val="sr-Latn-RS"/>
              </w:rPr>
              <w:t>%</w:t>
            </w:r>
          </w:p>
        </w:tc>
      </w:tr>
      <w:tr w:rsidR="001935E8" w:rsidRPr="00C83E6A" w:rsidDel="00DD0163" w14:paraId="1061763A" w14:textId="77777777" w:rsidTr="001935E8">
        <w:trPr>
          <w:cantSplit/>
          <w:trHeight w:val="248"/>
        </w:trPr>
        <w:tc>
          <w:tcPr>
            <w:tcW w:w="604" w:type="pct"/>
            <w:vMerge w:val="restart"/>
            <w:vAlign w:val="center"/>
          </w:tcPr>
          <w:p w14:paraId="7A4B8A87" w14:textId="77777777" w:rsidR="00D26E8E" w:rsidRPr="00C83E6A" w:rsidRDefault="006741ED" w:rsidP="001D6451">
            <w:pPr>
              <w:keepNext/>
              <w:rPr>
                <w:rFonts w:eastAsia="PMingLiU"/>
                <w:lang w:val="sr-Latn-RS"/>
              </w:rPr>
            </w:pPr>
            <w:r w:rsidRPr="00C83E6A">
              <w:rPr>
                <w:lang w:val="sr-Latn-RS"/>
              </w:rPr>
              <w:t>LAPLACE</w:t>
            </w:r>
            <w:r w:rsidRPr="00C83E6A">
              <w:rPr>
                <w:lang w:val="sr-Latn-RS"/>
              </w:rPr>
              <w:noBreakHyphen/>
              <w:t>2</w:t>
            </w:r>
          </w:p>
          <w:p w14:paraId="3F0E5DEC" w14:textId="77777777" w:rsidR="00D26E8E" w:rsidRPr="00C83E6A" w:rsidRDefault="006741ED" w:rsidP="001D6451">
            <w:pPr>
              <w:keepNext/>
              <w:rPr>
                <w:rFonts w:eastAsia="PMingLiU"/>
                <w:lang w:val="sr-Latn-RS"/>
              </w:rPr>
            </w:pPr>
            <w:r w:rsidRPr="00C83E6A">
              <w:rPr>
                <w:lang w:val="sr-Latn-RS"/>
              </w:rPr>
              <w:t>(HMD)</w:t>
            </w:r>
          </w:p>
          <w:p w14:paraId="2535EA66" w14:textId="77777777" w:rsidR="006741ED" w:rsidRPr="00C83E6A" w:rsidRDefault="006741ED" w:rsidP="001D6451">
            <w:pPr>
              <w:keepNext/>
              <w:rPr>
                <w:rFonts w:eastAsia="Calibri"/>
                <w:lang w:val="sr-Latn-RS"/>
              </w:rPr>
            </w:pPr>
            <w:r w:rsidRPr="00C83E6A">
              <w:rPr>
                <w:lang w:val="sr-Latn-RS"/>
              </w:rPr>
              <w:t>(grupe koje su primale kombinaciju sa atorvastatinom)</w:t>
            </w:r>
          </w:p>
        </w:tc>
        <w:tc>
          <w:tcPr>
            <w:tcW w:w="544" w:type="pct"/>
            <w:tcMar>
              <w:top w:w="11" w:type="dxa"/>
              <w:left w:w="90" w:type="dxa"/>
              <w:bottom w:w="0" w:type="dxa"/>
              <w:right w:w="90" w:type="dxa"/>
            </w:tcMar>
            <w:vAlign w:val="center"/>
          </w:tcPr>
          <w:p w14:paraId="206DFF5B" w14:textId="77777777" w:rsidR="00D26E8E" w:rsidRPr="00C83E6A" w:rsidRDefault="006741ED" w:rsidP="002F120E">
            <w:pPr>
              <w:pStyle w:val="StyleTablecell"/>
              <w:rPr>
                <w:rFonts w:eastAsia="PMingLiU"/>
                <w:sz w:val="22"/>
                <w:szCs w:val="22"/>
                <w:lang w:val="sr-Latn-RS"/>
              </w:rPr>
            </w:pPr>
            <w:r w:rsidRPr="00C83E6A">
              <w:rPr>
                <w:sz w:val="22"/>
                <w:szCs w:val="22"/>
                <w:lang w:val="sr-Latn-RS"/>
              </w:rPr>
              <w:t>140 mg Q2W</w:t>
            </w:r>
          </w:p>
          <w:p w14:paraId="36EA17A8" w14:textId="77777777" w:rsidR="006741ED" w:rsidRPr="00C83E6A" w:rsidRDefault="006741ED">
            <w:pPr>
              <w:pStyle w:val="StyleTablecell"/>
              <w:rPr>
                <w:sz w:val="22"/>
                <w:szCs w:val="22"/>
                <w:lang w:val="sr-Latn-RS"/>
              </w:rPr>
            </w:pPr>
            <w:r w:rsidRPr="00C83E6A">
              <w:rPr>
                <w:sz w:val="22"/>
                <w:szCs w:val="22"/>
                <w:lang w:val="sr-Latn-RS"/>
              </w:rPr>
              <w:t>(N = 219)</w:t>
            </w:r>
          </w:p>
        </w:tc>
        <w:tc>
          <w:tcPr>
            <w:tcW w:w="364" w:type="pct"/>
            <w:tcMar>
              <w:top w:w="11" w:type="dxa"/>
              <w:left w:w="90" w:type="dxa"/>
              <w:bottom w:w="0" w:type="dxa"/>
              <w:right w:w="90" w:type="dxa"/>
            </w:tcMar>
            <w:vAlign w:val="center"/>
          </w:tcPr>
          <w:p w14:paraId="4D9A5A74" w14:textId="77777777" w:rsidR="00D26E8E" w:rsidRPr="00C83E6A" w:rsidRDefault="006741ED">
            <w:pPr>
              <w:keepNext/>
              <w:autoSpaceDE w:val="0"/>
              <w:autoSpaceDN w:val="0"/>
              <w:adjustRightInd w:val="0"/>
              <w:ind w:left="-89" w:right="-101"/>
              <w:jc w:val="center"/>
              <w:rPr>
                <w:rFonts w:eastAsia="PMingLiU"/>
                <w:lang w:val="sr-Latn-RS"/>
              </w:rPr>
            </w:pPr>
            <w:r w:rsidRPr="00C83E6A">
              <w:rPr>
                <w:lang w:val="sr-Latn-RS"/>
              </w:rPr>
              <w:t>-43</w:t>
            </w:r>
            <w:r w:rsidRPr="00C83E6A">
              <w:rPr>
                <w:vertAlign w:val="superscript"/>
                <w:lang w:val="sr-Latn-RS"/>
              </w:rPr>
              <w:t>c</w:t>
            </w:r>
          </w:p>
          <w:p w14:paraId="358CE67D" w14:textId="77777777" w:rsidR="006741ED" w:rsidRPr="00C83E6A" w:rsidRDefault="006741ED">
            <w:pPr>
              <w:keepNext/>
              <w:autoSpaceDE w:val="0"/>
              <w:autoSpaceDN w:val="0"/>
              <w:adjustRightInd w:val="0"/>
              <w:ind w:left="-89" w:right="-101"/>
              <w:jc w:val="center"/>
              <w:rPr>
                <w:rFonts w:eastAsia="Calibri"/>
                <w:lang w:val="sr-Latn-RS"/>
              </w:rPr>
            </w:pPr>
            <w:r w:rsidRPr="00C83E6A">
              <w:rPr>
                <w:lang w:val="sr-Latn-RS"/>
              </w:rPr>
              <w:t>(-50, -37)</w:t>
            </w:r>
          </w:p>
        </w:tc>
        <w:tc>
          <w:tcPr>
            <w:tcW w:w="374" w:type="pct"/>
            <w:tcMar>
              <w:top w:w="11" w:type="dxa"/>
              <w:left w:w="90" w:type="dxa"/>
              <w:bottom w:w="0" w:type="dxa"/>
              <w:right w:w="90" w:type="dxa"/>
            </w:tcMar>
            <w:vAlign w:val="center"/>
          </w:tcPr>
          <w:p w14:paraId="797314C9" w14:textId="77777777" w:rsidR="00D26E8E" w:rsidRPr="00C83E6A" w:rsidRDefault="006741ED">
            <w:pPr>
              <w:keepNext/>
              <w:autoSpaceDE w:val="0"/>
              <w:autoSpaceDN w:val="0"/>
              <w:adjustRightInd w:val="0"/>
              <w:ind w:left="-89" w:right="-101"/>
              <w:jc w:val="center"/>
              <w:rPr>
                <w:rFonts w:eastAsia="PMingLiU"/>
                <w:lang w:val="sr-Latn-RS"/>
              </w:rPr>
            </w:pPr>
            <w:r w:rsidRPr="00C83E6A">
              <w:rPr>
                <w:lang w:val="sr-Latn-RS"/>
              </w:rPr>
              <w:t>-34</w:t>
            </w:r>
            <w:r w:rsidRPr="00C83E6A">
              <w:rPr>
                <w:vertAlign w:val="superscript"/>
                <w:lang w:val="sr-Latn-RS"/>
              </w:rPr>
              <w:t>c</w:t>
            </w:r>
          </w:p>
          <w:p w14:paraId="4EF158E2" w14:textId="77777777" w:rsidR="006741ED" w:rsidRPr="00C83E6A" w:rsidRDefault="006741ED">
            <w:pPr>
              <w:keepNext/>
              <w:autoSpaceDE w:val="0"/>
              <w:autoSpaceDN w:val="0"/>
              <w:adjustRightInd w:val="0"/>
              <w:ind w:left="-79" w:right="-108"/>
              <w:jc w:val="center"/>
              <w:rPr>
                <w:rFonts w:eastAsia="Calibri"/>
                <w:lang w:val="sr-Latn-RS"/>
              </w:rPr>
            </w:pPr>
            <w:r w:rsidRPr="00C83E6A">
              <w:rPr>
                <w:lang w:val="sr-Latn-RS"/>
              </w:rPr>
              <w:t>(-39, -30)</w:t>
            </w:r>
          </w:p>
        </w:tc>
        <w:tc>
          <w:tcPr>
            <w:tcW w:w="360" w:type="pct"/>
            <w:tcMar>
              <w:top w:w="11" w:type="dxa"/>
              <w:left w:w="11" w:type="dxa"/>
              <w:bottom w:w="0" w:type="dxa"/>
              <w:right w:w="11" w:type="dxa"/>
            </w:tcMar>
            <w:vAlign w:val="center"/>
          </w:tcPr>
          <w:p w14:paraId="1BEBA54E" w14:textId="77777777" w:rsidR="00D26E8E" w:rsidRPr="00C83E6A" w:rsidRDefault="006741ED">
            <w:pPr>
              <w:keepNext/>
              <w:autoSpaceDE w:val="0"/>
              <w:autoSpaceDN w:val="0"/>
              <w:adjustRightInd w:val="0"/>
              <w:ind w:left="-89" w:right="-101"/>
              <w:jc w:val="center"/>
              <w:rPr>
                <w:rFonts w:eastAsia="PMingLiU"/>
                <w:lang w:val="sr-Latn-RS"/>
              </w:rPr>
            </w:pPr>
            <w:r w:rsidRPr="00C83E6A">
              <w:rPr>
                <w:lang w:val="sr-Latn-RS"/>
              </w:rPr>
              <w:t>-34</w:t>
            </w:r>
            <w:r w:rsidRPr="00C83E6A">
              <w:rPr>
                <w:vertAlign w:val="superscript"/>
                <w:lang w:val="sr-Latn-RS"/>
              </w:rPr>
              <w:t>c</w:t>
            </w:r>
          </w:p>
          <w:p w14:paraId="3A315496" w14:textId="77777777" w:rsidR="006741ED" w:rsidRPr="00C83E6A" w:rsidRDefault="006741ED">
            <w:pPr>
              <w:keepNext/>
              <w:jc w:val="center"/>
              <w:rPr>
                <w:rFonts w:eastAsia="Calibri"/>
                <w:lang w:val="sr-Latn-RS"/>
              </w:rPr>
            </w:pPr>
            <w:r w:rsidRPr="00C83E6A">
              <w:rPr>
                <w:lang w:val="sr-Latn-RS"/>
              </w:rPr>
              <w:t>(-38, -30)</w:t>
            </w:r>
          </w:p>
        </w:tc>
        <w:tc>
          <w:tcPr>
            <w:tcW w:w="360" w:type="pct"/>
            <w:tcMar>
              <w:top w:w="11" w:type="dxa"/>
              <w:left w:w="11" w:type="dxa"/>
              <w:bottom w:w="0" w:type="dxa"/>
              <w:right w:w="11" w:type="dxa"/>
            </w:tcMar>
            <w:vAlign w:val="center"/>
          </w:tcPr>
          <w:p w14:paraId="1186E1A0" w14:textId="77777777" w:rsidR="00D26E8E" w:rsidRPr="00C83E6A" w:rsidRDefault="006741ED">
            <w:pPr>
              <w:keepNext/>
              <w:autoSpaceDE w:val="0"/>
              <w:autoSpaceDN w:val="0"/>
              <w:adjustRightInd w:val="0"/>
              <w:ind w:left="-89" w:right="-101"/>
              <w:jc w:val="center"/>
              <w:rPr>
                <w:rFonts w:eastAsia="PMingLiU"/>
                <w:lang w:val="sr-Latn-RS"/>
              </w:rPr>
            </w:pPr>
            <w:r w:rsidRPr="00C83E6A">
              <w:rPr>
                <w:lang w:val="sr-Latn-RS"/>
              </w:rPr>
              <w:t>-23</w:t>
            </w:r>
            <w:r w:rsidRPr="00C83E6A">
              <w:rPr>
                <w:vertAlign w:val="superscript"/>
                <w:lang w:val="sr-Latn-RS"/>
              </w:rPr>
              <w:t>c</w:t>
            </w:r>
          </w:p>
          <w:p w14:paraId="7E8A7683" w14:textId="77777777" w:rsidR="006741ED" w:rsidRPr="00C83E6A" w:rsidRDefault="006741ED">
            <w:pPr>
              <w:keepNext/>
              <w:jc w:val="center"/>
              <w:rPr>
                <w:rFonts w:eastAsia="Calibri"/>
                <w:lang w:val="sr-Latn-RS"/>
              </w:rPr>
            </w:pPr>
            <w:r w:rsidRPr="00C83E6A">
              <w:rPr>
                <w:lang w:val="sr-Latn-RS"/>
              </w:rPr>
              <w:t>(-26, -19)</w:t>
            </w:r>
          </w:p>
        </w:tc>
        <w:tc>
          <w:tcPr>
            <w:tcW w:w="372" w:type="pct"/>
            <w:tcMar>
              <w:top w:w="11" w:type="dxa"/>
              <w:left w:w="11" w:type="dxa"/>
              <w:bottom w:w="0" w:type="dxa"/>
              <w:right w:w="11" w:type="dxa"/>
            </w:tcMar>
            <w:vAlign w:val="center"/>
          </w:tcPr>
          <w:p w14:paraId="20F1730E" w14:textId="77777777" w:rsidR="00D26E8E" w:rsidRPr="00C83E6A" w:rsidRDefault="006741ED">
            <w:pPr>
              <w:keepNext/>
              <w:autoSpaceDE w:val="0"/>
              <w:autoSpaceDN w:val="0"/>
              <w:adjustRightInd w:val="0"/>
              <w:ind w:left="-89" w:right="-101"/>
              <w:jc w:val="center"/>
              <w:rPr>
                <w:rFonts w:eastAsia="PMingLiU"/>
                <w:lang w:val="sr-Latn-RS"/>
              </w:rPr>
            </w:pPr>
            <w:r w:rsidRPr="00C83E6A">
              <w:rPr>
                <w:lang w:val="sr-Latn-RS"/>
              </w:rPr>
              <w:t>-30</w:t>
            </w:r>
            <w:r w:rsidRPr="00C83E6A">
              <w:rPr>
                <w:vertAlign w:val="superscript"/>
                <w:lang w:val="sr-Latn-RS"/>
              </w:rPr>
              <w:t>c</w:t>
            </w:r>
          </w:p>
          <w:p w14:paraId="69D7B67A" w14:textId="77777777" w:rsidR="006741ED" w:rsidRPr="00C83E6A" w:rsidRDefault="006741ED">
            <w:pPr>
              <w:keepNext/>
              <w:jc w:val="center"/>
              <w:rPr>
                <w:rFonts w:eastAsia="Calibri"/>
                <w:lang w:val="sr-Latn-RS"/>
              </w:rPr>
            </w:pPr>
            <w:r w:rsidRPr="00C83E6A">
              <w:rPr>
                <w:lang w:val="sr-Latn-RS"/>
              </w:rPr>
              <w:t>(-35, -25)</w:t>
            </w:r>
          </w:p>
        </w:tc>
        <w:tc>
          <w:tcPr>
            <w:tcW w:w="332" w:type="pct"/>
            <w:tcMar>
              <w:top w:w="11" w:type="dxa"/>
              <w:left w:w="11" w:type="dxa"/>
              <w:bottom w:w="0" w:type="dxa"/>
              <w:right w:w="11" w:type="dxa"/>
            </w:tcMar>
            <w:vAlign w:val="center"/>
          </w:tcPr>
          <w:p w14:paraId="138050B9" w14:textId="77777777" w:rsidR="00D26E8E" w:rsidRPr="00C83E6A" w:rsidRDefault="006741ED">
            <w:pPr>
              <w:keepNext/>
              <w:autoSpaceDE w:val="0"/>
              <w:autoSpaceDN w:val="0"/>
              <w:adjustRightInd w:val="0"/>
              <w:ind w:left="-89" w:right="-101"/>
              <w:jc w:val="center"/>
              <w:rPr>
                <w:rFonts w:eastAsia="PMingLiU"/>
                <w:lang w:val="sr-Latn-RS"/>
              </w:rPr>
            </w:pPr>
            <w:r w:rsidRPr="00C83E6A">
              <w:rPr>
                <w:lang w:val="sr-Latn-RS"/>
              </w:rPr>
              <w:t>-1</w:t>
            </w:r>
          </w:p>
          <w:p w14:paraId="3CA579FC" w14:textId="77777777" w:rsidR="006741ED" w:rsidRPr="00C83E6A" w:rsidDel="00DD0163" w:rsidRDefault="006741ED">
            <w:pPr>
              <w:keepNext/>
              <w:jc w:val="center"/>
              <w:rPr>
                <w:rFonts w:eastAsia="Calibri"/>
                <w:lang w:val="sr-Latn-RS"/>
              </w:rPr>
            </w:pPr>
            <w:r w:rsidRPr="00C83E6A">
              <w:rPr>
                <w:lang w:val="sr-Latn-RS"/>
              </w:rPr>
              <w:t>(-7, 5)</w:t>
            </w:r>
          </w:p>
        </w:tc>
        <w:tc>
          <w:tcPr>
            <w:tcW w:w="313" w:type="pct"/>
            <w:tcMar>
              <w:top w:w="11" w:type="dxa"/>
              <w:left w:w="11" w:type="dxa"/>
              <w:bottom w:w="0" w:type="dxa"/>
              <w:right w:w="11" w:type="dxa"/>
            </w:tcMar>
            <w:vAlign w:val="center"/>
          </w:tcPr>
          <w:p w14:paraId="33459BE7" w14:textId="77777777" w:rsidR="00D26E8E" w:rsidRPr="00C83E6A" w:rsidRDefault="006741ED">
            <w:pPr>
              <w:keepNext/>
              <w:autoSpaceDE w:val="0"/>
              <w:autoSpaceDN w:val="0"/>
              <w:adjustRightInd w:val="0"/>
              <w:ind w:left="-89" w:right="-101"/>
              <w:jc w:val="center"/>
              <w:rPr>
                <w:rFonts w:eastAsia="PMingLiU"/>
                <w:lang w:val="sr-Latn-RS"/>
              </w:rPr>
            </w:pPr>
            <w:r w:rsidRPr="00C83E6A">
              <w:rPr>
                <w:lang w:val="sr-Latn-RS"/>
              </w:rPr>
              <w:t>7</w:t>
            </w:r>
            <w:r w:rsidRPr="00C83E6A">
              <w:rPr>
                <w:vertAlign w:val="superscript"/>
                <w:lang w:val="sr-Latn-RS"/>
              </w:rPr>
              <w:t>c</w:t>
            </w:r>
          </w:p>
          <w:p w14:paraId="107AC137" w14:textId="77777777" w:rsidR="006741ED" w:rsidRPr="00C83E6A" w:rsidRDefault="006741ED">
            <w:pPr>
              <w:keepNext/>
              <w:jc w:val="center"/>
              <w:rPr>
                <w:rFonts w:eastAsia="Calibri"/>
                <w:lang w:val="sr-Latn-RS"/>
              </w:rPr>
            </w:pPr>
            <w:r w:rsidRPr="00C83E6A">
              <w:rPr>
                <w:lang w:val="sr-Latn-RS"/>
              </w:rPr>
              <w:t>(4, 10)</w:t>
            </w:r>
          </w:p>
        </w:tc>
        <w:tc>
          <w:tcPr>
            <w:tcW w:w="301" w:type="pct"/>
            <w:vAlign w:val="center"/>
          </w:tcPr>
          <w:p w14:paraId="50531BB8" w14:textId="77777777" w:rsidR="00D26E8E" w:rsidRPr="00C83E6A" w:rsidRDefault="006741ED">
            <w:pPr>
              <w:keepNext/>
              <w:jc w:val="center"/>
              <w:rPr>
                <w:rFonts w:eastAsia="PMingLiU"/>
                <w:lang w:val="sr-Latn-RS"/>
              </w:rPr>
            </w:pPr>
            <w:r w:rsidRPr="00C83E6A">
              <w:rPr>
                <w:lang w:val="sr-Latn-RS"/>
              </w:rPr>
              <w:t>-2</w:t>
            </w:r>
          </w:p>
          <w:p w14:paraId="1F5B394A" w14:textId="77777777" w:rsidR="006741ED" w:rsidRPr="00C83E6A" w:rsidRDefault="006741ED">
            <w:pPr>
              <w:keepNext/>
              <w:jc w:val="center"/>
              <w:rPr>
                <w:rFonts w:eastAsia="Calibri"/>
                <w:lang w:val="sr-Latn-RS"/>
              </w:rPr>
            </w:pPr>
            <w:r w:rsidRPr="00C83E6A">
              <w:rPr>
                <w:lang w:val="sr-Latn-RS"/>
              </w:rPr>
              <w:t>(-9, 5)</w:t>
            </w:r>
          </w:p>
        </w:tc>
        <w:tc>
          <w:tcPr>
            <w:tcW w:w="361" w:type="pct"/>
            <w:tcMar>
              <w:top w:w="11" w:type="dxa"/>
              <w:left w:w="11" w:type="dxa"/>
              <w:bottom w:w="0" w:type="dxa"/>
              <w:right w:w="11" w:type="dxa"/>
            </w:tcMar>
            <w:vAlign w:val="center"/>
          </w:tcPr>
          <w:p w14:paraId="09B17E63" w14:textId="77777777" w:rsidR="00D26E8E" w:rsidRPr="00C83E6A" w:rsidRDefault="006741ED">
            <w:pPr>
              <w:keepNext/>
              <w:jc w:val="center"/>
              <w:rPr>
                <w:rFonts w:eastAsia="PMingLiU"/>
                <w:lang w:val="sr-Latn-RS"/>
              </w:rPr>
            </w:pPr>
            <w:r w:rsidRPr="00C83E6A">
              <w:rPr>
                <w:lang w:val="sr-Latn-RS"/>
              </w:rPr>
              <w:t>7</w:t>
            </w:r>
            <w:r w:rsidRPr="00C83E6A">
              <w:rPr>
                <w:vertAlign w:val="superscript"/>
                <w:lang w:val="sr-Latn-RS"/>
              </w:rPr>
              <w:t>c</w:t>
            </w:r>
          </w:p>
          <w:p w14:paraId="794A5FC6" w14:textId="77777777" w:rsidR="006741ED" w:rsidRPr="00C83E6A" w:rsidDel="00DD0163" w:rsidRDefault="006741ED">
            <w:pPr>
              <w:keepNext/>
              <w:jc w:val="center"/>
              <w:rPr>
                <w:rFonts w:eastAsia="Calibri"/>
                <w:lang w:val="sr-Latn-RS"/>
              </w:rPr>
            </w:pPr>
            <w:r w:rsidRPr="00C83E6A">
              <w:rPr>
                <w:lang w:val="sr-Latn-RS"/>
              </w:rPr>
              <w:t>(4, 9)</w:t>
            </w:r>
          </w:p>
        </w:tc>
        <w:tc>
          <w:tcPr>
            <w:tcW w:w="360" w:type="pct"/>
            <w:vAlign w:val="center"/>
          </w:tcPr>
          <w:p w14:paraId="35491788" w14:textId="77777777" w:rsidR="00D26E8E" w:rsidRPr="00C83E6A" w:rsidRDefault="006741ED">
            <w:pPr>
              <w:keepNext/>
              <w:jc w:val="center"/>
              <w:rPr>
                <w:rFonts w:eastAsia="PMingLiU"/>
                <w:lang w:val="sr-Latn-RS"/>
              </w:rPr>
            </w:pPr>
            <w:r w:rsidRPr="00C83E6A">
              <w:rPr>
                <w:lang w:val="sr-Latn-RS"/>
              </w:rPr>
              <w:t>-27</w:t>
            </w:r>
            <w:r w:rsidRPr="00C83E6A">
              <w:rPr>
                <w:vertAlign w:val="superscript"/>
                <w:lang w:val="sr-Latn-RS"/>
              </w:rPr>
              <w:t>c</w:t>
            </w:r>
          </w:p>
          <w:p w14:paraId="501885C3" w14:textId="77777777" w:rsidR="006741ED" w:rsidRPr="00C83E6A" w:rsidRDefault="006741ED">
            <w:pPr>
              <w:keepNext/>
              <w:jc w:val="center"/>
              <w:rPr>
                <w:rFonts w:eastAsia="Calibri"/>
                <w:lang w:val="sr-Latn-RS"/>
              </w:rPr>
            </w:pPr>
            <w:r w:rsidRPr="00C83E6A">
              <w:rPr>
                <w:lang w:val="sr-Latn-RS"/>
              </w:rPr>
              <w:t>(-30, -23)</w:t>
            </w:r>
          </w:p>
        </w:tc>
        <w:tc>
          <w:tcPr>
            <w:tcW w:w="355" w:type="pct"/>
            <w:vAlign w:val="center"/>
          </w:tcPr>
          <w:p w14:paraId="57D05D02" w14:textId="77777777" w:rsidR="00D26E8E" w:rsidRPr="00C83E6A" w:rsidRDefault="006741ED">
            <w:pPr>
              <w:keepNext/>
              <w:jc w:val="center"/>
              <w:rPr>
                <w:rFonts w:eastAsia="PMingLiU"/>
                <w:lang w:val="sr-Latn-RS"/>
              </w:rPr>
            </w:pPr>
            <w:r w:rsidRPr="00C83E6A">
              <w:rPr>
                <w:lang w:val="sr-Latn-RS"/>
              </w:rPr>
              <w:t>-38</w:t>
            </w:r>
            <w:r w:rsidRPr="00C83E6A">
              <w:rPr>
                <w:vertAlign w:val="superscript"/>
                <w:lang w:val="sr-Latn-RS"/>
              </w:rPr>
              <w:t>c</w:t>
            </w:r>
          </w:p>
          <w:p w14:paraId="6F8D0764" w14:textId="77777777" w:rsidR="006741ED" w:rsidRPr="00C83E6A" w:rsidRDefault="006741ED">
            <w:pPr>
              <w:keepNext/>
              <w:jc w:val="center"/>
              <w:rPr>
                <w:rFonts w:eastAsia="Calibri"/>
                <w:lang w:val="sr-Latn-RS"/>
              </w:rPr>
            </w:pPr>
            <w:r w:rsidRPr="00C83E6A">
              <w:rPr>
                <w:lang w:val="sr-Latn-RS"/>
              </w:rPr>
              <w:t>(-42, -34)</w:t>
            </w:r>
          </w:p>
        </w:tc>
      </w:tr>
      <w:tr w:rsidR="001935E8" w:rsidRPr="00C83E6A" w14:paraId="39A92E66" w14:textId="77777777" w:rsidTr="001935E8">
        <w:trPr>
          <w:cantSplit/>
          <w:trHeight w:val="248"/>
        </w:trPr>
        <w:tc>
          <w:tcPr>
            <w:tcW w:w="604" w:type="pct"/>
            <w:vMerge/>
            <w:vAlign w:val="center"/>
          </w:tcPr>
          <w:p w14:paraId="06013BF5" w14:textId="77777777" w:rsidR="006741ED" w:rsidRPr="00C83E6A" w:rsidRDefault="006741ED" w:rsidP="001D6451">
            <w:pPr>
              <w:rPr>
                <w:rFonts w:eastAsia="Calibri"/>
                <w:lang w:val="sr-Latn-RS"/>
              </w:rPr>
            </w:pPr>
          </w:p>
        </w:tc>
        <w:tc>
          <w:tcPr>
            <w:tcW w:w="544" w:type="pct"/>
            <w:tcMar>
              <w:top w:w="11" w:type="dxa"/>
              <w:left w:w="90" w:type="dxa"/>
              <w:bottom w:w="0" w:type="dxa"/>
              <w:right w:w="90" w:type="dxa"/>
            </w:tcMar>
            <w:vAlign w:val="center"/>
          </w:tcPr>
          <w:p w14:paraId="7865D1E9" w14:textId="77777777" w:rsidR="00D26E8E" w:rsidRPr="00C83E6A" w:rsidRDefault="006741ED" w:rsidP="002F120E">
            <w:pPr>
              <w:pStyle w:val="StyleTablecell"/>
              <w:keepNext w:val="0"/>
              <w:rPr>
                <w:rFonts w:eastAsia="PMingLiU"/>
                <w:sz w:val="22"/>
                <w:szCs w:val="22"/>
                <w:lang w:val="sr-Latn-RS"/>
              </w:rPr>
            </w:pPr>
            <w:r w:rsidRPr="00C83E6A">
              <w:rPr>
                <w:sz w:val="22"/>
                <w:szCs w:val="22"/>
                <w:lang w:val="sr-Latn-RS"/>
              </w:rPr>
              <w:t>420 mg QM</w:t>
            </w:r>
          </w:p>
          <w:p w14:paraId="7532C26A" w14:textId="77777777" w:rsidR="006741ED" w:rsidRPr="00C83E6A" w:rsidRDefault="006741ED">
            <w:pPr>
              <w:pStyle w:val="StyleTablecell"/>
              <w:keepNext w:val="0"/>
              <w:rPr>
                <w:sz w:val="22"/>
                <w:szCs w:val="22"/>
                <w:lang w:val="sr-Latn-RS"/>
              </w:rPr>
            </w:pPr>
            <w:r w:rsidRPr="00C83E6A">
              <w:rPr>
                <w:sz w:val="22"/>
                <w:szCs w:val="22"/>
                <w:lang w:val="sr-Latn-RS"/>
              </w:rPr>
              <w:t>(N = 220)</w:t>
            </w:r>
          </w:p>
        </w:tc>
        <w:tc>
          <w:tcPr>
            <w:tcW w:w="364" w:type="pct"/>
            <w:tcMar>
              <w:top w:w="11" w:type="dxa"/>
              <w:left w:w="90" w:type="dxa"/>
              <w:bottom w:w="0" w:type="dxa"/>
              <w:right w:w="90" w:type="dxa"/>
            </w:tcMar>
            <w:vAlign w:val="center"/>
          </w:tcPr>
          <w:p w14:paraId="37595691" w14:textId="77777777" w:rsidR="00D26E8E" w:rsidRPr="00C83E6A" w:rsidRDefault="006741ED">
            <w:pPr>
              <w:autoSpaceDE w:val="0"/>
              <w:autoSpaceDN w:val="0"/>
              <w:adjustRightInd w:val="0"/>
              <w:ind w:left="-89" w:right="-101"/>
              <w:jc w:val="center"/>
              <w:rPr>
                <w:rFonts w:eastAsia="PMingLiU"/>
                <w:lang w:val="sr-Latn-RS"/>
              </w:rPr>
            </w:pPr>
            <w:r w:rsidRPr="00C83E6A">
              <w:rPr>
                <w:lang w:val="sr-Latn-RS"/>
              </w:rPr>
              <w:t>-46</w:t>
            </w:r>
            <w:r w:rsidRPr="00C83E6A">
              <w:rPr>
                <w:vertAlign w:val="superscript"/>
                <w:lang w:val="sr-Latn-RS"/>
              </w:rPr>
              <w:t>c</w:t>
            </w:r>
          </w:p>
          <w:p w14:paraId="795ACE77" w14:textId="77777777" w:rsidR="006741ED" w:rsidRPr="00C83E6A" w:rsidRDefault="006741ED">
            <w:pPr>
              <w:autoSpaceDE w:val="0"/>
              <w:autoSpaceDN w:val="0"/>
              <w:adjustRightInd w:val="0"/>
              <w:ind w:left="-89" w:right="-101"/>
              <w:jc w:val="center"/>
              <w:rPr>
                <w:rFonts w:eastAsia="Calibri"/>
                <w:lang w:val="sr-Latn-RS"/>
              </w:rPr>
            </w:pPr>
            <w:r w:rsidRPr="00C83E6A">
              <w:rPr>
                <w:lang w:val="sr-Latn-RS"/>
              </w:rPr>
              <w:t>(-51, -40)</w:t>
            </w:r>
          </w:p>
        </w:tc>
        <w:tc>
          <w:tcPr>
            <w:tcW w:w="374" w:type="pct"/>
            <w:tcMar>
              <w:top w:w="11" w:type="dxa"/>
              <w:left w:w="90" w:type="dxa"/>
              <w:bottom w:w="0" w:type="dxa"/>
              <w:right w:w="90" w:type="dxa"/>
            </w:tcMar>
            <w:vAlign w:val="center"/>
          </w:tcPr>
          <w:p w14:paraId="2BAFAA9C" w14:textId="77777777" w:rsidR="00D26E8E" w:rsidRPr="00C83E6A" w:rsidRDefault="006741ED">
            <w:pPr>
              <w:autoSpaceDE w:val="0"/>
              <w:autoSpaceDN w:val="0"/>
              <w:adjustRightInd w:val="0"/>
              <w:ind w:left="-79" w:right="-108"/>
              <w:jc w:val="center"/>
              <w:rPr>
                <w:rFonts w:eastAsia="PMingLiU"/>
                <w:lang w:val="sr-Latn-RS"/>
              </w:rPr>
            </w:pPr>
            <w:r w:rsidRPr="00C83E6A">
              <w:rPr>
                <w:lang w:val="sr-Latn-RS"/>
              </w:rPr>
              <w:t>-39</w:t>
            </w:r>
            <w:r w:rsidRPr="00C83E6A">
              <w:rPr>
                <w:vertAlign w:val="superscript"/>
                <w:lang w:val="sr-Latn-RS"/>
              </w:rPr>
              <w:t>c</w:t>
            </w:r>
          </w:p>
          <w:p w14:paraId="0D30F46C" w14:textId="77777777" w:rsidR="006741ED" w:rsidRPr="00C83E6A" w:rsidRDefault="006741ED">
            <w:pPr>
              <w:autoSpaceDE w:val="0"/>
              <w:autoSpaceDN w:val="0"/>
              <w:adjustRightInd w:val="0"/>
              <w:ind w:left="-79" w:right="-108"/>
              <w:jc w:val="center"/>
              <w:rPr>
                <w:rFonts w:eastAsia="Calibri"/>
                <w:lang w:val="sr-Latn-RS"/>
              </w:rPr>
            </w:pPr>
            <w:r w:rsidRPr="00C83E6A">
              <w:rPr>
                <w:lang w:val="sr-Latn-RS"/>
              </w:rPr>
              <w:t>(-43, -34)</w:t>
            </w:r>
          </w:p>
        </w:tc>
        <w:tc>
          <w:tcPr>
            <w:tcW w:w="360" w:type="pct"/>
            <w:tcMar>
              <w:top w:w="11" w:type="dxa"/>
              <w:left w:w="11" w:type="dxa"/>
              <w:bottom w:w="0" w:type="dxa"/>
              <w:right w:w="11" w:type="dxa"/>
            </w:tcMar>
            <w:vAlign w:val="center"/>
          </w:tcPr>
          <w:p w14:paraId="2A1D8D3B" w14:textId="77777777" w:rsidR="00D26E8E" w:rsidRPr="00C83E6A" w:rsidRDefault="006741ED">
            <w:pPr>
              <w:jc w:val="center"/>
              <w:rPr>
                <w:rFonts w:eastAsia="PMingLiU"/>
                <w:lang w:val="sr-Latn-RS"/>
              </w:rPr>
            </w:pPr>
            <w:r w:rsidRPr="00C83E6A">
              <w:rPr>
                <w:lang w:val="sr-Latn-RS"/>
              </w:rPr>
              <w:t>-40</w:t>
            </w:r>
            <w:r w:rsidRPr="00C83E6A">
              <w:rPr>
                <w:vertAlign w:val="superscript"/>
                <w:lang w:val="sr-Latn-RS"/>
              </w:rPr>
              <w:t>c</w:t>
            </w:r>
          </w:p>
          <w:p w14:paraId="4ABFDA8A" w14:textId="77777777" w:rsidR="006741ED" w:rsidRPr="00C83E6A" w:rsidRDefault="006741ED">
            <w:pPr>
              <w:jc w:val="center"/>
              <w:rPr>
                <w:rFonts w:eastAsia="Calibri"/>
                <w:lang w:val="sr-Latn-RS"/>
              </w:rPr>
            </w:pPr>
            <w:r w:rsidRPr="00C83E6A">
              <w:rPr>
                <w:lang w:val="sr-Latn-RS"/>
              </w:rPr>
              <w:t>(-44, -36)</w:t>
            </w:r>
          </w:p>
        </w:tc>
        <w:tc>
          <w:tcPr>
            <w:tcW w:w="360" w:type="pct"/>
            <w:tcMar>
              <w:top w:w="11" w:type="dxa"/>
              <w:left w:w="11" w:type="dxa"/>
              <w:bottom w:w="0" w:type="dxa"/>
              <w:right w:w="11" w:type="dxa"/>
            </w:tcMar>
            <w:vAlign w:val="center"/>
          </w:tcPr>
          <w:p w14:paraId="3D2FAC43" w14:textId="77777777" w:rsidR="00D26E8E" w:rsidRPr="00C83E6A" w:rsidRDefault="006741ED">
            <w:pPr>
              <w:jc w:val="center"/>
              <w:rPr>
                <w:rFonts w:eastAsia="PMingLiU"/>
                <w:lang w:val="sr-Latn-RS"/>
              </w:rPr>
            </w:pPr>
            <w:r w:rsidRPr="00C83E6A">
              <w:rPr>
                <w:lang w:val="sr-Latn-RS"/>
              </w:rPr>
              <w:t>-25</w:t>
            </w:r>
            <w:r w:rsidRPr="00C83E6A">
              <w:rPr>
                <w:vertAlign w:val="superscript"/>
                <w:lang w:val="sr-Latn-RS"/>
              </w:rPr>
              <w:t>c</w:t>
            </w:r>
          </w:p>
          <w:p w14:paraId="68F04ECB" w14:textId="77777777" w:rsidR="006741ED" w:rsidRPr="00C83E6A" w:rsidRDefault="006741ED">
            <w:pPr>
              <w:jc w:val="center"/>
              <w:rPr>
                <w:rFonts w:eastAsia="Calibri"/>
                <w:lang w:val="sr-Latn-RS"/>
              </w:rPr>
            </w:pPr>
            <w:r w:rsidRPr="00C83E6A">
              <w:rPr>
                <w:lang w:val="sr-Latn-RS"/>
              </w:rPr>
              <w:t>(-29, -22)</w:t>
            </w:r>
          </w:p>
        </w:tc>
        <w:tc>
          <w:tcPr>
            <w:tcW w:w="372" w:type="pct"/>
            <w:tcMar>
              <w:top w:w="11" w:type="dxa"/>
              <w:left w:w="11" w:type="dxa"/>
              <w:bottom w:w="0" w:type="dxa"/>
              <w:right w:w="11" w:type="dxa"/>
            </w:tcMar>
            <w:vAlign w:val="center"/>
          </w:tcPr>
          <w:p w14:paraId="660BB462" w14:textId="77777777" w:rsidR="00D26E8E" w:rsidRPr="00C83E6A" w:rsidRDefault="006741ED">
            <w:pPr>
              <w:jc w:val="center"/>
              <w:rPr>
                <w:rFonts w:eastAsia="PMingLiU"/>
                <w:lang w:val="sr-Latn-RS"/>
              </w:rPr>
            </w:pPr>
            <w:r w:rsidRPr="00C83E6A">
              <w:rPr>
                <w:lang w:val="sr-Latn-RS"/>
              </w:rPr>
              <w:t>-33</w:t>
            </w:r>
            <w:r w:rsidRPr="00C83E6A">
              <w:rPr>
                <w:vertAlign w:val="superscript"/>
                <w:lang w:val="sr-Latn-RS"/>
              </w:rPr>
              <w:t>c</w:t>
            </w:r>
          </w:p>
          <w:p w14:paraId="6A14105B" w14:textId="77777777" w:rsidR="006741ED" w:rsidRPr="00C83E6A" w:rsidRDefault="006741ED">
            <w:pPr>
              <w:jc w:val="center"/>
              <w:rPr>
                <w:rFonts w:eastAsia="Calibri"/>
                <w:lang w:val="sr-Latn-RS"/>
              </w:rPr>
            </w:pPr>
            <w:r w:rsidRPr="00C83E6A">
              <w:rPr>
                <w:lang w:val="sr-Latn-RS"/>
              </w:rPr>
              <w:t>(-41, -26)</w:t>
            </w:r>
          </w:p>
        </w:tc>
        <w:tc>
          <w:tcPr>
            <w:tcW w:w="332" w:type="pct"/>
            <w:tcMar>
              <w:top w:w="11" w:type="dxa"/>
              <w:left w:w="11" w:type="dxa"/>
              <w:bottom w:w="0" w:type="dxa"/>
              <w:right w:w="11" w:type="dxa"/>
            </w:tcMar>
            <w:vAlign w:val="center"/>
          </w:tcPr>
          <w:p w14:paraId="1EC45D76" w14:textId="77777777" w:rsidR="00D26E8E" w:rsidRPr="00C83E6A" w:rsidRDefault="006741ED">
            <w:pPr>
              <w:jc w:val="center"/>
              <w:rPr>
                <w:rFonts w:eastAsia="PMingLiU"/>
                <w:vertAlign w:val="superscript"/>
                <w:lang w:val="sr-Latn-RS"/>
              </w:rPr>
            </w:pPr>
            <w:r w:rsidRPr="00C83E6A">
              <w:rPr>
                <w:lang w:val="sr-Latn-RS"/>
              </w:rPr>
              <w:t>-7</w:t>
            </w:r>
          </w:p>
          <w:p w14:paraId="6E4228A5" w14:textId="77777777" w:rsidR="006741ED" w:rsidRPr="00C83E6A" w:rsidDel="00911E44" w:rsidRDefault="006741ED">
            <w:pPr>
              <w:jc w:val="center"/>
              <w:rPr>
                <w:rFonts w:eastAsia="Calibri"/>
                <w:lang w:val="sr-Latn-RS"/>
              </w:rPr>
            </w:pPr>
            <w:r w:rsidRPr="00C83E6A">
              <w:rPr>
                <w:lang w:val="sr-Latn-RS"/>
              </w:rPr>
              <w:t>(-20, 6)</w:t>
            </w:r>
          </w:p>
        </w:tc>
        <w:tc>
          <w:tcPr>
            <w:tcW w:w="313" w:type="pct"/>
            <w:tcMar>
              <w:top w:w="11" w:type="dxa"/>
              <w:left w:w="11" w:type="dxa"/>
              <w:bottom w:w="0" w:type="dxa"/>
              <w:right w:w="11" w:type="dxa"/>
            </w:tcMar>
            <w:vAlign w:val="center"/>
          </w:tcPr>
          <w:p w14:paraId="7B1E254B" w14:textId="77777777" w:rsidR="00D26E8E" w:rsidRPr="00C83E6A" w:rsidRDefault="006741ED">
            <w:pPr>
              <w:jc w:val="center"/>
              <w:rPr>
                <w:rFonts w:eastAsia="PMingLiU"/>
                <w:lang w:val="sr-Latn-RS"/>
              </w:rPr>
            </w:pPr>
            <w:r w:rsidRPr="00C83E6A">
              <w:rPr>
                <w:lang w:val="sr-Latn-RS"/>
              </w:rPr>
              <w:t>8</w:t>
            </w:r>
            <w:r w:rsidRPr="00C83E6A">
              <w:rPr>
                <w:vertAlign w:val="superscript"/>
                <w:lang w:val="sr-Latn-RS"/>
              </w:rPr>
              <w:t>c</w:t>
            </w:r>
          </w:p>
          <w:p w14:paraId="4E89A90E" w14:textId="77777777" w:rsidR="006741ED" w:rsidRPr="00C83E6A" w:rsidRDefault="006741ED">
            <w:pPr>
              <w:jc w:val="center"/>
              <w:rPr>
                <w:rFonts w:eastAsia="Calibri"/>
                <w:lang w:val="sr-Latn-RS"/>
              </w:rPr>
            </w:pPr>
            <w:r w:rsidRPr="00C83E6A">
              <w:rPr>
                <w:lang w:val="sr-Latn-RS"/>
              </w:rPr>
              <w:t>(5, 12)</w:t>
            </w:r>
          </w:p>
        </w:tc>
        <w:tc>
          <w:tcPr>
            <w:tcW w:w="301" w:type="pct"/>
            <w:vAlign w:val="center"/>
          </w:tcPr>
          <w:p w14:paraId="12274CD7" w14:textId="77777777" w:rsidR="00D26E8E" w:rsidRPr="00C83E6A" w:rsidRDefault="006741ED">
            <w:pPr>
              <w:jc w:val="center"/>
              <w:rPr>
                <w:rFonts w:eastAsia="PMingLiU"/>
                <w:lang w:val="sr-Latn-RS"/>
              </w:rPr>
            </w:pPr>
            <w:r w:rsidRPr="00C83E6A">
              <w:rPr>
                <w:lang w:val="sr-Latn-RS"/>
              </w:rPr>
              <w:t>-8</w:t>
            </w:r>
          </w:p>
          <w:p w14:paraId="08BB83EA" w14:textId="77777777" w:rsidR="006741ED" w:rsidRPr="00C83E6A" w:rsidRDefault="006741ED">
            <w:pPr>
              <w:jc w:val="center"/>
              <w:rPr>
                <w:rFonts w:eastAsia="Calibri"/>
                <w:lang w:val="sr-Latn-RS"/>
              </w:rPr>
            </w:pPr>
            <w:r w:rsidRPr="00C83E6A">
              <w:rPr>
                <w:lang w:val="sr-Latn-RS"/>
              </w:rPr>
              <w:t>(-21, 5)</w:t>
            </w:r>
          </w:p>
        </w:tc>
        <w:tc>
          <w:tcPr>
            <w:tcW w:w="361" w:type="pct"/>
            <w:tcMar>
              <w:top w:w="11" w:type="dxa"/>
              <w:left w:w="11" w:type="dxa"/>
              <w:bottom w:w="0" w:type="dxa"/>
              <w:right w:w="11" w:type="dxa"/>
            </w:tcMar>
            <w:vAlign w:val="center"/>
          </w:tcPr>
          <w:p w14:paraId="1CC05724" w14:textId="77777777" w:rsidR="00D26E8E" w:rsidRPr="00C83E6A" w:rsidRDefault="006741ED">
            <w:pPr>
              <w:jc w:val="center"/>
              <w:rPr>
                <w:rFonts w:eastAsia="PMingLiU"/>
                <w:lang w:val="sr-Latn-RS"/>
              </w:rPr>
            </w:pPr>
            <w:r w:rsidRPr="00C83E6A">
              <w:rPr>
                <w:lang w:val="sr-Latn-RS"/>
              </w:rPr>
              <w:t>7</w:t>
            </w:r>
            <w:r w:rsidRPr="00C83E6A">
              <w:rPr>
                <w:vertAlign w:val="superscript"/>
                <w:lang w:val="sr-Latn-RS"/>
              </w:rPr>
              <w:t>c</w:t>
            </w:r>
          </w:p>
          <w:p w14:paraId="19DBBD39" w14:textId="77777777" w:rsidR="006741ED" w:rsidRPr="00C83E6A" w:rsidRDefault="006741ED">
            <w:pPr>
              <w:jc w:val="center"/>
              <w:rPr>
                <w:rFonts w:eastAsia="Calibri"/>
                <w:lang w:val="sr-Latn-RS"/>
              </w:rPr>
            </w:pPr>
            <w:r w:rsidRPr="00C83E6A">
              <w:rPr>
                <w:lang w:val="sr-Latn-RS"/>
              </w:rPr>
              <w:t>(2, 11)</w:t>
            </w:r>
          </w:p>
        </w:tc>
        <w:tc>
          <w:tcPr>
            <w:tcW w:w="360" w:type="pct"/>
            <w:vAlign w:val="center"/>
          </w:tcPr>
          <w:p w14:paraId="1DF6EF94" w14:textId="77777777" w:rsidR="00D26E8E" w:rsidRPr="00C83E6A" w:rsidRDefault="006741ED">
            <w:pPr>
              <w:jc w:val="center"/>
              <w:rPr>
                <w:rFonts w:eastAsia="PMingLiU"/>
                <w:lang w:val="sr-Latn-RS"/>
              </w:rPr>
            </w:pPr>
            <w:r w:rsidRPr="00C83E6A">
              <w:rPr>
                <w:lang w:val="sr-Latn-RS"/>
              </w:rPr>
              <w:t>-30</w:t>
            </w:r>
            <w:r w:rsidRPr="00C83E6A">
              <w:rPr>
                <w:vertAlign w:val="superscript"/>
                <w:lang w:val="sr-Latn-RS"/>
              </w:rPr>
              <w:t>c</w:t>
            </w:r>
          </w:p>
          <w:p w14:paraId="2551B943" w14:textId="77777777" w:rsidR="006741ED" w:rsidRPr="00C83E6A" w:rsidRDefault="006741ED">
            <w:pPr>
              <w:jc w:val="center"/>
              <w:rPr>
                <w:rFonts w:eastAsia="Calibri"/>
                <w:lang w:val="sr-Latn-RS"/>
              </w:rPr>
            </w:pPr>
            <w:r w:rsidRPr="00C83E6A">
              <w:rPr>
                <w:lang w:val="sr-Latn-RS"/>
              </w:rPr>
              <w:t>(-34, -26)</w:t>
            </w:r>
          </w:p>
        </w:tc>
        <w:tc>
          <w:tcPr>
            <w:tcW w:w="355" w:type="pct"/>
            <w:vAlign w:val="center"/>
          </w:tcPr>
          <w:p w14:paraId="4B3D1788" w14:textId="77777777" w:rsidR="00D26E8E" w:rsidRPr="00C83E6A" w:rsidRDefault="006741ED">
            <w:pPr>
              <w:jc w:val="center"/>
              <w:rPr>
                <w:rFonts w:eastAsia="PMingLiU"/>
                <w:lang w:val="sr-Latn-RS"/>
              </w:rPr>
            </w:pPr>
            <w:r w:rsidRPr="00C83E6A">
              <w:rPr>
                <w:lang w:val="sr-Latn-RS"/>
              </w:rPr>
              <w:t>-42</w:t>
            </w:r>
            <w:r w:rsidRPr="00C83E6A">
              <w:rPr>
                <w:vertAlign w:val="superscript"/>
                <w:lang w:val="sr-Latn-RS"/>
              </w:rPr>
              <w:t>c</w:t>
            </w:r>
          </w:p>
          <w:p w14:paraId="01BC8E3B" w14:textId="77777777" w:rsidR="006741ED" w:rsidRPr="00C83E6A" w:rsidRDefault="006741ED">
            <w:pPr>
              <w:jc w:val="center"/>
              <w:rPr>
                <w:rFonts w:eastAsia="Calibri"/>
                <w:lang w:val="sr-Latn-RS"/>
              </w:rPr>
            </w:pPr>
            <w:r w:rsidRPr="00C83E6A">
              <w:rPr>
                <w:lang w:val="sr-Latn-RS"/>
              </w:rPr>
              <w:t>(-47, -38)</w:t>
            </w:r>
          </w:p>
        </w:tc>
      </w:tr>
      <w:tr w:rsidR="001935E8" w:rsidRPr="00C83E6A" w14:paraId="419DB738" w14:textId="77777777" w:rsidTr="001935E8">
        <w:trPr>
          <w:cantSplit/>
          <w:trHeight w:val="248"/>
        </w:trPr>
        <w:tc>
          <w:tcPr>
            <w:tcW w:w="604" w:type="pct"/>
            <w:vMerge w:val="restart"/>
            <w:vAlign w:val="center"/>
            <w:hideMark/>
          </w:tcPr>
          <w:p w14:paraId="2A65C50B" w14:textId="77777777" w:rsidR="00D26E8E" w:rsidRPr="00C83E6A" w:rsidRDefault="006741ED" w:rsidP="001D6451">
            <w:pPr>
              <w:keepNext/>
              <w:rPr>
                <w:rFonts w:eastAsia="PMingLiU"/>
                <w:lang w:val="sr-Latn-RS"/>
              </w:rPr>
            </w:pPr>
            <w:r w:rsidRPr="00C83E6A">
              <w:rPr>
                <w:lang w:val="sr-Latn-RS"/>
              </w:rPr>
              <w:t>GAUSS-2</w:t>
            </w:r>
          </w:p>
          <w:p w14:paraId="1D44F424" w14:textId="77777777" w:rsidR="006741ED" w:rsidRPr="00C83E6A" w:rsidRDefault="006741ED" w:rsidP="001D6451">
            <w:pPr>
              <w:keepNext/>
              <w:rPr>
                <w:rFonts w:eastAsia="Calibri"/>
                <w:lang w:val="sr-Latn-RS"/>
              </w:rPr>
            </w:pPr>
            <w:r w:rsidRPr="00C83E6A">
              <w:rPr>
                <w:lang w:val="sr-Latn-RS"/>
              </w:rPr>
              <w:t>(koji ne podnose statine)</w:t>
            </w:r>
          </w:p>
        </w:tc>
        <w:tc>
          <w:tcPr>
            <w:tcW w:w="544" w:type="pct"/>
            <w:tcMar>
              <w:top w:w="11" w:type="dxa"/>
              <w:left w:w="90" w:type="dxa"/>
              <w:bottom w:w="0" w:type="dxa"/>
              <w:right w:w="90" w:type="dxa"/>
            </w:tcMar>
            <w:vAlign w:val="center"/>
            <w:hideMark/>
          </w:tcPr>
          <w:p w14:paraId="7956C4F1" w14:textId="77777777" w:rsidR="00D26E8E" w:rsidRPr="00C83E6A" w:rsidRDefault="006741ED" w:rsidP="002F120E">
            <w:pPr>
              <w:pStyle w:val="StyleTablecell"/>
              <w:rPr>
                <w:rFonts w:eastAsia="PMingLiU"/>
                <w:sz w:val="22"/>
                <w:szCs w:val="22"/>
                <w:lang w:val="sr-Latn-RS"/>
              </w:rPr>
            </w:pPr>
            <w:r w:rsidRPr="00C83E6A">
              <w:rPr>
                <w:sz w:val="22"/>
                <w:szCs w:val="22"/>
                <w:lang w:val="sr-Latn-RS"/>
              </w:rPr>
              <w:t>140 mg Q2W</w:t>
            </w:r>
          </w:p>
          <w:p w14:paraId="10CE56C7" w14:textId="77777777" w:rsidR="006741ED" w:rsidRPr="00C83E6A" w:rsidRDefault="006741ED">
            <w:pPr>
              <w:pStyle w:val="StyleTablecell"/>
              <w:rPr>
                <w:sz w:val="22"/>
                <w:szCs w:val="22"/>
                <w:lang w:val="sr-Latn-RS"/>
              </w:rPr>
            </w:pPr>
            <w:r w:rsidRPr="00C83E6A">
              <w:rPr>
                <w:sz w:val="22"/>
                <w:szCs w:val="22"/>
                <w:lang w:val="sr-Latn-RS"/>
              </w:rPr>
              <w:t>(N = 103)</w:t>
            </w:r>
          </w:p>
        </w:tc>
        <w:tc>
          <w:tcPr>
            <w:tcW w:w="364" w:type="pct"/>
            <w:tcMar>
              <w:top w:w="11" w:type="dxa"/>
              <w:left w:w="90" w:type="dxa"/>
              <w:bottom w:w="0" w:type="dxa"/>
              <w:right w:w="90" w:type="dxa"/>
            </w:tcMar>
            <w:vAlign w:val="center"/>
            <w:hideMark/>
          </w:tcPr>
          <w:p w14:paraId="56E3C245" w14:textId="77777777" w:rsidR="00D26E8E" w:rsidRPr="00C83E6A" w:rsidRDefault="006741ED">
            <w:pPr>
              <w:keepNext/>
              <w:ind w:left="-103" w:right="-99"/>
              <w:jc w:val="center"/>
              <w:rPr>
                <w:rFonts w:eastAsia="PMingLiU"/>
                <w:vertAlign w:val="superscript"/>
                <w:lang w:val="sr-Latn-RS"/>
              </w:rPr>
            </w:pPr>
            <w:r w:rsidRPr="00C83E6A">
              <w:rPr>
                <w:lang w:val="sr-Latn-RS"/>
              </w:rPr>
              <w:t>-38</w:t>
            </w:r>
            <w:r w:rsidRPr="00C83E6A">
              <w:rPr>
                <w:vertAlign w:val="superscript"/>
                <w:lang w:val="sr-Latn-RS"/>
              </w:rPr>
              <w:t>b</w:t>
            </w:r>
          </w:p>
          <w:p w14:paraId="7AA0B0D2" w14:textId="77777777" w:rsidR="006741ED" w:rsidRPr="00C83E6A" w:rsidRDefault="006741ED">
            <w:pPr>
              <w:keepNext/>
              <w:ind w:left="-103" w:right="-99"/>
              <w:jc w:val="center"/>
              <w:rPr>
                <w:rFonts w:eastAsia="Calibri"/>
                <w:lang w:val="sr-Latn-RS"/>
              </w:rPr>
            </w:pPr>
            <w:r w:rsidRPr="00C83E6A">
              <w:rPr>
                <w:lang w:val="sr-Latn-RS"/>
              </w:rPr>
              <w:t>(-44, -33)</w:t>
            </w:r>
          </w:p>
        </w:tc>
        <w:tc>
          <w:tcPr>
            <w:tcW w:w="374" w:type="pct"/>
            <w:tcMar>
              <w:top w:w="11" w:type="dxa"/>
              <w:left w:w="90" w:type="dxa"/>
              <w:bottom w:w="0" w:type="dxa"/>
              <w:right w:w="90" w:type="dxa"/>
            </w:tcMar>
            <w:vAlign w:val="center"/>
            <w:hideMark/>
          </w:tcPr>
          <w:p w14:paraId="01AC6DBE" w14:textId="77777777" w:rsidR="00D26E8E" w:rsidRPr="00C83E6A" w:rsidRDefault="006741ED">
            <w:pPr>
              <w:keepNext/>
              <w:ind w:left="-107" w:right="-71"/>
              <w:jc w:val="center"/>
              <w:rPr>
                <w:rFonts w:eastAsia="PMingLiU"/>
                <w:vertAlign w:val="superscript"/>
                <w:lang w:val="sr-Latn-RS"/>
              </w:rPr>
            </w:pPr>
            <w:r w:rsidRPr="00C83E6A">
              <w:rPr>
                <w:lang w:val="sr-Latn-RS"/>
              </w:rPr>
              <w:t>-32</w:t>
            </w:r>
            <w:r w:rsidRPr="00C83E6A">
              <w:rPr>
                <w:vertAlign w:val="superscript"/>
                <w:lang w:val="sr-Latn-RS"/>
              </w:rPr>
              <w:t>b</w:t>
            </w:r>
          </w:p>
          <w:p w14:paraId="4EFAB278" w14:textId="77777777" w:rsidR="006741ED" w:rsidRPr="00C83E6A" w:rsidRDefault="006741ED">
            <w:pPr>
              <w:keepNext/>
              <w:ind w:left="-107" w:right="-71"/>
              <w:jc w:val="center"/>
              <w:rPr>
                <w:rFonts w:eastAsia="Calibri"/>
                <w:lang w:val="sr-Latn-RS"/>
              </w:rPr>
            </w:pPr>
            <w:r w:rsidRPr="00C83E6A">
              <w:rPr>
                <w:lang w:val="sr-Latn-RS"/>
              </w:rPr>
              <w:t>(-36, -27)</w:t>
            </w:r>
          </w:p>
        </w:tc>
        <w:tc>
          <w:tcPr>
            <w:tcW w:w="360" w:type="pct"/>
            <w:tcMar>
              <w:top w:w="11" w:type="dxa"/>
              <w:left w:w="11" w:type="dxa"/>
              <w:bottom w:w="0" w:type="dxa"/>
              <w:right w:w="11" w:type="dxa"/>
            </w:tcMar>
            <w:vAlign w:val="center"/>
            <w:hideMark/>
          </w:tcPr>
          <w:p w14:paraId="029D7207" w14:textId="77777777" w:rsidR="00D26E8E" w:rsidRPr="00C83E6A" w:rsidRDefault="006741ED">
            <w:pPr>
              <w:keepNext/>
              <w:jc w:val="center"/>
              <w:rPr>
                <w:rFonts w:eastAsia="PMingLiU"/>
                <w:vertAlign w:val="superscript"/>
                <w:lang w:val="sr-Latn-RS"/>
              </w:rPr>
            </w:pPr>
            <w:r w:rsidRPr="00C83E6A">
              <w:rPr>
                <w:lang w:val="sr-Latn-RS"/>
              </w:rPr>
              <w:t>-32</w:t>
            </w:r>
            <w:r w:rsidRPr="00C83E6A">
              <w:rPr>
                <w:vertAlign w:val="superscript"/>
                <w:lang w:val="sr-Latn-RS"/>
              </w:rPr>
              <w:t>b</w:t>
            </w:r>
          </w:p>
          <w:p w14:paraId="6D2C2525" w14:textId="77777777" w:rsidR="006741ED" w:rsidRPr="00C83E6A" w:rsidRDefault="006741ED">
            <w:pPr>
              <w:keepNext/>
              <w:jc w:val="center"/>
              <w:rPr>
                <w:rFonts w:eastAsia="Calibri"/>
                <w:lang w:val="sr-Latn-RS"/>
              </w:rPr>
            </w:pPr>
            <w:r w:rsidRPr="00C83E6A">
              <w:rPr>
                <w:lang w:val="sr-Latn-RS"/>
              </w:rPr>
              <w:t>(-37, -27)</w:t>
            </w:r>
          </w:p>
        </w:tc>
        <w:tc>
          <w:tcPr>
            <w:tcW w:w="360" w:type="pct"/>
            <w:tcMar>
              <w:top w:w="11" w:type="dxa"/>
              <w:left w:w="11" w:type="dxa"/>
              <w:bottom w:w="0" w:type="dxa"/>
              <w:right w:w="11" w:type="dxa"/>
            </w:tcMar>
            <w:vAlign w:val="center"/>
            <w:hideMark/>
          </w:tcPr>
          <w:p w14:paraId="5199FBE5" w14:textId="77777777" w:rsidR="00D26E8E" w:rsidRPr="00C83E6A" w:rsidRDefault="006741ED">
            <w:pPr>
              <w:keepNext/>
              <w:jc w:val="center"/>
              <w:rPr>
                <w:rFonts w:eastAsia="PMingLiU"/>
                <w:vertAlign w:val="superscript"/>
                <w:lang w:val="sr-Latn-RS"/>
              </w:rPr>
            </w:pPr>
            <w:r w:rsidRPr="00C83E6A">
              <w:rPr>
                <w:lang w:val="sr-Latn-RS"/>
              </w:rPr>
              <w:t>-24</w:t>
            </w:r>
            <w:r w:rsidRPr="00C83E6A">
              <w:rPr>
                <w:vertAlign w:val="superscript"/>
                <w:lang w:val="sr-Latn-RS"/>
              </w:rPr>
              <w:t>b</w:t>
            </w:r>
          </w:p>
          <w:p w14:paraId="1B616FE9" w14:textId="77777777" w:rsidR="006741ED" w:rsidRPr="00C83E6A" w:rsidRDefault="006741ED">
            <w:pPr>
              <w:keepNext/>
              <w:jc w:val="center"/>
              <w:rPr>
                <w:rFonts w:eastAsia="Calibri"/>
                <w:lang w:val="sr-Latn-RS"/>
              </w:rPr>
            </w:pPr>
            <w:r w:rsidRPr="00C83E6A">
              <w:rPr>
                <w:lang w:val="sr-Latn-RS"/>
              </w:rPr>
              <w:t>(-28, -20)</w:t>
            </w:r>
          </w:p>
        </w:tc>
        <w:tc>
          <w:tcPr>
            <w:tcW w:w="372" w:type="pct"/>
            <w:tcMar>
              <w:top w:w="11" w:type="dxa"/>
              <w:left w:w="11" w:type="dxa"/>
              <w:bottom w:w="0" w:type="dxa"/>
              <w:right w:w="11" w:type="dxa"/>
            </w:tcMar>
            <w:vAlign w:val="center"/>
            <w:hideMark/>
          </w:tcPr>
          <w:p w14:paraId="040F10D2" w14:textId="77777777" w:rsidR="00D26E8E" w:rsidRPr="00C83E6A" w:rsidRDefault="006741ED">
            <w:pPr>
              <w:keepNext/>
              <w:jc w:val="center"/>
              <w:rPr>
                <w:rFonts w:eastAsia="PMingLiU"/>
                <w:vertAlign w:val="superscript"/>
                <w:lang w:val="sr-Latn-RS"/>
              </w:rPr>
            </w:pPr>
            <w:r w:rsidRPr="00C83E6A">
              <w:rPr>
                <w:lang w:val="sr-Latn-RS"/>
              </w:rPr>
              <w:t>-24</w:t>
            </w:r>
            <w:r w:rsidRPr="00C83E6A">
              <w:rPr>
                <w:vertAlign w:val="superscript"/>
                <w:lang w:val="sr-Latn-RS"/>
              </w:rPr>
              <w:t>b</w:t>
            </w:r>
          </w:p>
          <w:p w14:paraId="5104ED3A" w14:textId="77777777" w:rsidR="006741ED" w:rsidRPr="00C83E6A" w:rsidRDefault="006741ED">
            <w:pPr>
              <w:keepNext/>
              <w:jc w:val="center"/>
              <w:rPr>
                <w:rFonts w:eastAsia="Calibri"/>
                <w:lang w:val="sr-Latn-RS"/>
              </w:rPr>
            </w:pPr>
            <w:r w:rsidRPr="00C83E6A">
              <w:rPr>
                <w:lang w:val="sr-Latn-RS"/>
              </w:rPr>
              <w:t>(-31, -17)</w:t>
            </w:r>
          </w:p>
        </w:tc>
        <w:tc>
          <w:tcPr>
            <w:tcW w:w="332" w:type="pct"/>
            <w:tcMar>
              <w:top w:w="11" w:type="dxa"/>
              <w:left w:w="11" w:type="dxa"/>
              <w:bottom w:w="0" w:type="dxa"/>
              <w:right w:w="11" w:type="dxa"/>
            </w:tcMar>
            <w:vAlign w:val="center"/>
            <w:hideMark/>
          </w:tcPr>
          <w:p w14:paraId="450DB8F7" w14:textId="77777777" w:rsidR="00D26E8E" w:rsidRPr="00C83E6A" w:rsidRDefault="006741ED">
            <w:pPr>
              <w:keepNext/>
              <w:jc w:val="center"/>
              <w:rPr>
                <w:rFonts w:eastAsia="PMingLiU"/>
                <w:lang w:val="sr-Latn-RS"/>
              </w:rPr>
            </w:pPr>
            <w:r w:rsidRPr="00C83E6A">
              <w:rPr>
                <w:lang w:val="sr-Latn-RS"/>
              </w:rPr>
              <w:t>-2</w:t>
            </w:r>
          </w:p>
          <w:p w14:paraId="3A7DAEFA" w14:textId="77777777" w:rsidR="006741ED" w:rsidRPr="00C83E6A" w:rsidRDefault="006741ED">
            <w:pPr>
              <w:keepNext/>
              <w:jc w:val="center"/>
              <w:rPr>
                <w:rFonts w:eastAsia="Calibri"/>
                <w:lang w:val="sr-Latn-RS"/>
              </w:rPr>
            </w:pPr>
            <w:r w:rsidRPr="00C83E6A">
              <w:rPr>
                <w:lang w:val="sr-Latn-RS"/>
              </w:rPr>
              <w:t>(-10, 7)</w:t>
            </w:r>
          </w:p>
        </w:tc>
        <w:tc>
          <w:tcPr>
            <w:tcW w:w="313" w:type="pct"/>
            <w:tcMar>
              <w:top w:w="11" w:type="dxa"/>
              <w:left w:w="11" w:type="dxa"/>
              <w:bottom w:w="0" w:type="dxa"/>
              <w:right w:w="11" w:type="dxa"/>
            </w:tcMar>
            <w:vAlign w:val="center"/>
            <w:hideMark/>
          </w:tcPr>
          <w:p w14:paraId="02AE7F18" w14:textId="77777777" w:rsidR="00D26E8E" w:rsidRPr="00C83E6A" w:rsidRDefault="006741ED">
            <w:pPr>
              <w:keepNext/>
              <w:jc w:val="center"/>
              <w:rPr>
                <w:rFonts w:eastAsia="PMingLiU"/>
                <w:lang w:val="sr-Latn-RS"/>
              </w:rPr>
            </w:pPr>
            <w:r w:rsidRPr="00C83E6A">
              <w:rPr>
                <w:lang w:val="sr-Latn-RS"/>
              </w:rPr>
              <w:t>5</w:t>
            </w:r>
          </w:p>
          <w:p w14:paraId="7B4E8020" w14:textId="77777777" w:rsidR="006741ED" w:rsidRPr="00C83E6A" w:rsidRDefault="006741ED">
            <w:pPr>
              <w:keepNext/>
              <w:jc w:val="center"/>
              <w:rPr>
                <w:rFonts w:eastAsia="Calibri"/>
                <w:lang w:val="sr-Latn-RS"/>
              </w:rPr>
            </w:pPr>
            <w:r w:rsidRPr="00C83E6A">
              <w:rPr>
                <w:lang w:val="sr-Latn-RS"/>
              </w:rPr>
              <w:t>(1, 10)</w:t>
            </w:r>
          </w:p>
        </w:tc>
        <w:tc>
          <w:tcPr>
            <w:tcW w:w="301" w:type="pct"/>
            <w:vAlign w:val="center"/>
            <w:hideMark/>
          </w:tcPr>
          <w:p w14:paraId="0D96459D" w14:textId="77777777" w:rsidR="00D26E8E" w:rsidRPr="00C83E6A" w:rsidRDefault="006741ED">
            <w:pPr>
              <w:keepNext/>
              <w:jc w:val="center"/>
              <w:rPr>
                <w:rFonts w:eastAsia="PMingLiU"/>
                <w:lang w:val="sr-Latn-RS"/>
              </w:rPr>
            </w:pPr>
            <w:r w:rsidRPr="00C83E6A">
              <w:rPr>
                <w:lang w:val="sr-Latn-RS"/>
              </w:rPr>
              <w:t>-3</w:t>
            </w:r>
          </w:p>
          <w:p w14:paraId="58F95780" w14:textId="77777777" w:rsidR="006741ED" w:rsidRPr="00C83E6A" w:rsidRDefault="006741ED">
            <w:pPr>
              <w:keepNext/>
              <w:jc w:val="center"/>
              <w:rPr>
                <w:rFonts w:eastAsia="Calibri"/>
                <w:lang w:val="sr-Latn-RS"/>
              </w:rPr>
            </w:pPr>
            <w:r w:rsidRPr="00C83E6A">
              <w:rPr>
                <w:lang w:val="sr-Latn-RS"/>
              </w:rPr>
              <w:t>(-11, 6)</w:t>
            </w:r>
          </w:p>
        </w:tc>
        <w:tc>
          <w:tcPr>
            <w:tcW w:w="361" w:type="pct"/>
            <w:tcMar>
              <w:top w:w="11" w:type="dxa"/>
              <w:left w:w="11" w:type="dxa"/>
              <w:bottom w:w="0" w:type="dxa"/>
              <w:right w:w="11" w:type="dxa"/>
            </w:tcMar>
            <w:vAlign w:val="center"/>
            <w:hideMark/>
          </w:tcPr>
          <w:p w14:paraId="709E9D91" w14:textId="77777777" w:rsidR="00D26E8E" w:rsidRPr="00C83E6A" w:rsidRDefault="006741ED">
            <w:pPr>
              <w:keepNext/>
              <w:jc w:val="center"/>
              <w:rPr>
                <w:rFonts w:eastAsia="PMingLiU"/>
                <w:lang w:val="sr-Latn-RS"/>
              </w:rPr>
            </w:pPr>
            <w:r w:rsidRPr="00C83E6A">
              <w:rPr>
                <w:lang w:val="sr-Latn-RS"/>
              </w:rPr>
              <w:t>5</w:t>
            </w:r>
            <w:r w:rsidRPr="00C83E6A">
              <w:rPr>
                <w:vertAlign w:val="superscript"/>
                <w:lang w:val="sr-Latn-RS"/>
              </w:rPr>
              <w:t>a</w:t>
            </w:r>
          </w:p>
          <w:p w14:paraId="100FBC3D" w14:textId="77777777" w:rsidR="006741ED" w:rsidRPr="00C83E6A" w:rsidRDefault="006741ED">
            <w:pPr>
              <w:keepNext/>
              <w:jc w:val="center"/>
              <w:rPr>
                <w:rFonts w:eastAsia="Calibri"/>
                <w:lang w:val="sr-Latn-RS"/>
              </w:rPr>
            </w:pPr>
            <w:r w:rsidRPr="00C83E6A">
              <w:rPr>
                <w:lang w:val="sr-Latn-RS"/>
              </w:rPr>
              <w:t>(2, 9)</w:t>
            </w:r>
          </w:p>
        </w:tc>
        <w:tc>
          <w:tcPr>
            <w:tcW w:w="360" w:type="pct"/>
            <w:vAlign w:val="center"/>
          </w:tcPr>
          <w:p w14:paraId="46B52DAD" w14:textId="77777777" w:rsidR="00D26E8E" w:rsidRPr="00C83E6A" w:rsidRDefault="006741ED">
            <w:pPr>
              <w:keepNext/>
              <w:jc w:val="center"/>
              <w:rPr>
                <w:rFonts w:eastAsia="PMingLiU"/>
                <w:lang w:val="sr-Latn-RS"/>
              </w:rPr>
            </w:pPr>
            <w:r w:rsidRPr="00C83E6A">
              <w:rPr>
                <w:lang w:val="sr-Latn-RS"/>
              </w:rPr>
              <w:t>-27</w:t>
            </w:r>
            <w:r w:rsidRPr="00C83E6A">
              <w:rPr>
                <w:vertAlign w:val="superscript"/>
                <w:lang w:val="sr-Latn-RS"/>
              </w:rPr>
              <w:t>b</w:t>
            </w:r>
          </w:p>
          <w:p w14:paraId="2FA6248F" w14:textId="77777777" w:rsidR="006741ED" w:rsidRPr="00C83E6A" w:rsidRDefault="006741ED">
            <w:pPr>
              <w:keepNext/>
              <w:jc w:val="center"/>
              <w:rPr>
                <w:rFonts w:eastAsia="Calibri"/>
                <w:lang w:val="sr-Latn-RS"/>
              </w:rPr>
            </w:pPr>
            <w:r w:rsidRPr="00C83E6A">
              <w:rPr>
                <w:lang w:val="sr-Latn-RS"/>
              </w:rPr>
              <w:t>(-32, -23)</w:t>
            </w:r>
          </w:p>
        </w:tc>
        <w:tc>
          <w:tcPr>
            <w:tcW w:w="355" w:type="pct"/>
            <w:vAlign w:val="center"/>
          </w:tcPr>
          <w:p w14:paraId="13D54C35" w14:textId="77777777" w:rsidR="00D26E8E" w:rsidRPr="00C83E6A" w:rsidRDefault="006741ED">
            <w:pPr>
              <w:keepNext/>
              <w:jc w:val="center"/>
              <w:rPr>
                <w:rFonts w:eastAsia="PMingLiU"/>
                <w:lang w:val="sr-Latn-RS"/>
              </w:rPr>
            </w:pPr>
            <w:r w:rsidRPr="00C83E6A">
              <w:rPr>
                <w:lang w:val="sr-Latn-RS"/>
              </w:rPr>
              <w:t>-35</w:t>
            </w:r>
            <w:r w:rsidRPr="00C83E6A">
              <w:rPr>
                <w:vertAlign w:val="superscript"/>
                <w:lang w:val="sr-Latn-RS"/>
              </w:rPr>
              <w:t>b</w:t>
            </w:r>
          </w:p>
          <w:p w14:paraId="78D940F4" w14:textId="77777777" w:rsidR="006741ED" w:rsidRPr="00C83E6A" w:rsidRDefault="006741ED">
            <w:pPr>
              <w:keepNext/>
              <w:jc w:val="center"/>
              <w:rPr>
                <w:rFonts w:eastAsia="Calibri"/>
                <w:lang w:val="sr-Latn-RS"/>
              </w:rPr>
            </w:pPr>
            <w:r w:rsidRPr="00C83E6A">
              <w:rPr>
                <w:lang w:val="sr-Latn-RS"/>
              </w:rPr>
              <w:t>(-40, -30)</w:t>
            </w:r>
          </w:p>
        </w:tc>
      </w:tr>
      <w:tr w:rsidR="001935E8" w:rsidRPr="00C83E6A" w14:paraId="271F2F3B" w14:textId="77777777" w:rsidTr="001935E8">
        <w:trPr>
          <w:cantSplit/>
          <w:trHeight w:val="248"/>
        </w:trPr>
        <w:tc>
          <w:tcPr>
            <w:tcW w:w="604" w:type="pct"/>
            <w:vMerge/>
            <w:vAlign w:val="center"/>
            <w:hideMark/>
          </w:tcPr>
          <w:p w14:paraId="5A8AAC72" w14:textId="77777777" w:rsidR="006741ED" w:rsidRPr="00C83E6A" w:rsidRDefault="006741ED" w:rsidP="001D6451">
            <w:pPr>
              <w:rPr>
                <w:rFonts w:eastAsia="Calibri"/>
                <w:lang w:val="sr-Latn-RS"/>
              </w:rPr>
            </w:pPr>
          </w:p>
        </w:tc>
        <w:tc>
          <w:tcPr>
            <w:tcW w:w="544" w:type="pct"/>
            <w:tcMar>
              <w:top w:w="11" w:type="dxa"/>
              <w:left w:w="90" w:type="dxa"/>
              <w:bottom w:w="0" w:type="dxa"/>
              <w:right w:w="90" w:type="dxa"/>
            </w:tcMar>
            <w:vAlign w:val="center"/>
            <w:hideMark/>
          </w:tcPr>
          <w:p w14:paraId="150667BC" w14:textId="77777777" w:rsidR="00D26E8E" w:rsidRPr="00C83E6A" w:rsidRDefault="006741ED" w:rsidP="002F120E">
            <w:pPr>
              <w:pStyle w:val="StyleTablecell"/>
              <w:keepNext w:val="0"/>
              <w:rPr>
                <w:rFonts w:eastAsia="PMingLiU"/>
                <w:sz w:val="22"/>
                <w:szCs w:val="22"/>
                <w:lang w:val="sr-Latn-RS"/>
              </w:rPr>
            </w:pPr>
            <w:r w:rsidRPr="00C83E6A">
              <w:rPr>
                <w:sz w:val="22"/>
                <w:szCs w:val="22"/>
                <w:lang w:val="sr-Latn-RS"/>
              </w:rPr>
              <w:t>420 mg QM</w:t>
            </w:r>
          </w:p>
          <w:p w14:paraId="31C6545D" w14:textId="77777777" w:rsidR="006741ED" w:rsidRPr="00C83E6A" w:rsidRDefault="006741ED">
            <w:pPr>
              <w:pStyle w:val="StyleTablecell"/>
              <w:keepNext w:val="0"/>
              <w:rPr>
                <w:sz w:val="22"/>
                <w:szCs w:val="22"/>
                <w:lang w:val="sr-Latn-RS"/>
              </w:rPr>
            </w:pPr>
            <w:r w:rsidRPr="00C83E6A">
              <w:rPr>
                <w:sz w:val="22"/>
                <w:szCs w:val="22"/>
                <w:lang w:val="sr-Latn-RS"/>
              </w:rPr>
              <w:t>(N = 102)</w:t>
            </w:r>
          </w:p>
        </w:tc>
        <w:tc>
          <w:tcPr>
            <w:tcW w:w="364" w:type="pct"/>
            <w:tcMar>
              <w:top w:w="11" w:type="dxa"/>
              <w:left w:w="90" w:type="dxa"/>
              <w:bottom w:w="0" w:type="dxa"/>
              <w:right w:w="90" w:type="dxa"/>
            </w:tcMar>
            <w:vAlign w:val="center"/>
            <w:hideMark/>
          </w:tcPr>
          <w:p w14:paraId="209F4F0D" w14:textId="77777777" w:rsidR="00D26E8E" w:rsidRPr="00C83E6A" w:rsidRDefault="006741ED">
            <w:pPr>
              <w:ind w:left="-103" w:right="-99"/>
              <w:jc w:val="center"/>
              <w:rPr>
                <w:rFonts w:eastAsia="PMingLiU"/>
                <w:vertAlign w:val="superscript"/>
                <w:lang w:val="sr-Latn-RS"/>
              </w:rPr>
            </w:pPr>
            <w:r w:rsidRPr="00C83E6A">
              <w:rPr>
                <w:lang w:val="sr-Latn-RS"/>
              </w:rPr>
              <w:t>-39</w:t>
            </w:r>
            <w:r w:rsidRPr="00C83E6A">
              <w:rPr>
                <w:vertAlign w:val="superscript"/>
                <w:lang w:val="sr-Latn-RS"/>
              </w:rPr>
              <w:t>b</w:t>
            </w:r>
          </w:p>
          <w:p w14:paraId="1AA86258" w14:textId="77777777" w:rsidR="006741ED" w:rsidRPr="00C83E6A" w:rsidRDefault="006741ED">
            <w:pPr>
              <w:ind w:left="-103" w:right="-99"/>
              <w:jc w:val="center"/>
              <w:rPr>
                <w:rFonts w:eastAsia="Calibri"/>
                <w:lang w:val="sr-Latn-RS"/>
              </w:rPr>
            </w:pPr>
            <w:r w:rsidRPr="00C83E6A">
              <w:rPr>
                <w:lang w:val="sr-Latn-RS"/>
              </w:rPr>
              <w:t>(-44, -35)</w:t>
            </w:r>
          </w:p>
        </w:tc>
        <w:tc>
          <w:tcPr>
            <w:tcW w:w="374" w:type="pct"/>
            <w:tcMar>
              <w:top w:w="11" w:type="dxa"/>
              <w:left w:w="90" w:type="dxa"/>
              <w:bottom w:w="0" w:type="dxa"/>
              <w:right w:w="90" w:type="dxa"/>
            </w:tcMar>
            <w:vAlign w:val="center"/>
            <w:hideMark/>
          </w:tcPr>
          <w:p w14:paraId="48D17B6C" w14:textId="77777777" w:rsidR="00D26E8E" w:rsidRPr="00C83E6A" w:rsidRDefault="006741ED">
            <w:pPr>
              <w:ind w:left="-107" w:right="-71"/>
              <w:jc w:val="center"/>
              <w:rPr>
                <w:rFonts w:eastAsia="PMingLiU"/>
                <w:vertAlign w:val="superscript"/>
                <w:lang w:val="sr-Latn-RS"/>
              </w:rPr>
            </w:pPr>
            <w:r w:rsidRPr="00C83E6A">
              <w:rPr>
                <w:lang w:val="sr-Latn-RS"/>
              </w:rPr>
              <w:t>-35</w:t>
            </w:r>
            <w:r w:rsidRPr="00C83E6A">
              <w:rPr>
                <w:vertAlign w:val="superscript"/>
                <w:lang w:val="sr-Latn-RS"/>
              </w:rPr>
              <w:t>b</w:t>
            </w:r>
          </w:p>
          <w:p w14:paraId="2778B394" w14:textId="77777777" w:rsidR="006741ED" w:rsidRPr="00C83E6A" w:rsidRDefault="006741ED">
            <w:pPr>
              <w:ind w:left="-107" w:right="-71"/>
              <w:jc w:val="center"/>
              <w:rPr>
                <w:rFonts w:eastAsia="Calibri"/>
                <w:lang w:val="sr-Latn-RS"/>
              </w:rPr>
            </w:pPr>
            <w:r w:rsidRPr="00C83E6A">
              <w:rPr>
                <w:lang w:val="sr-Latn-RS"/>
              </w:rPr>
              <w:t>(-39, -31)</w:t>
            </w:r>
          </w:p>
        </w:tc>
        <w:tc>
          <w:tcPr>
            <w:tcW w:w="360" w:type="pct"/>
            <w:tcMar>
              <w:top w:w="11" w:type="dxa"/>
              <w:left w:w="11" w:type="dxa"/>
              <w:bottom w:w="0" w:type="dxa"/>
              <w:right w:w="11" w:type="dxa"/>
            </w:tcMar>
            <w:vAlign w:val="center"/>
            <w:hideMark/>
          </w:tcPr>
          <w:p w14:paraId="5C8E0A55" w14:textId="77777777" w:rsidR="00D26E8E" w:rsidRPr="00C83E6A" w:rsidRDefault="006741ED">
            <w:pPr>
              <w:jc w:val="center"/>
              <w:rPr>
                <w:rFonts w:eastAsia="PMingLiU"/>
                <w:vertAlign w:val="superscript"/>
                <w:lang w:val="sr-Latn-RS"/>
              </w:rPr>
            </w:pPr>
            <w:r w:rsidRPr="00C83E6A">
              <w:rPr>
                <w:lang w:val="sr-Latn-RS"/>
              </w:rPr>
              <w:t>-35</w:t>
            </w:r>
            <w:r w:rsidRPr="00C83E6A">
              <w:rPr>
                <w:vertAlign w:val="superscript"/>
                <w:lang w:val="sr-Latn-RS"/>
              </w:rPr>
              <w:t>b</w:t>
            </w:r>
          </w:p>
          <w:p w14:paraId="502F495A" w14:textId="77777777" w:rsidR="006741ED" w:rsidRPr="00C83E6A" w:rsidRDefault="006741ED">
            <w:pPr>
              <w:jc w:val="center"/>
              <w:rPr>
                <w:rFonts w:eastAsia="Calibri"/>
                <w:lang w:val="sr-Latn-RS"/>
              </w:rPr>
            </w:pPr>
            <w:r w:rsidRPr="00C83E6A">
              <w:rPr>
                <w:lang w:val="sr-Latn-RS"/>
              </w:rPr>
              <w:t>(-40, -30)</w:t>
            </w:r>
          </w:p>
        </w:tc>
        <w:tc>
          <w:tcPr>
            <w:tcW w:w="360" w:type="pct"/>
            <w:tcMar>
              <w:top w:w="11" w:type="dxa"/>
              <w:left w:w="11" w:type="dxa"/>
              <w:bottom w:w="0" w:type="dxa"/>
              <w:right w:w="11" w:type="dxa"/>
            </w:tcMar>
            <w:vAlign w:val="center"/>
            <w:hideMark/>
          </w:tcPr>
          <w:p w14:paraId="411DDFCE" w14:textId="77777777" w:rsidR="00D26E8E" w:rsidRPr="00C83E6A" w:rsidRDefault="006741ED">
            <w:pPr>
              <w:jc w:val="center"/>
              <w:rPr>
                <w:rFonts w:eastAsia="PMingLiU"/>
                <w:vertAlign w:val="superscript"/>
                <w:lang w:val="sr-Latn-RS"/>
              </w:rPr>
            </w:pPr>
            <w:r w:rsidRPr="00C83E6A">
              <w:rPr>
                <w:lang w:val="sr-Latn-RS"/>
              </w:rPr>
              <w:t>-26</w:t>
            </w:r>
            <w:r w:rsidRPr="00C83E6A">
              <w:rPr>
                <w:vertAlign w:val="superscript"/>
                <w:lang w:val="sr-Latn-RS"/>
              </w:rPr>
              <w:t>b</w:t>
            </w:r>
          </w:p>
          <w:p w14:paraId="321FC112" w14:textId="77777777" w:rsidR="006741ED" w:rsidRPr="00C83E6A" w:rsidRDefault="006741ED">
            <w:pPr>
              <w:jc w:val="center"/>
              <w:rPr>
                <w:rFonts w:eastAsia="Calibri"/>
                <w:lang w:val="sr-Latn-RS"/>
              </w:rPr>
            </w:pPr>
            <w:r w:rsidRPr="00C83E6A">
              <w:rPr>
                <w:lang w:val="sr-Latn-RS"/>
              </w:rPr>
              <w:t>(-30, -23)</w:t>
            </w:r>
          </w:p>
        </w:tc>
        <w:tc>
          <w:tcPr>
            <w:tcW w:w="372" w:type="pct"/>
            <w:tcMar>
              <w:top w:w="11" w:type="dxa"/>
              <w:left w:w="11" w:type="dxa"/>
              <w:bottom w:w="0" w:type="dxa"/>
              <w:right w:w="11" w:type="dxa"/>
            </w:tcMar>
            <w:vAlign w:val="center"/>
            <w:hideMark/>
          </w:tcPr>
          <w:p w14:paraId="073EA436" w14:textId="77777777" w:rsidR="00D26E8E" w:rsidRPr="00C83E6A" w:rsidRDefault="006741ED">
            <w:pPr>
              <w:jc w:val="center"/>
              <w:rPr>
                <w:rFonts w:eastAsia="PMingLiU"/>
                <w:vertAlign w:val="superscript"/>
                <w:lang w:val="sr-Latn-RS"/>
              </w:rPr>
            </w:pPr>
            <w:r w:rsidRPr="00C83E6A">
              <w:rPr>
                <w:lang w:val="sr-Latn-RS"/>
              </w:rPr>
              <w:t>-25</w:t>
            </w:r>
            <w:r w:rsidRPr="00C83E6A">
              <w:rPr>
                <w:vertAlign w:val="superscript"/>
                <w:lang w:val="sr-Latn-RS"/>
              </w:rPr>
              <w:t>b</w:t>
            </w:r>
          </w:p>
          <w:p w14:paraId="092E68D6" w14:textId="77777777" w:rsidR="006741ED" w:rsidRPr="00C83E6A" w:rsidRDefault="006741ED">
            <w:pPr>
              <w:jc w:val="center"/>
              <w:rPr>
                <w:rFonts w:eastAsia="Calibri"/>
                <w:lang w:val="sr-Latn-RS"/>
              </w:rPr>
            </w:pPr>
            <w:r w:rsidRPr="00C83E6A">
              <w:rPr>
                <w:lang w:val="sr-Latn-RS"/>
              </w:rPr>
              <w:t>(-34, -17)</w:t>
            </w:r>
          </w:p>
        </w:tc>
        <w:tc>
          <w:tcPr>
            <w:tcW w:w="332" w:type="pct"/>
            <w:tcMar>
              <w:top w:w="11" w:type="dxa"/>
              <w:left w:w="11" w:type="dxa"/>
              <w:bottom w:w="0" w:type="dxa"/>
              <w:right w:w="11" w:type="dxa"/>
            </w:tcMar>
            <w:vAlign w:val="center"/>
            <w:hideMark/>
          </w:tcPr>
          <w:p w14:paraId="54789C94" w14:textId="77777777" w:rsidR="00D26E8E" w:rsidRPr="00C83E6A" w:rsidRDefault="006741ED">
            <w:pPr>
              <w:jc w:val="center"/>
              <w:rPr>
                <w:rFonts w:eastAsia="PMingLiU"/>
                <w:lang w:val="sr-Latn-RS"/>
              </w:rPr>
            </w:pPr>
            <w:r w:rsidRPr="00C83E6A">
              <w:rPr>
                <w:lang w:val="sr-Latn-RS"/>
              </w:rPr>
              <w:t>-4</w:t>
            </w:r>
          </w:p>
          <w:p w14:paraId="321BB481" w14:textId="77777777" w:rsidR="006741ED" w:rsidRPr="00C83E6A" w:rsidRDefault="006741ED">
            <w:pPr>
              <w:jc w:val="center"/>
              <w:rPr>
                <w:rFonts w:eastAsia="Calibri"/>
                <w:lang w:val="sr-Latn-RS"/>
              </w:rPr>
            </w:pPr>
            <w:r w:rsidRPr="00C83E6A">
              <w:rPr>
                <w:lang w:val="sr-Latn-RS"/>
              </w:rPr>
              <w:t>(-13, 6)</w:t>
            </w:r>
          </w:p>
        </w:tc>
        <w:tc>
          <w:tcPr>
            <w:tcW w:w="313" w:type="pct"/>
            <w:tcMar>
              <w:top w:w="11" w:type="dxa"/>
              <w:left w:w="11" w:type="dxa"/>
              <w:bottom w:w="0" w:type="dxa"/>
              <w:right w:w="11" w:type="dxa"/>
            </w:tcMar>
            <w:vAlign w:val="center"/>
            <w:hideMark/>
          </w:tcPr>
          <w:p w14:paraId="6BE8916D" w14:textId="77777777" w:rsidR="00D26E8E" w:rsidRPr="00C83E6A" w:rsidRDefault="006741ED">
            <w:pPr>
              <w:jc w:val="center"/>
              <w:rPr>
                <w:rFonts w:eastAsia="PMingLiU"/>
                <w:lang w:val="sr-Latn-RS"/>
              </w:rPr>
            </w:pPr>
            <w:r w:rsidRPr="00C83E6A">
              <w:rPr>
                <w:lang w:val="sr-Latn-RS"/>
              </w:rPr>
              <w:t>6</w:t>
            </w:r>
          </w:p>
          <w:p w14:paraId="541FF743" w14:textId="77777777" w:rsidR="006741ED" w:rsidRPr="00C83E6A" w:rsidRDefault="006741ED">
            <w:pPr>
              <w:jc w:val="center"/>
              <w:rPr>
                <w:rFonts w:eastAsia="Calibri"/>
                <w:lang w:val="sr-Latn-RS"/>
              </w:rPr>
            </w:pPr>
            <w:r w:rsidRPr="00C83E6A">
              <w:rPr>
                <w:lang w:val="sr-Latn-RS"/>
              </w:rPr>
              <w:t>(1, 10)</w:t>
            </w:r>
          </w:p>
        </w:tc>
        <w:tc>
          <w:tcPr>
            <w:tcW w:w="301" w:type="pct"/>
            <w:vAlign w:val="center"/>
            <w:hideMark/>
          </w:tcPr>
          <w:p w14:paraId="695D9822" w14:textId="77777777" w:rsidR="00D26E8E" w:rsidRPr="00C83E6A" w:rsidRDefault="006741ED">
            <w:pPr>
              <w:jc w:val="center"/>
              <w:rPr>
                <w:rFonts w:eastAsia="PMingLiU"/>
                <w:lang w:val="sr-Latn-RS"/>
              </w:rPr>
            </w:pPr>
            <w:r w:rsidRPr="00C83E6A">
              <w:rPr>
                <w:lang w:val="sr-Latn-RS"/>
              </w:rPr>
              <w:t>-6</w:t>
            </w:r>
          </w:p>
          <w:p w14:paraId="46A2458A" w14:textId="77777777" w:rsidR="006741ED" w:rsidRPr="00C83E6A" w:rsidRDefault="006741ED">
            <w:pPr>
              <w:jc w:val="center"/>
              <w:rPr>
                <w:rFonts w:eastAsia="Calibri"/>
                <w:lang w:val="sr-Latn-RS"/>
              </w:rPr>
            </w:pPr>
            <w:r w:rsidRPr="00C83E6A">
              <w:rPr>
                <w:lang w:val="sr-Latn-RS"/>
              </w:rPr>
              <w:t>(-17, 4)</w:t>
            </w:r>
          </w:p>
        </w:tc>
        <w:tc>
          <w:tcPr>
            <w:tcW w:w="361" w:type="pct"/>
            <w:tcMar>
              <w:top w:w="11" w:type="dxa"/>
              <w:left w:w="11" w:type="dxa"/>
              <w:bottom w:w="0" w:type="dxa"/>
              <w:right w:w="11" w:type="dxa"/>
            </w:tcMar>
            <w:vAlign w:val="center"/>
            <w:hideMark/>
          </w:tcPr>
          <w:p w14:paraId="5A529C44" w14:textId="77777777" w:rsidR="00D26E8E" w:rsidRPr="00C83E6A" w:rsidRDefault="006741ED">
            <w:pPr>
              <w:jc w:val="center"/>
              <w:rPr>
                <w:rFonts w:eastAsia="PMingLiU"/>
                <w:lang w:val="sr-Latn-RS"/>
              </w:rPr>
            </w:pPr>
            <w:r w:rsidRPr="00C83E6A">
              <w:rPr>
                <w:lang w:val="sr-Latn-RS"/>
              </w:rPr>
              <w:t>3</w:t>
            </w:r>
          </w:p>
          <w:p w14:paraId="2E41D471" w14:textId="77777777" w:rsidR="006741ED" w:rsidRPr="00C83E6A" w:rsidRDefault="006741ED">
            <w:pPr>
              <w:jc w:val="center"/>
              <w:rPr>
                <w:rFonts w:eastAsia="Calibri"/>
                <w:lang w:val="sr-Latn-RS"/>
              </w:rPr>
            </w:pPr>
            <w:r w:rsidRPr="00C83E6A">
              <w:rPr>
                <w:lang w:val="sr-Latn-RS"/>
              </w:rPr>
              <w:t>(-1, 7)</w:t>
            </w:r>
          </w:p>
        </w:tc>
        <w:tc>
          <w:tcPr>
            <w:tcW w:w="360" w:type="pct"/>
            <w:vAlign w:val="center"/>
          </w:tcPr>
          <w:p w14:paraId="2E7FB091" w14:textId="77777777" w:rsidR="00D26E8E" w:rsidRPr="00C83E6A" w:rsidRDefault="006741ED">
            <w:pPr>
              <w:jc w:val="center"/>
              <w:rPr>
                <w:rFonts w:eastAsia="PMingLiU"/>
                <w:lang w:val="sr-Latn-RS"/>
              </w:rPr>
            </w:pPr>
            <w:r w:rsidRPr="00C83E6A">
              <w:rPr>
                <w:lang w:val="sr-Latn-RS"/>
              </w:rPr>
              <w:t>-30</w:t>
            </w:r>
            <w:r w:rsidRPr="00C83E6A">
              <w:rPr>
                <w:vertAlign w:val="superscript"/>
                <w:lang w:val="sr-Latn-RS"/>
              </w:rPr>
              <w:t>b</w:t>
            </w:r>
          </w:p>
          <w:p w14:paraId="73A58962" w14:textId="77777777" w:rsidR="006741ED" w:rsidRPr="00C83E6A" w:rsidRDefault="006741ED">
            <w:pPr>
              <w:jc w:val="center"/>
              <w:rPr>
                <w:rFonts w:eastAsia="Calibri"/>
                <w:lang w:val="sr-Latn-RS"/>
              </w:rPr>
            </w:pPr>
            <w:r w:rsidRPr="00C83E6A">
              <w:rPr>
                <w:lang w:val="sr-Latn-RS"/>
              </w:rPr>
              <w:t>(-35, -25)</w:t>
            </w:r>
          </w:p>
        </w:tc>
        <w:tc>
          <w:tcPr>
            <w:tcW w:w="355" w:type="pct"/>
            <w:vAlign w:val="center"/>
          </w:tcPr>
          <w:p w14:paraId="30946538" w14:textId="77777777" w:rsidR="00D26E8E" w:rsidRPr="00C83E6A" w:rsidRDefault="006741ED">
            <w:pPr>
              <w:jc w:val="center"/>
              <w:rPr>
                <w:rFonts w:eastAsia="PMingLiU"/>
                <w:lang w:val="sr-Latn-RS"/>
              </w:rPr>
            </w:pPr>
            <w:r w:rsidRPr="00C83E6A">
              <w:rPr>
                <w:lang w:val="sr-Latn-RS"/>
              </w:rPr>
              <w:t>-36</w:t>
            </w:r>
            <w:r w:rsidRPr="00C83E6A">
              <w:rPr>
                <w:vertAlign w:val="superscript"/>
                <w:lang w:val="sr-Latn-RS"/>
              </w:rPr>
              <w:t>b</w:t>
            </w:r>
          </w:p>
          <w:p w14:paraId="47FBEF7B" w14:textId="77777777" w:rsidR="006741ED" w:rsidRPr="00C83E6A" w:rsidRDefault="006741ED">
            <w:pPr>
              <w:jc w:val="center"/>
              <w:rPr>
                <w:rFonts w:eastAsia="Calibri"/>
                <w:lang w:val="sr-Latn-RS"/>
              </w:rPr>
            </w:pPr>
            <w:r w:rsidRPr="00C83E6A">
              <w:rPr>
                <w:lang w:val="sr-Latn-RS"/>
              </w:rPr>
              <w:t>(-42, -31)</w:t>
            </w:r>
          </w:p>
        </w:tc>
      </w:tr>
      <w:tr w:rsidR="001935E8" w:rsidRPr="00C83E6A" w14:paraId="58A36B28" w14:textId="77777777" w:rsidTr="001935E8">
        <w:trPr>
          <w:cantSplit/>
          <w:trHeight w:val="248"/>
        </w:trPr>
        <w:tc>
          <w:tcPr>
            <w:tcW w:w="604" w:type="pct"/>
            <w:vMerge w:val="restart"/>
            <w:vAlign w:val="center"/>
          </w:tcPr>
          <w:p w14:paraId="7263B356" w14:textId="77777777" w:rsidR="00D26E8E" w:rsidRPr="00C83E6A" w:rsidRDefault="006741ED" w:rsidP="001D6451">
            <w:pPr>
              <w:pStyle w:val="StyleTablecell"/>
              <w:jc w:val="left"/>
              <w:rPr>
                <w:rFonts w:eastAsia="PMingLiU"/>
                <w:sz w:val="22"/>
                <w:szCs w:val="22"/>
                <w:lang w:val="sr-Latn-RS"/>
              </w:rPr>
            </w:pPr>
            <w:r w:rsidRPr="00C83E6A">
              <w:rPr>
                <w:sz w:val="22"/>
                <w:szCs w:val="22"/>
                <w:lang w:val="sr-Latn-RS"/>
              </w:rPr>
              <w:t>MENDEL</w:t>
            </w:r>
            <w:r w:rsidRPr="00C83E6A">
              <w:rPr>
                <w:sz w:val="22"/>
                <w:szCs w:val="22"/>
                <w:lang w:val="sr-Latn-RS"/>
              </w:rPr>
              <w:noBreakHyphen/>
              <w:t>2</w:t>
            </w:r>
          </w:p>
          <w:p w14:paraId="75E3E054" w14:textId="77777777" w:rsidR="006741ED" w:rsidRPr="00C83E6A" w:rsidRDefault="006741ED" w:rsidP="001D6451">
            <w:pPr>
              <w:pStyle w:val="StyleTablecell"/>
              <w:jc w:val="left"/>
              <w:rPr>
                <w:sz w:val="22"/>
                <w:szCs w:val="22"/>
                <w:lang w:val="sr-Latn-RS"/>
              </w:rPr>
            </w:pPr>
            <w:r w:rsidRPr="00C83E6A">
              <w:rPr>
                <w:sz w:val="22"/>
                <w:szCs w:val="22"/>
                <w:lang w:val="sr-Latn-RS"/>
              </w:rPr>
              <w:t>(liječenje u odsustvu statina)</w:t>
            </w:r>
          </w:p>
        </w:tc>
        <w:tc>
          <w:tcPr>
            <w:tcW w:w="544" w:type="pct"/>
            <w:tcMar>
              <w:top w:w="11" w:type="dxa"/>
              <w:left w:w="90" w:type="dxa"/>
              <w:bottom w:w="0" w:type="dxa"/>
              <w:right w:w="90" w:type="dxa"/>
            </w:tcMar>
            <w:vAlign w:val="center"/>
          </w:tcPr>
          <w:p w14:paraId="4221DA8C" w14:textId="77777777" w:rsidR="00D26E8E" w:rsidRPr="00C83E6A" w:rsidRDefault="006741ED" w:rsidP="002F120E">
            <w:pPr>
              <w:pStyle w:val="StyleTablecell"/>
              <w:rPr>
                <w:rFonts w:eastAsia="PMingLiU"/>
                <w:color w:val="000000"/>
                <w:sz w:val="22"/>
                <w:szCs w:val="22"/>
                <w:lang w:val="sr-Latn-RS"/>
              </w:rPr>
            </w:pPr>
            <w:r w:rsidRPr="00C83E6A">
              <w:rPr>
                <w:color w:val="000000"/>
                <w:sz w:val="22"/>
                <w:szCs w:val="22"/>
                <w:lang w:val="sr-Latn-RS"/>
              </w:rPr>
              <w:t>140 mg Q2W</w:t>
            </w:r>
          </w:p>
          <w:p w14:paraId="27C9F338" w14:textId="77777777" w:rsidR="006741ED" w:rsidRPr="00C83E6A" w:rsidRDefault="006741ED">
            <w:pPr>
              <w:pStyle w:val="StyleTablecell"/>
              <w:rPr>
                <w:color w:val="000000"/>
                <w:sz w:val="22"/>
                <w:szCs w:val="22"/>
                <w:lang w:val="sr-Latn-RS"/>
              </w:rPr>
            </w:pPr>
            <w:r w:rsidRPr="00C83E6A">
              <w:rPr>
                <w:color w:val="000000"/>
                <w:sz w:val="22"/>
                <w:szCs w:val="22"/>
                <w:lang w:val="sr-Latn-RS"/>
              </w:rPr>
              <w:t>(N = 153)</w:t>
            </w:r>
          </w:p>
        </w:tc>
        <w:tc>
          <w:tcPr>
            <w:tcW w:w="364" w:type="pct"/>
            <w:tcMar>
              <w:top w:w="11" w:type="dxa"/>
              <w:left w:w="90" w:type="dxa"/>
              <w:bottom w:w="0" w:type="dxa"/>
              <w:right w:w="90" w:type="dxa"/>
            </w:tcMar>
            <w:vAlign w:val="center"/>
          </w:tcPr>
          <w:p w14:paraId="09847454" w14:textId="77777777" w:rsidR="00D26E8E" w:rsidRPr="00C83E6A" w:rsidRDefault="006741ED">
            <w:pPr>
              <w:keepNext/>
              <w:ind w:left="-89" w:right="-90"/>
              <w:jc w:val="center"/>
              <w:rPr>
                <w:rFonts w:eastAsia="PMingLiU"/>
                <w:color w:val="000000"/>
                <w:lang w:val="sr-Latn-RS"/>
              </w:rPr>
            </w:pPr>
            <w:r w:rsidRPr="00C83E6A">
              <w:rPr>
                <w:color w:val="000000"/>
                <w:lang w:val="sr-Latn-RS"/>
              </w:rPr>
              <w:t>-40</w:t>
            </w:r>
            <w:r w:rsidRPr="00C83E6A">
              <w:rPr>
                <w:color w:val="000000"/>
                <w:vertAlign w:val="superscript"/>
                <w:lang w:val="sr-Latn-RS"/>
              </w:rPr>
              <w:t>b</w:t>
            </w:r>
          </w:p>
          <w:p w14:paraId="396F6AD8" w14:textId="77777777" w:rsidR="006741ED" w:rsidRPr="00C83E6A" w:rsidRDefault="006741ED">
            <w:pPr>
              <w:keepNext/>
              <w:ind w:left="-89" w:right="-90"/>
              <w:jc w:val="center"/>
              <w:rPr>
                <w:rFonts w:eastAsia="Calibri"/>
                <w:color w:val="000000"/>
                <w:lang w:val="sr-Latn-RS"/>
              </w:rPr>
            </w:pPr>
            <w:r w:rsidRPr="00C83E6A">
              <w:rPr>
                <w:color w:val="000000"/>
                <w:lang w:val="sr-Latn-RS"/>
              </w:rPr>
              <w:t>(-44, -37)</w:t>
            </w:r>
          </w:p>
        </w:tc>
        <w:tc>
          <w:tcPr>
            <w:tcW w:w="374" w:type="pct"/>
            <w:tcMar>
              <w:top w:w="11" w:type="dxa"/>
              <w:left w:w="90" w:type="dxa"/>
              <w:bottom w:w="0" w:type="dxa"/>
              <w:right w:w="90" w:type="dxa"/>
            </w:tcMar>
            <w:vAlign w:val="center"/>
          </w:tcPr>
          <w:p w14:paraId="0262C062" w14:textId="77777777" w:rsidR="00D26E8E" w:rsidRPr="00C83E6A" w:rsidRDefault="006741ED">
            <w:pPr>
              <w:keepNext/>
              <w:ind w:left="-90" w:right="-89"/>
              <w:jc w:val="center"/>
              <w:rPr>
                <w:rFonts w:eastAsia="PMingLiU"/>
                <w:color w:val="000000"/>
                <w:lang w:val="sr-Latn-RS"/>
              </w:rPr>
            </w:pPr>
            <w:r w:rsidRPr="00C83E6A">
              <w:rPr>
                <w:color w:val="000000"/>
                <w:lang w:val="sr-Latn-RS"/>
              </w:rPr>
              <w:t>-36</w:t>
            </w:r>
            <w:r w:rsidRPr="00C83E6A">
              <w:rPr>
                <w:color w:val="000000"/>
                <w:vertAlign w:val="superscript"/>
                <w:lang w:val="sr-Latn-RS"/>
              </w:rPr>
              <w:t>b</w:t>
            </w:r>
          </w:p>
          <w:p w14:paraId="217B0FE6" w14:textId="77777777" w:rsidR="006741ED" w:rsidRPr="00C83E6A" w:rsidRDefault="006741ED">
            <w:pPr>
              <w:keepNext/>
              <w:ind w:left="-90" w:right="-89"/>
              <w:jc w:val="center"/>
              <w:rPr>
                <w:rFonts w:eastAsia="Calibri"/>
                <w:color w:val="000000"/>
                <w:lang w:val="sr-Latn-RS"/>
              </w:rPr>
            </w:pPr>
            <w:r w:rsidRPr="00C83E6A">
              <w:rPr>
                <w:color w:val="000000"/>
                <w:lang w:val="sr-Latn-RS"/>
              </w:rPr>
              <w:t>(-39, -32)</w:t>
            </w:r>
          </w:p>
        </w:tc>
        <w:tc>
          <w:tcPr>
            <w:tcW w:w="360" w:type="pct"/>
            <w:tcMar>
              <w:top w:w="11" w:type="dxa"/>
              <w:left w:w="11" w:type="dxa"/>
              <w:bottom w:w="0" w:type="dxa"/>
              <w:right w:w="11" w:type="dxa"/>
            </w:tcMar>
            <w:vAlign w:val="center"/>
          </w:tcPr>
          <w:p w14:paraId="091DA90D" w14:textId="77777777" w:rsidR="00D26E8E" w:rsidRPr="00C83E6A" w:rsidRDefault="006741ED">
            <w:pPr>
              <w:keepNext/>
              <w:jc w:val="center"/>
              <w:rPr>
                <w:rFonts w:eastAsia="PMingLiU"/>
                <w:color w:val="000000"/>
                <w:lang w:val="sr-Latn-RS"/>
              </w:rPr>
            </w:pPr>
            <w:r w:rsidRPr="00C83E6A">
              <w:rPr>
                <w:color w:val="000000"/>
                <w:lang w:val="sr-Latn-RS"/>
              </w:rPr>
              <w:t>-34</w:t>
            </w:r>
            <w:r w:rsidRPr="00C83E6A">
              <w:rPr>
                <w:color w:val="000000"/>
                <w:vertAlign w:val="superscript"/>
                <w:lang w:val="sr-Latn-RS"/>
              </w:rPr>
              <w:t>b</w:t>
            </w:r>
          </w:p>
          <w:p w14:paraId="51EB0E92" w14:textId="77777777" w:rsidR="006741ED" w:rsidRPr="00C83E6A" w:rsidRDefault="006741ED">
            <w:pPr>
              <w:keepNext/>
              <w:jc w:val="center"/>
              <w:rPr>
                <w:rFonts w:eastAsia="Calibri"/>
                <w:color w:val="000000"/>
                <w:lang w:val="sr-Latn-RS"/>
              </w:rPr>
            </w:pPr>
            <w:r w:rsidRPr="00C83E6A">
              <w:rPr>
                <w:color w:val="000000"/>
                <w:lang w:val="sr-Latn-RS"/>
              </w:rPr>
              <w:t>(-37, -30)</w:t>
            </w:r>
          </w:p>
        </w:tc>
        <w:tc>
          <w:tcPr>
            <w:tcW w:w="360" w:type="pct"/>
            <w:tcMar>
              <w:top w:w="11" w:type="dxa"/>
              <w:left w:w="11" w:type="dxa"/>
              <w:bottom w:w="0" w:type="dxa"/>
              <w:right w:w="11" w:type="dxa"/>
            </w:tcMar>
            <w:vAlign w:val="center"/>
          </w:tcPr>
          <w:p w14:paraId="419ACF61" w14:textId="77777777" w:rsidR="00D26E8E" w:rsidRPr="00C83E6A" w:rsidRDefault="006741ED">
            <w:pPr>
              <w:keepNext/>
              <w:jc w:val="center"/>
              <w:rPr>
                <w:rFonts w:eastAsia="PMingLiU"/>
                <w:color w:val="000000"/>
                <w:lang w:val="sr-Latn-RS"/>
              </w:rPr>
            </w:pPr>
            <w:r w:rsidRPr="00C83E6A">
              <w:rPr>
                <w:color w:val="000000"/>
                <w:lang w:val="sr-Latn-RS"/>
              </w:rPr>
              <w:t>-25</w:t>
            </w:r>
            <w:r w:rsidRPr="00C83E6A">
              <w:rPr>
                <w:color w:val="000000"/>
                <w:vertAlign w:val="superscript"/>
                <w:lang w:val="sr-Latn-RS"/>
              </w:rPr>
              <w:t>b</w:t>
            </w:r>
          </w:p>
          <w:p w14:paraId="6B129BFF" w14:textId="77777777" w:rsidR="006741ED" w:rsidRPr="00C83E6A" w:rsidRDefault="006741ED">
            <w:pPr>
              <w:keepNext/>
              <w:jc w:val="center"/>
              <w:rPr>
                <w:rFonts w:eastAsia="Calibri"/>
                <w:color w:val="000000"/>
                <w:lang w:val="sr-Latn-RS"/>
              </w:rPr>
            </w:pPr>
            <w:r w:rsidRPr="00C83E6A">
              <w:rPr>
                <w:color w:val="000000"/>
                <w:lang w:val="sr-Latn-RS"/>
              </w:rPr>
              <w:t>(-28, -22)</w:t>
            </w:r>
          </w:p>
        </w:tc>
        <w:tc>
          <w:tcPr>
            <w:tcW w:w="372" w:type="pct"/>
            <w:tcMar>
              <w:top w:w="11" w:type="dxa"/>
              <w:left w:w="11" w:type="dxa"/>
              <w:bottom w:w="0" w:type="dxa"/>
              <w:right w:w="11" w:type="dxa"/>
            </w:tcMar>
            <w:vAlign w:val="center"/>
          </w:tcPr>
          <w:p w14:paraId="43F764B9" w14:textId="77777777" w:rsidR="00D26E8E" w:rsidRPr="00C83E6A" w:rsidRDefault="006741ED">
            <w:pPr>
              <w:keepNext/>
              <w:jc w:val="center"/>
              <w:rPr>
                <w:rFonts w:eastAsia="PMingLiU"/>
                <w:color w:val="000000"/>
                <w:lang w:val="sr-Latn-RS"/>
              </w:rPr>
            </w:pPr>
            <w:r w:rsidRPr="00C83E6A">
              <w:rPr>
                <w:color w:val="000000"/>
                <w:lang w:val="sr-Latn-RS"/>
              </w:rPr>
              <w:t>-22</w:t>
            </w:r>
            <w:r w:rsidRPr="00C83E6A">
              <w:rPr>
                <w:color w:val="000000"/>
                <w:vertAlign w:val="superscript"/>
                <w:lang w:val="sr-Latn-RS"/>
              </w:rPr>
              <w:t>b</w:t>
            </w:r>
          </w:p>
          <w:p w14:paraId="04DFD405" w14:textId="77777777" w:rsidR="006741ED" w:rsidRPr="00C83E6A" w:rsidRDefault="006741ED">
            <w:pPr>
              <w:keepNext/>
              <w:jc w:val="center"/>
              <w:rPr>
                <w:rFonts w:eastAsia="Calibri"/>
                <w:color w:val="000000"/>
                <w:lang w:val="sr-Latn-RS"/>
              </w:rPr>
            </w:pPr>
            <w:r w:rsidRPr="00C83E6A">
              <w:rPr>
                <w:color w:val="000000"/>
                <w:lang w:val="sr-Latn-RS"/>
              </w:rPr>
              <w:t>(-29, -16)</w:t>
            </w:r>
          </w:p>
        </w:tc>
        <w:tc>
          <w:tcPr>
            <w:tcW w:w="332" w:type="pct"/>
            <w:tcMar>
              <w:top w:w="11" w:type="dxa"/>
              <w:left w:w="11" w:type="dxa"/>
              <w:bottom w:w="0" w:type="dxa"/>
              <w:right w:w="11" w:type="dxa"/>
            </w:tcMar>
            <w:vAlign w:val="center"/>
          </w:tcPr>
          <w:p w14:paraId="19D569E2" w14:textId="77777777" w:rsidR="00D26E8E" w:rsidRPr="00C83E6A" w:rsidRDefault="006741ED">
            <w:pPr>
              <w:keepNext/>
              <w:jc w:val="center"/>
              <w:rPr>
                <w:rFonts w:eastAsia="PMingLiU"/>
                <w:color w:val="000000"/>
                <w:lang w:val="sr-Latn-RS"/>
              </w:rPr>
            </w:pPr>
            <w:r w:rsidRPr="00C83E6A">
              <w:rPr>
                <w:color w:val="000000"/>
                <w:lang w:val="sr-Latn-RS"/>
              </w:rPr>
              <w:t>-7</w:t>
            </w:r>
          </w:p>
          <w:p w14:paraId="2B4BC112" w14:textId="77777777" w:rsidR="006741ED" w:rsidRPr="00C83E6A" w:rsidRDefault="006741ED">
            <w:pPr>
              <w:keepNext/>
              <w:jc w:val="center"/>
              <w:rPr>
                <w:rFonts w:eastAsia="Calibri"/>
                <w:color w:val="000000"/>
                <w:lang w:val="sr-Latn-RS"/>
              </w:rPr>
            </w:pPr>
            <w:r w:rsidRPr="00C83E6A">
              <w:rPr>
                <w:color w:val="000000"/>
                <w:lang w:val="sr-Latn-RS"/>
              </w:rPr>
              <w:t>(-14, 1)</w:t>
            </w:r>
          </w:p>
        </w:tc>
        <w:tc>
          <w:tcPr>
            <w:tcW w:w="313" w:type="pct"/>
            <w:tcMar>
              <w:top w:w="11" w:type="dxa"/>
              <w:left w:w="11" w:type="dxa"/>
              <w:bottom w:w="0" w:type="dxa"/>
              <w:right w:w="11" w:type="dxa"/>
            </w:tcMar>
            <w:vAlign w:val="center"/>
          </w:tcPr>
          <w:p w14:paraId="143A8B56" w14:textId="77777777" w:rsidR="00D26E8E" w:rsidRPr="00C83E6A" w:rsidRDefault="006741ED">
            <w:pPr>
              <w:keepNext/>
              <w:jc w:val="center"/>
              <w:rPr>
                <w:rFonts w:eastAsia="PMingLiU"/>
                <w:color w:val="000000"/>
                <w:lang w:val="sr-Latn-RS"/>
              </w:rPr>
            </w:pPr>
            <w:r w:rsidRPr="00C83E6A">
              <w:rPr>
                <w:color w:val="000000"/>
                <w:lang w:val="sr-Latn-RS"/>
              </w:rPr>
              <w:t>6</w:t>
            </w:r>
            <w:r w:rsidRPr="00C83E6A">
              <w:rPr>
                <w:color w:val="000000"/>
                <w:vertAlign w:val="superscript"/>
                <w:lang w:val="sr-Latn-RS"/>
              </w:rPr>
              <w:t>a</w:t>
            </w:r>
          </w:p>
          <w:p w14:paraId="250013C6" w14:textId="77777777" w:rsidR="006741ED" w:rsidRPr="00C83E6A" w:rsidRDefault="006741ED">
            <w:pPr>
              <w:keepNext/>
              <w:jc w:val="center"/>
              <w:rPr>
                <w:rFonts w:eastAsia="Calibri"/>
                <w:color w:val="000000"/>
                <w:lang w:val="sr-Latn-RS"/>
              </w:rPr>
            </w:pPr>
            <w:r w:rsidRPr="00C83E6A">
              <w:rPr>
                <w:color w:val="000000"/>
                <w:lang w:val="sr-Latn-RS"/>
              </w:rPr>
              <w:t>(3, 9)</w:t>
            </w:r>
          </w:p>
        </w:tc>
        <w:tc>
          <w:tcPr>
            <w:tcW w:w="301" w:type="pct"/>
            <w:vAlign w:val="center"/>
          </w:tcPr>
          <w:p w14:paraId="0F0348E2" w14:textId="77777777" w:rsidR="00D26E8E" w:rsidRPr="00C83E6A" w:rsidRDefault="006741ED">
            <w:pPr>
              <w:keepNext/>
              <w:jc w:val="center"/>
              <w:rPr>
                <w:rFonts w:eastAsia="PMingLiU"/>
                <w:color w:val="000000"/>
                <w:lang w:val="sr-Latn-RS"/>
              </w:rPr>
            </w:pPr>
            <w:r w:rsidRPr="00C83E6A">
              <w:rPr>
                <w:color w:val="000000"/>
                <w:lang w:val="sr-Latn-RS"/>
              </w:rPr>
              <w:t>-9</w:t>
            </w:r>
          </w:p>
          <w:p w14:paraId="0C0FB130" w14:textId="77777777" w:rsidR="006741ED" w:rsidRPr="00C83E6A" w:rsidRDefault="006741ED">
            <w:pPr>
              <w:keepNext/>
              <w:jc w:val="center"/>
              <w:rPr>
                <w:rFonts w:eastAsia="Calibri"/>
                <w:color w:val="000000"/>
                <w:lang w:val="sr-Latn-RS"/>
              </w:rPr>
            </w:pPr>
            <w:r w:rsidRPr="00C83E6A">
              <w:rPr>
                <w:color w:val="000000"/>
                <w:lang w:val="sr-Latn-RS"/>
              </w:rPr>
              <w:t>(-16, -1)</w:t>
            </w:r>
          </w:p>
        </w:tc>
        <w:tc>
          <w:tcPr>
            <w:tcW w:w="361" w:type="pct"/>
            <w:tcMar>
              <w:top w:w="11" w:type="dxa"/>
              <w:left w:w="11" w:type="dxa"/>
              <w:bottom w:w="0" w:type="dxa"/>
              <w:right w:w="11" w:type="dxa"/>
            </w:tcMar>
            <w:vAlign w:val="center"/>
          </w:tcPr>
          <w:p w14:paraId="510D42EC" w14:textId="77777777" w:rsidR="00D26E8E" w:rsidRPr="00C83E6A" w:rsidRDefault="006741ED">
            <w:pPr>
              <w:keepNext/>
              <w:jc w:val="center"/>
              <w:rPr>
                <w:rFonts w:eastAsia="PMingLiU"/>
                <w:color w:val="000000"/>
                <w:lang w:val="sr-Latn-RS"/>
              </w:rPr>
            </w:pPr>
            <w:r w:rsidRPr="00C83E6A">
              <w:rPr>
                <w:color w:val="000000"/>
                <w:lang w:val="sr-Latn-RS"/>
              </w:rPr>
              <w:t>3</w:t>
            </w:r>
          </w:p>
          <w:p w14:paraId="04CD3254" w14:textId="77777777" w:rsidR="006741ED" w:rsidRPr="00C83E6A" w:rsidRDefault="006741ED">
            <w:pPr>
              <w:keepNext/>
              <w:jc w:val="center"/>
              <w:rPr>
                <w:rFonts w:eastAsia="Calibri"/>
                <w:color w:val="000000"/>
                <w:lang w:val="sr-Latn-RS"/>
              </w:rPr>
            </w:pPr>
            <w:r w:rsidRPr="00C83E6A">
              <w:rPr>
                <w:color w:val="000000"/>
                <w:lang w:val="sr-Latn-RS"/>
              </w:rPr>
              <w:t>(0, 6)</w:t>
            </w:r>
          </w:p>
        </w:tc>
        <w:tc>
          <w:tcPr>
            <w:tcW w:w="360" w:type="pct"/>
            <w:vAlign w:val="center"/>
          </w:tcPr>
          <w:p w14:paraId="4F1064C8" w14:textId="77777777" w:rsidR="00D26E8E" w:rsidRPr="00C83E6A" w:rsidRDefault="006741ED">
            <w:pPr>
              <w:keepNext/>
              <w:jc w:val="center"/>
              <w:rPr>
                <w:rFonts w:eastAsia="PMingLiU"/>
                <w:lang w:val="sr-Latn-RS"/>
              </w:rPr>
            </w:pPr>
            <w:r w:rsidRPr="00C83E6A">
              <w:rPr>
                <w:lang w:val="sr-Latn-RS"/>
              </w:rPr>
              <w:t>-29</w:t>
            </w:r>
            <w:r w:rsidRPr="00C83E6A">
              <w:rPr>
                <w:vertAlign w:val="superscript"/>
                <w:lang w:val="sr-Latn-RS"/>
              </w:rPr>
              <w:t>b</w:t>
            </w:r>
          </w:p>
          <w:p w14:paraId="42F72333" w14:textId="77777777" w:rsidR="006741ED" w:rsidRPr="00C83E6A" w:rsidRDefault="006741ED">
            <w:pPr>
              <w:keepNext/>
              <w:jc w:val="center"/>
              <w:rPr>
                <w:rFonts w:eastAsia="Calibri"/>
                <w:lang w:val="sr-Latn-RS"/>
              </w:rPr>
            </w:pPr>
            <w:r w:rsidRPr="00C83E6A">
              <w:rPr>
                <w:lang w:val="sr-Latn-RS"/>
              </w:rPr>
              <w:t>(-32, -26)</w:t>
            </w:r>
          </w:p>
        </w:tc>
        <w:tc>
          <w:tcPr>
            <w:tcW w:w="355" w:type="pct"/>
            <w:vAlign w:val="center"/>
          </w:tcPr>
          <w:p w14:paraId="1E0E2D80" w14:textId="77777777" w:rsidR="00D26E8E" w:rsidRPr="00C83E6A" w:rsidRDefault="006741ED">
            <w:pPr>
              <w:keepNext/>
              <w:jc w:val="center"/>
              <w:rPr>
                <w:rFonts w:eastAsia="PMingLiU"/>
                <w:lang w:val="sr-Latn-RS"/>
              </w:rPr>
            </w:pPr>
            <w:r w:rsidRPr="00C83E6A">
              <w:rPr>
                <w:lang w:val="sr-Latn-RS"/>
              </w:rPr>
              <w:t>-35</w:t>
            </w:r>
            <w:r w:rsidRPr="00C83E6A">
              <w:rPr>
                <w:vertAlign w:val="superscript"/>
                <w:lang w:val="sr-Latn-RS"/>
              </w:rPr>
              <w:t>b</w:t>
            </w:r>
          </w:p>
          <w:p w14:paraId="20F45667" w14:textId="77777777" w:rsidR="006741ED" w:rsidRPr="00C83E6A" w:rsidRDefault="006741ED">
            <w:pPr>
              <w:keepNext/>
              <w:jc w:val="center"/>
              <w:rPr>
                <w:rFonts w:eastAsia="Calibri"/>
                <w:lang w:val="sr-Latn-RS"/>
              </w:rPr>
            </w:pPr>
            <w:r w:rsidRPr="00C83E6A">
              <w:rPr>
                <w:lang w:val="sr-Latn-RS"/>
              </w:rPr>
              <w:t>(-39, -31)</w:t>
            </w:r>
          </w:p>
        </w:tc>
      </w:tr>
      <w:tr w:rsidR="001935E8" w:rsidRPr="00C83E6A" w14:paraId="7A0A6839" w14:textId="77777777" w:rsidTr="001935E8">
        <w:trPr>
          <w:cantSplit/>
          <w:trHeight w:val="248"/>
        </w:trPr>
        <w:tc>
          <w:tcPr>
            <w:tcW w:w="604" w:type="pct"/>
            <w:vMerge/>
          </w:tcPr>
          <w:p w14:paraId="1052D126" w14:textId="77777777" w:rsidR="006741ED" w:rsidRPr="00C83E6A" w:rsidRDefault="006741ED" w:rsidP="001D6451">
            <w:pPr>
              <w:keepNext/>
              <w:jc w:val="both"/>
              <w:rPr>
                <w:rFonts w:eastAsia="Calibri"/>
                <w:lang w:val="sr-Latn-RS"/>
              </w:rPr>
            </w:pPr>
          </w:p>
        </w:tc>
        <w:tc>
          <w:tcPr>
            <w:tcW w:w="544" w:type="pct"/>
            <w:tcMar>
              <w:top w:w="11" w:type="dxa"/>
              <w:left w:w="90" w:type="dxa"/>
              <w:bottom w:w="0" w:type="dxa"/>
              <w:right w:w="90" w:type="dxa"/>
            </w:tcMar>
            <w:vAlign w:val="center"/>
          </w:tcPr>
          <w:p w14:paraId="542E5CB2" w14:textId="77777777" w:rsidR="00D26E8E" w:rsidRPr="00C83E6A" w:rsidRDefault="006741ED" w:rsidP="002F120E">
            <w:pPr>
              <w:pStyle w:val="StyleTablecell"/>
              <w:rPr>
                <w:rFonts w:eastAsia="PMingLiU"/>
                <w:color w:val="000000"/>
                <w:sz w:val="22"/>
                <w:szCs w:val="22"/>
                <w:lang w:val="sr-Latn-RS"/>
              </w:rPr>
            </w:pPr>
            <w:r w:rsidRPr="00C83E6A">
              <w:rPr>
                <w:color w:val="000000"/>
                <w:sz w:val="22"/>
                <w:szCs w:val="22"/>
                <w:lang w:val="sr-Latn-RS"/>
              </w:rPr>
              <w:t>420 mg QM</w:t>
            </w:r>
          </w:p>
          <w:p w14:paraId="11A6F3DB" w14:textId="77777777" w:rsidR="006741ED" w:rsidRPr="00C83E6A" w:rsidRDefault="006741ED">
            <w:pPr>
              <w:pStyle w:val="StyleTablecell"/>
              <w:rPr>
                <w:color w:val="000000"/>
                <w:sz w:val="22"/>
                <w:szCs w:val="22"/>
                <w:lang w:val="sr-Latn-RS"/>
              </w:rPr>
            </w:pPr>
            <w:r w:rsidRPr="00C83E6A">
              <w:rPr>
                <w:color w:val="000000"/>
                <w:sz w:val="22"/>
                <w:szCs w:val="22"/>
                <w:lang w:val="sr-Latn-RS"/>
              </w:rPr>
              <w:t>(N = 153)</w:t>
            </w:r>
          </w:p>
        </w:tc>
        <w:tc>
          <w:tcPr>
            <w:tcW w:w="364" w:type="pct"/>
            <w:tcMar>
              <w:top w:w="11" w:type="dxa"/>
              <w:left w:w="90" w:type="dxa"/>
              <w:bottom w:w="0" w:type="dxa"/>
              <w:right w:w="90" w:type="dxa"/>
            </w:tcMar>
            <w:vAlign w:val="center"/>
          </w:tcPr>
          <w:p w14:paraId="4CE5CE35" w14:textId="77777777" w:rsidR="00D26E8E" w:rsidRPr="00C83E6A" w:rsidRDefault="006741ED">
            <w:pPr>
              <w:keepNext/>
              <w:ind w:left="-89" w:right="-90"/>
              <w:jc w:val="center"/>
              <w:rPr>
                <w:rFonts w:eastAsia="PMingLiU"/>
                <w:color w:val="000000"/>
                <w:lang w:val="sr-Latn-RS"/>
              </w:rPr>
            </w:pPr>
            <w:r w:rsidRPr="00C83E6A">
              <w:rPr>
                <w:color w:val="000000"/>
                <w:lang w:val="sr-Latn-RS"/>
              </w:rPr>
              <w:t>-41</w:t>
            </w:r>
            <w:r w:rsidRPr="00C83E6A">
              <w:rPr>
                <w:color w:val="000000"/>
                <w:vertAlign w:val="superscript"/>
                <w:lang w:val="sr-Latn-RS"/>
              </w:rPr>
              <w:t>b</w:t>
            </w:r>
          </w:p>
          <w:p w14:paraId="2724A331" w14:textId="77777777" w:rsidR="006741ED" w:rsidRPr="00C83E6A" w:rsidRDefault="006741ED">
            <w:pPr>
              <w:keepNext/>
              <w:ind w:left="-89" w:right="-90"/>
              <w:jc w:val="center"/>
              <w:rPr>
                <w:rFonts w:eastAsia="Calibri"/>
                <w:color w:val="000000"/>
                <w:lang w:val="sr-Latn-RS"/>
              </w:rPr>
            </w:pPr>
            <w:r w:rsidRPr="00C83E6A">
              <w:rPr>
                <w:color w:val="000000"/>
                <w:lang w:val="sr-Latn-RS"/>
              </w:rPr>
              <w:t>(-44, -37)</w:t>
            </w:r>
          </w:p>
        </w:tc>
        <w:tc>
          <w:tcPr>
            <w:tcW w:w="374" w:type="pct"/>
            <w:tcMar>
              <w:top w:w="11" w:type="dxa"/>
              <w:left w:w="90" w:type="dxa"/>
              <w:bottom w:w="0" w:type="dxa"/>
              <w:right w:w="90" w:type="dxa"/>
            </w:tcMar>
            <w:vAlign w:val="center"/>
          </w:tcPr>
          <w:p w14:paraId="439563C5" w14:textId="77777777" w:rsidR="00D26E8E" w:rsidRPr="00C83E6A" w:rsidRDefault="006741ED">
            <w:pPr>
              <w:keepNext/>
              <w:ind w:left="-90" w:right="-89"/>
              <w:jc w:val="center"/>
              <w:rPr>
                <w:rFonts w:eastAsia="PMingLiU"/>
                <w:color w:val="000000"/>
                <w:lang w:val="sr-Latn-RS"/>
              </w:rPr>
            </w:pPr>
            <w:r w:rsidRPr="00C83E6A">
              <w:rPr>
                <w:color w:val="000000"/>
                <w:lang w:val="sr-Latn-RS"/>
              </w:rPr>
              <w:t>-35</w:t>
            </w:r>
            <w:r w:rsidRPr="00C83E6A">
              <w:rPr>
                <w:color w:val="000000"/>
                <w:vertAlign w:val="superscript"/>
                <w:lang w:val="sr-Latn-RS"/>
              </w:rPr>
              <w:t>b</w:t>
            </w:r>
          </w:p>
          <w:p w14:paraId="552155A8" w14:textId="77777777" w:rsidR="006741ED" w:rsidRPr="00C83E6A" w:rsidRDefault="006741ED">
            <w:pPr>
              <w:keepNext/>
              <w:ind w:left="-90" w:right="-89"/>
              <w:jc w:val="center"/>
              <w:rPr>
                <w:rFonts w:eastAsia="Calibri"/>
                <w:color w:val="000000"/>
                <w:lang w:val="sr-Latn-RS"/>
              </w:rPr>
            </w:pPr>
            <w:r w:rsidRPr="00C83E6A">
              <w:rPr>
                <w:color w:val="000000"/>
                <w:lang w:val="sr-Latn-RS"/>
              </w:rPr>
              <w:t>(-38, -33)</w:t>
            </w:r>
          </w:p>
        </w:tc>
        <w:tc>
          <w:tcPr>
            <w:tcW w:w="360" w:type="pct"/>
            <w:tcMar>
              <w:top w:w="11" w:type="dxa"/>
              <w:left w:w="11" w:type="dxa"/>
              <w:bottom w:w="0" w:type="dxa"/>
              <w:right w:w="11" w:type="dxa"/>
            </w:tcMar>
            <w:vAlign w:val="center"/>
          </w:tcPr>
          <w:p w14:paraId="7ADFE6BE" w14:textId="77777777" w:rsidR="00D26E8E" w:rsidRPr="00C83E6A" w:rsidRDefault="006741ED">
            <w:pPr>
              <w:keepNext/>
              <w:jc w:val="center"/>
              <w:rPr>
                <w:rFonts w:eastAsia="PMingLiU"/>
                <w:color w:val="000000"/>
                <w:lang w:val="sr-Latn-RS"/>
              </w:rPr>
            </w:pPr>
            <w:r w:rsidRPr="00C83E6A">
              <w:rPr>
                <w:color w:val="000000"/>
                <w:lang w:val="sr-Latn-RS"/>
              </w:rPr>
              <w:t>-35</w:t>
            </w:r>
            <w:r w:rsidRPr="00C83E6A">
              <w:rPr>
                <w:color w:val="000000"/>
                <w:vertAlign w:val="superscript"/>
                <w:lang w:val="sr-Latn-RS"/>
              </w:rPr>
              <w:t>b</w:t>
            </w:r>
          </w:p>
          <w:p w14:paraId="7AA4099F" w14:textId="77777777" w:rsidR="006741ED" w:rsidRPr="00C83E6A" w:rsidRDefault="006741ED">
            <w:pPr>
              <w:keepNext/>
              <w:jc w:val="center"/>
              <w:rPr>
                <w:rFonts w:eastAsia="Calibri"/>
                <w:color w:val="000000"/>
                <w:lang w:val="sr-Latn-RS"/>
              </w:rPr>
            </w:pPr>
            <w:r w:rsidRPr="00C83E6A">
              <w:rPr>
                <w:color w:val="000000"/>
                <w:lang w:val="sr-Latn-RS"/>
              </w:rPr>
              <w:t>(-38, -31)</w:t>
            </w:r>
          </w:p>
        </w:tc>
        <w:tc>
          <w:tcPr>
            <w:tcW w:w="360" w:type="pct"/>
            <w:tcMar>
              <w:top w:w="11" w:type="dxa"/>
              <w:left w:w="11" w:type="dxa"/>
              <w:bottom w:w="0" w:type="dxa"/>
              <w:right w:w="11" w:type="dxa"/>
            </w:tcMar>
            <w:vAlign w:val="center"/>
          </w:tcPr>
          <w:p w14:paraId="021209AF" w14:textId="77777777" w:rsidR="00D26E8E" w:rsidRPr="00C83E6A" w:rsidRDefault="006741ED">
            <w:pPr>
              <w:keepNext/>
              <w:jc w:val="center"/>
              <w:rPr>
                <w:rFonts w:eastAsia="PMingLiU"/>
                <w:color w:val="000000"/>
                <w:lang w:val="sr-Latn-RS"/>
              </w:rPr>
            </w:pPr>
            <w:r w:rsidRPr="00C83E6A">
              <w:rPr>
                <w:color w:val="000000"/>
                <w:lang w:val="sr-Latn-RS"/>
              </w:rPr>
              <w:t>-25</w:t>
            </w:r>
            <w:r w:rsidRPr="00C83E6A">
              <w:rPr>
                <w:color w:val="000000"/>
                <w:vertAlign w:val="superscript"/>
                <w:lang w:val="sr-Latn-RS"/>
              </w:rPr>
              <w:t>b</w:t>
            </w:r>
          </w:p>
          <w:p w14:paraId="090A27DD" w14:textId="77777777" w:rsidR="006741ED" w:rsidRPr="00C83E6A" w:rsidRDefault="006741ED">
            <w:pPr>
              <w:keepNext/>
              <w:jc w:val="center"/>
              <w:rPr>
                <w:rFonts w:eastAsia="Calibri"/>
                <w:color w:val="000000"/>
                <w:lang w:val="sr-Latn-RS"/>
              </w:rPr>
            </w:pPr>
            <w:r w:rsidRPr="00C83E6A">
              <w:rPr>
                <w:color w:val="000000"/>
                <w:lang w:val="sr-Latn-RS"/>
              </w:rPr>
              <w:t>(-28, -23)</w:t>
            </w:r>
          </w:p>
        </w:tc>
        <w:tc>
          <w:tcPr>
            <w:tcW w:w="372" w:type="pct"/>
            <w:tcMar>
              <w:top w:w="11" w:type="dxa"/>
              <w:left w:w="11" w:type="dxa"/>
              <w:bottom w:w="0" w:type="dxa"/>
              <w:right w:w="11" w:type="dxa"/>
            </w:tcMar>
            <w:vAlign w:val="center"/>
          </w:tcPr>
          <w:p w14:paraId="65A7FFFC" w14:textId="77777777" w:rsidR="00D26E8E" w:rsidRPr="00C83E6A" w:rsidRDefault="006741ED">
            <w:pPr>
              <w:keepNext/>
              <w:jc w:val="center"/>
              <w:rPr>
                <w:rFonts w:eastAsia="PMingLiU"/>
                <w:color w:val="000000"/>
                <w:lang w:val="sr-Latn-RS"/>
              </w:rPr>
            </w:pPr>
            <w:r w:rsidRPr="00C83E6A">
              <w:rPr>
                <w:color w:val="000000"/>
                <w:lang w:val="sr-Latn-RS"/>
              </w:rPr>
              <w:t>-20</w:t>
            </w:r>
            <w:r w:rsidRPr="00C83E6A">
              <w:rPr>
                <w:color w:val="000000"/>
                <w:vertAlign w:val="superscript"/>
                <w:lang w:val="sr-Latn-RS"/>
              </w:rPr>
              <w:t>b</w:t>
            </w:r>
          </w:p>
          <w:p w14:paraId="791447F1" w14:textId="77777777" w:rsidR="006741ED" w:rsidRPr="00C83E6A" w:rsidRDefault="006741ED">
            <w:pPr>
              <w:keepNext/>
              <w:jc w:val="center"/>
              <w:rPr>
                <w:rFonts w:eastAsia="Calibri"/>
                <w:color w:val="000000"/>
                <w:lang w:val="sr-Latn-RS"/>
              </w:rPr>
            </w:pPr>
            <w:r w:rsidRPr="00C83E6A">
              <w:rPr>
                <w:color w:val="000000"/>
                <w:lang w:val="sr-Latn-RS"/>
              </w:rPr>
              <w:t>(-27, -13)</w:t>
            </w:r>
          </w:p>
        </w:tc>
        <w:tc>
          <w:tcPr>
            <w:tcW w:w="332" w:type="pct"/>
            <w:tcMar>
              <w:top w:w="11" w:type="dxa"/>
              <w:left w:w="11" w:type="dxa"/>
              <w:bottom w:w="0" w:type="dxa"/>
              <w:right w:w="11" w:type="dxa"/>
            </w:tcMar>
            <w:vAlign w:val="center"/>
          </w:tcPr>
          <w:p w14:paraId="1A18DE91" w14:textId="77777777" w:rsidR="00D26E8E" w:rsidRPr="00C83E6A" w:rsidRDefault="006741ED">
            <w:pPr>
              <w:keepNext/>
              <w:jc w:val="center"/>
              <w:rPr>
                <w:rFonts w:eastAsia="PMingLiU"/>
                <w:color w:val="000000"/>
                <w:lang w:val="sr-Latn-RS"/>
              </w:rPr>
            </w:pPr>
            <w:r w:rsidRPr="00C83E6A">
              <w:rPr>
                <w:color w:val="000000"/>
                <w:lang w:val="sr-Latn-RS"/>
              </w:rPr>
              <w:t>-10</w:t>
            </w:r>
          </w:p>
          <w:p w14:paraId="471F1773" w14:textId="77777777" w:rsidR="006741ED" w:rsidRPr="00C83E6A" w:rsidRDefault="006741ED">
            <w:pPr>
              <w:keepNext/>
              <w:jc w:val="center"/>
              <w:rPr>
                <w:rFonts w:eastAsia="Calibri"/>
                <w:color w:val="000000"/>
                <w:lang w:val="sr-Latn-RS"/>
              </w:rPr>
            </w:pPr>
            <w:r w:rsidRPr="00C83E6A">
              <w:rPr>
                <w:color w:val="000000"/>
                <w:lang w:val="sr-Latn-RS"/>
              </w:rPr>
              <w:t>(-19, -1)</w:t>
            </w:r>
          </w:p>
        </w:tc>
        <w:tc>
          <w:tcPr>
            <w:tcW w:w="313" w:type="pct"/>
            <w:tcMar>
              <w:top w:w="11" w:type="dxa"/>
              <w:left w:w="11" w:type="dxa"/>
              <w:bottom w:w="0" w:type="dxa"/>
              <w:right w:w="11" w:type="dxa"/>
            </w:tcMar>
            <w:vAlign w:val="center"/>
          </w:tcPr>
          <w:p w14:paraId="0ED36827" w14:textId="77777777" w:rsidR="00D26E8E" w:rsidRPr="00C83E6A" w:rsidRDefault="006741ED">
            <w:pPr>
              <w:keepNext/>
              <w:jc w:val="center"/>
              <w:rPr>
                <w:rFonts w:eastAsia="PMingLiU"/>
                <w:color w:val="000000"/>
                <w:lang w:val="sr-Latn-RS"/>
              </w:rPr>
            </w:pPr>
            <w:r w:rsidRPr="00C83E6A">
              <w:rPr>
                <w:color w:val="000000"/>
                <w:lang w:val="sr-Latn-RS"/>
              </w:rPr>
              <w:t>4</w:t>
            </w:r>
          </w:p>
          <w:p w14:paraId="5F4F5DAF" w14:textId="77777777" w:rsidR="006741ED" w:rsidRPr="00C83E6A" w:rsidRDefault="006741ED">
            <w:pPr>
              <w:keepNext/>
              <w:jc w:val="center"/>
              <w:rPr>
                <w:rFonts w:eastAsia="Calibri"/>
                <w:color w:val="000000"/>
                <w:lang w:val="sr-Latn-RS"/>
              </w:rPr>
            </w:pPr>
            <w:r w:rsidRPr="00C83E6A">
              <w:rPr>
                <w:color w:val="000000"/>
                <w:lang w:val="sr-Latn-RS"/>
              </w:rPr>
              <w:t>(1, 7)</w:t>
            </w:r>
          </w:p>
        </w:tc>
        <w:tc>
          <w:tcPr>
            <w:tcW w:w="301" w:type="pct"/>
            <w:vAlign w:val="center"/>
          </w:tcPr>
          <w:p w14:paraId="02C9E14A" w14:textId="77777777" w:rsidR="00D26E8E" w:rsidRPr="00C83E6A" w:rsidRDefault="006741ED">
            <w:pPr>
              <w:keepNext/>
              <w:jc w:val="center"/>
              <w:rPr>
                <w:rFonts w:eastAsia="PMingLiU"/>
                <w:color w:val="000000"/>
                <w:lang w:val="sr-Latn-RS"/>
              </w:rPr>
            </w:pPr>
            <w:r w:rsidRPr="00C83E6A">
              <w:rPr>
                <w:color w:val="000000"/>
                <w:lang w:val="sr-Latn-RS"/>
              </w:rPr>
              <w:t>-9</w:t>
            </w:r>
          </w:p>
          <w:p w14:paraId="15D477C7" w14:textId="77777777" w:rsidR="006741ED" w:rsidRPr="00C83E6A" w:rsidRDefault="006741ED">
            <w:pPr>
              <w:keepNext/>
              <w:jc w:val="center"/>
              <w:rPr>
                <w:rFonts w:eastAsia="Calibri"/>
                <w:color w:val="000000"/>
                <w:lang w:val="sr-Latn-RS"/>
              </w:rPr>
            </w:pPr>
            <w:r w:rsidRPr="00C83E6A">
              <w:rPr>
                <w:color w:val="000000"/>
                <w:lang w:val="sr-Latn-RS"/>
              </w:rPr>
              <w:t>(-18, 0)</w:t>
            </w:r>
          </w:p>
        </w:tc>
        <w:tc>
          <w:tcPr>
            <w:tcW w:w="361" w:type="pct"/>
            <w:tcMar>
              <w:top w:w="11" w:type="dxa"/>
              <w:left w:w="11" w:type="dxa"/>
              <w:bottom w:w="0" w:type="dxa"/>
              <w:right w:w="11" w:type="dxa"/>
            </w:tcMar>
            <w:vAlign w:val="center"/>
          </w:tcPr>
          <w:p w14:paraId="1303C100" w14:textId="77777777" w:rsidR="00D26E8E" w:rsidRPr="00C83E6A" w:rsidRDefault="006741ED">
            <w:pPr>
              <w:keepNext/>
              <w:jc w:val="center"/>
              <w:rPr>
                <w:rFonts w:eastAsia="PMingLiU"/>
                <w:color w:val="000000"/>
                <w:lang w:val="sr-Latn-RS"/>
              </w:rPr>
            </w:pPr>
            <w:r w:rsidRPr="00C83E6A">
              <w:rPr>
                <w:color w:val="000000"/>
                <w:lang w:val="sr-Latn-RS"/>
              </w:rPr>
              <w:t>4</w:t>
            </w:r>
            <w:r w:rsidRPr="00C83E6A">
              <w:rPr>
                <w:color w:val="000000"/>
                <w:vertAlign w:val="superscript"/>
                <w:lang w:val="sr-Latn-RS"/>
              </w:rPr>
              <w:t>a</w:t>
            </w:r>
          </w:p>
          <w:p w14:paraId="120FCDDB" w14:textId="77777777" w:rsidR="006741ED" w:rsidRPr="00C83E6A" w:rsidRDefault="006741ED">
            <w:pPr>
              <w:keepNext/>
              <w:jc w:val="center"/>
              <w:rPr>
                <w:rFonts w:eastAsia="Calibri"/>
                <w:color w:val="000000"/>
                <w:lang w:val="sr-Latn-RS"/>
              </w:rPr>
            </w:pPr>
            <w:r w:rsidRPr="00C83E6A">
              <w:rPr>
                <w:color w:val="000000"/>
                <w:lang w:val="sr-Latn-RS"/>
              </w:rPr>
              <w:t>(1, 7)</w:t>
            </w:r>
          </w:p>
        </w:tc>
        <w:tc>
          <w:tcPr>
            <w:tcW w:w="360" w:type="pct"/>
            <w:vAlign w:val="center"/>
          </w:tcPr>
          <w:p w14:paraId="03590E86" w14:textId="77777777" w:rsidR="00D26E8E" w:rsidRPr="00C83E6A" w:rsidRDefault="006741ED">
            <w:pPr>
              <w:keepNext/>
              <w:jc w:val="center"/>
              <w:rPr>
                <w:rFonts w:eastAsia="PMingLiU"/>
                <w:lang w:val="sr-Latn-RS"/>
              </w:rPr>
            </w:pPr>
            <w:r w:rsidRPr="00C83E6A">
              <w:rPr>
                <w:lang w:val="sr-Latn-RS"/>
              </w:rPr>
              <w:t>-28</w:t>
            </w:r>
            <w:r w:rsidRPr="00C83E6A">
              <w:rPr>
                <w:vertAlign w:val="superscript"/>
                <w:lang w:val="sr-Latn-RS"/>
              </w:rPr>
              <w:t>b</w:t>
            </w:r>
          </w:p>
          <w:p w14:paraId="0A8ED47E" w14:textId="77777777" w:rsidR="006741ED" w:rsidRPr="00C83E6A" w:rsidRDefault="006741ED">
            <w:pPr>
              <w:keepNext/>
              <w:jc w:val="center"/>
              <w:rPr>
                <w:rFonts w:eastAsia="Calibri"/>
                <w:lang w:val="sr-Latn-RS"/>
              </w:rPr>
            </w:pPr>
            <w:r w:rsidRPr="00C83E6A">
              <w:rPr>
                <w:lang w:val="sr-Latn-RS"/>
              </w:rPr>
              <w:t>(-31, -24)</w:t>
            </w:r>
          </w:p>
        </w:tc>
        <w:tc>
          <w:tcPr>
            <w:tcW w:w="355" w:type="pct"/>
            <w:vAlign w:val="center"/>
          </w:tcPr>
          <w:p w14:paraId="247AA6E3" w14:textId="77777777" w:rsidR="00D26E8E" w:rsidRPr="00C83E6A" w:rsidRDefault="006741ED">
            <w:pPr>
              <w:keepNext/>
              <w:jc w:val="center"/>
              <w:rPr>
                <w:rFonts w:eastAsia="PMingLiU"/>
                <w:lang w:val="sr-Latn-RS"/>
              </w:rPr>
            </w:pPr>
            <w:r w:rsidRPr="00C83E6A">
              <w:rPr>
                <w:lang w:val="sr-Latn-RS"/>
              </w:rPr>
              <w:t>-37</w:t>
            </w:r>
            <w:r w:rsidRPr="00C83E6A">
              <w:rPr>
                <w:vertAlign w:val="superscript"/>
                <w:lang w:val="sr-Latn-RS"/>
              </w:rPr>
              <w:t>b</w:t>
            </w:r>
          </w:p>
          <w:p w14:paraId="10612663" w14:textId="77777777" w:rsidR="006741ED" w:rsidRPr="00C83E6A" w:rsidRDefault="006741ED">
            <w:pPr>
              <w:keepNext/>
              <w:jc w:val="center"/>
              <w:rPr>
                <w:rFonts w:eastAsia="Calibri"/>
                <w:lang w:val="sr-Latn-RS"/>
              </w:rPr>
            </w:pPr>
            <w:r w:rsidRPr="00C83E6A">
              <w:rPr>
                <w:lang w:val="sr-Latn-RS"/>
              </w:rPr>
              <w:t>(-41, -32)</w:t>
            </w:r>
          </w:p>
        </w:tc>
      </w:tr>
    </w:tbl>
    <w:p w14:paraId="7C4D3EC0" w14:textId="77777777" w:rsidR="00567873" w:rsidRPr="00C83E6A" w:rsidRDefault="00096D7F" w:rsidP="001D6451">
      <w:pPr>
        <w:jc w:val="both"/>
        <w:rPr>
          <w:rFonts w:eastAsia="PMingLiU"/>
          <w:lang w:val="sr-Latn-RS"/>
        </w:rPr>
      </w:pPr>
      <w:r w:rsidRPr="00C83E6A">
        <w:rPr>
          <w:lang w:val="sr-Latn-RS"/>
        </w:rPr>
        <w:t xml:space="preserve">Legenda: Q2W = jednom na svake 2 nedjelje, QM = jednom mjesečno, HMD = primarna hiperholesterolemija i miješana dislipidemija, </w:t>
      </w:r>
    </w:p>
    <w:p w14:paraId="3A6D4941" w14:textId="77777777" w:rsidR="00567873" w:rsidRPr="00C83E6A" w:rsidRDefault="00096D7F" w:rsidP="001D6451">
      <w:pPr>
        <w:jc w:val="both"/>
        <w:rPr>
          <w:rFonts w:eastAsia="PMingLiU"/>
          <w:lang w:val="sr-Latn-RS"/>
        </w:rPr>
      </w:pPr>
      <w:r w:rsidRPr="00C83E6A">
        <w:rPr>
          <w:vertAlign w:val="superscript"/>
          <w:lang w:val="sr-Latn-RS"/>
        </w:rPr>
        <w:t>a</w:t>
      </w:r>
      <w:r w:rsidRPr="00C83E6A">
        <w:rPr>
          <w:lang w:val="sr-Latn-RS"/>
        </w:rPr>
        <w:t xml:space="preserve"> p vrijednost &lt; 0,05 pri poređenju sa ezetimibom, </w:t>
      </w:r>
    </w:p>
    <w:p w14:paraId="0DA0260C" w14:textId="77777777" w:rsidR="00567873" w:rsidRPr="00C83E6A" w:rsidRDefault="00096D7F" w:rsidP="001D6451">
      <w:pPr>
        <w:jc w:val="both"/>
        <w:rPr>
          <w:rFonts w:eastAsia="PMingLiU"/>
          <w:lang w:val="sr-Latn-RS"/>
        </w:rPr>
      </w:pPr>
      <w:r w:rsidRPr="00C83E6A">
        <w:rPr>
          <w:vertAlign w:val="superscript"/>
          <w:lang w:val="sr-Latn-RS"/>
        </w:rPr>
        <w:t>b</w:t>
      </w:r>
      <w:r w:rsidRPr="00C83E6A">
        <w:rPr>
          <w:lang w:val="sr-Latn-RS"/>
        </w:rPr>
        <w:t xml:space="preserve"> p vrijednost &lt; 0,001 pri poređenju sa ezetimibom, </w:t>
      </w:r>
    </w:p>
    <w:p w14:paraId="53E04F42" w14:textId="77777777" w:rsidR="00D26E8E" w:rsidRPr="00C83E6A" w:rsidRDefault="00096D7F" w:rsidP="001D6451">
      <w:pPr>
        <w:jc w:val="both"/>
        <w:rPr>
          <w:rFonts w:eastAsia="PMingLiU"/>
          <w:lang w:val="sr-Latn-RS"/>
        </w:rPr>
      </w:pPr>
      <w:r w:rsidRPr="00C83E6A">
        <w:rPr>
          <w:vertAlign w:val="superscript"/>
          <w:lang w:val="sr-Latn-RS"/>
        </w:rPr>
        <w:t>c</w:t>
      </w:r>
      <w:r w:rsidRPr="00C83E6A">
        <w:rPr>
          <w:lang w:val="sr-Latn-RS"/>
        </w:rPr>
        <w:t xml:space="preserve"> nominalna p vrijednost &lt; 0,001 pri poređenju sa ezetimibom.</w:t>
      </w:r>
    </w:p>
    <w:p w14:paraId="5F4D79F5" w14:textId="77777777" w:rsidR="00D26E8E" w:rsidRPr="00C83E6A" w:rsidRDefault="00D26E8E" w:rsidP="001D6451">
      <w:pPr>
        <w:autoSpaceDE w:val="0"/>
        <w:autoSpaceDN w:val="0"/>
        <w:adjustRightInd w:val="0"/>
        <w:jc w:val="both"/>
        <w:rPr>
          <w:rFonts w:eastAsia="PMingLiU"/>
          <w:u w:val="single"/>
          <w:lang w:val="sr-Latn-RS"/>
        </w:rPr>
      </w:pPr>
    </w:p>
    <w:p w14:paraId="3A4C83D2" w14:textId="77777777" w:rsidR="00D26E8E" w:rsidRPr="00C83E6A" w:rsidRDefault="00096D7F" w:rsidP="001D6451">
      <w:pPr>
        <w:keepNext/>
        <w:autoSpaceDE w:val="0"/>
        <w:autoSpaceDN w:val="0"/>
        <w:adjustRightInd w:val="0"/>
        <w:jc w:val="both"/>
        <w:rPr>
          <w:rFonts w:eastAsia="PMingLiU"/>
          <w:u w:val="single"/>
          <w:lang w:val="sr-Latn-RS"/>
        </w:rPr>
      </w:pPr>
      <w:r w:rsidRPr="00C83E6A">
        <w:rPr>
          <w:u w:val="single"/>
          <w:lang w:val="sr-Latn-RS"/>
        </w:rPr>
        <w:t>Dugoročna efikasnost kod primarne hiperholesterolemije i miješane dislipidemije</w:t>
      </w:r>
    </w:p>
    <w:p w14:paraId="2469E4A2" w14:textId="77777777" w:rsidR="00D26E8E" w:rsidRPr="00C83E6A" w:rsidRDefault="00D26E8E" w:rsidP="001D6451">
      <w:pPr>
        <w:keepNext/>
        <w:autoSpaceDE w:val="0"/>
        <w:autoSpaceDN w:val="0"/>
        <w:adjustRightInd w:val="0"/>
        <w:jc w:val="both"/>
        <w:rPr>
          <w:rFonts w:eastAsia="PMingLiU"/>
          <w:u w:val="single"/>
          <w:lang w:val="sr-Latn-RS"/>
        </w:rPr>
      </w:pPr>
    </w:p>
    <w:p w14:paraId="0D74F06C" w14:textId="77777777" w:rsidR="00D26E8E" w:rsidRPr="00C83E6A" w:rsidRDefault="00096D7F" w:rsidP="001D6451">
      <w:pPr>
        <w:autoSpaceDE w:val="0"/>
        <w:autoSpaceDN w:val="0"/>
        <w:adjustRightInd w:val="0"/>
        <w:jc w:val="both"/>
        <w:rPr>
          <w:rFonts w:eastAsia="PMingLiU"/>
          <w:lang w:val="sr-Latn-RS"/>
        </w:rPr>
      </w:pPr>
      <w:r w:rsidRPr="00C83E6A">
        <w:rPr>
          <w:lang w:val="sr-Latn-RS"/>
        </w:rPr>
        <w:t>DESCARTES je bila međunarodna, multicentrična, dvostruko</w:t>
      </w:r>
      <w:r w:rsidRPr="00C83E6A">
        <w:rPr>
          <w:lang w:val="sr-Latn-RS"/>
        </w:rPr>
        <w:noBreakHyphen/>
        <w:t xml:space="preserve">slijepa, randomizovana, placebom kontrolisana studija u trajanju od 52 nedjelje na 901 pacijentu sa hiperlipidemijom koji su ili bili samo </w:t>
      </w:r>
      <w:r w:rsidRPr="00C83E6A">
        <w:rPr>
          <w:lang w:val="sr-Latn-RS"/>
        </w:rPr>
        <w:lastRenderedPageBreak/>
        <w:t>na posebnoj ishrani ili su primali atorvastatin ili kombinaciju atorvastatina i ezetimiba. Lijek Repatha u dozi od 420 mg jednom mjesečno je značajno smanjio LDL</w:t>
      </w:r>
      <w:r w:rsidRPr="00C83E6A">
        <w:rPr>
          <w:lang w:val="sr-Latn-RS"/>
        </w:rPr>
        <w:noBreakHyphen/>
        <w:t>C u 52. nedjelji u odnosu na početne vrijednosti u poređenju sa placebom (p &lt; 0,001). Efekti liječenja su bili održani duže od godinu dana, prema predočenom smanjenju LDL</w:t>
      </w:r>
      <w:r w:rsidRPr="00C83E6A">
        <w:rPr>
          <w:lang w:val="sr-Latn-RS"/>
        </w:rPr>
        <w:noBreakHyphen/>
        <w:t>C</w:t>
      </w:r>
      <w:r w:rsidRPr="00C83E6A">
        <w:rPr>
          <w:lang w:val="sr-Latn-RS"/>
        </w:rPr>
        <w:noBreakHyphen/>
        <w:t>a od 12. do 52. nedjelje. Smanjenje LDL-C-a u 52. nedjelji u odnosu na početne vrijednosti, u poređenju sa placebom, bilo je dosljedno pri svim osnovnim terapijama za snižavanje lipida koje su optimizovane za LDL</w:t>
      </w:r>
      <w:r w:rsidRPr="00C83E6A">
        <w:rPr>
          <w:lang w:val="sr-Latn-RS"/>
        </w:rPr>
        <w:noBreakHyphen/>
        <w:t>C i kardiovaskularni rizik.</w:t>
      </w:r>
    </w:p>
    <w:p w14:paraId="5A382358" w14:textId="77777777" w:rsidR="00D26E8E" w:rsidRPr="00C83E6A" w:rsidRDefault="00D26E8E" w:rsidP="001D6451">
      <w:pPr>
        <w:autoSpaceDE w:val="0"/>
        <w:autoSpaceDN w:val="0"/>
        <w:adjustRightInd w:val="0"/>
        <w:jc w:val="both"/>
        <w:rPr>
          <w:rFonts w:eastAsia="PMingLiU"/>
          <w:lang w:val="sr-Latn-RS"/>
        </w:rPr>
      </w:pPr>
    </w:p>
    <w:p w14:paraId="36B0C514" w14:textId="77777777" w:rsidR="00D26E8E" w:rsidRPr="00C83E6A" w:rsidRDefault="00096D7F" w:rsidP="001D6451">
      <w:pPr>
        <w:jc w:val="both"/>
        <w:rPr>
          <w:rFonts w:eastAsia="PMingLiU"/>
          <w:lang w:val="sr-Latn-RS"/>
        </w:rPr>
      </w:pPr>
      <w:r w:rsidRPr="00C83E6A">
        <w:rPr>
          <w:lang w:val="sr-Latn-RS"/>
        </w:rPr>
        <w:t>Lijek Repatha je značajno smanjio vrijednosti TC</w:t>
      </w:r>
      <w:r w:rsidRPr="00C83E6A">
        <w:rPr>
          <w:lang w:val="sr-Latn-RS"/>
        </w:rPr>
        <w:noBreakHyphen/>
        <w:t>a, ApoB</w:t>
      </w:r>
      <w:r w:rsidRPr="00C83E6A">
        <w:rPr>
          <w:lang w:val="sr-Latn-RS"/>
        </w:rPr>
        <w:noBreakHyphen/>
        <w:t>a, non</w:t>
      </w:r>
      <w:r w:rsidRPr="00C83E6A">
        <w:rPr>
          <w:lang w:val="sr-Latn-RS"/>
        </w:rPr>
        <w:noBreakHyphen/>
        <w:t>HDL</w:t>
      </w:r>
      <w:r w:rsidRPr="00C83E6A">
        <w:rPr>
          <w:lang w:val="sr-Latn-RS"/>
        </w:rPr>
        <w:noBreakHyphen/>
        <w:t>C</w:t>
      </w:r>
      <w:r w:rsidRPr="00C83E6A">
        <w:rPr>
          <w:lang w:val="sr-Latn-RS"/>
        </w:rPr>
        <w:noBreakHyphen/>
        <w:t>a, TC/HDL</w:t>
      </w:r>
      <w:r w:rsidRPr="00C83E6A">
        <w:rPr>
          <w:lang w:val="sr-Latn-RS"/>
        </w:rPr>
        <w:noBreakHyphen/>
        <w:t>C</w:t>
      </w:r>
      <w:r w:rsidRPr="00C83E6A">
        <w:rPr>
          <w:lang w:val="sr-Latn-RS"/>
        </w:rPr>
        <w:noBreakHyphen/>
        <w:t>a, ApoB/ApoA1</w:t>
      </w:r>
      <w:r w:rsidRPr="00C83E6A">
        <w:rPr>
          <w:lang w:val="sr-Latn-RS"/>
        </w:rPr>
        <w:noBreakHyphen/>
        <w:t>a, VLDL</w:t>
      </w:r>
      <w:r w:rsidRPr="00C83E6A">
        <w:rPr>
          <w:lang w:val="sr-Latn-RS"/>
        </w:rPr>
        <w:noBreakHyphen/>
        <w:t>C</w:t>
      </w:r>
      <w:r w:rsidRPr="00C83E6A">
        <w:rPr>
          <w:lang w:val="sr-Latn-RS"/>
        </w:rPr>
        <w:noBreakHyphen/>
        <w:t>a, TG</w:t>
      </w:r>
      <w:r w:rsidRPr="00C83E6A">
        <w:rPr>
          <w:lang w:val="sr-Latn-RS"/>
        </w:rPr>
        <w:noBreakHyphen/>
        <w:t>a i Lp(a)</w:t>
      </w:r>
      <w:r w:rsidRPr="00C83E6A">
        <w:rPr>
          <w:lang w:val="sr-Latn-RS"/>
        </w:rPr>
        <w:noBreakHyphen/>
        <w:t>a i povećao vrijednosti HDL</w:t>
      </w:r>
      <w:r w:rsidRPr="00C83E6A">
        <w:rPr>
          <w:lang w:val="sr-Latn-RS"/>
        </w:rPr>
        <w:noBreakHyphen/>
        <w:t>C</w:t>
      </w:r>
      <w:r w:rsidRPr="00C83E6A">
        <w:rPr>
          <w:lang w:val="sr-Latn-RS"/>
        </w:rPr>
        <w:noBreakHyphen/>
        <w:t>a i ApoA1</w:t>
      </w:r>
      <w:r w:rsidRPr="00C83E6A">
        <w:rPr>
          <w:lang w:val="sr-Latn-RS"/>
        </w:rPr>
        <w:noBreakHyphen/>
        <w:t>a u 52. nedjelji u poređenju sa placebom (p &lt; 0,001) (vidjeti Tabelu 4).</w:t>
      </w:r>
    </w:p>
    <w:p w14:paraId="36856F80" w14:textId="77777777" w:rsidR="00D26E8E" w:rsidRPr="00C83E6A" w:rsidRDefault="00D26E8E" w:rsidP="001D6451">
      <w:pPr>
        <w:autoSpaceDE w:val="0"/>
        <w:autoSpaceDN w:val="0"/>
        <w:adjustRightInd w:val="0"/>
        <w:jc w:val="both"/>
        <w:rPr>
          <w:rFonts w:eastAsia="PMingLiU"/>
          <w:lang w:val="sr-Latn-RS"/>
        </w:rPr>
      </w:pPr>
    </w:p>
    <w:p w14:paraId="3813562B" w14:textId="77777777" w:rsidR="00D26E8E" w:rsidRPr="00C83E6A" w:rsidRDefault="00096D7F" w:rsidP="001D6451">
      <w:pPr>
        <w:keepNext/>
        <w:autoSpaceDE w:val="0"/>
        <w:autoSpaceDN w:val="0"/>
        <w:adjustRightInd w:val="0"/>
        <w:jc w:val="both"/>
        <w:rPr>
          <w:rFonts w:eastAsia="PMingLiU"/>
          <w:lang w:val="sr-Latn-RS"/>
        </w:rPr>
      </w:pPr>
      <w:r w:rsidRPr="00C83E6A">
        <w:rPr>
          <w:b/>
          <w:lang w:val="sr-Latn-RS"/>
        </w:rPr>
        <w:t>Tabela 4: Efekti liječenja evolokumabom u poređenju sa placebom kod pacijenata sa primarnom hiperholesterolemijom i miješanom dislipidemijom – srednji procenat promjene od početne vrijednosti do 52. nedjelje (%, 95% CI)</w:t>
      </w:r>
    </w:p>
    <w:p w14:paraId="58DD9333" w14:textId="77777777" w:rsidR="00096D7F" w:rsidRPr="00C83E6A" w:rsidRDefault="00096D7F" w:rsidP="001D6451">
      <w:pPr>
        <w:keepNext/>
        <w:autoSpaceDE w:val="0"/>
        <w:autoSpaceDN w:val="0"/>
        <w:adjustRightInd w:val="0"/>
        <w:jc w:val="both"/>
        <w:rPr>
          <w:rFonts w:eastAsia="PMingLiU"/>
          <w:lang w:val="sr-Latn-RS"/>
        </w:rPr>
      </w:pPr>
    </w:p>
    <w:tbl>
      <w:tblPr>
        <w:tblW w:w="5277" w:type="pct"/>
        <w:tblInd w:w="10" w:type="dxa"/>
        <w:tblLayout w:type="fixed"/>
        <w:tblCellMar>
          <w:left w:w="0" w:type="dxa"/>
          <w:right w:w="0" w:type="dxa"/>
        </w:tblCellMar>
        <w:tblLook w:val="04A0" w:firstRow="1" w:lastRow="0" w:firstColumn="1" w:lastColumn="0" w:noHBand="0" w:noVBand="1"/>
      </w:tblPr>
      <w:tblGrid>
        <w:gridCol w:w="1202"/>
        <w:gridCol w:w="1018"/>
        <w:gridCol w:w="711"/>
        <w:gridCol w:w="695"/>
        <w:gridCol w:w="661"/>
        <w:gridCol w:w="672"/>
        <w:gridCol w:w="661"/>
        <w:gridCol w:w="686"/>
        <w:gridCol w:w="562"/>
        <w:gridCol w:w="627"/>
        <w:gridCol w:w="661"/>
        <w:gridCol w:w="695"/>
        <w:gridCol w:w="701"/>
      </w:tblGrid>
      <w:tr w:rsidR="001935E8" w:rsidRPr="00C83E6A" w14:paraId="29A1518F" w14:textId="77777777" w:rsidTr="001935E8">
        <w:trPr>
          <w:cantSplit/>
          <w:trHeight w:val="248"/>
          <w:tblHeader/>
        </w:trPr>
        <w:tc>
          <w:tcPr>
            <w:tcW w:w="629" w:type="pct"/>
            <w:tcBorders>
              <w:top w:val="single" w:sz="8" w:space="0" w:color="000000"/>
              <w:left w:val="single" w:sz="8" w:space="0" w:color="000000"/>
              <w:bottom w:val="single" w:sz="8" w:space="0" w:color="000000"/>
              <w:right w:val="single" w:sz="8" w:space="0" w:color="000000"/>
            </w:tcBorders>
            <w:shd w:val="clear" w:color="auto" w:fill="D9D9D9"/>
          </w:tcPr>
          <w:p w14:paraId="4764F4BA" w14:textId="77777777" w:rsidR="006741ED" w:rsidRPr="00C83E6A" w:rsidRDefault="006741ED" w:rsidP="001D6451">
            <w:pPr>
              <w:keepNext/>
              <w:jc w:val="both"/>
              <w:rPr>
                <w:rFonts w:eastAsia="Calibri"/>
                <w:b/>
                <w:bCs/>
                <w:lang w:val="sr-Latn-RS"/>
              </w:rPr>
            </w:pPr>
            <w:r w:rsidRPr="00C83E6A">
              <w:rPr>
                <w:b/>
                <w:lang w:val="sr-Latn-RS"/>
              </w:rPr>
              <w:t>Studija</w:t>
            </w:r>
          </w:p>
        </w:tc>
        <w:tc>
          <w:tcPr>
            <w:tcW w:w="533" w:type="pct"/>
            <w:tcBorders>
              <w:top w:val="single" w:sz="8" w:space="0" w:color="000000"/>
              <w:left w:val="nil"/>
              <w:bottom w:val="single" w:sz="8" w:space="0" w:color="000000"/>
              <w:right w:val="single" w:sz="8" w:space="0" w:color="000000"/>
            </w:tcBorders>
            <w:shd w:val="clear" w:color="auto" w:fill="D9D9D9"/>
            <w:tcMar>
              <w:top w:w="11" w:type="dxa"/>
              <w:left w:w="90" w:type="dxa"/>
              <w:bottom w:w="0" w:type="dxa"/>
              <w:right w:w="90" w:type="dxa"/>
            </w:tcMar>
          </w:tcPr>
          <w:p w14:paraId="070D5E50" w14:textId="77777777" w:rsidR="006741ED" w:rsidRPr="00C83E6A" w:rsidRDefault="006741ED" w:rsidP="001D6451">
            <w:pPr>
              <w:keepNext/>
              <w:jc w:val="both"/>
              <w:rPr>
                <w:rFonts w:eastAsia="Calibri"/>
                <w:b/>
                <w:bCs/>
                <w:lang w:val="sr-Latn-RS"/>
              </w:rPr>
            </w:pPr>
            <w:r w:rsidRPr="00C83E6A">
              <w:rPr>
                <w:b/>
                <w:lang w:val="sr-Latn-RS"/>
              </w:rPr>
              <w:t>Režim doziranja</w:t>
            </w:r>
          </w:p>
        </w:tc>
        <w:tc>
          <w:tcPr>
            <w:tcW w:w="372" w:type="pct"/>
            <w:tcBorders>
              <w:top w:val="single" w:sz="8" w:space="0" w:color="000000"/>
              <w:left w:val="nil"/>
              <w:bottom w:val="single" w:sz="8" w:space="0" w:color="000000"/>
              <w:right w:val="single" w:sz="8" w:space="0" w:color="000000"/>
            </w:tcBorders>
            <w:shd w:val="clear" w:color="auto" w:fill="D9D9D9"/>
            <w:tcMar>
              <w:top w:w="11" w:type="dxa"/>
              <w:left w:w="90" w:type="dxa"/>
              <w:bottom w:w="0" w:type="dxa"/>
              <w:right w:w="90" w:type="dxa"/>
            </w:tcMar>
          </w:tcPr>
          <w:p w14:paraId="26E7D544" w14:textId="77777777" w:rsidR="00D26E8E" w:rsidRPr="00C83E6A" w:rsidRDefault="006741ED" w:rsidP="001D6451">
            <w:pPr>
              <w:keepNext/>
              <w:ind w:left="-93" w:right="-85"/>
              <w:jc w:val="both"/>
              <w:rPr>
                <w:rFonts w:eastAsia="PMingLiU"/>
                <w:b/>
                <w:bCs/>
                <w:lang w:val="sr-Latn-RS"/>
              </w:rPr>
            </w:pPr>
            <w:r w:rsidRPr="00C83E6A">
              <w:rPr>
                <w:b/>
                <w:lang w:val="sr-Latn-RS"/>
              </w:rPr>
              <w:t>LDL-C</w:t>
            </w:r>
          </w:p>
          <w:p w14:paraId="26ED6001" w14:textId="77777777" w:rsidR="006741ED" w:rsidRPr="00C83E6A" w:rsidRDefault="006741ED" w:rsidP="001D6451">
            <w:pPr>
              <w:keepNext/>
              <w:ind w:left="-93" w:right="-85"/>
              <w:jc w:val="both"/>
              <w:rPr>
                <w:rFonts w:eastAsia="Calibri"/>
                <w:b/>
                <w:bCs/>
                <w:lang w:val="sr-Latn-RS"/>
              </w:rPr>
            </w:pPr>
            <w:r w:rsidRPr="00C83E6A">
              <w:rPr>
                <w:b/>
                <w:lang w:val="sr-Latn-RS"/>
              </w:rPr>
              <w:t>(%)</w:t>
            </w:r>
          </w:p>
        </w:tc>
        <w:tc>
          <w:tcPr>
            <w:tcW w:w="364" w:type="pct"/>
            <w:tcBorders>
              <w:top w:val="single" w:sz="8" w:space="0" w:color="000000"/>
              <w:left w:val="nil"/>
              <w:bottom w:val="single" w:sz="8" w:space="0" w:color="000000"/>
              <w:right w:val="single" w:sz="8" w:space="0" w:color="000000"/>
            </w:tcBorders>
            <w:shd w:val="clear" w:color="auto" w:fill="D9D9D9"/>
            <w:tcMar>
              <w:top w:w="11" w:type="dxa"/>
              <w:left w:w="90" w:type="dxa"/>
              <w:bottom w:w="0" w:type="dxa"/>
              <w:right w:w="90" w:type="dxa"/>
            </w:tcMar>
          </w:tcPr>
          <w:p w14:paraId="7B88D915" w14:textId="77777777" w:rsidR="00D26E8E" w:rsidRPr="00C83E6A" w:rsidRDefault="006741ED" w:rsidP="001D6451">
            <w:pPr>
              <w:keepNext/>
              <w:ind w:left="-95" w:right="-83"/>
              <w:jc w:val="both"/>
              <w:rPr>
                <w:rFonts w:eastAsia="PMingLiU"/>
                <w:b/>
                <w:bCs/>
                <w:lang w:val="sr-Latn-RS"/>
              </w:rPr>
            </w:pPr>
            <w:r w:rsidRPr="00C83E6A">
              <w:rPr>
                <w:b/>
                <w:lang w:val="sr-Latn-RS"/>
              </w:rPr>
              <w:t>Non-HDL-C</w:t>
            </w:r>
          </w:p>
          <w:p w14:paraId="4BFCE8D9" w14:textId="77777777" w:rsidR="006741ED" w:rsidRPr="00C83E6A" w:rsidRDefault="006741ED" w:rsidP="001D6451">
            <w:pPr>
              <w:keepNext/>
              <w:ind w:left="-95" w:right="-83"/>
              <w:jc w:val="both"/>
              <w:rPr>
                <w:rFonts w:eastAsia="Calibri"/>
                <w:b/>
                <w:bCs/>
                <w:lang w:val="sr-Latn-RS"/>
              </w:rPr>
            </w:pPr>
            <w:r w:rsidRPr="00C83E6A">
              <w:rPr>
                <w:b/>
                <w:lang w:val="sr-Latn-RS"/>
              </w:rPr>
              <w:t>(%)</w:t>
            </w:r>
          </w:p>
        </w:tc>
        <w:tc>
          <w:tcPr>
            <w:tcW w:w="346" w:type="pct"/>
            <w:tcBorders>
              <w:top w:val="single" w:sz="8" w:space="0" w:color="000000"/>
              <w:left w:val="nil"/>
              <w:bottom w:val="single" w:sz="8" w:space="0" w:color="000000"/>
              <w:right w:val="single" w:sz="8" w:space="0" w:color="000000"/>
            </w:tcBorders>
            <w:shd w:val="clear" w:color="auto" w:fill="D9D9D9"/>
            <w:tcMar>
              <w:top w:w="11" w:type="dxa"/>
              <w:left w:w="11" w:type="dxa"/>
              <w:bottom w:w="0" w:type="dxa"/>
              <w:right w:w="11" w:type="dxa"/>
            </w:tcMar>
          </w:tcPr>
          <w:p w14:paraId="407DAE2A" w14:textId="77777777" w:rsidR="00D26E8E" w:rsidRPr="00C83E6A" w:rsidRDefault="006741ED" w:rsidP="001D6451">
            <w:pPr>
              <w:keepNext/>
              <w:jc w:val="both"/>
              <w:rPr>
                <w:rFonts w:eastAsia="PMingLiU"/>
                <w:b/>
                <w:bCs/>
                <w:lang w:val="sr-Latn-RS"/>
              </w:rPr>
            </w:pPr>
            <w:r w:rsidRPr="00C83E6A">
              <w:rPr>
                <w:b/>
                <w:lang w:val="sr-Latn-RS"/>
              </w:rPr>
              <w:t>ApoB</w:t>
            </w:r>
          </w:p>
          <w:p w14:paraId="308F593A" w14:textId="77777777" w:rsidR="006741ED" w:rsidRPr="00C83E6A" w:rsidRDefault="006741ED" w:rsidP="001D6451">
            <w:pPr>
              <w:keepNext/>
              <w:jc w:val="both"/>
              <w:rPr>
                <w:rFonts w:eastAsia="Calibri"/>
                <w:b/>
                <w:bCs/>
                <w:lang w:val="sr-Latn-RS"/>
              </w:rPr>
            </w:pPr>
            <w:r w:rsidRPr="00C83E6A">
              <w:rPr>
                <w:b/>
                <w:lang w:val="sr-Latn-RS"/>
              </w:rPr>
              <w:t>(%)</w:t>
            </w:r>
          </w:p>
        </w:tc>
        <w:tc>
          <w:tcPr>
            <w:tcW w:w="352" w:type="pct"/>
            <w:tcBorders>
              <w:top w:val="single" w:sz="8" w:space="0" w:color="000000"/>
              <w:left w:val="nil"/>
              <w:bottom w:val="single" w:sz="8" w:space="0" w:color="000000"/>
              <w:right w:val="single" w:sz="8" w:space="0" w:color="000000"/>
            </w:tcBorders>
            <w:shd w:val="clear" w:color="auto" w:fill="D9D9D9"/>
            <w:tcMar>
              <w:top w:w="11" w:type="dxa"/>
              <w:left w:w="11" w:type="dxa"/>
              <w:bottom w:w="0" w:type="dxa"/>
              <w:right w:w="11" w:type="dxa"/>
            </w:tcMar>
          </w:tcPr>
          <w:p w14:paraId="065EC2FE" w14:textId="77777777" w:rsidR="00D26E8E" w:rsidRPr="00C83E6A" w:rsidRDefault="006741ED" w:rsidP="001D6451">
            <w:pPr>
              <w:keepNext/>
              <w:jc w:val="both"/>
              <w:rPr>
                <w:rFonts w:eastAsia="PMingLiU"/>
                <w:b/>
                <w:bCs/>
                <w:lang w:val="sr-Latn-RS"/>
              </w:rPr>
            </w:pPr>
            <w:r w:rsidRPr="00C83E6A">
              <w:rPr>
                <w:b/>
                <w:lang w:val="sr-Latn-RS"/>
              </w:rPr>
              <w:t>TC</w:t>
            </w:r>
          </w:p>
          <w:p w14:paraId="7C6B313C" w14:textId="77777777" w:rsidR="006741ED" w:rsidRPr="00C83E6A" w:rsidRDefault="006741ED" w:rsidP="001D6451">
            <w:pPr>
              <w:keepNext/>
              <w:jc w:val="both"/>
              <w:rPr>
                <w:rFonts w:eastAsia="Calibri"/>
                <w:b/>
                <w:bCs/>
                <w:lang w:val="sr-Latn-RS"/>
              </w:rPr>
            </w:pPr>
            <w:r w:rsidRPr="00C83E6A">
              <w:rPr>
                <w:b/>
                <w:lang w:val="sr-Latn-RS"/>
              </w:rPr>
              <w:t>(%)</w:t>
            </w:r>
          </w:p>
        </w:tc>
        <w:tc>
          <w:tcPr>
            <w:tcW w:w="346" w:type="pct"/>
            <w:tcBorders>
              <w:top w:val="single" w:sz="8" w:space="0" w:color="000000"/>
              <w:left w:val="nil"/>
              <w:bottom w:val="single" w:sz="8" w:space="0" w:color="000000"/>
              <w:right w:val="single" w:sz="8" w:space="0" w:color="000000"/>
            </w:tcBorders>
            <w:shd w:val="clear" w:color="auto" w:fill="D9D9D9"/>
            <w:tcMar>
              <w:top w:w="11" w:type="dxa"/>
              <w:left w:w="11" w:type="dxa"/>
              <w:bottom w:w="0" w:type="dxa"/>
              <w:right w:w="11" w:type="dxa"/>
            </w:tcMar>
          </w:tcPr>
          <w:p w14:paraId="374CB605" w14:textId="77777777" w:rsidR="00D26E8E" w:rsidRPr="00C83E6A" w:rsidRDefault="006741ED" w:rsidP="001D6451">
            <w:pPr>
              <w:keepNext/>
              <w:jc w:val="both"/>
              <w:rPr>
                <w:rFonts w:eastAsia="PMingLiU"/>
                <w:b/>
                <w:bCs/>
                <w:lang w:val="sr-Latn-RS"/>
              </w:rPr>
            </w:pPr>
            <w:r w:rsidRPr="00C83E6A">
              <w:rPr>
                <w:b/>
                <w:lang w:val="sr-Latn-RS"/>
              </w:rPr>
              <w:t>Lp(a)</w:t>
            </w:r>
          </w:p>
          <w:p w14:paraId="14EFB4F6" w14:textId="77777777" w:rsidR="006741ED" w:rsidRPr="00C83E6A" w:rsidRDefault="006741ED" w:rsidP="001D6451">
            <w:pPr>
              <w:keepNext/>
              <w:jc w:val="both"/>
              <w:rPr>
                <w:rFonts w:eastAsia="Calibri"/>
                <w:b/>
                <w:bCs/>
                <w:lang w:val="sr-Latn-RS"/>
              </w:rPr>
            </w:pPr>
            <w:r w:rsidRPr="00C83E6A">
              <w:rPr>
                <w:b/>
                <w:lang w:val="sr-Latn-RS"/>
              </w:rPr>
              <w:t>(%)</w:t>
            </w:r>
          </w:p>
        </w:tc>
        <w:tc>
          <w:tcPr>
            <w:tcW w:w="359" w:type="pct"/>
            <w:tcBorders>
              <w:top w:val="single" w:sz="8" w:space="0" w:color="000000"/>
              <w:left w:val="nil"/>
              <w:bottom w:val="single" w:sz="8" w:space="0" w:color="000000"/>
              <w:right w:val="single" w:sz="8" w:space="0" w:color="000000"/>
            </w:tcBorders>
            <w:shd w:val="clear" w:color="auto" w:fill="D9D9D9"/>
            <w:tcMar>
              <w:top w:w="11" w:type="dxa"/>
              <w:left w:w="11" w:type="dxa"/>
              <w:bottom w:w="0" w:type="dxa"/>
              <w:right w:w="11" w:type="dxa"/>
            </w:tcMar>
          </w:tcPr>
          <w:p w14:paraId="4AFDFE5C" w14:textId="77777777" w:rsidR="00D26E8E" w:rsidRPr="00C83E6A" w:rsidRDefault="006741ED" w:rsidP="001D6451">
            <w:pPr>
              <w:keepNext/>
              <w:jc w:val="both"/>
              <w:rPr>
                <w:rFonts w:eastAsia="PMingLiU"/>
                <w:b/>
                <w:bCs/>
                <w:lang w:val="sr-Latn-RS"/>
              </w:rPr>
            </w:pPr>
            <w:r w:rsidRPr="00C83E6A">
              <w:rPr>
                <w:b/>
                <w:lang w:val="sr-Latn-RS"/>
              </w:rPr>
              <w:t>VLDL-C</w:t>
            </w:r>
          </w:p>
          <w:p w14:paraId="0D13E3B8" w14:textId="77777777" w:rsidR="006741ED" w:rsidRPr="00C83E6A" w:rsidRDefault="006741ED" w:rsidP="001D6451">
            <w:pPr>
              <w:keepNext/>
              <w:jc w:val="both"/>
              <w:rPr>
                <w:rFonts w:eastAsia="Calibri"/>
                <w:b/>
                <w:bCs/>
                <w:lang w:val="sr-Latn-RS"/>
              </w:rPr>
            </w:pPr>
            <w:r w:rsidRPr="00C83E6A">
              <w:rPr>
                <w:b/>
                <w:lang w:val="sr-Latn-RS"/>
              </w:rPr>
              <w:t>(%)</w:t>
            </w:r>
          </w:p>
        </w:tc>
        <w:tc>
          <w:tcPr>
            <w:tcW w:w="294" w:type="pct"/>
            <w:tcBorders>
              <w:top w:val="single" w:sz="8" w:space="0" w:color="000000"/>
              <w:left w:val="nil"/>
              <w:bottom w:val="single" w:sz="8" w:space="0" w:color="000000"/>
              <w:right w:val="single" w:sz="8" w:space="0" w:color="000000"/>
            </w:tcBorders>
            <w:shd w:val="clear" w:color="auto" w:fill="D9D9D9"/>
            <w:tcMar>
              <w:top w:w="11" w:type="dxa"/>
              <w:left w:w="11" w:type="dxa"/>
              <w:bottom w:w="0" w:type="dxa"/>
              <w:right w:w="11" w:type="dxa"/>
            </w:tcMar>
          </w:tcPr>
          <w:p w14:paraId="4F13CA95" w14:textId="77777777" w:rsidR="00D26E8E" w:rsidRPr="00C83E6A" w:rsidRDefault="006741ED" w:rsidP="001D6451">
            <w:pPr>
              <w:keepNext/>
              <w:jc w:val="both"/>
              <w:rPr>
                <w:rFonts w:eastAsia="PMingLiU"/>
                <w:b/>
                <w:bCs/>
                <w:lang w:val="sr-Latn-RS"/>
              </w:rPr>
            </w:pPr>
            <w:r w:rsidRPr="00C83E6A">
              <w:rPr>
                <w:b/>
                <w:lang w:val="sr-Latn-RS"/>
              </w:rPr>
              <w:t>HDL-C</w:t>
            </w:r>
          </w:p>
          <w:p w14:paraId="454F8D92" w14:textId="77777777" w:rsidR="006741ED" w:rsidRPr="00C83E6A" w:rsidRDefault="006741ED" w:rsidP="001D6451">
            <w:pPr>
              <w:keepNext/>
              <w:jc w:val="both"/>
              <w:rPr>
                <w:rFonts w:eastAsia="Calibri"/>
                <w:b/>
                <w:bCs/>
                <w:lang w:val="sr-Latn-RS"/>
              </w:rPr>
            </w:pPr>
            <w:r w:rsidRPr="00C83E6A">
              <w:rPr>
                <w:b/>
                <w:lang w:val="sr-Latn-RS"/>
              </w:rPr>
              <w:t>(%)</w:t>
            </w:r>
          </w:p>
        </w:tc>
        <w:tc>
          <w:tcPr>
            <w:tcW w:w="328" w:type="pct"/>
            <w:tcBorders>
              <w:top w:val="single" w:sz="8" w:space="0" w:color="000000"/>
              <w:left w:val="nil"/>
              <w:bottom w:val="single" w:sz="8" w:space="0" w:color="000000"/>
              <w:right w:val="single" w:sz="8" w:space="0" w:color="000000"/>
            </w:tcBorders>
            <w:shd w:val="clear" w:color="auto" w:fill="D9D9D9"/>
          </w:tcPr>
          <w:p w14:paraId="17F6F2E8" w14:textId="77777777" w:rsidR="00D26E8E" w:rsidRPr="00C83E6A" w:rsidRDefault="006741ED" w:rsidP="001D6451">
            <w:pPr>
              <w:keepNext/>
              <w:jc w:val="both"/>
              <w:rPr>
                <w:rFonts w:eastAsia="PMingLiU"/>
                <w:b/>
                <w:bCs/>
                <w:lang w:val="sr-Latn-RS"/>
              </w:rPr>
            </w:pPr>
            <w:r w:rsidRPr="00C83E6A">
              <w:rPr>
                <w:b/>
                <w:lang w:val="sr-Latn-RS"/>
              </w:rPr>
              <w:t>TG</w:t>
            </w:r>
          </w:p>
          <w:p w14:paraId="77D17217" w14:textId="77777777" w:rsidR="006741ED" w:rsidRPr="00C83E6A" w:rsidRDefault="006741ED" w:rsidP="001D6451">
            <w:pPr>
              <w:keepNext/>
              <w:jc w:val="both"/>
              <w:rPr>
                <w:rFonts w:eastAsia="Calibri"/>
                <w:b/>
                <w:bCs/>
                <w:lang w:val="sr-Latn-RS"/>
              </w:rPr>
            </w:pPr>
            <w:r w:rsidRPr="00C83E6A">
              <w:rPr>
                <w:b/>
                <w:lang w:val="sr-Latn-RS"/>
              </w:rPr>
              <w:t>(%)</w:t>
            </w:r>
          </w:p>
        </w:tc>
        <w:tc>
          <w:tcPr>
            <w:tcW w:w="346" w:type="pct"/>
            <w:tcBorders>
              <w:top w:val="single" w:sz="8" w:space="0" w:color="000000"/>
              <w:left w:val="nil"/>
              <w:bottom w:val="single" w:sz="8" w:space="0" w:color="000000"/>
              <w:right w:val="single" w:sz="8" w:space="0" w:color="000000"/>
            </w:tcBorders>
            <w:shd w:val="clear" w:color="auto" w:fill="D9D9D9"/>
            <w:tcMar>
              <w:top w:w="11" w:type="dxa"/>
              <w:left w:w="11" w:type="dxa"/>
              <w:bottom w:w="0" w:type="dxa"/>
              <w:right w:w="11" w:type="dxa"/>
            </w:tcMar>
          </w:tcPr>
          <w:p w14:paraId="3912C4F5" w14:textId="77777777" w:rsidR="00D26E8E" w:rsidRPr="00C83E6A" w:rsidRDefault="006741ED" w:rsidP="001D6451">
            <w:pPr>
              <w:keepNext/>
              <w:jc w:val="both"/>
              <w:rPr>
                <w:rFonts w:eastAsia="PMingLiU"/>
                <w:b/>
                <w:bCs/>
                <w:lang w:val="sr-Latn-RS"/>
              </w:rPr>
            </w:pPr>
            <w:r w:rsidRPr="00C83E6A">
              <w:rPr>
                <w:b/>
                <w:lang w:val="sr-Latn-RS"/>
              </w:rPr>
              <w:t>ApoA1</w:t>
            </w:r>
          </w:p>
          <w:p w14:paraId="201AB45C" w14:textId="77777777" w:rsidR="006741ED" w:rsidRPr="00C83E6A" w:rsidRDefault="006741ED" w:rsidP="001D6451">
            <w:pPr>
              <w:keepNext/>
              <w:jc w:val="both"/>
              <w:rPr>
                <w:rFonts w:eastAsia="Calibri"/>
                <w:b/>
                <w:bCs/>
                <w:lang w:val="sr-Latn-RS"/>
              </w:rPr>
            </w:pPr>
            <w:r w:rsidRPr="00C83E6A">
              <w:rPr>
                <w:b/>
                <w:lang w:val="sr-Latn-RS"/>
              </w:rPr>
              <w:t>(%)</w:t>
            </w:r>
          </w:p>
        </w:tc>
        <w:tc>
          <w:tcPr>
            <w:tcW w:w="364" w:type="pct"/>
            <w:tcBorders>
              <w:top w:val="single" w:sz="8" w:space="0" w:color="000000"/>
              <w:left w:val="nil"/>
              <w:bottom w:val="single" w:sz="8" w:space="0" w:color="000000"/>
              <w:right w:val="single" w:sz="8" w:space="0" w:color="000000"/>
            </w:tcBorders>
            <w:shd w:val="clear" w:color="auto" w:fill="D9D9D9"/>
          </w:tcPr>
          <w:p w14:paraId="3B860098" w14:textId="77777777" w:rsidR="00D26E8E" w:rsidRPr="00C83E6A" w:rsidRDefault="006741ED" w:rsidP="001D6451">
            <w:pPr>
              <w:keepNext/>
              <w:jc w:val="both"/>
              <w:rPr>
                <w:rFonts w:eastAsia="PMingLiU"/>
                <w:b/>
                <w:bCs/>
                <w:lang w:val="sr-Latn-RS"/>
              </w:rPr>
            </w:pPr>
            <w:r w:rsidRPr="00C83E6A">
              <w:rPr>
                <w:b/>
                <w:lang w:val="sr-Latn-RS"/>
              </w:rPr>
              <w:t>Odnos TC/</w:t>
            </w:r>
            <w:r w:rsidRPr="00C83E6A">
              <w:rPr>
                <w:b/>
                <w:lang w:val="sr-Latn-RS"/>
              </w:rPr>
              <w:br/>
              <w:t>HDL-C</w:t>
            </w:r>
          </w:p>
          <w:p w14:paraId="1ED19286" w14:textId="77777777" w:rsidR="006741ED" w:rsidRPr="00C83E6A" w:rsidRDefault="006741ED" w:rsidP="001D6451">
            <w:pPr>
              <w:keepNext/>
              <w:jc w:val="both"/>
              <w:rPr>
                <w:rFonts w:eastAsia="Calibri"/>
                <w:b/>
                <w:bCs/>
                <w:lang w:val="sr-Latn-RS"/>
              </w:rPr>
            </w:pPr>
            <w:r w:rsidRPr="00C83E6A">
              <w:rPr>
                <w:b/>
                <w:lang w:val="sr-Latn-RS"/>
              </w:rPr>
              <w:t>%</w:t>
            </w:r>
          </w:p>
        </w:tc>
        <w:tc>
          <w:tcPr>
            <w:tcW w:w="370" w:type="pct"/>
            <w:tcBorders>
              <w:top w:val="single" w:sz="8" w:space="0" w:color="000000"/>
              <w:left w:val="nil"/>
              <w:bottom w:val="single" w:sz="8" w:space="0" w:color="000000"/>
              <w:right w:val="single" w:sz="8" w:space="0" w:color="000000"/>
            </w:tcBorders>
            <w:shd w:val="clear" w:color="auto" w:fill="D9D9D9"/>
          </w:tcPr>
          <w:p w14:paraId="68EEE735" w14:textId="77777777" w:rsidR="00D26E8E" w:rsidRPr="00C83E6A" w:rsidRDefault="006741ED" w:rsidP="001D6451">
            <w:pPr>
              <w:keepNext/>
              <w:jc w:val="both"/>
              <w:rPr>
                <w:rFonts w:eastAsia="PMingLiU"/>
                <w:b/>
                <w:bCs/>
                <w:lang w:val="sr-Latn-RS"/>
              </w:rPr>
            </w:pPr>
            <w:r w:rsidRPr="00C83E6A">
              <w:rPr>
                <w:b/>
                <w:lang w:val="sr-Latn-RS"/>
              </w:rPr>
              <w:t>Odnos ApoB/</w:t>
            </w:r>
            <w:r w:rsidRPr="00C83E6A">
              <w:rPr>
                <w:b/>
                <w:lang w:val="sr-Latn-RS"/>
              </w:rPr>
              <w:br/>
              <w:t>ApoA1</w:t>
            </w:r>
          </w:p>
          <w:p w14:paraId="3028D5DD" w14:textId="77777777" w:rsidR="006741ED" w:rsidRPr="00C83E6A" w:rsidRDefault="006741ED" w:rsidP="001D6451">
            <w:pPr>
              <w:keepNext/>
              <w:jc w:val="both"/>
              <w:rPr>
                <w:rFonts w:eastAsia="Calibri"/>
                <w:b/>
                <w:bCs/>
                <w:lang w:val="sr-Latn-RS"/>
              </w:rPr>
            </w:pPr>
            <w:r w:rsidRPr="00C83E6A">
              <w:rPr>
                <w:b/>
                <w:lang w:val="sr-Latn-RS"/>
              </w:rPr>
              <w:t>%</w:t>
            </w:r>
          </w:p>
        </w:tc>
      </w:tr>
      <w:tr w:rsidR="001935E8" w:rsidRPr="00C83E6A" w14:paraId="4C166E16" w14:textId="77777777" w:rsidTr="001935E8">
        <w:trPr>
          <w:cantSplit/>
          <w:trHeight w:val="248"/>
        </w:trPr>
        <w:tc>
          <w:tcPr>
            <w:tcW w:w="629" w:type="pct"/>
            <w:tcBorders>
              <w:top w:val="single" w:sz="8" w:space="0" w:color="000000"/>
              <w:left w:val="single" w:sz="8" w:space="0" w:color="000000"/>
              <w:bottom w:val="single" w:sz="8" w:space="0" w:color="000000"/>
              <w:right w:val="single" w:sz="8" w:space="0" w:color="000000"/>
            </w:tcBorders>
            <w:vAlign w:val="center"/>
            <w:hideMark/>
          </w:tcPr>
          <w:p w14:paraId="2CC29F5C" w14:textId="77777777" w:rsidR="006741ED" w:rsidRPr="00C83E6A" w:rsidRDefault="006741ED" w:rsidP="001D6451">
            <w:pPr>
              <w:keepNext/>
              <w:jc w:val="both"/>
              <w:rPr>
                <w:rFonts w:eastAsia="Calibri"/>
                <w:lang w:val="sr-Latn-RS"/>
              </w:rPr>
            </w:pPr>
            <w:r w:rsidRPr="00C83E6A">
              <w:rPr>
                <w:lang w:val="sr-Latn-RS"/>
              </w:rPr>
              <w:t>DESCARTES</w:t>
            </w:r>
          </w:p>
        </w:tc>
        <w:tc>
          <w:tcPr>
            <w:tcW w:w="533" w:type="pct"/>
            <w:tcBorders>
              <w:top w:val="single" w:sz="8" w:space="0" w:color="000000"/>
              <w:left w:val="nil"/>
              <w:bottom w:val="single" w:sz="8" w:space="0" w:color="000000"/>
              <w:right w:val="single" w:sz="8" w:space="0" w:color="000000"/>
            </w:tcBorders>
            <w:tcMar>
              <w:top w:w="11" w:type="dxa"/>
              <w:left w:w="90" w:type="dxa"/>
              <w:bottom w:w="0" w:type="dxa"/>
              <w:right w:w="90" w:type="dxa"/>
            </w:tcMar>
            <w:hideMark/>
          </w:tcPr>
          <w:p w14:paraId="4168600B" w14:textId="77777777" w:rsidR="00D26E8E" w:rsidRPr="00C83E6A" w:rsidRDefault="006741ED" w:rsidP="00187BED">
            <w:pPr>
              <w:keepNext/>
              <w:ind w:left="-93" w:right="-85"/>
              <w:jc w:val="center"/>
              <w:rPr>
                <w:rFonts w:eastAsia="PMingLiU"/>
                <w:color w:val="000000"/>
                <w:lang w:val="sr-Latn-RS"/>
              </w:rPr>
            </w:pPr>
            <w:r w:rsidRPr="00C83E6A">
              <w:rPr>
                <w:color w:val="000000"/>
                <w:lang w:val="sr-Latn-RS"/>
              </w:rPr>
              <w:t>420 mg QM</w:t>
            </w:r>
          </w:p>
          <w:p w14:paraId="5C3954BF" w14:textId="77777777" w:rsidR="006741ED" w:rsidRPr="00C83E6A" w:rsidRDefault="006741ED">
            <w:pPr>
              <w:keepNext/>
              <w:jc w:val="center"/>
              <w:rPr>
                <w:rFonts w:eastAsia="Calibri"/>
                <w:lang w:val="sr-Latn-RS"/>
              </w:rPr>
            </w:pPr>
            <w:r w:rsidRPr="00C83E6A">
              <w:rPr>
                <w:lang w:val="sr-Latn-RS"/>
              </w:rPr>
              <w:t>(N = 599)</w:t>
            </w:r>
          </w:p>
        </w:tc>
        <w:tc>
          <w:tcPr>
            <w:tcW w:w="372" w:type="pct"/>
            <w:tcBorders>
              <w:top w:val="single" w:sz="8" w:space="0" w:color="000000"/>
              <w:left w:val="nil"/>
              <w:bottom w:val="single" w:sz="8" w:space="0" w:color="000000"/>
              <w:right w:val="single" w:sz="8" w:space="0" w:color="000000"/>
            </w:tcBorders>
            <w:tcMar>
              <w:top w:w="11" w:type="dxa"/>
              <w:left w:w="90" w:type="dxa"/>
              <w:bottom w:w="0" w:type="dxa"/>
              <w:right w:w="90" w:type="dxa"/>
            </w:tcMar>
            <w:vAlign w:val="center"/>
            <w:hideMark/>
          </w:tcPr>
          <w:p w14:paraId="1E74F98E" w14:textId="77777777" w:rsidR="00D26E8E" w:rsidRPr="00C83E6A" w:rsidRDefault="006741ED">
            <w:pPr>
              <w:keepNext/>
              <w:ind w:left="-103" w:right="-99"/>
              <w:jc w:val="center"/>
              <w:rPr>
                <w:rFonts w:eastAsia="PMingLiU"/>
                <w:vertAlign w:val="superscript"/>
                <w:lang w:val="sr-Latn-RS"/>
              </w:rPr>
            </w:pPr>
            <w:r w:rsidRPr="00C83E6A">
              <w:rPr>
                <w:lang w:val="sr-Latn-RS"/>
              </w:rPr>
              <w:t>-59</w:t>
            </w:r>
            <w:r w:rsidRPr="00C83E6A">
              <w:rPr>
                <w:vertAlign w:val="superscript"/>
                <w:lang w:val="sr-Latn-RS"/>
              </w:rPr>
              <w:t>b</w:t>
            </w:r>
          </w:p>
          <w:p w14:paraId="08969215" w14:textId="77777777" w:rsidR="006741ED" w:rsidRPr="00C83E6A" w:rsidRDefault="006741ED">
            <w:pPr>
              <w:keepNext/>
              <w:ind w:left="-103" w:right="-99"/>
              <w:jc w:val="center"/>
              <w:rPr>
                <w:rFonts w:eastAsia="Calibri"/>
                <w:lang w:val="sr-Latn-RS"/>
              </w:rPr>
            </w:pPr>
            <w:r w:rsidRPr="00C83E6A">
              <w:rPr>
                <w:lang w:val="sr-Latn-RS"/>
              </w:rPr>
              <w:t>(-64, -55)</w:t>
            </w:r>
          </w:p>
        </w:tc>
        <w:tc>
          <w:tcPr>
            <w:tcW w:w="364" w:type="pct"/>
            <w:tcBorders>
              <w:top w:val="single" w:sz="8" w:space="0" w:color="000000"/>
              <w:left w:val="nil"/>
              <w:bottom w:val="single" w:sz="8" w:space="0" w:color="000000"/>
              <w:right w:val="single" w:sz="8" w:space="0" w:color="000000"/>
            </w:tcBorders>
            <w:tcMar>
              <w:top w:w="11" w:type="dxa"/>
              <w:left w:w="90" w:type="dxa"/>
              <w:bottom w:w="0" w:type="dxa"/>
              <w:right w:w="90" w:type="dxa"/>
            </w:tcMar>
            <w:vAlign w:val="center"/>
            <w:hideMark/>
          </w:tcPr>
          <w:p w14:paraId="136EECC6" w14:textId="77777777" w:rsidR="00D26E8E" w:rsidRPr="00C83E6A" w:rsidRDefault="006741ED">
            <w:pPr>
              <w:keepNext/>
              <w:ind w:left="-107" w:right="-71"/>
              <w:jc w:val="center"/>
              <w:rPr>
                <w:rFonts w:eastAsia="PMingLiU"/>
                <w:vertAlign w:val="superscript"/>
                <w:lang w:val="sr-Latn-RS"/>
              </w:rPr>
            </w:pPr>
            <w:r w:rsidRPr="00C83E6A">
              <w:rPr>
                <w:lang w:val="sr-Latn-RS"/>
              </w:rPr>
              <w:t>-50</w:t>
            </w:r>
            <w:r w:rsidRPr="00C83E6A">
              <w:rPr>
                <w:vertAlign w:val="superscript"/>
                <w:lang w:val="sr-Latn-RS"/>
              </w:rPr>
              <w:t>b</w:t>
            </w:r>
          </w:p>
          <w:p w14:paraId="217E23CD" w14:textId="77777777" w:rsidR="006741ED" w:rsidRPr="00C83E6A" w:rsidRDefault="006741ED">
            <w:pPr>
              <w:keepNext/>
              <w:ind w:left="-107" w:right="-71"/>
              <w:jc w:val="center"/>
              <w:rPr>
                <w:rFonts w:eastAsia="Calibri"/>
                <w:lang w:val="sr-Latn-RS"/>
              </w:rPr>
            </w:pPr>
            <w:r w:rsidRPr="00C83E6A">
              <w:rPr>
                <w:lang w:val="sr-Latn-RS"/>
              </w:rPr>
              <w:t>(-54, -46)</w:t>
            </w:r>
          </w:p>
        </w:tc>
        <w:tc>
          <w:tcPr>
            <w:tcW w:w="346" w:type="pct"/>
            <w:tcBorders>
              <w:top w:val="single" w:sz="8" w:space="0" w:color="000000"/>
              <w:left w:val="nil"/>
              <w:bottom w:val="single" w:sz="8" w:space="0" w:color="000000"/>
              <w:right w:val="single" w:sz="8" w:space="0" w:color="000000"/>
            </w:tcBorders>
            <w:tcMar>
              <w:top w:w="11" w:type="dxa"/>
              <w:left w:w="11" w:type="dxa"/>
              <w:bottom w:w="0" w:type="dxa"/>
              <w:right w:w="11" w:type="dxa"/>
            </w:tcMar>
            <w:vAlign w:val="center"/>
            <w:hideMark/>
          </w:tcPr>
          <w:p w14:paraId="7F3027F7" w14:textId="77777777" w:rsidR="00D26E8E" w:rsidRPr="00C83E6A" w:rsidRDefault="006741ED">
            <w:pPr>
              <w:keepNext/>
              <w:jc w:val="center"/>
              <w:rPr>
                <w:rFonts w:eastAsia="PMingLiU"/>
                <w:vertAlign w:val="superscript"/>
                <w:lang w:val="sr-Latn-RS"/>
              </w:rPr>
            </w:pPr>
            <w:r w:rsidRPr="00C83E6A">
              <w:rPr>
                <w:lang w:val="sr-Latn-RS"/>
              </w:rPr>
              <w:t>-44</w:t>
            </w:r>
            <w:r w:rsidRPr="00C83E6A">
              <w:rPr>
                <w:vertAlign w:val="superscript"/>
                <w:lang w:val="sr-Latn-RS"/>
              </w:rPr>
              <w:t>b</w:t>
            </w:r>
          </w:p>
          <w:p w14:paraId="757A2D48" w14:textId="77777777" w:rsidR="006741ED" w:rsidRPr="00C83E6A" w:rsidRDefault="006741ED">
            <w:pPr>
              <w:keepNext/>
              <w:jc w:val="center"/>
              <w:rPr>
                <w:rFonts w:eastAsia="Calibri"/>
                <w:lang w:val="sr-Latn-RS"/>
              </w:rPr>
            </w:pPr>
            <w:r w:rsidRPr="00C83E6A">
              <w:rPr>
                <w:lang w:val="sr-Latn-RS"/>
              </w:rPr>
              <w:t>(-48, -41)</w:t>
            </w:r>
          </w:p>
        </w:tc>
        <w:tc>
          <w:tcPr>
            <w:tcW w:w="352" w:type="pct"/>
            <w:tcBorders>
              <w:top w:val="single" w:sz="8" w:space="0" w:color="000000"/>
              <w:left w:val="nil"/>
              <w:bottom w:val="single" w:sz="8" w:space="0" w:color="000000"/>
              <w:right w:val="single" w:sz="8" w:space="0" w:color="000000"/>
            </w:tcBorders>
            <w:tcMar>
              <w:top w:w="11" w:type="dxa"/>
              <w:left w:w="11" w:type="dxa"/>
              <w:bottom w:w="0" w:type="dxa"/>
              <w:right w:w="11" w:type="dxa"/>
            </w:tcMar>
            <w:vAlign w:val="center"/>
            <w:hideMark/>
          </w:tcPr>
          <w:p w14:paraId="6B281B6A" w14:textId="77777777" w:rsidR="00D26E8E" w:rsidRPr="00C83E6A" w:rsidRDefault="006741ED">
            <w:pPr>
              <w:keepNext/>
              <w:jc w:val="center"/>
              <w:rPr>
                <w:rFonts w:eastAsia="PMingLiU"/>
                <w:vertAlign w:val="superscript"/>
                <w:lang w:val="sr-Latn-RS"/>
              </w:rPr>
            </w:pPr>
            <w:r w:rsidRPr="00C83E6A">
              <w:rPr>
                <w:lang w:val="sr-Latn-RS"/>
              </w:rPr>
              <w:t>-33</w:t>
            </w:r>
            <w:r w:rsidRPr="00C83E6A">
              <w:rPr>
                <w:vertAlign w:val="superscript"/>
                <w:lang w:val="sr-Latn-RS"/>
              </w:rPr>
              <w:t>b</w:t>
            </w:r>
          </w:p>
          <w:p w14:paraId="7CB09FE0" w14:textId="77777777" w:rsidR="006741ED" w:rsidRPr="00C83E6A" w:rsidRDefault="006741ED">
            <w:pPr>
              <w:keepNext/>
              <w:jc w:val="center"/>
              <w:rPr>
                <w:rFonts w:eastAsia="Calibri"/>
                <w:lang w:val="sr-Latn-RS"/>
              </w:rPr>
            </w:pPr>
            <w:r w:rsidRPr="00C83E6A">
              <w:rPr>
                <w:lang w:val="sr-Latn-RS"/>
              </w:rPr>
              <w:t>(-36, -31)</w:t>
            </w:r>
          </w:p>
        </w:tc>
        <w:tc>
          <w:tcPr>
            <w:tcW w:w="346" w:type="pct"/>
            <w:tcBorders>
              <w:top w:val="single" w:sz="8" w:space="0" w:color="000000"/>
              <w:left w:val="nil"/>
              <w:bottom w:val="single" w:sz="8" w:space="0" w:color="000000"/>
              <w:right w:val="single" w:sz="8" w:space="0" w:color="000000"/>
            </w:tcBorders>
            <w:tcMar>
              <w:top w:w="11" w:type="dxa"/>
              <w:left w:w="11" w:type="dxa"/>
              <w:bottom w:w="0" w:type="dxa"/>
              <w:right w:w="11" w:type="dxa"/>
            </w:tcMar>
            <w:vAlign w:val="center"/>
            <w:hideMark/>
          </w:tcPr>
          <w:p w14:paraId="1EF243A5" w14:textId="77777777" w:rsidR="00D26E8E" w:rsidRPr="00C83E6A" w:rsidRDefault="006741ED">
            <w:pPr>
              <w:keepNext/>
              <w:jc w:val="center"/>
              <w:rPr>
                <w:rFonts w:eastAsia="PMingLiU"/>
                <w:vertAlign w:val="superscript"/>
                <w:lang w:val="sr-Latn-RS"/>
              </w:rPr>
            </w:pPr>
            <w:r w:rsidRPr="00C83E6A">
              <w:rPr>
                <w:lang w:val="sr-Latn-RS"/>
              </w:rPr>
              <w:t>-22</w:t>
            </w:r>
            <w:r w:rsidRPr="00C83E6A">
              <w:rPr>
                <w:vertAlign w:val="superscript"/>
                <w:lang w:val="sr-Latn-RS"/>
              </w:rPr>
              <w:t>b</w:t>
            </w:r>
          </w:p>
          <w:p w14:paraId="4F19E0BD" w14:textId="77777777" w:rsidR="006741ED" w:rsidRPr="00C83E6A" w:rsidRDefault="006741ED">
            <w:pPr>
              <w:keepNext/>
              <w:jc w:val="center"/>
              <w:rPr>
                <w:rFonts w:eastAsia="Calibri"/>
                <w:lang w:val="sr-Latn-RS"/>
              </w:rPr>
            </w:pPr>
            <w:r w:rsidRPr="00C83E6A">
              <w:rPr>
                <w:lang w:val="sr-Latn-RS"/>
              </w:rPr>
              <w:t>(-26, -19)</w:t>
            </w:r>
          </w:p>
        </w:tc>
        <w:tc>
          <w:tcPr>
            <w:tcW w:w="359" w:type="pct"/>
            <w:tcBorders>
              <w:top w:val="single" w:sz="8" w:space="0" w:color="000000"/>
              <w:left w:val="nil"/>
              <w:bottom w:val="single" w:sz="8" w:space="0" w:color="000000"/>
              <w:right w:val="single" w:sz="8" w:space="0" w:color="000000"/>
            </w:tcBorders>
            <w:tcMar>
              <w:top w:w="11" w:type="dxa"/>
              <w:left w:w="11" w:type="dxa"/>
              <w:bottom w:w="0" w:type="dxa"/>
              <w:right w:w="11" w:type="dxa"/>
            </w:tcMar>
            <w:vAlign w:val="center"/>
            <w:hideMark/>
          </w:tcPr>
          <w:p w14:paraId="2ECF9DA9" w14:textId="77777777" w:rsidR="00D26E8E" w:rsidRPr="00C83E6A" w:rsidRDefault="006741ED">
            <w:pPr>
              <w:keepNext/>
              <w:jc w:val="center"/>
              <w:rPr>
                <w:rFonts w:eastAsia="PMingLiU"/>
                <w:vertAlign w:val="superscript"/>
                <w:lang w:val="sr-Latn-RS"/>
              </w:rPr>
            </w:pPr>
            <w:r w:rsidRPr="00C83E6A">
              <w:rPr>
                <w:lang w:val="sr-Latn-RS"/>
              </w:rPr>
              <w:t>-29</w:t>
            </w:r>
            <w:r w:rsidRPr="00C83E6A">
              <w:rPr>
                <w:vertAlign w:val="superscript"/>
                <w:lang w:val="sr-Latn-RS"/>
              </w:rPr>
              <w:t>b</w:t>
            </w:r>
          </w:p>
          <w:p w14:paraId="6DE01E8E" w14:textId="77777777" w:rsidR="006741ED" w:rsidRPr="00C83E6A" w:rsidRDefault="006741ED">
            <w:pPr>
              <w:keepNext/>
              <w:jc w:val="center"/>
              <w:rPr>
                <w:rFonts w:eastAsia="Calibri"/>
                <w:lang w:val="sr-Latn-RS"/>
              </w:rPr>
            </w:pPr>
            <w:r w:rsidRPr="00C83E6A">
              <w:rPr>
                <w:lang w:val="sr-Latn-RS"/>
              </w:rPr>
              <w:t>(-40, -18)</w:t>
            </w:r>
          </w:p>
        </w:tc>
        <w:tc>
          <w:tcPr>
            <w:tcW w:w="294" w:type="pct"/>
            <w:tcBorders>
              <w:top w:val="single" w:sz="8" w:space="0" w:color="000000"/>
              <w:left w:val="nil"/>
              <w:bottom w:val="single" w:sz="8" w:space="0" w:color="000000"/>
              <w:right w:val="single" w:sz="8" w:space="0" w:color="000000"/>
            </w:tcBorders>
            <w:tcMar>
              <w:top w:w="11" w:type="dxa"/>
              <w:left w:w="11" w:type="dxa"/>
              <w:bottom w:w="0" w:type="dxa"/>
              <w:right w:w="11" w:type="dxa"/>
            </w:tcMar>
            <w:vAlign w:val="center"/>
            <w:hideMark/>
          </w:tcPr>
          <w:p w14:paraId="4A011656" w14:textId="77777777" w:rsidR="00D26E8E" w:rsidRPr="00C83E6A" w:rsidRDefault="006741ED">
            <w:pPr>
              <w:keepNext/>
              <w:jc w:val="center"/>
              <w:rPr>
                <w:rFonts w:eastAsia="PMingLiU"/>
                <w:vertAlign w:val="superscript"/>
                <w:lang w:val="sr-Latn-RS"/>
              </w:rPr>
            </w:pPr>
            <w:r w:rsidRPr="00C83E6A">
              <w:rPr>
                <w:lang w:val="sr-Latn-RS"/>
              </w:rPr>
              <w:t>5</w:t>
            </w:r>
            <w:r w:rsidRPr="00C83E6A">
              <w:rPr>
                <w:vertAlign w:val="superscript"/>
                <w:lang w:val="sr-Latn-RS"/>
              </w:rPr>
              <w:t>b</w:t>
            </w:r>
          </w:p>
          <w:p w14:paraId="26C2B8AF" w14:textId="77777777" w:rsidR="006741ED" w:rsidRPr="00C83E6A" w:rsidRDefault="006741ED">
            <w:pPr>
              <w:keepNext/>
              <w:jc w:val="center"/>
              <w:rPr>
                <w:rFonts w:eastAsia="Calibri"/>
                <w:lang w:val="sr-Latn-RS"/>
              </w:rPr>
            </w:pPr>
            <w:r w:rsidRPr="00C83E6A">
              <w:rPr>
                <w:lang w:val="sr-Latn-RS"/>
              </w:rPr>
              <w:t>(3, 8)</w:t>
            </w:r>
          </w:p>
        </w:tc>
        <w:tc>
          <w:tcPr>
            <w:tcW w:w="328" w:type="pct"/>
            <w:tcBorders>
              <w:top w:val="single" w:sz="8" w:space="0" w:color="000000"/>
              <w:left w:val="nil"/>
              <w:bottom w:val="single" w:sz="8" w:space="0" w:color="000000"/>
              <w:right w:val="single" w:sz="8" w:space="0" w:color="000000"/>
            </w:tcBorders>
            <w:vAlign w:val="center"/>
            <w:hideMark/>
          </w:tcPr>
          <w:p w14:paraId="1733EA71" w14:textId="77777777" w:rsidR="00D26E8E" w:rsidRPr="00C83E6A" w:rsidRDefault="006741ED">
            <w:pPr>
              <w:keepNext/>
              <w:jc w:val="center"/>
              <w:rPr>
                <w:rFonts w:eastAsia="PMingLiU"/>
                <w:vertAlign w:val="superscript"/>
                <w:lang w:val="sr-Latn-RS"/>
              </w:rPr>
            </w:pPr>
            <w:r w:rsidRPr="00C83E6A">
              <w:rPr>
                <w:lang w:val="sr-Latn-RS"/>
              </w:rPr>
              <w:t>-12</w:t>
            </w:r>
            <w:r w:rsidRPr="00C83E6A">
              <w:rPr>
                <w:vertAlign w:val="superscript"/>
                <w:lang w:val="sr-Latn-RS"/>
              </w:rPr>
              <w:t>b</w:t>
            </w:r>
          </w:p>
          <w:p w14:paraId="3DB5B4DD" w14:textId="77777777" w:rsidR="006741ED" w:rsidRPr="00C83E6A" w:rsidRDefault="006741ED">
            <w:pPr>
              <w:keepNext/>
              <w:jc w:val="center"/>
              <w:rPr>
                <w:rFonts w:eastAsia="Calibri"/>
                <w:lang w:val="sr-Latn-RS"/>
              </w:rPr>
            </w:pPr>
            <w:r w:rsidRPr="00C83E6A">
              <w:rPr>
                <w:lang w:val="sr-Latn-RS"/>
              </w:rPr>
              <w:t>(-17, -6)</w:t>
            </w:r>
          </w:p>
        </w:tc>
        <w:tc>
          <w:tcPr>
            <w:tcW w:w="346" w:type="pct"/>
            <w:tcBorders>
              <w:top w:val="single" w:sz="8" w:space="0" w:color="000000"/>
              <w:left w:val="nil"/>
              <w:bottom w:val="single" w:sz="8" w:space="0" w:color="000000"/>
              <w:right w:val="single" w:sz="8" w:space="0" w:color="000000"/>
            </w:tcBorders>
            <w:tcMar>
              <w:top w:w="11" w:type="dxa"/>
              <w:left w:w="11" w:type="dxa"/>
              <w:bottom w:w="0" w:type="dxa"/>
              <w:right w:w="11" w:type="dxa"/>
            </w:tcMar>
            <w:vAlign w:val="center"/>
            <w:hideMark/>
          </w:tcPr>
          <w:p w14:paraId="7EE84485" w14:textId="77777777" w:rsidR="00D26E8E" w:rsidRPr="00C83E6A" w:rsidRDefault="006741ED">
            <w:pPr>
              <w:keepNext/>
              <w:jc w:val="center"/>
              <w:rPr>
                <w:rFonts w:eastAsia="PMingLiU"/>
                <w:vertAlign w:val="superscript"/>
                <w:lang w:val="sr-Latn-RS"/>
              </w:rPr>
            </w:pPr>
            <w:r w:rsidRPr="00C83E6A">
              <w:rPr>
                <w:lang w:val="sr-Latn-RS"/>
              </w:rPr>
              <w:t>3</w:t>
            </w:r>
            <w:r w:rsidRPr="00C83E6A">
              <w:rPr>
                <w:vertAlign w:val="superscript"/>
                <w:lang w:val="sr-Latn-RS"/>
              </w:rPr>
              <w:t>a</w:t>
            </w:r>
          </w:p>
          <w:p w14:paraId="2F999209" w14:textId="77777777" w:rsidR="006741ED" w:rsidRPr="00C83E6A" w:rsidRDefault="006741ED">
            <w:pPr>
              <w:keepNext/>
              <w:jc w:val="center"/>
              <w:rPr>
                <w:rFonts w:eastAsia="Calibri"/>
                <w:lang w:val="sr-Latn-RS"/>
              </w:rPr>
            </w:pPr>
            <w:r w:rsidRPr="00C83E6A">
              <w:rPr>
                <w:lang w:val="sr-Latn-RS"/>
              </w:rPr>
              <w:t>(1, 5)</w:t>
            </w:r>
          </w:p>
        </w:tc>
        <w:tc>
          <w:tcPr>
            <w:tcW w:w="364" w:type="pct"/>
            <w:tcBorders>
              <w:top w:val="single" w:sz="8" w:space="0" w:color="000000"/>
              <w:left w:val="nil"/>
              <w:bottom w:val="single" w:sz="8" w:space="0" w:color="000000"/>
              <w:right w:val="single" w:sz="8" w:space="0" w:color="000000"/>
            </w:tcBorders>
            <w:vAlign w:val="center"/>
          </w:tcPr>
          <w:p w14:paraId="31843684" w14:textId="77777777" w:rsidR="00D26E8E" w:rsidRPr="00C83E6A" w:rsidRDefault="006741ED">
            <w:pPr>
              <w:keepNext/>
              <w:jc w:val="center"/>
              <w:rPr>
                <w:rFonts w:eastAsia="PMingLiU"/>
                <w:vertAlign w:val="superscript"/>
                <w:lang w:val="sr-Latn-RS"/>
              </w:rPr>
            </w:pPr>
            <w:r w:rsidRPr="00C83E6A">
              <w:rPr>
                <w:lang w:val="sr-Latn-RS"/>
              </w:rPr>
              <w:t>-37</w:t>
            </w:r>
            <w:r w:rsidRPr="00C83E6A">
              <w:rPr>
                <w:vertAlign w:val="superscript"/>
                <w:lang w:val="sr-Latn-RS"/>
              </w:rPr>
              <w:t>b</w:t>
            </w:r>
          </w:p>
          <w:p w14:paraId="382C383A" w14:textId="77777777" w:rsidR="006741ED" w:rsidRPr="00C83E6A" w:rsidRDefault="006741ED">
            <w:pPr>
              <w:keepNext/>
              <w:jc w:val="center"/>
              <w:rPr>
                <w:rFonts w:eastAsia="Calibri"/>
                <w:lang w:val="sr-Latn-RS"/>
              </w:rPr>
            </w:pPr>
            <w:r w:rsidRPr="00C83E6A">
              <w:rPr>
                <w:lang w:val="sr-Latn-RS"/>
              </w:rPr>
              <w:t>(-40, -34)</w:t>
            </w:r>
          </w:p>
        </w:tc>
        <w:tc>
          <w:tcPr>
            <w:tcW w:w="370" w:type="pct"/>
            <w:tcBorders>
              <w:top w:val="single" w:sz="8" w:space="0" w:color="000000"/>
              <w:left w:val="nil"/>
              <w:bottom w:val="single" w:sz="8" w:space="0" w:color="000000"/>
              <w:right w:val="single" w:sz="8" w:space="0" w:color="000000"/>
            </w:tcBorders>
            <w:vAlign w:val="center"/>
          </w:tcPr>
          <w:p w14:paraId="1375CD7C" w14:textId="77777777" w:rsidR="00D26E8E" w:rsidRPr="00C83E6A" w:rsidRDefault="006741ED">
            <w:pPr>
              <w:keepNext/>
              <w:jc w:val="center"/>
              <w:rPr>
                <w:rFonts w:eastAsia="PMingLiU"/>
                <w:vertAlign w:val="superscript"/>
                <w:lang w:val="sr-Latn-RS"/>
              </w:rPr>
            </w:pPr>
            <w:r w:rsidRPr="00C83E6A">
              <w:rPr>
                <w:lang w:val="sr-Latn-RS"/>
              </w:rPr>
              <w:t>-46</w:t>
            </w:r>
            <w:r w:rsidRPr="00C83E6A">
              <w:rPr>
                <w:vertAlign w:val="superscript"/>
                <w:lang w:val="sr-Latn-RS"/>
              </w:rPr>
              <w:t>b</w:t>
            </w:r>
          </w:p>
          <w:p w14:paraId="2958BB4E" w14:textId="77777777" w:rsidR="006741ED" w:rsidRPr="00C83E6A" w:rsidRDefault="006741ED">
            <w:pPr>
              <w:keepNext/>
              <w:jc w:val="center"/>
              <w:rPr>
                <w:rFonts w:eastAsia="Calibri"/>
                <w:lang w:val="sr-Latn-RS"/>
              </w:rPr>
            </w:pPr>
            <w:r w:rsidRPr="00C83E6A">
              <w:rPr>
                <w:lang w:val="sr-Latn-RS"/>
              </w:rPr>
              <w:t>(-50, -43)</w:t>
            </w:r>
          </w:p>
        </w:tc>
      </w:tr>
    </w:tbl>
    <w:p w14:paraId="138A182A" w14:textId="77777777" w:rsidR="00567873" w:rsidRPr="00C83E6A" w:rsidRDefault="00BE5F81" w:rsidP="001D6451">
      <w:pPr>
        <w:jc w:val="both"/>
        <w:rPr>
          <w:rFonts w:eastAsia="PMingLiU"/>
          <w:lang w:val="sr-Latn-RS"/>
        </w:rPr>
      </w:pPr>
      <w:r w:rsidRPr="00C83E6A">
        <w:rPr>
          <w:lang w:val="sr-Latn-RS"/>
        </w:rPr>
        <w:t xml:space="preserve">Legenda: QM = jednom mjesečno, </w:t>
      </w:r>
    </w:p>
    <w:p w14:paraId="33CDB264" w14:textId="77777777" w:rsidR="00567873" w:rsidRPr="00C83E6A" w:rsidRDefault="00BE5F81" w:rsidP="001D6451">
      <w:pPr>
        <w:jc w:val="both"/>
        <w:rPr>
          <w:rFonts w:eastAsia="PMingLiU"/>
          <w:lang w:val="sr-Latn-RS"/>
        </w:rPr>
      </w:pPr>
      <w:r w:rsidRPr="00C83E6A">
        <w:rPr>
          <w:vertAlign w:val="superscript"/>
          <w:lang w:val="sr-Latn-RS"/>
        </w:rPr>
        <w:t>a</w:t>
      </w:r>
      <w:r w:rsidRPr="00C83E6A">
        <w:rPr>
          <w:lang w:val="sr-Latn-RS"/>
        </w:rPr>
        <w:t xml:space="preserve"> nominalna p vrijednost &lt; 0,001 pri poređenju sa placebom, </w:t>
      </w:r>
    </w:p>
    <w:p w14:paraId="75416377" w14:textId="77777777" w:rsidR="00D26E8E" w:rsidRPr="00C83E6A" w:rsidRDefault="00BE5F81" w:rsidP="001D6451">
      <w:pPr>
        <w:jc w:val="both"/>
        <w:rPr>
          <w:rFonts w:eastAsia="PMingLiU"/>
          <w:lang w:val="sr-Latn-RS"/>
        </w:rPr>
      </w:pPr>
      <w:r w:rsidRPr="00C83E6A">
        <w:rPr>
          <w:vertAlign w:val="superscript"/>
          <w:lang w:val="sr-Latn-RS"/>
        </w:rPr>
        <w:t>b</w:t>
      </w:r>
      <w:r w:rsidRPr="00C83E6A">
        <w:rPr>
          <w:lang w:val="sr-Latn-RS"/>
        </w:rPr>
        <w:t> p vrijednost &lt; 0,001 pri poređenju sa placebom.</w:t>
      </w:r>
    </w:p>
    <w:p w14:paraId="6891D4D3" w14:textId="77777777" w:rsidR="00D26E8E" w:rsidRPr="00C83E6A" w:rsidRDefault="00D26E8E" w:rsidP="001D6451">
      <w:pPr>
        <w:autoSpaceDE w:val="0"/>
        <w:autoSpaceDN w:val="0"/>
        <w:adjustRightInd w:val="0"/>
        <w:jc w:val="both"/>
        <w:rPr>
          <w:rFonts w:eastAsia="PMingLiU"/>
          <w:lang w:val="sr-Latn-RS"/>
        </w:rPr>
      </w:pPr>
    </w:p>
    <w:p w14:paraId="3D9E8196" w14:textId="77777777" w:rsidR="00D26E8E" w:rsidRPr="00C83E6A" w:rsidRDefault="00096D7F" w:rsidP="001D6451">
      <w:pPr>
        <w:jc w:val="both"/>
        <w:rPr>
          <w:rFonts w:eastAsia="PMingLiU"/>
          <w:lang w:val="sr-Latn-RS"/>
        </w:rPr>
      </w:pPr>
      <w:r w:rsidRPr="00C83E6A">
        <w:rPr>
          <w:lang w:val="sr-Latn-RS"/>
        </w:rPr>
        <w:t>OSLER i OSLER</w:t>
      </w:r>
      <w:r w:rsidRPr="00C83E6A">
        <w:rPr>
          <w:lang w:val="sr-Latn-RS"/>
        </w:rPr>
        <w:noBreakHyphen/>
        <w:t>2 su bila dva randomizovana, kontrolisana i otvorena produžetka studija sa ciljem procjene dugoročne bezbjednosti i efikasnosti lijeka Repatha kod pacijenata koji su završili liječenje u izvornoj (engl. „parent“) studiji. U oba produžetka studije, pacijenti su randomizovani 2:1 za primanje lijeka Repatha u kombinaciji sa standardnom njegom (evolokumab grupa) ili za primanje samo standardne njege (kontrolna grupa) tokom prve godine studije. Na kraju prve godine (52. nedjelja u OSLER i 48. nedjelja u OSLER</w:t>
      </w:r>
      <w:r w:rsidRPr="00C83E6A">
        <w:rPr>
          <w:lang w:val="sr-Latn-RS"/>
        </w:rPr>
        <w:noBreakHyphen/>
        <w:t xml:space="preserve">2), pacijenti su ušli u Repatha period u kom su svi pacijenti otvoreno (engl. </w:t>
      </w:r>
      <w:r w:rsidRPr="00C83E6A">
        <w:rPr>
          <w:i/>
          <w:lang w:val="sr-Latn-RS"/>
        </w:rPr>
        <w:t>open</w:t>
      </w:r>
      <w:r w:rsidRPr="00C83E6A">
        <w:rPr>
          <w:i/>
          <w:lang w:val="sr-Latn-RS"/>
        </w:rPr>
        <w:noBreakHyphen/>
        <w:t>label</w:t>
      </w:r>
      <w:r w:rsidRPr="00C83E6A">
        <w:rPr>
          <w:lang w:val="sr-Latn-RS"/>
        </w:rPr>
        <w:t>) uzimali lijek Repatha još 4 godine (OSLER) ili 2 godine (OSLER</w:t>
      </w:r>
      <w:r w:rsidRPr="00C83E6A">
        <w:rPr>
          <w:lang w:val="sr-Latn-RS"/>
        </w:rPr>
        <w:noBreakHyphen/>
        <w:t>2).</w:t>
      </w:r>
    </w:p>
    <w:p w14:paraId="04DE36A8" w14:textId="77777777" w:rsidR="00D26E8E" w:rsidRPr="00C83E6A" w:rsidRDefault="00D26E8E" w:rsidP="001D6451">
      <w:pPr>
        <w:autoSpaceDE w:val="0"/>
        <w:autoSpaceDN w:val="0"/>
        <w:adjustRightInd w:val="0"/>
        <w:jc w:val="both"/>
        <w:rPr>
          <w:rFonts w:eastAsia="PMingLiU"/>
          <w:color w:val="000000"/>
          <w:lang w:val="sr-Latn-RS"/>
        </w:rPr>
      </w:pPr>
    </w:p>
    <w:p w14:paraId="5BE3725E" w14:textId="77777777" w:rsidR="00D26E8E" w:rsidRPr="00C83E6A" w:rsidRDefault="00096D7F" w:rsidP="001D6451">
      <w:pPr>
        <w:tabs>
          <w:tab w:val="clear" w:pos="567"/>
          <w:tab w:val="left" w:pos="0"/>
        </w:tabs>
        <w:autoSpaceDE w:val="0"/>
        <w:autoSpaceDN w:val="0"/>
        <w:adjustRightInd w:val="0"/>
        <w:jc w:val="both"/>
        <w:rPr>
          <w:rFonts w:eastAsia="PMingLiU"/>
          <w:lang w:val="sr-Latn-RS"/>
        </w:rPr>
      </w:pPr>
      <w:r w:rsidRPr="00C83E6A">
        <w:rPr>
          <w:lang w:val="sr-Latn-RS"/>
        </w:rPr>
        <w:t>Ukupno 1324 pacijenata je uključeno u OSLER studiju. Lijek Repatha primijenjen u dozi od 420 mg jednom mjesečno, značajno je smanjio LDL</w:t>
      </w:r>
      <w:r w:rsidRPr="00C83E6A">
        <w:rPr>
          <w:lang w:val="sr-Latn-RS"/>
        </w:rPr>
        <w:noBreakHyphen/>
        <w:t>C u odnosu na početnu vrijednost u 12. nedjelji i 52. nedjelji u poređenju sa kontrolom (nominalna p vrijednost &lt; 0,001). Efekti liječenja su održani kroz 272 nedjelje, kao što je pokazano smanjenjem vrijednosti LDL</w:t>
      </w:r>
      <w:r w:rsidRPr="00C83E6A">
        <w:rPr>
          <w:lang w:val="sr-Latn-RS"/>
        </w:rPr>
        <w:noBreakHyphen/>
        <w:t>C</w:t>
      </w:r>
      <w:r w:rsidRPr="00C83E6A">
        <w:rPr>
          <w:lang w:val="sr-Latn-RS"/>
        </w:rPr>
        <w:noBreakHyphen/>
        <w:t>a od 12. nedjelje u izvornoj studiji do 260. nedjelje u otvorenom produžetku studije. U OSLER</w:t>
      </w:r>
      <w:r w:rsidRPr="00C83E6A">
        <w:rPr>
          <w:lang w:val="sr-Latn-RS"/>
        </w:rPr>
        <w:noBreakHyphen/>
        <w:t>2 studiju ukupno je uključeno 3681 pacijenata. Lijek Repatha je značajno smanjio LDL</w:t>
      </w:r>
      <w:r w:rsidRPr="00C83E6A">
        <w:rPr>
          <w:lang w:val="sr-Latn-RS"/>
        </w:rPr>
        <w:noBreakHyphen/>
        <w:t>C u odnosu na početne vrijednosti u 12. i 48. nedjelji u poređenju sa kontrolom (nominalna p vrijednost &lt; 0,001). Efekti liječenja su održani, kao što je pokazano smanjenjem LDL</w:t>
      </w:r>
      <w:r w:rsidRPr="00C83E6A">
        <w:rPr>
          <w:lang w:val="sr-Latn-RS"/>
        </w:rPr>
        <w:noBreakHyphen/>
        <w:t>C</w:t>
      </w:r>
      <w:r w:rsidRPr="00C83E6A">
        <w:rPr>
          <w:lang w:val="sr-Latn-RS"/>
        </w:rPr>
        <w:noBreakHyphen/>
        <w:t>a od 12. do 104. nedjelje u otvorenom produžetku studije. Lijek Repatha je značajno smanjio TC, ApoB, non</w:t>
      </w:r>
      <w:r w:rsidRPr="00C83E6A">
        <w:rPr>
          <w:lang w:val="sr-Latn-RS"/>
        </w:rPr>
        <w:noBreakHyphen/>
        <w:t>HDL</w:t>
      </w:r>
      <w:r w:rsidRPr="00C83E6A">
        <w:rPr>
          <w:lang w:val="sr-Latn-RS"/>
        </w:rPr>
        <w:noBreakHyphen/>
        <w:t>C, TC/HDL-C, ApoB/ApoA1, VLDL-C, TG i Lp(a) i povećao HDL-C i ApoA1 u odnosu na početne vrijednosti do 52. nedjelje u OSLER i 48. nedjelje u OSLER-2 studiji, u poređenju sa kontrolom (nominalna p vrijednost &lt; 0,001). LDL</w:t>
      </w:r>
      <w:r w:rsidRPr="00C83E6A">
        <w:rPr>
          <w:lang w:val="sr-Latn-RS"/>
        </w:rPr>
        <w:noBreakHyphen/>
        <w:t>C i drugi lipidni parametri ponovo su postigli početne vrijednosti u okviru 12 nedjelja nakon prekida primjene lijeka Repatha na početku OSLER ili OSLER</w:t>
      </w:r>
      <w:r w:rsidRPr="00C83E6A">
        <w:rPr>
          <w:lang w:val="sr-Latn-RS"/>
        </w:rPr>
        <w:noBreakHyphen/>
        <w:t xml:space="preserve">2 studije, bez znakova povrata (engl. </w:t>
      </w:r>
      <w:r w:rsidRPr="00C83E6A">
        <w:rPr>
          <w:i/>
          <w:lang w:val="sr-Latn-RS"/>
        </w:rPr>
        <w:t>rebound</w:t>
      </w:r>
      <w:r w:rsidRPr="00C83E6A">
        <w:rPr>
          <w:lang w:val="sr-Latn-RS"/>
        </w:rPr>
        <w:t>).</w:t>
      </w:r>
    </w:p>
    <w:p w14:paraId="3FA767D9" w14:textId="77777777" w:rsidR="00D26E8E" w:rsidRPr="00C83E6A" w:rsidRDefault="00D26E8E" w:rsidP="001D6451">
      <w:pPr>
        <w:autoSpaceDE w:val="0"/>
        <w:autoSpaceDN w:val="0"/>
        <w:adjustRightInd w:val="0"/>
        <w:jc w:val="both"/>
        <w:rPr>
          <w:rFonts w:eastAsia="PMingLiU"/>
          <w:lang w:val="sr-Latn-RS"/>
        </w:rPr>
      </w:pPr>
    </w:p>
    <w:p w14:paraId="1447D8A9" w14:textId="77777777" w:rsidR="00D26E8E" w:rsidRPr="00C83E6A" w:rsidRDefault="00096D7F" w:rsidP="001D6451">
      <w:pPr>
        <w:jc w:val="both"/>
        <w:rPr>
          <w:rFonts w:eastAsia="PMingLiU"/>
          <w:lang w:val="sr-Latn-RS"/>
        </w:rPr>
      </w:pPr>
      <w:r w:rsidRPr="00C83E6A">
        <w:rPr>
          <w:lang w:val="sr-Latn-RS"/>
        </w:rPr>
        <w:t>TAUSSIG je bio multicentrični, otvoreni, 5</w:t>
      </w:r>
      <w:r w:rsidRPr="00C83E6A">
        <w:rPr>
          <w:lang w:val="sr-Latn-RS"/>
        </w:rPr>
        <w:noBreakHyphen/>
        <w:t xml:space="preserve">godišnji produžetak studije u toku, za procjenu dugoročne bezbjednosti i efikasnosti lijeka Repatha kao dodatka ostalim terapijama za snižavanja lipida, kod pacijenata sa teškom porodičnom hiperholesterolemijom (FH), uključujući homozigotnu porodičnu hiperholesterolemiju. U TAUSSIG studiju uključeno je ukupno 194 pacijenta sa teškom porodičnom hiperholesterolemijom (bez homozigotne porodične hiperholesterolemije) i 106 pacijenata sa homozigotnom porodičnom hiperholesterolemijom. Svi pacijenti u studiji su na početku liječeni sa </w:t>
      </w:r>
      <w:r w:rsidRPr="00C83E6A">
        <w:rPr>
          <w:lang w:val="sr-Latn-RS"/>
        </w:rPr>
        <w:lastRenderedPageBreak/>
        <w:t>420 mg lijeka Repatha jednom mjesečno, osim onih koji su prilikom uključivanja primali lipidnu aferezu tako da je kod njih započeto liječenje sa 420 mg lijeka Repatha jednom na svake 2 nedjelje. Učestalost doziranja kod pacijenata bez afereze mogla je da se titrira do 420 mg jednom na svake 2 nedjelje na osnovu odgovora LDL</w:t>
      </w:r>
      <w:r w:rsidRPr="00C83E6A">
        <w:rPr>
          <w:lang w:val="sr-Latn-RS"/>
        </w:rPr>
        <w:noBreakHyphen/>
        <w:t>C</w:t>
      </w:r>
      <w:r w:rsidRPr="00C83E6A">
        <w:rPr>
          <w:lang w:val="sr-Latn-RS"/>
        </w:rPr>
        <w:noBreakHyphen/>
        <w:t>a i PCSK9 vrijednosti. Dugoročna primjena lijeka Repatha je pokazala održani efekat liječenja, kao što je pokazano smanjenjem vrijednosti LDL</w:t>
      </w:r>
      <w:r w:rsidRPr="00C83E6A">
        <w:rPr>
          <w:lang w:val="sr-Latn-RS"/>
        </w:rPr>
        <w:noBreakHyphen/>
        <w:t>C</w:t>
      </w:r>
      <w:r w:rsidRPr="00C83E6A">
        <w:rPr>
          <w:lang w:val="sr-Latn-RS"/>
        </w:rPr>
        <w:noBreakHyphen/>
        <w:t>a kod pacijenata sa teškom porodičnom hiperholesterolemijom (bez homozigotne porodične hiperholesterolemije) (vidjeti Tabelu 5).</w:t>
      </w:r>
    </w:p>
    <w:p w14:paraId="234F834B" w14:textId="77777777" w:rsidR="00D26E8E" w:rsidRPr="00C83E6A" w:rsidRDefault="00D26E8E" w:rsidP="001D6451">
      <w:pPr>
        <w:autoSpaceDE w:val="0"/>
        <w:autoSpaceDN w:val="0"/>
        <w:adjustRightInd w:val="0"/>
        <w:jc w:val="both"/>
        <w:rPr>
          <w:rFonts w:eastAsia="PMingLiU"/>
          <w:lang w:val="sr-Latn-RS"/>
        </w:rPr>
      </w:pPr>
    </w:p>
    <w:p w14:paraId="3C6C9B0E" w14:textId="77777777" w:rsidR="00D26E8E" w:rsidRPr="00C83E6A" w:rsidRDefault="00096D7F" w:rsidP="001D6451">
      <w:pPr>
        <w:autoSpaceDE w:val="0"/>
        <w:autoSpaceDN w:val="0"/>
        <w:adjustRightInd w:val="0"/>
        <w:jc w:val="both"/>
        <w:rPr>
          <w:rFonts w:eastAsia="PMingLiU"/>
          <w:lang w:val="sr-Latn-RS"/>
        </w:rPr>
      </w:pPr>
      <w:r w:rsidRPr="00C83E6A">
        <w:rPr>
          <w:lang w:val="sr-Latn-RS"/>
        </w:rPr>
        <w:t>Promjene u ostalim lipidnim parametrima (TC, ApoB, non</w:t>
      </w:r>
      <w:r w:rsidRPr="00C83E6A">
        <w:rPr>
          <w:lang w:val="sr-Latn-RS"/>
        </w:rPr>
        <w:noBreakHyphen/>
        <w:t>HDL</w:t>
      </w:r>
      <w:r w:rsidRPr="00C83E6A">
        <w:rPr>
          <w:lang w:val="sr-Latn-RS"/>
        </w:rPr>
        <w:noBreakHyphen/>
        <w:t>C, TC/HDL</w:t>
      </w:r>
      <w:r w:rsidRPr="00C83E6A">
        <w:rPr>
          <w:lang w:val="sr-Latn-RS"/>
        </w:rPr>
        <w:noBreakHyphen/>
        <w:t>C i ApoB/ApoA1) su takođe pokazale održani efekat dugoročne primjene lijeka Repatha kod pacijenata sa teškom porodičnom hiperholesterolemijom (bez homozigotne porodične hiperholesterolemije).</w:t>
      </w:r>
    </w:p>
    <w:p w14:paraId="2D853484" w14:textId="77777777" w:rsidR="00D26E8E" w:rsidRPr="00C83E6A" w:rsidRDefault="00D26E8E" w:rsidP="001D6451">
      <w:pPr>
        <w:autoSpaceDE w:val="0"/>
        <w:autoSpaceDN w:val="0"/>
        <w:adjustRightInd w:val="0"/>
        <w:jc w:val="both"/>
        <w:rPr>
          <w:rFonts w:eastAsia="PMingLiU"/>
          <w:lang w:val="sr-Latn-RS"/>
        </w:rPr>
      </w:pPr>
    </w:p>
    <w:p w14:paraId="6A3C69EB" w14:textId="77777777" w:rsidR="00D26E8E" w:rsidRPr="00C83E6A" w:rsidRDefault="00096D7F" w:rsidP="001D6451">
      <w:pPr>
        <w:keepNext/>
        <w:autoSpaceDE w:val="0"/>
        <w:autoSpaceDN w:val="0"/>
        <w:adjustRightInd w:val="0"/>
        <w:jc w:val="both"/>
        <w:rPr>
          <w:rFonts w:eastAsia="PMingLiU"/>
          <w:b/>
          <w:bCs/>
          <w:lang w:val="sr-Latn-RS"/>
        </w:rPr>
      </w:pPr>
      <w:r w:rsidRPr="00C83E6A">
        <w:rPr>
          <w:b/>
          <w:lang w:val="sr-Latn-RS"/>
        </w:rPr>
        <w:t>Tabela 5: Efekat evolokumaba na vrijednost LDL</w:t>
      </w:r>
      <w:r w:rsidRPr="00C83E6A">
        <w:rPr>
          <w:b/>
          <w:lang w:val="sr-Latn-RS"/>
        </w:rPr>
        <w:noBreakHyphen/>
        <w:t>C</w:t>
      </w:r>
      <w:r w:rsidRPr="00C83E6A">
        <w:rPr>
          <w:b/>
          <w:lang w:val="sr-Latn-RS"/>
        </w:rPr>
        <w:noBreakHyphen/>
        <w:t>a kod pacijenata sa teškom porodičnom hiperholesterolemijom (bez homozigotne porodične hiperholesterolemije) – srednji procenat promjene od početnog nivoa do 216. nedjelje u otvorenom produžetku studije, OLE (engl. Open</w:t>
      </w:r>
      <w:r w:rsidRPr="00C83E6A">
        <w:rPr>
          <w:b/>
          <w:lang w:val="sr-Latn-RS"/>
        </w:rPr>
        <w:noBreakHyphen/>
        <w:t>Label Extension) (i povezani 95% CI)</w:t>
      </w:r>
    </w:p>
    <w:p w14:paraId="2AB83E87" w14:textId="77777777" w:rsidR="00096D7F" w:rsidRPr="00C83E6A" w:rsidRDefault="00096D7F" w:rsidP="001D6451">
      <w:pPr>
        <w:keepNext/>
        <w:autoSpaceDE w:val="0"/>
        <w:autoSpaceDN w:val="0"/>
        <w:adjustRightInd w:val="0"/>
        <w:jc w:val="both"/>
        <w:rPr>
          <w:rFonts w:eastAsia="PMingLiU"/>
          <w:u w:val="single"/>
          <w:lang w:val="sr-Latn-RS"/>
        </w:rPr>
      </w:pPr>
    </w:p>
    <w:tbl>
      <w:tblPr>
        <w:tblW w:w="4971" w:type="pct"/>
        <w:tblInd w:w="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68"/>
        <w:gridCol w:w="915"/>
        <w:gridCol w:w="915"/>
        <w:gridCol w:w="915"/>
        <w:gridCol w:w="915"/>
        <w:gridCol w:w="915"/>
        <w:gridCol w:w="1028"/>
        <w:gridCol w:w="1028"/>
        <w:gridCol w:w="1200"/>
      </w:tblGrid>
      <w:tr w:rsidR="006741ED" w:rsidRPr="00C83E6A" w14:paraId="41C224A1" w14:textId="77777777" w:rsidTr="001D6451">
        <w:trPr>
          <w:cantSplit/>
          <w:trHeight w:val="701"/>
          <w:tblHeader/>
        </w:trPr>
        <w:tc>
          <w:tcPr>
            <w:tcW w:w="1167" w:type="dxa"/>
            <w:shd w:val="clear" w:color="auto" w:fill="D9D9D9"/>
            <w:vAlign w:val="center"/>
          </w:tcPr>
          <w:p w14:paraId="794398EE" w14:textId="77777777" w:rsidR="00D26E8E" w:rsidRPr="00C83E6A" w:rsidRDefault="006741ED" w:rsidP="001D6451">
            <w:pPr>
              <w:pStyle w:val="Style10BoldCentered"/>
              <w:keepLines w:val="0"/>
              <w:jc w:val="both"/>
              <w:rPr>
                <w:rFonts w:eastAsia="PMingLiU"/>
                <w:sz w:val="22"/>
                <w:lang w:val="sr-Latn-RS"/>
              </w:rPr>
            </w:pPr>
            <w:r w:rsidRPr="00C83E6A">
              <w:rPr>
                <w:sz w:val="22"/>
                <w:lang w:val="sr-Latn-RS"/>
              </w:rPr>
              <w:t>Populacija pacijenata</w:t>
            </w:r>
          </w:p>
          <w:p w14:paraId="314EE523" w14:textId="77777777" w:rsidR="006741ED" w:rsidRPr="00C83E6A" w:rsidRDefault="006741ED" w:rsidP="001D6451">
            <w:pPr>
              <w:pStyle w:val="Style10BoldCentered"/>
              <w:keepLines w:val="0"/>
              <w:jc w:val="both"/>
              <w:rPr>
                <w:sz w:val="22"/>
                <w:lang w:val="sr-Latn-RS"/>
              </w:rPr>
            </w:pPr>
            <w:r w:rsidRPr="00C83E6A">
              <w:rPr>
                <w:sz w:val="22"/>
                <w:lang w:val="sr-Latn-RS"/>
              </w:rPr>
              <w:t>(N)</w:t>
            </w:r>
          </w:p>
        </w:tc>
        <w:tc>
          <w:tcPr>
            <w:tcW w:w="915" w:type="dxa"/>
            <w:shd w:val="clear" w:color="auto" w:fill="D9D9D9"/>
            <w:vAlign w:val="center"/>
          </w:tcPr>
          <w:p w14:paraId="3AB9412A" w14:textId="77777777" w:rsidR="00D26E8E" w:rsidRPr="00C83E6A" w:rsidRDefault="006741ED" w:rsidP="001D6451">
            <w:pPr>
              <w:pStyle w:val="Style10BoldCentered"/>
              <w:keepLines w:val="0"/>
              <w:jc w:val="both"/>
              <w:rPr>
                <w:rFonts w:eastAsia="PMingLiU"/>
                <w:sz w:val="22"/>
                <w:lang w:val="sr-Latn-RS"/>
              </w:rPr>
            </w:pPr>
            <w:r w:rsidRPr="00C83E6A">
              <w:rPr>
                <w:sz w:val="22"/>
                <w:lang w:val="sr-Latn-RS"/>
              </w:rPr>
              <w:t>OLE 12. </w:t>
            </w:r>
            <w:r w:rsidRPr="00C83E6A">
              <w:rPr>
                <w:sz w:val="22"/>
                <w:lang w:val="sr-Latn-RS"/>
              </w:rPr>
              <w:br/>
              <w:t>nedjelja</w:t>
            </w:r>
          </w:p>
          <w:p w14:paraId="7005ACBD" w14:textId="77777777" w:rsidR="006741ED" w:rsidRPr="00C83E6A" w:rsidRDefault="006741ED" w:rsidP="001D6451">
            <w:pPr>
              <w:pStyle w:val="Style10BoldCentered"/>
              <w:keepLines w:val="0"/>
              <w:jc w:val="both"/>
              <w:rPr>
                <w:sz w:val="22"/>
                <w:lang w:val="sr-Latn-RS"/>
              </w:rPr>
            </w:pPr>
            <w:r w:rsidRPr="00C83E6A">
              <w:rPr>
                <w:sz w:val="22"/>
                <w:lang w:val="sr-Latn-RS"/>
              </w:rPr>
              <w:t>(n = 191)</w:t>
            </w:r>
          </w:p>
        </w:tc>
        <w:tc>
          <w:tcPr>
            <w:tcW w:w="915" w:type="dxa"/>
            <w:shd w:val="clear" w:color="auto" w:fill="D9D9D9"/>
            <w:vAlign w:val="center"/>
          </w:tcPr>
          <w:p w14:paraId="24C0CF9D" w14:textId="77777777" w:rsidR="00D26E8E" w:rsidRPr="00C83E6A" w:rsidRDefault="006741ED" w:rsidP="001D6451">
            <w:pPr>
              <w:pStyle w:val="Style10BoldCentered"/>
              <w:keepLines w:val="0"/>
              <w:jc w:val="both"/>
              <w:rPr>
                <w:rFonts w:eastAsia="PMingLiU"/>
                <w:sz w:val="22"/>
                <w:lang w:val="sr-Latn-RS"/>
              </w:rPr>
            </w:pPr>
            <w:r w:rsidRPr="00C83E6A">
              <w:rPr>
                <w:sz w:val="22"/>
                <w:lang w:val="sr-Latn-RS"/>
              </w:rPr>
              <w:t>OLE 24. </w:t>
            </w:r>
            <w:r w:rsidRPr="00C83E6A">
              <w:rPr>
                <w:sz w:val="22"/>
                <w:lang w:val="sr-Latn-RS"/>
              </w:rPr>
              <w:br/>
              <w:t>nedjelja</w:t>
            </w:r>
          </w:p>
          <w:p w14:paraId="13E984BE" w14:textId="77777777" w:rsidR="006741ED" w:rsidRPr="00C83E6A" w:rsidRDefault="006741ED" w:rsidP="001D6451">
            <w:pPr>
              <w:pStyle w:val="Style10BoldCentered"/>
              <w:keepLines w:val="0"/>
              <w:jc w:val="both"/>
              <w:rPr>
                <w:sz w:val="22"/>
                <w:lang w:val="sr-Latn-RS"/>
              </w:rPr>
            </w:pPr>
            <w:r w:rsidRPr="00C83E6A">
              <w:rPr>
                <w:sz w:val="22"/>
                <w:lang w:val="sr-Latn-RS"/>
              </w:rPr>
              <w:t>(n = 191)</w:t>
            </w:r>
          </w:p>
        </w:tc>
        <w:tc>
          <w:tcPr>
            <w:tcW w:w="915" w:type="dxa"/>
            <w:shd w:val="clear" w:color="auto" w:fill="D9D9D9"/>
            <w:vAlign w:val="center"/>
          </w:tcPr>
          <w:p w14:paraId="0096242D" w14:textId="77777777" w:rsidR="00D26E8E" w:rsidRPr="00C83E6A" w:rsidRDefault="006741ED" w:rsidP="001D6451">
            <w:pPr>
              <w:pStyle w:val="Style10BoldCentered"/>
              <w:keepLines w:val="0"/>
              <w:jc w:val="both"/>
              <w:rPr>
                <w:rFonts w:eastAsia="PMingLiU"/>
                <w:sz w:val="22"/>
                <w:lang w:val="sr-Latn-RS"/>
              </w:rPr>
            </w:pPr>
            <w:r w:rsidRPr="00C83E6A">
              <w:rPr>
                <w:sz w:val="22"/>
                <w:lang w:val="sr-Latn-RS"/>
              </w:rPr>
              <w:t>OLE 36. </w:t>
            </w:r>
            <w:r w:rsidRPr="00C83E6A">
              <w:rPr>
                <w:sz w:val="22"/>
                <w:lang w:val="sr-Latn-RS"/>
              </w:rPr>
              <w:br/>
              <w:t>nedjelja</w:t>
            </w:r>
          </w:p>
          <w:p w14:paraId="1AF679D6" w14:textId="77777777" w:rsidR="006741ED" w:rsidRPr="00C83E6A" w:rsidRDefault="006741ED" w:rsidP="001D6451">
            <w:pPr>
              <w:pStyle w:val="Style10BoldCentered"/>
              <w:keepLines w:val="0"/>
              <w:jc w:val="both"/>
              <w:rPr>
                <w:sz w:val="22"/>
                <w:lang w:val="sr-Latn-RS"/>
              </w:rPr>
            </w:pPr>
            <w:r w:rsidRPr="00C83E6A">
              <w:rPr>
                <w:sz w:val="22"/>
                <w:lang w:val="sr-Latn-RS"/>
              </w:rPr>
              <w:t>(n = 187)</w:t>
            </w:r>
          </w:p>
        </w:tc>
        <w:tc>
          <w:tcPr>
            <w:tcW w:w="915" w:type="dxa"/>
            <w:shd w:val="clear" w:color="auto" w:fill="D9D9D9"/>
            <w:vAlign w:val="center"/>
          </w:tcPr>
          <w:p w14:paraId="7CACD604" w14:textId="77777777" w:rsidR="00D26E8E" w:rsidRPr="00C83E6A" w:rsidRDefault="006741ED" w:rsidP="001D6451">
            <w:pPr>
              <w:pStyle w:val="Style10BoldCentered"/>
              <w:keepLines w:val="0"/>
              <w:jc w:val="both"/>
              <w:rPr>
                <w:rFonts w:eastAsia="PMingLiU"/>
                <w:sz w:val="22"/>
                <w:lang w:val="sr-Latn-RS"/>
              </w:rPr>
            </w:pPr>
            <w:r w:rsidRPr="00C83E6A">
              <w:rPr>
                <w:sz w:val="22"/>
                <w:lang w:val="sr-Latn-RS"/>
              </w:rPr>
              <w:t>OLE 48. </w:t>
            </w:r>
            <w:r w:rsidRPr="00C83E6A">
              <w:rPr>
                <w:sz w:val="22"/>
                <w:lang w:val="sr-Latn-RS"/>
              </w:rPr>
              <w:br/>
              <w:t>nedjelja</w:t>
            </w:r>
          </w:p>
          <w:p w14:paraId="0D9B438A" w14:textId="77777777" w:rsidR="006741ED" w:rsidRPr="00C83E6A" w:rsidRDefault="006741ED" w:rsidP="001D6451">
            <w:pPr>
              <w:pStyle w:val="Style10BoldCentered"/>
              <w:keepLines w:val="0"/>
              <w:jc w:val="both"/>
              <w:rPr>
                <w:sz w:val="22"/>
                <w:lang w:val="sr-Latn-RS"/>
              </w:rPr>
            </w:pPr>
            <w:r w:rsidRPr="00C83E6A">
              <w:rPr>
                <w:sz w:val="22"/>
                <w:lang w:val="sr-Latn-RS"/>
              </w:rPr>
              <w:t>(n = 187)</w:t>
            </w:r>
          </w:p>
        </w:tc>
        <w:tc>
          <w:tcPr>
            <w:tcW w:w="915" w:type="dxa"/>
            <w:shd w:val="clear" w:color="auto" w:fill="D9D9D9"/>
            <w:vAlign w:val="center"/>
          </w:tcPr>
          <w:p w14:paraId="187ACC8B" w14:textId="77777777" w:rsidR="00D26E8E" w:rsidRPr="00C83E6A" w:rsidRDefault="006741ED" w:rsidP="001D6451">
            <w:pPr>
              <w:pStyle w:val="Style10BoldCentered"/>
              <w:keepLines w:val="0"/>
              <w:jc w:val="both"/>
              <w:rPr>
                <w:rFonts w:eastAsia="PMingLiU"/>
                <w:sz w:val="22"/>
                <w:lang w:val="sr-Latn-RS"/>
              </w:rPr>
            </w:pPr>
            <w:r w:rsidRPr="00C83E6A">
              <w:rPr>
                <w:sz w:val="22"/>
                <w:lang w:val="sr-Latn-RS"/>
              </w:rPr>
              <w:t>OLE 96. </w:t>
            </w:r>
            <w:r w:rsidRPr="00C83E6A">
              <w:rPr>
                <w:sz w:val="22"/>
                <w:lang w:val="sr-Latn-RS"/>
              </w:rPr>
              <w:br/>
              <w:t>nedjelja</w:t>
            </w:r>
          </w:p>
          <w:p w14:paraId="3A05A7F2" w14:textId="77777777" w:rsidR="006741ED" w:rsidRPr="00C83E6A" w:rsidRDefault="006741ED" w:rsidP="001D6451">
            <w:pPr>
              <w:pStyle w:val="Style10BoldCentered"/>
              <w:keepLines w:val="0"/>
              <w:jc w:val="both"/>
              <w:rPr>
                <w:sz w:val="22"/>
                <w:lang w:val="sr-Latn-RS"/>
              </w:rPr>
            </w:pPr>
            <w:r w:rsidRPr="00C83E6A">
              <w:rPr>
                <w:sz w:val="22"/>
                <w:lang w:val="sr-Latn-RS"/>
              </w:rPr>
              <w:t>(n = 180)</w:t>
            </w:r>
          </w:p>
        </w:tc>
        <w:tc>
          <w:tcPr>
            <w:tcW w:w="1028" w:type="dxa"/>
            <w:shd w:val="clear" w:color="auto" w:fill="D9D9D9"/>
            <w:vAlign w:val="center"/>
          </w:tcPr>
          <w:p w14:paraId="0608B247" w14:textId="77777777" w:rsidR="00D26E8E" w:rsidRPr="00C83E6A" w:rsidRDefault="006741ED" w:rsidP="001D6451">
            <w:pPr>
              <w:pStyle w:val="Style10BoldCentered"/>
              <w:keepLines w:val="0"/>
              <w:jc w:val="both"/>
              <w:rPr>
                <w:rFonts w:eastAsia="PMingLiU"/>
                <w:sz w:val="22"/>
                <w:lang w:val="sr-Latn-RS"/>
              </w:rPr>
            </w:pPr>
            <w:r w:rsidRPr="00C83E6A">
              <w:rPr>
                <w:sz w:val="22"/>
                <w:lang w:val="sr-Latn-RS"/>
              </w:rPr>
              <w:t>OLE 144. </w:t>
            </w:r>
            <w:r w:rsidRPr="00C83E6A">
              <w:rPr>
                <w:sz w:val="22"/>
                <w:lang w:val="sr-Latn-RS"/>
              </w:rPr>
              <w:br/>
              <w:t>nedjelja</w:t>
            </w:r>
          </w:p>
          <w:p w14:paraId="16AC0C96" w14:textId="77777777" w:rsidR="006741ED" w:rsidRPr="00C83E6A" w:rsidRDefault="006741ED" w:rsidP="001D6451">
            <w:pPr>
              <w:pStyle w:val="Style10BoldCentered"/>
              <w:keepLines w:val="0"/>
              <w:jc w:val="both"/>
              <w:rPr>
                <w:sz w:val="22"/>
                <w:lang w:val="sr-Latn-RS"/>
              </w:rPr>
            </w:pPr>
            <w:r w:rsidRPr="00C83E6A">
              <w:rPr>
                <w:sz w:val="22"/>
                <w:lang w:val="sr-Latn-RS"/>
              </w:rPr>
              <w:t>(n = 180)</w:t>
            </w:r>
          </w:p>
        </w:tc>
        <w:tc>
          <w:tcPr>
            <w:tcW w:w="1028" w:type="dxa"/>
            <w:shd w:val="clear" w:color="auto" w:fill="D9D9D9"/>
            <w:vAlign w:val="center"/>
          </w:tcPr>
          <w:p w14:paraId="616B9235" w14:textId="77777777" w:rsidR="00D26E8E" w:rsidRPr="00C83E6A" w:rsidRDefault="006741ED" w:rsidP="001D6451">
            <w:pPr>
              <w:pStyle w:val="Style10BoldCentered"/>
              <w:keepLines w:val="0"/>
              <w:jc w:val="both"/>
              <w:rPr>
                <w:rFonts w:eastAsia="PMingLiU"/>
                <w:sz w:val="22"/>
                <w:lang w:val="sr-Latn-RS"/>
              </w:rPr>
            </w:pPr>
            <w:r w:rsidRPr="00C83E6A">
              <w:rPr>
                <w:sz w:val="22"/>
                <w:lang w:val="sr-Latn-RS"/>
              </w:rPr>
              <w:t>OLE 192. </w:t>
            </w:r>
            <w:r w:rsidRPr="00C83E6A">
              <w:rPr>
                <w:sz w:val="22"/>
                <w:lang w:val="sr-Latn-RS"/>
              </w:rPr>
              <w:br/>
              <w:t>nedjelja</w:t>
            </w:r>
          </w:p>
          <w:p w14:paraId="76D4F289" w14:textId="77777777" w:rsidR="006741ED" w:rsidRPr="00C83E6A" w:rsidRDefault="006741ED" w:rsidP="001D6451">
            <w:pPr>
              <w:pStyle w:val="Style10BoldCentered"/>
              <w:keepLines w:val="0"/>
              <w:jc w:val="both"/>
              <w:rPr>
                <w:sz w:val="22"/>
                <w:lang w:val="sr-Latn-RS"/>
              </w:rPr>
            </w:pPr>
            <w:r w:rsidRPr="00C83E6A">
              <w:rPr>
                <w:sz w:val="22"/>
                <w:lang w:val="sr-Latn-RS"/>
              </w:rPr>
              <w:t>(n = 147)</w:t>
            </w:r>
          </w:p>
        </w:tc>
        <w:tc>
          <w:tcPr>
            <w:tcW w:w="1200" w:type="dxa"/>
            <w:shd w:val="clear" w:color="auto" w:fill="D9D9D9"/>
            <w:vAlign w:val="center"/>
          </w:tcPr>
          <w:p w14:paraId="62697890" w14:textId="77777777" w:rsidR="00D26E8E" w:rsidRPr="00C83E6A" w:rsidRDefault="006741ED" w:rsidP="001D6451">
            <w:pPr>
              <w:pStyle w:val="Style10BoldCentered"/>
              <w:keepLines w:val="0"/>
              <w:jc w:val="both"/>
              <w:rPr>
                <w:rFonts w:eastAsia="PMingLiU"/>
                <w:sz w:val="22"/>
                <w:lang w:val="sr-Latn-RS"/>
              </w:rPr>
            </w:pPr>
            <w:r w:rsidRPr="00C83E6A">
              <w:rPr>
                <w:sz w:val="22"/>
                <w:lang w:val="sr-Latn-RS"/>
              </w:rPr>
              <w:t>OLE 216. </w:t>
            </w:r>
            <w:r w:rsidRPr="00C83E6A">
              <w:rPr>
                <w:sz w:val="22"/>
                <w:lang w:val="sr-Latn-RS"/>
              </w:rPr>
              <w:br/>
              <w:t>nedjelja</w:t>
            </w:r>
          </w:p>
          <w:p w14:paraId="034323D4" w14:textId="77777777" w:rsidR="006741ED" w:rsidRPr="00C83E6A" w:rsidRDefault="006741ED" w:rsidP="001D6451">
            <w:pPr>
              <w:pStyle w:val="Style10BoldCentered"/>
              <w:keepLines w:val="0"/>
              <w:jc w:val="both"/>
              <w:rPr>
                <w:sz w:val="22"/>
                <w:lang w:val="sr-Latn-RS"/>
              </w:rPr>
            </w:pPr>
            <w:r w:rsidRPr="00C83E6A">
              <w:rPr>
                <w:sz w:val="22"/>
                <w:lang w:val="sr-Latn-RS"/>
              </w:rPr>
              <w:t>(n = 96)</w:t>
            </w:r>
          </w:p>
        </w:tc>
      </w:tr>
      <w:tr w:rsidR="006741ED" w:rsidRPr="00C83E6A" w14:paraId="670BB5EA" w14:textId="77777777" w:rsidTr="001D6451">
        <w:trPr>
          <w:cantSplit/>
          <w:trHeight w:val="2112"/>
        </w:trPr>
        <w:tc>
          <w:tcPr>
            <w:tcW w:w="1167" w:type="dxa"/>
            <w:shd w:val="clear" w:color="auto" w:fill="auto"/>
            <w:vAlign w:val="center"/>
          </w:tcPr>
          <w:p w14:paraId="5003F933" w14:textId="77777777" w:rsidR="006741ED" w:rsidRPr="00C83E6A" w:rsidRDefault="006741ED" w:rsidP="001D6451">
            <w:pPr>
              <w:pStyle w:val="Style10PtCenter"/>
              <w:keepLines w:val="0"/>
              <w:spacing w:before="0" w:after="0"/>
              <w:jc w:val="left"/>
              <w:rPr>
                <w:sz w:val="22"/>
                <w:lang w:val="sr-Latn-RS"/>
              </w:rPr>
            </w:pPr>
            <w:r w:rsidRPr="00C83E6A">
              <w:rPr>
                <w:sz w:val="22"/>
                <w:lang w:val="sr-Latn-RS"/>
              </w:rPr>
              <w:t>Teška porodična hiperholeste</w:t>
            </w:r>
            <w:r w:rsidRPr="00C83E6A">
              <w:rPr>
                <w:sz w:val="22"/>
                <w:lang w:val="sr-Latn-RS"/>
              </w:rPr>
              <w:softHyphen/>
              <w:t>rolemija (bez homozigotne porodične hiperholeste</w:t>
            </w:r>
            <w:r w:rsidRPr="00C83E6A">
              <w:rPr>
                <w:sz w:val="22"/>
                <w:lang w:val="sr-Latn-RS"/>
              </w:rPr>
              <w:softHyphen/>
              <w:t>rolemije) (N = 194)</w:t>
            </w:r>
          </w:p>
        </w:tc>
        <w:tc>
          <w:tcPr>
            <w:tcW w:w="915" w:type="dxa"/>
            <w:shd w:val="clear" w:color="auto" w:fill="auto"/>
            <w:vAlign w:val="center"/>
          </w:tcPr>
          <w:p w14:paraId="437BF9A9" w14:textId="77777777" w:rsidR="00D26E8E" w:rsidRPr="00C83E6A" w:rsidRDefault="006741ED" w:rsidP="003F493E">
            <w:pPr>
              <w:pStyle w:val="Style10PtCenter"/>
              <w:keepLines w:val="0"/>
              <w:spacing w:before="0" w:after="0"/>
              <w:rPr>
                <w:rFonts w:eastAsia="PMingLiU"/>
                <w:sz w:val="22"/>
                <w:lang w:val="sr-Latn-RS"/>
              </w:rPr>
            </w:pPr>
            <w:r w:rsidRPr="00C83E6A">
              <w:rPr>
                <w:sz w:val="22"/>
                <w:lang w:val="sr-Latn-RS"/>
              </w:rPr>
              <w:t>-54,9</w:t>
            </w:r>
          </w:p>
          <w:p w14:paraId="0625A3F6" w14:textId="77777777" w:rsidR="006741ED" w:rsidRPr="00C83E6A" w:rsidRDefault="006741ED" w:rsidP="003F493E">
            <w:pPr>
              <w:pStyle w:val="Style8PtCenter"/>
              <w:keepLines w:val="0"/>
              <w:spacing w:before="0"/>
              <w:rPr>
                <w:sz w:val="22"/>
                <w:szCs w:val="22"/>
                <w:lang w:val="sr-Latn-RS"/>
              </w:rPr>
            </w:pPr>
            <w:r w:rsidRPr="00C83E6A">
              <w:rPr>
                <w:sz w:val="22"/>
                <w:szCs w:val="22"/>
                <w:lang w:val="sr-Latn-RS"/>
              </w:rPr>
              <w:t>(-57,4; -52,4)</w:t>
            </w:r>
          </w:p>
        </w:tc>
        <w:tc>
          <w:tcPr>
            <w:tcW w:w="915" w:type="dxa"/>
            <w:shd w:val="clear" w:color="auto" w:fill="auto"/>
            <w:vAlign w:val="center"/>
          </w:tcPr>
          <w:p w14:paraId="6D0FC67E" w14:textId="77777777" w:rsidR="00D26E8E" w:rsidRPr="00C83E6A" w:rsidRDefault="006741ED" w:rsidP="003C3A69">
            <w:pPr>
              <w:pStyle w:val="Style10PtCenter"/>
              <w:keepLines w:val="0"/>
              <w:spacing w:before="0" w:after="0"/>
              <w:rPr>
                <w:rFonts w:eastAsia="PMingLiU"/>
                <w:sz w:val="22"/>
                <w:lang w:val="sr-Latn-RS"/>
              </w:rPr>
            </w:pPr>
            <w:r w:rsidRPr="00C83E6A">
              <w:rPr>
                <w:sz w:val="22"/>
                <w:lang w:val="sr-Latn-RS"/>
              </w:rPr>
              <w:t>-54,1</w:t>
            </w:r>
          </w:p>
          <w:p w14:paraId="113EBD79" w14:textId="77777777" w:rsidR="006741ED" w:rsidRPr="00C83E6A" w:rsidRDefault="006741ED" w:rsidP="003C3A69">
            <w:pPr>
              <w:pStyle w:val="Style8PtCenter"/>
              <w:keepLines w:val="0"/>
              <w:spacing w:before="0"/>
              <w:rPr>
                <w:sz w:val="22"/>
                <w:szCs w:val="22"/>
                <w:lang w:val="sr-Latn-RS"/>
              </w:rPr>
            </w:pPr>
            <w:r w:rsidRPr="00C83E6A">
              <w:rPr>
                <w:sz w:val="22"/>
                <w:szCs w:val="22"/>
                <w:lang w:val="sr-Latn-RS"/>
              </w:rPr>
              <w:t>(-57,0; -51,3)</w:t>
            </w:r>
          </w:p>
        </w:tc>
        <w:tc>
          <w:tcPr>
            <w:tcW w:w="915" w:type="dxa"/>
            <w:shd w:val="clear" w:color="auto" w:fill="auto"/>
            <w:vAlign w:val="center"/>
          </w:tcPr>
          <w:p w14:paraId="2EF77B70" w14:textId="77777777" w:rsidR="00D26E8E" w:rsidRPr="00C83E6A" w:rsidRDefault="006741ED">
            <w:pPr>
              <w:pStyle w:val="Style10PtCenter"/>
              <w:keepLines w:val="0"/>
              <w:spacing w:before="0" w:after="0"/>
              <w:rPr>
                <w:rFonts w:eastAsia="PMingLiU"/>
                <w:sz w:val="22"/>
                <w:lang w:val="sr-Latn-RS"/>
              </w:rPr>
            </w:pPr>
            <w:r w:rsidRPr="00C83E6A">
              <w:rPr>
                <w:sz w:val="22"/>
                <w:lang w:val="sr-Latn-RS"/>
              </w:rPr>
              <w:t>-54,7</w:t>
            </w:r>
          </w:p>
          <w:p w14:paraId="67473F2B" w14:textId="77777777" w:rsidR="006741ED" w:rsidRPr="00C83E6A" w:rsidRDefault="006741ED">
            <w:pPr>
              <w:pStyle w:val="Style8PtCenter"/>
              <w:keepLines w:val="0"/>
              <w:spacing w:before="0"/>
              <w:rPr>
                <w:sz w:val="22"/>
                <w:szCs w:val="22"/>
                <w:lang w:val="sr-Latn-RS"/>
              </w:rPr>
            </w:pPr>
            <w:r w:rsidRPr="00C83E6A">
              <w:rPr>
                <w:sz w:val="22"/>
                <w:szCs w:val="22"/>
                <w:lang w:val="sr-Latn-RS"/>
              </w:rPr>
              <w:t>(-57,4; -52,0)</w:t>
            </w:r>
          </w:p>
        </w:tc>
        <w:tc>
          <w:tcPr>
            <w:tcW w:w="915" w:type="dxa"/>
            <w:shd w:val="clear" w:color="auto" w:fill="auto"/>
            <w:vAlign w:val="center"/>
          </w:tcPr>
          <w:p w14:paraId="334F3967" w14:textId="77777777" w:rsidR="00D26E8E" w:rsidRPr="00C83E6A" w:rsidRDefault="006741ED">
            <w:pPr>
              <w:pStyle w:val="Style10PtCenter"/>
              <w:keepLines w:val="0"/>
              <w:spacing w:before="0" w:after="0"/>
              <w:rPr>
                <w:rFonts w:eastAsia="PMingLiU"/>
                <w:sz w:val="22"/>
                <w:lang w:val="sr-Latn-RS"/>
              </w:rPr>
            </w:pPr>
            <w:r w:rsidRPr="00C83E6A">
              <w:rPr>
                <w:sz w:val="22"/>
                <w:lang w:val="sr-Latn-RS"/>
              </w:rPr>
              <w:t>-56,9</w:t>
            </w:r>
          </w:p>
          <w:p w14:paraId="0159E3A9" w14:textId="77777777" w:rsidR="006741ED" w:rsidRPr="00C83E6A" w:rsidRDefault="006741ED">
            <w:pPr>
              <w:pStyle w:val="Style8PtCenter"/>
              <w:keepLines w:val="0"/>
              <w:spacing w:before="0"/>
              <w:rPr>
                <w:sz w:val="22"/>
                <w:szCs w:val="22"/>
                <w:lang w:val="sr-Latn-RS"/>
              </w:rPr>
            </w:pPr>
            <w:r w:rsidRPr="00C83E6A">
              <w:rPr>
                <w:sz w:val="22"/>
                <w:szCs w:val="22"/>
                <w:lang w:val="sr-Latn-RS"/>
              </w:rPr>
              <w:t>(-59,7; -54,1)</w:t>
            </w:r>
          </w:p>
        </w:tc>
        <w:tc>
          <w:tcPr>
            <w:tcW w:w="915" w:type="dxa"/>
            <w:shd w:val="clear" w:color="auto" w:fill="auto"/>
            <w:vAlign w:val="center"/>
          </w:tcPr>
          <w:p w14:paraId="707F898E" w14:textId="77777777" w:rsidR="00D26E8E" w:rsidRPr="00C83E6A" w:rsidRDefault="006741ED">
            <w:pPr>
              <w:pStyle w:val="Style10PtCenter"/>
              <w:keepLines w:val="0"/>
              <w:spacing w:before="0" w:after="0"/>
              <w:rPr>
                <w:rFonts w:eastAsia="PMingLiU"/>
                <w:sz w:val="22"/>
                <w:lang w:val="sr-Latn-RS"/>
              </w:rPr>
            </w:pPr>
            <w:r w:rsidRPr="00C83E6A">
              <w:rPr>
                <w:sz w:val="22"/>
                <w:lang w:val="sr-Latn-RS"/>
              </w:rPr>
              <w:t>-53,3</w:t>
            </w:r>
          </w:p>
          <w:p w14:paraId="67CD1182" w14:textId="77777777" w:rsidR="006741ED" w:rsidRPr="00C83E6A" w:rsidRDefault="006741ED">
            <w:pPr>
              <w:pStyle w:val="Style8PtCenter"/>
              <w:keepLines w:val="0"/>
              <w:spacing w:before="0"/>
              <w:rPr>
                <w:sz w:val="22"/>
                <w:szCs w:val="22"/>
                <w:lang w:val="sr-Latn-RS"/>
              </w:rPr>
            </w:pPr>
            <w:r w:rsidRPr="00C83E6A">
              <w:rPr>
                <w:sz w:val="22"/>
                <w:szCs w:val="22"/>
                <w:lang w:val="sr-Latn-RS"/>
              </w:rPr>
              <w:t>(-56,9; -49,7)</w:t>
            </w:r>
          </w:p>
        </w:tc>
        <w:tc>
          <w:tcPr>
            <w:tcW w:w="1028" w:type="dxa"/>
            <w:shd w:val="clear" w:color="auto" w:fill="auto"/>
            <w:vAlign w:val="center"/>
          </w:tcPr>
          <w:p w14:paraId="41259672" w14:textId="77777777" w:rsidR="00D26E8E" w:rsidRPr="00C83E6A" w:rsidRDefault="006741ED">
            <w:pPr>
              <w:pStyle w:val="Style10PtCenter"/>
              <w:keepLines w:val="0"/>
              <w:spacing w:before="0" w:after="0"/>
              <w:rPr>
                <w:rFonts w:eastAsia="PMingLiU"/>
                <w:sz w:val="22"/>
                <w:lang w:val="sr-Latn-RS"/>
              </w:rPr>
            </w:pPr>
            <w:r w:rsidRPr="00C83E6A">
              <w:rPr>
                <w:sz w:val="22"/>
                <w:lang w:val="sr-Latn-RS"/>
              </w:rPr>
              <w:t>-53,5</w:t>
            </w:r>
          </w:p>
          <w:p w14:paraId="5A0974AB" w14:textId="77777777" w:rsidR="006741ED" w:rsidRPr="00C83E6A" w:rsidRDefault="006741ED">
            <w:pPr>
              <w:pStyle w:val="Style8PtCenter"/>
              <w:keepLines w:val="0"/>
              <w:spacing w:before="0"/>
              <w:rPr>
                <w:sz w:val="22"/>
                <w:szCs w:val="22"/>
                <w:lang w:val="sr-Latn-RS"/>
              </w:rPr>
            </w:pPr>
            <w:r w:rsidRPr="00C83E6A">
              <w:rPr>
                <w:sz w:val="22"/>
                <w:szCs w:val="22"/>
                <w:lang w:val="sr-Latn-RS"/>
              </w:rPr>
              <w:t>(-56,7; -50,2)</w:t>
            </w:r>
          </w:p>
        </w:tc>
        <w:tc>
          <w:tcPr>
            <w:tcW w:w="1028" w:type="dxa"/>
            <w:shd w:val="clear" w:color="auto" w:fill="auto"/>
            <w:vAlign w:val="center"/>
          </w:tcPr>
          <w:p w14:paraId="37CDBB7C" w14:textId="77777777" w:rsidR="00D26E8E" w:rsidRPr="00C83E6A" w:rsidRDefault="006741ED">
            <w:pPr>
              <w:pStyle w:val="Style10PtCenter"/>
              <w:keepLines w:val="0"/>
              <w:spacing w:before="0" w:after="0"/>
              <w:rPr>
                <w:rFonts w:eastAsia="PMingLiU"/>
                <w:sz w:val="22"/>
                <w:lang w:val="sr-Latn-RS"/>
              </w:rPr>
            </w:pPr>
            <w:r w:rsidRPr="00C83E6A">
              <w:rPr>
                <w:sz w:val="22"/>
                <w:lang w:val="sr-Latn-RS"/>
              </w:rPr>
              <w:t>-48,3</w:t>
            </w:r>
          </w:p>
          <w:p w14:paraId="6A9E4515" w14:textId="77777777" w:rsidR="006741ED" w:rsidRPr="00C83E6A" w:rsidRDefault="006741ED">
            <w:pPr>
              <w:pStyle w:val="Style8PtCenter"/>
              <w:keepLines w:val="0"/>
              <w:spacing w:before="0"/>
              <w:rPr>
                <w:sz w:val="22"/>
                <w:szCs w:val="22"/>
                <w:lang w:val="sr-Latn-RS"/>
              </w:rPr>
            </w:pPr>
            <w:r w:rsidRPr="00C83E6A">
              <w:rPr>
                <w:sz w:val="22"/>
                <w:szCs w:val="22"/>
                <w:lang w:val="sr-Latn-RS"/>
              </w:rPr>
              <w:t>(-52,9; -43,7)</w:t>
            </w:r>
          </w:p>
        </w:tc>
        <w:tc>
          <w:tcPr>
            <w:tcW w:w="1200" w:type="dxa"/>
            <w:shd w:val="clear" w:color="auto" w:fill="auto"/>
            <w:vAlign w:val="center"/>
          </w:tcPr>
          <w:p w14:paraId="54CD29F1" w14:textId="77777777" w:rsidR="00D26E8E" w:rsidRPr="00C83E6A" w:rsidRDefault="006741ED">
            <w:pPr>
              <w:pStyle w:val="Style10PtCenter"/>
              <w:keepLines w:val="0"/>
              <w:spacing w:before="0" w:after="0"/>
              <w:rPr>
                <w:rFonts w:eastAsia="PMingLiU"/>
                <w:sz w:val="22"/>
                <w:lang w:val="sr-Latn-RS"/>
              </w:rPr>
            </w:pPr>
            <w:r w:rsidRPr="00C83E6A">
              <w:rPr>
                <w:sz w:val="22"/>
                <w:lang w:val="sr-Latn-RS"/>
              </w:rPr>
              <w:t>-47,2</w:t>
            </w:r>
          </w:p>
          <w:p w14:paraId="5DCEF14B" w14:textId="77777777" w:rsidR="006741ED" w:rsidRPr="00C83E6A" w:rsidRDefault="006741ED">
            <w:pPr>
              <w:pStyle w:val="Style8PtCenter"/>
              <w:keepLines w:val="0"/>
              <w:spacing w:before="0"/>
              <w:rPr>
                <w:sz w:val="22"/>
                <w:szCs w:val="22"/>
                <w:lang w:val="sr-Latn-RS"/>
              </w:rPr>
            </w:pPr>
            <w:r w:rsidRPr="00C83E6A">
              <w:rPr>
                <w:sz w:val="22"/>
                <w:szCs w:val="22"/>
                <w:lang w:val="sr-Latn-RS"/>
              </w:rPr>
              <w:t>(-52,8; -41,5)</w:t>
            </w:r>
          </w:p>
        </w:tc>
      </w:tr>
    </w:tbl>
    <w:p w14:paraId="474ED2E2" w14:textId="77777777" w:rsidR="00D26E8E" w:rsidRPr="00C83E6A" w:rsidRDefault="00096D7F" w:rsidP="001D6451">
      <w:pPr>
        <w:autoSpaceDE w:val="0"/>
        <w:autoSpaceDN w:val="0"/>
        <w:adjustRightInd w:val="0"/>
        <w:jc w:val="both"/>
        <w:rPr>
          <w:rFonts w:eastAsia="PMingLiU"/>
          <w:lang w:val="sr-Latn-RS"/>
        </w:rPr>
      </w:pPr>
      <w:r w:rsidRPr="00C83E6A">
        <w:rPr>
          <w:lang w:val="sr-Latn-RS"/>
        </w:rPr>
        <w:t>Legenda: OLE = otvoreni produžetak studije, N (n) = broj procjenjivih pacijenata (N) i pacijenata sa uočenim LDL-C vrijednostima mjerenim pri specifičnim zakazanim posjetama (n) u setu konačne analize za tešku porodičnu hiperholesterolemiju (bez homozigotne porodične hiperholesterolemije).</w:t>
      </w:r>
    </w:p>
    <w:p w14:paraId="35FD1220" w14:textId="77777777" w:rsidR="00152F1E" w:rsidRPr="00C83E6A" w:rsidRDefault="00152F1E" w:rsidP="001D6451">
      <w:pPr>
        <w:autoSpaceDE w:val="0"/>
        <w:autoSpaceDN w:val="0"/>
        <w:adjustRightInd w:val="0"/>
        <w:jc w:val="both"/>
        <w:rPr>
          <w:lang w:val="sr-Latn-RS"/>
        </w:rPr>
      </w:pPr>
    </w:p>
    <w:p w14:paraId="48AD304A" w14:textId="77777777" w:rsidR="00152F1E" w:rsidRPr="00C83E6A" w:rsidRDefault="00152F1E" w:rsidP="001D6451">
      <w:pPr>
        <w:pStyle w:val="Style11ptunderline"/>
        <w:keepNext/>
        <w:jc w:val="both"/>
        <w:rPr>
          <w:lang w:val="sr-Latn-RS"/>
        </w:rPr>
      </w:pPr>
      <w:r w:rsidRPr="00C83E6A">
        <w:rPr>
          <w:lang w:val="sr-Latn-RS"/>
        </w:rPr>
        <w:t>Liječenje heterozigotne porodične hiperholesterolemije kod pedijatrijskih pacijenata</w:t>
      </w:r>
    </w:p>
    <w:p w14:paraId="3722587B" w14:textId="77777777" w:rsidR="00152F1E" w:rsidRPr="00C83E6A" w:rsidRDefault="00152F1E" w:rsidP="001D6451">
      <w:pPr>
        <w:keepNext/>
        <w:autoSpaceDE w:val="0"/>
        <w:autoSpaceDN w:val="0"/>
        <w:adjustRightInd w:val="0"/>
        <w:jc w:val="both"/>
        <w:rPr>
          <w:lang w:val="sr-Latn-RS"/>
        </w:rPr>
      </w:pPr>
    </w:p>
    <w:p w14:paraId="3BA9391B" w14:textId="77777777" w:rsidR="00152F1E" w:rsidRPr="00C83E6A" w:rsidRDefault="00152F1E" w:rsidP="001D6451">
      <w:pPr>
        <w:jc w:val="both"/>
        <w:rPr>
          <w:lang w:val="sr-Latn-RS"/>
        </w:rPr>
      </w:pPr>
      <w:r w:rsidRPr="00C83E6A">
        <w:rPr>
          <w:lang w:val="sr-Latn-RS"/>
        </w:rPr>
        <w:t>HAUSER</w:t>
      </w:r>
      <w:r w:rsidRPr="00C83E6A">
        <w:rPr>
          <w:lang w:val="sr-Latn-RS"/>
        </w:rPr>
        <w:noBreakHyphen/>
        <w:t>RCT bilo je randomizovano, multicentrično, placebom kontrolisano, dvostruko slijepo, 24</w:t>
      </w:r>
      <w:r w:rsidRPr="00C83E6A">
        <w:rPr>
          <w:lang w:val="sr-Latn-RS"/>
        </w:rPr>
        <w:noBreakHyphen/>
        <w:t>nedjeljno ispitivanje u paralelnim grupama na 158 pedijatrijskih pacijenata uzrasta od 10 do &lt; 18 godina sa heterozigotnom porodičnom hiperholesterolemijom. Pacijenti su morali da budu na ishrani sa niskim sadržajem masti i morali su da primaju optimizovanu osnovnu terapiju za snižavanje nivoa lipida (statin u optimalnoj dozi koja ne zahtijeva povećanje). Uključeni pacijenti bili su randomizovani u odnosu 2:1 da primaju 420 mg lijeka Repatha ili placebo subkutano jednom mjesečno tokom 24 nedjelje.</w:t>
      </w:r>
    </w:p>
    <w:p w14:paraId="66009327" w14:textId="77777777" w:rsidR="00152F1E" w:rsidRPr="00C83E6A" w:rsidRDefault="00152F1E" w:rsidP="001D6451">
      <w:pPr>
        <w:autoSpaceDE w:val="0"/>
        <w:autoSpaceDN w:val="0"/>
        <w:adjustRightInd w:val="0"/>
        <w:jc w:val="both"/>
        <w:rPr>
          <w:lang w:val="sr-Latn-RS"/>
        </w:rPr>
      </w:pPr>
    </w:p>
    <w:p w14:paraId="3F1A30E9" w14:textId="77777777" w:rsidR="00152F1E" w:rsidRPr="00C83E6A" w:rsidRDefault="00152F1E" w:rsidP="001D6451">
      <w:pPr>
        <w:autoSpaceDE w:val="0"/>
        <w:autoSpaceDN w:val="0"/>
        <w:adjustRightInd w:val="0"/>
        <w:jc w:val="both"/>
        <w:rPr>
          <w:lang w:val="sr-Latn-RS"/>
        </w:rPr>
      </w:pPr>
      <w:r w:rsidRPr="00C83E6A">
        <w:rPr>
          <w:lang w:val="sr-Latn-RS"/>
        </w:rPr>
        <w:t>Primarni ishod efikasnosti u ovom ispitivanju bio je procenat promjene LDL</w:t>
      </w:r>
      <w:r w:rsidRPr="00C83E6A">
        <w:rPr>
          <w:lang w:val="sr-Latn-RS"/>
        </w:rPr>
        <w:noBreakHyphen/>
        <w:t>C u 24. nedjelji u odnosu na početnu vrijednost. Razlika između lijeka Repatha i placeba u pogledu srednjeg procenta promjene LDL</w:t>
      </w:r>
      <w:r w:rsidRPr="00C83E6A">
        <w:rPr>
          <w:lang w:val="sr-Latn-RS"/>
        </w:rPr>
        <w:noBreakHyphen/>
        <w:t>C u 24. nedjelji u odnosu na početnu vrijednost iznosila je 38% (95% CI: 45%, 31%; p &lt; 0,0001). Smanjenje standardne greške (SE) srednje vrijednosti najmanjih kvadrata (p &lt; 0,0001) za LDL</w:t>
      </w:r>
      <w:r w:rsidRPr="00C83E6A">
        <w:rPr>
          <w:lang w:val="sr-Latn-RS"/>
        </w:rPr>
        <w:noBreakHyphen/>
        <w:t>C u 24. nedjelji u odnosu na početnu vrijednost iznosilo je 44% (2%) u grupi koja je primala lijek Repatha i 6% (3%) u grupi koja je primala placebo. Srednje apsolutne vrijednosti LDL-C u 24. nedjelji iznosile su 104 mg/dl u grupi koja je primala lijek Repatha i 172 mg/dl u grupi koja je primala placebo. Smanjenja vrijednosti LDL-C uočena su prilikom prve procjene nakon početne posjete u vremenskoj tački u 12. nedjelji i održala su se do kraja ispitivanja.</w:t>
      </w:r>
    </w:p>
    <w:p w14:paraId="6AD32A24" w14:textId="77777777" w:rsidR="00152F1E" w:rsidRPr="00C83E6A" w:rsidRDefault="00152F1E" w:rsidP="001D6451">
      <w:pPr>
        <w:autoSpaceDE w:val="0"/>
        <w:autoSpaceDN w:val="0"/>
        <w:adjustRightInd w:val="0"/>
        <w:jc w:val="both"/>
        <w:rPr>
          <w:lang w:val="sr-Latn-RS"/>
        </w:rPr>
      </w:pPr>
    </w:p>
    <w:p w14:paraId="42049C91" w14:textId="77777777" w:rsidR="00152F1E" w:rsidRPr="00C83E6A" w:rsidRDefault="00152F1E" w:rsidP="001D6451">
      <w:pPr>
        <w:autoSpaceDE w:val="0"/>
        <w:autoSpaceDN w:val="0"/>
        <w:adjustRightInd w:val="0"/>
        <w:jc w:val="both"/>
        <w:rPr>
          <w:lang w:val="sr-Latn-RS"/>
        </w:rPr>
      </w:pPr>
      <w:r w:rsidRPr="00C83E6A">
        <w:rPr>
          <w:lang w:val="sr-Latn-RS"/>
        </w:rPr>
        <w:t>Sekundarni ishod ovog ispitivanja bio je srednji procenat promjene vrijednosti LDL</w:t>
      </w:r>
      <w:r w:rsidRPr="00C83E6A">
        <w:rPr>
          <w:lang w:val="sr-Latn-RS"/>
        </w:rPr>
        <w:noBreakHyphen/>
        <w:t xml:space="preserve">C u 22. i 24. nedjelji u odnosu na početnu vrijednost, gdje 22. nedjelja odražava </w:t>
      </w:r>
      <w:r w:rsidR="00D33E0F" w:rsidRPr="00C83E6A">
        <w:rPr>
          <w:lang w:val="sr-Latn-RS"/>
        </w:rPr>
        <w:t xml:space="preserve">maksimalnu </w:t>
      </w:r>
      <w:r w:rsidRPr="00C83E6A">
        <w:rPr>
          <w:lang w:val="sr-Latn-RS"/>
        </w:rPr>
        <w:t xml:space="preserve">vrijednost, a </w:t>
      </w:r>
      <w:r w:rsidRPr="00C83E6A">
        <w:rPr>
          <w:lang w:val="sr-Latn-RS"/>
        </w:rPr>
        <w:lastRenderedPageBreak/>
        <w:t>24. nedjelja najnižu koncentraciju u jednomjesečnom intervalu subkutanog doziranja i pruža informacije o prosječnom dejstvu terapije lijekom Repatha tokom cjelokupnog intervala doziranja. Razlika srednje vrijednosti najmanjih kvadrata između lijeka Repatha i placeba u srednjem procentu promjene LDL</w:t>
      </w:r>
      <w:r w:rsidRPr="00C83E6A">
        <w:rPr>
          <w:lang w:val="sr-Latn-RS"/>
        </w:rPr>
        <w:noBreakHyphen/>
        <w:t>C od početne do srednje vrijednosti u 22. i 24. nedjelji iznosila je 42% (95% CI: 48%, 36%; p &lt; 0,0001). Za dodatne rezultate vidjeti Tabelu 6.</w:t>
      </w:r>
    </w:p>
    <w:p w14:paraId="45F73952" w14:textId="77777777" w:rsidR="00152F1E" w:rsidRPr="00C83E6A" w:rsidRDefault="00152F1E" w:rsidP="001D6451">
      <w:pPr>
        <w:autoSpaceDE w:val="0"/>
        <w:autoSpaceDN w:val="0"/>
        <w:adjustRightInd w:val="0"/>
        <w:jc w:val="both"/>
        <w:rPr>
          <w:lang w:val="sr-Latn-RS"/>
        </w:rPr>
      </w:pPr>
    </w:p>
    <w:p w14:paraId="385EE60B" w14:textId="77777777" w:rsidR="00152F1E" w:rsidRPr="00C83E6A" w:rsidRDefault="00152F1E" w:rsidP="001D6451">
      <w:pPr>
        <w:pStyle w:val="StyleBold"/>
        <w:keepNext/>
        <w:jc w:val="both"/>
        <w:rPr>
          <w:lang w:val="sr-Latn-RS"/>
        </w:rPr>
      </w:pPr>
      <w:r w:rsidRPr="00C83E6A">
        <w:rPr>
          <w:lang w:val="sr-Latn-RS"/>
        </w:rPr>
        <w:t>Tabela 6: Efekti liječenja lijekom Repatha u poređenju sa placebom kod pedijatrijskih pacijenata sa heterozigotnom porodičnom hiperholesterolemijom – srednji procenat promjene od početne vrijednosti do 24. nedjelje (%, 95% CI)</w:t>
      </w:r>
    </w:p>
    <w:p w14:paraId="2BABF303" w14:textId="77777777" w:rsidR="00152F1E" w:rsidRPr="00C83E6A" w:rsidRDefault="00152F1E" w:rsidP="001D6451">
      <w:pPr>
        <w:keepNext/>
        <w:autoSpaceDE w:val="0"/>
        <w:autoSpaceDN w:val="0"/>
        <w:adjustRightInd w:val="0"/>
        <w:jc w:val="both"/>
        <w:rPr>
          <w:lang w:val="sr-Latn-RS"/>
        </w:rPr>
      </w:pPr>
    </w:p>
    <w:tbl>
      <w:tblPr>
        <w:tblW w:w="9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0"/>
        <w:gridCol w:w="1164"/>
        <w:gridCol w:w="1274"/>
        <w:gridCol w:w="1311"/>
        <w:gridCol w:w="1312"/>
        <w:gridCol w:w="1316"/>
        <w:gridCol w:w="1327"/>
      </w:tblGrid>
      <w:tr w:rsidR="000C75C9" w:rsidRPr="00C83E6A" w14:paraId="04DFC958" w14:textId="77777777" w:rsidTr="001D6451">
        <w:trPr>
          <w:cantSplit/>
          <w:trHeight w:val="222"/>
          <w:tblHeader/>
        </w:trPr>
        <w:tc>
          <w:tcPr>
            <w:tcW w:w="750" w:type="pct"/>
            <w:shd w:val="clear" w:color="auto" w:fill="D9D9D9"/>
            <w:vAlign w:val="center"/>
          </w:tcPr>
          <w:p w14:paraId="7E968AB6" w14:textId="77777777" w:rsidR="00152F1E" w:rsidRPr="00C83E6A" w:rsidRDefault="00152F1E" w:rsidP="001D6451">
            <w:pPr>
              <w:pStyle w:val="Styleboldtable"/>
              <w:keepNext/>
              <w:jc w:val="both"/>
              <w:rPr>
                <w:sz w:val="22"/>
                <w:lang w:val="sr-Latn-RS"/>
              </w:rPr>
            </w:pPr>
            <w:r w:rsidRPr="00C83E6A">
              <w:rPr>
                <w:sz w:val="22"/>
                <w:lang w:val="sr-Latn-RS"/>
              </w:rPr>
              <w:t>Studija</w:t>
            </w:r>
          </w:p>
        </w:tc>
        <w:tc>
          <w:tcPr>
            <w:tcW w:w="642" w:type="pct"/>
            <w:shd w:val="clear" w:color="auto" w:fill="D9D9D9"/>
            <w:tcMar>
              <w:top w:w="11" w:type="dxa"/>
              <w:left w:w="90" w:type="dxa"/>
              <w:bottom w:w="0" w:type="dxa"/>
              <w:right w:w="90" w:type="dxa"/>
            </w:tcMar>
            <w:vAlign w:val="center"/>
          </w:tcPr>
          <w:p w14:paraId="7054530A" w14:textId="77777777" w:rsidR="00152F1E" w:rsidRPr="00C83E6A" w:rsidRDefault="00152F1E" w:rsidP="00D33E0F">
            <w:pPr>
              <w:pStyle w:val="Styleboldtable"/>
              <w:keepNext/>
              <w:rPr>
                <w:sz w:val="22"/>
                <w:lang w:val="sr-Latn-RS"/>
              </w:rPr>
            </w:pPr>
            <w:r w:rsidRPr="00C83E6A">
              <w:rPr>
                <w:sz w:val="22"/>
                <w:lang w:val="sr-Latn-RS"/>
              </w:rPr>
              <w:t>Režim doziranja</w:t>
            </w:r>
          </w:p>
        </w:tc>
        <w:tc>
          <w:tcPr>
            <w:tcW w:w="703" w:type="pct"/>
            <w:shd w:val="clear" w:color="auto" w:fill="D9D9D9"/>
            <w:tcMar>
              <w:top w:w="11" w:type="dxa"/>
              <w:left w:w="90" w:type="dxa"/>
              <w:bottom w:w="0" w:type="dxa"/>
              <w:right w:w="90" w:type="dxa"/>
            </w:tcMar>
            <w:vAlign w:val="center"/>
          </w:tcPr>
          <w:p w14:paraId="6E028843" w14:textId="77777777" w:rsidR="00152F1E" w:rsidRPr="00C83E6A" w:rsidRDefault="00152F1E" w:rsidP="00DB3D6D">
            <w:pPr>
              <w:pStyle w:val="Styleboldtable"/>
              <w:keepNext/>
              <w:rPr>
                <w:sz w:val="22"/>
                <w:lang w:val="sr-Latn-RS"/>
              </w:rPr>
            </w:pPr>
            <w:r w:rsidRPr="00C83E6A">
              <w:rPr>
                <w:sz w:val="22"/>
                <w:lang w:val="sr-Latn-RS"/>
              </w:rPr>
              <w:t>LDL-C</w:t>
            </w:r>
          </w:p>
          <w:p w14:paraId="72326640" w14:textId="77777777" w:rsidR="00152F1E" w:rsidRPr="00C83E6A" w:rsidRDefault="00152F1E" w:rsidP="00DB3D6D">
            <w:pPr>
              <w:pStyle w:val="Styleboldtable"/>
              <w:keepNext/>
              <w:rPr>
                <w:sz w:val="22"/>
                <w:lang w:val="sr-Latn-RS"/>
              </w:rPr>
            </w:pPr>
            <w:r w:rsidRPr="00C83E6A">
              <w:rPr>
                <w:sz w:val="22"/>
                <w:lang w:val="sr-Latn-RS"/>
              </w:rPr>
              <w:t>(%)</w:t>
            </w:r>
          </w:p>
        </w:tc>
        <w:tc>
          <w:tcPr>
            <w:tcW w:w="723" w:type="pct"/>
            <w:shd w:val="clear" w:color="auto" w:fill="D9D9D9"/>
            <w:tcMar>
              <w:top w:w="11" w:type="dxa"/>
              <w:left w:w="90" w:type="dxa"/>
              <w:bottom w:w="0" w:type="dxa"/>
              <w:right w:w="90" w:type="dxa"/>
            </w:tcMar>
            <w:vAlign w:val="center"/>
          </w:tcPr>
          <w:p w14:paraId="1289A575" w14:textId="77777777" w:rsidR="00152F1E" w:rsidRPr="00C83E6A" w:rsidRDefault="00152F1E">
            <w:pPr>
              <w:pStyle w:val="Styleboldtable"/>
              <w:keepNext/>
              <w:rPr>
                <w:sz w:val="22"/>
                <w:lang w:val="sr-Latn-RS"/>
              </w:rPr>
            </w:pPr>
            <w:r w:rsidRPr="00C83E6A">
              <w:rPr>
                <w:sz w:val="22"/>
                <w:lang w:val="sr-Latn-RS"/>
              </w:rPr>
              <w:t>Ne-HDL-C</w:t>
            </w:r>
          </w:p>
          <w:p w14:paraId="459D24E3" w14:textId="77777777" w:rsidR="00152F1E" w:rsidRPr="00C83E6A" w:rsidRDefault="00152F1E">
            <w:pPr>
              <w:pStyle w:val="Styleboldtable"/>
              <w:keepNext/>
              <w:rPr>
                <w:sz w:val="22"/>
                <w:lang w:val="sr-Latn-RS"/>
              </w:rPr>
            </w:pPr>
            <w:r w:rsidRPr="00C83E6A">
              <w:rPr>
                <w:sz w:val="22"/>
                <w:lang w:val="sr-Latn-RS"/>
              </w:rPr>
              <w:t>(%)</w:t>
            </w:r>
          </w:p>
        </w:tc>
        <w:tc>
          <w:tcPr>
            <w:tcW w:w="724" w:type="pct"/>
            <w:shd w:val="clear" w:color="auto" w:fill="D9D9D9"/>
            <w:tcMar>
              <w:top w:w="11" w:type="dxa"/>
              <w:left w:w="11" w:type="dxa"/>
              <w:bottom w:w="0" w:type="dxa"/>
              <w:right w:w="11" w:type="dxa"/>
            </w:tcMar>
            <w:vAlign w:val="center"/>
          </w:tcPr>
          <w:p w14:paraId="389CF8D3" w14:textId="77777777" w:rsidR="00152F1E" w:rsidRPr="00C83E6A" w:rsidRDefault="00152F1E">
            <w:pPr>
              <w:pStyle w:val="Styleboldtable"/>
              <w:keepNext/>
              <w:rPr>
                <w:sz w:val="22"/>
                <w:lang w:val="sr-Latn-RS"/>
              </w:rPr>
            </w:pPr>
            <w:r w:rsidRPr="00C83E6A">
              <w:rPr>
                <w:sz w:val="22"/>
                <w:lang w:val="sr-Latn-RS"/>
              </w:rPr>
              <w:t>ApoB</w:t>
            </w:r>
          </w:p>
          <w:p w14:paraId="790280C1" w14:textId="77777777" w:rsidR="00152F1E" w:rsidRPr="00C83E6A" w:rsidRDefault="00152F1E">
            <w:pPr>
              <w:pStyle w:val="Styleboldtable"/>
              <w:keepNext/>
              <w:rPr>
                <w:sz w:val="22"/>
                <w:lang w:val="sr-Latn-RS"/>
              </w:rPr>
            </w:pPr>
            <w:r w:rsidRPr="00C83E6A">
              <w:rPr>
                <w:sz w:val="22"/>
                <w:lang w:val="sr-Latn-RS"/>
              </w:rPr>
              <w:t>(%)</w:t>
            </w:r>
          </w:p>
        </w:tc>
        <w:tc>
          <w:tcPr>
            <w:tcW w:w="726" w:type="pct"/>
            <w:shd w:val="clear" w:color="auto" w:fill="D9D9D9"/>
            <w:vAlign w:val="center"/>
          </w:tcPr>
          <w:p w14:paraId="70125E9A" w14:textId="77777777" w:rsidR="00152F1E" w:rsidRPr="00C83E6A" w:rsidRDefault="00152F1E">
            <w:pPr>
              <w:pStyle w:val="Styleboldtable"/>
              <w:keepNext/>
              <w:rPr>
                <w:sz w:val="22"/>
                <w:lang w:val="sr-Latn-RS"/>
              </w:rPr>
            </w:pPr>
            <w:r w:rsidRPr="00C83E6A">
              <w:rPr>
                <w:sz w:val="22"/>
                <w:lang w:val="sr-Latn-RS"/>
              </w:rPr>
              <w:t>Odnos TC/</w:t>
            </w:r>
            <w:r w:rsidRPr="00C83E6A">
              <w:rPr>
                <w:sz w:val="22"/>
                <w:lang w:val="sr-Latn-RS"/>
              </w:rPr>
              <w:br/>
              <w:t>HDL-C</w:t>
            </w:r>
          </w:p>
          <w:p w14:paraId="0BC428C5" w14:textId="77777777" w:rsidR="00152F1E" w:rsidRPr="00C83E6A" w:rsidRDefault="00152F1E">
            <w:pPr>
              <w:pStyle w:val="Styleboldtable"/>
              <w:keepNext/>
              <w:rPr>
                <w:sz w:val="22"/>
                <w:lang w:val="sr-Latn-RS"/>
              </w:rPr>
            </w:pPr>
            <w:r w:rsidRPr="00C83E6A">
              <w:rPr>
                <w:sz w:val="22"/>
                <w:lang w:val="sr-Latn-RS"/>
              </w:rPr>
              <w:t>(%)</w:t>
            </w:r>
          </w:p>
        </w:tc>
        <w:tc>
          <w:tcPr>
            <w:tcW w:w="733" w:type="pct"/>
            <w:shd w:val="clear" w:color="auto" w:fill="D9D9D9"/>
            <w:vAlign w:val="center"/>
          </w:tcPr>
          <w:p w14:paraId="7F5CB38D" w14:textId="77777777" w:rsidR="00152F1E" w:rsidRPr="00C83E6A" w:rsidRDefault="00152F1E">
            <w:pPr>
              <w:pStyle w:val="Styleboldtable"/>
              <w:keepNext/>
              <w:rPr>
                <w:sz w:val="22"/>
                <w:lang w:val="sr-Latn-RS"/>
              </w:rPr>
            </w:pPr>
            <w:r w:rsidRPr="00C83E6A">
              <w:rPr>
                <w:sz w:val="22"/>
                <w:lang w:val="sr-Latn-RS"/>
              </w:rPr>
              <w:t>Odnos ApoB/</w:t>
            </w:r>
            <w:r w:rsidRPr="00C83E6A">
              <w:rPr>
                <w:sz w:val="22"/>
                <w:lang w:val="sr-Latn-RS"/>
              </w:rPr>
              <w:br/>
              <w:t>ApoA1</w:t>
            </w:r>
          </w:p>
          <w:p w14:paraId="22612BF3" w14:textId="77777777" w:rsidR="00152F1E" w:rsidRPr="00C83E6A" w:rsidRDefault="00152F1E">
            <w:pPr>
              <w:pStyle w:val="Styleboldtable"/>
              <w:keepNext/>
              <w:rPr>
                <w:sz w:val="22"/>
                <w:lang w:val="sr-Latn-RS"/>
              </w:rPr>
            </w:pPr>
            <w:r w:rsidRPr="00C83E6A">
              <w:rPr>
                <w:sz w:val="22"/>
                <w:lang w:val="sr-Latn-RS"/>
              </w:rPr>
              <w:t>(%)</w:t>
            </w:r>
          </w:p>
        </w:tc>
      </w:tr>
      <w:tr w:rsidR="000C75C9" w:rsidRPr="00C83E6A" w14:paraId="544FE1CC" w14:textId="77777777" w:rsidTr="001D6451">
        <w:trPr>
          <w:cantSplit/>
          <w:trHeight w:val="222"/>
        </w:trPr>
        <w:tc>
          <w:tcPr>
            <w:tcW w:w="750" w:type="pct"/>
            <w:vAlign w:val="center"/>
            <w:hideMark/>
          </w:tcPr>
          <w:p w14:paraId="183BF410" w14:textId="77777777" w:rsidR="00152F1E" w:rsidRPr="00C83E6A" w:rsidRDefault="00152F1E" w:rsidP="001D6451">
            <w:pPr>
              <w:pStyle w:val="Styletableregular"/>
              <w:keepNext/>
              <w:jc w:val="left"/>
              <w:rPr>
                <w:sz w:val="22"/>
                <w:lang w:val="sr-Latn-RS"/>
              </w:rPr>
            </w:pPr>
            <w:r w:rsidRPr="00C83E6A">
              <w:rPr>
                <w:sz w:val="22"/>
                <w:lang w:val="sr-Latn-RS"/>
              </w:rPr>
              <w:t>HAUSER-RCT (HeFH kod pedijatrijskih pacijenata)</w:t>
            </w:r>
          </w:p>
        </w:tc>
        <w:tc>
          <w:tcPr>
            <w:tcW w:w="642" w:type="pct"/>
            <w:tcMar>
              <w:top w:w="11" w:type="dxa"/>
              <w:left w:w="90" w:type="dxa"/>
              <w:bottom w:w="0" w:type="dxa"/>
              <w:right w:w="90" w:type="dxa"/>
            </w:tcMar>
            <w:vAlign w:val="center"/>
            <w:hideMark/>
          </w:tcPr>
          <w:p w14:paraId="4F0EBB0A" w14:textId="77777777" w:rsidR="00152F1E" w:rsidRPr="00C83E6A" w:rsidRDefault="00152F1E" w:rsidP="00D33E0F">
            <w:pPr>
              <w:pStyle w:val="Styletableregular"/>
              <w:keepNext/>
              <w:rPr>
                <w:sz w:val="22"/>
                <w:lang w:val="sr-Latn-RS"/>
              </w:rPr>
            </w:pPr>
            <w:r w:rsidRPr="00C83E6A">
              <w:rPr>
                <w:sz w:val="22"/>
                <w:lang w:val="sr-Latn-RS"/>
              </w:rPr>
              <w:t>420 mg QM (N = 104)</w:t>
            </w:r>
          </w:p>
        </w:tc>
        <w:tc>
          <w:tcPr>
            <w:tcW w:w="703" w:type="pct"/>
            <w:tcMar>
              <w:top w:w="11" w:type="dxa"/>
              <w:left w:w="90" w:type="dxa"/>
              <w:bottom w:w="0" w:type="dxa"/>
              <w:right w:w="90" w:type="dxa"/>
            </w:tcMar>
            <w:vAlign w:val="center"/>
          </w:tcPr>
          <w:p w14:paraId="032A5570" w14:textId="77777777" w:rsidR="00152F1E" w:rsidRPr="00C83E6A" w:rsidRDefault="00152F1E" w:rsidP="00DB3D6D">
            <w:pPr>
              <w:pStyle w:val="Styletableregular"/>
              <w:keepNext/>
              <w:rPr>
                <w:sz w:val="22"/>
                <w:lang w:val="sr-Latn-RS"/>
              </w:rPr>
            </w:pPr>
            <w:r w:rsidRPr="00C83E6A">
              <w:rPr>
                <w:sz w:val="22"/>
                <w:lang w:val="sr-Latn-RS"/>
              </w:rPr>
              <w:t>-38,3</w:t>
            </w:r>
          </w:p>
          <w:p w14:paraId="0A1C6542" w14:textId="77777777" w:rsidR="00152F1E" w:rsidRPr="00C83E6A" w:rsidRDefault="00152F1E" w:rsidP="00DB3D6D">
            <w:pPr>
              <w:pStyle w:val="Styletableregular"/>
              <w:keepNext/>
              <w:rPr>
                <w:sz w:val="22"/>
                <w:lang w:val="sr-Latn-RS"/>
              </w:rPr>
            </w:pPr>
            <w:r w:rsidRPr="00C83E6A">
              <w:rPr>
                <w:sz w:val="22"/>
                <w:lang w:val="sr-Latn-RS"/>
              </w:rPr>
              <w:t>(-45,5; -31,1)</w:t>
            </w:r>
          </w:p>
        </w:tc>
        <w:tc>
          <w:tcPr>
            <w:tcW w:w="723" w:type="pct"/>
            <w:tcMar>
              <w:top w:w="11" w:type="dxa"/>
              <w:left w:w="90" w:type="dxa"/>
              <w:bottom w:w="0" w:type="dxa"/>
              <w:right w:w="90" w:type="dxa"/>
            </w:tcMar>
            <w:vAlign w:val="center"/>
          </w:tcPr>
          <w:p w14:paraId="7E6557F6" w14:textId="77777777" w:rsidR="00152F1E" w:rsidRPr="00C83E6A" w:rsidRDefault="00152F1E">
            <w:pPr>
              <w:pStyle w:val="Styletableregular"/>
              <w:keepNext/>
              <w:rPr>
                <w:sz w:val="22"/>
                <w:lang w:val="sr-Latn-RS"/>
              </w:rPr>
            </w:pPr>
            <w:r w:rsidRPr="00C83E6A">
              <w:rPr>
                <w:sz w:val="22"/>
                <w:lang w:val="sr-Latn-RS"/>
              </w:rPr>
              <w:t>-35,0</w:t>
            </w:r>
          </w:p>
          <w:p w14:paraId="10EC780A" w14:textId="77777777" w:rsidR="00152F1E" w:rsidRPr="00C83E6A" w:rsidRDefault="00152F1E">
            <w:pPr>
              <w:pStyle w:val="Styletableregular"/>
              <w:keepNext/>
              <w:rPr>
                <w:sz w:val="22"/>
                <w:lang w:val="sr-Latn-RS"/>
              </w:rPr>
            </w:pPr>
            <w:r w:rsidRPr="00C83E6A">
              <w:rPr>
                <w:sz w:val="22"/>
                <w:lang w:val="sr-Latn-RS"/>
              </w:rPr>
              <w:t>(-41,8; -28,3)</w:t>
            </w:r>
          </w:p>
        </w:tc>
        <w:tc>
          <w:tcPr>
            <w:tcW w:w="724" w:type="pct"/>
            <w:tcMar>
              <w:top w:w="11" w:type="dxa"/>
              <w:left w:w="11" w:type="dxa"/>
              <w:bottom w:w="0" w:type="dxa"/>
              <w:right w:w="11" w:type="dxa"/>
            </w:tcMar>
            <w:vAlign w:val="center"/>
          </w:tcPr>
          <w:p w14:paraId="5AC5CFC1" w14:textId="77777777" w:rsidR="00152F1E" w:rsidRPr="00C83E6A" w:rsidRDefault="00152F1E">
            <w:pPr>
              <w:pStyle w:val="Styletableregular"/>
              <w:keepNext/>
              <w:rPr>
                <w:sz w:val="22"/>
                <w:lang w:val="sr-Latn-RS"/>
              </w:rPr>
            </w:pPr>
            <w:r w:rsidRPr="00C83E6A">
              <w:rPr>
                <w:sz w:val="22"/>
                <w:lang w:val="sr-Latn-RS"/>
              </w:rPr>
              <w:t>-32,5</w:t>
            </w:r>
          </w:p>
          <w:p w14:paraId="71BFFAD3" w14:textId="77777777" w:rsidR="00152F1E" w:rsidRPr="00C83E6A" w:rsidRDefault="00152F1E">
            <w:pPr>
              <w:pStyle w:val="Styletableregular"/>
              <w:keepNext/>
              <w:rPr>
                <w:sz w:val="22"/>
                <w:lang w:val="sr-Latn-RS"/>
              </w:rPr>
            </w:pPr>
            <w:r w:rsidRPr="00C83E6A">
              <w:rPr>
                <w:sz w:val="22"/>
                <w:lang w:val="sr-Latn-RS"/>
              </w:rPr>
              <w:t>(-38,8; -26,1)</w:t>
            </w:r>
          </w:p>
        </w:tc>
        <w:tc>
          <w:tcPr>
            <w:tcW w:w="726" w:type="pct"/>
            <w:vAlign w:val="center"/>
          </w:tcPr>
          <w:p w14:paraId="6D065714" w14:textId="77777777" w:rsidR="00152F1E" w:rsidRPr="00C83E6A" w:rsidRDefault="00152F1E">
            <w:pPr>
              <w:pStyle w:val="Styletableregular"/>
              <w:keepNext/>
              <w:rPr>
                <w:sz w:val="22"/>
                <w:lang w:val="sr-Latn-RS"/>
              </w:rPr>
            </w:pPr>
            <w:r w:rsidRPr="00C83E6A">
              <w:rPr>
                <w:sz w:val="22"/>
                <w:lang w:val="sr-Latn-RS"/>
              </w:rPr>
              <w:t>-30,3</w:t>
            </w:r>
          </w:p>
          <w:p w14:paraId="27477FCC" w14:textId="77777777" w:rsidR="00152F1E" w:rsidRPr="00C83E6A" w:rsidRDefault="00152F1E">
            <w:pPr>
              <w:pStyle w:val="Styletableregular"/>
              <w:keepNext/>
              <w:rPr>
                <w:sz w:val="22"/>
                <w:lang w:val="sr-Latn-RS"/>
              </w:rPr>
            </w:pPr>
            <w:r w:rsidRPr="00C83E6A">
              <w:rPr>
                <w:sz w:val="22"/>
                <w:lang w:val="sr-Latn-RS"/>
              </w:rPr>
              <w:t>(-36,4; -24,2)</w:t>
            </w:r>
          </w:p>
        </w:tc>
        <w:tc>
          <w:tcPr>
            <w:tcW w:w="733" w:type="pct"/>
            <w:vAlign w:val="center"/>
          </w:tcPr>
          <w:p w14:paraId="7CFE6D61" w14:textId="77777777" w:rsidR="00152F1E" w:rsidRPr="00C83E6A" w:rsidRDefault="00152F1E">
            <w:pPr>
              <w:pStyle w:val="Styletableregular"/>
              <w:keepNext/>
              <w:rPr>
                <w:sz w:val="22"/>
                <w:lang w:val="sr-Latn-RS"/>
              </w:rPr>
            </w:pPr>
            <w:r w:rsidRPr="00C83E6A">
              <w:rPr>
                <w:sz w:val="22"/>
                <w:lang w:val="sr-Latn-RS"/>
              </w:rPr>
              <w:t>-36,4</w:t>
            </w:r>
          </w:p>
          <w:p w14:paraId="47B70BE3" w14:textId="77777777" w:rsidR="00152F1E" w:rsidRPr="00C83E6A" w:rsidRDefault="00152F1E">
            <w:pPr>
              <w:pStyle w:val="Styletableregular"/>
              <w:keepNext/>
              <w:rPr>
                <w:sz w:val="22"/>
                <w:lang w:val="sr-Latn-RS"/>
              </w:rPr>
            </w:pPr>
            <w:r w:rsidRPr="00C83E6A">
              <w:rPr>
                <w:sz w:val="22"/>
                <w:lang w:val="sr-Latn-RS"/>
              </w:rPr>
              <w:t>(-43,0; -29,8)</w:t>
            </w:r>
          </w:p>
        </w:tc>
      </w:tr>
    </w:tbl>
    <w:p w14:paraId="17964340" w14:textId="77777777" w:rsidR="00152F1E" w:rsidRPr="00C83E6A" w:rsidRDefault="00152F1E" w:rsidP="001D6451">
      <w:pPr>
        <w:pStyle w:val="Stylefootertable"/>
        <w:keepNext/>
        <w:jc w:val="both"/>
        <w:rPr>
          <w:sz w:val="22"/>
          <w:lang w:val="sr-Latn-RS"/>
        </w:rPr>
      </w:pPr>
      <w:r w:rsidRPr="00C83E6A">
        <w:rPr>
          <w:sz w:val="22"/>
          <w:lang w:val="sr-Latn-RS"/>
        </w:rPr>
        <w:t>QM = jednom mjesečno (subkutano), CI = interval pouzdanosti, LDL</w:t>
      </w:r>
      <w:r w:rsidRPr="00C83E6A">
        <w:rPr>
          <w:sz w:val="22"/>
          <w:lang w:val="sr-Latn-RS"/>
        </w:rPr>
        <w:noBreakHyphen/>
        <w:t>C = lipoprotein male gustine – holesterol; HDL</w:t>
      </w:r>
      <w:r w:rsidRPr="00C83E6A">
        <w:rPr>
          <w:sz w:val="22"/>
          <w:lang w:val="sr-Latn-RS"/>
        </w:rPr>
        <w:noBreakHyphen/>
        <w:t>C = lipoprotein velike gustine – holesterol, ApoB = apolipoprotein B, ApoA1 = apolipoprotein A1, TC = ukupan holesterol</w:t>
      </w:r>
    </w:p>
    <w:p w14:paraId="7A9EB68D" w14:textId="77777777" w:rsidR="00152F1E" w:rsidRPr="00C83E6A" w:rsidRDefault="00152F1E" w:rsidP="001D6451">
      <w:pPr>
        <w:pStyle w:val="Stylefootertable"/>
        <w:keepNext/>
        <w:jc w:val="both"/>
        <w:rPr>
          <w:sz w:val="22"/>
          <w:lang w:val="sr-Latn-RS"/>
        </w:rPr>
      </w:pPr>
      <w:r w:rsidRPr="00C83E6A">
        <w:rPr>
          <w:sz w:val="22"/>
          <w:lang w:val="sr-Latn-RS"/>
        </w:rPr>
        <w:t>Sve prilagođene p vrijednosti &lt;0,0001</w:t>
      </w:r>
    </w:p>
    <w:p w14:paraId="35CE4A4A" w14:textId="77777777" w:rsidR="00152F1E" w:rsidRPr="00C83E6A" w:rsidRDefault="00152F1E" w:rsidP="001D6451">
      <w:pPr>
        <w:pStyle w:val="Stylefootertable"/>
        <w:jc w:val="both"/>
        <w:rPr>
          <w:sz w:val="22"/>
          <w:lang w:val="sr-Latn-RS"/>
        </w:rPr>
      </w:pPr>
      <w:r w:rsidRPr="00C83E6A">
        <w:rPr>
          <w:sz w:val="22"/>
          <w:lang w:val="sr-Latn-RS"/>
        </w:rPr>
        <w:t>N = broj randomizovanih pacijenata koji su primili dozu u setu za kompletnu analizu.</w:t>
      </w:r>
    </w:p>
    <w:p w14:paraId="4604D784" w14:textId="77777777" w:rsidR="001E1F27" w:rsidRPr="00C83E6A" w:rsidRDefault="001E1F27" w:rsidP="001D6451">
      <w:pPr>
        <w:jc w:val="both"/>
        <w:rPr>
          <w:lang w:val="sr-Latn-RS"/>
        </w:rPr>
      </w:pPr>
    </w:p>
    <w:p w14:paraId="42CCCC9A" w14:textId="77777777" w:rsidR="00C703F5" w:rsidRPr="00C83E6A" w:rsidRDefault="001E1F27" w:rsidP="001D6451">
      <w:pPr>
        <w:jc w:val="both"/>
        <w:rPr>
          <w:lang w:val="sr-Latn-RS"/>
        </w:rPr>
      </w:pPr>
      <w:r w:rsidRPr="00C83E6A">
        <w:rPr>
          <w:lang w:val="sr-Latn-RS"/>
        </w:rPr>
        <w:t>HAUSER</w:t>
      </w:r>
      <w:r w:rsidRPr="00C83E6A">
        <w:rPr>
          <w:lang w:val="sr-Latn-RS"/>
        </w:rPr>
        <w:noBreakHyphen/>
        <w:t>OLE bilo je otvoreno, multicentrično ispitivanje lijeka Repatha u trajanju od 80 nedjelja sa jednom grupom od 150 pedijatrijskih pacijenata uzrasta od 10 do 17 godina sa heterozigotnom porodičnom hiperholesterolemijom koji su uključeni iz ispitivanja HAUSER</w:t>
      </w:r>
      <w:r w:rsidRPr="00C83E6A">
        <w:rPr>
          <w:lang w:val="sr-Latn-RS"/>
        </w:rPr>
        <w:noBreakHyphen/>
        <w:t>RCT i sa 13 </w:t>
      </w:r>
      <w:r w:rsidRPr="00C83E6A">
        <w:rPr>
          <w:i/>
          <w:lang w:val="sr-Latn-RS"/>
        </w:rPr>
        <w:t>de novo</w:t>
      </w:r>
      <w:r w:rsidRPr="00C83E6A">
        <w:rPr>
          <w:lang w:val="sr-Latn-RS"/>
        </w:rPr>
        <w:t xml:space="preserve"> uključenih pedijatrijskih pacijenata sa homozigotnom porodičnom hiperholesterolemijom. Pacijenti su morali da budu na ishrani sa niskim sadržajem masti i da primaju osnovnu terapiju za snižavanje lipida. Svi pacijenti sa heterozigotnom porodičnom hiperholesterolemijom su u ovom ispitivanju primali 420 mg lijeka Repatha subkutano jednom mjesečno (medijana trajanja izloženosti: 18,4 mjeseci). Srednje vrijednosti (SE) procenata promjene izračunatog LDL</w:t>
      </w:r>
      <w:r w:rsidRPr="00C83E6A">
        <w:rPr>
          <w:lang w:val="sr-Latn-RS"/>
        </w:rPr>
        <w:noBreakHyphen/>
        <w:t xml:space="preserve">C od početne vrijednosti bili su: </w:t>
      </w:r>
      <w:r w:rsidRPr="00C83E6A">
        <w:rPr>
          <w:lang w:val="sr-Latn-RS"/>
        </w:rPr>
        <w:noBreakHyphen/>
        <w:t xml:space="preserve">44,4% (1,7%) u 12. nedjelji, </w:t>
      </w:r>
      <w:r w:rsidRPr="00C83E6A">
        <w:rPr>
          <w:lang w:val="sr-Latn-RS"/>
        </w:rPr>
        <w:noBreakHyphen/>
        <w:t xml:space="preserve">41,0% (2,1%) u 48. nedjelji i </w:t>
      </w:r>
      <w:r w:rsidRPr="00C83E6A">
        <w:rPr>
          <w:lang w:val="sr-Latn-RS"/>
        </w:rPr>
        <w:noBreakHyphen/>
        <w:t>35,2% (2,5%) u 80. nedjelji.</w:t>
      </w:r>
      <w:r w:rsidR="00C703F5" w:rsidRPr="00C83E6A">
        <w:rPr>
          <w:lang w:val="sr-Latn-RS"/>
        </w:rPr>
        <w:t xml:space="preserve"> </w:t>
      </w:r>
    </w:p>
    <w:p w14:paraId="45D20E21" w14:textId="77777777" w:rsidR="001E1F27" w:rsidRPr="00C83E6A" w:rsidRDefault="001E1F27" w:rsidP="001D6451">
      <w:pPr>
        <w:jc w:val="both"/>
        <w:rPr>
          <w:lang w:val="sr-Latn-RS"/>
        </w:rPr>
      </w:pPr>
      <w:r w:rsidRPr="00C83E6A">
        <w:rPr>
          <w:lang w:val="sr-Latn-RS"/>
        </w:rPr>
        <w:t>Srednje vrijednosti</w:t>
      </w:r>
      <w:r w:rsidR="0063499C" w:rsidRPr="00C83E6A">
        <w:rPr>
          <w:lang w:val="sr-Latn-RS"/>
        </w:rPr>
        <w:t xml:space="preserve"> </w:t>
      </w:r>
      <w:r w:rsidRPr="00C83E6A">
        <w:rPr>
          <w:lang w:val="sr-Latn-RS"/>
        </w:rPr>
        <w:t>(SE) procenta promjene od početne vrijednosti do 80. nedjelje u ostalim mjerama ishoda povezanim s lipidima bil</w:t>
      </w:r>
      <w:r w:rsidR="00C703F5" w:rsidRPr="00C83E6A">
        <w:rPr>
          <w:lang w:val="sr-Latn-RS"/>
        </w:rPr>
        <w:t>e</w:t>
      </w:r>
      <w:r w:rsidRPr="00C83E6A">
        <w:rPr>
          <w:lang w:val="sr-Latn-RS"/>
        </w:rPr>
        <w:t xml:space="preserve"> su: </w:t>
      </w:r>
      <w:r w:rsidRPr="00C83E6A">
        <w:rPr>
          <w:lang w:val="sr-Latn-RS"/>
        </w:rPr>
        <w:noBreakHyphen/>
        <w:t>32,1% (2,3%) za ne</w:t>
      </w:r>
      <w:r w:rsidRPr="00C83E6A">
        <w:rPr>
          <w:lang w:val="sr-Latn-RS"/>
        </w:rPr>
        <w:noBreakHyphen/>
        <w:t>HDL</w:t>
      </w:r>
      <w:r w:rsidRPr="00C83E6A">
        <w:rPr>
          <w:lang w:val="sr-Latn-RS"/>
        </w:rPr>
        <w:noBreakHyphen/>
        <w:t>C,</w:t>
      </w:r>
      <w:r w:rsidR="0063499C" w:rsidRPr="00C83E6A">
        <w:rPr>
          <w:lang w:val="sr-Latn-RS"/>
        </w:rPr>
        <w:t xml:space="preserve"> </w:t>
      </w:r>
      <w:r w:rsidRPr="00C83E6A">
        <w:rPr>
          <w:lang w:val="sr-Latn-RS"/>
        </w:rPr>
        <w:noBreakHyphen/>
        <w:t xml:space="preserve">25,1% (2,3%) za ApoB, </w:t>
      </w:r>
      <w:r w:rsidRPr="00C83E6A">
        <w:rPr>
          <w:lang w:val="sr-Latn-RS"/>
        </w:rPr>
        <w:noBreakHyphen/>
        <w:t>28,5% (2,0%) za TC/HDL</w:t>
      </w:r>
      <w:r w:rsidRPr="00C83E6A">
        <w:rPr>
          <w:lang w:val="sr-Latn-RS"/>
        </w:rPr>
        <w:noBreakHyphen/>
        <w:t xml:space="preserve">C odnos, </w:t>
      </w:r>
      <w:r w:rsidRPr="00C83E6A">
        <w:rPr>
          <w:lang w:val="sr-Latn-RS"/>
        </w:rPr>
        <w:noBreakHyphen/>
        <w:t xml:space="preserve">30,3% (2,2%) za ApoB/ApoA1 odnos i </w:t>
      </w:r>
      <w:r w:rsidRPr="00C83E6A">
        <w:rPr>
          <w:lang w:val="sr-Latn-RS"/>
        </w:rPr>
        <w:noBreakHyphen/>
        <w:t>24,9% (1,9%) za TC.</w:t>
      </w:r>
    </w:p>
    <w:p w14:paraId="2674EE31" w14:textId="77777777" w:rsidR="00D26E8E" w:rsidRPr="00C83E6A" w:rsidRDefault="00D26E8E" w:rsidP="001D6451">
      <w:pPr>
        <w:jc w:val="both"/>
        <w:rPr>
          <w:rFonts w:eastAsia="PMingLiU"/>
          <w:lang w:val="sr-Latn-RS"/>
        </w:rPr>
      </w:pPr>
    </w:p>
    <w:p w14:paraId="6EE29E59" w14:textId="77777777" w:rsidR="00D26E8E" w:rsidRPr="00C83E6A" w:rsidRDefault="00B230B7" w:rsidP="001D6451">
      <w:pPr>
        <w:keepNext/>
        <w:autoSpaceDE w:val="0"/>
        <w:autoSpaceDN w:val="0"/>
        <w:adjustRightInd w:val="0"/>
        <w:jc w:val="both"/>
        <w:rPr>
          <w:rFonts w:eastAsia="PMingLiU"/>
          <w:u w:val="single"/>
          <w:lang w:val="sr-Latn-RS"/>
        </w:rPr>
      </w:pPr>
      <w:r w:rsidRPr="00C83E6A">
        <w:rPr>
          <w:u w:val="single"/>
          <w:lang w:val="sr-Latn-RS"/>
        </w:rPr>
        <w:t>Liječenje homozigotne porodične hiperholesterolemije</w:t>
      </w:r>
    </w:p>
    <w:p w14:paraId="06E1A04A" w14:textId="77777777" w:rsidR="00D26E8E" w:rsidRPr="00C83E6A" w:rsidRDefault="00D26E8E" w:rsidP="001D6451">
      <w:pPr>
        <w:keepNext/>
        <w:autoSpaceDE w:val="0"/>
        <w:autoSpaceDN w:val="0"/>
        <w:adjustRightInd w:val="0"/>
        <w:jc w:val="both"/>
        <w:rPr>
          <w:rFonts w:eastAsia="PMingLiU"/>
          <w:u w:val="single"/>
          <w:lang w:val="sr-Latn-RS"/>
        </w:rPr>
      </w:pPr>
    </w:p>
    <w:p w14:paraId="18CEF65A" w14:textId="77777777" w:rsidR="00D26E8E" w:rsidRPr="00C83E6A" w:rsidRDefault="00096D7F" w:rsidP="001D6451">
      <w:pPr>
        <w:jc w:val="both"/>
        <w:rPr>
          <w:rFonts w:eastAsia="PMingLiU"/>
          <w:lang w:val="sr-Latn-RS"/>
        </w:rPr>
      </w:pPr>
      <w:r w:rsidRPr="00C83E6A">
        <w:rPr>
          <w:lang w:val="sr-Latn-RS"/>
        </w:rPr>
        <w:t>TESLA je bila međunarodna, multicentrična, dvostruko</w:t>
      </w:r>
      <w:r w:rsidRPr="00C83E6A">
        <w:rPr>
          <w:lang w:val="sr-Latn-RS"/>
        </w:rPr>
        <w:noBreakHyphen/>
        <w:t>slijepa, randomizovana, placebom kontrolisana studija u trajanju od 12 nedjelja na 49 pacijenata sa homozigotnom porodičnom hiperholesterolemijom uzrasta od 12 do 65 godina. Lijek Repatha u dozi od 420 mg jednom mjesečno, kao dodatak drugim terapijama za snižavanje lipida (npr. statini, sekvestranti žučne kiseline), je značajno smanjio vrijednosti LDL</w:t>
      </w:r>
      <w:r w:rsidRPr="00C83E6A">
        <w:rPr>
          <w:lang w:val="sr-Latn-RS"/>
        </w:rPr>
        <w:noBreakHyphen/>
        <w:t>C</w:t>
      </w:r>
      <w:r w:rsidRPr="00C83E6A">
        <w:rPr>
          <w:lang w:val="sr-Latn-RS"/>
        </w:rPr>
        <w:noBreakHyphen/>
        <w:t>a i ApoB</w:t>
      </w:r>
      <w:r w:rsidRPr="00C83E6A">
        <w:rPr>
          <w:lang w:val="sr-Latn-RS"/>
        </w:rPr>
        <w:noBreakHyphen/>
        <w:t>a u 12. nedjelji u poređenju sa placebom (p &lt; 0,001) (vidjeti Tabelu 7). Promjene u drugim lipidnim parametrima (TC, non</w:t>
      </w:r>
      <w:r w:rsidRPr="00C83E6A">
        <w:rPr>
          <w:lang w:val="sr-Latn-RS"/>
        </w:rPr>
        <w:noBreakHyphen/>
        <w:t>HDL</w:t>
      </w:r>
      <w:r w:rsidRPr="00C83E6A">
        <w:rPr>
          <w:lang w:val="sr-Latn-RS"/>
        </w:rPr>
        <w:noBreakHyphen/>
        <w:t>C, TC/HDL</w:t>
      </w:r>
      <w:r w:rsidRPr="00C83E6A">
        <w:rPr>
          <w:lang w:val="sr-Latn-RS"/>
        </w:rPr>
        <w:noBreakHyphen/>
        <w:t>C i ApoB/ApoA1) takođe su pokazale efekat primjene lijeka Repatha kod pacijenata sa homozigotnom porodičnom hiperholesterolemijom.</w:t>
      </w:r>
    </w:p>
    <w:p w14:paraId="56CD8867" w14:textId="77777777" w:rsidR="00D26E8E" w:rsidRPr="00C83E6A" w:rsidRDefault="00D26E8E" w:rsidP="001D6451">
      <w:pPr>
        <w:autoSpaceDE w:val="0"/>
        <w:autoSpaceDN w:val="0"/>
        <w:adjustRightInd w:val="0"/>
        <w:jc w:val="both"/>
        <w:rPr>
          <w:rFonts w:eastAsia="PMingLiU"/>
          <w:lang w:val="sr-Latn-RS"/>
        </w:rPr>
      </w:pPr>
    </w:p>
    <w:p w14:paraId="25F6A99E" w14:textId="77777777" w:rsidR="00D26E8E" w:rsidRPr="00C83E6A" w:rsidRDefault="00096D7F" w:rsidP="001D6451">
      <w:pPr>
        <w:keepNext/>
        <w:autoSpaceDE w:val="0"/>
        <w:autoSpaceDN w:val="0"/>
        <w:adjustRightInd w:val="0"/>
        <w:jc w:val="both"/>
        <w:rPr>
          <w:rFonts w:eastAsia="PMingLiU"/>
          <w:b/>
          <w:bCs/>
          <w:lang w:val="sr-Latn-RS"/>
        </w:rPr>
      </w:pPr>
      <w:r w:rsidRPr="00C83E6A">
        <w:rPr>
          <w:b/>
          <w:lang w:val="sr-Latn-RS"/>
        </w:rPr>
        <w:lastRenderedPageBreak/>
        <w:t>Tabela 7: Efekti liječenja evolokumabom u poređenju sa placebom kod pacijenata sa homozigotnom porodičnom hiperholesterolemijom - srednji procenat promjene od početne vrijednosti do 12. nedjelje (%, 95% CI)</w:t>
      </w:r>
    </w:p>
    <w:p w14:paraId="02D5CFD8" w14:textId="77777777" w:rsidR="00096D7F" w:rsidRPr="00C83E6A" w:rsidRDefault="00096D7F" w:rsidP="001D6451">
      <w:pPr>
        <w:keepNext/>
        <w:autoSpaceDE w:val="0"/>
        <w:autoSpaceDN w:val="0"/>
        <w:adjustRightInd w:val="0"/>
        <w:jc w:val="both"/>
        <w:rPr>
          <w:rFonts w:eastAsia="PMingLiU"/>
          <w:lang w:val="sr-Latn-RS"/>
        </w:rPr>
      </w:pPr>
    </w:p>
    <w:tbl>
      <w:tblPr>
        <w:tblW w:w="4996" w:type="pct"/>
        <w:tblLayout w:type="fixed"/>
        <w:tblCellMar>
          <w:left w:w="0" w:type="dxa"/>
          <w:right w:w="0" w:type="dxa"/>
        </w:tblCellMar>
        <w:tblLook w:val="04A0" w:firstRow="1" w:lastRow="0" w:firstColumn="1" w:lastColumn="0" w:noHBand="0" w:noVBand="1"/>
      </w:tblPr>
      <w:tblGrid>
        <w:gridCol w:w="918"/>
        <w:gridCol w:w="1017"/>
        <w:gridCol w:w="724"/>
        <w:gridCol w:w="724"/>
        <w:gridCol w:w="724"/>
        <w:gridCol w:w="676"/>
        <w:gridCol w:w="676"/>
        <w:gridCol w:w="720"/>
        <w:gridCol w:w="720"/>
        <w:gridCol w:w="720"/>
        <w:gridCol w:w="720"/>
        <w:gridCol w:w="705"/>
      </w:tblGrid>
      <w:tr w:rsidR="00172BB8" w:rsidRPr="00C83E6A" w14:paraId="78940DEC" w14:textId="77777777" w:rsidTr="001935E8">
        <w:trPr>
          <w:cantSplit/>
          <w:trHeight w:val="140"/>
          <w:tblHeader/>
        </w:trPr>
        <w:tc>
          <w:tcPr>
            <w:tcW w:w="508" w:type="pct"/>
            <w:tcBorders>
              <w:top w:val="single" w:sz="8" w:space="0" w:color="000000"/>
              <w:left w:val="single" w:sz="8" w:space="0" w:color="000000"/>
              <w:bottom w:val="single" w:sz="8" w:space="0" w:color="000000"/>
              <w:right w:val="single" w:sz="8" w:space="0" w:color="000000"/>
            </w:tcBorders>
            <w:shd w:val="clear" w:color="auto" w:fill="D9D9D9"/>
          </w:tcPr>
          <w:p w14:paraId="5F9342D8" w14:textId="77777777" w:rsidR="00172BB8" w:rsidRPr="00C83E6A" w:rsidRDefault="00172BB8" w:rsidP="00C703F5">
            <w:pPr>
              <w:keepNext/>
              <w:jc w:val="center"/>
              <w:rPr>
                <w:rFonts w:eastAsia="Calibri"/>
                <w:b/>
                <w:bCs/>
                <w:lang w:val="sr-Latn-RS"/>
              </w:rPr>
            </w:pPr>
            <w:r w:rsidRPr="00C83E6A">
              <w:rPr>
                <w:b/>
                <w:lang w:val="sr-Latn-RS"/>
              </w:rPr>
              <w:t>Studija</w:t>
            </w:r>
          </w:p>
        </w:tc>
        <w:tc>
          <w:tcPr>
            <w:tcW w:w="562" w:type="pct"/>
            <w:tcBorders>
              <w:top w:val="single" w:sz="8" w:space="0" w:color="000000"/>
              <w:left w:val="nil"/>
              <w:bottom w:val="single" w:sz="8" w:space="0" w:color="000000"/>
              <w:right w:val="single" w:sz="8" w:space="0" w:color="000000"/>
            </w:tcBorders>
            <w:shd w:val="clear" w:color="auto" w:fill="D9D9D9"/>
            <w:tcMar>
              <w:top w:w="11" w:type="dxa"/>
              <w:left w:w="90" w:type="dxa"/>
              <w:bottom w:w="0" w:type="dxa"/>
              <w:right w:w="90" w:type="dxa"/>
            </w:tcMar>
            <w:hideMark/>
          </w:tcPr>
          <w:p w14:paraId="2F784D36" w14:textId="77777777" w:rsidR="00172BB8" w:rsidRPr="00C83E6A" w:rsidRDefault="00172BB8" w:rsidP="00C703F5">
            <w:pPr>
              <w:keepNext/>
              <w:jc w:val="center"/>
              <w:rPr>
                <w:rFonts w:eastAsia="Calibri"/>
                <w:b/>
                <w:bCs/>
                <w:lang w:val="sr-Latn-RS"/>
              </w:rPr>
            </w:pPr>
            <w:r w:rsidRPr="00C83E6A">
              <w:rPr>
                <w:b/>
                <w:lang w:val="sr-Latn-RS"/>
              </w:rPr>
              <w:t>Režim doziranja</w:t>
            </w:r>
          </w:p>
        </w:tc>
        <w:tc>
          <w:tcPr>
            <w:tcW w:w="400" w:type="pct"/>
            <w:tcBorders>
              <w:top w:val="single" w:sz="8" w:space="0" w:color="000000"/>
              <w:left w:val="nil"/>
              <w:bottom w:val="single" w:sz="8" w:space="0" w:color="000000"/>
              <w:right w:val="single" w:sz="8" w:space="0" w:color="000000"/>
            </w:tcBorders>
            <w:shd w:val="clear" w:color="auto" w:fill="D9D9D9"/>
            <w:tcMar>
              <w:top w:w="11" w:type="dxa"/>
              <w:left w:w="90" w:type="dxa"/>
              <w:bottom w:w="0" w:type="dxa"/>
              <w:right w:w="90" w:type="dxa"/>
            </w:tcMar>
            <w:hideMark/>
          </w:tcPr>
          <w:p w14:paraId="3536DAF2" w14:textId="77777777" w:rsidR="00D26E8E" w:rsidRPr="00C83E6A" w:rsidRDefault="00172BB8">
            <w:pPr>
              <w:keepNext/>
              <w:ind w:left="-93" w:right="-85"/>
              <w:jc w:val="center"/>
              <w:rPr>
                <w:rFonts w:eastAsia="PMingLiU"/>
                <w:b/>
                <w:bCs/>
                <w:lang w:val="sr-Latn-RS"/>
              </w:rPr>
            </w:pPr>
            <w:r w:rsidRPr="00C83E6A">
              <w:rPr>
                <w:b/>
                <w:lang w:val="sr-Latn-RS"/>
              </w:rPr>
              <w:t>LDL-C</w:t>
            </w:r>
          </w:p>
          <w:p w14:paraId="147A56F3" w14:textId="77777777" w:rsidR="00172BB8" w:rsidRPr="00C83E6A" w:rsidRDefault="00172BB8">
            <w:pPr>
              <w:keepNext/>
              <w:ind w:left="-93" w:right="-85"/>
              <w:jc w:val="center"/>
              <w:rPr>
                <w:rFonts w:eastAsia="Calibri"/>
                <w:b/>
                <w:bCs/>
                <w:lang w:val="sr-Latn-RS"/>
              </w:rPr>
            </w:pPr>
            <w:r w:rsidRPr="00C83E6A">
              <w:rPr>
                <w:b/>
                <w:lang w:val="sr-Latn-RS"/>
              </w:rPr>
              <w:t>(%)</w:t>
            </w:r>
          </w:p>
        </w:tc>
        <w:tc>
          <w:tcPr>
            <w:tcW w:w="400" w:type="pct"/>
            <w:tcBorders>
              <w:top w:val="single" w:sz="8" w:space="0" w:color="000000"/>
              <w:left w:val="nil"/>
              <w:bottom w:val="single" w:sz="8" w:space="0" w:color="000000"/>
              <w:right w:val="single" w:sz="8" w:space="0" w:color="000000"/>
            </w:tcBorders>
            <w:shd w:val="clear" w:color="auto" w:fill="D9D9D9"/>
            <w:tcMar>
              <w:top w:w="11" w:type="dxa"/>
              <w:left w:w="90" w:type="dxa"/>
              <w:bottom w:w="0" w:type="dxa"/>
              <w:right w:w="90" w:type="dxa"/>
            </w:tcMar>
            <w:hideMark/>
          </w:tcPr>
          <w:p w14:paraId="3466645F" w14:textId="77777777" w:rsidR="00D26E8E" w:rsidRPr="00C83E6A" w:rsidRDefault="00172BB8">
            <w:pPr>
              <w:keepNext/>
              <w:ind w:left="-95" w:right="-83"/>
              <w:jc w:val="center"/>
              <w:rPr>
                <w:rFonts w:eastAsia="PMingLiU"/>
                <w:b/>
                <w:bCs/>
                <w:lang w:val="sr-Latn-RS"/>
              </w:rPr>
            </w:pPr>
            <w:r w:rsidRPr="00C83E6A">
              <w:rPr>
                <w:b/>
                <w:lang w:val="sr-Latn-RS"/>
              </w:rPr>
              <w:t>Non-HDL-C</w:t>
            </w:r>
          </w:p>
          <w:p w14:paraId="57255DE9" w14:textId="77777777" w:rsidR="00172BB8" w:rsidRPr="00C83E6A" w:rsidRDefault="00172BB8">
            <w:pPr>
              <w:keepNext/>
              <w:ind w:left="-95" w:right="-83"/>
              <w:jc w:val="center"/>
              <w:rPr>
                <w:rFonts w:eastAsia="Calibri"/>
                <w:b/>
                <w:bCs/>
                <w:lang w:val="sr-Latn-RS"/>
              </w:rPr>
            </w:pPr>
            <w:r w:rsidRPr="00C83E6A">
              <w:rPr>
                <w:b/>
                <w:lang w:val="sr-Latn-RS"/>
              </w:rPr>
              <w:t>(%)</w:t>
            </w:r>
          </w:p>
        </w:tc>
        <w:tc>
          <w:tcPr>
            <w:tcW w:w="400" w:type="pct"/>
            <w:tcBorders>
              <w:top w:val="single" w:sz="8" w:space="0" w:color="000000"/>
              <w:left w:val="nil"/>
              <w:bottom w:val="single" w:sz="8" w:space="0" w:color="000000"/>
              <w:right w:val="single" w:sz="8" w:space="0" w:color="000000"/>
            </w:tcBorders>
            <w:shd w:val="clear" w:color="auto" w:fill="D9D9D9"/>
            <w:tcMar>
              <w:top w:w="11" w:type="dxa"/>
              <w:left w:w="11" w:type="dxa"/>
              <w:bottom w:w="0" w:type="dxa"/>
              <w:right w:w="11" w:type="dxa"/>
            </w:tcMar>
            <w:hideMark/>
          </w:tcPr>
          <w:p w14:paraId="4F90A5D6" w14:textId="77777777" w:rsidR="00D26E8E" w:rsidRPr="00C83E6A" w:rsidRDefault="00172BB8">
            <w:pPr>
              <w:keepNext/>
              <w:jc w:val="center"/>
              <w:rPr>
                <w:rFonts w:eastAsia="PMingLiU"/>
                <w:b/>
                <w:bCs/>
                <w:lang w:val="sr-Latn-RS"/>
              </w:rPr>
            </w:pPr>
            <w:r w:rsidRPr="00C83E6A">
              <w:rPr>
                <w:b/>
                <w:lang w:val="sr-Latn-RS"/>
              </w:rPr>
              <w:t>ApoB</w:t>
            </w:r>
          </w:p>
          <w:p w14:paraId="7B36D5AF" w14:textId="77777777" w:rsidR="00172BB8" w:rsidRPr="00C83E6A" w:rsidRDefault="00172BB8">
            <w:pPr>
              <w:keepNext/>
              <w:jc w:val="center"/>
              <w:rPr>
                <w:rFonts w:eastAsia="Calibri"/>
                <w:b/>
                <w:bCs/>
                <w:lang w:val="sr-Latn-RS"/>
              </w:rPr>
            </w:pPr>
            <w:r w:rsidRPr="00C83E6A">
              <w:rPr>
                <w:b/>
                <w:lang w:val="sr-Latn-RS"/>
              </w:rPr>
              <w:t>(%)</w:t>
            </w:r>
          </w:p>
        </w:tc>
        <w:tc>
          <w:tcPr>
            <w:tcW w:w="374" w:type="pct"/>
            <w:tcBorders>
              <w:top w:val="single" w:sz="8" w:space="0" w:color="000000"/>
              <w:left w:val="nil"/>
              <w:bottom w:val="single" w:sz="8" w:space="0" w:color="000000"/>
              <w:right w:val="single" w:sz="8" w:space="0" w:color="000000"/>
            </w:tcBorders>
            <w:shd w:val="clear" w:color="auto" w:fill="D9D9D9"/>
            <w:tcMar>
              <w:top w:w="11" w:type="dxa"/>
              <w:left w:w="11" w:type="dxa"/>
              <w:bottom w:w="0" w:type="dxa"/>
              <w:right w:w="11" w:type="dxa"/>
            </w:tcMar>
            <w:hideMark/>
          </w:tcPr>
          <w:p w14:paraId="01B09DB4" w14:textId="77777777" w:rsidR="00D26E8E" w:rsidRPr="00C83E6A" w:rsidRDefault="00172BB8">
            <w:pPr>
              <w:keepNext/>
              <w:jc w:val="center"/>
              <w:rPr>
                <w:rFonts w:eastAsia="PMingLiU"/>
                <w:b/>
                <w:bCs/>
                <w:lang w:val="sr-Latn-RS"/>
              </w:rPr>
            </w:pPr>
            <w:r w:rsidRPr="00C83E6A">
              <w:rPr>
                <w:b/>
                <w:lang w:val="sr-Latn-RS"/>
              </w:rPr>
              <w:t>TC</w:t>
            </w:r>
          </w:p>
          <w:p w14:paraId="6F9EB112" w14:textId="77777777" w:rsidR="00172BB8" w:rsidRPr="00C83E6A" w:rsidRDefault="00172BB8">
            <w:pPr>
              <w:keepNext/>
              <w:jc w:val="center"/>
              <w:rPr>
                <w:rFonts w:eastAsia="Calibri"/>
                <w:b/>
                <w:bCs/>
                <w:lang w:val="sr-Latn-RS"/>
              </w:rPr>
            </w:pPr>
            <w:r w:rsidRPr="00C83E6A">
              <w:rPr>
                <w:b/>
                <w:lang w:val="sr-Latn-RS"/>
              </w:rPr>
              <w:t>(%)</w:t>
            </w:r>
          </w:p>
        </w:tc>
        <w:tc>
          <w:tcPr>
            <w:tcW w:w="374" w:type="pct"/>
            <w:tcBorders>
              <w:top w:val="single" w:sz="8" w:space="0" w:color="000000"/>
              <w:left w:val="nil"/>
              <w:bottom w:val="single" w:sz="8" w:space="0" w:color="000000"/>
              <w:right w:val="single" w:sz="8" w:space="0" w:color="000000"/>
            </w:tcBorders>
            <w:shd w:val="clear" w:color="auto" w:fill="D9D9D9"/>
            <w:tcMar>
              <w:top w:w="11" w:type="dxa"/>
              <w:left w:w="11" w:type="dxa"/>
              <w:bottom w:w="0" w:type="dxa"/>
              <w:right w:w="11" w:type="dxa"/>
            </w:tcMar>
            <w:hideMark/>
          </w:tcPr>
          <w:p w14:paraId="35FBDF9A" w14:textId="77777777" w:rsidR="00D26E8E" w:rsidRPr="00C83E6A" w:rsidRDefault="00172BB8">
            <w:pPr>
              <w:keepNext/>
              <w:jc w:val="center"/>
              <w:rPr>
                <w:rFonts w:eastAsia="PMingLiU"/>
                <w:b/>
                <w:bCs/>
                <w:lang w:val="sr-Latn-RS"/>
              </w:rPr>
            </w:pPr>
            <w:r w:rsidRPr="00C83E6A">
              <w:rPr>
                <w:b/>
                <w:lang w:val="sr-Latn-RS"/>
              </w:rPr>
              <w:t>Lp(a)</w:t>
            </w:r>
          </w:p>
          <w:p w14:paraId="1ABDDC42" w14:textId="77777777" w:rsidR="00172BB8" w:rsidRPr="00C83E6A" w:rsidRDefault="00172BB8">
            <w:pPr>
              <w:keepNext/>
              <w:jc w:val="center"/>
              <w:rPr>
                <w:rFonts w:eastAsia="Calibri"/>
                <w:b/>
                <w:bCs/>
                <w:lang w:val="sr-Latn-RS"/>
              </w:rPr>
            </w:pPr>
            <w:r w:rsidRPr="00C83E6A">
              <w:rPr>
                <w:b/>
                <w:lang w:val="sr-Latn-RS"/>
              </w:rPr>
              <w:t>(%)</w:t>
            </w:r>
          </w:p>
        </w:tc>
        <w:tc>
          <w:tcPr>
            <w:tcW w:w="398" w:type="pct"/>
            <w:tcBorders>
              <w:top w:val="single" w:sz="8" w:space="0" w:color="000000"/>
              <w:left w:val="nil"/>
              <w:bottom w:val="single" w:sz="8" w:space="0" w:color="000000"/>
              <w:right w:val="single" w:sz="8" w:space="0" w:color="000000"/>
            </w:tcBorders>
            <w:shd w:val="clear" w:color="auto" w:fill="D9D9D9"/>
            <w:tcMar>
              <w:top w:w="11" w:type="dxa"/>
              <w:left w:w="11" w:type="dxa"/>
              <w:bottom w:w="0" w:type="dxa"/>
              <w:right w:w="11" w:type="dxa"/>
            </w:tcMar>
            <w:hideMark/>
          </w:tcPr>
          <w:p w14:paraId="00B78421" w14:textId="77777777" w:rsidR="00D26E8E" w:rsidRPr="00C83E6A" w:rsidRDefault="00172BB8">
            <w:pPr>
              <w:keepNext/>
              <w:jc w:val="center"/>
              <w:rPr>
                <w:rFonts w:eastAsia="PMingLiU"/>
                <w:b/>
                <w:bCs/>
                <w:lang w:val="sr-Latn-RS"/>
              </w:rPr>
            </w:pPr>
            <w:r w:rsidRPr="00C83E6A">
              <w:rPr>
                <w:b/>
                <w:lang w:val="sr-Latn-RS"/>
              </w:rPr>
              <w:t>VLDL-C</w:t>
            </w:r>
          </w:p>
          <w:p w14:paraId="1B54A9A7" w14:textId="77777777" w:rsidR="00172BB8" w:rsidRPr="00C83E6A" w:rsidRDefault="00172BB8">
            <w:pPr>
              <w:keepNext/>
              <w:jc w:val="center"/>
              <w:rPr>
                <w:rFonts w:eastAsia="Calibri"/>
                <w:b/>
                <w:bCs/>
                <w:lang w:val="sr-Latn-RS"/>
              </w:rPr>
            </w:pPr>
            <w:r w:rsidRPr="00C83E6A">
              <w:rPr>
                <w:b/>
                <w:lang w:val="sr-Latn-RS"/>
              </w:rPr>
              <w:t>(%)</w:t>
            </w:r>
          </w:p>
        </w:tc>
        <w:tc>
          <w:tcPr>
            <w:tcW w:w="398" w:type="pct"/>
            <w:tcBorders>
              <w:top w:val="single" w:sz="8" w:space="0" w:color="000000"/>
              <w:left w:val="nil"/>
              <w:bottom w:val="single" w:sz="8" w:space="0" w:color="000000"/>
              <w:right w:val="single" w:sz="8" w:space="0" w:color="000000"/>
            </w:tcBorders>
            <w:shd w:val="clear" w:color="auto" w:fill="D9D9D9"/>
            <w:tcMar>
              <w:top w:w="11" w:type="dxa"/>
              <w:left w:w="11" w:type="dxa"/>
              <w:bottom w:w="0" w:type="dxa"/>
              <w:right w:w="11" w:type="dxa"/>
            </w:tcMar>
            <w:hideMark/>
          </w:tcPr>
          <w:p w14:paraId="19FD1FF9" w14:textId="77777777" w:rsidR="00D26E8E" w:rsidRPr="00C83E6A" w:rsidRDefault="00172BB8">
            <w:pPr>
              <w:keepNext/>
              <w:jc w:val="center"/>
              <w:rPr>
                <w:rFonts w:eastAsia="PMingLiU"/>
                <w:b/>
                <w:bCs/>
                <w:lang w:val="sr-Latn-RS"/>
              </w:rPr>
            </w:pPr>
            <w:r w:rsidRPr="00C83E6A">
              <w:rPr>
                <w:b/>
                <w:lang w:val="sr-Latn-RS"/>
              </w:rPr>
              <w:t>HDL-C</w:t>
            </w:r>
          </w:p>
          <w:p w14:paraId="1EC04A32" w14:textId="77777777" w:rsidR="00172BB8" w:rsidRPr="00C83E6A" w:rsidRDefault="00172BB8">
            <w:pPr>
              <w:keepNext/>
              <w:jc w:val="center"/>
              <w:rPr>
                <w:rFonts w:eastAsia="Calibri"/>
                <w:b/>
                <w:bCs/>
                <w:lang w:val="sr-Latn-RS"/>
              </w:rPr>
            </w:pPr>
            <w:r w:rsidRPr="00C83E6A">
              <w:rPr>
                <w:b/>
                <w:lang w:val="sr-Latn-RS"/>
              </w:rPr>
              <w:t>(%)</w:t>
            </w:r>
          </w:p>
        </w:tc>
        <w:tc>
          <w:tcPr>
            <w:tcW w:w="398" w:type="pct"/>
            <w:tcBorders>
              <w:top w:val="single" w:sz="8" w:space="0" w:color="000000"/>
              <w:left w:val="nil"/>
              <w:bottom w:val="single" w:sz="8" w:space="0" w:color="000000"/>
              <w:right w:val="single" w:sz="8" w:space="0" w:color="000000"/>
            </w:tcBorders>
            <w:shd w:val="clear" w:color="auto" w:fill="D9D9D9"/>
            <w:hideMark/>
          </w:tcPr>
          <w:p w14:paraId="51EB1ADF" w14:textId="77777777" w:rsidR="00D26E8E" w:rsidRPr="00C83E6A" w:rsidRDefault="00172BB8">
            <w:pPr>
              <w:keepNext/>
              <w:jc w:val="center"/>
              <w:rPr>
                <w:rFonts w:eastAsia="PMingLiU"/>
                <w:b/>
                <w:bCs/>
                <w:lang w:val="sr-Latn-RS"/>
              </w:rPr>
            </w:pPr>
            <w:r w:rsidRPr="00C83E6A">
              <w:rPr>
                <w:b/>
                <w:lang w:val="sr-Latn-RS"/>
              </w:rPr>
              <w:t>TG</w:t>
            </w:r>
          </w:p>
          <w:p w14:paraId="4372AFC5" w14:textId="77777777" w:rsidR="00172BB8" w:rsidRPr="00C83E6A" w:rsidRDefault="00172BB8">
            <w:pPr>
              <w:keepNext/>
              <w:jc w:val="center"/>
              <w:rPr>
                <w:rFonts w:eastAsia="Calibri"/>
                <w:b/>
                <w:bCs/>
                <w:lang w:val="sr-Latn-RS"/>
              </w:rPr>
            </w:pPr>
            <w:r w:rsidRPr="00C83E6A">
              <w:rPr>
                <w:b/>
                <w:lang w:val="sr-Latn-RS"/>
              </w:rPr>
              <w:t>(%)</w:t>
            </w:r>
          </w:p>
        </w:tc>
        <w:tc>
          <w:tcPr>
            <w:tcW w:w="398" w:type="pct"/>
            <w:tcBorders>
              <w:top w:val="single" w:sz="8" w:space="0" w:color="000000"/>
              <w:left w:val="nil"/>
              <w:bottom w:val="single" w:sz="8" w:space="0" w:color="000000"/>
              <w:right w:val="single" w:sz="8" w:space="0" w:color="000000"/>
            </w:tcBorders>
            <w:shd w:val="clear" w:color="auto" w:fill="D9D9D9"/>
          </w:tcPr>
          <w:p w14:paraId="21CDF721" w14:textId="77777777" w:rsidR="00D26E8E" w:rsidRPr="00C83E6A" w:rsidRDefault="00172BB8">
            <w:pPr>
              <w:keepNext/>
              <w:jc w:val="center"/>
              <w:rPr>
                <w:rFonts w:eastAsia="PMingLiU"/>
                <w:b/>
                <w:bCs/>
                <w:lang w:val="sr-Latn-RS"/>
              </w:rPr>
            </w:pPr>
            <w:r w:rsidRPr="00C83E6A">
              <w:rPr>
                <w:b/>
                <w:lang w:val="sr-Latn-RS"/>
              </w:rPr>
              <w:t>Odnos TC/</w:t>
            </w:r>
            <w:r w:rsidRPr="00C83E6A">
              <w:rPr>
                <w:b/>
                <w:lang w:val="sr-Latn-RS"/>
              </w:rPr>
              <w:br/>
              <w:t>HDL-C</w:t>
            </w:r>
          </w:p>
          <w:p w14:paraId="758E694D" w14:textId="77777777" w:rsidR="00172BB8" w:rsidRPr="00C83E6A" w:rsidRDefault="00172BB8">
            <w:pPr>
              <w:keepNext/>
              <w:jc w:val="center"/>
              <w:rPr>
                <w:rFonts w:eastAsia="Calibri"/>
                <w:b/>
                <w:bCs/>
                <w:lang w:val="sr-Latn-RS"/>
              </w:rPr>
            </w:pPr>
            <w:r w:rsidRPr="00C83E6A">
              <w:rPr>
                <w:b/>
                <w:lang w:val="sr-Latn-RS"/>
              </w:rPr>
              <w:t>%</w:t>
            </w:r>
          </w:p>
        </w:tc>
        <w:tc>
          <w:tcPr>
            <w:tcW w:w="390" w:type="pct"/>
            <w:tcBorders>
              <w:top w:val="single" w:sz="8" w:space="0" w:color="000000"/>
              <w:left w:val="nil"/>
              <w:bottom w:val="single" w:sz="8" w:space="0" w:color="000000"/>
              <w:right w:val="single" w:sz="8" w:space="0" w:color="000000"/>
            </w:tcBorders>
            <w:shd w:val="clear" w:color="auto" w:fill="D9D9D9"/>
          </w:tcPr>
          <w:p w14:paraId="736AB7A4" w14:textId="77777777" w:rsidR="00D26E8E" w:rsidRPr="00C83E6A" w:rsidRDefault="00172BB8">
            <w:pPr>
              <w:keepNext/>
              <w:jc w:val="center"/>
              <w:rPr>
                <w:rFonts w:eastAsia="PMingLiU"/>
                <w:b/>
                <w:bCs/>
                <w:lang w:val="sr-Latn-RS"/>
              </w:rPr>
            </w:pPr>
            <w:r w:rsidRPr="00C83E6A">
              <w:rPr>
                <w:b/>
                <w:lang w:val="sr-Latn-RS"/>
              </w:rPr>
              <w:t>Odnos ApoB/</w:t>
            </w:r>
            <w:r w:rsidRPr="00C83E6A">
              <w:rPr>
                <w:b/>
                <w:lang w:val="sr-Latn-RS"/>
              </w:rPr>
              <w:br/>
              <w:t>ApoA1</w:t>
            </w:r>
          </w:p>
          <w:p w14:paraId="6013F467" w14:textId="77777777" w:rsidR="00172BB8" w:rsidRPr="00C83E6A" w:rsidRDefault="00172BB8">
            <w:pPr>
              <w:keepNext/>
              <w:jc w:val="center"/>
              <w:rPr>
                <w:rFonts w:eastAsia="Calibri"/>
                <w:b/>
                <w:bCs/>
                <w:lang w:val="sr-Latn-RS"/>
              </w:rPr>
            </w:pPr>
            <w:r w:rsidRPr="00C83E6A">
              <w:rPr>
                <w:b/>
                <w:lang w:val="sr-Latn-RS"/>
              </w:rPr>
              <w:t>%</w:t>
            </w:r>
          </w:p>
        </w:tc>
      </w:tr>
      <w:tr w:rsidR="00172BB8" w:rsidRPr="00C83E6A" w14:paraId="6323F771" w14:textId="77777777" w:rsidTr="001935E8">
        <w:trPr>
          <w:cantSplit/>
          <w:trHeight w:val="140"/>
        </w:trPr>
        <w:tc>
          <w:tcPr>
            <w:tcW w:w="508"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62E71643" w14:textId="77777777" w:rsidR="00D26E8E" w:rsidRPr="00C83E6A" w:rsidRDefault="00172BB8" w:rsidP="00C703F5">
            <w:pPr>
              <w:keepNext/>
              <w:jc w:val="center"/>
              <w:rPr>
                <w:rFonts w:eastAsia="PMingLiU"/>
                <w:lang w:val="sr-Latn-RS"/>
              </w:rPr>
            </w:pPr>
            <w:r w:rsidRPr="00C83E6A">
              <w:rPr>
                <w:lang w:val="sr-Latn-RS"/>
              </w:rPr>
              <w:t>TESLA</w:t>
            </w:r>
          </w:p>
          <w:p w14:paraId="564DE82C" w14:textId="77777777" w:rsidR="00172BB8" w:rsidRPr="00C83E6A" w:rsidRDefault="00172BB8">
            <w:pPr>
              <w:keepNext/>
              <w:jc w:val="center"/>
              <w:rPr>
                <w:rFonts w:eastAsia="Calibri"/>
                <w:lang w:val="sr-Latn-RS"/>
              </w:rPr>
            </w:pPr>
            <w:r w:rsidRPr="00C83E6A">
              <w:rPr>
                <w:lang w:val="sr-Latn-RS"/>
              </w:rPr>
              <w:t>(HoFH)</w:t>
            </w:r>
          </w:p>
        </w:tc>
        <w:tc>
          <w:tcPr>
            <w:tcW w:w="562" w:type="pct"/>
            <w:tcBorders>
              <w:top w:val="single" w:sz="8" w:space="0" w:color="000000"/>
              <w:left w:val="nil"/>
              <w:bottom w:val="single" w:sz="8" w:space="0" w:color="000000"/>
              <w:right w:val="single" w:sz="8" w:space="0" w:color="000000"/>
            </w:tcBorders>
            <w:shd w:val="clear" w:color="auto" w:fill="FFFFFF"/>
            <w:tcMar>
              <w:top w:w="11" w:type="dxa"/>
              <w:left w:w="90" w:type="dxa"/>
              <w:bottom w:w="0" w:type="dxa"/>
              <w:right w:w="90" w:type="dxa"/>
            </w:tcMar>
            <w:hideMark/>
          </w:tcPr>
          <w:p w14:paraId="05D0C60A" w14:textId="77777777" w:rsidR="00D26E8E" w:rsidRPr="00C83E6A" w:rsidRDefault="00172BB8">
            <w:pPr>
              <w:keepNext/>
              <w:jc w:val="center"/>
              <w:rPr>
                <w:rFonts w:eastAsia="PMingLiU"/>
                <w:lang w:val="sr-Latn-RS"/>
              </w:rPr>
            </w:pPr>
            <w:r w:rsidRPr="00C83E6A">
              <w:rPr>
                <w:lang w:val="sr-Latn-RS"/>
              </w:rPr>
              <w:t>420 mg QM</w:t>
            </w:r>
          </w:p>
          <w:p w14:paraId="354A303F" w14:textId="77777777" w:rsidR="00172BB8" w:rsidRPr="00C83E6A" w:rsidRDefault="00172BB8">
            <w:pPr>
              <w:keepNext/>
              <w:jc w:val="center"/>
              <w:rPr>
                <w:rFonts w:eastAsia="Calibri"/>
                <w:lang w:val="sr-Latn-RS"/>
              </w:rPr>
            </w:pPr>
            <w:r w:rsidRPr="00C83E6A">
              <w:rPr>
                <w:lang w:val="sr-Latn-RS"/>
              </w:rPr>
              <w:t>(N = 33)</w:t>
            </w:r>
          </w:p>
        </w:tc>
        <w:tc>
          <w:tcPr>
            <w:tcW w:w="400" w:type="pct"/>
            <w:tcBorders>
              <w:top w:val="single" w:sz="8" w:space="0" w:color="000000"/>
              <w:left w:val="nil"/>
              <w:bottom w:val="single" w:sz="8" w:space="0" w:color="000000"/>
              <w:right w:val="single" w:sz="8" w:space="0" w:color="000000"/>
            </w:tcBorders>
            <w:shd w:val="clear" w:color="auto" w:fill="FFFFFF"/>
            <w:tcMar>
              <w:top w:w="11" w:type="dxa"/>
              <w:left w:w="90" w:type="dxa"/>
              <w:bottom w:w="0" w:type="dxa"/>
              <w:right w:w="90" w:type="dxa"/>
            </w:tcMar>
            <w:vAlign w:val="center"/>
            <w:hideMark/>
          </w:tcPr>
          <w:p w14:paraId="7A29A6B7" w14:textId="77777777" w:rsidR="00D26E8E" w:rsidRPr="00C83E6A" w:rsidRDefault="00172BB8">
            <w:pPr>
              <w:keepNext/>
              <w:ind w:left="-93" w:right="-85"/>
              <w:jc w:val="center"/>
              <w:rPr>
                <w:rFonts w:eastAsia="PMingLiU"/>
                <w:lang w:val="sr-Latn-RS"/>
              </w:rPr>
            </w:pPr>
            <w:r w:rsidRPr="00C83E6A">
              <w:rPr>
                <w:lang w:val="sr-Latn-RS"/>
              </w:rPr>
              <w:t>-32</w:t>
            </w:r>
            <w:r w:rsidRPr="00C83E6A">
              <w:rPr>
                <w:vertAlign w:val="superscript"/>
                <w:lang w:val="sr-Latn-RS"/>
              </w:rPr>
              <w:t>b</w:t>
            </w:r>
          </w:p>
          <w:p w14:paraId="2AEDC5C6" w14:textId="77777777" w:rsidR="00172BB8" w:rsidRPr="00C83E6A" w:rsidRDefault="00172BB8">
            <w:pPr>
              <w:keepNext/>
              <w:ind w:left="-93" w:right="-85"/>
              <w:jc w:val="center"/>
              <w:rPr>
                <w:rFonts w:eastAsia="Calibri"/>
                <w:lang w:val="sr-Latn-RS"/>
              </w:rPr>
            </w:pPr>
            <w:r w:rsidRPr="00C83E6A">
              <w:rPr>
                <w:lang w:val="sr-Latn-RS"/>
              </w:rPr>
              <w:t>(-45, -19)</w:t>
            </w:r>
          </w:p>
        </w:tc>
        <w:tc>
          <w:tcPr>
            <w:tcW w:w="400" w:type="pct"/>
            <w:tcBorders>
              <w:top w:val="single" w:sz="8" w:space="0" w:color="000000"/>
              <w:left w:val="nil"/>
              <w:bottom w:val="single" w:sz="8" w:space="0" w:color="000000"/>
              <w:right w:val="single" w:sz="8" w:space="0" w:color="000000"/>
            </w:tcBorders>
            <w:shd w:val="clear" w:color="auto" w:fill="FFFFFF"/>
            <w:tcMar>
              <w:top w:w="11" w:type="dxa"/>
              <w:left w:w="90" w:type="dxa"/>
              <w:bottom w:w="0" w:type="dxa"/>
              <w:right w:w="90" w:type="dxa"/>
            </w:tcMar>
            <w:vAlign w:val="center"/>
            <w:hideMark/>
          </w:tcPr>
          <w:p w14:paraId="7EC90A2D" w14:textId="77777777" w:rsidR="00D26E8E" w:rsidRPr="00C83E6A" w:rsidRDefault="00172BB8">
            <w:pPr>
              <w:keepNext/>
              <w:ind w:left="-95" w:right="-83"/>
              <w:jc w:val="center"/>
              <w:rPr>
                <w:rFonts w:eastAsia="PMingLiU"/>
                <w:lang w:val="sr-Latn-RS"/>
              </w:rPr>
            </w:pPr>
            <w:r w:rsidRPr="00C83E6A">
              <w:rPr>
                <w:lang w:val="sr-Latn-RS"/>
              </w:rPr>
              <w:t>-30</w:t>
            </w:r>
            <w:r w:rsidRPr="00C83E6A">
              <w:rPr>
                <w:vertAlign w:val="superscript"/>
                <w:lang w:val="sr-Latn-RS"/>
              </w:rPr>
              <w:t>a</w:t>
            </w:r>
          </w:p>
          <w:p w14:paraId="01986AF8" w14:textId="77777777" w:rsidR="00172BB8" w:rsidRPr="00C83E6A" w:rsidRDefault="00172BB8">
            <w:pPr>
              <w:keepNext/>
              <w:ind w:left="-95" w:right="-83"/>
              <w:jc w:val="center"/>
              <w:rPr>
                <w:rFonts w:eastAsia="Calibri"/>
                <w:lang w:val="sr-Latn-RS"/>
              </w:rPr>
            </w:pPr>
            <w:r w:rsidRPr="00C83E6A">
              <w:rPr>
                <w:lang w:val="sr-Latn-RS"/>
              </w:rPr>
              <w:t>(-42, -18)</w:t>
            </w:r>
          </w:p>
        </w:tc>
        <w:tc>
          <w:tcPr>
            <w:tcW w:w="400" w:type="pct"/>
            <w:tcBorders>
              <w:top w:val="single" w:sz="8" w:space="0" w:color="000000"/>
              <w:left w:val="nil"/>
              <w:bottom w:val="single" w:sz="8" w:space="0" w:color="000000"/>
              <w:right w:val="single" w:sz="8" w:space="0" w:color="000000"/>
            </w:tcBorders>
            <w:shd w:val="clear" w:color="auto" w:fill="FFFFFF"/>
            <w:tcMar>
              <w:top w:w="11" w:type="dxa"/>
              <w:left w:w="11" w:type="dxa"/>
              <w:bottom w:w="0" w:type="dxa"/>
              <w:right w:w="11" w:type="dxa"/>
            </w:tcMar>
            <w:vAlign w:val="center"/>
            <w:hideMark/>
          </w:tcPr>
          <w:p w14:paraId="4F4C6111" w14:textId="77777777" w:rsidR="00D26E8E" w:rsidRPr="00C83E6A" w:rsidRDefault="00172BB8">
            <w:pPr>
              <w:keepNext/>
              <w:jc w:val="center"/>
              <w:rPr>
                <w:rFonts w:eastAsia="PMingLiU"/>
                <w:lang w:val="sr-Latn-RS"/>
              </w:rPr>
            </w:pPr>
            <w:r w:rsidRPr="00C83E6A">
              <w:rPr>
                <w:lang w:val="sr-Latn-RS"/>
              </w:rPr>
              <w:t>-23</w:t>
            </w:r>
            <w:r w:rsidRPr="00C83E6A">
              <w:rPr>
                <w:vertAlign w:val="superscript"/>
                <w:lang w:val="sr-Latn-RS"/>
              </w:rPr>
              <w:t>b</w:t>
            </w:r>
          </w:p>
          <w:p w14:paraId="4034B320" w14:textId="77777777" w:rsidR="00172BB8" w:rsidRPr="00C83E6A" w:rsidRDefault="00172BB8">
            <w:pPr>
              <w:keepNext/>
              <w:jc w:val="center"/>
              <w:rPr>
                <w:rFonts w:eastAsia="Calibri"/>
                <w:lang w:val="sr-Latn-RS"/>
              </w:rPr>
            </w:pPr>
            <w:r w:rsidRPr="00C83E6A">
              <w:rPr>
                <w:lang w:val="sr-Latn-RS"/>
              </w:rPr>
              <w:t>(-35, -11)</w:t>
            </w:r>
          </w:p>
        </w:tc>
        <w:tc>
          <w:tcPr>
            <w:tcW w:w="374" w:type="pct"/>
            <w:tcBorders>
              <w:top w:val="single" w:sz="8" w:space="0" w:color="000000"/>
              <w:left w:val="nil"/>
              <w:bottom w:val="single" w:sz="8" w:space="0" w:color="000000"/>
              <w:right w:val="single" w:sz="8" w:space="0" w:color="000000"/>
            </w:tcBorders>
            <w:shd w:val="clear" w:color="auto" w:fill="FFFFFF"/>
            <w:tcMar>
              <w:top w:w="11" w:type="dxa"/>
              <w:left w:w="11" w:type="dxa"/>
              <w:bottom w:w="0" w:type="dxa"/>
              <w:right w:w="11" w:type="dxa"/>
            </w:tcMar>
            <w:vAlign w:val="center"/>
            <w:hideMark/>
          </w:tcPr>
          <w:p w14:paraId="40C8B1C9" w14:textId="77777777" w:rsidR="00D26E8E" w:rsidRPr="00C83E6A" w:rsidRDefault="00172BB8">
            <w:pPr>
              <w:keepNext/>
              <w:jc w:val="center"/>
              <w:rPr>
                <w:rFonts w:eastAsia="PMingLiU"/>
                <w:lang w:val="sr-Latn-RS"/>
              </w:rPr>
            </w:pPr>
            <w:r w:rsidRPr="00C83E6A">
              <w:rPr>
                <w:lang w:val="sr-Latn-RS"/>
              </w:rPr>
              <w:t>-27</w:t>
            </w:r>
            <w:r w:rsidRPr="00C83E6A">
              <w:rPr>
                <w:vertAlign w:val="superscript"/>
                <w:lang w:val="sr-Latn-RS"/>
              </w:rPr>
              <w:t>a</w:t>
            </w:r>
          </w:p>
          <w:p w14:paraId="6E5939B8" w14:textId="77777777" w:rsidR="00172BB8" w:rsidRPr="00C83E6A" w:rsidRDefault="00172BB8">
            <w:pPr>
              <w:keepNext/>
              <w:jc w:val="center"/>
              <w:rPr>
                <w:rFonts w:eastAsia="Calibri"/>
                <w:lang w:val="sr-Latn-RS"/>
              </w:rPr>
            </w:pPr>
            <w:r w:rsidRPr="00C83E6A">
              <w:rPr>
                <w:lang w:val="sr-Latn-RS"/>
              </w:rPr>
              <w:t>(-38, -16)</w:t>
            </w:r>
          </w:p>
        </w:tc>
        <w:tc>
          <w:tcPr>
            <w:tcW w:w="374" w:type="pct"/>
            <w:tcBorders>
              <w:top w:val="single" w:sz="8" w:space="0" w:color="000000"/>
              <w:left w:val="nil"/>
              <w:bottom w:val="single" w:sz="8" w:space="0" w:color="000000"/>
              <w:right w:val="single" w:sz="8" w:space="0" w:color="000000"/>
            </w:tcBorders>
            <w:shd w:val="clear" w:color="auto" w:fill="FFFFFF"/>
            <w:tcMar>
              <w:top w:w="11" w:type="dxa"/>
              <w:left w:w="11" w:type="dxa"/>
              <w:bottom w:w="0" w:type="dxa"/>
              <w:right w:w="11" w:type="dxa"/>
            </w:tcMar>
            <w:vAlign w:val="center"/>
            <w:hideMark/>
          </w:tcPr>
          <w:p w14:paraId="70082F8B" w14:textId="77777777" w:rsidR="00D26E8E" w:rsidRPr="00C83E6A" w:rsidRDefault="00172BB8">
            <w:pPr>
              <w:keepNext/>
              <w:jc w:val="center"/>
              <w:rPr>
                <w:rFonts w:eastAsia="PMingLiU"/>
                <w:lang w:val="sr-Latn-RS"/>
              </w:rPr>
            </w:pPr>
            <w:r w:rsidRPr="00C83E6A">
              <w:rPr>
                <w:lang w:val="sr-Latn-RS"/>
              </w:rPr>
              <w:t>-12</w:t>
            </w:r>
          </w:p>
          <w:p w14:paraId="0514D053" w14:textId="77777777" w:rsidR="00172BB8" w:rsidRPr="00C83E6A" w:rsidRDefault="00172BB8">
            <w:pPr>
              <w:keepNext/>
              <w:jc w:val="center"/>
              <w:rPr>
                <w:rFonts w:eastAsia="Calibri"/>
                <w:lang w:val="sr-Latn-RS"/>
              </w:rPr>
            </w:pPr>
            <w:r w:rsidRPr="00C83E6A">
              <w:rPr>
                <w:lang w:val="sr-Latn-RS"/>
              </w:rPr>
              <w:t>(-25, 2)</w:t>
            </w:r>
          </w:p>
        </w:tc>
        <w:tc>
          <w:tcPr>
            <w:tcW w:w="398" w:type="pct"/>
            <w:tcBorders>
              <w:top w:val="single" w:sz="8" w:space="0" w:color="000000"/>
              <w:left w:val="nil"/>
              <w:bottom w:val="single" w:sz="8" w:space="0" w:color="000000"/>
              <w:right w:val="single" w:sz="8" w:space="0" w:color="000000"/>
            </w:tcBorders>
            <w:shd w:val="clear" w:color="auto" w:fill="FFFFFF"/>
            <w:tcMar>
              <w:top w:w="11" w:type="dxa"/>
              <w:left w:w="11" w:type="dxa"/>
              <w:bottom w:w="0" w:type="dxa"/>
              <w:right w:w="11" w:type="dxa"/>
            </w:tcMar>
            <w:vAlign w:val="center"/>
            <w:hideMark/>
          </w:tcPr>
          <w:p w14:paraId="0A88B821" w14:textId="77777777" w:rsidR="00D26E8E" w:rsidRPr="00C83E6A" w:rsidRDefault="00172BB8">
            <w:pPr>
              <w:keepNext/>
              <w:jc w:val="center"/>
              <w:rPr>
                <w:rFonts w:eastAsia="PMingLiU"/>
                <w:lang w:val="sr-Latn-RS"/>
              </w:rPr>
            </w:pPr>
            <w:r w:rsidRPr="00C83E6A">
              <w:rPr>
                <w:lang w:val="sr-Latn-RS"/>
              </w:rPr>
              <w:t>-44</w:t>
            </w:r>
          </w:p>
          <w:p w14:paraId="3A0C7167" w14:textId="77777777" w:rsidR="00172BB8" w:rsidRPr="00C83E6A" w:rsidRDefault="00172BB8">
            <w:pPr>
              <w:keepNext/>
              <w:jc w:val="center"/>
              <w:rPr>
                <w:rFonts w:eastAsia="Calibri"/>
                <w:lang w:val="sr-Latn-RS"/>
              </w:rPr>
            </w:pPr>
            <w:r w:rsidRPr="00C83E6A">
              <w:rPr>
                <w:lang w:val="sr-Latn-RS"/>
              </w:rPr>
              <w:t>(-128, 40)</w:t>
            </w:r>
          </w:p>
        </w:tc>
        <w:tc>
          <w:tcPr>
            <w:tcW w:w="398" w:type="pct"/>
            <w:tcBorders>
              <w:top w:val="single" w:sz="8" w:space="0" w:color="000000"/>
              <w:left w:val="nil"/>
              <w:bottom w:val="single" w:sz="8" w:space="0" w:color="000000"/>
              <w:right w:val="single" w:sz="8" w:space="0" w:color="000000"/>
            </w:tcBorders>
            <w:shd w:val="clear" w:color="auto" w:fill="FFFFFF"/>
            <w:tcMar>
              <w:top w:w="11" w:type="dxa"/>
              <w:left w:w="11" w:type="dxa"/>
              <w:bottom w:w="0" w:type="dxa"/>
              <w:right w:w="11" w:type="dxa"/>
            </w:tcMar>
            <w:vAlign w:val="center"/>
            <w:hideMark/>
          </w:tcPr>
          <w:p w14:paraId="0A6744BA" w14:textId="77777777" w:rsidR="00D26E8E" w:rsidRPr="00C83E6A" w:rsidRDefault="00172BB8">
            <w:pPr>
              <w:keepNext/>
              <w:jc w:val="center"/>
              <w:rPr>
                <w:rFonts w:eastAsia="PMingLiU"/>
                <w:lang w:val="sr-Latn-RS"/>
              </w:rPr>
            </w:pPr>
            <w:r w:rsidRPr="00C83E6A">
              <w:rPr>
                <w:lang w:val="sr-Latn-RS"/>
              </w:rPr>
              <w:t>-0,1</w:t>
            </w:r>
          </w:p>
          <w:p w14:paraId="36C451E9" w14:textId="77777777" w:rsidR="00172BB8" w:rsidRPr="00C83E6A" w:rsidRDefault="00172BB8">
            <w:pPr>
              <w:keepNext/>
              <w:jc w:val="center"/>
              <w:rPr>
                <w:rFonts w:eastAsia="Calibri"/>
                <w:lang w:val="sr-Latn-RS"/>
              </w:rPr>
            </w:pPr>
            <w:r w:rsidRPr="00C83E6A">
              <w:rPr>
                <w:lang w:val="sr-Latn-RS"/>
              </w:rPr>
              <w:t>(-9, 9)</w:t>
            </w:r>
          </w:p>
        </w:tc>
        <w:tc>
          <w:tcPr>
            <w:tcW w:w="398" w:type="pct"/>
            <w:tcBorders>
              <w:top w:val="single" w:sz="8" w:space="0" w:color="000000"/>
              <w:left w:val="nil"/>
              <w:bottom w:val="single" w:sz="8" w:space="0" w:color="000000"/>
              <w:right w:val="single" w:sz="8" w:space="0" w:color="000000"/>
            </w:tcBorders>
            <w:shd w:val="clear" w:color="auto" w:fill="FFFFFF"/>
            <w:vAlign w:val="center"/>
            <w:hideMark/>
          </w:tcPr>
          <w:p w14:paraId="24873648" w14:textId="77777777" w:rsidR="00D26E8E" w:rsidRPr="00C83E6A" w:rsidRDefault="00172BB8">
            <w:pPr>
              <w:keepNext/>
              <w:jc w:val="center"/>
              <w:rPr>
                <w:rFonts w:eastAsia="PMingLiU"/>
                <w:lang w:val="sr-Latn-RS"/>
              </w:rPr>
            </w:pPr>
            <w:r w:rsidRPr="00C83E6A">
              <w:rPr>
                <w:lang w:val="sr-Latn-RS"/>
              </w:rPr>
              <w:t>0,3</w:t>
            </w:r>
          </w:p>
          <w:p w14:paraId="723A2B70" w14:textId="77777777" w:rsidR="00172BB8" w:rsidRPr="00C83E6A" w:rsidRDefault="00172BB8">
            <w:pPr>
              <w:keepNext/>
              <w:jc w:val="center"/>
              <w:rPr>
                <w:rFonts w:eastAsia="Calibri"/>
                <w:lang w:val="sr-Latn-RS"/>
              </w:rPr>
            </w:pPr>
            <w:r w:rsidRPr="00C83E6A">
              <w:rPr>
                <w:lang w:val="sr-Latn-RS"/>
              </w:rPr>
              <w:t>(-15, 16)</w:t>
            </w:r>
          </w:p>
        </w:tc>
        <w:tc>
          <w:tcPr>
            <w:tcW w:w="398" w:type="pct"/>
            <w:tcBorders>
              <w:top w:val="single" w:sz="8" w:space="0" w:color="000000"/>
              <w:left w:val="nil"/>
              <w:bottom w:val="single" w:sz="8" w:space="0" w:color="000000"/>
              <w:right w:val="single" w:sz="8" w:space="0" w:color="000000"/>
            </w:tcBorders>
            <w:shd w:val="clear" w:color="auto" w:fill="FFFFFF"/>
            <w:vAlign w:val="center"/>
          </w:tcPr>
          <w:p w14:paraId="3CA16C3C" w14:textId="77777777" w:rsidR="00D26E8E" w:rsidRPr="00C83E6A" w:rsidRDefault="00172BB8">
            <w:pPr>
              <w:keepNext/>
              <w:jc w:val="center"/>
              <w:rPr>
                <w:rFonts w:eastAsia="PMingLiU"/>
                <w:lang w:val="sr-Latn-RS"/>
              </w:rPr>
            </w:pPr>
            <w:r w:rsidRPr="00C83E6A">
              <w:rPr>
                <w:lang w:val="sr-Latn-RS"/>
              </w:rPr>
              <w:t>-26</w:t>
            </w:r>
            <w:r w:rsidRPr="00C83E6A">
              <w:rPr>
                <w:vertAlign w:val="superscript"/>
                <w:lang w:val="sr-Latn-RS"/>
              </w:rPr>
              <w:t>a</w:t>
            </w:r>
          </w:p>
          <w:p w14:paraId="17C22014" w14:textId="77777777" w:rsidR="00172BB8" w:rsidRPr="00C83E6A" w:rsidRDefault="00172BB8">
            <w:pPr>
              <w:keepNext/>
              <w:jc w:val="center"/>
              <w:rPr>
                <w:rFonts w:eastAsia="Calibri"/>
                <w:bCs/>
                <w:lang w:val="sr-Latn-RS"/>
              </w:rPr>
            </w:pPr>
            <w:r w:rsidRPr="00C83E6A">
              <w:rPr>
                <w:lang w:val="sr-Latn-RS"/>
              </w:rPr>
              <w:t>(-38, -14)</w:t>
            </w:r>
          </w:p>
        </w:tc>
        <w:tc>
          <w:tcPr>
            <w:tcW w:w="390" w:type="pct"/>
            <w:tcBorders>
              <w:top w:val="single" w:sz="8" w:space="0" w:color="000000"/>
              <w:left w:val="nil"/>
              <w:bottom w:val="single" w:sz="8" w:space="0" w:color="000000"/>
              <w:right w:val="single" w:sz="8" w:space="0" w:color="000000"/>
            </w:tcBorders>
            <w:shd w:val="clear" w:color="auto" w:fill="FFFFFF"/>
            <w:vAlign w:val="center"/>
          </w:tcPr>
          <w:p w14:paraId="0D55506C" w14:textId="77777777" w:rsidR="00D26E8E" w:rsidRPr="00C83E6A" w:rsidRDefault="00172BB8">
            <w:pPr>
              <w:keepNext/>
              <w:jc w:val="center"/>
              <w:rPr>
                <w:rFonts w:eastAsia="PMingLiU"/>
                <w:lang w:val="sr-Latn-RS"/>
              </w:rPr>
            </w:pPr>
            <w:r w:rsidRPr="00C83E6A">
              <w:rPr>
                <w:lang w:val="sr-Latn-RS"/>
              </w:rPr>
              <w:t>-28</w:t>
            </w:r>
            <w:r w:rsidRPr="00C83E6A">
              <w:rPr>
                <w:vertAlign w:val="superscript"/>
                <w:lang w:val="sr-Latn-RS"/>
              </w:rPr>
              <w:t>a</w:t>
            </w:r>
          </w:p>
          <w:p w14:paraId="1CFAF8B5" w14:textId="77777777" w:rsidR="00172BB8" w:rsidRPr="00C83E6A" w:rsidRDefault="00172BB8">
            <w:pPr>
              <w:keepNext/>
              <w:jc w:val="center"/>
              <w:rPr>
                <w:rFonts w:eastAsia="Calibri"/>
                <w:bCs/>
                <w:lang w:val="sr-Latn-RS"/>
              </w:rPr>
            </w:pPr>
            <w:r w:rsidRPr="00C83E6A">
              <w:rPr>
                <w:lang w:val="sr-Latn-RS"/>
              </w:rPr>
              <w:t>(-39, -17)</w:t>
            </w:r>
          </w:p>
        </w:tc>
      </w:tr>
    </w:tbl>
    <w:p w14:paraId="75D89306" w14:textId="77777777" w:rsidR="001F0B18" w:rsidRPr="00C83E6A" w:rsidRDefault="00096D7F" w:rsidP="001D6451">
      <w:pPr>
        <w:pStyle w:val="StyleTablenotes"/>
        <w:jc w:val="both"/>
        <w:rPr>
          <w:sz w:val="22"/>
          <w:szCs w:val="22"/>
          <w:lang w:val="sr-Latn-RS"/>
        </w:rPr>
      </w:pPr>
      <w:r w:rsidRPr="00C83E6A">
        <w:rPr>
          <w:sz w:val="22"/>
          <w:szCs w:val="22"/>
          <w:lang w:val="sr-Latn-RS"/>
        </w:rPr>
        <w:t xml:space="preserve">Legenda: HoFH = Homozigotna porodična hiperholesterolemija; QM = jednom mjesečno, </w:t>
      </w:r>
    </w:p>
    <w:p w14:paraId="108D3961" w14:textId="77777777" w:rsidR="001F0B18" w:rsidRPr="00C83E6A" w:rsidRDefault="00096D7F" w:rsidP="001D6451">
      <w:pPr>
        <w:pStyle w:val="StyleTablenotes"/>
        <w:jc w:val="both"/>
        <w:rPr>
          <w:sz w:val="22"/>
          <w:szCs w:val="22"/>
          <w:lang w:val="sr-Latn-RS"/>
        </w:rPr>
      </w:pPr>
      <w:r w:rsidRPr="00C83E6A">
        <w:rPr>
          <w:sz w:val="22"/>
          <w:szCs w:val="22"/>
          <w:vertAlign w:val="superscript"/>
          <w:lang w:val="sr-Latn-RS"/>
        </w:rPr>
        <w:t>a</w:t>
      </w:r>
      <w:r w:rsidRPr="00C83E6A">
        <w:rPr>
          <w:sz w:val="22"/>
          <w:szCs w:val="22"/>
          <w:lang w:val="sr-Latn-RS"/>
        </w:rPr>
        <w:t xml:space="preserve"> nominalna p vrijednost &lt; 0,001 pri poređenju sa placebom, </w:t>
      </w:r>
    </w:p>
    <w:p w14:paraId="14DEFCCE" w14:textId="77777777" w:rsidR="00D26E8E" w:rsidRPr="00C83E6A" w:rsidRDefault="00096D7F" w:rsidP="001D6451">
      <w:pPr>
        <w:pStyle w:val="StyleTablenotes"/>
        <w:jc w:val="both"/>
        <w:rPr>
          <w:rFonts w:eastAsia="PMingLiU"/>
          <w:sz w:val="22"/>
          <w:szCs w:val="22"/>
          <w:lang w:val="sr-Latn-RS"/>
        </w:rPr>
      </w:pPr>
      <w:r w:rsidRPr="00C83E6A">
        <w:rPr>
          <w:sz w:val="22"/>
          <w:szCs w:val="22"/>
          <w:vertAlign w:val="superscript"/>
          <w:lang w:val="sr-Latn-RS"/>
        </w:rPr>
        <w:t>b</w:t>
      </w:r>
      <w:r w:rsidRPr="00C83E6A">
        <w:rPr>
          <w:sz w:val="22"/>
          <w:szCs w:val="22"/>
          <w:lang w:val="sr-Latn-RS"/>
        </w:rPr>
        <w:t xml:space="preserve"> p vrijednost &lt; 0,001 pri poređenju sa placebom.</w:t>
      </w:r>
    </w:p>
    <w:p w14:paraId="49953803" w14:textId="77777777" w:rsidR="00D36B2C" w:rsidRPr="00C83E6A" w:rsidRDefault="00D36B2C" w:rsidP="001D6451">
      <w:pPr>
        <w:pStyle w:val="StyleBold"/>
        <w:jc w:val="both"/>
        <w:rPr>
          <w:highlight w:val="cyan"/>
          <w:lang w:val="sr-Latn-RS"/>
        </w:rPr>
      </w:pPr>
    </w:p>
    <w:p w14:paraId="7C92A85F" w14:textId="77777777" w:rsidR="00D26E8E" w:rsidRPr="00C83E6A" w:rsidRDefault="00096D7F" w:rsidP="001D6451">
      <w:pPr>
        <w:pStyle w:val="StyleUnderlined"/>
        <w:jc w:val="both"/>
        <w:rPr>
          <w:rFonts w:eastAsia="PMingLiU"/>
          <w:lang w:val="sr-Latn-RS"/>
        </w:rPr>
      </w:pPr>
      <w:r w:rsidRPr="00C83E6A">
        <w:rPr>
          <w:lang w:val="sr-Latn-RS"/>
        </w:rPr>
        <w:t>Dugoročna efikasnost kod homozigotne porodične hiperholesterolemije</w:t>
      </w:r>
    </w:p>
    <w:p w14:paraId="21524A30" w14:textId="77777777" w:rsidR="00D26E8E" w:rsidRPr="00C83E6A" w:rsidRDefault="00D26E8E" w:rsidP="001D6451">
      <w:pPr>
        <w:keepNext/>
        <w:jc w:val="both"/>
        <w:rPr>
          <w:rFonts w:eastAsia="PMingLiU"/>
          <w:lang w:val="sr-Latn-RS"/>
        </w:rPr>
      </w:pPr>
    </w:p>
    <w:p w14:paraId="6CF4C8B6" w14:textId="77777777" w:rsidR="00D26E8E" w:rsidRPr="00C83E6A" w:rsidRDefault="00096D7F" w:rsidP="001D6451">
      <w:pPr>
        <w:jc w:val="both"/>
        <w:rPr>
          <w:rFonts w:eastAsia="PMingLiU"/>
          <w:lang w:val="sr-Latn-RS"/>
        </w:rPr>
      </w:pPr>
      <w:r w:rsidRPr="00C83E6A">
        <w:rPr>
          <w:lang w:val="sr-Latn-RS"/>
        </w:rPr>
        <w:t>U studiji TAUSSIG, dugoročna primjena lijeka Repatha pokazala je održani efekat liječenja, što je dokazano smanjenjem vrijednosti LDL</w:t>
      </w:r>
      <w:r w:rsidRPr="00C83E6A">
        <w:rPr>
          <w:lang w:val="sr-Latn-RS"/>
        </w:rPr>
        <w:noBreakHyphen/>
        <w:t>C</w:t>
      </w:r>
      <w:r w:rsidRPr="00C83E6A">
        <w:rPr>
          <w:lang w:val="sr-Latn-RS"/>
        </w:rPr>
        <w:noBreakHyphen/>
        <w:t>a od oko 20% do 30% kod pacijenata sa homozigotnom porodičnom hiperholesterolemijom koji nijesu bili na aferezi, i oko 10% do 30% kod pacijenata sa homozigotnom porodičnom hiperholesterolemijom na aferezi (vidjeti Tabelu 8). Promjene ostalih lipidnih parametara (TC, ApoB, non</w:t>
      </w:r>
      <w:r w:rsidRPr="00C83E6A">
        <w:rPr>
          <w:lang w:val="sr-Latn-RS"/>
        </w:rPr>
        <w:noBreakHyphen/>
        <w:t>HDL</w:t>
      </w:r>
      <w:r w:rsidRPr="00C83E6A">
        <w:rPr>
          <w:lang w:val="sr-Latn-RS"/>
        </w:rPr>
        <w:noBreakHyphen/>
        <w:t>C, TC/HDL</w:t>
      </w:r>
      <w:r w:rsidRPr="00C83E6A">
        <w:rPr>
          <w:lang w:val="sr-Latn-RS"/>
        </w:rPr>
        <w:noBreakHyphen/>
        <w:t>C i ApoB/ApoA1) su takođe pokazale održani efekat dugotrajne primjene lijeka Repatha kod pacijenata sa homozigotnom porodičnom hiperholesterolemijom. Smanjenja vrijednosti LDL</w:t>
      </w:r>
      <w:r w:rsidRPr="00C83E6A">
        <w:rPr>
          <w:lang w:val="sr-Latn-RS"/>
        </w:rPr>
        <w:noBreakHyphen/>
        <w:t>C</w:t>
      </w:r>
      <w:r w:rsidRPr="00C83E6A">
        <w:rPr>
          <w:lang w:val="sr-Latn-RS"/>
        </w:rPr>
        <w:noBreakHyphen/>
        <w:t>a i promjene u drugim lipidnim parametrima kod 14 adolescentnih pacijenata (uzrasta od ≥ 12 do &lt; 18 godina) sa homozigotnom porodičnom hiperholesterolemijom su uporedive sa onima u ukupnoj populaciji pacijenata sa homozigotnom porodičnom hiperholesterolemijom.</w:t>
      </w:r>
    </w:p>
    <w:p w14:paraId="05C4CD94" w14:textId="77777777" w:rsidR="00D26E8E" w:rsidRPr="00C83E6A" w:rsidRDefault="00D26E8E" w:rsidP="001D6451">
      <w:pPr>
        <w:jc w:val="both"/>
        <w:rPr>
          <w:rFonts w:eastAsia="PMingLiU"/>
          <w:u w:val="single"/>
          <w:lang w:val="sr-Latn-RS"/>
        </w:rPr>
      </w:pPr>
    </w:p>
    <w:p w14:paraId="6A0F6A20" w14:textId="77777777" w:rsidR="00D26E8E" w:rsidRPr="00C83E6A" w:rsidRDefault="00096D7F" w:rsidP="001D6451">
      <w:pPr>
        <w:pStyle w:val="StyleBoldLeft"/>
        <w:keepNext/>
        <w:jc w:val="both"/>
        <w:rPr>
          <w:rFonts w:eastAsia="PMingLiU"/>
          <w:lang w:val="sr-Latn-RS"/>
        </w:rPr>
      </w:pPr>
      <w:r w:rsidRPr="00C83E6A">
        <w:rPr>
          <w:lang w:val="sr-Latn-RS"/>
        </w:rPr>
        <w:t>Tabela 8: Efekat evolokumaba na vrijednosti LDL</w:t>
      </w:r>
      <w:r w:rsidRPr="00C83E6A">
        <w:rPr>
          <w:lang w:val="sr-Latn-RS"/>
        </w:rPr>
        <w:noBreakHyphen/>
        <w:t>C</w:t>
      </w:r>
      <w:r w:rsidRPr="00C83E6A">
        <w:rPr>
          <w:lang w:val="sr-Latn-RS"/>
        </w:rPr>
        <w:noBreakHyphen/>
        <w:t>a kod pacijenata sa homozigotnom porodičnom hiperholesterolemijom – srednji procenat promjene od početne vrijednosti do 216. nedjelje OLE</w:t>
      </w:r>
      <w:r w:rsidRPr="00C83E6A">
        <w:rPr>
          <w:lang w:val="sr-Latn-RS"/>
        </w:rPr>
        <w:noBreakHyphen/>
        <w:t>a (i povezani 95% CI)</w:t>
      </w:r>
    </w:p>
    <w:p w14:paraId="6C6732C7" w14:textId="77777777" w:rsidR="00B762F7" w:rsidRPr="00C83E6A" w:rsidRDefault="00B762F7" w:rsidP="001D6451">
      <w:pPr>
        <w:keepNext/>
        <w:autoSpaceDE w:val="0"/>
        <w:autoSpaceDN w:val="0"/>
        <w:adjustRightInd w:val="0"/>
        <w:jc w:val="both"/>
        <w:rPr>
          <w:rFonts w:eastAsia="PMingLiU"/>
          <w:lang w:val="sr-Latn-RS"/>
        </w:rPr>
      </w:pPr>
    </w:p>
    <w:tbl>
      <w:tblPr>
        <w:tblW w:w="505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592"/>
        <w:gridCol w:w="905"/>
        <w:gridCol w:w="905"/>
        <w:gridCol w:w="905"/>
        <w:gridCol w:w="905"/>
        <w:gridCol w:w="905"/>
        <w:gridCol w:w="1010"/>
        <w:gridCol w:w="1010"/>
        <w:gridCol w:w="1010"/>
      </w:tblGrid>
      <w:tr w:rsidR="00172BB8" w:rsidRPr="00C83E6A" w14:paraId="136AD9D4" w14:textId="77777777" w:rsidTr="008E0BDF">
        <w:trPr>
          <w:cantSplit/>
          <w:trHeight w:val="394"/>
          <w:tblHeader/>
        </w:trPr>
        <w:tc>
          <w:tcPr>
            <w:tcW w:w="1700" w:type="dxa"/>
            <w:shd w:val="clear" w:color="auto" w:fill="D9D9D9"/>
            <w:vAlign w:val="center"/>
          </w:tcPr>
          <w:p w14:paraId="4E13DE60" w14:textId="77777777" w:rsidR="00D26E8E" w:rsidRPr="00C83E6A" w:rsidRDefault="00172BB8" w:rsidP="001D6451">
            <w:pPr>
              <w:pStyle w:val="Style10BoldCentered"/>
              <w:keepLines w:val="0"/>
              <w:jc w:val="both"/>
              <w:rPr>
                <w:rFonts w:eastAsia="PMingLiU"/>
                <w:sz w:val="22"/>
                <w:lang w:val="sr-Latn-RS"/>
              </w:rPr>
            </w:pPr>
            <w:r w:rsidRPr="00C83E6A">
              <w:rPr>
                <w:sz w:val="22"/>
                <w:lang w:val="sr-Latn-RS"/>
              </w:rPr>
              <w:t>Populacija pacijenata</w:t>
            </w:r>
          </w:p>
          <w:p w14:paraId="6B46D9DF" w14:textId="77777777" w:rsidR="00172BB8" w:rsidRPr="00C83E6A" w:rsidRDefault="00172BB8" w:rsidP="001D6451">
            <w:pPr>
              <w:pStyle w:val="Style10BoldCentered"/>
              <w:keepLines w:val="0"/>
              <w:jc w:val="both"/>
              <w:rPr>
                <w:sz w:val="22"/>
                <w:lang w:val="sr-Latn-RS"/>
              </w:rPr>
            </w:pPr>
            <w:r w:rsidRPr="00C83E6A">
              <w:rPr>
                <w:sz w:val="22"/>
                <w:lang w:val="sr-Latn-RS"/>
              </w:rPr>
              <w:t>(N)</w:t>
            </w:r>
          </w:p>
        </w:tc>
        <w:tc>
          <w:tcPr>
            <w:tcW w:w="964" w:type="dxa"/>
            <w:shd w:val="clear" w:color="auto" w:fill="D9D9D9"/>
            <w:vAlign w:val="center"/>
          </w:tcPr>
          <w:p w14:paraId="1821276A" w14:textId="77777777" w:rsidR="00172BB8" w:rsidRPr="00C83E6A" w:rsidRDefault="00172BB8" w:rsidP="00AE7B3F">
            <w:pPr>
              <w:pStyle w:val="Style10BoldCentered"/>
              <w:keepLines w:val="0"/>
              <w:rPr>
                <w:sz w:val="22"/>
                <w:lang w:val="sr-Latn-RS"/>
              </w:rPr>
            </w:pPr>
            <w:r w:rsidRPr="00C83E6A">
              <w:rPr>
                <w:sz w:val="22"/>
                <w:lang w:val="sr-Latn-RS"/>
              </w:rPr>
              <w:t>OLE 12. </w:t>
            </w:r>
            <w:r w:rsidRPr="00C83E6A">
              <w:rPr>
                <w:sz w:val="22"/>
                <w:lang w:val="sr-Latn-RS"/>
              </w:rPr>
              <w:br/>
              <w:t>nedjelja</w:t>
            </w:r>
          </w:p>
        </w:tc>
        <w:tc>
          <w:tcPr>
            <w:tcW w:w="964" w:type="dxa"/>
            <w:shd w:val="clear" w:color="auto" w:fill="D9D9D9"/>
            <w:vAlign w:val="center"/>
          </w:tcPr>
          <w:p w14:paraId="4AF1DA75" w14:textId="77777777" w:rsidR="00172BB8" w:rsidRPr="00C83E6A" w:rsidRDefault="00172BB8">
            <w:pPr>
              <w:pStyle w:val="Style10BoldCentered"/>
              <w:keepLines w:val="0"/>
              <w:rPr>
                <w:sz w:val="22"/>
                <w:lang w:val="sr-Latn-RS"/>
              </w:rPr>
            </w:pPr>
            <w:r w:rsidRPr="00C83E6A">
              <w:rPr>
                <w:sz w:val="22"/>
                <w:lang w:val="sr-Latn-RS"/>
              </w:rPr>
              <w:t>OLE 24. </w:t>
            </w:r>
            <w:r w:rsidRPr="00C83E6A">
              <w:rPr>
                <w:sz w:val="22"/>
                <w:lang w:val="sr-Latn-RS"/>
              </w:rPr>
              <w:br/>
              <w:t>nedjelja</w:t>
            </w:r>
          </w:p>
        </w:tc>
        <w:tc>
          <w:tcPr>
            <w:tcW w:w="964" w:type="dxa"/>
            <w:shd w:val="clear" w:color="auto" w:fill="D9D9D9"/>
            <w:vAlign w:val="center"/>
          </w:tcPr>
          <w:p w14:paraId="3B56A940" w14:textId="77777777" w:rsidR="00172BB8" w:rsidRPr="00C83E6A" w:rsidRDefault="00172BB8">
            <w:pPr>
              <w:pStyle w:val="Style10BoldCentered"/>
              <w:keepLines w:val="0"/>
              <w:rPr>
                <w:sz w:val="22"/>
                <w:lang w:val="sr-Latn-RS"/>
              </w:rPr>
            </w:pPr>
            <w:r w:rsidRPr="00C83E6A">
              <w:rPr>
                <w:sz w:val="22"/>
                <w:lang w:val="sr-Latn-RS"/>
              </w:rPr>
              <w:t>OLE 36. </w:t>
            </w:r>
            <w:r w:rsidRPr="00C83E6A">
              <w:rPr>
                <w:sz w:val="22"/>
                <w:lang w:val="sr-Latn-RS"/>
              </w:rPr>
              <w:br/>
              <w:t>nedjelja</w:t>
            </w:r>
          </w:p>
        </w:tc>
        <w:tc>
          <w:tcPr>
            <w:tcW w:w="964" w:type="dxa"/>
            <w:shd w:val="clear" w:color="auto" w:fill="D9D9D9"/>
            <w:vAlign w:val="center"/>
          </w:tcPr>
          <w:p w14:paraId="06A7C190" w14:textId="77777777" w:rsidR="00172BB8" w:rsidRPr="00C83E6A" w:rsidRDefault="00172BB8">
            <w:pPr>
              <w:pStyle w:val="Style10BoldCentered"/>
              <w:keepLines w:val="0"/>
              <w:rPr>
                <w:sz w:val="22"/>
                <w:lang w:val="sr-Latn-RS"/>
              </w:rPr>
            </w:pPr>
            <w:r w:rsidRPr="00C83E6A">
              <w:rPr>
                <w:sz w:val="22"/>
                <w:lang w:val="sr-Latn-RS"/>
              </w:rPr>
              <w:t>OLE 48. </w:t>
            </w:r>
            <w:r w:rsidRPr="00C83E6A">
              <w:rPr>
                <w:sz w:val="22"/>
                <w:lang w:val="sr-Latn-RS"/>
              </w:rPr>
              <w:br/>
              <w:t>nedjelja</w:t>
            </w:r>
          </w:p>
        </w:tc>
        <w:tc>
          <w:tcPr>
            <w:tcW w:w="964" w:type="dxa"/>
            <w:shd w:val="clear" w:color="auto" w:fill="D9D9D9"/>
            <w:vAlign w:val="center"/>
          </w:tcPr>
          <w:p w14:paraId="6CB96576" w14:textId="77777777" w:rsidR="00172BB8" w:rsidRPr="00C83E6A" w:rsidRDefault="00172BB8">
            <w:pPr>
              <w:pStyle w:val="Style10BoldCentered"/>
              <w:keepLines w:val="0"/>
              <w:rPr>
                <w:sz w:val="22"/>
                <w:lang w:val="sr-Latn-RS"/>
              </w:rPr>
            </w:pPr>
            <w:r w:rsidRPr="00C83E6A">
              <w:rPr>
                <w:sz w:val="22"/>
                <w:lang w:val="sr-Latn-RS"/>
              </w:rPr>
              <w:t>OLE 96. </w:t>
            </w:r>
            <w:r w:rsidRPr="00C83E6A">
              <w:rPr>
                <w:sz w:val="22"/>
                <w:lang w:val="sr-Latn-RS"/>
              </w:rPr>
              <w:br/>
              <w:t>nedjelja</w:t>
            </w:r>
          </w:p>
        </w:tc>
        <w:tc>
          <w:tcPr>
            <w:tcW w:w="1077" w:type="dxa"/>
            <w:shd w:val="clear" w:color="auto" w:fill="D9D9D9"/>
            <w:vAlign w:val="center"/>
          </w:tcPr>
          <w:p w14:paraId="1F7649E5" w14:textId="77777777" w:rsidR="00172BB8" w:rsidRPr="00C83E6A" w:rsidRDefault="00172BB8">
            <w:pPr>
              <w:pStyle w:val="Style10BoldCentered"/>
              <w:keepLines w:val="0"/>
              <w:rPr>
                <w:sz w:val="22"/>
                <w:lang w:val="sr-Latn-RS"/>
              </w:rPr>
            </w:pPr>
            <w:r w:rsidRPr="00C83E6A">
              <w:rPr>
                <w:sz w:val="22"/>
                <w:lang w:val="sr-Latn-RS"/>
              </w:rPr>
              <w:t>OLE 144. </w:t>
            </w:r>
            <w:r w:rsidRPr="00C83E6A">
              <w:rPr>
                <w:sz w:val="22"/>
                <w:lang w:val="sr-Latn-RS"/>
              </w:rPr>
              <w:br/>
              <w:t>nedjelja</w:t>
            </w:r>
          </w:p>
        </w:tc>
        <w:tc>
          <w:tcPr>
            <w:tcW w:w="1077" w:type="dxa"/>
            <w:shd w:val="clear" w:color="auto" w:fill="D9D9D9"/>
            <w:vAlign w:val="center"/>
          </w:tcPr>
          <w:p w14:paraId="17FD8A92" w14:textId="77777777" w:rsidR="00172BB8" w:rsidRPr="00C83E6A" w:rsidRDefault="00172BB8">
            <w:pPr>
              <w:pStyle w:val="Style10BoldCentered"/>
              <w:keepLines w:val="0"/>
              <w:rPr>
                <w:sz w:val="22"/>
                <w:lang w:val="sr-Latn-RS"/>
              </w:rPr>
            </w:pPr>
            <w:r w:rsidRPr="00C83E6A">
              <w:rPr>
                <w:sz w:val="22"/>
                <w:lang w:val="sr-Latn-RS"/>
              </w:rPr>
              <w:t>OLE 192. </w:t>
            </w:r>
            <w:r w:rsidRPr="00C83E6A">
              <w:rPr>
                <w:sz w:val="22"/>
                <w:lang w:val="sr-Latn-RS"/>
              </w:rPr>
              <w:br/>
              <w:t>nedjelja</w:t>
            </w:r>
          </w:p>
        </w:tc>
        <w:tc>
          <w:tcPr>
            <w:tcW w:w="1077" w:type="dxa"/>
            <w:shd w:val="clear" w:color="auto" w:fill="D9D9D9"/>
            <w:vAlign w:val="center"/>
          </w:tcPr>
          <w:p w14:paraId="74B9B53D" w14:textId="77777777" w:rsidR="00172BB8" w:rsidRPr="00C83E6A" w:rsidRDefault="00172BB8">
            <w:pPr>
              <w:pStyle w:val="Style10BoldCentered"/>
              <w:keepLines w:val="0"/>
              <w:rPr>
                <w:sz w:val="22"/>
                <w:lang w:val="sr-Latn-RS"/>
              </w:rPr>
            </w:pPr>
            <w:r w:rsidRPr="00C83E6A">
              <w:rPr>
                <w:sz w:val="22"/>
                <w:lang w:val="sr-Latn-RS"/>
              </w:rPr>
              <w:t>OLE 216. </w:t>
            </w:r>
            <w:r w:rsidRPr="00C83E6A">
              <w:rPr>
                <w:sz w:val="22"/>
                <w:lang w:val="sr-Latn-RS"/>
              </w:rPr>
              <w:br/>
              <w:t>nedjelja</w:t>
            </w:r>
          </w:p>
        </w:tc>
      </w:tr>
      <w:tr w:rsidR="00172BB8" w:rsidRPr="00C83E6A" w14:paraId="49B28D2B" w14:textId="77777777" w:rsidTr="008E0BDF">
        <w:trPr>
          <w:cantSplit/>
          <w:trHeight w:val="799"/>
        </w:trPr>
        <w:tc>
          <w:tcPr>
            <w:tcW w:w="1700" w:type="dxa"/>
            <w:shd w:val="clear" w:color="auto" w:fill="auto"/>
            <w:vAlign w:val="center"/>
          </w:tcPr>
          <w:p w14:paraId="05334674" w14:textId="77777777" w:rsidR="00D26E8E" w:rsidRPr="00C83E6A" w:rsidRDefault="00172BB8" w:rsidP="001D6451">
            <w:pPr>
              <w:pStyle w:val="Style10PtCenter"/>
              <w:keepNext w:val="0"/>
              <w:keepLines w:val="0"/>
              <w:spacing w:before="0" w:after="0"/>
              <w:jc w:val="left"/>
              <w:rPr>
                <w:rFonts w:eastAsia="PMingLiU"/>
                <w:sz w:val="22"/>
                <w:lang w:val="sr-Latn-RS"/>
              </w:rPr>
            </w:pPr>
            <w:r w:rsidRPr="00C83E6A">
              <w:rPr>
                <w:sz w:val="22"/>
                <w:lang w:val="sr-Latn-RS"/>
              </w:rPr>
              <w:t>Homozigotna porodična hiper</w:t>
            </w:r>
            <w:r w:rsidRPr="00C83E6A">
              <w:rPr>
                <w:sz w:val="22"/>
                <w:lang w:val="sr-Latn-RS"/>
              </w:rPr>
              <w:softHyphen/>
              <w:t>holesterolemija</w:t>
            </w:r>
          </w:p>
          <w:p w14:paraId="1B22789B" w14:textId="77777777" w:rsidR="00172BB8" w:rsidRPr="00C83E6A" w:rsidRDefault="00172BB8" w:rsidP="001D6451">
            <w:pPr>
              <w:pStyle w:val="Style8PtCenter"/>
              <w:keepNext w:val="0"/>
              <w:keepLines w:val="0"/>
              <w:spacing w:before="0"/>
              <w:jc w:val="left"/>
              <w:rPr>
                <w:sz w:val="22"/>
                <w:szCs w:val="22"/>
                <w:lang w:val="sr-Latn-RS"/>
              </w:rPr>
            </w:pPr>
            <w:r w:rsidRPr="00C83E6A">
              <w:rPr>
                <w:sz w:val="22"/>
                <w:szCs w:val="22"/>
                <w:lang w:val="sr-Latn-RS"/>
              </w:rPr>
              <w:t>(N = 106)</w:t>
            </w:r>
          </w:p>
        </w:tc>
        <w:tc>
          <w:tcPr>
            <w:tcW w:w="964" w:type="dxa"/>
            <w:shd w:val="clear" w:color="auto" w:fill="auto"/>
            <w:vAlign w:val="center"/>
          </w:tcPr>
          <w:p w14:paraId="14798916" w14:textId="77777777" w:rsidR="00D26E8E" w:rsidRPr="00C83E6A" w:rsidRDefault="00172BB8" w:rsidP="00AE7B3F">
            <w:pPr>
              <w:pStyle w:val="Style10PtCenter"/>
              <w:keepNext w:val="0"/>
              <w:keepLines w:val="0"/>
              <w:spacing w:before="0" w:after="0"/>
              <w:rPr>
                <w:rFonts w:eastAsia="PMingLiU"/>
                <w:sz w:val="22"/>
                <w:lang w:val="sr-Latn-RS"/>
              </w:rPr>
            </w:pPr>
            <w:r w:rsidRPr="00C83E6A">
              <w:rPr>
                <w:sz w:val="22"/>
                <w:lang w:val="sr-Latn-RS"/>
              </w:rPr>
              <w:t>-21,2</w:t>
            </w:r>
          </w:p>
          <w:p w14:paraId="158CBC01" w14:textId="77777777" w:rsidR="00D26E8E" w:rsidRPr="00C83E6A" w:rsidRDefault="00172BB8">
            <w:pPr>
              <w:pStyle w:val="Style8PtCenter"/>
              <w:keepNext w:val="0"/>
              <w:keepLines w:val="0"/>
              <w:spacing w:before="0"/>
              <w:rPr>
                <w:rFonts w:eastAsia="PMingLiU"/>
                <w:sz w:val="22"/>
                <w:szCs w:val="22"/>
                <w:lang w:val="sr-Latn-RS"/>
              </w:rPr>
            </w:pPr>
            <w:r w:rsidRPr="00C83E6A">
              <w:rPr>
                <w:sz w:val="22"/>
                <w:szCs w:val="22"/>
                <w:lang w:val="sr-Latn-RS"/>
              </w:rPr>
              <w:t>(-26,0; -16,3)</w:t>
            </w:r>
          </w:p>
          <w:p w14:paraId="53152FE1" w14:textId="77777777" w:rsidR="00172BB8" w:rsidRPr="00C83E6A" w:rsidRDefault="00172BB8">
            <w:pPr>
              <w:pStyle w:val="Style8PtCenter"/>
              <w:keepNext w:val="0"/>
              <w:keepLines w:val="0"/>
              <w:spacing w:before="0"/>
              <w:rPr>
                <w:sz w:val="22"/>
                <w:szCs w:val="22"/>
                <w:lang w:val="sr-Latn-RS"/>
              </w:rPr>
            </w:pPr>
            <w:r w:rsidRPr="00C83E6A">
              <w:rPr>
                <w:sz w:val="22"/>
                <w:szCs w:val="22"/>
                <w:lang w:val="sr-Latn-RS"/>
              </w:rPr>
              <w:t>(n = 104)</w:t>
            </w:r>
          </w:p>
        </w:tc>
        <w:tc>
          <w:tcPr>
            <w:tcW w:w="964" w:type="dxa"/>
            <w:shd w:val="clear" w:color="auto" w:fill="auto"/>
            <w:vAlign w:val="center"/>
          </w:tcPr>
          <w:p w14:paraId="6EDAA972" w14:textId="77777777" w:rsidR="00D26E8E" w:rsidRPr="00C83E6A" w:rsidRDefault="00172BB8">
            <w:pPr>
              <w:pStyle w:val="Style10PtCenter"/>
              <w:keepNext w:val="0"/>
              <w:keepLines w:val="0"/>
              <w:spacing w:before="0" w:after="0"/>
              <w:rPr>
                <w:rFonts w:eastAsia="PMingLiU"/>
                <w:sz w:val="22"/>
                <w:lang w:val="sr-Latn-RS"/>
              </w:rPr>
            </w:pPr>
            <w:r w:rsidRPr="00C83E6A">
              <w:rPr>
                <w:sz w:val="22"/>
                <w:lang w:val="sr-Latn-RS"/>
              </w:rPr>
              <w:t>-21,4</w:t>
            </w:r>
          </w:p>
          <w:p w14:paraId="55A36B08" w14:textId="77777777" w:rsidR="00D26E8E" w:rsidRPr="00C83E6A" w:rsidRDefault="00172BB8">
            <w:pPr>
              <w:pStyle w:val="Style8PtCenter"/>
              <w:keepNext w:val="0"/>
              <w:keepLines w:val="0"/>
              <w:spacing w:before="0"/>
              <w:rPr>
                <w:rFonts w:eastAsia="PMingLiU"/>
                <w:sz w:val="22"/>
                <w:szCs w:val="22"/>
                <w:lang w:val="sr-Latn-RS"/>
              </w:rPr>
            </w:pPr>
            <w:r w:rsidRPr="00C83E6A">
              <w:rPr>
                <w:sz w:val="22"/>
                <w:szCs w:val="22"/>
                <w:lang w:val="sr-Latn-RS"/>
              </w:rPr>
              <w:t>(-27,8; -15,0)</w:t>
            </w:r>
          </w:p>
          <w:p w14:paraId="794DEC0B" w14:textId="77777777" w:rsidR="00172BB8" w:rsidRPr="00C83E6A" w:rsidRDefault="00172BB8">
            <w:pPr>
              <w:pStyle w:val="Style8PtCenter"/>
              <w:keepNext w:val="0"/>
              <w:keepLines w:val="0"/>
              <w:spacing w:before="0"/>
              <w:rPr>
                <w:sz w:val="22"/>
                <w:szCs w:val="22"/>
                <w:lang w:val="sr-Latn-RS"/>
              </w:rPr>
            </w:pPr>
            <w:r w:rsidRPr="00C83E6A">
              <w:rPr>
                <w:sz w:val="22"/>
                <w:szCs w:val="22"/>
                <w:lang w:val="sr-Latn-RS"/>
              </w:rPr>
              <w:t>(n = 99)</w:t>
            </w:r>
          </w:p>
        </w:tc>
        <w:tc>
          <w:tcPr>
            <w:tcW w:w="964" w:type="dxa"/>
            <w:shd w:val="clear" w:color="auto" w:fill="auto"/>
            <w:vAlign w:val="center"/>
          </w:tcPr>
          <w:p w14:paraId="3D654F8B" w14:textId="77777777" w:rsidR="00D26E8E" w:rsidRPr="00C83E6A" w:rsidRDefault="00172BB8">
            <w:pPr>
              <w:pStyle w:val="Style10PtCenter"/>
              <w:keepNext w:val="0"/>
              <w:keepLines w:val="0"/>
              <w:spacing w:before="0" w:after="0"/>
              <w:rPr>
                <w:rFonts w:eastAsia="PMingLiU"/>
                <w:sz w:val="22"/>
                <w:lang w:val="sr-Latn-RS"/>
              </w:rPr>
            </w:pPr>
            <w:r w:rsidRPr="00C83E6A">
              <w:rPr>
                <w:sz w:val="22"/>
                <w:lang w:val="sr-Latn-RS"/>
              </w:rPr>
              <w:t>-27,0</w:t>
            </w:r>
          </w:p>
          <w:p w14:paraId="72A9508C" w14:textId="77777777" w:rsidR="00D26E8E" w:rsidRPr="00C83E6A" w:rsidRDefault="00172BB8">
            <w:pPr>
              <w:pStyle w:val="Style8PtCenter"/>
              <w:keepNext w:val="0"/>
              <w:keepLines w:val="0"/>
              <w:spacing w:before="0"/>
              <w:rPr>
                <w:rFonts w:eastAsia="PMingLiU"/>
                <w:sz w:val="22"/>
                <w:szCs w:val="22"/>
                <w:lang w:val="sr-Latn-RS"/>
              </w:rPr>
            </w:pPr>
            <w:r w:rsidRPr="00C83E6A">
              <w:rPr>
                <w:sz w:val="22"/>
                <w:szCs w:val="22"/>
                <w:lang w:val="sr-Latn-RS"/>
              </w:rPr>
              <w:t>(-32,1; -21,9)</w:t>
            </w:r>
          </w:p>
          <w:p w14:paraId="64840EE2" w14:textId="77777777" w:rsidR="00172BB8" w:rsidRPr="00C83E6A" w:rsidRDefault="00172BB8">
            <w:pPr>
              <w:pStyle w:val="Style8PtCenter"/>
              <w:keepNext w:val="0"/>
              <w:keepLines w:val="0"/>
              <w:spacing w:before="0"/>
              <w:rPr>
                <w:sz w:val="22"/>
                <w:szCs w:val="22"/>
                <w:lang w:val="sr-Latn-RS"/>
              </w:rPr>
            </w:pPr>
            <w:r w:rsidRPr="00C83E6A">
              <w:rPr>
                <w:sz w:val="22"/>
                <w:szCs w:val="22"/>
                <w:lang w:val="sr-Latn-RS"/>
              </w:rPr>
              <w:t>(n = 94)</w:t>
            </w:r>
          </w:p>
        </w:tc>
        <w:tc>
          <w:tcPr>
            <w:tcW w:w="964" w:type="dxa"/>
            <w:shd w:val="clear" w:color="auto" w:fill="auto"/>
            <w:vAlign w:val="center"/>
          </w:tcPr>
          <w:p w14:paraId="393BD00A" w14:textId="77777777" w:rsidR="00D26E8E" w:rsidRPr="00C83E6A" w:rsidRDefault="00172BB8">
            <w:pPr>
              <w:pStyle w:val="Style10PtCenter"/>
              <w:keepNext w:val="0"/>
              <w:keepLines w:val="0"/>
              <w:spacing w:before="0" w:after="0"/>
              <w:rPr>
                <w:rFonts w:eastAsia="PMingLiU"/>
                <w:sz w:val="22"/>
                <w:lang w:val="sr-Latn-RS"/>
              </w:rPr>
            </w:pPr>
            <w:r w:rsidRPr="00C83E6A">
              <w:rPr>
                <w:sz w:val="22"/>
                <w:lang w:val="sr-Latn-RS"/>
              </w:rPr>
              <w:t>-24,8</w:t>
            </w:r>
          </w:p>
          <w:p w14:paraId="46A8E49A" w14:textId="77777777" w:rsidR="00D26E8E" w:rsidRPr="00C83E6A" w:rsidRDefault="00172BB8">
            <w:pPr>
              <w:pStyle w:val="Style8PtCenter"/>
              <w:keepNext w:val="0"/>
              <w:keepLines w:val="0"/>
              <w:spacing w:before="0"/>
              <w:rPr>
                <w:rFonts w:eastAsia="PMingLiU"/>
                <w:sz w:val="22"/>
                <w:szCs w:val="22"/>
                <w:lang w:val="sr-Latn-RS"/>
              </w:rPr>
            </w:pPr>
            <w:r w:rsidRPr="00C83E6A">
              <w:rPr>
                <w:sz w:val="22"/>
                <w:szCs w:val="22"/>
                <w:lang w:val="sr-Latn-RS"/>
              </w:rPr>
              <w:t>(-31,4; -18,3)</w:t>
            </w:r>
          </w:p>
          <w:p w14:paraId="5856C109" w14:textId="77777777" w:rsidR="00172BB8" w:rsidRPr="00C83E6A" w:rsidRDefault="00172BB8">
            <w:pPr>
              <w:pStyle w:val="Style8PtCenter"/>
              <w:keepNext w:val="0"/>
              <w:keepLines w:val="0"/>
              <w:spacing w:before="0"/>
              <w:rPr>
                <w:sz w:val="22"/>
                <w:szCs w:val="22"/>
                <w:lang w:val="sr-Latn-RS"/>
              </w:rPr>
            </w:pPr>
            <w:r w:rsidRPr="00C83E6A">
              <w:rPr>
                <w:sz w:val="22"/>
                <w:szCs w:val="22"/>
                <w:lang w:val="sr-Latn-RS"/>
              </w:rPr>
              <w:t>(n = 93)</w:t>
            </w:r>
          </w:p>
        </w:tc>
        <w:tc>
          <w:tcPr>
            <w:tcW w:w="964" w:type="dxa"/>
            <w:shd w:val="clear" w:color="auto" w:fill="auto"/>
            <w:vAlign w:val="center"/>
          </w:tcPr>
          <w:p w14:paraId="13384EFD" w14:textId="77777777" w:rsidR="00D26E8E" w:rsidRPr="00C83E6A" w:rsidRDefault="00172BB8">
            <w:pPr>
              <w:pStyle w:val="Style10PtCenter"/>
              <w:keepNext w:val="0"/>
              <w:keepLines w:val="0"/>
              <w:spacing w:before="0" w:after="0"/>
              <w:rPr>
                <w:rFonts w:eastAsia="PMingLiU"/>
                <w:sz w:val="22"/>
                <w:lang w:val="sr-Latn-RS"/>
              </w:rPr>
            </w:pPr>
            <w:r w:rsidRPr="00C83E6A">
              <w:rPr>
                <w:sz w:val="22"/>
                <w:lang w:val="sr-Latn-RS"/>
              </w:rPr>
              <w:t>-25,0</w:t>
            </w:r>
          </w:p>
          <w:p w14:paraId="723AF5C8" w14:textId="77777777" w:rsidR="00D26E8E" w:rsidRPr="00C83E6A" w:rsidRDefault="00172BB8">
            <w:pPr>
              <w:pStyle w:val="Style8PtCenter"/>
              <w:keepNext w:val="0"/>
              <w:keepLines w:val="0"/>
              <w:spacing w:before="0"/>
              <w:rPr>
                <w:rFonts w:eastAsia="PMingLiU"/>
                <w:sz w:val="22"/>
                <w:szCs w:val="22"/>
                <w:lang w:val="sr-Latn-RS"/>
              </w:rPr>
            </w:pPr>
            <w:r w:rsidRPr="00C83E6A">
              <w:rPr>
                <w:sz w:val="22"/>
                <w:szCs w:val="22"/>
                <w:lang w:val="sr-Latn-RS"/>
              </w:rPr>
              <w:t>(-31,2; -18,8)</w:t>
            </w:r>
          </w:p>
          <w:p w14:paraId="5AF3EA7F" w14:textId="77777777" w:rsidR="00172BB8" w:rsidRPr="00C83E6A" w:rsidRDefault="00172BB8">
            <w:pPr>
              <w:pStyle w:val="Style8PtCenter"/>
              <w:keepNext w:val="0"/>
              <w:keepLines w:val="0"/>
              <w:spacing w:before="0"/>
              <w:rPr>
                <w:sz w:val="22"/>
                <w:szCs w:val="22"/>
                <w:lang w:val="sr-Latn-RS"/>
              </w:rPr>
            </w:pPr>
            <w:r w:rsidRPr="00C83E6A">
              <w:rPr>
                <w:sz w:val="22"/>
                <w:szCs w:val="22"/>
                <w:lang w:val="sr-Latn-RS"/>
              </w:rPr>
              <w:t>(n = 82)</w:t>
            </w:r>
          </w:p>
        </w:tc>
        <w:tc>
          <w:tcPr>
            <w:tcW w:w="1077" w:type="dxa"/>
            <w:shd w:val="clear" w:color="auto" w:fill="auto"/>
            <w:vAlign w:val="center"/>
          </w:tcPr>
          <w:p w14:paraId="5A77F941" w14:textId="77777777" w:rsidR="00D26E8E" w:rsidRPr="00C83E6A" w:rsidRDefault="00172BB8">
            <w:pPr>
              <w:pStyle w:val="Style10PtCenter"/>
              <w:keepNext w:val="0"/>
              <w:keepLines w:val="0"/>
              <w:spacing w:before="0" w:after="0"/>
              <w:rPr>
                <w:rFonts w:eastAsia="PMingLiU"/>
                <w:sz w:val="22"/>
                <w:lang w:val="sr-Latn-RS"/>
              </w:rPr>
            </w:pPr>
            <w:r w:rsidRPr="00C83E6A">
              <w:rPr>
                <w:sz w:val="22"/>
                <w:lang w:val="sr-Latn-RS"/>
              </w:rPr>
              <w:t>-27,7</w:t>
            </w:r>
          </w:p>
          <w:p w14:paraId="47A21AC3" w14:textId="77777777" w:rsidR="00D26E8E" w:rsidRPr="00C83E6A" w:rsidRDefault="00172BB8">
            <w:pPr>
              <w:pStyle w:val="Style8PtCenter"/>
              <w:keepNext w:val="0"/>
              <w:keepLines w:val="0"/>
              <w:spacing w:before="0"/>
              <w:rPr>
                <w:rFonts w:eastAsia="PMingLiU"/>
                <w:sz w:val="22"/>
                <w:szCs w:val="22"/>
                <w:lang w:val="sr-Latn-RS"/>
              </w:rPr>
            </w:pPr>
            <w:r w:rsidRPr="00C83E6A">
              <w:rPr>
                <w:sz w:val="22"/>
                <w:szCs w:val="22"/>
                <w:lang w:val="sr-Latn-RS"/>
              </w:rPr>
              <w:t>(-34,9; -20,5)</w:t>
            </w:r>
          </w:p>
          <w:p w14:paraId="30E9971D" w14:textId="77777777" w:rsidR="00172BB8" w:rsidRPr="00C83E6A" w:rsidRDefault="00172BB8">
            <w:pPr>
              <w:pStyle w:val="Style8PtCenter"/>
              <w:keepNext w:val="0"/>
              <w:keepLines w:val="0"/>
              <w:spacing w:before="0"/>
              <w:rPr>
                <w:sz w:val="22"/>
                <w:szCs w:val="22"/>
                <w:lang w:val="sr-Latn-RS"/>
              </w:rPr>
            </w:pPr>
            <w:r w:rsidRPr="00C83E6A">
              <w:rPr>
                <w:sz w:val="22"/>
                <w:szCs w:val="22"/>
                <w:lang w:val="sr-Latn-RS"/>
              </w:rPr>
              <w:t>(n = 79)</w:t>
            </w:r>
          </w:p>
        </w:tc>
        <w:tc>
          <w:tcPr>
            <w:tcW w:w="1077" w:type="dxa"/>
            <w:shd w:val="clear" w:color="auto" w:fill="auto"/>
            <w:vAlign w:val="center"/>
          </w:tcPr>
          <w:p w14:paraId="0C56F912" w14:textId="77777777" w:rsidR="00D26E8E" w:rsidRPr="00C83E6A" w:rsidRDefault="00172BB8">
            <w:pPr>
              <w:pStyle w:val="Style10PtCenter"/>
              <w:keepNext w:val="0"/>
              <w:keepLines w:val="0"/>
              <w:spacing w:before="0" w:after="0"/>
              <w:rPr>
                <w:rFonts w:eastAsia="PMingLiU"/>
                <w:sz w:val="22"/>
                <w:lang w:val="sr-Latn-RS"/>
              </w:rPr>
            </w:pPr>
            <w:r w:rsidRPr="00C83E6A">
              <w:rPr>
                <w:sz w:val="22"/>
                <w:lang w:val="sr-Latn-RS"/>
              </w:rPr>
              <w:t>-27,4</w:t>
            </w:r>
          </w:p>
          <w:p w14:paraId="7F9DF097" w14:textId="77777777" w:rsidR="00D26E8E" w:rsidRPr="00C83E6A" w:rsidRDefault="00172BB8">
            <w:pPr>
              <w:pStyle w:val="Style8PtCenter"/>
              <w:keepNext w:val="0"/>
              <w:keepLines w:val="0"/>
              <w:spacing w:before="0"/>
              <w:rPr>
                <w:rFonts w:eastAsia="PMingLiU"/>
                <w:sz w:val="22"/>
                <w:szCs w:val="22"/>
                <w:lang w:val="sr-Latn-RS"/>
              </w:rPr>
            </w:pPr>
            <w:r w:rsidRPr="00C83E6A">
              <w:rPr>
                <w:sz w:val="22"/>
                <w:szCs w:val="22"/>
                <w:lang w:val="sr-Latn-RS"/>
              </w:rPr>
              <w:t>(-36,9; -17,8)</w:t>
            </w:r>
          </w:p>
          <w:p w14:paraId="6923D4E0" w14:textId="77777777" w:rsidR="00172BB8" w:rsidRPr="00C83E6A" w:rsidRDefault="00172BB8">
            <w:pPr>
              <w:pStyle w:val="Style8PtCenter"/>
              <w:keepNext w:val="0"/>
              <w:keepLines w:val="0"/>
              <w:spacing w:before="0"/>
              <w:rPr>
                <w:sz w:val="22"/>
                <w:szCs w:val="22"/>
                <w:lang w:val="sr-Latn-RS"/>
              </w:rPr>
            </w:pPr>
            <w:r w:rsidRPr="00C83E6A">
              <w:rPr>
                <w:sz w:val="22"/>
                <w:szCs w:val="22"/>
                <w:lang w:val="sr-Latn-RS"/>
              </w:rPr>
              <w:t>(n = 74)</w:t>
            </w:r>
          </w:p>
        </w:tc>
        <w:tc>
          <w:tcPr>
            <w:tcW w:w="1077" w:type="dxa"/>
            <w:shd w:val="clear" w:color="auto" w:fill="auto"/>
            <w:vAlign w:val="center"/>
          </w:tcPr>
          <w:p w14:paraId="1EAA97AD" w14:textId="77777777" w:rsidR="00D26E8E" w:rsidRPr="00C83E6A" w:rsidRDefault="00172BB8">
            <w:pPr>
              <w:pStyle w:val="Style10PtCenter"/>
              <w:keepNext w:val="0"/>
              <w:keepLines w:val="0"/>
              <w:spacing w:before="0" w:after="0"/>
              <w:rPr>
                <w:rFonts w:eastAsia="PMingLiU"/>
                <w:sz w:val="22"/>
                <w:lang w:val="sr-Latn-RS"/>
              </w:rPr>
            </w:pPr>
            <w:r w:rsidRPr="00C83E6A">
              <w:rPr>
                <w:sz w:val="22"/>
                <w:lang w:val="sr-Latn-RS"/>
              </w:rPr>
              <w:t>-24,0</w:t>
            </w:r>
          </w:p>
          <w:p w14:paraId="11899CD2" w14:textId="77777777" w:rsidR="00D26E8E" w:rsidRPr="00C83E6A" w:rsidRDefault="00172BB8">
            <w:pPr>
              <w:pStyle w:val="Style8PtCenter"/>
              <w:keepNext w:val="0"/>
              <w:keepLines w:val="0"/>
              <w:spacing w:before="0"/>
              <w:rPr>
                <w:rFonts w:eastAsia="PMingLiU"/>
                <w:sz w:val="22"/>
                <w:szCs w:val="22"/>
                <w:lang w:val="sr-Latn-RS"/>
              </w:rPr>
            </w:pPr>
            <w:r w:rsidRPr="00C83E6A">
              <w:rPr>
                <w:sz w:val="22"/>
                <w:szCs w:val="22"/>
                <w:lang w:val="sr-Latn-RS"/>
              </w:rPr>
              <w:t>(-34,0; -14,0)</w:t>
            </w:r>
          </w:p>
          <w:p w14:paraId="6751D703" w14:textId="77777777" w:rsidR="00172BB8" w:rsidRPr="00C83E6A" w:rsidRDefault="00172BB8">
            <w:pPr>
              <w:pStyle w:val="Style8PtCenter"/>
              <w:keepNext w:val="0"/>
              <w:keepLines w:val="0"/>
              <w:spacing w:before="0"/>
              <w:rPr>
                <w:sz w:val="22"/>
                <w:szCs w:val="22"/>
                <w:lang w:val="sr-Latn-RS"/>
              </w:rPr>
            </w:pPr>
            <w:r w:rsidRPr="00C83E6A">
              <w:rPr>
                <w:sz w:val="22"/>
                <w:szCs w:val="22"/>
                <w:lang w:val="sr-Latn-RS"/>
              </w:rPr>
              <w:t>(n = 68)</w:t>
            </w:r>
          </w:p>
        </w:tc>
      </w:tr>
      <w:tr w:rsidR="00172BB8" w:rsidRPr="00C83E6A" w14:paraId="7B364FDD" w14:textId="77777777" w:rsidTr="008E0BDF">
        <w:trPr>
          <w:cantSplit/>
          <w:trHeight w:val="965"/>
        </w:trPr>
        <w:tc>
          <w:tcPr>
            <w:tcW w:w="1700" w:type="dxa"/>
            <w:shd w:val="clear" w:color="auto" w:fill="auto"/>
            <w:vAlign w:val="center"/>
          </w:tcPr>
          <w:p w14:paraId="61DE86DB" w14:textId="77777777" w:rsidR="00D26E8E" w:rsidRPr="00C83E6A" w:rsidRDefault="00172BB8" w:rsidP="001D6451">
            <w:pPr>
              <w:pStyle w:val="Style10PtCenter"/>
              <w:keepNext w:val="0"/>
              <w:keepLines w:val="0"/>
              <w:spacing w:before="0" w:after="0"/>
              <w:jc w:val="left"/>
              <w:rPr>
                <w:rFonts w:eastAsia="PMingLiU"/>
                <w:sz w:val="22"/>
                <w:lang w:val="sr-Latn-RS"/>
              </w:rPr>
            </w:pPr>
            <w:r w:rsidRPr="00C83E6A">
              <w:rPr>
                <w:sz w:val="22"/>
                <w:lang w:val="sr-Latn-RS"/>
              </w:rPr>
              <w:t>Ne primaju aferezu</w:t>
            </w:r>
          </w:p>
          <w:p w14:paraId="30E87067" w14:textId="77777777" w:rsidR="00172BB8" w:rsidRPr="00C83E6A" w:rsidRDefault="00172BB8" w:rsidP="001D6451">
            <w:pPr>
              <w:pStyle w:val="Style8PtCenter"/>
              <w:keepNext w:val="0"/>
              <w:keepLines w:val="0"/>
              <w:spacing w:before="0"/>
              <w:jc w:val="left"/>
              <w:rPr>
                <w:sz w:val="22"/>
                <w:szCs w:val="22"/>
                <w:lang w:val="sr-Latn-RS"/>
              </w:rPr>
            </w:pPr>
            <w:r w:rsidRPr="00C83E6A">
              <w:rPr>
                <w:sz w:val="22"/>
                <w:szCs w:val="22"/>
                <w:lang w:val="sr-Latn-RS"/>
              </w:rPr>
              <w:t>(N = 72)</w:t>
            </w:r>
          </w:p>
        </w:tc>
        <w:tc>
          <w:tcPr>
            <w:tcW w:w="964" w:type="dxa"/>
            <w:shd w:val="clear" w:color="auto" w:fill="auto"/>
            <w:vAlign w:val="center"/>
          </w:tcPr>
          <w:p w14:paraId="602CE806" w14:textId="77777777" w:rsidR="00D26E8E" w:rsidRPr="00C83E6A" w:rsidRDefault="00172BB8" w:rsidP="00AE7B3F">
            <w:pPr>
              <w:pStyle w:val="Style10PtCenter"/>
              <w:keepNext w:val="0"/>
              <w:keepLines w:val="0"/>
              <w:spacing w:before="0" w:after="0"/>
              <w:rPr>
                <w:rFonts w:eastAsia="PMingLiU"/>
                <w:sz w:val="22"/>
                <w:lang w:val="sr-Latn-RS"/>
              </w:rPr>
            </w:pPr>
            <w:r w:rsidRPr="00C83E6A">
              <w:rPr>
                <w:sz w:val="22"/>
                <w:lang w:val="sr-Latn-RS"/>
              </w:rPr>
              <w:t>-22,7</w:t>
            </w:r>
          </w:p>
          <w:p w14:paraId="35CE0865" w14:textId="77777777" w:rsidR="00D26E8E" w:rsidRPr="00C83E6A" w:rsidRDefault="00172BB8">
            <w:pPr>
              <w:pStyle w:val="Style8PtCenter"/>
              <w:keepNext w:val="0"/>
              <w:keepLines w:val="0"/>
              <w:spacing w:before="0"/>
              <w:rPr>
                <w:rFonts w:eastAsia="PMingLiU"/>
                <w:sz w:val="22"/>
                <w:szCs w:val="22"/>
                <w:lang w:val="sr-Latn-RS"/>
              </w:rPr>
            </w:pPr>
            <w:r w:rsidRPr="00C83E6A">
              <w:rPr>
                <w:sz w:val="22"/>
                <w:szCs w:val="22"/>
                <w:lang w:val="sr-Latn-RS"/>
              </w:rPr>
              <w:t>(-28,1; -17,2)</w:t>
            </w:r>
          </w:p>
          <w:p w14:paraId="3C24D8D8" w14:textId="77777777" w:rsidR="00172BB8" w:rsidRPr="00C83E6A" w:rsidRDefault="00172BB8">
            <w:pPr>
              <w:pStyle w:val="Style8PtCenter"/>
              <w:keepNext w:val="0"/>
              <w:keepLines w:val="0"/>
              <w:spacing w:before="0"/>
              <w:rPr>
                <w:sz w:val="22"/>
                <w:szCs w:val="22"/>
                <w:lang w:val="sr-Latn-RS"/>
              </w:rPr>
            </w:pPr>
            <w:r w:rsidRPr="00C83E6A">
              <w:rPr>
                <w:sz w:val="22"/>
                <w:szCs w:val="22"/>
                <w:lang w:val="sr-Latn-RS"/>
              </w:rPr>
              <w:t>(n = 70)</w:t>
            </w:r>
          </w:p>
        </w:tc>
        <w:tc>
          <w:tcPr>
            <w:tcW w:w="964" w:type="dxa"/>
            <w:shd w:val="clear" w:color="auto" w:fill="auto"/>
            <w:vAlign w:val="center"/>
          </w:tcPr>
          <w:p w14:paraId="6C9F9B40" w14:textId="77777777" w:rsidR="00D26E8E" w:rsidRPr="00C83E6A" w:rsidRDefault="00172BB8">
            <w:pPr>
              <w:pStyle w:val="Style10PtCenter"/>
              <w:keepNext w:val="0"/>
              <w:keepLines w:val="0"/>
              <w:spacing w:before="0" w:after="0"/>
              <w:rPr>
                <w:rFonts w:eastAsia="PMingLiU"/>
                <w:sz w:val="22"/>
                <w:lang w:val="sr-Latn-RS"/>
              </w:rPr>
            </w:pPr>
            <w:r w:rsidRPr="00C83E6A">
              <w:rPr>
                <w:sz w:val="22"/>
                <w:lang w:val="sr-Latn-RS"/>
              </w:rPr>
              <w:t>-25,8</w:t>
            </w:r>
          </w:p>
          <w:p w14:paraId="4213DCB6" w14:textId="77777777" w:rsidR="00D26E8E" w:rsidRPr="00C83E6A" w:rsidRDefault="00172BB8">
            <w:pPr>
              <w:pStyle w:val="Style8PtCenter"/>
              <w:keepNext w:val="0"/>
              <w:keepLines w:val="0"/>
              <w:spacing w:before="0"/>
              <w:rPr>
                <w:rFonts w:eastAsia="PMingLiU"/>
                <w:sz w:val="22"/>
                <w:szCs w:val="22"/>
                <w:lang w:val="sr-Latn-RS"/>
              </w:rPr>
            </w:pPr>
            <w:r w:rsidRPr="00C83E6A">
              <w:rPr>
                <w:sz w:val="22"/>
                <w:szCs w:val="22"/>
                <w:lang w:val="sr-Latn-RS"/>
              </w:rPr>
              <w:t>(-33,1; -18,5)</w:t>
            </w:r>
          </w:p>
          <w:p w14:paraId="0F0712B4" w14:textId="77777777" w:rsidR="00172BB8" w:rsidRPr="00C83E6A" w:rsidRDefault="00172BB8">
            <w:pPr>
              <w:pStyle w:val="Style8PtCenter"/>
              <w:keepNext w:val="0"/>
              <w:keepLines w:val="0"/>
              <w:spacing w:before="0"/>
              <w:rPr>
                <w:sz w:val="22"/>
                <w:szCs w:val="22"/>
                <w:lang w:val="sr-Latn-RS"/>
              </w:rPr>
            </w:pPr>
            <w:r w:rsidRPr="00C83E6A">
              <w:rPr>
                <w:sz w:val="22"/>
                <w:szCs w:val="22"/>
                <w:lang w:val="sr-Latn-RS"/>
              </w:rPr>
              <w:t>(n = 69)</w:t>
            </w:r>
          </w:p>
        </w:tc>
        <w:tc>
          <w:tcPr>
            <w:tcW w:w="964" w:type="dxa"/>
            <w:shd w:val="clear" w:color="auto" w:fill="auto"/>
            <w:vAlign w:val="center"/>
          </w:tcPr>
          <w:p w14:paraId="1D653C0A" w14:textId="77777777" w:rsidR="00D26E8E" w:rsidRPr="00C83E6A" w:rsidRDefault="00172BB8">
            <w:pPr>
              <w:pStyle w:val="Style10PtCenter"/>
              <w:keepNext w:val="0"/>
              <w:keepLines w:val="0"/>
              <w:spacing w:before="0" w:after="0"/>
              <w:rPr>
                <w:rFonts w:eastAsia="PMingLiU"/>
                <w:sz w:val="22"/>
                <w:lang w:val="sr-Latn-RS"/>
              </w:rPr>
            </w:pPr>
            <w:r w:rsidRPr="00C83E6A">
              <w:rPr>
                <w:sz w:val="22"/>
                <w:lang w:val="sr-Latn-RS"/>
              </w:rPr>
              <w:t>-30,5</w:t>
            </w:r>
          </w:p>
          <w:p w14:paraId="4FBD0B65" w14:textId="77777777" w:rsidR="00D26E8E" w:rsidRPr="00C83E6A" w:rsidRDefault="00172BB8">
            <w:pPr>
              <w:pStyle w:val="Style8PtCenter"/>
              <w:keepNext w:val="0"/>
              <w:keepLines w:val="0"/>
              <w:spacing w:before="0"/>
              <w:rPr>
                <w:rFonts w:eastAsia="PMingLiU"/>
                <w:sz w:val="22"/>
                <w:szCs w:val="22"/>
                <w:lang w:val="sr-Latn-RS"/>
              </w:rPr>
            </w:pPr>
            <w:r w:rsidRPr="00C83E6A">
              <w:rPr>
                <w:sz w:val="22"/>
                <w:szCs w:val="22"/>
                <w:lang w:val="sr-Latn-RS"/>
              </w:rPr>
              <w:t>(-36,4; -24,7)</w:t>
            </w:r>
          </w:p>
          <w:p w14:paraId="226B11A3" w14:textId="77777777" w:rsidR="00172BB8" w:rsidRPr="00C83E6A" w:rsidRDefault="00172BB8">
            <w:pPr>
              <w:pStyle w:val="Style8PtCenter"/>
              <w:keepNext w:val="0"/>
              <w:keepLines w:val="0"/>
              <w:spacing w:before="0"/>
              <w:rPr>
                <w:sz w:val="22"/>
                <w:szCs w:val="22"/>
                <w:lang w:val="sr-Latn-RS"/>
              </w:rPr>
            </w:pPr>
            <w:r w:rsidRPr="00C83E6A">
              <w:rPr>
                <w:sz w:val="22"/>
                <w:szCs w:val="22"/>
                <w:lang w:val="sr-Latn-RS"/>
              </w:rPr>
              <w:t>(n = 65)</w:t>
            </w:r>
          </w:p>
        </w:tc>
        <w:tc>
          <w:tcPr>
            <w:tcW w:w="964" w:type="dxa"/>
            <w:shd w:val="clear" w:color="auto" w:fill="auto"/>
            <w:vAlign w:val="center"/>
          </w:tcPr>
          <w:p w14:paraId="00905BEE" w14:textId="77777777" w:rsidR="00D26E8E" w:rsidRPr="00C83E6A" w:rsidRDefault="00172BB8">
            <w:pPr>
              <w:pStyle w:val="Style10PtCenter"/>
              <w:keepNext w:val="0"/>
              <w:keepLines w:val="0"/>
              <w:spacing w:before="0" w:after="0"/>
              <w:rPr>
                <w:rFonts w:eastAsia="PMingLiU"/>
                <w:sz w:val="22"/>
                <w:lang w:val="sr-Latn-RS"/>
              </w:rPr>
            </w:pPr>
            <w:r w:rsidRPr="00C83E6A">
              <w:rPr>
                <w:sz w:val="22"/>
                <w:lang w:val="sr-Latn-RS"/>
              </w:rPr>
              <w:t>-27,6</w:t>
            </w:r>
          </w:p>
          <w:p w14:paraId="3D237867" w14:textId="77777777" w:rsidR="00D26E8E" w:rsidRPr="00C83E6A" w:rsidRDefault="00172BB8">
            <w:pPr>
              <w:pStyle w:val="Style8PtCenter"/>
              <w:keepNext w:val="0"/>
              <w:keepLines w:val="0"/>
              <w:spacing w:before="0"/>
              <w:rPr>
                <w:rFonts w:eastAsia="PMingLiU"/>
                <w:sz w:val="22"/>
                <w:szCs w:val="22"/>
                <w:lang w:val="sr-Latn-RS"/>
              </w:rPr>
            </w:pPr>
            <w:r w:rsidRPr="00C83E6A">
              <w:rPr>
                <w:sz w:val="22"/>
                <w:szCs w:val="22"/>
                <w:lang w:val="sr-Latn-RS"/>
              </w:rPr>
              <w:t>(-35,8; -19,4)</w:t>
            </w:r>
          </w:p>
          <w:p w14:paraId="14CED114" w14:textId="77777777" w:rsidR="00172BB8" w:rsidRPr="00C83E6A" w:rsidRDefault="00172BB8">
            <w:pPr>
              <w:pStyle w:val="Style8PtCenter"/>
              <w:keepNext w:val="0"/>
              <w:keepLines w:val="0"/>
              <w:spacing w:before="0"/>
              <w:rPr>
                <w:sz w:val="22"/>
                <w:szCs w:val="22"/>
                <w:lang w:val="sr-Latn-RS"/>
              </w:rPr>
            </w:pPr>
            <w:r w:rsidRPr="00C83E6A">
              <w:rPr>
                <w:sz w:val="22"/>
                <w:szCs w:val="22"/>
                <w:lang w:val="sr-Latn-RS"/>
              </w:rPr>
              <w:t>(n = 64)</w:t>
            </w:r>
          </w:p>
        </w:tc>
        <w:tc>
          <w:tcPr>
            <w:tcW w:w="964" w:type="dxa"/>
            <w:shd w:val="clear" w:color="auto" w:fill="auto"/>
            <w:vAlign w:val="center"/>
          </w:tcPr>
          <w:p w14:paraId="5D379A0C" w14:textId="77777777" w:rsidR="00D26E8E" w:rsidRPr="00C83E6A" w:rsidRDefault="00172BB8">
            <w:pPr>
              <w:pStyle w:val="Style10PtCenter"/>
              <w:keepNext w:val="0"/>
              <w:keepLines w:val="0"/>
              <w:spacing w:before="0" w:after="0"/>
              <w:rPr>
                <w:rFonts w:eastAsia="PMingLiU"/>
                <w:sz w:val="22"/>
                <w:lang w:val="sr-Latn-RS"/>
              </w:rPr>
            </w:pPr>
            <w:r w:rsidRPr="00C83E6A">
              <w:rPr>
                <w:sz w:val="22"/>
                <w:lang w:val="sr-Latn-RS"/>
              </w:rPr>
              <w:t>-23,5</w:t>
            </w:r>
          </w:p>
          <w:p w14:paraId="391D9786" w14:textId="77777777" w:rsidR="00D26E8E" w:rsidRPr="00C83E6A" w:rsidRDefault="00172BB8">
            <w:pPr>
              <w:pStyle w:val="Style8PtCenter"/>
              <w:keepNext w:val="0"/>
              <w:keepLines w:val="0"/>
              <w:spacing w:before="0"/>
              <w:rPr>
                <w:rFonts w:eastAsia="PMingLiU"/>
                <w:sz w:val="22"/>
                <w:szCs w:val="22"/>
                <w:lang w:val="sr-Latn-RS"/>
              </w:rPr>
            </w:pPr>
            <w:r w:rsidRPr="00C83E6A">
              <w:rPr>
                <w:sz w:val="22"/>
                <w:szCs w:val="22"/>
                <w:lang w:val="sr-Latn-RS"/>
              </w:rPr>
              <w:t>(-31,0; -16,0)</w:t>
            </w:r>
          </w:p>
          <w:p w14:paraId="3F4ACF5D" w14:textId="77777777" w:rsidR="00172BB8" w:rsidRPr="00C83E6A" w:rsidRDefault="00172BB8">
            <w:pPr>
              <w:pStyle w:val="Style8PtCenter"/>
              <w:keepNext w:val="0"/>
              <w:keepLines w:val="0"/>
              <w:spacing w:before="0"/>
              <w:rPr>
                <w:sz w:val="22"/>
                <w:szCs w:val="22"/>
                <w:lang w:val="sr-Latn-RS"/>
              </w:rPr>
            </w:pPr>
            <w:r w:rsidRPr="00C83E6A">
              <w:rPr>
                <w:sz w:val="22"/>
                <w:szCs w:val="22"/>
                <w:lang w:val="sr-Latn-RS"/>
              </w:rPr>
              <w:t>(n = 62)</w:t>
            </w:r>
          </w:p>
        </w:tc>
        <w:tc>
          <w:tcPr>
            <w:tcW w:w="1077" w:type="dxa"/>
            <w:shd w:val="clear" w:color="auto" w:fill="auto"/>
            <w:vAlign w:val="center"/>
          </w:tcPr>
          <w:p w14:paraId="3401FAE7" w14:textId="77777777" w:rsidR="00D26E8E" w:rsidRPr="00C83E6A" w:rsidRDefault="00172BB8">
            <w:pPr>
              <w:pStyle w:val="Style10PtCenter"/>
              <w:keepNext w:val="0"/>
              <w:keepLines w:val="0"/>
              <w:spacing w:before="0" w:after="0"/>
              <w:rPr>
                <w:rFonts w:eastAsia="PMingLiU"/>
                <w:sz w:val="22"/>
                <w:lang w:val="sr-Latn-RS"/>
              </w:rPr>
            </w:pPr>
            <w:r w:rsidRPr="00C83E6A">
              <w:rPr>
                <w:sz w:val="22"/>
                <w:lang w:val="sr-Latn-RS"/>
              </w:rPr>
              <w:t>-27,1</w:t>
            </w:r>
          </w:p>
          <w:p w14:paraId="4B033AC5" w14:textId="77777777" w:rsidR="00D26E8E" w:rsidRPr="00C83E6A" w:rsidRDefault="00172BB8">
            <w:pPr>
              <w:pStyle w:val="Style8PtCenter"/>
              <w:keepNext w:val="0"/>
              <w:keepLines w:val="0"/>
              <w:spacing w:before="0"/>
              <w:rPr>
                <w:rFonts w:eastAsia="PMingLiU"/>
                <w:sz w:val="22"/>
                <w:szCs w:val="22"/>
                <w:lang w:val="sr-Latn-RS"/>
              </w:rPr>
            </w:pPr>
            <w:r w:rsidRPr="00C83E6A">
              <w:rPr>
                <w:sz w:val="22"/>
                <w:szCs w:val="22"/>
                <w:lang w:val="sr-Latn-RS"/>
              </w:rPr>
              <w:t>(-35,9; -18,3)</w:t>
            </w:r>
          </w:p>
          <w:p w14:paraId="55F28303" w14:textId="77777777" w:rsidR="00172BB8" w:rsidRPr="00C83E6A" w:rsidRDefault="00172BB8">
            <w:pPr>
              <w:pStyle w:val="Style8PtCenter"/>
              <w:keepNext w:val="0"/>
              <w:keepLines w:val="0"/>
              <w:spacing w:before="0"/>
              <w:rPr>
                <w:sz w:val="22"/>
                <w:szCs w:val="22"/>
                <w:lang w:val="sr-Latn-RS"/>
              </w:rPr>
            </w:pPr>
            <w:r w:rsidRPr="00C83E6A">
              <w:rPr>
                <w:sz w:val="22"/>
                <w:szCs w:val="22"/>
                <w:lang w:val="sr-Latn-RS"/>
              </w:rPr>
              <w:t>(n = 60)</w:t>
            </w:r>
          </w:p>
        </w:tc>
        <w:tc>
          <w:tcPr>
            <w:tcW w:w="1077" w:type="dxa"/>
            <w:shd w:val="clear" w:color="auto" w:fill="auto"/>
            <w:vAlign w:val="center"/>
          </w:tcPr>
          <w:p w14:paraId="5398F610" w14:textId="77777777" w:rsidR="00D26E8E" w:rsidRPr="00C83E6A" w:rsidRDefault="00172BB8">
            <w:pPr>
              <w:pStyle w:val="Style10PtCenter"/>
              <w:keepNext w:val="0"/>
              <w:keepLines w:val="0"/>
              <w:spacing w:before="0" w:after="0"/>
              <w:rPr>
                <w:rFonts w:eastAsia="PMingLiU"/>
                <w:sz w:val="22"/>
                <w:lang w:val="sr-Latn-RS"/>
              </w:rPr>
            </w:pPr>
            <w:r w:rsidRPr="00C83E6A">
              <w:rPr>
                <w:sz w:val="22"/>
                <w:lang w:val="sr-Latn-RS"/>
              </w:rPr>
              <w:t>-30,1</w:t>
            </w:r>
          </w:p>
          <w:p w14:paraId="2E2493D6" w14:textId="77777777" w:rsidR="00D26E8E" w:rsidRPr="00C83E6A" w:rsidRDefault="00172BB8">
            <w:pPr>
              <w:pStyle w:val="Style8PtCenter"/>
              <w:keepNext w:val="0"/>
              <w:keepLines w:val="0"/>
              <w:spacing w:before="0"/>
              <w:rPr>
                <w:rFonts w:eastAsia="PMingLiU"/>
                <w:sz w:val="22"/>
                <w:szCs w:val="22"/>
                <w:lang w:val="sr-Latn-RS"/>
              </w:rPr>
            </w:pPr>
            <w:r w:rsidRPr="00C83E6A">
              <w:rPr>
                <w:sz w:val="22"/>
                <w:szCs w:val="22"/>
                <w:lang w:val="sr-Latn-RS"/>
              </w:rPr>
              <w:t>(-37,9; -22,2)</w:t>
            </w:r>
          </w:p>
          <w:p w14:paraId="4C485248" w14:textId="77777777" w:rsidR="00172BB8" w:rsidRPr="00C83E6A" w:rsidRDefault="00172BB8">
            <w:pPr>
              <w:pStyle w:val="Style8PtCenter"/>
              <w:keepNext w:val="0"/>
              <w:keepLines w:val="0"/>
              <w:spacing w:before="0"/>
              <w:rPr>
                <w:sz w:val="22"/>
                <w:szCs w:val="22"/>
                <w:lang w:val="sr-Latn-RS"/>
              </w:rPr>
            </w:pPr>
            <w:r w:rsidRPr="00C83E6A">
              <w:rPr>
                <w:sz w:val="22"/>
                <w:szCs w:val="22"/>
                <w:lang w:val="sr-Latn-RS"/>
              </w:rPr>
              <w:t>(n = 55)</w:t>
            </w:r>
          </w:p>
        </w:tc>
        <w:tc>
          <w:tcPr>
            <w:tcW w:w="1077" w:type="dxa"/>
            <w:shd w:val="clear" w:color="auto" w:fill="auto"/>
            <w:vAlign w:val="center"/>
          </w:tcPr>
          <w:p w14:paraId="0D897052" w14:textId="77777777" w:rsidR="00D26E8E" w:rsidRPr="00C83E6A" w:rsidRDefault="00172BB8">
            <w:pPr>
              <w:pStyle w:val="Style10PtCenter"/>
              <w:keepNext w:val="0"/>
              <w:keepLines w:val="0"/>
              <w:spacing w:before="0" w:after="0"/>
              <w:rPr>
                <w:rFonts w:eastAsia="PMingLiU"/>
                <w:sz w:val="22"/>
                <w:lang w:val="sr-Latn-RS"/>
              </w:rPr>
            </w:pPr>
            <w:r w:rsidRPr="00C83E6A">
              <w:rPr>
                <w:sz w:val="22"/>
                <w:lang w:val="sr-Latn-RS"/>
              </w:rPr>
              <w:t>-23,4</w:t>
            </w:r>
          </w:p>
          <w:p w14:paraId="6CA6BD4C" w14:textId="77777777" w:rsidR="00D26E8E" w:rsidRPr="00C83E6A" w:rsidRDefault="00172BB8">
            <w:pPr>
              <w:pStyle w:val="Style8PtCenter"/>
              <w:keepNext w:val="0"/>
              <w:keepLines w:val="0"/>
              <w:spacing w:before="0"/>
              <w:rPr>
                <w:rFonts w:eastAsia="PMingLiU"/>
                <w:sz w:val="22"/>
                <w:szCs w:val="22"/>
                <w:lang w:val="sr-Latn-RS"/>
              </w:rPr>
            </w:pPr>
            <w:r w:rsidRPr="00C83E6A">
              <w:rPr>
                <w:sz w:val="22"/>
                <w:szCs w:val="22"/>
                <w:lang w:val="sr-Latn-RS"/>
              </w:rPr>
              <w:t>(-32,5; -14,2)</w:t>
            </w:r>
          </w:p>
          <w:p w14:paraId="53B8FFB3" w14:textId="77777777" w:rsidR="00172BB8" w:rsidRPr="00C83E6A" w:rsidRDefault="00172BB8">
            <w:pPr>
              <w:pStyle w:val="Style8PtCenter"/>
              <w:keepNext w:val="0"/>
              <w:keepLines w:val="0"/>
              <w:spacing w:before="0"/>
              <w:rPr>
                <w:sz w:val="22"/>
                <w:szCs w:val="22"/>
                <w:lang w:val="sr-Latn-RS"/>
              </w:rPr>
            </w:pPr>
            <w:r w:rsidRPr="00C83E6A">
              <w:rPr>
                <w:sz w:val="22"/>
                <w:szCs w:val="22"/>
                <w:lang w:val="sr-Latn-RS"/>
              </w:rPr>
              <w:t>(n = 50)</w:t>
            </w:r>
          </w:p>
        </w:tc>
      </w:tr>
      <w:tr w:rsidR="00172BB8" w:rsidRPr="00C83E6A" w14:paraId="50C98A32" w14:textId="77777777" w:rsidTr="008E0BDF">
        <w:trPr>
          <w:cantSplit/>
          <w:trHeight w:val="919"/>
        </w:trPr>
        <w:tc>
          <w:tcPr>
            <w:tcW w:w="1700" w:type="dxa"/>
            <w:shd w:val="clear" w:color="auto" w:fill="auto"/>
            <w:vAlign w:val="center"/>
          </w:tcPr>
          <w:p w14:paraId="6DA2C951" w14:textId="77777777" w:rsidR="00D26E8E" w:rsidRPr="00C83E6A" w:rsidRDefault="00172BB8" w:rsidP="001D6451">
            <w:pPr>
              <w:pStyle w:val="Style10PtCenter"/>
              <w:keepLines w:val="0"/>
              <w:spacing w:before="0" w:after="0"/>
              <w:jc w:val="left"/>
              <w:rPr>
                <w:rFonts w:eastAsia="PMingLiU"/>
                <w:sz w:val="22"/>
                <w:lang w:val="sr-Latn-RS"/>
              </w:rPr>
            </w:pPr>
            <w:r w:rsidRPr="00C83E6A">
              <w:rPr>
                <w:sz w:val="22"/>
                <w:lang w:val="sr-Latn-RS"/>
              </w:rPr>
              <w:t>Afereza</w:t>
            </w:r>
          </w:p>
          <w:p w14:paraId="19122855" w14:textId="77777777" w:rsidR="00172BB8" w:rsidRPr="00C83E6A" w:rsidRDefault="00172BB8" w:rsidP="001D6451">
            <w:pPr>
              <w:pStyle w:val="Style8PtCenter"/>
              <w:keepLines w:val="0"/>
              <w:spacing w:before="0"/>
              <w:jc w:val="left"/>
              <w:rPr>
                <w:sz w:val="22"/>
                <w:szCs w:val="22"/>
                <w:lang w:val="sr-Latn-RS"/>
              </w:rPr>
            </w:pPr>
            <w:r w:rsidRPr="00C83E6A">
              <w:rPr>
                <w:sz w:val="22"/>
                <w:szCs w:val="22"/>
                <w:lang w:val="sr-Latn-RS"/>
              </w:rPr>
              <w:t>(N = 34)</w:t>
            </w:r>
          </w:p>
        </w:tc>
        <w:tc>
          <w:tcPr>
            <w:tcW w:w="964" w:type="dxa"/>
            <w:shd w:val="clear" w:color="auto" w:fill="auto"/>
            <w:vAlign w:val="center"/>
          </w:tcPr>
          <w:p w14:paraId="68A1FAC0" w14:textId="77777777" w:rsidR="00D26E8E" w:rsidRPr="00C83E6A" w:rsidRDefault="00172BB8" w:rsidP="00AE7B3F">
            <w:pPr>
              <w:pStyle w:val="Style10PtCenter"/>
              <w:keepLines w:val="0"/>
              <w:spacing w:before="0" w:after="0"/>
              <w:rPr>
                <w:rFonts w:eastAsia="PMingLiU"/>
                <w:sz w:val="22"/>
                <w:lang w:val="sr-Latn-RS"/>
              </w:rPr>
            </w:pPr>
            <w:r w:rsidRPr="00C83E6A">
              <w:rPr>
                <w:sz w:val="22"/>
                <w:lang w:val="sr-Latn-RS"/>
              </w:rPr>
              <w:t>-18,1</w:t>
            </w:r>
          </w:p>
          <w:p w14:paraId="291D8898" w14:textId="77777777" w:rsidR="00D26E8E" w:rsidRPr="00C83E6A" w:rsidRDefault="00172BB8">
            <w:pPr>
              <w:pStyle w:val="Style8PtCenter"/>
              <w:keepLines w:val="0"/>
              <w:spacing w:before="0"/>
              <w:rPr>
                <w:rFonts w:eastAsia="PMingLiU"/>
                <w:sz w:val="22"/>
                <w:szCs w:val="22"/>
                <w:lang w:val="sr-Latn-RS"/>
              </w:rPr>
            </w:pPr>
            <w:r w:rsidRPr="00C83E6A">
              <w:rPr>
                <w:sz w:val="22"/>
                <w:szCs w:val="22"/>
                <w:lang w:val="sr-Latn-RS"/>
              </w:rPr>
              <w:t>(-28,1; -8,1)</w:t>
            </w:r>
          </w:p>
          <w:p w14:paraId="6D0DF7D2" w14:textId="77777777" w:rsidR="00172BB8" w:rsidRPr="00C83E6A" w:rsidRDefault="00172BB8">
            <w:pPr>
              <w:pStyle w:val="Style8PtCenter"/>
              <w:keepLines w:val="0"/>
              <w:spacing w:before="0"/>
              <w:rPr>
                <w:sz w:val="22"/>
                <w:szCs w:val="22"/>
                <w:lang w:val="sr-Latn-RS"/>
              </w:rPr>
            </w:pPr>
            <w:r w:rsidRPr="00C83E6A">
              <w:rPr>
                <w:sz w:val="22"/>
                <w:szCs w:val="22"/>
                <w:lang w:val="sr-Latn-RS"/>
              </w:rPr>
              <w:t>(n = 34)</w:t>
            </w:r>
          </w:p>
        </w:tc>
        <w:tc>
          <w:tcPr>
            <w:tcW w:w="964" w:type="dxa"/>
            <w:shd w:val="clear" w:color="auto" w:fill="auto"/>
            <w:vAlign w:val="center"/>
          </w:tcPr>
          <w:p w14:paraId="4BE933DE" w14:textId="77777777" w:rsidR="00D26E8E" w:rsidRPr="00C83E6A" w:rsidRDefault="00172BB8">
            <w:pPr>
              <w:pStyle w:val="Style10PtCenter"/>
              <w:keepLines w:val="0"/>
              <w:spacing w:before="0" w:after="0"/>
              <w:rPr>
                <w:rFonts w:eastAsia="PMingLiU"/>
                <w:sz w:val="22"/>
                <w:lang w:val="sr-Latn-RS"/>
              </w:rPr>
            </w:pPr>
            <w:r w:rsidRPr="00C83E6A">
              <w:rPr>
                <w:sz w:val="22"/>
                <w:lang w:val="sr-Latn-RS"/>
              </w:rPr>
              <w:t>-11,2</w:t>
            </w:r>
          </w:p>
          <w:p w14:paraId="4C7799CC" w14:textId="77777777" w:rsidR="00D26E8E" w:rsidRPr="00C83E6A" w:rsidRDefault="00172BB8">
            <w:pPr>
              <w:pStyle w:val="Style8PtCenter"/>
              <w:keepLines w:val="0"/>
              <w:spacing w:before="0"/>
              <w:rPr>
                <w:rFonts w:eastAsia="PMingLiU"/>
                <w:sz w:val="22"/>
                <w:szCs w:val="22"/>
                <w:lang w:val="sr-Latn-RS"/>
              </w:rPr>
            </w:pPr>
            <w:r w:rsidRPr="00C83E6A">
              <w:rPr>
                <w:sz w:val="22"/>
                <w:szCs w:val="22"/>
                <w:lang w:val="sr-Latn-RS"/>
              </w:rPr>
              <w:t>(-24,0; 1,7)</w:t>
            </w:r>
          </w:p>
          <w:p w14:paraId="23541242" w14:textId="77777777" w:rsidR="00172BB8" w:rsidRPr="00C83E6A" w:rsidRDefault="00172BB8">
            <w:pPr>
              <w:pStyle w:val="Style8PtCenter"/>
              <w:keepLines w:val="0"/>
              <w:spacing w:before="0"/>
              <w:rPr>
                <w:sz w:val="22"/>
                <w:szCs w:val="22"/>
                <w:lang w:val="sr-Latn-RS"/>
              </w:rPr>
            </w:pPr>
            <w:r w:rsidRPr="00C83E6A">
              <w:rPr>
                <w:sz w:val="22"/>
                <w:szCs w:val="22"/>
                <w:lang w:val="sr-Latn-RS"/>
              </w:rPr>
              <w:t>(n = 30)</w:t>
            </w:r>
          </w:p>
        </w:tc>
        <w:tc>
          <w:tcPr>
            <w:tcW w:w="964" w:type="dxa"/>
            <w:shd w:val="clear" w:color="auto" w:fill="auto"/>
            <w:vAlign w:val="center"/>
          </w:tcPr>
          <w:p w14:paraId="6B4D3E13" w14:textId="77777777" w:rsidR="00D26E8E" w:rsidRPr="00C83E6A" w:rsidRDefault="00172BB8">
            <w:pPr>
              <w:pStyle w:val="Style10PtCenter"/>
              <w:keepLines w:val="0"/>
              <w:spacing w:before="0" w:after="0"/>
              <w:rPr>
                <w:rFonts w:eastAsia="PMingLiU"/>
                <w:sz w:val="22"/>
                <w:lang w:val="sr-Latn-RS"/>
              </w:rPr>
            </w:pPr>
            <w:r w:rsidRPr="00C83E6A">
              <w:rPr>
                <w:sz w:val="22"/>
                <w:lang w:val="sr-Latn-RS"/>
              </w:rPr>
              <w:t>-19,1</w:t>
            </w:r>
          </w:p>
          <w:p w14:paraId="0D533F6A" w14:textId="77777777" w:rsidR="00D26E8E" w:rsidRPr="00C83E6A" w:rsidRDefault="00172BB8">
            <w:pPr>
              <w:pStyle w:val="Style8PtCenter"/>
              <w:keepLines w:val="0"/>
              <w:spacing w:before="0"/>
              <w:rPr>
                <w:rFonts w:eastAsia="PMingLiU"/>
                <w:sz w:val="22"/>
                <w:szCs w:val="22"/>
                <w:lang w:val="sr-Latn-RS"/>
              </w:rPr>
            </w:pPr>
            <w:r w:rsidRPr="00C83E6A">
              <w:rPr>
                <w:sz w:val="22"/>
                <w:szCs w:val="22"/>
                <w:lang w:val="sr-Latn-RS"/>
              </w:rPr>
              <w:t>(-28,9; -9,3)</w:t>
            </w:r>
          </w:p>
          <w:p w14:paraId="4DB4772F" w14:textId="77777777" w:rsidR="00172BB8" w:rsidRPr="00C83E6A" w:rsidRDefault="00172BB8">
            <w:pPr>
              <w:pStyle w:val="Style8PtCenter"/>
              <w:keepLines w:val="0"/>
              <w:spacing w:before="0"/>
              <w:rPr>
                <w:sz w:val="22"/>
                <w:szCs w:val="22"/>
                <w:lang w:val="sr-Latn-RS"/>
              </w:rPr>
            </w:pPr>
            <w:r w:rsidRPr="00C83E6A">
              <w:rPr>
                <w:sz w:val="22"/>
                <w:szCs w:val="22"/>
                <w:lang w:val="sr-Latn-RS"/>
              </w:rPr>
              <w:t>(n = 29)</w:t>
            </w:r>
          </w:p>
        </w:tc>
        <w:tc>
          <w:tcPr>
            <w:tcW w:w="964" w:type="dxa"/>
            <w:shd w:val="clear" w:color="auto" w:fill="auto"/>
            <w:vAlign w:val="center"/>
          </w:tcPr>
          <w:p w14:paraId="1F4D3053" w14:textId="77777777" w:rsidR="00D26E8E" w:rsidRPr="00C83E6A" w:rsidRDefault="00172BB8">
            <w:pPr>
              <w:pStyle w:val="Style10PtCenter"/>
              <w:keepLines w:val="0"/>
              <w:spacing w:before="0" w:after="0"/>
              <w:rPr>
                <w:rFonts w:eastAsia="PMingLiU"/>
                <w:sz w:val="22"/>
                <w:lang w:val="sr-Latn-RS"/>
              </w:rPr>
            </w:pPr>
            <w:r w:rsidRPr="00C83E6A">
              <w:rPr>
                <w:sz w:val="22"/>
                <w:lang w:val="sr-Latn-RS"/>
              </w:rPr>
              <w:t>-18,7</w:t>
            </w:r>
          </w:p>
          <w:p w14:paraId="6F43A95B" w14:textId="77777777" w:rsidR="00D26E8E" w:rsidRPr="00C83E6A" w:rsidRDefault="00172BB8">
            <w:pPr>
              <w:pStyle w:val="Style8PtCenter"/>
              <w:keepLines w:val="0"/>
              <w:spacing w:before="0"/>
              <w:rPr>
                <w:rFonts w:eastAsia="PMingLiU"/>
                <w:sz w:val="22"/>
                <w:szCs w:val="22"/>
                <w:lang w:val="sr-Latn-RS"/>
              </w:rPr>
            </w:pPr>
            <w:r w:rsidRPr="00C83E6A">
              <w:rPr>
                <w:sz w:val="22"/>
                <w:szCs w:val="22"/>
                <w:lang w:val="sr-Latn-RS"/>
              </w:rPr>
              <w:t>(-29,5; -7,9)</w:t>
            </w:r>
          </w:p>
          <w:p w14:paraId="11C4F3A9" w14:textId="77777777" w:rsidR="00172BB8" w:rsidRPr="00C83E6A" w:rsidRDefault="00172BB8">
            <w:pPr>
              <w:pStyle w:val="Style8PtCenter"/>
              <w:keepLines w:val="0"/>
              <w:spacing w:before="0"/>
              <w:rPr>
                <w:sz w:val="22"/>
                <w:szCs w:val="22"/>
                <w:lang w:val="sr-Latn-RS"/>
              </w:rPr>
            </w:pPr>
            <w:r w:rsidRPr="00C83E6A">
              <w:rPr>
                <w:sz w:val="22"/>
                <w:szCs w:val="22"/>
                <w:lang w:val="sr-Latn-RS"/>
              </w:rPr>
              <w:t>(n = 29)</w:t>
            </w:r>
          </w:p>
        </w:tc>
        <w:tc>
          <w:tcPr>
            <w:tcW w:w="964" w:type="dxa"/>
            <w:shd w:val="clear" w:color="auto" w:fill="auto"/>
            <w:vAlign w:val="center"/>
          </w:tcPr>
          <w:p w14:paraId="4BC44793" w14:textId="77777777" w:rsidR="00D26E8E" w:rsidRPr="00C83E6A" w:rsidRDefault="00172BB8">
            <w:pPr>
              <w:pStyle w:val="Style10PtCenter"/>
              <w:keepLines w:val="0"/>
              <w:spacing w:before="0" w:after="0"/>
              <w:rPr>
                <w:rFonts w:eastAsia="PMingLiU"/>
                <w:sz w:val="22"/>
                <w:lang w:val="sr-Latn-RS"/>
              </w:rPr>
            </w:pPr>
            <w:r w:rsidRPr="00C83E6A">
              <w:rPr>
                <w:sz w:val="22"/>
                <w:lang w:val="sr-Latn-RS"/>
              </w:rPr>
              <w:t>-29,7</w:t>
            </w:r>
          </w:p>
          <w:p w14:paraId="43FAC08C" w14:textId="77777777" w:rsidR="00D26E8E" w:rsidRPr="00C83E6A" w:rsidRDefault="00172BB8">
            <w:pPr>
              <w:pStyle w:val="Style8PtCenter"/>
              <w:keepLines w:val="0"/>
              <w:spacing w:before="0"/>
              <w:rPr>
                <w:rFonts w:eastAsia="PMingLiU"/>
                <w:sz w:val="22"/>
                <w:szCs w:val="22"/>
                <w:lang w:val="sr-Latn-RS"/>
              </w:rPr>
            </w:pPr>
            <w:r w:rsidRPr="00C83E6A">
              <w:rPr>
                <w:sz w:val="22"/>
                <w:szCs w:val="22"/>
                <w:lang w:val="sr-Latn-RS"/>
              </w:rPr>
              <w:t>(-40,6; -18,8)</w:t>
            </w:r>
          </w:p>
          <w:p w14:paraId="05B99527" w14:textId="77777777" w:rsidR="00172BB8" w:rsidRPr="00C83E6A" w:rsidRDefault="00172BB8">
            <w:pPr>
              <w:pStyle w:val="Style8PtCenter"/>
              <w:keepLines w:val="0"/>
              <w:spacing w:before="0"/>
              <w:rPr>
                <w:sz w:val="22"/>
                <w:szCs w:val="22"/>
                <w:lang w:val="sr-Latn-RS"/>
              </w:rPr>
            </w:pPr>
            <w:r w:rsidRPr="00C83E6A">
              <w:rPr>
                <w:sz w:val="22"/>
                <w:szCs w:val="22"/>
                <w:lang w:val="sr-Latn-RS"/>
              </w:rPr>
              <w:t>(n = 20)</w:t>
            </w:r>
          </w:p>
        </w:tc>
        <w:tc>
          <w:tcPr>
            <w:tcW w:w="1077" w:type="dxa"/>
            <w:shd w:val="clear" w:color="auto" w:fill="auto"/>
            <w:vAlign w:val="center"/>
          </w:tcPr>
          <w:p w14:paraId="3B9BA7EC" w14:textId="77777777" w:rsidR="00D26E8E" w:rsidRPr="00C83E6A" w:rsidRDefault="00172BB8">
            <w:pPr>
              <w:pStyle w:val="Style10PtCenter"/>
              <w:keepLines w:val="0"/>
              <w:spacing w:before="0" w:after="0"/>
              <w:rPr>
                <w:rFonts w:eastAsia="PMingLiU"/>
                <w:sz w:val="22"/>
                <w:lang w:val="sr-Latn-RS"/>
              </w:rPr>
            </w:pPr>
            <w:r w:rsidRPr="00C83E6A">
              <w:rPr>
                <w:sz w:val="22"/>
                <w:lang w:val="sr-Latn-RS"/>
              </w:rPr>
              <w:t>-29,6</w:t>
            </w:r>
          </w:p>
          <w:p w14:paraId="5D85EFC2" w14:textId="77777777" w:rsidR="00D26E8E" w:rsidRPr="00C83E6A" w:rsidRDefault="00172BB8">
            <w:pPr>
              <w:pStyle w:val="Style8PtCenter"/>
              <w:keepLines w:val="0"/>
              <w:spacing w:before="0"/>
              <w:rPr>
                <w:rFonts w:eastAsia="PMingLiU"/>
                <w:sz w:val="22"/>
                <w:szCs w:val="22"/>
                <w:lang w:val="sr-Latn-RS"/>
              </w:rPr>
            </w:pPr>
            <w:r w:rsidRPr="00C83E6A">
              <w:rPr>
                <w:sz w:val="22"/>
                <w:szCs w:val="22"/>
                <w:lang w:val="sr-Latn-RS"/>
              </w:rPr>
              <w:t>(-42,1; -17,1)</w:t>
            </w:r>
          </w:p>
          <w:p w14:paraId="764BDC4F" w14:textId="77777777" w:rsidR="00172BB8" w:rsidRPr="00C83E6A" w:rsidRDefault="00172BB8">
            <w:pPr>
              <w:pStyle w:val="Style8PtCenter"/>
              <w:keepLines w:val="0"/>
              <w:spacing w:before="0"/>
              <w:rPr>
                <w:sz w:val="22"/>
                <w:szCs w:val="22"/>
                <w:lang w:val="sr-Latn-RS"/>
              </w:rPr>
            </w:pPr>
            <w:r w:rsidRPr="00C83E6A">
              <w:rPr>
                <w:sz w:val="22"/>
                <w:szCs w:val="22"/>
                <w:lang w:val="sr-Latn-RS"/>
              </w:rPr>
              <w:t>(n = 19)</w:t>
            </w:r>
          </w:p>
        </w:tc>
        <w:tc>
          <w:tcPr>
            <w:tcW w:w="1077" w:type="dxa"/>
            <w:shd w:val="clear" w:color="auto" w:fill="auto"/>
            <w:vAlign w:val="center"/>
          </w:tcPr>
          <w:p w14:paraId="574FC60C" w14:textId="77777777" w:rsidR="00D26E8E" w:rsidRPr="00C83E6A" w:rsidRDefault="00172BB8">
            <w:pPr>
              <w:pStyle w:val="Style10PtCenter"/>
              <w:keepLines w:val="0"/>
              <w:spacing w:before="0" w:after="0"/>
              <w:rPr>
                <w:rFonts w:eastAsia="PMingLiU"/>
                <w:sz w:val="22"/>
                <w:lang w:val="sr-Latn-RS"/>
              </w:rPr>
            </w:pPr>
            <w:r w:rsidRPr="00C83E6A">
              <w:rPr>
                <w:sz w:val="22"/>
                <w:lang w:val="sr-Latn-RS"/>
              </w:rPr>
              <w:t>-19,6</w:t>
            </w:r>
          </w:p>
          <w:p w14:paraId="2A6DA43C" w14:textId="77777777" w:rsidR="00D26E8E" w:rsidRPr="00C83E6A" w:rsidRDefault="00172BB8">
            <w:pPr>
              <w:pStyle w:val="Style8PtCenter"/>
              <w:keepLines w:val="0"/>
              <w:spacing w:before="0"/>
              <w:rPr>
                <w:rFonts w:eastAsia="PMingLiU"/>
                <w:sz w:val="22"/>
                <w:szCs w:val="22"/>
                <w:lang w:val="sr-Latn-RS"/>
              </w:rPr>
            </w:pPr>
            <w:r w:rsidRPr="00C83E6A">
              <w:rPr>
                <w:sz w:val="22"/>
                <w:szCs w:val="22"/>
                <w:lang w:val="sr-Latn-RS"/>
              </w:rPr>
              <w:t>(-51,2; 12,1)</w:t>
            </w:r>
          </w:p>
          <w:p w14:paraId="4B425E86" w14:textId="77777777" w:rsidR="00172BB8" w:rsidRPr="00C83E6A" w:rsidRDefault="00172BB8">
            <w:pPr>
              <w:pStyle w:val="Style8PtCenter"/>
              <w:keepLines w:val="0"/>
              <w:spacing w:before="0"/>
              <w:rPr>
                <w:sz w:val="22"/>
                <w:szCs w:val="22"/>
                <w:lang w:val="sr-Latn-RS"/>
              </w:rPr>
            </w:pPr>
            <w:r w:rsidRPr="00C83E6A">
              <w:rPr>
                <w:sz w:val="22"/>
                <w:szCs w:val="22"/>
                <w:lang w:val="sr-Latn-RS"/>
              </w:rPr>
              <w:t>(n = 19)</w:t>
            </w:r>
          </w:p>
        </w:tc>
        <w:tc>
          <w:tcPr>
            <w:tcW w:w="1077" w:type="dxa"/>
            <w:shd w:val="clear" w:color="auto" w:fill="auto"/>
            <w:vAlign w:val="center"/>
          </w:tcPr>
          <w:p w14:paraId="4C311485" w14:textId="77777777" w:rsidR="00D26E8E" w:rsidRPr="00C83E6A" w:rsidRDefault="00172BB8">
            <w:pPr>
              <w:pStyle w:val="Style10PtCenter"/>
              <w:keepLines w:val="0"/>
              <w:spacing w:before="0" w:after="0"/>
              <w:rPr>
                <w:rFonts w:eastAsia="PMingLiU"/>
                <w:sz w:val="22"/>
                <w:lang w:val="sr-Latn-RS"/>
              </w:rPr>
            </w:pPr>
            <w:r w:rsidRPr="00C83E6A">
              <w:rPr>
                <w:sz w:val="22"/>
                <w:lang w:val="sr-Latn-RS"/>
              </w:rPr>
              <w:t>-25,9</w:t>
            </w:r>
          </w:p>
          <w:p w14:paraId="11ED03FE" w14:textId="77777777" w:rsidR="00D26E8E" w:rsidRPr="00C83E6A" w:rsidRDefault="00172BB8">
            <w:pPr>
              <w:pStyle w:val="Style8PtCenter"/>
              <w:keepLines w:val="0"/>
              <w:spacing w:before="0"/>
              <w:rPr>
                <w:rFonts w:eastAsia="PMingLiU"/>
                <w:sz w:val="22"/>
                <w:szCs w:val="22"/>
                <w:lang w:val="sr-Latn-RS"/>
              </w:rPr>
            </w:pPr>
            <w:r w:rsidRPr="00C83E6A">
              <w:rPr>
                <w:sz w:val="22"/>
                <w:szCs w:val="22"/>
                <w:lang w:val="sr-Latn-RS"/>
              </w:rPr>
              <w:t>(-56,4; 4,6)</w:t>
            </w:r>
          </w:p>
          <w:p w14:paraId="4CBEDA4D" w14:textId="77777777" w:rsidR="00172BB8" w:rsidRPr="00C83E6A" w:rsidRDefault="00172BB8">
            <w:pPr>
              <w:pStyle w:val="Style8PtCenter"/>
              <w:keepLines w:val="0"/>
              <w:spacing w:before="0"/>
              <w:rPr>
                <w:sz w:val="22"/>
                <w:szCs w:val="22"/>
                <w:lang w:val="sr-Latn-RS"/>
              </w:rPr>
            </w:pPr>
            <w:r w:rsidRPr="00C83E6A">
              <w:rPr>
                <w:sz w:val="22"/>
                <w:szCs w:val="22"/>
                <w:lang w:val="sr-Latn-RS"/>
              </w:rPr>
              <w:t>(n = 18)</w:t>
            </w:r>
          </w:p>
        </w:tc>
      </w:tr>
    </w:tbl>
    <w:p w14:paraId="5EC79247" w14:textId="77777777" w:rsidR="00D26E8E" w:rsidRPr="00C83E6A" w:rsidRDefault="00096D7F" w:rsidP="001D6451">
      <w:pPr>
        <w:autoSpaceDE w:val="0"/>
        <w:autoSpaceDN w:val="0"/>
        <w:adjustRightInd w:val="0"/>
        <w:jc w:val="both"/>
        <w:rPr>
          <w:rFonts w:eastAsia="PMingLiU"/>
          <w:lang w:val="sr-Latn-RS"/>
        </w:rPr>
      </w:pPr>
      <w:r w:rsidRPr="00C83E6A">
        <w:rPr>
          <w:lang w:val="sr-Latn-RS"/>
        </w:rPr>
        <w:t>Legenda: OLE = otvoreni produžetak studije, N (n) = broj procjenjivih pacijenata (N) i pacijenata sa uočenim LDL vrijednostima mjerenim pri sprecifičnim zakazanim posjetama (n) u setu konačne analize za homozigotnu porodičnu hiperholesterolemiju.</w:t>
      </w:r>
    </w:p>
    <w:p w14:paraId="2943A023" w14:textId="77777777" w:rsidR="0040288A" w:rsidRPr="00C83E6A" w:rsidRDefault="0040288A" w:rsidP="001D6451">
      <w:pPr>
        <w:autoSpaceDE w:val="0"/>
        <w:autoSpaceDN w:val="0"/>
        <w:adjustRightInd w:val="0"/>
        <w:jc w:val="both"/>
        <w:rPr>
          <w:lang w:val="sr-Latn-RS"/>
        </w:rPr>
      </w:pPr>
    </w:p>
    <w:p w14:paraId="2263193C" w14:textId="77777777" w:rsidR="0040288A" w:rsidRPr="00C83E6A" w:rsidRDefault="0040288A" w:rsidP="001D6451">
      <w:pPr>
        <w:jc w:val="both"/>
        <w:rPr>
          <w:lang w:val="sr-Latn-RS"/>
        </w:rPr>
      </w:pPr>
      <w:r w:rsidRPr="00C83E6A">
        <w:rPr>
          <w:lang w:val="sr-Latn-RS"/>
        </w:rPr>
        <w:t>HAUSER</w:t>
      </w:r>
      <w:r w:rsidRPr="00C83E6A">
        <w:rPr>
          <w:lang w:val="sr-Latn-RS"/>
        </w:rPr>
        <w:noBreakHyphen/>
        <w:t>OLE bilo je otvoreno, multicentrično, 80</w:t>
      </w:r>
      <w:r w:rsidRPr="00C83E6A">
        <w:rPr>
          <w:lang w:val="sr-Latn-RS"/>
        </w:rPr>
        <w:noBreakHyphen/>
        <w:t>nedjeljno ispitivanje sa jednom grupom na 12 ispitanika sa homozigotnom porodičnom hiperholesterolemijom radi procjene bezbjednosti, podnošljivosti i efikasnosti lijeka Repatha za smanjenje LDL</w:t>
      </w:r>
      <w:r w:rsidRPr="00C83E6A">
        <w:rPr>
          <w:lang w:val="sr-Latn-RS"/>
        </w:rPr>
        <w:noBreakHyphen/>
        <w:t xml:space="preserve">C kod pedijatrijskih pacijenata uzrasta od </w:t>
      </w:r>
      <w:r w:rsidRPr="00C83E6A">
        <w:rPr>
          <w:lang w:val="sr-Latn-RS"/>
        </w:rPr>
        <w:lastRenderedPageBreak/>
        <w:t>≥ 10 do &lt; 18 godina sa homozigotnom porodičnom hiperholesterolemijom. Pacijenti su morali da budu na ishrani sa niskim sadržajem masti i da primaju osnovnu terapiju za snižavanje nivoa lipida. Svi pacijenti u studiji primali su 420 mg lijeka Repatha subkutano jednom mjesečno. Medijana (Q1, Q3) vrijednosti LDL</w:t>
      </w:r>
      <w:r w:rsidRPr="00C83E6A">
        <w:rPr>
          <w:lang w:val="sr-Latn-RS"/>
        </w:rPr>
        <w:noBreakHyphen/>
        <w:t>C na početku ispitivanja iznosila je 398 (343, 475) mg/dl. Medijana (Q1, Q3) procenta promjene LDL</w:t>
      </w:r>
      <w:r w:rsidRPr="00C83E6A">
        <w:rPr>
          <w:lang w:val="sr-Latn-RS"/>
        </w:rPr>
        <w:noBreakHyphen/>
        <w:t xml:space="preserve">C u 80. nedjelji u odnosu na početnu vrijednost iznosila je </w:t>
      </w:r>
      <w:r w:rsidRPr="00C83E6A">
        <w:rPr>
          <w:lang w:val="sr-Latn-RS"/>
        </w:rPr>
        <w:noBreakHyphen/>
        <w:t>14% (</w:t>
      </w:r>
      <w:r w:rsidRPr="00C83E6A">
        <w:rPr>
          <w:lang w:val="sr-Latn-RS"/>
        </w:rPr>
        <w:noBreakHyphen/>
        <w:t>41, 4). Smanjenja vrijednosti LDL</w:t>
      </w:r>
      <w:r w:rsidRPr="00C83E6A">
        <w:rPr>
          <w:lang w:val="sr-Latn-RS"/>
        </w:rPr>
        <w:noBreakHyphen/>
        <w:t>C uočena su prilikom prve procjene u 12. nedjelji i održala su se do kraja ispitivanja, pri čemu se medijana (Q1, Q3) smanjenja kretala između 12% (-3, 32) i 15% (</w:t>
      </w:r>
      <w:r w:rsidRPr="00C83E6A">
        <w:rPr>
          <w:lang w:val="sr-Latn-RS"/>
        </w:rPr>
        <w:noBreakHyphen/>
        <w:t>4, 39). Za dodatne rezultate vidjeti Tabelu 9.</w:t>
      </w:r>
    </w:p>
    <w:p w14:paraId="4ECBE751" w14:textId="77777777" w:rsidR="0040288A" w:rsidRPr="00C83E6A" w:rsidRDefault="0040288A" w:rsidP="001D6451">
      <w:pPr>
        <w:jc w:val="both"/>
        <w:rPr>
          <w:lang w:val="sr-Latn-RS"/>
        </w:rPr>
      </w:pPr>
    </w:p>
    <w:p w14:paraId="7F75E411" w14:textId="77777777" w:rsidR="0040288A" w:rsidRPr="00C83E6A" w:rsidRDefault="0040288A" w:rsidP="001D6451">
      <w:pPr>
        <w:pStyle w:val="StyleBold"/>
        <w:keepNext/>
        <w:jc w:val="both"/>
        <w:rPr>
          <w:lang w:val="sr-Latn-RS"/>
        </w:rPr>
      </w:pPr>
      <w:r w:rsidRPr="00C83E6A">
        <w:rPr>
          <w:lang w:val="sr-Latn-RS"/>
        </w:rPr>
        <w:t>Tabela 9: Efekti liječenja evolokumabom u poređenju sa placebom kod pacijenata sa homozigotnom porodičnom hiperholesterolemijom – medijana (Q1, Q3) procenta promjene od početne vrijednosti do 80. nedjelje</w:t>
      </w:r>
    </w:p>
    <w:p w14:paraId="68BB519D" w14:textId="77777777" w:rsidR="0040288A" w:rsidRPr="00C83E6A" w:rsidRDefault="0040288A" w:rsidP="001D6451">
      <w:pPr>
        <w:pStyle w:val="StyleBold"/>
        <w:keepNext/>
        <w:jc w:val="both"/>
        <w:rPr>
          <w:lang w:val="sr-Latn-RS"/>
        </w:rPr>
      </w:pPr>
    </w:p>
    <w:tbl>
      <w:tblPr>
        <w:tblW w:w="9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8"/>
        <w:gridCol w:w="1298"/>
        <w:gridCol w:w="1299"/>
        <w:gridCol w:w="1299"/>
        <w:gridCol w:w="1299"/>
        <w:gridCol w:w="1299"/>
        <w:gridCol w:w="1299"/>
      </w:tblGrid>
      <w:tr w:rsidR="0040288A" w:rsidRPr="00C83E6A" w14:paraId="779E5338" w14:textId="77777777" w:rsidTr="001D6451">
        <w:trPr>
          <w:cantSplit/>
          <w:trHeight w:val="912"/>
          <w:tblHeader/>
        </w:trPr>
        <w:tc>
          <w:tcPr>
            <w:tcW w:w="1298" w:type="dxa"/>
            <w:shd w:val="clear" w:color="auto" w:fill="auto"/>
            <w:vAlign w:val="center"/>
          </w:tcPr>
          <w:p w14:paraId="7536F489" w14:textId="77777777" w:rsidR="0040288A" w:rsidRPr="00C83E6A" w:rsidRDefault="0040288A" w:rsidP="005A2856">
            <w:pPr>
              <w:pStyle w:val="Styleboldtable"/>
              <w:keepNext/>
              <w:rPr>
                <w:sz w:val="22"/>
                <w:lang w:val="sr-Latn-RS"/>
              </w:rPr>
            </w:pPr>
            <w:r w:rsidRPr="00C83E6A">
              <w:rPr>
                <w:sz w:val="22"/>
                <w:lang w:val="sr-Latn-RS"/>
              </w:rPr>
              <w:t>Studija</w:t>
            </w:r>
          </w:p>
        </w:tc>
        <w:tc>
          <w:tcPr>
            <w:tcW w:w="1298" w:type="dxa"/>
            <w:shd w:val="clear" w:color="auto" w:fill="auto"/>
            <w:vAlign w:val="center"/>
          </w:tcPr>
          <w:p w14:paraId="58501950" w14:textId="77777777" w:rsidR="0040288A" w:rsidRPr="00C83E6A" w:rsidRDefault="0040288A" w:rsidP="0051163F">
            <w:pPr>
              <w:pStyle w:val="Styleboldtable"/>
              <w:keepNext/>
              <w:rPr>
                <w:sz w:val="22"/>
                <w:lang w:val="sr-Latn-RS"/>
              </w:rPr>
            </w:pPr>
            <w:r w:rsidRPr="00C83E6A">
              <w:rPr>
                <w:sz w:val="22"/>
                <w:lang w:val="sr-Latn-RS"/>
              </w:rPr>
              <w:t>Režim doziranja</w:t>
            </w:r>
          </w:p>
        </w:tc>
        <w:tc>
          <w:tcPr>
            <w:tcW w:w="1299" w:type="dxa"/>
            <w:shd w:val="clear" w:color="auto" w:fill="auto"/>
            <w:vAlign w:val="center"/>
          </w:tcPr>
          <w:p w14:paraId="13E8017C" w14:textId="77777777" w:rsidR="0040288A" w:rsidRPr="00C83E6A" w:rsidRDefault="0040288A">
            <w:pPr>
              <w:pStyle w:val="Styleboldtable"/>
              <w:keepNext/>
              <w:rPr>
                <w:sz w:val="22"/>
                <w:lang w:val="sr-Latn-RS"/>
              </w:rPr>
            </w:pPr>
            <w:r w:rsidRPr="00C83E6A">
              <w:rPr>
                <w:sz w:val="22"/>
                <w:lang w:val="sr-Latn-RS"/>
              </w:rPr>
              <w:t>LDL</w:t>
            </w:r>
            <w:r w:rsidRPr="00C83E6A">
              <w:rPr>
                <w:sz w:val="22"/>
                <w:lang w:val="sr-Latn-RS"/>
              </w:rPr>
              <w:noBreakHyphen/>
              <w:t>C</w:t>
            </w:r>
          </w:p>
          <w:p w14:paraId="468DA958" w14:textId="77777777" w:rsidR="0040288A" w:rsidRPr="00C83E6A" w:rsidRDefault="0040288A">
            <w:pPr>
              <w:pStyle w:val="Styleboldtable"/>
              <w:keepNext/>
              <w:rPr>
                <w:sz w:val="22"/>
                <w:lang w:val="sr-Latn-RS"/>
              </w:rPr>
            </w:pPr>
            <w:r w:rsidRPr="00C83E6A">
              <w:rPr>
                <w:sz w:val="22"/>
                <w:lang w:val="sr-Latn-RS"/>
              </w:rPr>
              <w:t>(%)</w:t>
            </w:r>
          </w:p>
        </w:tc>
        <w:tc>
          <w:tcPr>
            <w:tcW w:w="1299" w:type="dxa"/>
            <w:shd w:val="clear" w:color="auto" w:fill="auto"/>
            <w:vAlign w:val="center"/>
          </w:tcPr>
          <w:p w14:paraId="43A670C2" w14:textId="77777777" w:rsidR="0040288A" w:rsidRPr="00C83E6A" w:rsidRDefault="0040288A">
            <w:pPr>
              <w:pStyle w:val="Styleboldtable"/>
              <w:keepNext/>
              <w:rPr>
                <w:sz w:val="22"/>
                <w:lang w:val="sr-Latn-RS"/>
              </w:rPr>
            </w:pPr>
            <w:r w:rsidRPr="00C83E6A">
              <w:rPr>
                <w:sz w:val="22"/>
                <w:lang w:val="sr-Latn-RS"/>
              </w:rPr>
              <w:t>Ne</w:t>
            </w:r>
            <w:r w:rsidRPr="00C83E6A">
              <w:rPr>
                <w:sz w:val="22"/>
                <w:lang w:val="sr-Latn-RS"/>
              </w:rPr>
              <w:noBreakHyphen/>
              <w:t>HDL</w:t>
            </w:r>
            <w:r w:rsidRPr="00C83E6A">
              <w:rPr>
                <w:sz w:val="22"/>
                <w:lang w:val="sr-Latn-RS"/>
              </w:rPr>
              <w:noBreakHyphen/>
              <w:t>C</w:t>
            </w:r>
          </w:p>
          <w:p w14:paraId="63408982" w14:textId="77777777" w:rsidR="0040288A" w:rsidRPr="00C83E6A" w:rsidRDefault="0040288A">
            <w:pPr>
              <w:pStyle w:val="Styleboldtable"/>
              <w:keepNext/>
              <w:rPr>
                <w:sz w:val="22"/>
                <w:lang w:val="sr-Latn-RS"/>
              </w:rPr>
            </w:pPr>
            <w:r w:rsidRPr="00C83E6A">
              <w:rPr>
                <w:sz w:val="22"/>
                <w:lang w:val="sr-Latn-RS"/>
              </w:rPr>
              <w:t>(%)</w:t>
            </w:r>
          </w:p>
        </w:tc>
        <w:tc>
          <w:tcPr>
            <w:tcW w:w="1299" w:type="dxa"/>
            <w:shd w:val="clear" w:color="auto" w:fill="auto"/>
            <w:vAlign w:val="center"/>
          </w:tcPr>
          <w:p w14:paraId="3DE8218F" w14:textId="77777777" w:rsidR="0040288A" w:rsidRPr="00C83E6A" w:rsidRDefault="0040288A">
            <w:pPr>
              <w:pStyle w:val="Styleboldtable"/>
              <w:keepNext/>
              <w:rPr>
                <w:sz w:val="22"/>
                <w:lang w:val="sr-Latn-RS"/>
              </w:rPr>
            </w:pPr>
            <w:r w:rsidRPr="00C83E6A">
              <w:rPr>
                <w:sz w:val="22"/>
                <w:lang w:val="sr-Latn-RS"/>
              </w:rPr>
              <w:t>ApoB</w:t>
            </w:r>
          </w:p>
          <w:p w14:paraId="0D5C42EB" w14:textId="77777777" w:rsidR="0040288A" w:rsidRPr="00C83E6A" w:rsidRDefault="0040288A">
            <w:pPr>
              <w:pStyle w:val="Styleboldtable"/>
              <w:keepNext/>
              <w:rPr>
                <w:sz w:val="22"/>
                <w:lang w:val="sr-Latn-RS"/>
              </w:rPr>
            </w:pPr>
            <w:r w:rsidRPr="00C83E6A">
              <w:rPr>
                <w:sz w:val="22"/>
                <w:lang w:val="sr-Latn-RS"/>
              </w:rPr>
              <w:t>(%)</w:t>
            </w:r>
          </w:p>
        </w:tc>
        <w:tc>
          <w:tcPr>
            <w:tcW w:w="1299" w:type="dxa"/>
            <w:shd w:val="clear" w:color="auto" w:fill="auto"/>
            <w:vAlign w:val="center"/>
          </w:tcPr>
          <w:p w14:paraId="277FEE4A" w14:textId="77777777" w:rsidR="0040288A" w:rsidRPr="00C83E6A" w:rsidRDefault="0040288A">
            <w:pPr>
              <w:pStyle w:val="Styleboldtable"/>
              <w:keepNext/>
              <w:rPr>
                <w:sz w:val="22"/>
                <w:lang w:val="sr-Latn-RS"/>
              </w:rPr>
            </w:pPr>
            <w:r w:rsidRPr="00C83E6A">
              <w:rPr>
                <w:sz w:val="22"/>
                <w:lang w:val="sr-Latn-RS"/>
              </w:rPr>
              <w:t>Odnos TC/</w:t>
            </w:r>
            <w:r w:rsidRPr="00C83E6A">
              <w:rPr>
                <w:sz w:val="22"/>
                <w:lang w:val="sr-Latn-RS"/>
              </w:rPr>
              <w:br/>
              <w:t>HDL</w:t>
            </w:r>
            <w:r w:rsidRPr="00C83E6A">
              <w:rPr>
                <w:sz w:val="22"/>
                <w:lang w:val="sr-Latn-RS"/>
              </w:rPr>
              <w:noBreakHyphen/>
              <w:t>C</w:t>
            </w:r>
          </w:p>
          <w:p w14:paraId="71E55A35" w14:textId="77777777" w:rsidR="0040288A" w:rsidRPr="00C83E6A" w:rsidRDefault="0040288A">
            <w:pPr>
              <w:pStyle w:val="Styleboldtable"/>
              <w:keepNext/>
              <w:rPr>
                <w:sz w:val="22"/>
                <w:lang w:val="sr-Latn-RS"/>
              </w:rPr>
            </w:pPr>
            <w:r w:rsidRPr="00C83E6A">
              <w:rPr>
                <w:sz w:val="22"/>
                <w:lang w:val="sr-Latn-RS"/>
              </w:rPr>
              <w:t>(%)</w:t>
            </w:r>
          </w:p>
        </w:tc>
        <w:tc>
          <w:tcPr>
            <w:tcW w:w="1299" w:type="dxa"/>
            <w:shd w:val="clear" w:color="auto" w:fill="auto"/>
            <w:vAlign w:val="center"/>
          </w:tcPr>
          <w:p w14:paraId="06C28E7B" w14:textId="77777777" w:rsidR="0040288A" w:rsidRPr="00C83E6A" w:rsidRDefault="0040288A">
            <w:pPr>
              <w:pStyle w:val="Styleboldtable"/>
              <w:keepNext/>
              <w:rPr>
                <w:sz w:val="22"/>
                <w:lang w:val="sr-Latn-RS"/>
              </w:rPr>
            </w:pPr>
            <w:r w:rsidRPr="00C83E6A">
              <w:rPr>
                <w:sz w:val="22"/>
                <w:lang w:val="sr-Latn-RS"/>
              </w:rPr>
              <w:t>Odnos ApoB/</w:t>
            </w:r>
            <w:r w:rsidRPr="00C83E6A">
              <w:rPr>
                <w:sz w:val="22"/>
                <w:lang w:val="sr-Latn-RS"/>
              </w:rPr>
              <w:br/>
              <w:t>ApoA1</w:t>
            </w:r>
          </w:p>
          <w:p w14:paraId="70E0B576" w14:textId="77777777" w:rsidR="0040288A" w:rsidRPr="00C83E6A" w:rsidRDefault="0040288A">
            <w:pPr>
              <w:pStyle w:val="Styleboldtable"/>
              <w:keepNext/>
              <w:rPr>
                <w:sz w:val="22"/>
                <w:lang w:val="sr-Latn-RS"/>
              </w:rPr>
            </w:pPr>
            <w:r w:rsidRPr="00C83E6A">
              <w:rPr>
                <w:sz w:val="22"/>
                <w:lang w:val="sr-Latn-RS"/>
              </w:rPr>
              <w:t>(%)</w:t>
            </w:r>
          </w:p>
        </w:tc>
      </w:tr>
      <w:tr w:rsidR="0040288A" w:rsidRPr="00C83E6A" w14:paraId="6052B6AF" w14:textId="77777777" w:rsidTr="001D6451">
        <w:trPr>
          <w:cantSplit/>
          <w:trHeight w:val="1135"/>
        </w:trPr>
        <w:tc>
          <w:tcPr>
            <w:tcW w:w="1298" w:type="dxa"/>
            <w:shd w:val="clear" w:color="auto" w:fill="auto"/>
            <w:vAlign w:val="center"/>
          </w:tcPr>
          <w:p w14:paraId="0FEB8628" w14:textId="77777777" w:rsidR="0040288A" w:rsidRPr="00C83E6A" w:rsidRDefault="0040288A" w:rsidP="001D6451">
            <w:pPr>
              <w:pStyle w:val="Styletableregular"/>
              <w:keepNext/>
              <w:jc w:val="left"/>
              <w:rPr>
                <w:sz w:val="22"/>
                <w:lang w:val="sr-Latn-RS"/>
              </w:rPr>
            </w:pPr>
            <w:r w:rsidRPr="00C83E6A">
              <w:rPr>
                <w:sz w:val="22"/>
                <w:lang w:val="sr-Latn-RS"/>
              </w:rPr>
              <w:t>HAUSER</w:t>
            </w:r>
            <w:r w:rsidRPr="00C83E6A">
              <w:rPr>
                <w:sz w:val="22"/>
                <w:lang w:val="sr-Latn-RS"/>
              </w:rPr>
              <w:noBreakHyphen/>
            </w:r>
            <w:r w:rsidR="00572450" w:rsidRPr="00C83E6A">
              <w:rPr>
                <w:sz w:val="22"/>
                <w:lang w:val="sr-Latn-RS"/>
              </w:rPr>
              <w:br/>
            </w:r>
            <w:r w:rsidRPr="00C83E6A">
              <w:rPr>
                <w:sz w:val="22"/>
                <w:lang w:val="sr-Latn-RS"/>
              </w:rPr>
              <w:t>OLE (HoFH kod pedijatrijskih pacijenata)</w:t>
            </w:r>
          </w:p>
        </w:tc>
        <w:tc>
          <w:tcPr>
            <w:tcW w:w="1298" w:type="dxa"/>
            <w:shd w:val="clear" w:color="auto" w:fill="auto"/>
            <w:vAlign w:val="center"/>
          </w:tcPr>
          <w:p w14:paraId="598654EB" w14:textId="77777777" w:rsidR="0040288A" w:rsidRPr="00C83E6A" w:rsidRDefault="0040288A" w:rsidP="005A2856">
            <w:pPr>
              <w:pStyle w:val="Styletableregular"/>
              <w:keepNext/>
              <w:rPr>
                <w:sz w:val="22"/>
                <w:lang w:val="sr-Latn-RS"/>
              </w:rPr>
            </w:pPr>
            <w:r w:rsidRPr="00C83E6A">
              <w:rPr>
                <w:sz w:val="22"/>
                <w:lang w:val="sr-Latn-RS"/>
              </w:rPr>
              <w:t>420 mg QM (N = 12)</w:t>
            </w:r>
          </w:p>
        </w:tc>
        <w:tc>
          <w:tcPr>
            <w:tcW w:w="1299" w:type="dxa"/>
            <w:shd w:val="clear" w:color="auto" w:fill="auto"/>
            <w:vAlign w:val="center"/>
          </w:tcPr>
          <w:p w14:paraId="1174918B" w14:textId="77777777" w:rsidR="0040288A" w:rsidRPr="00C83E6A" w:rsidRDefault="0040288A" w:rsidP="0051163F">
            <w:pPr>
              <w:pStyle w:val="Styletableregular"/>
              <w:keepNext/>
              <w:rPr>
                <w:sz w:val="22"/>
                <w:lang w:val="sr-Latn-RS"/>
              </w:rPr>
            </w:pPr>
            <w:r w:rsidRPr="00C83E6A">
              <w:rPr>
                <w:sz w:val="22"/>
                <w:lang w:val="sr-Latn-RS"/>
              </w:rPr>
              <w:t>-14,3</w:t>
            </w:r>
          </w:p>
          <w:p w14:paraId="400030A0" w14:textId="77777777" w:rsidR="0040288A" w:rsidRPr="00C83E6A" w:rsidRDefault="0040288A">
            <w:pPr>
              <w:pStyle w:val="Styletableregular"/>
              <w:keepNext/>
              <w:rPr>
                <w:sz w:val="22"/>
                <w:lang w:val="sr-Latn-RS"/>
              </w:rPr>
            </w:pPr>
            <w:r w:rsidRPr="00C83E6A">
              <w:rPr>
                <w:sz w:val="22"/>
                <w:lang w:val="sr-Latn-RS"/>
              </w:rPr>
              <w:t>(-40,6; 3,5)</w:t>
            </w:r>
          </w:p>
        </w:tc>
        <w:tc>
          <w:tcPr>
            <w:tcW w:w="1299" w:type="dxa"/>
            <w:shd w:val="clear" w:color="auto" w:fill="auto"/>
            <w:vAlign w:val="center"/>
          </w:tcPr>
          <w:p w14:paraId="62564DA1" w14:textId="77777777" w:rsidR="0040288A" w:rsidRPr="00C83E6A" w:rsidRDefault="0040288A">
            <w:pPr>
              <w:pStyle w:val="Styletableregular"/>
              <w:keepNext/>
              <w:rPr>
                <w:sz w:val="22"/>
                <w:lang w:val="sr-Latn-RS"/>
              </w:rPr>
            </w:pPr>
            <w:r w:rsidRPr="00C83E6A">
              <w:rPr>
                <w:sz w:val="22"/>
                <w:lang w:val="sr-Latn-RS"/>
              </w:rPr>
              <w:t>-13</w:t>
            </w:r>
          </w:p>
          <w:p w14:paraId="23ECFBB9" w14:textId="77777777" w:rsidR="0040288A" w:rsidRPr="00C83E6A" w:rsidRDefault="0040288A">
            <w:pPr>
              <w:pStyle w:val="Styletableregular"/>
              <w:keepNext/>
              <w:rPr>
                <w:sz w:val="22"/>
                <w:lang w:val="sr-Latn-RS"/>
              </w:rPr>
            </w:pPr>
            <w:r w:rsidRPr="00C83E6A">
              <w:rPr>
                <w:sz w:val="22"/>
                <w:lang w:val="sr-Latn-RS"/>
              </w:rPr>
              <w:t>(-40,7; 2,7)</w:t>
            </w:r>
          </w:p>
        </w:tc>
        <w:tc>
          <w:tcPr>
            <w:tcW w:w="1299" w:type="dxa"/>
            <w:shd w:val="clear" w:color="auto" w:fill="auto"/>
            <w:vAlign w:val="center"/>
          </w:tcPr>
          <w:p w14:paraId="5581A0B4" w14:textId="77777777" w:rsidR="0040288A" w:rsidRPr="00C83E6A" w:rsidRDefault="0040288A">
            <w:pPr>
              <w:pStyle w:val="Styletableregular"/>
              <w:keepNext/>
              <w:rPr>
                <w:sz w:val="22"/>
                <w:lang w:val="sr-Latn-RS"/>
              </w:rPr>
            </w:pPr>
            <w:r w:rsidRPr="00C83E6A">
              <w:rPr>
                <w:sz w:val="22"/>
                <w:lang w:val="sr-Latn-RS"/>
              </w:rPr>
              <w:t>-19,1</w:t>
            </w:r>
          </w:p>
          <w:p w14:paraId="68FEF194" w14:textId="77777777" w:rsidR="0040288A" w:rsidRPr="00C83E6A" w:rsidRDefault="0040288A">
            <w:pPr>
              <w:pStyle w:val="Styletableregular"/>
              <w:keepNext/>
              <w:rPr>
                <w:sz w:val="22"/>
                <w:lang w:val="sr-Latn-RS"/>
              </w:rPr>
            </w:pPr>
            <w:r w:rsidRPr="00C83E6A">
              <w:rPr>
                <w:sz w:val="22"/>
                <w:lang w:val="sr-Latn-RS"/>
              </w:rPr>
              <w:t>(-33,3; 11,6)</w:t>
            </w:r>
          </w:p>
        </w:tc>
        <w:tc>
          <w:tcPr>
            <w:tcW w:w="1299" w:type="dxa"/>
            <w:shd w:val="clear" w:color="auto" w:fill="auto"/>
            <w:vAlign w:val="center"/>
          </w:tcPr>
          <w:p w14:paraId="1786B2F4" w14:textId="77777777" w:rsidR="0040288A" w:rsidRPr="00C83E6A" w:rsidRDefault="0040288A">
            <w:pPr>
              <w:pStyle w:val="Styletableregular"/>
              <w:keepNext/>
              <w:rPr>
                <w:sz w:val="22"/>
                <w:lang w:val="sr-Latn-RS"/>
              </w:rPr>
            </w:pPr>
            <w:r w:rsidRPr="00C83E6A">
              <w:rPr>
                <w:sz w:val="22"/>
                <w:lang w:val="sr-Latn-RS"/>
              </w:rPr>
              <w:t>-3,7</w:t>
            </w:r>
          </w:p>
          <w:p w14:paraId="258BFB9B" w14:textId="77777777" w:rsidR="0040288A" w:rsidRPr="00C83E6A" w:rsidRDefault="0040288A">
            <w:pPr>
              <w:pStyle w:val="Styletableregular"/>
              <w:keepNext/>
              <w:rPr>
                <w:sz w:val="22"/>
                <w:lang w:val="sr-Latn-RS"/>
              </w:rPr>
            </w:pPr>
            <w:r w:rsidRPr="00C83E6A">
              <w:rPr>
                <w:sz w:val="22"/>
                <w:lang w:val="sr-Latn-RS"/>
              </w:rPr>
              <w:t>(-41,6; 7,6)</w:t>
            </w:r>
          </w:p>
        </w:tc>
        <w:tc>
          <w:tcPr>
            <w:tcW w:w="1299" w:type="dxa"/>
            <w:shd w:val="clear" w:color="auto" w:fill="auto"/>
            <w:vAlign w:val="center"/>
          </w:tcPr>
          <w:p w14:paraId="06402F4C" w14:textId="77777777" w:rsidR="0040288A" w:rsidRPr="00C83E6A" w:rsidRDefault="0040288A">
            <w:pPr>
              <w:pStyle w:val="Styletableregular"/>
              <w:keepNext/>
              <w:rPr>
                <w:sz w:val="22"/>
                <w:lang w:val="sr-Latn-RS"/>
              </w:rPr>
            </w:pPr>
            <w:r w:rsidRPr="00C83E6A">
              <w:rPr>
                <w:sz w:val="22"/>
                <w:lang w:val="sr-Latn-RS"/>
              </w:rPr>
              <w:t>-3</w:t>
            </w:r>
          </w:p>
          <w:p w14:paraId="67631CBF" w14:textId="77777777" w:rsidR="0040288A" w:rsidRPr="00C83E6A" w:rsidRDefault="0040288A">
            <w:pPr>
              <w:pStyle w:val="Styletableregular"/>
              <w:keepNext/>
              <w:rPr>
                <w:sz w:val="22"/>
                <w:lang w:val="sr-Latn-RS"/>
              </w:rPr>
            </w:pPr>
            <w:r w:rsidRPr="00C83E6A">
              <w:rPr>
                <w:sz w:val="22"/>
                <w:lang w:val="sr-Latn-RS"/>
              </w:rPr>
              <w:t>(-35,7; 9,3)</w:t>
            </w:r>
          </w:p>
        </w:tc>
      </w:tr>
    </w:tbl>
    <w:p w14:paraId="6037359C" w14:textId="77777777" w:rsidR="0040288A" w:rsidRPr="00C83E6A" w:rsidRDefault="0040288A" w:rsidP="001D6451">
      <w:pPr>
        <w:pStyle w:val="Stylefootertable"/>
        <w:keepNext/>
        <w:jc w:val="both"/>
        <w:rPr>
          <w:sz w:val="22"/>
          <w:lang w:val="sr-Latn-RS"/>
        </w:rPr>
      </w:pPr>
      <w:r w:rsidRPr="00C83E6A">
        <w:rPr>
          <w:sz w:val="22"/>
          <w:lang w:val="sr-Latn-RS"/>
        </w:rPr>
        <w:t>QM = jednom mjesečno (subkutano); LDL</w:t>
      </w:r>
      <w:r w:rsidRPr="00C83E6A">
        <w:rPr>
          <w:sz w:val="22"/>
          <w:lang w:val="sr-Latn-RS"/>
        </w:rPr>
        <w:noBreakHyphen/>
        <w:t>C = lipoprotein male gustine – holesterol; HDL</w:t>
      </w:r>
      <w:r w:rsidRPr="00C83E6A">
        <w:rPr>
          <w:sz w:val="22"/>
          <w:lang w:val="sr-Latn-RS"/>
        </w:rPr>
        <w:noBreakHyphen/>
        <w:t>C = lipoprotein velike gustine – holesterol; ApoB = apolipoprotein B; ApoA1 = apolipoprotein A1, TC = ukupan holesterol</w:t>
      </w:r>
    </w:p>
    <w:p w14:paraId="411079F0" w14:textId="77777777" w:rsidR="0040288A" w:rsidRPr="00C83E6A" w:rsidRDefault="0040288A" w:rsidP="001D6451">
      <w:pPr>
        <w:pStyle w:val="Stylefootertable"/>
        <w:jc w:val="both"/>
        <w:rPr>
          <w:rFonts w:eastAsia="Calibri"/>
          <w:sz w:val="22"/>
          <w:lang w:val="sr-Latn-RS"/>
        </w:rPr>
      </w:pPr>
      <w:r w:rsidRPr="00C83E6A">
        <w:rPr>
          <w:sz w:val="22"/>
          <w:lang w:val="sr-Latn-RS"/>
        </w:rPr>
        <w:t>N = broj randomizovanih pacijenata koji su primili dozu u setu za preliminarnu analizu.</w:t>
      </w:r>
    </w:p>
    <w:p w14:paraId="3022C4FB" w14:textId="77777777" w:rsidR="00D26E8E" w:rsidRPr="00C83E6A" w:rsidRDefault="00D26E8E" w:rsidP="001D6451">
      <w:pPr>
        <w:tabs>
          <w:tab w:val="clear" w:pos="567"/>
          <w:tab w:val="left" w:pos="709"/>
        </w:tabs>
        <w:autoSpaceDE w:val="0"/>
        <w:autoSpaceDN w:val="0"/>
        <w:adjustRightInd w:val="0"/>
        <w:jc w:val="both"/>
        <w:rPr>
          <w:rFonts w:eastAsia="PMingLiU"/>
          <w:lang w:val="sr-Latn-RS"/>
        </w:rPr>
      </w:pPr>
    </w:p>
    <w:p w14:paraId="40EB8E07" w14:textId="77777777" w:rsidR="00D26E8E" w:rsidRPr="00C83E6A" w:rsidRDefault="009C4C6E" w:rsidP="001D6451">
      <w:pPr>
        <w:keepNext/>
        <w:jc w:val="both"/>
        <w:rPr>
          <w:rFonts w:eastAsia="PMingLiU"/>
          <w:u w:val="single"/>
          <w:lang w:val="sr-Latn-RS"/>
        </w:rPr>
      </w:pPr>
      <w:r w:rsidRPr="00C83E6A">
        <w:rPr>
          <w:u w:val="single"/>
          <w:lang w:val="sr-Latn-RS"/>
        </w:rPr>
        <w:t>Efekat na aterosklerotsku bolest</w:t>
      </w:r>
    </w:p>
    <w:p w14:paraId="27B468E7" w14:textId="77777777" w:rsidR="00D26E8E" w:rsidRPr="00C83E6A" w:rsidRDefault="00D26E8E" w:rsidP="001D6451">
      <w:pPr>
        <w:keepNext/>
        <w:jc w:val="both"/>
        <w:rPr>
          <w:rFonts w:eastAsia="PMingLiU"/>
          <w:u w:val="single"/>
          <w:lang w:val="sr-Latn-RS"/>
        </w:rPr>
      </w:pPr>
    </w:p>
    <w:p w14:paraId="4F292EE6" w14:textId="77777777" w:rsidR="00D26E8E" w:rsidRPr="00C83E6A" w:rsidRDefault="009C4C6E" w:rsidP="001D6451">
      <w:pPr>
        <w:jc w:val="both"/>
        <w:rPr>
          <w:rFonts w:eastAsia="PMingLiU"/>
          <w:lang w:val="sr-Latn-RS"/>
        </w:rPr>
      </w:pPr>
      <w:r w:rsidRPr="00C83E6A">
        <w:rPr>
          <w:lang w:val="sr-Latn-RS"/>
        </w:rPr>
        <w:t xml:space="preserve">Efekti lijeka Repatha u dozi od 420 mg jednom mjesečno na aterosklerotsku bolest, mjereno intravaskularnim ultrazvukom (engl. </w:t>
      </w:r>
      <w:r w:rsidRPr="00C83E6A">
        <w:rPr>
          <w:i/>
          <w:lang w:val="sr-Latn-RS"/>
        </w:rPr>
        <w:t>intravascular ultrasound</w:t>
      </w:r>
      <w:r w:rsidRPr="00C83E6A">
        <w:rPr>
          <w:lang w:val="sr-Latn-RS"/>
        </w:rPr>
        <w:t>, IVUS), ispitivani su u dvostruko slijepoj, randomizovanoj, placebo kontrolisanoj studiji u trajanju od 78 nedjelja na 968 pacijenata sa oboljenjem koronarnih arterija na stabilnoj osnovnoj optimalnoj terapiji statinom. Lijek Repatha je smanjio i volumen ateroma izražen u procentima (PAV) (PAV; 1,01% [95% CI 0,64, 1,38], p &lt; 0,0001) i ukupni volumen ateroma (TAV) (TAV; 4,89 mm</w:t>
      </w:r>
      <w:r w:rsidRPr="00C83E6A">
        <w:rPr>
          <w:vertAlign w:val="superscript"/>
          <w:lang w:val="sr-Latn-RS"/>
        </w:rPr>
        <w:t>3</w:t>
      </w:r>
      <w:r w:rsidRPr="00C83E6A">
        <w:rPr>
          <w:lang w:val="sr-Latn-RS"/>
        </w:rPr>
        <w:t xml:space="preserve"> [95% CI 2,53, 7,25], p &lt; 0,0001) u poređenju sa placebom. Regresija aterosklerotske bolesti primijećena je kod 64,3% (95% CI 59,6, 68,7) i 47,3% (95% CI 42,6, 52,0) pacijenata koji su primali lijek Repatha odnosno placebo pri mjerenju PAV</w:t>
      </w:r>
      <w:r w:rsidRPr="00C83E6A">
        <w:rPr>
          <w:lang w:val="sr-Latn-RS"/>
        </w:rPr>
        <w:noBreakHyphen/>
        <w:t>a. Pri mjerenju TAV</w:t>
      </w:r>
      <w:r w:rsidRPr="00C83E6A">
        <w:rPr>
          <w:lang w:val="sr-Latn-RS"/>
        </w:rPr>
        <w:noBreakHyphen/>
        <w:t>a, regresija aterosklerotske bolesti primijećena je kod 61,5% (95% CI 56,7, 66,0) i 48,9% (95% CI 44,2, 53,7) pacijenata koji su primali lijek Repatha odnosno placebo. Studijom nije ispitana korelacija između regresije aterosklerotske bolesti i kardiovaskularnih događaja.</w:t>
      </w:r>
    </w:p>
    <w:p w14:paraId="79F9043E" w14:textId="77777777" w:rsidR="00F355AD" w:rsidRPr="00C83E6A" w:rsidRDefault="00F355AD" w:rsidP="001D6451">
      <w:pPr>
        <w:autoSpaceDE w:val="0"/>
        <w:autoSpaceDN w:val="0"/>
        <w:adjustRightInd w:val="0"/>
        <w:jc w:val="both"/>
        <w:rPr>
          <w:lang w:val="sr-Latn-RS"/>
        </w:rPr>
      </w:pPr>
    </w:p>
    <w:p w14:paraId="6124C4CB" w14:textId="77777777" w:rsidR="00F355AD" w:rsidRPr="00C83E6A" w:rsidRDefault="00F355AD" w:rsidP="001D6451">
      <w:pPr>
        <w:pStyle w:val="StyleUnderline0"/>
        <w:keepNext/>
        <w:jc w:val="both"/>
        <w:rPr>
          <w:lang w:val="sr-Latn-RS"/>
        </w:rPr>
      </w:pPr>
      <w:r w:rsidRPr="00C83E6A">
        <w:rPr>
          <w:lang w:val="sr-Latn-RS"/>
        </w:rPr>
        <w:t>Uticaj na morfologiju koronarnog aterosklerotskog plaka</w:t>
      </w:r>
    </w:p>
    <w:p w14:paraId="5A9E8CC4" w14:textId="77777777" w:rsidR="00F355AD" w:rsidRPr="00C83E6A" w:rsidRDefault="00F355AD" w:rsidP="001D6451">
      <w:pPr>
        <w:pStyle w:val="Labeling-RecommendedText"/>
        <w:keepNext/>
        <w:spacing w:line="240" w:lineRule="auto"/>
        <w:ind w:left="0"/>
        <w:jc w:val="both"/>
        <w:rPr>
          <w:rFonts w:ascii="Times New Roman" w:hAnsi="Times New Roman" w:cs="Times New Roman"/>
          <w:color w:val="000000"/>
          <w:szCs w:val="22"/>
          <w:lang w:val="sr-Latn-RS"/>
        </w:rPr>
      </w:pPr>
    </w:p>
    <w:p w14:paraId="0F8B200F" w14:textId="77777777" w:rsidR="00F355AD" w:rsidRPr="00C83E6A" w:rsidRDefault="00F355AD" w:rsidP="001D6451">
      <w:pPr>
        <w:jc w:val="both"/>
        <w:rPr>
          <w:rFonts w:eastAsia="Calibri"/>
          <w:lang w:val="sr-Latn-RS"/>
        </w:rPr>
      </w:pPr>
      <w:r w:rsidRPr="00C83E6A">
        <w:rPr>
          <w:lang w:val="sr-Latn-RS"/>
        </w:rPr>
        <w:t>Uticaji lijeka Repatha u dozi od 420 mg jednom mjesečno na koronarne aterosklerotske plakove na osnovu procjene pomoću optičke koherentne tomografije (OCT) procijenjeni su u 52 nedjeljnoj dvostruko slijepoj, randomizovanoj studiji kontrolisanoj placebom koja je obuhvatala odrasle pacijente uključene u okviru 7 dana od javljanja akutnog koronarnog sindroma bez povećanja ST segmenta (eng</w:t>
      </w:r>
      <w:r w:rsidR="00563FC9" w:rsidRPr="00C83E6A">
        <w:rPr>
          <w:lang w:val="sr-Latn-RS"/>
        </w:rPr>
        <w:t>l</w:t>
      </w:r>
      <w:r w:rsidRPr="00C83E6A">
        <w:rPr>
          <w:lang w:val="sr-Latn-RS"/>
        </w:rPr>
        <w:t xml:space="preserve">. </w:t>
      </w:r>
      <w:r w:rsidRPr="00C83E6A">
        <w:rPr>
          <w:i/>
          <w:lang w:val="sr-Latn-RS"/>
        </w:rPr>
        <w:t>non ST segment elevation acute coronary syndrome</w:t>
      </w:r>
      <w:r w:rsidRPr="00C83E6A">
        <w:rPr>
          <w:lang w:val="sr-Latn-RS"/>
        </w:rPr>
        <w:t>, NSTEACS), a koji su bili na terapiji statinima u najvišoj podnošljivoj dozi. Za glavni ishod u vidu apsolutne promjene najmanje debljine fibrozne kape (eng</w:t>
      </w:r>
      <w:r w:rsidR="00563FC9" w:rsidRPr="00C83E6A">
        <w:rPr>
          <w:lang w:val="sr-Latn-RS"/>
        </w:rPr>
        <w:t>l</w:t>
      </w:r>
      <w:r w:rsidRPr="00C83E6A">
        <w:rPr>
          <w:lang w:val="sr-Latn-RS"/>
        </w:rPr>
        <w:t xml:space="preserve">. </w:t>
      </w:r>
      <w:r w:rsidRPr="00C83E6A">
        <w:rPr>
          <w:i/>
          <w:lang w:val="sr-Latn-RS"/>
        </w:rPr>
        <w:t>fibrous cap thickness</w:t>
      </w:r>
      <w:r w:rsidRPr="00C83E6A">
        <w:rPr>
          <w:lang w:val="sr-Latn-RS"/>
        </w:rPr>
        <w:t xml:space="preserve">, FCT) u podudarnom segmentu arterije u odnosu na početnu vrijednost, srednja vrijednost dobijena metodom najmanjih kvadrata (95% CI) povećala se u odnosu na početnu vrijednost za 42,7 µm (32,4; 53,1) u grupi koja je primala lijek Repatha i 21,5 µm (10,9; 32,1) u grupi koja je primala placebo, što predstavlja dodatnih 21,2 µm (4,7; 37,7) u poređenju sa placebom (p = 0,015; razlika od 38% (p = 0,041)). Prijavljeni sekundarni nalazi pokazuju razlike u liječenju, </w:t>
      </w:r>
      <w:r w:rsidRPr="00C83E6A">
        <w:rPr>
          <w:lang w:val="sr-Latn-RS"/>
        </w:rPr>
        <w:lastRenderedPageBreak/>
        <w:t>uključujući promjenu u srednjoj vrijednosti najmanje FCT (povećanje od 32,5 µm (12,7; 52,4); p = 0,016) i apsolutnu promjenu u najvišem lipidnom luku (-26° (-49,6; -2,4); p = 0,041).</w:t>
      </w:r>
    </w:p>
    <w:p w14:paraId="6759A5A8" w14:textId="77777777" w:rsidR="00D26E8E" w:rsidRPr="00C83E6A" w:rsidRDefault="00D26E8E" w:rsidP="001D6451">
      <w:pPr>
        <w:jc w:val="both"/>
        <w:rPr>
          <w:rFonts w:eastAsia="PMingLiU"/>
          <w:u w:val="single"/>
          <w:lang w:val="sr-Latn-RS"/>
        </w:rPr>
      </w:pPr>
    </w:p>
    <w:p w14:paraId="7534FF6F" w14:textId="77777777" w:rsidR="00D26E8E" w:rsidRPr="00C83E6A" w:rsidRDefault="009C4C6E" w:rsidP="001D6451">
      <w:pPr>
        <w:keepNext/>
        <w:jc w:val="both"/>
        <w:rPr>
          <w:rFonts w:eastAsia="PMingLiU"/>
          <w:u w:val="single"/>
          <w:lang w:val="sr-Latn-RS"/>
        </w:rPr>
      </w:pPr>
      <w:r w:rsidRPr="00C83E6A">
        <w:rPr>
          <w:u w:val="single"/>
          <w:lang w:val="sr-Latn-RS"/>
        </w:rPr>
        <w:t>Smanjenje kardiovaskularnog rizika kod odraslih sa ustanovljenom aterosklerotskom kardiovaskularnom bolešću</w:t>
      </w:r>
    </w:p>
    <w:p w14:paraId="0D384AA0" w14:textId="77777777" w:rsidR="00D26E8E" w:rsidRPr="00C83E6A" w:rsidRDefault="00D26E8E" w:rsidP="001D6451">
      <w:pPr>
        <w:keepNext/>
        <w:jc w:val="both"/>
        <w:rPr>
          <w:rFonts w:eastAsia="PMingLiU"/>
          <w:lang w:val="sr-Latn-RS"/>
        </w:rPr>
      </w:pPr>
    </w:p>
    <w:p w14:paraId="439394FF" w14:textId="77777777" w:rsidR="00D26E8E" w:rsidRPr="00C83E6A" w:rsidRDefault="009C4C6E" w:rsidP="001D6451">
      <w:pPr>
        <w:jc w:val="both"/>
        <w:rPr>
          <w:rFonts w:eastAsia="PMingLiU"/>
          <w:lang w:val="sr-Latn-RS"/>
        </w:rPr>
      </w:pPr>
      <w:r w:rsidRPr="00C83E6A">
        <w:rPr>
          <w:lang w:val="sr-Latn-RS"/>
        </w:rPr>
        <w:t>Studija ishoda liječenja lijekom Repatha (FOURIER) bila je randomizovana, dvostruko</w:t>
      </w:r>
      <w:r w:rsidRPr="00C83E6A">
        <w:rPr>
          <w:lang w:val="sr-Latn-RS"/>
        </w:rPr>
        <w:noBreakHyphen/>
        <w:t>slijepa studija vođena događajima, na 27564 ispitanika uzrasta između 40 i 86 godina (prosječan uzrast 62,5 godina) sa ustanovljenom aterosklerotskom KV bolesti; 81% njih sa prethodnim infarktom miokarda, 19% sa prethodnim moždanim udarom, a 13% njih sa oboljenjem perifernih arterija. Preko 99% pacijenata bilo je na terapiji statinima umjerenog do visokog intenziteta uz još najmanje jedan kardiovaskularni lijek, kao što su antitrombocitni ljekovi, beta-blokatori, inhibitori angiotenzin konvertujućeg enzima (ACE) ili blokatori angiotenzin receptora; medijana (Q1, Q3) početne vrijednosti LDL</w:t>
      </w:r>
      <w:r w:rsidRPr="00C83E6A">
        <w:rPr>
          <w:lang w:val="sr-Latn-RS"/>
        </w:rPr>
        <w:noBreakHyphen/>
        <w:t>C</w:t>
      </w:r>
      <w:r w:rsidRPr="00C83E6A">
        <w:rPr>
          <w:lang w:val="sr-Latn-RS"/>
        </w:rPr>
        <w:noBreakHyphen/>
        <w:t>a bila je 2,4 mmol/l (2,1, 2,8). Apsolutni KV rizik bio je uravnotežen između liječenih grupa, a kao dodatak indeksu događaja svi pacijenti su imali najmanje 1 značajni ili 2 manje značajna faktora KV rizika; 80% njih imalo je hipertenziju, 36% dijabetes melitus, a 28% njih bili su svakodnevni pušači. Pacijenti su bili randomizovani 1:1 da primaju lijek Repatha (u dozi od 140 mg svake dvije nedjelje ili 420 mg jednom mjesečno) ili odgovarajućeg placeba; prosječno trajanje praćenja pacijenata iznosilo je 26 mjeseci.</w:t>
      </w:r>
    </w:p>
    <w:p w14:paraId="0FC7CF4F" w14:textId="77777777" w:rsidR="00D26E8E" w:rsidRPr="00C83E6A" w:rsidRDefault="00D26E8E" w:rsidP="001D6451">
      <w:pPr>
        <w:jc w:val="both"/>
        <w:rPr>
          <w:rFonts w:eastAsia="PMingLiU"/>
          <w:lang w:val="sr-Latn-RS"/>
        </w:rPr>
      </w:pPr>
    </w:p>
    <w:p w14:paraId="7F68C6E9" w14:textId="77777777" w:rsidR="00D26E8E" w:rsidRPr="00C83E6A" w:rsidRDefault="009C4C6E" w:rsidP="001D6451">
      <w:pPr>
        <w:jc w:val="both"/>
        <w:rPr>
          <w:rFonts w:eastAsia="PMingLiU"/>
          <w:lang w:val="sr-Latn-RS"/>
        </w:rPr>
      </w:pPr>
      <w:r w:rsidRPr="00C83E6A">
        <w:rPr>
          <w:lang w:val="sr-Latn-RS"/>
        </w:rPr>
        <w:t>Značajno smanjenje vrijednosti LDL</w:t>
      </w:r>
      <w:r w:rsidRPr="00C83E6A">
        <w:rPr>
          <w:lang w:val="sr-Latn-RS"/>
        </w:rPr>
        <w:noBreakHyphen/>
        <w:t>C</w:t>
      </w:r>
      <w:r w:rsidRPr="00C83E6A">
        <w:rPr>
          <w:lang w:val="sr-Latn-RS"/>
        </w:rPr>
        <w:noBreakHyphen/>
        <w:t>a primijećeno je tokom cjelokupnog trajanja studije, sa postignutom medijanom vrijednosti LDL</w:t>
      </w:r>
      <w:r w:rsidRPr="00C83E6A">
        <w:rPr>
          <w:lang w:val="sr-Latn-RS"/>
        </w:rPr>
        <w:noBreakHyphen/>
        <w:t>C</w:t>
      </w:r>
      <w:r w:rsidRPr="00C83E6A">
        <w:rPr>
          <w:lang w:val="sr-Latn-RS"/>
        </w:rPr>
        <w:noBreakHyphen/>
        <w:t>a u rasponu od 0,8 do 0,9 mmol/l pri svakoj procjeni; 25% pacijenata postiglo je koncentraciju LDL</w:t>
      </w:r>
      <w:r w:rsidRPr="00C83E6A">
        <w:rPr>
          <w:lang w:val="sr-Latn-RS"/>
        </w:rPr>
        <w:noBreakHyphen/>
        <w:t>C</w:t>
      </w:r>
      <w:r w:rsidRPr="00C83E6A">
        <w:rPr>
          <w:lang w:val="sr-Latn-RS"/>
        </w:rPr>
        <w:noBreakHyphen/>
        <w:t>a manju od 0,5 mmol/l. Uprkos vrlo niskim postignutim vrijednostima LDL</w:t>
      </w:r>
      <w:r w:rsidRPr="00C83E6A">
        <w:rPr>
          <w:lang w:val="sr-Latn-RS"/>
        </w:rPr>
        <w:noBreakHyphen/>
        <w:t>C</w:t>
      </w:r>
      <w:r w:rsidRPr="00C83E6A">
        <w:rPr>
          <w:lang w:val="sr-Latn-RS"/>
        </w:rPr>
        <w:noBreakHyphen/>
        <w:t>a, nijesu primijećena nova bezbjednosna pitanja (vidjeti dio 4.8); učestalosti novih nastupa dijabetesa i kognitivnih događaja bile su uporedive kod pacijenata koji su postigli vrijednosti LDL</w:t>
      </w:r>
      <w:r w:rsidRPr="00C83E6A">
        <w:rPr>
          <w:lang w:val="sr-Latn-RS"/>
        </w:rPr>
        <w:noBreakHyphen/>
        <w:t>C</w:t>
      </w:r>
      <w:r w:rsidRPr="00C83E6A">
        <w:rPr>
          <w:lang w:val="sr-Latn-RS"/>
        </w:rPr>
        <w:noBreakHyphen/>
        <w:t>a od &lt; 0,65 mmol/l i onih sa višim vrijednostima LDL</w:t>
      </w:r>
      <w:r w:rsidRPr="00C83E6A">
        <w:rPr>
          <w:lang w:val="sr-Latn-RS"/>
        </w:rPr>
        <w:noBreakHyphen/>
        <w:t>C</w:t>
      </w:r>
      <w:r w:rsidRPr="00C83E6A">
        <w:rPr>
          <w:lang w:val="sr-Latn-RS"/>
        </w:rPr>
        <w:noBreakHyphen/>
        <w:t>a.</w:t>
      </w:r>
    </w:p>
    <w:p w14:paraId="71A3E834" w14:textId="77777777" w:rsidR="00D26E8E" w:rsidRPr="00C83E6A" w:rsidRDefault="00D26E8E" w:rsidP="001D6451">
      <w:pPr>
        <w:jc w:val="both"/>
        <w:rPr>
          <w:rFonts w:eastAsia="PMingLiU"/>
          <w:lang w:val="sr-Latn-RS"/>
        </w:rPr>
      </w:pPr>
    </w:p>
    <w:p w14:paraId="381013FE" w14:textId="77777777" w:rsidR="00D26E8E" w:rsidRPr="00C83E6A" w:rsidRDefault="009C4C6E" w:rsidP="001D6451">
      <w:pPr>
        <w:jc w:val="both"/>
        <w:rPr>
          <w:rFonts w:eastAsia="PMingLiU"/>
          <w:lang w:val="sr-Latn-RS"/>
        </w:rPr>
      </w:pPr>
      <w:r w:rsidRPr="00C83E6A">
        <w:rPr>
          <w:lang w:val="sr-Latn-RS"/>
        </w:rPr>
        <w:t>Lijek Repatha je doveo do značajnog smanjenja rizika od kardiovaskularnih događaja definisanih kao udružena pojava KV smrti, infarkta miokarda, moždanog udara, koronarne revaskularizacije ili hospitalizacije zbog nestabilne angine pektoris (vidjeti tabelu 10); Kaplan</w:t>
      </w:r>
      <w:r w:rsidRPr="00C83E6A">
        <w:rPr>
          <w:lang w:val="sr-Latn-RS"/>
        </w:rPr>
        <w:noBreakHyphen/>
        <w:t>Majerove krive primarnih i ključnih sekundarnih kompozitnih ishoda razdvojile su se oko 5. mjeseca (vidjeti sliku 1 za MACE trogodišnju Kaplan-Majerovu krivu). Relativni rizik od MACE kompozitnog ishoda (KV smrt, infarkt miokarda ili moždani udar) bio je značajno smanjen za 20%. Efekat liječenja bio je konzistentan kod svih podgrupa (uključujući uzrast, tip bolesti, početnu vrijednost LDL</w:t>
      </w:r>
      <w:r w:rsidRPr="00C83E6A">
        <w:rPr>
          <w:lang w:val="sr-Latn-RS"/>
        </w:rPr>
        <w:noBreakHyphen/>
        <w:t>C</w:t>
      </w:r>
      <w:r w:rsidRPr="00C83E6A">
        <w:rPr>
          <w:lang w:val="sr-Latn-RS"/>
        </w:rPr>
        <w:noBreakHyphen/>
        <w:t>a, početni intenzitet terapije statinima, primjenu ezetimiba i dijabetes) i ogledao se u smanjenju rizika od infarkta miokarda, moždanog udara i koronarne revaskularizacije; nije uočena značajna razlika s obzirom na kardiovaskularni ili mortalitet bilo kojeg uzroka, međutim, studija nije bila osmišljena za otkrivanje takve razlike.</w:t>
      </w:r>
    </w:p>
    <w:p w14:paraId="5BDBCFEA" w14:textId="77777777" w:rsidR="00D26E8E" w:rsidRPr="00C83E6A" w:rsidRDefault="00D26E8E" w:rsidP="001D6451">
      <w:pPr>
        <w:jc w:val="both"/>
        <w:rPr>
          <w:rFonts w:eastAsia="PMingLiU"/>
          <w:lang w:val="sr-Latn-RS"/>
        </w:rPr>
      </w:pPr>
    </w:p>
    <w:p w14:paraId="1AC41947" w14:textId="77777777" w:rsidR="00D26E8E" w:rsidRPr="00C83E6A" w:rsidRDefault="00910FA7" w:rsidP="001D6451">
      <w:pPr>
        <w:keepNext/>
        <w:jc w:val="both"/>
        <w:rPr>
          <w:rFonts w:eastAsia="PMingLiU"/>
          <w:b/>
          <w:bCs/>
          <w:lang w:val="sr-Latn-RS"/>
        </w:rPr>
      </w:pPr>
      <w:r w:rsidRPr="00C83E6A">
        <w:rPr>
          <w:b/>
          <w:lang w:val="sr-Latn-RS"/>
        </w:rPr>
        <w:lastRenderedPageBreak/>
        <w:t>Tabela 10: Efekti evolokumaba na značajne kardiovaskularne događaje</w:t>
      </w:r>
    </w:p>
    <w:p w14:paraId="700A8764" w14:textId="77777777" w:rsidR="00910FA7" w:rsidRPr="00C83E6A" w:rsidRDefault="00910FA7" w:rsidP="001D6451">
      <w:pPr>
        <w:keepNext/>
        <w:jc w:val="both"/>
        <w:rPr>
          <w:rFonts w:eastAsia="PMingLiU"/>
          <w:b/>
          <w:bCs/>
          <w:u w:val="single"/>
          <w:lang w:val="sr-Latn-RS"/>
        </w:rPr>
      </w:pPr>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86"/>
        <w:gridCol w:w="1156"/>
        <w:gridCol w:w="1156"/>
        <w:gridCol w:w="1445"/>
        <w:gridCol w:w="1300"/>
      </w:tblGrid>
      <w:tr w:rsidR="00172BB8" w:rsidRPr="00C83E6A" w14:paraId="678AC52C" w14:textId="77777777" w:rsidTr="00172BB8">
        <w:trPr>
          <w:cantSplit/>
          <w:tblHeader/>
          <w:jc w:val="center"/>
        </w:trPr>
        <w:tc>
          <w:tcPr>
            <w:tcW w:w="3912" w:type="dxa"/>
            <w:shd w:val="clear" w:color="auto" w:fill="FFFFFF"/>
            <w:tcMar>
              <w:left w:w="20" w:type="dxa"/>
              <w:right w:w="20" w:type="dxa"/>
            </w:tcMar>
            <w:vAlign w:val="bottom"/>
          </w:tcPr>
          <w:p w14:paraId="5EF8F5EC" w14:textId="77777777" w:rsidR="00172BB8" w:rsidRPr="00C83E6A" w:rsidRDefault="00172BB8" w:rsidP="001D6451">
            <w:pPr>
              <w:keepNext/>
              <w:jc w:val="both"/>
              <w:rPr>
                <w:b/>
                <w:color w:val="000000"/>
                <w:lang w:val="sr-Latn-RS"/>
              </w:rPr>
            </w:pPr>
          </w:p>
        </w:tc>
        <w:tc>
          <w:tcPr>
            <w:tcW w:w="1134" w:type="dxa"/>
            <w:shd w:val="clear" w:color="auto" w:fill="FFFFFF"/>
            <w:tcMar>
              <w:left w:w="20" w:type="dxa"/>
              <w:right w:w="20" w:type="dxa"/>
            </w:tcMar>
            <w:vAlign w:val="bottom"/>
          </w:tcPr>
          <w:p w14:paraId="0FFF3C79" w14:textId="77777777" w:rsidR="00D26E8E" w:rsidRPr="00C83E6A" w:rsidRDefault="00172BB8" w:rsidP="00AB5C0E">
            <w:pPr>
              <w:keepNext/>
              <w:jc w:val="center"/>
              <w:rPr>
                <w:rFonts w:eastAsia="PMingLiU"/>
                <w:b/>
                <w:bCs/>
                <w:color w:val="000000"/>
                <w:lang w:val="sr-Latn-RS"/>
              </w:rPr>
            </w:pPr>
            <w:r w:rsidRPr="00C83E6A">
              <w:rPr>
                <w:b/>
                <w:color w:val="000000"/>
                <w:lang w:val="sr-Latn-RS"/>
              </w:rPr>
              <w:t>Placebo</w:t>
            </w:r>
          </w:p>
          <w:p w14:paraId="4DBFAA59" w14:textId="77777777" w:rsidR="00D26E8E" w:rsidRPr="00C83E6A" w:rsidRDefault="00172BB8">
            <w:pPr>
              <w:keepNext/>
              <w:jc w:val="center"/>
              <w:rPr>
                <w:rFonts w:eastAsia="PMingLiU"/>
                <w:b/>
                <w:bCs/>
                <w:color w:val="000000"/>
                <w:lang w:val="sr-Latn-RS"/>
              </w:rPr>
            </w:pPr>
            <w:r w:rsidRPr="00C83E6A">
              <w:rPr>
                <w:b/>
                <w:color w:val="000000"/>
                <w:lang w:val="sr-Latn-RS"/>
              </w:rPr>
              <w:t>(N = 13780)</w:t>
            </w:r>
          </w:p>
          <w:p w14:paraId="4CF7019B" w14:textId="77777777" w:rsidR="00172BB8" w:rsidRPr="00C83E6A" w:rsidRDefault="00172BB8">
            <w:pPr>
              <w:keepNext/>
              <w:jc w:val="center"/>
              <w:rPr>
                <w:b/>
                <w:bCs/>
                <w:color w:val="000000"/>
                <w:lang w:val="sr-Latn-RS"/>
              </w:rPr>
            </w:pPr>
            <w:r w:rsidRPr="00C83E6A">
              <w:rPr>
                <w:b/>
                <w:color w:val="000000"/>
                <w:lang w:val="sr-Latn-RS"/>
              </w:rPr>
              <w:t>n (%)</w:t>
            </w:r>
          </w:p>
        </w:tc>
        <w:tc>
          <w:tcPr>
            <w:tcW w:w="1134" w:type="dxa"/>
            <w:shd w:val="clear" w:color="auto" w:fill="FFFFFF"/>
            <w:tcMar>
              <w:left w:w="20" w:type="dxa"/>
              <w:right w:w="20" w:type="dxa"/>
            </w:tcMar>
            <w:vAlign w:val="bottom"/>
          </w:tcPr>
          <w:p w14:paraId="3B057904" w14:textId="77777777" w:rsidR="002C31C1" w:rsidRPr="00C83E6A" w:rsidRDefault="00AF42BA">
            <w:pPr>
              <w:keepNext/>
              <w:jc w:val="center"/>
              <w:rPr>
                <w:b/>
                <w:color w:val="000000"/>
                <w:lang w:val="sr-Latn-RS"/>
              </w:rPr>
            </w:pPr>
            <w:r w:rsidRPr="00C83E6A">
              <w:rPr>
                <w:b/>
                <w:color w:val="000000"/>
                <w:lang w:val="sr-Latn-RS"/>
              </w:rPr>
              <w:t>Evolokumab</w:t>
            </w:r>
          </w:p>
          <w:p w14:paraId="5C0062E5" w14:textId="77777777" w:rsidR="00D26E8E" w:rsidRPr="00C83E6A" w:rsidRDefault="00172BB8">
            <w:pPr>
              <w:keepNext/>
              <w:jc w:val="center"/>
              <w:rPr>
                <w:rFonts w:eastAsia="PMingLiU"/>
                <w:b/>
                <w:bCs/>
                <w:lang w:val="sr-Latn-RS"/>
              </w:rPr>
            </w:pPr>
            <w:r w:rsidRPr="00C83E6A">
              <w:rPr>
                <w:b/>
                <w:lang w:val="sr-Latn-RS"/>
              </w:rPr>
              <w:t>(N = 13784)</w:t>
            </w:r>
          </w:p>
          <w:p w14:paraId="15DEE03B" w14:textId="77777777" w:rsidR="00172BB8" w:rsidRPr="00C83E6A" w:rsidRDefault="00172BB8">
            <w:pPr>
              <w:keepNext/>
              <w:jc w:val="center"/>
              <w:rPr>
                <w:b/>
                <w:bCs/>
                <w:color w:val="000000"/>
                <w:lang w:val="sr-Latn-RS"/>
              </w:rPr>
            </w:pPr>
            <w:r w:rsidRPr="00C83E6A">
              <w:rPr>
                <w:b/>
                <w:color w:val="000000"/>
                <w:lang w:val="sr-Latn-RS"/>
              </w:rPr>
              <w:t>n (%)</w:t>
            </w:r>
          </w:p>
        </w:tc>
        <w:tc>
          <w:tcPr>
            <w:tcW w:w="1418" w:type="dxa"/>
            <w:shd w:val="clear" w:color="auto" w:fill="FFFFFF"/>
            <w:tcMar>
              <w:left w:w="20" w:type="dxa"/>
              <w:right w:w="20" w:type="dxa"/>
            </w:tcMar>
            <w:vAlign w:val="bottom"/>
          </w:tcPr>
          <w:p w14:paraId="224D06A3" w14:textId="77777777" w:rsidR="00D26E8E" w:rsidRPr="00C83E6A" w:rsidRDefault="00172BB8">
            <w:pPr>
              <w:keepNext/>
              <w:jc w:val="center"/>
              <w:rPr>
                <w:rFonts w:eastAsia="PMingLiU"/>
                <w:b/>
                <w:bCs/>
                <w:color w:val="000000"/>
                <w:lang w:val="sr-Latn-RS"/>
              </w:rPr>
            </w:pPr>
            <w:r w:rsidRPr="00C83E6A">
              <w:rPr>
                <w:b/>
                <w:color w:val="000000"/>
                <w:lang w:val="sr-Latn-RS"/>
              </w:rPr>
              <w:t>Koeficijent rizika</w:t>
            </w:r>
            <w:r w:rsidRPr="00C83E6A">
              <w:rPr>
                <w:b/>
                <w:color w:val="000000"/>
                <w:vertAlign w:val="superscript"/>
                <w:lang w:val="sr-Latn-RS"/>
              </w:rPr>
              <w:t>a</w:t>
            </w:r>
          </w:p>
          <w:p w14:paraId="00044E78" w14:textId="77777777" w:rsidR="00172BB8" w:rsidRPr="00C83E6A" w:rsidRDefault="00172BB8">
            <w:pPr>
              <w:keepNext/>
              <w:jc w:val="center"/>
              <w:rPr>
                <w:b/>
                <w:color w:val="000000"/>
                <w:lang w:val="sr-Latn-RS"/>
              </w:rPr>
            </w:pPr>
            <w:r w:rsidRPr="00C83E6A">
              <w:rPr>
                <w:b/>
                <w:color w:val="000000"/>
                <w:lang w:val="sr-Latn-RS"/>
              </w:rPr>
              <w:t>(95% CI)</w:t>
            </w:r>
          </w:p>
        </w:tc>
        <w:tc>
          <w:tcPr>
            <w:tcW w:w="1276" w:type="dxa"/>
            <w:shd w:val="clear" w:color="auto" w:fill="FFFFFF"/>
            <w:tcMar>
              <w:left w:w="20" w:type="dxa"/>
              <w:right w:w="20" w:type="dxa"/>
            </w:tcMar>
            <w:vAlign w:val="bottom"/>
          </w:tcPr>
          <w:p w14:paraId="40430E5C" w14:textId="77777777" w:rsidR="00172BB8" w:rsidRPr="00C83E6A" w:rsidRDefault="00172BB8">
            <w:pPr>
              <w:keepNext/>
              <w:jc w:val="center"/>
              <w:rPr>
                <w:b/>
                <w:color w:val="000000"/>
                <w:lang w:val="sr-Latn-RS"/>
              </w:rPr>
            </w:pPr>
            <w:r w:rsidRPr="00C83E6A">
              <w:rPr>
                <w:b/>
                <w:color w:val="000000"/>
                <w:lang w:val="sr-Latn-RS"/>
              </w:rPr>
              <w:t>p vrijednost</w:t>
            </w:r>
            <w:r w:rsidRPr="00C83E6A">
              <w:rPr>
                <w:b/>
                <w:color w:val="000000"/>
                <w:vertAlign w:val="superscript"/>
                <w:lang w:val="sr-Latn-RS"/>
              </w:rPr>
              <w:t>b</w:t>
            </w:r>
          </w:p>
        </w:tc>
      </w:tr>
      <w:tr w:rsidR="00172BB8" w:rsidRPr="00C83E6A" w14:paraId="667E4209" w14:textId="77777777" w:rsidTr="00172BB8">
        <w:trPr>
          <w:cantSplit/>
          <w:jc w:val="center"/>
        </w:trPr>
        <w:tc>
          <w:tcPr>
            <w:tcW w:w="3912" w:type="dxa"/>
            <w:shd w:val="clear" w:color="auto" w:fill="FFFFFF"/>
            <w:tcMar>
              <w:left w:w="20" w:type="dxa"/>
              <w:right w:w="20" w:type="dxa"/>
            </w:tcMar>
          </w:tcPr>
          <w:p w14:paraId="51BB2A4F" w14:textId="77777777" w:rsidR="00172BB8" w:rsidRPr="00C83E6A" w:rsidRDefault="00172BB8" w:rsidP="00AB5C0E">
            <w:pPr>
              <w:keepNext/>
              <w:rPr>
                <w:color w:val="000000"/>
                <w:lang w:val="sr-Latn-RS"/>
              </w:rPr>
            </w:pPr>
            <w:r w:rsidRPr="00C83E6A">
              <w:rPr>
                <w:color w:val="000000"/>
                <w:lang w:val="sr-Latn-RS"/>
              </w:rPr>
              <w:t>MACE + (kompoziti MACE, koronarne revaskularizacije ili hospitalizacije zbog nestabilne angine)</w:t>
            </w:r>
          </w:p>
        </w:tc>
        <w:tc>
          <w:tcPr>
            <w:tcW w:w="1134" w:type="dxa"/>
            <w:shd w:val="clear" w:color="auto" w:fill="FFFFFF"/>
            <w:tcMar>
              <w:left w:w="20" w:type="dxa"/>
              <w:right w:w="20" w:type="dxa"/>
            </w:tcMar>
          </w:tcPr>
          <w:p w14:paraId="1453062C" w14:textId="77777777" w:rsidR="00172BB8" w:rsidRPr="00C83E6A" w:rsidRDefault="00172BB8" w:rsidP="00AB5C0E">
            <w:pPr>
              <w:keepNext/>
              <w:jc w:val="center"/>
              <w:rPr>
                <w:color w:val="000000"/>
                <w:lang w:val="sr-Latn-RS"/>
              </w:rPr>
            </w:pPr>
            <w:r w:rsidRPr="00C83E6A">
              <w:rPr>
                <w:color w:val="000000"/>
                <w:lang w:val="sr-Latn-RS"/>
              </w:rPr>
              <w:t>1563 (11,34)</w:t>
            </w:r>
          </w:p>
        </w:tc>
        <w:tc>
          <w:tcPr>
            <w:tcW w:w="1134" w:type="dxa"/>
            <w:shd w:val="clear" w:color="auto" w:fill="FFFFFF"/>
            <w:tcMar>
              <w:left w:w="20" w:type="dxa"/>
              <w:right w:w="20" w:type="dxa"/>
            </w:tcMar>
          </w:tcPr>
          <w:p w14:paraId="502087EC" w14:textId="77777777" w:rsidR="00172BB8" w:rsidRPr="00C83E6A" w:rsidRDefault="00172BB8">
            <w:pPr>
              <w:keepNext/>
              <w:jc w:val="center"/>
              <w:rPr>
                <w:color w:val="000000"/>
                <w:lang w:val="sr-Latn-RS"/>
              </w:rPr>
            </w:pPr>
            <w:r w:rsidRPr="00C83E6A">
              <w:rPr>
                <w:color w:val="000000"/>
                <w:lang w:val="sr-Latn-RS"/>
              </w:rPr>
              <w:t>1344 (9,75)</w:t>
            </w:r>
          </w:p>
        </w:tc>
        <w:tc>
          <w:tcPr>
            <w:tcW w:w="1418" w:type="dxa"/>
            <w:shd w:val="clear" w:color="auto" w:fill="FFFFFF"/>
            <w:tcMar>
              <w:left w:w="20" w:type="dxa"/>
              <w:right w:w="20" w:type="dxa"/>
            </w:tcMar>
          </w:tcPr>
          <w:p w14:paraId="0B0B3C95" w14:textId="77777777" w:rsidR="00172BB8" w:rsidRPr="00C83E6A" w:rsidRDefault="00172BB8">
            <w:pPr>
              <w:keepNext/>
              <w:jc w:val="center"/>
              <w:rPr>
                <w:color w:val="000000"/>
                <w:lang w:val="sr-Latn-RS"/>
              </w:rPr>
            </w:pPr>
            <w:r w:rsidRPr="00C83E6A">
              <w:rPr>
                <w:color w:val="000000"/>
                <w:lang w:val="sr-Latn-RS"/>
              </w:rPr>
              <w:t>0,85 (0,79, 0,92)</w:t>
            </w:r>
          </w:p>
        </w:tc>
        <w:tc>
          <w:tcPr>
            <w:tcW w:w="1276" w:type="dxa"/>
            <w:shd w:val="clear" w:color="auto" w:fill="FFFFFF"/>
            <w:tcMar>
              <w:left w:w="20" w:type="dxa"/>
              <w:right w:w="20" w:type="dxa"/>
            </w:tcMar>
          </w:tcPr>
          <w:p w14:paraId="491FDD6C" w14:textId="77777777" w:rsidR="00172BB8" w:rsidRPr="00C83E6A" w:rsidRDefault="00172BB8">
            <w:pPr>
              <w:keepNext/>
              <w:jc w:val="center"/>
              <w:rPr>
                <w:color w:val="000000"/>
                <w:lang w:val="sr-Latn-RS"/>
              </w:rPr>
            </w:pPr>
            <w:r w:rsidRPr="00C83E6A">
              <w:rPr>
                <w:color w:val="000000"/>
                <w:lang w:val="sr-Latn-RS"/>
              </w:rPr>
              <w:t>&lt; 0,0001</w:t>
            </w:r>
          </w:p>
        </w:tc>
      </w:tr>
      <w:tr w:rsidR="00172BB8" w:rsidRPr="00C83E6A" w14:paraId="11EBAED5" w14:textId="77777777" w:rsidTr="00172BB8">
        <w:trPr>
          <w:cantSplit/>
          <w:jc w:val="center"/>
        </w:trPr>
        <w:tc>
          <w:tcPr>
            <w:tcW w:w="3912" w:type="dxa"/>
            <w:shd w:val="clear" w:color="auto" w:fill="FFFFFF"/>
            <w:tcMar>
              <w:left w:w="20" w:type="dxa"/>
              <w:right w:w="20" w:type="dxa"/>
            </w:tcMar>
          </w:tcPr>
          <w:p w14:paraId="14B85041" w14:textId="77777777" w:rsidR="00172BB8" w:rsidRPr="00C83E6A" w:rsidRDefault="00172BB8" w:rsidP="00AB5C0E">
            <w:pPr>
              <w:keepNext/>
              <w:rPr>
                <w:color w:val="000000"/>
                <w:lang w:val="sr-Latn-RS"/>
              </w:rPr>
            </w:pPr>
            <w:r w:rsidRPr="00C83E6A">
              <w:rPr>
                <w:color w:val="000000"/>
                <w:lang w:val="sr-Latn-RS"/>
              </w:rPr>
              <w:t>MACE (kompoziti KV smrti, MI, ili moždanog udara)</w:t>
            </w:r>
          </w:p>
        </w:tc>
        <w:tc>
          <w:tcPr>
            <w:tcW w:w="1134" w:type="dxa"/>
            <w:shd w:val="clear" w:color="auto" w:fill="FFFFFF"/>
            <w:tcMar>
              <w:left w:w="20" w:type="dxa"/>
              <w:right w:w="20" w:type="dxa"/>
            </w:tcMar>
          </w:tcPr>
          <w:p w14:paraId="7DEB8030" w14:textId="77777777" w:rsidR="00172BB8" w:rsidRPr="00C83E6A" w:rsidRDefault="00172BB8" w:rsidP="00AB5C0E">
            <w:pPr>
              <w:keepNext/>
              <w:jc w:val="center"/>
              <w:rPr>
                <w:color w:val="000000"/>
                <w:lang w:val="sr-Latn-RS"/>
              </w:rPr>
            </w:pPr>
            <w:r w:rsidRPr="00C83E6A">
              <w:rPr>
                <w:color w:val="000000"/>
                <w:lang w:val="sr-Latn-RS"/>
              </w:rPr>
              <w:t>1013 (7,35)</w:t>
            </w:r>
          </w:p>
        </w:tc>
        <w:tc>
          <w:tcPr>
            <w:tcW w:w="1134" w:type="dxa"/>
            <w:shd w:val="clear" w:color="auto" w:fill="FFFFFF"/>
            <w:tcMar>
              <w:left w:w="20" w:type="dxa"/>
              <w:right w:w="20" w:type="dxa"/>
            </w:tcMar>
          </w:tcPr>
          <w:p w14:paraId="4EA1A294" w14:textId="77777777" w:rsidR="00172BB8" w:rsidRPr="00C83E6A" w:rsidRDefault="00172BB8">
            <w:pPr>
              <w:keepNext/>
              <w:jc w:val="center"/>
              <w:rPr>
                <w:color w:val="000000"/>
                <w:lang w:val="sr-Latn-RS"/>
              </w:rPr>
            </w:pPr>
            <w:r w:rsidRPr="00C83E6A">
              <w:rPr>
                <w:color w:val="000000"/>
                <w:lang w:val="sr-Latn-RS"/>
              </w:rPr>
              <w:t>816 (5,92)</w:t>
            </w:r>
          </w:p>
        </w:tc>
        <w:tc>
          <w:tcPr>
            <w:tcW w:w="1418" w:type="dxa"/>
            <w:shd w:val="clear" w:color="auto" w:fill="FFFFFF"/>
            <w:tcMar>
              <w:left w:w="20" w:type="dxa"/>
              <w:right w:w="20" w:type="dxa"/>
            </w:tcMar>
          </w:tcPr>
          <w:p w14:paraId="29E6EC65" w14:textId="77777777" w:rsidR="00172BB8" w:rsidRPr="00C83E6A" w:rsidRDefault="00172BB8">
            <w:pPr>
              <w:keepNext/>
              <w:jc w:val="center"/>
              <w:rPr>
                <w:color w:val="000000"/>
                <w:lang w:val="sr-Latn-RS"/>
              </w:rPr>
            </w:pPr>
            <w:r w:rsidRPr="00C83E6A">
              <w:rPr>
                <w:color w:val="000000"/>
                <w:lang w:val="sr-Latn-RS"/>
              </w:rPr>
              <w:t>0,80 (0,73, 0,88)</w:t>
            </w:r>
          </w:p>
        </w:tc>
        <w:tc>
          <w:tcPr>
            <w:tcW w:w="1276" w:type="dxa"/>
            <w:shd w:val="clear" w:color="auto" w:fill="FFFFFF"/>
            <w:tcMar>
              <w:left w:w="20" w:type="dxa"/>
              <w:right w:w="20" w:type="dxa"/>
            </w:tcMar>
          </w:tcPr>
          <w:p w14:paraId="1B07B65C" w14:textId="77777777" w:rsidR="00172BB8" w:rsidRPr="00C83E6A" w:rsidRDefault="00172BB8">
            <w:pPr>
              <w:keepNext/>
              <w:jc w:val="center"/>
              <w:rPr>
                <w:color w:val="000000"/>
                <w:lang w:val="sr-Latn-RS"/>
              </w:rPr>
            </w:pPr>
            <w:r w:rsidRPr="00C83E6A">
              <w:rPr>
                <w:color w:val="000000"/>
                <w:lang w:val="sr-Latn-RS"/>
              </w:rPr>
              <w:t>&lt; 0,0001</w:t>
            </w:r>
          </w:p>
        </w:tc>
      </w:tr>
      <w:tr w:rsidR="00172BB8" w:rsidRPr="00C83E6A" w14:paraId="5B4A8592" w14:textId="77777777" w:rsidTr="00172BB8">
        <w:trPr>
          <w:cantSplit/>
          <w:jc w:val="center"/>
        </w:trPr>
        <w:tc>
          <w:tcPr>
            <w:tcW w:w="3912" w:type="dxa"/>
            <w:shd w:val="clear" w:color="auto" w:fill="FFFFFF"/>
            <w:tcMar>
              <w:left w:w="20" w:type="dxa"/>
              <w:right w:w="20" w:type="dxa"/>
            </w:tcMar>
          </w:tcPr>
          <w:p w14:paraId="199ED8D4" w14:textId="77777777" w:rsidR="00172BB8" w:rsidRPr="00C83E6A" w:rsidRDefault="00172BB8" w:rsidP="00AB5C0E">
            <w:pPr>
              <w:keepNext/>
              <w:rPr>
                <w:color w:val="000000"/>
                <w:lang w:val="sr-Latn-RS"/>
              </w:rPr>
            </w:pPr>
            <w:r w:rsidRPr="00C83E6A">
              <w:rPr>
                <w:color w:val="000000"/>
                <w:lang w:val="sr-Latn-RS"/>
              </w:rPr>
              <w:t>Kardiovaskularna smrt</w:t>
            </w:r>
          </w:p>
        </w:tc>
        <w:tc>
          <w:tcPr>
            <w:tcW w:w="1134" w:type="dxa"/>
            <w:shd w:val="clear" w:color="auto" w:fill="FFFFFF"/>
            <w:tcMar>
              <w:left w:w="20" w:type="dxa"/>
              <w:right w:w="20" w:type="dxa"/>
            </w:tcMar>
          </w:tcPr>
          <w:p w14:paraId="7DF1005F" w14:textId="77777777" w:rsidR="00172BB8" w:rsidRPr="00C83E6A" w:rsidRDefault="00172BB8" w:rsidP="00AB5C0E">
            <w:pPr>
              <w:keepNext/>
              <w:jc w:val="center"/>
              <w:rPr>
                <w:color w:val="000000"/>
                <w:lang w:val="sr-Latn-RS"/>
              </w:rPr>
            </w:pPr>
            <w:r w:rsidRPr="00C83E6A">
              <w:rPr>
                <w:color w:val="000000"/>
                <w:lang w:val="sr-Latn-RS"/>
              </w:rPr>
              <w:t>240 (1,74)</w:t>
            </w:r>
          </w:p>
        </w:tc>
        <w:tc>
          <w:tcPr>
            <w:tcW w:w="1134" w:type="dxa"/>
            <w:shd w:val="clear" w:color="auto" w:fill="FFFFFF"/>
            <w:tcMar>
              <w:left w:w="20" w:type="dxa"/>
              <w:right w:w="20" w:type="dxa"/>
            </w:tcMar>
          </w:tcPr>
          <w:p w14:paraId="21A84808" w14:textId="77777777" w:rsidR="00172BB8" w:rsidRPr="00C83E6A" w:rsidRDefault="00172BB8">
            <w:pPr>
              <w:keepNext/>
              <w:jc w:val="center"/>
              <w:rPr>
                <w:color w:val="000000"/>
                <w:lang w:val="sr-Latn-RS"/>
              </w:rPr>
            </w:pPr>
            <w:r w:rsidRPr="00C83E6A">
              <w:rPr>
                <w:color w:val="000000"/>
                <w:lang w:val="sr-Latn-RS"/>
              </w:rPr>
              <w:t>251 (1,82)</w:t>
            </w:r>
          </w:p>
        </w:tc>
        <w:tc>
          <w:tcPr>
            <w:tcW w:w="1418" w:type="dxa"/>
            <w:shd w:val="clear" w:color="auto" w:fill="FFFFFF"/>
            <w:tcMar>
              <w:left w:w="20" w:type="dxa"/>
              <w:right w:w="20" w:type="dxa"/>
            </w:tcMar>
          </w:tcPr>
          <w:p w14:paraId="4FE016C6" w14:textId="77777777" w:rsidR="00172BB8" w:rsidRPr="00C83E6A" w:rsidRDefault="00172BB8">
            <w:pPr>
              <w:keepNext/>
              <w:jc w:val="center"/>
              <w:rPr>
                <w:color w:val="000000"/>
                <w:lang w:val="sr-Latn-RS"/>
              </w:rPr>
            </w:pPr>
            <w:r w:rsidRPr="00C83E6A">
              <w:rPr>
                <w:color w:val="000000"/>
                <w:lang w:val="sr-Latn-RS"/>
              </w:rPr>
              <w:t>1,05 (0,88, 1,25)</w:t>
            </w:r>
          </w:p>
        </w:tc>
        <w:tc>
          <w:tcPr>
            <w:tcW w:w="1276" w:type="dxa"/>
            <w:shd w:val="clear" w:color="auto" w:fill="FFFFFF"/>
            <w:tcMar>
              <w:left w:w="20" w:type="dxa"/>
              <w:right w:w="20" w:type="dxa"/>
            </w:tcMar>
          </w:tcPr>
          <w:p w14:paraId="62D688C9" w14:textId="77777777" w:rsidR="00172BB8" w:rsidRPr="00C83E6A" w:rsidRDefault="00172BB8">
            <w:pPr>
              <w:keepNext/>
              <w:jc w:val="center"/>
              <w:rPr>
                <w:color w:val="000000"/>
                <w:lang w:val="sr-Latn-RS"/>
              </w:rPr>
            </w:pPr>
            <w:r w:rsidRPr="00C83E6A">
              <w:rPr>
                <w:color w:val="000000"/>
                <w:lang w:val="sr-Latn-RS"/>
              </w:rPr>
              <w:t>0,62</w:t>
            </w:r>
          </w:p>
        </w:tc>
      </w:tr>
      <w:tr w:rsidR="00172BB8" w:rsidRPr="00C83E6A" w14:paraId="3CCD096A" w14:textId="77777777" w:rsidTr="00172BB8">
        <w:trPr>
          <w:cantSplit/>
          <w:jc w:val="center"/>
        </w:trPr>
        <w:tc>
          <w:tcPr>
            <w:tcW w:w="3912" w:type="dxa"/>
            <w:shd w:val="clear" w:color="auto" w:fill="FFFFFF"/>
            <w:tcMar>
              <w:left w:w="20" w:type="dxa"/>
              <w:right w:w="20" w:type="dxa"/>
            </w:tcMar>
          </w:tcPr>
          <w:p w14:paraId="54F32A39" w14:textId="77777777" w:rsidR="00172BB8" w:rsidRPr="00C83E6A" w:rsidRDefault="00172BB8" w:rsidP="00AB5C0E">
            <w:pPr>
              <w:keepNext/>
              <w:rPr>
                <w:color w:val="000000"/>
                <w:lang w:val="sr-Latn-RS"/>
              </w:rPr>
            </w:pPr>
            <w:r w:rsidRPr="00C83E6A">
              <w:rPr>
                <w:color w:val="000000"/>
                <w:lang w:val="sr-Latn-RS"/>
              </w:rPr>
              <w:t>Smrt iz bilo kog uzroka</w:t>
            </w:r>
          </w:p>
        </w:tc>
        <w:tc>
          <w:tcPr>
            <w:tcW w:w="1134" w:type="dxa"/>
            <w:shd w:val="clear" w:color="auto" w:fill="FFFFFF"/>
            <w:tcMar>
              <w:left w:w="20" w:type="dxa"/>
              <w:right w:w="20" w:type="dxa"/>
            </w:tcMar>
          </w:tcPr>
          <w:p w14:paraId="0FA7B409" w14:textId="77777777" w:rsidR="00172BB8" w:rsidRPr="00C83E6A" w:rsidRDefault="00172BB8" w:rsidP="00AB5C0E">
            <w:pPr>
              <w:keepNext/>
              <w:jc w:val="center"/>
              <w:rPr>
                <w:color w:val="000000"/>
                <w:lang w:val="sr-Latn-RS"/>
              </w:rPr>
            </w:pPr>
            <w:r w:rsidRPr="00C83E6A">
              <w:rPr>
                <w:color w:val="000000"/>
                <w:lang w:val="sr-Latn-RS"/>
              </w:rPr>
              <w:t>426 (3,09)</w:t>
            </w:r>
          </w:p>
        </w:tc>
        <w:tc>
          <w:tcPr>
            <w:tcW w:w="1134" w:type="dxa"/>
            <w:shd w:val="clear" w:color="auto" w:fill="FFFFFF"/>
            <w:tcMar>
              <w:left w:w="20" w:type="dxa"/>
              <w:right w:w="20" w:type="dxa"/>
            </w:tcMar>
          </w:tcPr>
          <w:p w14:paraId="2FB28341" w14:textId="77777777" w:rsidR="00172BB8" w:rsidRPr="00C83E6A" w:rsidRDefault="00172BB8">
            <w:pPr>
              <w:keepNext/>
              <w:jc w:val="center"/>
              <w:rPr>
                <w:color w:val="000000"/>
                <w:lang w:val="sr-Latn-RS"/>
              </w:rPr>
            </w:pPr>
            <w:r w:rsidRPr="00C83E6A">
              <w:rPr>
                <w:color w:val="000000"/>
                <w:lang w:val="sr-Latn-RS"/>
              </w:rPr>
              <w:t>444 (3,22)</w:t>
            </w:r>
          </w:p>
        </w:tc>
        <w:tc>
          <w:tcPr>
            <w:tcW w:w="1418" w:type="dxa"/>
            <w:shd w:val="clear" w:color="auto" w:fill="FFFFFF"/>
            <w:tcMar>
              <w:left w:w="20" w:type="dxa"/>
              <w:right w:w="20" w:type="dxa"/>
            </w:tcMar>
          </w:tcPr>
          <w:p w14:paraId="6E62211D" w14:textId="77777777" w:rsidR="00172BB8" w:rsidRPr="00C83E6A" w:rsidRDefault="00172BB8">
            <w:pPr>
              <w:keepNext/>
              <w:jc w:val="center"/>
              <w:rPr>
                <w:color w:val="000000"/>
                <w:lang w:val="sr-Latn-RS"/>
              </w:rPr>
            </w:pPr>
            <w:r w:rsidRPr="00C83E6A">
              <w:rPr>
                <w:color w:val="000000"/>
                <w:lang w:val="sr-Latn-RS"/>
              </w:rPr>
              <w:t>1,04 (0,91, 1,19)</w:t>
            </w:r>
          </w:p>
        </w:tc>
        <w:tc>
          <w:tcPr>
            <w:tcW w:w="1276" w:type="dxa"/>
            <w:shd w:val="clear" w:color="auto" w:fill="FFFFFF"/>
            <w:tcMar>
              <w:left w:w="20" w:type="dxa"/>
              <w:right w:w="20" w:type="dxa"/>
            </w:tcMar>
          </w:tcPr>
          <w:p w14:paraId="459D40D5" w14:textId="77777777" w:rsidR="00172BB8" w:rsidRPr="00C83E6A" w:rsidRDefault="00172BB8">
            <w:pPr>
              <w:keepNext/>
              <w:jc w:val="center"/>
              <w:rPr>
                <w:color w:val="000000"/>
                <w:lang w:val="sr-Latn-RS"/>
              </w:rPr>
            </w:pPr>
            <w:r w:rsidRPr="00C83E6A">
              <w:rPr>
                <w:color w:val="000000"/>
                <w:lang w:val="sr-Latn-RS"/>
              </w:rPr>
              <w:t>0,54</w:t>
            </w:r>
          </w:p>
        </w:tc>
      </w:tr>
      <w:tr w:rsidR="00172BB8" w:rsidRPr="00C83E6A" w14:paraId="72B8135C" w14:textId="77777777" w:rsidTr="00172BB8">
        <w:trPr>
          <w:cantSplit/>
          <w:jc w:val="center"/>
        </w:trPr>
        <w:tc>
          <w:tcPr>
            <w:tcW w:w="3912" w:type="dxa"/>
            <w:shd w:val="clear" w:color="auto" w:fill="FFFFFF"/>
            <w:tcMar>
              <w:left w:w="20" w:type="dxa"/>
              <w:right w:w="20" w:type="dxa"/>
            </w:tcMar>
          </w:tcPr>
          <w:p w14:paraId="20EEFFC7" w14:textId="77777777" w:rsidR="00172BB8" w:rsidRPr="00C83E6A" w:rsidRDefault="00172BB8" w:rsidP="00AB5C0E">
            <w:pPr>
              <w:keepNext/>
              <w:rPr>
                <w:color w:val="000000"/>
                <w:lang w:val="sr-Latn-RS"/>
              </w:rPr>
            </w:pPr>
            <w:r w:rsidRPr="00C83E6A">
              <w:rPr>
                <w:color w:val="000000"/>
                <w:lang w:val="sr-Latn-RS"/>
              </w:rPr>
              <w:t>Infarkt miokarda (fatalni/ bez fatalnog ishoda)</w:t>
            </w:r>
          </w:p>
        </w:tc>
        <w:tc>
          <w:tcPr>
            <w:tcW w:w="1134" w:type="dxa"/>
            <w:shd w:val="clear" w:color="auto" w:fill="FFFFFF"/>
            <w:tcMar>
              <w:left w:w="20" w:type="dxa"/>
              <w:right w:w="20" w:type="dxa"/>
            </w:tcMar>
          </w:tcPr>
          <w:p w14:paraId="0BD727B9" w14:textId="77777777" w:rsidR="00172BB8" w:rsidRPr="00C83E6A" w:rsidRDefault="00172BB8" w:rsidP="00AB5C0E">
            <w:pPr>
              <w:keepNext/>
              <w:jc w:val="center"/>
              <w:rPr>
                <w:color w:val="000000"/>
                <w:lang w:val="sr-Latn-RS"/>
              </w:rPr>
            </w:pPr>
            <w:r w:rsidRPr="00C83E6A">
              <w:rPr>
                <w:color w:val="000000"/>
                <w:lang w:val="sr-Latn-RS"/>
              </w:rPr>
              <w:t>639 (4,64)</w:t>
            </w:r>
          </w:p>
        </w:tc>
        <w:tc>
          <w:tcPr>
            <w:tcW w:w="1134" w:type="dxa"/>
            <w:shd w:val="clear" w:color="auto" w:fill="FFFFFF"/>
            <w:tcMar>
              <w:left w:w="20" w:type="dxa"/>
              <w:right w:w="20" w:type="dxa"/>
            </w:tcMar>
          </w:tcPr>
          <w:p w14:paraId="581BA10C" w14:textId="77777777" w:rsidR="00172BB8" w:rsidRPr="00C83E6A" w:rsidRDefault="00172BB8">
            <w:pPr>
              <w:keepNext/>
              <w:jc w:val="center"/>
              <w:rPr>
                <w:color w:val="000000"/>
                <w:lang w:val="sr-Latn-RS"/>
              </w:rPr>
            </w:pPr>
            <w:r w:rsidRPr="00C83E6A">
              <w:rPr>
                <w:color w:val="000000"/>
                <w:lang w:val="sr-Latn-RS"/>
              </w:rPr>
              <w:t>468 (3,40)</w:t>
            </w:r>
          </w:p>
        </w:tc>
        <w:tc>
          <w:tcPr>
            <w:tcW w:w="1418" w:type="dxa"/>
            <w:shd w:val="clear" w:color="auto" w:fill="FFFFFF"/>
            <w:tcMar>
              <w:left w:w="20" w:type="dxa"/>
              <w:right w:w="20" w:type="dxa"/>
            </w:tcMar>
          </w:tcPr>
          <w:p w14:paraId="36FE3615" w14:textId="77777777" w:rsidR="00172BB8" w:rsidRPr="00C83E6A" w:rsidRDefault="00172BB8">
            <w:pPr>
              <w:keepNext/>
              <w:jc w:val="center"/>
              <w:rPr>
                <w:color w:val="000000"/>
                <w:lang w:val="sr-Latn-RS"/>
              </w:rPr>
            </w:pPr>
            <w:r w:rsidRPr="00C83E6A">
              <w:rPr>
                <w:color w:val="000000"/>
                <w:lang w:val="sr-Latn-RS"/>
              </w:rPr>
              <w:t>0,73 (0,65, 0,82)</w:t>
            </w:r>
          </w:p>
        </w:tc>
        <w:tc>
          <w:tcPr>
            <w:tcW w:w="1276" w:type="dxa"/>
            <w:shd w:val="clear" w:color="auto" w:fill="FFFFFF"/>
            <w:tcMar>
              <w:left w:w="20" w:type="dxa"/>
              <w:right w:w="20" w:type="dxa"/>
            </w:tcMar>
          </w:tcPr>
          <w:p w14:paraId="516D8C9C" w14:textId="77777777" w:rsidR="00172BB8" w:rsidRPr="00C83E6A" w:rsidRDefault="00172BB8">
            <w:pPr>
              <w:keepNext/>
              <w:jc w:val="center"/>
              <w:rPr>
                <w:color w:val="000000"/>
                <w:lang w:val="sr-Latn-RS"/>
              </w:rPr>
            </w:pPr>
            <w:r w:rsidRPr="00C83E6A">
              <w:rPr>
                <w:color w:val="000000"/>
                <w:lang w:val="sr-Latn-RS"/>
              </w:rPr>
              <w:t>&lt; 0,0001</w:t>
            </w:r>
            <w:r w:rsidRPr="00C83E6A">
              <w:rPr>
                <w:color w:val="000000"/>
                <w:vertAlign w:val="superscript"/>
                <w:lang w:val="sr-Latn-RS"/>
              </w:rPr>
              <w:t>c</w:t>
            </w:r>
          </w:p>
        </w:tc>
      </w:tr>
      <w:tr w:rsidR="00172BB8" w:rsidRPr="00C83E6A" w14:paraId="56BF248D" w14:textId="77777777" w:rsidTr="00172BB8">
        <w:trPr>
          <w:cantSplit/>
          <w:jc w:val="center"/>
        </w:trPr>
        <w:tc>
          <w:tcPr>
            <w:tcW w:w="3912" w:type="dxa"/>
            <w:shd w:val="clear" w:color="auto" w:fill="FFFFFF"/>
            <w:tcMar>
              <w:left w:w="20" w:type="dxa"/>
              <w:right w:w="20" w:type="dxa"/>
            </w:tcMar>
          </w:tcPr>
          <w:p w14:paraId="1ACBB6B2" w14:textId="77777777" w:rsidR="00172BB8" w:rsidRPr="00C83E6A" w:rsidRDefault="00172BB8" w:rsidP="00AB5C0E">
            <w:pPr>
              <w:keepNext/>
              <w:rPr>
                <w:color w:val="000000"/>
                <w:lang w:val="sr-Latn-RS"/>
              </w:rPr>
            </w:pPr>
            <w:r w:rsidRPr="00C83E6A">
              <w:rPr>
                <w:color w:val="000000"/>
                <w:lang w:val="sr-Latn-RS"/>
              </w:rPr>
              <w:t>Moždani udar (fatalni/ bez fatalnog ishoda)</w:t>
            </w:r>
            <w:r w:rsidRPr="00C83E6A">
              <w:rPr>
                <w:color w:val="000000"/>
                <w:vertAlign w:val="superscript"/>
                <w:lang w:val="sr-Latn-RS"/>
              </w:rPr>
              <w:t>d</w:t>
            </w:r>
          </w:p>
        </w:tc>
        <w:tc>
          <w:tcPr>
            <w:tcW w:w="1134" w:type="dxa"/>
            <w:shd w:val="clear" w:color="auto" w:fill="FFFFFF"/>
            <w:tcMar>
              <w:left w:w="20" w:type="dxa"/>
              <w:right w:w="20" w:type="dxa"/>
            </w:tcMar>
          </w:tcPr>
          <w:p w14:paraId="142C9153" w14:textId="77777777" w:rsidR="00172BB8" w:rsidRPr="00C83E6A" w:rsidRDefault="00172BB8" w:rsidP="00AB5C0E">
            <w:pPr>
              <w:keepNext/>
              <w:jc w:val="center"/>
              <w:rPr>
                <w:color w:val="000000"/>
                <w:lang w:val="sr-Latn-RS"/>
              </w:rPr>
            </w:pPr>
            <w:r w:rsidRPr="00C83E6A">
              <w:rPr>
                <w:color w:val="000000"/>
                <w:lang w:val="sr-Latn-RS"/>
              </w:rPr>
              <w:t>262 (1,90)</w:t>
            </w:r>
          </w:p>
        </w:tc>
        <w:tc>
          <w:tcPr>
            <w:tcW w:w="1134" w:type="dxa"/>
            <w:shd w:val="clear" w:color="auto" w:fill="FFFFFF"/>
            <w:tcMar>
              <w:left w:w="20" w:type="dxa"/>
              <w:right w:w="20" w:type="dxa"/>
            </w:tcMar>
          </w:tcPr>
          <w:p w14:paraId="0CCFDBA5" w14:textId="77777777" w:rsidR="00172BB8" w:rsidRPr="00C83E6A" w:rsidRDefault="00172BB8">
            <w:pPr>
              <w:keepNext/>
              <w:jc w:val="center"/>
              <w:rPr>
                <w:color w:val="000000"/>
                <w:lang w:val="sr-Latn-RS"/>
              </w:rPr>
            </w:pPr>
            <w:r w:rsidRPr="00C83E6A">
              <w:rPr>
                <w:color w:val="000000"/>
                <w:lang w:val="sr-Latn-RS"/>
              </w:rPr>
              <w:t>207 (1,50)</w:t>
            </w:r>
          </w:p>
        </w:tc>
        <w:tc>
          <w:tcPr>
            <w:tcW w:w="1418" w:type="dxa"/>
            <w:shd w:val="clear" w:color="auto" w:fill="FFFFFF"/>
            <w:tcMar>
              <w:left w:w="20" w:type="dxa"/>
              <w:right w:w="20" w:type="dxa"/>
            </w:tcMar>
          </w:tcPr>
          <w:p w14:paraId="1D2A0F27" w14:textId="77777777" w:rsidR="00172BB8" w:rsidRPr="00C83E6A" w:rsidRDefault="00172BB8">
            <w:pPr>
              <w:keepNext/>
              <w:jc w:val="center"/>
              <w:rPr>
                <w:color w:val="000000"/>
                <w:lang w:val="sr-Latn-RS"/>
              </w:rPr>
            </w:pPr>
            <w:r w:rsidRPr="00C83E6A">
              <w:rPr>
                <w:color w:val="000000"/>
                <w:lang w:val="sr-Latn-RS"/>
              </w:rPr>
              <w:t>0,79 (0,66, 0,95)</w:t>
            </w:r>
          </w:p>
        </w:tc>
        <w:tc>
          <w:tcPr>
            <w:tcW w:w="1276" w:type="dxa"/>
            <w:shd w:val="clear" w:color="auto" w:fill="FFFFFF"/>
            <w:tcMar>
              <w:left w:w="20" w:type="dxa"/>
              <w:right w:w="20" w:type="dxa"/>
            </w:tcMar>
          </w:tcPr>
          <w:p w14:paraId="71940635" w14:textId="77777777" w:rsidR="00172BB8" w:rsidRPr="00C83E6A" w:rsidRDefault="00172BB8">
            <w:pPr>
              <w:keepNext/>
              <w:jc w:val="center"/>
              <w:rPr>
                <w:color w:val="000000"/>
                <w:lang w:val="sr-Latn-RS"/>
              </w:rPr>
            </w:pPr>
            <w:r w:rsidRPr="00C83E6A">
              <w:rPr>
                <w:color w:val="000000"/>
                <w:lang w:val="sr-Latn-RS"/>
              </w:rPr>
              <w:t>0,0101</w:t>
            </w:r>
            <w:r w:rsidRPr="00C83E6A">
              <w:rPr>
                <w:color w:val="000000"/>
                <w:vertAlign w:val="superscript"/>
                <w:lang w:val="sr-Latn-RS"/>
              </w:rPr>
              <w:t>c</w:t>
            </w:r>
          </w:p>
        </w:tc>
      </w:tr>
      <w:tr w:rsidR="00172BB8" w:rsidRPr="00C83E6A" w14:paraId="0257187E" w14:textId="77777777" w:rsidTr="00172BB8">
        <w:trPr>
          <w:cantSplit/>
          <w:jc w:val="center"/>
        </w:trPr>
        <w:tc>
          <w:tcPr>
            <w:tcW w:w="3912" w:type="dxa"/>
            <w:shd w:val="clear" w:color="auto" w:fill="FFFFFF"/>
            <w:tcMar>
              <w:left w:w="20" w:type="dxa"/>
              <w:right w:w="20" w:type="dxa"/>
            </w:tcMar>
          </w:tcPr>
          <w:p w14:paraId="7DEA1474" w14:textId="77777777" w:rsidR="00172BB8" w:rsidRPr="00C83E6A" w:rsidRDefault="00172BB8" w:rsidP="00AB5C0E">
            <w:pPr>
              <w:keepNext/>
              <w:rPr>
                <w:color w:val="000000"/>
                <w:lang w:val="sr-Latn-RS"/>
              </w:rPr>
            </w:pPr>
            <w:r w:rsidRPr="00C83E6A">
              <w:rPr>
                <w:color w:val="000000"/>
                <w:lang w:val="sr-Latn-RS"/>
              </w:rPr>
              <w:t>Koronarna revaskularizacija</w:t>
            </w:r>
          </w:p>
        </w:tc>
        <w:tc>
          <w:tcPr>
            <w:tcW w:w="1134" w:type="dxa"/>
            <w:shd w:val="clear" w:color="auto" w:fill="FFFFFF"/>
            <w:tcMar>
              <w:left w:w="20" w:type="dxa"/>
              <w:right w:w="20" w:type="dxa"/>
            </w:tcMar>
          </w:tcPr>
          <w:p w14:paraId="181FA12D" w14:textId="77777777" w:rsidR="00172BB8" w:rsidRPr="00C83E6A" w:rsidRDefault="00172BB8" w:rsidP="00AB5C0E">
            <w:pPr>
              <w:keepNext/>
              <w:jc w:val="center"/>
              <w:rPr>
                <w:color w:val="000000"/>
                <w:lang w:val="sr-Latn-RS"/>
              </w:rPr>
            </w:pPr>
            <w:r w:rsidRPr="00C83E6A">
              <w:rPr>
                <w:color w:val="000000"/>
                <w:lang w:val="sr-Latn-RS"/>
              </w:rPr>
              <w:t>965 (7,00)</w:t>
            </w:r>
          </w:p>
        </w:tc>
        <w:tc>
          <w:tcPr>
            <w:tcW w:w="1134" w:type="dxa"/>
            <w:shd w:val="clear" w:color="auto" w:fill="FFFFFF"/>
            <w:tcMar>
              <w:left w:w="20" w:type="dxa"/>
              <w:right w:w="20" w:type="dxa"/>
            </w:tcMar>
          </w:tcPr>
          <w:p w14:paraId="1076F8B8" w14:textId="77777777" w:rsidR="00172BB8" w:rsidRPr="00C83E6A" w:rsidRDefault="00172BB8">
            <w:pPr>
              <w:keepNext/>
              <w:jc w:val="center"/>
              <w:rPr>
                <w:color w:val="000000"/>
                <w:lang w:val="sr-Latn-RS"/>
              </w:rPr>
            </w:pPr>
            <w:r w:rsidRPr="00C83E6A">
              <w:rPr>
                <w:color w:val="000000"/>
                <w:lang w:val="sr-Latn-RS"/>
              </w:rPr>
              <w:t>759 (5,51)</w:t>
            </w:r>
          </w:p>
        </w:tc>
        <w:tc>
          <w:tcPr>
            <w:tcW w:w="1418" w:type="dxa"/>
            <w:shd w:val="clear" w:color="auto" w:fill="FFFFFF"/>
            <w:tcMar>
              <w:left w:w="20" w:type="dxa"/>
              <w:right w:w="20" w:type="dxa"/>
            </w:tcMar>
          </w:tcPr>
          <w:p w14:paraId="3F305541" w14:textId="77777777" w:rsidR="00172BB8" w:rsidRPr="00C83E6A" w:rsidRDefault="00172BB8">
            <w:pPr>
              <w:keepNext/>
              <w:jc w:val="center"/>
              <w:rPr>
                <w:color w:val="000000"/>
                <w:lang w:val="sr-Latn-RS"/>
              </w:rPr>
            </w:pPr>
            <w:r w:rsidRPr="00C83E6A">
              <w:rPr>
                <w:color w:val="000000"/>
                <w:lang w:val="sr-Latn-RS"/>
              </w:rPr>
              <w:t>0,78 (0,71, 0,86)</w:t>
            </w:r>
          </w:p>
        </w:tc>
        <w:tc>
          <w:tcPr>
            <w:tcW w:w="1276" w:type="dxa"/>
            <w:shd w:val="clear" w:color="auto" w:fill="FFFFFF"/>
            <w:tcMar>
              <w:left w:w="20" w:type="dxa"/>
              <w:right w:w="20" w:type="dxa"/>
            </w:tcMar>
          </w:tcPr>
          <w:p w14:paraId="3C43711C" w14:textId="77777777" w:rsidR="00172BB8" w:rsidRPr="00C83E6A" w:rsidRDefault="00172BB8">
            <w:pPr>
              <w:keepNext/>
              <w:jc w:val="center"/>
              <w:rPr>
                <w:color w:val="000000"/>
                <w:lang w:val="sr-Latn-RS"/>
              </w:rPr>
            </w:pPr>
            <w:r w:rsidRPr="00C83E6A">
              <w:rPr>
                <w:color w:val="000000"/>
                <w:lang w:val="sr-Latn-RS"/>
              </w:rPr>
              <w:t>&lt; 0,0001</w:t>
            </w:r>
            <w:r w:rsidRPr="00C83E6A">
              <w:rPr>
                <w:color w:val="000000"/>
                <w:vertAlign w:val="superscript"/>
                <w:lang w:val="sr-Latn-RS"/>
              </w:rPr>
              <w:t>c</w:t>
            </w:r>
          </w:p>
        </w:tc>
      </w:tr>
      <w:tr w:rsidR="00172BB8" w:rsidRPr="00C83E6A" w14:paraId="2428D6B5" w14:textId="77777777" w:rsidTr="00172BB8">
        <w:trPr>
          <w:cantSplit/>
          <w:jc w:val="center"/>
        </w:trPr>
        <w:tc>
          <w:tcPr>
            <w:tcW w:w="3912" w:type="dxa"/>
            <w:shd w:val="clear" w:color="auto" w:fill="FFFFFF"/>
            <w:tcMar>
              <w:left w:w="20" w:type="dxa"/>
              <w:right w:w="20" w:type="dxa"/>
            </w:tcMar>
          </w:tcPr>
          <w:p w14:paraId="62533AAA" w14:textId="77777777" w:rsidR="00172BB8" w:rsidRPr="00C83E6A" w:rsidRDefault="00172BB8" w:rsidP="001D6451">
            <w:pPr>
              <w:keepNext/>
              <w:jc w:val="both"/>
              <w:rPr>
                <w:color w:val="000000"/>
                <w:vertAlign w:val="superscript"/>
                <w:lang w:val="sr-Latn-RS"/>
              </w:rPr>
            </w:pPr>
            <w:r w:rsidRPr="00C83E6A">
              <w:rPr>
                <w:color w:val="000000"/>
                <w:lang w:val="sr-Latn-RS"/>
              </w:rPr>
              <w:t>Hospitalizacija zbog nestabilne angine</w:t>
            </w:r>
            <w:r w:rsidRPr="00C83E6A">
              <w:rPr>
                <w:color w:val="000000"/>
                <w:vertAlign w:val="superscript"/>
                <w:lang w:val="sr-Latn-RS"/>
              </w:rPr>
              <w:t>e</w:t>
            </w:r>
          </w:p>
        </w:tc>
        <w:tc>
          <w:tcPr>
            <w:tcW w:w="1134" w:type="dxa"/>
            <w:shd w:val="clear" w:color="auto" w:fill="FFFFFF"/>
            <w:tcMar>
              <w:left w:w="20" w:type="dxa"/>
              <w:right w:w="20" w:type="dxa"/>
            </w:tcMar>
          </w:tcPr>
          <w:p w14:paraId="2DFE8200" w14:textId="77777777" w:rsidR="00172BB8" w:rsidRPr="00C83E6A" w:rsidRDefault="00172BB8" w:rsidP="00E346F6">
            <w:pPr>
              <w:keepNext/>
              <w:jc w:val="center"/>
              <w:rPr>
                <w:color w:val="000000"/>
                <w:lang w:val="sr-Latn-RS"/>
              </w:rPr>
            </w:pPr>
            <w:r w:rsidRPr="00C83E6A">
              <w:rPr>
                <w:color w:val="000000"/>
                <w:lang w:val="sr-Latn-RS"/>
              </w:rPr>
              <w:t>239 (1,7)</w:t>
            </w:r>
          </w:p>
        </w:tc>
        <w:tc>
          <w:tcPr>
            <w:tcW w:w="1134" w:type="dxa"/>
            <w:shd w:val="clear" w:color="auto" w:fill="FFFFFF"/>
            <w:tcMar>
              <w:left w:w="20" w:type="dxa"/>
              <w:right w:w="20" w:type="dxa"/>
            </w:tcMar>
          </w:tcPr>
          <w:p w14:paraId="17CDF63F" w14:textId="77777777" w:rsidR="00172BB8" w:rsidRPr="00C83E6A" w:rsidRDefault="00172BB8">
            <w:pPr>
              <w:keepNext/>
              <w:jc w:val="center"/>
              <w:rPr>
                <w:color w:val="000000"/>
                <w:lang w:val="sr-Latn-RS"/>
              </w:rPr>
            </w:pPr>
            <w:r w:rsidRPr="00C83E6A">
              <w:rPr>
                <w:color w:val="000000"/>
                <w:lang w:val="sr-Latn-RS"/>
              </w:rPr>
              <w:t>236 (1,7)</w:t>
            </w:r>
          </w:p>
        </w:tc>
        <w:tc>
          <w:tcPr>
            <w:tcW w:w="1418" w:type="dxa"/>
            <w:shd w:val="clear" w:color="auto" w:fill="FFFFFF"/>
            <w:tcMar>
              <w:left w:w="20" w:type="dxa"/>
              <w:right w:w="20" w:type="dxa"/>
            </w:tcMar>
          </w:tcPr>
          <w:p w14:paraId="536C83DC" w14:textId="77777777" w:rsidR="00172BB8" w:rsidRPr="00C83E6A" w:rsidRDefault="00172BB8">
            <w:pPr>
              <w:keepNext/>
              <w:jc w:val="center"/>
              <w:rPr>
                <w:color w:val="000000"/>
                <w:lang w:val="sr-Latn-RS"/>
              </w:rPr>
            </w:pPr>
            <w:r w:rsidRPr="00C83E6A">
              <w:rPr>
                <w:color w:val="000000"/>
                <w:lang w:val="sr-Latn-RS"/>
              </w:rPr>
              <w:t>0,99 (0,82, 1,18)</w:t>
            </w:r>
          </w:p>
        </w:tc>
        <w:tc>
          <w:tcPr>
            <w:tcW w:w="1276" w:type="dxa"/>
            <w:shd w:val="clear" w:color="auto" w:fill="FFFFFF"/>
            <w:tcMar>
              <w:left w:w="20" w:type="dxa"/>
              <w:right w:w="20" w:type="dxa"/>
            </w:tcMar>
          </w:tcPr>
          <w:p w14:paraId="050B78E0" w14:textId="77777777" w:rsidR="00172BB8" w:rsidRPr="00C83E6A" w:rsidRDefault="00172BB8">
            <w:pPr>
              <w:keepNext/>
              <w:jc w:val="center"/>
              <w:rPr>
                <w:color w:val="000000"/>
                <w:lang w:val="sr-Latn-RS"/>
              </w:rPr>
            </w:pPr>
            <w:r w:rsidRPr="00C83E6A">
              <w:rPr>
                <w:color w:val="000000"/>
                <w:lang w:val="sr-Latn-RS"/>
              </w:rPr>
              <w:t>0,89</w:t>
            </w:r>
          </w:p>
        </w:tc>
      </w:tr>
    </w:tbl>
    <w:p w14:paraId="4DC1B379" w14:textId="77777777" w:rsidR="00D26E8E" w:rsidRPr="00C83E6A" w:rsidRDefault="00910FA7" w:rsidP="001D6451">
      <w:pPr>
        <w:autoSpaceDE w:val="0"/>
        <w:autoSpaceDN w:val="0"/>
        <w:adjustRightInd w:val="0"/>
        <w:jc w:val="both"/>
        <w:rPr>
          <w:rFonts w:eastAsia="PMingLiU"/>
          <w:lang w:val="sr-Latn-RS"/>
        </w:rPr>
      </w:pPr>
      <w:r w:rsidRPr="00C83E6A">
        <w:rPr>
          <w:vertAlign w:val="superscript"/>
          <w:lang w:val="sr-Latn-RS"/>
        </w:rPr>
        <w:t>a</w:t>
      </w:r>
      <w:r w:rsidRPr="00C83E6A">
        <w:rPr>
          <w:lang w:val="sr-Latn-RS"/>
        </w:rPr>
        <w:t xml:space="preserve"> Na osnovu Koksovog modela stratifikovanog prema faktorima stratifikacije randomizacije prikupljenim pomoću interaktivnog glasovnog sistema (</w:t>
      </w:r>
      <w:r w:rsidRPr="00C83E6A">
        <w:rPr>
          <w:i/>
          <w:lang w:val="sr-Latn-RS"/>
        </w:rPr>
        <w:t>engl. Interactive Voice Response System</w:t>
      </w:r>
      <w:r w:rsidRPr="00C83E6A">
        <w:rPr>
          <w:lang w:val="sr-Latn-RS"/>
        </w:rPr>
        <w:t xml:space="preserve"> IVRS).</w:t>
      </w:r>
    </w:p>
    <w:p w14:paraId="1B0EFB02" w14:textId="77777777" w:rsidR="00D26E8E" w:rsidRPr="00C83E6A" w:rsidRDefault="00910FA7" w:rsidP="001D6451">
      <w:pPr>
        <w:autoSpaceDE w:val="0"/>
        <w:autoSpaceDN w:val="0"/>
        <w:adjustRightInd w:val="0"/>
        <w:jc w:val="both"/>
        <w:rPr>
          <w:rFonts w:eastAsia="PMingLiU"/>
          <w:lang w:val="sr-Latn-RS"/>
        </w:rPr>
      </w:pPr>
      <w:r w:rsidRPr="00C83E6A">
        <w:rPr>
          <w:vertAlign w:val="superscript"/>
          <w:lang w:val="sr-Latn-RS"/>
        </w:rPr>
        <w:t>b</w:t>
      </w:r>
      <w:r w:rsidRPr="00C83E6A">
        <w:rPr>
          <w:lang w:val="sr-Latn-RS"/>
        </w:rPr>
        <w:t xml:space="preserve"> Dvostrani </w:t>
      </w:r>
      <w:r w:rsidRPr="00C83E6A">
        <w:rPr>
          <w:i/>
          <w:lang w:val="sr-Latn-RS"/>
        </w:rPr>
        <w:t>log</w:t>
      </w:r>
      <w:r w:rsidRPr="00C83E6A">
        <w:rPr>
          <w:i/>
          <w:lang w:val="sr-Latn-RS"/>
        </w:rPr>
        <w:noBreakHyphen/>
        <w:t>rank test</w:t>
      </w:r>
      <w:r w:rsidRPr="00C83E6A">
        <w:rPr>
          <w:lang w:val="sr-Latn-RS"/>
        </w:rPr>
        <w:t xml:space="preserve"> stratifikovan faktorima stratifikacije randomizacije prikupljenim pomoću IVRS</w:t>
      </w:r>
      <w:r w:rsidRPr="00C83E6A">
        <w:rPr>
          <w:lang w:val="sr-Latn-RS"/>
        </w:rPr>
        <w:noBreakHyphen/>
        <w:t>a.</w:t>
      </w:r>
    </w:p>
    <w:p w14:paraId="28C02B3C" w14:textId="77777777" w:rsidR="00D26E8E" w:rsidRPr="00C83E6A" w:rsidRDefault="00910FA7" w:rsidP="001D6451">
      <w:pPr>
        <w:autoSpaceDE w:val="0"/>
        <w:autoSpaceDN w:val="0"/>
        <w:adjustRightInd w:val="0"/>
        <w:jc w:val="both"/>
        <w:rPr>
          <w:rFonts w:eastAsia="PMingLiU"/>
          <w:lang w:val="sr-Latn-RS"/>
        </w:rPr>
      </w:pPr>
      <w:r w:rsidRPr="00C83E6A">
        <w:rPr>
          <w:vertAlign w:val="superscript"/>
          <w:lang w:val="sr-Latn-RS"/>
        </w:rPr>
        <w:t>c</w:t>
      </w:r>
      <w:r w:rsidRPr="00C83E6A">
        <w:rPr>
          <w:lang w:val="sr-Latn-RS"/>
        </w:rPr>
        <w:t xml:space="preserve"> Nominalni značaj.</w:t>
      </w:r>
    </w:p>
    <w:p w14:paraId="6F47566A" w14:textId="77777777" w:rsidR="00D26E8E" w:rsidRPr="00C83E6A" w:rsidRDefault="00910FA7" w:rsidP="001D6451">
      <w:pPr>
        <w:keepNext/>
        <w:jc w:val="both"/>
        <w:rPr>
          <w:rFonts w:eastAsia="PMingLiU"/>
          <w:lang w:val="sr-Latn-RS"/>
        </w:rPr>
      </w:pPr>
      <w:r w:rsidRPr="00C83E6A">
        <w:rPr>
          <w:vertAlign w:val="superscript"/>
          <w:lang w:val="sr-Latn-RS"/>
        </w:rPr>
        <w:t>d</w:t>
      </w:r>
      <w:r w:rsidRPr="00C83E6A">
        <w:rPr>
          <w:lang w:val="sr-Latn-RS"/>
        </w:rPr>
        <w:t xml:space="preserve"> Efekat liječenja na moždani udar bio je posljedica smanjenja rizika od ishemijskog moždanog udara; nije bilo efekta na hemoragijski ili nespecifični moždani udar.</w:t>
      </w:r>
    </w:p>
    <w:p w14:paraId="1ECB1480" w14:textId="77777777" w:rsidR="00D26E8E" w:rsidRPr="00C83E6A" w:rsidRDefault="00910FA7" w:rsidP="001D6451">
      <w:pPr>
        <w:autoSpaceDE w:val="0"/>
        <w:autoSpaceDN w:val="0"/>
        <w:adjustRightInd w:val="0"/>
        <w:jc w:val="both"/>
        <w:rPr>
          <w:rFonts w:eastAsia="PMingLiU"/>
          <w:lang w:val="sr-Latn-RS"/>
        </w:rPr>
      </w:pPr>
      <w:r w:rsidRPr="00C83E6A">
        <w:rPr>
          <w:vertAlign w:val="superscript"/>
          <w:lang w:val="sr-Latn-RS"/>
        </w:rPr>
        <w:t>e</w:t>
      </w:r>
      <w:r w:rsidRPr="00C83E6A">
        <w:rPr>
          <w:lang w:val="sr-Latn-RS"/>
        </w:rPr>
        <w:t xml:space="preserve"> Procjena vremena do hospitalizacije zbog nestabilne angine bila je </w:t>
      </w:r>
      <w:r w:rsidRPr="00C83E6A">
        <w:rPr>
          <w:i/>
          <w:iCs/>
          <w:lang w:val="sr-Latn-RS"/>
        </w:rPr>
        <w:t>ad hoc</w:t>
      </w:r>
      <w:r w:rsidRPr="00C83E6A">
        <w:rPr>
          <w:lang w:val="sr-Latn-RS"/>
        </w:rPr>
        <w:t>.</w:t>
      </w:r>
    </w:p>
    <w:p w14:paraId="6FDE2CDE" w14:textId="77777777" w:rsidR="00D26E8E" w:rsidRPr="00C83E6A" w:rsidRDefault="00D26E8E" w:rsidP="001D6451">
      <w:pPr>
        <w:jc w:val="both"/>
        <w:rPr>
          <w:rFonts w:eastAsia="PMingLiU"/>
          <w:b/>
          <w:bCs/>
          <w:lang w:val="sr-Latn-RS"/>
        </w:rPr>
      </w:pPr>
    </w:p>
    <w:p w14:paraId="396C2D98" w14:textId="77777777" w:rsidR="00D26E8E" w:rsidRPr="00C83E6A" w:rsidRDefault="00F726FD" w:rsidP="001D6451">
      <w:pPr>
        <w:keepNext/>
        <w:jc w:val="both"/>
        <w:rPr>
          <w:rFonts w:eastAsia="PMingLiU"/>
          <w:b/>
          <w:bCs/>
          <w:lang w:val="sr-Latn-RS"/>
        </w:rPr>
      </w:pPr>
      <w:r w:rsidRPr="00C83E6A">
        <w:rPr>
          <w:b/>
          <w:lang w:val="sr-Latn-RS"/>
        </w:rPr>
        <w:t>Slika 1. Vrijeme do MACE događaja (kompozit KV smrti, infarkta miokarda ili moždanog udara); 3</w:t>
      </w:r>
      <w:r w:rsidRPr="00C83E6A">
        <w:rPr>
          <w:b/>
          <w:lang w:val="sr-Latn-RS"/>
        </w:rPr>
        <w:noBreakHyphen/>
        <w:t>godišnja Kaplan</w:t>
      </w:r>
      <w:r w:rsidRPr="00C83E6A">
        <w:rPr>
          <w:b/>
          <w:lang w:val="sr-Latn-RS"/>
        </w:rPr>
        <w:noBreakHyphen/>
        <w:t>Majerova kriva</w:t>
      </w:r>
    </w:p>
    <w:p w14:paraId="061DFE42" w14:textId="77777777" w:rsidR="00D26E8E" w:rsidRPr="00C83E6A" w:rsidRDefault="008912E5" w:rsidP="001D6451">
      <w:pPr>
        <w:keepNext/>
        <w:jc w:val="both"/>
        <w:rPr>
          <w:rFonts w:eastAsia="PMingLiU"/>
          <w:lang w:val="sr-Latn-RS"/>
        </w:rPr>
      </w:pPr>
      <w:r w:rsidRPr="00C83E6A">
        <w:rPr>
          <w:noProof/>
          <w:lang w:val="sr-Latn-RS"/>
        </w:rPr>
        <mc:AlternateContent>
          <mc:Choice Requires="wpg">
            <w:drawing>
              <wp:anchor distT="0" distB="0" distL="114300" distR="114300" simplePos="0" relativeHeight="251658240" behindDoc="0" locked="0" layoutInCell="1" allowOverlap="1" wp14:anchorId="2579C85F" wp14:editId="4C08AA32">
                <wp:simplePos x="0" y="0"/>
                <wp:positionH relativeFrom="column">
                  <wp:posOffset>-152400</wp:posOffset>
                </wp:positionH>
                <wp:positionV relativeFrom="paragraph">
                  <wp:posOffset>137795</wp:posOffset>
                </wp:positionV>
                <wp:extent cx="6630035" cy="3241040"/>
                <wp:effectExtent l="0" t="0" r="18415" b="16510"/>
                <wp:wrapNone/>
                <wp:docPr id="1"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0035" cy="3241040"/>
                          <a:chOff x="1178" y="9521"/>
                          <a:chExt cx="10441" cy="5104"/>
                        </a:xfrm>
                      </wpg:grpSpPr>
                      <wps:wsp>
                        <wps:cNvPr id="4" name="Text Box 62"/>
                        <wps:cNvSpPr txBox="1">
                          <a:spLocks noChangeArrowheads="1"/>
                        </wps:cNvSpPr>
                        <wps:spPr bwMode="auto">
                          <a:xfrm>
                            <a:off x="2093" y="13749"/>
                            <a:ext cx="325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EC527" w14:textId="77777777" w:rsidR="002D1367" w:rsidRPr="00450EFF" w:rsidRDefault="002D1367" w:rsidP="00FB755C">
                              <w:pPr>
                                <w:rPr>
                                  <w:rFonts w:eastAsia="PMingLiU"/>
                                  <w:bCs/>
                                  <w:sz w:val="16"/>
                                  <w:szCs w:val="16"/>
                                </w:rPr>
                              </w:pPr>
                              <w:r>
                                <w:rPr>
                                  <w:sz w:val="16"/>
                                </w:rPr>
                                <w:t>Pacijenti izloženi riziku</w:t>
                              </w:r>
                            </w:p>
                          </w:txbxContent>
                        </wps:txbx>
                        <wps:bodyPr rot="0" vert="horz" wrap="square" lIns="0" tIns="0" rIns="0" bIns="0" anchor="t" anchorCtr="0" upright="1">
                          <a:spAutoFit/>
                        </wps:bodyPr>
                      </wps:wsp>
                      <wps:wsp>
                        <wps:cNvPr id="5" name="Text Box 64"/>
                        <wps:cNvSpPr txBox="1">
                          <a:spLocks noChangeArrowheads="1"/>
                        </wps:cNvSpPr>
                        <wps:spPr bwMode="auto">
                          <a:xfrm>
                            <a:off x="1802" y="9521"/>
                            <a:ext cx="221" cy="381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CellMar>
                                  <w:left w:w="28" w:type="dxa"/>
                                  <w:right w:w="28" w:type="dxa"/>
                                </w:tblCellMar>
                                <w:tblLook w:val="04A0" w:firstRow="1" w:lastRow="0" w:firstColumn="1" w:lastColumn="0" w:noHBand="0" w:noVBand="1"/>
                              </w:tblPr>
                              <w:tblGrid>
                                <w:gridCol w:w="216"/>
                              </w:tblGrid>
                              <w:tr w:rsidR="002D1367" w:rsidRPr="00DC5696" w14:paraId="6F177747" w14:textId="77777777" w:rsidTr="001275CC">
                                <w:trPr>
                                  <w:trHeight w:val="313"/>
                                </w:trPr>
                                <w:tc>
                                  <w:tcPr>
                                    <w:tcW w:w="280" w:type="dxa"/>
                                    <w:shd w:val="clear" w:color="auto" w:fill="auto"/>
                                    <w:vAlign w:val="center"/>
                                  </w:tcPr>
                                  <w:p w14:paraId="390AD198" w14:textId="77777777" w:rsidR="002D1367" w:rsidRPr="00DC5696" w:rsidRDefault="002D1367" w:rsidP="001275CC">
                                    <w:pPr>
                                      <w:tabs>
                                        <w:tab w:val="clear" w:pos="567"/>
                                      </w:tabs>
                                      <w:autoSpaceDE w:val="0"/>
                                      <w:autoSpaceDN w:val="0"/>
                                      <w:adjustRightInd w:val="0"/>
                                      <w:ind w:right="-20"/>
                                      <w:jc w:val="right"/>
                                      <w:rPr>
                                        <w:rFonts w:ascii="Arial Narrow" w:hAnsi="Arial Narrow" w:cs="Arial"/>
                                        <w:bCs/>
                                        <w:sz w:val="16"/>
                                        <w:szCs w:val="16"/>
                                      </w:rPr>
                                    </w:pPr>
                                    <w:r>
                                      <w:rPr>
                                        <w:sz w:val="16"/>
                                      </w:rPr>
                                      <w:t>11</w:t>
                                    </w:r>
                                  </w:p>
                                </w:tc>
                              </w:tr>
                              <w:tr w:rsidR="002D1367" w:rsidRPr="00DC5696" w14:paraId="47C76B0A" w14:textId="77777777" w:rsidTr="009363B9">
                                <w:trPr>
                                  <w:trHeight w:val="329"/>
                                </w:trPr>
                                <w:tc>
                                  <w:tcPr>
                                    <w:tcW w:w="280" w:type="dxa"/>
                                    <w:shd w:val="clear" w:color="auto" w:fill="auto"/>
                                    <w:vAlign w:val="center"/>
                                  </w:tcPr>
                                  <w:p w14:paraId="7247CE6F" w14:textId="77777777" w:rsidR="002D1367" w:rsidRPr="00DC5696" w:rsidRDefault="002D1367" w:rsidP="001275CC">
                                    <w:pPr>
                                      <w:tabs>
                                        <w:tab w:val="clear" w:pos="567"/>
                                      </w:tabs>
                                      <w:autoSpaceDE w:val="0"/>
                                      <w:autoSpaceDN w:val="0"/>
                                      <w:adjustRightInd w:val="0"/>
                                      <w:ind w:right="-20"/>
                                      <w:jc w:val="right"/>
                                      <w:rPr>
                                        <w:rFonts w:ascii="Arial Narrow" w:hAnsi="Arial Narrow" w:cs="Arial"/>
                                        <w:bCs/>
                                        <w:sz w:val="16"/>
                                        <w:szCs w:val="16"/>
                                      </w:rPr>
                                    </w:pPr>
                                    <w:r>
                                      <w:rPr>
                                        <w:sz w:val="16"/>
                                      </w:rPr>
                                      <w:t>10</w:t>
                                    </w:r>
                                  </w:p>
                                </w:tc>
                              </w:tr>
                              <w:tr w:rsidR="002D1367" w:rsidRPr="00DC5696" w14:paraId="7BA7456B" w14:textId="77777777" w:rsidTr="001275CC">
                                <w:trPr>
                                  <w:trHeight w:val="313"/>
                                </w:trPr>
                                <w:tc>
                                  <w:tcPr>
                                    <w:tcW w:w="280" w:type="dxa"/>
                                    <w:shd w:val="clear" w:color="auto" w:fill="auto"/>
                                    <w:vAlign w:val="center"/>
                                  </w:tcPr>
                                  <w:p w14:paraId="48623C11" w14:textId="77777777" w:rsidR="002D1367" w:rsidRPr="00DC5696" w:rsidRDefault="002D1367" w:rsidP="001275CC">
                                    <w:pPr>
                                      <w:tabs>
                                        <w:tab w:val="clear" w:pos="567"/>
                                      </w:tabs>
                                      <w:autoSpaceDE w:val="0"/>
                                      <w:autoSpaceDN w:val="0"/>
                                      <w:adjustRightInd w:val="0"/>
                                      <w:ind w:right="-20"/>
                                      <w:jc w:val="right"/>
                                      <w:rPr>
                                        <w:rFonts w:ascii="Arial Narrow" w:hAnsi="Arial Narrow" w:cs="Arial"/>
                                        <w:bCs/>
                                        <w:sz w:val="16"/>
                                        <w:szCs w:val="16"/>
                                      </w:rPr>
                                    </w:pPr>
                                    <w:r>
                                      <w:rPr>
                                        <w:sz w:val="16"/>
                                      </w:rPr>
                                      <w:t>9</w:t>
                                    </w:r>
                                  </w:p>
                                </w:tc>
                              </w:tr>
                              <w:tr w:rsidR="002D1367" w:rsidRPr="00DC5696" w14:paraId="5240E7C5" w14:textId="77777777" w:rsidTr="009363B9">
                                <w:trPr>
                                  <w:trHeight w:val="340"/>
                                </w:trPr>
                                <w:tc>
                                  <w:tcPr>
                                    <w:tcW w:w="280" w:type="dxa"/>
                                    <w:shd w:val="clear" w:color="auto" w:fill="auto"/>
                                    <w:vAlign w:val="center"/>
                                  </w:tcPr>
                                  <w:p w14:paraId="5B1F13A1" w14:textId="77777777" w:rsidR="002D1367" w:rsidRPr="00DC5696" w:rsidRDefault="002D1367" w:rsidP="001275CC">
                                    <w:pPr>
                                      <w:tabs>
                                        <w:tab w:val="clear" w:pos="567"/>
                                      </w:tabs>
                                      <w:autoSpaceDE w:val="0"/>
                                      <w:autoSpaceDN w:val="0"/>
                                      <w:adjustRightInd w:val="0"/>
                                      <w:ind w:right="-20"/>
                                      <w:jc w:val="right"/>
                                      <w:rPr>
                                        <w:rFonts w:ascii="Arial Narrow" w:hAnsi="Arial Narrow" w:cs="Arial"/>
                                        <w:bCs/>
                                        <w:sz w:val="16"/>
                                        <w:szCs w:val="16"/>
                                      </w:rPr>
                                    </w:pPr>
                                    <w:r>
                                      <w:rPr>
                                        <w:sz w:val="16"/>
                                      </w:rPr>
                                      <w:t>8</w:t>
                                    </w:r>
                                  </w:p>
                                </w:tc>
                              </w:tr>
                              <w:tr w:rsidR="002D1367" w:rsidRPr="00DC5696" w14:paraId="1E740E6D" w14:textId="77777777" w:rsidTr="001275CC">
                                <w:trPr>
                                  <w:trHeight w:val="313"/>
                                </w:trPr>
                                <w:tc>
                                  <w:tcPr>
                                    <w:tcW w:w="280" w:type="dxa"/>
                                    <w:shd w:val="clear" w:color="auto" w:fill="auto"/>
                                    <w:vAlign w:val="center"/>
                                  </w:tcPr>
                                  <w:p w14:paraId="1F085A11" w14:textId="77777777" w:rsidR="002D1367" w:rsidRPr="00DC5696" w:rsidRDefault="002D1367" w:rsidP="001275CC">
                                    <w:pPr>
                                      <w:tabs>
                                        <w:tab w:val="clear" w:pos="567"/>
                                      </w:tabs>
                                      <w:autoSpaceDE w:val="0"/>
                                      <w:autoSpaceDN w:val="0"/>
                                      <w:adjustRightInd w:val="0"/>
                                      <w:ind w:right="-20"/>
                                      <w:jc w:val="right"/>
                                      <w:rPr>
                                        <w:rFonts w:ascii="Arial Narrow" w:hAnsi="Arial Narrow" w:cs="Arial"/>
                                        <w:bCs/>
                                        <w:sz w:val="16"/>
                                        <w:szCs w:val="16"/>
                                      </w:rPr>
                                    </w:pPr>
                                    <w:r>
                                      <w:rPr>
                                        <w:sz w:val="16"/>
                                      </w:rPr>
                                      <w:t>7</w:t>
                                    </w:r>
                                  </w:p>
                                </w:tc>
                              </w:tr>
                              <w:tr w:rsidR="002D1367" w:rsidRPr="00DC5696" w14:paraId="507D6A02" w14:textId="77777777" w:rsidTr="009363B9">
                                <w:trPr>
                                  <w:trHeight w:val="329"/>
                                </w:trPr>
                                <w:tc>
                                  <w:tcPr>
                                    <w:tcW w:w="280" w:type="dxa"/>
                                    <w:shd w:val="clear" w:color="auto" w:fill="auto"/>
                                    <w:vAlign w:val="center"/>
                                  </w:tcPr>
                                  <w:p w14:paraId="655A33AD" w14:textId="77777777" w:rsidR="002D1367" w:rsidRPr="00DC5696" w:rsidRDefault="002D1367" w:rsidP="001275CC">
                                    <w:pPr>
                                      <w:tabs>
                                        <w:tab w:val="clear" w:pos="567"/>
                                      </w:tabs>
                                      <w:autoSpaceDE w:val="0"/>
                                      <w:autoSpaceDN w:val="0"/>
                                      <w:adjustRightInd w:val="0"/>
                                      <w:ind w:right="-20"/>
                                      <w:jc w:val="right"/>
                                      <w:rPr>
                                        <w:rFonts w:ascii="Arial Narrow" w:hAnsi="Arial Narrow" w:cs="Arial"/>
                                        <w:bCs/>
                                        <w:sz w:val="16"/>
                                        <w:szCs w:val="16"/>
                                      </w:rPr>
                                    </w:pPr>
                                    <w:r>
                                      <w:rPr>
                                        <w:sz w:val="16"/>
                                      </w:rPr>
                                      <w:t>6</w:t>
                                    </w:r>
                                  </w:p>
                                </w:tc>
                              </w:tr>
                              <w:tr w:rsidR="002D1367" w:rsidRPr="00DC5696" w14:paraId="44D9D6BB" w14:textId="77777777" w:rsidTr="001275CC">
                                <w:trPr>
                                  <w:trHeight w:val="313"/>
                                </w:trPr>
                                <w:tc>
                                  <w:tcPr>
                                    <w:tcW w:w="280" w:type="dxa"/>
                                    <w:shd w:val="clear" w:color="auto" w:fill="auto"/>
                                    <w:vAlign w:val="center"/>
                                  </w:tcPr>
                                  <w:p w14:paraId="7658B9B9" w14:textId="77777777" w:rsidR="002D1367" w:rsidRPr="00DC5696" w:rsidRDefault="002D1367" w:rsidP="001275CC">
                                    <w:pPr>
                                      <w:tabs>
                                        <w:tab w:val="clear" w:pos="567"/>
                                      </w:tabs>
                                      <w:autoSpaceDE w:val="0"/>
                                      <w:autoSpaceDN w:val="0"/>
                                      <w:adjustRightInd w:val="0"/>
                                      <w:ind w:right="-20"/>
                                      <w:jc w:val="right"/>
                                      <w:rPr>
                                        <w:rFonts w:ascii="Arial Narrow" w:hAnsi="Arial Narrow" w:cs="Arial"/>
                                        <w:bCs/>
                                        <w:sz w:val="16"/>
                                        <w:szCs w:val="16"/>
                                      </w:rPr>
                                    </w:pPr>
                                    <w:r>
                                      <w:rPr>
                                        <w:sz w:val="16"/>
                                      </w:rPr>
                                      <w:t>5</w:t>
                                    </w:r>
                                  </w:p>
                                </w:tc>
                              </w:tr>
                              <w:tr w:rsidR="002D1367" w:rsidRPr="00DC5696" w14:paraId="18636CBD" w14:textId="77777777" w:rsidTr="001275CC">
                                <w:trPr>
                                  <w:trHeight w:val="313"/>
                                </w:trPr>
                                <w:tc>
                                  <w:tcPr>
                                    <w:tcW w:w="280" w:type="dxa"/>
                                    <w:shd w:val="clear" w:color="auto" w:fill="auto"/>
                                    <w:vAlign w:val="center"/>
                                  </w:tcPr>
                                  <w:p w14:paraId="740FACC1" w14:textId="77777777" w:rsidR="002D1367" w:rsidRPr="00DC5696" w:rsidRDefault="002D1367" w:rsidP="001275CC">
                                    <w:pPr>
                                      <w:tabs>
                                        <w:tab w:val="clear" w:pos="567"/>
                                      </w:tabs>
                                      <w:autoSpaceDE w:val="0"/>
                                      <w:autoSpaceDN w:val="0"/>
                                      <w:adjustRightInd w:val="0"/>
                                      <w:ind w:right="-20"/>
                                      <w:jc w:val="right"/>
                                      <w:rPr>
                                        <w:rFonts w:ascii="Arial Narrow" w:hAnsi="Arial Narrow" w:cs="Arial"/>
                                        <w:bCs/>
                                        <w:sz w:val="16"/>
                                        <w:szCs w:val="16"/>
                                      </w:rPr>
                                    </w:pPr>
                                    <w:r>
                                      <w:rPr>
                                        <w:sz w:val="16"/>
                                      </w:rPr>
                                      <w:t>4</w:t>
                                    </w:r>
                                  </w:p>
                                </w:tc>
                              </w:tr>
                              <w:tr w:rsidR="002D1367" w:rsidRPr="00DC5696" w14:paraId="339468C3" w14:textId="77777777" w:rsidTr="009363B9">
                                <w:trPr>
                                  <w:trHeight w:val="329"/>
                                </w:trPr>
                                <w:tc>
                                  <w:tcPr>
                                    <w:tcW w:w="280" w:type="dxa"/>
                                    <w:shd w:val="clear" w:color="auto" w:fill="auto"/>
                                    <w:vAlign w:val="center"/>
                                  </w:tcPr>
                                  <w:p w14:paraId="394F559E" w14:textId="77777777" w:rsidR="002D1367" w:rsidRPr="00DC5696" w:rsidRDefault="002D1367" w:rsidP="001275CC">
                                    <w:pPr>
                                      <w:tabs>
                                        <w:tab w:val="clear" w:pos="567"/>
                                      </w:tabs>
                                      <w:autoSpaceDE w:val="0"/>
                                      <w:autoSpaceDN w:val="0"/>
                                      <w:adjustRightInd w:val="0"/>
                                      <w:ind w:right="-20"/>
                                      <w:jc w:val="right"/>
                                      <w:rPr>
                                        <w:rFonts w:ascii="Arial Narrow" w:hAnsi="Arial Narrow" w:cs="Arial"/>
                                        <w:bCs/>
                                        <w:sz w:val="16"/>
                                        <w:szCs w:val="16"/>
                                      </w:rPr>
                                    </w:pPr>
                                    <w:r>
                                      <w:rPr>
                                        <w:sz w:val="16"/>
                                      </w:rPr>
                                      <w:t>3</w:t>
                                    </w:r>
                                  </w:p>
                                </w:tc>
                              </w:tr>
                              <w:tr w:rsidR="002D1367" w:rsidRPr="00DC5696" w14:paraId="60BF5300" w14:textId="77777777" w:rsidTr="001275CC">
                                <w:trPr>
                                  <w:trHeight w:val="313"/>
                                </w:trPr>
                                <w:tc>
                                  <w:tcPr>
                                    <w:tcW w:w="280" w:type="dxa"/>
                                    <w:shd w:val="clear" w:color="auto" w:fill="auto"/>
                                    <w:vAlign w:val="center"/>
                                  </w:tcPr>
                                  <w:p w14:paraId="5F83DCED" w14:textId="77777777" w:rsidR="002D1367" w:rsidRPr="00DC5696" w:rsidRDefault="002D1367" w:rsidP="001275CC">
                                    <w:pPr>
                                      <w:tabs>
                                        <w:tab w:val="clear" w:pos="567"/>
                                      </w:tabs>
                                      <w:autoSpaceDE w:val="0"/>
                                      <w:autoSpaceDN w:val="0"/>
                                      <w:adjustRightInd w:val="0"/>
                                      <w:ind w:right="-20"/>
                                      <w:jc w:val="right"/>
                                      <w:rPr>
                                        <w:rFonts w:ascii="Arial Narrow" w:hAnsi="Arial Narrow" w:cs="Arial"/>
                                        <w:bCs/>
                                        <w:sz w:val="16"/>
                                        <w:szCs w:val="16"/>
                                      </w:rPr>
                                    </w:pPr>
                                    <w:r>
                                      <w:rPr>
                                        <w:sz w:val="16"/>
                                      </w:rPr>
                                      <w:t>2</w:t>
                                    </w:r>
                                  </w:p>
                                </w:tc>
                              </w:tr>
                              <w:tr w:rsidR="002D1367" w:rsidRPr="00DC5696" w14:paraId="7EF3D714" w14:textId="77777777" w:rsidTr="009363B9">
                                <w:trPr>
                                  <w:trHeight w:val="329"/>
                                </w:trPr>
                                <w:tc>
                                  <w:tcPr>
                                    <w:tcW w:w="280" w:type="dxa"/>
                                    <w:shd w:val="clear" w:color="auto" w:fill="auto"/>
                                    <w:vAlign w:val="center"/>
                                  </w:tcPr>
                                  <w:p w14:paraId="26E01E36" w14:textId="77777777" w:rsidR="002D1367" w:rsidRPr="00DC5696" w:rsidRDefault="002D1367" w:rsidP="001275CC">
                                    <w:pPr>
                                      <w:tabs>
                                        <w:tab w:val="clear" w:pos="567"/>
                                      </w:tabs>
                                      <w:autoSpaceDE w:val="0"/>
                                      <w:autoSpaceDN w:val="0"/>
                                      <w:adjustRightInd w:val="0"/>
                                      <w:ind w:right="-20"/>
                                      <w:jc w:val="right"/>
                                      <w:rPr>
                                        <w:rFonts w:ascii="Arial Narrow" w:hAnsi="Arial Narrow" w:cs="Arial"/>
                                        <w:bCs/>
                                        <w:sz w:val="16"/>
                                        <w:szCs w:val="16"/>
                                      </w:rPr>
                                    </w:pPr>
                                    <w:r>
                                      <w:rPr>
                                        <w:sz w:val="16"/>
                                      </w:rPr>
                                      <w:t>1</w:t>
                                    </w:r>
                                  </w:p>
                                </w:tc>
                              </w:tr>
                              <w:tr w:rsidR="002D1367" w:rsidRPr="00DC5696" w14:paraId="6B45075B" w14:textId="77777777" w:rsidTr="001275CC">
                                <w:trPr>
                                  <w:trHeight w:val="313"/>
                                </w:trPr>
                                <w:tc>
                                  <w:tcPr>
                                    <w:tcW w:w="280" w:type="dxa"/>
                                    <w:shd w:val="clear" w:color="auto" w:fill="auto"/>
                                    <w:vAlign w:val="center"/>
                                  </w:tcPr>
                                  <w:p w14:paraId="6B8F15D2" w14:textId="77777777" w:rsidR="002D1367" w:rsidRDefault="002D1367" w:rsidP="001275CC">
                                    <w:pPr>
                                      <w:tabs>
                                        <w:tab w:val="clear" w:pos="567"/>
                                      </w:tabs>
                                      <w:autoSpaceDE w:val="0"/>
                                      <w:autoSpaceDN w:val="0"/>
                                      <w:adjustRightInd w:val="0"/>
                                      <w:ind w:right="-20"/>
                                      <w:jc w:val="right"/>
                                      <w:rPr>
                                        <w:rFonts w:ascii="Arial Narrow" w:hAnsi="Arial Narrow" w:cs="Arial"/>
                                        <w:bCs/>
                                        <w:sz w:val="16"/>
                                        <w:szCs w:val="16"/>
                                      </w:rPr>
                                    </w:pPr>
                                    <w:r>
                                      <w:rPr>
                                        <w:sz w:val="16"/>
                                      </w:rPr>
                                      <w:t>0</w:t>
                                    </w:r>
                                  </w:p>
                                </w:tc>
                              </w:tr>
                            </w:tbl>
                            <w:p w14:paraId="523827D1" w14:textId="77777777" w:rsidR="002D1367" w:rsidRPr="00450EFF" w:rsidRDefault="002D1367" w:rsidP="00FB755C">
                              <w:pPr>
                                <w:jc w:val="right"/>
                                <w:rPr>
                                  <w:rFonts w:eastAsia="PMingLiU"/>
                                  <w:sz w:val="16"/>
                                  <w:szCs w:val="16"/>
                                  <w:lang w:val="es-ES"/>
                                </w:rPr>
                              </w:pPr>
                            </w:p>
                          </w:txbxContent>
                        </wps:txbx>
                        <wps:bodyPr rot="0" vert="horz" wrap="square" lIns="18000" tIns="18000" rIns="18000" bIns="18000" anchor="t" anchorCtr="0" upright="1">
                          <a:noAutofit/>
                        </wps:bodyPr>
                      </wps:wsp>
                      <wps:wsp>
                        <wps:cNvPr id="6" name="Text Box 65"/>
                        <wps:cNvSpPr txBox="1">
                          <a:spLocks noChangeArrowheads="1"/>
                        </wps:cNvSpPr>
                        <wps:spPr bwMode="auto">
                          <a:xfrm>
                            <a:off x="1538" y="9572"/>
                            <a:ext cx="240" cy="3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2570A3C1" w14:textId="77777777" w:rsidR="002D1367" w:rsidRPr="00450EFF" w:rsidRDefault="002D1367" w:rsidP="00FB755C">
                              <w:pPr>
                                <w:jc w:val="center"/>
                                <w:rPr>
                                  <w:rFonts w:eastAsia="PMingLiU"/>
                                  <w:bCs/>
                                  <w:sz w:val="16"/>
                                  <w:szCs w:val="16"/>
                                </w:rPr>
                              </w:pPr>
                              <w:r>
                                <w:rPr>
                                  <w:sz w:val="16"/>
                                </w:rPr>
                                <w:t>Kumulativna incidencija (%)</w:t>
                              </w:r>
                            </w:p>
                          </w:txbxContent>
                        </wps:txbx>
                        <wps:bodyPr rot="0" vert="vert270" wrap="square" lIns="18000" tIns="18000" rIns="18000" bIns="18000" anchor="t" anchorCtr="0" upright="1">
                          <a:spAutoFit/>
                        </wps:bodyPr>
                      </wps:wsp>
                      <wps:wsp>
                        <wps:cNvPr id="7" name="Text Box 67"/>
                        <wps:cNvSpPr txBox="1">
                          <a:spLocks noChangeArrowheads="1"/>
                        </wps:cNvSpPr>
                        <wps:spPr bwMode="auto">
                          <a:xfrm>
                            <a:off x="1178" y="13917"/>
                            <a:ext cx="10441" cy="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tbl>
                              <w:tblPr>
                                <w:tblW w:w="4311" w:type="pct"/>
                                <w:tblInd w:w="284" w:type="dxa"/>
                                <w:tblLayout w:type="fixed"/>
                                <w:tblCellMar>
                                  <w:left w:w="0" w:type="dxa"/>
                                  <w:right w:w="0" w:type="dxa"/>
                                </w:tblCellMar>
                                <w:tblLook w:val="04A0" w:firstRow="1" w:lastRow="0" w:firstColumn="1" w:lastColumn="0" w:noHBand="0" w:noVBand="1"/>
                              </w:tblPr>
                              <w:tblGrid>
                                <w:gridCol w:w="741"/>
                                <w:gridCol w:w="1179"/>
                                <w:gridCol w:w="1249"/>
                                <w:gridCol w:w="1225"/>
                                <w:gridCol w:w="1175"/>
                                <w:gridCol w:w="1180"/>
                                <w:gridCol w:w="1248"/>
                                <w:gridCol w:w="1005"/>
                              </w:tblGrid>
                              <w:tr w:rsidR="002D1367" w:rsidRPr="00F807FF" w14:paraId="41ADD4CF" w14:textId="77777777" w:rsidTr="001D6451">
                                <w:trPr>
                                  <w:trHeight w:val="235"/>
                                </w:trPr>
                                <w:tc>
                                  <w:tcPr>
                                    <w:tcW w:w="741" w:type="dxa"/>
                                    <w:shd w:val="clear" w:color="auto" w:fill="auto"/>
                                    <w:vAlign w:val="center"/>
                                  </w:tcPr>
                                  <w:p w14:paraId="55F2FEDD" w14:textId="77777777" w:rsidR="002D1367" w:rsidRPr="00F807FF" w:rsidRDefault="002D1367" w:rsidP="00A958BD">
                                    <w:pPr>
                                      <w:jc w:val="center"/>
                                      <w:rPr>
                                        <w:rFonts w:ascii="Arial Narrow" w:hAnsi="Arial Narrow"/>
                                        <w:bCs/>
                                        <w:sz w:val="16"/>
                                        <w:szCs w:val="16"/>
                                      </w:rPr>
                                    </w:pPr>
                                    <w:r>
                                      <w:rPr>
                                        <w:sz w:val="16"/>
                                      </w:rPr>
                                      <w:t>Placebo</w:t>
                                    </w:r>
                                  </w:p>
                                </w:tc>
                                <w:tc>
                                  <w:tcPr>
                                    <w:tcW w:w="1181" w:type="dxa"/>
                                    <w:vAlign w:val="center"/>
                                  </w:tcPr>
                                  <w:p w14:paraId="66285A98" w14:textId="77777777" w:rsidR="002D1367" w:rsidRPr="00F807FF" w:rsidRDefault="002D1367" w:rsidP="00A958BD">
                                    <w:pPr>
                                      <w:rPr>
                                        <w:rFonts w:ascii="Arial Narrow" w:hAnsi="Arial Narrow"/>
                                        <w:bCs/>
                                        <w:sz w:val="16"/>
                                        <w:szCs w:val="16"/>
                                      </w:rPr>
                                    </w:pPr>
                                    <w:r>
                                      <w:rPr>
                                        <w:sz w:val="16"/>
                                      </w:rPr>
                                      <w:t>13780</w:t>
                                    </w:r>
                                  </w:p>
                                </w:tc>
                                <w:tc>
                                  <w:tcPr>
                                    <w:tcW w:w="1251" w:type="dxa"/>
                                    <w:shd w:val="clear" w:color="auto" w:fill="auto"/>
                                    <w:vAlign w:val="center"/>
                                  </w:tcPr>
                                  <w:p w14:paraId="35287227" w14:textId="77777777" w:rsidR="002D1367" w:rsidRPr="00F807FF" w:rsidRDefault="002D1367" w:rsidP="00A958BD">
                                    <w:pPr>
                                      <w:rPr>
                                        <w:rFonts w:ascii="Arial Narrow" w:hAnsi="Arial Narrow"/>
                                        <w:bCs/>
                                        <w:sz w:val="16"/>
                                        <w:szCs w:val="16"/>
                                      </w:rPr>
                                    </w:pPr>
                                    <w:r>
                                      <w:rPr>
                                        <w:sz w:val="16"/>
                                      </w:rPr>
                                      <w:t>13447</w:t>
                                    </w:r>
                                  </w:p>
                                </w:tc>
                                <w:tc>
                                  <w:tcPr>
                                    <w:tcW w:w="1227" w:type="dxa"/>
                                    <w:shd w:val="clear" w:color="auto" w:fill="auto"/>
                                    <w:vAlign w:val="center"/>
                                  </w:tcPr>
                                  <w:p w14:paraId="6BB02273" w14:textId="77777777" w:rsidR="002D1367" w:rsidRPr="00F807FF" w:rsidRDefault="002D1367" w:rsidP="00A958BD">
                                    <w:pPr>
                                      <w:rPr>
                                        <w:rFonts w:ascii="Arial Narrow" w:hAnsi="Arial Narrow"/>
                                        <w:bCs/>
                                        <w:sz w:val="16"/>
                                        <w:szCs w:val="16"/>
                                      </w:rPr>
                                    </w:pPr>
                                    <w:r>
                                      <w:rPr>
                                        <w:sz w:val="16"/>
                                      </w:rPr>
                                      <w:t>13140</w:t>
                                    </w:r>
                                  </w:p>
                                </w:tc>
                                <w:tc>
                                  <w:tcPr>
                                    <w:tcW w:w="1177" w:type="dxa"/>
                                    <w:shd w:val="clear" w:color="auto" w:fill="auto"/>
                                    <w:vAlign w:val="center"/>
                                  </w:tcPr>
                                  <w:p w14:paraId="5F267F46" w14:textId="77777777" w:rsidR="002D1367" w:rsidRPr="00F807FF" w:rsidRDefault="002D1367" w:rsidP="00A958BD">
                                    <w:pPr>
                                      <w:rPr>
                                        <w:rFonts w:ascii="Arial Narrow" w:hAnsi="Arial Narrow"/>
                                        <w:bCs/>
                                        <w:sz w:val="16"/>
                                        <w:szCs w:val="16"/>
                                      </w:rPr>
                                    </w:pPr>
                                    <w:r>
                                      <w:rPr>
                                        <w:sz w:val="16"/>
                                      </w:rPr>
                                      <w:t>12257</w:t>
                                    </w:r>
                                  </w:p>
                                </w:tc>
                                <w:tc>
                                  <w:tcPr>
                                    <w:tcW w:w="1182" w:type="dxa"/>
                                    <w:shd w:val="clear" w:color="auto" w:fill="auto"/>
                                    <w:vAlign w:val="center"/>
                                  </w:tcPr>
                                  <w:p w14:paraId="62ED970A" w14:textId="77777777" w:rsidR="002D1367" w:rsidRPr="00F807FF" w:rsidRDefault="002D1367" w:rsidP="00A958BD">
                                    <w:pPr>
                                      <w:rPr>
                                        <w:rFonts w:ascii="Arial Narrow" w:hAnsi="Arial Narrow"/>
                                        <w:bCs/>
                                        <w:sz w:val="16"/>
                                        <w:szCs w:val="16"/>
                                      </w:rPr>
                                    </w:pPr>
                                    <w:r>
                                      <w:rPr>
                                        <w:sz w:val="16"/>
                                      </w:rPr>
                                      <w:t>7923</w:t>
                                    </w:r>
                                  </w:p>
                                </w:tc>
                                <w:tc>
                                  <w:tcPr>
                                    <w:tcW w:w="1250" w:type="dxa"/>
                                    <w:shd w:val="clear" w:color="auto" w:fill="auto"/>
                                    <w:vAlign w:val="center"/>
                                  </w:tcPr>
                                  <w:p w14:paraId="4FC84914" w14:textId="77777777" w:rsidR="002D1367" w:rsidRPr="00F807FF" w:rsidRDefault="002D1367" w:rsidP="00A958BD">
                                    <w:pPr>
                                      <w:ind w:firstLine="42"/>
                                      <w:rPr>
                                        <w:rFonts w:ascii="Arial Narrow" w:hAnsi="Arial Narrow"/>
                                        <w:bCs/>
                                        <w:sz w:val="16"/>
                                        <w:szCs w:val="16"/>
                                      </w:rPr>
                                    </w:pPr>
                                    <w:r>
                                      <w:rPr>
                                        <w:sz w:val="16"/>
                                      </w:rPr>
                                      <w:t>3785</w:t>
                                    </w:r>
                                  </w:p>
                                </w:tc>
                                <w:tc>
                                  <w:tcPr>
                                    <w:tcW w:w="1006" w:type="dxa"/>
                                    <w:vAlign w:val="center"/>
                                  </w:tcPr>
                                  <w:p w14:paraId="51A85410" w14:textId="77777777" w:rsidR="002D1367" w:rsidRPr="00F807FF" w:rsidRDefault="002D1367" w:rsidP="00A958BD">
                                    <w:pPr>
                                      <w:ind w:firstLine="92"/>
                                      <w:rPr>
                                        <w:rFonts w:ascii="Arial Narrow" w:hAnsi="Arial Narrow"/>
                                        <w:bCs/>
                                        <w:sz w:val="16"/>
                                        <w:szCs w:val="16"/>
                                      </w:rPr>
                                    </w:pPr>
                                    <w:r>
                                      <w:rPr>
                                        <w:sz w:val="16"/>
                                      </w:rPr>
                                      <w:t>717</w:t>
                                    </w:r>
                                  </w:p>
                                </w:tc>
                              </w:tr>
                              <w:tr w:rsidR="002D1367" w:rsidRPr="00E75F7E" w14:paraId="30B9C1DF" w14:textId="77777777" w:rsidTr="001D6451">
                                <w:trPr>
                                  <w:trHeight w:val="289"/>
                                </w:trPr>
                                <w:tc>
                                  <w:tcPr>
                                    <w:tcW w:w="741" w:type="dxa"/>
                                    <w:shd w:val="clear" w:color="auto" w:fill="auto"/>
                                    <w:vAlign w:val="center"/>
                                  </w:tcPr>
                                  <w:p w14:paraId="44C9F1B9" w14:textId="77777777" w:rsidR="002D1367" w:rsidRPr="00F807FF" w:rsidRDefault="002D1367" w:rsidP="00A958BD">
                                    <w:pPr>
                                      <w:jc w:val="center"/>
                                      <w:rPr>
                                        <w:rFonts w:ascii="Arial Narrow" w:hAnsi="Arial Narrow"/>
                                        <w:bCs/>
                                        <w:sz w:val="16"/>
                                        <w:szCs w:val="16"/>
                                      </w:rPr>
                                    </w:pPr>
                                    <w:r>
                                      <w:rPr>
                                        <w:sz w:val="16"/>
                                      </w:rPr>
                                      <w:t>Repatha</w:t>
                                    </w:r>
                                  </w:p>
                                </w:tc>
                                <w:tc>
                                  <w:tcPr>
                                    <w:tcW w:w="1181" w:type="dxa"/>
                                    <w:vAlign w:val="center"/>
                                  </w:tcPr>
                                  <w:p w14:paraId="124B2EF6" w14:textId="77777777" w:rsidR="002D1367" w:rsidRPr="00F807FF" w:rsidRDefault="002D1367" w:rsidP="00A958BD">
                                    <w:pPr>
                                      <w:rPr>
                                        <w:rFonts w:ascii="Arial Narrow" w:hAnsi="Arial Narrow"/>
                                        <w:bCs/>
                                        <w:sz w:val="16"/>
                                        <w:szCs w:val="16"/>
                                      </w:rPr>
                                    </w:pPr>
                                    <w:r>
                                      <w:rPr>
                                        <w:sz w:val="16"/>
                                      </w:rPr>
                                      <w:t>13784</w:t>
                                    </w:r>
                                  </w:p>
                                </w:tc>
                                <w:tc>
                                  <w:tcPr>
                                    <w:tcW w:w="1251" w:type="dxa"/>
                                    <w:shd w:val="clear" w:color="auto" w:fill="auto"/>
                                    <w:vAlign w:val="center"/>
                                  </w:tcPr>
                                  <w:p w14:paraId="6955444B" w14:textId="77777777" w:rsidR="002D1367" w:rsidRPr="00F807FF" w:rsidRDefault="002D1367" w:rsidP="00A958BD">
                                    <w:pPr>
                                      <w:rPr>
                                        <w:rFonts w:ascii="Arial Narrow" w:hAnsi="Arial Narrow"/>
                                        <w:bCs/>
                                        <w:sz w:val="16"/>
                                        <w:szCs w:val="16"/>
                                      </w:rPr>
                                    </w:pPr>
                                    <w:r>
                                      <w:rPr>
                                        <w:sz w:val="16"/>
                                      </w:rPr>
                                      <w:t>13499</w:t>
                                    </w:r>
                                  </w:p>
                                </w:tc>
                                <w:tc>
                                  <w:tcPr>
                                    <w:tcW w:w="1227" w:type="dxa"/>
                                    <w:shd w:val="clear" w:color="auto" w:fill="auto"/>
                                    <w:vAlign w:val="center"/>
                                  </w:tcPr>
                                  <w:p w14:paraId="0729E28B" w14:textId="77777777" w:rsidR="002D1367" w:rsidRPr="00F807FF" w:rsidRDefault="002D1367" w:rsidP="00A958BD">
                                    <w:pPr>
                                      <w:rPr>
                                        <w:rFonts w:ascii="Arial Narrow" w:hAnsi="Arial Narrow"/>
                                        <w:bCs/>
                                        <w:sz w:val="16"/>
                                        <w:szCs w:val="16"/>
                                      </w:rPr>
                                    </w:pPr>
                                    <w:r>
                                      <w:rPr>
                                        <w:sz w:val="16"/>
                                      </w:rPr>
                                      <w:t>13240</w:t>
                                    </w:r>
                                  </w:p>
                                </w:tc>
                                <w:tc>
                                  <w:tcPr>
                                    <w:tcW w:w="1177" w:type="dxa"/>
                                    <w:shd w:val="clear" w:color="auto" w:fill="auto"/>
                                    <w:vAlign w:val="center"/>
                                  </w:tcPr>
                                  <w:p w14:paraId="6CE4942F" w14:textId="77777777" w:rsidR="002D1367" w:rsidRPr="00F807FF" w:rsidRDefault="002D1367" w:rsidP="00A958BD">
                                    <w:pPr>
                                      <w:rPr>
                                        <w:rFonts w:ascii="Arial Narrow" w:hAnsi="Arial Narrow"/>
                                        <w:bCs/>
                                        <w:sz w:val="16"/>
                                        <w:szCs w:val="16"/>
                                      </w:rPr>
                                    </w:pPr>
                                    <w:r>
                                      <w:rPr>
                                        <w:sz w:val="16"/>
                                      </w:rPr>
                                      <w:t>12422</w:t>
                                    </w:r>
                                  </w:p>
                                </w:tc>
                                <w:tc>
                                  <w:tcPr>
                                    <w:tcW w:w="1182" w:type="dxa"/>
                                    <w:shd w:val="clear" w:color="auto" w:fill="auto"/>
                                    <w:vAlign w:val="center"/>
                                  </w:tcPr>
                                  <w:p w14:paraId="1815B6ED" w14:textId="77777777" w:rsidR="002D1367" w:rsidRPr="00F807FF" w:rsidRDefault="002D1367" w:rsidP="00A958BD">
                                    <w:pPr>
                                      <w:rPr>
                                        <w:rFonts w:ascii="Arial Narrow" w:hAnsi="Arial Narrow"/>
                                        <w:bCs/>
                                        <w:sz w:val="16"/>
                                        <w:szCs w:val="16"/>
                                      </w:rPr>
                                    </w:pPr>
                                    <w:r>
                                      <w:rPr>
                                        <w:sz w:val="16"/>
                                      </w:rPr>
                                      <w:t>8066</w:t>
                                    </w:r>
                                  </w:p>
                                </w:tc>
                                <w:tc>
                                  <w:tcPr>
                                    <w:tcW w:w="1250" w:type="dxa"/>
                                    <w:shd w:val="clear" w:color="auto" w:fill="auto"/>
                                    <w:vAlign w:val="center"/>
                                  </w:tcPr>
                                  <w:p w14:paraId="141772A6" w14:textId="77777777" w:rsidR="002D1367" w:rsidRPr="00F807FF" w:rsidRDefault="002D1367" w:rsidP="00A958BD">
                                    <w:pPr>
                                      <w:ind w:firstLine="42"/>
                                      <w:rPr>
                                        <w:rFonts w:ascii="Arial Narrow" w:hAnsi="Arial Narrow"/>
                                        <w:bCs/>
                                        <w:sz w:val="16"/>
                                        <w:szCs w:val="16"/>
                                      </w:rPr>
                                    </w:pPr>
                                    <w:r>
                                      <w:rPr>
                                        <w:sz w:val="16"/>
                                      </w:rPr>
                                      <w:t>3837</w:t>
                                    </w:r>
                                  </w:p>
                                </w:tc>
                                <w:tc>
                                  <w:tcPr>
                                    <w:tcW w:w="1006" w:type="dxa"/>
                                    <w:vAlign w:val="center"/>
                                  </w:tcPr>
                                  <w:p w14:paraId="629607E5" w14:textId="77777777" w:rsidR="002D1367" w:rsidRPr="00F807FF" w:rsidRDefault="002D1367" w:rsidP="00A958BD">
                                    <w:pPr>
                                      <w:ind w:firstLine="92"/>
                                      <w:rPr>
                                        <w:rFonts w:ascii="Arial Narrow" w:hAnsi="Arial Narrow"/>
                                        <w:bCs/>
                                        <w:sz w:val="16"/>
                                        <w:szCs w:val="16"/>
                                      </w:rPr>
                                    </w:pPr>
                                    <w:r>
                                      <w:rPr>
                                        <w:sz w:val="16"/>
                                      </w:rPr>
                                      <w:t>713</w:t>
                                    </w:r>
                                  </w:p>
                                </w:tc>
                              </w:tr>
                            </w:tbl>
                            <w:p w14:paraId="614F4E25" w14:textId="77777777" w:rsidR="002D1367" w:rsidRPr="00450EFF" w:rsidRDefault="002D1367" w:rsidP="00FB755C">
                              <w:pPr>
                                <w:rPr>
                                  <w:rFonts w:eastAsia="PMingLiU"/>
                                  <w:sz w:val="16"/>
                                  <w:szCs w:val="16"/>
                                  <w:lang w:val="es-ES"/>
                                </w:rPr>
                              </w:pPr>
                            </w:p>
                          </w:txbxContent>
                        </wps:txbx>
                        <wps:bodyPr rot="0" vert="horz" wrap="square" lIns="0" tIns="0" rIns="0" bIns="0" anchor="t" anchorCtr="0" upright="1">
                          <a:spAutoFit/>
                        </wps:bodyPr>
                      </wps:wsp>
                      <wps:wsp>
                        <wps:cNvPr id="8" name="Text Box 68"/>
                        <wps:cNvSpPr txBox="1">
                          <a:spLocks noChangeArrowheads="1"/>
                        </wps:cNvSpPr>
                        <wps:spPr bwMode="auto">
                          <a:xfrm>
                            <a:off x="2312" y="13311"/>
                            <a:ext cx="8705" cy="297"/>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4710" w:type="pct"/>
                                <w:tblBorders>
                                  <w:insideH w:val="single" w:sz="4" w:space="0" w:color="auto"/>
                                </w:tblBorders>
                                <w:tblLook w:val="04A0" w:firstRow="1" w:lastRow="0" w:firstColumn="1" w:lastColumn="0" w:noHBand="0" w:noVBand="1"/>
                              </w:tblPr>
                              <w:tblGrid>
                                <w:gridCol w:w="1177"/>
                                <w:gridCol w:w="1141"/>
                                <w:gridCol w:w="1163"/>
                                <w:gridCol w:w="1163"/>
                                <w:gridCol w:w="1179"/>
                                <w:gridCol w:w="1179"/>
                                <w:gridCol w:w="1145"/>
                              </w:tblGrid>
                              <w:tr w:rsidR="002D1367" w:rsidRPr="00E75F7E" w14:paraId="1F097B17" w14:textId="77777777" w:rsidTr="001D6451">
                                <w:trPr>
                                  <w:trHeight w:val="266"/>
                                </w:trPr>
                                <w:tc>
                                  <w:tcPr>
                                    <w:tcW w:w="1179" w:type="dxa"/>
                                    <w:shd w:val="clear" w:color="auto" w:fill="auto"/>
                                    <w:vAlign w:val="center"/>
                                  </w:tcPr>
                                  <w:p w14:paraId="51B589CB" w14:textId="77777777" w:rsidR="002D1367" w:rsidRPr="00F807FF" w:rsidRDefault="002D1367" w:rsidP="00A958BD">
                                    <w:pPr>
                                      <w:tabs>
                                        <w:tab w:val="clear" w:pos="567"/>
                                      </w:tabs>
                                      <w:rPr>
                                        <w:rFonts w:ascii="Arial Narrow" w:hAnsi="Arial Narrow"/>
                                        <w:bCs/>
                                        <w:sz w:val="16"/>
                                        <w:szCs w:val="16"/>
                                      </w:rPr>
                                    </w:pPr>
                                    <w:r>
                                      <w:rPr>
                                        <w:sz w:val="16"/>
                                      </w:rPr>
                                      <w:t>0</w:t>
                                    </w:r>
                                  </w:p>
                                </w:tc>
                                <w:tc>
                                  <w:tcPr>
                                    <w:tcW w:w="1143" w:type="dxa"/>
                                    <w:shd w:val="clear" w:color="auto" w:fill="auto"/>
                                    <w:vAlign w:val="center"/>
                                  </w:tcPr>
                                  <w:p w14:paraId="3C740F88" w14:textId="77777777" w:rsidR="002D1367" w:rsidRPr="00F807FF" w:rsidRDefault="002D1367" w:rsidP="00A958BD">
                                    <w:pPr>
                                      <w:rPr>
                                        <w:rFonts w:ascii="Arial Narrow" w:hAnsi="Arial Narrow"/>
                                        <w:bCs/>
                                        <w:sz w:val="16"/>
                                        <w:szCs w:val="16"/>
                                      </w:rPr>
                                    </w:pPr>
                                    <w:r>
                                      <w:rPr>
                                        <w:sz w:val="16"/>
                                      </w:rPr>
                                      <w:t>6</w:t>
                                    </w:r>
                                  </w:p>
                                </w:tc>
                                <w:tc>
                                  <w:tcPr>
                                    <w:tcW w:w="1165" w:type="dxa"/>
                                    <w:shd w:val="clear" w:color="auto" w:fill="auto"/>
                                    <w:vAlign w:val="center"/>
                                  </w:tcPr>
                                  <w:p w14:paraId="4B84A5A1" w14:textId="77777777" w:rsidR="002D1367" w:rsidRPr="00F807FF" w:rsidRDefault="002D1367" w:rsidP="00A958BD">
                                    <w:pPr>
                                      <w:rPr>
                                        <w:rFonts w:ascii="Arial Narrow" w:hAnsi="Arial Narrow"/>
                                        <w:bCs/>
                                        <w:sz w:val="16"/>
                                        <w:szCs w:val="16"/>
                                      </w:rPr>
                                    </w:pPr>
                                    <w:r>
                                      <w:rPr>
                                        <w:sz w:val="16"/>
                                      </w:rPr>
                                      <w:t xml:space="preserve">  12</w:t>
                                    </w:r>
                                  </w:p>
                                </w:tc>
                                <w:tc>
                                  <w:tcPr>
                                    <w:tcW w:w="1165" w:type="dxa"/>
                                    <w:shd w:val="clear" w:color="auto" w:fill="auto"/>
                                    <w:vAlign w:val="center"/>
                                  </w:tcPr>
                                  <w:p w14:paraId="3AD2E76F" w14:textId="77777777" w:rsidR="002D1367" w:rsidRPr="00F807FF" w:rsidRDefault="002D1367" w:rsidP="00A958BD">
                                    <w:pPr>
                                      <w:rPr>
                                        <w:rFonts w:ascii="Arial Narrow" w:hAnsi="Arial Narrow"/>
                                        <w:bCs/>
                                        <w:sz w:val="16"/>
                                        <w:szCs w:val="16"/>
                                      </w:rPr>
                                    </w:pPr>
                                    <w:r>
                                      <w:rPr>
                                        <w:sz w:val="16"/>
                                      </w:rPr>
                                      <w:t xml:space="preserve">    18</w:t>
                                    </w:r>
                                  </w:p>
                                </w:tc>
                                <w:tc>
                                  <w:tcPr>
                                    <w:tcW w:w="1181" w:type="dxa"/>
                                    <w:shd w:val="clear" w:color="auto" w:fill="auto"/>
                                    <w:vAlign w:val="center"/>
                                  </w:tcPr>
                                  <w:p w14:paraId="48054DEA" w14:textId="77777777" w:rsidR="002D1367" w:rsidRPr="00F807FF" w:rsidRDefault="002D1367" w:rsidP="00A958BD">
                                    <w:pPr>
                                      <w:rPr>
                                        <w:rFonts w:ascii="Arial Narrow" w:hAnsi="Arial Narrow"/>
                                        <w:bCs/>
                                        <w:sz w:val="16"/>
                                        <w:szCs w:val="16"/>
                                      </w:rPr>
                                    </w:pPr>
                                    <w:r>
                                      <w:rPr>
                                        <w:sz w:val="16"/>
                                      </w:rPr>
                                      <w:t xml:space="preserve">     24</w:t>
                                    </w:r>
                                  </w:p>
                                </w:tc>
                                <w:tc>
                                  <w:tcPr>
                                    <w:tcW w:w="1181" w:type="dxa"/>
                                    <w:shd w:val="clear" w:color="auto" w:fill="auto"/>
                                    <w:vAlign w:val="center"/>
                                  </w:tcPr>
                                  <w:p w14:paraId="0E8AD384" w14:textId="77777777" w:rsidR="002D1367" w:rsidRPr="00F807FF" w:rsidRDefault="002D1367" w:rsidP="00A958BD">
                                    <w:pPr>
                                      <w:rPr>
                                        <w:rFonts w:ascii="Arial Narrow" w:hAnsi="Arial Narrow"/>
                                        <w:bCs/>
                                        <w:sz w:val="16"/>
                                        <w:szCs w:val="16"/>
                                      </w:rPr>
                                    </w:pPr>
                                    <w:r>
                                      <w:rPr>
                                        <w:sz w:val="16"/>
                                      </w:rPr>
                                      <w:t xml:space="preserve">      30</w:t>
                                    </w:r>
                                  </w:p>
                                </w:tc>
                                <w:tc>
                                  <w:tcPr>
                                    <w:tcW w:w="1147" w:type="dxa"/>
                                    <w:shd w:val="clear" w:color="auto" w:fill="auto"/>
                                    <w:vAlign w:val="center"/>
                                  </w:tcPr>
                                  <w:p w14:paraId="7EE129B2" w14:textId="77777777" w:rsidR="002D1367" w:rsidRPr="00F807FF" w:rsidRDefault="002D1367" w:rsidP="00A958BD">
                                    <w:pPr>
                                      <w:rPr>
                                        <w:rFonts w:ascii="Arial Narrow" w:hAnsi="Arial Narrow"/>
                                        <w:bCs/>
                                        <w:sz w:val="16"/>
                                        <w:szCs w:val="16"/>
                                      </w:rPr>
                                    </w:pPr>
                                    <w:r>
                                      <w:rPr>
                                        <w:sz w:val="16"/>
                                      </w:rPr>
                                      <w:t xml:space="preserve">       36</w:t>
                                    </w:r>
                                  </w:p>
                                </w:tc>
                              </w:tr>
                            </w:tbl>
                            <w:p w14:paraId="49C3EAB6" w14:textId="77777777" w:rsidR="002D1367" w:rsidRPr="00450EFF" w:rsidRDefault="002D1367" w:rsidP="00FB755C">
                              <w:pPr>
                                <w:jc w:val="right"/>
                                <w:rPr>
                                  <w:rFonts w:eastAsia="PMingLiU"/>
                                  <w:sz w:val="16"/>
                                  <w:szCs w:val="16"/>
                                  <w:lang w:val="es-ES"/>
                                </w:rPr>
                              </w:pPr>
                            </w:p>
                          </w:txbxContent>
                        </wps:txbx>
                        <wps:bodyPr rot="0" vert="horz" wrap="square" lIns="18000" tIns="18000" rIns="18000" bIns="18000" anchor="t" anchorCtr="0" upright="1">
                          <a:noAutofit/>
                        </wps:bodyPr>
                      </wps:wsp>
                      <wps:wsp>
                        <wps:cNvPr id="9" name="Text Box 69"/>
                        <wps:cNvSpPr txBox="1">
                          <a:spLocks noChangeArrowheads="1"/>
                        </wps:cNvSpPr>
                        <wps:spPr bwMode="auto">
                          <a:xfrm>
                            <a:off x="9732" y="10114"/>
                            <a:ext cx="507"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3B130" w14:textId="77777777" w:rsidR="002D1367" w:rsidRPr="00450EFF" w:rsidRDefault="002D1367" w:rsidP="00FB755C">
                              <w:pPr>
                                <w:rPr>
                                  <w:rFonts w:eastAsia="PMingLiU"/>
                                  <w:bCs/>
                                  <w:color w:val="0070C0"/>
                                  <w:sz w:val="16"/>
                                  <w:szCs w:val="16"/>
                                </w:rPr>
                              </w:pPr>
                              <w:r>
                                <w:rPr>
                                  <w:color w:val="0070C0"/>
                                  <w:sz w:val="16"/>
                                </w:rPr>
                                <w:t>Placebo</w:t>
                              </w:r>
                            </w:p>
                          </w:txbxContent>
                        </wps:txbx>
                        <wps:bodyPr rot="0" vert="horz" wrap="square" lIns="0" tIns="0" rIns="0" bIns="0" anchor="t" anchorCtr="0" upright="1">
                          <a:noAutofit/>
                        </wps:bodyPr>
                      </wps:wsp>
                      <wps:wsp>
                        <wps:cNvPr id="10" name="Text Box 70"/>
                        <wps:cNvSpPr txBox="1">
                          <a:spLocks noChangeArrowheads="1"/>
                        </wps:cNvSpPr>
                        <wps:spPr bwMode="auto">
                          <a:xfrm>
                            <a:off x="9785" y="10499"/>
                            <a:ext cx="595"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F4B36" w14:textId="77777777" w:rsidR="002D1367" w:rsidRPr="00450EFF" w:rsidRDefault="002D1367" w:rsidP="00FB755C">
                              <w:pPr>
                                <w:rPr>
                                  <w:rFonts w:eastAsia="PMingLiU"/>
                                  <w:bCs/>
                                  <w:color w:val="FF0000"/>
                                  <w:sz w:val="16"/>
                                  <w:szCs w:val="16"/>
                                </w:rPr>
                              </w:pPr>
                              <w:r>
                                <w:rPr>
                                  <w:color w:val="FF0000"/>
                                  <w:sz w:val="16"/>
                                </w:rPr>
                                <w:t>Repatha</w:t>
                              </w:r>
                            </w:p>
                          </w:txbxContent>
                        </wps:txbx>
                        <wps:bodyPr rot="0" vert="horz" wrap="square" lIns="0" tIns="0" rIns="0" bIns="0" anchor="t" anchorCtr="0" upright="1">
                          <a:noAutofit/>
                        </wps:bodyPr>
                      </wps:wsp>
                      <wps:wsp>
                        <wps:cNvPr id="11" name="Text Box 194"/>
                        <wps:cNvSpPr txBox="1">
                          <a:spLocks noChangeArrowheads="1"/>
                        </wps:cNvSpPr>
                        <wps:spPr bwMode="auto">
                          <a:xfrm>
                            <a:off x="2249" y="9759"/>
                            <a:ext cx="2886"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05E5A" w14:textId="77777777" w:rsidR="002D1367" w:rsidRPr="00450EFF" w:rsidRDefault="002D1367" w:rsidP="001275CC">
                              <w:pPr>
                                <w:tabs>
                                  <w:tab w:val="clear" w:pos="567"/>
                                  <w:tab w:val="left" w:pos="709"/>
                                </w:tabs>
                                <w:rPr>
                                  <w:rFonts w:eastAsia="PMingLiU"/>
                                  <w:bCs/>
                                  <w:sz w:val="16"/>
                                  <w:szCs w:val="16"/>
                                </w:rPr>
                              </w:pPr>
                              <w:r>
                                <w:rPr>
                                  <w:sz w:val="16"/>
                                </w:rPr>
                                <w:t>Odnos rizika, 0,80 (95% CI, 0,73; 0,88)</w:t>
                              </w:r>
                            </w:p>
                            <w:p w14:paraId="01B072CC" w14:textId="77777777" w:rsidR="002D1367" w:rsidRPr="00450EFF" w:rsidRDefault="002D1367" w:rsidP="001275CC">
                              <w:pPr>
                                <w:tabs>
                                  <w:tab w:val="clear" w:pos="567"/>
                                  <w:tab w:val="left" w:pos="709"/>
                                </w:tabs>
                                <w:rPr>
                                  <w:rFonts w:eastAsia="PMingLiU"/>
                                  <w:bCs/>
                                  <w:sz w:val="16"/>
                                  <w:szCs w:val="16"/>
                                </w:rPr>
                              </w:pPr>
                              <w:r>
                                <w:rPr>
                                  <w:sz w:val="16"/>
                                </w:rPr>
                                <w:t>P&lt;0,0001</w:t>
                              </w:r>
                            </w:p>
                          </w:txbxContent>
                        </wps:txbx>
                        <wps:bodyPr rot="0" vert="horz" wrap="square" lIns="0" tIns="0" rIns="0" bIns="0" anchor="t" anchorCtr="0" upright="1">
                          <a:spAutoFit/>
                        </wps:bodyPr>
                      </wps:wsp>
                      <wps:wsp>
                        <wps:cNvPr id="12" name="Text Box 428"/>
                        <wps:cNvSpPr txBox="1">
                          <a:spLocks noChangeArrowheads="1"/>
                        </wps:cNvSpPr>
                        <wps:spPr bwMode="auto">
                          <a:xfrm>
                            <a:off x="10386" y="12455"/>
                            <a:ext cx="128" cy="785"/>
                          </a:xfrm>
                          <a:prstGeom prst="rect">
                            <a:avLst/>
                          </a:prstGeom>
                          <a:solidFill>
                            <a:srgbClr val="FFFFFF"/>
                          </a:solidFill>
                          <a:ln w="0">
                            <a:solidFill>
                              <a:srgbClr val="FFFFFF"/>
                            </a:solidFill>
                            <a:miter lim="800000"/>
                            <a:headEnd/>
                            <a:tailEnd/>
                          </a:ln>
                        </wps:spPr>
                        <wps:txbx>
                          <w:txbxContent>
                            <w:p w14:paraId="0CCCB3A9" w14:textId="77777777" w:rsidR="002D1367" w:rsidRPr="00450EFF" w:rsidRDefault="002D1367" w:rsidP="00FB755C">
                              <w:pPr>
                                <w:rPr>
                                  <w:rFonts w:eastAsia="PMingLiU"/>
                                  <w:b/>
                                  <w:bCs/>
                                  <w:sz w:val="8"/>
                                  <w:szCs w:val="8"/>
                                </w:rPr>
                              </w:pPr>
                              <w:r>
                                <w:rPr>
                                  <w:b/>
                                  <w:sz w:val="8"/>
                                </w:rPr>
                                <w:t>GRH0621HR v1</w:t>
                              </w:r>
                            </w:p>
                          </w:txbxContent>
                        </wps:txbx>
                        <wps:bodyPr rot="0" vert="vert270" wrap="square" lIns="18000" tIns="18000" rIns="18000" bIns="18000" anchor="t" anchorCtr="0" upright="1">
                          <a:noAutofit/>
                        </wps:bodyPr>
                      </wps:wsp>
                      <wps:wsp>
                        <wps:cNvPr id="13" name="Text Box 782"/>
                        <wps:cNvSpPr txBox="1">
                          <a:spLocks noChangeArrowheads="1"/>
                        </wps:cNvSpPr>
                        <wps:spPr bwMode="auto">
                          <a:xfrm>
                            <a:off x="4691" y="11764"/>
                            <a:ext cx="305"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A33DF" w14:textId="77777777" w:rsidR="002D1367" w:rsidRPr="00450EFF" w:rsidRDefault="002D1367" w:rsidP="00FB755C">
                              <w:pPr>
                                <w:rPr>
                                  <w:rFonts w:eastAsia="PMingLiU"/>
                                  <w:bCs/>
                                  <w:color w:val="0070C0"/>
                                  <w:sz w:val="16"/>
                                  <w:szCs w:val="16"/>
                                </w:rPr>
                              </w:pPr>
                              <w:r>
                                <w:rPr>
                                  <w:color w:val="0070C0"/>
                                  <w:sz w:val="16"/>
                                </w:rPr>
                                <w:t>3,7</w:t>
                              </w:r>
                            </w:p>
                          </w:txbxContent>
                        </wps:txbx>
                        <wps:bodyPr rot="0" vert="horz" wrap="square" lIns="0" tIns="0" rIns="0" bIns="0" anchor="t" anchorCtr="0" upright="1">
                          <a:noAutofit/>
                        </wps:bodyPr>
                      </wps:wsp>
                      <wps:wsp>
                        <wps:cNvPr id="14" name="Text Box 783"/>
                        <wps:cNvSpPr txBox="1">
                          <a:spLocks noChangeArrowheads="1"/>
                        </wps:cNvSpPr>
                        <wps:spPr bwMode="auto">
                          <a:xfrm>
                            <a:off x="7144" y="10797"/>
                            <a:ext cx="406"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61BCC" w14:textId="77777777" w:rsidR="002D1367" w:rsidRPr="00450EFF" w:rsidRDefault="002D1367" w:rsidP="00FB755C">
                              <w:pPr>
                                <w:rPr>
                                  <w:rFonts w:eastAsia="PMingLiU"/>
                                  <w:bCs/>
                                  <w:color w:val="0070C0"/>
                                  <w:sz w:val="16"/>
                                  <w:szCs w:val="16"/>
                                </w:rPr>
                              </w:pPr>
                              <w:r>
                                <w:rPr>
                                  <w:color w:val="0070C0"/>
                                  <w:sz w:val="16"/>
                                </w:rPr>
                                <w:t>6,8</w:t>
                              </w:r>
                            </w:p>
                          </w:txbxContent>
                        </wps:txbx>
                        <wps:bodyPr rot="0" vert="horz" wrap="square" lIns="0" tIns="0" rIns="0" bIns="0" anchor="t" anchorCtr="0" upright="1">
                          <a:noAutofit/>
                        </wps:bodyPr>
                      </wps:wsp>
                      <wps:wsp>
                        <wps:cNvPr id="15" name="Text Box 784"/>
                        <wps:cNvSpPr txBox="1">
                          <a:spLocks noChangeArrowheads="1"/>
                        </wps:cNvSpPr>
                        <wps:spPr bwMode="auto">
                          <a:xfrm>
                            <a:off x="9644" y="9857"/>
                            <a:ext cx="305"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8F8E3" w14:textId="77777777" w:rsidR="002D1367" w:rsidRPr="00450EFF" w:rsidRDefault="002D1367" w:rsidP="00FB755C">
                              <w:pPr>
                                <w:rPr>
                                  <w:rFonts w:eastAsia="PMingLiU"/>
                                  <w:bCs/>
                                  <w:color w:val="0070C0"/>
                                  <w:sz w:val="16"/>
                                  <w:szCs w:val="16"/>
                                </w:rPr>
                              </w:pPr>
                              <w:r>
                                <w:rPr>
                                  <w:color w:val="0070C0"/>
                                  <w:sz w:val="16"/>
                                </w:rPr>
                                <w:t>9,9</w:t>
                              </w:r>
                            </w:p>
                          </w:txbxContent>
                        </wps:txbx>
                        <wps:bodyPr rot="0" vert="horz" wrap="square" lIns="0" tIns="0" rIns="0" bIns="0" anchor="t" anchorCtr="0" upright="1">
                          <a:noAutofit/>
                        </wps:bodyPr>
                      </wps:wsp>
                      <wps:wsp>
                        <wps:cNvPr id="16" name="Text Box 785"/>
                        <wps:cNvSpPr txBox="1">
                          <a:spLocks noChangeArrowheads="1"/>
                        </wps:cNvSpPr>
                        <wps:spPr bwMode="auto">
                          <a:xfrm>
                            <a:off x="4748" y="12317"/>
                            <a:ext cx="310"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BF6C6" w14:textId="77777777" w:rsidR="002D1367" w:rsidRPr="00450EFF" w:rsidRDefault="002D1367" w:rsidP="00FB755C">
                              <w:pPr>
                                <w:rPr>
                                  <w:rFonts w:eastAsia="PMingLiU"/>
                                  <w:bCs/>
                                  <w:color w:val="FF0000"/>
                                  <w:sz w:val="16"/>
                                  <w:szCs w:val="16"/>
                                </w:rPr>
                              </w:pPr>
                              <w:r>
                                <w:rPr>
                                  <w:color w:val="FF0000"/>
                                  <w:sz w:val="16"/>
                                </w:rPr>
                                <w:t>3,1</w:t>
                              </w:r>
                            </w:p>
                          </w:txbxContent>
                        </wps:txbx>
                        <wps:bodyPr rot="0" vert="horz" wrap="square" lIns="0" tIns="0" rIns="0" bIns="0" anchor="t" anchorCtr="0" upright="1">
                          <a:noAutofit/>
                        </wps:bodyPr>
                      </wps:wsp>
                      <wps:wsp>
                        <wps:cNvPr id="17" name="Text Box 786"/>
                        <wps:cNvSpPr txBox="1">
                          <a:spLocks noChangeArrowheads="1"/>
                        </wps:cNvSpPr>
                        <wps:spPr bwMode="auto">
                          <a:xfrm>
                            <a:off x="7208" y="11562"/>
                            <a:ext cx="310"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1D771" w14:textId="77777777" w:rsidR="002D1367" w:rsidRPr="00450EFF" w:rsidRDefault="002D1367" w:rsidP="00FB755C">
                              <w:pPr>
                                <w:rPr>
                                  <w:rFonts w:eastAsia="PMingLiU"/>
                                  <w:bCs/>
                                  <w:color w:val="FF0000"/>
                                  <w:sz w:val="16"/>
                                  <w:szCs w:val="16"/>
                                </w:rPr>
                              </w:pPr>
                              <w:r>
                                <w:rPr>
                                  <w:color w:val="FF0000"/>
                                  <w:sz w:val="16"/>
                                </w:rPr>
                                <w:t>5,5</w:t>
                              </w:r>
                            </w:p>
                          </w:txbxContent>
                        </wps:txbx>
                        <wps:bodyPr rot="0" vert="horz" wrap="square" lIns="0" tIns="0" rIns="0" bIns="0" anchor="t" anchorCtr="0" upright="1">
                          <a:noAutofit/>
                        </wps:bodyPr>
                      </wps:wsp>
                      <wps:wsp>
                        <wps:cNvPr id="18" name="Text Box 787"/>
                        <wps:cNvSpPr txBox="1">
                          <a:spLocks noChangeArrowheads="1"/>
                        </wps:cNvSpPr>
                        <wps:spPr bwMode="auto">
                          <a:xfrm>
                            <a:off x="9693" y="10820"/>
                            <a:ext cx="310"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743AF" w14:textId="77777777" w:rsidR="002D1367" w:rsidRPr="00450EFF" w:rsidRDefault="002D1367" w:rsidP="00FB755C">
                              <w:pPr>
                                <w:rPr>
                                  <w:rFonts w:eastAsia="PMingLiU"/>
                                  <w:bCs/>
                                  <w:color w:val="FF0000"/>
                                  <w:sz w:val="16"/>
                                  <w:szCs w:val="16"/>
                                </w:rPr>
                              </w:pPr>
                              <w:r>
                                <w:rPr>
                                  <w:color w:val="FF0000"/>
                                  <w:sz w:val="16"/>
                                </w:rPr>
                                <w:t>7,9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79C85F" id="Group 93" o:spid="_x0000_s1026" style="position:absolute;left:0;text-align:left;margin-left:-12pt;margin-top:10.85pt;width:522.05pt;height:255.2pt;z-index:251658240" coordorigin="1178,9521" coordsize="10441,5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">
                <v:shapetype id="_x0000_t202" coordsize="21600,21600" o:spt="202" path="m,l,21600r21600,l21600,xe">
                  <v:stroke joinstyle="miter"/>
                  <v:path gradientshapeok="t" o:connecttype="rect"/>
                </v:shapetype>
                <v:shape id="Text Box 62" o:spid="_x0000_s1027" type="#_x0000_t202" style="position:absolute;left:2093;top:13749;width:3250;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" filled="f" stroked="f">
                  <v:textbox style="mso-fit-shape-to-text:t" inset="0,0,0,0">
                    <w:txbxContent>
                      <w:p w14:paraId="3CBEC527" w14:textId="77777777" w:rsidR="002D1367" w:rsidRPr="00450EFF" w:rsidRDefault="002D1367" w:rsidP="00FB755C">
                        <w:pPr>
                          <w:rPr>
                            <w:rFonts w:eastAsia="PMingLiU"/>
                            <w:bCs/>
                            <w:sz w:val="16"/>
                            <w:szCs w:val="16"/>
                          </w:rPr>
                        </w:pPr>
                        <w:r>
                          <w:rPr>
                            <w:sz w:val="16"/>
                          </w:rPr>
                          <w:t>Pacijenti izloženi riziku</w:t>
                        </w:r>
                      </w:p>
                    </w:txbxContent>
                  </v:textbox>
                </v:shape>
                <v:shape id="Text Box 64" o:spid="_x0000_s1028" type="#_x0000_t202" style="position:absolute;left:1802;top:9521;width:221;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" filled="f" strokecolor="white" strokeweight="0">
                  <v:textbox inset=".5mm,.5mm,.5mm,.5mm">
                    <w:txbxContent>
                      <w:tbl>
                        <w:tblPr>
                          <w:tblW w:w="0" w:type="auto"/>
                          <w:tblCellMar>
                            <w:left w:w="28" w:type="dxa"/>
                            <w:right w:w="28" w:type="dxa"/>
                          </w:tblCellMar>
                          <w:tblLook w:val="04A0" w:firstRow="1" w:lastRow="0" w:firstColumn="1" w:lastColumn="0" w:noHBand="0" w:noVBand="1"/>
                        </w:tblPr>
                        <w:tblGrid>
                          <w:gridCol w:w="216"/>
                        </w:tblGrid>
                        <w:tr w:rsidR="002D1367" w:rsidRPr="00DC5696" w14:paraId="6F177747" w14:textId="77777777" w:rsidTr="001275CC">
                          <w:trPr>
                            <w:trHeight w:val="313"/>
                          </w:trPr>
                          <w:tc>
                            <w:tcPr>
                              <w:tcW w:w="280" w:type="dxa"/>
                              <w:shd w:val="clear" w:color="auto" w:fill="auto"/>
                              <w:vAlign w:val="center"/>
                            </w:tcPr>
                            <w:p w14:paraId="390AD198" w14:textId="77777777" w:rsidR="002D1367" w:rsidRPr="00DC5696" w:rsidRDefault="002D1367" w:rsidP="001275CC">
                              <w:pPr>
                                <w:tabs>
                                  <w:tab w:val="clear" w:pos="567"/>
                                </w:tabs>
                                <w:autoSpaceDE w:val="0"/>
                                <w:autoSpaceDN w:val="0"/>
                                <w:adjustRightInd w:val="0"/>
                                <w:ind w:right="-20"/>
                                <w:jc w:val="right"/>
                                <w:rPr>
                                  <w:rFonts w:ascii="Arial Narrow" w:hAnsi="Arial Narrow" w:cs="Arial"/>
                                  <w:bCs/>
                                  <w:sz w:val="16"/>
                                  <w:szCs w:val="16"/>
                                </w:rPr>
                              </w:pPr>
                              <w:r>
                                <w:rPr>
                                  <w:sz w:val="16"/>
                                </w:rPr>
                                <w:t>11</w:t>
                              </w:r>
                            </w:p>
                          </w:tc>
                        </w:tr>
                        <w:tr w:rsidR="002D1367" w:rsidRPr="00DC5696" w14:paraId="47C76B0A" w14:textId="77777777" w:rsidTr="009363B9">
                          <w:trPr>
                            <w:trHeight w:val="329"/>
                          </w:trPr>
                          <w:tc>
                            <w:tcPr>
                              <w:tcW w:w="280" w:type="dxa"/>
                              <w:shd w:val="clear" w:color="auto" w:fill="auto"/>
                              <w:vAlign w:val="center"/>
                            </w:tcPr>
                            <w:p w14:paraId="7247CE6F" w14:textId="77777777" w:rsidR="002D1367" w:rsidRPr="00DC5696" w:rsidRDefault="002D1367" w:rsidP="001275CC">
                              <w:pPr>
                                <w:tabs>
                                  <w:tab w:val="clear" w:pos="567"/>
                                </w:tabs>
                                <w:autoSpaceDE w:val="0"/>
                                <w:autoSpaceDN w:val="0"/>
                                <w:adjustRightInd w:val="0"/>
                                <w:ind w:right="-20"/>
                                <w:jc w:val="right"/>
                                <w:rPr>
                                  <w:rFonts w:ascii="Arial Narrow" w:hAnsi="Arial Narrow" w:cs="Arial"/>
                                  <w:bCs/>
                                  <w:sz w:val="16"/>
                                  <w:szCs w:val="16"/>
                                </w:rPr>
                              </w:pPr>
                              <w:r>
                                <w:rPr>
                                  <w:sz w:val="16"/>
                                </w:rPr>
                                <w:t>10</w:t>
                              </w:r>
                            </w:p>
                          </w:tc>
                        </w:tr>
                        <w:tr w:rsidR="002D1367" w:rsidRPr="00DC5696" w14:paraId="7BA7456B" w14:textId="77777777" w:rsidTr="001275CC">
                          <w:trPr>
                            <w:trHeight w:val="313"/>
                          </w:trPr>
                          <w:tc>
                            <w:tcPr>
                              <w:tcW w:w="280" w:type="dxa"/>
                              <w:shd w:val="clear" w:color="auto" w:fill="auto"/>
                              <w:vAlign w:val="center"/>
                            </w:tcPr>
                            <w:p w14:paraId="48623C11" w14:textId="77777777" w:rsidR="002D1367" w:rsidRPr="00DC5696" w:rsidRDefault="002D1367" w:rsidP="001275CC">
                              <w:pPr>
                                <w:tabs>
                                  <w:tab w:val="clear" w:pos="567"/>
                                </w:tabs>
                                <w:autoSpaceDE w:val="0"/>
                                <w:autoSpaceDN w:val="0"/>
                                <w:adjustRightInd w:val="0"/>
                                <w:ind w:right="-20"/>
                                <w:jc w:val="right"/>
                                <w:rPr>
                                  <w:rFonts w:ascii="Arial Narrow" w:hAnsi="Arial Narrow" w:cs="Arial"/>
                                  <w:bCs/>
                                  <w:sz w:val="16"/>
                                  <w:szCs w:val="16"/>
                                </w:rPr>
                              </w:pPr>
                              <w:r>
                                <w:rPr>
                                  <w:sz w:val="16"/>
                                </w:rPr>
                                <w:t>9</w:t>
                              </w:r>
                            </w:p>
                          </w:tc>
                        </w:tr>
                        <w:tr w:rsidR="002D1367" w:rsidRPr="00DC5696" w14:paraId="5240E7C5" w14:textId="77777777" w:rsidTr="009363B9">
                          <w:trPr>
                            <w:trHeight w:val="340"/>
                          </w:trPr>
                          <w:tc>
                            <w:tcPr>
                              <w:tcW w:w="280" w:type="dxa"/>
                              <w:shd w:val="clear" w:color="auto" w:fill="auto"/>
                              <w:vAlign w:val="center"/>
                            </w:tcPr>
                            <w:p w14:paraId="5B1F13A1" w14:textId="77777777" w:rsidR="002D1367" w:rsidRPr="00DC5696" w:rsidRDefault="002D1367" w:rsidP="001275CC">
                              <w:pPr>
                                <w:tabs>
                                  <w:tab w:val="clear" w:pos="567"/>
                                </w:tabs>
                                <w:autoSpaceDE w:val="0"/>
                                <w:autoSpaceDN w:val="0"/>
                                <w:adjustRightInd w:val="0"/>
                                <w:ind w:right="-20"/>
                                <w:jc w:val="right"/>
                                <w:rPr>
                                  <w:rFonts w:ascii="Arial Narrow" w:hAnsi="Arial Narrow" w:cs="Arial"/>
                                  <w:bCs/>
                                  <w:sz w:val="16"/>
                                  <w:szCs w:val="16"/>
                                </w:rPr>
                              </w:pPr>
                              <w:r>
                                <w:rPr>
                                  <w:sz w:val="16"/>
                                </w:rPr>
                                <w:t>8</w:t>
                              </w:r>
                            </w:p>
                          </w:tc>
                        </w:tr>
                        <w:tr w:rsidR="002D1367" w:rsidRPr="00DC5696" w14:paraId="1E740E6D" w14:textId="77777777" w:rsidTr="001275CC">
                          <w:trPr>
                            <w:trHeight w:val="313"/>
                          </w:trPr>
                          <w:tc>
                            <w:tcPr>
                              <w:tcW w:w="280" w:type="dxa"/>
                              <w:shd w:val="clear" w:color="auto" w:fill="auto"/>
                              <w:vAlign w:val="center"/>
                            </w:tcPr>
                            <w:p w14:paraId="1F085A11" w14:textId="77777777" w:rsidR="002D1367" w:rsidRPr="00DC5696" w:rsidRDefault="002D1367" w:rsidP="001275CC">
                              <w:pPr>
                                <w:tabs>
                                  <w:tab w:val="clear" w:pos="567"/>
                                </w:tabs>
                                <w:autoSpaceDE w:val="0"/>
                                <w:autoSpaceDN w:val="0"/>
                                <w:adjustRightInd w:val="0"/>
                                <w:ind w:right="-20"/>
                                <w:jc w:val="right"/>
                                <w:rPr>
                                  <w:rFonts w:ascii="Arial Narrow" w:hAnsi="Arial Narrow" w:cs="Arial"/>
                                  <w:bCs/>
                                  <w:sz w:val="16"/>
                                  <w:szCs w:val="16"/>
                                </w:rPr>
                              </w:pPr>
                              <w:r>
                                <w:rPr>
                                  <w:sz w:val="16"/>
                                </w:rPr>
                                <w:t>7</w:t>
                              </w:r>
                            </w:p>
                          </w:tc>
                        </w:tr>
                        <w:tr w:rsidR="002D1367" w:rsidRPr="00DC5696" w14:paraId="507D6A02" w14:textId="77777777" w:rsidTr="009363B9">
                          <w:trPr>
                            <w:trHeight w:val="329"/>
                          </w:trPr>
                          <w:tc>
                            <w:tcPr>
                              <w:tcW w:w="280" w:type="dxa"/>
                              <w:shd w:val="clear" w:color="auto" w:fill="auto"/>
                              <w:vAlign w:val="center"/>
                            </w:tcPr>
                            <w:p w14:paraId="655A33AD" w14:textId="77777777" w:rsidR="002D1367" w:rsidRPr="00DC5696" w:rsidRDefault="002D1367" w:rsidP="001275CC">
                              <w:pPr>
                                <w:tabs>
                                  <w:tab w:val="clear" w:pos="567"/>
                                </w:tabs>
                                <w:autoSpaceDE w:val="0"/>
                                <w:autoSpaceDN w:val="0"/>
                                <w:adjustRightInd w:val="0"/>
                                <w:ind w:right="-20"/>
                                <w:jc w:val="right"/>
                                <w:rPr>
                                  <w:rFonts w:ascii="Arial Narrow" w:hAnsi="Arial Narrow" w:cs="Arial"/>
                                  <w:bCs/>
                                  <w:sz w:val="16"/>
                                  <w:szCs w:val="16"/>
                                </w:rPr>
                              </w:pPr>
                              <w:r>
                                <w:rPr>
                                  <w:sz w:val="16"/>
                                </w:rPr>
                                <w:t>6</w:t>
                              </w:r>
                            </w:p>
                          </w:tc>
                        </w:tr>
                        <w:tr w:rsidR="002D1367" w:rsidRPr="00DC5696" w14:paraId="44D9D6BB" w14:textId="77777777" w:rsidTr="001275CC">
                          <w:trPr>
                            <w:trHeight w:val="313"/>
                          </w:trPr>
                          <w:tc>
                            <w:tcPr>
                              <w:tcW w:w="280" w:type="dxa"/>
                              <w:shd w:val="clear" w:color="auto" w:fill="auto"/>
                              <w:vAlign w:val="center"/>
                            </w:tcPr>
                            <w:p w14:paraId="7658B9B9" w14:textId="77777777" w:rsidR="002D1367" w:rsidRPr="00DC5696" w:rsidRDefault="002D1367" w:rsidP="001275CC">
                              <w:pPr>
                                <w:tabs>
                                  <w:tab w:val="clear" w:pos="567"/>
                                </w:tabs>
                                <w:autoSpaceDE w:val="0"/>
                                <w:autoSpaceDN w:val="0"/>
                                <w:adjustRightInd w:val="0"/>
                                <w:ind w:right="-20"/>
                                <w:jc w:val="right"/>
                                <w:rPr>
                                  <w:rFonts w:ascii="Arial Narrow" w:hAnsi="Arial Narrow" w:cs="Arial"/>
                                  <w:bCs/>
                                  <w:sz w:val="16"/>
                                  <w:szCs w:val="16"/>
                                </w:rPr>
                              </w:pPr>
                              <w:r>
                                <w:rPr>
                                  <w:sz w:val="16"/>
                                </w:rPr>
                                <w:t>5</w:t>
                              </w:r>
                            </w:p>
                          </w:tc>
                        </w:tr>
                        <w:tr w:rsidR="002D1367" w:rsidRPr="00DC5696" w14:paraId="18636CBD" w14:textId="77777777" w:rsidTr="001275CC">
                          <w:trPr>
                            <w:trHeight w:val="313"/>
                          </w:trPr>
                          <w:tc>
                            <w:tcPr>
                              <w:tcW w:w="280" w:type="dxa"/>
                              <w:shd w:val="clear" w:color="auto" w:fill="auto"/>
                              <w:vAlign w:val="center"/>
                            </w:tcPr>
                            <w:p w14:paraId="740FACC1" w14:textId="77777777" w:rsidR="002D1367" w:rsidRPr="00DC5696" w:rsidRDefault="002D1367" w:rsidP="001275CC">
                              <w:pPr>
                                <w:tabs>
                                  <w:tab w:val="clear" w:pos="567"/>
                                </w:tabs>
                                <w:autoSpaceDE w:val="0"/>
                                <w:autoSpaceDN w:val="0"/>
                                <w:adjustRightInd w:val="0"/>
                                <w:ind w:right="-20"/>
                                <w:jc w:val="right"/>
                                <w:rPr>
                                  <w:rFonts w:ascii="Arial Narrow" w:hAnsi="Arial Narrow" w:cs="Arial"/>
                                  <w:bCs/>
                                  <w:sz w:val="16"/>
                                  <w:szCs w:val="16"/>
                                </w:rPr>
                              </w:pPr>
                              <w:r>
                                <w:rPr>
                                  <w:sz w:val="16"/>
                                </w:rPr>
                                <w:t>4</w:t>
                              </w:r>
                            </w:p>
                          </w:tc>
                        </w:tr>
                        <w:tr w:rsidR="002D1367" w:rsidRPr="00DC5696" w14:paraId="339468C3" w14:textId="77777777" w:rsidTr="009363B9">
                          <w:trPr>
                            <w:trHeight w:val="329"/>
                          </w:trPr>
                          <w:tc>
                            <w:tcPr>
                              <w:tcW w:w="280" w:type="dxa"/>
                              <w:shd w:val="clear" w:color="auto" w:fill="auto"/>
                              <w:vAlign w:val="center"/>
                            </w:tcPr>
                            <w:p w14:paraId="394F559E" w14:textId="77777777" w:rsidR="002D1367" w:rsidRPr="00DC5696" w:rsidRDefault="002D1367" w:rsidP="001275CC">
                              <w:pPr>
                                <w:tabs>
                                  <w:tab w:val="clear" w:pos="567"/>
                                </w:tabs>
                                <w:autoSpaceDE w:val="0"/>
                                <w:autoSpaceDN w:val="0"/>
                                <w:adjustRightInd w:val="0"/>
                                <w:ind w:right="-20"/>
                                <w:jc w:val="right"/>
                                <w:rPr>
                                  <w:rFonts w:ascii="Arial Narrow" w:hAnsi="Arial Narrow" w:cs="Arial"/>
                                  <w:bCs/>
                                  <w:sz w:val="16"/>
                                  <w:szCs w:val="16"/>
                                </w:rPr>
                              </w:pPr>
                              <w:r>
                                <w:rPr>
                                  <w:sz w:val="16"/>
                                </w:rPr>
                                <w:t>3</w:t>
                              </w:r>
                            </w:p>
                          </w:tc>
                        </w:tr>
                        <w:tr w:rsidR="002D1367" w:rsidRPr="00DC5696" w14:paraId="60BF5300" w14:textId="77777777" w:rsidTr="001275CC">
                          <w:trPr>
                            <w:trHeight w:val="313"/>
                          </w:trPr>
                          <w:tc>
                            <w:tcPr>
                              <w:tcW w:w="280" w:type="dxa"/>
                              <w:shd w:val="clear" w:color="auto" w:fill="auto"/>
                              <w:vAlign w:val="center"/>
                            </w:tcPr>
                            <w:p w14:paraId="5F83DCED" w14:textId="77777777" w:rsidR="002D1367" w:rsidRPr="00DC5696" w:rsidRDefault="002D1367" w:rsidP="001275CC">
                              <w:pPr>
                                <w:tabs>
                                  <w:tab w:val="clear" w:pos="567"/>
                                </w:tabs>
                                <w:autoSpaceDE w:val="0"/>
                                <w:autoSpaceDN w:val="0"/>
                                <w:adjustRightInd w:val="0"/>
                                <w:ind w:right="-20"/>
                                <w:jc w:val="right"/>
                                <w:rPr>
                                  <w:rFonts w:ascii="Arial Narrow" w:hAnsi="Arial Narrow" w:cs="Arial"/>
                                  <w:bCs/>
                                  <w:sz w:val="16"/>
                                  <w:szCs w:val="16"/>
                                </w:rPr>
                              </w:pPr>
                              <w:r>
                                <w:rPr>
                                  <w:sz w:val="16"/>
                                </w:rPr>
                                <w:t>2</w:t>
                              </w:r>
                            </w:p>
                          </w:tc>
                        </w:tr>
                        <w:tr w:rsidR="002D1367" w:rsidRPr="00DC5696" w14:paraId="7EF3D714" w14:textId="77777777" w:rsidTr="009363B9">
                          <w:trPr>
                            <w:trHeight w:val="329"/>
                          </w:trPr>
                          <w:tc>
                            <w:tcPr>
                              <w:tcW w:w="280" w:type="dxa"/>
                              <w:shd w:val="clear" w:color="auto" w:fill="auto"/>
                              <w:vAlign w:val="center"/>
                            </w:tcPr>
                            <w:p w14:paraId="26E01E36" w14:textId="77777777" w:rsidR="002D1367" w:rsidRPr="00DC5696" w:rsidRDefault="002D1367" w:rsidP="001275CC">
                              <w:pPr>
                                <w:tabs>
                                  <w:tab w:val="clear" w:pos="567"/>
                                </w:tabs>
                                <w:autoSpaceDE w:val="0"/>
                                <w:autoSpaceDN w:val="0"/>
                                <w:adjustRightInd w:val="0"/>
                                <w:ind w:right="-20"/>
                                <w:jc w:val="right"/>
                                <w:rPr>
                                  <w:rFonts w:ascii="Arial Narrow" w:hAnsi="Arial Narrow" w:cs="Arial"/>
                                  <w:bCs/>
                                  <w:sz w:val="16"/>
                                  <w:szCs w:val="16"/>
                                </w:rPr>
                              </w:pPr>
                              <w:r>
                                <w:rPr>
                                  <w:sz w:val="16"/>
                                </w:rPr>
                                <w:t>1</w:t>
                              </w:r>
                            </w:p>
                          </w:tc>
                        </w:tr>
                        <w:tr w:rsidR="002D1367" w:rsidRPr="00DC5696" w14:paraId="6B45075B" w14:textId="77777777" w:rsidTr="001275CC">
                          <w:trPr>
                            <w:trHeight w:val="313"/>
                          </w:trPr>
                          <w:tc>
                            <w:tcPr>
                              <w:tcW w:w="280" w:type="dxa"/>
                              <w:shd w:val="clear" w:color="auto" w:fill="auto"/>
                              <w:vAlign w:val="center"/>
                            </w:tcPr>
                            <w:p w14:paraId="6B8F15D2" w14:textId="77777777" w:rsidR="002D1367" w:rsidRDefault="002D1367" w:rsidP="001275CC">
                              <w:pPr>
                                <w:tabs>
                                  <w:tab w:val="clear" w:pos="567"/>
                                </w:tabs>
                                <w:autoSpaceDE w:val="0"/>
                                <w:autoSpaceDN w:val="0"/>
                                <w:adjustRightInd w:val="0"/>
                                <w:ind w:right="-20"/>
                                <w:jc w:val="right"/>
                                <w:rPr>
                                  <w:rFonts w:ascii="Arial Narrow" w:hAnsi="Arial Narrow" w:cs="Arial"/>
                                  <w:bCs/>
                                  <w:sz w:val="16"/>
                                  <w:szCs w:val="16"/>
                                </w:rPr>
                              </w:pPr>
                              <w:r>
                                <w:rPr>
                                  <w:sz w:val="16"/>
                                </w:rPr>
                                <w:t>0</w:t>
                              </w:r>
                            </w:p>
                          </w:tc>
                        </w:tr>
                      </w:tbl>
                      <w:p w14:paraId="523827D1" w14:textId="77777777" w:rsidR="002D1367" w:rsidRPr="00450EFF" w:rsidRDefault="002D1367" w:rsidP="00FB755C">
                        <w:pPr>
                          <w:jc w:val="right"/>
                          <w:rPr>
                            <w:rFonts w:eastAsia="PMingLiU"/>
                            <w:sz w:val="16"/>
                            <w:szCs w:val="16"/>
                            <w:lang w:val="es-ES"/>
                          </w:rPr>
                        </w:pPr>
                      </w:p>
                    </w:txbxContent>
                  </v:textbox>
                </v:shape>
                <v:shape id="Text Box 65" o:spid="_x0000_s1029" type="#_x0000_t202" style="position:absolute;left:1538;top:9572;width:240;height:3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" filled="f" stroked="f" strokecolor="white" strokeweight="0">
                  <v:textbox style="layout-flow:vertical;mso-layout-flow-alt:bottom-to-top;mso-fit-shape-to-text:t" inset=".5mm,.5mm,.5mm,.5mm">
                    <w:txbxContent>
                      <w:p w14:paraId="2570A3C1" w14:textId="77777777" w:rsidR="002D1367" w:rsidRPr="00450EFF" w:rsidRDefault="002D1367" w:rsidP="00FB755C">
                        <w:pPr>
                          <w:jc w:val="center"/>
                          <w:rPr>
                            <w:rFonts w:eastAsia="PMingLiU"/>
                            <w:bCs/>
                            <w:sz w:val="16"/>
                            <w:szCs w:val="16"/>
                          </w:rPr>
                        </w:pPr>
                        <w:r>
                          <w:rPr>
                            <w:sz w:val="16"/>
                          </w:rPr>
                          <w:t>Kumulativna incidencija (%)</w:t>
                        </w:r>
                      </w:p>
                    </w:txbxContent>
                  </v:textbox>
                </v:shape>
                <v:shape id="Text Box 67" o:spid="_x0000_s1030" type="#_x0000_t202" style="position:absolute;left:1178;top:13917;width:10441;height: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" filled="f" stroked="f" strokecolor="white" strokeweight="0">
                  <v:textbox style="mso-fit-shape-to-text:t" inset="0,0,0,0">
                    <w:txbxContent>
                      <w:tbl>
                        <w:tblPr>
                          <w:tblW w:w="4311" w:type="pct"/>
                          <w:tblInd w:w="284" w:type="dxa"/>
                          <w:tblLayout w:type="fixed"/>
                          <w:tblCellMar>
                            <w:left w:w="0" w:type="dxa"/>
                            <w:right w:w="0" w:type="dxa"/>
                          </w:tblCellMar>
                          <w:tblLook w:val="04A0" w:firstRow="1" w:lastRow="0" w:firstColumn="1" w:lastColumn="0" w:noHBand="0" w:noVBand="1"/>
                        </w:tblPr>
                        <w:tblGrid>
                          <w:gridCol w:w="741"/>
                          <w:gridCol w:w="1179"/>
                          <w:gridCol w:w="1249"/>
                          <w:gridCol w:w="1225"/>
                          <w:gridCol w:w="1175"/>
                          <w:gridCol w:w="1180"/>
                          <w:gridCol w:w="1248"/>
                          <w:gridCol w:w="1005"/>
                        </w:tblGrid>
                        <w:tr w:rsidR="002D1367" w:rsidRPr="00F807FF" w14:paraId="41ADD4CF" w14:textId="77777777" w:rsidTr="001D6451">
                          <w:trPr>
                            <w:trHeight w:val="235"/>
                          </w:trPr>
                          <w:tc>
                            <w:tcPr>
                              <w:tcW w:w="741" w:type="dxa"/>
                              <w:shd w:val="clear" w:color="auto" w:fill="auto"/>
                              <w:vAlign w:val="center"/>
                            </w:tcPr>
                            <w:p w14:paraId="55F2FEDD" w14:textId="77777777" w:rsidR="002D1367" w:rsidRPr="00F807FF" w:rsidRDefault="002D1367" w:rsidP="00A958BD">
                              <w:pPr>
                                <w:jc w:val="center"/>
                                <w:rPr>
                                  <w:rFonts w:ascii="Arial Narrow" w:hAnsi="Arial Narrow"/>
                                  <w:bCs/>
                                  <w:sz w:val="16"/>
                                  <w:szCs w:val="16"/>
                                </w:rPr>
                              </w:pPr>
                              <w:r>
                                <w:rPr>
                                  <w:sz w:val="16"/>
                                </w:rPr>
                                <w:t>Placebo</w:t>
                              </w:r>
                            </w:p>
                          </w:tc>
                          <w:tc>
                            <w:tcPr>
                              <w:tcW w:w="1181" w:type="dxa"/>
                              <w:vAlign w:val="center"/>
                            </w:tcPr>
                            <w:p w14:paraId="66285A98" w14:textId="77777777" w:rsidR="002D1367" w:rsidRPr="00F807FF" w:rsidRDefault="002D1367" w:rsidP="00A958BD">
                              <w:pPr>
                                <w:rPr>
                                  <w:rFonts w:ascii="Arial Narrow" w:hAnsi="Arial Narrow"/>
                                  <w:bCs/>
                                  <w:sz w:val="16"/>
                                  <w:szCs w:val="16"/>
                                </w:rPr>
                              </w:pPr>
                              <w:r>
                                <w:rPr>
                                  <w:sz w:val="16"/>
                                </w:rPr>
                                <w:t>13780</w:t>
                              </w:r>
                            </w:p>
                          </w:tc>
                          <w:tc>
                            <w:tcPr>
                              <w:tcW w:w="1251" w:type="dxa"/>
                              <w:shd w:val="clear" w:color="auto" w:fill="auto"/>
                              <w:vAlign w:val="center"/>
                            </w:tcPr>
                            <w:p w14:paraId="35287227" w14:textId="77777777" w:rsidR="002D1367" w:rsidRPr="00F807FF" w:rsidRDefault="002D1367" w:rsidP="00A958BD">
                              <w:pPr>
                                <w:rPr>
                                  <w:rFonts w:ascii="Arial Narrow" w:hAnsi="Arial Narrow"/>
                                  <w:bCs/>
                                  <w:sz w:val="16"/>
                                  <w:szCs w:val="16"/>
                                </w:rPr>
                              </w:pPr>
                              <w:r>
                                <w:rPr>
                                  <w:sz w:val="16"/>
                                </w:rPr>
                                <w:t>13447</w:t>
                              </w:r>
                            </w:p>
                          </w:tc>
                          <w:tc>
                            <w:tcPr>
                              <w:tcW w:w="1227" w:type="dxa"/>
                              <w:shd w:val="clear" w:color="auto" w:fill="auto"/>
                              <w:vAlign w:val="center"/>
                            </w:tcPr>
                            <w:p w14:paraId="6BB02273" w14:textId="77777777" w:rsidR="002D1367" w:rsidRPr="00F807FF" w:rsidRDefault="002D1367" w:rsidP="00A958BD">
                              <w:pPr>
                                <w:rPr>
                                  <w:rFonts w:ascii="Arial Narrow" w:hAnsi="Arial Narrow"/>
                                  <w:bCs/>
                                  <w:sz w:val="16"/>
                                  <w:szCs w:val="16"/>
                                </w:rPr>
                              </w:pPr>
                              <w:r>
                                <w:rPr>
                                  <w:sz w:val="16"/>
                                </w:rPr>
                                <w:t>13140</w:t>
                              </w:r>
                            </w:p>
                          </w:tc>
                          <w:tc>
                            <w:tcPr>
                              <w:tcW w:w="1177" w:type="dxa"/>
                              <w:shd w:val="clear" w:color="auto" w:fill="auto"/>
                              <w:vAlign w:val="center"/>
                            </w:tcPr>
                            <w:p w14:paraId="5F267F46" w14:textId="77777777" w:rsidR="002D1367" w:rsidRPr="00F807FF" w:rsidRDefault="002D1367" w:rsidP="00A958BD">
                              <w:pPr>
                                <w:rPr>
                                  <w:rFonts w:ascii="Arial Narrow" w:hAnsi="Arial Narrow"/>
                                  <w:bCs/>
                                  <w:sz w:val="16"/>
                                  <w:szCs w:val="16"/>
                                </w:rPr>
                              </w:pPr>
                              <w:r>
                                <w:rPr>
                                  <w:sz w:val="16"/>
                                </w:rPr>
                                <w:t>12257</w:t>
                              </w:r>
                            </w:p>
                          </w:tc>
                          <w:tc>
                            <w:tcPr>
                              <w:tcW w:w="1182" w:type="dxa"/>
                              <w:shd w:val="clear" w:color="auto" w:fill="auto"/>
                              <w:vAlign w:val="center"/>
                            </w:tcPr>
                            <w:p w14:paraId="62ED970A" w14:textId="77777777" w:rsidR="002D1367" w:rsidRPr="00F807FF" w:rsidRDefault="002D1367" w:rsidP="00A958BD">
                              <w:pPr>
                                <w:rPr>
                                  <w:rFonts w:ascii="Arial Narrow" w:hAnsi="Arial Narrow"/>
                                  <w:bCs/>
                                  <w:sz w:val="16"/>
                                  <w:szCs w:val="16"/>
                                </w:rPr>
                              </w:pPr>
                              <w:r>
                                <w:rPr>
                                  <w:sz w:val="16"/>
                                </w:rPr>
                                <w:t>7923</w:t>
                              </w:r>
                            </w:p>
                          </w:tc>
                          <w:tc>
                            <w:tcPr>
                              <w:tcW w:w="1250" w:type="dxa"/>
                              <w:shd w:val="clear" w:color="auto" w:fill="auto"/>
                              <w:vAlign w:val="center"/>
                            </w:tcPr>
                            <w:p w14:paraId="4FC84914" w14:textId="77777777" w:rsidR="002D1367" w:rsidRPr="00F807FF" w:rsidRDefault="002D1367" w:rsidP="00A958BD">
                              <w:pPr>
                                <w:ind w:firstLine="42"/>
                                <w:rPr>
                                  <w:rFonts w:ascii="Arial Narrow" w:hAnsi="Arial Narrow"/>
                                  <w:bCs/>
                                  <w:sz w:val="16"/>
                                  <w:szCs w:val="16"/>
                                </w:rPr>
                              </w:pPr>
                              <w:r>
                                <w:rPr>
                                  <w:sz w:val="16"/>
                                </w:rPr>
                                <w:t>3785</w:t>
                              </w:r>
                            </w:p>
                          </w:tc>
                          <w:tc>
                            <w:tcPr>
                              <w:tcW w:w="1006" w:type="dxa"/>
                              <w:vAlign w:val="center"/>
                            </w:tcPr>
                            <w:p w14:paraId="51A85410" w14:textId="77777777" w:rsidR="002D1367" w:rsidRPr="00F807FF" w:rsidRDefault="002D1367" w:rsidP="00A958BD">
                              <w:pPr>
                                <w:ind w:firstLine="92"/>
                                <w:rPr>
                                  <w:rFonts w:ascii="Arial Narrow" w:hAnsi="Arial Narrow"/>
                                  <w:bCs/>
                                  <w:sz w:val="16"/>
                                  <w:szCs w:val="16"/>
                                </w:rPr>
                              </w:pPr>
                              <w:r>
                                <w:rPr>
                                  <w:sz w:val="16"/>
                                </w:rPr>
                                <w:t>717</w:t>
                              </w:r>
                            </w:p>
                          </w:tc>
                        </w:tr>
                        <w:tr w:rsidR="002D1367" w:rsidRPr="00E75F7E" w14:paraId="30B9C1DF" w14:textId="77777777" w:rsidTr="001D6451">
                          <w:trPr>
                            <w:trHeight w:val="289"/>
                          </w:trPr>
                          <w:tc>
                            <w:tcPr>
                              <w:tcW w:w="741" w:type="dxa"/>
                              <w:shd w:val="clear" w:color="auto" w:fill="auto"/>
                              <w:vAlign w:val="center"/>
                            </w:tcPr>
                            <w:p w14:paraId="44C9F1B9" w14:textId="77777777" w:rsidR="002D1367" w:rsidRPr="00F807FF" w:rsidRDefault="002D1367" w:rsidP="00A958BD">
                              <w:pPr>
                                <w:jc w:val="center"/>
                                <w:rPr>
                                  <w:rFonts w:ascii="Arial Narrow" w:hAnsi="Arial Narrow"/>
                                  <w:bCs/>
                                  <w:sz w:val="16"/>
                                  <w:szCs w:val="16"/>
                                </w:rPr>
                              </w:pPr>
                              <w:r>
                                <w:rPr>
                                  <w:sz w:val="16"/>
                                </w:rPr>
                                <w:t>Repatha</w:t>
                              </w:r>
                            </w:p>
                          </w:tc>
                          <w:tc>
                            <w:tcPr>
                              <w:tcW w:w="1181" w:type="dxa"/>
                              <w:vAlign w:val="center"/>
                            </w:tcPr>
                            <w:p w14:paraId="124B2EF6" w14:textId="77777777" w:rsidR="002D1367" w:rsidRPr="00F807FF" w:rsidRDefault="002D1367" w:rsidP="00A958BD">
                              <w:pPr>
                                <w:rPr>
                                  <w:rFonts w:ascii="Arial Narrow" w:hAnsi="Arial Narrow"/>
                                  <w:bCs/>
                                  <w:sz w:val="16"/>
                                  <w:szCs w:val="16"/>
                                </w:rPr>
                              </w:pPr>
                              <w:r>
                                <w:rPr>
                                  <w:sz w:val="16"/>
                                </w:rPr>
                                <w:t>13784</w:t>
                              </w:r>
                            </w:p>
                          </w:tc>
                          <w:tc>
                            <w:tcPr>
                              <w:tcW w:w="1251" w:type="dxa"/>
                              <w:shd w:val="clear" w:color="auto" w:fill="auto"/>
                              <w:vAlign w:val="center"/>
                            </w:tcPr>
                            <w:p w14:paraId="6955444B" w14:textId="77777777" w:rsidR="002D1367" w:rsidRPr="00F807FF" w:rsidRDefault="002D1367" w:rsidP="00A958BD">
                              <w:pPr>
                                <w:rPr>
                                  <w:rFonts w:ascii="Arial Narrow" w:hAnsi="Arial Narrow"/>
                                  <w:bCs/>
                                  <w:sz w:val="16"/>
                                  <w:szCs w:val="16"/>
                                </w:rPr>
                              </w:pPr>
                              <w:r>
                                <w:rPr>
                                  <w:sz w:val="16"/>
                                </w:rPr>
                                <w:t>13499</w:t>
                              </w:r>
                            </w:p>
                          </w:tc>
                          <w:tc>
                            <w:tcPr>
                              <w:tcW w:w="1227" w:type="dxa"/>
                              <w:shd w:val="clear" w:color="auto" w:fill="auto"/>
                              <w:vAlign w:val="center"/>
                            </w:tcPr>
                            <w:p w14:paraId="0729E28B" w14:textId="77777777" w:rsidR="002D1367" w:rsidRPr="00F807FF" w:rsidRDefault="002D1367" w:rsidP="00A958BD">
                              <w:pPr>
                                <w:rPr>
                                  <w:rFonts w:ascii="Arial Narrow" w:hAnsi="Arial Narrow"/>
                                  <w:bCs/>
                                  <w:sz w:val="16"/>
                                  <w:szCs w:val="16"/>
                                </w:rPr>
                              </w:pPr>
                              <w:r>
                                <w:rPr>
                                  <w:sz w:val="16"/>
                                </w:rPr>
                                <w:t>13240</w:t>
                              </w:r>
                            </w:p>
                          </w:tc>
                          <w:tc>
                            <w:tcPr>
                              <w:tcW w:w="1177" w:type="dxa"/>
                              <w:shd w:val="clear" w:color="auto" w:fill="auto"/>
                              <w:vAlign w:val="center"/>
                            </w:tcPr>
                            <w:p w14:paraId="6CE4942F" w14:textId="77777777" w:rsidR="002D1367" w:rsidRPr="00F807FF" w:rsidRDefault="002D1367" w:rsidP="00A958BD">
                              <w:pPr>
                                <w:rPr>
                                  <w:rFonts w:ascii="Arial Narrow" w:hAnsi="Arial Narrow"/>
                                  <w:bCs/>
                                  <w:sz w:val="16"/>
                                  <w:szCs w:val="16"/>
                                </w:rPr>
                              </w:pPr>
                              <w:r>
                                <w:rPr>
                                  <w:sz w:val="16"/>
                                </w:rPr>
                                <w:t>12422</w:t>
                              </w:r>
                            </w:p>
                          </w:tc>
                          <w:tc>
                            <w:tcPr>
                              <w:tcW w:w="1182" w:type="dxa"/>
                              <w:shd w:val="clear" w:color="auto" w:fill="auto"/>
                              <w:vAlign w:val="center"/>
                            </w:tcPr>
                            <w:p w14:paraId="1815B6ED" w14:textId="77777777" w:rsidR="002D1367" w:rsidRPr="00F807FF" w:rsidRDefault="002D1367" w:rsidP="00A958BD">
                              <w:pPr>
                                <w:rPr>
                                  <w:rFonts w:ascii="Arial Narrow" w:hAnsi="Arial Narrow"/>
                                  <w:bCs/>
                                  <w:sz w:val="16"/>
                                  <w:szCs w:val="16"/>
                                </w:rPr>
                              </w:pPr>
                              <w:r>
                                <w:rPr>
                                  <w:sz w:val="16"/>
                                </w:rPr>
                                <w:t>8066</w:t>
                              </w:r>
                            </w:p>
                          </w:tc>
                          <w:tc>
                            <w:tcPr>
                              <w:tcW w:w="1250" w:type="dxa"/>
                              <w:shd w:val="clear" w:color="auto" w:fill="auto"/>
                              <w:vAlign w:val="center"/>
                            </w:tcPr>
                            <w:p w14:paraId="141772A6" w14:textId="77777777" w:rsidR="002D1367" w:rsidRPr="00F807FF" w:rsidRDefault="002D1367" w:rsidP="00A958BD">
                              <w:pPr>
                                <w:ind w:firstLine="42"/>
                                <w:rPr>
                                  <w:rFonts w:ascii="Arial Narrow" w:hAnsi="Arial Narrow"/>
                                  <w:bCs/>
                                  <w:sz w:val="16"/>
                                  <w:szCs w:val="16"/>
                                </w:rPr>
                              </w:pPr>
                              <w:r>
                                <w:rPr>
                                  <w:sz w:val="16"/>
                                </w:rPr>
                                <w:t>3837</w:t>
                              </w:r>
                            </w:p>
                          </w:tc>
                          <w:tc>
                            <w:tcPr>
                              <w:tcW w:w="1006" w:type="dxa"/>
                              <w:vAlign w:val="center"/>
                            </w:tcPr>
                            <w:p w14:paraId="629607E5" w14:textId="77777777" w:rsidR="002D1367" w:rsidRPr="00F807FF" w:rsidRDefault="002D1367" w:rsidP="00A958BD">
                              <w:pPr>
                                <w:ind w:firstLine="92"/>
                                <w:rPr>
                                  <w:rFonts w:ascii="Arial Narrow" w:hAnsi="Arial Narrow"/>
                                  <w:bCs/>
                                  <w:sz w:val="16"/>
                                  <w:szCs w:val="16"/>
                                </w:rPr>
                              </w:pPr>
                              <w:r>
                                <w:rPr>
                                  <w:sz w:val="16"/>
                                </w:rPr>
                                <w:t>713</w:t>
                              </w:r>
                            </w:p>
                          </w:tc>
                        </w:tr>
                      </w:tbl>
                      <w:p w14:paraId="614F4E25" w14:textId="77777777" w:rsidR="002D1367" w:rsidRPr="00450EFF" w:rsidRDefault="002D1367" w:rsidP="00FB755C">
                        <w:pPr>
                          <w:rPr>
                            <w:rFonts w:eastAsia="PMingLiU"/>
                            <w:sz w:val="16"/>
                            <w:szCs w:val="16"/>
                            <w:lang w:val="es-ES"/>
                          </w:rPr>
                        </w:pPr>
                      </w:p>
                    </w:txbxContent>
                  </v:textbox>
                </v:shape>
                <v:shape id="Text Box 68" o:spid="_x0000_s1031" type="#_x0000_t202" style="position:absolute;left:2312;top:13311;width:8705;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" filled="f" strokecolor="white" strokeweight="0">
                  <v:textbox inset=".5mm,.5mm,.5mm,.5mm">
                    <w:txbxContent>
                      <w:tbl>
                        <w:tblPr>
                          <w:tblW w:w="4710" w:type="pct"/>
                          <w:tblBorders>
                            <w:insideH w:val="single" w:sz="4" w:space="0" w:color="auto"/>
                          </w:tblBorders>
                          <w:tblLook w:val="04A0" w:firstRow="1" w:lastRow="0" w:firstColumn="1" w:lastColumn="0" w:noHBand="0" w:noVBand="1"/>
                        </w:tblPr>
                        <w:tblGrid>
                          <w:gridCol w:w="1177"/>
                          <w:gridCol w:w="1141"/>
                          <w:gridCol w:w="1163"/>
                          <w:gridCol w:w="1163"/>
                          <w:gridCol w:w="1179"/>
                          <w:gridCol w:w="1179"/>
                          <w:gridCol w:w="1145"/>
                        </w:tblGrid>
                        <w:tr w:rsidR="002D1367" w:rsidRPr="00E75F7E" w14:paraId="1F097B17" w14:textId="77777777" w:rsidTr="001D6451">
                          <w:trPr>
                            <w:trHeight w:val="266"/>
                          </w:trPr>
                          <w:tc>
                            <w:tcPr>
                              <w:tcW w:w="1179" w:type="dxa"/>
                              <w:shd w:val="clear" w:color="auto" w:fill="auto"/>
                              <w:vAlign w:val="center"/>
                            </w:tcPr>
                            <w:p w14:paraId="51B589CB" w14:textId="77777777" w:rsidR="002D1367" w:rsidRPr="00F807FF" w:rsidRDefault="002D1367" w:rsidP="00A958BD">
                              <w:pPr>
                                <w:tabs>
                                  <w:tab w:val="clear" w:pos="567"/>
                                </w:tabs>
                                <w:rPr>
                                  <w:rFonts w:ascii="Arial Narrow" w:hAnsi="Arial Narrow"/>
                                  <w:bCs/>
                                  <w:sz w:val="16"/>
                                  <w:szCs w:val="16"/>
                                </w:rPr>
                              </w:pPr>
                              <w:r>
                                <w:rPr>
                                  <w:sz w:val="16"/>
                                </w:rPr>
                                <w:t>0</w:t>
                              </w:r>
                            </w:p>
                          </w:tc>
                          <w:tc>
                            <w:tcPr>
                              <w:tcW w:w="1143" w:type="dxa"/>
                              <w:shd w:val="clear" w:color="auto" w:fill="auto"/>
                              <w:vAlign w:val="center"/>
                            </w:tcPr>
                            <w:p w14:paraId="3C740F88" w14:textId="77777777" w:rsidR="002D1367" w:rsidRPr="00F807FF" w:rsidRDefault="002D1367" w:rsidP="00A958BD">
                              <w:pPr>
                                <w:rPr>
                                  <w:rFonts w:ascii="Arial Narrow" w:hAnsi="Arial Narrow"/>
                                  <w:bCs/>
                                  <w:sz w:val="16"/>
                                  <w:szCs w:val="16"/>
                                </w:rPr>
                              </w:pPr>
                              <w:r>
                                <w:rPr>
                                  <w:sz w:val="16"/>
                                </w:rPr>
                                <w:t>6</w:t>
                              </w:r>
                            </w:p>
                          </w:tc>
                          <w:tc>
                            <w:tcPr>
                              <w:tcW w:w="1165" w:type="dxa"/>
                              <w:shd w:val="clear" w:color="auto" w:fill="auto"/>
                              <w:vAlign w:val="center"/>
                            </w:tcPr>
                            <w:p w14:paraId="4B84A5A1" w14:textId="77777777" w:rsidR="002D1367" w:rsidRPr="00F807FF" w:rsidRDefault="002D1367" w:rsidP="00A958BD">
                              <w:pPr>
                                <w:rPr>
                                  <w:rFonts w:ascii="Arial Narrow" w:hAnsi="Arial Narrow"/>
                                  <w:bCs/>
                                  <w:sz w:val="16"/>
                                  <w:szCs w:val="16"/>
                                </w:rPr>
                              </w:pPr>
                              <w:r>
                                <w:rPr>
                                  <w:sz w:val="16"/>
                                </w:rPr>
                                <w:t xml:space="preserve">  12</w:t>
                              </w:r>
                            </w:p>
                          </w:tc>
                          <w:tc>
                            <w:tcPr>
                              <w:tcW w:w="1165" w:type="dxa"/>
                              <w:shd w:val="clear" w:color="auto" w:fill="auto"/>
                              <w:vAlign w:val="center"/>
                            </w:tcPr>
                            <w:p w14:paraId="3AD2E76F" w14:textId="77777777" w:rsidR="002D1367" w:rsidRPr="00F807FF" w:rsidRDefault="002D1367" w:rsidP="00A958BD">
                              <w:pPr>
                                <w:rPr>
                                  <w:rFonts w:ascii="Arial Narrow" w:hAnsi="Arial Narrow"/>
                                  <w:bCs/>
                                  <w:sz w:val="16"/>
                                  <w:szCs w:val="16"/>
                                </w:rPr>
                              </w:pPr>
                              <w:r>
                                <w:rPr>
                                  <w:sz w:val="16"/>
                                </w:rPr>
                                <w:t xml:space="preserve">    18</w:t>
                              </w:r>
                            </w:p>
                          </w:tc>
                          <w:tc>
                            <w:tcPr>
                              <w:tcW w:w="1181" w:type="dxa"/>
                              <w:shd w:val="clear" w:color="auto" w:fill="auto"/>
                              <w:vAlign w:val="center"/>
                            </w:tcPr>
                            <w:p w14:paraId="48054DEA" w14:textId="77777777" w:rsidR="002D1367" w:rsidRPr="00F807FF" w:rsidRDefault="002D1367" w:rsidP="00A958BD">
                              <w:pPr>
                                <w:rPr>
                                  <w:rFonts w:ascii="Arial Narrow" w:hAnsi="Arial Narrow"/>
                                  <w:bCs/>
                                  <w:sz w:val="16"/>
                                  <w:szCs w:val="16"/>
                                </w:rPr>
                              </w:pPr>
                              <w:r>
                                <w:rPr>
                                  <w:sz w:val="16"/>
                                </w:rPr>
                                <w:t xml:space="preserve">     24</w:t>
                              </w:r>
                            </w:p>
                          </w:tc>
                          <w:tc>
                            <w:tcPr>
                              <w:tcW w:w="1181" w:type="dxa"/>
                              <w:shd w:val="clear" w:color="auto" w:fill="auto"/>
                              <w:vAlign w:val="center"/>
                            </w:tcPr>
                            <w:p w14:paraId="0E8AD384" w14:textId="77777777" w:rsidR="002D1367" w:rsidRPr="00F807FF" w:rsidRDefault="002D1367" w:rsidP="00A958BD">
                              <w:pPr>
                                <w:rPr>
                                  <w:rFonts w:ascii="Arial Narrow" w:hAnsi="Arial Narrow"/>
                                  <w:bCs/>
                                  <w:sz w:val="16"/>
                                  <w:szCs w:val="16"/>
                                </w:rPr>
                              </w:pPr>
                              <w:r>
                                <w:rPr>
                                  <w:sz w:val="16"/>
                                </w:rPr>
                                <w:t xml:space="preserve">      30</w:t>
                              </w:r>
                            </w:p>
                          </w:tc>
                          <w:tc>
                            <w:tcPr>
                              <w:tcW w:w="1147" w:type="dxa"/>
                              <w:shd w:val="clear" w:color="auto" w:fill="auto"/>
                              <w:vAlign w:val="center"/>
                            </w:tcPr>
                            <w:p w14:paraId="7EE129B2" w14:textId="77777777" w:rsidR="002D1367" w:rsidRPr="00F807FF" w:rsidRDefault="002D1367" w:rsidP="00A958BD">
                              <w:pPr>
                                <w:rPr>
                                  <w:rFonts w:ascii="Arial Narrow" w:hAnsi="Arial Narrow"/>
                                  <w:bCs/>
                                  <w:sz w:val="16"/>
                                  <w:szCs w:val="16"/>
                                </w:rPr>
                              </w:pPr>
                              <w:r>
                                <w:rPr>
                                  <w:sz w:val="16"/>
                                </w:rPr>
                                <w:t xml:space="preserve">       36</w:t>
                              </w:r>
                            </w:p>
                          </w:tc>
                        </w:tr>
                      </w:tbl>
                      <w:p w14:paraId="49C3EAB6" w14:textId="77777777" w:rsidR="002D1367" w:rsidRPr="00450EFF" w:rsidRDefault="002D1367" w:rsidP="00FB755C">
                        <w:pPr>
                          <w:jc w:val="right"/>
                          <w:rPr>
                            <w:rFonts w:eastAsia="PMingLiU"/>
                            <w:sz w:val="16"/>
                            <w:szCs w:val="16"/>
                            <w:lang w:val="es-ES"/>
                          </w:rPr>
                        </w:pPr>
                      </w:p>
                    </w:txbxContent>
                  </v:textbox>
                </v:shape>
                <v:shape id="Text Box 69" o:spid="_x0000_s1032" type="#_x0000_t202" style="position:absolute;left:9732;top:10114;width:507;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10F3B130" w14:textId="77777777" w:rsidR="002D1367" w:rsidRPr="00450EFF" w:rsidRDefault="002D1367" w:rsidP="00FB755C">
                        <w:pPr>
                          <w:rPr>
                            <w:rFonts w:eastAsia="PMingLiU"/>
                            <w:bCs/>
                            <w:color w:val="0070C0"/>
                            <w:sz w:val="16"/>
                            <w:szCs w:val="16"/>
                          </w:rPr>
                        </w:pPr>
                        <w:r>
                          <w:rPr>
                            <w:color w:val="0070C0"/>
                            <w:sz w:val="16"/>
                          </w:rPr>
                          <w:t>Placebo</w:t>
                        </w:r>
                      </w:p>
                    </w:txbxContent>
                  </v:textbox>
                </v:shape>
                <v:shape id="Text Box 70" o:spid="_x0000_s1033" type="#_x0000_t202" style="position:absolute;left:9785;top:10499;width:595;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06F4B36" w14:textId="77777777" w:rsidR="002D1367" w:rsidRPr="00450EFF" w:rsidRDefault="002D1367" w:rsidP="00FB755C">
                        <w:pPr>
                          <w:rPr>
                            <w:rFonts w:eastAsia="PMingLiU"/>
                            <w:bCs/>
                            <w:color w:val="FF0000"/>
                            <w:sz w:val="16"/>
                            <w:szCs w:val="16"/>
                          </w:rPr>
                        </w:pPr>
                        <w:r>
                          <w:rPr>
                            <w:color w:val="FF0000"/>
                            <w:sz w:val="16"/>
                          </w:rPr>
                          <w:t>Repatha</w:t>
                        </w:r>
                      </w:p>
                    </w:txbxContent>
                  </v:textbox>
                </v:shape>
                <v:shape id="Text Box 194" o:spid="_x0000_s1034" type="#_x0000_t202" style="position:absolute;left:2249;top:9759;width:2886;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" filled="f" stroked="f">
                  <v:textbox style="mso-fit-shape-to-text:t" inset="0,0,0,0">
                    <w:txbxContent>
                      <w:p w14:paraId="32805E5A" w14:textId="77777777" w:rsidR="002D1367" w:rsidRPr="00450EFF" w:rsidRDefault="002D1367" w:rsidP="001275CC">
                        <w:pPr>
                          <w:tabs>
                            <w:tab w:val="clear" w:pos="567"/>
                            <w:tab w:val="left" w:pos="709"/>
                          </w:tabs>
                          <w:rPr>
                            <w:rFonts w:eastAsia="PMingLiU"/>
                            <w:bCs/>
                            <w:sz w:val="16"/>
                            <w:szCs w:val="16"/>
                          </w:rPr>
                        </w:pPr>
                        <w:r>
                          <w:rPr>
                            <w:sz w:val="16"/>
                          </w:rPr>
                          <w:t>Odnos rizika, 0,80 (95% CI, 0,73; 0,88)</w:t>
                        </w:r>
                      </w:p>
                      <w:p w14:paraId="01B072CC" w14:textId="77777777" w:rsidR="002D1367" w:rsidRPr="00450EFF" w:rsidRDefault="002D1367" w:rsidP="001275CC">
                        <w:pPr>
                          <w:tabs>
                            <w:tab w:val="clear" w:pos="567"/>
                            <w:tab w:val="left" w:pos="709"/>
                          </w:tabs>
                          <w:rPr>
                            <w:rFonts w:eastAsia="PMingLiU"/>
                            <w:bCs/>
                            <w:sz w:val="16"/>
                            <w:szCs w:val="16"/>
                          </w:rPr>
                        </w:pPr>
                        <w:r>
                          <w:rPr>
                            <w:sz w:val="16"/>
                          </w:rPr>
                          <w:t>P&lt;0,0001</w:t>
                        </w:r>
                      </w:p>
                    </w:txbxContent>
                  </v:textbox>
                </v:shape>
                <v:shape id="Text Box 428" o:spid="_x0000_s1035" type="#_x0000_t202" style="position:absolute;left:10386;top:12455;width:128;height: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" strokecolor="white" strokeweight="0">
                  <v:textbox style="layout-flow:vertical;mso-layout-flow-alt:bottom-to-top" inset=".5mm,.5mm,.5mm,.5mm">
                    <w:txbxContent>
                      <w:p w14:paraId="0CCCB3A9" w14:textId="77777777" w:rsidR="002D1367" w:rsidRPr="00450EFF" w:rsidRDefault="002D1367" w:rsidP="00FB755C">
                        <w:pPr>
                          <w:rPr>
                            <w:rFonts w:eastAsia="PMingLiU"/>
                            <w:b/>
                            <w:bCs/>
                            <w:sz w:val="8"/>
                            <w:szCs w:val="8"/>
                          </w:rPr>
                        </w:pPr>
                        <w:r>
                          <w:rPr>
                            <w:b/>
                            <w:sz w:val="8"/>
                          </w:rPr>
                          <w:t>GRH0621HR v1</w:t>
                        </w:r>
                      </w:p>
                    </w:txbxContent>
                  </v:textbox>
                </v:shape>
                <v:shape id="Text Box 782" o:spid="_x0000_s1036" type="#_x0000_t202" style="position:absolute;left:4691;top:11764;width:305;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6EA33DF" w14:textId="77777777" w:rsidR="002D1367" w:rsidRPr="00450EFF" w:rsidRDefault="002D1367" w:rsidP="00FB755C">
                        <w:pPr>
                          <w:rPr>
                            <w:rFonts w:eastAsia="PMingLiU"/>
                            <w:bCs/>
                            <w:color w:val="0070C0"/>
                            <w:sz w:val="16"/>
                            <w:szCs w:val="16"/>
                          </w:rPr>
                        </w:pPr>
                        <w:r>
                          <w:rPr>
                            <w:color w:val="0070C0"/>
                            <w:sz w:val="16"/>
                          </w:rPr>
                          <w:t>3,7</w:t>
                        </w:r>
                      </w:p>
                    </w:txbxContent>
                  </v:textbox>
                </v:shape>
                <v:shape id="Text Box 783" o:spid="_x0000_s1037" type="#_x0000_t202" style="position:absolute;left:7144;top:10797;width:406;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E661BCC" w14:textId="77777777" w:rsidR="002D1367" w:rsidRPr="00450EFF" w:rsidRDefault="002D1367" w:rsidP="00FB755C">
                        <w:pPr>
                          <w:rPr>
                            <w:rFonts w:eastAsia="PMingLiU"/>
                            <w:bCs/>
                            <w:color w:val="0070C0"/>
                            <w:sz w:val="16"/>
                            <w:szCs w:val="16"/>
                          </w:rPr>
                        </w:pPr>
                        <w:r>
                          <w:rPr>
                            <w:color w:val="0070C0"/>
                            <w:sz w:val="16"/>
                          </w:rPr>
                          <w:t>6,8</w:t>
                        </w:r>
                      </w:p>
                    </w:txbxContent>
                  </v:textbox>
                </v:shape>
                <v:shape id="Text Box 784" o:spid="_x0000_s1038" type="#_x0000_t202" style="position:absolute;left:9644;top:9857;width:305;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3D38F8E3" w14:textId="77777777" w:rsidR="002D1367" w:rsidRPr="00450EFF" w:rsidRDefault="002D1367" w:rsidP="00FB755C">
                        <w:pPr>
                          <w:rPr>
                            <w:rFonts w:eastAsia="PMingLiU"/>
                            <w:bCs/>
                            <w:color w:val="0070C0"/>
                            <w:sz w:val="16"/>
                            <w:szCs w:val="16"/>
                          </w:rPr>
                        </w:pPr>
                        <w:r>
                          <w:rPr>
                            <w:color w:val="0070C0"/>
                            <w:sz w:val="16"/>
                          </w:rPr>
                          <w:t>9,9</w:t>
                        </w:r>
                      </w:p>
                    </w:txbxContent>
                  </v:textbox>
                </v:shape>
                <v:shape id="Text Box 785" o:spid="_x0000_s1039" type="#_x0000_t202" style="position:absolute;left:4748;top:12317;width:310;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16EBF6C6" w14:textId="77777777" w:rsidR="002D1367" w:rsidRPr="00450EFF" w:rsidRDefault="002D1367" w:rsidP="00FB755C">
                        <w:pPr>
                          <w:rPr>
                            <w:rFonts w:eastAsia="PMingLiU"/>
                            <w:bCs/>
                            <w:color w:val="FF0000"/>
                            <w:sz w:val="16"/>
                            <w:szCs w:val="16"/>
                          </w:rPr>
                        </w:pPr>
                        <w:r>
                          <w:rPr>
                            <w:color w:val="FF0000"/>
                            <w:sz w:val="16"/>
                          </w:rPr>
                          <w:t>3,1</w:t>
                        </w:r>
                      </w:p>
                    </w:txbxContent>
                  </v:textbox>
                </v:shape>
                <v:shape id="Text Box 786" o:spid="_x0000_s1040" type="#_x0000_t202" style="position:absolute;left:7208;top:11562;width:310;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00E1D771" w14:textId="77777777" w:rsidR="002D1367" w:rsidRPr="00450EFF" w:rsidRDefault="002D1367" w:rsidP="00FB755C">
                        <w:pPr>
                          <w:rPr>
                            <w:rFonts w:eastAsia="PMingLiU"/>
                            <w:bCs/>
                            <w:color w:val="FF0000"/>
                            <w:sz w:val="16"/>
                            <w:szCs w:val="16"/>
                          </w:rPr>
                        </w:pPr>
                        <w:r>
                          <w:rPr>
                            <w:color w:val="FF0000"/>
                            <w:sz w:val="16"/>
                          </w:rPr>
                          <w:t>5,5</w:t>
                        </w:r>
                      </w:p>
                    </w:txbxContent>
                  </v:textbox>
                </v:shape>
                <v:shape id="Text Box 787" o:spid="_x0000_s1041" type="#_x0000_t202" style="position:absolute;left:9693;top:10820;width:310;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2FC743AF" w14:textId="77777777" w:rsidR="002D1367" w:rsidRPr="00450EFF" w:rsidRDefault="002D1367" w:rsidP="00FB755C">
                        <w:pPr>
                          <w:rPr>
                            <w:rFonts w:eastAsia="PMingLiU"/>
                            <w:bCs/>
                            <w:color w:val="FF0000"/>
                            <w:sz w:val="16"/>
                            <w:szCs w:val="16"/>
                          </w:rPr>
                        </w:pPr>
                        <w:r>
                          <w:rPr>
                            <w:color w:val="FF0000"/>
                            <w:sz w:val="16"/>
                          </w:rPr>
                          <w:t>7,9</w:t>
                        </w:r>
                      </w:p>
                    </w:txbxContent>
                  </v:textbox>
                </v:shape>
              </v:group>
            </w:pict>
          </mc:Fallback>
        </mc:AlternateContent>
      </w:r>
    </w:p>
    <w:p w14:paraId="47AFDBE1" w14:textId="77777777" w:rsidR="00D26E8E" w:rsidRPr="00C83E6A" w:rsidRDefault="008912E5" w:rsidP="001D6451">
      <w:pPr>
        <w:keepNext/>
        <w:jc w:val="both"/>
        <w:rPr>
          <w:rFonts w:eastAsia="PMingLiU"/>
          <w:lang w:val="sr-Latn-RS"/>
        </w:rPr>
      </w:pPr>
      <w:r w:rsidRPr="00C83E6A">
        <w:rPr>
          <w:noProof/>
          <w:lang w:val="sr-Latn-RS"/>
        </w:rPr>
        <mc:AlternateContent>
          <mc:Choice Requires="wps">
            <w:drawing>
              <wp:anchor distT="0" distB="0" distL="114300" distR="114300" simplePos="0" relativeHeight="251657216" behindDoc="0" locked="0" layoutInCell="1" allowOverlap="1" wp14:anchorId="03761729" wp14:editId="64632EF3">
                <wp:simplePos x="0" y="0"/>
                <wp:positionH relativeFrom="column">
                  <wp:posOffset>1422400</wp:posOffset>
                </wp:positionH>
                <wp:positionV relativeFrom="paragraph">
                  <wp:posOffset>2572385</wp:posOffset>
                </wp:positionV>
                <wp:extent cx="3074670" cy="116840"/>
                <wp:effectExtent l="0" t="0" r="0" b="0"/>
                <wp:wrapNone/>
                <wp:docPr id="12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67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A3D6C" w14:textId="77777777" w:rsidR="002D1367" w:rsidRPr="00450EFF" w:rsidRDefault="002D1367" w:rsidP="00FB755C">
                            <w:pPr>
                              <w:jc w:val="center"/>
                              <w:rPr>
                                <w:rFonts w:eastAsia="PMingLiU"/>
                                <w:bCs/>
                                <w:sz w:val="16"/>
                                <w:szCs w:val="16"/>
                              </w:rPr>
                            </w:pPr>
                            <w:r>
                              <w:rPr>
                                <w:sz w:val="16"/>
                              </w:rPr>
                              <w:t>Mjeseci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761729" id="Text Box 63" o:spid="_x0000_s1042" type="#_x0000_t202" style="position:absolute;left:0;text-align:left;margin-left:112pt;margin-top:202.55pt;width:242.1pt;height: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QUtsg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" filled="f" stroked="f">
                <v:textbox style="mso-fit-shape-to-text:t" inset="0,0,0,0">
                  <w:txbxContent>
                    <w:p w14:paraId="616A3D6C" w14:textId="77777777" w:rsidR="002D1367" w:rsidRPr="00450EFF" w:rsidRDefault="002D1367" w:rsidP="00FB755C">
                      <w:pPr>
                        <w:jc w:val="center"/>
                        <w:rPr>
                          <w:rFonts w:eastAsia="PMingLiU"/>
                          <w:bCs/>
                          <w:sz w:val="16"/>
                          <w:szCs w:val="16"/>
                        </w:rPr>
                      </w:pPr>
                      <w:r>
                        <w:rPr>
                          <w:sz w:val="16"/>
                        </w:rPr>
                        <w:t>Mjeseci</w:t>
                      </w:r>
                    </w:p>
                  </w:txbxContent>
                </v:textbox>
              </v:shape>
            </w:pict>
          </mc:Fallback>
        </mc:AlternateContent>
      </w:r>
      <w:r w:rsidRPr="00C83E6A">
        <w:rPr>
          <w:noProof/>
          <w:lang w:val="sr-Latn-RS"/>
        </w:rPr>
        <w:drawing>
          <wp:inline distT="0" distB="0" distL="0" distR="0" wp14:anchorId="4C0CFCD0" wp14:editId="294B9DEB">
            <wp:extent cx="5857875" cy="3114675"/>
            <wp:effectExtent l="0" t="0" r="0" b="0"/>
            <wp:docPr id="2" name="Picture 3" descr="GRH0465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H0465 v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57875" cy="3114675"/>
                    </a:xfrm>
                    <a:prstGeom prst="rect">
                      <a:avLst/>
                    </a:prstGeom>
                    <a:noFill/>
                    <a:ln>
                      <a:noFill/>
                    </a:ln>
                  </pic:spPr>
                </pic:pic>
              </a:graphicData>
            </a:graphic>
          </wp:inline>
        </w:drawing>
      </w:r>
    </w:p>
    <w:p w14:paraId="40931F87" w14:textId="77777777" w:rsidR="00D26E8E" w:rsidRPr="00C83E6A" w:rsidRDefault="00D26E8E" w:rsidP="001D6451">
      <w:pPr>
        <w:jc w:val="both"/>
        <w:rPr>
          <w:rFonts w:eastAsia="PMingLiU"/>
          <w:u w:val="single"/>
          <w:lang w:val="sr-Latn-RS"/>
        </w:rPr>
      </w:pPr>
    </w:p>
    <w:p w14:paraId="672D613F" w14:textId="77777777" w:rsidR="002E1E1E" w:rsidRPr="00C83E6A" w:rsidRDefault="002E1E1E" w:rsidP="001D6451">
      <w:pPr>
        <w:jc w:val="both"/>
        <w:rPr>
          <w:lang w:val="sr-Latn-RS"/>
        </w:rPr>
      </w:pPr>
      <w:r w:rsidRPr="00C83E6A">
        <w:rPr>
          <w:lang w:val="sr-Latn-RS"/>
        </w:rPr>
        <w:lastRenderedPageBreak/>
        <w:t>Ispitivanje FOURIER</w:t>
      </w:r>
      <w:r w:rsidRPr="00C83E6A">
        <w:rPr>
          <w:lang w:val="sr-Latn-RS"/>
        </w:rPr>
        <w:noBreakHyphen/>
        <w:t>OLE (studije 1 i 2) sastojalo se iz dva otvorena, multicentrična produžetka studije sa jednom grupom za procjenu dugoročne bezbjednosti, podnošljivosti i efikasnosti lijeka Repatha kod pacijenata sa ustanovljenom kardiovaskularnom bolešću koji su završili studiju FOURIER. Uključeni pacijenti su primali lijek Repatha u dozi od 140 mg na svake 2 nedjelje ili 420 mg jednom mjesečno tokom okvirno 5 godina i nastavili su osnovnu terapiju statinom umjerenog (22,2%) ili visokog intenziteta (74,8%). Od 5031 pacijenta koji je primio bar jednu dozu lijeka Repatha u studiji 1, 2499 pacijenata je primalo lijek Repatha, a 2532 pacijenta su primala placebo u studiji FOURIER. Od 1599 pacijenata koji su primili bar jednu dozu lijeka Repatha u studiji 2, 854 pacijenta su primala lijek Repatha, a 745 pacijenata je primalo placebo u studiji FOURIER. Po završetku studija 1 i 2, pacijenti koji su randomizovani u grupu Repatha u studiji FOURIER bili su ukupno izloženi lijeku Repatha maksimalno 8,4 godine (medijana je iznosila 85,4 mjeseca) odnosno 8,0 godina (medijana je iznosila 80,2 mjeseca), dok su pacijenti randomizovani u placebo grupu bili ukupno izloženi lijeku Repatha maksimalno 5,25 godina (medijana je iznosila 60,0 mjeseci) odnosno 4,9 godina (medijana je iznosila 55,1 mjesec).</w:t>
      </w:r>
    </w:p>
    <w:p w14:paraId="52F89A9B" w14:textId="77777777" w:rsidR="002E1E1E" w:rsidRPr="00C83E6A" w:rsidRDefault="002E1E1E" w:rsidP="001D6451">
      <w:pPr>
        <w:adjustRightInd w:val="0"/>
        <w:jc w:val="both"/>
        <w:rPr>
          <w:lang w:val="sr-Latn-RS"/>
        </w:rPr>
      </w:pPr>
    </w:p>
    <w:p w14:paraId="26501BA7" w14:textId="77777777" w:rsidR="002E1E1E" w:rsidRPr="00C83E6A" w:rsidRDefault="002E1E1E" w:rsidP="001D6451">
      <w:pPr>
        <w:jc w:val="both"/>
        <w:rPr>
          <w:lang w:val="sr-Latn-RS"/>
        </w:rPr>
      </w:pPr>
      <w:r w:rsidRPr="00C83E6A">
        <w:rPr>
          <w:lang w:val="sr-Latn-RS"/>
        </w:rPr>
        <w:t>U studijama 1 i 2 zajedno, 72,4% (n = 4802) pacijenata je postiglo najniži nivo LDL</w:t>
      </w:r>
      <w:r w:rsidRPr="00C83E6A">
        <w:rPr>
          <w:lang w:val="sr-Latn-RS"/>
        </w:rPr>
        <w:noBreakHyphen/>
        <w:t>C &lt; 25 mg/dl (0,65 mmol/l) nakon početne vrijednosti, 87,0% (n = 5765) pacijenata je postiglo nivo LDL</w:t>
      </w:r>
      <w:r w:rsidRPr="00C83E6A">
        <w:rPr>
          <w:lang w:val="sr-Latn-RS"/>
        </w:rPr>
        <w:noBreakHyphen/>
        <w:t>C &lt; 40 mg/dl (1,03 mmol/l), dok je 11,9% (n = 792) pacijenata imalo nivo LDL</w:t>
      </w:r>
      <w:r w:rsidRPr="00C83E6A">
        <w:rPr>
          <w:lang w:val="sr-Latn-RS"/>
        </w:rPr>
        <w:noBreakHyphen/>
        <w:t>C ≥ 40 mg/dl (1,03 mmol/l) svo vrijeme nakon početne vrijednosti. Među pacijentima koji su postigli nizak nivo LDL</w:t>
      </w:r>
      <w:r w:rsidRPr="00C83E6A">
        <w:rPr>
          <w:lang w:val="sr-Latn-RS"/>
        </w:rPr>
        <w:noBreakHyphen/>
        <w:t>C (&lt; 25 mg/dl ili &lt; 40 mg/dl) nakon početne vrijednosti, ukupna incidenca neželjenih događaja koji su se javili ili pogoršali u toku liječenja kod ispitanika iznosila je 80,0% kod pacijenata koji su postigli LDL</w:t>
      </w:r>
      <w:r w:rsidRPr="00C83E6A">
        <w:rPr>
          <w:lang w:val="sr-Latn-RS"/>
        </w:rPr>
        <w:noBreakHyphen/>
        <w:t>C &lt; 25 mg/dl odnosno 82,7% kod pacijenata koji su postigli LDL</w:t>
      </w:r>
      <w:r w:rsidRPr="00C83E6A">
        <w:rPr>
          <w:lang w:val="sr-Latn-RS"/>
        </w:rPr>
        <w:noBreakHyphen/>
        <w:t>C &lt; 40 mg/dl u odnosu na 85,0% kod pacijenata sa nivoom LDL</w:t>
      </w:r>
      <w:r w:rsidRPr="00C83E6A">
        <w:rPr>
          <w:lang w:val="sr-Latn-RS"/>
        </w:rPr>
        <w:noBreakHyphen/>
        <w:t>C ≥ 40 mg/dl. Ukupna incidenca ozbiljnih neželjenih događaja koji su se javili ili pogoršali u toku liječenja kod ispitanika iznosila je 37,7% kod pacijenata koji su postigli LDL</w:t>
      </w:r>
      <w:r w:rsidRPr="00C83E6A">
        <w:rPr>
          <w:lang w:val="sr-Latn-RS"/>
        </w:rPr>
        <w:noBreakHyphen/>
        <w:t>C &lt; 25 mg/dl odnosno 40,0% kod pacijenata koji su postigli LDL</w:t>
      </w:r>
      <w:r w:rsidRPr="00C83E6A">
        <w:rPr>
          <w:lang w:val="sr-Latn-RS"/>
        </w:rPr>
        <w:noBreakHyphen/>
        <w:t>C &lt; 40 mg/dl u odnosu na 41,5% kod pacijenata sa vrijednošću LDL</w:t>
      </w:r>
      <w:r w:rsidRPr="00C83E6A">
        <w:rPr>
          <w:lang w:val="sr-Latn-RS"/>
        </w:rPr>
        <w:noBreakHyphen/>
        <w:t>C ≥ 40 mg/dl.</w:t>
      </w:r>
    </w:p>
    <w:p w14:paraId="6A41AC5C" w14:textId="77777777" w:rsidR="002E1E1E" w:rsidRPr="00C83E6A" w:rsidRDefault="002E1E1E" w:rsidP="001D6451">
      <w:pPr>
        <w:jc w:val="both"/>
        <w:rPr>
          <w:lang w:val="sr-Latn-RS"/>
        </w:rPr>
      </w:pPr>
    </w:p>
    <w:p w14:paraId="747E2554" w14:textId="77777777" w:rsidR="002E1E1E" w:rsidRPr="00C83E6A" w:rsidRDefault="002E1E1E" w:rsidP="001D6451">
      <w:pPr>
        <w:jc w:val="both"/>
        <w:rPr>
          <w:lang w:val="sr-Latn-RS"/>
        </w:rPr>
      </w:pPr>
      <w:r w:rsidRPr="00C83E6A">
        <w:rPr>
          <w:color w:val="000000"/>
          <w:lang w:val="sr-Latn-RS"/>
        </w:rPr>
        <w:t>Srednja vrijednost smanjenja nivoa LDL</w:t>
      </w:r>
      <w:r w:rsidRPr="00C83E6A">
        <w:rPr>
          <w:color w:val="000000"/>
          <w:lang w:val="sr-Latn-RS"/>
        </w:rPr>
        <w:noBreakHyphen/>
        <w:t>C u procentima u odnosu na početne vrijednosti bila je stabilna u periodu OLE studije i kretala se u rasponu od 53,4% do 59,1% za studiju 1 odnosno od 62,5% do 67,2% za studiju 2, bez obzira na terapijsku grupu u koju je pacijent prvobitno bio randomizovan u sklopu studije FOURIER. Izgleda da ovo ukazuje na brojčano nižu stopu incidence procijenjenih eksplorativnih KV ishoda kod ispitanika u pogledu kompozita KV smrti, infarkta miokarda i moždanog udara među pacijentima koji su primali lijek Repatha u studijama FOURIER i FOURIER</w:t>
      </w:r>
      <w:r w:rsidRPr="00C83E6A">
        <w:rPr>
          <w:color w:val="000000"/>
          <w:lang w:val="sr-Latn-RS"/>
        </w:rPr>
        <w:noBreakHyphen/>
        <w:t>OLE u odnosu na pacijente koji su primali placebo u studiji FOURIER, a lijek Repatha u studiji FOURIER</w:t>
      </w:r>
      <w:r w:rsidRPr="00C83E6A">
        <w:rPr>
          <w:color w:val="000000"/>
          <w:lang w:val="sr-Latn-RS"/>
        </w:rPr>
        <w:noBreakHyphen/>
        <w:t>OLE.</w:t>
      </w:r>
    </w:p>
    <w:p w14:paraId="266AF48A" w14:textId="77777777" w:rsidR="002E1E1E" w:rsidRPr="00C83E6A" w:rsidRDefault="002E1E1E" w:rsidP="001D6451">
      <w:pPr>
        <w:jc w:val="both"/>
        <w:rPr>
          <w:lang w:val="sr-Latn-RS"/>
        </w:rPr>
      </w:pPr>
    </w:p>
    <w:p w14:paraId="703410B2" w14:textId="77777777" w:rsidR="002E1E1E" w:rsidRPr="00C83E6A" w:rsidRDefault="002E1E1E" w:rsidP="001D6451">
      <w:pPr>
        <w:jc w:val="both"/>
        <w:rPr>
          <w:lang w:val="sr-Latn-RS"/>
        </w:rPr>
      </w:pPr>
      <w:r w:rsidRPr="00C83E6A">
        <w:rPr>
          <w:lang w:val="sr-Latn-RS"/>
        </w:rPr>
        <w:t>Uopšteno govoreći, u ovim studijama nije bilo novih otkrića na polju bezbjednosti.</w:t>
      </w:r>
    </w:p>
    <w:p w14:paraId="18717035" w14:textId="77777777" w:rsidR="002E1E1E" w:rsidRPr="00C83E6A" w:rsidRDefault="002E1E1E" w:rsidP="001D6451">
      <w:pPr>
        <w:adjustRightInd w:val="0"/>
        <w:jc w:val="both"/>
        <w:rPr>
          <w:lang w:val="sr-Latn-RS"/>
        </w:rPr>
      </w:pPr>
    </w:p>
    <w:p w14:paraId="52EA5853" w14:textId="77777777" w:rsidR="003D7993" w:rsidRPr="00C83E6A" w:rsidRDefault="003D7993" w:rsidP="001D6451">
      <w:pPr>
        <w:pStyle w:val="Styleunderline"/>
        <w:keepNext/>
        <w:jc w:val="both"/>
        <w:rPr>
          <w:lang w:val="sr-Latn-RS"/>
        </w:rPr>
      </w:pPr>
      <w:r w:rsidRPr="00C83E6A">
        <w:rPr>
          <w:lang w:val="sr-Latn-RS"/>
        </w:rPr>
        <w:t>Uticaj na LDL-C tokom akutne faze akutnih koronarnih sindroma (ACS)</w:t>
      </w:r>
    </w:p>
    <w:p w14:paraId="034B5567" w14:textId="77777777" w:rsidR="003D7993" w:rsidRPr="00C83E6A" w:rsidRDefault="003D7993" w:rsidP="001D6451">
      <w:pPr>
        <w:keepNext/>
        <w:jc w:val="both"/>
        <w:rPr>
          <w:bCs/>
          <w:iCs/>
          <w:lang w:val="sr-Latn-RS"/>
        </w:rPr>
      </w:pPr>
    </w:p>
    <w:p w14:paraId="7C17FD72" w14:textId="77777777" w:rsidR="003D7993" w:rsidRPr="00C83E6A" w:rsidRDefault="003D7993" w:rsidP="001D6451">
      <w:pPr>
        <w:jc w:val="both"/>
        <w:rPr>
          <w:bCs/>
          <w:iCs/>
          <w:lang w:val="sr-Latn-RS"/>
        </w:rPr>
      </w:pPr>
      <w:r w:rsidRPr="00C83E6A">
        <w:rPr>
          <w:lang w:val="sr-Latn-RS"/>
        </w:rPr>
        <w:t>EVOPACS je bila multicentrična, dvostruko slijepa, randomizovana, placebom kontrolisana studija u jednoj državi i u trajanju od 8 nedjelja na 308 pacijenata sa ACS sindromom kod kojih je terapija evolokumabom započeta u bolnici u roku od 24 do 72 sata nakon pojave simptoma.</w:t>
      </w:r>
    </w:p>
    <w:p w14:paraId="3F6304FD" w14:textId="77777777" w:rsidR="003D7993" w:rsidRPr="00C83E6A" w:rsidRDefault="003D7993" w:rsidP="001D6451">
      <w:pPr>
        <w:jc w:val="both"/>
        <w:rPr>
          <w:bCs/>
          <w:iCs/>
          <w:lang w:val="sr-Latn-RS"/>
        </w:rPr>
      </w:pPr>
    </w:p>
    <w:p w14:paraId="54C33128" w14:textId="77777777" w:rsidR="003D7993" w:rsidRPr="00C83E6A" w:rsidRDefault="003D7993" w:rsidP="001D6451">
      <w:pPr>
        <w:jc w:val="both"/>
        <w:rPr>
          <w:bCs/>
          <w:iCs/>
          <w:lang w:val="sr-Latn-RS"/>
        </w:rPr>
      </w:pPr>
      <w:r w:rsidRPr="00C83E6A">
        <w:rPr>
          <w:lang w:val="sr-Latn-RS"/>
        </w:rPr>
        <w:t xml:space="preserve">Ukoliko pacijenti nijesu primali statin ili su se liječili statinom, ali nijesu primali atorvastatin od 40 mg prije pregleda, ovo liječenje je prekinuto i uveden je atorvastatin od 40 mg jednom dnevno. Randomizacija je stratifikovana po centrima istraživanja i po prisustvu stabilnog liječenja statinom tokom perioda od ≥ 4 nedjelje prije početka. Većina ispitanika (241 [78 %]) nije bila na stabilnom liječenju statinom tokom perioda od ≥ 4 nedjelje prije pregleda i većina njih (235 [76%]) nije uzimala statin na početku. Do 4. nedjelje, 281 (97%) ispitanik je dobijao statine visokog intenziteta. Evolokumab u dozi od 420 mg jednom mjesečno je značajno smanjio LDL-C u 8. nedjelji u odnosu na početne vrijednosti u poređenju sa placebom (p &lt; 0,001). Srednje (SD) smanjenje izračunatog LDL-C-a u odnosu na početnu vrijednost u 8. nedjelji je iznosilo 77,1% (15,8%) u grupi koja je primala evolokumab i 35,4% (26,6%) u grupi koja je primala placebo, uz srednju vrijednost razlike (95% CI) od 40,7% (36,2%, 45,2%) koja je dobijena metodom najmanjih kvadrata (LS). Početne vrijednosti LDL-C-a su iznosile 3,61 mmol/l (139,5 mg/dl) u grupi koja je primala evolokumab i 3,42 mmol/l (132,2 mg/dl) u grupi koja je primala placebo. Smanjenje LDL-C-a u ovoj studiji je u skladu sa prethodnim studijama u </w:t>
      </w:r>
      <w:r w:rsidRPr="00C83E6A">
        <w:rPr>
          <w:lang w:val="sr-Latn-RS"/>
        </w:rPr>
        <w:lastRenderedPageBreak/>
        <w:t>kojima je evolokumab dodat stabilnim terapijama za snižavanje lipida, kao što je to prikazano nivoima LDL-C-a tokom liječenja, tokom 8. nedjelje u okviru ove studije (što odražava uticaj ravnotežnog stanja statina visokog intenziteta kod obje terapijske grupe) od 0,79 mmol/l (30,5 mg/dl) u grupi koja je primala evolokumab i atorvastatin i 2,06 mmol/l (79,7 mg/dl) u grupi koja je primala placebo i atorvastatin.</w:t>
      </w:r>
    </w:p>
    <w:p w14:paraId="5F419DCD" w14:textId="77777777" w:rsidR="003D7993" w:rsidRPr="00C83E6A" w:rsidRDefault="003D7993" w:rsidP="001D6451">
      <w:pPr>
        <w:jc w:val="both"/>
        <w:rPr>
          <w:iCs/>
          <w:lang w:val="sr-Latn-RS"/>
        </w:rPr>
      </w:pPr>
    </w:p>
    <w:p w14:paraId="734FAC3E" w14:textId="77777777" w:rsidR="003D7993" w:rsidRPr="00C83E6A" w:rsidRDefault="003D7993" w:rsidP="001D6451">
      <w:pPr>
        <w:jc w:val="both"/>
        <w:rPr>
          <w:bCs/>
          <w:iCs/>
          <w:lang w:val="sr-Latn-RS"/>
        </w:rPr>
      </w:pPr>
      <w:r w:rsidRPr="00C83E6A">
        <w:rPr>
          <w:lang w:val="sr-Latn-RS"/>
        </w:rPr>
        <w:t>Uticaj evolokumaba u ovoj populaciji pacijenata je u skladu sa uticajem koji je primijećen u prethodnim studijama u okviru programa za klinički razvoj evolokumaba i nijesu primijećeni novi problemi u vezi sa bezbjednošću.</w:t>
      </w:r>
    </w:p>
    <w:p w14:paraId="528FC082" w14:textId="77777777" w:rsidR="003D7993" w:rsidRPr="00C83E6A" w:rsidRDefault="003D7993" w:rsidP="001D6451">
      <w:pPr>
        <w:jc w:val="both"/>
        <w:rPr>
          <w:bCs/>
          <w:iCs/>
          <w:lang w:val="sr-Latn-RS"/>
        </w:rPr>
      </w:pPr>
    </w:p>
    <w:p w14:paraId="6FD909F9" w14:textId="77777777" w:rsidR="00D26E8E" w:rsidRPr="00C83E6A" w:rsidRDefault="00096D7F" w:rsidP="001D6451">
      <w:pPr>
        <w:keepNext/>
        <w:ind w:left="567" w:hanging="567"/>
        <w:jc w:val="both"/>
        <w:outlineLvl w:val="0"/>
        <w:rPr>
          <w:rFonts w:eastAsia="PMingLiU"/>
          <w:b/>
          <w:bCs/>
          <w:lang w:val="sr-Latn-RS"/>
        </w:rPr>
      </w:pPr>
      <w:r w:rsidRPr="00C83E6A">
        <w:rPr>
          <w:b/>
          <w:lang w:val="sr-Latn-RS"/>
        </w:rPr>
        <w:t>5.2.</w:t>
      </w:r>
      <w:r w:rsidRPr="00C83E6A">
        <w:rPr>
          <w:b/>
          <w:lang w:val="sr-Latn-RS"/>
        </w:rPr>
        <w:tab/>
        <w:t>Farmakokinetički podaci</w:t>
      </w:r>
    </w:p>
    <w:p w14:paraId="746091FC" w14:textId="77777777" w:rsidR="00D26E8E" w:rsidRPr="00C83E6A" w:rsidRDefault="00D26E8E" w:rsidP="001D6451">
      <w:pPr>
        <w:keepNext/>
        <w:ind w:left="567" w:hanging="567"/>
        <w:jc w:val="both"/>
        <w:outlineLvl w:val="0"/>
        <w:rPr>
          <w:rFonts w:eastAsia="PMingLiU"/>
          <w:lang w:val="sr-Latn-RS"/>
        </w:rPr>
      </w:pPr>
    </w:p>
    <w:p w14:paraId="37CD6C8E" w14:textId="77777777" w:rsidR="00D26E8E" w:rsidRPr="00C83E6A" w:rsidRDefault="00096D7F" w:rsidP="001D6451">
      <w:pPr>
        <w:keepNext/>
        <w:ind w:left="567" w:hanging="567"/>
        <w:jc w:val="both"/>
        <w:outlineLvl w:val="0"/>
        <w:rPr>
          <w:rFonts w:eastAsia="PMingLiU"/>
          <w:u w:val="single"/>
          <w:lang w:val="sr-Latn-RS"/>
        </w:rPr>
      </w:pPr>
      <w:r w:rsidRPr="00C83E6A">
        <w:rPr>
          <w:u w:val="single"/>
          <w:lang w:val="sr-Latn-RS"/>
        </w:rPr>
        <w:t>Resorpcija i distribucija</w:t>
      </w:r>
    </w:p>
    <w:p w14:paraId="5ECA4EBD" w14:textId="77777777" w:rsidR="00D26E8E" w:rsidRPr="00C83E6A" w:rsidRDefault="00D26E8E" w:rsidP="001D6451">
      <w:pPr>
        <w:keepNext/>
        <w:tabs>
          <w:tab w:val="clear" w:pos="567"/>
          <w:tab w:val="left" w:pos="0"/>
        </w:tabs>
        <w:jc w:val="both"/>
        <w:rPr>
          <w:rFonts w:eastAsia="PMingLiU"/>
          <w:color w:val="000000"/>
          <w:lang w:val="sr-Latn-RS"/>
        </w:rPr>
      </w:pPr>
    </w:p>
    <w:p w14:paraId="123B899F" w14:textId="77777777" w:rsidR="00D26E8E" w:rsidRPr="00C83E6A" w:rsidRDefault="00096D7F" w:rsidP="001D6451">
      <w:pPr>
        <w:tabs>
          <w:tab w:val="clear" w:pos="567"/>
          <w:tab w:val="left" w:pos="0"/>
        </w:tabs>
        <w:jc w:val="both"/>
        <w:rPr>
          <w:rFonts w:eastAsia="PMingLiU"/>
          <w:lang w:val="sr-Latn-RS"/>
        </w:rPr>
      </w:pPr>
      <w:r w:rsidRPr="00C83E6A">
        <w:rPr>
          <w:lang w:val="sr-Latn-RS"/>
        </w:rPr>
        <w:t>Nakon primjene pojedinačne subkutane doze od 140 mg ili 420 mg evolokumaba kod zdravih odraslih osoba, medijana maksimalne koncentracije u serumu postignuta je kroz 3 do 4 dana. Primjena pojedinačne subkutane doze od 140 mg rezultirala je srednjom vrijednošću C</w:t>
      </w:r>
      <w:r w:rsidRPr="00C83E6A">
        <w:rPr>
          <w:vertAlign w:val="subscript"/>
          <w:lang w:val="sr-Latn-RS"/>
        </w:rPr>
        <w:t>max</w:t>
      </w:r>
      <w:r w:rsidRPr="00C83E6A">
        <w:rPr>
          <w:lang w:val="sr-Latn-RS"/>
        </w:rPr>
        <w:t xml:space="preserve"> (SD) od 13,0 (10,4) mcg/ml i srednjom vrijednošću PIK</w:t>
      </w:r>
      <w:r w:rsidRPr="00C83E6A">
        <w:rPr>
          <w:vertAlign w:val="subscript"/>
          <w:lang w:val="sr-Latn-RS"/>
        </w:rPr>
        <w:t>last</w:t>
      </w:r>
      <w:r w:rsidRPr="00C83E6A">
        <w:rPr>
          <w:lang w:val="sr-Latn-RS"/>
        </w:rPr>
        <w:t xml:space="preserve"> (SD) od 96,5 (78,7) dan•mcg/ml. Primjena pojedinačne subkutane doze od 420 mg rezultirala je srednjom vrijednošću C</w:t>
      </w:r>
      <w:r w:rsidRPr="00C83E6A">
        <w:rPr>
          <w:vertAlign w:val="subscript"/>
          <w:lang w:val="sr-Latn-RS"/>
        </w:rPr>
        <w:t>max</w:t>
      </w:r>
      <w:r w:rsidRPr="00C83E6A">
        <w:rPr>
          <w:lang w:val="sr-Latn-RS"/>
        </w:rPr>
        <w:t xml:space="preserve"> (SD) od 46,0 (17,2) mcg/ml i srednjom vrijednošću PIK</w:t>
      </w:r>
      <w:r w:rsidRPr="00C83E6A">
        <w:rPr>
          <w:vertAlign w:val="subscript"/>
          <w:lang w:val="sr-Latn-RS"/>
        </w:rPr>
        <w:t>last</w:t>
      </w:r>
      <w:r w:rsidRPr="00C83E6A">
        <w:rPr>
          <w:lang w:val="sr-Latn-RS"/>
        </w:rPr>
        <w:t xml:space="preserve"> (SD) od 842 (333) dan•mcg/ml. Tri subkutane doze od 140 mg bile su bioekvivalentne jednoj subkutanoj dozi od 420 mg. Farmakokinetičkim modelima određeno je da apsolutna bioraspoloživost nakon s.c. doziranja iznosi 72%.</w:t>
      </w:r>
    </w:p>
    <w:p w14:paraId="111B4DE4" w14:textId="77777777" w:rsidR="00D26E8E" w:rsidRPr="00C83E6A" w:rsidRDefault="00D26E8E" w:rsidP="001D6451">
      <w:pPr>
        <w:tabs>
          <w:tab w:val="clear" w:pos="567"/>
          <w:tab w:val="left" w:pos="0"/>
        </w:tabs>
        <w:jc w:val="both"/>
        <w:rPr>
          <w:rFonts w:eastAsia="PMingLiU"/>
          <w:lang w:val="sr-Latn-RS"/>
        </w:rPr>
      </w:pPr>
    </w:p>
    <w:p w14:paraId="5F87CEFC" w14:textId="77777777" w:rsidR="00D26E8E" w:rsidRPr="00C83E6A" w:rsidRDefault="00096D7F" w:rsidP="001D6451">
      <w:pPr>
        <w:tabs>
          <w:tab w:val="clear" w:pos="567"/>
          <w:tab w:val="left" w:pos="0"/>
        </w:tabs>
        <w:jc w:val="both"/>
        <w:rPr>
          <w:rFonts w:eastAsia="PMingLiU"/>
          <w:lang w:val="sr-Latn-RS"/>
        </w:rPr>
      </w:pPr>
      <w:r w:rsidRPr="00C83E6A">
        <w:rPr>
          <w:lang w:val="sr-Latn-RS"/>
        </w:rPr>
        <w:t>Nakon primjene pojedinačne intravenske doze evolokumaba od 420 mg, srednja vrijednost (SD) volumena distribucije u stanju dinamičke ravnoteže procjenjuje se na 3,3 (0,5) l, ukazujući na ograničenu distribuciju evolokumaba u tkivima.</w:t>
      </w:r>
    </w:p>
    <w:p w14:paraId="781C8B5C" w14:textId="77777777" w:rsidR="00D26E8E" w:rsidRPr="00C83E6A" w:rsidRDefault="00D26E8E" w:rsidP="001D6451">
      <w:pPr>
        <w:ind w:left="567" w:hanging="567"/>
        <w:jc w:val="both"/>
        <w:outlineLvl w:val="0"/>
        <w:rPr>
          <w:rFonts w:eastAsia="PMingLiU"/>
          <w:u w:val="single"/>
          <w:lang w:val="sr-Latn-RS"/>
        </w:rPr>
      </w:pPr>
    </w:p>
    <w:p w14:paraId="7A1B4540" w14:textId="77777777" w:rsidR="00D26E8E" w:rsidRPr="00C83E6A" w:rsidRDefault="00096D7F" w:rsidP="001D6451">
      <w:pPr>
        <w:keepNext/>
        <w:ind w:left="567" w:hanging="567"/>
        <w:jc w:val="both"/>
        <w:outlineLvl w:val="0"/>
        <w:rPr>
          <w:rFonts w:eastAsia="PMingLiU"/>
          <w:u w:val="single"/>
          <w:lang w:val="sr-Latn-RS"/>
        </w:rPr>
      </w:pPr>
      <w:r w:rsidRPr="00C83E6A">
        <w:rPr>
          <w:u w:val="single"/>
          <w:lang w:val="sr-Latn-RS"/>
        </w:rPr>
        <w:t>Biotransformacija</w:t>
      </w:r>
    </w:p>
    <w:p w14:paraId="033C99C5" w14:textId="77777777" w:rsidR="00D26E8E" w:rsidRPr="00C83E6A" w:rsidRDefault="00D26E8E" w:rsidP="001D6451">
      <w:pPr>
        <w:keepNext/>
        <w:tabs>
          <w:tab w:val="clear" w:pos="567"/>
          <w:tab w:val="left" w:pos="0"/>
        </w:tabs>
        <w:jc w:val="both"/>
        <w:outlineLvl w:val="0"/>
        <w:rPr>
          <w:rFonts w:eastAsia="PMingLiU"/>
          <w:lang w:val="sr-Latn-RS"/>
        </w:rPr>
      </w:pPr>
    </w:p>
    <w:p w14:paraId="46E3D53C" w14:textId="77777777" w:rsidR="00D26E8E" w:rsidRPr="00C83E6A" w:rsidRDefault="005A05EE" w:rsidP="001D6451">
      <w:pPr>
        <w:tabs>
          <w:tab w:val="clear" w:pos="567"/>
          <w:tab w:val="left" w:pos="0"/>
        </w:tabs>
        <w:jc w:val="both"/>
        <w:rPr>
          <w:rFonts w:eastAsia="PMingLiU"/>
          <w:lang w:val="sr-Latn-RS"/>
        </w:rPr>
      </w:pPr>
      <w:r w:rsidRPr="00C83E6A">
        <w:rPr>
          <w:lang w:val="sr-Latn-RS"/>
        </w:rPr>
        <w:t>Evolokumab se sastoji isključivo od aminokiselina i ugljenih hidrata kao prirodni imunoglobulin tako da je malo vjerovatno da će se eliminisati putem metaboličkih mehanizama jetre. Očekuje se da će njegov metabolizam i eliminacija pratiti puteve klirensa imunoglobulina, što ima za posljedicu degradaciju do malih peptida i pojedinačnih aminokiselina.</w:t>
      </w:r>
    </w:p>
    <w:p w14:paraId="2D784142" w14:textId="77777777" w:rsidR="00D26E8E" w:rsidRPr="00C83E6A" w:rsidRDefault="00D26E8E" w:rsidP="001D6451">
      <w:pPr>
        <w:ind w:left="567" w:hanging="567"/>
        <w:jc w:val="both"/>
        <w:outlineLvl w:val="0"/>
        <w:rPr>
          <w:rFonts w:eastAsia="PMingLiU"/>
          <w:b/>
          <w:bCs/>
          <w:lang w:val="sr-Latn-RS"/>
        </w:rPr>
      </w:pPr>
    </w:p>
    <w:p w14:paraId="796C3F04" w14:textId="77777777" w:rsidR="00D26E8E" w:rsidRPr="00C83E6A" w:rsidRDefault="00096D7F" w:rsidP="001D6451">
      <w:pPr>
        <w:keepNext/>
        <w:ind w:left="567" w:hanging="567"/>
        <w:jc w:val="both"/>
        <w:outlineLvl w:val="0"/>
        <w:rPr>
          <w:rFonts w:eastAsia="PMingLiU"/>
          <w:u w:val="single"/>
          <w:lang w:val="sr-Latn-RS"/>
        </w:rPr>
      </w:pPr>
      <w:r w:rsidRPr="00C83E6A">
        <w:rPr>
          <w:u w:val="single"/>
          <w:lang w:val="sr-Latn-RS"/>
        </w:rPr>
        <w:t>Eliminacija</w:t>
      </w:r>
    </w:p>
    <w:p w14:paraId="48BA6594" w14:textId="77777777" w:rsidR="00D26E8E" w:rsidRPr="00C83E6A" w:rsidRDefault="00D26E8E" w:rsidP="001D6451">
      <w:pPr>
        <w:keepNext/>
        <w:tabs>
          <w:tab w:val="clear" w:pos="567"/>
          <w:tab w:val="left" w:pos="0"/>
        </w:tabs>
        <w:jc w:val="both"/>
        <w:rPr>
          <w:rFonts w:eastAsia="PMingLiU"/>
          <w:color w:val="000000"/>
          <w:lang w:val="sr-Latn-RS"/>
        </w:rPr>
      </w:pPr>
    </w:p>
    <w:p w14:paraId="31D7B29D" w14:textId="77777777" w:rsidR="00D26E8E" w:rsidRPr="00C83E6A" w:rsidRDefault="00096D7F" w:rsidP="001D6451">
      <w:pPr>
        <w:jc w:val="both"/>
        <w:rPr>
          <w:rFonts w:eastAsia="PMingLiU"/>
          <w:lang w:val="sr-Latn-RS"/>
        </w:rPr>
      </w:pPr>
      <w:r w:rsidRPr="00C83E6A">
        <w:rPr>
          <w:lang w:val="sr-Latn-RS"/>
        </w:rPr>
        <w:t>Efektivno poluvrijeme eliminacije evolokumaba je procijenjeno na 11 do 17 dana.</w:t>
      </w:r>
    </w:p>
    <w:p w14:paraId="3AEBEE54" w14:textId="77777777" w:rsidR="00D26E8E" w:rsidRPr="00C83E6A" w:rsidRDefault="00D26E8E" w:rsidP="001D6451">
      <w:pPr>
        <w:jc w:val="both"/>
        <w:rPr>
          <w:rFonts w:eastAsia="PMingLiU"/>
          <w:lang w:val="sr-Latn-RS"/>
        </w:rPr>
      </w:pPr>
    </w:p>
    <w:p w14:paraId="0822D653" w14:textId="77777777" w:rsidR="00D26E8E" w:rsidRPr="00C83E6A" w:rsidRDefault="00096D7F" w:rsidP="001D6451">
      <w:pPr>
        <w:autoSpaceDE w:val="0"/>
        <w:autoSpaceDN w:val="0"/>
        <w:jc w:val="both"/>
        <w:rPr>
          <w:rFonts w:eastAsia="PMingLiU"/>
          <w:lang w:val="sr-Latn-RS"/>
        </w:rPr>
      </w:pPr>
      <w:r w:rsidRPr="00C83E6A">
        <w:rPr>
          <w:lang w:val="sr-Latn-RS"/>
        </w:rPr>
        <w:t>Kod pacijenata sa primarnom hiperholesterolemijom ili miješanom dislipidemijom na terapiji visokim dozama statina, sistemska izloženost evolokumabu je bila nešto manja nego kod ispitanika na terapiji niskim do umjerenim dozama statina (odnos PIK</w:t>
      </w:r>
      <w:r w:rsidRPr="00C83E6A">
        <w:rPr>
          <w:vertAlign w:val="subscript"/>
          <w:lang w:val="sr-Latn-RS"/>
        </w:rPr>
        <w:t xml:space="preserve">last </w:t>
      </w:r>
      <w:r w:rsidRPr="00C83E6A">
        <w:rPr>
          <w:lang w:val="sr-Latn-RS"/>
        </w:rPr>
        <w:t>0,74 [90% CI 0,29; 1,9]). Povećanje klirensa od približno 20% djelimično je posredovano statinima koji dovode do povećanja koncentracije PCSK9, što nije negativno uticalo na farmakodinamski efekat evolokumaba na lipide. Populaciona farmakokinetička analiza nije pokazala nikakve mjerljive razlike u serumskim koncentracijama evolokumaba kod pacijenata sa hiperholesterolemijom (stečenom ili porodičnom) koji istovremeno uzimaju statine.</w:t>
      </w:r>
    </w:p>
    <w:p w14:paraId="3B84DE68" w14:textId="77777777" w:rsidR="00D26E8E" w:rsidRPr="00C83E6A" w:rsidRDefault="00D26E8E" w:rsidP="001D6451">
      <w:pPr>
        <w:jc w:val="both"/>
        <w:rPr>
          <w:rFonts w:eastAsia="PMingLiU"/>
          <w:lang w:val="sr-Latn-RS"/>
        </w:rPr>
      </w:pPr>
    </w:p>
    <w:p w14:paraId="735514B8" w14:textId="77777777" w:rsidR="00D26E8E" w:rsidRPr="00C83E6A" w:rsidRDefault="00096D7F" w:rsidP="001D6451">
      <w:pPr>
        <w:keepNext/>
        <w:jc w:val="both"/>
        <w:outlineLvl w:val="0"/>
        <w:rPr>
          <w:rFonts w:eastAsia="PMingLiU"/>
          <w:u w:val="single"/>
          <w:lang w:val="sr-Latn-RS"/>
        </w:rPr>
      </w:pPr>
      <w:r w:rsidRPr="00C83E6A">
        <w:rPr>
          <w:u w:val="single"/>
          <w:lang w:val="sr-Latn-RS"/>
        </w:rPr>
        <w:t>Linearnost/nelinearnost</w:t>
      </w:r>
    </w:p>
    <w:p w14:paraId="2208C7FD" w14:textId="77777777" w:rsidR="00D26E8E" w:rsidRPr="00C83E6A" w:rsidRDefault="00D26E8E" w:rsidP="001D6451">
      <w:pPr>
        <w:keepNext/>
        <w:tabs>
          <w:tab w:val="clear" w:pos="567"/>
          <w:tab w:val="left" w:pos="0"/>
        </w:tabs>
        <w:jc w:val="both"/>
        <w:outlineLvl w:val="0"/>
        <w:rPr>
          <w:rFonts w:eastAsia="PMingLiU"/>
          <w:color w:val="000000"/>
          <w:lang w:val="sr-Latn-RS"/>
        </w:rPr>
      </w:pPr>
    </w:p>
    <w:p w14:paraId="45ECF32D" w14:textId="77777777" w:rsidR="00D26E8E" w:rsidRPr="00C83E6A" w:rsidRDefault="00096D7F" w:rsidP="001D6451">
      <w:pPr>
        <w:tabs>
          <w:tab w:val="clear" w:pos="567"/>
          <w:tab w:val="left" w:pos="0"/>
        </w:tabs>
        <w:jc w:val="both"/>
        <w:rPr>
          <w:rFonts w:eastAsia="PMingLiU"/>
          <w:lang w:val="sr-Latn-RS"/>
        </w:rPr>
      </w:pPr>
      <w:r w:rsidRPr="00C83E6A">
        <w:rPr>
          <w:lang w:val="sr-Latn-RS"/>
        </w:rPr>
        <w:t>Nakon primjene pojedinačne intravenske doze od 420 mg, srednja vrijednost (SD) sistemskog klirensa procijenjena je na 12 (2) ml/h. U kliničkim studijama sa ponovljenom subkutanom primjenom tokom 12 nedjelja, uočeno je povećanje u izloženosti proporcionalno dozama, uz režime doza od 140 mg i više. Uočena je približno dvostruka do trostruka akumulacija u najnižim koncentracijama lijeka u serumu (C</w:t>
      </w:r>
      <w:r w:rsidRPr="00C83E6A">
        <w:rPr>
          <w:vertAlign w:val="subscript"/>
          <w:lang w:val="sr-Latn-RS"/>
        </w:rPr>
        <w:t>min</w:t>
      </w:r>
      <w:r w:rsidRPr="00C83E6A">
        <w:rPr>
          <w:lang w:val="sr-Latn-RS"/>
        </w:rPr>
        <w:t xml:space="preserve"> (SD) 7,21 (6,6)) nakon doza od 140 mg svake 2 nedjelje ili nakon doza od 420 mg primijenjenih mjesečno (C</w:t>
      </w:r>
      <w:r w:rsidRPr="00C83E6A">
        <w:rPr>
          <w:vertAlign w:val="subscript"/>
          <w:lang w:val="sr-Latn-RS"/>
        </w:rPr>
        <w:t>min</w:t>
      </w:r>
      <w:r w:rsidRPr="00C83E6A">
        <w:rPr>
          <w:lang w:val="sr-Latn-RS"/>
        </w:rPr>
        <w:t> (SD) 11,2 (10,8)), a te najniže koncentracije lijeka u serumu približile su se stanju dinamičke ravnoteže do 12. nedjelje doziranja.</w:t>
      </w:r>
    </w:p>
    <w:p w14:paraId="2E39DD04" w14:textId="77777777" w:rsidR="00D26E8E" w:rsidRPr="00C83E6A" w:rsidRDefault="00D26E8E" w:rsidP="001D6451">
      <w:pPr>
        <w:tabs>
          <w:tab w:val="clear" w:pos="567"/>
          <w:tab w:val="left" w:pos="0"/>
        </w:tabs>
        <w:jc w:val="both"/>
        <w:rPr>
          <w:rFonts w:eastAsia="PMingLiU"/>
          <w:lang w:val="sr-Latn-RS"/>
        </w:rPr>
      </w:pPr>
    </w:p>
    <w:p w14:paraId="7CE0A9DB" w14:textId="77777777" w:rsidR="00D26E8E" w:rsidRPr="00C83E6A" w:rsidRDefault="00096D7F" w:rsidP="001D6451">
      <w:pPr>
        <w:tabs>
          <w:tab w:val="clear" w:pos="567"/>
          <w:tab w:val="left" w:pos="0"/>
        </w:tabs>
        <w:jc w:val="both"/>
        <w:rPr>
          <w:rFonts w:eastAsia="PMingLiU"/>
          <w:lang w:val="sr-Latn-RS"/>
        </w:rPr>
      </w:pPr>
      <w:r w:rsidRPr="00C83E6A">
        <w:rPr>
          <w:lang w:val="sr-Latn-RS"/>
        </w:rPr>
        <w:lastRenderedPageBreak/>
        <w:t>Tokom perioda od 124 nedjelje nijesu primijećene nikakve promjene serumskih koncentracija koje zavise od vremena.</w:t>
      </w:r>
    </w:p>
    <w:p w14:paraId="51E13ABB" w14:textId="77777777" w:rsidR="00D26E8E" w:rsidRPr="00C83E6A" w:rsidRDefault="00D26E8E" w:rsidP="001D6451">
      <w:pPr>
        <w:tabs>
          <w:tab w:val="clear" w:pos="567"/>
          <w:tab w:val="left" w:pos="0"/>
        </w:tabs>
        <w:jc w:val="both"/>
        <w:outlineLvl w:val="0"/>
        <w:rPr>
          <w:rFonts w:eastAsia="PMingLiU"/>
          <w:color w:val="000000"/>
          <w:lang w:val="sr-Latn-RS"/>
        </w:rPr>
      </w:pPr>
    </w:p>
    <w:p w14:paraId="489701A8" w14:textId="77777777" w:rsidR="00D26E8E" w:rsidRPr="00C83E6A" w:rsidRDefault="00096D7F" w:rsidP="001D6451">
      <w:pPr>
        <w:keepNext/>
        <w:tabs>
          <w:tab w:val="clear" w:pos="567"/>
          <w:tab w:val="left" w:pos="0"/>
        </w:tabs>
        <w:jc w:val="both"/>
        <w:outlineLvl w:val="0"/>
        <w:rPr>
          <w:rFonts w:eastAsia="PMingLiU"/>
          <w:color w:val="000000"/>
          <w:u w:val="single"/>
          <w:lang w:val="sr-Latn-RS"/>
        </w:rPr>
      </w:pPr>
      <w:r w:rsidRPr="00C83E6A">
        <w:rPr>
          <w:color w:val="000000"/>
          <w:u w:val="single"/>
          <w:lang w:val="sr-Latn-RS"/>
        </w:rPr>
        <w:t>Oštećenje funkcije bubrega</w:t>
      </w:r>
    </w:p>
    <w:p w14:paraId="64276F2F" w14:textId="77777777" w:rsidR="00D26E8E" w:rsidRPr="00C83E6A" w:rsidRDefault="00D26E8E" w:rsidP="001D6451">
      <w:pPr>
        <w:keepNext/>
        <w:tabs>
          <w:tab w:val="clear" w:pos="567"/>
          <w:tab w:val="left" w:pos="0"/>
        </w:tabs>
        <w:jc w:val="both"/>
        <w:outlineLvl w:val="0"/>
        <w:rPr>
          <w:rFonts w:eastAsia="PMingLiU"/>
          <w:color w:val="000000"/>
          <w:lang w:val="sr-Latn-RS"/>
        </w:rPr>
      </w:pPr>
    </w:p>
    <w:p w14:paraId="57E14027" w14:textId="77777777" w:rsidR="00D26E8E" w:rsidRPr="00C83E6A" w:rsidRDefault="00096D7F" w:rsidP="001D6451">
      <w:pPr>
        <w:tabs>
          <w:tab w:val="clear" w:pos="567"/>
          <w:tab w:val="left" w:pos="0"/>
        </w:tabs>
        <w:jc w:val="both"/>
        <w:outlineLvl w:val="0"/>
        <w:rPr>
          <w:lang w:val="sr-Latn-RS"/>
        </w:rPr>
      </w:pPr>
      <w:r w:rsidRPr="00C83E6A">
        <w:rPr>
          <w:lang w:val="sr-Latn-RS"/>
        </w:rPr>
        <w:t>Nije potrebno prilagođavanje doze koda pacijenata sa oštećenjem bubrega. Podaci iz kliničkih ispitivanja evolokumaba ni</w:t>
      </w:r>
      <w:r w:rsidR="00E64B12" w:rsidRPr="00C83E6A">
        <w:rPr>
          <w:lang w:val="sr-Latn-RS"/>
        </w:rPr>
        <w:t>j</w:t>
      </w:r>
      <w:r w:rsidR="00B73AFE" w:rsidRPr="00C83E6A">
        <w:rPr>
          <w:lang w:val="sr-Latn-RS"/>
        </w:rPr>
        <w:t>e</w:t>
      </w:r>
      <w:r w:rsidRPr="00C83E6A">
        <w:rPr>
          <w:lang w:val="sr-Latn-RS"/>
        </w:rPr>
        <w:t>su otkrili razliku u farmakokinetici evolokumaba kod pacijenata sa blagim ili umjerenim oštećenjem bubrega u odnosu na pacijente bez oštećenja bubrega.</w:t>
      </w:r>
    </w:p>
    <w:p w14:paraId="77670F73" w14:textId="77777777" w:rsidR="00D26E8E" w:rsidRPr="00C83E6A" w:rsidRDefault="00D26E8E" w:rsidP="001D6451">
      <w:pPr>
        <w:tabs>
          <w:tab w:val="clear" w:pos="567"/>
          <w:tab w:val="left" w:pos="0"/>
        </w:tabs>
        <w:jc w:val="both"/>
        <w:outlineLvl w:val="0"/>
        <w:rPr>
          <w:lang w:val="sr-Latn-RS"/>
        </w:rPr>
      </w:pPr>
    </w:p>
    <w:p w14:paraId="47C8B593" w14:textId="77777777" w:rsidR="00B14AAD" w:rsidRPr="00C83E6A" w:rsidRDefault="003205EB" w:rsidP="001D6451">
      <w:pPr>
        <w:jc w:val="both"/>
        <w:rPr>
          <w:lang w:val="sr-Latn-RS"/>
        </w:rPr>
      </w:pPr>
      <w:r w:rsidRPr="00C83E6A">
        <w:rPr>
          <w:lang w:val="sr-Latn-RS"/>
        </w:rPr>
        <w:t>U kliničkom ispitivanju kod 18 pacijenata koji su imali normalnu funkciju bubrega (procijenjena stopa glomerularne filtracije [eGFR] ≥ 90 ml/min/1,73 m</w:t>
      </w:r>
      <w:r w:rsidRPr="00C83E6A">
        <w:rPr>
          <w:vertAlign w:val="superscript"/>
          <w:lang w:val="sr-Latn-RS"/>
        </w:rPr>
        <w:t>2</w:t>
      </w:r>
      <w:r w:rsidRPr="00C83E6A">
        <w:rPr>
          <w:lang w:val="sr-Latn-RS"/>
        </w:rPr>
        <w:t>, n = 6), ili teško oštećenje bubrega (eGFR 15 do 29 ml/min/1,73 m</w:t>
      </w:r>
      <w:r w:rsidRPr="00C83E6A">
        <w:rPr>
          <w:vertAlign w:val="superscript"/>
          <w:lang w:val="sr-Latn-RS"/>
        </w:rPr>
        <w:t>2</w:t>
      </w:r>
      <w:r w:rsidRPr="00C83E6A">
        <w:rPr>
          <w:lang w:val="sr-Latn-RS"/>
        </w:rPr>
        <w:t>, n = 6), ili terminalnu bubrežnu insuficijenciju (engl. end-stage renal disease – ESRD) koji su bili na hemodijalizi (n = 6), izloženost nevezanom evolokumabu, koja je procijenjena putem vrijednosti C</w:t>
      </w:r>
      <w:r w:rsidRPr="00C83E6A">
        <w:rPr>
          <w:vertAlign w:val="subscript"/>
          <w:lang w:val="sr-Latn-RS"/>
        </w:rPr>
        <w:t>max</w:t>
      </w:r>
      <w:r w:rsidRPr="00C83E6A">
        <w:rPr>
          <w:lang w:val="sr-Latn-RS"/>
        </w:rPr>
        <w:t xml:space="preserve"> nakon primjene jedne subkutane doze od 140 mg, umanjena je za 30% kod pacijenata sa teškim oštećenjem bubrega i za 45% kod pacijenata sa ESRD koji su bili na hemodijalizi. Izloženost procijenjena na osnovu vrijednosti PIK</w:t>
      </w:r>
      <w:r w:rsidRPr="00C83E6A">
        <w:rPr>
          <w:vertAlign w:val="subscript"/>
          <w:lang w:val="sr-Latn-RS"/>
        </w:rPr>
        <w:t>last</w:t>
      </w:r>
      <w:r w:rsidRPr="00C83E6A">
        <w:rPr>
          <w:lang w:val="sr-Latn-RS"/>
        </w:rPr>
        <w:t xml:space="preserve"> je umanjena za približno 24% kod pacijenata sa teškim oštećenjem bubrega i za približno 45% kod pacijenata sa ESRD koji su bili na hemodijalizi. Precizan mehanizam PK razlika nije poznat, međutim, razlike u tjelesnoj težini nijesu mogle da objasne te razlike. Pri tumačenju rezultata potrebno je uzeti u obzir neke faktore, uključujući mali uzorak i veliku varijabilnost među ispitanicima. Farmakodinamika i bezbjednost primjene evolokumaba kod pacijenata sa teškim oštećenjem bubrega i ESRD, su slični kao kod pacijenata sa normalnom funkcijom bubrega i nijesu postojale klinički značajne razlike u snižavanju nivoa LDL</w:t>
      </w:r>
      <w:r w:rsidRPr="00C83E6A">
        <w:rPr>
          <w:lang w:val="sr-Latn-RS"/>
        </w:rPr>
        <w:noBreakHyphen/>
        <w:t>C. Shodno tome, nije potrebno prilagođavanje doze kod pacijenata sa teškim oštećenjem bubrega ili pacijenata sa ESRD koji su na hemodijalizi.</w:t>
      </w:r>
    </w:p>
    <w:p w14:paraId="79EA998C" w14:textId="77777777" w:rsidR="00D26E8E" w:rsidRPr="00C83E6A" w:rsidRDefault="00D26E8E" w:rsidP="001D6451">
      <w:pPr>
        <w:tabs>
          <w:tab w:val="clear" w:pos="567"/>
          <w:tab w:val="left" w:pos="0"/>
        </w:tabs>
        <w:jc w:val="both"/>
        <w:outlineLvl w:val="0"/>
        <w:rPr>
          <w:rFonts w:eastAsia="PMingLiU"/>
          <w:color w:val="000000"/>
          <w:lang w:val="sr-Latn-RS"/>
        </w:rPr>
      </w:pPr>
    </w:p>
    <w:p w14:paraId="38118533" w14:textId="77777777" w:rsidR="00D26E8E" w:rsidRPr="00C83E6A" w:rsidRDefault="00096D7F" w:rsidP="001D6451">
      <w:pPr>
        <w:keepNext/>
        <w:tabs>
          <w:tab w:val="clear" w:pos="567"/>
          <w:tab w:val="left" w:pos="0"/>
        </w:tabs>
        <w:jc w:val="both"/>
        <w:outlineLvl w:val="0"/>
        <w:rPr>
          <w:rFonts w:eastAsia="PMingLiU"/>
          <w:color w:val="000000"/>
          <w:u w:val="single"/>
          <w:lang w:val="sr-Latn-RS"/>
        </w:rPr>
      </w:pPr>
      <w:r w:rsidRPr="00C83E6A">
        <w:rPr>
          <w:color w:val="000000"/>
          <w:u w:val="single"/>
          <w:lang w:val="sr-Latn-RS"/>
        </w:rPr>
        <w:t>Oštećenje jetre</w:t>
      </w:r>
    </w:p>
    <w:p w14:paraId="132FBA64" w14:textId="77777777" w:rsidR="00D26E8E" w:rsidRPr="00C83E6A" w:rsidRDefault="00D26E8E" w:rsidP="001D6451">
      <w:pPr>
        <w:keepNext/>
        <w:tabs>
          <w:tab w:val="clear" w:pos="567"/>
          <w:tab w:val="left" w:pos="0"/>
        </w:tabs>
        <w:jc w:val="both"/>
        <w:outlineLvl w:val="0"/>
        <w:rPr>
          <w:rFonts w:eastAsia="PMingLiU"/>
          <w:color w:val="000000"/>
          <w:lang w:val="sr-Latn-RS"/>
        </w:rPr>
      </w:pPr>
    </w:p>
    <w:p w14:paraId="290E3F09" w14:textId="77777777" w:rsidR="00D26E8E" w:rsidRPr="00C83E6A" w:rsidRDefault="00096D7F" w:rsidP="001D6451">
      <w:pPr>
        <w:jc w:val="both"/>
        <w:rPr>
          <w:rFonts w:eastAsia="PMingLiU"/>
          <w:lang w:val="sr-Latn-RS"/>
        </w:rPr>
      </w:pPr>
      <w:r w:rsidRPr="00C83E6A">
        <w:rPr>
          <w:lang w:val="sr-Latn-RS"/>
        </w:rPr>
        <w:t>Nije potrebno prilagođavanje doze kod pacijenata sa blagim oštećenjem funkcije jetre (Child</w:t>
      </w:r>
      <w:r w:rsidRPr="00C83E6A">
        <w:rPr>
          <w:lang w:val="sr-Latn-RS"/>
        </w:rPr>
        <w:noBreakHyphen/>
        <w:t>Pugh stadijum A). Pojedinačne doze evolokumaba od 140 mg primijenjene subkutano ispitane su kod 8 pacijenata sa blagim oštećenjem jetre, 8 pacijenata sa umjerenim oštećenjem jetre i 8 zdravih ispitanika. Utvrđeno je da je izloženost evolokumabu bila niža u odnosu na zdrave ispitanike za oko 40</w:t>
      </w:r>
      <w:r w:rsidRPr="00C83E6A">
        <w:rPr>
          <w:lang w:val="sr-Latn-RS"/>
        </w:rPr>
        <w:noBreakHyphen/>
        <w:t>50%. Međutim, početni nivoi PCSK9 kao i stepen i vremenski tok neutralizacije PCSK9 bili su podjednaki između pacijenata sa blagim ili umjerenim oštećenjem jetre i zdravim dobrovoljcima. To je rezultiralo sličnim vremenskim tokom i opsegom apsolutnog snižavanja LDL</w:t>
      </w:r>
      <w:r w:rsidRPr="00C83E6A">
        <w:rPr>
          <w:lang w:val="sr-Latn-RS"/>
        </w:rPr>
        <w:noBreakHyphen/>
        <w:t>C</w:t>
      </w:r>
      <w:r w:rsidRPr="00C83E6A">
        <w:rPr>
          <w:lang w:val="sr-Latn-RS"/>
        </w:rPr>
        <w:noBreakHyphen/>
        <w:t>a. Evolokumab nije ispitivan kod pacijenata sa teškim oštećenjem jetre (Child</w:t>
      </w:r>
      <w:r w:rsidRPr="00C83E6A">
        <w:rPr>
          <w:lang w:val="sr-Latn-RS"/>
        </w:rPr>
        <w:noBreakHyphen/>
        <w:t>Pugh stadijum C) (vidjeti dio 4.4).</w:t>
      </w:r>
    </w:p>
    <w:p w14:paraId="2294F24C" w14:textId="77777777" w:rsidR="00D26E8E" w:rsidRPr="00C83E6A" w:rsidRDefault="00D26E8E" w:rsidP="001D6451">
      <w:pPr>
        <w:jc w:val="both"/>
        <w:rPr>
          <w:rFonts w:eastAsia="PMingLiU"/>
          <w:lang w:val="sr-Latn-RS"/>
        </w:rPr>
      </w:pPr>
    </w:p>
    <w:p w14:paraId="471FFFA9" w14:textId="77777777" w:rsidR="00D26E8E" w:rsidRPr="00C83E6A" w:rsidRDefault="00096D7F" w:rsidP="001D6451">
      <w:pPr>
        <w:keepNext/>
        <w:tabs>
          <w:tab w:val="clear" w:pos="567"/>
          <w:tab w:val="left" w:pos="0"/>
        </w:tabs>
        <w:jc w:val="both"/>
        <w:outlineLvl w:val="0"/>
        <w:rPr>
          <w:rFonts w:eastAsia="PMingLiU"/>
          <w:color w:val="000000"/>
          <w:u w:val="single"/>
          <w:lang w:val="sr-Latn-RS"/>
        </w:rPr>
      </w:pPr>
      <w:r w:rsidRPr="00C83E6A">
        <w:rPr>
          <w:color w:val="000000"/>
          <w:u w:val="single"/>
          <w:lang w:val="sr-Latn-RS"/>
        </w:rPr>
        <w:t>Tjelesna težina</w:t>
      </w:r>
    </w:p>
    <w:p w14:paraId="319FDD1F" w14:textId="77777777" w:rsidR="00D26E8E" w:rsidRPr="00C83E6A" w:rsidRDefault="00D26E8E" w:rsidP="001D6451">
      <w:pPr>
        <w:keepNext/>
        <w:tabs>
          <w:tab w:val="clear" w:pos="567"/>
          <w:tab w:val="left" w:pos="0"/>
        </w:tabs>
        <w:jc w:val="both"/>
        <w:outlineLvl w:val="0"/>
        <w:rPr>
          <w:rFonts w:eastAsia="PMingLiU"/>
          <w:color w:val="000000"/>
          <w:u w:val="single"/>
          <w:lang w:val="sr-Latn-RS"/>
        </w:rPr>
      </w:pPr>
    </w:p>
    <w:p w14:paraId="5CF2C939" w14:textId="77777777" w:rsidR="00D26E8E" w:rsidRPr="00C83E6A" w:rsidRDefault="00096D7F" w:rsidP="001D6451">
      <w:pPr>
        <w:jc w:val="both"/>
        <w:rPr>
          <w:rFonts w:eastAsia="PMingLiU"/>
          <w:lang w:val="sr-Latn-RS"/>
        </w:rPr>
      </w:pPr>
      <w:r w:rsidRPr="00C83E6A">
        <w:rPr>
          <w:lang w:val="sr-Latn-RS"/>
        </w:rPr>
        <w:t>Tjelesna težina je bila značajna kovarijabila u populacionoj farmakokinetičkoj analizi, s uticajem na najniže koncentracije evolokumaba, međutim bez uticaja na smanjenje LDL</w:t>
      </w:r>
      <w:r w:rsidRPr="00C83E6A">
        <w:rPr>
          <w:lang w:val="sr-Latn-RS"/>
        </w:rPr>
        <w:noBreakHyphen/>
        <w:t>C</w:t>
      </w:r>
      <w:r w:rsidRPr="00C83E6A">
        <w:rPr>
          <w:lang w:val="sr-Latn-RS"/>
        </w:rPr>
        <w:noBreakHyphen/>
        <w:t>a. Nakon ponavljane subkutane primjene doze od 140 mg na svake 2 nedjelje, najniže koncentracije u 12. nedjelji bile su 147% više odnosno 70% niže kod pacijenata sa tjelesnom težinom od 69 kg odnosno 93 kg, u odnosu na one kod ispitanika uobičajene težine od 81 kg. Manji uticaj tjelesne težine je primijećen kod ponavljane subkutane primjene evolokumaba u dozama od 420 mg jednom mjesečno.</w:t>
      </w:r>
    </w:p>
    <w:p w14:paraId="691E7D2D" w14:textId="77777777" w:rsidR="00D26E8E" w:rsidRPr="00C83E6A" w:rsidRDefault="00D26E8E" w:rsidP="001D6451">
      <w:pPr>
        <w:jc w:val="both"/>
        <w:rPr>
          <w:rFonts w:eastAsia="PMingLiU"/>
          <w:lang w:val="sr-Latn-RS"/>
        </w:rPr>
      </w:pPr>
    </w:p>
    <w:p w14:paraId="51B50FA6" w14:textId="77777777" w:rsidR="00D26E8E" w:rsidRPr="00C83E6A" w:rsidRDefault="00096D7F" w:rsidP="001D6451">
      <w:pPr>
        <w:keepNext/>
        <w:tabs>
          <w:tab w:val="clear" w:pos="567"/>
          <w:tab w:val="left" w:pos="0"/>
        </w:tabs>
        <w:jc w:val="both"/>
        <w:outlineLvl w:val="0"/>
        <w:rPr>
          <w:rFonts w:eastAsia="PMingLiU"/>
          <w:u w:val="single"/>
          <w:lang w:val="sr-Latn-RS"/>
        </w:rPr>
      </w:pPr>
      <w:r w:rsidRPr="00C83E6A">
        <w:rPr>
          <w:u w:val="single"/>
          <w:lang w:val="sr-Latn-RS"/>
        </w:rPr>
        <w:t>Ostale posebne populacije</w:t>
      </w:r>
    </w:p>
    <w:p w14:paraId="2A262727" w14:textId="77777777" w:rsidR="00D26E8E" w:rsidRPr="00C83E6A" w:rsidRDefault="00D26E8E" w:rsidP="001D6451">
      <w:pPr>
        <w:keepNext/>
        <w:tabs>
          <w:tab w:val="clear" w:pos="567"/>
          <w:tab w:val="left" w:pos="0"/>
        </w:tabs>
        <w:jc w:val="both"/>
        <w:outlineLvl w:val="0"/>
        <w:rPr>
          <w:rFonts w:eastAsia="PMingLiU"/>
          <w:color w:val="000000"/>
          <w:lang w:val="sr-Latn-RS"/>
        </w:rPr>
      </w:pPr>
    </w:p>
    <w:p w14:paraId="14B8C076" w14:textId="77777777" w:rsidR="00183C90" w:rsidRPr="00C83E6A" w:rsidRDefault="00096D7F" w:rsidP="001D6451">
      <w:pPr>
        <w:tabs>
          <w:tab w:val="clear" w:pos="567"/>
          <w:tab w:val="left" w:pos="0"/>
        </w:tabs>
        <w:jc w:val="both"/>
        <w:rPr>
          <w:lang w:val="sr-Latn-RS"/>
        </w:rPr>
      </w:pPr>
      <w:r w:rsidRPr="00C83E6A">
        <w:rPr>
          <w:lang w:val="sr-Latn-RS"/>
        </w:rPr>
        <w:t>Populaciona farmakokinetička analiza ukazuje na to da nijesu potrebna prilagođavanja doze zavisno od uzrasta, rase ili pola. Farmakokinetika evolokumaba je bila pod uticajem tjelesne težine bez ikakvog značajnog efekta na sniženje nivoa LDL</w:t>
      </w:r>
      <w:r w:rsidRPr="00C83E6A">
        <w:rPr>
          <w:lang w:val="sr-Latn-RS"/>
        </w:rPr>
        <w:noBreakHyphen/>
        <w:t>C</w:t>
      </w:r>
      <w:r w:rsidRPr="00C83E6A">
        <w:rPr>
          <w:lang w:val="sr-Latn-RS"/>
        </w:rPr>
        <w:noBreakHyphen/>
        <w:t>a. Stoga, prilagođavanja doze nijesu potrebna na osnovu tjelesne težine.</w:t>
      </w:r>
    </w:p>
    <w:p w14:paraId="0EBC38AD" w14:textId="77777777" w:rsidR="00183C90" w:rsidRPr="00C83E6A" w:rsidRDefault="00183C90" w:rsidP="001D6451">
      <w:pPr>
        <w:tabs>
          <w:tab w:val="clear" w:pos="567"/>
          <w:tab w:val="left" w:pos="0"/>
        </w:tabs>
        <w:jc w:val="both"/>
        <w:rPr>
          <w:lang w:val="sr-Latn-RS"/>
        </w:rPr>
      </w:pPr>
    </w:p>
    <w:p w14:paraId="65D6F519" w14:textId="77777777" w:rsidR="00D26E8E" w:rsidRPr="00C83E6A" w:rsidRDefault="00183C90" w:rsidP="001D6451">
      <w:pPr>
        <w:tabs>
          <w:tab w:val="clear" w:pos="567"/>
          <w:tab w:val="left" w:pos="0"/>
        </w:tabs>
        <w:jc w:val="both"/>
        <w:rPr>
          <w:rFonts w:eastAsia="PMingLiU"/>
          <w:lang w:val="sr-Latn-RS"/>
        </w:rPr>
      </w:pPr>
      <w:r w:rsidRPr="00C83E6A">
        <w:rPr>
          <w:lang w:val="sr-Latn-RS"/>
        </w:rPr>
        <w:t>Farmakokinetika lijeka Repatha procijenjena je kod 103 pedijatrijska pacijenta uzrasta od ≥ 10 do &lt; 18 godina sa heterozigotnom porodičnom hiperholesterolemijom (HAUSER</w:t>
      </w:r>
      <w:r w:rsidRPr="00C83E6A">
        <w:rPr>
          <w:lang w:val="sr-Latn-RS"/>
        </w:rPr>
        <w:noBreakHyphen/>
        <w:t xml:space="preserve">RCT). Nakon subkutane primjene 420 mg lijeka Repatha jednom mjesečno, srednje (SD) najniže koncentracije u serumu iznosile su 22,4 (14,7) mcg/ml, 64,9 (34,4) mcg/ml i 25,8 (19,2) mcg/ml u vremenskim tačkama redom u </w:t>
      </w:r>
      <w:r w:rsidRPr="00C83E6A">
        <w:rPr>
          <w:lang w:val="sr-Latn-RS"/>
        </w:rPr>
        <w:lastRenderedPageBreak/>
        <w:t>12. nedjelji, 22. nedjelji i 24. nedjelji. Farmakokinetika lijeka Repatha procijenjena je kod 12 pedijatrijskih pacijenata uzrasta od ≥ 10 do &lt; 18 godina sa homozigotnom porodičnom hiperholesterolemijom (HAUSER</w:t>
      </w:r>
      <w:r w:rsidRPr="00C83E6A">
        <w:rPr>
          <w:lang w:val="sr-Latn-RS"/>
        </w:rPr>
        <w:noBreakHyphen/>
        <w:t>OLE). Nakon subkutane primjene 420 mg lijeka Repatha jednom mjesečno, srednje (SD) najniže koncentracije u serumu iznosile su 20,3 (14,6) mcg/ml u 12. nedjelji i 17,6 (28,6) mcg/ml u 80. nedjelji.</w:t>
      </w:r>
    </w:p>
    <w:p w14:paraId="0285BF64" w14:textId="77777777" w:rsidR="00D26E8E" w:rsidRPr="00C83E6A" w:rsidRDefault="00D26E8E" w:rsidP="001D6451">
      <w:pPr>
        <w:jc w:val="both"/>
        <w:outlineLvl w:val="0"/>
        <w:rPr>
          <w:rFonts w:eastAsia="PMingLiU"/>
          <w:lang w:val="sr-Latn-RS"/>
        </w:rPr>
      </w:pPr>
    </w:p>
    <w:p w14:paraId="600C03BE" w14:textId="77777777" w:rsidR="00D26E8E" w:rsidRPr="00C83E6A" w:rsidRDefault="00096D7F" w:rsidP="001D6451">
      <w:pPr>
        <w:keepNext/>
        <w:ind w:left="567" w:hanging="567"/>
        <w:jc w:val="both"/>
        <w:outlineLvl w:val="0"/>
        <w:rPr>
          <w:rFonts w:eastAsia="PMingLiU"/>
          <w:bCs/>
          <w:lang w:val="sr-Latn-RS"/>
        </w:rPr>
      </w:pPr>
      <w:r w:rsidRPr="00C83E6A">
        <w:rPr>
          <w:b/>
          <w:lang w:val="sr-Latn-RS"/>
        </w:rPr>
        <w:t>5.3.</w:t>
      </w:r>
      <w:r w:rsidRPr="00C83E6A">
        <w:rPr>
          <w:b/>
          <w:lang w:val="sr-Latn-RS"/>
        </w:rPr>
        <w:tab/>
        <w:t>Pretklinički podaci o bezbjednosti</w:t>
      </w:r>
    </w:p>
    <w:p w14:paraId="47F87481" w14:textId="77777777" w:rsidR="00D26E8E" w:rsidRPr="00C83E6A" w:rsidRDefault="00D26E8E" w:rsidP="001D6451">
      <w:pPr>
        <w:keepNext/>
        <w:jc w:val="both"/>
        <w:rPr>
          <w:rFonts w:eastAsia="PMingLiU"/>
          <w:lang w:val="sr-Latn-RS"/>
        </w:rPr>
      </w:pPr>
    </w:p>
    <w:p w14:paraId="219A5999" w14:textId="77777777" w:rsidR="00D26E8E" w:rsidRPr="00C83E6A" w:rsidRDefault="00096D7F" w:rsidP="001D6451">
      <w:pPr>
        <w:pStyle w:val="TableCenterAlign"/>
        <w:spacing w:before="0" w:after="0" w:line="240" w:lineRule="auto"/>
        <w:jc w:val="both"/>
        <w:rPr>
          <w:rFonts w:ascii="Times New Roman" w:eastAsia="PMingLiU" w:hAnsi="Times New Roman"/>
          <w:lang w:val="sr-Latn-RS"/>
        </w:rPr>
      </w:pPr>
      <w:r w:rsidRPr="00C83E6A">
        <w:rPr>
          <w:rFonts w:ascii="Times New Roman" w:hAnsi="Times New Roman"/>
          <w:lang w:val="sr-Latn-RS"/>
        </w:rPr>
        <w:t>Evolokumab nije bio karcinogen kod hrčaka pri mnogo većoj izloženosti u odnosu na pacijente koji su primali evolokumab u dozi od 420 mg jednom mjesečno. Mutageni potencijal evolokumaba nije ispitan.</w:t>
      </w:r>
    </w:p>
    <w:p w14:paraId="396C092A" w14:textId="77777777" w:rsidR="00D26E8E" w:rsidRPr="00C83E6A" w:rsidRDefault="00D26E8E" w:rsidP="001D6451">
      <w:pPr>
        <w:pStyle w:val="TableCenterAlign"/>
        <w:spacing w:before="0" w:after="0" w:line="240" w:lineRule="auto"/>
        <w:jc w:val="both"/>
        <w:rPr>
          <w:rFonts w:ascii="Times New Roman" w:eastAsia="PMingLiU" w:hAnsi="Times New Roman"/>
          <w:lang w:val="sr-Latn-RS"/>
        </w:rPr>
      </w:pPr>
    </w:p>
    <w:p w14:paraId="00A86E26" w14:textId="77777777" w:rsidR="00D26E8E" w:rsidRPr="00C83E6A" w:rsidRDefault="00096D7F" w:rsidP="001D6451">
      <w:pPr>
        <w:pStyle w:val="TableCenterAlign"/>
        <w:spacing w:before="0" w:after="0" w:line="240" w:lineRule="auto"/>
        <w:jc w:val="both"/>
        <w:rPr>
          <w:rFonts w:ascii="Times New Roman" w:eastAsia="PMingLiU" w:hAnsi="Times New Roman"/>
          <w:lang w:val="sr-Latn-RS"/>
        </w:rPr>
      </w:pPr>
      <w:r w:rsidRPr="00C83E6A">
        <w:rPr>
          <w:rFonts w:ascii="Times New Roman" w:hAnsi="Times New Roman"/>
          <w:lang w:val="sr-Latn-RS"/>
        </w:rPr>
        <w:t>Kod hrčaka i makaki majmuna, pri mnogo većoj izloženosti u odnosu na pacijente koji su primali evolokumab u dozi od 420 mg jednom mjesečno, nije uočen efekat na mušku ili žensku plodnost.</w:t>
      </w:r>
    </w:p>
    <w:p w14:paraId="58964BC5" w14:textId="77777777" w:rsidR="00D26E8E" w:rsidRPr="00C83E6A" w:rsidRDefault="00D26E8E" w:rsidP="001D6451">
      <w:pPr>
        <w:pStyle w:val="TableCenterAlign"/>
        <w:spacing w:before="0" w:after="0" w:line="240" w:lineRule="auto"/>
        <w:jc w:val="both"/>
        <w:rPr>
          <w:rFonts w:ascii="Times New Roman" w:eastAsia="PMingLiU" w:hAnsi="Times New Roman"/>
          <w:lang w:val="sr-Latn-RS"/>
        </w:rPr>
      </w:pPr>
    </w:p>
    <w:p w14:paraId="18E5A59A" w14:textId="77777777" w:rsidR="00D26E8E" w:rsidRPr="00C83E6A" w:rsidRDefault="00096D7F" w:rsidP="001D6451">
      <w:pPr>
        <w:jc w:val="both"/>
        <w:rPr>
          <w:rFonts w:eastAsia="PMingLiU"/>
          <w:lang w:val="sr-Latn-RS"/>
        </w:rPr>
      </w:pPr>
      <w:r w:rsidRPr="00C83E6A">
        <w:rPr>
          <w:lang w:val="sr-Latn-RS"/>
        </w:rPr>
        <w:t>Kod makaki majmuna pri mnogo većoj izloženosti u odnosu na pacijente koji su primali evolokumab u dozi od 420 mg jednom mjesečno, nijesu uočeni efekti na embrio</w:t>
      </w:r>
      <w:r w:rsidRPr="00C83E6A">
        <w:rPr>
          <w:lang w:val="sr-Latn-RS"/>
        </w:rPr>
        <w:noBreakHyphen/>
        <w:t>fetalni ili postnatalni razvoj (do uzrasta od 6 mjeseci).</w:t>
      </w:r>
    </w:p>
    <w:p w14:paraId="3D0ECC81" w14:textId="77777777" w:rsidR="00D26E8E" w:rsidRPr="00C83E6A" w:rsidRDefault="00D26E8E" w:rsidP="001D6451">
      <w:pPr>
        <w:pStyle w:val="TableCenterAlign"/>
        <w:spacing w:before="0" w:after="0" w:line="240" w:lineRule="auto"/>
        <w:jc w:val="both"/>
        <w:rPr>
          <w:rFonts w:ascii="Times New Roman" w:eastAsia="PMingLiU" w:hAnsi="Times New Roman"/>
          <w:bCs/>
          <w:lang w:val="sr-Latn-RS"/>
        </w:rPr>
      </w:pPr>
    </w:p>
    <w:p w14:paraId="7BC8363E" w14:textId="77777777" w:rsidR="00D26E8E" w:rsidRPr="00C83E6A" w:rsidRDefault="00096D7F" w:rsidP="001D6451">
      <w:pPr>
        <w:tabs>
          <w:tab w:val="clear" w:pos="567"/>
          <w:tab w:val="left" w:pos="0"/>
        </w:tabs>
        <w:jc w:val="both"/>
        <w:rPr>
          <w:rFonts w:eastAsia="PMingLiU"/>
          <w:lang w:val="sr-Latn-RS"/>
        </w:rPr>
      </w:pPr>
      <w:r w:rsidRPr="00C83E6A">
        <w:rPr>
          <w:lang w:val="sr-Latn-RS"/>
        </w:rPr>
        <w:t>Osim smanjenog odgovora antitijela zavisnog od T–ćelija kod makaki majmuna imunizovanih KLH</w:t>
      </w:r>
      <w:r w:rsidRPr="00C83E6A">
        <w:rPr>
          <w:lang w:val="sr-Latn-RS"/>
        </w:rPr>
        <w:noBreakHyphen/>
        <w:t xml:space="preserve">om (engl. </w:t>
      </w:r>
      <w:r w:rsidRPr="00C83E6A">
        <w:rPr>
          <w:i/>
          <w:lang w:val="sr-Latn-RS"/>
        </w:rPr>
        <w:t>Keyhole limpet haemocyanin</w:t>
      </w:r>
      <w:r w:rsidRPr="00C83E6A">
        <w:rPr>
          <w:lang w:val="sr-Latn-RS"/>
        </w:rPr>
        <w:t>) poslije 3 mjeseca liječenja evolokumabom, nikakva neželjena dejstva nijesu uočena kod hrčaka (do 3 mjeseca) i makaki majmuna (do 6 mjeseci) pri mnogo većoj izloženosti u odnosu na pacijente koji su primali evolokumab u dozi od 420 mg jednom mjesečno. Ciljani farmakološki efekat smanjenih vrijednosti LDL</w:t>
      </w:r>
      <w:r w:rsidRPr="00C83E6A">
        <w:rPr>
          <w:lang w:val="sr-Latn-RS"/>
        </w:rPr>
        <w:noBreakHyphen/>
        <w:t>C</w:t>
      </w:r>
      <w:r w:rsidRPr="00C83E6A">
        <w:rPr>
          <w:lang w:val="sr-Latn-RS"/>
        </w:rPr>
        <w:noBreakHyphen/>
        <w:t>a i ukupnog holesterola u serumu je uočen u ovim studijama i bio je reverzibilan po prestanku liječenja.</w:t>
      </w:r>
    </w:p>
    <w:p w14:paraId="4AD5F05E" w14:textId="77777777" w:rsidR="00D26E8E" w:rsidRPr="00C83E6A" w:rsidRDefault="00D26E8E" w:rsidP="001D6451">
      <w:pPr>
        <w:tabs>
          <w:tab w:val="clear" w:pos="567"/>
          <w:tab w:val="left" w:pos="0"/>
        </w:tabs>
        <w:jc w:val="both"/>
        <w:rPr>
          <w:rFonts w:eastAsia="PMingLiU"/>
          <w:lang w:val="sr-Latn-RS"/>
        </w:rPr>
      </w:pPr>
    </w:p>
    <w:p w14:paraId="0C732C21" w14:textId="77777777" w:rsidR="00D26E8E" w:rsidRPr="00C83E6A" w:rsidRDefault="00096D7F" w:rsidP="001D6451">
      <w:pPr>
        <w:tabs>
          <w:tab w:val="clear" w:pos="567"/>
          <w:tab w:val="left" w:pos="0"/>
        </w:tabs>
        <w:jc w:val="both"/>
        <w:rPr>
          <w:rFonts w:eastAsia="PMingLiU"/>
          <w:lang w:val="sr-Latn-RS"/>
        </w:rPr>
      </w:pPr>
      <w:r w:rsidRPr="00C83E6A">
        <w:rPr>
          <w:lang w:val="sr-Latn-RS"/>
        </w:rPr>
        <w:t>U kombinaciji sa rosuvastatinom tokom 3 mjeseca, nijesu uočena neželjena dejstva kod makaki majmuna pri mnogo većoj izloženosti u odnosu na pacijente koji su primali evolokumab u dozi od 420 mg jednom mjesečno. Smanjenje vrijednosti LDL</w:t>
      </w:r>
      <w:r w:rsidRPr="00C83E6A">
        <w:rPr>
          <w:lang w:val="sr-Latn-RS"/>
        </w:rPr>
        <w:noBreakHyphen/>
        <w:t>C</w:t>
      </w:r>
      <w:r w:rsidRPr="00C83E6A">
        <w:rPr>
          <w:lang w:val="sr-Latn-RS"/>
        </w:rPr>
        <w:noBreakHyphen/>
        <w:t>a i ukupnog holesterola u serumu je bilo izraženije nego što je prethodno primijećeno u liječenju samo evolokumabom i bilo je reverzibilno po prestanku liječenja.</w:t>
      </w:r>
    </w:p>
    <w:p w14:paraId="3970A9A2" w14:textId="77777777" w:rsidR="00D26E8E" w:rsidRPr="00C83E6A" w:rsidRDefault="00D26E8E" w:rsidP="001D6451">
      <w:pPr>
        <w:jc w:val="both"/>
        <w:rPr>
          <w:rFonts w:eastAsia="PMingLiU"/>
          <w:lang w:val="sr-Latn-RS"/>
        </w:rPr>
      </w:pPr>
    </w:p>
    <w:p w14:paraId="322875CF" w14:textId="77777777" w:rsidR="00D26E8E" w:rsidRPr="00C83E6A" w:rsidRDefault="00D26E8E" w:rsidP="001D6451">
      <w:pPr>
        <w:jc w:val="both"/>
        <w:rPr>
          <w:rFonts w:eastAsia="PMingLiU"/>
          <w:lang w:val="sr-Latn-RS"/>
        </w:rPr>
      </w:pPr>
    </w:p>
    <w:p w14:paraId="553C4464" w14:textId="77777777" w:rsidR="00D26E8E" w:rsidRPr="00C83E6A" w:rsidRDefault="00096D7F" w:rsidP="001D6451">
      <w:pPr>
        <w:keepNext/>
        <w:suppressAutoHyphens/>
        <w:ind w:left="567" w:hanging="567"/>
        <w:jc w:val="both"/>
        <w:rPr>
          <w:rFonts w:eastAsia="PMingLiU"/>
          <w:b/>
          <w:bCs/>
          <w:lang w:val="sr-Latn-RS"/>
        </w:rPr>
      </w:pPr>
      <w:r w:rsidRPr="00C83E6A">
        <w:rPr>
          <w:b/>
          <w:lang w:val="sr-Latn-RS"/>
        </w:rPr>
        <w:t>6.</w:t>
      </w:r>
      <w:r w:rsidRPr="00C83E6A">
        <w:rPr>
          <w:b/>
          <w:lang w:val="sr-Latn-RS"/>
        </w:rPr>
        <w:tab/>
        <w:t>FARMACEUTSKI PODACI</w:t>
      </w:r>
    </w:p>
    <w:p w14:paraId="04188108" w14:textId="77777777" w:rsidR="00D26E8E" w:rsidRPr="00C83E6A" w:rsidRDefault="00D26E8E" w:rsidP="001D6451">
      <w:pPr>
        <w:keepNext/>
        <w:jc w:val="both"/>
        <w:rPr>
          <w:rFonts w:eastAsia="PMingLiU"/>
          <w:lang w:val="sr-Latn-RS"/>
        </w:rPr>
      </w:pPr>
    </w:p>
    <w:p w14:paraId="3B1AB512" w14:textId="77777777" w:rsidR="00D26E8E" w:rsidRPr="00C83E6A" w:rsidRDefault="00096D7F" w:rsidP="001D6451">
      <w:pPr>
        <w:keepNext/>
        <w:ind w:left="567" w:hanging="567"/>
        <w:jc w:val="both"/>
        <w:outlineLvl w:val="0"/>
        <w:rPr>
          <w:rFonts w:eastAsia="PMingLiU"/>
          <w:bCs/>
          <w:lang w:val="sr-Latn-RS"/>
        </w:rPr>
      </w:pPr>
      <w:r w:rsidRPr="00C83E6A">
        <w:rPr>
          <w:b/>
          <w:lang w:val="sr-Latn-RS"/>
        </w:rPr>
        <w:t>6.1.</w:t>
      </w:r>
      <w:r w:rsidRPr="00C83E6A">
        <w:rPr>
          <w:b/>
          <w:lang w:val="sr-Latn-RS"/>
        </w:rPr>
        <w:tab/>
        <w:t>Lista pomoćnih supstanci</w:t>
      </w:r>
    </w:p>
    <w:p w14:paraId="0AA150FA" w14:textId="77777777" w:rsidR="00D26E8E" w:rsidRPr="00C83E6A" w:rsidRDefault="00D26E8E" w:rsidP="001D6451">
      <w:pPr>
        <w:keepNext/>
        <w:jc w:val="both"/>
        <w:rPr>
          <w:rFonts w:eastAsia="PMingLiU"/>
          <w:i/>
          <w:iCs/>
          <w:lang w:val="sr-Latn-RS"/>
        </w:rPr>
      </w:pPr>
    </w:p>
    <w:p w14:paraId="69AC4DB3" w14:textId="77777777" w:rsidR="00D26E8E" w:rsidRPr="00C83E6A" w:rsidRDefault="00096D7F" w:rsidP="001D6451">
      <w:pPr>
        <w:keepNext/>
        <w:jc w:val="both"/>
        <w:rPr>
          <w:rFonts w:eastAsia="PMingLiU"/>
          <w:lang w:val="sr-Latn-RS"/>
        </w:rPr>
      </w:pPr>
      <w:r w:rsidRPr="00C83E6A">
        <w:rPr>
          <w:lang w:val="sr-Latn-RS"/>
        </w:rPr>
        <w:t>Prolin</w:t>
      </w:r>
    </w:p>
    <w:p w14:paraId="122DC5CA" w14:textId="77777777" w:rsidR="00D26E8E" w:rsidRPr="00C83E6A" w:rsidRDefault="00096D7F" w:rsidP="001D6451">
      <w:pPr>
        <w:keepNext/>
        <w:jc w:val="both"/>
        <w:rPr>
          <w:rFonts w:eastAsia="PMingLiU"/>
          <w:lang w:val="sr-Latn-RS"/>
        </w:rPr>
      </w:pPr>
      <w:r w:rsidRPr="00C83E6A">
        <w:rPr>
          <w:lang w:val="sr-Latn-RS"/>
        </w:rPr>
        <w:t>Sirćetna kiselina, glacijalna</w:t>
      </w:r>
    </w:p>
    <w:p w14:paraId="0109903B" w14:textId="77777777" w:rsidR="00D26E8E" w:rsidRPr="00C83E6A" w:rsidRDefault="00096D7F" w:rsidP="001D6451">
      <w:pPr>
        <w:keepNext/>
        <w:jc w:val="both"/>
        <w:rPr>
          <w:rFonts w:eastAsia="PMingLiU"/>
          <w:lang w:val="sr-Latn-RS"/>
        </w:rPr>
      </w:pPr>
      <w:r w:rsidRPr="00C83E6A">
        <w:rPr>
          <w:lang w:val="sr-Latn-RS"/>
        </w:rPr>
        <w:t>Polisorbat 80</w:t>
      </w:r>
    </w:p>
    <w:p w14:paraId="66EEE399" w14:textId="77777777" w:rsidR="00D26E8E" w:rsidRPr="00C83E6A" w:rsidRDefault="00096D7F" w:rsidP="001D6451">
      <w:pPr>
        <w:keepNext/>
        <w:jc w:val="both"/>
        <w:rPr>
          <w:rFonts w:eastAsia="PMingLiU"/>
          <w:lang w:val="sr-Latn-RS"/>
        </w:rPr>
      </w:pPr>
      <w:r w:rsidRPr="00C83E6A">
        <w:rPr>
          <w:lang w:val="sr-Latn-RS"/>
        </w:rPr>
        <w:t>Natrijum hidroksid (za podešavanje pH)</w:t>
      </w:r>
    </w:p>
    <w:p w14:paraId="759E5F50" w14:textId="77777777" w:rsidR="00D26E8E" w:rsidRPr="00C83E6A" w:rsidRDefault="00096D7F" w:rsidP="001D6451">
      <w:pPr>
        <w:keepNext/>
        <w:jc w:val="both"/>
        <w:rPr>
          <w:rFonts w:eastAsia="PMingLiU"/>
          <w:lang w:val="sr-Latn-RS"/>
        </w:rPr>
      </w:pPr>
      <w:r w:rsidRPr="00C83E6A">
        <w:rPr>
          <w:lang w:val="sr-Latn-RS"/>
        </w:rPr>
        <w:t>Voda za injekcije</w:t>
      </w:r>
    </w:p>
    <w:p w14:paraId="57BB7998" w14:textId="77777777" w:rsidR="00D26E8E" w:rsidRPr="00C83E6A" w:rsidRDefault="00D26E8E" w:rsidP="001D6451">
      <w:pPr>
        <w:jc w:val="both"/>
        <w:rPr>
          <w:rFonts w:eastAsia="PMingLiU"/>
          <w:lang w:val="sr-Latn-RS"/>
        </w:rPr>
      </w:pPr>
    </w:p>
    <w:p w14:paraId="4E34AE09" w14:textId="77777777" w:rsidR="00D26E8E" w:rsidRPr="00C83E6A" w:rsidRDefault="00096D7F" w:rsidP="001D6451">
      <w:pPr>
        <w:keepNext/>
        <w:ind w:left="567" w:hanging="567"/>
        <w:jc w:val="both"/>
        <w:outlineLvl w:val="0"/>
        <w:rPr>
          <w:rFonts w:eastAsia="PMingLiU"/>
          <w:bCs/>
          <w:lang w:val="sr-Latn-RS"/>
        </w:rPr>
      </w:pPr>
      <w:r w:rsidRPr="00C83E6A">
        <w:rPr>
          <w:b/>
          <w:lang w:val="sr-Latn-RS"/>
        </w:rPr>
        <w:t>6.2.</w:t>
      </w:r>
      <w:r w:rsidRPr="00C83E6A">
        <w:rPr>
          <w:b/>
          <w:lang w:val="sr-Latn-RS"/>
        </w:rPr>
        <w:tab/>
        <w:t>Inkompatibilnosti</w:t>
      </w:r>
    </w:p>
    <w:p w14:paraId="560565BC" w14:textId="77777777" w:rsidR="00D26E8E" w:rsidRPr="00C83E6A" w:rsidRDefault="00D26E8E" w:rsidP="001D6451">
      <w:pPr>
        <w:keepNext/>
        <w:jc w:val="both"/>
        <w:rPr>
          <w:rFonts w:eastAsia="PMingLiU"/>
          <w:lang w:val="sr-Latn-RS"/>
        </w:rPr>
      </w:pPr>
    </w:p>
    <w:p w14:paraId="281CCEAA" w14:textId="77777777" w:rsidR="00D26E8E" w:rsidRPr="00C83E6A" w:rsidRDefault="00096D7F" w:rsidP="001D6451">
      <w:pPr>
        <w:tabs>
          <w:tab w:val="clear" w:pos="567"/>
        </w:tabs>
        <w:jc w:val="both"/>
        <w:rPr>
          <w:rFonts w:eastAsia="PMingLiU"/>
          <w:b/>
          <w:bCs/>
          <w:i/>
          <w:iCs/>
          <w:lang w:val="sr-Latn-RS"/>
        </w:rPr>
      </w:pPr>
      <w:r w:rsidRPr="00C83E6A">
        <w:rPr>
          <w:lang w:val="sr-Latn-RS"/>
        </w:rPr>
        <w:t>Zbog nedostatka studija kompatibilnosti ovaj lijek se ne smije miješati sa drugim ljekovima.</w:t>
      </w:r>
    </w:p>
    <w:p w14:paraId="743122C7" w14:textId="77777777" w:rsidR="00D26E8E" w:rsidRPr="00C83E6A" w:rsidRDefault="00D26E8E" w:rsidP="001D6451">
      <w:pPr>
        <w:jc w:val="both"/>
        <w:rPr>
          <w:rFonts w:eastAsia="PMingLiU"/>
          <w:lang w:val="sr-Latn-RS"/>
        </w:rPr>
      </w:pPr>
    </w:p>
    <w:p w14:paraId="1C101006" w14:textId="77777777" w:rsidR="00D26E8E" w:rsidRPr="00C83E6A" w:rsidRDefault="00096D7F" w:rsidP="001D6451">
      <w:pPr>
        <w:keepNext/>
        <w:ind w:left="567" w:hanging="567"/>
        <w:jc w:val="both"/>
        <w:outlineLvl w:val="0"/>
        <w:rPr>
          <w:rFonts w:eastAsia="PMingLiU"/>
          <w:bCs/>
          <w:lang w:val="sr-Latn-RS"/>
        </w:rPr>
      </w:pPr>
      <w:r w:rsidRPr="00C83E6A">
        <w:rPr>
          <w:b/>
          <w:lang w:val="sr-Latn-RS"/>
        </w:rPr>
        <w:t>6.3.</w:t>
      </w:r>
      <w:r w:rsidRPr="00C83E6A">
        <w:rPr>
          <w:b/>
          <w:lang w:val="sr-Latn-RS"/>
        </w:rPr>
        <w:tab/>
        <w:t>Rok upotrebe</w:t>
      </w:r>
    </w:p>
    <w:p w14:paraId="2F438707" w14:textId="77777777" w:rsidR="00D26E8E" w:rsidRPr="00C83E6A" w:rsidRDefault="00D26E8E" w:rsidP="001D6451">
      <w:pPr>
        <w:keepNext/>
        <w:jc w:val="both"/>
        <w:rPr>
          <w:rFonts w:eastAsia="PMingLiU"/>
          <w:lang w:val="sr-Latn-RS"/>
        </w:rPr>
      </w:pPr>
    </w:p>
    <w:p w14:paraId="4C9FF102" w14:textId="77777777" w:rsidR="00D26E8E" w:rsidRPr="00C83E6A" w:rsidRDefault="00237093" w:rsidP="001D6451">
      <w:pPr>
        <w:jc w:val="both"/>
        <w:rPr>
          <w:rFonts w:eastAsia="PMingLiU"/>
          <w:lang w:val="sr-Latn-RS"/>
        </w:rPr>
      </w:pPr>
      <w:r w:rsidRPr="00C83E6A">
        <w:rPr>
          <w:lang w:val="sr-Latn-RS"/>
        </w:rPr>
        <w:t>3 godine.</w:t>
      </w:r>
    </w:p>
    <w:p w14:paraId="2EEDAEEC" w14:textId="77777777" w:rsidR="00D26E8E" w:rsidRPr="00C83E6A" w:rsidRDefault="00D26E8E" w:rsidP="001D6451">
      <w:pPr>
        <w:jc w:val="both"/>
        <w:rPr>
          <w:lang w:val="sr-Latn-RS"/>
        </w:rPr>
      </w:pPr>
    </w:p>
    <w:p w14:paraId="6F5C5B5D" w14:textId="77777777" w:rsidR="00D26E8E" w:rsidRPr="00C83E6A" w:rsidRDefault="00793BA4" w:rsidP="001D6451">
      <w:pPr>
        <w:jc w:val="both"/>
        <w:rPr>
          <w:lang w:val="sr-Latn-RS"/>
        </w:rPr>
      </w:pPr>
      <w:r w:rsidRPr="00C83E6A">
        <w:rPr>
          <w:lang w:val="sr-Latn-RS"/>
        </w:rPr>
        <w:t>Ukoliko se izvadi iz frižidera, lijek Repatha može se čuvati na sobnoj temperaturi (do 25°C ) u originalnom pakovanju i mora se upotrijebiti u roku od 1 mjeseca.</w:t>
      </w:r>
    </w:p>
    <w:p w14:paraId="4529F180" w14:textId="77777777" w:rsidR="00D26E8E" w:rsidRPr="00C83E6A" w:rsidRDefault="00D26E8E" w:rsidP="001D6451">
      <w:pPr>
        <w:jc w:val="both"/>
        <w:rPr>
          <w:rFonts w:eastAsia="PMingLiU"/>
          <w:lang w:val="sr-Latn-RS"/>
        </w:rPr>
      </w:pPr>
    </w:p>
    <w:p w14:paraId="752298EF" w14:textId="77777777" w:rsidR="00D26E8E" w:rsidRPr="00C83E6A" w:rsidRDefault="00096D7F" w:rsidP="001D6451">
      <w:pPr>
        <w:keepNext/>
        <w:ind w:left="567" w:hanging="567"/>
        <w:jc w:val="both"/>
        <w:outlineLvl w:val="0"/>
        <w:rPr>
          <w:rFonts w:eastAsia="PMingLiU"/>
          <w:b/>
          <w:bCs/>
          <w:lang w:val="sr-Latn-RS"/>
        </w:rPr>
      </w:pPr>
      <w:r w:rsidRPr="00C83E6A">
        <w:rPr>
          <w:b/>
          <w:lang w:val="sr-Latn-RS"/>
        </w:rPr>
        <w:t>6.4.</w:t>
      </w:r>
      <w:r w:rsidRPr="00C83E6A">
        <w:rPr>
          <w:b/>
          <w:lang w:val="sr-Latn-RS"/>
        </w:rPr>
        <w:tab/>
        <w:t>Posebne mjere upozorenja pri čuvanju lijeka</w:t>
      </w:r>
    </w:p>
    <w:p w14:paraId="4B51F612" w14:textId="77777777" w:rsidR="00D26E8E" w:rsidRPr="00C83E6A" w:rsidRDefault="00D26E8E" w:rsidP="001D6451">
      <w:pPr>
        <w:keepNext/>
        <w:ind w:left="567" w:hanging="567"/>
        <w:jc w:val="both"/>
        <w:outlineLvl w:val="0"/>
        <w:rPr>
          <w:rFonts w:eastAsia="PMingLiU"/>
          <w:lang w:val="sr-Latn-RS"/>
        </w:rPr>
      </w:pPr>
    </w:p>
    <w:p w14:paraId="2259E416" w14:textId="77777777" w:rsidR="00D26E8E" w:rsidRPr="00C83E6A" w:rsidRDefault="00096D7F" w:rsidP="001D6451">
      <w:pPr>
        <w:jc w:val="both"/>
        <w:rPr>
          <w:rFonts w:eastAsia="PMingLiU"/>
          <w:lang w:val="sr-Latn-RS"/>
        </w:rPr>
      </w:pPr>
      <w:r w:rsidRPr="00C83E6A">
        <w:rPr>
          <w:lang w:val="sr-Latn-RS"/>
        </w:rPr>
        <w:t>Čuvati u frižideru (2°C – 8°C). Ne zamrzavati.</w:t>
      </w:r>
    </w:p>
    <w:p w14:paraId="6D8FE7C5" w14:textId="77777777" w:rsidR="00D26E8E" w:rsidRPr="00C83E6A" w:rsidRDefault="00D26E8E" w:rsidP="001D6451">
      <w:pPr>
        <w:jc w:val="both"/>
        <w:rPr>
          <w:rFonts w:eastAsia="PMingLiU"/>
          <w:lang w:val="sr-Latn-RS"/>
        </w:rPr>
      </w:pPr>
    </w:p>
    <w:p w14:paraId="44BB7138" w14:textId="77777777" w:rsidR="00D26E8E" w:rsidRPr="00C83E6A" w:rsidRDefault="00541D37" w:rsidP="001D6451">
      <w:pPr>
        <w:jc w:val="both"/>
        <w:rPr>
          <w:rFonts w:eastAsia="PMingLiU"/>
          <w:lang w:val="sr-Latn-RS"/>
        </w:rPr>
      </w:pPr>
      <w:r w:rsidRPr="00C83E6A">
        <w:rPr>
          <w:lang w:val="sr-Latn-RS"/>
        </w:rPr>
        <w:t>Napunjeni injekcioni pen čuvati u originalnom pakovanju radi zaštite od svjetlosti.</w:t>
      </w:r>
    </w:p>
    <w:p w14:paraId="65F34689" w14:textId="77777777" w:rsidR="00D26E8E" w:rsidRPr="00C83E6A" w:rsidRDefault="00D26E8E" w:rsidP="001D6451">
      <w:pPr>
        <w:jc w:val="both"/>
        <w:rPr>
          <w:rFonts w:eastAsia="PMingLiU"/>
          <w:lang w:val="sr-Latn-RS"/>
        </w:rPr>
      </w:pPr>
    </w:p>
    <w:p w14:paraId="40E5E3C4" w14:textId="77777777" w:rsidR="00D26E8E" w:rsidRPr="00C83E6A" w:rsidRDefault="00096D7F" w:rsidP="001D6451">
      <w:pPr>
        <w:keepNext/>
        <w:ind w:left="567" w:hanging="567"/>
        <w:jc w:val="both"/>
        <w:outlineLvl w:val="0"/>
        <w:rPr>
          <w:rFonts w:eastAsia="PMingLiU"/>
          <w:b/>
          <w:bCs/>
          <w:lang w:val="sr-Latn-RS"/>
        </w:rPr>
      </w:pPr>
      <w:r w:rsidRPr="00C83E6A">
        <w:rPr>
          <w:b/>
          <w:lang w:val="sr-Latn-RS"/>
        </w:rPr>
        <w:t>6.5.</w:t>
      </w:r>
      <w:r w:rsidRPr="00C83E6A">
        <w:rPr>
          <w:b/>
          <w:lang w:val="sr-Latn-RS"/>
        </w:rPr>
        <w:tab/>
        <w:t>Vrsta i sadržaj pakovanja</w:t>
      </w:r>
    </w:p>
    <w:p w14:paraId="4E5FA28E" w14:textId="77777777" w:rsidR="00D26E8E" w:rsidRPr="00C83E6A" w:rsidRDefault="00D26E8E" w:rsidP="001D6451">
      <w:pPr>
        <w:keepNext/>
        <w:jc w:val="both"/>
        <w:outlineLvl w:val="0"/>
        <w:rPr>
          <w:rFonts w:eastAsia="PMingLiU"/>
          <w:b/>
          <w:bCs/>
          <w:lang w:val="sr-Latn-RS"/>
        </w:rPr>
      </w:pPr>
    </w:p>
    <w:p w14:paraId="45EBFEF2" w14:textId="77777777" w:rsidR="00D26E8E" w:rsidRPr="00C83E6A" w:rsidRDefault="00096D7F" w:rsidP="001D6451">
      <w:pPr>
        <w:jc w:val="both"/>
        <w:rPr>
          <w:rFonts w:eastAsia="PMingLiU"/>
          <w:lang w:val="sr-Latn-RS"/>
        </w:rPr>
      </w:pPr>
      <w:r w:rsidRPr="00C83E6A">
        <w:rPr>
          <w:lang w:val="sr-Latn-RS"/>
        </w:rPr>
        <w:t>Jedan ml rastvora u napunjenom injekcionom penu za jednokratnu upotrebu napravljen od stakla tipa I, sa iglom od nerđajućeg čelika prečnika 27 G.</w:t>
      </w:r>
    </w:p>
    <w:p w14:paraId="09A07032" w14:textId="77777777" w:rsidR="00D26E8E" w:rsidRPr="00C83E6A" w:rsidRDefault="00D26E8E" w:rsidP="001D6451">
      <w:pPr>
        <w:jc w:val="both"/>
        <w:rPr>
          <w:rFonts w:eastAsia="PMingLiU"/>
          <w:lang w:val="sr-Latn-RS"/>
        </w:rPr>
      </w:pPr>
    </w:p>
    <w:p w14:paraId="6AFCDF51" w14:textId="77777777" w:rsidR="00D26E8E" w:rsidRPr="00C83E6A" w:rsidRDefault="00096D7F" w:rsidP="001D6451">
      <w:pPr>
        <w:jc w:val="both"/>
        <w:rPr>
          <w:rFonts w:eastAsia="PMingLiU"/>
          <w:lang w:val="sr-Latn-RS"/>
        </w:rPr>
      </w:pPr>
      <w:r w:rsidRPr="00C83E6A">
        <w:rPr>
          <w:lang w:val="sr-Latn-RS"/>
        </w:rPr>
        <w:t>Poklopac igle napunjenog injekcionog pena napravljen je od suve prirodne gume (derivat lateksa, vidjeti dio 4.4).</w:t>
      </w:r>
    </w:p>
    <w:p w14:paraId="02100643" w14:textId="77777777" w:rsidR="00D26E8E" w:rsidRPr="00C83E6A" w:rsidRDefault="00D26E8E" w:rsidP="001D6451">
      <w:pPr>
        <w:jc w:val="both"/>
        <w:rPr>
          <w:rFonts w:eastAsia="PMingLiU"/>
          <w:lang w:val="sr-Latn-RS"/>
        </w:rPr>
      </w:pPr>
    </w:p>
    <w:p w14:paraId="3BCCF81B" w14:textId="77777777" w:rsidR="00D26E8E" w:rsidRPr="00C83E6A" w:rsidRDefault="00096D7F" w:rsidP="001D6451">
      <w:pPr>
        <w:jc w:val="both"/>
        <w:rPr>
          <w:rFonts w:eastAsia="PMingLiU"/>
          <w:lang w:val="sr-Latn-RS"/>
        </w:rPr>
      </w:pPr>
      <w:r w:rsidRPr="00C83E6A">
        <w:rPr>
          <w:lang w:val="sr-Latn-RS"/>
        </w:rPr>
        <w:t>Pakovanje: 2 napunjena injekciona pena.</w:t>
      </w:r>
    </w:p>
    <w:p w14:paraId="4156ED64" w14:textId="77777777" w:rsidR="00D26E8E" w:rsidRPr="00C83E6A" w:rsidRDefault="00D26E8E" w:rsidP="001D6451">
      <w:pPr>
        <w:jc w:val="both"/>
        <w:rPr>
          <w:rFonts w:eastAsia="PMingLiU"/>
          <w:lang w:val="sr-Latn-RS"/>
        </w:rPr>
      </w:pPr>
    </w:p>
    <w:p w14:paraId="3EDDEE0B" w14:textId="77777777" w:rsidR="00D26E8E" w:rsidRPr="00C83E6A" w:rsidRDefault="00096D7F" w:rsidP="001D6451">
      <w:pPr>
        <w:keepNext/>
        <w:ind w:left="567" w:hanging="567"/>
        <w:jc w:val="both"/>
        <w:outlineLvl w:val="0"/>
        <w:rPr>
          <w:rFonts w:eastAsia="PMingLiU"/>
          <w:bCs/>
          <w:lang w:val="sr-Latn-RS"/>
        </w:rPr>
      </w:pPr>
      <w:r w:rsidRPr="00C83E6A">
        <w:rPr>
          <w:b/>
          <w:lang w:val="sr-Latn-RS"/>
        </w:rPr>
        <w:t>6.6.</w:t>
      </w:r>
      <w:r w:rsidRPr="00C83E6A">
        <w:rPr>
          <w:b/>
          <w:lang w:val="sr-Latn-RS"/>
        </w:rPr>
        <w:tab/>
        <w:t>Posebne mjere opreza pri odlaganju materijala koji treba odbaciti nakon primjene lijeka (i druga uputstva za rukovanje lijekom)</w:t>
      </w:r>
    </w:p>
    <w:p w14:paraId="6301F83B" w14:textId="77777777" w:rsidR="00D26E8E" w:rsidRPr="00C83E6A" w:rsidRDefault="00D26E8E" w:rsidP="001D6451">
      <w:pPr>
        <w:keepNext/>
        <w:jc w:val="both"/>
        <w:rPr>
          <w:rFonts w:eastAsia="PMingLiU"/>
          <w:lang w:val="sr-Latn-RS"/>
        </w:rPr>
      </w:pPr>
    </w:p>
    <w:p w14:paraId="5D9CE046" w14:textId="77777777" w:rsidR="00D26E8E" w:rsidRPr="00C83E6A" w:rsidRDefault="00096D7F" w:rsidP="001D6451">
      <w:pPr>
        <w:pStyle w:val="NewNormalstyle"/>
        <w:jc w:val="both"/>
        <w:rPr>
          <w:lang w:val="sr-Latn-RS"/>
        </w:rPr>
      </w:pPr>
      <w:r w:rsidRPr="00C83E6A">
        <w:rPr>
          <w:lang w:val="sr-Latn-RS"/>
        </w:rPr>
        <w:t>Rastvor je potrebno provjeriti prije primjene. Rastvor nemojte primjenjivati ako sadrži čestice, ako je mutan ili ako mu je promijenjena boja. Radi izbjegavanja nelagodnosti na mjestu primjene, prije ubrizgavanja potrebno je sačekati da lijek dostigne sobnu temperaturu (do 25°C). Ubrizgajte sav sadržaj napunjenog injekcionog pena. Napunjeni injekcioni pen je napravljen tako da se kompletan sadržaj primijeni kao fiksna doza.</w:t>
      </w:r>
    </w:p>
    <w:p w14:paraId="6654CC65" w14:textId="77777777" w:rsidR="00D26E8E" w:rsidRPr="00C83E6A" w:rsidRDefault="00D26E8E" w:rsidP="001D6451">
      <w:pPr>
        <w:jc w:val="both"/>
        <w:rPr>
          <w:rFonts w:eastAsia="PMingLiU"/>
          <w:lang w:val="sr-Latn-RS"/>
        </w:rPr>
      </w:pPr>
    </w:p>
    <w:p w14:paraId="5E323F44" w14:textId="77777777" w:rsidR="00D26E8E" w:rsidRPr="00C83E6A" w:rsidRDefault="00096D7F" w:rsidP="001D6451">
      <w:pPr>
        <w:jc w:val="both"/>
        <w:rPr>
          <w:rFonts w:eastAsia="PMingLiU"/>
          <w:lang w:val="sr-Latn-RS"/>
        </w:rPr>
      </w:pPr>
      <w:r w:rsidRPr="00C83E6A">
        <w:rPr>
          <w:lang w:val="sr-Latn-RS"/>
        </w:rPr>
        <w:t>Neupotrijebljeni lijek ili ostatak lijeka se uništava u skladu sa važećim propisima.</w:t>
      </w:r>
    </w:p>
    <w:p w14:paraId="48B20837" w14:textId="77777777" w:rsidR="00D26E8E" w:rsidRPr="00C83E6A" w:rsidRDefault="00D26E8E" w:rsidP="001D6451">
      <w:pPr>
        <w:jc w:val="both"/>
        <w:rPr>
          <w:rFonts w:eastAsia="PMingLiU"/>
          <w:lang w:val="sr-Latn-RS"/>
        </w:rPr>
      </w:pPr>
    </w:p>
    <w:p w14:paraId="70F21120" w14:textId="77777777" w:rsidR="00D26E8E" w:rsidRPr="00C83E6A" w:rsidRDefault="00D26E8E" w:rsidP="001D6451">
      <w:pPr>
        <w:ind w:left="567" w:hanging="567"/>
        <w:jc w:val="both"/>
        <w:rPr>
          <w:rFonts w:eastAsia="PMingLiU"/>
          <w:lang w:val="sr-Latn-RS"/>
        </w:rPr>
      </w:pPr>
    </w:p>
    <w:p w14:paraId="1187EF17" w14:textId="77777777" w:rsidR="00D26E8E" w:rsidRPr="00C83E6A" w:rsidRDefault="00096D7F" w:rsidP="001D6451">
      <w:pPr>
        <w:keepNext/>
        <w:ind w:left="567" w:hanging="567"/>
        <w:jc w:val="both"/>
        <w:rPr>
          <w:rFonts w:eastAsia="PMingLiU"/>
          <w:bCs/>
          <w:lang w:val="sr-Latn-RS"/>
        </w:rPr>
      </w:pPr>
      <w:r w:rsidRPr="00C83E6A">
        <w:rPr>
          <w:b/>
          <w:lang w:val="sr-Latn-RS"/>
        </w:rPr>
        <w:t>7.</w:t>
      </w:r>
      <w:r w:rsidRPr="00C83E6A">
        <w:rPr>
          <w:b/>
          <w:lang w:val="sr-Latn-RS"/>
        </w:rPr>
        <w:tab/>
        <w:t>NOSILAC DOZVOLE</w:t>
      </w:r>
    </w:p>
    <w:p w14:paraId="26EBFF94" w14:textId="77777777" w:rsidR="00D26E8E" w:rsidRPr="00C83E6A" w:rsidRDefault="00D26E8E" w:rsidP="001D6451">
      <w:pPr>
        <w:keepNext/>
        <w:tabs>
          <w:tab w:val="clear" w:pos="567"/>
        </w:tabs>
        <w:jc w:val="both"/>
        <w:rPr>
          <w:rFonts w:eastAsia="PMingLiU"/>
          <w:caps/>
          <w:lang w:val="sr-Latn-RS"/>
        </w:rPr>
      </w:pPr>
    </w:p>
    <w:p w14:paraId="46B88969" w14:textId="77777777" w:rsidR="00D26E8E" w:rsidRPr="00C83E6A" w:rsidRDefault="00DC3D11" w:rsidP="001D6451">
      <w:pPr>
        <w:pStyle w:val="Header"/>
        <w:keepNext/>
        <w:tabs>
          <w:tab w:val="left" w:pos="284"/>
        </w:tabs>
        <w:jc w:val="both"/>
        <w:rPr>
          <w:rFonts w:ascii="Times New Roman" w:eastAsia="PMingLiU" w:hAnsi="Times New Roman"/>
          <w:sz w:val="22"/>
          <w:lang w:val="sr-Latn-RS"/>
        </w:rPr>
      </w:pPr>
      <w:r w:rsidRPr="00C83E6A">
        <w:rPr>
          <w:rFonts w:ascii="Times New Roman" w:hAnsi="Times New Roman"/>
          <w:sz w:val="22"/>
          <w:lang w:val="sr-Latn-RS"/>
        </w:rPr>
        <w:t>Amicus Pharma d.o.o. Podgorica</w:t>
      </w:r>
    </w:p>
    <w:p w14:paraId="307C6746" w14:textId="77777777" w:rsidR="00D26E8E" w:rsidRPr="00C83E6A" w:rsidRDefault="00556652" w:rsidP="001D6451">
      <w:pPr>
        <w:keepNext/>
        <w:jc w:val="both"/>
        <w:rPr>
          <w:rFonts w:eastAsia="PMingLiU"/>
          <w:lang w:val="sr-Latn-RS"/>
        </w:rPr>
      </w:pPr>
      <w:r w:rsidRPr="00C83E6A">
        <w:rPr>
          <w:lang w:val="sr-Latn-RS"/>
        </w:rPr>
        <w:t>Bulevar Džordža Vašingtona 51</w:t>
      </w:r>
    </w:p>
    <w:p w14:paraId="2F92B203" w14:textId="77777777" w:rsidR="00D26E8E" w:rsidRPr="00C83E6A" w:rsidRDefault="00DC3D11" w:rsidP="001D6451">
      <w:pPr>
        <w:keepNext/>
        <w:jc w:val="both"/>
        <w:rPr>
          <w:rFonts w:eastAsia="PMingLiU"/>
          <w:lang w:val="sr-Latn-RS"/>
        </w:rPr>
      </w:pPr>
      <w:r w:rsidRPr="00C83E6A">
        <w:rPr>
          <w:lang w:val="sr-Latn-RS"/>
        </w:rPr>
        <w:t>Podgorica, Crna Gora</w:t>
      </w:r>
    </w:p>
    <w:p w14:paraId="29C3DECE" w14:textId="77777777" w:rsidR="00D26E8E" w:rsidRPr="00C83E6A" w:rsidRDefault="00D26E8E" w:rsidP="001D6451">
      <w:pPr>
        <w:jc w:val="both"/>
        <w:rPr>
          <w:rFonts w:eastAsia="PMingLiU"/>
          <w:lang w:val="sr-Latn-RS"/>
        </w:rPr>
      </w:pPr>
    </w:p>
    <w:p w14:paraId="5A4743C6" w14:textId="77777777" w:rsidR="00D26E8E" w:rsidRPr="00C83E6A" w:rsidRDefault="00D26E8E" w:rsidP="001D6451">
      <w:pPr>
        <w:jc w:val="both"/>
        <w:rPr>
          <w:rFonts w:eastAsia="PMingLiU"/>
          <w:lang w:val="sr-Latn-RS"/>
        </w:rPr>
      </w:pPr>
    </w:p>
    <w:p w14:paraId="7AFFF2F2" w14:textId="77777777" w:rsidR="00D26E8E" w:rsidRPr="00C83E6A" w:rsidRDefault="00096D7F" w:rsidP="001D6451">
      <w:pPr>
        <w:keepNext/>
        <w:ind w:left="567" w:hanging="567"/>
        <w:jc w:val="both"/>
        <w:rPr>
          <w:rFonts w:eastAsia="PMingLiU"/>
          <w:b/>
          <w:bCs/>
          <w:lang w:val="sr-Latn-RS"/>
        </w:rPr>
      </w:pPr>
      <w:r w:rsidRPr="00C83E6A">
        <w:rPr>
          <w:b/>
          <w:lang w:val="sr-Latn-RS"/>
        </w:rPr>
        <w:t>8.</w:t>
      </w:r>
      <w:r w:rsidRPr="00C83E6A">
        <w:rPr>
          <w:b/>
          <w:lang w:val="sr-Latn-RS"/>
        </w:rPr>
        <w:tab/>
        <w:t>BROJ DOZVOLE ZA STAVLJANJE LIJEKA U PROMET</w:t>
      </w:r>
    </w:p>
    <w:p w14:paraId="48181CF5" w14:textId="77777777" w:rsidR="00D26E8E" w:rsidRPr="00C83E6A" w:rsidRDefault="00D26E8E" w:rsidP="001D6451">
      <w:pPr>
        <w:keepNext/>
        <w:ind w:left="567" w:hanging="567"/>
        <w:jc w:val="both"/>
        <w:rPr>
          <w:rFonts w:eastAsia="PMingLiU"/>
          <w:b/>
          <w:bCs/>
          <w:lang w:val="sr-Latn-RS"/>
        </w:rPr>
      </w:pPr>
    </w:p>
    <w:p w14:paraId="2447EF36" w14:textId="089D7788" w:rsidR="00D26E8E" w:rsidRPr="00C83E6A" w:rsidRDefault="00C83E6A" w:rsidP="001D6451">
      <w:pPr>
        <w:jc w:val="both"/>
        <w:rPr>
          <w:rFonts w:eastAsia="PMingLiU"/>
          <w:lang w:val="sr-Latn-RS"/>
        </w:rPr>
      </w:pPr>
      <w:r w:rsidRPr="00C83E6A">
        <w:rPr>
          <w:rFonts w:eastAsia="PMingLiU"/>
          <w:lang w:val="sr-Latn-RS"/>
        </w:rPr>
        <w:t>2030/25/2010 - 4918</w:t>
      </w:r>
    </w:p>
    <w:p w14:paraId="46EB5BFA" w14:textId="5C4BCB50" w:rsidR="00C83E6A" w:rsidRPr="00C83E6A" w:rsidRDefault="00C83E6A" w:rsidP="001D6451">
      <w:pPr>
        <w:jc w:val="both"/>
        <w:rPr>
          <w:rFonts w:eastAsia="PMingLiU"/>
          <w:lang w:val="sr-Latn-RS"/>
        </w:rPr>
      </w:pPr>
    </w:p>
    <w:p w14:paraId="76B0A788" w14:textId="0FEF391C" w:rsidR="00D26E8E" w:rsidRPr="00C83E6A" w:rsidRDefault="00D26E8E" w:rsidP="001D6451">
      <w:pPr>
        <w:jc w:val="both"/>
        <w:rPr>
          <w:rFonts w:eastAsia="PMingLiU"/>
          <w:lang w:val="sr-Latn-RS"/>
        </w:rPr>
      </w:pPr>
    </w:p>
    <w:p w14:paraId="72180018" w14:textId="7A8F98D4" w:rsidR="00D26E8E" w:rsidRPr="00C83E6A" w:rsidRDefault="00096D7F" w:rsidP="001D6451">
      <w:pPr>
        <w:keepNext/>
        <w:ind w:left="567" w:hanging="567"/>
        <w:jc w:val="both"/>
        <w:rPr>
          <w:b/>
          <w:lang w:val="sr-Latn-RS"/>
        </w:rPr>
      </w:pPr>
      <w:r w:rsidRPr="00C83E6A">
        <w:rPr>
          <w:b/>
          <w:lang w:val="sr-Latn-RS"/>
        </w:rPr>
        <w:t>9.</w:t>
      </w:r>
      <w:r w:rsidRPr="00C83E6A">
        <w:rPr>
          <w:b/>
          <w:lang w:val="sr-Latn-RS"/>
        </w:rPr>
        <w:tab/>
        <w:t>DATUM PRVE DOZVOLE/OBNOVE DOZVOLE ZA STAVLJANJE LIJEKA U PROMET</w:t>
      </w:r>
    </w:p>
    <w:p w14:paraId="71E70622" w14:textId="4088049F" w:rsidR="00C83E6A" w:rsidRPr="00C83E6A" w:rsidRDefault="00C83E6A" w:rsidP="001D6451">
      <w:pPr>
        <w:keepNext/>
        <w:ind w:left="567" w:hanging="567"/>
        <w:jc w:val="both"/>
        <w:rPr>
          <w:b/>
          <w:lang w:val="sr-Latn-RS"/>
        </w:rPr>
      </w:pPr>
    </w:p>
    <w:p w14:paraId="30966F4F" w14:textId="185E1EBD" w:rsidR="00C83E6A" w:rsidRPr="00C83E6A" w:rsidRDefault="00C83E6A" w:rsidP="00C83E6A">
      <w:pPr>
        <w:tabs>
          <w:tab w:val="left" w:pos="540"/>
        </w:tabs>
        <w:rPr>
          <w:bCs/>
          <w:lang w:val="sr-Latn-RS"/>
        </w:rPr>
      </w:pPr>
      <w:r w:rsidRPr="00C83E6A">
        <w:rPr>
          <w:bCs/>
          <w:lang w:val="sr-Latn-RS"/>
        </w:rPr>
        <w:t xml:space="preserve">Datum prve dozvole: </w:t>
      </w:r>
      <w:r w:rsidRPr="00C83E6A">
        <w:rPr>
          <w:rFonts w:eastAsia="SimSun"/>
          <w:lang w:val="sr-Latn-RS"/>
        </w:rPr>
        <w:t>26.04.2018. godine</w:t>
      </w:r>
    </w:p>
    <w:p w14:paraId="1639069D" w14:textId="475194BA" w:rsidR="00C83E6A" w:rsidRPr="00C83E6A" w:rsidRDefault="00C83E6A" w:rsidP="00C83E6A">
      <w:pPr>
        <w:tabs>
          <w:tab w:val="left" w:pos="540"/>
        </w:tabs>
        <w:rPr>
          <w:bCs/>
          <w:lang w:val="sr-Latn-RS"/>
        </w:rPr>
      </w:pPr>
      <w:r w:rsidRPr="00C83E6A">
        <w:rPr>
          <w:bCs/>
          <w:lang w:val="sr-Latn-RS"/>
        </w:rPr>
        <w:t xml:space="preserve">Datum poslednje obnove dozvole: </w:t>
      </w:r>
      <w:r w:rsidRPr="00C83E6A">
        <w:rPr>
          <w:rFonts w:eastAsia="SimSun"/>
          <w:lang w:val="sr-Latn-RS" w:eastAsia="mk-MK"/>
        </w:rPr>
        <w:t>08</w:t>
      </w:r>
      <w:r w:rsidRPr="00C83E6A">
        <w:rPr>
          <w:rFonts w:eastAsia="SimSun"/>
          <w:lang w:val="sr-Latn-RS" w:eastAsia="mk-MK"/>
        </w:rPr>
        <w:t>.05.2025. godine</w:t>
      </w:r>
    </w:p>
    <w:p w14:paraId="1DC883F2" w14:textId="4976AEC9" w:rsidR="00D26E8E" w:rsidRPr="00C83E6A" w:rsidRDefault="00D26E8E" w:rsidP="001D6451">
      <w:pPr>
        <w:keepNext/>
        <w:jc w:val="both"/>
        <w:rPr>
          <w:rFonts w:eastAsia="PMingLiU"/>
          <w:lang w:val="sr-Latn-RS"/>
        </w:rPr>
      </w:pPr>
    </w:p>
    <w:p w14:paraId="0FE34954" w14:textId="77777777" w:rsidR="00D26E8E" w:rsidRPr="00C83E6A" w:rsidRDefault="00D26E8E" w:rsidP="001D6451">
      <w:pPr>
        <w:jc w:val="both"/>
        <w:rPr>
          <w:rFonts w:eastAsia="PMingLiU"/>
          <w:lang w:val="sr-Latn-RS"/>
        </w:rPr>
      </w:pPr>
    </w:p>
    <w:p w14:paraId="1D80DC42" w14:textId="77777777" w:rsidR="00D26E8E" w:rsidRPr="00C83E6A" w:rsidRDefault="00096D7F" w:rsidP="001D6451">
      <w:pPr>
        <w:keepNext/>
        <w:ind w:left="567" w:hanging="567"/>
        <w:jc w:val="both"/>
        <w:rPr>
          <w:rFonts w:eastAsia="PMingLiU"/>
          <w:b/>
          <w:bCs/>
          <w:lang w:val="sr-Latn-RS"/>
        </w:rPr>
      </w:pPr>
      <w:r w:rsidRPr="00C83E6A">
        <w:rPr>
          <w:b/>
          <w:lang w:val="sr-Latn-RS"/>
        </w:rPr>
        <w:t>10.</w:t>
      </w:r>
      <w:r w:rsidRPr="00C83E6A">
        <w:rPr>
          <w:b/>
          <w:lang w:val="sr-Latn-RS"/>
        </w:rPr>
        <w:tab/>
        <w:t>DATUM REVIZIJE TEKSTA</w:t>
      </w:r>
    </w:p>
    <w:p w14:paraId="738E810D" w14:textId="77777777" w:rsidR="00D26E8E" w:rsidRPr="00C83E6A" w:rsidRDefault="00D26E8E" w:rsidP="001D6451">
      <w:pPr>
        <w:keepNext/>
        <w:jc w:val="both"/>
        <w:rPr>
          <w:rFonts w:eastAsia="PMingLiU"/>
          <w:lang w:val="sr-Latn-RS"/>
        </w:rPr>
      </w:pPr>
    </w:p>
    <w:p w14:paraId="56852A99" w14:textId="77777777" w:rsidR="00307203" w:rsidRPr="00C83E6A" w:rsidRDefault="00307203" w:rsidP="001D6451">
      <w:pPr>
        <w:numPr>
          <w:ilvl w:val="12"/>
          <w:numId w:val="0"/>
        </w:numPr>
        <w:jc w:val="both"/>
        <w:rPr>
          <w:rFonts w:eastAsia="PMingLiU"/>
          <w:lang w:val="sr-Latn-RS"/>
        </w:rPr>
      </w:pPr>
    </w:p>
    <w:p w14:paraId="4DC0261E" w14:textId="67DCE825" w:rsidR="00603ED1" w:rsidRPr="00C83E6A" w:rsidRDefault="00C83E6A" w:rsidP="001D6451">
      <w:pPr>
        <w:numPr>
          <w:ilvl w:val="12"/>
          <w:numId w:val="0"/>
        </w:numPr>
        <w:jc w:val="both"/>
        <w:rPr>
          <w:rFonts w:eastAsia="PMingLiU"/>
          <w:lang w:val="sr-Latn-RS"/>
        </w:rPr>
      </w:pPr>
      <w:r w:rsidRPr="00C83E6A">
        <w:rPr>
          <w:rFonts w:eastAsia="PMingLiU"/>
          <w:lang w:val="sr-Latn-RS"/>
        </w:rPr>
        <w:t>Maj, 2025. godine</w:t>
      </w:r>
      <w:bookmarkStart w:id="0" w:name="_GoBack"/>
      <w:bookmarkEnd w:id="0"/>
    </w:p>
    <w:sectPr w:rsidR="00603ED1" w:rsidRPr="00C83E6A" w:rsidSect="00C83E6A">
      <w:footerReference w:type="default" r:id="rId17"/>
      <w:headerReference w:type="first" r:id="rId18"/>
      <w:endnotePr>
        <w:numFmt w:val="decimal"/>
      </w:endnotePr>
      <w:pgSz w:w="11907" w:h="16840" w:code="9"/>
      <w:pgMar w:top="1421"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CDEF7" w14:textId="77777777" w:rsidR="00690AA6" w:rsidRDefault="00690AA6">
      <w:r>
        <w:separator/>
      </w:r>
    </w:p>
  </w:endnote>
  <w:endnote w:type="continuationSeparator" w:id="0">
    <w:p w14:paraId="2402795D" w14:textId="77777777" w:rsidR="00690AA6" w:rsidRDefault="00690AA6">
      <w:r>
        <w:continuationSeparator/>
      </w:r>
    </w:p>
  </w:endnote>
  <w:endnote w:type="continuationNotice" w:id="1">
    <w:p w14:paraId="482AD4CA" w14:textId="77777777" w:rsidR="00690AA6" w:rsidRDefault="00690A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3F224" w14:textId="5D551931" w:rsidR="002D1367" w:rsidRPr="00450EFF" w:rsidRDefault="002D1367" w:rsidP="00773CA6">
    <w:pPr>
      <w:keepLines/>
      <w:tabs>
        <w:tab w:val="clear" w:pos="567"/>
        <w:tab w:val="center" w:pos="4320"/>
        <w:tab w:val="right" w:pos="8640"/>
      </w:tabs>
      <w:jc w:val="center"/>
      <w:rPr>
        <w:rFonts w:eastAsia="PMingLiU"/>
      </w:rPr>
    </w:pPr>
    <w:r w:rsidRPr="0015487C">
      <w:rPr>
        <w:rFonts w:eastAsia="SimSun"/>
      </w:rPr>
      <w:fldChar w:fldCharType="begin"/>
    </w:r>
    <w:r w:rsidRPr="0015487C">
      <w:rPr>
        <w:rFonts w:eastAsia="SimSun"/>
      </w:rPr>
      <w:instrText xml:space="preserve"> PAGE </w:instrText>
    </w:r>
    <w:r w:rsidRPr="0015487C">
      <w:rPr>
        <w:rFonts w:eastAsia="SimSun"/>
      </w:rPr>
      <w:fldChar w:fldCharType="separate"/>
    </w:r>
    <w:r w:rsidR="00C83E6A">
      <w:rPr>
        <w:rFonts w:eastAsia="SimSun"/>
        <w:noProof/>
      </w:rPr>
      <w:t>21</w:t>
    </w:r>
    <w:r w:rsidRPr="0015487C">
      <w:rPr>
        <w:rFonts w:eastAsia="SimSun"/>
      </w:rPr>
      <w:fldChar w:fldCharType="end"/>
    </w:r>
    <w:r>
      <w:t>/</w:t>
    </w:r>
    <w:r w:rsidRPr="0015487C">
      <w:rPr>
        <w:rFonts w:eastAsia="SimSun"/>
      </w:rPr>
      <w:fldChar w:fldCharType="begin"/>
    </w:r>
    <w:r w:rsidRPr="0015487C">
      <w:rPr>
        <w:rFonts w:eastAsia="SimSun"/>
      </w:rPr>
      <w:instrText xml:space="preserve"> NUMPAGES  </w:instrText>
    </w:r>
    <w:r w:rsidRPr="0015487C">
      <w:rPr>
        <w:rFonts w:eastAsia="SimSun"/>
      </w:rPr>
      <w:fldChar w:fldCharType="separate"/>
    </w:r>
    <w:r w:rsidR="00C83E6A">
      <w:rPr>
        <w:rFonts w:eastAsia="SimSun"/>
        <w:noProof/>
      </w:rPr>
      <w:t>21</w:t>
    </w:r>
    <w:r w:rsidRPr="0015487C">
      <w:rPr>
        <w:rFonts w:eastAsia="SimSu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F31C8" w14:textId="77777777" w:rsidR="00690AA6" w:rsidRDefault="00690AA6">
      <w:r>
        <w:separator/>
      </w:r>
    </w:p>
  </w:footnote>
  <w:footnote w:type="continuationSeparator" w:id="0">
    <w:p w14:paraId="1FB58B2B" w14:textId="77777777" w:rsidR="00690AA6" w:rsidRDefault="00690AA6">
      <w:r>
        <w:continuationSeparator/>
      </w:r>
    </w:p>
  </w:footnote>
  <w:footnote w:type="continuationNotice" w:id="1">
    <w:p w14:paraId="6A2ACA92" w14:textId="77777777" w:rsidR="00690AA6" w:rsidRDefault="00690AA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43AF1" w14:textId="77777777" w:rsidR="002D1367" w:rsidRPr="00450EFF" w:rsidRDefault="002D1367">
    <w:pPr>
      <w:pStyle w:val="Header"/>
      <w:rPr>
        <w:rFonts w:ascii="Times New Roman" w:eastAsia="PMingLiU" w:hAnsi="Times New Roman"/>
      </w:rPr>
    </w:pPr>
    <w:r>
      <w:rPr>
        <w:noProof/>
        <w:lang w:val="en-US"/>
      </w:rPr>
      <w:drawing>
        <wp:anchor distT="0" distB="0" distL="114300" distR="114300" simplePos="0" relativeHeight="251657728" behindDoc="0" locked="0" layoutInCell="1" allowOverlap="1" wp14:anchorId="5FE8AFFF" wp14:editId="7CB4BCE0">
          <wp:simplePos x="0" y="0"/>
          <wp:positionH relativeFrom="character">
            <wp:posOffset>0</wp:posOffset>
          </wp:positionH>
          <wp:positionV relativeFrom="line">
            <wp:posOffset>-363855</wp:posOffset>
          </wp:positionV>
          <wp:extent cx="2527300" cy="49530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7300" cy="495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9505870" o:spid="_x0000_i1039" type="#_x0000_t75" alt="x" style="width:10.3pt;height:10.3pt;visibility:visible;mso-wrap-style:square" o:bullet="t">
        <v:imagedata r:id="rId1" o:title="x"/>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D17F63"/>
    <w:multiLevelType w:val="hybridMultilevel"/>
    <w:tmpl w:val="92E61E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C07BF"/>
    <w:multiLevelType w:val="hybridMultilevel"/>
    <w:tmpl w:val="CFA23558"/>
    <w:lvl w:ilvl="0" w:tplc="E1DA0452">
      <w:start w:val="1"/>
      <w:numFmt w:val="bullet"/>
      <w:lvlText w:val=""/>
      <w:lvlPicBulletId w:val="0"/>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9483677"/>
    <w:multiLevelType w:val="hybridMultilevel"/>
    <w:tmpl w:val="57B672B4"/>
    <w:lvl w:ilvl="0" w:tplc="E1DA0452">
      <w:start w:val="1"/>
      <w:numFmt w:val="bullet"/>
      <w:lvlText w:val=""/>
      <w:lvlPicBulletId w:val="0"/>
      <w:lvlJc w:val="left"/>
      <w:pPr>
        <w:tabs>
          <w:tab w:val="num" w:pos="360"/>
        </w:tabs>
        <w:ind w:left="360" w:hanging="360"/>
      </w:pPr>
      <w:rPr>
        <w:rFonts w:ascii="Symbol" w:hAnsi="Symbol" w:hint="default"/>
        <w:sz w:val="20"/>
        <w:szCs w:val="20"/>
      </w:rPr>
    </w:lvl>
    <w:lvl w:ilvl="1" w:tplc="850812B6" w:tentative="1">
      <w:start w:val="1"/>
      <w:numFmt w:val="bullet"/>
      <w:lvlText w:val=""/>
      <w:lvlJc w:val="left"/>
      <w:pPr>
        <w:tabs>
          <w:tab w:val="num" w:pos="1080"/>
        </w:tabs>
        <w:ind w:left="1080" w:hanging="360"/>
      </w:pPr>
      <w:rPr>
        <w:rFonts w:ascii="Symbol" w:hAnsi="Symbol" w:hint="default"/>
      </w:rPr>
    </w:lvl>
    <w:lvl w:ilvl="2" w:tplc="14C07654" w:tentative="1">
      <w:start w:val="1"/>
      <w:numFmt w:val="bullet"/>
      <w:lvlText w:val=""/>
      <w:lvlJc w:val="left"/>
      <w:pPr>
        <w:tabs>
          <w:tab w:val="num" w:pos="1800"/>
        </w:tabs>
        <w:ind w:left="1800" w:hanging="360"/>
      </w:pPr>
      <w:rPr>
        <w:rFonts w:ascii="Symbol" w:hAnsi="Symbol" w:hint="default"/>
      </w:rPr>
    </w:lvl>
    <w:lvl w:ilvl="3" w:tplc="D3BC7870" w:tentative="1">
      <w:start w:val="1"/>
      <w:numFmt w:val="bullet"/>
      <w:lvlText w:val=""/>
      <w:lvlJc w:val="left"/>
      <w:pPr>
        <w:tabs>
          <w:tab w:val="num" w:pos="2520"/>
        </w:tabs>
        <w:ind w:left="2520" w:hanging="360"/>
      </w:pPr>
      <w:rPr>
        <w:rFonts w:ascii="Symbol" w:hAnsi="Symbol" w:hint="default"/>
      </w:rPr>
    </w:lvl>
    <w:lvl w:ilvl="4" w:tplc="06263576" w:tentative="1">
      <w:start w:val="1"/>
      <w:numFmt w:val="bullet"/>
      <w:lvlText w:val=""/>
      <w:lvlJc w:val="left"/>
      <w:pPr>
        <w:tabs>
          <w:tab w:val="num" w:pos="3240"/>
        </w:tabs>
        <w:ind w:left="3240" w:hanging="360"/>
      </w:pPr>
      <w:rPr>
        <w:rFonts w:ascii="Symbol" w:hAnsi="Symbol" w:hint="default"/>
      </w:rPr>
    </w:lvl>
    <w:lvl w:ilvl="5" w:tplc="515E0364" w:tentative="1">
      <w:start w:val="1"/>
      <w:numFmt w:val="bullet"/>
      <w:lvlText w:val=""/>
      <w:lvlJc w:val="left"/>
      <w:pPr>
        <w:tabs>
          <w:tab w:val="num" w:pos="3960"/>
        </w:tabs>
        <w:ind w:left="3960" w:hanging="360"/>
      </w:pPr>
      <w:rPr>
        <w:rFonts w:ascii="Symbol" w:hAnsi="Symbol" w:hint="default"/>
      </w:rPr>
    </w:lvl>
    <w:lvl w:ilvl="6" w:tplc="8D00DA48" w:tentative="1">
      <w:start w:val="1"/>
      <w:numFmt w:val="bullet"/>
      <w:lvlText w:val=""/>
      <w:lvlJc w:val="left"/>
      <w:pPr>
        <w:tabs>
          <w:tab w:val="num" w:pos="4680"/>
        </w:tabs>
        <w:ind w:left="4680" w:hanging="360"/>
      </w:pPr>
      <w:rPr>
        <w:rFonts w:ascii="Symbol" w:hAnsi="Symbol" w:hint="default"/>
      </w:rPr>
    </w:lvl>
    <w:lvl w:ilvl="7" w:tplc="B426C6B8" w:tentative="1">
      <w:start w:val="1"/>
      <w:numFmt w:val="bullet"/>
      <w:lvlText w:val=""/>
      <w:lvlJc w:val="left"/>
      <w:pPr>
        <w:tabs>
          <w:tab w:val="num" w:pos="5400"/>
        </w:tabs>
        <w:ind w:left="5400" w:hanging="360"/>
      </w:pPr>
      <w:rPr>
        <w:rFonts w:ascii="Symbol" w:hAnsi="Symbol" w:hint="default"/>
      </w:rPr>
    </w:lvl>
    <w:lvl w:ilvl="8" w:tplc="265ACA76" w:tentative="1">
      <w:start w:val="1"/>
      <w:numFmt w:val="bullet"/>
      <w:lvlText w:val=""/>
      <w:lvlJc w:val="left"/>
      <w:pPr>
        <w:tabs>
          <w:tab w:val="num" w:pos="6120"/>
        </w:tabs>
        <w:ind w:left="6120" w:hanging="360"/>
      </w:pPr>
      <w:rPr>
        <w:rFonts w:ascii="Symbol" w:hAnsi="Symbol" w:hint="default"/>
      </w:rPr>
    </w:lvl>
  </w:abstractNum>
  <w:abstractNum w:abstractNumId="6" w15:restartNumberingAfterBreak="0">
    <w:nsid w:val="09581F8B"/>
    <w:multiLevelType w:val="hybridMultilevel"/>
    <w:tmpl w:val="613CABAE"/>
    <w:lvl w:ilvl="0" w:tplc="2BE2F41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E3741A"/>
    <w:multiLevelType w:val="hybridMultilevel"/>
    <w:tmpl w:val="D608A82A"/>
    <w:lvl w:ilvl="0" w:tplc="E1DA0452">
      <w:start w:val="1"/>
      <w:numFmt w:val="bullet"/>
      <w:lvlText w:val=""/>
      <w:lvlPicBulletId w:val="0"/>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A173814"/>
    <w:multiLevelType w:val="hybridMultilevel"/>
    <w:tmpl w:val="0D4C6E98"/>
    <w:lvl w:ilvl="0" w:tplc="277C1B84">
      <w:start w:val="1"/>
      <w:numFmt w:val="bullet"/>
      <w:lvlText w:val=""/>
      <w:lvlPicBulletId w:val="0"/>
      <w:lvlJc w:val="left"/>
      <w:pPr>
        <w:tabs>
          <w:tab w:val="num" w:pos="720"/>
        </w:tabs>
        <w:ind w:left="720" w:hanging="360"/>
      </w:pPr>
      <w:rPr>
        <w:rFonts w:ascii="Symbol" w:hAnsi="Symbol" w:hint="default"/>
      </w:rPr>
    </w:lvl>
    <w:lvl w:ilvl="1" w:tplc="F75C0EF4" w:tentative="1">
      <w:start w:val="1"/>
      <w:numFmt w:val="bullet"/>
      <w:lvlText w:val=""/>
      <w:lvlJc w:val="left"/>
      <w:pPr>
        <w:tabs>
          <w:tab w:val="num" w:pos="1440"/>
        </w:tabs>
        <w:ind w:left="1440" w:hanging="360"/>
      </w:pPr>
      <w:rPr>
        <w:rFonts w:ascii="Symbol" w:hAnsi="Symbol" w:hint="default"/>
      </w:rPr>
    </w:lvl>
    <w:lvl w:ilvl="2" w:tplc="FF2CEE46" w:tentative="1">
      <w:start w:val="1"/>
      <w:numFmt w:val="bullet"/>
      <w:lvlText w:val=""/>
      <w:lvlJc w:val="left"/>
      <w:pPr>
        <w:tabs>
          <w:tab w:val="num" w:pos="2160"/>
        </w:tabs>
        <w:ind w:left="2160" w:hanging="360"/>
      </w:pPr>
      <w:rPr>
        <w:rFonts w:ascii="Symbol" w:hAnsi="Symbol" w:hint="default"/>
      </w:rPr>
    </w:lvl>
    <w:lvl w:ilvl="3" w:tplc="7CCAC23E" w:tentative="1">
      <w:start w:val="1"/>
      <w:numFmt w:val="bullet"/>
      <w:lvlText w:val=""/>
      <w:lvlJc w:val="left"/>
      <w:pPr>
        <w:tabs>
          <w:tab w:val="num" w:pos="2880"/>
        </w:tabs>
        <w:ind w:left="2880" w:hanging="360"/>
      </w:pPr>
      <w:rPr>
        <w:rFonts w:ascii="Symbol" w:hAnsi="Symbol" w:hint="default"/>
      </w:rPr>
    </w:lvl>
    <w:lvl w:ilvl="4" w:tplc="3C8AF6C0" w:tentative="1">
      <w:start w:val="1"/>
      <w:numFmt w:val="bullet"/>
      <w:lvlText w:val=""/>
      <w:lvlJc w:val="left"/>
      <w:pPr>
        <w:tabs>
          <w:tab w:val="num" w:pos="3600"/>
        </w:tabs>
        <w:ind w:left="3600" w:hanging="360"/>
      </w:pPr>
      <w:rPr>
        <w:rFonts w:ascii="Symbol" w:hAnsi="Symbol" w:hint="default"/>
      </w:rPr>
    </w:lvl>
    <w:lvl w:ilvl="5" w:tplc="C77A1AF8" w:tentative="1">
      <w:start w:val="1"/>
      <w:numFmt w:val="bullet"/>
      <w:lvlText w:val=""/>
      <w:lvlJc w:val="left"/>
      <w:pPr>
        <w:tabs>
          <w:tab w:val="num" w:pos="4320"/>
        </w:tabs>
        <w:ind w:left="4320" w:hanging="360"/>
      </w:pPr>
      <w:rPr>
        <w:rFonts w:ascii="Symbol" w:hAnsi="Symbol" w:hint="default"/>
      </w:rPr>
    </w:lvl>
    <w:lvl w:ilvl="6" w:tplc="1DEC40E8" w:tentative="1">
      <w:start w:val="1"/>
      <w:numFmt w:val="bullet"/>
      <w:lvlText w:val=""/>
      <w:lvlJc w:val="left"/>
      <w:pPr>
        <w:tabs>
          <w:tab w:val="num" w:pos="5040"/>
        </w:tabs>
        <w:ind w:left="5040" w:hanging="360"/>
      </w:pPr>
      <w:rPr>
        <w:rFonts w:ascii="Symbol" w:hAnsi="Symbol" w:hint="default"/>
      </w:rPr>
    </w:lvl>
    <w:lvl w:ilvl="7" w:tplc="7BE0E72E" w:tentative="1">
      <w:start w:val="1"/>
      <w:numFmt w:val="bullet"/>
      <w:lvlText w:val=""/>
      <w:lvlJc w:val="left"/>
      <w:pPr>
        <w:tabs>
          <w:tab w:val="num" w:pos="5760"/>
        </w:tabs>
        <w:ind w:left="5760" w:hanging="360"/>
      </w:pPr>
      <w:rPr>
        <w:rFonts w:ascii="Symbol" w:hAnsi="Symbol" w:hint="default"/>
      </w:rPr>
    </w:lvl>
    <w:lvl w:ilvl="8" w:tplc="4D72815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0A883E57"/>
    <w:multiLevelType w:val="hybridMultilevel"/>
    <w:tmpl w:val="ADC88608"/>
    <w:lvl w:ilvl="0" w:tplc="F408600E">
      <w:start w:val="1"/>
      <w:numFmt w:val="bullet"/>
      <w:pStyle w:val="BULLETED"/>
      <w:lvlText w:val=""/>
      <w:lvlJc w:val="left"/>
      <w:pPr>
        <w:ind w:left="3366" w:hanging="360"/>
      </w:pPr>
      <w:rPr>
        <w:rFonts w:ascii="Symbol" w:hAnsi="Symbol" w:hint="default"/>
      </w:rPr>
    </w:lvl>
    <w:lvl w:ilvl="1" w:tplc="04090003" w:tentative="1">
      <w:start w:val="1"/>
      <w:numFmt w:val="bullet"/>
      <w:lvlText w:val="o"/>
      <w:lvlJc w:val="left"/>
      <w:pPr>
        <w:ind w:left="4086" w:hanging="360"/>
      </w:pPr>
      <w:rPr>
        <w:rFonts w:ascii="Courier New" w:hAnsi="Courier New" w:hint="default"/>
      </w:rPr>
    </w:lvl>
    <w:lvl w:ilvl="2" w:tplc="04090005" w:tentative="1">
      <w:start w:val="1"/>
      <w:numFmt w:val="bullet"/>
      <w:lvlText w:val=""/>
      <w:lvlJc w:val="left"/>
      <w:pPr>
        <w:ind w:left="4806" w:hanging="360"/>
      </w:pPr>
      <w:rPr>
        <w:rFonts w:ascii="Wingdings" w:hAnsi="Wingdings" w:hint="default"/>
      </w:rPr>
    </w:lvl>
    <w:lvl w:ilvl="3" w:tplc="04090001" w:tentative="1">
      <w:start w:val="1"/>
      <w:numFmt w:val="bullet"/>
      <w:lvlText w:val=""/>
      <w:lvlJc w:val="left"/>
      <w:pPr>
        <w:ind w:left="5526" w:hanging="360"/>
      </w:pPr>
      <w:rPr>
        <w:rFonts w:ascii="Symbol" w:hAnsi="Symbol" w:hint="default"/>
      </w:rPr>
    </w:lvl>
    <w:lvl w:ilvl="4" w:tplc="04090003" w:tentative="1">
      <w:start w:val="1"/>
      <w:numFmt w:val="bullet"/>
      <w:lvlText w:val="o"/>
      <w:lvlJc w:val="left"/>
      <w:pPr>
        <w:ind w:left="6246" w:hanging="360"/>
      </w:pPr>
      <w:rPr>
        <w:rFonts w:ascii="Courier New" w:hAnsi="Courier New" w:hint="default"/>
      </w:rPr>
    </w:lvl>
    <w:lvl w:ilvl="5" w:tplc="04090005" w:tentative="1">
      <w:start w:val="1"/>
      <w:numFmt w:val="bullet"/>
      <w:lvlText w:val=""/>
      <w:lvlJc w:val="left"/>
      <w:pPr>
        <w:ind w:left="6966" w:hanging="360"/>
      </w:pPr>
      <w:rPr>
        <w:rFonts w:ascii="Wingdings" w:hAnsi="Wingdings" w:hint="default"/>
      </w:rPr>
    </w:lvl>
    <w:lvl w:ilvl="6" w:tplc="04090001" w:tentative="1">
      <w:start w:val="1"/>
      <w:numFmt w:val="bullet"/>
      <w:lvlText w:val=""/>
      <w:lvlJc w:val="left"/>
      <w:pPr>
        <w:ind w:left="7686" w:hanging="360"/>
      </w:pPr>
      <w:rPr>
        <w:rFonts w:ascii="Symbol" w:hAnsi="Symbol" w:hint="default"/>
      </w:rPr>
    </w:lvl>
    <w:lvl w:ilvl="7" w:tplc="04090003" w:tentative="1">
      <w:start w:val="1"/>
      <w:numFmt w:val="bullet"/>
      <w:lvlText w:val="o"/>
      <w:lvlJc w:val="left"/>
      <w:pPr>
        <w:ind w:left="8406" w:hanging="360"/>
      </w:pPr>
      <w:rPr>
        <w:rFonts w:ascii="Courier New" w:hAnsi="Courier New" w:hint="default"/>
      </w:rPr>
    </w:lvl>
    <w:lvl w:ilvl="8" w:tplc="04090005" w:tentative="1">
      <w:start w:val="1"/>
      <w:numFmt w:val="bullet"/>
      <w:lvlText w:val=""/>
      <w:lvlJc w:val="left"/>
      <w:pPr>
        <w:ind w:left="9126" w:hanging="360"/>
      </w:pPr>
      <w:rPr>
        <w:rFonts w:ascii="Wingdings" w:hAnsi="Wingdings" w:hint="default"/>
      </w:rPr>
    </w:lvl>
  </w:abstractNum>
  <w:abstractNum w:abstractNumId="11" w15:restartNumberingAfterBreak="0">
    <w:nsid w:val="0BB013BF"/>
    <w:multiLevelType w:val="hybridMultilevel"/>
    <w:tmpl w:val="F52E9E76"/>
    <w:lvl w:ilvl="0" w:tplc="1B04CBA4">
      <w:start w:val="1"/>
      <w:numFmt w:val="bullet"/>
      <w:lvlText w:val=""/>
      <w:lvlPicBulletId w:val="0"/>
      <w:lvlJc w:val="left"/>
      <w:pPr>
        <w:ind w:left="360" w:hanging="360"/>
      </w:pPr>
      <w:rPr>
        <w:rFonts w:ascii="Symbol" w:hAnsi="Symbol" w:hint="default"/>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23F3929"/>
    <w:multiLevelType w:val="hybridMultilevel"/>
    <w:tmpl w:val="E8A0C3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13171AE0"/>
    <w:multiLevelType w:val="hybridMultilevel"/>
    <w:tmpl w:val="1E0C017A"/>
    <w:lvl w:ilvl="0" w:tplc="E1DA0452">
      <w:start w:val="1"/>
      <w:numFmt w:val="bullet"/>
      <w:lvlText w:val=""/>
      <w:lvlPicBulletId w:val="0"/>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50E5E67"/>
    <w:multiLevelType w:val="hybridMultilevel"/>
    <w:tmpl w:val="D95638A4"/>
    <w:lvl w:ilvl="0" w:tplc="E1DA0452">
      <w:start w:val="1"/>
      <w:numFmt w:val="bullet"/>
      <w:lvlText w:val=""/>
      <w:lvlPicBulletId w:val="0"/>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6347586"/>
    <w:multiLevelType w:val="hybridMultilevel"/>
    <w:tmpl w:val="6F84B6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392187"/>
    <w:multiLevelType w:val="hybridMultilevel"/>
    <w:tmpl w:val="D22201E6"/>
    <w:lvl w:ilvl="0" w:tplc="E1DA0452">
      <w:start w:val="1"/>
      <w:numFmt w:val="bullet"/>
      <w:lvlText w:val=""/>
      <w:lvlPicBulletId w:val="0"/>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7B3573E"/>
    <w:multiLevelType w:val="hybridMultilevel"/>
    <w:tmpl w:val="6F9AED24"/>
    <w:lvl w:ilvl="0" w:tplc="08090001">
      <w:start w:val="1"/>
      <w:numFmt w:val="bullet"/>
      <w:lvlText w:val=""/>
      <w:lvlJc w:val="left"/>
      <w:pPr>
        <w:ind w:left="1203" w:hanging="360"/>
      </w:pPr>
      <w:rPr>
        <w:rFonts w:ascii="Symbol" w:hAnsi="Symbol" w:hint="default"/>
      </w:rPr>
    </w:lvl>
    <w:lvl w:ilvl="1" w:tplc="08090003" w:tentative="1">
      <w:start w:val="1"/>
      <w:numFmt w:val="bullet"/>
      <w:lvlText w:val="o"/>
      <w:lvlJc w:val="left"/>
      <w:pPr>
        <w:ind w:left="1923" w:hanging="360"/>
      </w:pPr>
      <w:rPr>
        <w:rFonts w:ascii="Courier New" w:hAnsi="Courier New" w:cs="Courier New" w:hint="default"/>
      </w:rPr>
    </w:lvl>
    <w:lvl w:ilvl="2" w:tplc="08090005" w:tentative="1">
      <w:start w:val="1"/>
      <w:numFmt w:val="bullet"/>
      <w:lvlText w:val=""/>
      <w:lvlJc w:val="left"/>
      <w:pPr>
        <w:ind w:left="2643" w:hanging="360"/>
      </w:pPr>
      <w:rPr>
        <w:rFonts w:ascii="Wingdings" w:hAnsi="Wingdings" w:hint="default"/>
      </w:rPr>
    </w:lvl>
    <w:lvl w:ilvl="3" w:tplc="08090001" w:tentative="1">
      <w:start w:val="1"/>
      <w:numFmt w:val="bullet"/>
      <w:lvlText w:val=""/>
      <w:lvlJc w:val="left"/>
      <w:pPr>
        <w:ind w:left="3363" w:hanging="360"/>
      </w:pPr>
      <w:rPr>
        <w:rFonts w:ascii="Symbol" w:hAnsi="Symbol" w:hint="default"/>
      </w:rPr>
    </w:lvl>
    <w:lvl w:ilvl="4" w:tplc="08090003" w:tentative="1">
      <w:start w:val="1"/>
      <w:numFmt w:val="bullet"/>
      <w:lvlText w:val="o"/>
      <w:lvlJc w:val="left"/>
      <w:pPr>
        <w:ind w:left="4083" w:hanging="360"/>
      </w:pPr>
      <w:rPr>
        <w:rFonts w:ascii="Courier New" w:hAnsi="Courier New" w:cs="Courier New" w:hint="default"/>
      </w:rPr>
    </w:lvl>
    <w:lvl w:ilvl="5" w:tplc="08090005" w:tentative="1">
      <w:start w:val="1"/>
      <w:numFmt w:val="bullet"/>
      <w:lvlText w:val=""/>
      <w:lvlJc w:val="left"/>
      <w:pPr>
        <w:ind w:left="4803" w:hanging="360"/>
      </w:pPr>
      <w:rPr>
        <w:rFonts w:ascii="Wingdings" w:hAnsi="Wingdings" w:hint="default"/>
      </w:rPr>
    </w:lvl>
    <w:lvl w:ilvl="6" w:tplc="08090001" w:tentative="1">
      <w:start w:val="1"/>
      <w:numFmt w:val="bullet"/>
      <w:lvlText w:val=""/>
      <w:lvlJc w:val="left"/>
      <w:pPr>
        <w:ind w:left="5523" w:hanging="360"/>
      </w:pPr>
      <w:rPr>
        <w:rFonts w:ascii="Symbol" w:hAnsi="Symbol" w:hint="default"/>
      </w:rPr>
    </w:lvl>
    <w:lvl w:ilvl="7" w:tplc="08090003" w:tentative="1">
      <w:start w:val="1"/>
      <w:numFmt w:val="bullet"/>
      <w:lvlText w:val="o"/>
      <w:lvlJc w:val="left"/>
      <w:pPr>
        <w:ind w:left="6243" w:hanging="360"/>
      </w:pPr>
      <w:rPr>
        <w:rFonts w:ascii="Courier New" w:hAnsi="Courier New" w:cs="Courier New" w:hint="default"/>
      </w:rPr>
    </w:lvl>
    <w:lvl w:ilvl="8" w:tplc="08090005" w:tentative="1">
      <w:start w:val="1"/>
      <w:numFmt w:val="bullet"/>
      <w:lvlText w:val=""/>
      <w:lvlJc w:val="left"/>
      <w:pPr>
        <w:ind w:left="6963" w:hanging="360"/>
      </w:pPr>
      <w:rPr>
        <w:rFonts w:ascii="Wingdings" w:hAnsi="Wingdings" w:hint="default"/>
      </w:rPr>
    </w:lvl>
  </w:abstractNum>
  <w:abstractNum w:abstractNumId="18" w15:restartNumberingAfterBreak="0">
    <w:nsid w:val="17E90330"/>
    <w:multiLevelType w:val="hybridMultilevel"/>
    <w:tmpl w:val="0FB4BA84"/>
    <w:lvl w:ilvl="0" w:tplc="E1DA0452">
      <w:start w:val="1"/>
      <w:numFmt w:val="bullet"/>
      <w:lvlText w:val=""/>
      <w:lvlPicBulletId w:val="0"/>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BC6386F"/>
    <w:multiLevelType w:val="hybridMultilevel"/>
    <w:tmpl w:val="ADC295C2"/>
    <w:lvl w:ilvl="0" w:tplc="C7E8B5BA">
      <w:start w:val="1"/>
      <w:numFmt w:val="bullet"/>
      <w:pStyle w:val="StyleBulleted"/>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FF93C31"/>
    <w:multiLevelType w:val="hybridMultilevel"/>
    <w:tmpl w:val="CA2CA1B2"/>
    <w:lvl w:ilvl="0" w:tplc="04090001">
      <w:start w:val="1"/>
      <w:numFmt w:val="bullet"/>
      <w:lvlText w:val=""/>
      <w:lvlJc w:val="left"/>
      <w:pPr>
        <w:ind w:left="1332" w:hanging="360"/>
      </w:pPr>
      <w:rPr>
        <w:rFonts w:ascii="Symbol" w:hAnsi="Symbol" w:hint="default"/>
      </w:rPr>
    </w:lvl>
    <w:lvl w:ilvl="1" w:tplc="04090003">
      <w:start w:val="1"/>
      <w:numFmt w:val="decimal"/>
      <w:lvlText w:val="%2."/>
      <w:lvlJc w:val="left"/>
      <w:pPr>
        <w:tabs>
          <w:tab w:val="num" w:pos="2052"/>
        </w:tabs>
        <w:ind w:left="2052" w:hanging="360"/>
      </w:pPr>
    </w:lvl>
    <w:lvl w:ilvl="2" w:tplc="04090005">
      <w:start w:val="1"/>
      <w:numFmt w:val="decimal"/>
      <w:lvlText w:val="%3."/>
      <w:lvlJc w:val="left"/>
      <w:pPr>
        <w:tabs>
          <w:tab w:val="num" w:pos="2772"/>
        </w:tabs>
        <w:ind w:left="2772" w:hanging="360"/>
      </w:pPr>
    </w:lvl>
    <w:lvl w:ilvl="3" w:tplc="04090001">
      <w:start w:val="1"/>
      <w:numFmt w:val="decimal"/>
      <w:lvlText w:val="%4."/>
      <w:lvlJc w:val="left"/>
      <w:pPr>
        <w:tabs>
          <w:tab w:val="num" w:pos="3492"/>
        </w:tabs>
        <w:ind w:left="3492" w:hanging="360"/>
      </w:pPr>
    </w:lvl>
    <w:lvl w:ilvl="4" w:tplc="04090003">
      <w:start w:val="1"/>
      <w:numFmt w:val="decimal"/>
      <w:lvlText w:val="%5."/>
      <w:lvlJc w:val="left"/>
      <w:pPr>
        <w:tabs>
          <w:tab w:val="num" w:pos="4212"/>
        </w:tabs>
        <w:ind w:left="4212" w:hanging="360"/>
      </w:pPr>
    </w:lvl>
    <w:lvl w:ilvl="5" w:tplc="04090005">
      <w:start w:val="1"/>
      <w:numFmt w:val="decimal"/>
      <w:lvlText w:val="%6."/>
      <w:lvlJc w:val="left"/>
      <w:pPr>
        <w:tabs>
          <w:tab w:val="num" w:pos="4932"/>
        </w:tabs>
        <w:ind w:left="4932" w:hanging="360"/>
      </w:pPr>
    </w:lvl>
    <w:lvl w:ilvl="6" w:tplc="04090001">
      <w:start w:val="1"/>
      <w:numFmt w:val="decimal"/>
      <w:lvlText w:val="%7."/>
      <w:lvlJc w:val="left"/>
      <w:pPr>
        <w:tabs>
          <w:tab w:val="num" w:pos="5652"/>
        </w:tabs>
        <w:ind w:left="5652" w:hanging="360"/>
      </w:pPr>
    </w:lvl>
    <w:lvl w:ilvl="7" w:tplc="04090003">
      <w:start w:val="1"/>
      <w:numFmt w:val="decimal"/>
      <w:lvlText w:val="%8."/>
      <w:lvlJc w:val="left"/>
      <w:pPr>
        <w:tabs>
          <w:tab w:val="num" w:pos="6372"/>
        </w:tabs>
        <w:ind w:left="6372" w:hanging="360"/>
      </w:pPr>
    </w:lvl>
    <w:lvl w:ilvl="8" w:tplc="04090005">
      <w:start w:val="1"/>
      <w:numFmt w:val="decimal"/>
      <w:lvlText w:val="%9."/>
      <w:lvlJc w:val="left"/>
      <w:pPr>
        <w:tabs>
          <w:tab w:val="num" w:pos="7092"/>
        </w:tabs>
        <w:ind w:left="7092" w:hanging="360"/>
      </w:pPr>
    </w:lvl>
  </w:abstractNum>
  <w:abstractNum w:abstractNumId="2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1630ADF"/>
    <w:multiLevelType w:val="hybridMultilevel"/>
    <w:tmpl w:val="9CB2C574"/>
    <w:lvl w:ilvl="0" w:tplc="08090001">
      <w:start w:val="1"/>
      <w:numFmt w:val="bullet"/>
      <w:lvlText w:val=""/>
      <w:lvlJc w:val="left"/>
      <w:pPr>
        <w:ind w:left="120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1360B0"/>
    <w:multiLevelType w:val="hybridMultilevel"/>
    <w:tmpl w:val="A0849296"/>
    <w:lvl w:ilvl="0" w:tplc="08090001">
      <w:start w:val="1"/>
      <w:numFmt w:val="bullet"/>
      <w:lvlText w:val=""/>
      <w:lvlJc w:val="left"/>
      <w:pPr>
        <w:ind w:left="720" w:hanging="360"/>
      </w:pPr>
      <w:rPr>
        <w:rFonts w:ascii="Symbol" w:hAnsi="Symbol" w:hint="default"/>
      </w:rPr>
    </w:lvl>
    <w:lvl w:ilvl="1" w:tplc="8B94168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7EE0D50"/>
    <w:multiLevelType w:val="hybridMultilevel"/>
    <w:tmpl w:val="EEB65BFE"/>
    <w:lvl w:ilvl="0" w:tplc="847E6FCC">
      <w:start w:val="1"/>
      <w:numFmt w:val="bullet"/>
      <w:lvlText w:val=""/>
      <w:lvlPicBulletId w:val="0"/>
      <w:lvlJc w:val="left"/>
      <w:pPr>
        <w:tabs>
          <w:tab w:val="num" w:pos="720"/>
        </w:tabs>
        <w:ind w:left="720" w:hanging="360"/>
      </w:pPr>
      <w:rPr>
        <w:rFonts w:ascii="Symbol" w:hAnsi="Symbol" w:hint="default"/>
      </w:rPr>
    </w:lvl>
    <w:lvl w:ilvl="1" w:tplc="85A21036" w:tentative="1">
      <w:start w:val="1"/>
      <w:numFmt w:val="bullet"/>
      <w:lvlText w:val=""/>
      <w:lvlJc w:val="left"/>
      <w:pPr>
        <w:tabs>
          <w:tab w:val="num" w:pos="1440"/>
        </w:tabs>
        <w:ind w:left="1440" w:hanging="360"/>
      </w:pPr>
      <w:rPr>
        <w:rFonts w:ascii="Symbol" w:hAnsi="Symbol" w:hint="default"/>
      </w:rPr>
    </w:lvl>
    <w:lvl w:ilvl="2" w:tplc="6002A286" w:tentative="1">
      <w:start w:val="1"/>
      <w:numFmt w:val="bullet"/>
      <w:lvlText w:val=""/>
      <w:lvlJc w:val="left"/>
      <w:pPr>
        <w:tabs>
          <w:tab w:val="num" w:pos="2160"/>
        </w:tabs>
        <w:ind w:left="2160" w:hanging="360"/>
      </w:pPr>
      <w:rPr>
        <w:rFonts w:ascii="Symbol" w:hAnsi="Symbol" w:hint="default"/>
      </w:rPr>
    </w:lvl>
    <w:lvl w:ilvl="3" w:tplc="79E851D0" w:tentative="1">
      <w:start w:val="1"/>
      <w:numFmt w:val="bullet"/>
      <w:lvlText w:val=""/>
      <w:lvlJc w:val="left"/>
      <w:pPr>
        <w:tabs>
          <w:tab w:val="num" w:pos="2880"/>
        </w:tabs>
        <w:ind w:left="2880" w:hanging="360"/>
      </w:pPr>
      <w:rPr>
        <w:rFonts w:ascii="Symbol" w:hAnsi="Symbol" w:hint="default"/>
      </w:rPr>
    </w:lvl>
    <w:lvl w:ilvl="4" w:tplc="04A48738" w:tentative="1">
      <w:start w:val="1"/>
      <w:numFmt w:val="bullet"/>
      <w:lvlText w:val=""/>
      <w:lvlJc w:val="left"/>
      <w:pPr>
        <w:tabs>
          <w:tab w:val="num" w:pos="3600"/>
        </w:tabs>
        <w:ind w:left="3600" w:hanging="360"/>
      </w:pPr>
      <w:rPr>
        <w:rFonts w:ascii="Symbol" w:hAnsi="Symbol" w:hint="default"/>
      </w:rPr>
    </w:lvl>
    <w:lvl w:ilvl="5" w:tplc="D02A5CC4" w:tentative="1">
      <w:start w:val="1"/>
      <w:numFmt w:val="bullet"/>
      <w:lvlText w:val=""/>
      <w:lvlJc w:val="left"/>
      <w:pPr>
        <w:tabs>
          <w:tab w:val="num" w:pos="4320"/>
        </w:tabs>
        <w:ind w:left="4320" w:hanging="360"/>
      </w:pPr>
      <w:rPr>
        <w:rFonts w:ascii="Symbol" w:hAnsi="Symbol" w:hint="default"/>
      </w:rPr>
    </w:lvl>
    <w:lvl w:ilvl="6" w:tplc="28BC30E6" w:tentative="1">
      <w:start w:val="1"/>
      <w:numFmt w:val="bullet"/>
      <w:lvlText w:val=""/>
      <w:lvlJc w:val="left"/>
      <w:pPr>
        <w:tabs>
          <w:tab w:val="num" w:pos="5040"/>
        </w:tabs>
        <w:ind w:left="5040" w:hanging="360"/>
      </w:pPr>
      <w:rPr>
        <w:rFonts w:ascii="Symbol" w:hAnsi="Symbol" w:hint="default"/>
      </w:rPr>
    </w:lvl>
    <w:lvl w:ilvl="7" w:tplc="6E7AA748" w:tentative="1">
      <w:start w:val="1"/>
      <w:numFmt w:val="bullet"/>
      <w:lvlText w:val=""/>
      <w:lvlJc w:val="left"/>
      <w:pPr>
        <w:tabs>
          <w:tab w:val="num" w:pos="5760"/>
        </w:tabs>
        <w:ind w:left="5760" w:hanging="360"/>
      </w:pPr>
      <w:rPr>
        <w:rFonts w:ascii="Symbol" w:hAnsi="Symbol" w:hint="default"/>
      </w:rPr>
    </w:lvl>
    <w:lvl w:ilvl="8" w:tplc="F1FE5CDA"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2B3E1F0F"/>
    <w:multiLevelType w:val="hybridMultilevel"/>
    <w:tmpl w:val="7AD83760"/>
    <w:lvl w:ilvl="0" w:tplc="F0E64B32">
      <w:start w:val="1"/>
      <w:numFmt w:val="bullet"/>
      <w:lvlText w:val=""/>
      <w:lvlPicBulletId w:val="0"/>
      <w:lvlJc w:val="left"/>
      <w:pPr>
        <w:tabs>
          <w:tab w:val="num" w:pos="720"/>
        </w:tabs>
        <w:ind w:left="720" w:hanging="360"/>
      </w:pPr>
      <w:rPr>
        <w:rFonts w:ascii="Symbol" w:hAnsi="Symbol" w:hint="default"/>
      </w:rPr>
    </w:lvl>
    <w:lvl w:ilvl="1" w:tplc="4C48ED3C" w:tentative="1">
      <w:start w:val="1"/>
      <w:numFmt w:val="bullet"/>
      <w:lvlText w:val=""/>
      <w:lvlJc w:val="left"/>
      <w:pPr>
        <w:tabs>
          <w:tab w:val="num" w:pos="1440"/>
        </w:tabs>
        <w:ind w:left="1440" w:hanging="360"/>
      </w:pPr>
      <w:rPr>
        <w:rFonts w:ascii="Symbol" w:hAnsi="Symbol" w:hint="default"/>
      </w:rPr>
    </w:lvl>
    <w:lvl w:ilvl="2" w:tplc="B0AA16EE" w:tentative="1">
      <w:start w:val="1"/>
      <w:numFmt w:val="bullet"/>
      <w:lvlText w:val=""/>
      <w:lvlJc w:val="left"/>
      <w:pPr>
        <w:tabs>
          <w:tab w:val="num" w:pos="2160"/>
        </w:tabs>
        <w:ind w:left="2160" w:hanging="360"/>
      </w:pPr>
      <w:rPr>
        <w:rFonts w:ascii="Symbol" w:hAnsi="Symbol" w:hint="default"/>
      </w:rPr>
    </w:lvl>
    <w:lvl w:ilvl="3" w:tplc="EFC607F6" w:tentative="1">
      <w:start w:val="1"/>
      <w:numFmt w:val="bullet"/>
      <w:lvlText w:val=""/>
      <w:lvlJc w:val="left"/>
      <w:pPr>
        <w:tabs>
          <w:tab w:val="num" w:pos="2880"/>
        </w:tabs>
        <w:ind w:left="2880" w:hanging="360"/>
      </w:pPr>
      <w:rPr>
        <w:rFonts w:ascii="Symbol" w:hAnsi="Symbol" w:hint="default"/>
      </w:rPr>
    </w:lvl>
    <w:lvl w:ilvl="4" w:tplc="D85A93F2" w:tentative="1">
      <w:start w:val="1"/>
      <w:numFmt w:val="bullet"/>
      <w:lvlText w:val=""/>
      <w:lvlJc w:val="left"/>
      <w:pPr>
        <w:tabs>
          <w:tab w:val="num" w:pos="3600"/>
        </w:tabs>
        <w:ind w:left="3600" w:hanging="360"/>
      </w:pPr>
      <w:rPr>
        <w:rFonts w:ascii="Symbol" w:hAnsi="Symbol" w:hint="default"/>
      </w:rPr>
    </w:lvl>
    <w:lvl w:ilvl="5" w:tplc="48705FA0" w:tentative="1">
      <w:start w:val="1"/>
      <w:numFmt w:val="bullet"/>
      <w:lvlText w:val=""/>
      <w:lvlJc w:val="left"/>
      <w:pPr>
        <w:tabs>
          <w:tab w:val="num" w:pos="4320"/>
        </w:tabs>
        <w:ind w:left="4320" w:hanging="360"/>
      </w:pPr>
      <w:rPr>
        <w:rFonts w:ascii="Symbol" w:hAnsi="Symbol" w:hint="default"/>
      </w:rPr>
    </w:lvl>
    <w:lvl w:ilvl="6" w:tplc="0840C566" w:tentative="1">
      <w:start w:val="1"/>
      <w:numFmt w:val="bullet"/>
      <w:lvlText w:val=""/>
      <w:lvlJc w:val="left"/>
      <w:pPr>
        <w:tabs>
          <w:tab w:val="num" w:pos="5040"/>
        </w:tabs>
        <w:ind w:left="5040" w:hanging="360"/>
      </w:pPr>
      <w:rPr>
        <w:rFonts w:ascii="Symbol" w:hAnsi="Symbol" w:hint="default"/>
      </w:rPr>
    </w:lvl>
    <w:lvl w:ilvl="7" w:tplc="82D46BE0" w:tentative="1">
      <w:start w:val="1"/>
      <w:numFmt w:val="bullet"/>
      <w:lvlText w:val=""/>
      <w:lvlJc w:val="left"/>
      <w:pPr>
        <w:tabs>
          <w:tab w:val="num" w:pos="5760"/>
        </w:tabs>
        <w:ind w:left="5760" w:hanging="360"/>
      </w:pPr>
      <w:rPr>
        <w:rFonts w:ascii="Symbol" w:hAnsi="Symbol" w:hint="default"/>
      </w:rPr>
    </w:lvl>
    <w:lvl w:ilvl="8" w:tplc="0434A52E"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2B581942"/>
    <w:multiLevelType w:val="hybridMultilevel"/>
    <w:tmpl w:val="57CE0296"/>
    <w:lvl w:ilvl="0" w:tplc="E1DA0452">
      <w:start w:val="1"/>
      <w:numFmt w:val="bullet"/>
      <w:lvlText w:val=""/>
      <w:lvlPicBulletId w:val="0"/>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330A48D3"/>
    <w:multiLevelType w:val="hybridMultilevel"/>
    <w:tmpl w:val="14C41768"/>
    <w:lvl w:ilvl="0" w:tplc="E1DA0452">
      <w:start w:val="1"/>
      <w:numFmt w:val="bullet"/>
      <w:lvlText w:val=""/>
      <w:lvlPicBulletId w:val="0"/>
      <w:lvlJc w:val="left"/>
      <w:pPr>
        <w:ind w:left="360" w:hanging="360"/>
      </w:pPr>
      <w:rPr>
        <w:rFonts w:ascii="Symbol" w:hAnsi="Symbol" w:hint="default"/>
        <w:sz w:val="20"/>
        <w:szCs w:val="20"/>
      </w:rPr>
    </w:lvl>
    <w:lvl w:ilvl="1" w:tplc="E1DA0452">
      <w:start w:val="1"/>
      <w:numFmt w:val="bullet"/>
      <w:lvlText w:val=""/>
      <w:lvlPicBulletId w:val="0"/>
      <w:lvlJc w:val="left"/>
      <w:pPr>
        <w:ind w:left="928" w:hanging="360"/>
      </w:pPr>
      <w:rPr>
        <w:rFonts w:ascii="Symbol" w:hAnsi="Symbol" w:hint="default"/>
        <w:sz w:val="20"/>
        <w:szCs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3FB6C41"/>
    <w:multiLevelType w:val="hybridMultilevel"/>
    <w:tmpl w:val="B1AC92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39385629"/>
    <w:multiLevelType w:val="hybridMultilevel"/>
    <w:tmpl w:val="3670C66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7F62FA"/>
    <w:multiLevelType w:val="hybridMultilevel"/>
    <w:tmpl w:val="B284E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8709C7"/>
    <w:multiLevelType w:val="hybridMultilevel"/>
    <w:tmpl w:val="8A44F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CAD087F"/>
    <w:multiLevelType w:val="hybridMultilevel"/>
    <w:tmpl w:val="2138B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E620065"/>
    <w:multiLevelType w:val="hybridMultilevel"/>
    <w:tmpl w:val="807EC89E"/>
    <w:lvl w:ilvl="0" w:tplc="08090001">
      <w:start w:val="1"/>
      <w:numFmt w:val="bullet"/>
      <w:lvlText w:val=""/>
      <w:lvlJc w:val="left"/>
      <w:pPr>
        <w:ind w:left="120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8" w15:restartNumberingAfterBreak="0">
    <w:nsid w:val="3F7065C8"/>
    <w:multiLevelType w:val="hybridMultilevel"/>
    <w:tmpl w:val="24923C60"/>
    <w:lvl w:ilvl="0" w:tplc="8B9416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13E2954"/>
    <w:multiLevelType w:val="hybridMultilevel"/>
    <w:tmpl w:val="73E0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59D6D29"/>
    <w:multiLevelType w:val="hybridMultilevel"/>
    <w:tmpl w:val="A55650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8B6212A"/>
    <w:multiLevelType w:val="hybridMultilevel"/>
    <w:tmpl w:val="255A58EC"/>
    <w:lvl w:ilvl="0" w:tplc="E1DA0452">
      <w:start w:val="1"/>
      <w:numFmt w:val="bullet"/>
      <w:lvlText w:val=""/>
      <w:lvlPicBulletId w:val="0"/>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4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44" w15:restartNumberingAfterBreak="0">
    <w:nsid w:val="568D222C"/>
    <w:multiLevelType w:val="hybridMultilevel"/>
    <w:tmpl w:val="73029A10"/>
    <w:lvl w:ilvl="0" w:tplc="08090001">
      <w:start w:val="1"/>
      <w:numFmt w:val="bullet"/>
      <w:lvlText w:val=""/>
      <w:lvlJc w:val="left"/>
      <w:pPr>
        <w:ind w:left="120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79A7DE8"/>
    <w:multiLevelType w:val="hybridMultilevel"/>
    <w:tmpl w:val="3D4CE3D8"/>
    <w:lvl w:ilvl="0" w:tplc="138C3850">
      <w:start w:val="1"/>
      <w:numFmt w:val="bullet"/>
      <w:lvlText w:val="•"/>
      <w:lvlJc w:val="left"/>
      <w:pPr>
        <w:tabs>
          <w:tab w:val="num" w:pos="720"/>
        </w:tabs>
        <w:ind w:left="720" w:hanging="360"/>
      </w:pPr>
      <w:rPr>
        <w:rFonts w:ascii="Arial" w:hAnsi="Arial" w:hint="default"/>
      </w:rPr>
    </w:lvl>
    <w:lvl w:ilvl="1" w:tplc="D21C15A4">
      <w:start w:val="1"/>
      <w:numFmt w:val="bullet"/>
      <w:lvlText w:val="•"/>
      <w:lvlJc w:val="left"/>
      <w:pPr>
        <w:tabs>
          <w:tab w:val="num" w:pos="1440"/>
        </w:tabs>
        <w:ind w:left="1440" w:hanging="360"/>
      </w:pPr>
      <w:rPr>
        <w:rFonts w:ascii="Arial" w:hAnsi="Arial" w:hint="default"/>
      </w:rPr>
    </w:lvl>
    <w:lvl w:ilvl="2" w:tplc="869A6562" w:tentative="1">
      <w:start w:val="1"/>
      <w:numFmt w:val="bullet"/>
      <w:lvlText w:val="•"/>
      <w:lvlJc w:val="left"/>
      <w:pPr>
        <w:tabs>
          <w:tab w:val="num" w:pos="2160"/>
        </w:tabs>
        <w:ind w:left="2160" w:hanging="360"/>
      </w:pPr>
      <w:rPr>
        <w:rFonts w:ascii="Arial" w:hAnsi="Arial" w:hint="default"/>
      </w:rPr>
    </w:lvl>
    <w:lvl w:ilvl="3" w:tplc="DF44F3F6" w:tentative="1">
      <w:start w:val="1"/>
      <w:numFmt w:val="bullet"/>
      <w:lvlText w:val="•"/>
      <w:lvlJc w:val="left"/>
      <w:pPr>
        <w:tabs>
          <w:tab w:val="num" w:pos="2880"/>
        </w:tabs>
        <w:ind w:left="2880" w:hanging="360"/>
      </w:pPr>
      <w:rPr>
        <w:rFonts w:ascii="Arial" w:hAnsi="Arial" w:hint="default"/>
      </w:rPr>
    </w:lvl>
    <w:lvl w:ilvl="4" w:tplc="DDAEE1B4" w:tentative="1">
      <w:start w:val="1"/>
      <w:numFmt w:val="bullet"/>
      <w:lvlText w:val="•"/>
      <w:lvlJc w:val="left"/>
      <w:pPr>
        <w:tabs>
          <w:tab w:val="num" w:pos="3600"/>
        </w:tabs>
        <w:ind w:left="3600" w:hanging="360"/>
      </w:pPr>
      <w:rPr>
        <w:rFonts w:ascii="Arial" w:hAnsi="Arial" w:hint="default"/>
      </w:rPr>
    </w:lvl>
    <w:lvl w:ilvl="5" w:tplc="71A89A90" w:tentative="1">
      <w:start w:val="1"/>
      <w:numFmt w:val="bullet"/>
      <w:lvlText w:val="•"/>
      <w:lvlJc w:val="left"/>
      <w:pPr>
        <w:tabs>
          <w:tab w:val="num" w:pos="4320"/>
        </w:tabs>
        <w:ind w:left="4320" w:hanging="360"/>
      </w:pPr>
      <w:rPr>
        <w:rFonts w:ascii="Arial" w:hAnsi="Arial" w:hint="default"/>
      </w:rPr>
    </w:lvl>
    <w:lvl w:ilvl="6" w:tplc="0E62197E" w:tentative="1">
      <w:start w:val="1"/>
      <w:numFmt w:val="bullet"/>
      <w:lvlText w:val="•"/>
      <w:lvlJc w:val="left"/>
      <w:pPr>
        <w:tabs>
          <w:tab w:val="num" w:pos="5040"/>
        </w:tabs>
        <w:ind w:left="5040" w:hanging="360"/>
      </w:pPr>
      <w:rPr>
        <w:rFonts w:ascii="Arial" w:hAnsi="Arial" w:hint="default"/>
      </w:rPr>
    </w:lvl>
    <w:lvl w:ilvl="7" w:tplc="73D2C5B0" w:tentative="1">
      <w:start w:val="1"/>
      <w:numFmt w:val="bullet"/>
      <w:lvlText w:val="•"/>
      <w:lvlJc w:val="left"/>
      <w:pPr>
        <w:tabs>
          <w:tab w:val="num" w:pos="5760"/>
        </w:tabs>
        <w:ind w:left="5760" w:hanging="360"/>
      </w:pPr>
      <w:rPr>
        <w:rFonts w:ascii="Arial" w:hAnsi="Arial" w:hint="default"/>
      </w:rPr>
    </w:lvl>
    <w:lvl w:ilvl="8" w:tplc="6D76DDC4"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58AB5BF1"/>
    <w:multiLevelType w:val="hybridMultilevel"/>
    <w:tmpl w:val="0C708778"/>
    <w:lvl w:ilvl="0" w:tplc="E1DA0452">
      <w:start w:val="1"/>
      <w:numFmt w:val="bullet"/>
      <w:lvlText w:val=""/>
      <w:lvlPicBulletId w:val="0"/>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58F91A9A"/>
    <w:multiLevelType w:val="hybridMultilevel"/>
    <w:tmpl w:val="67EAE2C6"/>
    <w:lvl w:ilvl="0" w:tplc="2B524350">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5A747A"/>
    <w:multiLevelType w:val="hybridMultilevel"/>
    <w:tmpl w:val="84F63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A885FF3"/>
    <w:multiLevelType w:val="hybridMultilevel"/>
    <w:tmpl w:val="7F70528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5AEE32A3"/>
    <w:multiLevelType w:val="hybridMultilevel"/>
    <w:tmpl w:val="B91840D8"/>
    <w:lvl w:ilvl="0" w:tplc="E1DA0452">
      <w:start w:val="1"/>
      <w:numFmt w:val="bullet"/>
      <w:lvlText w:val=""/>
      <w:lvlPicBulletId w:val="0"/>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BBF094C"/>
    <w:multiLevelType w:val="hybridMultilevel"/>
    <w:tmpl w:val="D7BCD2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3" w15:restartNumberingAfterBreak="0">
    <w:nsid w:val="5E7D2EBD"/>
    <w:multiLevelType w:val="hybridMultilevel"/>
    <w:tmpl w:val="8FC2AACC"/>
    <w:lvl w:ilvl="0" w:tplc="08090001">
      <w:start w:val="1"/>
      <w:numFmt w:val="bullet"/>
      <w:lvlText w:val=""/>
      <w:lvlJc w:val="left"/>
      <w:pPr>
        <w:ind w:left="120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02C4573"/>
    <w:multiLevelType w:val="hybridMultilevel"/>
    <w:tmpl w:val="0AE2E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57" w15:restartNumberingAfterBreak="0">
    <w:nsid w:val="66A05198"/>
    <w:multiLevelType w:val="hybridMultilevel"/>
    <w:tmpl w:val="E646C99A"/>
    <w:lvl w:ilvl="0" w:tplc="70A4B37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59" w15:restartNumberingAfterBreak="0">
    <w:nsid w:val="69441C39"/>
    <w:multiLevelType w:val="hybridMultilevel"/>
    <w:tmpl w:val="424CB7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2" w15:restartNumberingAfterBreak="0">
    <w:nsid w:val="6B3635BD"/>
    <w:multiLevelType w:val="hybridMultilevel"/>
    <w:tmpl w:val="EE8E450C"/>
    <w:lvl w:ilvl="0" w:tplc="08090001">
      <w:start w:val="1"/>
      <w:numFmt w:val="bullet"/>
      <w:lvlText w:val=""/>
      <w:lvlJc w:val="left"/>
      <w:pPr>
        <w:tabs>
          <w:tab w:val="num" w:pos="720"/>
        </w:tabs>
        <w:ind w:left="720" w:hanging="360"/>
      </w:pPr>
      <w:rPr>
        <w:rFonts w:ascii="Symbol" w:hAnsi="Symbol" w:hint="default"/>
      </w:rPr>
    </w:lvl>
    <w:lvl w:ilvl="1" w:tplc="38D4A33E" w:tentative="1">
      <w:start w:val="1"/>
      <w:numFmt w:val="bullet"/>
      <w:lvlText w:val="o"/>
      <w:lvlJc w:val="left"/>
      <w:pPr>
        <w:tabs>
          <w:tab w:val="num" w:pos="1440"/>
        </w:tabs>
        <w:ind w:left="1440" w:hanging="360"/>
      </w:pPr>
      <w:rPr>
        <w:rFonts w:ascii="Courier New" w:hAnsi="Courier New" w:hint="default"/>
      </w:rPr>
    </w:lvl>
    <w:lvl w:ilvl="2" w:tplc="0EDA4188" w:tentative="1">
      <w:start w:val="1"/>
      <w:numFmt w:val="bullet"/>
      <w:lvlText w:val="o"/>
      <w:lvlJc w:val="left"/>
      <w:pPr>
        <w:tabs>
          <w:tab w:val="num" w:pos="2160"/>
        </w:tabs>
        <w:ind w:left="2160" w:hanging="360"/>
      </w:pPr>
      <w:rPr>
        <w:rFonts w:ascii="Courier New" w:hAnsi="Courier New" w:hint="default"/>
      </w:rPr>
    </w:lvl>
    <w:lvl w:ilvl="3" w:tplc="576C63AC" w:tentative="1">
      <w:start w:val="1"/>
      <w:numFmt w:val="bullet"/>
      <w:lvlText w:val="o"/>
      <w:lvlJc w:val="left"/>
      <w:pPr>
        <w:tabs>
          <w:tab w:val="num" w:pos="2880"/>
        </w:tabs>
        <w:ind w:left="2880" w:hanging="360"/>
      </w:pPr>
      <w:rPr>
        <w:rFonts w:ascii="Courier New" w:hAnsi="Courier New" w:hint="default"/>
      </w:rPr>
    </w:lvl>
    <w:lvl w:ilvl="4" w:tplc="390602CA" w:tentative="1">
      <w:start w:val="1"/>
      <w:numFmt w:val="bullet"/>
      <w:lvlText w:val="o"/>
      <w:lvlJc w:val="left"/>
      <w:pPr>
        <w:tabs>
          <w:tab w:val="num" w:pos="3600"/>
        </w:tabs>
        <w:ind w:left="3600" w:hanging="360"/>
      </w:pPr>
      <w:rPr>
        <w:rFonts w:ascii="Courier New" w:hAnsi="Courier New" w:hint="default"/>
      </w:rPr>
    </w:lvl>
    <w:lvl w:ilvl="5" w:tplc="63B824DC" w:tentative="1">
      <w:start w:val="1"/>
      <w:numFmt w:val="bullet"/>
      <w:lvlText w:val="o"/>
      <w:lvlJc w:val="left"/>
      <w:pPr>
        <w:tabs>
          <w:tab w:val="num" w:pos="4320"/>
        </w:tabs>
        <w:ind w:left="4320" w:hanging="360"/>
      </w:pPr>
      <w:rPr>
        <w:rFonts w:ascii="Courier New" w:hAnsi="Courier New" w:hint="default"/>
      </w:rPr>
    </w:lvl>
    <w:lvl w:ilvl="6" w:tplc="60E6ACDA" w:tentative="1">
      <w:start w:val="1"/>
      <w:numFmt w:val="bullet"/>
      <w:lvlText w:val="o"/>
      <w:lvlJc w:val="left"/>
      <w:pPr>
        <w:tabs>
          <w:tab w:val="num" w:pos="5040"/>
        </w:tabs>
        <w:ind w:left="5040" w:hanging="360"/>
      </w:pPr>
      <w:rPr>
        <w:rFonts w:ascii="Courier New" w:hAnsi="Courier New" w:hint="default"/>
      </w:rPr>
    </w:lvl>
    <w:lvl w:ilvl="7" w:tplc="C4186982" w:tentative="1">
      <w:start w:val="1"/>
      <w:numFmt w:val="bullet"/>
      <w:lvlText w:val="o"/>
      <w:lvlJc w:val="left"/>
      <w:pPr>
        <w:tabs>
          <w:tab w:val="num" w:pos="5760"/>
        </w:tabs>
        <w:ind w:left="5760" w:hanging="360"/>
      </w:pPr>
      <w:rPr>
        <w:rFonts w:ascii="Courier New" w:hAnsi="Courier New" w:hint="default"/>
      </w:rPr>
    </w:lvl>
    <w:lvl w:ilvl="8" w:tplc="FA4E4DBA" w:tentative="1">
      <w:start w:val="1"/>
      <w:numFmt w:val="bullet"/>
      <w:lvlText w:val="o"/>
      <w:lvlJc w:val="left"/>
      <w:pPr>
        <w:tabs>
          <w:tab w:val="num" w:pos="6480"/>
        </w:tabs>
        <w:ind w:left="6480" w:hanging="360"/>
      </w:pPr>
      <w:rPr>
        <w:rFonts w:ascii="Courier New" w:hAnsi="Courier New" w:hint="default"/>
      </w:rPr>
    </w:lvl>
  </w:abstractNum>
  <w:abstractNum w:abstractNumId="63" w15:restartNumberingAfterBreak="0">
    <w:nsid w:val="6D8D7FA2"/>
    <w:multiLevelType w:val="hybridMultilevel"/>
    <w:tmpl w:val="88C2F896"/>
    <w:lvl w:ilvl="0" w:tplc="E1DA0452">
      <w:start w:val="1"/>
      <w:numFmt w:val="bullet"/>
      <w:lvlText w:val=""/>
      <w:lvlPicBulletId w:val="0"/>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65" w15:restartNumberingAfterBreak="0">
    <w:nsid w:val="6E6D2679"/>
    <w:multiLevelType w:val="hybridMultilevel"/>
    <w:tmpl w:val="393C2E90"/>
    <w:lvl w:ilvl="0" w:tplc="A7723C4A">
      <w:start w:val="1"/>
      <w:numFmt w:val="bullet"/>
      <w:lvlText w:val=""/>
      <w:lvlPicBulletId w:val="0"/>
      <w:lvlJc w:val="left"/>
      <w:pPr>
        <w:tabs>
          <w:tab w:val="num" w:pos="720"/>
        </w:tabs>
        <w:ind w:left="720" w:hanging="360"/>
      </w:pPr>
      <w:rPr>
        <w:rFonts w:ascii="Symbol" w:hAnsi="Symbol" w:hint="default"/>
      </w:rPr>
    </w:lvl>
    <w:lvl w:ilvl="1" w:tplc="6372781C" w:tentative="1">
      <w:start w:val="1"/>
      <w:numFmt w:val="bullet"/>
      <w:lvlText w:val=""/>
      <w:lvlJc w:val="left"/>
      <w:pPr>
        <w:tabs>
          <w:tab w:val="num" w:pos="1440"/>
        </w:tabs>
        <w:ind w:left="1440" w:hanging="360"/>
      </w:pPr>
      <w:rPr>
        <w:rFonts w:ascii="Symbol" w:hAnsi="Symbol" w:hint="default"/>
      </w:rPr>
    </w:lvl>
    <w:lvl w:ilvl="2" w:tplc="35A8C758" w:tentative="1">
      <w:start w:val="1"/>
      <w:numFmt w:val="bullet"/>
      <w:lvlText w:val=""/>
      <w:lvlJc w:val="left"/>
      <w:pPr>
        <w:tabs>
          <w:tab w:val="num" w:pos="2160"/>
        </w:tabs>
        <w:ind w:left="2160" w:hanging="360"/>
      </w:pPr>
      <w:rPr>
        <w:rFonts w:ascii="Symbol" w:hAnsi="Symbol" w:hint="default"/>
      </w:rPr>
    </w:lvl>
    <w:lvl w:ilvl="3" w:tplc="2B68B1D6" w:tentative="1">
      <w:start w:val="1"/>
      <w:numFmt w:val="bullet"/>
      <w:lvlText w:val=""/>
      <w:lvlJc w:val="left"/>
      <w:pPr>
        <w:tabs>
          <w:tab w:val="num" w:pos="2880"/>
        </w:tabs>
        <w:ind w:left="2880" w:hanging="360"/>
      </w:pPr>
      <w:rPr>
        <w:rFonts w:ascii="Symbol" w:hAnsi="Symbol" w:hint="default"/>
      </w:rPr>
    </w:lvl>
    <w:lvl w:ilvl="4" w:tplc="DA580626" w:tentative="1">
      <w:start w:val="1"/>
      <w:numFmt w:val="bullet"/>
      <w:lvlText w:val=""/>
      <w:lvlJc w:val="left"/>
      <w:pPr>
        <w:tabs>
          <w:tab w:val="num" w:pos="3600"/>
        </w:tabs>
        <w:ind w:left="3600" w:hanging="360"/>
      </w:pPr>
      <w:rPr>
        <w:rFonts w:ascii="Symbol" w:hAnsi="Symbol" w:hint="default"/>
      </w:rPr>
    </w:lvl>
    <w:lvl w:ilvl="5" w:tplc="4A3E9EF4" w:tentative="1">
      <w:start w:val="1"/>
      <w:numFmt w:val="bullet"/>
      <w:lvlText w:val=""/>
      <w:lvlJc w:val="left"/>
      <w:pPr>
        <w:tabs>
          <w:tab w:val="num" w:pos="4320"/>
        </w:tabs>
        <w:ind w:left="4320" w:hanging="360"/>
      </w:pPr>
      <w:rPr>
        <w:rFonts w:ascii="Symbol" w:hAnsi="Symbol" w:hint="default"/>
      </w:rPr>
    </w:lvl>
    <w:lvl w:ilvl="6" w:tplc="A4A609E0" w:tentative="1">
      <w:start w:val="1"/>
      <w:numFmt w:val="bullet"/>
      <w:lvlText w:val=""/>
      <w:lvlJc w:val="left"/>
      <w:pPr>
        <w:tabs>
          <w:tab w:val="num" w:pos="5040"/>
        </w:tabs>
        <w:ind w:left="5040" w:hanging="360"/>
      </w:pPr>
      <w:rPr>
        <w:rFonts w:ascii="Symbol" w:hAnsi="Symbol" w:hint="default"/>
      </w:rPr>
    </w:lvl>
    <w:lvl w:ilvl="7" w:tplc="5A46880C" w:tentative="1">
      <w:start w:val="1"/>
      <w:numFmt w:val="bullet"/>
      <w:lvlText w:val=""/>
      <w:lvlJc w:val="left"/>
      <w:pPr>
        <w:tabs>
          <w:tab w:val="num" w:pos="5760"/>
        </w:tabs>
        <w:ind w:left="5760" w:hanging="360"/>
      </w:pPr>
      <w:rPr>
        <w:rFonts w:ascii="Symbol" w:hAnsi="Symbol" w:hint="default"/>
      </w:rPr>
    </w:lvl>
    <w:lvl w:ilvl="8" w:tplc="CA5A6228" w:tentative="1">
      <w:start w:val="1"/>
      <w:numFmt w:val="bullet"/>
      <w:lvlText w:val=""/>
      <w:lvlJc w:val="left"/>
      <w:pPr>
        <w:tabs>
          <w:tab w:val="num" w:pos="6480"/>
        </w:tabs>
        <w:ind w:left="6480" w:hanging="360"/>
      </w:pPr>
      <w:rPr>
        <w:rFonts w:ascii="Symbol" w:hAnsi="Symbol" w:hint="default"/>
      </w:rPr>
    </w:lvl>
  </w:abstractNum>
  <w:abstractNum w:abstractNumId="6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FD514E1"/>
    <w:multiLevelType w:val="hybridMultilevel"/>
    <w:tmpl w:val="D7F099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70787A02"/>
    <w:multiLevelType w:val="hybridMultilevel"/>
    <w:tmpl w:val="F26E1A1A"/>
    <w:lvl w:ilvl="0" w:tplc="1B04CBA4">
      <w:start w:val="1"/>
      <w:numFmt w:val="bullet"/>
      <w:lvlText w:val=""/>
      <w:lvlPicBulletId w:val="0"/>
      <w:lvlJc w:val="left"/>
      <w:pPr>
        <w:ind w:left="360" w:hanging="360"/>
      </w:pPr>
      <w:rPr>
        <w:rFonts w:ascii="Symbol" w:hAnsi="Symbol" w:hint="default"/>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48A1176"/>
    <w:multiLevelType w:val="hybridMultilevel"/>
    <w:tmpl w:val="06A89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75CB505A"/>
    <w:multiLevelType w:val="hybridMultilevel"/>
    <w:tmpl w:val="FFC0182C"/>
    <w:lvl w:ilvl="0" w:tplc="E1DA0452">
      <w:start w:val="1"/>
      <w:numFmt w:val="bullet"/>
      <w:lvlText w:val=""/>
      <w:lvlPicBulletId w:val="0"/>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6183648"/>
    <w:multiLevelType w:val="hybridMultilevel"/>
    <w:tmpl w:val="6BDAF638"/>
    <w:lvl w:ilvl="0" w:tplc="E1DA0452">
      <w:start w:val="1"/>
      <w:numFmt w:val="bullet"/>
      <w:lvlText w:val=""/>
      <w:lvlPicBulletId w:val="0"/>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76FC63CC"/>
    <w:multiLevelType w:val="hybridMultilevel"/>
    <w:tmpl w:val="79AEA782"/>
    <w:lvl w:ilvl="0" w:tplc="E1DA0452">
      <w:start w:val="1"/>
      <w:numFmt w:val="bullet"/>
      <w:lvlText w:val=""/>
      <w:lvlPicBulletId w:val="0"/>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5" w15:restartNumberingAfterBreak="0">
    <w:nsid w:val="79837C3D"/>
    <w:multiLevelType w:val="hybridMultilevel"/>
    <w:tmpl w:val="1F1CD7C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1743" w:hanging="360"/>
      </w:pPr>
      <w:rPr>
        <w:rFonts w:ascii="Courier New" w:hAnsi="Courier New" w:cs="Courier New" w:hint="default"/>
      </w:rPr>
    </w:lvl>
    <w:lvl w:ilvl="2" w:tplc="08090005" w:tentative="1">
      <w:start w:val="1"/>
      <w:numFmt w:val="bullet"/>
      <w:lvlText w:val=""/>
      <w:lvlJc w:val="left"/>
      <w:pPr>
        <w:ind w:left="2463" w:hanging="360"/>
      </w:pPr>
      <w:rPr>
        <w:rFonts w:ascii="Wingdings" w:hAnsi="Wingdings" w:hint="default"/>
      </w:rPr>
    </w:lvl>
    <w:lvl w:ilvl="3" w:tplc="08090001" w:tentative="1">
      <w:start w:val="1"/>
      <w:numFmt w:val="bullet"/>
      <w:lvlText w:val=""/>
      <w:lvlJc w:val="left"/>
      <w:pPr>
        <w:ind w:left="3183" w:hanging="360"/>
      </w:pPr>
      <w:rPr>
        <w:rFonts w:ascii="Symbol" w:hAnsi="Symbol" w:hint="default"/>
      </w:rPr>
    </w:lvl>
    <w:lvl w:ilvl="4" w:tplc="08090003" w:tentative="1">
      <w:start w:val="1"/>
      <w:numFmt w:val="bullet"/>
      <w:lvlText w:val="o"/>
      <w:lvlJc w:val="left"/>
      <w:pPr>
        <w:ind w:left="3903" w:hanging="360"/>
      </w:pPr>
      <w:rPr>
        <w:rFonts w:ascii="Courier New" w:hAnsi="Courier New" w:cs="Courier New" w:hint="default"/>
      </w:rPr>
    </w:lvl>
    <w:lvl w:ilvl="5" w:tplc="08090005" w:tentative="1">
      <w:start w:val="1"/>
      <w:numFmt w:val="bullet"/>
      <w:lvlText w:val=""/>
      <w:lvlJc w:val="left"/>
      <w:pPr>
        <w:ind w:left="4623" w:hanging="360"/>
      </w:pPr>
      <w:rPr>
        <w:rFonts w:ascii="Wingdings" w:hAnsi="Wingdings" w:hint="default"/>
      </w:rPr>
    </w:lvl>
    <w:lvl w:ilvl="6" w:tplc="08090001" w:tentative="1">
      <w:start w:val="1"/>
      <w:numFmt w:val="bullet"/>
      <w:lvlText w:val=""/>
      <w:lvlJc w:val="left"/>
      <w:pPr>
        <w:ind w:left="5343" w:hanging="360"/>
      </w:pPr>
      <w:rPr>
        <w:rFonts w:ascii="Symbol" w:hAnsi="Symbol" w:hint="default"/>
      </w:rPr>
    </w:lvl>
    <w:lvl w:ilvl="7" w:tplc="08090003" w:tentative="1">
      <w:start w:val="1"/>
      <w:numFmt w:val="bullet"/>
      <w:lvlText w:val="o"/>
      <w:lvlJc w:val="left"/>
      <w:pPr>
        <w:ind w:left="6063" w:hanging="360"/>
      </w:pPr>
      <w:rPr>
        <w:rFonts w:ascii="Courier New" w:hAnsi="Courier New" w:cs="Courier New" w:hint="default"/>
      </w:rPr>
    </w:lvl>
    <w:lvl w:ilvl="8" w:tplc="08090005" w:tentative="1">
      <w:start w:val="1"/>
      <w:numFmt w:val="bullet"/>
      <w:lvlText w:val=""/>
      <w:lvlJc w:val="left"/>
      <w:pPr>
        <w:ind w:left="6783" w:hanging="360"/>
      </w:pPr>
      <w:rPr>
        <w:rFonts w:ascii="Wingdings" w:hAnsi="Wingdings" w:hint="default"/>
      </w:rPr>
    </w:lvl>
  </w:abstractNum>
  <w:abstractNum w:abstractNumId="76" w15:restartNumberingAfterBreak="0">
    <w:nsid w:val="7AF15286"/>
    <w:multiLevelType w:val="hybridMultilevel"/>
    <w:tmpl w:val="25626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C6B6C3A"/>
    <w:multiLevelType w:val="hybridMultilevel"/>
    <w:tmpl w:val="9D7ADF40"/>
    <w:lvl w:ilvl="0" w:tplc="04090003">
      <w:start w:val="1"/>
      <w:numFmt w:val="bullet"/>
      <w:lvlText w:val="o"/>
      <w:lvlJc w:val="left"/>
      <w:pPr>
        <w:ind w:left="1498" w:hanging="360"/>
      </w:pPr>
      <w:rPr>
        <w:rFonts w:ascii="Courier New" w:hAnsi="Courier New" w:cs="Courier New"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78" w15:restartNumberingAfterBreak="0">
    <w:nsid w:val="7C9E09C1"/>
    <w:multiLevelType w:val="hybridMultilevel"/>
    <w:tmpl w:val="BEBA8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6"/>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58"/>
  </w:num>
  <w:num w:numId="6">
    <w:abstractNumId w:val="47"/>
  </w:num>
  <w:num w:numId="7">
    <w:abstractNumId w:val="28"/>
  </w:num>
  <w:num w:numId="8">
    <w:abstractNumId w:val="37"/>
  </w:num>
  <w:num w:numId="9">
    <w:abstractNumId w:val="69"/>
  </w:num>
  <w:num w:numId="10">
    <w:abstractNumId w:val="1"/>
  </w:num>
  <w:num w:numId="11">
    <w:abstractNumId w:val="61"/>
  </w:num>
  <w:num w:numId="12">
    <w:abstractNumId w:val="31"/>
  </w:num>
  <w:num w:numId="13">
    <w:abstractNumId w:val="21"/>
  </w:num>
  <w:num w:numId="14">
    <w:abstractNumId w:val="7"/>
  </w:num>
  <w:num w:numId="15">
    <w:abstractNumId w:val="0"/>
    <w:lvlOverride w:ilvl="0">
      <w:lvl w:ilvl="0">
        <w:start w:val="1"/>
        <w:numFmt w:val="bullet"/>
        <w:lvlText w:val="-"/>
        <w:legacy w:legacy="1" w:legacySpace="0" w:legacyIndent="360"/>
        <w:lvlJc w:val="left"/>
        <w:pPr>
          <w:ind w:left="360" w:hanging="360"/>
        </w:pPr>
      </w:lvl>
    </w:lvlOverride>
  </w:num>
  <w:num w:numId="16">
    <w:abstractNumId w:val="64"/>
  </w:num>
  <w:num w:numId="17">
    <w:abstractNumId w:val="42"/>
  </w:num>
  <w:num w:numId="18">
    <w:abstractNumId w:val="43"/>
  </w:num>
  <w:num w:numId="19">
    <w:abstractNumId w:val="74"/>
  </w:num>
  <w:num w:numId="20">
    <w:abstractNumId w:val="55"/>
  </w:num>
  <w:num w:numId="21">
    <w:abstractNumId w:val="66"/>
  </w:num>
  <w:num w:numId="22">
    <w:abstractNumId w:val="60"/>
  </w:num>
  <w:num w:numId="23">
    <w:abstractNumId w:val="27"/>
  </w:num>
  <w:num w:numId="24">
    <w:abstractNumId w:val="66"/>
  </w:num>
  <w:num w:numId="25">
    <w:abstractNumId w:val="7"/>
  </w:num>
  <w:num w:numId="26">
    <w:abstractNumId w:val="20"/>
  </w:num>
  <w:num w:numId="27">
    <w:abstractNumId w:val="54"/>
  </w:num>
  <w:num w:numId="28">
    <w:abstractNumId w:val="10"/>
  </w:num>
  <w:num w:numId="29">
    <w:abstractNumId w:val="45"/>
  </w:num>
  <w:num w:numId="30">
    <w:abstractNumId w:val="62"/>
  </w:num>
  <w:num w:numId="31">
    <w:abstractNumId w:val="30"/>
  </w:num>
  <w:num w:numId="32">
    <w:abstractNumId w:val="50"/>
  </w:num>
  <w:num w:numId="33">
    <w:abstractNumId w:val="19"/>
  </w:num>
  <w:num w:numId="34">
    <w:abstractNumId w:val="34"/>
  </w:num>
  <w:num w:numId="35">
    <w:abstractNumId w:val="59"/>
  </w:num>
  <w:num w:numId="36">
    <w:abstractNumId w:val="6"/>
  </w:num>
  <w:num w:numId="37">
    <w:abstractNumId w:val="67"/>
  </w:num>
  <w:num w:numId="38">
    <w:abstractNumId w:val="15"/>
  </w:num>
  <w:num w:numId="39">
    <w:abstractNumId w:val="23"/>
  </w:num>
  <w:num w:numId="40">
    <w:abstractNumId w:val="38"/>
  </w:num>
  <w:num w:numId="41">
    <w:abstractNumId w:val="2"/>
  </w:num>
  <w:num w:numId="42">
    <w:abstractNumId w:val="39"/>
  </w:num>
  <w:num w:numId="43">
    <w:abstractNumId w:val="57"/>
  </w:num>
  <w:num w:numId="44">
    <w:abstractNumId w:val="77"/>
  </w:num>
  <w:num w:numId="45">
    <w:abstractNumId w:val="33"/>
  </w:num>
  <w:num w:numId="46">
    <w:abstractNumId w:val="26"/>
  </w:num>
  <w:num w:numId="47">
    <w:abstractNumId w:val="76"/>
  </w:num>
  <w:num w:numId="48">
    <w:abstractNumId w:val="18"/>
  </w:num>
  <w:num w:numId="49">
    <w:abstractNumId w:val="63"/>
  </w:num>
  <w:num w:numId="50">
    <w:abstractNumId w:val="72"/>
  </w:num>
  <w:num w:numId="51">
    <w:abstractNumId w:val="3"/>
  </w:num>
  <w:num w:numId="52">
    <w:abstractNumId w:val="16"/>
  </w:num>
  <w:num w:numId="53">
    <w:abstractNumId w:val="51"/>
  </w:num>
  <w:num w:numId="54">
    <w:abstractNumId w:val="78"/>
  </w:num>
  <w:num w:numId="55">
    <w:abstractNumId w:val="5"/>
  </w:num>
  <w:num w:numId="56">
    <w:abstractNumId w:val="11"/>
  </w:num>
  <w:num w:numId="57">
    <w:abstractNumId w:val="73"/>
  </w:num>
  <w:num w:numId="58">
    <w:abstractNumId w:val="8"/>
  </w:num>
  <w:num w:numId="59">
    <w:abstractNumId w:val="13"/>
  </w:num>
  <w:num w:numId="60">
    <w:abstractNumId w:val="14"/>
  </w:num>
  <w:num w:numId="61">
    <w:abstractNumId w:val="46"/>
  </w:num>
  <w:num w:numId="62">
    <w:abstractNumId w:val="41"/>
  </w:num>
  <w:num w:numId="63">
    <w:abstractNumId w:val="71"/>
  </w:num>
  <w:num w:numId="64">
    <w:abstractNumId w:val="29"/>
  </w:num>
  <w:num w:numId="65">
    <w:abstractNumId w:val="25"/>
  </w:num>
  <w:num w:numId="66">
    <w:abstractNumId w:val="48"/>
  </w:num>
  <w:num w:numId="67">
    <w:abstractNumId w:val="68"/>
  </w:num>
  <w:num w:numId="68">
    <w:abstractNumId w:val="17"/>
  </w:num>
  <w:num w:numId="69">
    <w:abstractNumId w:val="75"/>
  </w:num>
  <w:num w:numId="70">
    <w:abstractNumId w:val="53"/>
  </w:num>
  <w:num w:numId="71">
    <w:abstractNumId w:val="36"/>
  </w:num>
  <w:num w:numId="72">
    <w:abstractNumId w:val="22"/>
  </w:num>
  <w:num w:numId="73">
    <w:abstractNumId w:val="44"/>
  </w:num>
  <w:num w:numId="74">
    <w:abstractNumId w:val="65"/>
  </w:num>
  <w:num w:numId="75">
    <w:abstractNumId w:val="24"/>
  </w:num>
  <w:num w:numId="76">
    <w:abstractNumId w:val="9"/>
  </w:num>
  <w:num w:numId="77">
    <w:abstractNumId w:val="49"/>
  </w:num>
  <w:num w:numId="78">
    <w:abstractNumId w:val="12"/>
  </w:num>
  <w:num w:numId="79">
    <w:abstractNumId w:val="35"/>
  </w:num>
  <w:num w:numId="80">
    <w:abstractNumId w:val="40"/>
  </w:num>
  <w:num w:numId="81">
    <w:abstractNumId w:val="32"/>
  </w:num>
  <w:num w:numId="82">
    <w:abstractNumId w:val="70"/>
  </w:num>
  <w:num w:numId="83">
    <w:abstractNumId w:val="5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471"/>
    <w:rsid w:val="00000D62"/>
    <w:rsid w:val="00001587"/>
    <w:rsid w:val="00001C0B"/>
    <w:rsid w:val="00001CA4"/>
    <w:rsid w:val="00002159"/>
    <w:rsid w:val="00002544"/>
    <w:rsid w:val="00002906"/>
    <w:rsid w:val="0000362A"/>
    <w:rsid w:val="000046C2"/>
    <w:rsid w:val="00005701"/>
    <w:rsid w:val="00005706"/>
    <w:rsid w:val="00007528"/>
    <w:rsid w:val="00007FA6"/>
    <w:rsid w:val="00010308"/>
    <w:rsid w:val="00010357"/>
    <w:rsid w:val="0001164F"/>
    <w:rsid w:val="000124AB"/>
    <w:rsid w:val="0001261D"/>
    <w:rsid w:val="000135C5"/>
    <w:rsid w:val="00013B5B"/>
    <w:rsid w:val="00013DDB"/>
    <w:rsid w:val="0001405B"/>
    <w:rsid w:val="000140DF"/>
    <w:rsid w:val="00014869"/>
    <w:rsid w:val="00014AEE"/>
    <w:rsid w:val="00014B60"/>
    <w:rsid w:val="00014D84"/>
    <w:rsid w:val="00014E53"/>
    <w:rsid w:val="000150D3"/>
    <w:rsid w:val="0001514B"/>
    <w:rsid w:val="000153F7"/>
    <w:rsid w:val="00015A72"/>
    <w:rsid w:val="000166C1"/>
    <w:rsid w:val="00016A82"/>
    <w:rsid w:val="00016B9A"/>
    <w:rsid w:val="00016C7B"/>
    <w:rsid w:val="00017A25"/>
    <w:rsid w:val="0002006B"/>
    <w:rsid w:val="000202F8"/>
    <w:rsid w:val="00020AE8"/>
    <w:rsid w:val="00021271"/>
    <w:rsid w:val="00021363"/>
    <w:rsid w:val="000219E0"/>
    <w:rsid w:val="00023A2C"/>
    <w:rsid w:val="0002409E"/>
    <w:rsid w:val="0002474B"/>
    <w:rsid w:val="00024A3A"/>
    <w:rsid w:val="000258FE"/>
    <w:rsid w:val="00025EBE"/>
    <w:rsid w:val="000260A1"/>
    <w:rsid w:val="00026429"/>
    <w:rsid w:val="00026BF2"/>
    <w:rsid w:val="00026CF1"/>
    <w:rsid w:val="00026D33"/>
    <w:rsid w:val="00026DF8"/>
    <w:rsid w:val="000271F6"/>
    <w:rsid w:val="00027530"/>
    <w:rsid w:val="00030445"/>
    <w:rsid w:val="000305D0"/>
    <w:rsid w:val="000318C7"/>
    <w:rsid w:val="00031AF9"/>
    <w:rsid w:val="00032FCC"/>
    <w:rsid w:val="00033D26"/>
    <w:rsid w:val="00033FDB"/>
    <w:rsid w:val="000344F6"/>
    <w:rsid w:val="00035340"/>
    <w:rsid w:val="00037597"/>
    <w:rsid w:val="000379AE"/>
    <w:rsid w:val="00040CBC"/>
    <w:rsid w:val="00041B99"/>
    <w:rsid w:val="00041F14"/>
    <w:rsid w:val="00042263"/>
    <w:rsid w:val="00043136"/>
    <w:rsid w:val="00043505"/>
    <w:rsid w:val="00043C70"/>
    <w:rsid w:val="00044042"/>
    <w:rsid w:val="000446BB"/>
    <w:rsid w:val="00045C9D"/>
    <w:rsid w:val="00046402"/>
    <w:rsid w:val="000474D2"/>
    <w:rsid w:val="000479C5"/>
    <w:rsid w:val="00047E7A"/>
    <w:rsid w:val="000502D0"/>
    <w:rsid w:val="00050DFD"/>
    <w:rsid w:val="00051707"/>
    <w:rsid w:val="00051AB2"/>
    <w:rsid w:val="000524DC"/>
    <w:rsid w:val="00052CD1"/>
    <w:rsid w:val="00052E93"/>
    <w:rsid w:val="00053809"/>
    <w:rsid w:val="00053914"/>
    <w:rsid w:val="00053A9E"/>
    <w:rsid w:val="0005449B"/>
    <w:rsid w:val="00054756"/>
    <w:rsid w:val="000560C5"/>
    <w:rsid w:val="00056613"/>
    <w:rsid w:val="00056C49"/>
    <w:rsid w:val="00056FE0"/>
    <w:rsid w:val="00057F08"/>
    <w:rsid w:val="000603C8"/>
    <w:rsid w:val="000608A4"/>
    <w:rsid w:val="00060AA1"/>
    <w:rsid w:val="000627DD"/>
    <w:rsid w:val="000631FD"/>
    <w:rsid w:val="00063DAD"/>
    <w:rsid w:val="00064023"/>
    <w:rsid w:val="000642A2"/>
    <w:rsid w:val="000643D3"/>
    <w:rsid w:val="00064D6D"/>
    <w:rsid w:val="00064D71"/>
    <w:rsid w:val="0006539C"/>
    <w:rsid w:val="0006590D"/>
    <w:rsid w:val="00066E91"/>
    <w:rsid w:val="00067B16"/>
    <w:rsid w:val="00067E5D"/>
    <w:rsid w:val="00070186"/>
    <w:rsid w:val="00071C53"/>
    <w:rsid w:val="00071F8A"/>
    <w:rsid w:val="00073E04"/>
    <w:rsid w:val="00074B4A"/>
    <w:rsid w:val="00074C19"/>
    <w:rsid w:val="00074EF6"/>
    <w:rsid w:val="0007555D"/>
    <w:rsid w:val="0007628D"/>
    <w:rsid w:val="00076811"/>
    <w:rsid w:val="00076F2A"/>
    <w:rsid w:val="0008093A"/>
    <w:rsid w:val="000816D1"/>
    <w:rsid w:val="00081DAB"/>
    <w:rsid w:val="00083AFD"/>
    <w:rsid w:val="00083E20"/>
    <w:rsid w:val="00084616"/>
    <w:rsid w:val="000848A0"/>
    <w:rsid w:val="00085E9F"/>
    <w:rsid w:val="00085FF8"/>
    <w:rsid w:val="00086B3D"/>
    <w:rsid w:val="00086C1E"/>
    <w:rsid w:val="000901FA"/>
    <w:rsid w:val="000912A5"/>
    <w:rsid w:val="000915FA"/>
    <w:rsid w:val="00091794"/>
    <w:rsid w:val="000923C7"/>
    <w:rsid w:val="00092829"/>
    <w:rsid w:val="00092B09"/>
    <w:rsid w:val="00092CDC"/>
    <w:rsid w:val="00092E28"/>
    <w:rsid w:val="0009309F"/>
    <w:rsid w:val="0009351E"/>
    <w:rsid w:val="00093AEE"/>
    <w:rsid w:val="00094761"/>
    <w:rsid w:val="0009479A"/>
    <w:rsid w:val="00094AD6"/>
    <w:rsid w:val="00094FF7"/>
    <w:rsid w:val="000954A3"/>
    <w:rsid w:val="00095D37"/>
    <w:rsid w:val="00095D61"/>
    <w:rsid w:val="00095E44"/>
    <w:rsid w:val="000960B5"/>
    <w:rsid w:val="00096D7F"/>
    <w:rsid w:val="00096D8D"/>
    <w:rsid w:val="0009755A"/>
    <w:rsid w:val="000A000E"/>
    <w:rsid w:val="000A1232"/>
    <w:rsid w:val="000A1F1F"/>
    <w:rsid w:val="000A327F"/>
    <w:rsid w:val="000A3D81"/>
    <w:rsid w:val="000A40D0"/>
    <w:rsid w:val="000A4919"/>
    <w:rsid w:val="000A59A7"/>
    <w:rsid w:val="000A67E1"/>
    <w:rsid w:val="000A78DF"/>
    <w:rsid w:val="000A79BA"/>
    <w:rsid w:val="000B0097"/>
    <w:rsid w:val="000B0490"/>
    <w:rsid w:val="000B0A73"/>
    <w:rsid w:val="000B101F"/>
    <w:rsid w:val="000B10E5"/>
    <w:rsid w:val="000B1329"/>
    <w:rsid w:val="000B18E2"/>
    <w:rsid w:val="000B1F4B"/>
    <w:rsid w:val="000B259D"/>
    <w:rsid w:val="000B2D9A"/>
    <w:rsid w:val="000B2DF7"/>
    <w:rsid w:val="000B2F27"/>
    <w:rsid w:val="000B2F58"/>
    <w:rsid w:val="000B37A8"/>
    <w:rsid w:val="000B3ED9"/>
    <w:rsid w:val="000B4397"/>
    <w:rsid w:val="000B48C8"/>
    <w:rsid w:val="000B51D9"/>
    <w:rsid w:val="000B5E92"/>
    <w:rsid w:val="000B5E94"/>
    <w:rsid w:val="000B71D0"/>
    <w:rsid w:val="000B7829"/>
    <w:rsid w:val="000C0214"/>
    <w:rsid w:val="000C03C2"/>
    <w:rsid w:val="000C03FB"/>
    <w:rsid w:val="000C0B75"/>
    <w:rsid w:val="000C136A"/>
    <w:rsid w:val="000C2544"/>
    <w:rsid w:val="000C2990"/>
    <w:rsid w:val="000C308F"/>
    <w:rsid w:val="000C5665"/>
    <w:rsid w:val="000C5A4E"/>
    <w:rsid w:val="000C635D"/>
    <w:rsid w:val="000C6EDC"/>
    <w:rsid w:val="000C75C9"/>
    <w:rsid w:val="000C7F49"/>
    <w:rsid w:val="000D0598"/>
    <w:rsid w:val="000D065F"/>
    <w:rsid w:val="000D12ED"/>
    <w:rsid w:val="000D141D"/>
    <w:rsid w:val="000D1A79"/>
    <w:rsid w:val="000D1AEE"/>
    <w:rsid w:val="000D1D86"/>
    <w:rsid w:val="000D1F4F"/>
    <w:rsid w:val="000D204E"/>
    <w:rsid w:val="000D2374"/>
    <w:rsid w:val="000D30A0"/>
    <w:rsid w:val="000D39CC"/>
    <w:rsid w:val="000D47A9"/>
    <w:rsid w:val="000D4D07"/>
    <w:rsid w:val="000D50EC"/>
    <w:rsid w:val="000D65C5"/>
    <w:rsid w:val="000D6B3F"/>
    <w:rsid w:val="000D7535"/>
    <w:rsid w:val="000E03B9"/>
    <w:rsid w:val="000E1278"/>
    <w:rsid w:val="000E1331"/>
    <w:rsid w:val="000E165D"/>
    <w:rsid w:val="000E1BAF"/>
    <w:rsid w:val="000E1D4C"/>
    <w:rsid w:val="000E223E"/>
    <w:rsid w:val="000E2491"/>
    <w:rsid w:val="000E2835"/>
    <w:rsid w:val="000E2EA9"/>
    <w:rsid w:val="000E436C"/>
    <w:rsid w:val="000E460E"/>
    <w:rsid w:val="000E46A3"/>
    <w:rsid w:val="000E4E88"/>
    <w:rsid w:val="000E4F54"/>
    <w:rsid w:val="000E5726"/>
    <w:rsid w:val="000E5FFD"/>
    <w:rsid w:val="000E6224"/>
    <w:rsid w:val="000E6C6F"/>
    <w:rsid w:val="000E6C94"/>
    <w:rsid w:val="000E7894"/>
    <w:rsid w:val="000E7B32"/>
    <w:rsid w:val="000F0651"/>
    <w:rsid w:val="000F1BB2"/>
    <w:rsid w:val="000F1DA4"/>
    <w:rsid w:val="000F20B1"/>
    <w:rsid w:val="000F217A"/>
    <w:rsid w:val="000F2884"/>
    <w:rsid w:val="000F2B9D"/>
    <w:rsid w:val="000F308E"/>
    <w:rsid w:val="000F347C"/>
    <w:rsid w:val="000F3608"/>
    <w:rsid w:val="000F3B4F"/>
    <w:rsid w:val="000F3F94"/>
    <w:rsid w:val="000F4E69"/>
    <w:rsid w:val="000F5A2C"/>
    <w:rsid w:val="000F5B21"/>
    <w:rsid w:val="000F6FBF"/>
    <w:rsid w:val="000F7F3C"/>
    <w:rsid w:val="001003A5"/>
    <w:rsid w:val="001004C9"/>
    <w:rsid w:val="00100AD1"/>
    <w:rsid w:val="0010102A"/>
    <w:rsid w:val="001018BE"/>
    <w:rsid w:val="00102C61"/>
    <w:rsid w:val="00103461"/>
    <w:rsid w:val="00103501"/>
    <w:rsid w:val="00103B2D"/>
    <w:rsid w:val="00103CD2"/>
    <w:rsid w:val="00104061"/>
    <w:rsid w:val="00105639"/>
    <w:rsid w:val="00107236"/>
    <w:rsid w:val="00107669"/>
    <w:rsid w:val="001079A9"/>
    <w:rsid w:val="001101A2"/>
    <w:rsid w:val="001106F7"/>
    <w:rsid w:val="001108A9"/>
    <w:rsid w:val="00110EB0"/>
    <w:rsid w:val="00111025"/>
    <w:rsid w:val="00111798"/>
    <w:rsid w:val="001129F2"/>
    <w:rsid w:val="00112D3D"/>
    <w:rsid w:val="00112EDA"/>
    <w:rsid w:val="00114174"/>
    <w:rsid w:val="00114DF0"/>
    <w:rsid w:val="00115A35"/>
    <w:rsid w:val="00115ECD"/>
    <w:rsid w:val="00115F32"/>
    <w:rsid w:val="001167CC"/>
    <w:rsid w:val="00117C1D"/>
    <w:rsid w:val="00120177"/>
    <w:rsid w:val="00121F65"/>
    <w:rsid w:val="00123688"/>
    <w:rsid w:val="00123C58"/>
    <w:rsid w:val="0012545C"/>
    <w:rsid w:val="0012610B"/>
    <w:rsid w:val="00126608"/>
    <w:rsid w:val="001275CC"/>
    <w:rsid w:val="001276FC"/>
    <w:rsid w:val="00127ED3"/>
    <w:rsid w:val="00127F47"/>
    <w:rsid w:val="00130F66"/>
    <w:rsid w:val="001312ED"/>
    <w:rsid w:val="00132860"/>
    <w:rsid w:val="00133572"/>
    <w:rsid w:val="00133816"/>
    <w:rsid w:val="001350EB"/>
    <w:rsid w:val="00135D00"/>
    <w:rsid w:val="001364FB"/>
    <w:rsid w:val="001365F2"/>
    <w:rsid w:val="00136D7A"/>
    <w:rsid w:val="00136F33"/>
    <w:rsid w:val="00137C43"/>
    <w:rsid w:val="00137EC2"/>
    <w:rsid w:val="00140ADD"/>
    <w:rsid w:val="00140B30"/>
    <w:rsid w:val="00141470"/>
    <w:rsid w:val="00141540"/>
    <w:rsid w:val="00141769"/>
    <w:rsid w:val="00141DD9"/>
    <w:rsid w:val="00142B90"/>
    <w:rsid w:val="00143009"/>
    <w:rsid w:val="001449DF"/>
    <w:rsid w:val="0014523E"/>
    <w:rsid w:val="00145629"/>
    <w:rsid w:val="0014569B"/>
    <w:rsid w:val="00145F26"/>
    <w:rsid w:val="001467A2"/>
    <w:rsid w:val="00146B45"/>
    <w:rsid w:val="001470E0"/>
    <w:rsid w:val="0014724B"/>
    <w:rsid w:val="001474CD"/>
    <w:rsid w:val="00147615"/>
    <w:rsid w:val="00150060"/>
    <w:rsid w:val="00151F28"/>
    <w:rsid w:val="00151F6A"/>
    <w:rsid w:val="00152EB6"/>
    <w:rsid w:val="00152F1E"/>
    <w:rsid w:val="00153294"/>
    <w:rsid w:val="0015368E"/>
    <w:rsid w:val="0015487C"/>
    <w:rsid w:val="00154A24"/>
    <w:rsid w:val="00154C69"/>
    <w:rsid w:val="00154DF2"/>
    <w:rsid w:val="00155786"/>
    <w:rsid w:val="00155AA1"/>
    <w:rsid w:val="0015704C"/>
    <w:rsid w:val="00157895"/>
    <w:rsid w:val="00161039"/>
    <w:rsid w:val="00161701"/>
    <w:rsid w:val="00161E87"/>
    <w:rsid w:val="0016209B"/>
    <w:rsid w:val="0016241E"/>
    <w:rsid w:val="00162CEB"/>
    <w:rsid w:val="0016356D"/>
    <w:rsid w:val="0016566C"/>
    <w:rsid w:val="0016759E"/>
    <w:rsid w:val="00170988"/>
    <w:rsid w:val="001727F0"/>
    <w:rsid w:val="00172B06"/>
    <w:rsid w:val="00172BB8"/>
    <w:rsid w:val="001730BE"/>
    <w:rsid w:val="0017347E"/>
    <w:rsid w:val="001739F1"/>
    <w:rsid w:val="00175083"/>
    <w:rsid w:val="0017519D"/>
    <w:rsid w:val="001752D8"/>
    <w:rsid w:val="00175931"/>
    <w:rsid w:val="00175C37"/>
    <w:rsid w:val="00176B25"/>
    <w:rsid w:val="00176F95"/>
    <w:rsid w:val="001772DE"/>
    <w:rsid w:val="001777AE"/>
    <w:rsid w:val="001778CC"/>
    <w:rsid w:val="00177AC4"/>
    <w:rsid w:val="00177F35"/>
    <w:rsid w:val="00180425"/>
    <w:rsid w:val="00180E84"/>
    <w:rsid w:val="00180F17"/>
    <w:rsid w:val="0018238B"/>
    <w:rsid w:val="00182DCA"/>
    <w:rsid w:val="00183308"/>
    <w:rsid w:val="00183419"/>
    <w:rsid w:val="0018394A"/>
    <w:rsid w:val="00183C90"/>
    <w:rsid w:val="0018462B"/>
    <w:rsid w:val="00184DCC"/>
    <w:rsid w:val="001851A4"/>
    <w:rsid w:val="001865B5"/>
    <w:rsid w:val="001867B0"/>
    <w:rsid w:val="00186A9D"/>
    <w:rsid w:val="001874A6"/>
    <w:rsid w:val="0018765B"/>
    <w:rsid w:val="00187814"/>
    <w:rsid w:val="00187BED"/>
    <w:rsid w:val="001902F1"/>
    <w:rsid w:val="00190913"/>
    <w:rsid w:val="001935E8"/>
    <w:rsid w:val="00193DD3"/>
    <w:rsid w:val="001948AA"/>
    <w:rsid w:val="0019490D"/>
    <w:rsid w:val="001952DD"/>
    <w:rsid w:val="00195F65"/>
    <w:rsid w:val="00196576"/>
    <w:rsid w:val="00197506"/>
    <w:rsid w:val="001A01DE"/>
    <w:rsid w:val="001A0242"/>
    <w:rsid w:val="001A07E2"/>
    <w:rsid w:val="001A2018"/>
    <w:rsid w:val="001A2091"/>
    <w:rsid w:val="001A295B"/>
    <w:rsid w:val="001A2E39"/>
    <w:rsid w:val="001A42BD"/>
    <w:rsid w:val="001A557E"/>
    <w:rsid w:val="001A56F1"/>
    <w:rsid w:val="001A5D0E"/>
    <w:rsid w:val="001A6C1B"/>
    <w:rsid w:val="001A7067"/>
    <w:rsid w:val="001A734D"/>
    <w:rsid w:val="001A7E8F"/>
    <w:rsid w:val="001B01C8"/>
    <w:rsid w:val="001B0B52"/>
    <w:rsid w:val="001B0E83"/>
    <w:rsid w:val="001B1364"/>
    <w:rsid w:val="001B13F6"/>
    <w:rsid w:val="001B1539"/>
    <w:rsid w:val="001B1747"/>
    <w:rsid w:val="001B1905"/>
    <w:rsid w:val="001B1BC5"/>
    <w:rsid w:val="001B1CE3"/>
    <w:rsid w:val="001B2D44"/>
    <w:rsid w:val="001B3C54"/>
    <w:rsid w:val="001B4939"/>
    <w:rsid w:val="001B5817"/>
    <w:rsid w:val="001B5C00"/>
    <w:rsid w:val="001B5D5F"/>
    <w:rsid w:val="001B64E5"/>
    <w:rsid w:val="001B65E9"/>
    <w:rsid w:val="001B6ADF"/>
    <w:rsid w:val="001B6BF9"/>
    <w:rsid w:val="001B6C42"/>
    <w:rsid w:val="001B7408"/>
    <w:rsid w:val="001B744B"/>
    <w:rsid w:val="001B752A"/>
    <w:rsid w:val="001C01E5"/>
    <w:rsid w:val="001C0B3C"/>
    <w:rsid w:val="001C12FB"/>
    <w:rsid w:val="001C2DB4"/>
    <w:rsid w:val="001C3228"/>
    <w:rsid w:val="001C35E9"/>
    <w:rsid w:val="001C36BD"/>
    <w:rsid w:val="001C3733"/>
    <w:rsid w:val="001C3B96"/>
    <w:rsid w:val="001C49B3"/>
    <w:rsid w:val="001C4DF8"/>
    <w:rsid w:val="001C58B6"/>
    <w:rsid w:val="001C5B30"/>
    <w:rsid w:val="001C5E16"/>
    <w:rsid w:val="001C6FFC"/>
    <w:rsid w:val="001C7186"/>
    <w:rsid w:val="001C793D"/>
    <w:rsid w:val="001D089D"/>
    <w:rsid w:val="001D0AD5"/>
    <w:rsid w:val="001D1BD1"/>
    <w:rsid w:val="001D257E"/>
    <w:rsid w:val="001D3BFF"/>
    <w:rsid w:val="001D3C05"/>
    <w:rsid w:val="001D4A53"/>
    <w:rsid w:val="001D57C5"/>
    <w:rsid w:val="001D633B"/>
    <w:rsid w:val="001D6451"/>
    <w:rsid w:val="001D6965"/>
    <w:rsid w:val="001D6AF4"/>
    <w:rsid w:val="001D6CE4"/>
    <w:rsid w:val="001D6EC1"/>
    <w:rsid w:val="001E0CC1"/>
    <w:rsid w:val="001E1264"/>
    <w:rsid w:val="001E183C"/>
    <w:rsid w:val="001E1C10"/>
    <w:rsid w:val="001E1F27"/>
    <w:rsid w:val="001E2B3A"/>
    <w:rsid w:val="001E2B7E"/>
    <w:rsid w:val="001E2F5F"/>
    <w:rsid w:val="001E3CC0"/>
    <w:rsid w:val="001E447E"/>
    <w:rsid w:val="001E5092"/>
    <w:rsid w:val="001E5CA8"/>
    <w:rsid w:val="001E633A"/>
    <w:rsid w:val="001E736C"/>
    <w:rsid w:val="001E77C3"/>
    <w:rsid w:val="001F014C"/>
    <w:rsid w:val="001F090B"/>
    <w:rsid w:val="001F0AE1"/>
    <w:rsid w:val="001F0B18"/>
    <w:rsid w:val="001F180A"/>
    <w:rsid w:val="001F1A28"/>
    <w:rsid w:val="001F1AD0"/>
    <w:rsid w:val="001F1DC5"/>
    <w:rsid w:val="001F232A"/>
    <w:rsid w:val="001F2396"/>
    <w:rsid w:val="001F2473"/>
    <w:rsid w:val="001F3342"/>
    <w:rsid w:val="001F35E8"/>
    <w:rsid w:val="001F3838"/>
    <w:rsid w:val="001F3E5A"/>
    <w:rsid w:val="001F4014"/>
    <w:rsid w:val="001F4291"/>
    <w:rsid w:val="001F445E"/>
    <w:rsid w:val="001F50E0"/>
    <w:rsid w:val="001F5CBD"/>
    <w:rsid w:val="001F5E6C"/>
    <w:rsid w:val="001F6423"/>
    <w:rsid w:val="001F7350"/>
    <w:rsid w:val="001F7370"/>
    <w:rsid w:val="001F753F"/>
    <w:rsid w:val="002011F0"/>
    <w:rsid w:val="00201213"/>
    <w:rsid w:val="0020165E"/>
    <w:rsid w:val="002022AA"/>
    <w:rsid w:val="00202674"/>
    <w:rsid w:val="0020272E"/>
    <w:rsid w:val="00202E50"/>
    <w:rsid w:val="002032A0"/>
    <w:rsid w:val="002032D0"/>
    <w:rsid w:val="0020442E"/>
    <w:rsid w:val="00205180"/>
    <w:rsid w:val="00205FC3"/>
    <w:rsid w:val="00206844"/>
    <w:rsid w:val="00207186"/>
    <w:rsid w:val="002075E7"/>
    <w:rsid w:val="00207A67"/>
    <w:rsid w:val="00207F81"/>
    <w:rsid w:val="0021058D"/>
    <w:rsid w:val="0021067B"/>
    <w:rsid w:val="00210948"/>
    <w:rsid w:val="002109F4"/>
    <w:rsid w:val="00210AD9"/>
    <w:rsid w:val="00210C16"/>
    <w:rsid w:val="00211803"/>
    <w:rsid w:val="00211FDA"/>
    <w:rsid w:val="00212656"/>
    <w:rsid w:val="0021416A"/>
    <w:rsid w:val="00215FDA"/>
    <w:rsid w:val="002160C2"/>
    <w:rsid w:val="00217B8B"/>
    <w:rsid w:val="00221004"/>
    <w:rsid w:val="00222073"/>
    <w:rsid w:val="00222BB9"/>
    <w:rsid w:val="002234DE"/>
    <w:rsid w:val="00224451"/>
    <w:rsid w:val="00224AE4"/>
    <w:rsid w:val="00224B67"/>
    <w:rsid w:val="002258D6"/>
    <w:rsid w:val="002259FA"/>
    <w:rsid w:val="00225B73"/>
    <w:rsid w:val="00226679"/>
    <w:rsid w:val="002267E3"/>
    <w:rsid w:val="00226941"/>
    <w:rsid w:val="00227159"/>
    <w:rsid w:val="002274FB"/>
    <w:rsid w:val="002276F4"/>
    <w:rsid w:val="0023072C"/>
    <w:rsid w:val="002309D2"/>
    <w:rsid w:val="002315CA"/>
    <w:rsid w:val="00231B61"/>
    <w:rsid w:val="00231E5A"/>
    <w:rsid w:val="0023315B"/>
    <w:rsid w:val="00233F8E"/>
    <w:rsid w:val="002347FE"/>
    <w:rsid w:val="00234F62"/>
    <w:rsid w:val="00235B70"/>
    <w:rsid w:val="00235F8B"/>
    <w:rsid w:val="00236438"/>
    <w:rsid w:val="00237093"/>
    <w:rsid w:val="00237E00"/>
    <w:rsid w:val="0024178D"/>
    <w:rsid w:val="00241DD2"/>
    <w:rsid w:val="0024227D"/>
    <w:rsid w:val="002425CB"/>
    <w:rsid w:val="00242603"/>
    <w:rsid w:val="00242638"/>
    <w:rsid w:val="002426B0"/>
    <w:rsid w:val="0024392B"/>
    <w:rsid w:val="00244621"/>
    <w:rsid w:val="002450C6"/>
    <w:rsid w:val="00245412"/>
    <w:rsid w:val="00245DCF"/>
    <w:rsid w:val="00246C65"/>
    <w:rsid w:val="0024721F"/>
    <w:rsid w:val="00247ADB"/>
    <w:rsid w:val="00247FB1"/>
    <w:rsid w:val="00251999"/>
    <w:rsid w:val="00251A10"/>
    <w:rsid w:val="00251D50"/>
    <w:rsid w:val="00252982"/>
    <w:rsid w:val="00252BFF"/>
    <w:rsid w:val="00253732"/>
    <w:rsid w:val="00253D6F"/>
    <w:rsid w:val="002542A8"/>
    <w:rsid w:val="00254413"/>
    <w:rsid w:val="002548FA"/>
    <w:rsid w:val="00255078"/>
    <w:rsid w:val="0025511D"/>
    <w:rsid w:val="002552D9"/>
    <w:rsid w:val="00255CE2"/>
    <w:rsid w:val="00260080"/>
    <w:rsid w:val="002602F3"/>
    <w:rsid w:val="00260845"/>
    <w:rsid w:val="00260A11"/>
    <w:rsid w:val="0026169A"/>
    <w:rsid w:val="00261B4F"/>
    <w:rsid w:val="002620FC"/>
    <w:rsid w:val="00262763"/>
    <w:rsid w:val="002628E8"/>
    <w:rsid w:val="00262DBF"/>
    <w:rsid w:val="002633C1"/>
    <w:rsid w:val="002638CC"/>
    <w:rsid w:val="002638D4"/>
    <w:rsid w:val="00264974"/>
    <w:rsid w:val="00264BEA"/>
    <w:rsid w:val="00264DEE"/>
    <w:rsid w:val="002667F5"/>
    <w:rsid w:val="00267850"/>
    <w:rsid w:val="00271032"/>
    <w:rsid w:val="00273638"/>
    <w:rsid w:val="00273E3E"/>
    <w:rsid w:val="00274147"/>
    <w:rsid w:val="0027438E"/>
    <w:rsid w:val="002749A0"/>
    <w:rsid w:val="002749F3"/>
    <w:rsid w:val="0027515B"/>
    <w:rsid w:val="00275189"/>
    <w:rsid w:val="00275650"/>
    <w:rsid w:val="002756DC"/>
    <w:rsid w:val="00276117"/>
    <w:rsid w:val="00276412"/>
    <w:rsid w:val="00276437"/>
    <w:rsid w:val="00277B6D"/>
    <w:rsid w:val="00280053"/>
    <w:rsid w:val="002803C3"/>
    <w:rsid w:val="0028063F"/>
    <w:rsid w:val="00280740"/>
    <w:rsid w:val="0028089F"/>
    <w:rsid w:val="002808B4"/>
    <w:rsid w:val="00280C26"/>
    <w:rsid w:val="00281A53"/>
    <w:rsid w:val="00281BF3"/>
    <w:rsid w:val="00283384"/>
    <w:rsid w:val="00283B02"/>
    <w:rsid w:val="00283C5D"/>
    <w:rsid w:val="002844B0"/>
    <w:rsid w:val="00284739"/>
    <w:rsid w:val="002847C9"/>
    <w:rsid w:val="00284967"/>
    <w:rsid w:val="00284B3E"/>
    <w:rsid w:val="00285CC1"/>
    <w:rsid w:val="00286322"/>
    <w:rsid w:val="00287A2B"/>
    <w:rsid w:val="00290307"/>
    <w:rsid w:val="00292422"/>
    <w:rsid w:val="00292474"/>
    <w:rsid w:val="00293257"/>
    <w:rsid w:val="00293815"/>
    <w:rsid w:val="0029392B"/>
    <w:rsid w:val="002940C5"/>
    <w:rsid w:val="00294319"/>
    <w:rsid w:val="00294B07"/>
    <w:rsid w:val="00295637"/>
    <w:rsid w:val="00295A56"/>
    <w:rsid w:val="00296296"/>
    <w:rsid w:val="00296B03"/>
    <w:rsid w:val="00296C1F"/>
    <w:rsid w:val="00296D8E"/>
    <w:rsid w:val="00297EC9"/>
    <w:rsid w:val="002A0451"/>
    <w:rsid w:val="002A088B"/>
    <w:rsid w:val="002A1135"/>
    <w:rsid w:val="002A15F2"/>
    <w:rsid w:val="002A1C47"/>
    <w:rsid w:val="002A2343"/>
    <w:rsid w:val="002A2500"/>
    <w:rsid w:val="002A36AF"/>
    <w:rsid w:val="002A41E6"/>
    <w:rsid w:val="002A44C8"/>
    <w:rsid w:val="002A5E48"/>
    <w:rsid w:val="002A6315"/>
    <w:rsid w:val="002A66CA"/>
    <w:rsid w:val="002A6ADD"/>
    <w:rsid w:val="002A72E6"/>
    <w:rsid w:val="002A7C73"/>
    <w:rsid w:val="002A7D43"/>
    <w:rsid w:val="002A7E77"/>
    <w:rsid w:val="002B0059"/>
    <w:rsid w:val="002B0233"/>
    <w:rsid w:val="002B0455"/>
    <w:rsid w:val="002B0860"/>
    <w:rsid w:val="002B0EB8"/>
    <w:rsid w:val="002B108F"/>
    <w:rsid w:val="002B10FC"/>
    <w:rsid w:val="002B16FD"/>
    <w:rsid w:val="002B175C"/>
    <w:rsid w:val="002B1A5B"/>
    <w:rsid w:val="002B1A97"/>
    <w:rsid w:val="002B2102"/>
    <w:rsid w:val="002B261C"/>
    <w:rsid w:val="002B2BEE"/>
    <w:rsid w:val="002B35C5"/>
    <w:rsid w:val="002B3935"/>
    <w:rsid w:val="002B406A"/>
    <w:rsid w:val="002B41D4"/>
    <w:rsid w:val="002B45E8"/>
    <w:rsid w:val="002B4ADA"/>
    <w:rsid w:val="002B4DE0"/>
    <w:rsid w:val="002B50FE"/>
    <w:rsid w:val="002B543F"/>
    <w:rsid w:val="002B560D"/>
    <w:rsid w:val="002B5971"/>
    <w:rsid w:val="002B6D1F"/>
    <w:rsid w:val="002B6DFD"/>
    <w:rsid w:val="002B7807"/>
    <w:rsid w:val="002B7D73"/>
    <w:rsid w:val="002C0135"/>
    <w:rsid w:val="002C043C"/>
    <w:rsid w:val="002C06E3"/>
    <w:rsid w:val="002C0801"/>
    <w:rsid w:val="002C13F4"/>
    <w:rsid w:val="002C145F"/>
    <w:rsid w:val="002C1D0B"/>
    <w:rsid w:val="002C2C99"/>
    <w:rsid w:val="002C31C1"/>
    <w:rsid w:val="002C33B3"/>
    <w:rsid w:val="002C3555"/>
    <w:rsid w:val="002C44B0"/>
    <w:rsid w:val="002C4976"/>
    <w:rsid w:val="002C4A16"/>
    <w:rsid w:val="002C4B52"/>
    <w:rsid w:val="002C4E07"/>
    <w:rsid w:val="002C4F63"/>
    <w:rsid w:val="002C4FCB"/>
    <w:rsid w:val="002C505F"/>
    <w:rsid w:val="002C5183"/>
    <w:rsid w:val="002C6048"/>
    <w:rsid w:val="002C6171"/>
    <w:rsid w:val="002C668A"/>
    <w:rsid w:val="002C6D0E"/>
    <w:rsid w:val="002C73B2"/>
    <w:rsid w:val="002C7C33"/>
    <w:rsid w:val="002C7C6B"/>
    <w:rsid w:val="002D0586"/>
    <w:rsid w:val="002D0F62"/>
    <w:rsid w:val="002D1023"/>
    <w:rsid w:val="002D1367"/>
    <w:rsid w:val="002D1459"/>
    <w:rsid w:val="002D1470"/>
    <w:rsid w:val="002D1B1A"/>
    <w:rsid w:val="002D1BEC"/>
    <w:rsid w:val="002D21CF"/>
    <w:rsid w:val="002D26F8"/>
    <w:rsid w:val="002D279C"/>
    <w:rsid w:val="002D28F3"/>
    <w:rsid w:val="002D2911"/>
    <w:rsid w:val="002D2AA6"/>
    <w:rsid w:val="002D3DB7"/>
    <w:rsid w:val="002D446B"/>
    <w:rsid w:val="002D4490"/>
    <w:rsid w:val="002D4705"/>
    <w:rsid w:val="002D472F"/>
    <w:rsid w:val="002D492F"/>
    <w:rsid w:val="002D5B65"/>
    <w:rsid w:val="002D6396"/>
    <w:rsid w:val="002D6555"/>
    <w:rsid w:val="002D6765"/>
    <w:rsid w:val="002D7175"/>
    <w:rsid w:val="002D7A21"/>
    <w:rsid w:val="002D7E5E"/>
    <w:rsid w:val="002E0030"/>
    <w:rsid w:val="002E07BA"/>
    <w:rsid w:val="002E07EF"/>
    <w:rsid w:val="002E0AF9"/>
    <w:rsid w:val="002E0C15"/>
    <w:rsid w:val="002E0D06"/>
    <w:rsid w:val="002E1810"/>
    <w:rsid w:val="002E1E1E"/>
    <w:rsid w:val="002E2E46"/>
    <w:rsid w:val="002E3186"/>
    <w:rsid w:val="002E4E94"/>
    <w:rsid w:val="002E5483"/>
    <w:rsid w:val="002E6EB6"/>
    <w:rsid w:val="002F062B"/>
    <w:rsid w:val="002F120E"/>
    <w:rsid w:val="002F1A4A"/>
    <w:rsid w:val="002F1F28"/>
    <w:rsid w:val="002F202D"/>
    <w:rsid w:val="002F27AE"/>
    <w:rsid w:val="002F2A3D"/>
    <w:rsid w:val="002F2DEA"/>
    <w:rsid w:val="002F339E"/>
    <w:rsid w:val="002F3A5F"/>
    <w:rsid w:val="002F3F24"/>
    <w:rsid w:val="002F43CA"/>
    <w:rsid w:val="002F53FF"/>
    <w:rsid w:val="002F57AA"/>
    <w:rsid w:val="002F5807"/>
    <w:rsid w:val="002F5C6B"/>
    <w:rsid w:val="002F6C8A"/>
    <w:rsid w:val="002F6CF5"/>
    <w:rsid w:val="002F6CF8"/>
    <w:rsid w:val="002F6EF7"/>
    <w:rsid w:val="002F714C"/>
    <w:rsid w:val="002F77BF"/>
    <w:rsid w:val="002F7C10"/>
    <w:rsid w:val="002F7F2F"/>
    <w:rsid w:val="003004A2"/>
    <w:rsid w:val="003012BA"/>
    <w:rsid w:val="00301959"/>
    <w:rsid w:val="00301B3C"/>
    <w:rsid w:val="00302C53"/>
    <w:rsid w:val="0030302E"/>
    <w:rsid w:val="0030380E"/>
    <w:rsid w:val="00303DD5"/>
    <w:rsid w:val="003041C5"/>
    <w:rsid w:val="00306274"/>
    <w:rsid w:val="00307203"/>
    <w:rsid w:val="00307322"/>
    <w:rsid w:val="003075B4"/>
    <w:rsid w:val="00307B74"/>
    <w:rsid w:val="00307CB1"/>
    <w:rsid w:val="00310764"/>
    <w:rsid w:val="00310BAB"/>
    <w:rsid w:val="0031171C"/>
    <w:rsid w:val="00311BFD"/>
    <w:rsid w:val="00312754"/>
    <w:rsid w:val="00314718"/>
    <w:rsid w:val="0031488A"/>
    <w:rsid w:val="003151EF"/>
    <w:rsid w:val="00315571"/>
    <w:rsid w:val="00315B02"/>
    <w:rsid w:val="00316858"/>
    <w:rsid w:val="003169FE"/>
    <w:rsid w:val="003175E1"/>
    <w:rsid w:val="0031791E"/>
    <w:rsid w:val="00317ABD"/>
    <w:rsid w:val="00320203"/>
    <w:rsid w:val="0032052A"/>
    <w:rsid w:val="003205EB"/>
    <w:rsid w:val="00320ADB"/>
    <w:rsid w:val="00320ED6"/>
    <w:rsid w:val="0032138F"/>
    <w:rsid w:val="003216FA"/>
    <w:rsid w:val="003217F9"/>
    <w:rsid w:val="00322002"/>
    <w:rsid w:val="00322A5F"/>
    <w:rsid w:val="00322DFC"/>
    <w:rsid w:val="0032310F"/>
    <w:rsid w:val="003235EB"/>
    <w:rsid w:val="003238F0"/>
    <w:rsid w:val="003246F7"/>
    <w:rsid w:val="003247B0"/>
    <w:rsid w:val="00324D11"/>
    <w:rsid w:val="0032513A"/>
    <w:rsid w:val="00325C4B"/>
    <w:rsid w:val="00325E81"/>
    <w:rsid w:val="00326948"/>
    <w:rsid w:val="00327052"/>
    <w:rsid w:val="00327B88"/>
    <w:rsid w:val="00330163"/>
    <w:rsid w:val="003308F4"/>
    <w:rsid w:val="00330BA2"/>
    <w:rsid w:val="00330E0C"/>
    <w:rsid w:val="003315C4"/>
    <w:rsid w:val="0033193F"/>
    <w:rsid w:val="003328A4"/>
    <w:rsid w:val="00332A02"/>
    <w:rsid w:val="00333185"/>
    <w:rsid w:val="00333FB0"/>
    <w:rsid w:val="0033413E"/>
    <w:rsid w:val="0033486D"/>
    <w:rsid w:val="00335C41"/>
    <w:rsid w:val="003366CF"/>
    <w:rsid w:val="003367C4"/>
    <w:rsid w:val="00336B9E"/>
    <w:rsid w:val="00336D8E"/>
    <w:rsid w:val="003376B3"/>
    <w:rsid w:val="003413AE"/>
    <w:rsid w:val="003414AC"/>
    <w:rsid w:val="00341768"/>
    <w:rsid w:val="00341A95"/>
    <w:rsid w:val="00341D02"/>
    <w:rsid w:val="00341EE5"/>
    <w:rsid w:val="00342D78"/>
    <w:rsid w:val="00343A3D"/>
    <w:rsid w:val="00343C63"/>
    <w:rsid w:val="003459C2"/>
    <w:rsid w:val="00345AD3"/>
    <w:rsid w:val="00345F9C"/>
    <w:rsid w:val="00345FFA"/>
    <w:rsid w:val="00346758"/>
    <w:rsid w:val="0034700F"/>
    <w:rsid w:val="00347776"/>
    <w:rsid w:val="00347982"/>
    <w:rsid w:val="00351A91"/>
    <w:rsid w:val="003520C4"/>
    <w:rsid w:val="00352368"/>
    <w:rsid w:val="00353183"/>
    <w:rsid w:val="003533AE"/>
    <w:rsid w:val="00353BC6"/>
    <w:rsid w:val="00354173"/>
    <w:rsid w:val="00354B2D"/>
    <w:rsid w:val="00354D42"/>
    <w:rsid w:val="003550B5"/>
    <w:rsid w:val="00355E14"/>
    <w:rsid w:val="00356224"/>
    <w:rsid w:val="003579DE"/>
    <w:rsid w:val="00357C5E"/>
    <w:rsid w:val="00360447"/>
    <w:rsid w:val="003608BD"/>
    <w:rsid w:val="00361280"/>
    <w:rsid w:val="003615F1"/>
    <w:rsid w:val="00361A6E"/>
    <w:rsid w:val="003622F2"/>
    <w:rsid w:val="00363D7F"/>
    <w:rsid w:val="00363DDD"/>
    <w:rsid w:val="0036435B"/>
    <w:rsid w:val="003650E1"/>
    <w:rsid w:val="0036617A"/>
    <w:rsid w:val="0036655E"/>
    <w:rsid w:val="00366CA1"/>
    <w:rsid w:val="00367C66"/>
    <w:rsid w:val="003700B2"/>
    <w:rsid w:val="00370664"/>
    <w:rsid w:val="00371878"/>
    <w:rsid w:val="0037233D"/>
    <w:rsid w:val="003736EF"/>
    <w:rsid w:val="003737E3"/>
    <w:rsid w:val="00373A8E"/>
    <w:rsid w:val="003740F1"/>
    <w:rsid w:val="0037484B"/>
    <w:rsid w:val="00374B86"/>
    <w:rsid w:val="00374C4C"/>
    <w:rsid w:val="0037605A"/>
    <w:rsid w:val="0037635E"/>
    <w:rsid w:val="00376A05"/>
    <w:rsid w:val="00376C30"/>
    <w:rsid w:val="00376E7E"/>
    <w:rsid w:val="00377AA9"/>
    <w:rsid w:val="00377BF1"/>
    <w:rsid w:val="00380148"/>
    <w:rsid w:val="003808D3"/>
    <w:rsid w:val="00380A1A"/>
    <w:rsid w:val="00380D80"/>
    <w:rsid w:val="00381B58"/>
    <w:rsid w:val="00382600"/>
    <w:rsid w:val="0038312E"/>
    <w:rsid w:val="00383757"/>
    <w:rsid w:val="0038482A"/>
    <w:rsid w:val="0038487D"/>
    <w:rsid w:val="0038500E"/>
    <w:rsid w:val="003855ED"/>
    <w:rsid w:val="003867D9"/>
    <w:rsid w:val="0038761D"/>
    <w:rsid w:val="0038786D"/>
    <w:rsid w:val="003878C3"/>
    <w:rsid w:val="003906F8"/>
    <w:rsid w:val="00390F96"/>
    <w:rsid w:val="0039130F"/>
    <w:rsid w:val="00391ECC"/>
    <w:rsid w:val="00392DC9"/>
    <w:rsid w:val="00393485"/>
    <w:rsid w:val="003935EE"/>
    <w:rsid w:val="00393EE9"/>
    <w:rsid w:val="0039408A"/>
    <w:rsid w:val="00394090"/>
    <w:rsid w:val="00394360"/>
    <w:rsid w:val="003945F5"/>
    <w:rsid w:val="0039673D"/>
    <w:rsid w:val="003969CF"/>
    <w:rsid w:val="00396E82"/>
    <w:rsid w:val="003975DA"/>
    <w:rsid w:val="00397893"/>
    <w:rsid w:val="00397DC0"/>
    <w:rsid w:val="003A2407"/>
    <w:rsid w:val="003A24EF"/>
    <w:rsid w:val="003A2CF0"/>
    <w:rsid w:val="003A2F7F"/>
    <w:rsid w:val="003A33D3"/>
    <w:rsid w:val="003A3452"/>
    <w:rsid w:val="003A3880"/>
    <w:rsid w:val="003A49F3"/>
    <w:rsid w:val="003A4B52"/>
    <w:rsid w:val="003A4F37"/>
    <w:rsid w:val="003A4FB5"/>
    <w:rsid w:val="003A5BC5"/>
    <w:rsid w:val="003A5D55"/>
    <w:rsid w:val="003A5FF0"/>
    <w:rsid w:val="003A6159"/>
    <w:rsid w:val="003A68A5"/>
    <w:rsid w:val="003A6EEE"/>
    <w:rsid w:val="003A75E1"/>
    <w:rsid w:val="003A75E6"/>
    <w:rsid w:val="003A7D48"/>
    <w:rsid w:val="003B0AA4"/>
    <w:rsid w:val="003B0F8F"/>
    <w:rsid w:val="003B255B"/>
    <w:rsid w:val="003B3317"/>
    <w:rsid w:val="003B4B2F"/>
    <w:rsid w:val="003B52D4"/>
    <w:rsid w:val="003B5720"/>
    <w:rsid w:val="003B64AE"/>
    <w:rsid w:val="003B6B5F"/>
    <w:rsid w:val="003B6D0C"/>
    <w:rsid w:val="003B7553"/>
    <w:rsid w:val="003B77D9"/>
    <w:rsid w:val="003C029F"/>
    <w:rsid w:val="003C0CBC"/>
    <w:rsid w:val="003C10D0"/>
    <w:rsid w:val="003C196C"/>
    <w:rsid w:val="003C1CA5"/>
    <w:rsid w:val="003C1EC7"/>
    <w:rsid w:val="003C1F22"/>
    <w:rsid w:val="003C284F"/>
    <w:rsid w:val="003C2862"/>
    <w:rsid w:val="003C3714"/>
    <w:rsid w:val="003C3A69"/>
    <w:rsid w:val="003C3D8E"/>
    <w:rsid w:val="003C444C"/>
    <w:rsid w:val="003C45CA"/>
    <w:rsid w:val="003C4C58"/>
    <w:rsid w:val="003C5E14"/>
    <w:rsid w:val="003C64A0"/>
    <w:rsid w:val="003C6F0B"/>
    <w:rsid w:val="003C7BA3"/>
    <w:rsid w:val="003C7D68"/>
    <w:rsid w:val="003D04A8"/>
    <w:rsid w:val="003D09F6"/>
    <w:rsid w:val="003D1B67"/>
    <w:rsid w:val="003D2B11"/>
    <w:rsid w:val="003D34E8"/>
    <w:rsid w:val="003D37B9"/>
    <w:rsid w:val="003D4564"/>
    <w:rsid w:val="003D4E9C"/>
    <w:rsid w:val="003D51BF"/>
    <w:rsid w:val="003D6310"/>
    <w:rsid w:val="003D7993"/>
    <w:rsid w:val="003E0730"/>
    <w:rsid w:val="003E09B5"/>
    <w:rsid w:val="003E0D78"/>
    <w:rsid w:val="003E1CB1"/>
    <w:rsid w:val="003E22CC"/>
    <w:rsid w:val="003E270A"/>
    <w:rsid w:val="003E288F"/>
    <w:rsid w:val="003E3039"/>
    <w:rsid w:val="003E3A1D"/>
    <w:rsid w:val="003E3D58"/>
    <w:rsid w:val="003E6CA0"/>
    <w:rsid w:val="003F1DFA"/>
    <w:rsid w:val="003F1F41"/>
    <w:rsid w:val="003F2264"/>
    <w:rsid w:val="003F26C8"/>
    <w:rsid w:val="003F2FDE"/>
    <w:rsid w:val="003F2FF1"/>
    <w:rsid w:val="003F330B"/>
    <w:rsid w:val="003F3584"/>
    <w:rsid w:val="003F493E"/>
    <w:rsid w:val="003F4A83"/>
    <w:rsid w:val="003F6F32"/>
    <w:rsid w:val="003F6FDF"/>
    <w:rsid w:val="003F70E9"/>
    <w:rsid w:val="003F745F"/>
    <w:rsid w:val="003F7B33"/>
    <w:rsid w:val="003F7E00"/>
    <w:rsid w:val="004009D6"/>
    <w:rsid w:val="00401097"/>
    <w:rsid w:val="00401357"/>
    <w:rsid w:val="0040144B"/>
    <w:rsid w:val="004016F5"/>
    <w:rsid w:val="00402776"/>
    <w:rsid w:val="00402872"/>
    <w:rsid w:val="0040288A"/>
    <w:rsid w:val="00402DE1"/>
    <w:rsid w:val="00403859"/>
    <w:rsid w:val="004045AA"/>
    <w:rsid w:val="0040549A"/>
    <w:rsid w:val="004055B1"/>
    <w:rsid w:val="00405CC9"/>
    <w:rsid w:val="00406EC8"/>
    <w:rsid w:val="0040711E"/>
    <w:rsid w:val="0040757F"/>
    <w:rsid w:val="00407D5C"/>
    <w:rsid w:val="00407D67"/>
    <w:rsid w:val="00411631"/>
    <w:rsid w:val="00412450"/>
    <w:rsid w:val="004126BA"/>
    <w:rsid w:val="004136E6"/>
    <w:rsid w:val="004138DE"/>
    <w:rsid w:val="00413B39"/>
    <w:rsid w:val="00413C48"/>
    <w:rsid w:val="00414731"/>
    <w:rsid w:val="0041474F"/>
    <w:rsid w:val="004147CF"/>
    <w:rsid w:val="00414B2F"/>
    <w:rsid w:val="0041508D"/>
    <w:rsid w:val="00415D29"/>
    <w:rsid w:val="00415E2D"/>
    <w:rsid w:val="00415E58"/>
    <w:rsid w:val="00416231"/>
    <w:rsid w:val="00416515"/>
    <w:rsid w:val="00417136"/>
    <w:rsid w:val="00417784"/>
    <w:rsid w:val="004208AB"/>
    <w:rsid w:val="0042117C"/>
    <w:rsid w:val="004214F7"/>
    <w:rsid w:val="004219EF"/>
    <w:rsid w:val="00421A72"/>
    <w:rsid w:val="00421BA7"/>
    <w:rsid w:val="00422A74"/>
    <w:rsid w:val="00423132"/>
    <w:rsid w:val="004232E6"/>
    <w:rsid w:val="004239E9"/>
    <w:rsid w:val="00424348"/>
    <w:rsid w:val="00424551"/>
    <w:rsid w:val="00424845"/>
    <w:rsid w:val="00425DDB"/>
    <w:rsid w:val="0042646C"/>
    <w:rsid w:val="00426CD9"/>
    <w:rsid w:val="00426E80"/>
    <w:rsid w:val="0042701D"/>
    <w:rsid w:val="00427178"/>
    <w:rsid w:val="0042734F"/>
    <w:rsid w:val="00427EB6"/>
    <w:rsid w:val="0043016E"/>
    <w:rsid w:val="00430FEB"/>
    <w:rsid w:val="0043101E"/>
    <w:rsid w:val="004310EE"/>
    <w:rsid w:val="0043139F"/>
    <w:rsid w:val="004321AB"/>
    <w:rsid w:val="004322F0"/>
    <w:rsid w:val="00432E9B"/>
    <w:rsid w:val="0043311F"/>
    <w:rsid w:val="004332A3"/>
    <w:rsid w:val="00433331"/>
    <w:rsid w:val="00433579"/>
    <w:rsid w:val="00433677"/>
    <w:rsid w:val="00433F47"/>
    <w:rsid w:val="004340D5"/>
    <w:rsid w:val="00434632"/>
    <w:rsid w:val="00434880"/>
    <w:rsid w:val="00434A21"/>
    <w:rsid w:val="00434D9D"/>
    <w:rsid w:val="00434F78"/>
    <w:rsid w:val="0043526D"/>
    <w:rsid w:val="00436641"/>
    <w:rsid w:val="00436C39"/>
    <w:rsid w:val="00436F42"/>
    <w:rsid w:val="00437AFC"/>
    <w:rsid w:val="00437DCA"/>
    <w:rsid w:val="004410A7"/>
    <w:rsid w:val="004415F1"/>
    <w:rsid w:val="004416CF"/>
    <w:rsid w:val="00442437"/>
    <w:rsid w:val="00442C30"/>
    <w:rsid w:val="00442FA7"/>
    <w:rsid w:val="004448D2"/>
    <w:rsid w:val="004453E1"/>
    <w:rsid w:val="00445624"/>
    <w:rsid w:val="00445827"/>
    <w:rsid w:val="0044587B"/>
    <w:rsid w:val="00445BBE"/>
    <w:rsid w:val="004460E9"/>
    <w:rsid w:val="00446CF9"/>
    <w:rsid w:val="004475C3"/>
    <w:rsid w:val="00447A49"/>
    <w:rsid w:val="00447B6F"/>
    <w:rsid w:val="00447EE1"/>
    <w:rsid w:val="004507AF"/>
    <w:rsid w:val="00450E9A"/>
    <w:rsid w:val="00450EFF"/>
    <w:rsid w:val="004520DA"/>
    <w:rsid w:val="004521B6"/>
    <w:rsid w:val="004535F8"/>
    <w:rsid w:val="00453623"/>
    <w:rsid w:val="00453C11"/>
    <w:rsid w:val="004557B0"/>
    <w:rsid w:val="00455B33"/>
    <w:rsid w:val="00455B7B"/>
    <w:rsid w:val="004564F1"/>
    <w:rsid w:val="00456623"/>
    <w:rsid w:val="00456918"/>
    <w:rsid w:val="00457119"/>
    <w:rsid w:val="00457946"/>
    <w:rsid w:val="00457C19"/>
    <w:rsid w:val="00457D8B"/>
    <w:rsid w:val="004606B5"/>
    <w:rsid w:val="004606C3"/>
    <w:rsid w:val="00460A17"/>
    <w:rsid w:val="00462D3D"/>
    <w:rsid w:val="00462F79"/>
    <w:rsid w:val="00463ECE"/>
    <w:rsid w:val="0046556A"/>
    <w:rsid w:val="00465BBE"/>
    <w:rsid w:val="004670DB"/>
    <w:rsid w:val="0046741E"/>
    <w:rsid w:val="004676AE"/>
    <w:rsid w:val="00470894"/>
    <w:rsid w:val="00470CB5"/>
    <w:rsid w:val="00471D48"/>
    <w:rsid w:val="00471E86"/>
    <w:rsid w:val="00471EAB"/>
    <w:rsid w:val="004721BE"/>
    <w:rsid w:val="004723EE"/>
    <w:rsid w:val="0047309A"/>
    <w:rsid w:val="00473BC4"/>
    <w:rsid w:val="00474AD5"/>
    <w:rsid w:val="00474D11"/>
    <w:rsid w:val="004755E4"/>
    <w:rsid w:val="00475A92"/>
    <w:rsid w:val="0047617B"/>
    <w:rsid w:val="004770DB"/>
    <w:rsid w:val="00477235"/>
    <w:rsid w:val="00477BB9"/>
    <w:rsid w:val="00477ED8"/>
    <w:rsid w:val="00480241"/>
    <w:rsid w:val="00480B13"/>
    <w:rsid w:val="004816A9"/>
    <w:rsid w:val="00483574"/>
    <w:rsid w:val="00483B20"/>
    <w:rsid w:val="00484E2F"/>
    <w:rsid w:val="0048500F"/>
    <w:rsid w:val="00485568"/>
    <w:rsid w:val="004859EE"/>
    <w:rsid w:val="004859F9"/>
    <w:rsid w:val="00485F75"/>
    <w:rsid w:val="00487156"/>
    <w:rsid w:val="00487366"/>
    <w:rsid w:val="004873E4"/>
    <w:rsid w:val="004874F6"/>
    <w:rsid w:val="0048789C"/>
    <w:rsid w:val="00487987"/>
    <w:rsid w:val="004906DA"/>
    <w:rsid w:val="0049072C"/>
    <w:rsid w:val="00490FD1"/>
    <w:rsid w:val="0049159B"/>
    <w:rsid w:val="00491742"/>
    <w:rsid w:val="00491AD2"/>
    <w:rsid w:val="00492095"/>
    <w:rsid w:val="00493387"/>
    <w:rsid w:val="0049343C"/>
    <w:rsid w:val="00493443"/>
    <w:rsid w:val="004935C0"/>
    <w:rsid w:val="0049362A"/>
    <w:rsid w:val="00493B43"/>
    <w:rsid w:val="00494854"/>
    <w:rsid w:val="00494EB1"/>
    <w:rsid w:val="00495E56"/>
    <w:rsid w:val="00496414"/>
    <w:rsid w:val="00496808"/>
    <w:rsid w:val="00496E20"/>
    <w:rsid w:val="00496E21"/>
    <w:rsid w:val="00496FB0"/>
    <w:rsid w:val="004976C5"/>
    <w:rsid w:val="004978A8"/>
    <w:rsid w:val="00497A38"/>
    <w:rsid w:val="004A03EF"/>
    <w:rsid w:val="004A1F4D"/>
    <w:rsid w:val="004A2141"/>
    <w:rsid w:val="004A331B"/>
    <w:rsid w:val="004A39FF"/>
    <w:rsid w:val="004A45BD"/>
    <w:rsid w:val="004A4656"/>
    <w:rsid w:val="004A6DAF"/>
    <w:rsid w:val="004A77B0"/>
    <w:rsid w:val="004B0089"/>
    <w:rsid w:val="004B03B5"/>
    <w:rsid w:val="004B08A9"/>
    <w:rsid w:val="004B1645"/>
    <w:rsid w:val="004B1CED"/>
    <w:rsid w:val="004B3487"/>
    <w:rsid w:val="004B34A7"/>
    <w:rsid w:val="004B37E6"/>
    <w:rsid w:val="004B3B06"/>
    <w:rsid w:val="004B4643"/>
    <w:rsid w:val="004B4CDF"/>
    <w:rsid w:val="004B4F89"/>
    <w:rsid w:val="004B503C"/>
    <w:rsid w:val="004B63D0"/>
    <w:rsid w:val="004B7CA4"/>
    <w:rsid w:val="004B7F67"/>
    <w:rsid w:val="004C06BE"/>
    <w:rsid w:val="004C0938"/>
    <w:rsid w:val="004C13D8"/>
    <w:rsid w:val="004C188F"/>
    <w:rsid w:val="004C192F"/>
    <w:rsid w:val="004C1994"/>
    <w:rsid w:val="004C1DF8"/>
    <w:rsid w:val="004C3457"/>
    <w:rsid w:val="004C4328"/>
    <w:rsid w:val="004C4396"/>
    <w:rsid w:val="004C446B"/>
    <w:rsid w:val="004C5B33"/>
    <w:rsid w:val="004C5F40"/>
    <w:rsid w:val="004C699A"/>
    <w:rsid w:val="004C69FA"/>
    <w:rsid w:val="004C6DEC"/>
    <w:rsid w:val="004C70FC"/>
    <w:rsid w:val="004C749A"/>
    <w:rsid w:val="004D0453"/>
    <w:rsid w:val="004D13C8"/>
    <w:rsid w:val="004D2675"/>
    <w:rsid w:val="004D27BC"/>
    <w:rsid w:val="004D36A2"/>
    <w:rsid w:val="004D4080"/>
    <w:rsid w:val="004D59B4"/>
    <w:rsid w:val="004E05FD"/>
    <w:rsid w:val="004E07FD"/>
    <w:rsid w:val="004E1A0D"/>
    <w:rsid w:val="004E23F5"/>
    <w:rsid w:val="004E2894"/>
    <w:rsid w:val="004E4189"/>
    <w:rsid w:val="004E42A1"/>
    <w:rsid w:val="004E5418"/>
    <w:rsid w:val="004E5870"/>
    <w:rsid w:val="004E634D"/>
    <w:rsid w:val="004E638D"/>
    <w:rsid w:val="004E63E5"/>
    <w:rsid w:val="004E6AD2"/>
    <w:rsid w:val="004E6B76"/>
    <w:rsid w:val="004E7081"/>
    <w:rsid w:val="004F0257"/>
    <w:rsid w:val="004F1437"/>
    <w:rsid w:val="004F26F1"/>
    <w:rsid w:val="004F3159"/>
    <w:rsid w:val="004F3177"/>
    <w:rsid w:val="004F3540"/>
    <w:rsid w:val="004F4720"/>
    <w:rsid w:val="004F52DB"/>
    <w:rsid w:val="004F5624"/>
    <w:rsid w:val="004F56E5"/>
    <w:rsid w:val="004F5929"/>
    <w:rsid w:val="004F5DA4"/>
    <w:rsid w:val="004F6151"/>
    <w:rsid w:val="004F61D0"/>
    <w:rsid w:val="004F62B2"/>
    <w:rsid w:val="004F6424"/>
    <w:rsid w:val="004F67EC"/>
    <w:rsid w:val="004F6881"/>
    <w:rsid w:val="004F71CB"/>
    <w:rsid w:val="004F72A6"/>
    <w:rsid w:val="005020D6"/>
    <w:rsid w:val="00503050"/>
    <w:rsid w:val="005040CD"/>
    <w:rsid w:val="0050417D"/>
    <w:rsid w:val="005050FD"/>
    <w:rsid w:val="00505229"/>
    <w:rsid w:val="00506D2D"/>
    <w:rsid w:val="00507214"/>
    <w:rsid w:val="00507551"/>
    <w:rsid w:val="0050791A"/>
    <w:rsid w:val="00507F98"/>
    <w:rsid w:val="005104CA"/>
    <w:rsid w:val="00510630"/>
    <w:rsid w:val="005108A3"/>
    <w:rsid w:val="00510F6E"/>
    <w:rsid w:val="00511422"/>
    <w:rsid w:val="0051163F"/>
    <w:rsid w:val="005118AE"/>
    <w:rsid w:val="0051289A"/>
    <w:rsid w:val="0051301A"/>
    <w:rsid w:val="005145AE"/>
    <w:rsid w:val="0051587A"/>
    <w:rsid w:val="005158FA"/>
    <w:rsid w:val="00516391"/>
    <w:rsid w:val="0051647D"/>
    <w:rsid w:val="005169AD"/>
    <w:rsid w:val="005170A9"/>
    <w:rsid w:val="0051778D"/>
    <w:rsid w:val="00517E30"/>
    <w:rsid w:val="0052085C"/>
    <w:rsid w:val="005208B9"/>
    <w:rsid w:val="00520F30"/>
    <w:rsid w:val="00521083"/>
    <w:rsid w:val="005211FB"/>
    <w:rsid w:val="00522138"/>
    <w:rsid w:val="005221F0"/>
    <w:rsid w:val="00522F62"/>
    <w:rsid w:val="00523775"/>
    <w:rsid w:val="00524807"/>
    <w:rsid w:val="00524A6E"/>
    <w:rsid w:val="00525144"/>
    <w:rsid w:val="005252B6"/>
    <w:rsid w:val="005252FE"/>
    <w:rsid w:val="00525FF9"/>
    <w:rsid w:val="00526408"/>
    <w:rsid w:val="00526B29"/>
    <w:rsid w:val="00527059"/>
    <w:rsid w:val="00527BC2"/>
    <w:rsid w:val="00530F3A"/>
    <w:rsid w:val="0053138A"/>
    <w:rsid w:val="0053247B"/>
    <w:rsid w:val="00532684"/>
    <w:rsid w:val="00532BE6"/>
    <w:rsid w:val="00532C41"/>
    <w:rsid w:val="00532D3F"/>
    <w:rsid w:val="00532DFE"/>
    <w:rsid w:val="0053386D"/>
    <w:rsid w:val="00533916"/>
    <w:rsid w:val="00534548"/>
    <w:rsid w:val="00534700"/>
    <w:rsid w:val="00534E0B"/>
    <w:rsid w:val="00535821"/>
    <w:rsid w:val="005363E7"/>
    <w:rsid w:val="0053791F"/>
    <w:rsid w:val="00540228"/>
    <w:rsid w:val="005408B1"/>
    <w:rsid w:val="00540972"/>
    <w:rsid w:val="00541D37"/>
    <w:rsid w:val="00542860"/>
    <w:rsid w:val="00542E52"/>
    <w:rsid w:val="00543013"/>
    <w:rsid w:val="00543572"/>
    <w:rsid w:val="0054373F"/>
    <w:rsid w:val="00543B81"/>
    <w:rsid w:val="00544199"/>
    <w:rsid w:val="0054426A"/>
    <w:rsid w:val="00544E78"/>
    <w:rsid w:val="00545055"/>
    <w:rsid w:val="0054535D"/>
    <w:rsid w:val="00545E46"/>
    <w:rsid w:val="00547538"/>
    <w:rsid w:val="005507E3"/>
    <w:rsid w:val="005514B3"/>
    <w:rsid w:val="00551656"/>
    <w:rsid w:val="00551678"/>
    <w:rsid w:val="005517B7"/>
    <w:rsid w:val="00552C74"/>
    <w:rsid w:val="005537EC"/>
    <w:rsid w:val="00553BFA"/>
    <w:rsid w:val="00553FB7"/>
    <w:rsid w:val="00554D05"/>
    <w:rsid w:val="00554DF9"/>
    <w:rsid w:val="00556117"/>
    <w:rsid w:val="00556652"/>
    <w:rsid w:val="00556BBB"/>
    <w:rsid w:val="00556E33"/>
    <w:rsid w:val="00557D4A"/>
    <w:rsid w:val="0056021D"/>
    <w:rsid w:val="00560540"/>
    <w:rsid w:val="0056077E"/>
    <w:rsid w:val="00560E82"/>
    <w:rsid w:val="00560EDA"/>
    <w:rsid w:val="00561AE5"/>
    <w:rsid w:val="005629EE"/>
    <w:rsid w:val="00562A47"/>
    <w:rsid w:val="0056334A"/>
    <w:rsid w:val="00563630"/>
    <w:rsid w:val="00563834"/>
    <w:rsid w:val="00563CF9"/>
    <w:rsid w:val="00563FC9"/>
    <w:rsid w:val="00564212"/>
    <w:rsid w:val="005648FA"/>
    <w:rsid w:val="00564D50"/>
    <w:rsid w:val="00566582"/>
    <w:rsid w:val="00567036"/>
    <w:rsid w:val="00567090"/>
    <w:rsid w:val="005671E4"/>
    <w:rsid w:val="00567346"/>
    <w:rsid w:val="00567834"/>
    <w:rsid w:val="00567873"/>
    <w:rsid w:val="005705E4"/>
    <w:rsid w:val="0057150A"/>
    <w:rsid w:val="00571711"/>
    <w:rsid w:val="005719FC"/>
    <w:rsid w:val="00571DC1"/>
    <w:rsid w:val="00572450"/>
    <w:rsid w:val="00572528"/>
    <w:rsid w:val="0057371B"/>
    <w:rsid w:val="00573FF3"/>
    <w:rsid w:val="00574BA4"/>
    <w:rsid w:val="00575D97"/>
    <w:rsid w:val="00575EB8"/>
    <w:rsid w:val="00576E2B"/>
    <w:rsid w:val="00580D8F"/>
    <w:rsid w:val="00581166"/>
    <w:rsid w:val="0058120C"/>
    <w:rsid w:val="00581720"/>
    <w:rsid w:val="00582A9B"/>
    <w:rsid w:val="005832AB"/>
    <w:rsid w:val="00583B3E"/>
    <w:rsid w:val="00583D50"/>
    <w:rsid w:val="0058437C"/>
    <w:rsid w:val="00584EC5"/>
    <w:rsid w:val="0058546E"/>
    <w:rsid w:val="005855F4"/>
    <w:rsid w:val="005862BC"/>
    <w:rsid w:val="00586339"/>
    <w:rsid w:val="00586ACB"/>
    <w:rsid w:val="00590285"/>
    <w:rsid w:val="00590B68"/>
    <w:rsid w:val="00590C1A"/>
    <w:rsid w:val="00591119"/>
    <w:rsid w:val="005932BA"/>
    <w:rsid w:val="005935F4"/>
    <w:rsid w:val="00593E0A"/>
    <w:rsid w:val="005945F0"/>
    <w:rsid w:val="0059501C"/>
    <w:rsid w:val="005954B3"/>
    <w:rsid w:val="005955D9"/>
    <w:rsid w:val="00595E17"/>
    <w:rsid w:val="005976CC"/>
    <w:rsid w:val="00597E7F"/>
    <w:rsid w:val="00597FD6"/>
    <w:rsid w:val="005A05EE"/>
    <w:rsid w:val="005A09FE"/>
    <w:rsid w:val="005A0A13"/>
    <w:rsid w:val="005A167F"/>
    <w:rsid w:val="005A2449"/>
    <w:rsid w:val="005A2856"/>
    <w:rsid w:val="005A294C"/>
    <w:rsid w:val="005A346E"/>
    <w:rsid w:val="005A35F8"/>
    <w:rsid w:val="005A5155"/>
    <w:rsid w:val="005A6C6E"/>
    <w:rsid w:val="005A73CF"/>
    <w:rsid w:val="005B057C"/>
    <w:rsid w:val="005B1456"/>
    <w:rsid w:val="005B1805"/>
    <w:rsid w:val="005B2BC4"/>
    <w:rsid w:val="005B39EE"/>
    <w:rsid w:val="005B3D60"/>
    <w:rsid w:val="005B3F6F"/>
    <w:rsid w:val="005B5006"/>
    <w:rsid w:val="005B7837"/>
    <w:rsid w:val="005B798B"/>
    <w:rsid w:val="005C0222"/>
    <w:rsid w:val="005C02BE"/>
    <w:rsid w:val="005C04E2"/>
    <w:rsid w:val="005C1FAE"/>
    <w:rsid w:val="005C2297"/>
    <w:rsid w:val="005C2EDE"/>
    <w:rsid w:val="005C3589"/>
    <w:rsid w:val="005C39E8"/>
    <w:rsid w:val="005C4247"/>
    <w:rsid w:val="005C4625"/>
    <w:rsid w:val="005C4B98"/>
    <w:rsid w:val="005C4EB1"/>
    <w:rsid w:val="005C4F35"/>
    <w:rsid w:val="005C5660"/>
    <w:rsid w:val="005C5A77"/>
    <w:rsid w:val="005C5CDF"/>
    <w:rsid w:val="005C6D53"/>
    <w:rsid w:val="005C72E3"/>
    <w:rsid w:val="005C74A6"/>
    <w:rsid w:val="005C7799"/>
    <w:rsid w:val="005C7AAC"/>
    <w:rsid w:val="005C7E23"/>
    <w:rsid w:val="005C7FB7"/>
    <w:rsid w:val="005D0B2F"/>
    <w:rsid w:val="005D0D44"/>
    <w:rsid w:val="005D13A7"/>
    <w:rsid w:val="005D23A5"/>
    <w:rsid w:val="005D394C"/>
    <w:rsid w:val="005D4B68"/>
    <w:rsid w:val="005D4F93"/>
    <w:rsid w:val="005D653A"/>
    <w:rsid w:val="005E064F"/>
    <w:rsid w:val="005E0A9D"/>
    <w:rsid w:val="005E0D0A"/>
    <w:rsid w:val="005E1127"/>
    <w:rsid w:val="005E11C1"/>
    <w:rsid w:val="005E179F"/>
    <w:rsid w:val="005E1AB1"/>
    <w:rsid w:val="005E1B01"/>
    <w:rsid w:val="005E1C4C"/>
    <w:rsid w:val="005E1DA6"/>
    <w:rsid w:val="005E2501"/>
    <w:rsid w:val="005E2563"/>
    <w:rsid w:val="005E2C8C"/>
    <w:rsid w:val="005E394C"/>
    <w:rsid w:val="005E3DAA"/>
    <w:rsid w:val="005E42BF"/>
    <w:rsid w:val="005E4E70"/>
    <w:rsid w:val="005E5500"/>
    <w:rsid w:val="005E57A0"/>
    <w:rsid w:val="005E5E01"/>
    <w:rsid w:val="005E607B"/>
    <w:rsid w:val="005E610A"/>
    <w:rsid w:val="005E65BB"/>
    <w:rsid w:val="005F0DA0"/>
    <w:rsid w:val="005F1009"/>
    <w:rsid w:val="005F188D"/>
    <w:rsid w:val="005F2404"/>
    <w:rsid w:val="005F2767"/>
    <w:rsid w:val="005F287D"/>
    <w:rsid w:val="005F2F44"/>
    <w:rsid w:val="005F487D"/>
    <w:rsid w:val="005F4914"/>
    <w:rsid w:val="005F4DB4"/>
    <w:rsid w:val="005F51A2"/>
    <w:rsid w:val="005F56F7"/>
    <w:rsid w:val="005F62B7"/>
    <w:rsid w:val="005F6869"/>
    <w:rsid w:val="005F6BB9"/>
    <w:rsid w:val="005F70F6"/>
    <w:rsid w:val="005F78D6"/>
    <w:rsid w:val="0060056F"/>
    <w:rsid w:val="00600993"/>
    <w:rsid w:val="0060172E"/>
    <w:rsid w:val="006018DC"/>
    <w:rsid w:val="006025E1"/>
    <w:rsid w:val="00602A62"/>
    <w:rsid w:val="00602C90"/>
    <w:rsid w:val="00603148"/>
    <w:rsid w:val="006034E6"/>
    <w:rsid w:val="006037D5"/>
    <w:rsid w:val="00603CCF"/>
    <w:rsid w:val="00603ED1"/>
    <w:rsid w:val="00604405"/>
    <w:rsid w:val="00604767"/>
    <w:rsid w:val="00605CFE"/>
    <w:rsid w:val="00605D30"/>
    <w:rsid w:val="00606DA3"/>
    <w:rsid w:val="00606FC7"/>
    <w:rsid w:val="0061003A"/>
    <w:rsid w:val="00610456"/>
    <w:rsid w:val="00610959"/>
    <w:rsid w:val="006109F6"/>
    <w:rsid w:val="00610A64"/>
    <w:rsid w:val="00610C9D"/>
    <w:rsid w:val="00611473"/>
    <w:rsid w:val="00611AA3"/>
    <w:rsid w:val="00611B36"/>
    <w:rsid w:val="00613A34"/>
    <w:rsid w:val="00614027"/>
    <w:rsid w:val="006142C8"/>
    <w:rsid w:val="00615766"/>
    <w:rsid w:val="00615ADA"/>
    <w:rsid w:val="00615CDC"/>
    <w:rsid w:val="00616081"/>
    <w:rsid w:val="0061617E"/>
    <w:rsid w:val="00616386"/>
    <w:rsid w:val="00622189"/>
    <w:rsid w:val="006221CD"/>
    <w:rsid w:val="00622B03"/>
    <w:rsid w:val="00622BA0"/>
    <w:rsid w:val="00622BEB"/>
    <w:rsid w:val="006230E0"/>
    <w:rsid w:val="00624D41"/>
    <w:rsid w:val="006251B8"/>
    <w:rsid w:val="006266A9"/>
    <w:rsid w:val="00626807"/>
    <w:rsid w:val="00626B8C"/>
    <w:rsid w:val="00627125"/>
    <w:rsid w:val="006272DE"/>
    <w:rsid w:val="006278A3"/>
    <w:rsid w:val="00630426"/>
    <w:rsid w:val="006316C1"/>
    <w:rsid w:val="00631914"/>
    <w:rsid w:val="00631ED4"/>
    <w:rsid w:val="0063219F"/>
    <w:rsid w:val="00632936"/>
    <w:rsid w:val="00632D2C"/>
    <w:rsid w:val="00632ECC"/>
    <w:rsid w:val="00633BC7"/>
    <w:rsid w:val="00634436"/>
    <w:rsid w:val="0063451E"/>
    <w:rsid w:val="0063499C"/>
    <w:rsid w:val="006350A8"/>
    <w:rsid w:val="00635535"/>
    <w:rsid w:val="00635717"/>
    <w:rsid w:val="00635AC7"/>
    <w:rsid w:val="00635B5B"/>
    <w:rsid w:val="00635E12"/>
    <w:rsid w:val="00635E9C"/>
    <w:rsid w:val="006368C3"/>
    <w:rsid w:val="00636A3E"/>
    <w:rsid w:val="00636D6D"/>
    <w:rsid w:val="00637B41"/>
    <w:rsid w:val="00637ECF"/>
    <w:rsid w:val="006404C2"/>
    <w:rsid w:val="006404E6"/>
    <w:rsid w:val="0064083A"/>
    <w:rsid w:val="006414EE"/>
    <w:rsid w:val="00641598"/>
    <w:rsid w:val="006417CB"/>
    <w:rsid w:val="00641A91"/>
    <w:rsid w:val="00641E6C"/>
    <w:rsid w:val="006424AC"/>
    <w:rsid w:val="00642524"/>
    <w:rsid w:val="00642D0A"/>
    <w:rsid w:val="006431CD"/>
    <w:rsid w:val="0064335B"/>
    <w:rsid w:val="006434C7"/>
    <w:rsid w:val="00644052"/>
    <w:rsid w:val="00644195"/>
    <w:rsid w:val="00645ACE"/>
    <w:rsid w:val="00645E4D"/>
    <w:rsid w:val="00645F5B"/>
    <w:rsid w:val="00646070"/>
    <w:rsid w:val="0064630E"/>
    <w:rsid w:val="006465EB"/>
    <w:rsid w:val="00646869"/>
    <w:rsid w:val="00646AEF"/>
    <w:rsid w:val="00646FE1"/>
    <w:rsid w:val="00647075"/>
    <w:rsid w:val="0065111A"/>
    <w:rsid w:val="00651356"/>
    <w:rsid w:val="00651BD5"/>
    <w:rsid w:val="00651CE7"/>
    <w:rsid w:val="00653247"/>
    <w:rsid w:val="0065581D"/>
    <w:rsid w:val="00655C2F"/>
    <w:rsid w:val="006569E2"/>
    <w:rsid w:val="006575A8"/>
    <w:rsid w:val="00657939"/>
    <w:rsid w:val="006602FF"/>
    <w:rsid w:val="00660403"/>
    <w:rsid w:val="006607B0"/>
    <w:rsid w:val="00661140"/>
    <w:rsid w:val="00661866"/>
    <w:rsid w:val="00661E78"/>
    <w:rsid w:val="006632CE"/>
    <w:rsid w:val="006637A5"/>
    <w:rsid w:val="006654B2"/>
    <w:rsid w:val="006656F5"/>
    <w:rsid w:val="006663C4"/>
    <w:rsid w:val="0066781C"/>
    <w:rsid w:val="006679A7"/>
    <w:rsid w:val="00667EA5"/>
    <w:rsid w:val="0067064F"/>
    <w:rsid w:val="0067095A"/>
    <w:rsid w:val="00671064"/>
    <w:rsid w:val="006710DD"/>
    <w:rsid w:val="0067164A"/>
    <w:rsid w:val="00673200"/>
    <w:rsid w:val="006741ED"/>
    <w:rsid w:val="0067501E"/>
    <w:rsid w:val="00675093"/>
    <w:rsid w:val="00675350"/>
    <w:rsid w:val="00675D79"/>
    <w:rsid w:val="006773D2"/>
    <w:rsid w:val="00677FC0"/>
    <w:rsid w:val="00680581"/>
    <w:rsid w:val="006808EB"/>
    <w:rsid w:val="00680DEA"/>
    <w:rsid w:val="00681A41"/>
    <w:rsid w:val="00681F7F"/>
    <w:rsid w:val="00682017"/>
    <w:rsid w:val="00682159"/>
    <w:rsid w:val="006821B2"/>
    <w:rsid w:val="006827EB"/>
    <w:rsid w:val="00683352"/>
    <w:rsid w:val="0068376D"/>
    <w:rsid w:val="006838C0"/>
    <w:rsid w:val="00684098"/>
    <w:rsid w:val="00685901"/>
    <w:rsid w:val="00685BB9"/>
    <w:rsid w:val="00687EFC"/>
    <w:rsid w:val="00690127"/>
    <w:rsid w:val="00690AA6"/>
    <w:rsid w:val="006910BB"/>
    <w:rsid w:val="006914FA"/>
    <w:rsid w:val="00691BFF"/>
    <w:rsid w:val="006953C1"/>
    <w:rsid w:val="00696EB2"/>
    <w:rsid w:val="006975F4"/>
    <w:rsid w:val="0069762D"/>
    <w:rsid w:val="006A10D3"/>
    <w:rsid w:val="006A145A"/>
    <w:rsid w:val="006A16E9"/>
    <w:rsid w:val="006A25FE"/>
    <w:rsid w:val="006A39E9"/>
    <w:rsid w:val="006A3DCC"/>
    <w:rsid w:val="006A3E36"/>
    <w:rsid w:val="006A4754"/>
    <w:rsid w:val="006A53C8"/>
    <w:rsid w:val="006A5450"/>
    <w:rsid w:val="006A5862"/>
    <w:rsid w:val="006A5959"/>
    <w:rsid w:val="006A5A35"/>
    <w:rsid w:val="006A5EA9"/>
    <w:rsid w:val="006A75D6"/>
    <w:rsid w:val="006A7A45"/>
    <w:rsid w:val="006B008D"/>
    <w:rsid w:val="006B0199"/>
    <w:rsid w:val="006B09F5"/>
    <w:rsid w:val="006B0A32"/>
    <w:rsid w:val="006B0BD8"/>
    <w:rsid w:val="006B172E"/>
    <w:rsid w:val="006B1B06"/>
    <w:rsid w:val="006B2B3E"/>
    <w:rsid w:val="006B2E4C"/>
    <w:rsid w:val="006B410F"/>
    <w:rsid w:val="006B4441"/>
    <w:rsid w:val="006B4557"/>
    <w:rsid w:val="006B55F3"/>
    <w:rsid w:val="006B6924"/>
    <w:rsid w:val="006B6D31"/>
    <w:rsid w:val="006B7B8D"/>
    <w:rsid w:val="006B7EE6"/>
    <w:rsid w:val="006C0251"/>
    <w:rsid w:val="006C06B4"/>
    <w:rsid w:val="006C158F"/>
    <w:rsid w:val="006C1B9A"/>
    <w:rsid w:val="006C2A4B"/>
    <w:rsid w:val="006C2B9A"/>
    <w:rsid w:val="006C2DB3"/>
    <w:rsid w:val="006C3183"/>
    <w:rsid w:val="006C38F8"/>
    <w:rsid w:val="006C39BB"/>
    <w:rsid w:val="006C3EB7"/>
    <w:rsid w:val="006C4396"/>
    <w:rsid w:val="006C4502"/>
    <w:rsid w:val="006C6114"/>
    <w:rsid w:val="006C7D9B"/>
    <w:rsid w:val="006C7E06"/>
    <w:rsid w:val="006C7E14"/>
    <w:rsid w:val="006D02F0"/>
    <w:rsid w:val="006D1DBD"/>
    <w:rsid w:val="006D200A"/>
    <w:rsid w:val="006D2288"/>
    <w:rsid w:val="006D2DB3"/>
    <w:rsid w:val="006D329E"/>
    <w:rsid w:val="006D3EBD"/>
    <w:rsid w:val="006D4065"/>
    <w:rsid w:val="006D4464"/>
    <w:rsid w:val="006D4D4F"/>
    <w:rsid w:val="006D5E91"/>
    <w:rsid w:val="006D6322"/>
    <w:rsid w:val="006D696D"/>
    <w:rsid w:val="006D6EA9"/>
    <w:rsid w:val="006D793F"/>
    <w:rsid w:val="006D7C6C"/>
    <w:rsid w:val="006E0033"/>
    <w:rsid w:val="006E04A3"/>
    <w:rsid w:val="006E1220"/>
    <w:rsid w:val="006E12AF"/>
    <w:rsid w:val="006E14E6"/>
    <w:rsid w:val="006E1AEE"/>
    <w:rsid w:val="006E1DF2"/>
    <w:rsid w:val="006E2013"/>
    <w:rsid w:val="006E2463"/>
    <w:rsid w:val="006E2B7E"/>
    <w:rsid w:val="006E2F52"/>
    <w:rsid w:val="006E32A9"/>
    <w:rsid w:val="006E32AE"/>
    <w:rsid w:val="006E392A"/>
    <w:rsid w:val="006E3B9C"/>
    <w:rsid w:val="006E4CF6"/>
    <w:rsid w:val="006E51A2"/>
    <w:rsid w:val="006E5FA6"/>
    <w:rsid w:val="006E6055"/>
    <w:rsid w:val="006F0BCA"/>
    <w:rsid w:val="006F0DE2"/>
    <w:rsid w:val="006F11BD"/>
    <w:rsid w:val="006F1B89"/>
    <w:rsid w:val="006F25B4"/>
    <w:rsid w:val="006F32C7"/>
    <w:rsid w:val="006F3495"/>
    <w:rsid w:val="006F3766"/>
    <w:rsid w:val="006F417D"/>
    <w:rsid w:val="006F4556"/>
    <w:rsid w:val="006F4D07"/>
    <w:rsid w:val="006F5C83"/>
    <w:rsid w:val="006F67CC"/>
    <w:rsid w:val="006F6B89"/>
    <w:rsid w:val="006F6CA8"/>
    <w:rsid w:val="006F6D2A"/>
    <w:rsid w:val="006F70AF"/>
    <w:rsid w:val="00700C08"/>
    <w:rsid w:val="00700C2C"/>
    <w:rsid w:val="00701C2D"/>
    <w:rsid w:val="00701F91"/>
    <w:rsid w:val="00702162"/>
    <w:rsid w:val="00703930"/>
    <w:rsid w:val="0070610E"/>
    <w:rsid w:val="007064B8"/>
    <w:rsid w:val="007067A4"/>
    <w:rsid w:val="0070681E"/>
    <w:rsid w:val="00706CA3"/>
    <w:rsid w:val="00707759"/>
    <w:rsid w:val="00707E1A"/>
    <w:rsid w:val="00710031"/>
    <w:rsid w:val="00710081"/>
    <w:rsid w:val="0071084E"/>
    <w:rsid w:val="00710B0D"/>
    <w:rsid w:val="00711597"/>
    <w:rsid w:val="00713277"/>
    <w:rsid w:val="00713A4C"/>
    <w:rsid w:val="00713CB5"/>
    <w:rsid w:val="00714399"/>
    <w:rsid w:val="0071459A"/>
    <w:rsid w:val="00714901"/>
    <w:rsid w:val="00714E3F"/>
    <w:rsid w:val="00714ED5"/>
    <w:rsid w:val="00715487"/>
    <w:rsid w:val="0071558B"/>
    <w:rsid w:val="0071586C"/>
    <w:rsid w:val="00715C00"/>
    <w:rsid w:val="00716188"/>
    <w:rsid w:val="007161D9"/>
    <w:rsid w:val="0071666E"/>
    <w:rsid w:val="0071720E"/>
    <w:rsid w:val="0071776A"/>
    <w:rsid w:val="00720038"/>
    <w:rsid w:val="007205DF"/>
    <w:rsid w:val="0072097C"/>
    <w:rsid w:val="00720E37"/>
    <w:rsid w:val="00721189"/>
    <w:rsid w:val="007221C3"/>
    <w:rsid w:val="0072292A"/>
    <w:rsid w:val="00722F2C"/>
    <w:rsid w:val="0072342D"/>
    <w:rsid w:val="0072408A"/>
    <w:rsid w:val="00724C84"/>
    <w:rsid w:val="00724CAA"/>
    <w:rsid w:val="00725281"/>
    <w:rsid w:val="007254D1"/>
    <w:rsid w:val="00725B32"/>
    <w:rsid w:val="00725B3C"/>
    <w:rsid w:val="0072688C"/>
    <w:rsid w:val="00726EAC"/>
    <w:rsid w:val="00731089"/>
    <w:rsid w:val="007310F4"/>
    <w:rsid w:val="007316CA"/>
    <w:rsid w:val="007319AE"/>
    <w:rsid w:val="007325D4"/>
    <w:rsid w:val="00732F60"/>
    <w:rsid w:val="0073326C"/>
    <w:rsid w:val="007333FB"/>
    <w:rsid w:val="007338A0"/>
    <w:rsid w:val="00733D54"/>
    <w:rsid w:val="00733DDF"/>
    <w:rsid w:val="00734106"/>
    <w:rsid w:val="007341BC"/>
    <w:rsid w:val="00734B54"/>
    <w:rsid w:val="00734F91"/>
    <w:rsid w:val="00735170"/>
    <w:rsid w:val="00735210"/>
    <w:rsid w:val="00735596"/>
    <w:rsid w:val="007360B0"/>
    <w:rsid w:val="00736A4F"/>
    <w:rsid w:val="00736C54"/>
    <w:rsid w:val="00736D9D"/>
    <w:rsid w:val="00737753"/>
    <w:rsid w:val="00737768"/>
    <w:rsid w:val="00737ADD"/>
    <w:rsid w:val="00740CE9"/>
    <w:rsid w:val="00740FD2"/>
    <w:rsid w:val="007428E3"/>
    <w:rsid w:val="00743323"/>
    <w:rsid w:val="0074394E"/>
    <w:rsid w:val="007440A0"/>
    <w:rsid w:val="0074422D"/>
    <w:rsid w:val="007446A6"/>
    <w:rsid w:val="007450FE"/>
    <w:rsid w:val="0074588A"/>
    <w:rsid w:val="007463F9"/>
    <w:rsid w:val="0074651B"/>
    <w:rsid w:val="007473E2"/>
    <w:rsid w:val="00747558"/>
    <w:rsid w:val="00747DB5"/>
    <w:rsid w:val="00747FB5"/>
    <w:rsid w:val="007501FE"/>
    <w:rsid w:val="00750D0A"/>
    <w:rsid w:val="00751624"/>
    <w:rsid w:val="00751D93"/>
    <w:rsid w:val="00752300"/>
    <w:rsid w:val="007523A6"/>
    <w:rsid w:val="007537BB"/>
    <w:rsid w:val="00753BF5"/>
    <w:rsid w:val="007546F8"/>
    <w:rsid w:val="007547B2"/>
    <w:rsid w:val="007553DE"/>
    <w:rsid w:val="0075579B"/>
    <w:rsid w:val="00755BAB"/>
    <w:rsid w:val="00756BD7"/>
    <w:rsid w:val="00756EC2"/>
    <w:rsid w:val="00757479"/>
    <w:rsid w:val="007577B2"/>
    <w:rsid w:val="00757CA4"/>
    <w:rsid w:val="00760741"/>
    <w:rsid w:val="0076080E"/>
    <w:rsid w:val="00761107"/>
    <w:rsid w:val="00761457"/>
    <w:rsid w:val="007633C2"/>
    <w:rsid w:val="0076411D"/>
    <w:rsid w:val="00764D03"/>
    <w:rsid w:val="00764E9E"/>
    <w:rsid w:val="007653B2"/>
    <w:rsid w:val="00766468"/>
    <w:rsid w:val="00766FF9"/>
    <w:rsid w:val="007670F8"/>
    <w:rsid w:val="007671D4"/>
    <w:rsid w:val="007675DC"/>
    <w:rsid w:val="00770A85"/>
    <w:rsid w:val="00770D49"/>
    <w:rsid w:val="00772A49"/>
    <w:rsid w:val="00772DA3"/>
    <w:rsid w:val="007732D9"/>
    <w:rsid w:val="007735BB"/>
    <w:rsid w:val="00773AC5"/>
    <w:rsid w:val="00773CA6"/>
    <w:rsid w:val="00773DC9"/>
    <w:rsid w:val="0077572E"/>
    <w:rsid w:val="00776669"/>
    <w:rsid w:val="0077702E"/>
    <w:rsid w:val="0077729F"/>
    <w:rsid w:val="00777AE2"/>
    <w:rsid w:val="00777BE4"/>
    <w:rsid w:val="00777CBB"/>
    <w:rsid w:val="0078031B"/>
    <w:rsid w:val="00780792"/>
    <w:rsid w:val="00780DBE"/>
    <w:rsid w:val="00781913"/>
    <w:rsid w:val="0078257E"/>
    <w:rsid w:val="00782AC7"/>
    <w:rsid w:val="00782B97"/>
    <w:rsid w:val="00783C82"/>
    <w:rsid w:val="00784985"/>
    <w:rsid w:val="007849AA"/>
    <w:rsid w:val="00784AB7"/>
    <w:rsid w:val="00784DE5"/>
    <w:rsid w:val="00784F44"/>
    <w:rsid w:val="00785FE7"/>
    <w:rsid w:val="00786567"/>
    <w:rsid w:val="00786672"/>
    <w:rsid w:val="0078709F"/>
    <w:rsid w:val="007872CF"/>
    <w:rsid w:val="007879F0"/>
    <w:rsid w:val="0079054A"/>
    <w:rsid w:val="00791680"/>
    <w:rsid w:val="00791D4A"/>
    <w:rsid w:val="0079201C"/>
    <w:rsid w:val="0079225B"/>
    <w:rsid w:val="0079307F"/>
    <w:rsid w:val="0079337F"/>
    <w:rsid w:val="00793BA4"/>
    <w:rsid w:val="007940C5"/>
    <w:rsid w:val="007947C4"/>
    <w:rsid w:val="00794988"/>
    <w:rsid w:val="00795865"/>
    <w:rsid w:val="00795CE1"/>
    <w:rsid w:val="007960A8"/>
    <w:rsid w:val="00796682"/>
    <w:rsid w:val="0079676D"/>
    <w:rsid w:val="00796A26"/>
    <w:rsid w:val="00797042"/>
    <w:rsid w:val="007972D5"/>
    <w:rsid w:val="00797A3F"/>
    <w:rsid w:val="00797B80"/>
    <w:rsid w:val="007A063C"/>
    <w:rsid w:val="007A0646"/>
    <w:rsid w:val="007A06AC"/>
    <w:rsid w:val="007A115A"/>
    <w:rsid w:val="007A1701"/>
    <w:rsid w:val="007A1A11"/>
    <w:rsid w:val="007A34E3"/>
    <w:rsid w:val="007A4636"/>
    <w:rsid w:val="007A49EE"/>
    <w:rsid w:val="007A55E4"/>
    <w:rsid w:val="007A74CE"/>
    <w:rsid w:val="007A75C1"/>
    <w:rsid w:val="007A7775"/>
    <w:rsid w:val="007B01C2"/>
    <w:rsid w:val="007B0833"/>
    <w:rsid w:val="007B0DF4"/>
    <w:rsid w:val="007B1014"/>
    <w:rsid w:val="007B103F"/>
    <w:rsid w:val="007B1484"/>
    <w:rsid w:val="007B1A10"/>
    <w:rsid w:val="007B1A65"/>
    <w:rsid w:val="007B2294"/>
    <w:rsid w:val="007B31AB"/>
    <w:rsid w:val="007B3268"/>
    <w:rsid w:val="007B3BBB"/>
    <w:rsid w:val="007B3BE2"/>
    <w:rsid w:val="007B40F1"/>
    <w:rsid w:val="007B42D3"/>
    <w:rsid w:val="007B4681"/>
    <w:rsid w:val="007B46D9"/>
    <w:rsid w:val="007B4B72"/>
    <w:rsid w:val="007B4D92"/>
    <w:rsid w:val="007B571F"/>
    <w:rsid w:val="007B6659"/>
    <w:rsid w:val="007B6C39"/>
    <w:rsid w:val="007B6EC9"/>
    <w:rsid w:val="007B7200"/>
    <w:rsid w:val="007B766F"/>
    <w:rsid w:val="007B76AB"/>
    <w:rsid w:val="007B7885"/>
    <w:rsid w:val="007B7DBD"/>
    <w:rsid w:val="007C0942"/>
    <w:rsid w:val="007C0EEE"/>
    <w:rsid w:val="007C2816"/>
    <w:rsid w:val="007C45D3"/>
    <w:rsid w:val="007C5162"/>
    <w:rsid w:val="007C5844"/>
    <w:rsid w:val="007C597B"/>
    <w:rsid w:val="007C60FE"/>
    <w:rsid w:val="007C62A9"/>
    <w:rsid w:val="007C6307"/>
    <w:rsid w:val="007C6F72"/>
    <w:rsid w:val="007C760C"/>
    <w:rsid w:val="007D08FD"/>
    <w:rsid w:val="007D10EF"/>
    <w:rsid w:val="007D1584"/>
    <w:rsid w:val="007D2044"/>
    <w:rsid w:val="007D24AB"/>
    <w:rsid w:val="007D3438"/>
    <w:rsid w:val="007D3B0D"/>
    <w:rsid w:val="007D4F33"/>
    <w:rsid w:val="007D554B"/>
    <w:rsid w:val="007D57EE"/>
    <w:rsid w:val="007D58BA"/>
    <w:rsid w:val="007D5FFC"/>
    <w:rsid w:val="007D65C7"/>
    <w:rsid w:val="007D6888"/>
    <w:rsid w:val="007D6F24"/>
    <w:rsid w:val="007D737D"/>
    <w:rsid w:val="007D74D2"/>
    <w:rsid w:val="007D799C"/>
    <w:rsid w:val="007D79B5"/>
    <w:rsid w:val="007E08E3"/>
    <w:rsid w:val="007E0CB9"/>
    <w:rsid w:val="007E15B0"/>
    <w:rsid w:val="007E2334"/>
    <w:rsid w:val="007E23CE"/>
    <w:rsid w:val="007E2CE7"/>
    <w:rsid w:val="007E43D0"/>
    <w:rsid w:val="007E461E"/>
    <w:rsid w:val="007E47CE"/>
    <w:rsid w:val="007E4AAC"/>
    <w:rsid w:val="007E4F00"/>
    <w:rsid w:val="007E5427"/>
    <w:rsid w:val="007E54F8"/>
    <w:rsid w:val="007E5987"/>
    <w:rsid w:val="007E5BD8"/>
    <w:rsid w:val="007E6D05"/>
    <w:rsid w:val="007E7BF9"/>
    <w:rsid w:val="007F02BC"/>
    <w:rsid w:val="007F1D17"/>
    <w:rsid w:val="007F20D7"/>
    <w:rsid w:val="007F28BD"/>
    <w:rsid w:val="007F2E65"/>
    <w:rsid w:val="007F3800"/>
    <w:rsid w:val="007F38A3"/>
    <w:rsid w:val="007F40C5"/>
    <w:rsid w:val="007F43BA"/>
    <w:rsid w:val="007F45D1"/>
    <w:rsid w:val="007F47AB"/>
    <w:rsid w:val="007F5BC1"/>
    <w:rsid w:val="007F5DB4"/>
    <w:rsid w:val="007F64BE"/>
    <w:rsid w:val="007F68BB"/>
    <w:rsid w:val="007F6A71"/>
    <w:rsid w:val="007F6DC3"/>
    <w:rsid w:val="007F70A3"/>
    <w:rsid w:val="008006B4"/>
    <w:rsid w:val="008008F9"/>
    <w:rsid w:val="0080104B"/>
    <w:rsid w:val="008015B6"/>
    <w:rsid w:val="008028A6"/>
    <w:rsid w:val="00802F01"/>
    <w:rsid w:val="00803FD4"/>
    <w:rsid w:val="0080481C"/>
    <w:rsid w:val="00804C54"/>
    <w:rsid w:val="008056DD"/>
    <w:rsid w:val="00805AA3"/>
    <w:rsid w:val="00806EDE"/>
    <w:rsid w:val="00807125"/>
    <w:rsid w:val="0080721F"/>
    <w:rsid w:val="00807847"/>
    <w:rsid w:val="00807D2A"/>
    <w:rsid w:val="0081033A"/>
    <w:rsid w:val="00810599"/>
    <w:rsid w:val="00810F27"/>
    <w:rsid w:val="0081104C"/>
    <w:rsid w:val="00811504"/>
    <w:rsid w:val="00811A53"/>
    <w:rsid w:val="008121F2"/>
    <w:rsid w:val="00812D16"/>
    <w:rsid w:val="008131FF"/>
    <w:rsid w:val="00814770"/>
    <w:rsid w:val="008157F9"/>
    <w:rsid w:val="00815FE3"/>
    <w:rsid w:val="00816C51"/>
    <w:rsid w:val="008178F8"/>
    <w:rsid w:val="00820508"/>
    <w:rsid w:val="00820707"/>
    <w:rsid w:val="008211D8"/>
    <w:rsid w:val="00821865"/>
    <w:rsid w:val="00821AD3"/>
    <w:rsid w:val="008225EB"/>
    <w:rsid w:val="0082309F"/>
    <w:rsid w:val="0082323A"/>
    <w:rsid w:val="0082327D"/>
    <w:rsid w:val="008236C2"/>
    <w:rsid w:val="00823DFD"/>
    <w:rsid w:val="0082433D"/>
    <w:rsid w:val="00824CF9"/>
    <w:rsid w:val="008254A3"/>
    <w:rsid w:val="008263A9"/>
    <w:rsid w:val="00826509"/>
    <w:rsid w:val="00826826"/>
    <w:rsid w:val="00826E1E"/>
    <w:rsid w:val="00826FE9"/>
    <w:rsid w:val="00830DAE"/>
    <w:rsid w:val="008317ED"/>
    <w:rsid w:val="00832AEC"/>
    <w:rsid w:val="00832F2D"/>
    <w:rsid w:val="0083354D"/>
    <w:rsid w:val="00833FC7"/>
    <w:rsid w:val="00834F1B"/>
    <w:rsid w:val="0083561B"/>
    <w:rsid w:val="008375C6"/>
    <w:rsid w:val="00837654"/>
    <w:rsid w:val="00837D78"/>
    <w:rsid w:val="0084041A"/>
    <w:rsid w:val="00840673"/>
    <w:rsid w:val="00840D79"/>
    <w:rsid w:val="0084173C"/>
    <w:rsid w:val="00842395"/>
    <w:rsid w:val="008424F5"/>
    <w:rsid w:val="00842A21"/>
    <w:rsid w:val="00842C04"/>
    <w:rsid w:val="0084422C"/>
    <w:rsid w:val="00844A5B"/>
    <w:rsid w:val="008451BF"/>
    <w:rsid w:val="00845517"/>
    <w:rsid w:val="00845DAD"/>
    <w:rsid w:val="0084656F"/>
    <w:rsid w:val="00846701"/>
    <w:rsid w:val="00846BE2"/>
    <w:rsid w:val="00846F52"/>
    <w:rsid w:val="008471A2"/>
    <w:rsid w:val="008479F4"/>
    <w:rsid w:val="00847D74"/>
    <w:rsid w:val="00847ECC"/>
    <w:rsid w:val="00851377"/>
    <w:rsid w:val="00851D10"/>
    <w:rsid w:val="00853638"/>
    <w:rsid w:val="0085437C"/>
    <w:rsid w:val="00854682"/>
    <w:rsid w:val="008546CC"/>
    <w:rsid w:val="00854B2F"/>
    <w:rsid w:val="008551EC"/>
    <w:rsid w:val="00855481"/>
    <w:rsid w:val="008554FB"/>
    <w:rsid w:val="00856354"/>
    <w:rsid w:val="008568E1"/>
    <w:rsid w:val="00856ADF"/>
    <w:rsid w:val="00856BE9"/>
    <w:rsid w:val="008578F8"/>
    <w:rsid w:val="00857C1D"/>
    <w:rsid w:val="00860566"/>
    <w:rsid w:val="008608C2"/>
    <w:rsid w:val="00860A3C"/>
    <w:rsid w:val="00860B6C"/>
    <w:rsid w:val="00860F11"/>
    <w:rsid w:val="008610E6"/>
    <w:rsid w:val="0086165C"/>
    <w:rsid w:val="00861A36"/>
    <w:rsid w:val="00861B26"/>
    <w:rsid w:val="00862939"/>
    <w:rsid w:val="00862EED"/>
    <w:rsid w:val="00863AF9"/>
    <w:rsid w:val="00863F7A"/>
    <w:rsid w:val="008643FC"/>
    <w:rsid w:val="008645A3"/>
    <w:rsid w:val="00864836"/>
    <w:rsid w:val="008649B9"/>
    <w:rsid w:val="00864B74"/>
    <w:rsid w:val="00865694"/>
    <w:rsid w:val="008657F9"/>
    <w:rsid w:val="008661C5"/>
    <w:rsid w:val="008668C4"/>
    <w:rsid w:val="00866B12"/>
    <w:rsid w:val="00866CC2"/>
    <w:rsid w:val="0086784F"/>
    <w:rsid w:val="00870394"/>
    <w:rsid w:val="0087073B"/>
    <w:rsid w:val="008710A1"/>
    <w:rsid w:val="00871AF9"/>
    <w:rsid w:val="00873967"/>
    <w:rsid w:val="0087424E"/>
    <w:rsid w:val="00874547"/>
    <w:rsid w:val="0087457E"/>
    <w:rsid w:val="008748BC"/>
    <w:rsid w:val="00876454"/>
    <w:rsid w:val="00876733"/>
    <w:rsid w:val="008770D4"/>
    <w:rsid w:val="00877C85"/>
    <w:rsid w:val="008800E5"/>
    <w:rsid w:val="0088127F"/>
    <w:rsid w:val="008815EF"/>
    <w:rsid w:val="00882239"/>
    <w:rsid w:val="00882C84"/>
    <w:rsid w:val="00884620"/>
    <w:rsid w:val="008846A5"/>
    <w:rsid w:val="00885273"/>
    <w:rsid w:val="00885ABD"/>
    <w:rsid w:val="00885F2C"/>
    <w:rsid w:val="00886386"/>
    <w:rsid w:val="008865A6"/>
    <w:rsid w:val="0088701C"/>
    <w:rsid w:val="0088756D"/>
    <w:rsid w:val="00890057"/>
    <w:rsid w:val="0089080A"/>
    <w:rsid w:val="00890892"/>
    <w:rsid w:val="00890997"/>
    <w:rsid w:val="008912E5"/>
    <w:rsid w:val="00891995"/>
    <w:rsid w:val="00892459"/>
    <w:rsid w:val="00892462"/>
    <w:rsid w:val="008925C2"/>
    <w:rsid w:val="008929AA"/>
    <w:rsid w:val="00892AA5"/>
    <w:rsid w:val="00893B6F"/>
    <w:rsid w:val="0089499B"/>
    <w:rsid w:val="00894ACA"/>
    <w:rsid w:val="00894EC5"/>
    <w:rsid w:val="00894FD5"/>
    <w:rsid w:val="008961B6"/>
    <w:rsid w:val="00896658"/>
    <w:rsid w:val="008967B5"/>
    <w:rsid w:val="00896BB1"/>
    <w:rsid w:val="00896CE9"/>
    <w:rsid w:val="008A03AC"/>
    <w:rsid w:val="008A0415"/>
    <w:rsid w:val="008A05C7"/>
    <w:rsid w:val="008A0F9D"/>
    <w:rsid w:val="008A1008"/>
    <w:rsid w:val="008A1981"/>
    <w:rsid w:val="008A2294"/>
    <w:rsid w:val="008A2C67"/>
    <w:rsid w:val="008A2D2F"/>
    <w:rsid w:val="008A32B8"/>
    <w:rsid w:val="008A345A"/>
    <w:rsid w:val="008A3BDD"/>
    <w:rsid w:val="008A3DB9"/>
    <w:rsid w:val="008A461B"/>
    <w:rsid w:val="008A48CC"/>
    <w:rsid w:val="008A4C9C"/>
    <w:rsid w:val="008A4EA9"/>
    <w:rsid w:val="008A5603"/>
    <w:rsid w:val="008A560D"/>
    <w:rsid w:val="008A5CBB"/>
    <w:rsid w:val="008A666C"/>
    <w:rsid w:val="008A66B8"/>
    <w:rsid w:val="008A6A5C"/>
    <w:rsid w:val="008A7165"/>
    <w:rsid w:val="008A72B7"/>
    <w:rsid w:val="008A7316"/>
    <w:rsid w:val="008A73F5"/>
    <w:rsid w:val="008A7A2E"/>
    <w:rsid w:val="008B0C73"/>
    <w:rsid w:val="008B1070"/>
    <w:rsid w:val="008B17C9"/>
    <w:rsid w:val="008B20D5"/>
    <w:rsid w:val="008B4415"/>
    <w:rsid w:val="008B4A1C"/>
    <w:rsid w:val="008B4B7E"/>
    <w:rsid w:val="008B4FF2"/>
    <w:rsid w:val="008B500A"/>
    <w:rsid w:val="008B5D9F"/>
    <w:rsid w:val="008B5FEC"/>
    <w:rsid w:val="008B604D"/>
    <w:rsid w:val="008B6AB5"/>
    <w:rsid w:val="008B6F2E"/>
    <w:rsid w:val="008B70EC"/>
    <w:rsid w:val="008B77B4"/>
    <w:rsid w:val="008B7AEB"/>
    <w:rsid w:val="008C1610"/>
    <w:rsid w:val="008C2F1E"/>
    <w:rsid w:val="008C30E5"/>
    <w:rsid w:val="008C34A1"/>
    <w:rsid w:val="008C3B5B"/>
    <w:rsid w:val="008C409F"/>
    <w:rsid w:val="008C4788"/>
    <w:rsid w:val="008C4834"/>
    <w:rsid w:val="008C49FD"/>
    <w:rsid w:val="008C4A60"/>
    <w:rsid w:val="008C56A4"/>
    <w:rsid w:val="008C602D"/>
    <w:rsid w:val="008C6159"/>
    <w:rsid w:val="008C6B08"/>
    <w:rsid w:val="008C6BCC"/>
    <w:rsid w:val="008C6BDF"/>
    <w:rsid w:val="008D098D"/>
    <w:rsid w:val="008D135A"/>
    <w:rsid w:val="008D2205"/>
    <w:rsid w:val="008D2331"/>
    <w:rsid w:val="008D238D"/>
    <w:rsid w:val="008D347F"/>
    <w:rsid w:val="008D35AD"/>
    <w:rsid w:val="008D36CD"/>
    <w:rsid w:val="008D40ED"/>
    <w:rsid w:val="008D4197"/>
    <w:rsid w:val="008D4380"/>
    <w:rsid w:val="008D48D1"/>
    <w:rsid w:val="008D4B8A"/>
    <w:rsid w:val="008D4FBE"/>
    <w:rsid w:val="008D564C"/>
    <w:rsid w:val="008D57D7"/>
    <w:rsid w:val="008D5DE0"/>
    <w:rsid w:val="008D6BE8"/>
    <w:rsid w:val="008D6E46"/>
    <w:rsid w:val="008E0906"/>
    <w:rsid w:val="008E0BDF"/>
    <w:rsid w:val="008E1508"/>
    <w:rsid w:val="008E1FED"/>
    <w:rsid w:val="008E27E9"/>
    <w:rsid w:val="008E28AF"/>
    <w:rsid w:val="008E3D84"/>
    <w:rsid w:val="008E42DE"/>
    <w:rsid w:val="008E4985"/>
    <w:rsid w:val="008E6AB3"/>
    <w:rsid w:val="008E76C9"/>
    <w:rsid w:val="008F07ED"/>
    <w:rsid w:val="008F0D65"/>
    <w:rsid w:val="008F2C49"/>
    <w:rsid w:val="008F2CC4"/>
    <w:rsid w:val="008F36F0"/>
    <w:rsid w:val="008F4896"/>
    <w:rsid w:val="008F4CD7"/>
    <w:rsid w:val="008F54FD"/>
    <w:rsid w:val="008F66BC"/>
    <w:rsid w:val="008F6AE6"/>
    <w:rsid w:val="008F6B50"/>
    <w:rsid w:val="008F7AD3"/>
    <w:rsid w:val="008F7CA7"/>
    <w:rsid w:val="008F7CFF"/>
    <w:rsid w:val="008F7ED1"/>
    <w:rsid w:val="009001B1"/>
    <w:rsid w:val="009002A0"/>
    <w:rsid w:val="009006C3"/>
    <w:rsid w:val="00901C8D"/>
    <w:rsid w:val="00902664"/>
    <w:rsid w:val="00902D31"/>
    <w:rsid w:val="009039E6"/>
    <w:rsid w:val="00903AAE"/>
    <w:rsid w:val="00904A4D"/>
    <w:rsid w:val="00905643"/>
    <w:rsid w:val="00905AD5"/>
    <w:rsid w:val="00905ADD"/>
    <w:rsid w:val="00905EE9"/>
    <w:rsid w:val="009065F4"/>
    <w:rsid w:val="00907473"/>
    <w:rsid w:val="009075A7"/>
    <w:rsid w:val="00907DFB"/>
    <w:rsid w:val="00910624"/>
    <w:rsid w:val="00910AEC"/>
    <w:rsid w:val="00910FA7"/>
    <w:rsid w:val="00910FBA"/>
    <w:rsid w:val="00911D39"/>
    <w:rsid w:val="00912484"/>
    <w:rsid w:val="00912B9F"/>
    <w:rsid w:val="0091392E"/>
    <w:rsid w:val="00914EB6"/>
    <w:rsid w:val="00914FB4"/>
    <w:rsid w:val="009165BF"/>
    <w:rsid w:val="00916810"/>
    <w:rsid w:val="009170E6"/>
    <w:rsid w:val="00917C0F"/>
    <w:rsid w:val="0092040E"/>
    <w:rsid w:val="00920C6C"/>
    <w:rsid w:val="00920ECE"/>
    <w:rsid w:val="00921897"/>
    <w:rsid w:val="00921C6D"/>
    <w:rsid w:val="009227D9"/>
    <w:rsid w:val="00923206"/>
    <w:rsid w:val="00923B7E"/>
    <w:rsid w:val="00923C44"/>
    <w:rsid w:val="0092406A"/>
    <w:rsid w:val="00924301"/>
    <w:rsid w:val="00924F72"/>
    <w:rsid w:val="009254D7"/>
    <w:rsid w:val="00927791"/>
    <w:rsid w:val="009302F7"/>
    <w:rsid w:val="00930607"/>
    <w:rsid w:val="00930D0A"/>
    <w:rsid w:val="009314BE"/>
    <w:rsid w:val="00932918"/>
    <w:rsid w:val="009329BA"/>
    <w:rsid w:val="00932FCA"/>
    <w:rsid w:val="0093304D"/>
    <w:rsid w:val="00933530"/>
    <w:rsid w:val="00933D86"/>
    <w:rsid w:val="009351DD"/>
    <w:rsid w:val="00935C1A"/>
    <w:rsid w:val="00935E79"/>
    <w:rsid w:val="009363B9"/>
    <w:rsid w:val="00936939"/>
    <w:rsid w:val="00937A04"/>
    <w:rsid w:val="009400A3"/>
    <w:rsid w:val="0094053B"/>
    <w:rsid w:val="00941952"/>
    <w:rsid w:val="00942040"/>
    <w:rsid w:val="00942273"/>
    <w:rsid w:val="0094254C"/>
    <w:rsid w:val="00942C9F"/>
    <w:rsid w:val="00942FC7"/>
    <w:rsid w:val="009435C8"/>
    <w:rsid w:val="00944CAC"/>
    <w:rsid w:val="00945354"/>
    <w:rsid w:val="00945631"/>
    <w:rsid w:val="00946737"/>
    <w:rsid w:val="0094716F"/>
    <w:rsid w:val="00947549"/>
    <w:rsid w:val="00947CF3"/>
    <w:rsid w:val="00947D0C"/>
    <w:rsid w:val="00950217"/>
    <w:rsid w:val="009505DE"/>
    <w:rsid w:val="00951569"/>
    <w:rsid w:val="0095188F"/>
    <w:rsid w:val="009522B0"/>
    <w:rsid w:val="00952571"/>
    <w:rsid w:val="00952E48"/>
    <w:rsid w:val="009531F2"/>
    <w:rsid w:val="00953852"/>
    <w:rsid w:val="009542B0"/>
    <w:rsid w:val="009555DB"/>
    <w:rsid w:val="009565D4"/>
    <w:rsid w:val="00956DDC"/>
    <w:rsid w:val="0095719E"/>
    <w:rsid w:val="0095779E"/>
    <w:rsid w:val="0095793C"/>
    <w:rsid w:val="0096093B"/>
    <w:rsid w:val="00960C67"/>
    <w:rsid w:val="00960FBD"/>
    <w:rsid w:val="0096111E"/>
    <w:rsid w:val="00961125"/>
    <w:rsid w:val="009614CD"/>
    <w:rsid w:val="00961A4F"/>
    <w:rsid w:val="00961DE2"/>
    <w:rsid w:val="009623D8"/>
    <w:rsid w:val="009627FD"/>
    <w:rsid w:val="009631AF"/>
    <w:rsid w:val="00963362"/>
    <w:rsid w:val="00963BA3"/>
    <w:rsid w:val="00963BD1"/>
    <w:rsid w:val="00963F0A"/>
    <w:rsid w:val="009648AD"/>
    <w:rsid w:val="00966B1F"/>
    <w:rsid w:val="00966DE0"/>
    <w:rsid w:val="009675A5"/>
    <w:rsid w:val="00970A7E"/>
    <w:rsid w:val="0097116E"/>
    <w:rsid w:val="00971968"/>
    <w:rsid w:val="00971C95"/>
    <w:rsid w:val="009723D9"/>
    <w:rsid w:val="009724EE"/>
    <w:rsid w:val="00974000"/>
    <w:rsid w:val="00974518"/>
    <w:rsid w:val="00975994"/>
    <w:rsid w:val="00976A1A"/>
    <w:rsid w:val="0097712E"/>
    <w:rsid w:val="009772EE"/>
    <w:rsid w:val="009803B0"/>
    <w:rsid w:val="00980FE0"/>
    <w:rsid w:val="00981E8D"/>
    <w:rsid w:val="00982075"/>
    <w:rsid w:val="00982DA7"/>
    <w:rsid w:val="0098369D"/>
    <w:rsid w:val="00984598"/>
    <w:rsid w:val="009845FB"/>
    <w:rsid w:val="00985F8B"/>
    <w:rsid w:val="00986433"/>
    <w:rsid w:val="00986F9B"/>
    <w:rsid w:val="00987C6A"/>
    <w:rsid w:val="00990A5D"/>
    <w:rsid w:val="00990C3B"/>
    <w:rsid w:val="00990C48"/>
    <w:rsid w:val="00990EA4"/>
    <w:rsid w:val="009916B8"/>
    <w:rsid w:val="00991CBD"/>
    <w:rsid w:val="0099215B"/>
    <w:rsid w:val="009921E6"/>
    <w:rsid w:val="009926C2"/>
    <w:rsid w:val="009928B7"/>
    <w:rsid w:val="00992E24"/>
    <w:rsid w:val="00992EFD"/>
    <w:rsid w:val="00993037"/>
    <w:rsid w:val="0099321A"/>
    <w:rsid w:val="009933B3"/>
    <w:rsid w:val="0099415D"/>
    <w:rsid w:val="00994326"/>
    <w:rsid w:val="00994436"/>
    <w:rsid w:val="0099444F"/>
    <w:rsid w:val="009947E8"/>
    <w:rsid w:val="00995132"/>
    <w:rsid w:val="009960B7"/>
    <w:rsid w:val="0099645B"/>
    <w:rsid w:val="0099694B"/>
    <w:rsid w:val="00996F08"/>
    <w:rsid w:val="009972FE"/>
    <w:rsid w:val="009973FE"/>
    <w:rsid w:val="00997AB2"/>
    <w:rsid w:val="00997F57"/>
    <w:rsid w:val="009A03D2"/>
    <w:rsid w:val="009A04A0"/>
    <w:rsid w:val="009A1B7E"/>
    <w:rsid w:val="009A21EE"/>
    <w:rsid w:val="009A23CE"/>
    <w:rsid w:val="009A2730"/>
    <w:rsid w:val="009A2B5F"/>
    <w:rsid w:val="009A2DF9"/>
    <w:rsid w:val="009A3513"/>
    <w:rsid w:val="009A5BD2"/>
    <w:rsid w:val="009B038E"/>
    <w:rsid w:val="009B0B0F"/>
    <w:rsid w:val="009B0E94"/>
    <w:rsid w:val="009B11E2"/>
    <w:rsid w:val="009B31E4"/>
    <w:rsid w:val="009B410B"/>
    <w:rsid w:val="009B49A7"/>
    <w:rsid w:val="009B536C"/>
    <w:rsid w:val="009B5C19"/>
    <w:rsid w:val="009B6496"/>
    <w:rsid w:val="009B7DAC"/>
    <w:rsid w:val="009B7E01"/>
    <w:rsid w:val="009C01DA"/>
    <w:rsid w:val="009C0935"/>
    <w:rsid w:val="009C0BE5"/>
    <w:rsid w:val="009C0C9D"/>
    <w:rsid w:val="009C1528"/>
    <w:rsid w:val="009C15EB"/>
    <w:rsid w:val="009C1643"/>
    <w:rsid w:val="009C17FB"/>
    <w:rsid w:val="009C20CC"/>
    <w:rsid w:val="009C2BDF"/>
    <w:rsid w:val="009C2C78"/>
    <w:rsid w:val="009C2EFF"/>
    <w:rsid w:val="009C32F5"/>
    <w:rsid w:val="009C3558"/>
    <w:rsid w:val="009C47FA"/>
    <w:rsid w:val="009C4C07"/>
    <w:rsid w:val="009C4C6E"/>
    <w:rsid w:val="009C4CCE"/>
    <w:rsid w:val="009C562E"/>
    <w:rsid w:val="009C5E44"/>
    <w:rsid w:val="009C614E"/>
    <w:rsid w:val="009C6862"/>
    <w:rsid w:val="009C7027"/>
    <w:rsid w:val="009C7089"/>
    <w:rsid w:val="009C712B"/>
    <w:rsid w:val="009C7531"/>
    <w:rsid w:val="009C75EC"/>
    <w:rsid w:val="009D0A6D"/>
    <w:rsid w:val="009D1728"/>
    <w:rsid w:val="009D220C"/>
    <w:rsid w:val="009D221F"/>
    <w:rsid w:val="009D2319"/>
    <w:rsid w:val="009D2523"/>
    <w:rsid w:val="009D2AA2"/>
    <w:rsid w:val="009D4C23"/>
    <w:rsid w:val="009D5AB1"/>
    <w:rsid w:val="009D5AD7"/>
    <w:rsid w:val="009D5CA1"/>
    <w:rsid w:val="009D677F"/>
    <w:rsid w:val="009D7B33"/>
    <w:rsid w:val="009D7F0C"/>
    <w:rsid w:val="009E0461"/>
    <w:rsid w:val="009E05F5"/>
    <w:rsid w:val="009E09F0"/>
    <w:rsid w:val="009E0E5B"/>
    <w:rsid w:val="009E100F"/>
    <w:rsid w:val="009E19E8"/>
    <w:rsid w:val="009E248F"/>
    <w:rsid w:val="009E24E9"/>
    <w:rsid w:val="009E35FD"/>
    <w:rsid w:val="009E377C"/>
    <w:rsid w:val="009E3A5D"/>
    <w:rsid w:val="009E3DD8"/>
    <w:rsid w:val="009E411C"/>
    <w:rsid w:val="009E4139"/>
    <w:rsid w:val="009E458A"/>
    <w:rsid w:val="009E4A86"/>
    <w:rsid w:val="009E5316"/>
    <w:rsid w:val="009E5836"/>
    <w:rsid w:val="009E5AB0"/>
    <w:rsid w:val="009E5D7C"/>
    <w:rsid w:val="009E5DFC"/>
    <w:rsid w:val="009E63A9"/>
    <w:rsid w:val="009E7765"/>
    <w:rsid w:val="009E78AC"/>
    <w:rsid w:val="009E7CAB"/>
    <w:rsid w:val="009F1789"/>
    <w:rsid w:val="009F1A8E"/>
    <w:rsid w:val="009F2460"/>
    <w:rsid w:val="009F2894"/>
    <w:rsid w:val="009F2E3B"/>
    <w:rsid w:val="009F30CE"/>
    <w:rsid w:val="009F36D2"/>
    <w:rsid w:val="009F3B6B"/>
    <w:rsid w:val="009F4504"/>
    <w:rsid w:val="009F4A5B"/>
    <w:rsid w:val="009F502C"/>
    <w:rsid w:val="009F55ED"/>
    <w:rsid w:val="009F603B"/>
    <w:rsid w:val="009F6987"/>
    <w:rsid w:val="009F720F"/>
    <w:rsid w:val="009F72EE"/>
    <w:rsid w:val="009F7A9E"/>
    <w:rsid w:val="00A00488"/>
    <w:rsid w:val="00A00538"/>
    <w:rsid w:val="00A0062F"/>
    <w:rsid w:val="00A010E7"/>
    <w:rsid w:val="00A01929"/>
    <w:rsid w:val="00A01A17"/>
    <w:rsid w:val="00A01A60"/>
    <w:rsid w:val="00A02BA4"/>
    <w:rsid w:val="00A03125"/>
    <w:rsid w:val="00A05112"/>
    <w:rsid w:val="00A05926"/>
    <w:rsid w:val="00A05E10"/>
    <w:rsid w:val="00A06E6E"/>
    <w:rsid w:val="00A076F9"/>
    <w:rsid w:val="00A07997"/>
    <w:rsid w:val="00A07F87"/>
    <w:rsid w:val="00A11185"/>
    <w:rsid w:val="00A119BE"/>
    <w:rsid w:val="00A13659"/>
    <w:rsid w:val="00A13CB6"/>
    <w:rsid w:val="00A147F1"/>
    <w:rsid w:val="00A15A85"/>
    <w:rsid w:val="00A15B8F"/>
    <w:rsid w:val="00A15E82"/>
    <w:rsid w:val="00A161D1"/>
    <w:rsid w:val="00A1637F"/>
    <w:rsid w:val="00A175E9"/>
    <w:rsid w:val="00A206ED"/>
    <w:rsid w:val="00A20806"/>
    <w:rsid w:val="00A20930"/>
    <w:rsid w:val="00A20C7F"/>
    <w:rsid w:val="00A218CE"/>
    <w:rsid w:val="00A21D41"/>
    <w:rsid w:val="00A221BF"/>
    <w:rsid w:val="00A22698"/>
    <w:rsid w:val="00A22DBA"/>
    <w:rsid w:val="00A2329D"/>
    <w:rsid w:val="00A23576"/>
    <w:rsid w:val="00A23926"/>
    <w:rsid w:val="00A239D9"/>
    <w:rsid w:val="00A23BEB"/>
    <w:rsid w:val="00A2489D"/>
    <w:rsid w:val="00A2490E"/>
    <w:rsid w:val="00A25442"/>
    <w:rsid w:val="00A25586"/>
    <w:rsid w:val="00A25BFF"/>
    <w:rsid w:val="00A262A7"/>
    <w:rsid w:val="00A26648"/>
    <w:rsid w:val="00A26A63"/>
    <w:rsid w:val="00A26D98"/>
    <w:rsid w:val="00A26F79"/>
    <w:rsid w:val="00A27522"/>
    <w:rsid w:val="00A3136F"/>
    <w:rsid w:val="00A316E7"/>
    <w:rsid w:val="00A31EA7"/>
    <w:rsid w:val="00A32452"/>
    <w:rsid w:val="00A32E25"/>
    <w:rsid w:val="00A347B0"/>
    <w:rsid w:val="00A34B1B"/>
    <w:rsid w:val="00A34B77"/>
    <w:rsid w:val="00A34D0C"/>
    <w:rsid w:val="00A34D76"/>
    <w:rsid w:val="00A365D0"/>
    <w:rsid w:val="00A37537"/>
    <w:rsid w:val="00A402B8"/>
    <w:rsid w:val="00A4043E"/>
    <w:rsid w:val="00A404FB"/>
    <w:rsid w:val="00A40982"/>
    <w:rsid w:val="00A417CC"/>
    <w:rsid w:val="00A432BB"/>
    <w:rsid w:val="00A437D9"/>
    <w:rsid w:val="00A438DC"/>
    <w:rsid w:val="00A43C16"/>
    <w:rsid w:val="00A43E1F"/>
    <w:rsid w:val="00A44198"/>
    <w:rsid w:val="00A443A6"/>
    <w:rsid w:val="00A44FD4"/>
    <w:rsid w:val="00A45033"/>
    <w:rsid w:val="00A45A1A"/>
    <w:rsid w:val="00A45ACB"/>
    <w:rsid w:val="00A45E61"/>
    <w:rsid w:val="00A45ECD"/>
    <w:rsid w:val="00A46900"/>
    <w:rsid w:val="00A47F32"/>
    <w:rsid w:val="00A51A96"/>
    <w:rsid w:val="00A51D41"/>
    <w:rsid w:val="00A52099"/>
    <w:rsid w:val="00A52635"/>
    <w:rsid w:val="00A53220"/>
    <w:rsid w:val="00A5366E"/>
    <w:rsid w:val="00A538E6"/>
    <w:rsid w:val="00A547CE"/>
    <w:rsid w:val="00A54B47"/>
    <w:rsid w:val="00A54D4A"/>
    <w:rsid w:val="00A5560B"/>
    <w:rsid w:val="00A55B7B"/>
    <w:rsid w:val="00A56102"/>
    <w:rsid w:val="00A56710"/>
    <w:rsid w:val="00A56800"/>
    <w:rsid w:val="00A56D7E"/>
    <w:rsid w:val="00A57404"/>
    <w:rsid w:val="00A575BD"/>
    <w:rsid w:val="00A57C77"/>
    <w:rsid w:val="00A57EE7"/>
    <w:rsid w:val="00A60285"/>
    <w:rsid w:val="00A60EEC"/>
    <w:rsid w:val="00A61976"/>
    <w:rsid w:val="00A61B44"/>
    <w:rsid w:val="00A62D43"/>
    <w:rsid w:val="00A62E37"/>
    <w:rsid w:val="00A63B83"/>
    <w:rsid w:val="00A646F7"/>
    <w:rsid w:val="00A65BD9"/>
    <w:rsid w:val="00A65D43"/>
    <w:rsid w:val="00A66718"/>
    <w:rsid w:val="00A671EF"/>
    <w:rsid w:val="00A70280"/>
    <w:rsid w:val="00A70821"/>
    <w:rsid w:val="00A70B31"/>
    <w:rsid w:val="00A72B3E"/>
    <w:rsid w:val="00A7352D"/>
    <w:rsid w:val="00A73A74"/>
    <w:rsid w:val="00A7441E"/>
    <w:rsid w:val="00A7442A"/>
    <w:rsid w:val="00A74D9A"/>
    <w:rsid w:val="00A759FE"/>
    <w:rsid w:val="00A75FE1"/>
    <w:rsid w:val="00A76087"/>
    <w:rsid w:val="00A76AE2"/>
    <w:rsid w:val="00A76C1F"/>
    <w:rsid w:val="00A76D67"/>
    <w:rsid w:val="00A76FF2"/>
    <w:rsid w:val="00A771E6"/>
    <w:rsid w:val="00A77562"/>
    <w:rsid w:val="00A776B8"/>
    <w:rsid w:val="00A77788"/>
    <w:rsid w:val="00A800A5"/>
    <w:rsid w:val="00A8019D"/>
    <w:rsid w:val="00A80418"/>
    <w:rsid w:val="00A805DC"/>
    <w:rsid w:val="00A80E57"/>
    <w:rsid w:val="00A81EB6"/>
    <w:rsid w:val="00A81ED3"/>
    <w:rsid w:val="00A82329"/>
    <w:rsid w:val="00A82874"/>
    <w:rsid w:val="00A82A31"/>
    <w:rsid w:val="00A837FE"/>
    <w:rsid w:val="00A839BD"/>
    <w:rsid w:val="00A8414F"/>
    <w:rsid w:val="00A8496C"/>
    <w:rsid w:val="00A85357"/>
    <w:rsid w:val="00A86D14"/>
    <w:rsid w:val="00A902DD"/>
    <w:rsid w:val="00A9073E"/>
    <w:rsid w:val="00A91378"/>
    <w:rsid w:val="00A91617"/>
    <w:rsid w:val="00A91F8D"/>
    <w:rsid w:val="00A92399"/>
    <w:rsid w:val="00A92788"/>
    <w:rsid w:val="00A93371"/>
    <w:rsid w:val="00A93CE7"/>
    <w:rsid w:val="00A93FE2"/>
    <w:rsid w:val="00A9434B"/>
    <w:rsid w:val="00A958BD"/>
    <w:rsid w:val="00A958D2"/>
    <w:rsid w:val="00A967F1"/>
    <w:rsid w:val="00A96FA8"/>
    <w:rsid w:val="00A9770A"/>
    <w:rsid w:val="00AA05FC"/>
    <w:rsid w:val="00AA0737"/>
    <w:rsid w:val="00AA0A43"/>
    <w:rsid w:val="00AA0DD3"/>
    <w:rsid w:val="00AA0FB2"/>
    <w:rsid w:val="00AA1135"/>
    <w:rsid w:val="00AA11F4"/>
    <w:rsid w:val="00AA1C07"/>
    <w:rsid w:val="00AA2C73"/>
    <w:rsid w:val="00AA30C0"/>
    <w:rsid w:val="00AA3688"/>
    <w:rsid w:val="00AA3F09"/>
    <w:rsid w:val="00AA50D1"/>
    <w:rsid w:val="00AA5887"/>
    <w:rsid w:val="00AA643C"/>
    <w:rsid w:val="00AA6710"/>
    <w:rsid w:val="00AA7360"/>
    <w:rsid w:val="00AA78DB"/>
    <w:rsid w:val="00AB01A6"/>
    <w:rsid w:val="00AB0B6B"/>
    <w:rsid w:val="00AB0F49"/>
    <w:rsid w:val="00AB1676"/>
    <w:rsid w:val="00AB19F8"/>
    <w:rsid w:val="00AB268A"/>
    <w:rsid w:val="00AB2A61"/>
    <w:rsid w:val="00AB3A12"/>
    <w:rsid w:val="00AB5088"/>
    <w:rsid w:val="00AB5A8D"/>
    <w:rsid w:val="00AB5C0E"/>
    <w:rsid w:val="00AB6642"/>
    <w:rsid w:val="00AC0C35"/>
    <w:rsid w:val="00AC0FA7"/>
    <w:rsid w:val="00AC1497"/>
    <w:rsid w:val="00AC1581"/>
    <w:rsid w:val="00AC2890"/>
    <w:rsid w:val="00AC2EFE"/>
    <w:rsid w:val="00AC3930"/>
    <w:rsid w:val="00AC3AB1"/>
    <w:rsid w:val="00AC3FAE"/>
    <w:rsid w:val="00AC451C"/>
    <w:rsid w:val="00AC460F"/>
    <w:rsid w:val="00AC48EA"/>
    <w:rsid w:val="00AC4996"/>
    <w:rsid w:val="00AC500E"/>
    <w:rsid w:val="00AC5040"/>
    <w:rsid w:val="00AC51E5"/>
    <w:rsid w:val="00AC5B64"/>
    <w:rsid w:val="00AC609E"/>
    <w:rsid w:val="00AC6805"/>
    <w:rsid w:val="00AC68C6"/>
    <w:rsid w:val="00AC7406"/>
    <w:rsid w:val="00AC79C1"/>
    <w:rsid w:val="00AC7CA4"/>
    <w:rsid w:val="00AC7D17"/>
    <w:rsid w:val="00AC7E2D"/>
    <w:rsid w:val="00AD08BD"/>
    <w:rsid w:val="00AD0DD1"/>
    <w:rsid w:val="00AD0F85"/>
    <w:rsid w:val="00AD260B"/>
    <w:rsid w:val="00AD289F"/>
    <w:rsid w:val="00AD30B4"/>
    <w:rsid w:val="00AD3576"/>
    <w:rsid w:val="00AD3A5A"/>
    <w:rsid w:val="00AD3CDF"/>
    <w:rsid w:val="00AD493B"/>
    <w:rsid w:val="00AD4A64"/>
    <w:rsid w:val="00AD4C8A"/>
    <w:rsid w:val="00AD4D4E"/>
    <w:rsid w:val="00AD5112"/>
    <w:rsid w:val="00AD5457"/>
    <w:rsid w:val="00AD598F"/>
    <w:rsid w:val="00AD6610"/>
    <w:rsid w:val="00AD685A"/>
    <w:rsid w:val="00AD6932"/>
    <w:rsid w:val="00AD6D09"/>
    <w:rsid w:val="00AD7B9E"/>
    <w:rsid w:val="00AD7D0E"/>
    <w:rsid w:val="00AE07DA"/>
    <w:rsid w:val="00AE0912"/>
    <w:rsid w:val="00AE0922"/>
    <w:rsid w:val="00AE098E"/>
    <w:rsid w:val="00AE0BBA"/>
    <w:rsid w:val="00AE2291"/>
    <w:rsid w:val="00AE25C8"/>
    <w:rsid w:val="00AE313D"/>
    <w:rsid w:val="00AE3BF1"/>
    <w:rsid w:val="00AE4060"/>
    <w:rsid w:val="00AE4113"/>
    <w:rsid w:val="00AE4380"/>
    <w:rsid w:val="00AE4BF8"/>
    <w:rsid w:val="00AE4FAC"/>
    <w:rsid w:val="00AE52AC"/>
    <w:rsid w:val="00AE5525"/>
    <w:rsid w:val="00AE55C3"/>
    <w:rsid w:val="00AE5790"/>
    <w:rsid w:val="00AE5EED"/>
    <w:rsid w:val="00AE6381"/>
    <w:rsid w:val="00AE656F"/>
    <w:rsid w:val="00AE7193"/>
    <w:rsid w:val="00AE7B3F"/>
    <w:rsid w:val="00AE7D78"/>
    <w:rsid w:val="00AF0BB2"/>
    <w:rsid w:val="00AF1576"/>
    <w:rsid w:val="00AF16B7"/>
    <w:rsid w:val="00AF17B5"/>
    <w:rsid w:val="00AF1F9A"/>
    <w:rsid w:val="00AF210F"/>
    <w:rsid w:val="00AF2540"/>
    <w:rsid w:val="00AF26C2"/>
    <w:rsid w:val="00AF2C2B"/>
    <w:rsid w:val="00AF41F6"/>
    <w:rsid w:val="00AF42BA"/>
    <w:rsid w:val="00AF438E"/>
    <w:rsid w:val="00AF45CA"/>
    <w:rsid w:val="00AF4EE7"/>
    <w:rsid w:val="00AF5AEA"/>
    <w:rsid w:val="00AF5CEE"/>
    <w:rsid w:val="00AF643E"/>
    <w:rsid w:val="00AF6EFF"/>
    <w:rsid w:val="00AF7506"/>
    <w:rsid w:val="00B005ED"/>
    <w:rsid w:val="00B0079F"/>
    <w:rsid w:val="00B007DD"/>
    <w:rsid w:val="00B0098A"/>
    <w:rsid w:val="00B01016"/>
    <w:rsid w:val="00B011DC"/>
    <w:rsid w:val="00B0146E"/>
    <w:rsid w:val="00B02160"/>
    <w:rsid w:val="00B027CB"/>
    <w:rsid w:val="00B02B1B"/>
    <w:rsid w:val="00B02FC2"/>
    <w:rsid w:val="00B03240"/>
    <w:rsid w:val="00B0352B"/>
    <w:rsid w:val="00B054C6"/>
    <w:rsid w:val="00B05BD8"/>
    <w:rsid w:val="00B069DB"/>
    <w:rsid w:val="00B0712C"/>
    <w:rsid w:val="00B073E6"/>
    <w:rsid w:val="00B074F8"/>
    <w:rsid w:val="00B10184"/>
    <w:rsid w:val="00B10855"/>
    <w:rsid w:val="00B1197D"/>
    <w:rsid w:val="00B11A3D"/>
    <w:rsid w:val="00B11DE7"/>
    <w:rsid w:val="00B121B0"/>
    <w:rsid w:val="00B13B87"/>
    <w:rsid w:val="00B13E55"/>
    <w:rsid w:val="00B14052"/>
    <w:rsid w:val="00B14684"/>
    <w:rsid w:val="00B14AAD"/>
    <w:rsid w:val="00B14FED"/>
    <w:rsid w:val="00B15D68"/>
    <w:rsid w:val="00B16C9E"/>
    <w:rsid w:val="00B17077"/>
    <w:rsid w:val="00B17D68"/>
    <w:rsid w:val="00B17F23"/>
    <w:rsid w:val="00B17FAB"/>
    <w:rsid w:val="00B201D8"/>
    <w:rsid w:val="00B204D5"/>
    <w:rsid w:val="00B20A02"/>
    <w:rsid w:val="00B20B35"/>
    <w:rsid w:val="00B20E31"/>
    <w:rsid w:val="00B22C5F"/>
    <w:rsid w:val="00B230B7"/>
    <w:rsid w:val="00B23192"/>
    <w:rsid w:val="00B23687"/>
    <w:rsid w:val="00B237EC"/>
    <w:rsid w:val="00B23C69"/>
    <w:rsid w:val="00B24BF9"/>
    <w:rsid w:val="00B25710"/>
    <w:rsid w:val="00B25AF0"/>
    <w:rsid w:val="00B27B03"/>
    <w:rsid w:val="00B27E9F"/>
    <w:rsid w:val="00B307FF"/>
    <w:rsid w:val="00B30C8E"/>
    <w:rsid w:val="00B30CD4"/>
    <w:rsid w:val="00B31783"/>
    <w:rsid w:val="00B31B62"/>
    <w:rsid w:val="00B3208E"/>
    <w:rsid w:val="00B32723"/>
    <w:rsid w:val="00B32AC7"/>
    <w:rsid w:val="00B33711"/>
    <w:rsid w:val="00B33995"/>
    <w:rsid w:val="00B33F6F"/>
    <w:rsid w:val="00B346A5"/>
    <w:rsid w:val="00B34889"/>
    <w:rsid w:val="00B34D86"/>
    <w:rsid w:val="00B34E2B"/>
    <w:rsid w:val="00B35BCA"/>
    <w:rsid w:val="00B37550"/>
    <w:rsid w:val="00B402C6"/>
    <w:rsid w:val="00B4071D"/>
    <w:rsid w:val="00B4176C"/>
    <w:rsid w:val="00B41DC1"/>
    <w:rsid w:val="00B4214B"/>
    <w:rsid w:val="00B4229B"/>
    <w:rsid w:val="00B426D2"/>
    <w:rsid w:val="00B4295B"/>
    <w:rsid w:val="00B42CEB"/>
    <w:rsid w:val="00B42F69"/>
    <w:rsid w:val="00B43257"/>
    <w:rsid w:val="00B434AA"/>
    <w:rsid w:val="00B43633"/>
    <w:rsid w:val="00B43984"/>
    <w:rsid w:val="00B441DA"/>
    <w:rsid w:val="00B45A96"/>
    <w:rsid w:val="00B45C80"/>
    <w:rsid w:val="00B46062"/>
    <w:rsid w:val="00B46670"/>
    <w:rsid w:val="00B46DAC"/>
    <w:rsid w:val="00B46EC7"/>
    <w:rsid w:val="00B47461"/>
    <w:rsid w:val="00B47978"/>
    <w:rsid w:val="00B5034E"/>
    <w:rsid w:val="00B5068A"/>
    <w:rsid w:val="00B5080C"/>
    <w:rsid w:val="00B50A91"/>
    <w:rsid w:val="00B50CBC"/>
    <w:rsid w:val="00B5160B"/>
    <w:rsid w:val="00B51761"/>
    <w:rsid w:val="00B51871"/>
    <w:rsid w:val="00B51A9C"/>
    <w:rsid w:val="00B52022"/>
    <w:rsid w:val="00B52187"/>
    <w:rsid w:val="00B5273E"/>
    <w:rsid w:val="00B52800"/>
    <w:rsid w:val="00B538F4"/>
    <w:rsid w:val="00B53CA8"/>
    <w:rsid w:val="00B53D4E"/>
    <w:rsid w:val="00B54691"/>
    <w:rsid w:val="00B54C42"/>
    <w:rsid w:val="00B56FBE"/>
    <w:rsid w:val="00B57911"/>
    <w:rsid w:val="00B579A7"/>
    <w:rsid w:val="00B606BA"/>
    <w:rsid w:val="00B60A69"/>
    <w:rsid w:val="00B60CCD"/>
    <w:rsid w:val="00B6165D"/>
    <w:rsid w:val="00B626FE"/>
    <w:rsid w:val="00B62854"/>
    <w:rsid w:val="00B62911"/>
    <w:rsid w:val="00B62EF1"/>
    <w:rsid w:val="00B640CC"/>
    <w:rsid w:val="00B643C2"/>
    <w:rsid w:val="00B645B6"/>
    <w:rsid w:val="00B6485E"/>
    <w:rsid w:val="00B64B2F"/>
    <w:rsid w:val="00B650C1"/>
    <w:rsid w:val="00B652A2"/>
    <w:rsid w:val="00B65A05"/>
    <w:rsid w:val="00B667BF"/>
    <w:rsid w:val="00B667DC"/>
    <w:rsid w:val="00B674D6"/>
    <w:rsid w:val="00B6774F"/>
    <w:rsid w:val="00B6797D"/>
    <w:rsid w:val="00B7221A"/>
    <w:rsid w:val="00B72501"/>
    <w:rsid w:val="00B73337"/>
    <w:rsid w:val="00B73403"/>
    <w:rsid w:val="00B735B8"/>
    <w:rsid w:val="00B73826"/>
    <w:rsid w:val="00B73837"/>
    <w:rsid w:val="00B73AFE"/>
    <w:rsid w:val="00B74858"/>
    <w:rsid w:val="00B752EB"/>
    <w:rsid w:val="00B75386"/>
    <w:rsid w:val="00B7626D"/>
    <w:rsid w:val="00B762F7"/>
    <w:rsid w:val="00B7637F"/>
    <w:rsid w:val="00B764E7"/>
    <w:rsid w:val="00B7760C"/>
    <w:rsid w:val="00B778A1"/>
    <w:rsid w:val="00B77BE4"/>
    <w:rsid w:val="00B800C7"/>
    <w:rsid w:val="00B80254"/>
    <w:rsid w:val="00B812BE"/>
    <w:rsid w:val="00B813D5"/>
    <w:rsid w:val="00B81E87"/>
    <w:rsid w:val="00B81F48"/>
    <w:rsid w:val="00B8247C"/>
    <w:rsid w:val="00B8258D"/>
    <w:rsid w:val="00B825B4"/>
    <w:rsid w:val="00B82849"/>
    <w:rsid w:val="00B82A42"/>
    <w:rsid w:val="00B83370"/>
    <w:rsid w:val="00B83B3D"/>
    <w:rsid w:val="00B84E7E"/>
    <w:rsid w:val="00B8533E"/>
    <w:rsid w:val="00B860A3"/>
    <w:rsid w:val="00B86608"/>
    <w:rsid w:val="00B873C5"/>
    <w:rsid w:val="00B87847"/>
    <w:rsid w:val="00B90477"/>
    <w:rsid w:val="00B90622"/>
    <w:rsid w:val="00B90BED"/>
    <w:rsid w:val="00B90C5A"/>
    <w:rsid w:val="00B9200D"/>
    <w:rsid w:val="00B9235B"/>
    <w:rsid w:val="00B92A16"/>
    <w:rsid w:val="00B92AA5"/>
    <w:rsid w:val="00B93904"/>
    <w:rsid w:val="00B93C2C"/>
    <w:rsid w:val="00B93C50"/>
    <w:rsid w:val="00B947BE"/>
    <w:rsid w:val="00B949B8"/>
    <w:rsid w:val="00B955FE"/>
    <w:rsid w:val="00B95870"/>
    <w:rsid w:val="00B96744"/>
    <w:rsid w:val="00B96930"/>
    <w:rsid w:val="00B97402"/>
    <w:rsid w:val="00BA0B9F"/>
    <w:rsid w:val="00BA0C8A"/>
    <w:rsid w:val="00BA0D53"/>
    <w:rsid w:val="00BA3287"/>
    <w:rsid w:val="00BA38D8"/>
    <w:rsid w:val="00BA45E2"/>
    <w:rsid w:val="00BA4C8A"/>
    <w:rsid w:val="00BA5603"/>
    <w:rsid w:val="00BA5E6B"/>
    <w:rsid w:val="00BA6419"/>
    <w:rsid w:val="00BA6550"/>
    <w:rsid w:val="00BA7B9A"/>
    <w:rsid w:val="00BA7E83"/>
    <w:rsid w:val="00BB0161"/>
    <w:rsid w:val="00BB031D"/>
    <w:rsid w:val="00BB088B"/>
    <w:rsid w:val="00BB1A31"/>
    <w:rsid w:val="00BB29ED"/>
    <w:rsid w:val="00BB2D58"/>
    <w:rsid w:val="00BB3177"/>
    <w:rsid w:val="00BB3642"/>
    <w:rsid w:val="00BB3EAC"/>
    <w:rsid w:val="00BB43C9"/>
    <w:rsid w:val="00BB48F6"/>
    <w:rsid w:val="00BB4A3B"/>
    <w:rsid w:val="00BB59F6"/>
    <w:rsid w:val="00BB5CE7"/>
    <w:rsid w:val="00BB5EF0"/>
    <w:rsid w:val="00BB66AB"/>
    <w:rsid w:val="00BB6979"/>
    <w:rsid w:val="00BB7368"/>
    <w:rsid w:val="00BC0397"/>
    <w:rsid w:val="00BC0AD6"/>
    <w:rsid w:val="00BC0F46"/>
    <w:rsid w:val="00BC122E"/>
    <w:rsid w:val="00BC147E"/>
    <w:rsid w:val="00BC1B7A"/>
    <w:rsid w:val="00BC255E"/>
    <w:rsid w:val="00BC3584"/>
    <w:rsid w:val="00BC36E1"/>
    <w:rsid w:val="00BC3985"/>
    <w:rsid w:val="00BC4968"/>
    <w:rsid w:val="00BC5838"/>
    <w:rsid w:val="00BC690D"/>
    <w:rsid w:val="00BC6DC2"/>
    <w:rsid w:val="00BC79E0"/>
    <w:rsid w:val="00BC7F27"/>
    <w:rsid w:val="00BD17DE"/>
    <w:rsid w:val="00BD2AE1"/>
    <w:rsid w:val="00BD2FB6"/>
    <w:rsid w:val="00BD3124"/>
    <w:rsid w:val="00BD3698"/>
    <w:rsid w:val="00BD44A4"/>
    <w:rsid w:val="00BD501B"/>
    <w:rsid w:val="00BD56A0"/>
    <w:rsid w:val="00BE06CB"/>
    <w:rsid w:val="00BE127F"/>
    <w:rsid w:val="00BE4EA2"/>
    <w:rsid w:val="00BE4ED6"/>
    <w:rsid w:val="00BE50BE"/>
    <w:rsid w:val="00BE54F3"/>
    <w:rsid w:val="00BE5C7E"/>
    <w:rsid w:val="00BE5F67"/>
    <w:rsid w:val="00BE5F81"/>
    <w:rsid w:val="00BE6FB6"/>
    <w:rsid w:val="00BE732E"/>
    <w:rsid w:val="00BE7612"/>
    <w:rsid w:val="00BE7920"/>
    <w:rsid w:val="00BF0EF5"/>
    <w:rsid w:val="00BF13DB"/>
    <w:rsid w:val="00BF1634"/>
    <w:rsid w:val="00BF164E"/>
    <w:rsid w:val="00BF1906"/>
    <w:rsid w:val="00BF1E46"/>
    <w:rsid w:val="00BF2215"/>
    <w:rsid w:val="00BF2218"/>
    <w:rsid w:val="00BF255E"/>
    <w:rsid w:val="00BF2CD1"/>
    <w:rsid w:val="00BF3481"/>
    <w:rsid w:val="00BF3949"/>
    <w:rsid w:val="00BF3FC1"/>
    <w:rsid w:val="00BF4872"/>
    <w:rsid w:val="00BF4B6A"/>
    <w:rsid w:val="00BF5135"/>
    <w:rsid w:val="00BF549B"/>
    <w:rsid w:val="00BF5AE7"/>
    <w:rsid w:val="00BF5DC5"/>
    <w:rsid w:val="00BF6971"/>
    <w:rsid w:val="00BF71D6"/>
    <w:rsid w:val="00BF7519"/>
    <w:rsid w:val="00C00312"/>
    <w:rsid w:val="00C0063A"/>
    <w:rsid w:val="00C009F5"/>
    <w:rsid w:val="00C01129"/>
    <w:rsid w:val="00C01D36"/>
    <w:rsid w:val="00C02239"/>
    <w:rsid w:val="00C022E1"/>
    <w:rsid w:val="00C02A60"/>
    <w:rsid w:val="00C034E7"/>
    <w:rsid w:val="00C0398D"/>
    <w:rsid w:val="00C0419F"/>
    <w:rsid w:val="00C05011"/>
    <w:rsid w:val="00C05A58"/>
    <w:rsid w:val="00C05C3D"/>
    <w:rsid w:val="00C0712C"/>
    <w:rsid w:val="00C071AC"/>
    <w:rsid w:val="00C07AEC"/>
    <w:rsid w:val="00C07D06"/>
    <w:rsid w:val="00C07ED8"/>
    <w:rsid w:val="00C103A6"/>
    <w:rsid w:val="00C109A2"/>
    <w:rsid w:val="00C1115D"/>
    <w:rsid w:val="00C11E4C"/>
    <w:rsid w:val="00C126AF"/>
    <w:rsid w:val="00C12B1B"/>
    <w:rsid w:val="00C139F0"/>
    <w:rsid w:val="00C148B5"/>
    <w:rsid w:val="00C14954"/>
    <w:rsid w:val="00C16323"/>
    <w:rsid w:val="00C16A29"/>
    <w:rsid w:val="00C170EE"/>
    <w:rsid w:val="00C179B0"/>
    <w:rsid w:val="00C17E18"/>
    <w:rsid w:val="00C20245"/>
    <w:rsid w:val="00C205B3"/>
    <w:rsid w:val="00C20B2B"/>
    <w:rsid w:val="00C20CA6"/>
    <w:rsid w:val="00C20E44"/>
    <w:rsid w:val="00C21173"/>
    <w:rsid w:val="00C226F9"/>
    <w:rsid w:val="00C22B35"/>
    <w:rsid w:val="00C23398"/>
    <w:rsid w:val="00C23B23"/>
    <w:rsid w:val="00C2428B"/>
    <w:rsid w:val="00C2474C"/>
    <w:rsid w:val="00C24822"/>
    <w:rsid w:val="00C24E4B"/>
    <w:rsid w:val="00C24FC5"/>
    <w:rsid w:val="00C25147"/>
    <w:rsid w:val="00C26187"/>
    <w:rsid w:val="00C261B3"/>
    <w:rsid w:val="00C26A12"/>
    <w:rsid w:val="00C26C22"/>
    <w:rsid w:val="00C272B7"/>
    <w:rsid w:val="00C273FF"/>
    <w:rsid w:val="00C27A22"/>
    <w:rsid w:val="00C27B03"/>
    <w:rsid w:val="00C3029F"/>
    <w:rsid w:val="00C3089B"/>
    <w:rsid w:val="00C3167D"/>
    <w:rsid w:val="00C31E20"/>
    <w:rsid w:val="00C32052"/>
    <w:rsid w:val="00C320AF"/>
    <w:rsid w:val="00C326F7"/>
    <w:rsid w:val="00C32817"/>
    <w:rsid w:val="00C33DA5"/>
    <w:rsid w:val="00C34B40"/>
    <w:rsid w:val="00C34C33"/>
    <w:rsid w:val="00C35036"/>
    <w:rsid w:val="00C35836"/>
    <w:rsid w:val="00C35CF9"/>
    <w:rsid w:val="00C364A6"/>
    <w:rsid w:val="00C3706E"/>
    <w:rsid w:val="00C3711F"/>
    <w:rsid w:val="00C372A6"/>
    <w:rsid w:val="00C37A61"/>
    <w:rsid w:val="00C37E75"/>
    <w:rsid w:val="00C40F00"/>
    <w:rsid w:val="00C41022"/>
    <w:rsid w:val="00C41CD3"/>
    <w:rsid w:val="00C42343"/>
    <w:rsid w:val="00C43438"/>
    <w:rsid w:val="00C44264"/>
    <w:rsid w:val="00C44A48"/>
    <w:rsid w:val="00C44B5F"/>
    <w:rsid w:val="00C46251"/>
    <w:rsid w:val="00C462E0"/>
    <w:rsid w:val="00C46313"/>
    <w:rsid w:val="00C463D1"/>
    <w:rsid w:val="00C464DD"/>
    <w:rsid w:val="00C47043"/>
    <w:rsid w:val="00C4790F"/>
    <w:rsid w:val="00C47EAF"/>
    <w:rsid w:val="00C47FC0"/>
    <w:rsid w:val="00C5189F"/>
    <w:rsid w:val="00C51E5A"/>
    <w:rsid w:val="00C51FE0"/>
    <w:rsid w:val="00C52067"/>
    <w:rsid w:val="00C528CC"/>
    <w:rsid w:val="00C52DC9"/>
    <w:rsid w:val="00C53ABD"/>
    <w:rsid w:val="00C53AC6"/>
    <w:rsid w:val="00C53AD3"/>
    <w:rsid w:val="00C53C94"/>
    <w:rsid w:val="00C53D3A"/>
    <w:rsid w:val="00C53DC5"/>
    <w:rsid w:val="00C541F1"/>
    <w:rsid w:val="00C551F0"/>
    <w:rsid w:val="00C55840"/>
    <w:rsid w:val="00C55AEB"/>
    <w:rsid w:val="00C563BA"/>
    <w:rsid w:val="00C57138"/>
    <w:rsid w:val="00C57741"/>
    <w:rsid w:val="00C57885"/>
    <w:rsid w:val="00C6074F"/>
    <w:rsid w:val="00C60D57"/>
    <w:rsid w:val="00C6154A"/>
    <w:rsid w:val="00C61913"/>
    <w:rsid w:val="00C62568"/>
    <w:rsid w:val="00C62C5E"/>
    <w:rsid w:val="00C63E23"/>
    <w:rsid w:val="00C64143"/>
    <w:rsid w:val="00C6434D"/>
    <w:rsid w:val="00C652E5"/>
    <w:rsid w:val="00C65370"/>
    <w:rsid w:val="00C6540D"/>
    <w:rsid w:val="00C671D1"/>
    <w:rsid w:val="00C67446"/>
    <w:rsid w:val="00C700B2"/>
    <w:rsid w:val="00C703F5"/>
    <w:rsid w:val="00C70962"/>
    <w:rsid w:val="00C70B4F"/>
    <w:rsid w:val="00C70EA8"/>
    <w:rsid w:val="00C7120B"/>
    <w:rsid w:val="00C71674"/>
    <w:rsid w:val="00C717C9"/>
    <w:rsid w:val="00C71987"/>
    <w:rsid w:val="00C71BE7"/>
    <w:rsid w:val="00C72860"/>
    <w:rsid w:val="00C73579"/>
    <w:rsid w:val="00C735FB"/>
    <w:rsid w:val="00C7404C"/>
    <w:rsid w:val="00C751D8"/>
    <w:rsid w:val="00C7538A"/>
    <w:rsid w:val="00C76406"/>
    <w:rsid w:val="00C7697F"/>
    <w:rsid w:val="00C80E92"/>
    <w:rsid w:val="00C8136C"/>
    <w:rsid w:val="00C81C06"/>
    <w:rsid w:val="00C82B00"/>
    <w:rsid w:val="00C82FAC"/>
    <w:rsid w:val="00C82FFA"/>
    <w:rsid w:val="00C83E6A"/>
    <w:rsid w:val="00C84A1B"/>
    <w:rsid w:val="00C85521"/>
    <w:rsid w:val="00C856C0"/>
    <w:rsid w:val="00C85D79"/>
    <w:rsid w:val="00C85E1C"/>
    <w:rsid w:val="00C863EE"/>
    <w:rsid w:val="00C86A7A"/>
    <w:rsid w:val="00C872FA"/>
    <w:rsid w:val="00C87764"/>
    <w:rsid w:val="00C90181"/>
    <w:rsid w:val="00C9052A"/>
    <w:rsid w:val="00C90A48"/>
    <w:rsid w:val="00C90ADC"/>
    <w:rsid w:val="00C910B4"/>
    <w:rsid w:val="00C910E6"/>
    <w:rsid w:val="00C92137"/>
    <w:rsid w:val="00C92226"/>
    <w:rsid w:val="00C92646"/>
    <w:rsid w:val="00C9271F"/>
    <w:rsid w:val="00C92AB7"/>
    <w:rsid w:val="00C92FC0"/>
    <w:rsid w:val="00C9316A"/>
    <w:rsid w:val="00C93B5E"/>
    <w:rsid w:val="00C94733"/>
    <w:rsid w:val="00C94A00"/>
    <w:rsid w:val="00C94E58"/>
    <w:rsid w:val="00C9549A"/>
    <w:rsid w:val="00C957ED"/>
    <w:rsid w:val="00C95D8D"/>
    <w:rsid w:val="00C9615C"/>
    <w:rsid w:val="00C97C7F"/>
    <w:rsid w:val="00CA1297"/>
    <w:rsid w:val="00CA18C6"/>
    <w:rsid w:val="00CA2283"/>
    <w:rsid w:val="00CA250B"/>
    <w:rsid w:val="00CA2AEF"/>
    <w:rsid w:val="00CA325F"/>
    <w:rsid w:val="00CA33B8"/>
    <w:rsid w:val="00CA36C3"/>
    <w:rsid w:val="00CA42FE"/>
    <w:rsid w:val="00CA5928"/>
    <w:rsid w:val="00CA59AD"/>
    <w:rsid w:val="00CA68BF"/>
    <w:rsid w:val="00CA6FCF"/>
    <w:rsid w:val="00CB0233"/>
    <w:rsid w:val="00CB14B2"/>
    <w:rsid w:val="00CB1582"/>
    <w:rsid w:val="00CB1DC8"/>
    <w:rsid w:val="00CB202E"/>
    <w:rsid w:val="00CB22B7"/>
    <w:rsid w:val="00CB31DA"/>
    <w:rsid w:val="00CB3349"/>
    <w:rsid w:val="00CB3A9F"/>
    <w:rsid w:val="00CB3BC2"/>
    <w:rsid w:val="00CB43D9"/>
    <w:rsid w:val="00CB4AF1"/>
    <w:rsid w:val="00CB5032"/>
    <w:rsid w:val="00CB56B0"/>
    <w:rsid w:val="00CB5722"/>
    <w:rsid w:val="00CB5CF2"/>
    <w:rsid w:val="00CB5EDF"/>
    <w:rsid w:val="00CB7200"/>
    <w:rsid w:val="00CB7388"/>
    <w:rsid w:val="00CB7C1F"/>
    <w:rsid w:val="00CB7DF6"/>
    <w:rsid w:val="00CC0042"/>
    <w:rsid w:val="00CC02F8"/>
    <w:rsid w:val="00CC273E"/>
    <w:rsid w:val="00CC303F"/>
    <w:rsid w:val="00CC3081"/>
    <w:rsid w:val="00CC31E0"/>
    <w:rsid w:val="00CC3C96"/>
    <w:rsid w:val="00CC3C99"/>
    <w:rsid w:val="00CC3CA0"/>
    <w:rsid w:val="00CC6CDD"/>
    <w:rsid w:val="00CC7E19"/>
    <w:rsid w:val="00CD077C"/>
    <w:rsid w:val="00CD08B9"/>
    <w:rsid w:val="00CD099C"/>
    <w:rsid w:val="00CD1ADE"/>
    <w:rsid w:val="00CD28B4"/>
    <w:rsid w:val="00CD2B6C"/>
    <w:rsid w:val="00CD342A"/>
    <w:rsid w:val="00CD3940"/>
    <w:rsid w:val="00CD457A"/>
    <w:rsid w:val="00CD5A5F"/>
    <w:rsid w:val="00CD7379"/>
    <w:rsid w:val="00CE011E"/>
    <w:rsid w:val="00CE0214"/>
    <w:rsid w:val="00CE0696"/>
    <w:rsid w:val="00CE08B8"/>
    <w:rsid w:val="00CE0BF5"/>
    <w:rsid w:val="00CE2BDC"/>
    <w:rsid w:val="00CE2CC6"/>
    <w:rsid w:val="00CE440A"/>
    <w:rsid w:val="00CE5408"/>
    <w:rsid w:val="00CE6230"/>
    <w:rsid w:val="00CE663E"/>
    <w:rsid w:val="00CE6A0B"/>
    <w:rsid w:val="00CE6B6D"/>
    <w:rsid w:val="00CF0950"/>
    <w:rsid w:val="00CF1B8C"/>
    <w:rsid w:val="00CF24E1"/>
    <w:rsid w:val="00CF29BA"/>
    <w:rsid w:val="00CF29DC"/>
    <w:rsid w:val="00CF3419"/>
    <w:rsid w:val="00CF36B3"/>
    <w:rsid w:val="00CF3B07"/>
    <w:rsid w:val="00CF4B67"/>
    <w:rsid w:val="00CF4C13"/>
    <w:rsid w:val="00CF5F12"/>
    <w:rsid w:val="00CF6231"/>
    <w:rsid w:val="00CF62E0"/>
    <w:rsid w:val="00CF6384"/>
    <w:rsid w:val="00CF6902"/>
    <w:rsid w:val="00CF6D2B"/>
    <w:rsid w:val="00CF6F34"/>
    <w:rsid w:val="00D00ABA"/>
    <w:rsid w:val="00D010E3"/>
    <w:rsid w:val="00D02336"/>
    <w:rsid w:val="00D02408"/>
    <w:rsid w:val="00D02A82"/>
    <w:rsid w:val="00D02C5D"/>
    <w:rsid w:val="00D02E6C"/>
    <w:rsid w:val="00D03063"/>
    <w:rsid w:val="00D0310A"/>
    <w:rsid w:val="00D03B3A"/>
    <w:rsid w:val="00D04912"/>
    <w:rsid w:val="00D05761"/>
    <w:rsid w:val="00D0598B"/>
    <w:rsid w:val="00D06E88"/>
    <w:rsid w:val="00D07C46"/>
    <w:rsid w:val="00D10AD5"/>
    <w:rsid w:val="00D11606"/>
    <w:rsid w:val="00D11F90"/>
    <w:rsid w:val="00D12444"/>
    <w:rsid w:val="00D1307B"/>
    <w:rsid w:val="00D132E9"/>
    <w:rsid w:val="00D13527"/>
    <w:rsid w:val="00D13EED"/>
    <w:rsid w:val="00D159E6"/>
    <w:rsid w:val="00D15A54"/>
    <w:rsid w:val="00D15D24"/>
    <w:rsid w:val="00D15E4E"/>
    <w:rsid w:val="00D15F22"/>
    <w:rsid w:val="00D1654C"/>
    <w:rsid w:val="00D17601"/>
    <w:rsid w:val="00D2027C"/>
    <w:rsid w:val="00D20D6E"/>
    <w:rsid w:val="00D20D94"/>
    <w:rsid w:val="00D21300"/>
    <w:rsid w:val="00D21346"/>
    <w:rsid w:val="00D2194C"/>
    <w:rsid w:val="00D22F7B"/>
    <w:rsid w:val="00D230DC"/>
    <w:rsid w:val="00D23748"/>
    <w:rsid w:val="00D23BF6"/>
    <w:rsid w:val="00D252B3"/>
    <w:rsid w:val="00D25601"/>
    <w:rsid w:val="00D260F2"/>
    <w:rsid w:val="00D26541"/>
    <w:rsid w:val="00D26674"/>
    <w:rsid w:val="00D26C9A"/>
    <w:rsid w:val="00D26E21"/>
    <w:rsid w:val="00D26E8E"/>
    <w:rsid w:val="00D26FB4"/>
    <w:rsid w:val="00D301B9"/>
    <w:rsid w:val="00D301DA"/>
    <w:rsid w:val="00D303E8"/>
    <w:rsid w:val="00D31BA6"/>
    <w:rsid w:val="00D31F5F"/>
    <w:rsid w:val="00D320DE"/>
    <w:rsid w:val="00D32561"/>
    <w:rsid w:val="00D32803"/>
    <w:rsid w:val="00D335E1"/>
    <w:rsid w:val="00D33E0F"/>
    <w:rsid w:val="00D348B8"/>
    <w:rsid w:val="00D34CB1"/>
    <w:rsid w:val="00D3545E"/>
    <w:rsid w:val="00D35EEB"/>
    <w:rsid w:val="00D35FEA"/>
    <w:rsid w:val="00D3605F"/>
    <w:rsid w:val="00D366E4"/>
    <w:rsid w:val="00D36B2C"/>
    <w:rsid w:val="00D3770B"/>
    <w:rsid w:val="00D37AF4"/>
    <w:rsid w:val="00D41939"/>
    <w:rsid w:val="00D41DC9"/>
    <w:rsid w:val="00D423AC"/>
    <w:rsid w:val="00D42F87"/>
    <w:rsid w:val="00D4329D"/>
    <w:rsid w:val="00D43475"/>
    <w:rsid w:val="00D43AE0"/>
    <w:rsid w:val="00D446A0"/>
    <w:rsid w:val="00D44B15"/>
    <w:rsid w:val="00D44DC6"/>
    <w:rsid w:val="00D45D99"/>
    <w:rsid w:val="00D46A1E"/>
    <w:rsid w:val="00D46B3E"/>
    <w:rsid w:val="00D476EA"/>
    <w:rsid w:val="00D477CF"/>
    <w:rsid w:val="00D47B96"/>
    <w:rsid w:val="00D50048"/>
    <w:rsid w:val="00D5085D"/>
    <w:rsid w:val="00D50CAF"/>
    <w:rsid w:val="00D50E96"/>
    <w:rsid w:val="00D514E5"/>
    <w:rsid w:val="00D52C8E"/>
    <w:rsid w:val="00D53487"/>
    <w:rsid w:val="00D53589"/>
    <w:rsid w:val="00D539D5"/>
    <w:rsid w:val="00D53B4A"/>
    <w:rsid w:val="00D53C3D"/>
    <w:rsid w:val="00D53E8C"/>
    <w:rsid w:val="00D54454"/>
    <w:rsid w:val="00D544D5"/>
    <w:rsid w:val="00D54BE2"/>
    <w:rsid w:val="00D56FF2"/>
    <w:rsid w:val="00D573C2"/>
    <w:rsid w:val="00D57897"/>
    <w:rsid w:val="00D602DE"/>
    <w:rsid w:val="00D6096A"/>
    <w:rsid w:val="00D60ABE"/>
    <w:rsid w:val="00D60CE5"/>
    <w:rsid w:val="00D61811"/>
    <w:rsid w:val="00D61B0B"/>
    <w:rsid w:val="00D636D7"/>
    <w:rsid w:val="00D63F9F"/>
    <w:rsid w:val="00D645D3"/>
    <w:rsid w:val="00D646D3"/>
    <w:rsid w:val="00D64FA6"/>
    <w:rsid w:val="00D6557C"/>
    <w:rsid w:val="00D66020"/>
    <w:rsid w:val="00D6614A"/>
    <w:rsid w:val="00D662F2"/>
    <w:rsid w:val="00D66319"/>
    <w:rsid w:val="00D665F1"/>
    <w:rsid w:val="00D6711E"/>
    <w:rsid w:val="00D6740A"/>
    <w:rsid w:val="00D7153D"/>
    <w:rsid w:val="00D71F29"/>
    <w:rsid w:val="00D72680"/>
    <w:rsid w:val="00D73204"/>
    <w:rsid w:val="00D73952"/>
    <w:rsid w:val="00D73B08"/>
    <w:rsid w:val="00D74F16"/>
    <w:rsid w:val="00D75127"/>
    <w:rsid w:val="00D75FB7"/>
    <w:rsid w:val="00D764AB"/>
    <w:rsid w:val="00D76690"/>
    <w:rsid w:val="00D80127"/>
    <w:rsid w:val="00D8025C"/>
    <w:rsid w:val="00D804E2"/>
    <w:rsid w:val="00D805D1"/>
    <w:rsid w:val="00D8081D"/>
    <w:rsid w:val="00D81FB3"/>
    <w:rsid w:val="00D820CE"/>
    <w:rsid w:val="00D825D8"/>
    <w:rsid w:val="00D82FD7"/>
    <w:rsid w:val="00D83515"/>
    <w:rsid w:val="00D83DB3"/>
    <w:rsid w:val="00D84172"/>
    <w:rsid w:val="00D84FA6"/>
    <w:rsid w:val="00D85178"/>
    <w:rsid w:val="00D85C5F"/>
    <w:rsid w:val="00D85ECC"/>
    <w:rsid w:val="00D864C7"/>
    <w:rsid w:val="00D86557"/>
    <w:rsid w:val="00D86C23"/>
    <w:rsid w:val="00D86EB7"/>
    <w:rsid w:val="00D87898"/>
    <w:rsid w:val="00D879BF"/>
    <w:rsid w:val="00D87A84"/>
    <w:rsid w:val="00D90065"/>
    <w:rsid w:val="00D9146E"/>
    <w:rsid w:val="00D91E9F"/>
    <w:rsid w:val="00D920DF"/>
    <w:rsid w:val="00D920E7"/>
    <w:rsid w:val="00D9280D"/>
    <w:rsid w:val="00D92B5E"/>
    <w:rsid w:val="00D93388"/>
    <w:rsid w:val="00D9338B"/>
    <w:rsid w:val="00D9359E"/>
    <w:rsid w:val="00D93976"/>
    <w:rsid w:val="00D93CFF"/>
    <w:rsid w:val="00D9433B"/>
    <w:rsid w:val="00D946CA"/>
    <w:rsid w:val="00D952FC"/>
    <w:rsid w:val="00D95457"/>
    <w:rsid w:val="00D95701"/>
    <w:rsid w:val="00D96378"/>
    <w:rsid w:val="00D975BD"/>
    <w:rsid w:val="00D977F0"/>
    <w:rsid w:val="00D97A7B"/>
    <w:rsid w:val="00D97E80"/>
    <w:rsid w:val="00DA0789"/>
    <w:rsid w:val="00DA0F13"/>
    <w:rsid w:val="00DA1259"/>
    <w:rsid w:val="00DA12BA"/>
    <w:rsid w:val="00DA1464"/>
    <w:rsid w:val="00DA171F"/>
    <w:rsid w:val="00DA1AAD"/>
    <w:rsid w:val="00DA1E08"/>
    <w:rsid w:val="00DA21B9"/>
    <w:rsid w:val="00DA412E"/>
    <w:rsid w:val="00DA4395"/>
    <w:rsid w:val="00DA470C"/>
    <w:rsid w:val="00DA4A52"/>
    <w:rsid w:val="00DA4FBC"/>
    <w:rsid w:val="00DA5051"/>
    <w:rsid w:val="00DA50BB"/>
    <w:rsid w:val="00DA5336"/>
    <w:rsid w:val="00DA5CE4"/>
    <w:rsid w:val="00DA5EA7"/>
    <w:rsid w:val="00DA7457"/>
    <w:rsid w:val="00DA7CC9"/>
    <w:rsid w:val="00DA7DE4"/>
    <w:rsid w:val="00DB0352"/>
    <w:rsid w:val="00DB0661"/>
    <w:rsid w:val="00DB0868"/>
    <w:rsid w:val="00DB1083"/>
    <w:rsid w:val="00DB1B52"/>
    <w:rsid w:val="00DB1C44"/>
    <w:rsid w:val="00DB2995"/>
    <w:rsid w:val="00DB2D32"/>
    <w:rsid w:val="00DB2ED0"/>
    <w:rsid w:val="00DB305E"/>
    <w:rsid w:val="00DB38F0"/>
    <w:rsid w:val="00DB3D6D"/>
    <w:rsid w:val="00DB3EE8"/>
    <w:rsid w:val="00DB4701"/>
    <w:rsid w:val="00DB4E76"/>
    <w:rsid w:val="00DB5025"/>
    <w:rsid w:val="00DB513A"/>
    <w:rsid w:val="00DB59C0"/>
    <w:rsid w:val="00DB6B46"/>
    <w:rsid w:val="00DB79A6"/>
    <w:rsid w:val="00DC0146"/>
    <w:rsid w:val="00DC03EE"/>
    <w:rsid w:val="00DC1E3D"/>
    <w:rsid w:val="00DC1ECF"/>
    <w:rsid w:val="00DC31C5"/>
    <w:rsid w:val="00DC36B8"/>
    <w:rsid w:val="00DC3871"/>
    <w:rsid w:val="00DC3D11"/>
    <w:rsid w:val="00DC41A3"/>
    <w:rsid w:val="00DC4411"/>
    <w:rsid w:val="00DC482C"/>
    <w:rsid w:val="00DC4DA7"/>
    <w:rsid w:val="00DC53F2"/>
    <w:rsid w:val="00DC559D"/>
    <w:rsid w:val="00DC6302"/>
    <w:rsid w:val="00DC68F2"/>
    <w:rsid w:val="00DC6B01"/>
    <w:rsid w:val="00DC72B5"/>
    <w:rsid w:val="00DC7500"/>
    <w:rsid w:val="00DC752A"/>
    <w:rsid w:val="00DC7797"/>
    <w:rsid w:val="00DC7E53"/>
    <w:rsid w:val="00DD078A"/>
    <w:rsid w:val="00DD0F22"/>
    <w:rsid w:val="00DD10BB"/>
    <w:rsid w:val="00DD1737"/>
    <w:rsid w:val="00DD18FF"/>
    <w:rsid w:val="00DD1A8C"/>
    <w:rsid w:val="00DD1C25"/>
    <w:rsid w:val="00DD34E1"/>
    <w:rsid w:val="00DD3DD1"/>
    <w:rsid w:val="00DD45E7"/>
    <w:rsid w:val="00DD47EF"/>
    <w:rsid w:val="00DD6503"/>
    <w:rsid w:val="00DD6B09"/>
    <w:rsid w:val="00DD6F1A"/>
    <w:rsid w:val="00DD71F6"/>
    <w:rsid w:val="00DD7206"/>
    <w:rsid w:val="00DD7667"/>
    <w:rsid w:val="00DD777C"/>
    <w:rsid w:val="00DE08FE"/>
    <w:rsid w:val="00DE0D2F"/>
    <w:rsid w:val="00DE0D75"/>
    <w:rsid w:val="00DE0DA2"/>
    <w:rsid w:val="00DE1345"/>
    <w:rsid w:val="00DE19EB"/>
    <w:rsid w:val="00DE21FA"/>
    <w:rsid w:val="00DE224A"/>
    <w:rsid w:val="00DE366C"/>
    <w:rsid w:val="00DE3B79"/>
    <w:rsid w:val="00DE3F7F"/>
    <w:rsid w:val="00DE4555"/>
    <w:rsid w:val="00DE5019"/>
    <w:rsid w:val="00DE5B0F"/>
    <w:rsid w:val="00DE5E6A"/>
    <w:rsid w:val="00DE6222"/>
    <w:rsid w:val="00DE6456"/>
    <w:rsid w:val="00DE672D"/>
    <w:rsid w:val="00DE6F3E"/>
    <w:rsid w:val="00DF0032"/>
    <w:rsid w:val="00DF0A90"/>
    <w:rsid w:val="00DF0FE3"/>
    <w:rsid w:val="00DF1521"/>
    <w:rsid w:val="00DF2CB1"/>
    <w:rsid w:val="00DF3043"/>
    <w:rsid w:val="00DF36A9"/>
    <w:rsid w:val="00DF4063"/>
    <w:rsid w:val="00DF490C"/>
    <w:rsid w:val="00DF4A01"/>
    <w:rsid w:val="00DF4B3E"/>
    <w:rsid w:val="00DF69F9"/>
    <w:rsid w:val="00DF705B"/>
    <w:rsid w:val="00DF7382"/>
    <w:rsid w:val="00DF7D4E"/>
    <w:rsid w:val="00E013CC"/>
    <w:rsid w:val="00E01942"/>
    <w:rsid w:val="00E02579"/>
    <w:rsid w:val="00E02680"/>
    <w:rsid w:val="00E02B33"/>
    <w:rsid w:val="00E02B50"/>
    <w:rsid w:val="00E03F7C"/>
    <w:rsid w:val="00E03F92"/>
    <w:rsid w:val="00E044D1"/>
    <w:rsid w:val="00E04507"/>
    <w:rsid w:val="00E04B3F"/>
    <w:rsid w:val="00E0528D"/>
    <w:rsid w:val="00E05751"/>
    <w:rsid w:val="00E060C1"/>
    <w:rsid w:val="00E061EC"/>
    <w:rsid w:val="00E06B1E"/>
    <w:rsid w:val="00E06E03"/>
    <w:rsid w:val="00E07787"/>
    <w:rsid w:val="00E07A0D"/>
    <w:rsid w:val="00E106CE"/>
    <w:rsid w:val="00E1070F"/>
    <w:rsid w:val="00E10AAF"/>
    <w:rsid w:val="00E10C46"/>
    <w:rsid w:val="00E11155"/>
    <w:rsid w:val="00E11555"/>
    <w:rsid w:val="00E12388"/>
    <w:rsid w:val="00E1284A"/>
    <w:rsid w:val="00E13510"/>
    <w:rsid w:val="00E147D5"/>
    <w:rsid w:val="00E14AB0"/>
    <w:rsid w:val="00E14C0E"/>
    <w:rsid w:val="00E151E4"/>
    <w:rsid w:val="00E154D0"/>
    <w:rsid w:val="00E15BFF"/>
    <w:rsid w:val="00E15E52"/>
    <w:rsid w:val="00E16642"/>
    <w:rsid w:val="00E168BA"/>
    <w:rsid w:val="00E1787C"/>
    <w:rsid w:val="00E2093E"/>
    <w:rsid w:val="00E22220"/>
    <w:rsid w:val="00E2249E"/>
    <w:rsid w:val="00E2255D"/>
    <w:rsid w:val="00E22B76"/>
    <w:rsid w:val="00E233BF"/>
    <w:rsid w:val="00E234F1"/>
    <w:rsid w:val="00E23D22"/>
    <w:rsid w:val="00E241ED"/>
    <w:rsid w:val="00E24C94"/>
    <w:rsid w:val="00E24E3A"/>
    <w:rsid w:val="00E258AB"/>
    <w:rsid w:val="00E25AF8"/>
    <w:rsid w:val="00E25E32"/>
    <w:rsid w:val="00E2657C"/>
    <w:rsid w:val="00E26C55"/>
    <w:rsid w:val="00E26F6C"/>
    <w:rsid w:val="00E302C7"/>
    <w:rsid w:val="00E308AD"/>
    <w:rsid w:val="00E3192D"/>
    <w:rsid w:val="00E31BD0"/>
    <w:rsid w:val="00E3238A"/>
    <w:rsid w:val="00E32A92"/>
    <w:rsid w:val="00E32C70"/>
    <w:rsid w:val="00E34476"/>
    <w:rsid w:val="00E346F6"/>
    <w:rsid w:val="00E34CA3"/>
    <w:rsid w:val="00E35070"/>
    <w:rsid w:val="00E35753"/>
    <w:rsid w:val="00E359A0"/>
    <w:rsid w:val="00E35C4A"/>
    <w:rsid w:val="00E3647B"/>
    <w:rsid w:val="00E36CB4"/>
    <w:rsid w:val="00E37060"/>
    <w:rsid w:val="00E3756C"/>
    <w:rsid w:val="00E37940"/>
    <w:rsid w:val="00E37A0F"/>
    <w:rsid w:val="00E37DA6"/>
    <w:rsid w:val="00E37FE3"/>
    <w:rsid w:val="00E4029E"/>
    <w:rsid w:val="00E40EB7"/>
    <w:rsid w:val="00E418C6"/>
    <w:rsid w:val="00E41A0E"/>
    <w:rsid w:val="00E422B3"/>
    <w:rsid w:val="00E42457"/>
    <w:rsid w:val="00E43AAA"/>
    <w:rsid w:val="00E4498F"/>
    <w:rsid w:val="00E44C62"/>
    <w:rsid w:val="00E45005"/>
    <w:rsid w:val="00E452D9"/>
    <w:rsid w:val="00E45ABE"/>
    <w:rsid w:val="00E45B5C"/>
    <w:rsid w:val="00E46BFB"/>
    <w:rsid w:val="00E46E9D"/>
    <w:rsid w:val="00E5097C"/>
    <w:rsid w:val="00E51FB8"/>
    <w:rsid w:val="00E5264E"/>
    <w:rsid w:val="00E5387C"/>
    <w:rsid w:val="00E54A01"/>
    <w:rsid w:val="00E54EF2"/>
    <w:rsid w:val="00E556B2"/>
    <w:rsid w:val="00E57BDB"/>
    <w:rsid w:val="00E57D75"/>
    <w:rsid w:val="00E57F93"/>
    <w:rsid w:val="00E60728"/>
    <w:rsid w:val="00E60DC5"/>
    <w:rsid w:val="00E60F54"/>
    <w:rsid w:val="00E6104B"/>
    <w:rsid w:val="00E61F45"/>
    <w:rsid w:val="00E63559"/>
    <w:rsid w:val="00E64470"/>
    <w:rsid w:val="00E64655"/>
    <w:rsid w:val="00E64A7C"/>
    <w:rsid w:val="00E64B12"/>
    <w:rsid w:val="00E659EC"/>
    <w:rsid w:val="00E6692A"/>
    <w:rsid w:val="00E66C1C"/>
    <w:rsid w:val="00E67180"/>
    <w:rsid w:val="00E676E2"/>
    <w:rsid w:val="00E67FE3"/>
    <w:rsid w:val="00E70BD7"/>
    <w:rsid w:val="00E713B5"/>
    <w:rsid w:val="00E71DD8"/>
    <w:rsid w:val="00E71FF2"/>
    <w:rsid w:val="00E72C23"/>
    <w:rsid w:val="00E74CCF"/>
    <w:rsid w:val="00E74FA5"/>
    <w:rsid w:val="00E756A8"/>
    <w:rsid w:val="00E75C22"/>
    <w:rsid w:val="00E75E90"/>
    <w:rsid w:val="00E76032"/>
    <w:rsid w:val="00E760D7"/>
    <w:rsid w:val="00E768F2"/>
    <w:rsid w:val="00E76D61"/>
    <w:rsid w:val="00E775B3"/>
    <w:rsid w:val="00E77E9E"/>
    <w:rsid w:val="00E800E1"/>
    <w:rsid w:val="00E8011F"/>
    <w:rsid w:val="00E801D0"/>
    <w:rsid w:val="00E80A55"/>
    <w:rsid w:val="00E810A7"/>
    <w:rsid w:val="00E811A1"/>
    <w:rsid w:val="00E811EC"/>
    <w:rsid w:val="00E81CA1"/>
    <w:rsid w:val="00E81DED"/>
    <w:rsid w:val="00E82316"/>
    <w:rsid w:val="00E825B3"/>
    <w:rsid w:val="00E835C1"/>
    <w:rsid w:val="00E849DE"/>
    <w:rsid w:val="00E85948"/>
    <w:rsid w:val="00E86536"/>
    <w:rsid w:val="00E86F0B"/>
    <w:rsid w:val="00E903BA"/>
    <w:rsid w:val="00E9109E"/>
    <w:rsid w:val="00E9167E"/>
    <w:rsid w:val="00E91844"/>
    <w:rsid w:val="00E91D97"/>
    <w:rsid w:val="00E922A4"/>
    <w:rsid w:val="00E925CE"/>
    <w:rsid w:val="00E93F3F"/>
    <w:rsid w:val="00E96D71"/>
    <w:rsid w:val="00E9700B"/>
    <w:rsid w:val="00E97295"/>
    <w:rsid w:val="00E97341"/>
    <w:rsid w:val="00E97690"/>
    <w:rsid w:val="00EA0139"/>
    <w:rsid w:val="00EA01E8"/>
    <w:rsid w:val="00EA05D9"/>
    <w:rsid w:val="00EA08A4"/>
    <w:rsid w:val="00EA1104"/>
    <w:rsid w:val="00EA128F"/>
    <w:rsid w:val="00EA2B11"/>
    <w:rsid w:val="00EA3171"/>
    <w:rsid w:val="00EA3660"/>
    <w:rsid w:val="00EA368F"/>
    <w:rsid w:val="00EA4A1B"/>
    <w:rsid w:val="00EA5257"/>
    <w:rsid w:val="00EA528D"/>
    <w:rsid w:val="00EA59B6"/>
    <w:rsid w:val="00EA5C7F"/>
    <w:rsid w:val="00EA7415"/>
    <w:rsid w:val="00EB0433"/>
    <w:rsid w:val="00EB0C84"/>
    <w:rsid w:val="00EB148B"/>
    <w:rsid w:val="00EB151A"/>
    <w:rsid w:val="00EB1B8B"/>
    <w:rsid w:val="00EB2FAB"/>
    <w:rsid w:val="00EB33C3"/>
    <w:rsid w:val="00EB3A61"/>
    <w:rsid w:val="00EB3C54"/>
    <w:rsid w:val="00EB4951"/>
    <w:rsid w:val="00EB4E46"/>
    <w:rsid w:val="00EB551F"/>
    <w:rsid w:val="00EB5841"/>
    <w:rsid w:val="00EB595B"/>
    <w:rsid w:val="00EB5EC6"/>
    <w:rsid w:val="00EB6719"/>
    <w:rsid w:val="00EB6E8F"/>
    <w:rsid w:val="00EB7E5B"/>
    <w:rsid w:val="00EC098E"/>
    <w:rsid w:val="00EC0BCB"/>
    <w:rsid w:val="00EC0E71"/>
    <w:rsid w:val="00EC0E9E"/>
    <w:rsid w:val="00EC0F6B"/>
    <w:rsid w:val="00EC1731"/>
    <w:rsid w:val="00EC33AA"/>
    <w:rsid w:val="00EC3B7C"/>
    <w:rsid w:val="00EC3BC2"/>
    <w:rsid w:val="00EC4068"/>
    <w:rsid w:val="00EC570C"/>
    <w:rsid w:val="00EC5C99"/>
    <w:rsid w:val="00EC646F"/>
    <w:rsid w:val="00EC64A2"/>
    <w:rsid w:val="00EC6F7E"/>
    <w:rsid w:val="00EC701B"/>
    <w:rsid w:val="00ED06E3"/>
    <w:rsid w:val="00ED0EB1"/>
    <w:rsid w:val="00ED25A2"/>
    <w:rsid w:val="00ED2DEA"/>
    <w:rsid w:val="00ED613A"/>
    <w:rsid w:val="00ED63B8"/>
    <w:rsid w:val="00ED6A9C"/>
    <w:rsid w:val="00ED6CFA"/>
    <w:rsid w:val="00ED6D53"/>
    <w:rsid w:val="00ED7C57"/>
    <w:rsid w:val="00EE1855"/>
    <w:rsid w:val="00EE21A1"/>
    <w:rsid w:val="00EE21D2"/>
    <w:rsid w:val="00EE2492"/>
    <w:rsid w:val="00EE2B68"/>
    <w:rsid w:val="00EE3733"/>
    <w:rsid w:val="00EE395E"/>
    <w:rsid w:val="00EE3CFB"/>
    <w:rsid w:val="00EE3E9A"/>
    <w:rsid w:val="00EE3F97"/>
    <w:rsid w:val="00EE473B"/>
    <w:rsid w:val="00EE5F6C"/>
    <w:rsid w:val="00EE60D1"/>
    <w:rsid w:val="00EE6821"/>
    <w:rsid w:val="00EE6D70"/>
    <w:rsid w:val="00EF0558"/>
    <w:rsid w:val="00EF061F"/>
    <w:rsid w:val="00EF08C2"/>
    <w:rsid w:val="00EF092C"/>
    <w:rsid w:val="00EF1386"/>
    <w:rsid w:val="00EF2491"/>
    <w:rsid w:val="00EF256B"/>
    <w:rsid w:val="00EF2ADE"/>
    <w:rsid w:val="00EF2E78"/>
    <w:rsid w:val="00EF3948"/>
    <w:rsid w:val="00EF5277"/>
    <w:rsid w:val="00EF53FF"/>
    <w:rsid w:val="00EF58BB"/>
    <w:rsid w:val="00EF5CAD"/>
    <w:rsid w:val="00EF611F"/>
    <w:rsid w:val="00EF76E1"/>
    <w:rsid w:val="00F00168"/>
    <w:rsid w:val="00F00AFD"/>
    <w:rsid w:val="00F011D7"/>
    <w:rsid w:val="00F01219"/>
    <w:rsid w:val="00F01332"/>
    <w:rsid w:val="00F0199C"/>
    <w:rsid w:val="00F027F3"/>
    <w:rsid w:val="00F0284C"/>
    <w:rsid w:val="00F029AF"/>
    <w:rsid w:val="00F02E56"/>
    <w:rsid w:val="00F03E17"/>
    <w:rsid w:val="00F03E90"/>
    <w:rsid w:val="00F04100"/>
    <w:rsid w:val="00F04FE1"/>
    <w:rsid w:val="00F0501D"/>
    <w:rsid w:val="00F05388"/>
    <w:rsid w:val="00F0577E"/>
    <w:rsid w:val="00F06249"/>
    <w:rsid w:val="00F07182"/>
    <w:rsid w:val="00F101A5"/>
    <w:rsid w:val="00F1030E"/>
    <w:rsid w:val="00F107B6"/>
    <w:rsid w:val="00F107D2"/>
    <w:rsid w:val="00F10925"/>
    <w:rsid w:val="00F1115B"/>
    <w:rsid w:val="00F114EB"/>
    <w:rsid w:val="00F11FEF"/>
    <w:rsid w:val="00F12988"/>
    <w:rsid w:val="00F12C35"/>
    <w:rsid w:val="00F12D9B"/>
    <w:rsid w:val="00F12F6C"/>
    <w:rsid w:val="00F13579"/>
    <w:rsid w:val="00F13DAE"/>
    <w:rsid w:val="00F13EA3"/>
    <w:rsid w:val="00F13FF4"/>
    <w:rsid w:val="00F155ED"/>
    <w:rsid w:val="00F157D8"/>
    <w:rsid w:val="00F1631C"/>
    <w:rsid w:val="00F164F5"/>
    <w:rsid w:val="00F201AD"/>
    <w:rsid w:val="00F21481"/>
    <w:rsid w:val="00F21B21"/>
    <w:rsid w:val="00F21B80"/>
    <w:rsid w:val="00F21FFB"/>
    <w:rsid w:val="00F22127"/>
    <w:rsid w:val="00F222BB"/>
    <w:rsid w:val="00F23EC2"/>
    <w:rsid w:val="00F2491A"/>
    <w:rsid w:val="00F24C08"/>
    <w:rsid w:val="00F24EF6"/>
    <w:rsid w:val="00F25251"/>
    <w:rsid w:val="00F25268"/>
    <w:rsid w:val="00F254E4"/>
    <w:rsid w:val="00F2563C"/>
    <w:rsid w:val="00F25938"/>
    <w:rsid w:val="00F267B7"/>
    <w:rsid w:val="00F269C1"/>
    <w:rsid w:val="00F26F5D"/>
    <w:rsid w:val="00F27D8E"/>
    <w:rsid w:val="00F301C6"/>
    <w:rsid w:val="00F3154B"/>
    <w:rsid w:val="00F31BE0"/>
    <w:rsid w:val="00F31F48"/>
    <w:rsid w:val="00F322A8"/>
    <w:rsid w:val="00F327CD"/>
    <w:rsid w:val="00F33A60"/>
    <w:rsid w:val="00F33ED3"/>
    <w:rsid w:val="00F341DD"/>
    <w:rsid w:val="00F34C92"/>
    <w:rsid w:val="00F35370"/>
    <w:rsid w:val="00F355AD"/>
    <w:rsid w:val="00F35D19"/>
    <w:rsid w:val="00F367D7"/>
    <w:rsid w:val="00F377AE"/>
    <w:rsid w:val="00F401FF"/>
    <w:rsid w:val="00F40FBB"/>
    <w:rsid w:val="00F41269"/>
    <w:rsid w:val="00F412F0"/>
    <w:rsid w:val="00F41319"/>
    <w:rsid w:val="00F4198D"/>
    <w:rsid w:val="00F42179"/>
    <w:rsid w:val="00F426F5"/>
    <w:rsid w:val="00F42EEF"/>
    <w:rsid w:val="00F43486"/>
    <w:rsid w:val="00F43AA6"/>
    <w:rsid w:val="00F43F1A"/>
    <w:rsid w:val="00F4406A"/>
    <w:rsid w:val="00F44963"/>
    <w:rsid w:val="00F44AA6"/>
    <w:rsid w:val="00F44B13"/>
    <w:rsid w:val="00F45A94"/>
    <w:rsid w:val="00F45BE7"/>
    <w:rsid w:val="00F45F9B"/>
    <w:rsid w:val="00F463D7"/>
    <w:rsid w:val="00F46791"/>
    <w:rsid w:val="00F467B6"/>
    <w:rsid w:val="00F46BE7"/>
    <w:rsid w:val="00F46DD0"/>
    <w:rsid w:val="00F4702A"/>
    <w:rsid w:val="00F4782A"/>
    <w:rsid w:val="00F47F1C"/>
    <w:rsid w:val="00F50163"/>
    <w:rsid w:val="00F510E2"/>
    <w:rsid w:val="00F51594"/>
    <w:rsid w:val="00F515F1"/>
    <w:rsid w:val="00F52173"/>
    <w:rsid w:val="00F5273A"/>
    <w:rsid w:val="00F52AA7"/>
    <w:rsid w:val="00F52D6B"/>
    <w:rsid w:val="00F52E18"/>
    <w:rsid w:val="00F533CA"/>
    <w:rsid w:val="00F53643"/>
    <w:rsid w:val="00F53AC1"/>
    <w:rsid w:val="00F546FB"/>
    <w:rsid w:val="00F54822"/>
    <w:rsid w:val="00F548D2"/>
    <w:rsid w:val="00F55335"/>
    <w:rsid w:val="00F55AC1"/>
    <w:rsid w:val="00F55CF7"/>
    <w:rsid w:val="00F55EE5"/>
    <w:rsid w:val="00F567E5"/>
    <w:rsid w:val="00F56BD5"/>
    <w:rsid w:val="00F56F9F"/>
    <w:rsid w:val="00F57743"/>
    <w:rsid w:val="00F57D1C"/>
    <w:rsid w:val="00F60152"/>
    <w:rsid w:val="00F6086A"/>
    <w:rsid w:val="00F60E03"/>
    <w:rsid w:val="00F6169B"/>
    <w:rsid w:val="00F61A03"/>
    <w:rsid w:val="00F61CDE"/>
    <w:rsid w:val="00F62824"/>
    <w:rsid w:val="00F62BFE"/>
    <w:rsid w:val="00F62D7C"/>
    <w:rsid w:val="00F62E67"/>
    <w:rsid w:val="00F634A0"/>
    <w:rsid w:val="00F634C8"/>
    <w:rsid w:val="00F636D5"/>
    <w:rsid w:val="00F6376B"/>
    <w:rsid w:val="00F63F74"/>
    <w:rsid w:val="00F648CB"/>
    <w:rsid w:val="00F64A40"/>
    <w:rsid w:val="00F64C42"/>
    <w:rsid w:val="00F64D68"/>
    <w:rsid w:val="00F64EB1"/>
    <w:rsid w:val="00F64FDA"/>
    <w:rsid w:val="00F64FDF"/>
    <w:rsid w:val="00F653A2"/>
    <w:rsid w:val="00F664F1"/>
    <w:rsid w:val="00F66932"/>
    <w:rsid w:val="00F66BAF"/>
    <w:rsid w:val="00F66BEB"/>
    <w:rsid w:val="00F67155"/>
    <w:rsid w:val="00F7058F"/>
    <w:rsid w:val="00F70D21"/>
    <w:rsid w:val="00F70FEF"/>
    <w:rsid w:val="00F710F1"/>
    <w:rsid w:val="00F71324"/>
    <w:rsid w:val="00F71719"/>
    <w:rsid w:val="00F71E92"/>
    <w:rsid w:val="00F726FD"/>
    <w:rsid w:val="00F72E57"/>
    <w:rsid w:val="00F73F06"/>
    <w:rsid w:val="00F74836"/>
    <w:rsid w:val="00F74DB7"/>
    <w:rsid w:val="00F74F3A"/>
    <w:rsid w:val="00F75355"/>
    <w:rsid w:val="00F75828"/>
    <w:rsid w:val="00F75C02"/>
    <w:rsid w:val="00F77ECB"/>
    <w:rsid w:val="00F80672"/>
    <w:rsid w:val="00F81BF8"/>
    <w:rsid w:val="00F81E47"/>
    <w:rsid w:val="00F824EF"/>
    <w:rsid w:val="00F8358A"/>
    <w:rsid w:val="00F838E6"/>
    <w:rsid w:val="00F83B19"/>
    <w:rsid w:val="00F84408"/>
    <w:rsid w:val="00F86282"/>
    <w:rsid w:val="00F86474"/>
    <w:rsid w:val="00F868B4"/>
    <w:rsid w:val="00F8730A"/>
    <w:rsid w:val="00F87F02"/>
    <w:rsid w:val="00F90092"/>
    <w:rsid w:val="00F9016F"/>
    <w:rsid w:val="00F90601"/>
    <w:rsid w:val="00F92728"/>
    <w:rsid w:val="00F93703"/>
    <w:rsid w:val="00F9416F"/>
    <w:rsid w:val="00F94596"/>
    <w:rsid w:val="00F94D16"/>
    <w:rsid w:val="00F96EED"/>
    <w:rsid w:val="00F9729B"/>
    <w:rsid w:val="00FA0136"/>
    <w:rsid w:val="00FA0486"/>
    <w:rsid w:val="00FA348B"/>
    <w:rsid w:val="00FA357C"/>
    <w:rsid w:val="00FA3EC7"/>
    <w:rsid w:val="00FA4259"/>
    <w:rsid w:val="00FA44EC"/>
    <w:rsid w:val="00FA4BFD"/>
    <w:rsid w:val="00FA51B9"/>
    <w:rsid w:val="00FA5AE6"/>
    <w:rsid w:val="00FA7487"/>
    <w:rsid w:val="00FA7500"/>
    <w:rsid w:val="00FA75C2"/>
    <w:rsid w:val="00FA78FD"/>
    <w:rsid w:val="00FB0F51"/>
    <w:rsid w:val="00FB11BE"/>
    <w:rsid w:val="00FB1357"/>
    <w:rsid w:val="00FB1799"/>
    <w:rsid w:val="00FB1B56"/>
    <w:rsid w:val="00FB2569"/>
    <w:rsid w:val="00FB272F"/>
    <w:rsid w:val="00FB27F1"/>
    <w:rsid w:val="00FB2C66"/>
    <w:rsid w:val="00FB3726"/>
    <w:rsid w:val="00FB483A"/>
    <w:rsid w:val="00FB48D3"/>
    <w:rsid w:val="00FB4957"/>
    <w:rsid w:val="00FB4C6F"/>
    <w:rsid w:val="00FB6176"/>
    <w:rsid w:val="00FB66D3"/>
    <w:rsid w:val="00FB7193"/>
    <w:rsid w:val="00FB755C"/>
    <w:rsid w:val="00FB7DC2"/>
    <w:rsid w:val="00FC0419"/>
    <w:rsid w:val="00FC0A58"/>
    <w:rsid w:val="00FC0C30"/>
    <w:rsid w:val="00FC0EC1"/>
    <w:rsid w:val="00FC13C8"/>
    <w:rsid w:val="00FC1486"/>
    <w:rsid w:val="00FC2F57"/>
    <w:rsid w:val="00FC35CD"/>
    <w:rsid w:val="00FC59E5"/>
    <w:rsid w:val="00FC5E76"/>
    <w:rsid w:val="00FC692C"/>
    <w:rsid w:val="00FC69CF"/>
    <w:rsid w:val="00FC6C60"/>
    <w:rsid w:val="00FC7177"/>
    <w:rsid w:val="00FC7214"/>
    <w:rsid w:val="00FC76D7"/>
    <w:rsid w:val="00FC7A83"/>
    <w:rsid w:val="00FD058F"/>
    <w:rsid w:val="00FD0B70"/>
    <w:rsid w:val="00FD11B8"/>
    <w:rsid w:val="00FD1440"/>
    <w:rsid w:val="00FD1489"/>
    <w:rsid w:val="00FD17D7"/>
    <w:rsid w:val="00FD19A5"/>
    <w:rsid w:val="00FD20DA"/>
    <w:rsid w:val="00FD2800"/>
    <w:rsid w:val="00FD2DA9"/>
    <w:rsid w:val="00FD35FA"/>
    <w:rsid w:val="00FD407F"/>
    <w:rsid w:val="00FD5322"/>
    <w:rsid w:val="00FD59F1"/>
    <w:rsid w:val="00FD5AEB"/>
    <w:rsid w:val="00FD5BDF"/>
    <w:rsid w:val="00FD5D7C"/>
    <w:rsid w:val="00FD5E9E"/>
    <w:rsid w:val="00FD6FE2"/>
    <w:rsid w:val="00FD74CB"/>
    <w:rsid w:val="00FD7543"/>
    <w:rsid w:val="00FD785F"/>
    <w:rsid w:val="00FD7BF5"/>
    <w:rsid w:val="00FE0DB7"/>
    <w:rsid w:val="00FE0ECC"/>
    <w:rsid w:val="00FE1488"/>
    <w:rsid w:val="00FE1613"/>
    <w:rsid w:val="00FE185C"/>
    <w:rsid w:val="00FE27D3"/>
    <w:rsid w:val="00FE3AE7"/>
    <w:rsid w:val="00FE3C5F"/>
    <w:rsid w:val="00FE3FE1"/>
    <w:rsid w:val="00FE401B"/>
    <w:rsid w:val="00FE4705"/>
    <w:rsid w:val="00FE4B67"/>
    <w:rsid w:val="00FE557C"/>
    <w:rsid w:val="00FE566D"/>
    <w:rsid w:val="00FE57A8"/>
    <w:rsid w:val="00FE5D7B"/>
    <w:rsid w:val="00FE6C7E"/>
    <w:rsid w:val="00FE74F7"/>
    <w:rsid w:val="00FF026A"/>
    <w:rsid w:val="00FF1009"/>
    <w:rsid w:val="00FF1D5E"/>
    <w:rsid w:val="00FF327E"/>
    <w:rsid w:val="00FF4002"/>
    <w:rsid w:val="00FF409F"/>
    <w:rsid w:val="00FF4605"/>
    <w:rsid w:val="00FF4A80"/>
    <w:rsid w:val="00FF4C3A"/>
    <w:rsid w:val="00FF4D7B"/>
    <w:rsid w:val="00FF5102"/>
    <w:rsid w:val="00FF5445"/>
    <w:rsid w:val="00FF546F"/>
    <w:rsid w:val="00FF54B1"/>
    <w:rsid w:val="00FF5DBC"/>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sl-SI"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8DCA68"/>
  <w14:defaultImageDpi w14:val="32767"/>
  <w15:chartTrackingRefBased/>
  <w15:docId w15:val="{E678F963-B8FF-47FF-87F8-8ECD894B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7" w:uiPriority="99"/>
    <w:lsdException w:name="annotation text" w:uiPriority="99" w:qFormat="1"/>
    <w:lsdException w:name="footer" w:uiPriority="99"/>
    <w:lsdException w:name="caption" w:semiHidden="1" w:unhideWhenUsed="1" w:qFormat="1"/>
    <w:lsdException w:name="page number" w:uiPriority="99"/>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F63"/>
    <w:pPr>
      <w:tabs>
        <w:tab w:val="left" w:pos="567"/>
      </w:tabs>
    </w:pPr>
    <w:rPr>
      <w:rFonts w:eastAsia="Times New Roman"/>
      <w:sz w:val="22"/>
      <w:szCs w:val="22"/>
      <w:lang w:val="sr-Latn-ME"/>
    </w:rPr>
  </w:style>
  <w:style w:type="paragraph" w:styleId="Heading1">
    <w:name w:val="heading 1"/>
    <w:basedOn w:val="Normal"/>
    <w:next w:val="Normal"/>
    <w:link w:val="Heading1Char"/>
    <w:qFormat/>
    <w:rsid w:val="00292422"/>
    <w:pPr>
      <w:keepNext/>
      <w:tabs>
        <w:tab w:val="clear" w:pos="567"/>
      </w:tabs>
      <w:suppressAutoHyphens/>
      <w:spacing w:before="120" w:after="1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uiPriority w:val="99"/>
    <w:rsid w:val="00812D16"/>
  </w:style>
  <w:style w:type="paragraph" w:styleId="BodyText">
    <w:name w:val="Body Text"/>
    <w:basedOn w:val="Normal"/>
    <w:rsid w:val="00812D16"/>
    <w:pPr>
      <w:tabs>
        <w:tab w:val="clear" w:pos="567"/>
      </w:tabs>
    </w:pPr>
    <w:rPr>
      <w:i/>
      <w:color w:val="008000"/>
    </w:rPr>
  </w:style>
  <w:style w:type="paragraph" w:styleId="CommentText">
    <w:name w:val="annotation text"/>
    <w:aliases w:val="Car17,Car17 Car,Char Char1,Annotationtext,Char,Char Char Char,Comment Text Char Char,Comment Text Char Char Char Char,Comment Text Char Char1,Comment Text Char1 Char,Comment Text Char1 Char Char, Car17, Car17 Car, Char Char1"/>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jc w:val="both"/>
    </w:pPr>
  </w:style>
  <w:style w:type="paragraph" w:styleId="BalloonText">
    <w:name w:val="Balloon Text"/>
    <w:basedOn w:val="Normal"/>
    <w:link w:val="BalloonTextChar"/>
    <w:uiPriority w:val="99"/>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sr-Latn-ME"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r-Latn-ME" w:eastAsia="en-GB" w:bidi="ar-SA"/>
    </w:rPr>
  </w:style>
  <w:style w:type="paragraph" w:customStyle="1" w:styleId="NormalAgency">
    <w:name w:val="Normal (Agency)"/>
    <w:link w:val="NormalAgencyChar"/>
    <w:rsid w:val="00C179B0"/>
    <w:rPr>
      <w:rFonts w:ascii="Verdana" w:eastAsia="Verdana" w:hAnsi="Verdana" w:cs="Verdana"/>
      <w:sz w:val="18"/>
      <w:szCs w:val="18"/>
      <w:lang w:val="sr-Latn-ME"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sr-Latn-ME"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uiPriority w:val="99"/>
    <w:rsid w:val="00BC6DC2"/>
    <w:rPr>
      <w:b/>
      <w:bCs/>
    </w:rPr>
  </w:style>
  <w:style w:type="character" w:customStyle="1" w:styleId="CommentTextChar">
    <w:name w:val="Comment Text Char"/>
    <w:aliases w:val="Car17 Char,Car17 Car Char,Char Char1 Char,Annotationtext Char,Char Char,Char Char Char Char,Comment Text Char Char Char,Comment Text Char Char Char Char Char,Comment Text Char Char1 Char,Comment Text Char1 Char Char1, Car17 Char"/>
    <w:link w:val="CommentText"/>
    <w:uiPriority w:val="99"/>
    <w:rsid w:val="00BC6DC2"/>
    <w:rPr>
      <w:rFonts w:eastAsia="Times New Roman"/>
      <w:lang w:eastAsia="en-US"/>
    </w:rPr>
  </w:style>
  <w:style w:type="character" w:customStyle="1" w:styleId="CommentSubjectChar">
    <w:name w:val="Comment Subject Char"/>
    <w:link w:val="CommentSubject"/>
    <w:uiPriority w:val="99"/>
    <w:rsid w:val="00BC6DC2"/>
    <w:rPr>
      <w:rFonts w:eastAsia="Times New Roman"/>
      <w:b/>
      <w:bCs/>
      <w:lang w:eastAsia="en-US"/>
    </w:rPr>
  </w:style>
  <w:style w:type="paragraph" w:customStyle="1" w:styleId="TextItalicized">
    <w:name w:val="Text Italicized"/>
    <w:basedOn w:val="Normal"/>
    <w:link w:val="TextItalicizedChar"/>
    <w:rsid w:val="001D0AD5"/>
    <w:pPr>
      <w:tabs>
        <w:tab w:val="clear" w:pos="567"/>
      </w:tabs>
    </w:pPr>
    <w:rPr>
      <w:rFonts w:eastAsia="MS Mincho"/>
      <w:i/>
      <w:iCs/>
      <w:color w:val="000000"/>
      <w:sz w:val="24"/>
      <w:szCs w:val="24"/>
      <w:lang w:eastAsia="ja-JP"/>
    </w:rPr>
  </w:style>
  <w:style w:type="character" w:customStyle="1" w:styleId="TextItalicizedChar">
    <w:name w:val="Text Italicized Char"/>
    <w:link w:val="TextItalicized"/>
    <w:rsid w:val="001D0AD5"/>
    <w:rPr>
      <w:rFonts w:eastAsia="MS Mincho"/>
      <w:i/>
      <w:iCs/>
      <w:color w:val="000000"/>
      <w:sz w:val="24"/>
      <w:szCs w:val="24"/>
      <w:lang w:val="sr-Latn-ME" w:eastAsia="ja-JP"/>
    </w:rPr>
  </w:style>
  <w:style w:type="paragraph" w:customStyle="1" w:styleId="Default">
    <w:name w:val="Default"/>
    <w:rsid w:val="001D0AD5"/>
    <w:pPr>
      <w:autoSpaceDE w:val="0"/>
      <w:autoSpaceDN w:val="0"/>
      <w:adjustRightInd w:val="0"/>
    </w:pPr>
    <w:rPr>
      <w:color w:val="000000"/>
      <w:sz w:val="24"/>
      <w:szCs w:val="24"/>
      <w:lang w:val="sr-Latn-ME"/>
    </w:rPr>
  </w:style>
  <w:style w:type="paragraph" w:customStyle="1" w:styleId="Text">
    <w:name w:val="Text"/>
    <w:aliases w:val="本文,JP Body Text"/>
    <w:basedOn w:val="Normal"/>
    <w:link w:val="TextChar"/>
    <w:qFormat/>
    <w:rsid w:val="001D0AD5"/>
    <w:pPr>
      <w:tabs>
        <w:tab w:val="clear" w:pos="567"/>
      </w:tabs>
      <w:suppressAutoHyphens/>
      <w:spacing w:before="120" w:after="120" w:line="360" w:lineRule="auto"/>
    </w:pPr>
    <w:rPr>
      <w:rFonts w:ascii="Arial" w:hAnsi="Arial"/>
    </w:rPr>
  </w:style>
  <w:style w:type="character" w:customStyle="1" w:styleId="TextChar">
    <w:name w:val="Text Char"/>
    <w:link w:val="Text"/>
    <w:rsid w:val="001D0AD5"/>
    <w:rPr>
      <w:rFonts w:ascii="Arial" w:eastAsia="Times New Roman" w:hAnsi="Arial"/>
      <w:sz w:val="22"/>
      <w:lang w:val="sr-Latn-ME" w:eastAsia="en-US"/>
    </w:rPr>
  </w:style>
  <w:style w:type="table" w:styleId="TableGrid">
    <w:name w:val="Table Grid"/>
    <w:basedOn w:val="TableNormal"/>
    <w:uiPriority w:val="59"/>
    <w:rsid w:val="001D0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53183"/>
    <w:rPr>
      <w:b/>
      <w:bCs/>
    </w:rPr>
  </w:style>
  <w:style w:type="character" w:customStyle="1" w:styleId="FooterChar">
    <w:name w:val="Footer Char"/>
    <w:link w:val="Footer"/>
    <w:uiPriority w:val="99"/>
    <w:rsid w:val="00866B12"/>
    <w:rPr>
      <w:rFonts w:ascii="Arial" w:eastAsia="Times New Roman" w:hAnsi="Arial"/>
      <w:noProof/>
      <w:sz w:val="16"/>
      <w:lang w:eastAsia="en-US"/>
    </w:rPr>
  </w:style>
  <w:style w:type="paragraph" w:styleId="ListParagraph">
    <w:name w:val="List Paragraph"/>
    <w:basedOn w:val="Normal"/>
    <w:uiPriority w:val="34"/>
    <w:qFormat/>
    <w:rsid w:val="00866B12"/>
    <w:pPr>
      <w:tabs>
        <w:tab w:val="clear" w:pos="567"/>
      </w:tabs>
      <w:ind w:left="720"/>
      <w:contextualSpacing/>
    </w:pPr>
    <w:rPr>
      <w:sz w:val="24"/>
      <w:szCs w:val="24"/>
      <w:lang w:eastAsia="en-GB"/>
    </w:rPr>
  </w:style>
  <w:style w:type="character" w:customStyle="1" w:styleId="bodybold">
    <w:name w:val="body bold"/>
    <w:uiPriority w:val="99"/>
    <w:rsid w:val="00866B12"/>
    <w:rPr>
      <w:rFonts w:cs="Times New Roman"/>
      <w:b/>
      <w:bCs/>
    </w:rPr>
  </w:style>
  <w:style w:type="paragraph" w:customStyle="1" w:styleId="BULLETED">
    <w:name w:val="BULLETED"/>
    <w:basedOn w:val="ListParagraph"/>
    <w:rsid w:val="00866B12"/>
    <w:pPr>
      <w:widowControl w:val="0"/>
      <w:numPr>
        <w:numId w:val="28"/>
      </w:numPr>
      <w:tabs>
        <w:tab w:val="left" w:pos="810"/>
      </w:tabs>
      <w:suppressAutoHyphens/>
      <w:autoSpaceDE w:val="0"/>
      <w:autoSpaceDN w:val="0"/>
      <w:adjustRightInd w:val="0"/>
      <w:spacing w:before="90" w:line="250" w:lineRule="atLeast"/>
      <w:textAlignment w:val="center"/>
    </w:pPr>
    <w:rPr>
      <w:rFonts w:eastAsia="PMingLiU"/>
      <w:color w:val="000000"/>
      <w:sz w:val="20"/>
      <w:lang w:eastAsia="ja-JP"/>
    </w:rPr>
  </w:style>
  <w:style w:type="paragraph" w:customStyle="1" w:styleId="TableCenterAlign">
    <w:name w:val="TableCenterAlign"/>
    <w:basedOn w:val="Normal"/>
    <w:rsid w:val="00BA45E2"/>
    <w:pPr>
      <w:tabs>
        <w:tab w:val="clear" w:pos="567"/>
      </w:tabs>
      <w:suppressAutoHyphens/>
      <w:spacing w:before="60" w:after="60" w:line="240" w:lineRule="atLeast"/>
      <w:jc w:val="center"/>
    </w:pPr>
    <w:rPr>
      <w:rFonts w:ascii="Arial" w:hAnsi="Arial"/>
    </w:rPr>
  </w:style>
  <w:style w:type="paragraph" w:customStyle="1" w:styleId="Sub-tabletitle">
    <w:name w:val="Sub-table title"/>
    <w:basedOn w:val="TextItalicized"/>
    <w:rsid w:val="00F567E5"/>
    <w:rPr>
      <w:b/>
      <w:bCs/>
    </w:rPr>
  </w:style>
  <w:style w:type="paragraph" w:styleId="Revision">
    <w:name w:val="Revision"/>
    <w:hidden/>
    <w:uiPriority w:val="99"/>
    <w:semiHidden/>
    <w:rsid w:val="000954A3"/>
    <w:rPr>
      <w:rFonts w:eastAsia="Times New Roman"/>
      <w:sz w:val="22"/>
      <w:lang w:val="sr-Latn-ME"/>
    </w:rPr>
  </w:style>
  <w:style w:type="paragraph" w:styleId="NormalWeb">
    <w:name w:val="Normal (Web)"/>
    <w:basedOn w:val="Normal"/>
    <w:uiPriority w:val="99"/>
    <w:unhideWhenUsed/>
    <w:rsid w:val="00005706"/>
    <w:pPr>
      <w:tabs>
        <w:tab w:val="clear" w:pos="567"/>
      </w:tabs>
      <w:spacing w:before="100" w:beforeAutospacing="1" w:after="100" w:afterAutospacing="1"/>
    </w:pPr>
    <w:rPr>
      <w:sz w:val="24"/>
      <w:szCs w:val="24"/>
      <w:lang w:eastAsia="en-GB"/>
    </w:rPr>
  </w:style>
  <w:style w:type="paragraph" w:customStyle="1" w:styleId="lbltxt">
    <w:name w:val="lbltxt"/>
    <w:rsid w:val="00CE6230"/>
    <w:pPr>
      <w:tabs>
        <w:tab w:val="left" w:pos="567"/>
      </w:tabs>
    </w:pPr>
    <w:rPr>
      <w:rFonts w:eastAsia="Times New Roman"/>
      <w:noProof/>
      <w:sz w:val="22"/>
      <w:lang w:val="sr-Latn-ME"/>
    </w:rPr>
  </w:style>
  <w:style w:type="paragraph" w:customStyle="1" w:styleId="BasicParagraph">
    <w:name w:val="[Basic Paragraph]"/>
    <w:basedOn w:val="Normal"/>
    <w:uiPriority w:val="99"/>
    <w:rsid w:val="008375C6"/>
    <w:pPr>
      <w:widowControl w:val="0"/>
      <w:tabs>
        <w:tab w:val="clear" w:pos="567"/>
      </w:tabs>
      <w:autoSpaceDE w:val="0"/>
      <w:autoSpaceDN w:val="0"/>
      <w:adjustRightInd w:val="0"/>
      <w:spacing w:line="288" w:lineRule="auto"/>
      <w:textAlignment w:val="center"/>
    </w:pPr>
    <w:rPr>
      <w:rFonts w:eastAsia="PMingLiU"/>
      <w:color w:val="000000"/>
      <w:szCs w:val="24"/>
      <w:lang w:eastAsia="ja-JP"/>
    </w:rPr>
  </w:style>
  <w:style w:type="paragraph" w:styleId="EndnoteText">
    <w:name w:val="endnote text"/>
    <w:basedOn w:val="Normal"/>
    <w:link w:val="EndnoteTextChar"/>
    <w:rsid w:val="00A44198"/>
    <w:pPr>
      <w:tabs>
        <w:tab w:val="clear" w:pos="567"/>
      </w:tabs>
      <w:suppressAutoHyphens/>
    </w:pPr>
    <w:rPr>
      <w:rFonts w:ascii="Arial" w:hAnsi="Arial"/>
      <w:sz w:val="20"/>
    </w:rPr>
  </w:style>
  <w:style w:type="character" w:customStyle="1" w:styleId="EndnoteTextChar">
    <w:name w:val="Endnote Text Char"/>
    <w:link w:val="EndnoteText"/>
    <w:rsid w:val="00A44198"/>
    <w:rPr>
      <w:rFonts w:ascii="Arial" w:eastAsia="Times New Roman" w:hAnsi="Arial"/>
      <w:lang w:val="sr-Latn-ME" w:eastAsia="en-US"/>
    </w:rPr>
  </w:style>
  <w:style w:type="character" w:styleId="EndnoteReference">
    <w:name w:val="endnote reference"/>
    <w:rsid w:val="00A44198"/>
    <w:rPr>
      <w:vertAlign w:val="superscript"/>
    </w:rPr>
  </w:style>
  <w:style w:type="character" w:customStyle="1" w:styleId="A1">
    <w:name w:val="A1"/>
    <w:uiPriority w:val="99"/>
    <w:rsid w:val="00D35EEB"/>
    <w:rPr>
      <w:rFonts w:cs="Arial"/>
      <w:color w:val="211D1E"/>
      <w:sz w:val="16"/>
      <w:szCs w:val="16"/>
    </w:rPr>
  </w:style>
  <w:style w:type="character" w:customStyle="1" w:styleId="BalloonTextChar">
    <w:name w:val="Balloon Text Char"/>
    <w:link w:val="BalloonText"/>
    <w:uiPriority w:val="99"/>
    <w:semiHidden/>
    <w:rsid w:val="00D35EEB"/>
    <w:rPr>
      <w:rFonts w:ascii="Tahoma" w:eastAsia="Times New Roman" w:hAnsi="Tahoma" w:cs="Tahoma"/>
      <w:sz w:val="16"/>
      <w:szCs w:val="16"/>
      <w:lang w:eastAsia="en-US"/>
    </w:rPr>
  </w:style>
  <w:style w:type="character" w:customStyle="1" w:styleId="HeaderChar">
    <w:name w:val="Header Char"/>
    <w:link w:val="Header"/>
    <w:rsid w:val="00D35EEB"/>
    <w:rPr>
      <w:rFonts w:ascii="Arial" w:eastAsia="Times New Roman" w:hAnsi="Arial"/>
      <w:lang w:eastAsia="en-US"/>
    </w:rPr>
  </w:style>
  <w:style w:type="paragraph" w:styleId="TOC7">
    <w:name w:val="toc 7"/>
    <w:basedOn w:val="Normal"/>
    <w:next w:val="Normal"/>
    <w:autoRedefine/>
    <w:uiPriority w:val="99"/>
    <w:rsid w:val="00D35EEB"/>
    <w:pPr>
      <w:tabs>
        <w:tab w:val="clear" w:pos="567"/>
      </w:tabs>
      <w:ind w:left="1440"/>
    </w:pPr>
    <w:rPr>
      <w:rFonts w:ascii="Calibri" w:eastAsia="PMingLiU" w:hAnsi="Calibri"/>
      <w:sz w:val="20"/>
      <w:lang w:eastAsia="ja-JP"/>
    </w:rPr>
  </w:style>
  <w:style w:type="paragraph" w:styleId="BodyTextIndent">
    <w:name w:val="Body Text Indent"/>
    <w:basedOn w:val="Normal"/>
    <w:link w:val="BodyTextIndentChar"/>
    <w:rsid w:val="00D35EEB"/>
    <w:pPr>
      <w:tabs>
        <w:tab w:val="clear" w:pos="567"/>
        <w:tab w:val="left" w:pos="450"/>
        <w:tab w:val="left" w:pos="990"/>
        <w:tab w:val="decimal" w:leader="dot" w:pos="9540"/>
      </w:tabs>
      <w:suppressAutoHyphens/>
      <w:overflowPunct w:val="0"/>
      <w:autoSpaceDE w:val="0"/>
      <w:autoSpaceDN w:val="0"/>
      <w:adjustRightInd w:val="0"/>
      <w:spacing w:after="120"/>
      <w:ind w:left="990" w:hanging="806"/>
      <w:jc w:val="both"/>
      <w:textAlignment w:val="baseline"/>
    </w:pPr>
    <w:rPr>
      <w:rFonts w:ascii="Arial" w:hAnsi="Arial"/>
    </w:rPr>
  </w:style>
  <w:style w:type="character" w:customStyle="1" w:styleId="BodyTextIndentChar">
    <w:name w:val="Body Text Indent Char"/>
    <w:link w:val="BodyTextIndent"/>
    <w:rsid w:val="00D35EEB"/>
    <w:rPr>
      <w:rFonts w:ascii="Arial" w:eastAsia="Times New Roman" w:hAnsi="Arial"/>
      <w:sz w:val="22"/>
      <w:lang w:val="sr-Latn-ME" w:eastAsia="en-US"/>
    </w:rPr>
  </w:style>
  <w:style w:type="character" w:customStyle="1" w:styleId="Heading1Char">
    <w:name w:val="Heading 1 Char"/>
    <w:link w:val="Heading1"/>
    <w:rsid w:val="00292422"/>
    <w:rPr>
      <w:rFonts w:ascii="Arial" w:eastAsia="Times New Roman" w:hAnsi="Arial"/>
      <w:b/>
      <w:sz w:val="22"/>
      <w:lang w:val="sr-Latn-ME" w:eastAsia="en-US"/>
    </w:rPr>
  </w:style>
  <w:style w:type="character" w:customStyle="1" w:styleId="Initial">
    <w:name w:val="Initial"/>
    <w:rsid w:val="00DA171F"/>
    <w:rPr>
      <w:rFonts w:ascii="Times New Roman" w:hAnsi="Times New Roman"/>
      <w:noProof w:val="0"/>
      <w:sz w:val="24"/>
      <w:lang w:val="sr-Latn-ME"/>
    </w:rPr>
  </w:style>
  <w:style w:type="paragraph" w:customStyle="1" w:styleId="TitleA">
    <w:name w:val="Title A"/>
    <w:basedOn w:val="Normal"/>
    <w:qFormat/>
    <w:rsid w:val="00071C53"/>
    <w:pPr>
      <w:jc w:val="center"/>
      <w:outlineLvl w:val="0"/>
    </w:pPr>
    <w:rPr>
      <w:b/>
    </w:rPr>
  </w:style>
  <w:style w:type="paragraph" w:customStyle="1" w:styleId="TitleB">
    <w:name w:val="Title B"/>
    <w:basedOn w:val="Normal"/>
    <w:qFormat/>
    <w:rsid w:val="00071C53"/>
    <w:pPr>
      <w:ind w:left="567" w:hanging="567"/>
    </w:pPr>
    <w:rPr>
      <w:b/>
      <w:noProof/>
    </w:rPr>
  </w:style>
  <w:style w:type="paragraph" w:customStyle="1" w:styleId="Style10PtCenter">
    <w:name w:val="_Style 10 Pt Center"/>
    <w:basedOn w:val="Normal"/>
    <w:qFormat/>
    <w:rsid w:val="00A74D9A"/>
    <w:pPr>
      <w:keepNext/>
      <w:keepLines/>
      <w:tabs>
        <w:tab w:val="clear" w:pos="567"/>
      </w:tabs>
      <w:spacing w:before="60" w:after="60"/>
      <w:jc w:val="center"/>
    </w:pPr>
    <w:rPr>
      <w:sz w:val="20"/>
    </w:rPr>
  </w:style>
  <w:style w:type="paragraph" w:customStyle="1" w:styleId="Style8PtCenter">
    <w:name w:val="_Style 8 Pt Center"/>
    <w:basedOn w:val="Style10PtCenter"/>
    <w:rsid w:val="00A74D9A"/>
    <w:pPr>
      <w:spacing w:after="0"/>
    </w:pPr>
    <w:rPr>
      <w:sz w:val="16"/>
      <w:szCs w:val="16"/>
    </w:rPr>
  </w:style>
  <w:style w:type="paragraph" w:customStyle="1" w:styleId="Style10BoldCentered">
    <w:name w:val="_Style 10 Bold Centered"/>
    <w:basedOn w:val="Normal"/>
    <w:qFormat/>
    <w:rsid w:val="00A74D9A"/>
    <w:pPr>
      <w:keepNext/>
      <w:keepLines/>
      <w:tabs>
        <w:tab w:val="clear" w:pos="567"/>
      </w:tabs>
      <w:jc w:val="center"/>
    </w:pPr>
    <w:rPr>
      <w:b/>
      <w:sz w:val="20"/>
    </w:rPr>
  </w:style>
  <w:style w:type="paragraph" w:customStyle="1" w:styleId="StyleBoldCentered">
    <w:name w:val="_Style Bold Centered"/>
    <w:basedOn w:val="Normal"/>
    <w:qFormat/>
    <w:rsid w:val="006109F6"/>
    <w:pPr>
      <w:jc w:val="center"/>
    </w:pPr>
    <w:rPr>
      <w:b/>
      <w:bCs/>
    </w:rPr>
  </w:style>
  <w:style w:type="paragraph" w:customStyle="1" w:styleId="StyleBoldLeft">
    <w:name w:val="_Style Bold Left"/>
    <w:basedOn w:val="Normal"/>
    <w:qFormat/>
    <w:rsid w:val="006109F6"/>
    <w:pPr>
      <w:tabs>
        <w:tab w:val="clear" w:pos="567"/>
      </w:tabs>
      <w:suppressAutoHyphens/>
    </w:pPr>
    <w:rPr>
      <w:b/>
      <w:bCs/>
    </w:rPr>
  </w:style>
  <w:style w:type="paragraph" w:customStyle="1" w:styleId="StyleItalicLeft">
    <w:name w:val="Style Italic Left"/>
    <w:basedOn w:val="TextItalicized"/>
    <w:qFormat/>
    <w:rsid w:val="003F745F"/>
    <w:pPr>
      <w:keepNext/>
    </w:pPr>
    <w:rPr>
      <w:bCs/>
      <w:sz w:val="22"/>
      <w:szCs w:val="22"/>
    </w:rPr>
  </w:style>
  <w:style w:type="paragraph" w:customStyle="1" w:styleId="StyleTablenotes">
    <w:name w:val="Style Table notes"/>
    <w:basedOn w:val="Normal"/>
    <w:qFormat/>
    <w:rsid w:val="003F745F"/>
    <w:pPr>
      <w:autoSpaceDE w:val="0"/>
      <w:autoSpaceDN w:val="0"/>
    </w:pPr>
    <w:rPr>
      <w:sz w:val="20"/>
      <w:szCs w:val="20"/>
      <w:lang w:eastAsia="en-GB"/>
    </w:rPr>
  </w:style>
  <w:style w:type="paragraph" w:customStyle="1" w:styleId="StyleTablecell">
    <w:name w:val="Style Table cell"/>
    <w:basedOn w:val="Normal"/>
    <w:qFormat/>
    <w:rsid w:val="003F745F"/>
    <w:pPr>
      <w:keepNext/>
      <w:jc w:val="center"/>
    </w:pPr>
    <w:rPr>
      <w:rFonts w:eastAsia="Calibri"/>
      <w:sz w:val="20"/>
      <w:szCs w:val="20"/>
    </w:rPr>
  </w:style>
  <w:style w:type="paragraph" w:customStyle="1" w:styleId="StyleUnderlined">
    <w:name w:val="Style Underlined"/>
    <w:basedOn w:val="Normal"/>
    <w:qFormat/>
    <w:rsid w:val="001A2E39"/>
    <w:pPr>
      <w:keepNext/>
    </w:pPr>
    <w:rPr>
      <w:u w:val="single"/>
    </w:rPr>
  </w:style>
  <w:style w:type="paragraph" w:customStyle="1" w:styleId="StyleBulleted">
    <w:name w:val="Style Bulleted"/>
    <w:basedOn w:val="TextItalicized"/>
    <w:qFormat/>
    <w:rsid w:val="00FF54B1"/>
    <w:pPr>
      <w:keepNext/>
      <w:numPr>
        <w:numId w:val="33"/>
      </w:numPr>
      <w:ind w:left="567" w:hanging="567"/>
    </w:pPr>
    <w:rPr>
      <w:i w:val="0"/>
      <w:iCs w:val="0"/>
      <w:sz w:val="22"/>
      <w:szCs w:val="22"/>
    </w:rPr>
  </w:style>
  <w:style w:type="paragraph" w:customStyle="1" w:styleId="Style11pt">
    <w:name w:val="_Style 11pt"/>
    <w:basedOn w:val="Normal"/>
    <w:qFormat/>
    <w:rsid w:val="008A66B8"/>
    <w:pPr>
      <w:keepNext/>
    </w:pPr>
    <w:rPr>
      <w:color w:val="000000"/>
      <w:szCs w:val="20"/>
    </w:rPr>
  </w:style>
  <w:style w:type="paragraph" w:customStyle="1" w:styleId="Style11ptunderline">
    <w:name w:val="_Style 11pt underline"/>
    <w:basedOn w:val="Normal"/>
    <w:qFormat/>
    <w:rsid w:val="000C0214"/>
    <w:rPr>
      <w:u w:val="single"/>
    </w:rPr>
  </w:style>
  <w:style w:type="paragraph" w:customStyle="1" w:styleId="Style11ptItalic">
    <w:name w:val="_Style 11pt Italic"/>
    <w:basedOn w:val="Normal"/>
    <w:next w:val="Normal"/>
    <w:qFormat/>
    <w:rsid w:val="000C0214"/>
    <w:rPr>
      <w:i/>
      <w:iCs/>
    </w:rPr>
  </w:style>
  <w:style w:type="paragraph" w:customStyle="1" w:styleId="NewNormalstyle">
    <w:name w:val="__New_Normal_style"/>
    <w:basedOn w:val="Normal"/>
    <w:qFormat/>
    <w:rsid w:val="00450EFF"/>
    <w:rPr>
      <w:rFonts w:eastAsia="PMingLiU"/>
    </w:rPr>
  </w:style>
  <w:style w:type="paragraph" w:customStyle="1" w:styleId="Styleunderline">
    <w:name w:val="Style underline"/>
    <w:basedOn w:val="Normal"/>
    <w:qFormat/>
    <w:rsid w:val="00031AF9"/>
    <w:rPr>
      <w:u w:val="single"/>
    </w:rPr>
  </w:style>
  <w:style w:type="character" w:customStyle="1" w:styleId="UnresolvedMention1">
    <w:name w:val="Unresolved Mention1"/>
    <w:uiPriority w:val="99"/>
    <w:semiHidden/>
    <w:unhideWhenUsed/>
    <w:rsid w:val="00175C37"/>
    <w:rPr>
      <w:color w:val="605E5C"/>
      <w:shd w:val="clear" w:color="auto" w:fill="E1DFDD"/>
    </w:rPr>
  </w:style>
  <w:style w:type="paragraph" w:customStyle="1" w:styleId="StyleBold">
    <w:name w:val="_Style Bold"/>
    <w:basedOn w:val="Normal"/>
    <w:qFormat/>
    <w:rsid w:val="00152F1E"/>
    <w:rPr>
      <w:rFonts w:eastAsia="Calibri"/>
      <w:b/>
    </w:rPr>
  </w:style>
  <w:style w:type="paragraph" w:customStyle="1" w:styleId="Styleboldtable">
    <w:name w:val="_Style bold table"/>
    <w:basedOn w:val="Normal"/>
    <w:qFormat/>
    <w:rsid w:val="00152F1E"/>
    <w:pPr>
      <w:jc w:val="center"/>
    </w:pPr>
    <w:rPr>
      <w:rFonts w:eastAsia="Calibri"/>
      <w:b/>
      <w:sz w:val="20"/>
    </w:rPr>
  </w:style>
  <w:style w:type="paragraph" w:customStyle="1" w:styleId="Styletableregular">
    <w:name w:val="_Style table regular"/>
    <w:basedOn w:val="Normal"/>
    <w:qFormat/>
    <w:rsid w:val="00152F1E"/>
    <w:pPr>
      <w:jc w:val="center"/>
    </w:pPr>
    <w:rPr>
      <w:rFonts w:eastAsia="Calibri"/>
      <w:sz w:val="20"/>
    </w:rPr>
  </w:style>
  <w:style w:type="paragraph" w:customStyle="1" w:styleId="Stylefootertable">
    <w:name w:val="_Style footer table"/>
    <w:basedOn w:val="Normal"/>
    <w:qFormat/>
    <w:rsid w:val="00152F1E"/>
    <w:rPr>
      <w:sz w:val="20"/>
    </w:rPr>
  </w:style>
  <w:style w:type="character" w:customStyle="1" w:styleId="cf01">
    <w:name w:val="cf01"/>
    <w:rsid w:val="004C192F"/>
    <w:rPr>
      <w:rFonts w:ascii="Segoe UI" w:hAnsi="Segoe UI" w:cs="Segoe UI" w:hint="default"/>
      <w:sz w:val="18"/>
      <w:szCs w:val="18"/>
    </w:rPr>
  </w:style>
  <w:style w:type="paragraph" w:customStyle="1" w:styleId="Labeling-RecommendedText">
    <w:name w:val="Labeling - Recommended Text"/>
    <w:basedOn w:val="Normal"/>
    <w:link w:val="Labeling-RecommendedTextChar"/>
    <w:qFormat/>
    <w:rsid w:val="00F355AD"/>
    <w:pPr>
      <w:tabs>
        <w:tab w:val="clear" w:pos="567"/>
      </w:tabs>
      <w:spacing w:line="360" w:lineRule="auto"/>
      <w:ind w:left="720"/>
    </w:pPr>
    <w:rPr>
      <w:rFonts w:ascii="Arial" w:eastAsia="SimSun" w:hAnsi="Arial" w:cs="Arial"/>
      <w:color w:val="0033CC"/>
      <w:szCs w:val="24"/>
    </w:rPr>
  </w:style>
  <w:style w:type="character" w:customStyle="1" w:styleId="Labeling-RecommendedTextChar">
    <w:name w:val="Labeling - Recommended Text Char"/>
    <w:link w:val="Labeling-RecommendedText"/>
    <w:rsid w:val="00F355AD"/>
    <w:rPr>
      <w:rFonts w:ascii="Arial" w:hAnsi="Arial" w:cs="Arial"/>
      <w:color w:val="0033CC"/>
      <w:sz w:val="22"/>
      <w:szCs w:val="24"/>
      <w:lang w:val="sr-Latn-ME" w:eastAsia="en-US"/>
    </w:rPr>
  </w:style>
  <w:style w:type="paragraph" w:customStyle="1" w:styleId="StyleUnderline0">
    <w:name w:val="_Style Underline"/>
    <w:basedOn w:val="Normal"/>
    <w:qFormat/>
    <w:rsid w:val="00F355AD"/>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70460">
      <w:bodyDiv w:val="1"/>
      <w:marLeft w:val="0"/>
      <w:marRight w:val="0"/>
      <w:marTop w:val="0"/>
      <w:marBottom w:val="0"/>
      <w:divBdr>
        <w:top w:val="none" w:sz="0" w:space="0" w:color="auto"/>
        <w:left w:val="none" w:sz="0" w:space="0" w:color="auto"/>
        <w:bottom w:val="none" w:sz="0" w:space="0" w:color="auto"/>
        <w:right w:val="none" w:sz="0" w:space="0" w:color="auto"/>
      </w:divBdr>
      <w:divsChild>
        <w:div w:id="820581334">
          <w:marLeft w:val="0"/>
          <w:marRight w:val="0"/>
          <w:marTop w:val="0"/>
          <w:marBottom w:val="0"/>
          <w:divBdr>
            <w:top w:val="none" w:sz="0" w:space="0" w:color="auto"/>
            <w:left w:val="none" w:sz="0" w:space="0" w:color="auto"/>
            <w:bottom w:val="none" w:sz="0" w:space="0" w:color="auto"/>
            <w:right w:val="none" w:sz="0" w:space="0" w:color="auto"/>
          </w:divBdr>
        </w:div>
      </w:divsChild>
    </w:div>
    <w:div w:id="94131983">
      <w:bodyDiv w:val="1"/>
      <w:marLeft w:val="0"/>
      <w:marRight w:val="0"/>
      <w:marTop w:val="0"/>
      <w:marBottom w:val="0"/>
      <w:divBdr>
        <w:top w:val="none" w:sz="0" w:space="0" w:color="auto"/>
        <w:left w:val="none" w:sz="0" w:space="0" w:color="auto"/>
        <w:bottom w:val="none" w:sz="0" w:space="0" w:color="auto"/>
        <w:right w:val="none" w:sz="0" w:space="0" w:color="auto"/>
      </w:divBdr>
    </w:div>
    <w:div w:id="121703202">
      <w:bodyDiv w:val="1"/>
      <w:marLeft w:val="0"/>
      <w:marRight w:val="0"/>
      <w:marTop w:val="0"/>
      <w:marBottom w:val="0"/>
      <w:divBdr>
        <w:top w:val="none" w:sz="0" w:space="0" w:color="auto"/>
        <w:left w:val="none" w:sz="0" w:space="0" w:color="auto"/>
        <w:bottom w:val="none" w:sz="0" w:space="0" w:color="auto"/>
        <w:right w:val="none" w:sz="0" w:space="0" w:color="auto"/>
      </w:divBdr>
    </w:div>
    <w:div w:id="122500851">
      <w:bodyDiv w:val="1"/>
      <w:marLeft w:val="0"/>
      <w:marRight w:val="0"/>
      <w:marTop w:val="0"/>
      <w:marBottom w:val="0"/>
      <w:divBdr>
        <w:top w:val="none" w:sz="0" w:space="0" w:color="auto"/>
        <w:left w:val="none" w:sz="0" w:space="0" w:color="auto"/>
        <w:bottom w:val="none" w:sz="0" w:space="0" w:color="auto"/>
        <w:right w:val="none" w:sz="0" w:space="0" w:color="auto"/>
      </w:divBdr>
    </w:div>
    <w:div w:id="127866977">
      <w:bodyDiv w:val="1"/>
      <w:marLeft w:val="0"/>
      <w:marRight w:val="0"/>
      <w:marTop w:val="0"/>
      <w:marBottom w:val="0"/>
      <w:divBdr>
        <w:top w:val="none" w:sz="0" w:space="0" w:color="auto"/>
        <w:left w:val="none" w:sz="0" w:space="0" w:color="auto"/>
        <w:bottom w:val="none" w:sz="0" w:space="0" w:color="auto"/>
        <w:right w:val="none" w:sz="0" w:space="0" w:color="auto"/>
      </w:divBdr>
    </w:div>
    <w:div w:id="219173531">
      <w:bodyDiv w:val="1"/>
      <w:marLeft w:val="0"/>
      <w:marRight w:val="0"/>
      <w:marTop w:val="0"/>
      <w:marBottom w:val="0"/>
      <w:divBdr>
        <w:top w:val="none" w:sz="0" w:space="0" w:color="auto"/>
        <w:left w:val="none" w:sz="0" w:space="0" w:color="auto"/>
        <w:bottom w:val="none" w:sz="0" w:space="0" w:color="auto"/>
        <w:right w:val="none" w:sz="0" w:space="0" w:color="auto"/>
      </w:divBdr>
    </w:div>
    <w:div w:id="227352331">
      <w:bodyDiv w:val="1"/>
      <w:marLeft w:val="0"/>
      <w:marRight w:val="0"/>
      <w:marTop w:val="0"/>
      <w:marBottom w:val="0"/>
      <w:divBdr>
        <w:top w:val="none" w:sz="0" w:space="0" w:color="auto"/>
        <w:left w:val="none" w:sz="0" w:space="0" w:color="auto"/>
        <w:bottom w:val="none" w:sz="0" w:space="0" w:color="auto"/>
        <w:right w:val="none" w:sz="0" w:space="0" w:color="auto"/>
      </w:divBdr>
    </w:div>
    <w:div w:id="240910682">
      <w:bodyDiv w:val="1"/>
      <w:marLeft w:val="0"/>
      <w:marRight w:val="0"/>
      <w:marTop w:val="0"/>
      <w:marBottom w:val="0"/>
      <w:divBdr>
        <w:top w:val="none" w:sz="0" w:space="0" w:color="auto"/>
        <w:left w:val="none" w:sz="0" w:space="0" w:color="auto"/>
        <w:bottom w:val="none" w:sz="0" w:space="0" w:color="auto"/>
        <w:right w:val="none" w:sz="0" w:space="0" w:color="auto"/>
      </w:divBdr>
    </w:div>
    <w:div w:id="242644477">
      <w:bodyDiv w:val="1"/>
      <w:marLeft w:val="0"/>
      <w:marRight w:val="0"/>
      <w:marTop w:val="0"/>
      <w:marBottom w:val="0"/>
      <w:divBdr>
        <w:top w:val="none" w:sz="0" w:space="0" w:color="auto"/>
        <w:left w:val="none" w:sz="0" w:space="0" w:color="auto"/>
        <w:bottom w:val="none" w:sz="0" w:space="0" w:color="auto"/>
        <w:right w:val="none" w:sz="0" w:space="0" w:color="auto"/>
      </w:divBdr>
      <w:divsChild>
        <w:div w:id="335809944">
          <w:marLeft w:val="994"/>
          <w:marRight w:val="0"/>
          <w:marTop w:val="0"/>
          <w:marBottom w:val="0"/>
          <w:divBdr>
            <w:top w:val="none" w:sz="0" w:space="0" w:color="auto"/>
            <w:left w:val="none" w:sz="0" w:space="0" w:color="auto"/>
            <w:bottom w:val="none" w:sz="0" w:space="0" w:color="auto"/>
            <w:right w:val="none" w:sz="0" w:space="0" w:color="auto"/>
          </w:divBdr>
        </w:div>
        <w:div w:id="342440150">
          <w:marLeft w:val="994"/>
          <w:marRight w:val="0"/>
          <w:marTop w:val="0"/>
          <w:marBottom w:val="0"/>
          <w:divBdr>
            <w:top w:val="none" w:sz="0" w:space="0" w:color="auto"/>
            <w:left w:val="none" w:sz="0" w:space="0" w:color="auto"/>
            <w:bottom w:val="none" w:sz="0" w:space="0" w:color="auto"/>
            <w:right w:val="none" w:sz="0" w:space="0" w:color="auto"/>
          </w:divBdr>
        </w:div>
      </w:divsChild>
    </w:div>
    <w:div w:id="273752697">
      <w:bodyDiv w:val="1"/>
      <w:marLeft w:val="0"/>
      <w:marRight w:val="0"/>
      <w:marTop w:val="0"/>
      <w:marBottom w:val="0"/>
      <w:divBdr>
        <w:top w:val="none" w:sz="0" w:space="0" w:color="auto"/>
        <w:left w:val="none" w:sz="0" w:space="0" w:color="auto"/>
        <w:bottom w:val="none" w:sz="0" w:space="0" w:color="auto"/>
        <w:right w:val="none" w:sz="0" w:space="0" w:color="auto"/>
      </w:divBdr>
    </w:div>
    <w:div w:id="289669768">
      <w:bodyDiv w:val="1"/>
      <w:marLeft w:val="0"/>
      <w:marRight w:val="0"/>
      <w:marTop w:val="0"/>
      <w:marBottom w:val="0"/>
      <w:divBdr>
        <w:top w:val="none" w:sz="0" w:space="0" w:color="auto"/>
        <w:left w:val="none" w:sz="0" w:space="0" w:color="auto"/>
        <w:bottom w:val="none" w:sz="0" w:space="0" w:color="auto"/>
        <w:right w:val="none" w:sz="0" w:space="0" w:color="auto"/>
      </w:divBdr>
    </w:div>
    <w:div w:id="331374565">
      <w:bodyDiv w:val="1"/>
      <w:marLeft w:val="0"/>
      <w:marRight w:val="0"/>
      <w:marTop w:val="0"/>
      <w:marBottom w:val="0"/>
      <w:divBdr>
        <w:top w:val="none" w:sz="0" w:space="0" w:color="auto"/>
        <w:left w:val="none" w:sz="0" w:space="0" w:color="auto"/>
        <w:bottom w:val="none" w:sz="0" w:space="0" w:color="auto"/>
        <w:right w:val="none" w:sz="0" w:space="0" w:color="auto"/>
      </w:divBdr>
    </w:div>
    <w:div w:id="336008097">
      <w:bodyDiv w:val="1"/>
      <w:marLeft w:val="0"/>
      <w:marRight w:val="0"/>
      <w:marTop w:val="0"/>
      <w:marBottom w:val="0"/>
      <w:divBdr>
        <w:top w:val="none" w:sz="0" w:space="0" w:color="auto"/>
        <w:left w:val="none" w:sz="0" w:space="0" w:color="auto"/>
        <w:bottom w:val="none" w:sz="0" w:space="0" w:color="auto"/>
        <w:right w:val="none" w:sz="0" w:space="0" w:color="auto"/>
      </w:divBdr>
    </w:div>
    <w:div w:id="436026959">
      <w:bodyDiv w:val="1"/>
      <w:marLeft w:val="0"/>
      <w:marRight w:val="0"/>
      <w:marTop w:val="0"/>
      <w:marBottom w:val="0"/>
      <w:divBdr>
        <w:top w:val="none" w:sz="0" w:space="0" w:color="auto"/>
        <w:left w:val="none" w:sz="0" w:space="0" w:color="auto"/>
        <w:bottom w:val="none" w:sz="0" w:space="0" w:color="auto"/>
        <w:right w:val="none" w:sz="0" w:space="0" w:color="auto"/>
      </w:divBdr>
    </w:div>
    <w:div w:id="461967736">
      <w:bodyDiv w:val="1"/>
      <w:marLeft w:val="0"/>
      <w:marRight w:val="0"/>
      <w:marTop w:val="0"/>
      <w:marBottom w:val="0"/>
      <w:divBdr>
        <w:top w:val="none" w:sz="0" w:space="0" w:color="auto"/>
        <w:left w:val="none" w:sz="0" w:space="0" w:color="auto"/>
        <w:bottom w:val="none" w:sz="0" w:space="0" w:color="auto"/>
        <w:right w:val="none" w:sz="0" w:space="0" w:color="auto"/>
      </w:divBdr>
    </w:div>
    <w:div w:id="480117180">
      <w:bodyDiv w:val="1"/>
      <w:marLeft w:val="0"/>
      <w:marRight w:val="0"/>
      <w:marTop w:val="0"/>
      <w:marBottom w:val="0"/>
      <w:divBdr>
        <w:top w:val="none" w:sz="0" w:space="0" w:color="auto"/>
        <w:left w:val="none" w:sz="0" w:space="0" w:color="auto"/>
        <w:bottom w:val="none" w:sz="0" w:space="0" w:color="auto"/>
        <w:right w:val="none" w:sz="0" w:space="0" w:color="auto"/>
      </w:divBdr>
      <w:divsChild>
        <w:div w:id="1903784955">
          <w:marLeft w:val="0"/>
          <w:marRight w:val="0"/>
          <w:marTop w:val="100"/>
          <w:marBottom w:val="100"/>
          <w:divBdr>
            <w:top w:val="none" w:sz="0" w:space="0" w:color="auto"/>
            <w:left w:val="none" w:sz="0" w:space="0" w:color="auto"/>
            <w:bottom w:val="none" w:sz="0" w:space="0" w:color="auto"/>
            <w:right w:val="none" w:sz="0" w:space="0" w:color="auto"/>
          </w:divBdr>
          <w:divsChild>
            <w:div w:id="1381710585">
              <w:marLeft w:val="0"/>
              <w:marRight w:val="0"/>
              <w:marTop w:val="100"/>
              <w:marBottom w:val="100"/>
              <w:divBdr>
                <w:top w:val="single" w:sz="6" w:space="0" w:color="E0E0E0"/>
                <w:left w:val="single" w:sz="6" w:space="4" w:color="E0E0E0"/>
                <w:bottom w:val="single" w:sz="6" w:space="0" w:color="E0E0E0"/>
                <w:right w:val="single" w:sz="6" w:space="4" w:color="E0E0E0"/>
              </w:divBdr>
              <w:divsChild>
                <w:div w:id="1952736048">
                  <w:marLeft w:val="0"/>
                  <w:marRight w:val="0"/>
                  <w:marTop w:val="0"/>
                  <w:marBottom w:val="0"/>
                  <w:divBdr>
                    <w:top w:val="none" w:sz="0" w:space="0" w:color="auto"/>
                    <w:left w:val="none" w:sz="0" w:space="0" w:color="auto"/>
                    <w:bottom w:val="none" w:sz="0" w:space="0" w:color="auto"/>
                    <w:right w:val="none" w:sz="0" w:space="0" w:color="auto"/>
                  </w:divBdr>
                  <w:divsChild>
                    <w:div w:id="1195196503">
                      <w:marLeft w:val="0"/>
                      <w:marRight w:val="0"/>
                      <w:marTop w:val="0"/>
                      <w:marBottom w:val="0"/>
                      <w:divBdr>
                        <w:top w:val="none" w:sz="0" w:space="0" w:color="auto"/>
                        <w:left w:val="none" w:sz="0" w:space="0" w:color="auto"/>
                        <w:bottom w:val="none" w:sz="0" w:space="0" w:color="auto"/>
                        <w:right w:val="none" w:sz="0" w:space="0" w:color="auto"/>
                      </w:divBdr>
                      <w:divsChild>
                        <w:div w:id="766851865">
                          <w:marLeft w:val="0"/>
                          <w:marRight w:val="0"/>
                          <w:marTop w:val="0"/>
                          <w:marBottom w:val="0"/>
                          <w:divBdr>
                            <w:top w:val="none" w:sz="0" w:space="0" w:color="auto"/>
                            <w:left w:val="none" w:sz="0" w:space="0" w:color="auto"/>
                            <w:bottom w:val="none" w:sz="0" w:space="0" w:color="auto"/>
                            <w:right w:val="none" w:sz="0" w:space="0" w:color="auto"/>
                          </w:divBdr>
                          <w:divsChild>
                            <w:div w:id="1371957306">
                              <w:marLeft w:val="0"/>
                              <w:marRight w:val="0"/>
                              <w:marTop w:val="0"/>
                              <w:marBottom w:val="0"/>
                              <w:divBdr>
                                <w:top w:val="none" w:sz="0" w:space="0" w:color="auto"/>
                                <w:left w:val="none" w:sz="0" w:space="0" w:color="auto"/>
                                <w:bottom w:val="none" w:sz="0" w:space="0" w:color="auto"/>
                                <w:right w:val="none" w:sz="0" w:space="0" w:color="auto"/>
                              </w:divBdr>
                              <w:divsChild>
                                <w:div w:id="1442844979">
                                  <w:marLeft w:val="0"/>
                                  <w:marRight w:val="0"/>
                                  <w:marTop w:val="0"/>
                                  <w:marBottom w:val="0"/>
                                  <w:divBdr>
                                    <w:top w:val="none" w:sz="0" w:space="0" w:color="auto"/>
                                    <w:left w:val="none" w:sz="0" w:space="0" w:color="auto"/>
                                    <w:bottom w:val="none" w:sz="0" w:space="0" w:color="auto"/>
                                    <w:right w:val="none" w:sz="0" w:space="0" w:color="auto"/>
                                  </w:divBdr>
                                  <w:divsChild>
                                    <w:div w:id="346446613">
                                      <w:marLeft w:val="0"/>
                                      <w:marRight w:val="0"/>
                                      <w:marTop w:val="0"/>
                                      <w:marBottom w:val="0"/>
                                      <w:divBdr>
                                        <w:top w:val="none" w:sz="0" w:space="0" w:color="auto"/>
                                        <w:left w:val="none" w:sz="0" w:space="0" w:color="auto"/>
                                        <w:bottom w:val="none" w:sz="0" w:space="0" w:color="auto"/>
                                        <w:right w:val="none" w:sz="0" w:space="0" w:color="auto"/>
                                      </w:divBdr>
                                      <w:divsChild>
                                        <w:div w:id="16152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5897040">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32564795">
      <w:bodyDiv w:val="1"/>
      <w:marLeft w:val="0"/>
      <w:marRight w:val="0"/>
      <w:marTop w:val="0"/>
      <w:marBottom w:val="0"/>
      <w:divBdr>
        <w:top w:val="none" w:sz="0" w:space="0" w:color="auto"/>
        <w:left w:val="none" w:sz="0" w:space="0" w:color="auto"/>
        <w:bottom w:val="none" w:sz="0" w:space="0" w:color="auto"/>
        <w:right w:val="none" w:sz="0" w:space="0" w:color="auto"/>
      </w:divBdr>
    </w:div>
    <w:div w:id="735279993">
      <w:bodyDiv w:val="1"/>
      <w:marLeft w:val="0"/>
      <w:marRight w:val="0"/>
      <w:marTop w:val="0"/>
      <w:marBottom w:val="0"/>
      <w:divBdr>
        <w:top w:val="none" w:sz="0" w:space="0" w:color="auto"/>
        <w:left w:val="none" w:sz="0" w:space="0" w:color="auto"/>
        <w:bottom w:val="none" w:sz="0" w:space="0" w:color="auto"/>
        <w:right w:val="none" w:sz="0" w:space="0" w:color="auto"/>
      </w:divBdr>
    </w:div>
    <w:div w:id="746268268">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83233273">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48845361">
      <w:bodyDiv w:val="1"/>
      <w:marLeft w:val="0"/>
      <w:marRight w:val="0"/>
      <w:marTop w:val="0"/>
      <w:marBottom w:val="0"/>
      <w:divBdr>
        <w:top w:val="none" w:sz="0" w:space="0" w:color="auto"/>
        <w:left w:val="none" w:sz="0" w:space="0" w:color="auto"/>
        <w:bottom w:val="none" w:sz="0" w:space="0" w:color="auto"/>
        <w:right w:val="none" w:sz="0" w:space="0" w:color="auto"/>
      </w:divBdr>
    </w:div>
    <w:div w:id="1064327966">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083798808">
      <w:bodyDiv w:val="1"/>
      <w:marLeft w:val="0"/>
      <w:marRight w:val="0"/>
      <w:marTop w:val="0"/>
      <w:marBottom w:val="0"/>
      <w:divBdr>
        <w:top w:val="none" w:sz="0" w:space="0" w:color="auto"/>
        <w:left w:val="none" w:sz="0" w:space="0" w:color="auto"/>
        <w:bottom w:val="none" w:sz="0" w:space="0" w:color="auto"/>
        <w:right w:val="none" w:sz="0" w:space="0" w:color="auto"/>
      </w:divBdr>
    </w:div>
    <w:div w:id="1173763727">
      <w:bodyDiv w:val="1"/>
      <w:marLeft w:val="0"/>
      <w:marRight w:val="0"/>
      <w:marTop w:val="0"/>
      <w:marBottom w:val="0"/>
      <w:divBdr>
        <w:top w:val="none" w:sz="0" w:space="0" w:color="auto"/>
        <w:left w:val="none" w:sz="0" w:space="0" w:color="auto"/>
        <w:bottom w:val="none" w:sz="0" w:space="0" w:color="auto"/>
        <w:right w:val="none" w:sz="0" w:space="0" w:color="auto"/>
      </w:divBdr>
    </w:div>
    <w:div w:id="1218399913">
      <w:bodyDiv w:val="1"/>
      <w:marLeft w:val="0"/>
      <w:marRight w:val="0"/>
      <w:marTop w:val="0"/>
      <w:marBottom w:val="0"/>
      <w:divBdr>
        <w:top w:val="none" w:sz="0" w:space="0" w:color="auto"/>
        <w:left w:val="none" w:sz="0" w:space="0" w:color="auto"/>
        <w:bottom w:val="none" w:sz="0" w:space="0" w:color="auto"/>
        <w:right w:val="none" w:sz="0" w:space="0" w:color="auto"/>
      </w:divBdr>
    </w:div>
    <w:div w:id="1240211587">
      <w:bodyDiv w:val="1"/>
      <w:marLeft w:val="0"/>
      <w:marRight w:val="0"/>
      <w:marTop w:val="0"/>
      <w:marBottom w:val="0"/>
      <w:divBdr>
        <w:top w:val="none" w:sz="0" w:space="0" w:color="auto"/>
        <w:left w:val="none" w:sz="0" w:space="0" w:color="auto"/>
        <w:bottom w:val="none" w:sz="0" w:space="0" w:color="auto"/>
        <w:right w:val="none" w:sz="0" w:space="0" w:color="auto"/>
      </w:divBdr>
    </w:div>
    <w:div w:id="1383796552">
      <w:bodyDiv w:val="1"/>
      <w:marLeft w:val="0"/>
      <w:marRight w:val="0"/>
      <w:marTop w:val="0"/>
      <w:marBottom w:val="0"/>
      <w:divBdr>
        <w:top w:val="none" w:sz="0" w:space="0" w:color="auto"/>
        <w:left w:val="none" w:sz="0" w:space="0" w:color="auto"/>
        <w:bottom w:val="none" w:sz="0" w:space="0" w:color="auto"/>
        <w:right w:val="none" w:sz="0" w:space="0" w:color="auto"/>
      </w:divBdr>
    </w:div>
    <w:div w:id="1441877497">
      <w:bodyDiv w:val="1"/>
      <w:marLeft w:val="0"/>
      <w:marRight w:val="0"/>
      <w:marTop w:val="0"/>
      <w:marBottom w:val="0"/>
      <w:divBdr>
        <w:top w:val="none" w:sz="0" w:space="0" w:color="auto"/>
        <w:left w:val="none" w:sz="0" w:space="0" w:color="auto"/>
        <w:bottom w:val="none" w:sz="0" w:space="0" w:color="auto"/>
        <w:right w:val="none" w:sz="0" w:space="0" w:color="auto"/>
      </w:divBdr>
    </w:div>
    <w:div w:id="1460225007">
      <w:bodyDiv w:val="1"/>
      <w:marLeft w:val="0"/>
      <w:marRight w:val="0"/>
      <w:marTop w:val="0"/>
      <w:marBottom w:val="0"/>
      <w:divBdr>
        <w:top w:val="none" w:sz="0" w:space="0" w:color="auto"/>
        <w:left w:val="none" w:sz="0" w:space="0" w:color="auto"/>
        <w:bottom w:val="none" w:sz="0" w:space="0" w:color="auto"/>
        <w:right w:val="none" w:sz="0" w:space="0" w:color="auto"/>
      </w:divBdr>
    </w:div>
    <w:div w:id="1462654415">
      <w:bodyDiv w:val="1"/>
      <w:marLeft w:val="0"/>
      <w:marRight w:val="0"/>
      <w:marTop w:val="0"/>
      <w:marBottom w:val="0"/>
      <w:divBdr>
        <w:top w:val="none" w:sz="0" w:space="0" w:color="auto"/>
        <w:left w:val="none" w:sz="0" w:space="0" w:color="auto"/>
        <w:bottom w:val="none" w:sz="0" w:space="0" w:color="auto"/>
        <w:right w:val="none" w:sz="0" w:space="0" w:color="auto"/>
      </w:divBdr>
    </w:div>
    <w:div w:id="1467308663">
      <w:bodyDiv w:val="1"/>
      <w:marLeft w:val="0"/>
      <w:marRight w:val="0"/>
      <w:marTop w:val="0"/>
      <w:marBottom w:val="0"/>
      <w:divBdr>
        <w:top w:val="none" w:sz="0" w:space="0" w:color="auto"/>
        <w:left w:val="none" w:sz="0" w:space="0" w:color="auto"/>
        <w:bottom w:val="none" w:sz="0" w:space="0" w:color="auto"/>
        <w:right w:val="none" w:sz="0" w:space="0" w:color="auto"/>
      </w:divBdr>
    </w:div>
    <w:div w:id="1519586173">
      <w:bodyDiv w:val="1"/>
      <w:marLeft w:val="0"/>
      <w:marRight w:val="0"/>
      <w:marTop w:val="0"/>
      <w:marBottom w:val="0"/>
      <w:divBdr>
        <w:top w:val="none" w:sz="0" w:space="0" w:color="auto"/>
        <w:left w:val="none" w:sz="0" w:space="0" w:color="auto"/>
        <w:bottom w:val="none" w:sz="0" w:space="0" w:color="auto"/>
        <w:right w:val="none" w:sz="0" w:space="0" w:color="auto"/>
      </w:divBdr>
    </w:div>
    <w:div w:id="1530298136">
      <w:bodyDiv w:val="1"/>
      <w:marLeft w:val="0"/>
      <w:marRight w:val="0"/>
      <w:marTop w:val="0"/>
      <w:marBottom w:val="0"/>
      <w:divBdr>
        <w:top w:val="none" w:sz="0" w:space="0" w:color="auto"/>
        <w:left w:val="none" w:sz="0" w:space="0" w:color="auto"/>
        <w:bottom w:val="none" w:sz="0" w:space="0" w:color="auto"/>
        <w:right w:val="none" w:sz="0" w:space="0" w:color="auto"/>
      </w:divBdr>
    </w:div>
    <w:div w:id="1550189410">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54794773">
      <w:bodyDiv w:val="1"/>
      <w:marLeft w:val="0"/>
      <w:marRight w:val="0"/>
      <w:marTop w:val="0"/>
      <w:marBottom w:val="0"/>
      <w:divBdr>
        <w:top w:val="none" w:sz="0" w:space="0" w:color="auto"/>
        <w:left w:val="none" w:sz="0" w:space="0" w:color="auto"/>
        <w:bottom w:val="none" w:sz="0" w:space="0" w:color="auto"/>
        <w:right w:val="none" w:sz="0" w:space="0" w:color="auto"/>
      </w:divBdr>
      <w:divsChild>
        <w:div w:id="635374825">
          <w:marLeft w:val="547"/>
          <w:marRight w:val="0"/>
          <w:marTop w:val="60"/>
          <w:marBottom w:val="60"/>
          <w:divBdr>
            <w:top w:val="none" w:sz="0" w:space="0" w:color="auto"/>
            <w:left w:val="none" w:sz="0" w:space="0" w:color="auto"/>
            <w:bottom w:val="none" w:sz="0" w:space="0" w:color="auto"/>
            <w:right w:val="none" w:sz="0" w:space="0" w:color="auto"/>
          </w:divBdr>
        </w:div>
      </w:divsChild>
    </w:div>
    <w:div w:id="1791050772">
      <w:bodyDiv w:val="1"/>
      <w:marLeft w:val="0"/>
      <w:marRight w:val="0"/>
      <w:marTop w:val="0"/>
      <w:marBottom w:val="0"/>
      <w:divBdr>
        <w:top w:val="none" w:sz="0" w:space="0" w:color="auto"/>
        <w:left w:val="none" w:sz="0" w:space="0" w:color="auto"/>
        <w:bottom w:val="none" w:sz="0" w:space="0" w:color="auto"/>
        <w:right w:val="none" w:sz="0" w:space="0" w:color="auto"/>
      </w:divBdr>
      <w:divsChild>
        <w:div w:id="1727145706">
          <w:marLeft w:val="0"/>
          <w:marRight w:val="0"/>
          <w:marTop w:val="0"/>
          <w:marBottom w:val="0"/>
          <w:divBdr>
            <w:top w:val="none" w:sz="0" w:space="0" w:color="auto"/>
            <w:left w:val="none" w:sz="0" w:space="0" w:color="auto"/>
            <w:bottom w:val="none" w:sz="0" w:space="0" w:color="auto"/>
            <w:right w:val="none" w:sz="0" w:space="0" w:color="auto"/>
          </w:divBdr>
        </w:div>
      </w:divsChild>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12361202">
      <w:bodyDiv w:val="1"/>
      <w:marLeft w:val="0"/>
      <w:marRight w:val="0"/>
      <w:marTop w:val="0"/>
      <w:marBottom w:val="0"/>
      <w:divBdr>
        <w:top w:val="none" w:sz="0" w:space="0" w:color="auto"/>
        <w:left w:val="none" w:sz="0" w:space="0" w:color="auto"/>
        <w:bottom w:val="none" w:sz="0" w:space="0" w:color="auto"/>
        <w:right w:val="none" w:sz="0" w:space="0" w:color="auto"/>
      </w:divBdr>
    </w:div>
    <w:div w:id="1889805891">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92443331">
      <w:bodyDiv w:val="1"/>
      <w:marLeft w:val="0"/>
      <w:marRight w:val="0"/>
      <w:marTop w:val="0"/>
      <w:marBottom w:val="0"/>
      <w:divBdr>
        <w:top w:val="none" w:sz="0" w:space="0" w:color="auto"/>
        <w:left w:val="none" w:sz="0" w:space="0" w:color="auto"/>
        <w:bottom w:val="none" w:sz="0" w:space="0" w:color="auto"/>
        <w:right w:val="none" w:sz="0" w:space="0" w:color="auto"/>
      </w:divBdr>
    </w:div>
    <w:div w:id="2077164506">
      <w:bodyDiv w:val="1"/>
      <w:marLeft w:val="0"/>
      <w:marRight w:val="0"/>
      <w:marTop w:val="0"/>
      <w:marBottom w:val="0"/>
      <w:divBdr>
        <w:top w:val="none" w:sz="0" w:space="0" w:color="auto"/>
        <w:left w:val="none" w:sz="0" w:space="0" w:color="auto"/>
        <w:bottom w:val="none" w:sz="0" w:space="0" w:color="auto"/>
        <w:right w:val="none" w:sz="0" w:space="0" w:color="auto"/>
      </w:divBdr>
      <w:divsChild>
        <w:div w:id="1128161433">
          <w:marLeft w:val="0"/>
          <w:marRight w:val="0"/>
          <w:marTop w:val="0"/>
          <w:marBottom w:val="0"/>
          <w:divBdr>
            <w:top w:val="none" w:sz="0" w:space="0" w:color="auto"/>
            <w:left w:val="none" w:sz="0" w:space="0" w:color="auto"/>
            <w:bottom w:val="none" w:sz="0" w:space="0" w:color="auto"/>
            <w:right w:val="none" w:sz="0" w:space="0" w:color="auto"/>
          </w:divBdr>
        </w:div>
      </w:divsChild>
    </w:div>
    <w:div w:id="2087653913">
      <w:bodyDiv w:val="1"/>
      <w:marLeft w:val="0"/>
      <w:marRight w:val="0"/>
      <w:marTop w:val="0"/>
      <w:marBottom w:val="0"/>
      <w:divBdr>
        <w:top w:val="none" w:sz="0" w:space="0" w:color="auto"/>
        <w:left w:val="none" w:sz="0" w:space="0" w:color="auto"/>
        <w:bottom w:val="none" w:sz="0" w:space="0" w:color="auto"/>
        <w:right w:val="none" w:sz="0" w:space="0" w:color="auto"/>
      </w:divBdr>
      <w:divsChild>
        <w:div w:id="1615744809">
          <w:marLeft w:val="0"/>
          <w:marRight w:val="0"/>
          <w:marTop w:val="0"/>
          <w:marBottom w:val="0"/>
          <w:divBdr>
            <w:top w:val="none" w:sz="0" w:space="0" w:color="auto"/>
            <w:left w:val="none" w:sz="0" w:space="0" w:color="auto"/>
            <w:bottom w:val="none" w:sz="0" w:space="0" w:color="auto"/>
            <w:right w:val="none" w:sz="0" w:space="0" w:color="auto"/>
          </w:divBdr>
        </w:div>
      </w:divsChild>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05607533">
      <w:bodyDiv w:val="1"/>
      <w:marLeft w:val="0"/>
      <w:marRight w:val="0"/>
      <w:marTop w:val="0"/>
      <w:marBottom w:val="0"/>
      <w:divBdr>
        <w:top w:val="none" w:sz="0" w:space="0" w:color="auto"/>
        <w:left w:val="none" w:sz="0" w:space="0" w:color="auto"/>
        <w:bottom w:val="none" w:sz="0" w:space="0" w:color="auto"/>
        <w:right w:val="none" w:sz="0" w:space="0" w:color="auto"/>
      </w:divBdr>
    </w:div>
    <w:div w:id="2133359439">
      <w:bodyDiv w:val="1"/>
      <w:marLeft w:val="0"/>
      <w:marRight w:val="0"/>
      <w:marTop w:val="0"/>
      <w:marBottom w:val="0"/>
      <w:divBdr>
        <w:top w:val="none" w:sz="0" w:space="0" w:color="auto"/>
        <w:left w:val="none" w:sz="0" w:space="0" w:color="auto"/>
        <w:bottom w:val="none" w:sz="0" w:space="0" w:color="auto"/>
        <w:right w:val="none" w:sz="0" w:space="0" w:color="auto"/>
      </w:divBdr>
      <w:divsChild>
        <w:div w:id="545141483">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zeljenadejstva@cinmed.me"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inmed.m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rimaryreporting.who-umc.org/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66c84b6-b7a9-4250-821d-dda0c63ded1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DD34E7172DC544ADF8E8D61C09FCEF" ma:contentTypeVersion="12" ma:contentTypeDescription="Create a new document." ma:contentTypeScope="" ma:versionID="1e0e8588ef6afee7cc6079e0b7c3e2e3">
  <xsd:schema xmlns:xsd="http://www.w3.org/2001/XMLSchema" xmlns:xs="http://www.w3.org/2001/XMLSchema" xmlns:p="http://schemas.microsoft.com/office/2006/metadata/properties" xmlns:ns2="a66c84b6-b7a9-4250-821d-dda0c63ded1e" xmlns:ns3="8f96859e-f3a0-4936-81df-0bd394b63648" targetNamespace="http://schemas.microsoft.com/office/2006/metadata/properties" ma:root="true" ma:fieldsID="4abaeac59830dba81bdd9b1d0bab8d9a" ns2:_="" ns3:_="">
    <xsd:import namespace="a66c84b6-b7a9-4250-821d-dda0c63ded1e"/>
    <xsd:import namespace="8f96859e-f3a0-4936-81df-0bd394b6364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2:_Flow_SignoffStatus" minOccurs="0"/>
                <xsd:element ref="ns3:SharedWithUsers" minOccurs="0"/>
                <xsd:element ref="ns3:SharedWithDetails"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c84b6-b7a9-4250-821d-dda0c63ded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96859e-f3a0-4936-81df-0bd394b6364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82ad3a63-90ad-4a46-a3cb-757f4658e205" origin="userSelected">
  <element uid="9036a7a1-5a4f-48d3-b24b-dfdab053dac9" value=""/>
  <element uid="523da9b1-25e0-4c9d-8976-14cdf8125397" value=""/>
  <element uid="7349a702-6462-4442-88eb-c64cd513835c" value=""/>
</sisl>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95726C-CA30-4038-A063-452A10F2ADC6}">
  <ds:schemaRefs>
    <ds:schemaRef ds:uri="http://schemas.microsoft.com/office/2006/metadata/properties"/>
    <ds:schemaRef ds:uri="http://schemas.microsoft.com/office/infopath/2007/PartnerControls"/>
    <ds:schemaRef ds:uri="a66c84b6-b7a9-4250-821d-dda0c63ded1e"/>
  </ds:schemaRefs>
</ds:datastoreItem>
</file>

<file path=customXml/itemProps2.xml><?xml version="1.0" encoding="utf-8"?>
<ds:datastoreItem xmlns:ds="http://schemas.openxmlformats.org/officeDocument/2006/customXml" ds:itemID="{1716EB57-1248-4CF5-AFC9-F4398053D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c84b6-b7a9-4250-821d-dda0c63ded1e"/>
    <ds:schemaRef ds:uri="8f96859e-f3a0-4936-81df-0bd394b63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6ECDAD-830B-4691-9E16-5106D072AD64}">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B6AAC61F-3BF0-4E87-9C1C-B7BDDDBAEBF8}">
  <ds:schemaRefs>
    <ds:schemaRef ds:uri="http://schemas.microsoft.com/sharepoint/v3/contenttype/forms"/>
  </ds:schemaRefs>
</ds:datastoreItem>
</file>

<file path=customXml/itemProps5.xml><?xml version="1.0" encoding="utf-8"?>
<ds:datastoreItem xmlns:ds="http://schemas.openxmlformats.org/officeDocument/2006/customXml" ds:itemID="{3D673C7E-38CB-444C-AFA4-9B5F06BD9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9398</Words>
  <Characters>53570</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Repatha, INN-evolocumab</vt:lpstr>
    </vt:vector>
  </TitlesOfParts>
  <Company>European Medicines Agency</Company>
  <LinksUpToDate>false</LinksUpToDate>
  <CharactersWithSpaces>62843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Repatha, INN-evolocumab</dc:title>
  <dc:subject>EPAR</dc:subject>
  <dc:creator>CHMP</dc:creator>
  <cp:keywords>*$%IU-*$%PatientSaf</cp:keywords>
  <cp:lastModifiedBy>Olja Borozan</cp:lastModifiedBy>
  <cp:revision>16</cp:revision>
  <cp:lastPrinted>2014-07-31T09:27:00Z</cp:lastPrinted>
  <dcterms:created xsi:type="dcterms:W3CDTF">2025-03-27T07:42:00Z</dcterms:created>
  <dcterms:modified xsi:type="dcterms:W3CDTF">2025-05-08T12:33:00Z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CURRENT,1.4</vt:lpwstr>
  </property>
  <property fmtid="{D5CDD505-2E9C-101B-9397-08002B2CF9AE}" pid="31" name="DM_Name">
    <vt:lpwstr>Hqrdtemplatecleanen</vt:lpwstr>
  </property>
  <property fmtid="{D5CDD505-2E9C-101B-9397-08002B2CF9AE}" pid="32" name="DM_Creation_Date">
    <vt:lpwstr>15/03/2013 12:30:32</vt:lpwstr>
  </property>
  <property fmtid="{D5CDD505-2E9C-101B-9397-08002B2CF9AE}" pid="33" name="DM_Modify_Date">
    <vt:lpwstr>15/03/2013 12:30:32</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EMA/149220/2013</vt:lpwstr>
  </property>
  <property fmtid="{D5CDD505-2E9C-101B-9397-08002B2CF9AE}" pid="38" name="DM_Category">
    <vt:lpwstr>Product Information</vt:lpwstr>
  </property>
  <property fmtid="{D5CDD505-2E9C-101B-9397-08002B2CF9AE}" pid="39" name="DM_Path">
    <vt:lpwstr>/13. Projects/02-004-00014-PIM Implementation/Implementation/DES 2.8 Construction/QRD Template</vt:lpwstr>
  </property>
  <property fmtid="{D5CDD505-2E9C-101B-9397-08002B2CF9AE}" pid="40" name="DM_emea_doc_ref_id">
    <vt:lpwstr>EMA/149220/2013</vt:lpwstr>
  </property>
  <property fmtid="{D5CDD505-2E9C-101B-9397-08002B2CF9AE}" pid="41" name="DM_Modifer_Name">
    <vt:lpwstr>Espinasse Claire</vt:lpwstr>
  </property>
  <property fmtid="{D5CDD505-2E9C-101B-9397-08002B2CF9AE}" pid="42" name="DM_Modified_Date">
    <vt:lpwstr>15/03/2013 12:30:32</vt:lpwstr>
  </property>
  <property fmtid="{D5CDD505-2E9C-101B-9397-08002B2CF9AE}" pid="43" name="docIndexRef">
    <vt:lpwstr>e069abb0-da01-42f1-9bf1-c24260773e38</vt:lpwstr>
  </property>
  <property fmtid="{D5CDD505-2E9C-101B-9397-08002B2CF9AE}" pid="44" name="bjSaver">
    <vt:lpwstr>aFp5GXnl0c99oDZk2yDzm2hxePlbUvzP</vt:lpwstr>
  </property>
  <property fmtid="{D5CDD505-2E9C-101B-9397-08002B2CF9AE}" pid="45" name="bjDocumentLabelXML">
    <vt:lpwstr>&lt;?xml version="1.0" encoding="us-ascii"?&gt;&lt;sisl xmlns:xsi="http://www.w3.org/2001/XMLSchema-instance" xmlns:xsd="http://www.w3.org/2001/XMLSchema" sislVersion="0" policy="82ad3a63-90ad-4a46-a3cb-757f4658e205" origin="userSelected" xmlns="http://www.boldonj</vt:lpwstr>
  </property>
  <property fmtid="{D5CDD505-2E9C-101B-9397-08002B2CF9AE}" pid="46" name="bjDocumentLabelXML-0">
    <vt:lpwstr>ames.com/2008/01/sie/internal/label"&gt;&lt;element uid="9036a7a1-5a4f-48d3-b24b-dfdab053dac9" value="" /&gt;&lt;element uid="523da9b1-25e0-4c9d-8976-14cdf8125397" value="" /&gt;&lt;element uid="7349a702-6462-4442-88eb-c64cd513835c" value="" /&gt;&lt;/sisl&gt;</vt:lpwstr>
  </property>
  <property fmtid="{D5CDD505-2E9C-101B-9397-08002B2CF9AE}" pid="47" name="bjDocumentSecurityLabel">
    <vt:lpwstr>Internal Use Only - Patient Safety</vt:lpwstr>
  </property>
  <property fmtid="{D5CDD505-2E9C-101B-9397-08002B2CF9AE}" pid="48" name="ContentTypeId">
    <vt:lpwstr>0x01010010DD34E7172DC544ADF8E8D61C09FCEF</vt:lpwstr>
  </property>
  <property fmtid="{D5CDD505-2E9C-101B-9397-08002B2CF9AE}" pid="49" name="MSIP_Label_acf213f2-4125-4925-823d-f30baca066c9_Enabled">
    <vt:lpwstr>true</vt:lpwstr>
  </property>
  <property fmtid="{D5CDD505-2E9C-101B-9397-08002B2CF9AE}" pid="50" name="MSIP_Label_acf213f2-4125-4925-823d-f30baca066c9_SetDate">
    <vt:lpwstr>2022-02-14T18:39:45Z</vt:lpwstr>
  </property>
  <property fmtid="{D5CDD505-2E9C-101B-9397-08002B2CF9AE}" pid="51" name="MSIP_Label_acf213f2-4125-4925-823d-f30baca066c9_Method">
    <vt:lpwstr>Privileged</vt:lpwstr>
  </property>
  <property fmtid="{D5CDD505-2E9C-101B-9397-08002B2CF9AE}" pid="52" name="MSIP_Label_acf213f2-4125-4925-823d-f30baca066c9_Name">
    <vt:lpwstr>Internal Use Only_</vt:lpwstr>
  </property>
  <property fmtid="{D5CDD505-2E9C-101B-9397-08002B2CF9AE}" pid="53" name="MSIP_Label_acf213f2-4125-4925-823d-f30baca066c9_SiteId">
    <vt:lpwstr>4b4266a6-1368-41af-ad5a-59eb634f7ad8</vt:lpwstr>
  </property>
  <property fmtid="{D5CDD505-2E9C-101B-9397-08002B2CF9AE}" pid="54" name="MSIP_Label_acf213f2-4125-4925-823d-f30baca066c9_ActionId">
    <vt:lpwstr>13d99fad-1e2b-4072-ac92-299492637417</vt:lpwstr>
  </property>
  <property fmtid="{D5CDD505-2E9C-101B-9397-08002B2CF9AE}" pid="55" name="MSIP_Label_acf213f2-4125-4925-823d-f30baca066c9_ContentBits">
    <vt:lpwstr>0</vt:lpwstr>
  </property>
</Properties>
</file>