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7CCBE" w14:textId="77777777" w:rsidR="001A5518" w:rsidRDefault="001A5518" w:rsidP="00DA1672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6EC65A68" w14:textId="77777777" w:rsidR="00F91C7B" w:rsidRPr="00786071" w:rsidRDefault="00F91C7B" w:rsidP="00DA1672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4A872943" w14:textId="77777777" w:rsidR="002510A5" w:rsidRPr="00C256EF" w:rsidRDefault="002510A5" w:rsidP="00375E66">
      <w:pPr>
        <w:jc w:val="center"/>
        <w:rPr>
          <w:b/>
          <w:bCs/>
          <w:iCs/>
          <w:sz w:val="22"/>
          <w:szCs w:val="22"/>
          <w:u w:val="single"/>
          <w:lang w:val="sr-Latn-RS"/>
        </w:rPr>
      </w:pPr>
      <w:r w:rsidRPr="00C256EF">
        <w:rPr>
          <w:b/>
          <w:bCs/>
          <w:iCs/>
          <w:sz w:val="22"/>
          <w:szCs w:val="22"/>
          <w:u w:val="single"/>
          <w:lang w:val="sr-Latn-RS"/>
        </w:rPr>
        <w:t>SAŽETAK KARAKTERISTIKA LIJEKA</w:t>
      </w:r>
    </w:p>
    <w:p w14:paraId="3E46D551" w14:textId="77777777" w:rsidR="002510A5" w:rsidRPr="00C256EF" w:rsidRDefault="002510A5" w:rsidP="00DA1672">
      <w:pPr>
        <w:jc w:val="both"/>
        <w:rPr>
          <w:b/>
          <w:bCs/>
          <w:i/>
          <w:iCs/>
          <w:sz w:val="22"/>
          <w:szCs w:val="22"/>
          <w:u w:val="single"/>
          <w:lang w:val="sr-Latn-RS"/>
        </w:rPr>
      </w:pPr>
    </w:p>
    <w:p w14:paraId="69EFDA58" w14:textId="77777777" w:rsidR="003C17AB" w:rsidRPr="00C256EF" w:rsidRDefault="003C17AB" w:rsidP="00DA1672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RS"/>
        </w:rPr>
      </w:pPr>
    </w:p>
    <w:p w14:paraId="31985908" w14:textId="77777777" w:rsidR="00C37FD7" w:rsidRPr="00C256EF" w:rsidRDefault="00C37FD7" w:rsidP="00DA16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C9C536F" w14:textId="77777777" w:rsidR="00411B4B" w:rsidRPr="00C256EF" w:rsidRDefault="00411B4B" w:rsidP="00F95F4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>1.</w:t>
      </w:r>
      <w:r w:rsidR="00F5167F" w:rsidRPr="00C256EF">
        <w:rPr>
          <w:b/>
          <w:bCs/>
          <w:sz w:val="22"/>
          <w:szCs w:val="22"/>
          <w:lang w:val="sr-Latn-RS"/>
        </w:rPr>
        <w:tab/>
      </w:r>
      <w:r w:rsidR="002846DB" w:rsidRPr="00C256EF">
        <w:rPr>
          <w:b/>
          <w:bCs/>
          <w:sz w:val="22"/>
          <w:szCs w:val="22"/>
          <w:lang w:val="sr-Latn-RS"/>
        </w:rPr>
        <w:t xml:space="preserve">NAZIV </w:t>
      </w:r>
      <w:r w:rsidRPr="00C256EF">
        <w:rPr>
          <w:b/>
          <w:bCs/>
          <w:sz w:val="22"/>
          <w:szCs w:val="22"/>
          <w:lang w:val="sr-Latn-RS"/>
        </w:rPr>
        <w:t>LIJEKA</w:t>
      </w:r>
    </w:p>
    <w:p w14:paraId="5439A6C2" w14:textId="77777777" w:rsidR="00EC2532" w:rsidRPr="00C256EF" w:rsidRDefault="00EC2532" w:rsidP="00F95F4D">
      <w:pPr>
        <w:jc w:val="both"/>
        <w:rPr>
          <w:sz w:val="22"/>
          <w:szCs w:val="22"/>
          <w:lang w:val="sr-Latn-RS"/>
        </w:rPr>
      </w:pPr>
    </w:p>
    <w:p w14:paraId="4838A089" w14:textId="12F45292" w:rsidR="00DA1672" w:rsidRPr="00C256EF" w:rsidRDefault="00DA1672" w:rsidP="00F95F4D">
      <w:pPr>
        <w:pStyle w:val="BodyText"/>
        <w:tabs>
          <w:tab w:val="left" w:pos="2430"/>
        </w:tabs>
        <w:ind w:left="0"/>
        <w:jc w:val="both"/>
        <w:rPr>
          <w:lang w:val="sr-Latn-RS"/>
        </w:rPr>
      </w:pPr>
      <w:r w:rsidRPr="00C256EF">
        <w:rPr>
          <w:lang w:val="sr-Latn-RS"/>
        </w:rPr>
        <w:t>Sorafenib Viatris, 200 mg, film tablet</w:t>
      </w:r>
      <w:r w:rsidR="004108DC" w:rsidRPr="00C256EF">
        <w:rPr>
          <w:lang w:val="sr-Latn-RS"/>
        </w:rPr>
        <w:t>a</w:t>
      </w:r>
      <w:r w:rsidRPr="00C256EF">
        <w:rPr>
          <w:lang w:val="sr-Latn-RS"/>
        </w:rPr>
        <w:t xml:space="preserve"> </w:t>
      </w:r>
    </w:p>
    <w:p w14:paraId="3F737B77" w14:textId="77777777" w:rsidR="00DA1672" w:rsidRPr="00C256EF" w:rsidRDefault="00DA1672" w:rsidP="00F95F4D">
      <w:pPr>
        <w:pStyle w:val="BodyText"/>
        <w:tabs>
          <w:tab w:val="left" w:pos="2430"/>
        </w:tabs>
        <w:ind w:left="0"/>
        <w:jc w:val="both"/>
        <w:rPr>
          <w:lang w:val="sr-Latn-RS"/>
        </w:rPr>
      </w:pPr>
      <w:r w:rsidRPr="00C256EF">
        <w:rPr>
          <w:lang w:val="sr-Latn-RS"/>
        </w:rPr>
        <w:t>INN: sorafenib</w:t>
      </w:r>
    </w:p>
    <w:p w14:paraId="3C70CBB3" w14:textId="77777777" w:rsidR="006D20A5" w:rsidRPr="00C256EF" w:rsidRDefault="006D20A5" w:rsidP="00F95F4D">
      <w:pPr>
        <w:jc w:val="both"/>
        <w:rPr>
          <w:bCs/>
          <w:sz w:val="22"/>
          <w:szCs w:val="22"/>
          <w:lang w:val="sr-Latn-RS"/>
        </w:rPr>
      </w:pPr>
    </w:p>
    <w:p w14:paraId="4E436665" w14:textId="77777777" w:rsidR="00530BD7" w:rsidRPr="00C256EF" w:rsidRDefault="00530BD7" w:rsidP="00F95F4D">
      <w:pPr>
        <w:jc w:val="both"/>
        <w:rPr>
          <w:bCs/>
          <w:sz w:val="22"/>
          <w:szCs w:val="22"/>
          <w:lang w:val="sr-Latn-RS"/>
        </w:rPr>
      </w:pPr>
    </w:p>
    <w:p w14:paraId="0ABC1EC4" w14:textId="77777777" w:rsidR="00411B4B" w:rsidRPr="00C256EF" w:rsidRDefault="00411B4B" w:rsidP="00F95F4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2. </w:t>
      </w:r>
      <w:r w:rsidR="00F5167F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KVALITATIVNI I KVANTITATIVNI SASTAV</w:t>
      </w:r>
    </w:p>
    <w:p w14:paraId="6DF4F228" w14:textId="77777777" w:rsidR="005A0B2E" w:rsidRPr="00C256EF" w:rsidRDefault="005A0B2E" w:rsidP="00F95F4D">
      <w:pPr>
        <w:jc w:val="both"/>
        <w:rPr>
          <w:sz w:val="22"/>
          <w:szCs w:val="22"/>
          <w:lang w:val="sr-Latn-RS"/>
        </w:rPr>
      </w:pPr>
    </w:p>
    <w:p w14:paraId="1480D186" w14:textId="42106795" w:rsidR="00DA1672" w:rsidRPr="00C256EF" w:rsidRDefault="00DA1672" w:rsidP="00F95F4D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Jedna film tableta sadrži 200 mg sorafeniba (u obliku sorafenib</w:t>
      </w:r>
      <w:r w:rsidR="004108DC" w:rsidRPr="00C256EF">
        <w:rPr>
          <w:lang w:val="sr-Latn-RS"/>
        </w:rPr>
        <w:t xml:space="preserve"> </w:t>
      </w:r>
      <w:r w:rsidRPr="00C256EF">
        <w:rPr>
          <w:lang w:val="sr-Latn-RS"/>
        </w:rPr>
        <w:t xml:space="preserve">tosilata). </w:t>
      </w:r>
    </w:p>
    <w:p w14:paraId="401C3096" w14:textId="77777777" w:rsidR="00DA1672" w:rsidRPr="00C256EF" w:rsidRDefault="00DA1672" w:rsidP="00F95F4D">
      <w:pPr>
        <w:jc w:val="both"/>
        <w:rPr>
          <w:sz w:val="22"/>
          <w:szCs w:val="22"/>
          <w:lang w:val="sr-Latn-RS"/>
        </w:rPr>
      </w:pPr>
    </w:p>
    <w:p w14:paraId="68FAE822" w14:textId="062121D9" w:rsidR="0003793F" w:rsidRPr="00C256EF" w:rsidRDefault="0003793F" w:rsidP="00F95F4D">
      <w:pPr>
        <w:jc w:val="both"/>
        <w:rPr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t>Za spisak svih ekscipijenasa, pogledati dio 6.1.</w:t>
      </w:r>
    </w:p>
    <w:p w14:paraId="7CA84713" w14:textId="77777777" w:rsidR="0003793F" w:rsidRPr="00C256EF" w:rsidRDefault="0003793F" w:rsidP="00F95F4D">
      <w:pPr>
        <w:jc w:val="both"/>
        <w:rPr>
          <w:sz w:val="22"/>
          <w:szCs w:val="22"/>
          <w:lang w:val="sr-Latn-RS"/>
        </w:rPr>
      </w:pPr>
    </w:p>
    <w:p w14:paraId="5EBBA53A" w14:textId="77777777" w:rsidR="00C37FD7" w:rsidRPr="00C256EF" w:rsidRDefault="00C37FD7" w:rsidP="00F95F4D">
      <w:pPr>
        <w:jc w:val="both"/>
        <w:rPr>
          <w:sz w:val="22"/>
          <w:szCs w:val="22"/>
          <w:lang w:val="sr-Latn-RS"/>
        </w:rPr>
      </w:pPr>
    </w:p>
    <w:p w14:paraId="5FBE8FB0" w14:textId="77777777" w:rsidR="00411B4B" w:rsidRPr="00C256EF" w:rsidRDefault="00411B4B" w:rsidP="00F95F4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3. </w:t>
      </w:r>
      <w:r w:rsidR="00F5167F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FARMACEUTSKI OBLIK</w:t>
      </w:r>
      <w:r w:rsidR="009F2D23" w:rsidRPr="00C256EF">
        <w:rPr>
          <w:b/>
          <w:bCs/>
          <w:sz w:val="22"/>
          <w:szCs w:val="22"/>
          <w:lang w:val="sr-Latn-RS"/>
        </w:rPr>
        <w:t xml:space="preserve"> </w:t>
      </w:r>
    </w:p>
    <w:p w14:paraId="7DBD2863" w14:textId="77777777" w:rsidR="00375E66" w:rsidRPr="00C256EF" w:rsidRDefault="00375E66" w:rsidP="00F95F4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5172673" w14:textId="0A628FFB" w:rsidR="00DA1672" w:rsidRPr="00C256EF" w:rsidRDefault="00DA1672" w:rsidP="00F95F4D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Film tablet</w:t>
      </w:r>
      <w:r w:rsidR="004108DC" w:rsidRPr="00C256EF">
        <w:rPr>
          <w:lang w:val="sr-Latn-RS"/>
        </w:rPr>
        <w:t>a</w:t>
      </w:r>
      <w:r w:rsidRPr="00C256EF">
        <w:rPr>
          <w:lang w:val="sr-Latn-RS"/>
        </w:rPr>
        <w:t>.</w:t>
      </w:r>
    </w:p>
    <w:p w14:paraId="57D90AB4" w14:textId="77777777" w:rsidR="00DA1672" w:rsidRPr="00C256EF" w:rsidRDefault="00DA1672" w:rsidP="00F95F4D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Okrugle, bikonveksne film tablete crveno-braon boje, sa utisnutom oznakom „200” na jednoj strani i bez oznake na drugoj strani, prečnika 12,0 mm ± 5%.</w:t>
      </w:r>
    </w:p>
    <w:p w14:paraId="2C9B492D" w14:textId="77777777" w:rsidR="00411B4B" w:rsidRPr="00C256EF" w:rsidRDefault="00411B4B" w:rsidP="00F95F4D">
      <w:pPr>
        <w:jc w:val="both"/>
        <w:rPr>
          <w:bCs/>
          <w:sz w:val="22"/>
          <w:szCs w:val="22"/>
          <w:lang w:val="sr-Latn-RS"/>
        </w:rPr>
      </w:pPr>
    </w:p>
    <w:p w14:paraId="5C530EF3" w14:textId="77777777" w:rsidR="00EC2532" w:rsidRPr="00C256EF" w:rsidRDefault="00EC2532" w:rsidP="00F95F4D">
      <w:pPr>
        <w:jc w:val="both"/>
        <w:rPr>
          <w:bCs/>
          <w:sz w:val="22"/>
          <w:szCs w:val="22"/>
          <w:lang w:val="sr-Latn-RS"/>
        </w:rPr>
      </w:pPr>
    </w:p>
    <w:p w14:paraId="797164AE" w14:textId="77777777" w:rsidR="00411B4B" w:rsidRPr="00C256EF" w:rsidRDefault="00411B4B" w:rsidP="00F95F4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4.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KLINIČKI PODACI</w:t>
      </w:r>
    </w:p>
    <w:p w14:paraId="0E305057" w14:textId="77777777" w:rsidR="00CD6F02" w:rsidRPr="00C256EF" w:rsidRDefault="00CD6F02" w:rsidP="00F95F4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E86C716" w14:textId="77777777" w:rsidR="00411B4B" w:rsidRPr="00C256EF" w:rsidRDefault="00411B4B" w:rsidP="00F95F4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4.1.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Terapijske indikacije</w:t>
      </w:r>
    </w:p>
    <w:p w14:paraId="43907AA6" w14:textId="77777777" w:rsidR="00411B4B" w:rsidRPr="00C256EF" w:rsidRDefault="00411B4B" w:rsidP="00F95F4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6485900" w14:textId="77777777" w:rsidR="00DA1672" w:rsidRPr="00C256EF" w:rsidRDefault="00DA1672" w:rsidP="00F95F4D">
      <w:pPr>
        <w:pStyle w:val="BodyText"/>
        <w:ind w:left="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t>Hepatocelularni</w:t>
      </w:r>
      <w:r w:rsidRPr="00C256EF">
        <w:rPr>
          <w:spacing w:val="-7"/>
          <w:u w:val="single"/>
          <w:lang w:val="sr-Latn-RS"/>
        </w:rPr>
        <w:t xml:space="preserve"> </w:t>
      </w:r>
      <w:r w:rsidRPr="00C256EF">
        <w:rPr>
          <w:u w:val="single"/>
          <w:lang w:val="sr-Latn-RS"/>
        </w:rPr>
        <w:t>karcinom</w:t>
      </w:r>
    </w:p>
    <w:p w14:paraId="208B058E" w14:textId="77777777" w:rsidR="00DA1672" w:rsidRPr="00C256EF" w:rsidRDefault="00DA1672" w:rsidP="00F95F4D">
      <w:pPr>
        <w:pStyle w:val="BodyText"/>
        <w:ind w:left="0"/>
        <w:jc w:val="both"/>
        <w:rPr>
          <w:lang w:val="sr-Latn-RS"/>
        </w:rPr>
      </w:pPr>
    </w:p>
    <w:p w14:paraId="1060E70A" w14:textId="466333C5" w:rsidR="00DA1672" w:rsidRPr="00C256EF" w:rsidRDefault="00375E66" w:rsidP="00F95F4D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Lijek</w:t>
      </w:r>
      <w:r w:rsidR="00DA1672" w:rsidRPr="00C256EF">
        <w:rPr>
          <w:lang w:val="sr-Latn-RS"/>
        </w:rPr>
        <w:t xml:space="preserve"> Sorafenib Viatris je indikovan za </w:t>
      </w:r>
      <w:r w:rsidRPr="00C256EF">
        <w:rPr>
          <w:lang w:val="sr-Latn-RS"/>
        </w:rPr>
        <w:t>liječe</w:t>
      </w:r>
      <w:r w:rsidR="00DA1672" w:rsidRPr="00C256EF">
        <w:rPr>
          <w:lang w:val="sr-Latn-RS"/>
        </w:rPr>
        <w:t>nje pacijenata sa hepatocelularnim karcinomom (</w:t>
      </w:r>
      <w:r w:rsidR="00DA6303" w:rsidRPr="00C256EF">
        <w:rPr>
          <w:lang w:val="sr-Latn-RS"/>
        </w:rPr>
        <w:t>vidjeti</w:t>
      </w:r>
      <w:r w:rsidR="00DA1672" w:rsidRPr="00C256EF">
        <w:rPr>
          <w:lang w:val="sr-Latn-RS"/>
        </w:rPr>
        <w:t xml:space="preserve"> </w:t>
      </w:r>
      <w:r w:rsidRPr="00C256EF">
        <w:rPr>
          <w:lang w:val="sr-Latn-RS"/>
        </w:rPr>
        <w:t>dio</w:t>
      </w:r>
      <w:r w:rsidR="00DA1672" w:rsidRPr="00C256EF">
        <w:rPr>
          <w:lang w:val="sr-Latn-RS"/>
        </w:rPr>
        <w:t xml:space="preserve"> 5.1). </w:t>
      </w:r>
    </w:p>
    <w:p w14:paraId="708C24ED" w14:textId="77777777" w:rsidR="00DA1672" w:rsidRPr="00C256EF" w:rsidRDefault="00DA1672" w:rsidP="00F95F4D">
      <w:pPr>
        <w:pStyle w:val="BodyText"/>
        <w:ind w:left="0"/>
        <w:jc w:val="both"/>
        <w:rPr>
          <w:lang w:val="sr-Latn-RS"/>
        </w:rPr>
      </w:pPr>
    </w:p>
    <w:p w14:paraId="4B717E13" w14:textId="77777777" w:rsidR="00DA1672" w:rsidRPr="00C256EF" w:rsidRDefault="00DA1672" w:rsidP="00F95F4D">
      <w:pPr>
        <w:pStyle w:val="BodyText"/>
        <w:ind w:left="0"/>
        <w:jc w:val="both"/>
        <w:rPr>
          <w:spacing w:val="-3"/>
          <w:u w:val="single"/>
          <w:lang w:val="sr-Latn-RS"/>
        </w:rPr>
      </w:pPr>
      <w:r w:rsidRPr="00C256EF">
        <w:rPr>
          <w:u w:val="single"/>
          <w:lang w:val="sr-Latn-RS"/>
        </w:rPr>
        <w:t>Karcinom bubrežnih</w:t>
      </w:r>
      <w:r w:rsidRPr="00C256EF">
        <w:rPr>
          <w:spacing w:val="-9"/>
          <w:u w:val="single"/>
          <w:lang w:val="sr-Latn-RS"/>
        </w:rPr>
        <w:t xml:space="preserve"> </w:t>
      </w:r>
      <w:r w:rsidRPr="00C256EF">
        <w:rPr>
          <w:spacing w:val="-3"/>
          <w:u w:val="single"/>
          <w:lang w:val="sr-Latn-RS"/>
        </w:rPr>
        <w:t>ćelija</w:t>
      </w:r>
    </w:p>
    <w:p w14:paraId="5BFE80FB" w14:textId="77777777" w:rsidR="00DA1672" w:rsidRPr="00C256EF" w:rsidRDefault="00DA1672" w:rsidP="00F95F4D">
      <w:pPr>
        <w:pStyle w:val="BodyText"/>
        <w:ind w:left="0"/>
        <w:jc w:val="both"/>
        <w:rPr>
          <w:lang w:val="sr-Latn-RS"/>
        </w:rPr>
      </w:pPr>
    </w:p>
    <w:p w14:paraId="4DA71478" w14:textId="5CC364AF" w:rsidR="00DA1672" w:rsidRPr="00C256EF" w:rsidRDefault="00375E66" w:rsidP="00F95F4D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Lijek</w:t>
      </w:r>
      <w:r w:rsidR="00DA1672" w:rsidRPr="00C256EF">
        <w:rPr>
          <w:lang w:val="sr-Latn-RS"/>
        </w:rPr>
        <w:t xml:space="preserve"> Sorafenib Viatris je indikovan za </w:t>
      </w:r>
      <w:r w:rsidRPr="00C256EF">
        <w:rPr>
          <w:lang w:val="sr-Latn-RS"/>
        </w:rPr>
        <w:t>liječe</w:t>
      </w:r>
      <w:r w:rsidR="00DA1672" w:rsidRPr="00C256EF">
        <w:rPr>
          <w:lang w:val="sr-Latn-RS"/>
        </w:rPr>
        <w:t xml:space="preserve">nje pacijenata </w:t>
      </w:r>
      <w:r w:rsidR="00DA1672" w:rsidRPr="00C256EF">
        <w:rPr>
          <w:spacing w:val="-3"/>
          <w:lang w:val="sr-Latn-RS"/>
        </w:rPr>
        <w:t xml:space="preserve">sa </w:t>
      </w:r>
      <w:r w:rsidR="00DA1672" w:rsidRPr="00C256EF">
        <w:rPr>
          <w:lang w:val="sr-Latn-RS"/>
        </w:rPr>
        <w:t xml:space="preserve">uznapredovalim karcinomom bubrežnih ćelija, </w:t>
      </w:r>
      <w:r w:rsidR="00DA1672" w:rsidRPr="00C256EF">
        <w:rPr>
          <w:spacing w:val="-3"/>
          <w:lang w:val="sr-Latn-RS"/>
        </w:rPr>
        <w:t xml:space="preserve">kod </w:t>
      </w:r>
      <w:r w:rsidR="00DA1672" w:rsidRPr="00C256EF">
        <w:rPr>
          <w:lang w:val="sr-Latn-RS"/>
        </w:rPr>
        <w:t xml:space="preserve">kojih prethodna terapija zasnovana </w:t>
      </w:r>
      <w:r w:rsidR="00DA1672" w:rsidRPr="00C256EF">
        <w:rPr>
          <w:spacing w:val="-3"/>
          <w:lang w:val="sr-Latn-RS"/>
        </w:rPr>
        <w:t xml:space="preserve">na </w:t>
      </w:r>
      <w:r w:rsidR="00DA1672" w:rsidRPr="00C256EF">
        <w:rPr>
          <w:lang w:val="sr-Latn-RS"/>
        </w:rPr>
        <w:t>interferonu-alfa ili interleukinu-2 nije bila usp</w:t>
      </w:r>
      <w:r w:rsidRPr="00C256EF">
        <w:rPr>
          <w:lang w:val="sr-Latn-RS"/>
        </w:rPr>
        <w:t>j</w:t>
      </w:r>
      <w:r w:rsidR="00DA1672" w:rsidRPr="00C256EF">
        <w:rPr>
          <w:lang w:val="sr-Latn-RS"/>
        </w:rPr>
        <w:t xml:space="preserve">ešna ili kod kojih </w:t>
      </w:r>
      <w:r w:rsidR="00DA1672" w:rsidRPr="00C256EF">
        <w:rPr>
          <w:spacing w:val="-3"/>
          <w:lang w:val="sr-Latn-RS"/>
        </w:rPr>
        <w:t xml:space="preserve">ova </w:t>
      </w:r>
      <w:r w:rsidR="00DA1672" w:rsidRPr="00C256EF">
        <w:rPr>
          <w:lang w:val="sr-Latn-RS"/>
        </w:rPr>
        <w:t>terapija nije bila</w:t>
      </w:r>
      <w:r w:rsidR="00DA1672" w:rsidRPr="00C256EF">
        <w:rPr>
          <w:spacing w:val="4"/>
          <w:lang w:val="sr-Latn-RS"/>
        </w:rPr>
        <w:t xml:space="preserve"> </w:t>
      </w:r>
      <w:r w:rsidR="00DA1672" w:rsidRPr="00C256EF">
        <w:rPr>
          <w:lang w:val="sr-Latn-RS"/>
        </w:rPr>
        <w:t>adekvatna.</w:t>
      </w:r>
    </w:p>
    <w:p w14:paraId="1DC92007" w14:textId="77777777" w:rsidR="00DA1672" w:rsidRPr="00C256EF" w:rsidRDefault="00DA1672" w:rsidP="00F95F4D">
      <w:pPr>
        <w:pStyle w:val="BodyText"/>
        <w:ind w:left="0"/>
        <w:jc w:val="both"/>
        <w:rPr>
          <w:lang w:val="sr-Latn-RS"/>
        </w:rPr>
      </w:pPr>
    </w:p>
    <w:p w14:paraId="47DE7D9D" w14:textId="6158F3C8" w:rsidR="00DA1672" w:rsidRPr="00C256EF" w:rsidRDefault="00DA1672" w:rsidP="00F95F4D">
      <w:pPr>
        <w:pStyle w:val="BodyText"/>
        <w:ind w:left="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t>Diferentovani karcinom tireoidne žl</w:t>
      </w:r>
      <w:r w:rsidR="00F95F4D" w:rsidRPr="00C256EF">
        <w:rPr>
          <w:u w:val="single"/>
          <w:lang w:val="sr-Latn-RS"/>
        </w:rPr>
        <w:t>ij</w:t>
      </w:r>
      <w:r w:rsidRPr="00C256EF">
        <w:rPr>
          <w:u w:val="single"/>
          <w:lang w:val="sr-Latn-RS"/>
        </w:rPr>
        <w:t>ezde</w:t>
      </w:r>
    </w:p>
    <w:p w14:paraId="3D85DE68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6F67C3CA" w14:textId="20D94E63" w:rsidR="00DA1672" w:rsidRPr="00C256EF" w:rsidRDefault="00375E66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Lijek</w:t>
      </w:r>
      <w:r w:rsidR="00DA1672" w:rsidRPr="00C256EF">
        <w:rPr>
          <w:lang w:val="sr-Latn-RS"/>
        </w:rPr>
        <w:t xml:space="preserve"> Sorafenib Viatris je indikovan za </w:t>
      </w:r>
      <w:r w:rsidRPr="00C256EF">
        <w:rPr>
          <w:lang w:val="sr-Latn-RS"/>
        </w:rPr>
        <w:t>liječe</w:t>
      </w:r>
      <w:r w:rsidR="00DA1672" w:rsidRPr="00C256EF">
        <w:rPr>
          <w:lang w:val="sr-Latn-RS"/>
        </w:rPr>
        <w:t>nje pacijenata sa progresivnim, lokalno uznapredovalim ili metastatskim,</w:t>
      </w:r>
      <w:r w:rsidRPr="00C256EF">
        <w:rPr>
          <w:lang w:val="sr-Latn-RS"/>
        </w:rPr>
        <w:t xml:space="preserve"> </w:t>
      </w:r>
      <w:r w:rsidR="00DA1672" w:rsidRPr="00C256EF">
        <w:rPr>
          <w:lang w:val="sr-Latn-RS"/>
        </w:rPr>
        <w:t>diferentovanim (papilarnim/folikularnim/</w:t>
      </w:r>
      <w:r w:rsidR="00DA1672" w:rsidRPr="00C256EF">
        <w:rPr>
          <w:i/>
          <w:iCs/>
          <w:lang w:val="sr-Latn-RS"/>
        </w:rPr>
        <w:t>Hurthle</w:t>
      </w:r>
      <w:r w:rsidR="00DA1672" w:rsidRPr="00C256EF">
        <w:rPr>
          <w:lang w:val="sr-Latn-RS"/>
        </w:rPr>
        <w:t>-ovih ćelija) karcinomom tireoidne žl</w:t>
      </w:r>
      <w:r w:rsidRPr="00C256EF">
        <w:rPr>
          <w:lang w:val="sr-Latn-RS"/>
        </w:rPr>
        <w:t>ij</w:t>
      </w:r>
      <w:r w:rsidR="00DA1672" w:rsidRPr="00C256EF">
        <w:rPr>
          <w:lang w:val="sr-Latn-RS"/>
        </w:rPr>
        <w:t>ezde, koji je refraktoran na terapiju radioaktivnim jodom.</w:t>
      </w:r>
    </w:p>
    <w:p w14:paraId="54561AA0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8BDFC43" w14:textId="77777777" w:rsidR="00411B4B" w:rsidRPr="00C256EF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4.2.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Doziranje i način primjene</w:t>
      </w:r>
    </w:p>
    <w:p w14:paraId="4B835488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FD16106" w14:textId="4BA10248" w:rsidR="00DA1672" w:rsidRPr="00C256EF" w:rsidRDefault="00375E66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Liječe</w:t>
      </w:r>
      <w:r w:rsidR="00DA1672" w:rsidRPr="00C256EF">
        <w:rPr>
          <w:lang w:val="sr-Latn-RS"/>
        </w:rPr>
        <w:t xml:space="preserve">nje </w:t>
      </w:r>
      <w:r w:rsidRPr="00C256EF">
        <w:rPr>
          <w:lang w:val="sr-Latn-RS"/>
        </w:rPr>
        <w:t>lijek</w:t>
      </w:r>
      <w:r w:rsidR="00DA1672" w:rsidRPr="00C256EF">
        <w:rPr>
          <w:lang w:val="sr-Latn-RS"/>
        </w:rPr>
        <w:t>om Sorafenib Viatris treba sprovoditi pod nadzorom l</w:t>
      </w:r>
      <w:r w:rsidRPr="00C256EF">
        <w:rPr>
          <w:lang w:val="sr-Latn-RS"/>
        </w:rPr>
        <w:t>j</w:t>
      </w:r>
      <w:r w:rsidR="00DA1672" w:rsidRPr="00C256EF">
        <w:rPr>
          <w:lang w:val="sr-Latn-RS"/>
        </w:rPr>
        <w:t>ekara sa iskustvom u prim</w:t>
      </w:r>
      <w:r w:rsidRPr="00C256EF">
        <w:rPr>
          <w:lang w:val="sr-Latn-RS"/>
        </w:rPr>
        <w:t>j</w:t>
      </w:r>
      <w:r w:rsidR="00DA1672" w:rsidRPr="00C256EF">
        <w:rPr>
          <w:lang w:val="sr-Latn-RS"/>
        </w:rPr>
        <w:t xml:space="preserve">eni antineoplastika. </w:t>
      </w:r>
    </w:p>
    <w:p w14:paraId="1E84112D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4B93B7B3" w14:textId="77777777" w:rsidR="00DA1672" w:rsidRPr="00C256EF" w:rsidRDefault="00DA1672">
      <w:pPr>
        <w:pStyle w:val="BodyText"/>
        <w:ind w:left="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t>Doziranje</w:t>
      </w:r>
    </w:p>
    <w:p w14:paraId="7CFB2B6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4ABC5B3E" w14:textId="0F90ED2D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Preporučena doza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a Sorafenib Viatris  kod odraslih je 400 mg sorafeniba (</w:t>
      </w:r>
      <w:r w:rsidR="00DA6303" w:rsidRPr="00C256EF">
        <w:rPr>
          <w:lang w:val="sr-Latn-RS"/>
        </w:rPr>
        <w:t>dvije</w:t>
      </w:r>
      <w:r w:rsidRPr="00C256EF">
        <w:rPr>
          <w:lang w:val="sr-Latn-RS"/>
        </w:rPr>
        <w:t xml:space="preserve"> tablete od 200 mg) dva puta dnevno (što odgovara ukupnoj dnevnoj dozi od 800 mg).</w:t>
      </w:r>
    </w:p>
    <w:p w14:paraId="3705311E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D3A0C56" w14:textId="7AE16795" w:rsidR="00DA1672" w:rsidRPr="00C256EF" w:rsidRDefault="00375E66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lastRenderedPageBreak/>
        <w:t>Liječe</w:t>
      </w:r>
      <w:r w:rsidR="00DA1672" w:rsidRPr="00C256EF">
        <w:rPr>
          <w:lang w:val="sr-Latn-RS"/>
        </w:rPr>
        <w:t>nje treba nastaviti sve dok se prim</w:t>
      </w:r>
      <w:r w:rsidRPr="00C256EF">
        <w:rPr>
          <w:lang w:val="sr-Latn-RS"/>
        </w:rPr>
        <w:t>j</w:t>
      </w:r>
      <w:r w:rsidR="00DA1672" w:rsidRPr="00C256EF">
        <w:rPr>
          <w:lang w:val="sr-Latn-RS"/>
        </w:rPr>
        <w:t>ećuje klinička korist ili dok se ne razviju znaci neprihvatljive toksičnosti.</w:t>
      </w:r>
    </w:p>
    <w:p w14:paraId="16F8212D" w14:textId="77777777" w:rsidR="00DA1672" w:rsidRPr="00C256EF" w:rsidRDefault="00DA1672">
      <w:pPr>
        <w:pStyle w:val="BodyText"/>
        <w:ind w:left="0"/>
        <w:jc w:val="both"/>
        <w:rPr>
          <w:u w:val="single"/>
          <w:lang w:val="sr-Latn-RS"/>
        </w:rPr>
      </w:pPr>
    </w:p>
    <w:p w14:paraId="481D7E55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Prilagođavanje doziranja</w:t>
      </w:r>
    </w:p>
    <w:p w14:paraId="2E846B8E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291EF6E9" w14:textId="1C121273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U slučaju sumnje na neželjen</w:t>
      </w:r>
      <w:r w:rsidR="00375E66" w:rsidRPr="00C256EF">
        <w:rPr>
          <w:lang w:val="sr-Latn-RS"/>
        </w:rPr>
        <w:t>a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dejstva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lijeka</w:t>
      </w:r>
      <w:r w:rsidRPr="00C256EF">
        <w:rPr>
          <w:lang w:val="sr-Latn-RS"/>
        </w:rPr>
        <w:t>, može biti potrebno privremeno prekidanje terapije ili smanjenje doze sorafeniba.</w:t>
      </w:r>
    </w:p>
    <w:p w14:paraId="23F317B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3FE0D358" w14:textId="51F3EC24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Kada je neophodno smanjenje doze tokom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 xml:space="preserve">nja hepatocelularnog karcinoma (engl. </w:t>
      </w:r>
      <w:r w:rsidRPr="00C256EF">
        <w:rPr>
          <w:i/>
          <w:lang w:val="sr-Latn-RS"/>
        </w:rPr>
        <w:t xml:space="preserve">hepatocellular carcinoma, </w:t>
      </w:r>
      <w:r w:rsidRPr="00C256EF">
        <w:rPr>
          <w:lang w:val="sr-Latn-RS"/>
        </w:rPr>
        <w:t xml:space="preserve">HCC) i uznapredovalog karcinoma bubrežnih ćelija (engl. </w:t>
      </w:r>
      <w:r w:rsidRPr="00C256EF">
        <w:rPr>
          <w:i/>
          <w:lang w:val="sr-Latn-RS"/>
        </w:rPr>
        <w:t>renal cell carcinoma</w:t>
      </w:r>
      <w:r w:rsidRPr="00C256EF">
        <w:rPr>
          <w:lang w:val="sr-Latn-RS"/>
        </w:rPr>
        <w:t xml:space="preserve">, RCC), dozu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a Sorafenib Viatris je potrebno smanjiti na dv</w:t>
      </w:r>
      <w:r w:rsidR="00375E66" w:rsidRPr="00C256EF">
        <w:rPr>
          <w:lang w:val="sr-Latn-RS"/>
        </w:rPr>
        <w:t>ij</w:t>
      </w:r>
      <w:r w:rsidRPr="00C256EF">
        <w:rPr>
          <w:lang w:val="sr-Latn-RS"/>
        </w:rPr>
        <w:t>e tablete od 200 mg sorafeniba jednom dnevno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4.4).</w:t>
      </w:r>
    </w:p>
    <w:p w14:paraId="2F189BFB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3FBA34CC" w14:textId="4FD717B0" w:rsidR="00DA1672" w:rsidRPr="00C256EF" w:rsidRDefault="00DA1672">
      <w:pPr>
        <w:pStyle w:val="BodyText"/>
        <w:ind w:left="0"/>
        <w:jc w:val="both"/>
        <w:rPr>
          <w:i/>
          <w:iCs/>
          <w:lang w:val="sr-Latn-RS"/>
        </w:rPr>
      </w:pPr>
      <w:r w:rsidRPr="00C256EF">
        <w:rPr>
          <w:lang w:val="sr-Latn-RS"/>
        </w:rPr>
        <w:t xml:space="preserve">Kada je neophodno smanjiti dozu tokom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 xml:space="preserve">nja diferentovanog karcinoma tireoidee (engl. </w:t>
      </w:r>
      <w:r w:rsidR="00DA6303" w:rsidRPr="00C256EF">
        <w:rPr>
          <w:i/>
          <w:iCs/>
          <w:lang w:val="sr-Latn-RS"/>
        </w:rPr>
        <w:t>D</w:t>
      </w:r>
      <w:r w:rsidRPr="00C256EF">
        <w:rPr>
          <w:i/>
          <w:iCs/>
          <w:lang w:val="sr-Latn-RS"/>
        </w:rPr>
        <w:t>ifferentiated</w:t>
      </w:r>
      <w:r w:rsidR="00DA6303" w:rsidRPr="00C256EF">
        <w:rPr>
          <w:i/>
          <w:iCs/>
          <w:lang w:val="sr-Latn-RS"/>
        </w:rPr>
        <w:t xml:space="preserve"> </w:t>
      </w:r>
      <w:r w:rsidRPr="00C256EF">
        <w:rPr>
          <w:i/>
          <w:iCs/>
          <w:lang w:val="sr-Latn-RS"/>
        </w:rPr>
        <w:t>thyroid carcinoma</w:t>
      </w:r>
      <w:r w:rsidRPr="00C256EF">
        <w:rPr>
          <w:lang w:val="sr-Latn-RS"/>
        </w:rPr>
        <w:t xml:space="preserve">, DTC), dozu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a Sorafenib Viatris treba smanjiti na 600 mg sorafeniba dnevno, u pod</w:t>
      </w:r>
      <w:r w:rsidR="00DA6303" w:rsidRPr="00C256EF">
        <w:rPr>
          <w:lang w:val="sr-Latn-RS"/>
        </w:rPr>
        <w:t>ij</w:t>
      </w:r>
      <w:r w:rsidRPr="00C256EF">
        <w:rPr>
          <w:lang w:val="sr-Latn-RS"/>
        </w:rPr>
        <w:t>eljenim dozama (</w:t>
      </w:r>
      <w:r w:rsidR="00DA6303" w:rsidRPr="00C256EF">
        <w:rPr>
          <w:lang w:val="sr-Latn-RS"/>
        </w:rPr>
        <w:t>dvije</w:t>
      </w:r>
      <w:r w:rsidRPr="00C256EF">
        <w:rPr>
          <w:lang w:val="sr-Latn-RS"/>
        </w:rPr>
        <w:t xml:space="preserve"> tablete od 200 mg i nakon dvanaest sati jedna tableta od 200 mg).</w:t>
      </w:r>
    </w:p>
    <w:p w14:paraId="65884F46" w14:textId="2BB232E9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Ukoliko je potrebno dodatno smanjenje doze, doza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 xml:space="preserve">a Sorafenib Viatris može biti smanjena na 400 mg sorafeniba dnevno u podeljenim dozama (po jedna tableta od 200 mg na dvanaest sati), a ukoliko je potrebno dodatno smanjenje, može se uzeti jedna tableta od 200 mg jednom dnevno. Nakon poboljšanja neželjenih </w:t>
      </w:r>
      <w:r w:rsidR="00DA6303" w:rsidRPr="00C256EF">
        <w:rPr>
          <w:lang w:val="sr-Latn-RS"/>
        </w:rPr>
        <w:t>dejstava</w:t>
      </w:r>
      <w:r w:rsidRPr="00C256EF">
        <w:rPr>
          <w:lang w:val="sr-Latn-RS"/>
        </w:rPr>
        <w:t xml:space="preserve"> koje </w:t>
      </w:r>
      <w:r w:rsidR="00DA6303" w:rsidRPr="00C256EF">
        <w:rPr>
          <w:lang w:val="sr-Latn-RS"/>
        </w:rPr>
        <w:t>nijesu</w:t>
      </w:r>
      <w:r w:rsidRPr="00C256EF">
        <w:rPr>
          <w:lang w:val="sr-Latn-RS"/>
        </w:rPr>
        <w:t xml:space="preserve"> hematološkog porekla, doza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a Sorafenib Viatris se može povećati.</w:t>
      </w:r>
      <w:r w:rsidRPr="00C256EF">
        <w:rPr>
          <w:lang w:val="sr-Latn-RS"/>
        </w:rPr>
        <w:cr/>
      </w:r>
    </w:p>
    <w:p w14:paraId="3956101D" w14:textId="77777777" w:rsidR="00DA1672" w:rsidRPr="00C256EF" w:rsidRDefault="00DA1672">
      <w:pPr>
        <w:jc w:val="both"/>
        <w:rPr>
          <w:i/>
          <w:sz w:val="22"/>
          <w:szCs w:val="22"/>
          <w:lang w:val="sr-Latn-RS"/>
        </w:rPr>
      </w:pPr>
      <w:r w:rsidRPr="00C256EF">
        <w:rPr>
          <w:i/>
          <w:sz w:val="22"/>
          <w:szCs w:val="22"/>
          <w:lang w:val="sr-Latn-RS"/>
        </w:rPr>
        <w:t>Pedijatrijska populacija</w:t>
      </w:r>
    </w:p>
    <w:p w14:paraId="35B500A7" w14:textId="5AA5EDFF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Bezb</w:t>
      </w:r>
      <w:r w:rsidR="00F95F4D" w:rsidRPr="00C256EF">
        <w:rPr>
          <w:lang w:val="sr-Latn-RS"/>
        </w:rPr>
        <w:t>j</w:t>
      </w:r>
      <w:r w:rsidRPr="00C256EF">
        <w:rPr>
          <w:lang w:val="sr-Latn-RS"/>
        </w:rPr>
        <w:t xml:space="preserve">ednost i efikasnost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a Sorafenib Viatris kod d</w:t>
      </w:r>
      <w:r w:rsidR="00F95F4D" w:rsidRPr="00C256EF">
        <w:rPr>
          <w:lang w:val="sr-Latn-RS"/>
        </w:rPr>
        <w:t>j</w:t>
      </w:r>
      <w:r w:rsidRPr="00C256EF">
        <w:rPr>
          <w:lang w:val="sr-Latn-RS"/>
        </w:rPr>
        <w:t xml:space="preserve">ece i adolescenata uzrasta &lt;18 godina </w:t>
      </w:r>
      <w:r w:rsidR="00DA6303" w:rsidRPr="00C256EF">
        <w:rPr>
          <w:lang w:val="sr-Latn-RS"/>
        </w:rPr>
        <w:t>nijesu</w:t>
      </w:r>
      <w:r w:rsidRPr="00C256EF">
        <w:rPr>
          <w:lang w:val="sr-Latn-RS"/>
        </w:rPr>
        <w:t xml:space="preserve"> još ustanovljeni. </w:t>
      </w:r>
      <w:r w:rsidRPr="00C256EF">
        <w:rPr>
          <w:spacing w:val="-3"/>
          <w:lang w:val="sr-Latn-RS"/>
        </w:rPr>
        <w:t xml:space="preserve">Nema </w:t>
      </w:r>
      <w:r w:rsidRPr="00C256EF">
        <w:rPr>
          <w:lang w:val="sr-Latn-RS"/>
        </w:rPr>
        <w:t>dostupnih</w:t>
      </w:r>
      <w:r w:rsidRPr="00C256EF">
        <w:rPr>
          <w:spacing w:val="9"/>
          <w:lang w:val="sr-Latn-RS"/>
        </w:rPr>
        <w:t xml:space="preserve"> </w:t>
      </w:r>
      <w:r w:rsidRPr="00C256EF">
        <w:rPr>
          <w:lang w:val="sr-Latn-RS"/>
        </w:rPr>
        <w:t>podataka.</w:t>
      </w:r>
    </w:p>
    <w:p w14:paraId="7BE6D185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6100C6C3" w14:textId="77777777" w:rsidR="00DA1672" w:rsidRPr="00C256EF" w:rsidRDefault="00DA1672">
      <w:pPr>
        <w:jc w:val="both"/>
        <w:rPr>
          <w:i/>
          <w:sz w:val="22"/>
          <w:szCs w:val="22"/>
          <w:lang w:val="sr-Latn-RS"/>
        </w:rPr>
      </w:pPr>
      <w:r w:rsidRPr="00C256EF">
        <w:rPr>
          <w:i/>
          <w:sz w:val="22"/>
          <w:szCs w:val="22"/>
          <w:lang w:val="sr-Latn-RS"/>
        </w:rPr>
        <w:t>Starija populacija</w:t>
      </w:r>
    </w:p>
    <w:p w14:paraId="75D612F5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Kod starijih pacijenata (pacijenti stariji od 65 godina) nije potrebno prilagođavanje doze.</w:t>
      </w:r>
    </w:p>
    <w:p w14:paraId="30A2455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C4A78F6" w14:textId="77777777" w:rsidR="00DA1672" w:rsidRPr="00C256EF" w:rsidRDefault="00DA1672">
      <w:pPr>
        <w:jc w:val="both"/>
        <w:rPr>
          <w:i/>
          <w:sz w:val="22"/>
          <w:szCs w:val="22"/>
          <w:lang w:val="sr-Latn-RS"/>
        </w:rPr>
      </w:pPr>
      <w:r w:rsidRPr="00C256EF">
        <w:rPr>
          <w:i/>
          <w:sz w:val="22"/>
          <w:szCs w:val="22"/>
          <w:lang w:val="sr-Latn-RS"/>
        </w:rPr>
        <w:t>Oštećenje funkcije bubrega</w:t>
      </w:r>
    </w:p>
    <w:p w14:paraId="300F6037" w14:textId="59D710ED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Prilagođavanje doze nije potrebno kod pacijenata sa blagim, um</w:t>
      </w:r>
      <w:r w:rsidR="00F95F4D" w:rsidRPr="00C256EF">
        <w:rPr>
          <w:lang w:val="sr-Latn-RS"/>
        </w:rPr>
        <w:t>j</w:t>
      </w:r>
      <w:r w:rsidRPr="00C256EF">
        <w:rPr>
          <w:lang w:val="sr-Latn-RS"/>
        </w:rPr>
        <w:t xml:space="preserve">erenim ili teškim poremećajem funkcije bubrega. Nema dostupnih podataka o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i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a kod pacijenata koji zaht</w:t>
      </w:r>
      <w:r w:rsidR="00F95F4D" w:rsidRPr="00C256EF">
        <w:rPr>
          <w:lang w:val="sr-Latn-RS"/>
        </w:rPr>
        <w:t>ij</w:t>
      </w:r>
      <w:r w:rsidRPr="00C256EF">
        <w:rPr>
          <w:lang w:val="sr-Latn-RS"/>
        </w:rPr>
        <w:t>evaju dijalizu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5.2).</w:t>
      </w:r>
    </w:p>
    <w:p w14:paraId="58EAF891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494EC3AB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Preporučuje se praćenje ravnoteže tečnosti i elektrolita kod pacijenata sa rizikom za razvoj poremećaja funkcije bubrega.</w:t>
      </w:r>
    </w:p>
    <w:p w14:paraId="6DB54DA9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F7144BA" w14:textId="77777777" w:rsidR="00DA1672" w:rsidRPr="00C256EF" w:rsidRDefault="00DA1672">
      <w:pPr>
        <w:jc w:val="both"/>
        <w:rPr>
          <w:i/>
          <w:sz w:val="22"/>
          <w:szCs w:val="22"/>
          <w:lang w:val="sr-Latn-RS"/>
        </w:rPr>
      </w:pPr>
      <w:r w:rsidRPr="00C256EF">
        <w:rPr>
          <w:i/>
          <w:sz w:val="22"/>
          <w:szCs w:val="22"/>
          <w:lang w:val="sr-Latn-RS"/>
        </w:rPr>
        <w:t>Oštećenje funkcije jetre</w:t>
      </w:r>
    </w:p>
    <w:p w14:paraId="176688FC" w14:textId="605DCAE8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Nije potrebno prilagođavanje doze kod pacijenata sa poremećajem funkcije jetre </w:t>
      </w:r>
      <w:r w:rsidRPr="00C256EF">
        <w:rPr>
          <w:i/>
          <w:lang w:val="sr-Latn-RS"/>
        </w:rPr>
        <w:t xml:space="preserve">Child Pugh </w:t>
      </w:r>
      <w:r w:rsidRPr="00C256EF">
        <w:rPr>
          <w:lang w:val="sr-Latn-RS"/>
        </w:rPr>
        <w:t>stadijuma A ili B (blagim do um</w:t>
      </w:r>
      <w:r w:rsidR="00F95F4D" w:rsidRPr="00C256EF">
        <w:rPr>
          <w:lang w:val="sr-Latn-RS"/>
        </w:rPr>
        <w:t>j</w:t>
      </w:r>
      <w:r w:rsidRPr="00C256EF">
        <w:rPr>
          <w:lang w:val="sr-Latn-RS"/>
        </w:rPr>
        <w:t xml:space="preserve">erenim). </w:t>
      </w:r>
      <w:r w:rsidR="00DA6303" w:rsidRPr="00C256EF">
        <w:rPr>
          <w:lang w:val="sr-Latn-RS"/>
        </w:rPr>
        <w:t>Nijesu</w:t>
      </w:r>
      <w:r w:rsidRPr="00C256EF">
        <w:rPr>
          <w:lang w:val="sr-Latn-RS"/>
        </w:rPr>
        <w:t xml:space="preserve"> dostupni podaci za pacijente sa oštećenjem funkcije jetre </w:t>
      </w:r>
      <w:r w:rsidRPr="00C256EF">
        <w:rPr>
          <w:i/>
          <w:lang w:val="sr-Latn-RS"/>
        </w:rPr>
        <w:t xml:space="preserve">Child  Pugh </w:t>
      </w:r>
      <w:r w:rsidRPr="00C256EF">
        <w:rPr>
          <w:lang w:val="sr-Latn-RS"/>
        </w:rPr>
        <w:t>stadijum C (teško oštećenje)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DA6303" w:rsidRPr="00C256EF">
        <w:rPr>
          <w:lang w:val="sr-Latn-RS"/>
        </w:rPr>
        <w:t>djelove</w:t>
      </w:r>
      <w:r w:rsidRPr="00C256EF">
        <w:rPr>
          <w:lang w:val="sr-Latn-RS"/>
        </w:rPr>
        <w:t xml:space="preserve"> 4.4 i</w:t>
      </w:r>
      <w:r w:rsidRPr="00C256EF">
        <w:rPr>
          <w:spacing w:val="-7"/>
          <w:lang w:val="sr-Latn-RS"/>
        </w:rPr>
        <w:t xml:space="preserve"> </w:t>
      </w:r>
      <w:r w:rsidRPr="00C256EF">
        <w:rPr>
          <w:lang w:val="sr-Latn-RS"/>
        </w:rPr>
        <w:t>5.2).</w:t>
      </w:r>
    </w:p>
    <w:p w14:paraId="53A1F739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7963115" w14:textId="3E5AF47F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 xml:space="preserve">Način </w:t>
      </w:r>
      <w:r w:rsidR="001659AE" w:rsidRPr="00C256EF">
        <w:rPr>
          <w:u w:val="single"/>
          <w:lang w:val="sr-Latn-RS"/>
        </w:rPr>
        <w:t>primjen</w:t>
      </w:r>
      <w:r w:rsidRPr="00C256EF">
        <w:rPr>
          <w:u w:val="single"/>
          <w:lang w:val="sr-Latn-RS"/>
        </w:rPr>
        <w:t>e</w:t>
      </w:r>
    </w:p>
    <w:p w14:paraId="27E5B145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31CE7836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Oralna upotreba.</w:t>
      </w:r>
    </w:p>
    <w:p w14:paraId="1F1A4058" w14:textId="023A434A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Preporučuje se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a sorafeniba bez hrane ili sa obrokom sa niskim ili umerenim sadržajem masti. Ako pacijent namerava da uzme obrok sa dosta masti, tablete sorafeniba treba uzeti najmanje 1 sat </w:t>
      </w:r>
      <w:r w:rsidR="00375E66" w:rsidRPr="00C256EF">
        <w:rPr>
          <w:lang w:val="sr-Latn-RS"/>
        </w:rPr>
        <w:t>prije</w:t>
      </w:r>
      <w:r w:rsidRPr="00C256EF">
        <w:rPr>
          <w:lang w:val="sr-Latn-RS"/>
        </w:rPr>
        <w:t xml:space="preserve"> ili 2 sata posle obroka. Tablete treba progutati uz čašu vode.</w:t>
      </w:r>
    </w:p>
    <w:p w14:paraId="07AEF719" w14:textId="77777777" w:rsidR="00452E9D" w:rsidRPr="00C256EF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E4A271D" w14:textId="77777777" w:rsidR="00411B4B" w:rsidRPr="00C256EF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4.3.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Kontraindikacije</w:t>
      </w:r>
    </w:p>
    <w:p w14:paraId="0AD56165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1A6ACF1" w14:textId="02045B2D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Preosetljivost na aktivnu supstancu ili na bilo koju od pomoćnih supstanci navedenih u </w:t>
      </w:r>
      <w:r w:rsidR="00DA6303" w:rsidRPr="00C256EF">
        <w:rPr>
          <w:lang w:val="sr-Latn-RS"/>
        </w:rPr>
        <w:t>dijelu</w:t>
      </w:r>
      <w:r w:rsidRPr="00C256EF">
        <w:rPr>
          <w:lang w:val="sr-Latn-RS"/>
        </w:rPr>
        <w:t xml:space="preserve"> 6.1.</w:t>
      </w:r>
    </w:p>
    <w:p w14:paraId="2A9F438F" w14:textId="21229985" w:rsidR="0072020E" w:rsidRPr="00C256EF" w:rsidRDefault="00F95F4D" w:rsidP="007E1ACC">
      <w:pPr>
        <w:rPr>
          <w:bCs/>
          <w:sz w:val="22"/>
          <w:szCs w:val="22"/>
          <w:lang w:val="sr-Latn-RS"/>
        </w:rPr>
      </w:pPr>
      <w:r w:rsidRPr="00C256EF">
        <w:rPr>
          <w:bCs/>
          <w:sz w:val="22"/>
          <w:szCs w:val="22"/>
          <w:lang w:val="sr-Latn-RS"/>
        </w:rPr>
        <w:br w:type="page"/>
      </w:r>
    </w:p>
    <w:p w14:paraId="5EBE528D" w14:textId="77777777" w:rsidR="00411B4B" w:rsidRPr="00C256EF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lastRenderedPageBreak/>
        <w:t xml:space="preserve">4.4.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Posebna upozorenja i mjere opreza pri upotrebi lijeka</w:t>
      </w:r>
    </w:p>
    <w:p w14:paraId="4671E5F5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01F1357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Dermatološka toksičnost</w:t>
      </w:r>
    </w:p>
    <w:p w14:paraId="2335E8A5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662AB4F7" w14:textId="10341CB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Kožne reakcije na šakama i stopalima (palmarno-plantarna eritrodizestezija) i osip predstavljaju najčešće neželjene reakcije sorafeniba. Osip i kožne reakcije na šakama i stopalima su obično CTC (engl. </w:t>
      </w:r>
      <w:r w:rsidRPr="00C256EF">
        <w:rPr>
          <w:i/>
          <w:lang w:val="sr-Latn-RS"/>
        </w:rPr>
        <w:t>Common Toxicity Criteria</w:t>
      </w:r>
      <w:r w:rsidRPr="00C256EF">
        <w:rPr>
          <w:lang w:val="sr-Latn-RS"/>
        </w:rPr>
        <w:t>) stepena 1 i 2, i najčešće se javljaju u toku prvih šest ned</w:t>
      </w:r>
      <w:r w:rsidR="00F95F4D" w:rsidRPr="00C256EF">
        <w:rPr>
          <w:lang w:val="sr-Latn-RS"/>
        </w:rPr>
        <w:t>j</w:t>
      </w:r>
      <w:r w:rsidRPr="00C256EF">
        <w:rPr>
          <w:lang w:val="sr-Latn-RS"/>
        </w:rPr>
        <w:t xml:space="preserve">elja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 xml:space="preserve">nja sorafenibom. Zbrinjavanje dermatološke toksičnosti može uključiti lokalnu terapiju u cilju simptomatskog poboljšanja, privremeno obustavljanje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 xml:space="preserve">nja i/ili modifikovanje doze sorafeniba ili u teškim ili perzistentnim slučajevima, trajno obustavljanje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>nja sorafenibom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4.8).</w:t>
      </w:r>
    </w:p>
    <w:p w14:paraId="0F6D5C5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717B818A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Hipertenzija</w:t>
      </w:r>
    </w:p>
    <w:p w14:paraId="2A257D7A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7B4B6BFC" w14:textId="3A3E601D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Kod pacijenata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>nih sorafenibom uočena je povećana incidenca arterijske hipertenzije. Hipertenzija je bila obično blaga do um</w:t>
      </w:r>
      <w:r w:rsidR="00F95F4D" w:rsidRPr="00C256EF">
        <w:rPr>
          <w:lang w:val="sr-Latn-RS"/>
        </w:rPr>
        <w:t>j</w:t>
      </w:r>
      <w:r w:rsidRPr="00C256EF">
        <w:rPr>
          <w:lang w:val="sr-Latn-RS"/>
        </w:rPr>
        <w:t>erena, pojavljivala se rano tokom terapije i reagovala je povoljno na standardnu antihipertenzivnu terapiju. Treba redovno pratiti krvni pritisak i preduzeti m</w:t>
      </w:r>
      <w:r w:rsidR="00F95F4D" w:rsidRPr="00C256EF">
        <w:rPr>
          <w:lang w:val="sr-Latn-RS"/>
        </w:rPr>
        <w:t>j</w:t>
      </w:r>
      <w:r w:rsidRPr="00C256EF">
        <w:rPr>
          <w:lang w:val="sr-Latn-RS"/>
        </w:rPr>
        <w:t xml:space="preserve">ere, ako je potrebno, u skladu sa standardnom medicinskom praksom. U slučajevima teške ili perzistentne hipertenzije ili u slučaju hipertenzivne krize uprkos uvođenju antihipertenzivne terapije, trebalo bi razmotriti trajno obustavljanje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sorafeniba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4.8).</w:t>
      </w:r>
    </w:p>
    <w:p w14:paraId="177AAB5E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80D02B3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Aneurizme i arterijske disekcije</w:t>
      </w:r>
    </w:p>
    <w:p w14:paraId="062D66CC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16CD4474" w14:textId="19EA97B0" w:rsidR="00DA1672" w:rsidRPr="00C256EF" w:rsidRDefault="001659AE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Primjen</w:t>
      </w:r>
      <w:r w:rsidR="00DA1672" w:rsidRPr="00C256EF">
        <w:rPr>
          <w:lang w:val="sr-Latn-RS"/>
        </w:rPr>
        <w:t xml:space="preserve">a inhibitora VEGF (engl. </w:t>
      </w:r>
      <w:r w:rsidR="00DA1672" w:rsidRPr="00C256EF">
        <w:rPr>
          <w:i/>
          <w:iCs/>
          <w:lang w:val="sr-Latn-RS"/>
        </w:rPr>
        <w:t>Vascular Endothelial Growth Factor</w:t>
      </w:r>
      <w:r w:rsidR="00DA1672" w:rsidRPr="00C256EF">
        <w:rPr>
          <w:lang w:val="sr-Latn-RS"/>
        </w:rPr>
        <w:t xml:space="preserve">) tj. inhibitora vaskularnog endotelnog faktora rasta kod pacijenata sa ili bez hipertenzije može podstaći formiranje aneurizme i/ili disekcija arterija. </w:t>
      </w:r>
      <w:r w:rsidR="00375E66" w:rsidRPr="00C256EF">
        <w:rPr>
          <w:lang w:val="sr-Latn-RS"/>
        </w:rPr>
        <w:t>Prije</w:t>
      </w:r>
      <w:r w:rsidR="00DA1672" w:rsidRPr="00C256EF">
        <w:rPr>
          <w:lang w:val="sr-Latn-RS"/>
        </w:rPr>
        <w:t xml:space="preserve"> započinjanja </w:t>
      </w:r>
      <w:r w:rsidRPr="00C256EF">
        <w:rPr>
          <w:lang w:val="sr-Latn-RS"/>
        </w:rPr>
        <w:t>primjen</w:t>
      </w:r>
      <w:r w:rsidR="00DA1672" w:rsidRPr="00C256EF">
        <w:rPr>
          <w:lang w:val="sr-Latn-RS"/>
        </w:rPr>
        <w:t>e sorafeniba, ovaj rizik bi trebao pažljivo razmotriti kod pacijenata sa faktorima rizika kao što su hipertenzija ili aneurizma u anamnezi.</w:t>
      </w:r>
    </w:p>
    <w:p w14:paraId="5BC7CD49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1B1B5DBC" w14:textId="77777777" w:rsidR="00DA1672" w:rsidRPr="00C256EF" w:rsidRDefault="00DA1672">
      <w:pPr>
        <w:pStyle w:val="BodyText"/>
        <w:ind w:left="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t>Hipoglikemija</w:t>
      </w:r>
    </w:p>
    <w:p w14:paraId="03E7C493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6D6CF59F" w14:textId="765BF92F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Tokom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sorafeniba prijavljeno je smanjenje koncentracije glukoze u krvi, koje se u nekim slučajevima klinički manifestovalo i zaht</w:t>
      </w:r>
      <w:r w:rsidR="00F95F4D" w:rsidRPr="00C256EF">
        <w:rPr>
          <w:lang w:val="sr-Latn-RS"/>
        </w:rPr>
        <w:t>ij</w:t>
      </w:r>
      <w:r w:rsidRPr="00C256EF">
        <w:rPr>
          <w:lang w:val="sr-Latn-RS"/>
        </w:rPr>
        <w:t>evalo hospitalizaciju zbog gubitka sv</w:t>
      </w:r>
      <w:r w:rsidR="00F95F4D" w:rsidRPr="00C256EF">
        <w:rPr>
          <w:lang w:val="sr-Latn-RS"/>
        </w:rPr>
        <w:t>ij</w:t>
      </w:r>
      <w:r w:rsidRPr="00C256EF">
        <w:rPr>
          <w:lang w:val="sr-Latn-RS"/>
        </w:rPr>
        <w:t>esti. U slučaju simptomatskih hipoglikemija, sorafenib treba privremeno prekinuti. Koncentraciju glukoze u krvi kod pacijenata sa dijabetesom treba redovno prov</w:t>
      </w:r>
      <w:r w:rsidR="001659AE" w:rsidRPr="00C256EF">
        <w:rPr>
          <w:lang w:val="sr-Latn-RS"/>
        </w:rPr>
        <w:t>j</w:t>
      </w:r>
      <w:r w:rsidRPr="00C256EF">
        <w:rPr>
          <w:lang w:val="sr-Latn-RS"/>
        </w:rPr>
        <w:t>eravati kako bi se proc</w:t>
      </w:r>
      <w:r w:rsidR="00F95F4D" w:rsidRPr="00C256EF">
        <w:rPr>
          <w:lang w:val="sr-Latn-RS"/>
        </w:rPr>
        <w:t>ij</w:t>
      </w:r>
      <w:r w:rsidRPr="00C256EF">
        <w:rPr>
          <w:lang w:val="sr-Latn-RS"/>
        </w:rPr>
        <w:t>enilo da li je potrebno prilagoditi dozu antidijabetika.</w:t>
      </w:r>
    </w:p>
    <w:p w14:paraId="0817B3C6" w14:textId="77777777" w:rsidR="00DA1672" w:rsidRPr="00C256EF" w:rsidRDefault="00DA1672">
      <w:pPr>
        <w:pStyle w:val="BodyText"/>
        <w:ind w:left="0"/>
        <w:jc w:val="both"/>
        <w:rPr>
          <w:u w:val="single"/>
          <w:lang w:val="sr-Latn-RS"/>
        </w:rPr>
      </w:pPr>
    </w:p>
    <w:p w14:paraId="105872B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Hemoragija</w:t>
      </w:r>
    </w:p>
    <w:p w14:paraId="2C34E03F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38B929A" w14:textId="073AEE4F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Nakon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sorafeniba može da se javi povećani rizik od krvarenja. Ako bilo koje krvarenje zaht</w:t>
      </w:r>
      <w:r w:rsidR="00F95F4D" w:rsidRPr="00C256EF">
        <w:rPr>
          <w:lang w:val="sr-Latn-RS"/>
        </w:rPr>
        <w:t>ij</w:t>
      </w:r>
      <w:r w:rsidRPr="00C256EF">
        <w:rPr>
          <w:lang w:val="sr-Latn-RS"/>
        </w:rPr>
        <w:t xml:space="preserve">eva medicinsku intervenciju, preporučuje se da se razmotri trajno obustavljanje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sorafeniba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4.8).</w:t>
      </w:r>
    </w:p>
    <w:p w14:paraId="1C83DCE3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9BDBA1F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Srčana ishemija i/ili infarkt</w:t>
      </w:r>
    </w:p>
    <w:p w14:paraId="4E99FFF1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4FCA1BD" w14:textId="009AB840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U randomizovanoj, placebom kontrolisanoj, dvostruko slepoj studiji (studija 1, 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5.1) incidenca srčane ishemije/infarkta povezanih sa terapijom je bila viša u grupi koja je primala sorafenib (4,9%), nego u placebo grupi (0,4%). U studiji 3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5.1) incidenca srčane ishemije/infarkta povezanih sa terapijom bila je 2,7% u grupi koja je primala sorafenib u poređenju sa 1,3% u placebo grupi. Pacijenti sa nestabilnom bolešću koronarnih arterija ili nedavnim infarktom miokarda bili su isključeni iz ovih studija. Kod pacijenata kod kojih se razvije srčana ishemija i/ili infarkt treba razmotriti privremeno ili trajno obustavljanje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sorafeniba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4.8).</w:t>
      </w:r>
    </w:p>
    <w:p w14:paraId="6AD57353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19B622AD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Produženje QT intervala</w:t>
      </w:r>
    </w:p>
    <w:p w14:paraId="7B5D137F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3CC1E85F" w14:textId="05FA1BE5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Pokazano je da sorafenib produžava QT/QTc interval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5.1), što može dovesti do povećanog rizika za pojavu ventrikularnih aritmija. Potreban je oprez pri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i sorafeniba kod pacijenata koji imaju, ili kod kojih postoji v</w:t>
      </w:r>
      <w:r w:rsidR="00F95F4D" w:rsidRPr="00C256EF">
        <w:rPr>
          <w:lang w:val="sr-Latn-RS"/>
        </w:rPr>
        <w:t>j</w:t>
      </w:r>
      <w:r w:rsidRPr="00C256EF">
        <w:rPr>
          <w:lang w:val="sr-Latn-RS"/>
        </w:rPr>
        <w:t xml:space="preserve">erovatnoća pojave produženog QTc intervala, kao što su pacijenti sa kongenitalnim sindromom produženog QT intervala, pacijenti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 xml:space="preserve">ni velikim kumulativnim dozama </w:t>
      </w:r>
      <w:r w:rsidRPr="00C256EF">
        <w:rPr>
          <w:lang w:val="sr-Latn-RS"/>
        </w:rPr>
        <w:lastRenderedPageBreak/>
        <w:t xml:space="preserve">antraciklina, pacijenti koji su na terapiji određenim antiaritmijskim </w:t>
      </w:r>
      <w:r w:rsidR="00375E66" w:rsidRPr="00C256EF">
        <w:rPr>
          <w:lang w:val="sr-Latn-RS"/>
        </w:rPr>
        <w:t>ljek</w:t>
      </w:r>
      <w:r w:rsidRPr="00C256EF">
        <w:rPr>
          <w:lang w:val="sr-Latn-RS"/>
        </w:rPr>
        <w:t>ovima ili drugim l</w:t>
      </w:r>
      <w:r w:rsidR="00375E66" w:rsidRPr="00C256EF">
        <w:rPr>
          <w:lang w:val="sr-Latn-RS"/>
        </w:rPr>
        <w:t>j</w:t>
      </w:r>
      <w:r w:rsidRPr="00C256EF">
        <w:rPr>
          <w:lang w:val="sr-Latn-RS"/>
        </w:rPr>
        <w:t xml:space="preserve">ekovima koji dovode do produžavanja QT intervala, pacijenti sa poremećajem elektrolita poput hipokalemije, hipokalcemije ili hipomagnezemije. Tokom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sorafeniba kod ovih pacijenata, treba razmotriti periodično praćenje elektrokardiograma i elektrolita (magnezijum, kalijum,</w:t>
      </w:r>
      <w:r w:rsidRPr="00C256EF">
        <w:rPr>
          <w:spacing w:val="-1"/>
          <w:lang w:val="sr-Latn-RS"/>
        </w:rPr>
        <w:t xml:space="preserve"> </w:t>
      </w:r>
      <w:r w:rsidRPr="00C256EF">
        <w:rPr>
          <w:lang w:val="sr-Latn-RS"/>
        </w:rPr>
        <w:t>kalcijum).</w:t>
      </w:r>
    </w:p>
    <w:p w14:paraId="75FC5A7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6D26FB17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Gastrointestinalna perforacija</w:t>
      </w:r>
    </w:p>
    <w:p w14:paraId="0B7B9160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1E84D8A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Gastrointestinalna perforacija je neželjeni događaj koje se povremeno javlja i prijavljena je kod manje od 1% pacijenata koji uzimaju sorafenib. U nekim slučajevima ovo nije bilo povezano sa prisutnim intraabdominalnim tumorom. </w:t>
      </w:r>
    </w:p>
    <w:p w14:paraId="697780A3" w14:textId="172CC1AC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Terapiju sorafenibom treba prekinuti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4.8).</w:t>
      </w:r>
    </w:p>
    <w:p w14:paraId="288ED97D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B3A55F2" w14:textId="77777777" w:rsidR="00DA1672" w:rsidRPr="00C256EF" w:rsidRDefault="00DA1672">
      <w:pPr>
        <w:pStyle w:val="BodyText"/>
        <w:ind w:left="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t xml:space="preserve">Sindrom lize tumora (engl. </w:t>
      </w:r>
      <w:r w:rsidRPr="00C256EF">
        <w:rPr>
          <w:i/>
          <w:iCs/>
          <w:u w:val="single"/>
          <w:lang w:val="sr-Latn-RS"/>
        </w:rPr>
        <w:t>Tumour lysis syndrome</w:t>
      </w:r>
      <w:r w:rsidRPr="00C256EF">
        <w:rPr>
          <w:u w:val="single"/>
          <w:lang w:val="sr-Latn-RS"/>
        </w:rPr>
        <w:t>, TLS)</w:t>
      </w:r>
    </w:p>
    <w:p w14:paraId="57FFEDF8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105920C2" w14:textId="198326E2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Slučajevi TLS-a, od kojih neki sa smrtnim ishodom, prijavljeni su u postmarketinškom praćenju pacijenata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 xml:space="preserve">nih sorafenibom. Faktori rizika za TLS uključuju veliko opterećenje tumorskom masom (engl. </w:t>
      </w:r>
      <w:r w:rsidRPr="00C256EF">
        <w:rPr>
          <w:i/>
          <w:iCs/>
          <w:lang w:val="sr-Latn-RS"/>
        </w:rPr>
        <w:t>high tumour burden</w:t>
      </w:r>
      <w:r w:rsidRPr="00C256EF">
        <w:rPr>
          <w:lang w:val="sr-Latn-RS"/>
        </w:rPr>
        <w:t>), već postojeću hroničnu insuficijenciju bubrega, oliguriju, dehidraciju, hipotenziju i kiseli urin. Stanje ovih pacijenata treba pažljivo pratiti i odmah l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>ečiti prema kliničkim indikacijama, a potrebno je razmotriti profilaktičku hidrataciju.</w:t>
      </w:r>
      <w:r w:rsidRPr="00C256EF">
        <w:rPr>
          <w:lang w:val="sr-Latn-RS"/>
        </w:rPr>
        <w:cr/>
      </w:r>
    </w:p>
    <w:p w14:paraId="464A67E6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Oštećenje funkcije jetre</w:t>
      </w:r>
    </w:p>
    <w:p w14:paraId="2F80CFF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7BB67E9B" w14:textId="68B11953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Nema dostupnih podataka o pacijentima sa oštećenjem funkcije jetre </w:t>
      </w:r>
      <w:r w:rsidRPr="00C256EF">
        <w:rPr>
          <w:i/>
          <w:lang w:val="sr-Latn-RS"/>
        </w:rPr>
        <w:t xml:space="preserve">Child Pugh </w:t>
      </w:r>
      <w:r w:rsidRPr="00C256EF">
        <w:rPr>
          <w:lang w:val="sr-Latn-RS"/>
        </w:rPr>
        <w:t xml:space="preserve">stadijumom C (teško oštećenje). Pošto se sorafenib uglavnom elimiše putem jetre, izloženost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u može da bude povećana kod pacijenata sa teškim oštećenjem funkcije jetre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DA6303" w:rsidRPr="00C256EF">
        <w:rPr>
          <w:lang w:val="sr-Latn-RS"/>
        </w:rPr>
        <w:t>djelove</w:t>
      </w:r>
      <w:r w:rsidRPr="00C256EF">
        <w:rPr>
          <w:lang w:val="sr-Latn-RS"/>
        </w:rPr>
        <w:t xml:space="preserve"> 4.2 i 5.2).</w:t>
      </w:r>
    </w:p>
    <w:p w14:paraId="2323FEA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36EC96A5" w14:textId="4EB27622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 xml:space="preserve">Istovremena </w:t>
      </w:r>
      <w:r w:rsidR="001659AE" w:rsidRPr="00C256EF">
        <w:rPr>
          <w:u w:val="single"/>
          <w:lang w:val="sr-Latn-RS"/>
        </w:rPr>
        <w:t>primjen</w:t>
      </w:r>
      <w:r w:rsidRPr="00C256EF">
        <w:rPr>
          <w:u w:val="single"/>
          <w:lang w:val="sr-Latn-RS"/>
        </w:rPr>
        <w:t>a varfarina</w:t>
      </w:r>
    </w:p>
    <w:p w14:paraId="2D5C1335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405994DF" w14:textId="13D75A06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Kod nekih pacijenata koji su uzimali varfarin tokom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 xml:space="preserve">nja sorafenibom prijavljivani su retki slučajevi krvarenja ili povećanje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 xml:space="preserve">sti internacionalnog normalizovanog odnosa (engl. </w:t>
      </w:r>
      <w:r w:rsidRPr="00C256EF">
        <w:rPr>
          <w:i/>
          <w:lang w:val="sr-Latn-RS"/>
        </w:rPr>
        <w:t xml:space="preserve">International Normalised Ratio, </w:t>
      </w:r>
      <w:r w:rsidRPr="00C256EF">
        <w:rPr>
          <w:lang w:val="sr-Latn-RS"/>
        </w:rPr>
        <w:t>INR). Pacijente koji istovremeno uzimaju varfarin ili fenprokumon treba redovno kontrolisati kako bi se uočile prom</w:t>
      </w:r>
      <w:r w:rsidR="00DA6303" w:rsidRPr="00C256EF">
        <w:rPr>
          <w:lang w:val="sr-Latn-RS"/>
        </w:rPr>
        <w:t>j</w:t>
      </w:r>
      <w:r w:rsidRPr="00C256EF">
        <w:rPr>
          <w:lang w:val="sr-Latn-RS"/>
        </w:rPr>
        <w:t>ene protrombinskog vremena, INR-a ili pojave kliničkih epizoda krvarenja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DA6303" w:rsidRPr="00C256EF">
        <w:rPr>
          <w:lang w:val="sr-Latn-RS"/>
        </w:rPr>
        <w:t>djelove</w:t>
      </w:r>
      <w:r w:rsidRPr="00C256EF">
        <w:rPr>
          <w:lang w:val="sr-Latn-RS"/>
        </w:rPr>
        <w:t xml:space="preserve"> 4.5 i</w:t>
      </w:r>
      <w:r w:rsidRPr="00C256EF">
        <w:rPr>
          <w:spacing w:val="-1"/>
          <w:lang w:val="sr-Latn-RS"/>
        </w:rPr>
        <w:t xml:space="preserve"> </w:t>
      </w:r>
      <w:r w:rsidRPr="00C256EF">
        <w:rPr>
          <w:lang w:val="sr-Latn-RS"/>
        </w:rPr>
        <w:t>4.8).</w:t>
      </w:r>
    </w:p>
    <w:p w14:paraId="47B106D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6D5FC85B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Komplikacije kod zarastanja rana</w:t>
      </w:r>
    </w:p>
    <w:p w14:paraId="0E9646FE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362E4289" w14:textId="5D7ABB43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Do sada ni</w:t>
      </w:r>
      <w:r w:rsidR="00DA6303" w:rsidRPr="00C256EF">
        <w:rPr>
          <w:lang w:val="sr-Latn-RS"/>
        </w:rPr>
        <w:t>je</w:t>
      </w:r>
      <w:r w:rsidRPr="00C256EF">
        <w:rPr>
          <w:lang w:val="sr-Latn-RS"/>
        </w:rPr>
        <w:t xml:space="preserve">su sprovođene formalne studije o uticaju sorafeniba na zarastanje rana. </w:t>
      </w:r>
      <w:r w:rsidRPr="00C256EF">
        <w:rPr>
          <w:spacing w:val="-3"/>
          <w:lang w:val="sr-Latn-RS"/>
        </w:rPr>
        <w:t xml:space="preserve">Kod </w:t>
      </w:r>
      <w:r w:rsidRPr="00C256EF">
        <w:rPr>
          <w:lang w:val="sr-Latn-RS"/>
        </w:rPr>
        <w:t xml:space="preserve">pacijenata koji se podvrgavaju većim hirurškim zahvatima iz predostrožnosti </w:t>
      </w:r>
      <w:r w:rsidRPr="00C256EF">
        <w:rPr>
          <w:spacing w:val="2"/>
          <w:lang w:val="sr-Latn-RS"/>
        </w:rPr>
        <w:t xml:space="preserve">se </w:t>
      </w:r>
      <w:r w:rsidRPr="00C256EF">
        <w:rPr>
          <w:lang w:val="sr-Latn-RS"/>
        </w:rPr>
        <w:t xml:space="preserve">preporučuje privremeno prekidanje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>nja sorafenibom. Postoji ograničeno kliničko iskustvo kad je u pitanju vr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 xml:space="preserve">eme nakon kojeg </w:t>
      </w:r>
      <w:r w:rsidRPr="00C256EF">
        <w:rPr>
          <w:spacing w:val="2"/>
          <w:lang w:val="sr-Latn-RS"/>
        </w:rPr>
        <w:t xml:space="preserve">se </w:t>
      </w:r>
      <w:r w:rsidRPr="00C256EF">
        <w:rPr>
          <w:lang w:val="sr-Latn-RS"/>
        </w:rPr>
        <w:t>može ponovo uvesti terapija posl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 xml:space="preserve">e većih hirurških intervencija. Stoga, odluka o nastavku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>nja sorafenibom posl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>e većih hirurških intervencija treba da bude zasnovana na kliničkoj proc</w:t>
      </w:r>
      <w:r w:rsidR="00D03F4B" w:rsidRPr="00C256EF">
        <w:rPr>
          <w:lang w:val="sr-Latn-RS"/>
        </w:rPr>
        <w:t>j</w:t>
      </w:r>
      <w:r w:rsidRPr="00C256EF">
        <w:rPr>
          <w:lang w:val="sr-Latn-RS"/>
        </w:rPr>
        <w:t>eni adekvatnog zarastanja</w:t>
      </w:r>
      <w:r w:rsidRPr="00C256EF">
        <w:rPr>
          <w:spacing w:val="-13"/>
          <w:lang w:val="sr-Latn-RS"/>
        </w:rPr>
        <w:t xml:space="preserve"> </w:t>
      </w:r>
      <w:r w:rsidRPr="00C256EF">
        <w:rPr>
          <w:spacing w:val="-4"/>
          <w:lang w:val="sr-Latn-RS"/>
        </w:rPr>
        <w:t>rane.</w:t>
      </w:r>
    </w:p>
    <w:p w14:paraId="27BB477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6B1042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Starija populacija</w:t>
      </w:r>
    </w:p>
    <w:p w14:paraId="5FF861C5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6CB9F1A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Prijavljeni su slučajevi bubrežne insuficijencije. Potrebno je razmotriti praćenje bubrežne funkcije. </w:t>
      </w:r>
    </w:p>
    <w:p w14:paraId="5CA38ECC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9AA0699" w14:textId="5096E0BD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Interakcije sa drugim l</w:t>
      </w:r>
      <w:r w:rsidR="00375E66" w:rsidRPr="00C256EF">
        <w:rPr>
          <w:u w:val="single"/>
          <w:lang w:val="sr-Latn-RS"/>
        </w:rPr>
        <w:t>j</w:t>
      </w:r>
      <w:r w:rsidRPr="00C256EF">
        <w:rPr>
          <w:u w:val="single"/>
          <w:lang w:val="sr-Latn-RS"/>
        </w:rPr>
        <w:t>ekovima</w:t>
      </w:r>
    </w:p>
    <w:p w14:paraId="5ACBD0EE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81B20E3" w14:textId="32905924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Preporučuje se oprez pri istovremenoj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i sorafeniba i jedinjenja koja se metabolišu/eliminišu pretežno putem UGT1A1 (npr. irinotekan) ili UGT1A9 puteva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4.5).</w:t>
      </w:r>
    </w:p>
    <w:p w14:paraId="23C989EB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5BCD3F7" w14:textId="52D2E73F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Preporučuje se oprez kada se sorafenib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juje istovremeno sa docetakselom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4.5).</w:t>
      </w:r>
    </w:p>
    <w:p w14:paraId="381C6B2B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2DC83493" w14:textId="670CCE1F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Istovremena prim</w:t>
      </w:r>
      <w:r w:rsidR="001659AE" w:rsidRPr="00C256EF">
        <w:rPr>
          <w:lang w:val="sr-Latn-RS"/>
        </w:rPr>
        <w:t>j</w:t>
      </w:r>
      <w:r w:rsidRPr="00C256EF">
        <w:rPr>
          <w:lang w:val="sr-Latn-RS"/>
        </w:rPr>
        <w:t>ena neomicina ili drugih antibiotika koji uzrokuju veći poremećaj gastrointestinalne mikroflore može smanjiti bioraspoloživost sorafeniba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4.5). Treba razmotriti rizik od smanjenja koncentracije sorafeniba u plazmi pr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>e nego što se započne terapija</w:t>
      </w:r>
      <w:r w:rsidRPr="00C256EF">
        <w:rPr>
          <w:spacing w:val="-19"/>
          <w:lang w:val="sr-Latn-RS"/>
        </w:rPr>
        <w:t xml:space="preserve"> </w:t>
      </w:r>
      <w:r w:rsidRPr="00C256EF">
        <w:rPr>
          <w:lang w:val="sr-Latn-RS"/>
        </w:rPr>
        <w:t>antibioticima.</w:t>
      </w:r>
    </w:p>
    <w:p w14:paraId="7495ADB6" w14:textId="1234CCD4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lastRenderedPageBreak/>
        <w:t xml:space="preserve">Prijavljena je veća smrtnost pacijenata sa karcinomom skvamoznih ćelija pluća koji su bili na terapiji sorafenibom u kombinaciji sa hemioterapijom zasnovanoj na platini. U </w:t>
      </w:r>
      <w:r w:rsidR="00DA6303" w:rsidRPr="00C256EF">
        <w:rPr>
          <w:lang w:val="sr-Latn-RS"/>
        </w:rPr>
        <w:t>dvije</w:t>
      </w:r>
      <w:r w:rsidRPr="00C256EF">
        <w:rPr>
          <w:lang w:val="sr-Latn-RS"/>
        </w:rPr>
        <w:t xml:space="preserve"> randomizovane studije kod pacijenata sa nemikrocelularnim karcinomom pluća (engl. </w:t>
      </w:r>
      <w:r w:rsidRPr="00C256EF">
        <w:rPr>
          <w:i/>
          <w:lang w:val="sr-Latn-RS"/>
        </w:rPr>
        <w:t>Non-Small Cell Lung Cancer</w:t>
      </w:r>
      <w:r w:rsidRPr="00C256EF">
        <w:rPr>
          <w:lang w:val="sr-Latn-RS"/>
        </w:rPr>
        <w:t xml:space="preserve">, NSCLC) u podgrupi pacijenata sa karcinomom skvamoznih ćelija koji su bili na terapiji sorafenibom u kombinaciji sa paklitakselom/karboplatinom, nađeno je da je HR (engl. </w:t>
      </w:r>
      <w:r w:rsidRPr="00C256EF">
        <w:rPr>
          <w:i/>
          <w:lang w:val="sr-Latn-RS"/>
        </w:rPr>
        <w:t>Hazard Ratio</w:t>
      </w:r>
      <w:r w:rsidRPr="00C256EF">
        <w:rPr>
          <w:lang w:val="sr-Latn-RS"/>
        </w:rPr>
        <w:t xml:space="preserve">) ukupnog preživljavanja bio 1,81 (95% CI 1,19; 2,74), a u kombinaciji sa gemcitabinom/cisplatinom 1,22 (95% CI 0,82; 1,80). Nijedan od razloga smrtnosti </w:t>
      </w:r>
      <w:r w:rsidRPr="00C256EF">
        <w:rPr>
          <w:spacing w:val="-3"/>
          <w:lang w:val="sr-Latn-RS"/>
        </w:rPr>
        <w:t xml:space="preserve">nije </w:t>
      </w:r>
      <w:r w:rsidRPr="00C256EF">
        <w:rPr>
          <w:lang w:val="sr-Latn-RS"/>
        </w:rPr>
        <w:t>bio dominantan, ali prim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 xml:space="preserve">ećena </w:t>
      </w:r>
      <w:r w:rsidRPr="00C256EF">
        <w:rPr>
          <w:spacing w:val="-3"/>
          <w:lang w:val="sr-Latn-RS"/>
        </w:rPr>
        <w:t xml:space="preserve">je </w:t>
      </w:r>
      <w:r w:rsidRPr="00C256EF">
        <w:rPr>
          <w:lang w:val="sr-Latn-RS"/>
        </w:rPr>
        <w:t>veća incidenca neželjenih događaja kao što su respiratorna insuficijencija, hemoragije i infekcije kod pacijenata koji su bili na terapiji sorafenibom u kombinaciji sa hemioterapijom zasnovanoj na</w:t>
      </w:r>
      <w:r w:rsidRPr="00C256EF">
        <w:rPr>
          <w:spacing w:val="-10"/>
          <w:lang w:val="sr-Latn-RS"/>
        </w:rPr>
        <w:t xml:space="preserve"> </w:t>
      </w:r>
      <w:r w:rsidRPr="00C256EF">
        <w:rPr>
          <w:lang w:val="sr-Latn-RS"/>
        </w:rPr>
        <w:t>platini.</w:t>
      </w:r>
    </w:p>
    <w:p w14:paraId="2D3615CE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EEF4EE3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Posebna upozorenja vezana za</w:t>
      </w:r>
      <w:r w:rsidRPr="00C256EF">
        <w:rPr>
          <w:spacing w:val="-22"/>
          <w:u w:val="single"/>
          <w:lang w:val="sr-Latn-RS"/>
        </w:rPr>
        <w:t xml:space="preserve"> </w:t>
      </w:r>
      <w:r w:rsidRPr="00C256EF">
        <w:rPr>
          <w:u w:val="single"/>
          <w:lang w:val="sr-Latn-RS"/>
        </w:rPr>
        <w:t>oboljenje</w:t>
      </w:r>
    </w:p>
    <w:p w14:paraId="0DB22625" w14:textId="77777777" w:rsidR="00DA1672" w:rsidRPr="00C256EF" w:rsidRDefault="00DA1672">
      <w:pPr>
        <w:pStyle w:val="BodyText"/>
        <w:ind w:left="0"/>
        <w:jc w:val="both"/>
        <w:rPr>
          <w:i/>
          <w:iCs/>
          <w:u w:val="single"/>
          <w:lang w:val="sr-Latn-RS"/>
        </w:rPr>
      </w:pPr>
    </w:p>
    <w:p w14:paraId="066E1E7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i/>
          <w:iCs/>
          <w:u w:val="single"/>
          <w:lang w:val="sr-Latn-RS"/>
        </w:rPr>
        <w:t>Diferentovani karcinom tireoidee (DTC)</w:t>
      </w:r>
    </w:p>
    <w:p w14:paraId="499306C8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2877FACD" w14:textId="1F482583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Pr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>e započinjanja terapije, l</w:t>
      </w:r>
      <w:r w:rsidR="00375E66" w:rsidRPr="00C256EF">
        <w:rPr>
          <w:lang w:val="sr-Latn-RS"/>
        </w:rPr>
        <w:t>j</w:t>
      </w:r>
      <w:r w:rsidRPr="00C256EF">
        <w:rPr>
          <w:lang w:val="sr-Latn-RS"/>
        </w:rPr>
        <w:t>ekarima se preporučuje da pažljivo proc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>ene prognozu svakog pacijenata ponaosob uzimajući u obzir maksimalnu veličinu lezije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5.1), simptome povezane sa bolešću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5.1) i brzinu napredovanja oboljenja.</w:t>
      </w:r>
    </w:p>
    <w:p w14:paraId="1DDD63A4" w14:textId="3B7ACADC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Terapija suspektnih neželjenih reakcija na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 xml:space="preserve"> može da zaht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>eva privremeno prekidanje terapije ili smanjenje doze sorafeniba. U studiji 5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5.1), 37% ispitanika su imali prekid u terapiji, a kod 35% je smanjena doza, već tokom prvog ciklusa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>nja sorafenibom.</w:t>
      </w:r>
    </w:p>
    <w:p w14:paraId="514443E6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42EDA6AC" w14:textId="65979614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Smanjenje doze je samo d</w:t>
      </w:r>
      <w:r w:rsidR="00D03F4B" w:rsidRPr="00C256EF">
        <w:rPr>
          <w:lang w:val="sr-Latn-RS"/>
        </w:rPr>
        <w:t>j</w:t>
      </w:r>
      <w:r w:rsidRPr="00C256EF">
        <w:rPr>
          <w:lang w:val="sr-Latn-RS"/>
        </w:rPr>
        <w:t>elimično bilo usp</w:t>
      </w:r>
      <w:r w:rsidR="00D03F4B" w:rsidRPr="00C256EF">
        <w:rPr>
          <w:lang w:val="sr-Latn-RS"/>
        </w:rPr>
        <w:t>j</w:t>
      </w:r>
      <w:r w:rsidRPr="00C256EF">
        <w:rPr>
          <w:lang w:val="sr-Latn-RS"/>
        </w:rPr>
        <w:t>ešno u ublažavanju neželjenih reakcija. Zbog toga se preporučuje da se prilikom ponavljanih proc</w:t>
      </w:r>
      <w:r w:rsidR="00D03F4B" w:rsidRPr="00C256EF">
        <w:rPr>
          <w:lang w:val="sr-Latn-RS"/>
        </w:rPr>
        <w:t>j</w:t>
      </w:r>
      <w:r w:rsidRPr="00C256EF">
        <w:rPr>
          <w:lang w:val="sr-Latn-RS"/>
        </w:rPr>
        <w:t xml:space="preserve">ena odnosa korist/rizik uzme u obzir antitumorska aktivnost i podnošljivost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a.</w:t>
      </w:r>
    </w:p>
    <w:p w14:paraId="321FDF57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BC7D1B1" w14:textId="77777777" w:rsidR="00DA1672" w:rsidRPr="00C256EF" w:rsidRDefault="00DA1672">
      <w:pPr>
        <w:pStyle w:val="BodyText"/>
        <w:ind w:left="0"/>
        <w:jc w:val="both"/>
        <w:rPr>
          <w:i/>
          <w:iCs/>
          <w:lang w:val="sr-Latn-RS"/>
        </w:rPr>
      </w:pPr>
      <w:r w:rsidRPr="00C256EF">
        <w:rPr>
          <w:i/>
          <w:iCs/>
          <w:lang w:val="sr-Latn-RS"/>
        </w:rPr>
        <w:t>Hemoragija u DTC</w:t>
      </w:r>
    </w:p>
    <w:p w14:paraId="0BC438EA" w14:textId="52763FE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Kod pacijenata sa DTC, zbog potencijalnog rizika od krvarenja, trahealnu, bronhijalnu i ezofagealnu infiltraciju treba l</w:t>
      </w:r>
      <w:r w:rsidR="001659AE" w:rsidRPr="00C256EF">
        <w:rPr>
          <w:lang w:val="sr-Latn-RS"/>
        </w:rPr>
        <w:t>ij</w:t>
      </w:r>
      <w:r w:rsidRPr="00C256EF">
        <w:rPr>
          <w:lang w:val="sr-Latn-RS"/>
        </w:rPr>
        <w:t>ečiti lokalnom terapijom, pr</w:t>
      </w:r>
      <w:r w:rsidR="00375E66" w:rsidRPr="00C256EF">
        <w:rPr>
          <w:lang w:val="sr-Latn-RS"/>
        </w:rPr>
        <w:t>ij</w:t>
      </w:r>
      <w:r w:rsidRPr="00C256EF">
        <w:rPr>
          <w:lang w:val="sr-Latn-RS"/>
        </w:rPr>
        <w:t xml:space="preserve">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sorafeniba.</w:t>
      </w:r>
    </w:p>
    <w:p w14:paraId="01C812AC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738103A8" w14:textId="77777777" w:rsidR="00DA1672" w:rsidRPr="00C256EF" w:rsidRDefault="00DA1672">
      <w:pPr>
        <w:pStyle w:val="BodyText"/>
        <w:ind w:left="0"/>
        <w:jc w:val="both"/>
        <w:rPr>
          <w:i/>
          <w:iCs/>
          <w:lang w:val="sr-Latn-RS"/>
        </w:rPr>
      </w:pPr>
      <w:r w:rsidRPr="00C256EF">
        <w:rPr>
          <w:i/>
          <w:iCs/>
          <w:lang w:val="sr-Latn-RS"/>
        </w:rPr>
        <w:t>Hipokalcemija u DTC</w:t>
      </w:r>
    </w:p>
    <w:p w14:paraId="3776468F" w14:textId="58E39C52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Prilikom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e sorafeniba kod pacijenata sa DTC, preporučuje se pažljivo praćenje koncentracije kalcijuma u krvi. U kliničkim studijama, hipokalcemija se češće i u težem obliku javljala kod pacijenata sa DTC, naročito kod onih sa prethodnim hipoparatireodizmom u istoriji bolesti, u odnosu na pacijente sa karcinomom bubrežnih ćelija ili hepatocelularnim karcinomom. Hipokalcemija stepena 3 i 4 se javila kod 6,8%, odnosno 3,4% pacijenata sa DTC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>nih sorafenibom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4.8). Tešku hipokalcemiju treba korigovati kako bi se spr</w:t>
      </w:r>
      <w:r w:rsidR="00D03F4B" w:rsidRPr="00C256EF">
        <w:rPr>
          <w:lang w:val="sr-Latn-RS"/>
        </w:rPr>
        <w:t>ij</w:t>
      </w:r>
      <w:r w:rsidRPr="00C256EF">
        <w:rPr>
          <w:lang w:val="sr-Latn-RS"/>
        </w:rPr>
        <w:t xml:space="preserve">ečile komplikacije kao što su produženje QT intervala ili </w:t>
      </w:r>
      <w:r w:rsidRPr="00C256EF">
        <w:rPr>
          <w:i/>
          <w:iCs/>
          <w:lang w:val="sr-Latn-RS"/>
        </w:rPr>
        <w:t>torsade de pointes</w:t>
      </w:r>
      <w:r w:rsidRPr="00C256EF">
        <w:rPr>
          <w:lang w:val="sr-Latn-RS"/>
        </w:rPr>
        <w:t xml:space="preserve">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„Produženje QT intervala”).</w:t>
      </w:r>
    </w:p>
    <w:p w14:paraId="4F7DB689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24D096C3" w14:textId="77777777" w:rsidR="00DA1672" w:rsidRPr="00C256EF" w:rsidRDefault="00DA1672">
      <w:pPr>
        <w:pStyle w:val="BodyText"/>
        <w:ind w:left="0"/>
        <w:jc w:val="both"/>
        <w:rPr>
          <w:i/>
          <w:iCs/>
          <w:lang w:val="sr-Latn-RS"/>
        </w:rPr>
      </w:pPr>
      <w:r w:rsidRPr="00C256EF">
        <w:rPr>
          <w:i/>
          <w:iCs/>
          <w:lang w:val="sr-Latn-RS"/>
        </w:rPr>
        <w:t>TSH supresija u DTC</w:t>
      </w:r>
    </w:p>
    <w:p w14:paraId="71348D61" w14:textId="36C91FFC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U studiji 5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5.1), primećeno je povećanje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 xml:space="preserve">sti TSH iznad 0,5 mU/L kod pacijenata koji su bili na terapiji sorafenibom. Preporučuje se pažljivo praćenje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>sti TSH kod pacijenata koji boluju od DTC, a na terapiji su sorafenibom.</w:t>
      </w:r>
      <w:r w:rsidRPr="00C256EF">
        <w:rPr>
          <w:lang w:val="sr-Latn-RS"/>
        </w:rPr>
        <w:cr/>
      </w:r>
    </w:p>
    <w:p w14:paraId="0820BA94" w14:textId="77777777" w:rsidR="00DA1672" w:rsidRPr="00C256EF" w:rsidRDefault="00DA1672">
      <w:pPr>
        <w:jc w:val="both"/>
        <w:rPr>
          <w:i/>
          <w:sz w:val="22"/>
          <w:szCs w:val="22"/>
          <w:lang w:val="sr-Latn-RS"/>
        </w:rPr>
      </w:pPr>
      <w:r w:rsidRPr="00C256EF">
        <w:rPr>
          <w:i/>
          <w:sz w:val="22"/>
          <w:szCs w:val="22"/>
          <w:u w:val="single"/>
          <w:lang w:val="sr-Latn-RS"/>
        </w:rPr>
        <w:t>Karcinom bubrežnih ćelija</w:t>
      </w:r>
    </w:p>
    <w:p w14:paraId="6AA26873" w14:textId="77777777" w:rsidR="00DA1672" w:rsidRPr="00C256EF" w:rsidRDefault="00DA1672">
      <w:pPr>
        <w:pStyle w:val="BodyText"/>
        <w:ind w:left="0"/>
        <w:jc w:val="both"/>
        <w:rPr>
          <w:i/>
          <w:lang w:val="sr-Latn-RS"/>
        </w:rPr>
      </w:pPr>
    </w:p>
    <w:p w14:paraId="738DF5D1" w14:textId="714C625C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Pacijenti sa visokim rizikom, prema prognostičkim grupama MSKCC (engl. </w:t>
      </w:r>
      <w:r w:rsidRPr="00C256EF">
        <w:rPr>
          <w:i/>
          <w:lang w:val="sr-Latn-RS"/>
        </w:rPr>
        <w:t>Memorial Sloan Kettering Cancer Center</w:t>
      </w:r>
      <w:r w:rsidRPr="00C256EF">
        <w:rPr>
          <w:lang w:val="sr-Latn-RS"/>
        </w:rPr>
        <w:t xml:space="preserve">), </w:t>
      </w:r>
      <w:r w:rsidR="00DA6303" w:rsidRPr="00C256EF">
        <w:rPr>
          <w:lang w:val="sr-Latn-RS"/>
        </w:rPr>
        <w:t>nijesu</w:t>
      </w:r>
      <w:r w:rsidRPr="00C256EF">
        <w:rPr>
          <w:lang w:val="sr-Latn-RS"/>
        </w:rPr>
        <w:t xml:space="preserve"> bili uključeni u fazu III kliničke studije karcinoma bubrežnih ćeli</w:t>
      </w:r>
      <w:r w:rsidR="001659AE" w:rsidRPr="00C256EF">
        <w:rPr>
          <w:lang w:val="sr-Latn-RS"/>
        </w:rPr>
        <w:t>j</w:t>
      </w:r>
      <w:r w:rsidRPr="00C256EF">
        <w:rPr>
          <w:lang w:val="sr-Latn-RS"/>
        </w:rPr>
        <w:t>a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studiju 1 u </w:t>
      </w:r>
      <w:r w:rsidR="00D03F4B" w:rsidRPr="00C256EF">
        <w:rPr>
          <w:lang w:val="sr-Latn-RS"/>
        </w:rPr>
        <w:t xml:space="preserve">dijelu </w:t>
      </w:r>
      <w:r w:rsidRPr="00C256EF">
        <w:rPr>
          <w:lang w:val="sr-Latn-RS"/>
        </w:rPr>
        <w:t>5.1) tako da odnos korist/rizik nije proc</w:t>
      </w:r>
      <w:r w:rsidR="001659AE" w:rsidRPr="00C256EF">
        <w:rPr>
          <w:lang w:val="sr-Latn-RS"/>
        </w:rPr>
        <w:t>ij</w:t>
      </w:r>
      <w:r w:rsidRPr="00C256EF">
        <w:rPr>
          <w:lang w:val="sr-Latn-RS"/>
        </w:rPr>
        <w:t>enjen u ovoj grupi pacijenata.</w:t>
      </w:r>
    </w:p>
    <w:p w14:paraId="281C3E4D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E8ECEB0" w14:textId="77777777" w:rsidR="00DA1672" w:rsidRPr="00C256EF" w:rsidRDefault="00DA1672">
      <w:pPr>
        <w:pStyle w:val="BodyText"/>
        <w:ind w:left="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t>Informacije o pomoćnim supstancama</w:t>
      </w:r>
    </w:p>
    <w:p w14:paraId="279C110D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2946F4C5" w14:textId="5B6E9699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Ovaj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 xml:space="preserve"> sadrži manje od 1 mmol (23 mg) natrijuma  po dozi, odnosno  suštinski je „bez natrijuma“.</w:t>
      </w:r>
    </w:p>
    <w:p w14:paraId="1554AC71" w14:textId="77777777" w:rsidR="00057E35" w:rsidRPr="00C256EF" w:rsidRDefault="00057E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C681DED" w14:textId="77777777" w:rsidR="00411B4B" w:rsidRPr="00C256EF" w:rsidRDefault="00411B4B" w:rsidP="007E1ACC">
      <w:pPr>
        <w:tabs>
          <w:tab w:val="left" w:pos="540"/>
          <w:tab w:val="left" w:pos="569"/>
        </w:tabs>
        <w:spacing w:line="360" w:lineRule="auto"/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>4.5.</w:t>
      </w:r>
      <w:r w:rsidR="000D60CC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Interakcije sa drugim ljekovima i druge vrste interakcija</w:t>
      </w:r>
    </w:p>
    <w:p w14:paraId="50CF97D7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Induktori metaboličkih enzima</w:t>
      </w:r>
    </w:p>
    <w:p w14:paraId="4700EAB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9389578" w14:textId="0EB2186F" w:rsidR="00DA1672" w:rsidRPr="00C256EF" w:rsidRDefault="001659AE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Primjen</w:t>
      </w:r>
      <w:r w:rsidR="00DA1672" w:rsidRPr="00C256EF">
        <w:rPr>
          <w:lang w:val="sr-Latn-RS"/>
        </w:rPr>
        <w:t xml:space="preserve">a rifampicina tokom 5 dana </w:t>
      </w:r>
      <w:r w:rsidR="00375E66" w:rsidRPr="00C256EF">
        <w:rPr>
          <w:lang w:val="sr-Latn-RS"/>
        </w:rPr>
        <w:t>prije</w:t>
      </w:r>
      <w:r w:rsidR="00DA1672" w:rsidRPr="00C256EF">
        <w:rPr>
          <w:lang w:val="sr-Latn-RS"/>
        </w:rPr>
        <w:t xml:space="preserve"> prim</w:t>
      </w:r>
      <w:r w:rsidR="00375E66" w:rsidRPr="00C256EF">
        <w:rPr>
          <w:lang w:val="sr-Latn-RS"/>
        </w:rPr>
        <w:t>j</w:t>
      </w:r>
      <w:r w:rsidR="00DA1672" w:rsidRPr="00C256EF">
        <w:rPr>
          <w:lang w:val="sr-Latn-RS"/>
        </w:rPr>
        <w:t xml:space="preserve">ene pojedinačne doze sorafeniba dovela je do smanjenja </w:t>
      </w:r>
      <w:r w:rsidR="00DA1672" w:rsidRPr="00C256EF">
        <w:rPr>
          <w:lang w:val="sr-Latn-RS"/>
        </w:rPr>
        <w:lastRenderedPageBreak/>
        <w:t>PIK-a sorafeniba za pros</w:t>
      </w:r>
      <w:r w:rsidR="00B225F1" w:rsidRPr="00C256EF">
        <w:rPr>
          <w:lang w:val="sr-Latn-RS"/>
        </w:rPr>
        <w:t>j</w:t>
      </w:r>
      <w:r w:rsidR="00DA1672" w:rsidRPr="00C256EF">
        <w:rPr>
          <w:lang w:val="sr-Latn-RS"/>
        </w:rPr>
        <w:t xml:space="preserve">ečno 37%. Drugi induktori CYP3A4 aktivnosti i/ili glukuronidacije (npr. </w:t>
      </w:r>
      <w:r w:rsidR="00DA1672" w:rsidRPr="00C256EF">
        <w:rPr>
          <w:i/>
          <w:lang w:val="sr-Latn-RS"/>
        </w:rPr>
        <w:t>Hypericum perforatum</w:t>
      </w:r>
      <w:r w:rsidR="00DA1672" w:rsidRPr="00C256EF">
        <w:rPr>
          <w:lang w:val="sr-Latn-RS"/>
        </w:rPr>
        <w:t xml:space="preserve"> odnosno kantarion, fenitoin, karbamazepin, fenobarbital i deksametazon) mogu takođe ubrzati metabolizam sorafeniba i tako smanjiti koncentracije sorafeniba.</w:t>
      </w:r>
    </w:p>
    <w:p w14:paraId="5ACAD829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32D3863F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Inhibitori CYP3A4</w:t>
      </w:r>
    </w:p>
    <w:p w14:paraId="77D1E13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49B931DA" w14:textId="29AFFA26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Ketokonazol, snažan inhibitor CYP3A4, </w:t>
      </w:r>
      <w:r w:rsidR="001659AE" w:rsidRPr="00C256EF">
        <w:rPr>
          <w:lang w:val="sr-Latn-RS"/>
        </w:rPr>
        <w:t>primijen</w:t>
      </w:r>
      <w:r w:rsidRPr="00C256EF">
        <w:rPr>
          <w:lang w:val="sr-Latn-RS"/>
        </w:rPr>
        <w:t>jen jednom dnevno tokom 7 dana kod zdravih muških dobrovoljaca, nije m</w:t>
      </w:r>
      <w:r w:rsidR="00B225F1" w:rsidRPr="00C256EF">
        <w:rPr>
          <w:lang w:val="sr-Latn-RS"/>
        </w:rPr>
        <w:t>ij</w:t>
      </w:r>
      <w:r w:rsidRPr="00C256EF">
        <w:rPr>
          <w:lang w:val="sr-Latn-RS"/>
        </w:rPr>
        <w:t>enjao pros</w:t>
      </w:r>
      <w:r w:rsidR="00B225F1" w:rsidRPr="00C256EF">
        <w:rPr>
          <w:lang w:val="sr-Latn-RS"/>
        </w:rPr>
        <w:t>j</w:t>
      </w:r>
      <w:r w:rsidRPr="00C256EF">
        <w:rPr>
          <w:lang w:val="sr-Latn-RS"/>
        </w:rPr>
        <w:t>ečni PIK pojedinačne doze od 50 mg sorafeniba. Ovi podaci sugerišu da je klinička farmakokinetička interakcija sorafeniba i inhibitora CYP3A4 malo v</w:t>
      </w:r>
      <w:r w:rsidR="001659AE" w:rsidRPr="00C256EF">
        <w:rPr>
          <w:lang w:val="sr-Latn-RS"/>
        </w:rPr>
        <w:t>j</w:t>
      </w:r>
      <w:r w:rsidRPr="00C256EF">
        <w:rPr>
          <w:lang w:val="sr-Latn-RS"/>
        </w:rPr>
        <w:t>erovatna.</w:t>
      </w:r>
    </w:p>
    <w:p w14:paraId="60BA473E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654C0790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Supstrati CYP2B6, CYP2C8 i CYP2C9 izoenzima</w:t>
      </w:r>
    </w:p>
    <w:p w14:paraId="30CB0AB0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7865C093" w14:textId="1A66613B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U </w:t>
      </w:r>
      <w:r w:rsidRPr="00C256EF">
        <w:rPr>
          <w:i/>
          <w:lang w:val="sr-Latn-RS"/>
        </w:rPr>
        <w:t xml:space="preserve">in vitro </w:t>
      </w:r>
      <w:r w:rsidRPr="00C256EF">
        <w:rPr>
          <w:lang w:val="sr-Latn-RS"/>
        </w:rPr>
        <w:t xml:space="preserve">uslovima, sorafenib inhibira CYP2B6, CYP2C8 i CYP2C9 približno sličnom jačinom. Međutim, u kliničkim farmakokinetičkim studijama kod istovremene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e sorafeniba 400 mg dva puta dnevno sa ciklofosfamidom, supstratom CYP2B6 ili paklitakselom, supstratom CYP2C8, nije došlo do klinički značajne inhibicije. Ovi podaci ukazuju da sorafenib u preporučenoj dozi od 400 mg dva puta dnevno, možda nije </w:t>
      </w:r>
      <w:r w:rsidRPr="00C256EF">
        <w:rPr>
          <w:i/>
          <w:lang w:val="sr-Latn-RS"/>
        </w:rPr>
        <w:t xml:space="preserve">in vivo </w:t>
      </w:r>
      <w:r w:rsidRPr="00C256EF">
        <w:rPr>
          <w:lang w:val="sr-Latn-RS"/>
        </w:rPr>
        <w:t>inhibitor CYP2B6 ili CYP2C8.</w:t>
      </w:r>
    </w:p>
    <w:p w14:paraId="7299C1E8" w14:textId="248AE80C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Dodatno, istovremena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a sorafeniba i varfarina, supstrata CYP2C9, nije dovela do prom</w:t>
      </w:r>
      <w:r w:rsidR="00B225F1" w:rsidRPr="00C256EF">
        <w:rPr>
          <w:lang w:val="sr-Latn-RS"/>
        </w:rPr>
        <w:t>j</w:t>
      </w:r>
      <w:r w:rsidRPr="00C256EF">
        <w:rPr>
          <w:lang w:val="sr-Latn-RS"/>
        </w:rPr>
        <w:t xml:space="preserve">ene srednje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 xml:space="preserve">sti PT-INR u odnosu na placebo. Prema tome, može se očekivati da će rizik za klinički značajnu inhibiciju CYP2C9 sorafenibom </w:t>
      </w:r>
      <w:r w:rsidRPr="00C256EF">
        <w:rPr>
          <w:i/>
          <w:lang w:val="sr-Latn-RS"/>
        </w:rPr>
        <w:t xml:space="preserve">in vivo </w:t>
      </w:r>
      <w:r w:rsidRPr="00C256EF">
        <w:rPr>
          <w:lang w:val="sr-Latn-RS"/>
        </w:rPr>
        <w:t>biti nizak. Međutim, pacijenti koji su na terapiji varfarinom ili fenprokumonom treba redovno da kontrolišu svoj INR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4.4).</w:t>
      </w:r>
    </w:p>
    <w:p w14:paraId="0FB0E0E3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FB024D5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Supstrati CYP3A4, CYP2D6 i CYP2C19 izoenzima</w:t>
      </w:r>
    </w:p>
    <w:p w14:paraId="7381B3FA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1E26B4A" w14:textId="611B2583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Istovremena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a sorafeniba i midazolama, dekstrometorfana ili omeprazola, koji su supstrati citohroma CYP3A4, CYP2D6, odnosno CYP2C19, nije m</w:t>
      </w:r>
      <w:r w:rsidR="001659AE" w:rsidRPr="00C256EF">
        <w:rPr>
          <w:lang w:val="sr-Latn-RS"/>
        </w:rPr>
        <w:t>ij</w:t>
      </w:r>
      <w:r w:rsidRPr="00C256EF">
        <w:rPr>
          <w:lang w:val="sr-Latn-RS"/>
        </w:rPr>
        <w:t>enjala izloženost ovim l</w:t>
      </w:r>
      <w:r w:rsidR="00375E66" w:rsidRPr="00C256EF">
        <w:rPr>
          <w:lang w:val="sr-Latn-RS"/>
        </w:rPr>
        <w:t>j</w:t>
      </w:r>
      <w:r w:rsidRPr="00C256EF">
        <w:rPr>
          <w:lang w:val="sr-Latn-RS"/>
        </w:rPr>
        <w:t>ekovima. Ovo ukazuje na to da sorafenib nije ni inhibitor, ni induktor ovih izoenzima citohroma P450. Stoga, kliničke farmakokinetičke interakcije sorafeniba sa supstratima ovih enzima su malo v</w:t>
      </w:r>
      <w:r w:rsidR="001659AE" w:rsidRPr="00C256EF">
        <w:rPr>
          <w:lang w:val="sr-Latn-RS"/>
        </w:rPr>
        <w:t>j</w:t>
      </w:r>
      <w:r w:rsidRPr="00C256EF">
        <w:rPr>
          <w:lang w:val="sr-Latn-RS"/>
        </w:rPr>
        <w:t>erovatne.</w:t>
      </w:r>
    </w:p>
    <w:p w14:paraId="763ADE41" w14:textId="77777777" w:rsidR="00DA1672" w:rsidRPr="00C256EF" w:rsidRDefault="00DA1672">
      <w:pPr>
        <w:pStyle w:val="BodyText"/>
        <w:ind w:left="0"/>
        <w:jc w:val="both"/>
        <w:rPr>
          <w:u w:val="single"/>
          <w:lang w:val="sr-Latn-RS"/>
        </w:rPr>
      </w:pPr>
    </w:p>
    <w:p w14:paraId="4B6D64CA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Supstrati UGT1A1 i UGT1A9 izoenzima</w:t>
      </w:r>
    </w:p>
    <w:p w14:paraId="3EC078EB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78EB998C" w14:textId="30C0904C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i/>
          <w:lang w:val="sr-Latn-RS"/>
        </w:rPr>
        <w:t>In vitro</w:t>
      </w:r>
      <w:r w:rsidRPr="00C256EF">
        <w:rPr>
          <w:lang w:val="sr-Latn-RS"/>
        </w:rPr>
        <w:t>, sorafenib inhibira glukuronidaciju preko UGT1A1 i UGT1A9. Klinički značaj ovog nalaza je nepoznat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u nastavku i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4.4).</w:t>
      </w:r>
    </w:p>
    <w:p w14:paraId="016E8953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896D334" w14:textId="77777777" w:rsidR="00DA1672" w:rsidRPr="00C256EF" w:rsidRDefault="00DA1672">
      <w:pPr>
        <w:jc w:val="both"/>
        <w:rPr>
          <w:sz w:val="22"/>
          <w:szCs w:val="22"/>
          <w:lang w:val="sr-Latn-RS"/>
        </w:rPr>
      </w:pPr>
      <w:r w:rsidRPr="00C256EF">
        <w:rPr>
          <w:i/>
          <w:sz w:val="22"/>
          <w:szCs w:val="22"/>
          <w:u w:val="single"/>
          <w:lang w:val="sr-Latn-RS"/>
        </w:rPr>
        <w:t xml:space="preserve">In vitro </w:t>
      </w:r>
      <w:r w:rsidRPr="00C256EF">
        <w:rPr>
          <w:sz w:val="22"/>
          <w:szCs w:val="22"/>
          <w:u w:val="single"/>
          <w:lang w:val="sr-Latn-RS"/>
        </w:rPr>
        <w:t>studije indukcije CYP enzima</w:t>
      </w:r>
    </w:p>
    <w:p w14:paraId="1D311F27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084CF0F" w14:textId="3BFC64C1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Aktivnosti CYP1A2 i CYP3A4 </w:t>
      </w:r>
      <w:r w:rsidR="00DA6303" w:rsidRPr="00C256EF">
        <w:rPr>
          <w:lang w:val="sr-Latn-RS"/>
        </w:rPr>
        <w:t>nijesu</w:t>
      </w:r>
      <w:r w:rsidRPr="00C256EF">
        <w:rPr>
          <w:lang w:val="sr-Latn-RS"/>
        </w:rPr>
        <w:t xml:space="preserve"> bile izmenjene posl</w:t>
      </w:r>
      <w:r w:rsidR="00B225F1" w:rsidRPr="00C256EF">
        <w:rPr>
          <w:lang w:val="sr-Latn-RS"/>
        </w:rPr>
        <w:t>ij</w:t>
      </w:r>
      <w:r w:rsidRPr="00C256EF">
        <w:rPr>
          <w:lang w:val="sr-Latn-RS"/>
        </w:rPr>
        <w:t>e terapije kulture humanih hepatocita sorafenibom, što ukazuje na to da je malo v</w:t>
      </w:r>
      <w:r w:rsidR="001659AE" w:rsidRPr="00C256EF">
        <w:rPr>
          <w:lang w:val="sr-Latn-RS"/>
        </w:rPr>
        <w:t>j</w:t>
      </w:r>
      <w:r w:rsidRPr="00C256EF">
        <w:rPr>
          <w:lang w:val="sr-Latn-RS"/>
        </w:rPr>
        <w:t>erovatno da je sorafenib induktor CYP1A2 i CYP3A4.</w:t>
      </w:r>
    </w:p>
    <w:p w14:paraId="020830E8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F48E3D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P-gp supstrati</w:t>
      </w:r>
    </w:p>
    <w:p w14:paraId="7A58F16F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41332C15" w14:textId="1E038E8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i/>
          <w:lang w:val="sr-Latn-RS"/>
        </w:rPr>
        <w:t xml:space="preserve">In vitro </w:t>
      </w:r>
      <w:r w:rsidRPr="00C256EF">
        <w:rPr>
          <w:lang w:val="sr-Latn-RS"/>
        </w:rPr>
        <w:t xml:space="preserve">je pokazano da sorafenib inhibira transportni protein p-glikoprotein (P-gp). Povećanje koncentracije P-gp supstrata u plazmi, kao što je digoksin, ne može se isključiti prilikom istovremene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sorafeniba.</w:t>
      </w:r>
    </w:p>
    <w:p w14:paraId="632EE5BD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193061C6" w14:textId="21181C50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Kombinacija sa drugim antineoplastičnim l</w:t>
      </w:r>
      <w:r w:rsidR="00375E66" w:rsidRPr="00C256EF">
        <w:rPr>
          <w:u w:val="single"/>
          <w:lang w:val="sr-Latn-RS"/>
        </w:rPr>
        <w:t>j</w:t>
      </w:r>
      <w:r w:rsidRPr="00C256EF">
        <w:rPr>
          <w:u w:val="single"/>
          <w:lang w:val="sr-Latn-RS"/>
        </w:rPr>
        <w:t>ekovima</w:t>
      </w:r>
    </w:p>
    <w:p w14:paraId="7023A1CC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22030A25" w14:textId="7BDDB60E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U kliničkim studijama, sorafenib je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jivan sa </w:t>
      </w:r>
      <w:r w:rsidRPr="00C256EF">
        <w:rPr>
          <w:spacing w:val="-3"/>
          <w:lang w:val="sr-Latn-RS"/>
        </w:rPr>
        <w:t xml:space="preserve">raznim </w:t>
      </w:r>
      <w:r w:rsidRPr="00C256EF">
        <w:rPr>
          <w:lang w:val="sr-Latn-RS"/>
        </w:rPr>
        <w:t>drugih antineoplastičnim l</w:t>
      </w:r>
      <w:r w:rsidR="00375E66" w:rsidRPr="00C256EF">
        <w:rPr>
          <w:lang w:val="sr-Latn-RS"/>
        </w:rPr>
        <w:t>j</w:t>
      </w:r>
      <w:r w:rsidRPr="00C256EF">
        <w:rPr>
          <w:lang w:val="sr-Latn-RS"/>
        </w:rPr>
        <w:t>ekovima pri njihovim uobičajenim doznim režimima, uključujući gemcitabin, cisplatin, oksaliplatin, paklitaksel, karboplatin, kapecitabin, doksorubicin, irinotekan, docetaksel i ciklofosfamid. Sorafenib nije imao klinički značajan uticaj na farmakokinetiku gemcitabina, cisplatina, karboplatina, oksaliplatina ili</w:t>
      </w:r>
      <w:r w:rsidRPr="00C256EF">
        <w:rPr>
          <w:spacing w:val="-20"/>
          <w:lang w:val="sr-Latn-RS"/>
        </w:rPr>
        <w:t xml:space="preserve"> </w:t>
      </w:r>
      <w:r w:rsidRPr="00C256EF">
        <w:rPr>
          <w:lang w:val="sr-Latn-RS"/>
        </w:rPr>
        <w:t>ciklofosfamida.</w:t>
      </w:r>
    </w:p>
    <w:p w14:paraId="69A8EACE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1044D7FA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Paklitaksel/karboplatin</w:t>
      </w:r>
    </w:p>
    <w:p w14:paraId="3C1E3DF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6F3B92F4" w14:textId="60711FEA" w:rsidR="00DA1672" w:rsidRPr="00C256EF" w:rsidRDefault="001659AE">
      <w:pPr>
        <w:pStyle w:val="ListParagraph"/>
        <w:numPr>
          <w:ilvl w:val="0"/>
          <w:numId w:val="12"/>
        </w:numPr>
        <w:tabs>
          <w:tab w:val="left" w:pos="593"/>
        </w:tabs>
        <w:ind w:left="0"/>
        <w:jc w:val="both"/>
        <w:rPr>
          <w:lang w:val="sr-Latn-RS"/>
        </w:rPr>
      </w:pPr>
      <w:r w:rsidRPr="00C256EF">
        <w:rPr>
          <w:lang w:val="sr-Latn-RS"/>
        </w:rPr>
        <w:t>Primjen</w:t>
      </w:r>
      <w:r w:rsidR="00DA1672" w:rsidRPr="00C256EF">
        <w:rPr>
          <w:lang w:val="sr-Latn-RS"/>
        </w:rPr>
        <w:t>a paklitaksela (225 mg/m</w:t>
      </w:r>
      <w:r w:rsidR="00DA1672" w:rsidRPr="00C256EF">
        <w:rPr>
          <w:vertAlign w:val="superscript"/>
          <w:lang w:val="sr-Latn-RS"/>
        </w:rPr>
        <w:t>2</w:t>
      </w:r>
      <w:r w:rsidR="00DA1672" w:rsidRPr="00C256EF">
        <w:rPr>
          <w:lang w:val="sr-Latn-RS"/>
        </w:rPr>
        <w:t xml:space="preserve">) i karboplatina (PIK = 6) sa sorafenibom (≤ 400 </w:t>
      </w:r>
      <w:r w:rsidR="00DA1672" w:rsidRPr="00C256EF">
        <w:rPr>
          <w:spacing w:val="-4"/>
          <w:lang w:val="sr-Latn-RS"/>
        </w:rPr>
        <w:t xml:space="preserve">mg </w:t>
      </w:r>
      <w:r w:rsidR="00DA1672" w:rsidRPr="00C256EF">
        <w:rPr>
          <w:lang w:val="sr-Latn-RS"/>
        </w:rPr>
        <w:t>dva puta dnevno), prim</w:t>
      </w:r>
      <w:r w:rsidRPr="00C256EF">
        <w:rPr>
          <w:lang w:val="sr-Latn-RS"/>
        </w:rPr>
        <w:t>ij</w:t>
      </w:r>
      <w:r w:rsidR="00DA1672" w:rsidRPr="00C256EF">
        <w:rPr>
          <w:lang w:val="sr-Latn-RS"/>
        </w:rPr>
        <w:t xml:space="preserve">enjenog sa trodnevnom pauzom u doziranju sorafeniba (dva dana </w:t>
      </w:r>
      <w:r w:rsidR="00375E66" w:rsidRPr="00C256EF">
        <w:rPr>
          <w:lang w:val="sr-Latn-RS"/>
        </w:rPr>
        <w:t>prije</w:t>
      </w:r>
      <w:r w:rsidR="00DA1672" w:rsidRPr="00C256EF">
        <w:rPr>
          <w:lang w:val="sr-Latn-RS"/>
        </w:rPr>
        <w:t xml:space="preserve"> i na dan početka </w:t>
      </w:r>
      <w:r w:rsidRPr="00C256EF">
        <w:rPr>
          <w:lang w:val="sr-Latn-RS"/>
        </w:rPr>
        <w:t>primjen</w:t>
      </w:r>
      <w:r w:rsidR="00DA1672" w:rsidRPr="00C256EF">
        <w:rPr>
          <w:lang w:val="sr-Latn-RS"/>
        </w:rPr>
        <w:t xml:space="preserve">e </w:t>
      </w:r>
      <w:r w:rsidR="00DA1672" w:rsidRPr="00C256EF">
        <w:rPr>
          <w:lang w:val="sr-Latn-RS"/>
        </w:rPr>
        <w:lastRenderedPageBreak/>
        <w:t>paklitaksela/karboplatina), nije dovela do značajnog uticaja na farmakokinetiku</w:t>
      </w:r>
      <w:r w:rsidR="00DA1672" w:rsidRPr="00C256EF">
        <w:rPr>
          <w:spacing w:val="-22"/>
          <w:lang w:val="sr-Latn-RS"/>
        </w:rPr>
        <w:t xml:space="preserve"> </w:t>
      </w:r>
      <w:r w:rsidR="00DA1672" w:rsidRPr="00C256EF">
        <w:rPr>
          <w:lang w:val="sr-Latn-RS"/>
        </w:rPr>
        <w:t>paklitaksela.</w:t>
      </w:r>
    </w:p>
    <w:p w14:paraId="5B818842" w14:textId="77777777" w:rsidR="00DA1672" w:rsidRPr="00C256EF" w:rsidRDefault="00DA1672">
      <w:pPr>
        <w:pStyle w:val="ListParagraph"/>
        <w:tabs>
          <w:tab w:val="left" w:pos="593"/>
        </w:tabs>
        <w:ind w:left="0" w:firstLine="0"/>
        <w:jc w:val="both"/>
        <w:rPr>
          <w:lang w:val="sr-Latn-RS"/>
        </w:rPr>
      </w:pPr>
    </w:p>
    <w:p w14:paraId="1355424B" w14:textId="51F0A9C7" w:rsidR="00DA1672" w:rsidRPr="00C256EF" w:rsidRDefault="00DA1672">
      <w:pPr>
        <w:pStyle w:val="ListParagraph"/>
        <w:numPr>
          <w:ilvl w:val="0"/>
          <w:numId w:val="12"/>
        </w:numPr>
        <w:tabs>
          <w:tab w:val="left" w:pos="593"/>
        </w:tabs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Istovremena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a paklitaksela (225 mg/m</w:t>
      </w:r>
      <w:r w:rsidRPr="00C256EF">
        <w:rPr>
          <w:vertAlign w:val="superscript"/>
          <w:lang w:val="sr-Latn-RS"/>
        </w:rPr>
        <w:t>2</w:t>
      </w:r>
      <w:r w:rsidRPr="00C256EF">
        <w:rPr>
          <w:lang w:val="sr-Latn-RS"/>
        </w:rPr>
        <w:t>, jednom na svake 3 ned</w:t>
      </w:r>
      <w:r w:rsidR="00B225F1" w:rsidRPr="00C256EF">
        <w:rPr>
          <w:lang w:val="sr-Latn-RS"/>
        </w:rPr>
        <w:t>j</w:t>
      </w:r>
      <w:r w:rsidRPr="00C256EF">
        <w:rPr>
          <w:lang w:val="sr-Latn-RS"/>
        </w:rPr>
        <w:t>elje) i karboplatina (PIK = 6) sa sorafenibom (400 mg dva puta dnevno, bez pauze u doziranju sorafeniba) dovela je do 47% povećanja izloženosti sorafenibu, 29% povećanja izloženosti paklitakselu i 50% povećanja izloženosti 6-OH- paklitakselu. Nije bilo uticaja na farmakokinetiku</w:t>
      </w:r>
      <w:r w:rsidRPr="00C256EF">
        <w:rPr>
          <w:spacing w:val="-4"/>
          <w:lang w:val="sr-Latn-RS"/>
        </w:rPr>
        <w:t xml:space="preserve"> </w:t>
      </w:r>
      <w:r w:rsidRPr="00C256EF">
        <w:rPr>
          <w:lang w:val="sr-Latn-RS"/>
        </w:rPr>
        <w:t>karboplatina.</w:t>
      </w:r>
    </w:p>
    <w:p w14:paraId="48DCE374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D0EB96C" w14:textId="2FC4D19A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Ovi podaci ukazuju da nije potrebno prilagođavati dozu u slučaju kada su paklitaksel i karboplatin </w:t>
      </w:r>
      <w:r w:rsidR="001659AE" w:rsidRPr="00C256EF">
        <w:rPr>
          <w:lang w:val="sr-Latn-RS"/>
        </w:rPr>
        <w:t>primijen</w:t>
      </w:r>
      <w:r w:rsidRPr="00C256EF">
        <w:rPr>
          <w:lang w:val="sr-Latn-RS"/>
        </w:rPr>
        <w:t xml:space="preserve">jeni istovremeno sa sorafenibom uz trodnevnu pauzu u doziranju sorafeniba (dva dana </w:t>
      </w:r>
      <w:r w:rsidR="00375E66" w:rsidRPr="00C256EF">
        <w:rPr>
          <w:lang w:val="sr-Latn-RS"/>
        </w:rPr>
        <w:t>prije</w:t>
      </w:r>
      <w:r w:rsidRPr="00C256EF">
        <w:rPr>
          <w:lang w:val="sr-Latn-RS"/>
        </w:rPr>
        <w:t xml:space="preserve"> i </w:t>
      </w:r>
      <w:r w:rsidRPr="00C256EF">
        <w:rPr>
          <w:spacing w:val="-3"/>
          <w:lang w:val="sr-Latn-RS"/>
        </w:rPr>
        <w:t xml:space="preserve">na </w:t>
      </w:r>
      <w:r w:rsidRPr="00C256EF">
        <w:rPr>
          <w:lang w:val="sr-Latn-RS"/>
        </w:rPr>
        <w:t xml:space="preserve">dan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e paklitaksela/karboplatina). Klinički značaj povećanja izloženosti sorafenibu i paklitakselu nakon istovremene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sa sorafenibom bez pauze u doziranju, nije</w:t>
      </w:r>
      <w:r w:rsidRPr="00C256EF">
        <w:rPr>
          <w:spacing w:val="-13"/>
          <w:lang w:val="sr-Latn-RS"/>
        </w:rPr>
        <w:t xml:space="preserve"> </w:t>
      </w:r>
      <w:r w:rsidRPr="00C256EF">
        <w:rPr>
          <w:lang w:val="sr-Latn-RS"/>
        </w:rPr>
        <w:t>poznat.</w:t>
      </w:r>
    </w:p>
    <w:p w14:paraId="18EC4DBC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3C6EF58C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Kapecitabin</w:t>
      </w:r>
    </w:p>
    <w:p w14:paraId="07CEC3F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223FC45A" w14:textId="6588E6AF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Istovremena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a kapecitabina (750-1050 mg/m</w:t>
      </w:r>
      <w:r w:rsidRPr="00C256EF">
        <w:rPr>
          <w:vertAlign w:val="superscript"/>
          <w:lang w:val="sr-Latn-RS"/>
        </w:rPr>
        <w:t>2</w:t>
      </w:r>
      <w:r w:rsidRPr="00C256EF">
        <w:rPr>
          <w:lang w:val="sr-Latn-RS"/>
        </w:rPr>
        <w:t xml:space="preserve"> dva puta dnevno, od 1. do 14. dana u svakom ciklusu od 21 dan) i sorafeniba (200 ili 400 </w:t>
      </w:r>
      <w:r w:rsidRPr="00C256EF">
        <w:rPr>
          <w:spacing w:val="-3"/>
          <w:lang w:val="sr-Latn-RS"/>
        </w:rPr>
        <w:t xml:space="preserve">mg </w:t>
      </w:r>
      <w:r w:rsidRPr="00C256EF">
        <w:rPr>
          <w:lang w:val="sr-Latn-RS"/>
        </w:rPr>
        <w:t xml:space="preserve">dva puta dnevno, kontinuirana neprekidna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a) nije dovela do značajne promene u izloženosti sorafenibu, ali je došlo do 15-50% povećanja izloženosti kapecitabinu i 0- 52% povećanja izloženosti 5-FU. Klinički značaj ovih malih do um</w:t>
      </w:r>
      <w:r w:rsidR="00B225F1" w:rsidRPr="00C256EF">
        <w:rPr>
          <w:lang w:val="sr-Latn-RS"/>
        </w:rPr>
        <w:t>j</w:t>
      </w:r>
      <w:r w:rsidRPr="00C256EF">
        <w:rPr>
          <w:lang w:val="sr-Latn-RS"/>
        </w:rPr>
        <w:t xml:space="preserve">erenih povećanja u izloženosti kapecitabinu i 5-FU kod istovremene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sa sorafenibom je</w:t>
      </w:r>
      <w:r w:rsidRPr="00C256EF">
        <w:rPr>
          <w:spacing w:val="-18"/>
          <w:lang w:val="sr-Latn-RS"/>
        </w:rPr>
        <w:t xml:space="preserve"> </w:t>
      </w:r>
      <w:r w:rsidRPr="00C256EF">
        <w:rPr>
          <w:lang w:val="sr-Latn-RS"/>
        </w:rPr>
        <w:t>nepoznat.</w:t>
      </w:r>
    </w:p>
    <w:p w14:paraId="035C7555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D0E000B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Doksorubicin/irinotekan</w:t>
      </w:r>
    </w:p>
    <w:p w14:paraId="6D246861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28C54EE5" w14:textId="31D82D0B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Istovremena terapija sa sorafenibom imala je za rezultat povećanje od 21% PIK-a doksorubicina. Prilikom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e sa irinotekanom, čiji </w:t>
      </w:r>
      <w:r w:rsidRPr="00C256EF">
        <w:rPr>
          <w:spacing w:val="2"/>
          <w:lang w:val="sr-Latn-RS"/>
        </w:rPr>
        <w:t xml:space="preserve">se </w:t>
      </w:r>
      <w:r w:rsidRPr="00C256EF">
        <w:rPr>
          <w:lang w:val="sr-Latn-RS"/>
        </w:rPr>
        <w:t xml:space="preserve">aktivni metabolit SN-38 </w:t>
      </w:r>
      <w:r w:rsidRPr="00C256EF">
        <w:rPr>
          <w:spacing w:val="-3"/>
          <w:lang w:val="sr-Latn-RS"/>
        </w:rPr>
        <w:t xml:space="preserve">dalje </w:t>
      </w:r>
      <w:r w:rsidRPr="00C256EF">
        <w:rPr>
          <w:lang w:val="sr-Latn-RS"/>
        </w:rPr>
        <w:t xml:space="preserve">metaboliše preko UGT1A1 puta, postoji povećanje od 67 - 120 % PIK-a SN-38 i povećanje od 26 – 42 % PIK-a irinotekana. Klinički značaj </w:t>
      </w:r>
      <w:r w:rsidRPr="00C256EF">
        <w:rPr>
          <w:spacing w:val="-3"/>
          <w:lang w:val="sr-Latn-RS"/>
        </w:rPr>
        <w:t xml:space="preserve">ovih </w:t>
      </w:r>
      <w:r w:rsidRPr="00C256EF">
        <w:rPr>
          <w:lang w:val="sr-Latn-RS"/>
        </w:rPr>
        <w:t>nalaza je nepoznat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spacing w:val="-1"/>
          <w:lang w:val="sr-Latn-RS"/>
        </w:rPr>
        <w:t xml:space="preserve"> </w:t>
      </w:r>
      <w:r w:rsidRPr="00C256EF">
        <w:rPr>
          <w:lang w:val="sr-Latn-RS"/>
        </w:rPr>
        <w:t>4.4).</w:t>
      </w:r>
    </w:p>
    <w:p w14:paraId="34707232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58D9BB2F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>Docetaksel</w:t>
      </w:r>
    </w:p>
    <w:p w14:paraId="33EEDDCE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6DBFF89B" w14:textId="23C6ED5E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Istovremena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a docetaksela (75 ili 100 mg/m</w:t>
      </w:r>
      <w:r w:rsidRPr="00C256EF">
        <w:rPr>
          <w:vertAlign w:val="superscript"/>
          <w:lang w:val="sr-Latn-RS"/>
        </w:rPr>
        <w:t>2</w:t>
      </w:r>
      <w:r w:rsidRPr="00C256EF">
        <w:rPr>
          <w:lang w:val="sr-Latn-RS"/>
        </w:rPr>
        <w:t xml:space="preserve"> </w:t>
      </w:r>
      <w:r w:rsidR="001659AE" w:rsidRPr="00C256EF">
        <w:rPr>
          <w:lang w:val="sr-Latn-RS"/>
        </w:rPr>
        <w:t>primijen</w:t>
      </w:r>
      <w:r w:rsidRPr="00C256EF">
        <w:rPr>
          <w:lang w:val="sr-Latn-RS"/>
        </w:rPr>
        <w:t>jenog jednom na svakih 21 dan) i sorafeniba (200 mg dva puta dnevno ili 400 mg dva puta dnevno, prim</w:t>
      </w:r>
      <w:r w:rsidR="001659AE" w:rsidRPr="00C256EF">
        <w:rPr>
          <w:lang w:val="sr-Latn-RS"/>
        </w:rPr>
        <w:t>ij</w:t>
      </w:r>
      <w:r w:rsidRPr="00C256EF">
        <w:rPr>
          <w:lang w:val="sr-Latn-RS"/>
        </w:rPr>
        <w:t>enjenog od 2. do 19. dana tokom 21-dnevnog ciklusa, sa pauzom u doziranju od 3 dana u vr</w:t>
      </w:r>
      <w:r w:rsidR="00B225F1" w:rsidRPr="00C256EF">
        <w:rPr>
          <w:lang w:val="sr-Latn-RS"/>
        </w:rPr>
        <w:t>ij</w:t>
      </w:r>
      <w:r w:rsidRPr="00C256EF">
        <w:rPr>
          <w:lang w:val="sr-Latn-RS"/>
        </w:rPr>
        <w:t xml:space="preserve">eme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docetaksela) dovela je do povećanja PIK-a docetaksela od 36-80% i povećanja C</w:t>
      </w:r>
      <w:r w:rsidRPr="00C256EF">
        <w:rPr>
          <w:vertAlign w:val="subscript"/>
          <w:lang w:val="sr-Latn-RS"/>
        </w:rPr>
        <w:t>max</w:t>
      </w:r>
      <w:r w:rsidRPr="00C256EF">
        <w:rPr>
          <w:lang w:val="sr-Latn-RS"/>
        </w:rPr>
        <w:t xml:space="preserve"> docetaksela od 16-32 %. Preporučuje se oprez kada se sorafenib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juje istovremeno sa docetakselom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4.4).</w:t>
      </w:r>
    </w:p>
    <w:p w14:paraId="78B14B2A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449D8A03" w14:textId="2158E491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u w:val="single"/>
          <w:lang w:val="sr-Latn-RS"/>
        </w:rPr>
        <w:t xml:space="preserve">Kombinovana </w:t>
      </w:r>
      <w:r w:rsidR="001659AE" w:rsidRPr="00C256EF">
        <w:rPr>
          <w:u w:val="single"/>
          <w:lang w:val="sr-Latn-RS"/>
        </w:rPr>
        <w:t>primjen</w:t>
      </w:r>
      <w:r w:rsidRPr="00C256EF">
        <w:rPr>
          <w:u w:val="single"/>
          <w:lang w:val="sr-Latn-RS"/>
        </w:rPr>
        <w:t>a sa drugim l</w:t>
      </w:r>
      <w:r w:rsidR="00375E66" w:rsidRPr="00C256EF">
        <w:rPr>
          <w:u w:val="single"/>
          <w:lang w:val="sr-Latn-RS"/>
        </w:rPr>
        <w:t>j</w:t>
      </w:r>
      <w:r w:rsidRPr="00C256EF">
        <w:rPr>
          <w:u w:val="single"/>
          <w:lang w:val="sr-Latn-RS"/>
        </w:rPr>
        <w:t>ekovima</w:t>
      </w:r>
    </w:p>
    <w:p w14:paraId="6AC46363" w14:textId="77777777" w:rsidR="00DA1672" w:rsidRPr="00C256EF" w:rsidRDefault="00DA1672">
      <w:pPr>
        <w:pStyle w:val="BodyText"/>
        <w:ind w:left="0"/>
        <w:jc w:val="both"/>
        <w:rPr>
          <w:lang w:val="sr-Latn-RS"/>
        </w:rPr>
      </w:pPr>
    </w:p>
    <w:p w14:paraId="0B25C60D" w14:textId="77777777" w:rsidR="00DA1672" w:rsidRPr="00C256EF" w:rsidRDefault="00DA1672">
      <w:pPr>
        <w:jc w:val="both"/>
        <w:rPr>
          <w:i/>
          <w:sz w:val="22"/>
          <w:szCs w:val="22"/>
          <w:lang w:val="sr-Latn-RS"/>
        </w:rPr>
      </w:pPr>
      <w:r w:rsidRPr="00C256EF">
        <w:rPr>
          <w:i/>
          <w:sz w:val="22"/>
          <w:szCs w:val="22"/>
          <w:lang w:val="sr-Latn-RS"/>
        </w:rPr>
        <w:t>Neomicin</w:t>
      </w:r>
    </w:p>
    <w:p w14:paraId="432BA894" w14:textId="33F49CA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 xml:space="preserve">Istovremena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a neomicina, nesistemskog antimikrobnog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a koji se koristio za eradikaciju gastrointestinalne flore, utiče na resorpciju sorafeniba u enterohepatičkoj cirkulaciji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u od</w:t>
      </w:r>
      <w:r w:rsidR="00B225F1" w:rsidRPr="00C256EF">
        <w:rPr>
          <w:lang w:val="sr-Latn-RS"/>
        </w:rPr>
        <w:t>j</w:t>
      </w:r>
      <w:r w:rsidRPr="00C256EF">
        <w:rPr>
          <w:lang w:val="sr-Latn-RS"/>
        </w:rPr>
        <w:t xml:space="preserve">eljku 5.2 „Biotransformacija i eliminacija“), što dovodi do smanjene izloženosti sorafenibu. Kod zdravih dobrovoljaca koji su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>ni neomicinom 5 dana, pros</w:t>
      </w:r>
      <w:r w:rsidR="00B225F1" w:rsidRPr="00C256EF">
        <w:rPr>
          <w:lang w:val="sr-Latn-RS"/>
        </w:rPr>
        <w:t>j</w:t>
      </w:r>
      <w:r w:rsidRPr="00C256EF">
        <w:rPr>
          <w:lang w:val="sr-Latn-RS"/>
        </w:rPr>
        <w:t>ečna izloženost sorafenibu se smanjila za 54%. Uticaj ostalih antibiotika nije ispitivan, ali bi v</w:t>
      </w:r>
      <w:r w:rsidR="00B225F1" w:rsidRPr="00C256EF">
        <w:rPr>
          <w:lang w:val="sr-Latn-RS"/>
        </w:rPr>
        <w:t>j</w:t>
      </w:r>
      <w:r w:rsidRPr="00C256EF">
        <w:rPr>
          <w:lang w:val="sr-Latn-RS"/>
        </w:rPr>
        <w:t>erovatno zavisio od njihove sposobnosti da d</w:t>
      </w:r>
      <w:r w:rsidR="00B225F1" w:rsidRPr="00C256EF">
        <w:rPr>
          <w:lang w:val="sr-Latn-RS"/>
        </w:rPr>
        <w:t>j</w:t>
      </w:r>
      <w:r w:rsidRPr="00C256EF">
        <w:rPr>
          <w:lang w:val="sr-Latn-RS"/>
        </w:rPr>
        <w:t>eluju na mikroorganizme koji imaju glukuronidaznu aktivnost.</w:t>
      </w:r>
    </w:p>
    <w:p w14:paraId="7150F3BF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9A3E0E5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4.6.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="006D20A5" w:rsidRPr="00C256EF">
        <w:rPr>
          <w:b/>
          <w:sz w:val="22"/>
          <w:szCs w:val="22"/>
          <w:lang w:val="sr-Latn-RS"/>
        </w:rPr>
        <w:t>Plodnost, trudnoća i dojenje</w:t>
      </w:r>
    </w:p>
    <w:p w14:paraId="2EF78A6F" w14:textId="77777777" w:rsidR="002031B3" w:rsidRPr="00C256EF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6986849C" w14:textId="77777777" w:rsidR="002031B3" w:rsidRPr="00C256EF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C256EF">
        <w:rPr>
          <w:sz w:val="22"/>
          <w:szCs w:val="22"/>
          <w:u w:val="single"/>
          <w:lang w:val="sr-Latn-RS"/>
        </w:rPr>
        <w:t>Plodnost</w:t>
      </w:r>
    </w:p>
    <w:p w14:paraId="5E8A1B69" w14:textId="4402AC37" w:rsidR="00DA1672" w:rsidRPr="00C256EF" w:rsidRDefault="00DA1672">
      <w:pPr>
        <w:pStyle w:val="BodyText"/>
        <w:ind w:left="0"/>
        <w:jc w:val="both"/>
        <w:rPr>
          <w:lang w:val="sr-Latn-RS"/>
        </w:rPr>
      </w:pPr>
      <w:r w:rsidRPr="00C256EF">
        <w:rPr>
          <w:lang w:val="sr-Latn-RS"/>
        </w:rPr>
        <w:t>Rezultati ispitivanja sprovedenih na životinjama ukazuju na to da sorafenib može da smanji plodnost kod muškaraca i žena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5.3).</w:t>
      </w:r>
    </w:p>
    <w:p w14:paraId="689A4F07" w14:textId="77777777" w:rsidR="002031B3" w:rsidRPr="00C256EF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02D6B123" w14:textId="77777777" w:rsidR="007A3ECB" w:rsidRPr="00C256EF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C256EF">
        <w:rPr>
          <w:sz w:val="22"/>
          <w:szCs w:val="22"/>
          <w:u w:val="single"/>
          <w:lang w:val="sr-Latn-RS"/>
        </w:rPr>
        <w:t>Trudnoća</w:t>
      </w:r>
    </w:p>
    <w:p w14:paraId="2F87DBDD" w14:textId="672D7D6B" w:rsidR="00DA1672" w:rsidRPr="00C256EF" w:rsidRDefault="00DA16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C256EF">
        <w:rPr>
          <w:sz w:val="22"/>
          <w:szCs w:val="22"/>
          <w:u w:val="single"/>
          <w:lang w:val="sr-Latn-RS"/>
        </w:rPr>
        <w:t xml:space="preserve">Nema podataka o </w:t>
      </w:r>
      <w:r w:rsidR="001659AE" w:rsidRPr="00C256EF">
        <w:rPr>
          <w:sz w:val="22"/>
          <w:szCs w:val="22"/>
          <w:u w:val="single"/>
          <w:lang w:val="sr-Latn-RS"/>
        </w:rPr>
        <w:t>primjen</w:t>
      </w:r>
      <w:r w:rsidRPr="00C256EF">
        <w:rPr>
          <w:sz w:val="22"/>
          <w:szCs w:val="22"/>
          <w:u w:val="single"/>
          <w:lang w:val="sr-Latn-RS"/>
        </w:rPr>
        <w:t>i sorafeniba kod trudnica. Ispitivanja na životinjama pokazala su reproduktivnu toksičnost, uključujući malformacije (</w:t>
      </w:r>
      <w:r w:rsidR="00DA6303" w:rsidRPr="00C256EF">
        <w:rPr>
          <w:sz w:val="22"/>
          <w:szCs w:val="22"/>
          <w:u w:val="single"/>
          <w:lang w:val="sr-Latn-RS"/>
        </w:rPr>
        <w:t>vidjeti</w:t>
      </w:r>
      <w:r w:rsidRPr="00C256EF">
        <w:rPr>
          <w:sz w:val="22"/>
          <w:szCs w:val="22"/>
          <w:u w:val="single"/>
          <w:lang w:val="sr-Latn-RS"/>
        </w:rPr>
        <w:t xml:space="preserve"> </w:t>
      </w:r>
      <w:r w:rsidR="00375E66" w:rsidRPr="00C256EF">
        <w:rPr>
          <w:sz w:val="22"/>
          <w:szCs w:val="22"/>
          <w:u w:val="single"/>
          <w:lang w:val="sr-Latn-RS"/>
        </w:rPr>
        <w:t>dio</w:t>
      </w:r>
      <w:r w:rsidRPr="00C256EF">
        <w:rPr>
          <w:sz w:val="22"/>
          <w:szCs w:val="22"/>
          <w:u w:val="single"/>
          <w:lang w:val="sr-Latn-RS"/>
        </w:rPr>
        <w:t xml:space="preserve"> 5.3). Kod pacova je pokazano da sorafenib i njegovi metaboliti prolaze placentu, pa se predpostavlja da bi sorafenib mogao da uzrokuje štetna dejstva na fetus. Sorafenib ne treba </w:t>
      </w:r>
      <w:r w:rsidR="001659AE" w:rsidRPr="00C256EF">
        <w:rPr>
          <w:sz w:val="22"/>
          <w:szCs w:val="22"/>
          <w:u w:val="single"/>
          <w:lang w:val="sr-Latn-RS"/>
        </w:rPr>
        <w:t>primjen</w:t>
      </w:r>
      <w:r w:rsidRPr="00C256EF">
        <w:rPr>
          <w:sz w:val="22"/>
          <w:szCs w:val="22"/>
          <w:u w:val="single"/>
          <w:lang w:val="sr-Latn-RS"/>
        </w:rPr>
        <w:t>jivati tokom trudnoće osim ako je apsolutno neophodan, i to posl</w:t>
      </w:r>
      <w:r w:rsidR="00020A62" w:rsidRPr="00C256EF">
        <w:rPr>
          <w:sz w:val="22"/>
          <w:szCs w:val="22"/>
          <w:u w:val="single"/>
          <w:lang w:val="sr-Latn-RS"/>
        </w:rPr>
        <w:t>ij</w:t>
      </w:r>
      <w:r w:rsidRPr="00C256EF">
        <w:rPr>
          <w:sz w:val="22"/>
          <w:szCs w:val="22"/>
          <w:u w:val="single"/>
          <w:lang w:val="sr-Latn-RS"/>
        </w:rPr>
        <w:t>e pažljivog razmatranja potreba majke i rizika za fetus.</w:t>
      </w:r>
    </w:p>
    <w:p w14:paraId="01564D48" w14:textId="64ACC702" w:rsidR="002031B3" w:rsidRPr="00C256EF" w:rsidRDefault="00DA16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C256EF">
        <w:rPr>
          <w:sz w:val="22"/>
          <w:szCs w:val="22"/>
          <w:u w:val="single"/>
          <w:lang w:val="sr-Latn-RS"/>
        </w:rPr>
        <w:lastRenderedPageBreak/>
        <w:t>Žene u reproduktivnom periodu moraju da koriste efektivnu kontracepciju tokom terapije.</w:t>
      </w:r>
    </w:p>
    <w:p w14:paraId="28C2D05D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66DF7429" w14:textId="7A26421A" w:rsidR="0072020E" w:rsidRPr="00C256EF" w:rsidRDefault="007A3E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sz w:val="22"/>
          <w:szCs w:val="22"/>
          <w:u w:val="single"/>
          <w:lang w:val="sr-Latn-RS"/>
        </w:rPr>
        <w:t xml:space="preserve">Dojenje </w:t>
      </w:r>
    </w:p>
    <w:p w14:paraId="257831CA" w14:textId="535B88DE" w:rsidR="00227BDB" w:rsidRPr="00C256EF" w:rsidRDefault="00DA1672">
      <w:pPr>
        <w:tabs>
          <w:tab w:val="left" w:pos="0"/>
        </w:tabs>
        <w:jc w:val="both"/>
        <w:rPr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t>Nije poznato da li se sorafenib izlučuje u majčino m</w:t>
      </w:r>
      <w:r w:rsidR="00375E66" w:rsidRPr="00C256EF">
        <w:rPr>
          <w:sz w:val="22"/>
          <w:szCs w:val="22"/>
          <w:lang w:val="sr-Latn-RS"/>
        </w:rPr>
        <w:t>lijek</w:t>
      </w:r>
      <w:r w:rsidRPr="00C256EF">
        <w:rPr>
          <w:sz w:val="22"/>
          <w:szCs w:val="22"/>
          <w:lang w:val="sr-Latn-RS"/>
        </w:rPr>
        <w:t>o kod ljudi. Kod životinja, sorafenib i/ili njegovi metaboliti su se izlučivali u m</w:t>
      </w:r>
      <w:r w:rsidR="00375E66" w:rsidRPr="00C256EF">
        <w:rPr>
          <w:sz w:val="22"/>
          <w:szCs w:val="22"/>
          <w:lang w:val="sr-Latn-RS"/>
        </w:rPr>
        <w:t>lijek</w:t>
      </w:r>
      <w:r w:rsidRPr="00C256EF">
        <w:rPr>
          <w:sz w:val="22"/>
          <w:szCs w:val="22"/>
          <w:lang w:val="sr-Latn-RS"/>
        </w:rPr>
        <w:t>o. Pošto sorafenib može da naškodi rastu i razvoju deteta (</w:t>
      </w:r>
      <w:r w:rsidR="00DA6303" w:rsidRPr="00C256EF">
        <w:rPr>
          <w:sz w:val="22"/>
          <w:szCs w:val="22"/>
          <w:lang w:val="sr-Latn-RS"/>
        </w:rPr>
        <w:t>vidjeti</w:t>
      </w:r>
      <w:r w:rsidRPr="00C256EF">
        <w:rPr>
          <w:sz w:val="22"/>
          <w:szCs w:val="22"/>
          <w:lang w:val="sr-Latn-RS"/>
        </w:rPr>
        <w:t xml:space="preserve"> </w:t>
      </w:r>
      <w:r w:rsidR="00375E66" w:rsidRPr="00C256EF">
        <w:rPr>
          <w:sz w:val="22"/>
          <w:szCs w:val="22"/>
          <w:lang w:val="sr-Latn-RS"/>
        </w:rPr>
        <w:t>dio</w:t>
      </w:r>
      <w:r w:rsidRPr="00C256EF">
        <w:rPr>
          <w:sz w:val="22"/>
          <w:szCs w:val="22"/>
          <w:lang w:val="sr-Latn-RS"/>
        </w:rPr>
        <w:t xml:space="preserve"> 5.3), žene ne sm</w:t>
      </w:r>
      <w:r w:rsidR="00020A62" w:rsidRPr="00C256EF">
        <w:rPr>
          <w:sz w:val="22"/>
          <w:szCs w:val="22"/>
          <w:lang w:val="sr-Latn-RS"/>
        </w:rPr>
        <w:t>i</w:t>
      </w:r>
      <w:r w:rsidRPr="00C256EF">
        <w:rPr>
          <w:sz w:val="22"/>
          <w:szCs w:val="22"/>
          <w:lang w:val="sr-Latn-RS"/>
        </w:rPr>
        <w:t>ju da doje tokom terapije sorafenibom.</w:t>
      </w:r>
    </w:p>
    <w:p w14:paraId="07FBA261" w14:textId="77777777" w:rsidR="00DA1672" w:rsidRPr="00C256EF" w:rsidRDefault="00DA1672">
      <w:pPr>
        <w:tabs>
          <w:tab w:val="left" w:pos="540"/>
          <w:tab w:val="left" w:pos="569"/>
        </w:tabs>
        <w:ind w:hanging="540"/>
        <w:jc w:val="both"/>
        <w:rPr>
          <w:b/>
          <w:bCs/>
          <w:sz w:val="22"/>
          <w:szCs w:val="22"/>
          <w:lang w:val="sr-Latn-RS"/>
        </w:rPr>
      </w:pPr>
    </w:p>
    <w:p w14:paraId="0F1AE482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4.7.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 xml:space="preserve">Uticaj na </w:t>
      </w:r>
      <w:r w:rsidR="002031B3" w:rsidRPr="00C256EF">
        <w:rPr>
          <w:b/>
          <w:bCs/>
          <w:sz w:val="22"/>
          <w:szCs w:val="22"/>
          <w:lang w:val="sr-Latn-RS"/>
        </w:rPr>
        <w:t xml:space="preserve">sposobnost </w:t>
      </w:r>
      <w:r w:rsidR="00F34554" w:rsidRPr="00C256EF">
        <w:rPr>
          <w:b/>
          <w:bCs/>
          <w:sz w:val="22"/>
          <w:szCs w:val="22"/>
          <w:lang w:val="sr-Latn-RS"/>
        </w:rPr>
        <w:t>upravljanja vozili</w:t>
      </w:r>
      <w:r w:rsidRPr="00C256EF">
        <w:rPr>
          <w:b/>
          <w:bCs/>
          <w:sz w:val="22"/>
          <w:szCs w:val="22"/>
          <w:lang w:val="sr-Latn-RS"/>
        </w:rPr>
        <w:t>m</w:t>
      </w:r>
      <w:r w:rsidR="00F34554" w:rsidRPr="00C256EF">
        <w:rPr>
          <w:b/>
          <w:bCs/>
          <w:sz w:val="22"/>
          <w:szCs w:val="22"/>
          <w:lang w:val="sr-Latn-RS"/>
        </w:rPr>
        <w:t>a</w:t>
      </w:r>
      <w:r w:rsidRPr="00C256EF">
        <w:rPr>
          <w:b/>
          <w:bCs/>
          <w:sz w:val="22"/>
          <w:szCs w:val="22"/>
          <w:lang w:val="sr-Latn-RS"/>
        </w:rPr>
        <w:t xml:space="preserve"> i </w:t>
      </w:r>
      <w:r w:rsidR="000D3449" w:rsidRPr="00C256EF">
        <w:rPr>
          <w:b/>
          <w:bCs/>
          <w:sz w:val="22"/>
          <w:szCs w:val="22"/>
          <w:lang w:val="sr-Latn-RS"/>
        </w:rPr>
        <w:t xml:space="preserve">rukovanje </w:t>
      </w:r>
      <w:r w:rsidRPr="00C256EF">
        <w:rPr>
          <w:b/>
          <w:bCs/>
          <w:sz w:val="22"/>
          <w:szCs w:val="22"/>
          <w:lang w:val="sr-Latn-RS"/>
        </w:rPr>
        <w:t>mašinama</w:t>
      </w:r>
    </w:p>
    <w:p w14:paraId="6EE4BFE4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BA314A6" w14:textId="409FEEEB" w:rsidR="00DA1672" w:rsidRPr="00C256EF" w:rsidRDefault="00DA6303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Nijesu</w:t>
      </w:r>
      <w:r w:rsidR="00DA1672" w:rsidRPr="00C256EF">
        <w:rPr>
          <w:lang w:val="sr-Latn-RS"/>
        </w:rPr>
        <w:t xml:space="preserve"> sprovedene studije o uticaju na sposobnost upravljanja vozilima i rukovanja mašinama. Nema dokaza </w:t>
      </w:r>
      <w:r w:rsidR="00DA1672" w:rsidRPr="00C256EF">
        <w:rPr>
          <w:spacing w:val="-3"/>
          <w:lang w:val="sr-Latn-RS"/>
        </w:rPr>
        <w:t xml:space="preserve">da </w:t>
      </w:r>
      <w:r w:rsidR="00DA1672" w:rsidRPr="00C256EF">
        <w:rPr>
          <w:lang w:val="sr-Latn-RS"/>
        </w:rPr>
        <w:t>sorafenib utiče na sposobnost upravljanja vozilima ili rukovanja</w:t>
      </w:r>
      <w:r w:rsidR="00DA1672" w:rsidRPr="00C256EF">
        <w:rPr>
          <w:spacing w:val="6"/>
          <w:lang w:val="sr-Latn-RS"/>
        </w:rPr>
        <w:t xml:space="preserve"> </w:t>
      </w:r>
      <w:r w:rsidR="00DA1672" w:rsidRPr="00C256EF">
        <w:rPr>
          <w:lang w:val="sr-Latn-RS"/>
        </w:rPr>
        <w:t>mašinama.</w:t>
      </w:r>
    </w:p>
    <w:p w14:paraId="15BD05B4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F907FE5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4.8.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Neželjena dejstva</w:t>
      </w:r>
    </w:p>
    <w:p w14:paraId="7BD1DC9F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DE28749" w14:textId="62A73C25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Najznačajnija ozbiljna neželjena dejstva su infarkt/ishemija miokarda, gastrointestinalna perforacija, jatrogeni hepatitis (izazvan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>om), krvarenje (hemoragija) i hipertenzija/hipertenzivna kriza.</w:t>
      </w:r>
    </w:p>
    <w:p w14:paraId="666CD8BA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78C35645" w14:textId="36906D48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Najčešća neželjena dejstva bile su dijareja, zamor, alopecija, infekcija, kožna reakcija na šakama i stopalima (što odgovara sindromu palmarno-plantarne eritrodizestezije po MedDRA) i osip.</w:t>
      </w:r>
    </w:p>
    <w:p w14:paraId="78D19B2F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1C3B5FAD" w14:textId="00D5A1DA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Neželjena dejstva, koja su prijavljena u više kliničkih studija ili u postmarketinškom praćenju, data su u Tabeli 1 u nastavku, po klasama sistema organa (MedDRA) i učestalosti. Učestalost je definisana kao: veoma</w:t>
      </w:r>
      <w:r w:rsidRPr="00C256EF">
        <w:rPr>
          <w:spacing w:val="11"/>
          <w:lang w:val="sr-Latn-RS"/>
        </w:rPr>
        <w:t xml:space="preserve"> </w:t>
      </w:r>
      <w:r w:rsidRPr="00C256EF">
        <w:rPr>
          <w:lang w:val="sr-Latn-RS"/>
        </w:rPr>
        <w:t>često</w:t>
      </w:r>
      <w:r w:rsidRPr="00C256EF">
        <w:rPr>
          <w:spacing w:val="8"/>
          <w:lang w:val="sr-Latn-RS"/>
        </w:rPr>
        <w:t xml:space="preserve"> </w:t>
      </w:r>
      <w:r w:rsidRPr="00C256EF">
        <w:rPr>
          <w:lang w:val="sr-Latn-RS"/>
        </w:rPr>
        <w:t>(≥ 1/10),</w:t>
      </w:r>
      <w:r w:rsidRPr="00C256EF">
        <w:rPr>
          <w:spacing w:val="8"/>
          <w:lang w:val="sr-Latn-RS"/>
        </w:rPr>
        <w:t xml:space="preserve"> </w:t>
      </w:r>
      <w:r w:rsidRPr="00C256EF">
        <w:rPr>
          <w:lang w:val="sr-Latn-RS"/>
        </w:rPr>
        <w:t>često</w:t>
      </w:r>
      <w:r w:rsidRPr="00C256EF">
        <w:rPr>
          <w:spacing w:val="7"/>
          <w:lang w:val="sr-Latn-RS"/>
        </w:rPr>
        <w:t xml:space="preserve"> </w:t>
      </w:r>
      <w:r w:rsidRPr="00C256EF">
        <w:rPr>
          <w:lang w:val="sr-Latn-RS"/>
        </w:rPr>
        <w:t>(≥ 1/100</w:t>
      </w:r>
      <w:r w:rsidRPr="00C256EF">
        <w:rPr>
          <w:spacing w:val="8"/>
          <w:lang w:val="sr-Latn-RS"/>
        </w:rPr>
        <w:t xml:space="preserve"> </w:t>
      </w:r>
      <w:r w:rsidRPr="00C256EF">
        <w:rPr>
          <w:lang w:val="sr-Latn-RS"/>
        </w:rPr>
        <w:t>do</w:t>
      </w:r>
      <w:r w:rsidRPr="00C256EF">
        <w:rPr>
          <w:spacing w:val="6"/>
          <w:lang w:val="sr-Latn-RS"/>
        </w:rPr>
        <w:t xml:space="preserve"> </w:t>
      </w:r>
      <w:r w:rsidRPr="00C256EF">
        <w:rPr>
          <w:lang w:val="sr-Latn-RS"/>
        </w:rPr>
        <w:t>&lt; 1/10),</w:t>
      </w:r>
      <w:r w:rsidRPr="00C256EF">
        <w:rPr>
          <w:spacing w:val="8"/>
          <w:lang w:val="sr-Latn-RS"/>
        </w:rPr>
        <w:t xml:space="preserve"> </w:t>
      </w:r>
      <w:r w:rsidRPr="00C256EF">
        <w:rPr>
          <w:lang w:val="sr-Latn-RS"/>
        </w:rPr>
        <w:t>povremeno</w:t>
      </w:r>
      <w:r w:rsidRPr="00C256EF">
        <w:rPr>
          <w:spacing w:val="7"/>
          <w:lang w:val="sr-Latn-RS"/>
        </w:rPr>
        <w:t xml:space="preserve"> </w:t>
      </w:r>
      <w:r w:rsidRPr="00C256EF">
        <w:rPr>
          <w:lang w:val="sr-Latn-RS"/>
        </w:rPr>
        <w:t>(≥ 1/1000</w:t>
      </w:r>
      <w:r w:rsidRPr="00C256EF">
        <w:rPr>
          <w:spacing w:val="13"/>
          <w:lang w:val="sr-Latn-RS"/>
        </w:rPr>
        <w:t xml:space="preserve"> </w:t>
      </w:r>
      <w:r w:rsidRPr="00C256EF">
        <w:rPr>
          <w:lang w:val="sr-Latn-RS"/>
        </w:rPr>
        <w:t>do</w:t>
      </w:r>
      <w:r w:rsidRPr="00C256EF">
        <w:rPr>
          <w:spacing w:val="5"/>
          <w:lang w:val="sr-Latn-RS"/>
        </w:rPr>
        <w:t xml:space="preserve"> </w:t>
      </w:r>
      <w:r w:rsidRPr="00C256EF">
        <w:rPr>
          <w:lang w:val="sr-Latn-RS"/>
        </w:rPr>
        <w:t>&lt; 1/100),</w:t>
      </w:r>
      <w:r w:rsidRPr="00C256EF">
        <w:rPr>
          <w:spacing w:val="9"/>
          <w:lang w:val="sr-Latn-RS"/>
        </w:rPr>
        <w:t xml:space="preserve"> </w:t>
      </w:r>
      <w:r w:rsidRPr="00C256EF">
        <w:rPr>
          <w:lang w:val="sr-Latn-RS"/>
        </w:rPr>
        <w:t>r</w:t>
      </w:r>
      <w:r w:rsidR="00020A62" w:rsidRPr="00C256EF">
        <w:rPr>
          <w:lang w:val="sr-Latn-RS"/>
        </w:rPr>
        <w:t>ij</w:t>
      </w:r>
      <w:r w:rsidRPr="00C256EF">
        <w:rPr>
          <w:lang w:val="sr-Latn-RS"/>
        </w:rPr>
        <w:t>etko</w:t>
      </w:r>
      <w:r w:rsidRPr="00C256EF">
        <w:rPr>
          <w:spacing w:val="11"/>
          <w:lang w:val="sr-Latn-RS"/>
        </w:rPr>
        <w:t xml:space="preserve"> </w:t>
      </w:r>
      <w:r w:rsidRPr="00C256EF">
        <w:rPr>
          <w:lang w:val="sr-Latn-RS"/>
        </w:rPr>
        <w:t>(≥ 1/10000</w:t>
      </w:r>
      <w:r w:rsidRPr="00C256EF">
        <w:rPr>
          <w:spacing w:val="7"/>
          <w:lang w:val="sr-Latn-RS"/>
        </w:rPr>
        <w:t xml:space="preserve"> </w:t>
      </w:r>
      <w:r w:rsidRPr="00C256EF">
        <w:rPr>
          <w:lang w:val="sr-Latn-RS"/>
        </w:rPr>
        <w:t>do &lt; 1/1000), nepoznata učestalost (ne može se proc</w:t>
      </w:r>
      <w:r w:rsidR="00020A62" w:rsidRPr="00C256EF">
        <w:rPr>
          <w:lang w:val="sr-Latn-RS"/>
        </w:rPr>
        <w:t>ij</w:t>
      </w:r>
      <w:r w:rsidRPr="00C256EF">
        <w:rPr>
          <w:lang w:val="sr-Latn-RS"/>
        </w:rPr>
        <w:t>eniti na osnovu dostupnih podataka).</w:t>
      </w:r>
    </w:p>
    <w:p w14:paraId="2CD21E3B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5A1F6F7A" w14:textId="5B0B8179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Unutar svake grupe učestalosti, redosl</w:t>
      </w:r>
      <w:r w:rsidR="00020A62" w:rsidRPr="00C256EF">
        <w:rPr>
          <w:lang w:val="sr-Latn-RS"/>
        </w:rPr>
        <w:t>j</w:t>
      </w:r>
      <w:r w:rsidRPr="00C256EF">
        <w:rPr>
          <w:lang w:val="sr-Latn-RS"/>
        </w:rPr>
        <w:t>ed neželjenih dejstava je naveden po opadajućem nivou ozbiljnosti.</w:t>
      </w:r>
    </w:p>
    <w:p w14:paraId="03047670" w14:textId="49FF48A6" w:rsidR="00DA1672" w:rsidRPr="00C256EF" w:rsidRDefault="00DA1672">
      <w:pPr>
        <w:pStyle w:val="Heading1"/>
        <w:ind w:right="30"/>
        <w:jc w:val="both"/>
        <w:rPr>
          <w:rFonts w:ascii="Times New Roman" w:hAnsi="Times New Roman" w:cs="Times New Roman"/>
          <w:color w:val="auto"/>
          <w:sz w:val="22"/>
          <w:szCs w:val="22"/>
          <w:lang w:val="sr-Latn-RS"/>
        </w:rPr>
      </w:pPr>
      <w:r w:rsidRPr="00C256EF">
        <w:rPr>
          <w:rFonts w:ascii="Times New Roman" w:hAnsi="Times New Roman" w:cs="Times New Roman"/>
          <w:color w:val="auto"/>
          <w:sz w:val="22"/>
          <w:szCs w:val="22"/>
          <w:lang w:val="sr-Latn-RS"/>
        </w:rPr>
        <w:t>Tabela 1: Sva neželjena dejstva prijavljena kod pacijenata u višestrukim kliničkim studijama ili u postmarketinškom periodu</w:t>
      </w:r>
    </w:p>
    <w:p w14:paraId="5D40555E" w14:textId="77777777" w:rsidR="00DA1672" w:rsidRPr="00C256EF" w:rsidRDefault="00DA1672">
      <w:pPr>
        <w:pStyle w:val="BodyText"/>
        <w:ind w:left="0" w:right="30"/>
        <w:jc w:val="both"/>
        <w:rPr>
          <w:b/>
          <w:lang w:val="sr-Latn-RS"/>
        </w:rPr>
      </w:pPr>
    </w:p>
    <w:tbl>
      <w:tblPr>
        <w:tblW w:w="922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1536"/>
        <w:gridCol w:w="1771"/>
        <w:gridCol w:w="1829"/>
        <w:gridCol w:w="1202"/>
        <w:gridCol w:w="1134"/>
      </w:tblGrid>
      <w:tr w:rsidR="00DA1672" w:rsidRPr="00C256EF" w14:paraId="523A8C26" w14:textId="77777777" w:rsidTr="00DA1672">
        <w:trPr>
          <w:trHeight w:val="460"/>
        </w:trPr>
        <w:tc>
          <w:tcPr>
            <w:tcW w:w="1752" w:type="dxa"/>
            <w:shd w:val="clear" w:color="auto" w:fill="auto"/>
          </w:tcPr>
          <w:p w14:paraId="0817D736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Klasa sistema</w:t>
            </w:r>
          </w:p>
          <w:p w14:paraId="15A7F7D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organa</w:t>
            </w:r>
          </w:p>
        </w:tc>
        <w:tc>
          <w:tcPr>
            <w:tcW w:w="1536" w:type="dxa"/>
          </w:tcPr>
          <w:p w14:paraId="67DC39BD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Veoma često</w:t>
            </w:r>
          </w:p>
        </w:tc>
        <w:tc>
          <w:tcPr>
            <w:tcW w:w="1771" w:type="dxa"/>
          </w:tcPr>
          <w:p w14:paraId="069FF5C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Često</w:t>
            </w:r>
          </w:p>
        </w:tc>
        <w:tc>
          <w:tcPr>
            <w:tcW w:w="1829" w:type="dxa"/>
          </w:tcPr>
          <w:p w14:paraId="41A5BA2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Povremeno</w:t>
            </w:r>
          </w:p>
        </w:tc>
        <w:tc>
          <w:tcPr>
            <w:tcW w:w="1202" w:type="dxa"/>
          </w:tcPr>
          <w:p w14:paraId="0DE232BF" w14:textId="49D26735" w:rsidR="00DA1672" w:rsidRPr="00C256EF" w:rsidRDefault="00DA1672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R</w:t>
            </w:r>
            <w:r w:rsidR="00020A62" w:rsidRPr="00C256EF">
              <w:rPr>
                <w:b/>
                <w:bCs/>
                <w:lang w:val="sr-Latn-RS"/>
              </w:rPr>
              <w:t>ij</w:t>
            </w:r>
            <w:r w:rsidRPr="00C256EF">
              <w:rPr>
                <w:b/>
                <w:bCs/>
                <w:lang w:val="sr-Latn-RS"/>
              </w:rPr>
              <w:t>etko</w:t>
            </w:r>
          </w:p>
        </w:tc>
        <w:tc>
          <w:tcPr>
            <w:tcW w:w="1134" w:type="dxa"/>
          </w:tcPr>
          <w:p w14:paraId="39C18A0D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Nepoznata</w:t>
            </w:r>
          </w:p>
          <w:p w14:paraId="50D9E532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učestalost</w:t>
            </w:r>
          </w:p>
        </w:tc>
      </w:tr>
      <w:tr w:rsidR="00DA1672" w:rsidRPr="00C256EF" w14:paraId="554C284D" w14:textId="77777777" w:rsidTr="00DA1672">
        <w:trPr>
          <w:trHeight w:val="455"/>
        </w:trPr>
        <w:tc>
          <w:tcPr>
            <w:tcW w:w="1752" w:type="dxa"/>
            <w:shd w:val="clear" w:color="auto" w:fill="auto"/>
          </w:tcPr>
          <w:p w14:paraId="2B1F779B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Infekcije</w:t>
            </w:r>
            <w:r w:rsidRPr="00C256EF">
              <w:rPr>
                <w:b/>
                <w:bCs/>
                <w:spacing w:val="-3"/>
                <w:lang w:val="sr-Latn-RS"/>
              </w:rPr>
              <w:t xml:space="preserve"> </w:t>
            </w:r>
            <w:r w:rsidRPr="00C256EF">
              <w:rPr>
                <w:b/>
                <w:bCs/>
                <w:lang w:val="sr-Latn-RS"/>
              </w:rPr>
              <w:t>i</w:t>
            </w:r>
          </w:p>
          <w:p w14:paraId="713C3B1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infestacije</w:t>
            </w:r>
          </w:p>
        </w:tc>
        <w:tc>
          <w:tcPr>
            <w:tcW w:w="1536" w:type="dxa"/>
          </w:tcPr>
          <w:p w14:paraId="2EB2D92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Infekcija</w:t>
            </w:r>
          </w:p>
        </w:tc>
        <w:tc>
          <w:tcPr>
            <w:tcW w:w="1771" w:type="dxa"/>
          </w:tcPr>
          <w:p w14:paraId="1E40E52A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Folikulitis</w:t>
            </w:r>
          </w:p>
        </w:tc>
        <w:tc>
          <w:tcPr>
            <w:tcW w:w="1829" w:type="dxa"/>
          </w:tcPr>
          <w:p w14:paraId="3AA440BE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202" w:type="dxa"/>
          </w:tcPr>
          <w:p w14:paraId="4A54939D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29AFB8AA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56F4C88B" w14:textId="77777777" w:rsidTr="00DA1672">
        <w:trPr>
          <w:trHeight w:val="921"/>
        </w:trPr>
        <w:tc>
          <w:tcPr>
            <w:tcW w:w="1752" w:type="dxa"/>
            <w:shd w:val="clear" w:color="auto" w:fill="auto"/>
          </w:tcPr>
          <w:p w14:paraId="65B2E3F1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 krvi i limfnog sistema</w:t>
            </w:r>
          </w:p>
        </w:tc>
        <w:tc>
          <w:tcPr>
            <w:tcW w:w="1536" w:type="dxa"/>
          </w:tcPr>
          <w:p w14:paraId="1ADF89D1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Limfopenija</w:t>
            </w:r>
          </w:p>
        </w:tc>
        <w:tc>
          <w:tcPr>
            <w:tcW w:w="1771" w:type="dxa"/>
          </w:tcPr>
          <w:p w14:paraId="0CB6D4AC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Leukopenija Neutropenija Anemija</w:t>
            </w:r>
          </w:p>
          <w:p w14:paraId="5D09715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Trombocitopenija</w:t>
            </w:r>
          </w:p>
        </w:tc>
        <w:tc>
          <w:tcPr>
            <w:tcW w:w="1829" w:type="dxa"/>
          </w:tcPr>
          <w:p w14:paraId="4E4F2DC4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202" w:type="dxa"/>
          </w:tcPr>
          <w:p w14:paraId="4E9B9364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41723F57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1B36E476" w14:textId="77777777" w:rsidTr="00DA1672">
        <w:trPr>
          <w:trHeight w:val="1670"/>
        </w:trPr>
        <w:tc>
          <w:tcPr>
            <w:tcW w:w="1752" w:type="dxa"/>
            <w:shd w:val="clear" w:color="auto" w:fill="auto"/>
          </w:tcPr>
          <w:p w14:paraId="07BE5178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 imunskog sistema</w:t>
            </w:r>
          </w:p>
        </w:tc>
        <w:tc>
          <w:tcPr>
            <w:tcW w:w="1536" w:type="dxa"/>
          </w:tcPr>
          <w:p w14:paraId="2B481B52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084CF182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829" w:type="dxa"/>
          </w:tcPr>
          <w:p w14:paraId="0AD9BE1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Reakcije preosetljivosti (uključujući kožne reakcije i urtikariju) Anafilaktička</w:t>
            </w:r>
          </w:p>
          <w:p w14:paraId="5E5EB5EC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reakcija</w:t>
            </w:r>
          </w:p>
        </w:tc>
        <w:tc>
          <w:tcPr>
            <w:tcW w:w="1202" w:type="dxa"/>
          </w:tcPr>
          <w:p w14:paraId="72760DB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Angioedem</w:t>
            </w:r>
          </w:p>
        </w:tc>
        <w:tc>
          <w:tcPr>
            <w:tcW w:w="1134" w:type="dxa"/>
          </w:tcPr>
          <w:p w14:paraId="35F88C9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281E2411" w14:textId="77777777" w:rsidTr="00DA1672">
        <w:trPr>
          <w:trHeight w:val="460"/>
        </w:trPr>
        <w:tc>
          <w:tcPr>
            <w:tcW w:w="1752" w:type="dxa"/>
            <w:shd w:val="clear" w:color="auto" w:fill="auto"/>
          </w:tcPr>
          <w:p w14:paraId="23E747A7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Endokrini</w:t>
            </w:r>
          </w:p>
          <w:p w14:paraId="7AB4A1C3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</w:t>
            </w:r>
          </w:p>
        </w:tc>
        <w:tc>
          <w:tcPr>
            <w:tcW w:w="1536" w:type="dxa"/>
          </w:tcPr>
          <w:p w14:paraId="7EAEBCB5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108A6A29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Hipotireoidizam</w:t>
            </w:r>
          </w:p>
        </w:tc>
        <w:tc>
          <w:tcPr>
            <w:tcW w:w="1829" w:type="dxa"/>
          </w:tcPr>
          <w:p w14:paraId="29176AD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Hipertireoidizam</w:t>
            </w:r>
          </w:p>
        </w:tc>
        <w:tc>
          <w:tcPr>
            <w:tcW w:w="1202" w:type="dxa"/>
          </w:tcPr>
          <w:p w14:paraId="026B23BC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6346A468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6C3A75A9" w14:textId="77777777" w:rsidTr="00DA1672">
        <w:trPr>
          <w:trHeight w:val="685"/>
        </w:trPr>
        <w:tc>
          <w:tcPr>
            <w:tcW w:w="1752" w:type="dxa"/>
            <w:shd w:val="clear" w:color="auto" w:fill="auto"/>
          </w:tcPr>
          <w:p w14:paraId="275A7B71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</w:t>
            </w:r>
          </w:p>
          <w:p w14:paraId="553E5AAB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metabolizma i ishrane</w:t>
            </w:r>
          </w:p>
        </w:tc>
        <w:tc>
          <w:tcPr>
            <w:tcW w:w="1536" w:type="dxa"/>
          </w:tcPr>
          <w:p w14:paraId="542929F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Anoreksija Hipofosfatemija</w:t>
            </w:r>
          </w:p>
        </w:tc>
        <w:tc>
          <w:tcPr>
            <w:tcW w:w="1771" w:type="dxa"/>
          </w:tcPr>
          <w:p w14:paraId="4A3AB188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Hipokalcemija</w:t>
            </w:r>
          </w:p>
          <w:p w14:paraId="48B983F9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spacing w:val="-1"/>
                <w:lang w:val="sr-Latn-RS"/>
              </w:rPr>
            </w:pPr>
            <w:r w:rsidRPr="00C256EF">
              <w:rPr>
                <w:lang w:val="sr-Latn-RS"/>
              </w:rPr>
              <w:t xml:space="preserve">Hipokalemija </w:t>
            </w:r>
            <w:r w:rsidRPr="00C256EF">
              <w:rPr>
                <w:spacing w:val="-1"/>
                <w:lang w:val="sr-Latn-RS"/>
              </w:rPr>
              <w:t>Hiponatremija</w:t>
            </w:r>
          </w:p>
          <w:p w14:paraId="1008D1E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spacing w:val="-1"/>
                <w:lang w:val="sr-Latn-RS"/>
              </w:rPr>
              <w:t>Hipoglikemija</w:t>
            </w:r>
          </w:p>
        </w:tc>
        <w:tc>
          <w:tcPr>
            <w:tcW w:w="1829" w:type="dxa"/>
          </w:tcPr>
          <w:p w14:paraId="3D6A7592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Dehidratacija</w:t>
            </w:r>
          </w:p>
        </w:tc>
        <w:tc>
          <w:tcPr>
            <w:tcW w:w="1202" w:type="dxa"/>
          </w:tcPr>
          <w:p w14:paraId="382D4146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3B2DEF19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Sindrom lize      tumora</w:t>
            </w:r>
          </w:p>
        </w:tc>
      </w:tr>
      <w:tr w:rsidR="00DA1672" w:rsidRPr="00C256EF" w14:paraId="42108107" w14:textId="77777777" w:rsidTr="00DA1672">
        <w:trPr>
          <w:trHeight w:val="460"/>
        </w:trPr>
        <w:tc>
          <w:tcPr>
            <w:tcW w:w="1752" w:type="dxa"/>
            <w:shd w:val="clear" w:color="auto" w:fill="auto"/>
          </w:tcPr>
          <w:p w14:paraId="19C0BD99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Psihijatrijski</w:t>
            </w:r>
          </w:p>
          <w:p w14:paraId="12364AF6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</w:t>
            </w:r>
          </w:p>
        </w:tc>
        <w:tc>
          <w:tcPr>
            <w:tcW w:w="1536" w:type="dxa"/>
          </w:tcPr>
          <w:p w14:paraId="47E67192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6E9FBC56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Depresija</w:t>
            </w:r>
          </w:p>
        </w:tc>
        <w:tc>
          <w:tcPr>
            <w:tcW w:w="1829" w:type="dxa"/>
          </w:tcPr>
          <w:p w14:paraId="01092855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202" w:type="dxa"/>
          </w:tcPr>
          <w:p w14:paraId="575CE65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21FEABC6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7B71483E" w14:textId="77777777" w:rsidTr="00DA1672">
        <w:trPr>
          <w:trHeight w:val="921"/>
        </w:trPr>
        <w:tc>
          <w:tcPr>
            <w:tcW w:w="1752" w:type="dxa"/>
            <w:shd w:val="clear" w:color="auto" w:fill="auto"/>
          </w:tcPr>
          <w:p w14:paraId="0E32C8EE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 nervnog sistema</w:t>
            </w:r>
          </w:p>
        </w:tc>
        <w:tc>
          <w:tcPr>
            <w:tcW w:w="1536" w:type="dxa"/>
          </w:tcPr>
          <w:p w14:paraId="4D530EB4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0667EAB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Periferna senzorna neuropatija Disgeuzija</w:t>
            </w:r>
          </w:p>
        </w:tc>
        <w:tc>
          <w:tcPr>
            <w:tcW w:w="1829" w:type="dxa"/>
          </w:tcPr>
          <w:p w14:paraId="5BA4CB84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Posteriorna reverzibilna leukoencefalopatija</w:t>
            </w:r>
            <w:r w:rsidRPr="00C256EF">
              <w:rPr>
                <w:lang w:val="sr-Latn-RS"/>
              </w:rPr>
              <w:lastRenderedPageBreak/>
              <w:t>*</w:t>
            </w:r>
          </w:p>
        </w:tc>
        <w:tc>
          <w:tcPr>
            <w:tcW w:w="1202" w:type="dxa"/>
          </w:tcPr>
          <w:p w14:paraId="5C20810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660225CE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Encefalopatijaº</w:t>
            </w:r>
          </w:p>
        </w:tc>
      </w:tr>
      <w:tr w:rsidR="00DA1672" w:rsidRPr="00C256EF" w14:paraId="45BCB00C" w14:textId="77777777" w:rsidTr="00DA1672">
        <w:trPr>
          <w:trHeight w:val="460"/>
        </w:trPr>
        <w:tc>
          <w:tcPr>
            <w:tcW w:w="1752" w:type="dxa"/>
            <w:shd w:val="clear" w:color="auto" w:fill="auto"/>
          </w:tcPr>
          <w:p w14:paraId="43ED6EC1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 uha i</w:t>
            </w:r>
          </w:p>
          <w:p w14:paraId="06BEC240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labirinta</w:t>
            </w:r>
          </w:p>
        </w:tc>
        <w:tc>
          <w:tcPr>
            <w:tcW w:w="1536" w:type="dxa"/>
          </w:tcPr>
          <w:p w14:paraId="5F2EC67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20800245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Tinitus</w:t>
            </w:r>
          </w:p>
        </w:tc>
        <w:tc>
          <w:tcPr>
            <w:tcW w:w="1829" w:type="dxa"/>
          </w:tcPr>
          <w:p w14:paraId="69E3D865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202" w:type="dxa"/>
          </w:tcPr>
          <w:p w14:paraId="64F197E5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235D1A0A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73BC63CA" w14:textId="77777777" w:rsidTr="00DA1672">
        <w:trPr>
          <w:trHeight w:val="1151"/>
        </w:trPr>
        <w:tc>
          <w:tcPr>
            <w:tcW w:w="1752" w:type="dxa"/>
            <w:shd w:val="clear" w:color="auto" w:fill="auto"/>
          </w:tcPr>
          <w:p w14:paraId="72BAA1F6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Kardiološki poremećaji</w:t>
            </w:r>
          </w:p>
        </w:tc>
        <w:tc>
          <w:tcPr>
            <w:tcW w:w="1536" w:type="dxa"/>
          </w:tcPr>
          <w:p w14:paraId="7CE43FE4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5B7412D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Kongestivna srčana insuficijencija*</w:t>
            </w:r>
          </w:p>
          <w:p w14:paraId="0F031261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Ishemija i infarkt miokarda*</w:t>
            </w:r>
          </w:p>
        </w:tc>
        <w:tc>
          <w:tcPr>
            <w:tcW w:w="1829" w:type="dxa"/>
          </w:tcPr>
          <w:p w14:paraId="03E4D208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202" w:type="dxa"/>
          </w:tcPr>
          <w:p w14:paraId="7C5A389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Produženje QT intervala</w:t>
            </w:r>
          </w:p>
        </w:tc>
        <w:tc>
          <w:tcPr>
            <w:tcW w:w="1134" w:type="dxa"/>
          </w:tcPr>
          <w:p w14:paraId="2C3B230D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0FF7E82B" w14:textId="77777777" w:rsidTr="00DA1672">
        <w:trPr>
          <w:trHeight w:val="2298"/>
        </w:trPr>
        <w:tc>
          <w:tcPr>
            <w:tcW w:w="1752" w:type="dxa"/>
            <w:shd w:val="clear" w:color="auto" w:fill="auto"/>
          </w:tcPr>
          <w:p w14:paraId="1D4D33D2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Vaskularni poremećaji</w:t>
            </w:r>
          </w:p>
        </w:tc>
        <w:tc>
          <w:tcPr>
            <w:tcW w:w="1536" w:type="dxa"/>
          </w:tcPr>
          <w:p w14:paraId="35C9C772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Krvarenje (koje uključuje i krvarenje u gastrointestinaln om*, respiratornom traktu* i cerebralno krvarenje*)</w:t>
            </w:r>
          </w:p>
          <w:p w14:paraId="18F5372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Hipertenzija</w:t>
            </w:r>
          </w:p>
        </w:tc>
        <w:tc>
          <w:tcPr>
            <w:tcW w:w="1771" w:type="dxa"/>
          </w:tcPr>
          <w:p w14:paraId="1252C697" w14:textId="57089A3F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Naleti crvenila praćeni os</w:t>
            </w:r>
            <w:r w:rsidR="00020A62" w:rsidRPr="00C256EF">
              <w:rPr>
                <w:lang w:val="sr-Latn-RS"/>
              </w:rPr>
              <w:t>j</w:t>
            </w:r>
            <w:r w:rsidRPr="00C256EF">
              <w:rPr>
                <w:lang w:val="sr-Latn-RS"/>
              </w:rPr>
              <w:t>ećajem vrućine</w:t>
            </w:r>
          </w:p>
        </w:tc>
        <w:tc>
          <w:tcPr>
            <w:tcW w:w="1829" w:type="dxa"/>
          </w:tcPr>
          <w:p w14:paraId="0C995165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Hipertenzivna kriza*</w:t>
            </w:r>
          </w:p>
        </w:tc>
        <w:tc>
          <w:tcPr>
            <w:tcW w:w="1202" w:type="dxa"/>
          </w:tcPr>
          <w:p w14:paraId="70D44E8E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1BD686A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Aneurizme i disekcije arterija</w:t>
            </w:r>
          </w:p>
        </w:tc>
      </w:tr>
      <w:tr w:rsidR="00DA1672" w:rsidRPr="00C256EF" w14:paraId="12BC4AE4" w14:textId="77777777" w:rsidTr="00DA1672">
        <w:trPr>
          <w:trHeight w:val="1837"/>
        </w:trPr>
        <w:tc>
          <w:tcPr>
            <w:tcW w:w="1752" w:type="dxa"/>
            <w:shd w:val="clear" w:color="auto" w:fill="auto"/>
          </w:tcPr>
          <w:p w14:paraId="34928201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Respiratorni, torakalni i medijastinalni poremećaji</w:t>
            </w:r>
          </w:p>
        </w:tc>
        <w:tc>
          <w:tcPr>
            <w:tcW w:w="1536" w:type="dxa"/>
          </w:tcPr>
          <w:p w14:paraId="739225A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48BC11F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 xml:space="preserve">Rinoreja </w:t>
            </w:r>
          </w:p>
          <w:p w14:paraId="720B4DA8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Disfonija</w:t>
            </w:r>
          </w:p>
        </w:tc>
        <w:tc>
          <w:tcPr>
            <w:tcW w:w="1829" w:type="dxa"/>
          </w:tcPr>
          <w:p w14:paraId="36AF270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Događaji slični intersticijalnoj bolesti pluća* (pneumonitis, radijacioni pneumonitis, akutni respiratorni</w:t>
            </w:r>
          </w:p>
          <w:p w14:paraId="787A3C31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distres, itd.)</w:t>
            </w:r>
          </w:p>
        </w:tc>
        <w:tc>
          <w:tcPr>
            <w:tcW w:w="1202" w:type="dxa"/>
          </w:tcPr>
          <w:p w14:paraId="04642A87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11C020F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174D1353" w14:textId="77777777" w:rsidTr="00DA1672">
        <w:trPr>
          <w:trHeight w:val="1847"/>
        </w:trPr>
        <w:tc>
          <w:tcPr>
            <w:tcW w:w="1752" w:type="dxa"/>
            <w:shd w:val="clear" w:color="auto" w:fill="auto"/>
          </w:tcPr>
          <w:p w14:paraId="5C91CD0A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Gastrointestinalni poremećaji</w:t>
            </w:r>
          </w:p>
        </w:tc>
        <w:tc>
          <w:tcPr>
            <w:tcW w:w="1536" w:type="dxa"/>
          </w:tcPr>
          <w:p w14:paraId="6073EC05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Dijareja Mučnina Povraćanje Konstipacija</w:t>
            </w:r>
          </w:p>
        </w:tc>
        <w:tc>
          <w:tcPr>
            <w:tcW w:w="1771" w:type="dxa"/>
          </w:tcPr>
          <w:p w14:paraId="5A327187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Stomatitis (uključujući suva usta i glosodiniju) Dispepsija Disfagija</w:t>
            </w:r>
          </w:p>
          <w:p w14:paraId="5C3A2F98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Gastroezofagealna</w:t>
            </w:r>
          </w:p>
          <w:p w14:paraId="3F40B51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refluksna bolest</w:t>
            </w:r>
          </w:p>
        </w:tc>
        <w:tc>
          <w:tcPr>
            <w:tcW w:w="1829" w:type="dxa"/>
          </w:tcPr>
          <w:p w14:paraId="3070B35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 xml:space="preserve">Pankreatitis </w:t>
            </w:r>
          </w:p>
          <w:p w14:paraId="6E9BCA1E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Gastritis Gastrointestinalne perforacije*</w:t>
            </w:r>
          </w:p>
        </w:tc>
        <w:tc>
          <w:tcPr>
            <w:tcW w:w="1202" w:type="dxa"/>
          </w:tcPr>
          <w:p w14:paraId="69A5DAB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1AC51F4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1A587E29" w14:textId="77777777" w:rsidTr="00DA1672">
        <w:trPr>
          <w:trHeight w:val="1151"/>
        </w:trPr>
        <w:tc>
          <w:tcPr>
            <w:tcW w:w="1752" w:type="dxa"/>
            <w:shd w:val="clear" w:color="auto" w:fill="auto"/>
          </w:tcPr>
          <w:p w14:paraId="02EB23A8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Hepatobilijarni poremećaji</w:t>
            </w:r>
          </w:p>
        </w:tc>
        <w:tc>
          <w:tcPr>
            <w:tcW w:w="1536" w:type="dxa"/>
          </w:tcPr>
          <w:p w14:paraId="11C3A8F8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1A35E9C5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829" w:type="dxa"/>
          </w:tcPr>
          <w:p w14:paraId="2155F379" w14:textId="4E3B467E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 xml:space="preserve">Povećanje </w:t>
            </w:r>
            <w:r w:rsidR="001659AE" w:rsidRPr="00C256EF">
              <w:rPr>
                <w:lang w:val="sr-Latn-RS"/>
              </w:rPr>
              <w:t>vrijedno</w:t>
            </w:r>
            <w:r w:rsidRPr="00C256EF">
              <w:rPr>
                <w:lang w:val="sr-Latn-RS"/>
              </w:rPr>
              <w:t>sti bilirubina i</w:t>
            </w:r>
            <w:r w:rsidRPr="00C256EF">
              <w:rPr>
                <w:spacing w:val="-2"/>
                <w:lang w:val="sr-Latn-RS"/>
              </w:rPr>
              <w:t xml:space="preserve"> </w:t>
            </w:r>
            <w:r w:rsidRPr="00C256EF">
              <w:rPr>
                <w:lang w:val="sr-Latn-RS"/>
              </w:rPr>
              <w:t>žutica</w:t>
            </w:r>
          </w:p>
          <w:p w14:paraId="796A38AD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Holecistitis Holangitis</w:t>
            </w:r>
          </w:p>
        </w:tc>
        <w:tc>
          <w:tcPr>
            <w:tcW w:w="1202" w:type="dxa"/>
          </w:tcPr>
          <w:p w14:paraId="7B0D4F3D" w14:textId="44BB45F6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Hepatitis izazvan l</w:t>
            </w:r>
            <w:r w:rsidR="00375E66" w:rsidRPr="00C256EF">
              <w:rPr>
                <w:lang w:val="sr-Latn-RS"/>
              </w:rPr>
              <w:t>j</w:t>
            </w:r>
            <w:r w:rsidRPr="00C256EF">
              <w:rPr>
                <w:lang w:val="sr-Latn-RS"/>
              </w:rPr>
              <w:t>ekovima (jatrogeni)*</w:t>
            </w:r>
          </w:p>
        </w:tc>
        <w:tc>
          <w:tcPr>
            <w:tcW w:w="1134" w:type="dxa"/>
          </w:tcPr>
          <w:p w14:paraId="48A5C3E2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0452F93F" w14:textId="77777777" w:rsidTr="00DA1672">
        <w:trPr>
          <w:trHeight w:val="2529"/>
        </w:trPr>
        <w:tc>
          <w:tcPr>
            <w:tcW w:w="1752" w:type="dxa"/>
            <w:shd w:val="clear" w:color="auto" w:fill="auto"/>
          </w:tcPr>
          <w:p w14:paraId="4FECA231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 kože i</w:t>
            </w:r>
          </w:p>
          <w:p w14:paraId="44170D97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potkožnog tkiva</w:t>
            </w:r>
          </w:p>
        </w:tc>
        <w:tc>
          <w:tcPr>
            <w:tcW w:w="1536" w:type="dxa"/>
          </w:tcPr>
          <w:p w14:paraId="437120E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Suva koža</w:t>
            </w:r>
          </w:p>
          <w:p w14:paraId="660785C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 xml:space="preserve">Osip </w:t>
            </w:r>
          </w:p>
          <w:p w14:paraId="49A4BB1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Alopecija</w:t>
            </w:r>
          </w:p>
          <w:p w14:paraId="4FA9AB2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Kožna reakcija na šakama i stopalima** Eritem</w:t>
            </w:r>
          </w:p>
          <w:p w14:paraId="3B18F767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Svrab</w:t>
            </w:r>
          </w:p>
        </w:tc>
        <w:tc>
          <w:tcPr>
            <w:tcW w:w="1771" w:type="dxa"/>
          </w:tcPr>
          <w:p w14:paraId="47D7EF47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Keratoakantom/kar</w:t>
            </w:r>
          </w:p>
          <w:p w14:paraId="42034DDC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cinom skvamoznih ćelija kože Eksfolijativni dermatitis</w:t>
            </w:r>
          </w:p>
          <w:p w14:paraId="13CECD5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 xml:space="preserve">Akne </w:t>
            </w:r>
          </w:p>
          <w:p w14:paraId="7FA7281C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Ljuštenje kože Hiperkeratoza</w:t>
            </w:r>
          </w:p>
        </w:tc>
        <w:tc>
          <w:tcPr>
            <w:tcW w:w="1829" w:type="dxa"/>
          </w:tcPr>
          <w:p w14:paraId="4ABAC74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Ekcem</w:t>
            </w:r>
          </w:p>
          <w:p w14:paraId="7A7B306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i/>
                <w:lang w:val="sr-Latn-RS"/>
              </w:rPr>
            </w:pPr>
            <w:r w:rsidRPr="00C256EF">
              <w:rPr>
                <w:i/>
                <w:lang w:val="sr-Latn-RS"/>
              </w:rPr>
              <w:t>Erythema multiforme</w:t>
            </w:r>
          </w:p>
        </w:tc>
        <w:tc>
          <w:tcPr>
            <w:tcW w:w="1202" w:type="dxa"/>
          </w:tcPr>
          <w:p w14:paraId="62FBC75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Dermatitis</w:t>
            </w:r>
          </w:p>
          <w:p w14:paraId="701A2C64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 xml:space="preserve">izazvan prethodnom radijacijom </w:t>
            </w:r>
            <w:r w:rsidRPr="00C256EF">
              <w:rPr>
                <w:i/>
                <w:lang w:val="sr-Latn-RS"/>
              </w:rPr>
              <w:t>Stevens-Johnson</w:t>
            </w:r>
            <w:r w:rsidRPr="00C256EF">
              <w:rPr>
                <w:lang w:val="sr-Latn-RS"/>
              </w:rPr>
              <w:t>- ov sindrom Leukocitoklastični vaskulitis Toksična</w:t>
            </w:r>
          </w:p>
          <w:p w14:paraId="3725DA7C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epidermalna nekroliza*</w:t>
            </w:r>
          </w:p>
        </w:tc>
        <w:tc>
          <w:tcPr>
            <w:tcW w:w="1134" w:type="dxa"/>
          </w:tcPr>
          <w:p w14:paraId="423B9F16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3FCA48AA" w14:textId="77777777" w:rsidTr="00DA1672">
        <w:trPr>
          <w:trHeight w:val="921"/>
        </w:trPr>
        <w:tc>
          <w:tcPr>
            <w:tcW w:w="1752" w:type="dxa"/>
            <w:shd w:val="clear" w:color="auto" w:fill="auto"/>
          </w:tcPr>
          <w:p w14:paraId="7E3088BA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</w:t>
            </w:r>
          </w:p>
          <w:p w14:paraId="26FA332B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 xml:space="preserve">mišićno-koštanog sistema i vezivnog </w:t>
            </w:r>
            <w:r w:rsidRPr="00C256EF">
              <w:rPr>
                <w:b/>
                <w:bCs/>
                <w:lang w:val="sr-Latn-RS"/>
              </w:rPr>
              <w:lastRenderedPageBreak/>
              <w:t>tkiva</w:t>
            </w:r>
          </w:p>
        </w:tc>
        <w:tc>
          <w:tcPr>
            <w:tcW w:w="1536" w:type="dxa"/>
          </w:tcPr>
          <w:p w14:paraId="6789CC2A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lastRenderedPageBreak/>
              <w:t>Artralgija</w:t>
            </w:r>
          </w:p>
        </w:tc>
        <w:tc>
          <w:tcPr>
            <w:tcW w:w="1771" w:type="dxa"/>
          </w:tcPr>
          <w:p w14:paraId="2C6A5567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Mijalgija</w:t>
            </w:r>
          </w:p>
          <w:p w14:paraId="065B2AB6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Spazam mišića</w:t>
            </w:r>
          </w:p>
        </w:tc>
        <w:tc>
          <w:tcPr>
            <w:tcW w:w="1829" w:type="dxa"/>
          </w:tcPr>
          <w:p w14:paraId="728236D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202" w:type="dxa"/>
          </w:tcPr>
          <w:p w14:paraId="087FF00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Rabdomioliza</w:t>
            </w:r>
          </w:p>
        </w:tc>
        <w:tc>
          <w:tcPr>
            <w:tcW w:w="1134" w:type="dxa"/>
          </w:tcPr>
          <w:p w14:paraId="2F28802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206E499C" w14:textId="77777777" w:rsidTr="00DA1672">
        <w:trPr>
          <w:trHeight w:val="690"/>
        </w:trPr>
        <w:tc>
          <w:tcPr>
            <w:tcW w:w="1752" w:type="dxa"/>
            <w:shd w:val="clear" w:color="auto" w:fill="auto"/>
          </w:tcPr>
          <w:p w14:paraId="4E52876F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</w:t>
            </w:r>
          </w:p>
          <w:p w14:paraId="4F2299D2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bubrega i urinarnog sistema</w:t>
            </w:r>
          </w:p>
        </w:tc>
        <w:tc>
          <w:tcPr>
            <w:tcW w:w="1536" w:type="dxa"/>
          </w:tcPr>
          <w:p w14:paraId="7D73E7B9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628DADA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Bubrežna</w:t>
            </w:r>
          </w:p>
          <w:p w14:paraId="704AB20E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insuficijencija Proteinurija</w:t>
            </w:r>
          </w:p>
        </w:tc>
        <w:tc>
          <w:tcPr>
            <w:tcW w:w="1829" w:type="dxa"/>
          </w:tcPr>
          <w:p w14:paraId="7C9DC89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202" w:type="dxa"/>
          </w:tcPr>
          <w:p w14:paraId="4C25D686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Nefrotski</w:t>
            </w:r>
          </w:p>
          <w:p w14:paraId="62A3A207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sindrom</w:t>
            </w:r>
          </w:p>
        </w:tc>
        <w:tc>
          <w:tcPr>
            <w:tcW w:w="1134" w:type="dxa"/>
          </w:tcPr>
          <w:p w14:paraId="3A8BCE18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43BD430C" w14:textId="77777777" w:rsidTr="00DA1672">
        <w:trPr>
          <w:trHeight w:val="690"/>
        </w:trPr>
        <w:tc>
          <w:tcPr>
            <w:tcW w:w="1752" w:type="dxa"/>
            <w:shd w:val="clear" w:color="auto" w:fill="auto"/>
          </w:tcPr>
          <w:p w14:paraId="420AA5D0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Poremećaji</w:t>
            </w:r>
          </w:p>
          <w:p w14:paraId="2D87E29F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reproduktivnog sistema i dojki</w:t>
            </w:r>
          </w:p>
        </w:tc>
        <w:tc>
          <w:tcPr>
            <w:tcW w:w="1536" w:type="dxa"/>
          </w:tcPr>
          <w:p w14:paraId="510DC13B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71" w:type="dxa"/>
          </w:tcPr>
          <w:p w14:paraId="17BADB9D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Erektilna</w:t>
            </w:r>
          </w:p>
          <w:p w14:paraId="7687CE14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disfunkcija</w:t>
            </w:r>
          </w:p>
        </w:tc>
        <w:tc>
          <w:tcPr>
            <w:tcW w:w="1829" w:type="dxa"/>
          </w:tcPr>
          <w:p w14:paraId="52F9D05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Ginekomastija</w:t>
            </w:r>
          </w:p>
        </w:tc>
        <w:tc>
          <w:tcPr>
            <w:tcW w:w="1202" w:type="dxa"/>
          </w:tcPr>
          <w:p w14:paraId="54BBB722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406D7F66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3722288D" w14:textId="77777777" w:rsidTr="00DA1672">
        <w:trPr>
          <w:trHeight w:val="1607"/>
        </w:trPr>
        <w:tc>
          <w:tcPr>
            <w:tcW w:w="1752" w:type="dxa"/>
            <w:shd w:val="clear" w:color="auto" w:fill="auto"/>
          </w:tcPr>
          <w:p w14:paraId="4EC1F8C7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Opšti poremećaji i</w:t>
            </w:r>
          </w:p>
          <w:p w14:paraId="0271C6D5" w14:textId="49B49EFA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reakcije na m</w:t>
            </w:r>
            <w:r w:rsidR="00020A62" w:rsidRPr="00C256EF">
              <w:rPr>
                <w:b/>
                <w:bCs/>
                <w:lang w:val="sr-Latn-RS"/>
              </w:rPr>
              <w:t>j</w:t>
            </w:r>
            <w:r w:rsidRPr="00C256EF">
              <w:rPr>
                <w:b/>
                <w:bCs/>
                <w:lang w:val="sr-Latn-RS"/>
              </w:rPr>
              <w:t xml:space="preserve">estu </w:t>
            </w:r>
            <w:r w:rsidR="001659AE" w:rsidRPr="00C256EF">
              <w:rPr>
                <w:b/>
                <w:bCs/>
                <w:lang w:val="sr-Latn-RS"/>
              </w:rPr>
              <w:t>primjen</w:t>
            </w:r>
            <w:r w:rsidRPr="00C256EF">
              <w:rPr>
                <w:b/>
                <w:bCs/>
                <w:lang w:val="sr-Latn-RS"/>
              </w:rPr>
              <w:t>e</w:t>
            </w:r>
          </w:p>
        </w:tc>
        <w:tc>
          <w:tcPr>
            <w:tcW w:w="1536" w:type="dxa"/>
          </w:tcPr>
          <w:p w14:paraId="61E5995E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Zamor</w:t>
            </w:r>
          </w:p>
          <w:p w14:paraId="403989A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Bol (uključujući i onaj u ustima, trbuhu, kostima, tumorski bol i glavobolju)</w:t>
            </w:r>
          </w:p>
          <w:p w14:paraId="7A61FE90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Groznica</w:t>
            </w:r>
          </w:p>
        </w:tc>
        <w:tc>
          <w:tcPr>
            <w:tcW w:w="1771" w:type="dxa"/>
          </w:tcPr>
          <w:p w14:paraId="1C6FDE0A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Astenija</w:t>
            </w:r>
          </w:p>
          <w:p w14:paraId="0AA5E5B3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Sindrom sličan influenci (gripu) Zapaljenje sluzokože</w:t>
            </w:r>
          </w:p>
        </w:tc>
        <w:tc>
          <w:tcPr>
            <w:tcW w:w="1829" w:type="dxa"/>
          </w:tcPr>
          <w:p w14:paraId="1969C31F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202" w:type="dxa"/>
          </w:tcPr>
          <w:p w14:paraId="096F2D7E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0930FB37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  <w:tr w:rsidR="00DA1672" w:rsidRPr="00C256EF" w14:paraId="4B6AB757" w14:textId="77777777" w:rsidTr="00DA1672">
        <w:trPr>
          <w:trHeight w:val="1842"/>
        </w:trPr>
        <w:tc>
          <w:tcPr>
            <w:tcW w:w="1752" w:type="dxa"/>
            <w:shd w:val="clear" w:color="auto" w:fill="auto"/>
          </w:tcPr>
          <w:p w14:paraId="347A6C36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b/>
                <w:bCs/>
                <w:lang w:val="sr-Latn-RS"/>
              </w:rPr>
            </w:pPr>
            <w:r w:rsidRPr="00C256EF">
              <w:rPr>
                <w:b/>
                <w:bCs/>
                <w:lang w:val="sr-Latn-RS"/>
              </w:rPr>
              <w:t>Ispitivanja</w:t>
            </w:r>
          </w:p>
        </w:tc>
        <w:tc>
          <w:tcPr>
            <w:tcW w:w="1536" w:type="dxa"/>
          </w:tcPr>
          <w:p w14:paraId="579615ED" w14:textId="77777777" w:rsidR="00DA1672" w:rsidRPr="00C256EF" w:rsidRDefault="00DA1672" w:rsidP="00F95F4D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Smanjenje</w:t>
            </w:r>
          </w:p>
          <w:p w14:paraId="33D41BC9" w14:textId="0388381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t</w:t>
            </w:r>
            <w:r w:rsidR="00020A62" w:rsidRPr="00C256EF">
              <w:rPr>
                <w:lang w:val="sr-Latn-RS"/>
              </w:rPr>
              <w:t>j</w:t>
            </w:r>
            <w:r w:rsidRPr="00C256EF">
              <w:rPr>
                <w:lang w:val="sr-Latn-RS"/>
              </w:rPr>
              <w:t xml:space="preserve">elesne mase Povećane </w:t>
            </w:r>
            <w:r w:rsidR="001659AE" w:rsidRPr="00C256EF">
              <w:rPr>
                <w:lang w:val="sr-Latn-RS"/>
              </w:rPr>
              <w:t>vrijedno</w:t>
            </w:r>
            <w:r w:rsidRPr="00C256EF">
              <w:rPr>
                <w:lang w:val="sr-Latn-RS"/>
              </w:rPr>
              <w:t xml:space="preserve">sti amilaze Povećane </w:t>
            </w:r>
            <w:r w:rsidR="001659AE" w:rsidRPr="00C256EF">
              <w:rPr>
                <w:lang w:val="sr-Latn-RS"/>
              </w:rPr>
              <w:t>vrijedno</w:t>
            </w:r>
            <w:r w:rsidRPr="00C256EF">
              <w:rPr>
                <w:lang w:val="sr-Latn-RS"/>
              </w:rPr>
              <w:t>sti lipaze</w:t>
            </w:r>
          </w:p>
        </w:tc>
        <w:tc>
          <w:tcPr>
            <w:tcW w:w="1771" w:type="dxa"/>
          </w:tcPr>
          <w:p w14:paraId="6B3ABD11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Prolazno</w:t>
            </w:r>
          </w:p>
          <w:p w14:paraId="47742737" w14:textId="25825EB9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 xml:space="preserve">povećanje </w:t>
            </w:r>
            <w:r w:rsidR="001659AE" w:rsidRPr="00C256EF">
              <w:rPr>
                <w:lang w:val="sr-Latn-RS"/>
              </w:rPr>
              <w:t>vrijedno</w:t>
            </w:r>
            <w:r w:rsidRPr="00C256EF">
              <w:rPr>
                <w:lang w:val="sr-Latn-RS"/>
              </w:rPr>
              <w:t>sti transaminaza</w:t>
            </w:r>
          </w:p>
        </w:tc>
        <w:tc>
          <w:tcPr>
            <w:tcW w:w="1829" w:type="dxa"/>
          </w:tcPr>
          <w:p w14:paraId="4E115481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Prolazno povećanje</w:t>
            </w:r>
          </w:p>
          <w:p w14:paraId="09E3A572" w14:textId="5D5A1D38" w:rsidR="00DA1672" w:rsidRPr="00C256EF" w:rsidRDefault="001659AE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vrijedno</w:t>
            </w:r>
            <w:r w:rsidR="00DA1672" w:rsidRPr="00C256EF">
              <w:rPr>
                <w:lang w:val="sr-Latn-RS"/>
              </w:rPr>
              <w:t xml:space="preserve">sti alkalne fosfataze u krvi Poremećena </w:t>
            </w:r>
            <w:r w:rsidRPr="00C256EF">
              <w:rPr>
                <w:lang w:val="sr-Latn-RS"/>
              </w:rPr>
              <w:t>vrijedno</w:t>
            </w:r>
            <w:r w:rsidR="00DA1672" w:rsidRPr="00C256EF">
              <w:rPr>
                <w:lang w:val="sr-Latn-RS"/>
              </w:rPr>
              <w:t>st INR-a</w:t>
            </w:r>
          </w:p>
          <w:p w14:paraId="7D4EABF3" w14:textId="12C0FE5D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 xml:space="preserve">Poremećena </w:t>
            </w:r>
            <w:r w:rsidR="001659AE" w:rsidRPr="00C256EF">
              <w:rPr>
                <w:lang w:val="sr-Latn-RS"/>
              </w:rPr>
              <w:t>vrijedno</w:t>
            </w:r>
            <w:r w:rsidRPr="00C256EF">
              <w:rPr>
                <w:lang w:val="sr-Latn-RS"/>
              </w:rPr>
              <w:t>st protrombina</w:t>
            </w:r>
          </w:p>
        </w:tc>
        <w:tc>
          <w:tcPr>
            <w:tcW w:w="1202" w:type="dxa"/>
          </w:tcPr>
          <w:p w14:paraId="4E27898E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134" w:type="dxa"/>
          </w:tcPr>
          <w:p w14:paraId="5DD4E53A" w14:textId="77777777" w:rsidR="00DA1672" w:rsidRPr="00C256EF" w:rsidRDefault="00DA1672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</w:tbl>
    <w:p w14:paraId="58085334" w14:textId="20C9B8C8" w:rsidR="00DA1672" w:rsidRPr="00C256EF" w:rsidRDefault="00DA1672" w:rsidP="00F95F4D">
      <w:pPr>
        <w:ind w:right="30"/>
        <w:jc w:val="both"/>
        <w:rPr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t>* Neželjena dejstva mogu da ugroze život ili da imaju smrtni ishod. Ovakvi događaji se javljaju ili povremeno ili r</w:t>
      </w:r>
      <w:r w:rsidR="00020A62" w:rsidRPr="00C256EF">
        <w:rPr>
          <w:sz w:val="22"/>
          <w:szCs w:val="22"/>
          <w:lang w:val="sr-Latn-RS"/>
        </w:rPr>
        <w:t>j</w:t>
      </w:r>
      <w:r w:rsidRPr="00C256EF">
        <w:rPr>
          <w:sz w:val="22"/>
          <w:szCs w:val="22"/>
          <w:lang w:val="sr-Latn-RS"/>
        </w:rPr>
        <w:t>eđe nego povremeno.</w:t>
      </w:r>
    </w:p>
    <w:p w14:paraId="526CE07C" w14:textId="77777777" w:rsidR="00DA1672" w:rsidRPr="00C256EF" w:rsidRDefault="00DA1672">
      <w:pPr>
        <w:tabs>
          <w:tab w:val="left" w:pos="515"/>
        </w:tabs>
        <w:ind w:right="30"/>
        <w:jc w:val="both"/>
        <w:rPr>
          <w:spacing w:val="-3"/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t xml:space="preserve">** Kožna reakcija na šakama i stopalima odgovara sindromu palmarno-plantarne eritrodizestezije po </w:t>
      </w:r>
      <w:r w:rsidRPr="00C256EF">
        <w:rPr>
          <w:spacing w:val="-3"/>
          <w:sz w:val="22"/>
          <w:szCs w:val="22"/>
          <w:lang w:val="sr-Latn-RS"/>
        </w:rPr>
        <w:t xml:space="preserve">MedDRA. </w:t>
      </w:r>
    </w:p>
    <w:p w14:paraId="35ECD2C8" w14:textId="77777777" w:rsidR="00DA1672" w:rsidRPr="00C256EF" w:rsidRDefault="00DA1672">
      <w:pPr>
        <w:tabs>
          <w:tab w:val="left" w:pos="515"/>
        </w:tabs>
        <w:ind w:right="30"/>
        <w:jc w:val="both"/>
        <w:rPr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t>º</w:t>
      </w:r>
      <w:r w:rsidRPr="00C256EF">
        <w:rPr>
          <w:sz w:val="22"/>
          <w:szCs w:val="22"/>
          <w:lang w:val="sr-Latn-RS"/>
        </w:rPr>
        <w:tab/>
        <w:t>Slučajevi su bili prijavljeni tokom postmarketinškog</w:t>
      </w:r>
      <w:r w:rsidRPr="00C256EF">
        <w:rPr>
          <w:spacing w:val="-2"/>
          <w:sz w:val="22"/>
          <w:szCs w:val="22"/>
          <w:lang w:val="sr-Latn-RS"/>
        </w:rPr>
        <w:t xml:space="preserve"> </w:t>
      </w:r>
      <w:r w:rsidRPr="00C256EF">
        <w:rPr>
          <w:sz w:val="22"/>
          <w:szCs w:val="22"/>
          <w:lang w:val="sr-Latn-RS"/>
        </w:rPr>
        <w:t>praćenja.</w:t>
      </w:r>
    </w:p>
    <w:p w14:paraId="595F2569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322B166C" w14:textId="316FCCB0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Dodatne informacije vezane za odabrana neželjena dejstva</w:t>
      </w:r>
    </w:p>
    <w:p w14:paraId="3A07E894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5C724A35" w14:textId="77777777" w:rsidR="00DA1672" w:rsidRPr="00C256EF" w:rsidRDefault="00DA1672">
      <w:pPr>
        <w:ind w:right="30"/>
        <w:jc w:val="both"/>
        <w:rPr>
          <w:i/>
          <w:sz w:val="22"/>
          <w:szCs w:val="22"/>
          <w:lang w:val="sr-Latn-RS"/>
        </w:rPr>
      </w:pPr>
      <w:r w:rsidRPr="00C256EF">
        <w:rPr>
          <w:i/>
          <w:sz w:val="22"/>
          <w:szCs w:val="22"/>
          <w:lang w:val="sr-Latn-RS"/>
        </w:rPr>
        <w:t>Kongestivna srčana insuficijencija</w:t>
      </w:r>
    </w:p>
    <w:p w14:paraId="2795C84B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U kliničkim studijama sponzorisanim od strane kompanije kongestivna srčana insuficijencija je prijavljena kao neželjeni događaj koji se javljao kod 1,9% pacijenata koji su bili na terapiji sorafenibom (N=2276). U studiji 11213 (RCC) neželjeni događaji koji su podrazumevali kongestivnu srčanu insuficijenciju su prijavljeni kod 1,7% pacijenata koji su bili na terapiji sorafenibom i kod 0,7% pacijenata koji su primali placebo. U studiji 100554 (HCC) ovi neželjeni događaji su prijavljeni kod 0,99% pacijenata koji su bili na terapiji sorafenibom i kod 1,1% pacijenata koji su primali placebo.</w:t>
      </w:r>
    </w:p>
    <w:p w14:paraId="3831B472" w14:textId="77777777" w:rsidR="00DA1672" w:rsidRPr="00C256EF" w:rsidRDefault="00DA1672">
      <w:pPr>
        <w:ind w:right="30"/>
        <w:jc w:val="both"/>
        <w:rPr>
          <w:i/>
          <w:sz w:val="22"/>
          <w:szCs w:val="22"/>
          <w:lang w:val="sr-Latn-RS"/>
        </w:rPr>
      </w:pPr>
    </w:p>
    <w:p w14:paraId="65E45307" w14:textId="77777777" w:rsidR="00DA1672" w:rsidRPr="00C256EF" w:rsidRDefault="00DA1672">
      <w:pPr>
        <w:ind w:right="30"/>
        <w:jc w:val="both"/>
        <w:rPr>
          <w:i/>
          <w:sz w:val="22"/>
          <w:szCs w:val="22"/>
          <w:lang w:val="sr-Latn-RS"/>
        </w:rPr>
      </w:pPr>
      <w:r w:rsidRPr="00C256EF">
        <w:rPr>
          <w:i/>
          <w:sz w:val="22"/>
          <w:szCs w:val="22"/>
          <w:lang w:val="sr-Latn-RS"/>
        </w:rPr>
        <w:t>Dodatne informacije za posebne populacije</w:t>
      </w:r>
    </w:p>
    <w:p w14:paraId="035216AD" w14:textId="7FFE4FF2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U kliničkim studijama, određene neželjene reakcije, kao što su kožna reakcija na šakama i stopalima, dijareja, alopecija, smanjenje t</w:t>
      </w:r>
      <w:r w:rsidR="001659AE" w:rsidRPr="00C256EF">
        <w:rPr>
          <w:lang w:val="sr-Latn-RS"/>
        </w:rPr>
        <w:t>j</w:t>
      </w:r>
      <w:r w:rsidRPr="00C256EF">
        <w:rPr>
          <w:lang w:val="sr-Latn-RS"/>
        </w:rPr>
        <w:t>elesne mase, hipertenzija, hipokalcemija i keratoakantom/karcinom skvamoznih ćelija kože, javljale su se sa znatno većom učestalošću kod pacijenata sa diferentovanim karcinomom tireoidee u odnosu na pacijente sa karcinomom bubrežnih ćelija ili hepatocelularnim karcinomom.</w:t>
      </w:r>
    </w:p>
    <w:p w14:paraId="7F3CAA3C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555BB343" w14:textId="571B9DCB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Odstupanja u vrijednostima laboratorijskih testova kod pacijenata sa hepatocelularnim karcinomom (studija 3)</w:t>
      </w:r>
      <w:r w:rsidRPr="00C256EF">
        <w:rPr>
          <w:lang w:val="sr-Latn-RS"/>
        </w:rPr>
        <w:t xml:space="preserve"> </w:t>
      </w:r>
      <w:r w:rsidRPr="00C256EF">
        <w:rPr>
          <w:u w:val="single"/>
          <w:lang w:val="sr-Latn-RS"/>
        </w:rPr>
        <w:t>i karcinomom bubrežnih ćelija (studija 1)</w:t>
      </w:r>
    </w:p>
    <w:p w14:paraId="39F8FEA9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204E73C3" w14:textId="799E9120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Veoma često su prijavljivane povećane vr</w:t>
      </w:r>
      <w:r w:rsidR="001659AE" w:rsidRPr="00C256EF">
        <w:rPr>
          <w:lang w:val="sr-Latn-RS"/>
        </w:rPr>
        <w:t>ij</w:t>
      </w:r>
      <w:r w:rsidRPr="00C256EF">
        <w:rPr>
          <w:lang w:val="sr-Latn-RS"/>
        </w:rPr>
        <w:t xml:space="preserve">ednosti lipaze i amilaze. Povećane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 xml:space="preserve">sti lipaze stepena 3 ili 4 po CTCAE (engl. </w:t>
      </w:r>
      <w:r w:rsidRPr="00C256EF">
        <w:rPr>
          <w:i/>
          <w:lang w:val="sr-Latn-RS"/>
        </w:rPr>
        <w:t>Common Terminology Criteria for Adverse Events</w:t>
      </w:r>
      <w:r w:rsidRPr="00C256EF">
        <w:rPr>
          <w:lang w:val="sr-Latn-RS"/>
        </w:rPr>
        <w:t xml:space="preserve">) javile su se kod 11% pacijenata u studiji 1 (karcinom bubrežnih ćelija) i 9% ispitanika u studiji 3 (hepatocelularni karcinom) u sorafenib grupi, u poređenju sa 7% i 9% pacijenata u placebo grupi. Povećanje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 xml:space="preserve">sti amilaze CTCAE stepena 3 ili 4 prijavljeno je kod 1% pacijenata u studiji 1, i 2% pacijenata u sorafenib grupi u studiji 3, u poređenju sa 3% pacijenata u </w:t>
      </w:r>
      <w:r w:rsidRPr="00C256EF">
        <w:rPr>
          <w:spacing w:val="-3"/>
          <w:lang w:val="sr-Latn-RS"/>
        </w:rPr>
        <w:t xml:space="preserve">svakoj </w:t>
      </w:r>
      <w:r w:rsidRPr="00C256EF">
        <w:rPr>
          <w:lang w:val="sr-Latn-RS"/>
        </w:rPr>
        <w:t xml:space="preserve">placebo grupi. Klinički pankreatitis prijavljen je kod 2 </w:t>
      </w:r>
      <w:r w:rsidRPr="00C256EF">
        <w:rPr>
          <w:lang w:val="sr-Latn-RS"/>
        </w:rPr>
        <w:lastRenderedPageBreak/>
        <w:t xml:space="preserve">od 451 pacijenata </w:t>
      </w:r>
      <w:r w:rsidRPr="00C256EF">
        <w:rPr>
          <w:spacing w:val="-3"/>
          <w:lang w:val="sr-Latn-RS"/>
        </w:rPr>
        <w:t xml:space="preserve">koji </w:t>
      </w:r>
      <w:r w:rsidRPr="00C256EF">
        <w:rPr>
          <w:lang w:val="sr-Latn-RS"/>
        </w:rPr>
        <w:t xml:space="preserve">su bili na terapiji sorafenibom (CTCAE stepen 4) u studiji 1, </w:t>
      </w:r>
      <w:r w:rsidRPr="00C256EF">
        <w:rPr>
          <w:spacing w:val="-3"/>
          <w:lang w:val="sr-Latn-RS"/>
        </w:rPr>
        <w:t xml:space="preserve">kod </w:t>
      </w:r>
      <w:r w:rsidRPr="00C256EF">
        <w:rPr>
          <w:lang w:val="sr-Latn-RS"/>
        </w:rPr>
        <w:t xml:space="preserve">1 od 297 pacijenata </w:t>
      </w:r>
      <w:r w:rsidRPr="00C256EF">
        <w:rPr>
          <w:spacing w:val="-3"/>
          <w:lang w:val="sr-Latn-RS"/>
        </w:rPr>
        <w:t xml:space="preserve">koji </w:t>
      </w:r>
      <w:r w:rsidRPr="00C256EF">
        <w:rPr>
          <w:lang w:val="sr-Latn-RS"/>
        </w:rPr>
        <w:t xml:space="preserve">su bili na terapiji sorafenibom u studiji 3 (CTCAE stepen 2) i </w:t>
      </w:r>
      <w:r w:rsidRPr="00C256EF">
        <w:rPr>
          <w:spacing w:val="-3"/>
          <w:lang w:val="sr-Latn-RS"/>
        </w:rPr>
        <w:t xml:space="preserve">kod </w:t>
      </w:r>
      <w:r w:rsidRPr="00C256EF">
        <w:rPr>
          <w:lang w:val="sr-Latn-RS"/>
        </w:rPr>
        <w:t>1 od 451 pacijenata (CTCAE stepen 2) u placebo grupi u studiji</w:t>
      </w:r>
      <w:r w:rsidRPr="00C256EF">
        <w:rPr>
          <w:spacing w:val="-2"/>
          <w:lang w:val="sr-Latn-RS"/>
        </w:rPr>
        <w:t xml:space="preserve"> </w:t>
      </w:r>
      <w:r w:rsidRPr="00C256EF">
        <w:rPr>
          <w:lang w:val="sr-Latn-RS"/>
        </w:rPr>
        <w:t>1.</w:t>
      </w:r>
    </w:p>
    <w:p w14:paraId="7CBBB58F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48313838" w14:textId="23C5D4C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Hipofosfatemija je bila veoma čest laboratorijski nalaz, prim</w:t>
      </w:r>
      <w:r w:rsidR="00020A62" w:rsidRPr="00C256EF">
        <w:rPr>
          <w:lang w:val="sr-Latn-RS"/>
        </w:rPr>
        <w:t>ij</w:t>
      </w:r>
      <w:r w:rsidRPr="00C256EF">
        <w:rPr>
          <w:lang w:val="sr-Latn-RS"/>
        </w:rPr>
        <w:t xml:space="preserve">ećen kod 45% i 35% pacijenata koji su bili na terapiji sorafenibom, u poređenju sa 12% i 11% pacijenata koji su dobili placebo u studiji 1 i studiji 3. Hipofosfatemija stepena 3 po CTCAE (1-2 mg/dL) u studiji 1 javila se kod 13% pacijenata koji su bili na terapiji sorafenibom i 3% pacijenata iz placebo grupe, a u studiji 3 kod 11% pacijenata koji su bili na terapiji sorafenibom i 2% pacijenata iz placebo grupe. Nije bilo slučajeva hipofosfatemije stepena 4 po CTCAE (&lt; 1 mg/dL), kod bilo kog pacijenata iz sorafenib ili placebo grupe u studiji 1, a 1 slučaj je prijavljen u placebo grupi studije 3. Etiologija hipofosfatemije udružene sa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om sorafeniba nije poznata.</w:t>
      </w:r>
    </w:p>
    <w:p w14:paraId="23468D32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64A36A43" w14:textId="6BC0149F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Odstupanja u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>stima laboratorijskih testova CTCAE stepena 3 ili 4 javila su se kod ≥ 5% pacijenata koji su bili na terapiji sorafenibom uključujući i limfopeniju i neutropeniju.</w:t>
      </w:r>
    </w:p>
    <w:p w14:paraId="6C3087E5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1CDA4A30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Hipokalcemija je prijavljena kod 12% i 26,5% pacijenata koji su bili na terapiji sorafenibom u poređenju sa 7,5% i 14,8% pacijenata koji su primali placebo u studiji 1, odnosno studiji 3. U najvećem broju prijava hipokalcemije su bile niskog stepena (CTCAE stepen 1 i 2). Hipokalcemija CTCAE stepena 3 (6,0 - 7,0 mg/dL) javila se kod 1,1% i 1,8% pacijenata koji su bili na terapiji sorafenibom i 0,2% i 1,1% pacijenata u placebo grupi, a hipokalcemija CTCAE stepena 4 (&lt; 6,0 mg/dL) javila se kod 1,1% i 0,4% pacijenata koji su bili na terapiji sorafenibom i 0,5% i 0% kod pacijenata u placebo grupi u studiji 1, odnosno studiji 3. Etiologija hipokalcemije povezane sa sorafenibom nije poznata.</w:t>
      </w:r>
    </w:p>
    <w:p w14:paraId="7D5CDFC9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6F0225BE" w14:textId="7D8D347D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Smanjena koncentracija kalijuma je uočena kod 5,4% i 9,5% pacijenata koji su bili na terapiji sorafenibom u poređenju sa 0,7% i 5,9% pacijenata koji su primali placebo u studiji 1, odnosno studiji 3. Većina prijava hipokalemije je bila niskog stepena (CTCAE stepen 1). U ovim studijama hipokalemija CTCAE stepena 3 se javila kod 1,1% i 0,4% pacijenata koji su bili na terapiji sorafenibom u poređenju sa 0,2% i 0,7% pacijenata koji su primali placebo. </w:t>
      </w:r>
      <w:r w:rsidR="00DA6303" w:rsidRPr="00C256EF">
        <w:rPr>
          <w:lang w:val="sr-Latn-RS"/>
        </w:rPr>
        <w:t>Nijesu</w:t>
      </w:r>
      <w:r w:rsidRPr="00C256EF">
        <w:rPr>
          <w:lang w:val="sr-Latn-RS"/>
        </w:rPr>
        <w:t xml:space="preserve"> prijavljeni slučajevi hipokalemije CTCAE stepena 4.</w:t>
      </w:r>
    </w:p>
    <w:p w14:paraId="406ED073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0481DBE6" w14:textId="27D00AF5" w:rsidR="00DA1672" w:rsidRPr="00C256EF" w:rsidRDefault="00DA1672">
      <w:pPr>
        <w:pStyle w:val="BodyText"/>
        <w:ind w:left="0" w:right="3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t xml:space="preserve">Odstupanja u </w:t>
      </w:r>
      <w:r w:rsidR="001659AE" w:rsidRPr="00C256EF">
        <w:rPr>
          <w:u w:val="single"/>
          <w:lang w:val="sr-Latn-RS"/>
        </w:rPr>
        <w:t>vrijedno</w:t>
      </w:r>
      <w:r w:rsidRPr="00C256EF">
        <w:rPr>
          <w:u w:val="single"/>
          <w:lang w:val="sr-Latn-RS"/>
        </w:rPr>
        <w:t>stima laboratorijskih testova kod pacijenata sa diferentovanim karcinomom tireoidee</w:t>
      </w:r>
      <w:r w:rsidR="00B874F5" w:rsidRPr="00C256EF">
        <w:rPr>
          <w:u w:val="single"/>
          <w:lang w:val="sr-Latn-RS"/>
        </w:rPr>
        <w:t xml:space="preserve"> </w:t>
      </w:r>
      <w:r w:rsidRPr="00C256EF">
        <w:rPr>
          <w:u w:val="single"/>
          <w:lang w:val="sr-Latn-RS"/>
        </w:rPr>
        <w:t>(studija 5)</w:t>
      </w:r>
    </w:p>
    <w:p w14:paraId="285A199F" w14:textId="77777777" w:rsidR="00B874F5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Hipokalcemija je prijavljena kod 35,7% pacijenata koji su bili na terapiji sorafenibom u poređenju sa 11%</w:t>
      </w:r>
      <w:r w:rsidR="00B874F5" w:rsidRPr="00C256EF">
        <w:rPr>
          <w:lang w:val="sr-Latn-RS"/>
        </w:rPr>
        <w:t xml:space="preserve"> </w:t>
      </w:r>
      <w:r w:rsidRPr="00C256EF">
        <w:rPr>
          <w:lang w:val="sr-Latn-RS"/>
        </w:rPr>
        <w:t xml:space="preserve">pacijenata koji su primali placebo. Većina slučajeva hipokalcemije je bila niskog stepena. </w:t>
      </w:r>
    </w:p>
    <w:p w14:paraId="3E52796D" w14:textId="77777777" w:rsidR="00B874F5" w:rsidRPr="00C256EF" w:rsidRDefault="00B874F5">
      <w:pPr>
        <w:pStyle w:val="BodyText"/>
        <w:ind w:left="0" w:right="30"/>
        <w:jc w:val="both"/>
        <w:rPr>
          <w:lang w:val="sr-Latn-RS"/>
        </w:rPr>
      </w:pPr>
    </w:p>
    <w:p w14:paraId="4A8F870F" w14:textId="2395A11C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Hipokalcemija</w:t>
      </w:r>
    </w:p>
    <w:p w14:paraId="7F3D2808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CTCAE stepena 3 javila se kod 6,8% pacijenata koji su bili na terapiji sorafenibom u poređenju sa 1,9%</w:t>
      </w:r>
    </w:p>
    <w:p w14:paraId="6F975B82" w14:textId="62D04DF8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pacijenata koji su primali placebo, a hipokalcemija CTCAE stepena 4 se javila kod 3,4% pacijenata koji su</w:t>
      </w:r>
      <w:r w:rsidR="00B874F5" w:rsidRPr="00C256EF">
        <w:rPr>
          <w:lang w:val="sr-Latn-RS"/>
        </w:rPr>
        <w:t xml:space="preserve"> </w:t>
      </w:r>
      <w:r w:rsidRPr="00C256EF">
        <w:rPr>
          <w:lang w:val="sr-Latn-RS"/>
        </w:rPr>
        <w:t>bili na terapiji sorafenibom u poređenju sa 1% pacijenata koji su primali placebo.</w:t>
      </w:r>
    </w:p>
    <w:p w14:paraId="1C9E6B30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Druga klinički značajna odstupanja laboratorijskih testova uočena u studiji 5 su prikazana u tabeli 2.</w:t>
      </w:r>
    </w:p>
    <w:p w14:paraId="0482C5B7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7F540EF9" w14:textId="69C2ACA0" w:rsidR="00DA1672" w:rsidRPr="00C256EF" w:rsidRDefault="00DA1672">
      <w:pPr>
        <w:pStyle w:val="BodyText"/>
        <w:ind w:left="0" w:right="30"/>
        <w:jc w:val="both"/>
        <w:rPr>
          <w:b/>
          <w:bCs/>
          <w:lang w:val="sr-Latn-RS"/>
        </w:rPr>
      </w:pPr>
      <w:r w:rsidRPr="00C256EF">
        <w:rPr>
          <w:b/>
          <w:bCs/>
          <w:lang w:val="sr-Latn-RS"/>
        </w:rPr>
        <w:t>Tabela 2: Odstupanja laboratorijskih testova usl</w:t>
      </w:r>
      <w:r w:rsidR="00197053" w:rsidRPr="00C256EF">
        <w:rPr>
          <w:b/>
          <w:bCs/>
          <w:lang w:val="sr-Latn-RS"/>
        </w:rPr>
        <w:t>j</w:t>
      </w:r>
      <w:r w:rsidRPr="00C256EF">
        <w:rPr>
          <w:b/>
          <w:bCs/>
          <w:lang w:val="sr-Latn-RS"/>
        </w:rPr>
        <w:t>ed primjene terapije prijavljena kod pacijenata sa diferentovanim karcinomom tireoidee (studija 5) tokom dvostruko slijepog perioda</w:t>
      </w:r>
    </w:p>
    <w:p w14:paraId="56CF6409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50"/>
        <w:gridCol w:w="986"/>
        <w:gridCol w:w="987"/>
        <w:gridCol w:w="933"/>
        <w:gridCol w:w="986"/>
        <w:gridCol w:w="933"/>
        <w:gridCol w:w="893"/>
      </w:tblGrid>
      <w:tr w:rsidR="00DA1672" w:rsidRPr="00C256EF" w14:paraId="2C8B1AE7" w14:textId="77777777" w:rsidTr="007E1ACC">
        <w:tc>
          <w:tcPr>
            <w:tcW w:w="3350" w:type="dxa"/>
            <w:vMerge w:val="restart"/>
          </w:tcPr>
          <w:p w14:paraId="6D3D9797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Laboratorijski parametar</w:t>
            </w:r>
          </w:p>
          <w:p w14:paraId="6EED7264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(u % ispitanih uzoraka)</w:t>
            </w:r>
          </w:p>
          <w:p w14:paraId="264A4DF5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906" w:type="dxa"/>
            <w:gridSpan w:val="3"/>
          </w:tcPr>
          <w:p w14:paraId="0B9D6B93" w14:textId="77777777" w:rsidR="00DA1672" w:rsidRPr="00C256EF" w:rsidRDefault="00DA1672" w:rsidP="007E1ACC">
            <w:pPr>
              <w:pStyle w:val="BodyText"/>
              <w:ind w:left="0" w:right="3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Sorafenib N=207</w:t>
            </w:r>
          </w:p>
        </w:tc>
        <w:tc>
          <w:tcPr>
            <w:tcW w:w="2812" w:type="dxa"/>
            <w:gridSpan w:val="3"/>
          </w:tcPr>
          <w:p w14:paraId="3134A964" w14:textId="77777777" w:rsidR="00DA1672" w:rsidRPr="00C256EF" w:rsidRDefault="00DA1672" w:rsidP="007E1ACC">
            <w:pPr>
              <w:pStyle w:val="BodyText"/>
              <w:ind w:left="0" w:right="3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Placebo N=209</w:t>
            </w:r>
          </w:p>
          <w:p w14:paraId="4C5323A4" w14:textId="77777777" w:rsidR="00DA1672" w:rsidRPr="00C256EF" w:rsidRDefault="00DA1672" w:rsidP="007E1ACC">
            <w:pPr>
              <w:pStyle w:val="BodyText"/>
              <w:ind w:left="0" w:right="30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DA1672" w:rsidRPr="00C256EF" w14:paraId="5F76E318" w14:textId="77777777" w:rsidTr="007E1ACC">
        <w:tc>
          <w:tcPr>
            <w:tcW w:w="3350" w:type="dxa"/>
            <w:vMerge/>
          </w:tcPr>
          <w:p w14:paraId="6F93DEF7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86" w:type="dxa"/>
          </w:tcPr>
          <w:p w14:paraId="16DD9BC6" w14:textId="77777777" w:rsidR="00DA1672" w:rsidRPr="00C256EF" w:rsidRDefault="00DA1672" w:rsidP="007E1ACC">
            <w:pPr>
              <w:pStyle w:val="BodyText"/>
              <w:ind w:left="0" w:right="3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Svi stepeni*</w:t>
            </w:r>
          </w:p>
        </w:tc>
        <w:tc>
          <w:tcPr>
            <w:tcW w:w="987" w:type="dxa"/>
          </w:tcPr>
          <w:p w14:paraId="4EADC017" w14:textId="77777777" w:rsidR="00DA1672" w:rsidRPr="00C256EF" w:rsidRDefault="00DA1672" w:rsidP="007E1ACC">
            <w:pPr>
              <w:pStyle w:val="BodyText"/>
              <w:ind w:left="0" w:right="3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Stepen 3*</w:t>
            </w:r>
          </w:p>
        </w:tc>
        <w:tc>
          <w:tcPr>
            <w:tcW w:w="933" w:type="dxa"/>
          </w:tcPr>
          <w:p w14:paraId="7AAEFEEE" w14:textId="77777777" w:rsidR="00DA1672" w:rsidRPr="00C256EF" w:rsidRDefault="00DA1672" w:rsidP="007E1ACC">
            <w:pPr>
              <w:pStyle w:val="BodyText"/>
              <w:ind w:left="0" w:right="3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Stepen 4*</w:t>
            </w:r>
          </w:p>
        </w:tc>
        <w:tc>
          <w:tcPr>
            <w:tcW w:w="986" w:type="dxa"/>
          </w:tcPr>
          <w:p w14:paraId="2676E2BA" w14:textId="77777777" w:rsidR="00DA1672" w:rsidRPr="00C256EF" w:rsidRDefault="00DA1672" w:rsidP="007E1ACC">
            <w:pPr>
              <w:pStyle w:val="BodyText"/>
              <w:ind w:left="0" w:right="3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Svi stepeni*</w:t>
            </w:r>
          </w:p>
        </w:tc>
        <w:tc>
          <w:tcPr>
            <w:tcW w:w="933" w:type="dxa"/>
          </w:tcPr>
          <w:p w14:paraId="39E4D38F" w14:textId="77777777" w:rsidR="00DA1672" w:rsidRPr="00C256EF" w:rsidRDefault="00DA1672" w:rsidP="007E1ACC">
            <w:pPr>
              <w:pStyle w:val="BodyText"/>
              <w:ind w:left="0" w:right="3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Stepen 3*</w:t>
            </w:r>
          </w:p>
        </w:tc>
        <w:tc>
          <w:tcPr>
            <w:tcW w:w="893" w:type="dxa"/>
          </w:tcPr>
          <w:p w14:paraId="1A94F48F" w14:textId="77777777" w:rsidR="00DA1672" w:rsidRPr="00C256EF" w:rsidRDefault="00DA1672" w:rsidP="007E1ACC">
            <w:pPr>
              <w:pStyle w:val="BodyText"/>
              <w:ind w:left="0" w:right="3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Stepen 4*</w:t>
            </w:r>
          </w:p>
        </w:tc>
      </w:tr>
      <w:tr w:rsidR="00DA1672" w:rsidRPr="00C256EF" w14:paraId="6C9F4F19" w14:textId="77777777" w:rsidTr="007E1ACC">
        <w:tc>
          <w:tcPr>
            <w:tcW w:w="9068" w:type="dxa"/>
            <w:gridSpan w:val="7"/>
          </w:tcPr>
          <w:p w14:paraId="6EF3050E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Poremećaji krvi i limfnog sistema</w:t>
            </w:r>
          </w:p>
          <w:p w14:paraId="7C15D528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DA1672" w:rsidRPr="00C256EF" w14:paraId="69ACF4A6" w14:textId="77777777" w:rsidTr="007E1ACC">
        <w:tc>
          <w:tcPr>
            <w:tcW w:w="3350" w:type="dxa"/>
          </w:tcPr>
          <w:p w14:paraId="36AA5DC1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Anemija</w:t>
            </w:r>
          </w:p>
        </w:tc>
        <w:tc>
          <w:tcPr>
            <w:tcW w:w="986" w:type="dxa"/>
          </w:tcPr>
          <w:p w14:paraId="40DB8FB4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 xml:space="preserve">30,9 </w:t>
            </w:r>
          </w:p>
          <w:p w14:paraId="4224B705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87" w:type="dxa"/>
          </w:tcPr>
          <w:p w14:paraId="158E115D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0,5</w:t>
            </w:r>
          </w:p>
        </w:tc>
        <w:tc>
          <w:tcPr>
            <w:tcW w:w="933" w:type="dxa"/>
          </w:tcPr>
          <w:p w14:paraId="063CC866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986" w:type="dxa"/>
          </w:tcPr>
          <w:p w14:paraId="64E09997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23,4</w:t>
            </w:r>
          </w:p>
        </w:tc>
        <w:tc>
          <w:tcPr>
            <w:tcW w:w="933" w:type="dxa"/>
          </w:tcPr>
          <w:p w14:paraId="177119F6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0,5</w:t>
            </w:r>
          </w:p>
        </w:tc>
        <w:tc>
          <w:tcPr>
            <w:tcW w:w="893" w:type="dxa"/>
          </w:tcPr>
          <w:p w14:paraId="68FDBF9E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DA1672" w:rsidRPr="00C256EF" w14:paraId="3E57F28B" w14:textId="77777777" w:rsidTr="007E1ACC">
        <w:tc>
          <w:tcPr>
            <w:tcW w:w="3350" w:type="dxa"/>
          </w:tcPr>
          <w:p w14:paraId="2B3285DB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Trombocitopenija</w:t>
            </w:r>
          </w:p>
        </w:tc>
        <w:tc>
          <w:tcPr>
            <w:tcW w:w="986" w:type="dxa"/>
          </w:tcPr>
          <w:p w14:paraId="4C45FE92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 xml:space="preserve">18,4 </w:t>
            </w:r>
          </w:p>
          <w:p w14:paraId="344402F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87" w:type="dxa"/>
          </w:tcPr>
          <w:p w14:paraId="303305C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933" w:type="dxa"/>
          </w:tcPr>
          <w:p w14:paraId="3071EF79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986" w:type="dxa"/>
          </w:tcPr>
          <w:p w14:paraId="1DFCCDAD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9,6</w:t>
            </w:r>
          </w:p>
        </w:tc>
        <w:tc>
          <w:tcPr>
            <w:tcW w:w="933" w:type="dxa"/>
          </w:tcPr>
          <w:p w14:paraId="066B1BB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893" w:type="dxa"/>
          </w:tcPr>
          <w:p w14:paraId="561352AF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DA1672" w:rsidRPr="00C256EF" w14:paraId="77A99F92" w14:textId="77777777" w:rsidTr="007E1ACC">
        <w:tc>
          <w:tcPr>
            <w:tcW w:w="3350" w:type="dxa"/>
          </w:tcPr>
          <w:p w14:paraId="4F0098B6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Neutropenija</w:t>
            </w:r>
          </w:p>
        </w:tc>
        <w:tc>
          <w:tcPr>
            <w:tcW w:w="986" w:type="dxa"/>
          </w:tcPr>
          <w:p w14:paraId="64EF4C44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 xml:space="preserve">19,8 </w:t>
            </w:r>
          </w:p>
          <w:p w14:paraId="4B4DB7D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87" w:type="dxa"/>
          </w:tcPr>
          <w:p w14:paraId="7F92F64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0,5</w:t>
            </w:r>
          </w:p>
        </w:tc>
        <w:tc>
          <w:tcPr>
            <w:tcW w:w="933" w:type="dxa"/>
          </w:tcPr>
          <w:p w14:paraId="43FF7BC1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0,5</w:t>
            </w:r>
          </w:p>
        </w:tc>
        <w:tc>
          <w:tcPr>
            <w:tcW w:w="986" w:type="dxa"/>
          </w:tcPr>
          <w:p w14:paraId="3B3B7328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  <w:tc>
          <w:tcPr>
            <w:tcW w:w="933" w:type="dxa"/>
          </w:tcPr>
          <w:p w14:paraId="72BD896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893" w:type="dxa"/>
          </w:tcPr>
          <w:p w14:paraId="6C4D9713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DA1672" w:rsidRPr="00C256EF" w14:paraId="35800652" w14:textId="77777777" w:rsidTr="007E1ACC">
        <w:tc>
          <w:tcPr>
            <w:tcW w:w="3350" w:type="dxa"/>
          </w:tcPr>
          <w:p w14:paraId="415BA4FE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lastRenderedPageBreak/>
              <w:t>Limfopenija</w:t>
            </w:r>
          </w:p>
        </w:tc>
        <w:tc>
          <w:tcPr>
            <w:tcW w:w="986" w:type="dxa"/>
          </w:tcPr>
          <w:p w14:paraId="73D56EF9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42</w:t>
            </w:r>
          </w:p>
        </w:tc>
        <w:tc>
          <w:tcPr>
            <w:tcW w:w="987" w:type="dxa"/>
          </w:tcPr>
          <w:p w14:paraId="5E0F4A54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 xml:space="preserve">9,7 </w:t>
            </w:r>
          </w:p>
          <w:p w14:paraId="0BA36CBC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33" w:type="dxa"/>
          </w:tcPr>
          <w:p w14:paraId="178F1136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0,5</w:t>
            </w:r>
          </w:p>
        </w:tc>
        <w:tc>
          <w:tcPr>
            <w:tcW w:w="986" w:type="dxa"/>
          </w:tcPr>
          <w:p w14:paraId="6693FED6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25,8</w:t>
            </w:r>
          </w:p>
        </w:tc>
        <w:tc>
          <w:tcPr>
            <w:tcW w:w="933" w:type="dxa"/>
          </w:tcPr>
          <w:p w14:paraId="56A436C0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5,3</w:t>
            </w:r>
          </w:p>
        </w:tc>
        <w:tc>
          <w:tcPr>
            <w:tcW w:w="893" w:type="dxa"/>
          </w:tcPr>
          <w:p w14:paraId="74D549E0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DA1672" w:rsidRPr="00C256EF" w14:paraId="102A2446" w14:textId="77777777" w:rsidTr="007E1ACC">
        <w:tc>
          <w:tcPr>
            <w:tcW w:w="9068" w:type="dxa"/>
            <w:gridSpan w:val="7"/>
          </w:tcPr>
          <w:p w14:paraId="0B7F39A8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Poremećaji metabolizma i ishrane</w:t>
            </w:r>
          </w:p>
          <w:p w14:paraId="2AD3888C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DA1672" w:rsidRPr="00C256EF" w14:paraId="7CC056E8" w14:textId="77777777" w:rsidTr="007E1ACC">
        <w:tc>
          <w:tcPr>
            <w:tcW w:w="3350" w:type="dxa"/>
          </w:tcPr>
          <w:p w14:paraId="3BBE5ADC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Hipokalemija</w:t>
            </w:r>
          </w:p>
        </w:tc>
        <w:tc>
          <w:tcPr>
            <w:tcW w:w="986" w:type="dxa"/>
          </w:tcPr>
          <w:p w14:paraId="10B08410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17,9</w:t>
            </w:r>
          </w:p>
        </w:tc>
        <w:tc>
          <w:tcPr>
            <w:tcW w:w="987" w:type="dxa"/>
          </w:tcPr>
          <w:p w14:paraId="5EC720FE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1,9</w:t>
            </w:r>
          </w:p>
        </w:tc>
        <w:tc>
          <w:tcPr>
            <w:tcW w:w="933" w:type="dxa"/>
          </w:tcPr>
          <w:p w14:paraId="18499F8B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986" w:type="dxa"/>
          </w:tcPr>
          <w:p w14:paraId="5B7A6738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2,4</w:t>
            </w:r>
          </w:p>
        </w:tc>
        <w:tc>
          <w:tcPr>
            <w:tcW w:w="933" w:type="dxa"/>
          </w:tcPr>
          <w:p w14:paraId="01D6B361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893" w:type="dxa"/>
          </w:tcPr>
          <w:p w14:paraId="24AC3029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DA1672" w:rsidRPr="00C256EF" w14:paraId="07BCF768" w14:textId="77777777" w:rsidTr="007E1ACC">
        <w:tc>
          <w:tcPr>
            <w:tcW w:w="3350" w:type="dxa"/>
          </w:tcPr>
          <w:p w14:paraId="79D2F418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Hipofosfatemija**</w:t>
            </w:r>
          </w:p>
        </w:tc>
        <w:tc>
          <w:tcPr>
            <w:tcW w:w="986" w:type="dxa"/>
          </w:tcPr>
          <w:p w14:paraId="2CEB39A0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19,3</w:t>
            </w:r>
          </w:p>
        </w:tc>
        <w:tc>
          <w:tcPr>
            <w:tcW w:w="987" w:type="dxa"/>
          </w:tcPr>
          <w:p w14:paraId="570E812C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12,6</w:t>
            </w:r>
          </w:p>
        </w:tc>
        <w:tc>
          <w:tcPr>
            <w:tcW w:w="933" w:type="dxa"/>
          </w:tcPr>
          <w:p w14:paraId="627E4AD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986" w:type="dxa"/>
          </w:tcPr>
          <w:p w14:paraId="220A6D2E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2,4</w:t>
            </w:r>
          </w:p>
        </w:tc>
        <w:tc>
          <w:tcPr>
            <w:tcW w:w="933" w:type="dxa"/>
          </w:tcPr>
          <w:p w14:paraId="050B4B57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1,4</w:t>
            </w:r>
          </w:p>
        </w:tc>
        <w:tc>
          <w:tcPr>
            <w:tcW w:w="893" w:type="dxa"/>
          </w:tcPr>
          <w:p w14:paraId="1D5602F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DA1672" w:rsidRPr="00C256EF" w14:paraId="068762AB" w14:textId="77777777" w:rsidTr="007E1ACC">
        <w:tc>
          <w:tcPr>
            <w:tcW w:w="9068" w:type="dxa"/>
            <w:gridSpan w:val="7"/>
          </w:tcPr>
          <w:p w14:paraId="776C084D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Hepatobilijarni poremećaji</w:t>
            </w:r>
          </w:p>
        </w:tc>
      </w:tr>
      <w:tr w:rsidR="00DA1672" w:rsidRPr="00C256EF" w14:paraId="4316BA93" w14:textId="77777777" w:rsidTr="007E1ACC">
        <w:tc>
          <w:tcPr>
            <w:tcW w:w="3350" w:type="dxa"/>
          </w:tcPr>
          <w:p w14:paraId="12E0F4CB" w14:textId="3A4BA393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 xml:space="preserve">Povećane </w:t>
            </w:r>
            <w:r w:rsidR="001659AE" w:rsidRPr="00C256EF">
              <w:rPr>
                <w:rFonts w:ascii="Times New Roman" w:hAnsi="Times New Roman" w:cs="Times New Roman"/>
                <w:lang w:val="sr-Latn-RS"/>
              </w:rPr>
              <w:t>vrijedno</w:t>
            </w:r>
            <w:r w:rsidRPr="00C256EF">
              <w:rPr>
                <w:rFonts w:ascii="Times New Roman" w:hAnsi="Times New Roman" w:cs="Times New Roman"/>
                <w:lang w:val="sr-Latn-RS"/>
              </w:rPr>
              <w:t>sti bilirubina</w:t>
            </w:r>
          </w:p>
        </w:tc>
        <w:tc>
          <w:tcPr>
            <w:tcW w:w="986" w:type="dxa"/>
          </w:tcPr>
          <w:p w14:paraId="5B1BCBD6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8,7</w:t>
            </w:r>
          </w:p>
        </w:tc>
        <w:tc>
          <w:tcPr>
            <w:tcW w:w="987" w:type="dxa"/>
          </w:tcPr>
          <w:p w14:paraId="5467C481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933" w:type="dxa"/>
          </w:tcPr>
          <w:p w14:paraId="2BEA7B0E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986" w:type="dxa"/>
          </w:tcPr>
          <w:p w14:paraId="5D7F9B08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4,8</w:t>
            </w:r>
          </w:p>
        </w:tc>
        <w:tc>
          <w:tcPr>
            <w:tcW w:w="933" w:type="dxa"/>
          </w:tcPr>
          <w:p w14:paraId="036B5EAC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893" w:type="dxa"/>
          </w:tcPr>
          <w:p w14:paraId="491B9B04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DA1672" w:rsidRPr="00C256EF" w14:paraId="26FCC86B" w14:textId="77777777" w:rsidTr="007E1ACC">
        <w:tc>
          <w:tcPr>
            <w:tcW w:w="3350" w:type="dxa"/>
          </w:tcPr>
          <w:p w14:paraId="5A00763D" w14:textId="5D43BB4F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 xml:space="preserve">Povećane </w:t>
            </w:r>
            <w:r w:rsidR="001659AE" w:rsidRPr="00C256EF">
              <w:rPr>
                <w:rFonts w:ascii="Times New Roman" w:hAnsi="Times New Roman" w:cs="Times New Roman"/>
                <w:lang w:val="sr-Latn-RS"/>
              </w:rPr>
              <w:t>vrijedno</w:t>
            </w:r>
            <w:r w:rsidRPr="00C256EF">
              <w:rPr>
                <w:rFonts w:ascii="Times New Roman" w:hAnsi="Times New Roman" w:cs="Times New Roman"/>
                <w:lang w:val="sr-Latn-RS"/>
              </w:rPr>
              <w:t>sti ALT</w:t>
            </w:r>
          </w:p>
        </w:tc>
        <w:tc>
          <w:tcPr>
            <w:tcW w:w="986" w:type="dxa"/>
          </w:tcPr>
          <w:p w14:paraId="5EC4DE05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 xml:space="preserve">58,9 </w:t>
            </w:r>
          </w:p>
        </w:tc>
        <w:tc>
          <w:tcPr>
            <w:tcW w:w="987" w:type="dxa"/>
          </w:tcPr>
          <w:p w14:paraId="41865A2E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3,4</w:t>
            </w:r>
          </w:p>
        </w:tc>
        <w:tc>
          <w:tcPr>
            <w:tcW w:w="933" w:type="dxa"/>
          </w:tcPr>
          <w:p w14:paraId="5A3E73EC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1,0</w:t>
            </w:r>
          </w:p>
        </w:tc>
        <w:tc>
          <w:tcPr>
            <w:tcW w:w="986" w:type="dxa"/>
          </w:tcPr>
          <w:p w14:paraId="28F1FD14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24,4</w:t>
            </w:r>
          </w:p>
        </w:tc>
        <w:tc>
          <w:tcPr>
            <w:tcW w:w="933" w:type="dxa"/>
          </w:tcPr>
          <w:p w14:paraId="6686A1A9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893" w:type="dxa"/>
          </w:tcPr>
          <w:p w14:paraId="55F4AF7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DA1672" w:rsidRPr="00C256EF" w14:paraId="1356FD41" w14:textId="77777777" w:rsidTr="007E1ACC">
        <w:trPr>
          <w:trHeight w:val="268"/>
        </w:trPr>
        <w:tc>
          <w:tcPr>
            <w:tcW w:w="3350" w:type="dxa"/>
          </w:tcPr>
          <w:p w14:paraId="4AA17654" w14:textId="5CDE00A9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 xml:space="preserve">Povećane </w:t>
            </w:r>
            <w:r w:rsidR="001659AE" w:rsidRPr="00C256EF">
              <w:rPr>
                <w:rFonts w:ascii="Times New Roman" w:hAnsi="Times New Roman" w:cs="Times New Roman"/>
                <w:lang w:val="sr-Latn-RS"/>
              </w:rPr>
              <w:t>vrijedno</w:t>
            </w:r>
            <w:r w:rsidRPr="00C256EF">
              <w:rPr>
                <w:rFonts w:ascii="Times New Roman" w:hAnsi="Times New Roman" w:cs="Times New Roman"/>
                <w:lang w:val="sr-Latn-RS"/>
              </w:rPr>
              <w:t>sti AST</w:t>
            </w:r>
          </w:p>
        </w:tc>
        <w:tc>
          <w:tcPr>
            <w:tcW w:w="986" w:type="dxa"/>
          </w:tcPr>
          <w:p w14:paraId="2F455CF8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53,6</w:t>
            </w:r>
          </w:p>
        </w:tc>
        <w:tc>
          <w:tcPr>
            <w:tcW w:w="987" w:type="dxa"/>
          </w:tcPr>
          <w:p w14:paraId="130C5184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1,0</w:t>
            </w:r>
          </w:p>
        </w:tc>
        <w:tc>
          <w:tcPr>
            <w:tcW w:w="933" w:type="dxa"/>
          </w:tcPr>
          <w:p w14:paraId="5A9FEA00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1,0</w:t>
            </w:r>
          </w:p>
        </w:tc>
        <w:tc>
          <w:tcPr>
            <w:tcW w:w="986" w:type="dxa"/>
          </w:tcPr>
          <w:p w14:paraId="43E0F2EB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14,8</w:t>
            </w:r>
          </w:p>
        </w:tc>
        <w:tc>
          <w:tcPr>
            <w:tcW w:w="933" w:type="dxa"/>
          </w:tcPr>
          <w:p w14:paraId="27D3F0F2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893" w:type="dxa"/>
          </w:tcPr>
          <w:p w14:paraId="08CF4A03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DA1672" w:rsidRPr="00C256EF" w14:paraId="7423DE3A" w14:textId="77777777" w:rsidTr="007E1ACC">
        <w:tc>
          <w:tcPr>
            <w:tcW w:w="9068" w:type="dxa"/>
            <w:gridSpan w:val="7"/>
          </w:tcPr>
          <w:p w14:paraId="0B3E67E1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Ispitivanja</w:t>
            </w:r>
          </w:p>
        </w:tc>
      </w:tr>
      <w:tr w:rsidR="00DA1672" w:rsidRPr="00C256EF" w14:paraId="015AB18A" w14:textId="77777777" w:rsidTr="007E1ACC">
        <w:tc>
          <w:tcPr>
            <w:tcW w:w="3350" w:type="dxa"/>
          </w:tcPr>
          <w:p w14:paraId="1F115FD1" w14:textId="12FD3681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Povećane vr</w:t>
            </w:r>
            <w:r w:rsidR="00A13944" w:rsidRPr="00C256EF">
              <w:rPr>
                <w:rFonts w:ascii="Times New Roman" w:hAnsi="Times New Roman" w:cs="Times New Roman"/>
                <w:lang w:val="sr-Latn-RS"/>
              </w:rPr>
              <w:t>ij</w:t>
            </w:r>
            <w:r w:rsidRPr="00C256EF">
              <w:rPr>
                <w:rFonts w:ascii="Times New Roman" w:hAnsi="Times New Roman" w:cs="Times New Roman"/>
                <w:lang w:val="sr-Latn-RS"/>
              </w:rPr>
              <w:t>e</w:t>
            </w:r>
            <w:r w:rsidR="00A13944" w:rsidRPr="00C256EF">
              <w:rPr>
                <w:rFonts w:ascii="Times New Roman" w:hAnsi="Times New Roman" w:cs="Times New Roman"/>
                <w:lang w:val="sr-Latn-RS"/>
              </w:rPr>
              <w:t>d</w:t>
            </w:r>
            <w:r w:rsidRPr="00C256EF">
              <w:rPr>
                <w:rFonts w:ascii="Times New Roman" w:hAnsi="Times New Roman" w:cs="Times New Roman"/>
                <w:lang w:val="sr-Latn-RS"/>
              </w:rPr>
              <w:t>nosti amilaze</w:t>
            </w:r>
          </w:p>
        </w:tc>
        <w:tc>
          <w:tcPr>
            <w:tcW w:w="986" w:type="dxa"/>
          </w:tcPr>
          <w:p w14:paraId="78959B6E" w14:textId="77777777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12,6</w:t>
            </w:r>
          </w:p>
        </w:tc>
        <w:tc>
          <w:tcPr>
            <w:tcW w:w="987" w:type="dxa"/>
          </w:tcPr>
          <w:p w14:paraId="1E78C83E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2,4</w:t>
            </w:r>
          </w:p>
        </w:tc>
        <w:tc>
          <w:tcPr>
            <w:tcW w:w="933" w:type="dxa"/>
          </w:tcPr>
          <w:p w14:paraId="1AA6C0F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1,4</w:t>
            </w:r>
          </w:p>
        </w:tc>
        <w:tc>
          <w:tcPr>
            <w:tcW w:w="986" w:type="dxa"/>
          </w:tcPr>
          <w:p w14:paraId="0A45F11E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6,2</w:t>
            </w:r>
          </w:p>
        </w:tc>
        <w:tc>
          <w:tcPr>
            <w:tcW w:w="933" w:type="dxa"/>
          </w:tcPr>
          <w:p w14:paraId="383FCB83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893" w:type="dxa"/>
          </w:tcPr>
          <w:p w14:paraId="026F429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1,0</w:t>
            </w:r>
          </w:p>
        </w:tc>
      </w:tr>
      <w:tr w:rsidR="00DA1672" w:rsidRPr="00C256EF" w14:paraId="67A5DF37" w14:textId="77777777" w:rsidTr="007E1ACC">
        <w:tc>
          <w:tcPr>
            <w:tcW w:w="3350" w:type="dxa"/>
          </w:tcPr>
          <w:p w14:paraId="0F59B954" w14:textId="757F8AFB" w:rsidR="00DA1672" w:rsidRPr="00C256EF" w:rsidRDefault="00DA1672" w:rsidP="00F95F4D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 xml:space="preserve">Povećane </w:t>
            </w:r>
            <w:r w:rsidR="001659AE" w:rsidRPr="00C256EF">
              <w:rPr>
                <w:rFonts w:ascii="Times New Roman" w:hAnsi="Times New Roman" w:cs="Times New Roman"/>
                <w:lang w:val="sr-Latn-RS"/>
              </w:rPr>
              <w:t>vrijedno</w:t>
            </w:r>
            <w:r w:rsidRPr="00C256EF">
              <w:rPr>
                <w:rFonts w:ascii="Times New Roman" w:hAnsi="Times New Roman" w:cs="Times New Roman"/>
                <w:lang w:val="sr-Latn-RS"/>
              </w:rPr>
              <w:t>sti lipaze</w:t>
            </w:r>
          </w:p>
        </w:tc>
        <w:tc>
          <w:tcPr>
            <w:tcW w:w="986" w:type="dxa"/>
          </w:tcPr>
          <w:p w14:paraId="00278CDA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11,1</w:t>
            </w:r>
          </w:p>
        </w:tc>
        <w:tc>
          <w:tcPr>
            <w:tcW w:w="987" w:type="dxa"/>
          </w:tcPr>
          <w:p w14:paraId="08533689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2,4</w:t>
            </w:r>
          </w:p>
        </w:tc>
        <w:tc>
          <w:tcPr>
            <w:tcW w:w="933" w:type="dxa"/>
          </w:tcPr>
          <w:p w14:paraId="7B5FD94D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986" w:type="dxa"/>
          </w:tcPr>
          <w:p w14:paraId="27204DD7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2,9</w:t>
            </w:r>
          </w:p>
        </w:tc>
        <w:tc>
          <w:tcPr>
            <w:tcW w:w="933" w:type="dxa"/>
          </w:tcPr>
          <w:p w14:paraId="1D56FD03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0,5</w:t>
            </w:r>
          </w:p>
        </w:tc>
        <w:tc>
          <w:tcPr>
            <w:tcW w:w="893" w:type="dxa"/>
          </w:tcPr>
          <w:p w14:paraId="2D350FA4" w14:textId="77777777" w:rsidR="00DA1672" w:rsidRPr="00C256EF" w:rsidRDefault="00DA1672">
            <w:pPr>
              <w:pStyle w:val="BodyText"/>
              <w:ind w:left="0" w:right="3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C256EF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</w:tbl>
    <w:p w14:paraId="61713C9C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</w:p>
    <w:p w14:paraId="502F21A2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* Uobičajeni terminološki kriterijumi za neželjene događaje (engl. </w:t>
      </w:r>
      <w:r w:rsidRPr="00C256EF">
        <w:rPr>
          <w:i/>
          <w:iCs/>
          <w:lang w:val="sr-Latn-RS"/>
        </w:rPr>
        <w:t>Common Terminology Criteria for Adverse Events</w:t>
      </w:r>
      <w:r w:rsidRPr="00C256EF">
        <w:rPr>
          <w:lang w:val="sr-Latn-RS"/>
        </w:rPr>
        <w:t>, CTCAE), verzija 3.0</w:t>
      </w:r>
    </w:p>
    <w:p w14:paraId="3B2A3272" w14:textId="7D29EE91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** Etiologija hipofosfatemije povezane sa primjenom sorafeniba je nepoznata.</w:t>
      </w:r>
    </w:p>
    <w:p w14:paraId="5CDE1D26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35871BD4" w14:textId="77777777" w:rsidR="004E70AD" w:rsidRPr="00C256EF" w:rsidRDefault="004E70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B43713B" w14:textId="77777777" w:rsidR="005A23D2" w:rsidRPr="00C256EF" w:rsidRDefault="005A23D2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C256EF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055B966A" w14:textId="77777777" w:rsidR="005A23D2" w:rsidRPr="00C256EF" w:rsidRDefault="005A23D2">
      <w:pPr>
        <w:jc w:val="both"/>
        <w:rPr>
          <w:rFonts w:eastAsia="Calibri"/>
          <w:sz w:val="22"/>
          <w:szCs w:val="22"/>
          <w:lang w:val="sr-Latn-RS"/>
        </w:rPr>
      </w:pPr>
      <w:r w:rsidRPr="00C256EF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C256EF">
        <w:rPr>
          <w:rFonts w:eastAsia="Calibri"/>
          <w:sz w:val="22"/>
          <w:szCs w:val="22"/>
          <w:lang w:val="sr-Latn-RS"/>
        </w:rPr>
        <w:t>inuirano praćenje odnosa korist</w:t>
      </w:r>
      <w:r w:rsidRPr="00C256EF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C256EF">
        <w:rPr>
          <w:rFonts w:eastAsia="Calibri"/>
          <w:sz w:val="22"/>
          <w:szCs w:val="22"/>
          <w:lang w:val="sr-Latn-RS"/>
        </w:rPr>
        <w:t xml:space="preserve"> </w:t>
      </w:r>
      <w:r w:rsidRPr="00C256EF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C256EF">
        <w:rPr>
          <w:rFonts w:eastAsia="Calibri"/>
          <w:sz w:val="22"/>
          <w:szCs w:val="22"/>
          <w:lang w:val="sr-Latn-RS"/>
        </w:rPr>
        <w:t>Institutu</w:t>
      </w:r>
      <w:r w:rsidRPr="00C256EF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C256EF">
        <w:rPr>
          <w:rFonts w:eastAsia="Calibri"/>
          <w:sz w:val="22"/>
          <w:szCs w:val="22"/>
          <w:lang w:val="sr-Latn-RS"/>
        </w:rPr>
        <w:t xml:space="preserve"> </w:t>
      </w:r>
      <w:r w:rsidRPr="00C256EF">
        <w:rPr>
          <w:rFonts w:eastAsia="Calibri"/>
          <w:sz w:val="22"/>
          <w:szCs w:val="22"/>
          <w:lang w:val="sr-Latn-RS"/>
        </w:rPr>
        <w:t>(</w:t>
      </w:r>
      <w:r w:rsidR="004E70AD" w:rsidRPr="00C256EF">
        <w:rPr>
          <w:rFonts w:eastAsia="Calibri"/>
          <w:sz w:val="22"/>
          <w:szCs w:val="22"/>
          <w:lang w:val="sr-Latn-RS"/>
        </w:rPr>
        <w:t>CInMED</w:t>
      </w:r>
      <w:r w:rsidRPr="00C256EF">
        <w:rPr>
          <w:rFonts w:eastAsia="Calibri"/>
          <w:sz w:val="22"/>
          <w:szCs w:val="22"/>
          <w:lang w:val="sr-Latn-RS"/>
        </w:rPr>
        <w:t>):</w:t>
      </w:r>
    </w:p>
    <w:p w14:paraId="25A619E8" w14:textId="77777777" w:rsidR="005A23D2" w:rsidRPr="00C256EF" w:rsidRDefault="004E70A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256EF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C256EF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703C9200" w14:textId="77777777" w:rsidR="005A23D2" w:rsidRPr="00C256EF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256EF">
        <w:rPr>
          <w:rFonts w:eastAsia="Calibri"/>
          <w:sz w:val="22"/>
          <w:szCs w:val="22"/>
          <w:lang w:val="sr-Latn-RS"/>
        </w:rPr>
        <w:t>Odjeljenje za farmakovigilancu</w:t>
      </w:r>
    </w:p>
    <w:p w14:paraId="5EB9F718" w14:textId="77777777" w:rsidR="00EA5765" w:rsidRPr="00C256EF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256EF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1F493F8B" w14:textId="77777777" w:rsidR="00EA5765" w:rsidRPr="00C256EF" w:rsidRDefault="00EA576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8177995" w14:textId="77777777" w:rsidR="005A23D2" w:rsidRPr="00C256EF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256EF">
        <w:rPr>
          <w:rFonts w:eastAsia="Calibri"/>
          <w:sz w:val="22"/>
          <w:szCs w:val="22"/>
          <w:lang w:val="sr-Latn-RS"/>
        </w:rPr>
        <w:t>tel: +382 (0) 20 310 280</w:t>
      </w:r>
    </w:p>
    <w:p w14:paraId="17A02AEA" w14:textId="77777777" w:rsidR="00EA5765" w:rsidRPr="00C256EF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C256EF">
        <w:rPr>
          <w:rFonts w:eastAsia="Calibri"/>
          <w:sz w:val="22"/>
          <w:szCs w:val="22"/>
          <w:lang w:val="sr-Latn-RS"/>
        </w:rPr>
        <w:t>fax:</w:t>
      </w:r>
      <w:r w:rsidR="00EA5765" w:rsidRPr="00C256EF">
        <w:rPr>
          <w:rFonts w:eastAsia="Calibri"/>
          <w:sz w:val="22"/>
          <w:szCs w:val="22"/>
          <w:lang w:val="sr-Latn-RS"/>
        </w:rPr>
        <w:t xml:space="preserve"> </w:t>
      </w:r>
      <w:r w:rsidRPr="00C256EF">
        <w:rPr>
          <w:rFonts w:eastAsia="Calibri"/>
          <w:sz w:val="22"/>
          <w:szCs w:val="22"/>
          <w:lang w:val="sr-Latn-RS"/>
        </w:rPr>
        <w:t>+382 (0) 20 310 581</w:t>
      </w:r>
      <w:r w:rsidR="00FF3EDF" w:rsidRPr="00C256EF">
        <w:rPr>
          <w:rFonts w:eastAsia="Calibri"/>
          <w:sz w:val="22"/>
          <w:szCs w:val="22"/>
          <w:lang w:val="sr-Latn-RS"/>
        </w:rPr>
        <w:tab/>
      </w:r>
    </w:p>
    <w:p w14:paraId="769B080E" w14:textId="77777777" w:rsidR="005A23D2" w:rsidRPr="00C256EF" w:rsidRDefault="0058319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C256EF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490F201" w14:textId="77777777" w:rsidR="00EA5765" w:rsidRPr="00C256EF" w:rsidRDefault="0058319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C256EF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37A0E003" w14:textId="77777777" w:rsidR="005A23D2" w:rsidRPr="00C256EF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256EF">
        <w:rPr>
          <w:rFonts w:eastAsia="Calibri"/>
          <w:sz w:val="22"/>
          <w:szCs w:val="22"/>
          <w:lang w:val="sr-Latn-RS"/>
        </w:rPr>
        <w:t>putem IS zdravstvene zaštite</w:t>
      </w:r>
    </w:p>
    <w:p w14:paraId="31BEB027" w14:textId="77777777" w:rsidR="007E31E9" w:rsidRPr="00C256EF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256EF">
        <w:rPr>
          <w:rFonts w:eastAsia="Calibri"/>
          <w:sz w:val="22"/>
          <w:szCs w:val="22"/>
          <w:lang w:val="sr-Latn-RS"/>
        </w:rPr>
        <w:t>QR kod za online prijavu</w:t>
      </w:r>
      <w:r w:rsidR="00D74CD2" w:rsidRPr="00C256EF">
        <w:rPr>
          <w:rFonts w:eastAsia="Calibri"/>
          <w:sz w:val="22"/>
          <w:szCs w:val="22"/>
          <w:lang w:val="sr-Latn-RS"/>
        </w:rPr>
        <w:t xml:space="preserve"> sumnje na neželjeno dejstvo lijeka</w:t>
      </w:r>
      <w:r w:rsidRPr="00C256EF">
        <w:rPr>
          <w:rFonts w:eastAsia="Calibri"/>
          <w:sz w:val="22"/>
          <w:szCs w:val="22"/>
          <w:lang w:val="sr-Latn-RS"/>
        </w:rPr>
        <w:t>:</w:t>
      </w:r>
    </w:p>
    <w:p w14:paraId="7B789292" w14:textId="77777777" w:rsidR="004F17E2" w:rsidRPr="00C256EF" w:rsidRDefault="004F17E2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B9BD30A" w14:textId="77777777" w:rsidR="00836B35" w:rsidRPr="00C256EF" w:rsidRDefault="007F661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noProof/>
          <w:sz w:val="22"/>
          <w:szCs w:val="22"/>
          <w:lang w:val="sr-Latn-RS"/>
        </w:rPr>
        <w:drawing>
          <wp:inline distT="0" distB="0" distL="0" distR="0" wp14:anchorId="59D13CFC" wp14:editId="6548920B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FC04F9" w14:textId="77777777" w:rsidR="007F661E" w:rsidRPr="00C256EF" w:rsidRDefault="007F661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6576BDE" w14:textId="77777777" w:rsidR="00CD6F02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4.9.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Predoziranje</w:t>
      </w:r>
      <w:r w:rsidR="002846DB" w:rsidRPr="00C256EF">
        <w:rPr>
          <w:b/>
          <w:bCs/>
          <w:sz w:val="22"/>
          <w:szCs w:val="22"/>
          <w:lang w:val="sr-Latn-RS"/>
        </w:rPr>
        <w:t xml:space="preserve"> </w:t>
      </w:r>
    </w:p>
    <w:p w14:paraId="69A6C5FB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2D21252" w14:textId="7B6DEDE3" w:rsidR="00CD6F02" w:rsidRPr="00C256EF" w:rsidRDefault="00DA16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t xml:space="preserve">Nema specifične terapije u slučaju predoziranja sorafenibom. Najveća klinički ispitana doza sorafeniba je dva puta po 800 mg dnevno. Neželjeni događaji koji su uočeni pri ovoj dozi su uglavnom bili dijareja i dermatološki događaji. U slučaju sumnje na predoziranje, </w:t>
      </w:r>
      <w:r w:rsidR="001659AE" w:rsidRPr="00C256EF">
        <w:rPr>
          <w:sz w:val="22"/>
          <w:szCs w:val="22"/>
          <w:lang w:val="sr-Latn-RS"/>
        </w:rPr>
        <w:t>primjen</w:t>
      </w:r>
      <w:r w:rsidRPr="00C256EF">
        <w:rPr>
          <w:sz w:val="22"/>
          <w:szCs w:val="22"/>
          <w:lang w:val="sr-Latn-RS"/>
        </w:rPr>
        <w:t xml:space="preserve">u sorafeniba treba obustaviti i po potrebi </w:t>
      </w:r>
      <w:r w:rsidR="001659AE" w:rsidRPr="00C256EF">
        <w:rPr>
          <w:sz w:val="22"/>
          <w:szCs w:val="22"/>
          <w:lang w:val="sr-Latn-RS"/>
        </w:rPr>
        <w:t>primjen</w:t>
      </w:r>
      <w:r w:rsidRPr="00C256EF">
        <w:rPr>
          <w:sz w:val="22"/>
          <w:szCs w:val="22"/>
          <w:lang w:val="sr-Latn-RS"/>
        </w:rPr>
        <w:t>iti suportivnu terapiju.</w:t>
      </w:r>
    </w:p>
    <w:p w14:paraId="20159235" w14:textId="77777777" w:rsidR="00227BDB" w:rsidRPr="00C256EF" w:rsidRDefault="00227B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B87FC29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696BA7E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5.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FARMAKOLOŠK</w:t>
      </w:r>
      <w:r w:rsidR="000D425A" w:rsidRPr="00C256EF">
        <w:rPr>
          <w:b/>
          <w:bCs/>
          <w:sz w:val="22"/>
          <w:szCs w:val="22"/>
          <w:lang w:val="sr-Latn-RS"/>
        </w:rPr>
        <w:t>I</w:t>
      </w:r>
      <w:r w:rsidRPr="00C256EF">
        <w:rPr>
          <w:b/>
          <w:bCs/>
          <w:sz w:val="22"/>
          <w:szCs w:val="22"/>
          <w:lang w:val="sr-Latn-RS"/>
        </w:rPr>
        <w:t xml:space="preserve"> PODACI</w:t>
      </w:r>
    </w:p>
    <w:p w14:paraId="0F7D594E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6D7BD9B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5.1.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Farmakodinamski podaci</w:t>
      </w:r>
      <w:r w:rsidR="003A7059" w:rsidRPr="00C256EF">
        <w:rPr>
          <w:b/>
          <w:bCs/>
          <w:sz w:val="22"/>
          <w:szCs w:val="22"/>
          <w:lang w:val="sr-Latn-RS"/>
        </w:rPr>
        <w:t xml:space="preserve"> </w:t>
      </w:r>
    </w:p>
    <w:p w14:paraId="2D91CCF5" w14:textId="77777777" w:rsidR="00F45F77" w:rsidRPr="00C256EF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D70B130" w14:textId="69A37770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256EF">
        <w:rPr>
          <w:bCs/>
          <w:sz w:val="22"/>
          <w:szCs w:val="22"/>
          <w:lang w:val="sr-Latn-RS"/>
        </w:rPr>
        <w:t>Farmakoterapijska grupa:</w:t>
      </w:r>
      <w:r w:rsidR="00DA1672" w:rsidRPr="00C256EF">
        <w:rPr>
          <w:bCs/>
          <w:sz w:val="22"/>
          <w:szCs w:val="22"/>
          <w:lang w:val="sr-Latn-RS"/>
        </w:rPr>
        <w:t xml:space="preserve"> </w:t>
      </w:r>
      <w:r w:rsidR="00DA1672" w:rsidRPr="00C256EF">
        <w:rPr>
          <w:sz w:val="22"/>
          <w:szCs w:val="22"/>
          <w:lang w:val="sr-Latn-RS"/>
        </w:rPr>
        <w:t>Antineoplastici; ostali inhibitori protein kinaze</w:t>
      </w:r>
    </w:p>
    <w:p w14:paraId="774A64A3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5BB87A8" w14:textId="533268B8" w:rsidR="002E37A5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Cs/>
          <w:sz w:val="22"/>
          <w:szCs w:val="22"/>
          <w:lang w:val="sr-Latn-RS"/>
        </w:rPr>
        <w:t>ATC kod:</w:t>
      </w:r>
      <w:r w:rsidR="00DA1672" w:rsidRPr="00C256EF">
        <w:rPr>
          <w:bCs/>
          <w:sz w:val="22"/>
          <w:szCs w:val="22"/>
          <w:lang w:val="sr-Latn-RS"/>
        </w:rPr>
        <w:t xml:space="preserve"> </w:t>
      </w:r>
      <w:r w:rsidR="00DA1672" w:rsidRPr="00C256EF">
        <w:rPr>
          <w:sz w:val="22"/>
          <w:szCs w:val="22"/>
          <w:lang w:val="sr-Latn-RS"/>
        </w:rPr>
        <w:t>L01EX02</w:t>
      </w:r>
    </w:p>
    <w:p w14:paraId="392F32A3" w14:textId="1286696A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lastRenderedPageBreak/>
        <w:t xml:space="preserve">Sorafenib je multikinazni inhibitor, koji je pokazao </w:t>
      </w:r>
      <w:r w:rsidRPr="00C256EF">
        <w:rPr>
          <w:i/>
          <w:lang w:val="sr-Latn-RS"/>
        </w:rPr>
        <w:t xml:space="preserve">in vitro </w:t>
      </w:r>
      <w:r w:rsidRPr="00C256EF">
        <w:rPr>
          <w:lang w:val="sr-Latn-RS"/>
        </w:rPr>
        <w:t xml:space="preserve">i </w:t>
      </w:r>
      <w:r w:rsidRPr="00C256EF">
        <w:rPr>
          <w:i/>
          <w:lang w:val="sr-Latn-RS"/>
        </w:rPr>
        <w:t xml:space="preserve">in vivo </w:t>
      </w:r>
      <w:r w:rsidRPr="00C256EF">
        <w:rPr>
          <w:lang w:val="sr-Latn-RS"/>
        </w:rPr>
        <w:t>antiproliferativno i antiangiogeno d</w:t>
      </w:r>
      <w:r w:rsidR="00A13944" w:rsidRPr="00C256EF">
        <w:rPr>
          <w:lang w:val="sr-Latn-RS"/>
        </w:rPr>
        <w:t>j</w:t>
      </w:r>
      <w:r w:rsidRPr="00C256EF">
        <w:rPr>
          <w:lang w:val="sr-Latn-RS"/>
        </w:rPr>
        <w:t>elovanje.</w:t>
      </w:r>
    </w:p>
    <w:p w14:paraId="62B65C99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090B3B11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Mehanizam dejstva i farmakodinamsko dejstvo</w:t>
      </w:r>
    </w:p>
    <w:p w14:paraId="0EE5BAB8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1E38D985" w14:textId="3E11632D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Sorafenib je multikinazni inhibitor koji smanjuje proliferaciju tumorskih ćelija </w:t>
      </w:r>
      <w:r w:rsidRPr="00C256EF">
        <w:rPr>
          <w:i/>
          <w:lang w:val="sr-Latn-RS"/>
        </w:rPr>
        <w:t>in vitro</w:t>
      </w:r>
      <w:r w:rsidRPr="00C256EF">
        <w:rPr>
          <w:lang w:val="sr-Latn-RS"/>
        </w:rPr>
        <w:t>. Sorafenib inhibira tumorski rast u širokom spektru ksenografta humanih tumora kod miševa kojima je odstranjen timus, udruženo sa smanjenjem tumorske angiogeneze. Sorafenib inhibira aktivnost ciljnih m</w:t>
      </w:r>
      <w:r w:rsidR="00B874F5" w:rsidRPr="00C256EF">
        <w:rPr>
          <w:lang w:val="sr-Latn-RS"/>
        </w:rPr>
        <w:t>j</w:t>
      </w:r>
      <w:r w:rsidRPr="00C256EF">
        <w:rPr>
          <w:lang w:val="sr-Latn-RS"/>
        </w:rPr>
        <w:t>esta u tumorskim ćelijama (CRAF, BRAF, V600E BRAF, c-KIT i FLT-3) i u krvnim sudovima tumora (CRAF, VEGFR-2, VEGFR-3 i PDGFR-β). RAF kinaze su serin/treonin kinaze, dok su c-KIT, FLT-3, VEGFR-2, VEGFR-3 i PDGFR-β receptori tirozin kinaze.</w:t>
      </w:r>
    </w:p>
    <w:p w14:paraId="05FD9165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6BBF8D81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Klinička efikasnost</w:t>
      </w:r>
    </w:p>
    <w:p w14:paraId="2EA48873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79135D8B" w14:textId="4FE82A7E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Klinička bezb</w:t>
      </w:r>
      <w:r w:rsidR="00A13944" w:rsidRPr="00C256EF">
        <w:rPr>
          <w:lang w:val="sr-Latn-RS"/>
        </w:rPr>
        <w:t>j</w:t>
      </w:r>
      <w:r w:rsidRPr="00C256EF">
        <w:rPr>
          <w:lang w:val="sr-Latn-RS"/>
        </w:rPr>
        <w:t>ednost i efikasnost sorafeniba ispitani su kod pacijenata sa hepatocelularnim karcinomom (HCC), kod pacijenata sa uznapredovalim karcinomom bubrežnih ćelija (RCC) i pacijenata sa diferentovanim karcinomom tireoidee (DTC).</w:t>
      </w:r>
    </w:p>
    <w:p w14:paraId="76F89F6B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3B08CAE0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Hepatocelularni karcinom</w:t>
      </w:r>
    </w:p>
    <w:p w14:paraId="5B5BC8B8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6B301069" w14:textId="4E6A7468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Studija 3 (studija 100554) bila je studija treće faze – internacionalna, multicentrična, randomizovana, dvostruko sl</w:t>
      </w:r>
      <w:r w:rsidR="00A13944" w:rsidRPr="00C256EF">
        <w:rPr>
          <w:lang w:val="sr-Latn-RS"/>
        </w:rPr>
        <w:t>ij</w:t>
      </w:r>
      <w:r w:rsidRPr="00C256EF">
        <w:rPr>
          <w:lang w:val="sr-Latn-RS"/>
        </w:rPr>
        <w:t>epa, placebom kontrolisana studija, sprovedena kod 602 pacijenta sa hepatocelularnim karcinomom. Demografske i karakteristike osnovne bolesti bile su uporedive između sorafenib i placebo grupe u odnosu na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ECOG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(engl.</w:t>
      </w:r>
      <w:r w:rsidRPr="00C256EF">
        <w:rPr>
          <w:spacing w:val="17"/>
          <w:lang w:val="sr-Latn-RS"/>
        </w:rPr>
        <w:t xml:space="preserve"> </w:t>
      </w:r>
      <w:r w:rsidRPr="00C256EF">
        <w:rPr>
          <w:i/>
          <w:lang w:val="sr-Latn-RS"/>
        </w:rPr>
        <w:t>Eastern</w:t>
      </w:r>
      <w:r w:rsidRPr="00C256EF">
        <w:rPr>
          <w:i/>
          <w:spacing w:val="16"/>
          <w:lang w:val="sr-Latn-RS"/>
        </w:rPr>
        <w:t xml:space="preserve"> </w:t>
      </w:r>
      <w:r w:rsidRPr="00C256EF">
        <w:rPr>
          <w:i/>
          <w:lang w:val="sr-Latn-RS"/>
        </w:rPr>
        <w:t>Cooperative</w:t>
      </w:r>
      <w:r w:rsidRPr="00C256EF">
        <w:rPr>
          <w:i/>
          <w:spacing w:val="17"/>
          <w:lang w:val="sr-Latn-RS"/>
        </w:rPr>
        <w:t xml:space="preserve"> </w:t>
      </w:r>
      <w:r w:rsidRPr="00C256EF">
        <w:rPr>
          <w:i/>
          <w:lang w:val="sr-Latn-RS"/>
        </w:rPr>
        <w:t>Oncology</w:t>
      </w:r>
      <w:r w:rsidRPr="00C256EF">
        <w:rPr>
          <w:i/>
          <w:spacing w:val="17"/>
          <w:lang w:val="sr-Latn-RS"/>
        </w:rPr>
        <w:t xml:space="preserve"> </w:t>
      </w:r>
      <w:r w:rsidRPr="00C256EF">
        <w:rPr>
          <w:i/>
          <w:lang w:val="sr-Latn-RS"/>
        </w:rPr>
        <w:t>Group</w:t>
      </w:r>
      <w:r w:rsidRPr="00C256EF">
        <w:rPr>
          <w:lang w:val="sr-Latn-RS"/>
        </w:rPr>
        <w:t>)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status</w:t>
      </w:r>
      <w:r w:rsidRPr="00C256EF">
        <w:rPr>
          <w:spacing w:val="18"/>
          <w:lang w:val="sr-Latn-RS"/>
        </w:rPr>
        <w:t xml:space="preserve"> </w:t>
      </w:r>
      <w:r w:rsidRPr="00C256EF">
        <w:rPr>
          <w:lang w:val="sr-Latn-RS"/>
        </w:rPr>
        <w:t>(status</w:t>
      </w:r>
      <w:r w:rsidRPr="00C256EF">
        <w:rPr>
          <w:spacing w:val="17"/>
          <w:lang w:val="sr-Latn-RS"/>
        </w:rPr>
        <w:t xml:space="preserve"> </w:t>
      </w:r>
      <w:r w:rsidRPr="00C256EF">
        <w:rPr>
          <w:lang w:val="sr-Latn-RS"/>
        </w:rPr>
        <w:t>0: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54%</w:t>
      </w:r>
      <w:r w:rsidRPr="00C256EF">
        <w:rPr>
          <w:spacing w:val="22"/>
          <w:lang w:val="sr-Latn-RS"/>
        </w:rPr>
        <w:t xml:space="preserve"> </w:t>
      </w:r>
      <w:r w:rsidRPr="00C256EF">
        <w:rPr>
          <w:lang w:val="sr-Latn-RS"/>
        </w:rPr>
        <w:t>naspram</w:t>
      </w:r>
      <w:r w:rsidRPr="00C256EF">
        <w:rPr>
          <w:spacing w:val="8"/>
          <w:lang w:val="sr-Latn-RS"/>
        </w:rPr>
        <w:t xml:space="preserve"> </w:t>
      </w:r>
      <w:r w:rsidRPr="00C256EF">
        <w:rPr>
          <w:lang w:val="sr-Latn-RS"/>
        </w:rPr>
        <w:t>54%;</w:t>
      </w:r>
      <w:r w:rsidRPr="00C256EF">
        <w:rPr>
          <w:spacing w:val="17"/>
          <w:lang w:val="sr-Latn-RS"/>
        </w:rPr>
        <w:t xml:space="preserve"> </w:t>
      </w:r>
      <w:r w:rsidRPr="00C256EF">
        <w:rPr>
          <w:lang w:val="sr-Latn-RS"/>
        </w:rPr>
        <w:t>status</w:t>
      </w:r>
      <w:r w:rsidRPr="00C256EF">
        <w:rPr>
          <w:spacing w:val="19"/>
          <w:lang w:val="sr-Latn-RS"/>
        </w:rPr>
        <w:t xml:space="preserve"> </w:t>
      </w:r>
      <w:r w:rsidRPr="00C256EF">
        <w:rPr>
          <w:lang w:val="sr-Latn-RS"/>
        </w:rPr>
        <w:t>1: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38% naspram 39%; status 2: 8% naspram 7%), TNM stadijum (stadijum I: &lt; 1% naspram &lt; 1%; stadijum II:</w:t>
      </w:r>
      <w:r w:rsidRPr="00C256EF">
        <w:rPr>
          <w:spacing w:val="-8"/>
          <w:lang w:val="sr-Latn-RS"/>
        </w:rPr>
        <w:t xml:space="preserve"> </w:t>
      </w:r>
      <w:r w:rsidRPr="00C256EF">
        <w:rPr>
          <w:lang w:val="sr-Latn-RS"/>
        </w:rPr>
        <w:t>10,4% naspram</w:t>
      </w:r>
      <w:r w:rsidRPr="00C256EF">
        <w:rPr>
          <w:spacing w:val="7"/>
          <w:lang w:val="sr-Latn-RS"/>
        </w:rPr>
        <w:t xml:space="preserve"> </w:t>
      </w:r>
      <w:r w:rsidRPr="00C256EF">
        <w:rPr>
          <w:lang w:val="sr-Latn-RS"/>
        </w:rPr>
        <w:t>8,3%;</w:t>
      </w:r>
      <w:r w:rsidRPr="00C256EF">
        <w:rPr>
          <w:spacing w:val="17"/>
          <w:lang w:val="sr-Latn-RS"/>
        </w:rPr>
        <w:t xml:space="preserve"> </w:t>
      </w:r>
      <w:r w:rsidRPr="00C256EF">
        <w:rPr>
          <w:lang w:val="sr-Latn-RS"/>
        </w:rPr>
        <w:t>stadijum</w:t>
      </w:r>
      <w:r w:rsidRPr="00C256EF">
        <w:rPr>
          <w:spacing w:val="12"/>
          <w:lang w:val="sr-Latn-RS"/>
        </w:rPr>
        <w:t xml:space="preserve"> </w:t>
      </w:r>
      <w:r w:rsidRPr="00C256EF">
        <w:rPr>
          <w:lang w:val="sr-Latn-RS"/>
        </w:rPr>
        <w:t>III: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37,8%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naspram</w:t>
      </w:r>
      <w:r w:rsidRPr="00C256EF">
        <w:rPr>
          <w:spacing w:val="8"/>
          <w:lang w:val="sr-Latn-RS"/>
        </w:rPr>
        <w:t xml:space="preserve"> </w:t>
      </w:r>
      <w:r w:rsidRPr="00C256EF">
        <w:rPr>
          <w:lang w:val="sr-Latn-RS"/>
        </w:rPr>
        <w:t>43,6%;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stadijum</w:t>
      </w:r>
      <w:r w:rsidRPr="00C256EF">
        <w:rPr>
          <w:spacing w:val="8"/>
          <w:lang w:val="sr-Latn-RS"/>
        </w:rPr>
        <w:t xml:space="preserve"> </w:t>
      </w:r>
      <w:r w:rsidRPr="00C256EF">
        <w:rPr>
          <w:lang w:val="sr-Latn-RS"/>
        </w:rPr>
        <w:t>IV:</w:t>
      </w:r>
      <w:r w:rsidRPr="00C256EF">
        <w:rPr>
          <w:spacing w:val="12"/>
          <w:lang w:val="sr-Latn-RS"/>
        </w:rPr>
        <w:t xml:space="preserve"> </w:t>
      </w:r>
      <w:r w:rsidRPr="00C256EF">
        <w:rPr>
          <w:lang w:val="sr-Latn-RS"/>
        </w:rPr>
        <w:t>50,8%</w:t>
      </w:r>
      <w:r w:rsidRPr="00C256EF">
        <w:rPr>
          <w:spacing w:val="17"/>
          <w:lang w:val="sr-Latn-RS"/>
        </w:rPr>
        <w:t xml:space="preserve"> </w:t>
      </w:r>
      <w:r w:rsidRPr="00C256EF">
        <w:rPr>
          <w:lang w:val="sr-Latn-RS"/>
        </w:rPr>
        <w:t>naspram</w:t>
      </w:r>
      <w:r w:rsidRPr="00C256EF">
        <w:rPr>
          <w:spacing w:val="7"/>
          <w:lang w:val="sr-Latn-RS"/>
        </w:rPr>
        <w:t xml:space="preserve"> </w:t>
      </w:r>
      <w:r w:rsidRPr="00C256EF">
        <w:rPr>
          <w:lang w:val="sr-Latn-RS"/>
        </w:rPr>
        <w:t>46,9%)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i</w:t>
      </w:r>
      <w:r w:rsidRPr="00C256EF">
        <w:rPr>
          <w:spacing w:val="12"/>
          <w:lang w:val="sr-Latn-RS"/>
        </w:rPr>
        <w:t xml:space="preserve"> </w:t>
      </w:r>
      <w:r w:rsidRPr="00C256EF">
        <w:rPr>
          <w:lang w:val="sr-Latn-RS"/>
        </w:rPr>
        <w:t>BCLC</w:t>
      </w:r>
      <w:r w:rsidRPr="00C256EF">
        <w:rPr>
          <w:spacing w:val="16"/>
          <w:lang w:val="sr-Latn-RS"/>
        </w:rPr>
        <w:t xml:space="preserve"> </w:t>
      </w:r>
      <w:r w:rsidRPr="00C256EF">
        <w:rPr>
          <w:lang w:val="sr-Latn-RS"/>
        </w:rPr>
        <w:t>stadijum (stadijum B: 18,1% naspram 16,8%; stadijum C: 81,6% naspram 83,2%; stadijum D: &lt; 1% naspram 0%).</w:t>
      </w:r>
    </w:p>
    <w:p w14:paraId="2DF2769E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49BD6995" w14:textId="4909A9E1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Studija je prekinuta kada je planirana periodična analiza ukupnog preživljavanja - OS (engl. </w:t>
      </w:r>
      <w:r w:rsidRPr="00C256EF">
        <w:rPr>
          <w:i/>
          <w:lang w:val="sr-Latn-RS"/>
        </w:rPr>
        <w:t>overall survival</w:t>
      </w:r>
      <w:r w:rsidRPr="00C256EF">
        <w:rPr>
          <w:lang w:val="sr-Latn-RS"/>
        </w:rPr>
        <w:t xml:space="preserve">) prešla prethodno određenu granicu efikasnosti. Ova OS analiza je pokazala statistički značajnu prednost sorafeniba u odnosu na placebo za OS (HR: 0,69; p=0,00058, 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Tabelu 3).</w:t>
      </w:r>
    </w:p>
    <w:p w14:paraId="02885F56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44BE106D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Postoje ograničeni podaci iz ove studije za pacijente sa </w:t>
      </w:r>
      <w:r w:rsidRPr="00C256EF">
        <w:rPr>
          <w:i/>
          <w:lang w:val="sr-Latn-RS"/>
        </w:rPr>
        <w:t xml:space="preserve">Child Pugh </w:t>
      </w:r>
      <w:r w:rsidRPr="00C256EF">
        <w:rPr>
          <w:lang w:val="sr-Latn-RS"/>
        </w:rPr>
        <w:t xml:space="preserve">stadijum B oštećenjem funkcije jetre, a samo jedan pacijent sa </w:t>
      </w:r>
      <w:r w:rsidRPr="00C256EF">
        <w:rPr>
          <w:i/>
          <w:lang w:val="sr-Latn-RS"/>
        </w:rPr>
        <w:t xml:space="preserve">Child Pugh </w:t>
      </w:r>
      <w:r w:rsidRPr="00C256EF">
        <w:rPr>
          <w:lang w:val="sr-Latn-RS"/>
        </w:rPr>
        <w:t>stadijum C oštećenjem funkcije jetre je bio uključen u studiju.</w:t>
      </w:r>
    </w:p>
    <w:p w14:paraId="4A89098E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064062E8" w14:textId="77777777" w:rsidR="00DA1672" w:rsidRPr="00C256EF" w:rsidRDefault="00DA1672" w:rsidP="00F95F4D">
      <w:pPr>
        <w:pStyle w:val="Heading1"/>
        <w:ind w:right="30"/>
        <w:jc w:val="both"/>
        <w:rPr>
          <w:rFonts w:ascii="Times New Roman" w:hAnsi="Times New Roman" w:cs="Times New Roman"/>
          <w:color w:val="auto"/>
          <w:sz w:val="22"/>
          <w:szCs w:val="22"/>
          <w:lang w:val="sr-Latn-RS"/>
        </w:rPr>
      </w:pPr>
      <w:r w:rsidRPr="00C256EF">
        <w:rPr>
          <w:rFonts w:ascii="Times New Roman" w:hAnsi="Times New Roman" w:cs="Times New Roman"/>
          <w:color w:val="auto"/>
          <w:sz w:val="22"/>
          <w:szCs w:val="22"/>
          <w:lang w:val="sr-Latn-RS"/>
        </w:rPr>
        <w:t>Tabela 3: Rezultati efikasnosti iz studije 3 (studija 100554) kod hepatocelularnog karcinoma</w:t>
      </w:r>
    </w:p>
    <w:p w14:paraId="6F1F1B58" w14:textId="77777777" w:rsidR="00DA1672" w:rsidRPr="00C256EF" w:rsidRDefault="00DA1672" w:rsidP="007E1ACC">
      <w:pPr>
        <w:pStyle w:val="BodyText"/>
        <w:ind w:left="0" w:right="30"/>
        <w:jc w:val="both"/>
        <w:rPr>
          <w:b/>
          <w:lang w:val="sr-Latn-RS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1581"/>
        <w:gridCol w:w="1417"/>
        <w:gridCol w:w="1701"/>
        <w:gridCol w:w="2268"/>
      </w:tblGrid>
      <w:tr w:rsidR="00DA1672" w:rsidRPr="00C256EF" w14:paraId="2DB0C71A" w14:textId="77777777" w:rsidTr="007E1ACC">
        <w:trPr>
          <w:trHeight w:val="460"/>
        </w:trPr>
        <w:tc>
          <w:tcPr>
            <w:tcW w:w="2105" w:type="dxa"/>
          </w:tcPr>
          <w:p w14:paraId="17690099" w14:textId="77777777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Parametar efikasnosti</w:t>
            </w:r>
          </w:p>
        </w:tc>
        <w:tc>
          <w:tcPr>
            <w:tcW w:w="1581" w:type="dxa"/>
          </w:tcPr>
          <w:p w14:paraId="3248AA5A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Sorafenib</w:t>
            </w:r>
          </w:p>
          <w:p w14:paraId="28BBFE16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(N=299)</w:t>
            </w:r>
          </w:p>
        </w:tc>
        <w:tc>
          <w:tcPr>
            <w:tcW w:w="1417" w:type="dxa"/>
          </w:tcPr>
          <w:p w14:paraId="4F0F5F18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Placebo</w:t>
            </w:r>
          </w:p>
          <w:p w14:paraId="1BBFF20A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(N=303)</w:t>
            </w:r>
          </w:p>
        </w:tc>
        <w:tc>
          <w:tcPr>
            <w:tcW w:w="1701" w:type="dxa"/>
          </w:tcPr>
          <w:p w14:paraId="2DB526B3" w14:textId="5CEC6C14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p-</w:t>
            </w:r>
            <w:r w:rsidR="001659AE" w:rsidRPr="00C256EF">
              <w:rPr>
                <w:lang w:val="sr-Latn-RS"/>
              </w:rPr>
              <w:t>vrijedno</w:t>
            </w:r>
            <w:r w:rsidRPr="00C256EF">
              <w:rPr>
                <w:lang w:val="sr-Latn-RS"/>
              </w:rPr>
              <w:t>st</w:t>
            </w:r>
          </w:p>
        </w:tc>
        <w:tc>
          <w:tcPr>
            <w:tcW w:w="2268" w:type="dxa"/>
          </w:tcPr>
          <w:p w14:paraId="199A7C4B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HR</w:t>
            </w:r>
          </w:p>
          <w:p w14:paraId="569F05DD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(95% CI)</w:t>
            </w:r>
          </w:p>
        </w:tc>
      </w:tr>
      <w:tr w:rsidR="00DA1672" w:rsidRPr="00C256EF" w14:paraId="4E89089B" w14:textId="77777777" w:rsidTr="007E1ACC">
        <w:trPr>
          <w:trHeight w:val="224"/>
        </w:trPr>
        <w:tc>
          <w:tcPr>
            <w:tcW w:w="2105" w:type="dxa"/>
            <w:tcBorders>
              <w:bottom w:val="nil"/>
            </w:tcBorders>
          </w:tcPr>
          <w:p w14:paraId="71D305C9" w14:textId="77777777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Ukupno</w:t>
            </w:r>
          </w:p>
        </w:tc>
        <w:tc>
          <w:tcPr>
            <w:tcW w:w="1581" w:type="dxa"/>
            <w:tcBorders>
              <w:bottom w:val="nil"/>
            </w:tcBorders>
          </w:tcPr>
          <w:p w14:paraId="4791EBF3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46,3</w:t>
            </w:r>
          </w:p>
        </w:tc>
        <w:tc>
          <w:tcPr>
            <w:tcW w:w="1417" w:type="dxa"/>
            <w:tcBorders>
              <w:bottom w:val="nil"/>
            </w:tcBorders>
          </w:tcPr>
          <w:p w14:paraId="4415B3E6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34,4</w:t>
            </w:r>
          </w:p>
        </w:tc>
        <w:tc>
          <w:tcPr>
            <w:tcW w:w="1701" w:type="dxa"/>
            <w:tcBorders>
              <w:bottom w:val="nil"/>
            </w:tcBorders>
          </w:tcPr>
          <w:p w14:paraId="0FA36A9B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0,00058*</w:t>
            </w:r>
          </w:p>
        </w:tc>
        <w:tc>
          <w:tcPr>
            <w:tcW w:w="2268" w:type="dxa"/>
            <w:tcBorders>
              <w:bottom w:val="nil"/>
            </w:tcBorders>
          </w:tcPr>
          <w:p w14:paraId="0B3D6CF1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0,69</w:t>
            </w:r>
          </w:p>
        </w:tc>
      </w:tr>
      <w:tr w:rsidR="00DA1672" w:rsidRPr="00C256EF" w14:paraId="333E5539" w14:textId="77777777" w:rsidTr="007E1ACC">
        <w:trPr>
          <w:trHeight w:val="230"/>
        </w:trPr>
        <w:tc>
          <w:tcPr>
            <w:tcW w:w="2105" w:type="dxa"/>
            <w:tcBorders>
              <w:top w:val="nil"/>
              <w:bottom w:val="nil"/>
            </w:tcBorders>
          </w:tcPr>
          <w:p w14:paraId="7A1BFED8" w14:textId="77777777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Preživljavanje (OS)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1F0C8AD3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(40,9; 57,9)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3678ED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(29,4; 39,4)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C9DF63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8B90CA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(0,55; 0,87)</w:t>
            </w:r>
          </w:p>
        </w:tc>
      </w:tr>
      <w:tr w:rsidR="00DA1672" w:rsidRPr="00C256EF" w14:paraId="4D651F70" w14:textId="77777777" w:rsidTr="007E1ACC">
        <w:trPr>
          <w:trHeight w:val="228"/>
        </w:trPr>
        <w:tc>
          <w:tcPr>
            <w:tcW w:w="2105" w:type="dxa"/>
            <w:tcBorders>
              <w:top w:val="nil"/>
              <w:bottom w:val="nil"/>
            </w:tcBorders>
          </w:tcPr>
          <w:p w14:paraId="79583C40" w14:textId="5239178F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[medijana, ned</w:t>
            </w:r>
            <w:r w:rsidR="00A13944" w:rsidRPr="00C256EF">
              <w:rPr>
                <w:lang w:val="sr-Latn-RS"/>
              </w:rPr>
              <w:t>j</w:t>
            </w:r>
            <w:r w:rsidRPr="00C256EF">
              <w:rPr>
                <w:lang w:val="sr-Latn-RS"/>
              </w:rPr>
              <w:t>elje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490C6D91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D43980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AEDDEE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84EC2B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</w:tr>
      <w:tr w:rsidR="00DA1672" w:rsidRPr="00C256EF" w14:paraId="5B652E1A" w14:textId="77777777" w:rsidTr="007E1ACC">
        <w:trPr>
          <w:trHeight w:val="233"/>
        </w:trPr>
        <w:tc>
          <w:tcPr>
            <w:tcW w:w="2105" w:type="dxa"/>
            <w:tcBorders>
              <w:top w:val="nil"/>
            </w:tcBorders>
          </w:tcPr>
          <w:p w14:paraId="3B73E23B" w14:textId="77777777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(95% CI)]</w:t>
            </w:r>
          </w:p>
        </w:tc>
        <w:tc>
          <w:tcPr>
            <w:tcW w:w="1581" w:type="dxa"/>
            <w:tcBorders>
              <w:top w:val="nil"/>
            </w:tcBorders>
          </w:tcPr>
          <w:p w14:paraId="67BAC367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2E73BAF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BE96650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406FEAE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</w:tr>
      <w:tr w:rsidR="00DA1672" w:rsidRPr="00C256EF" w14:paraId="78970A51" w14:textId="77777777" w:rsidTr="007E1ACC">
        <w:trPr>
          <w:trHeight w:val="224"/>
        </w:trPr>
        <w:tc>
          <w:tcPr>
            <w:tcW w:w="2105" w:type="dxa"/>
            <w:tcBorders>
              <w:bottom w:val="nil"/>
            </w:tcBorders>
          </w:tcPr>
          <w:p w14:paraId="53A693EE" w14:textId="3723D7C6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Vr</w:t>
            </w:r>
            <w:r w:rsidR="00A13944" w:rsidRPr="00C256EF">
              <w:rPr>
                <w:lang w:val="sr-Latn-RS"/>
              </w:rPr>
              <w:t>ij</w:t>
            </w:r>
            <w:r w:rsidRPr="00C256EF">
              <w:rPr>
                <w:lang w:val="sr-Latn-RS"/>
              </w:rPr>
              <w:t>eme do progresije</w:t>
            </w:r>
          </w:p>
        </w:tc>
        <w:tc>
          <w:tcPr>
            <w:tcW w:w="1581" w:type="dxa"/>
            <w:tcBorders>
              <w:bottom w:val="nil"/>
            </w:tcBorders>
          </w:tcPr>
          <w:p w14:paraId="3885EE4C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24,0</w:t>
            </w:r>
          </w:p>
        </w:tc>
        <w:tc>
          <w:tcPr>
            <w:tcW w:w="1417" w:type="dxa"/>
            <w:tcBorders>
              <w:bottom w:val="nil"/>
            </w:tcBorders>
          </w:tcPr>
          <w:p w14:paraId="0513B57A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12,3</w:t>
            </w:r>
          </w:p>
        </w:tc>
        <w:tc>
          <w:tcPr>
            <w:tcW w:w="1701" w:type="dxa"/>
            <w:tcBorders>
              <w:bottom w:val="nil"/>
            </w:tcBorders>
          </w:tcPr>
          <w:p w14:paraId="6025B0F5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0,000007</w:t>
            </w:r>
          </w:p>
        </w:tc>
        <w:tc>
          <w:tcPr>
            <w:tcW w:w="2268" w:type="dxa"/>
            <w:tcBorders>
              <w:bottom w:val="nil"/>
            </w:tcBorders>
          </w:tcPr>
          <w:p w14:paraId="21028438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0,58</w:t>
            </w:r>
          </w:p>
        </w:tc>
      </w:tr>
      <w:tr w:rsidR="00DA1672" w:rsidRPr="00C256EF" w14:paraId="17EA7B68" w14:textId="77777777" w:rsidTr="007E1ACC">
        <w:trPr>
          <w:trHeight w:val="230"/>
        </w:trPr>
        <w:tc>
          <w:tcPr>
            <w:tcW w:w="2105" w:type="dxa"/>
            <w:tcBorders>
              <w:top w:val="nil"/>
              <w:bottom w:val="nil"/>
            </w:tcBorders>
          </w:tcPr>
          <w:p w14:paraId="5573CB8C" w14:textId="77777777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(TTP) [medijana,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56549918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(18,0; 30,0)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820264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(11,7; 17,1)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A2738B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3784B2" w14:textId="77777777" w:rsidR="00DA1672" w:rsidRPr="00C256EF" w:rsidRDefault="00DA1672" w:rsidP="007E1ACC">
            <w:pPr>
              <w:pStyle w:val="TableParagraph"/>
              <w:ind w:left="0" w:right="30"/>
              <w:jc w:val="center"/>
              <w:rPr>
                <w:lang w:val="sr-Latn-RS"/>
              </w:rPr>
            </w:pPr>
            <w:r w:rsidRPr="00C256EF">
              <w:rPr>
                <w:lang w:val="sr-Latn-RS"/>
              </w:rPr>
              <w:t>(0,45; 0,74)</w:t>
            </w:r>
          </w:p>
        </w:tc>
      </w:tr>
      <w:tr w:rsidR="00DA1672" w:rsidRPr="00C256EF" w14:paraId="3B3FD0D9" w14:textId="77777777" w:rsidTr="007E1ACC">
        <w:trPr>
          <w:trHeight w:val="235"/>
        </w:trPr>
        <w:tc>
          <w:tcPr>
            <w:tcW w:w="2105" w:type="dxa"/>
            <w:tcBorders>
              <w:top w:val="nil"/>
            </w:tcBorders>
          </w:tcPr>
          <w:p w14:paraId="198CF6FC" w14:textId="0F6A69CD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  <w:r w:rsidRPr="00C256EF">
              <w:rPr>
                <w:lang w:val="sr-Latn-RS"/>
              </w:rPr>
              <w:t>ned</w:t>
            </w:r>
            <w:r w:rsidR="00A13944" w:rsidRPr="00C256EF">
              <w:rPr>
                <w:lang w:val="sr-Latn-RS"/>
              </w:rPr>
              <w:t>j</w:t>
            </w:r>
            <w:r w:rsidRPr="00C256EF">
              <w:rPr>
                <w:lang w:val="sr-Latn-RS"/>
              </w:rPr>
              <w:t>elje (95% CI)]**</w:t>
            </w:r>
          </w:p>
        </w:tc>
        <w:tc>
          <w:tcPr>
            <w:tcW w:w="1581" w:type="dxa"/>
            <w:tcBorders>
              <w:top w:val="nil"/>
            </w:tcBorders>
          </w:tcPr>
          <w:p w14:paraId="4FEBEFD9" w14:textId="77777777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95D2A8E" w14:textId="77777777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6365170" w14:textId="77777777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CDF3D4F" w14:textId="77777777" w:rsidR="00DA1672" w:rsidRPr="00C256EF" w:rsidRDefault="00DA1672" w:rsidP="007E1ACC">
            <w:pPr>
              <w:pStyle w:val="TableParagraph"/>
              <w:ind w:left="0" w:right="30"/>
              <w:jc w:val="both"/>
              <w:rPr>
                <w:lang w:val="sr-Latn-RS"/>
              </w:rPr>
            </w:pPr>
          </w:p>
        </w:tc>
      </w:tr>
    </w:tbl>
    <w:p w14:paraId="1A3BE3CF" w14:textId="77777777" w:rsidR="00DA1672" w:rsidRPr="00C256EF" w:rsidRDefault="00DA1672" w:rsidP="007E1ACC">
      <w:pPr>
        <w:ind w:right="30"/>
        <w:jc w:val="both"/>
        <w:rPr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t xml:space="preserve">CI=Interval pouzdanosti (engl. </w:t>
      </w:r>
      <w:r w:rsidRPr="00C256EF">
        <w:rPr>
          <w:i/>
          <w:sz w:val="22"/>
          <w:szCs w:val="22"/>
          <w:lang w:val="sr-Latn-RS"/>
        </w:rPr>
        <w:t>Confidence Interval</w:t>
      </w:r>
      <w:r w:rsidRPr="00C256EF">
        <w:rPr>
          <w:sz w:val="22"/>
          <w:szCs w:val="22"/>
          <w:lang w:val="sr-Latn-RS"/>
        </w:rPr>
        <w:t xml:space="preserve">), HR= (engl. </w:t>
      </w:r>
      <w:r w:rsidRPr="00C256EF">
        <w:rPr>
          <w:i/>
          <w:sz w:val="22"/>
          <w:szCs w:val="22"/>
          <w:lang w:val="sr-Latn-RS"/>
        </w:rPr>
        <w:t>Hazard Ratio</w:t>
      </w:r>
      <w:r w:rsidRPr="00C256EF">
        <w:rPr>
          <w:sz w:val="22"/>
          <w:szCs w:val="22"/>
          <w:lang w:val="sr-Latn-RS"/>
        </w:rPr>
        <w:t>) (sorafenib u odnosu na placebo)</w:t>
      </w:r>
    </w:p>
    <w:p w14:paraId="069F40EA" w14:textId="20B66035" w:rsidR="00DA1672" w:rsidRPr="00C256EF" w:rsidRDefault="00DA1672" w:rsidP="007E1ACC">
      <w:pPr>
        <w:ind w:right="30"/>
        <w:jc w:val="both"/>
        <w:rPr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t>* statistički značajno</w:t>
      </w:r>
      <w:r w:rsidR="000630FA" w:rsidRPr="00C256EF">
        <w:rPr>
          <w:sz w:val="22"/>
          <w:szCs w:val="22"/>
          <w:lang w:val="sr-Latn-RS"/>
        </w:rPr>
        <w:t>,</w:t>
      </w:r>
      <w:r w:rsidRPr="00C256EF">
        <w:rPr>
          <w:sz w:val="22"/>
          <w:szCs w:val="22"/>
          <w:lang w:val="sr-Latn-RS"/>
        </w:rPr>
        <w:t xml:space="preserve"> jer je p-</w:t>
      </w:r>
      <w:r w:rsidR="001659AE" w:rsidRPr="00C256EF">
        <w:rPr>
          <w:sz w:val="22"/>
          <w:szCs w:val="22"/>
          <w:lang w:val="sr-Latn-RS"/>
        </w:rPr>
        <w:t>vrijedno</w:t>
      </w:r>
      <w:r w:rsidRPr="00C256EF">
        <w:rPr>
          <w:sz w:val="22"/>
          <w:szCs w:val="22"/>
          <w:lang w:val="sr-Latn-RS"/>
        </w:rPr>
        <w:t xml:space="preserve">st bila ispod određene </w:t>
      </w:r>
      <w:r w:rsidR="001659AE" w:rsidRPr="00C256EF">
        <w:rPr>
          <w:sz w:val="22"/>
          <w:szCs w:val="22"/>
          <w:lang w:val="sr-Latn-RS"/>
        </w:rPr>
        <w:t>vrijedno</w:t>
      </w:r>
      <w:r w:rsidRPr="00C256EF">
        <w:rPr>
          <w:sz w:val="22"/>
          <w:szCs w:val="22"/>
          <w:lang w:val="sr-Latn-RS"/>
        </w:rPr>
        <w:t xml:space="preserve">sti za </w:t>
      </w:r>
      <w:r w:rsidRPr="00C256EF">
        <w:rPr>
          <w:i/>
          <w:sz w:val="22"/>
          <w:szCs w:val="22"/>
          <w:lang w:val="sr-Latn-RS"/>
        </w:rPr>
        <w:t xml:space="preserve">O’Brien Fleming </w:t>
      </w:r>
      <w:r w:rsidRPr="00C256EF">
        <w:rPr>
          <w:sz w:val="22"/>
          <w:szCs w:val="22"/>
          <w:lang w:val="sr-Latn-RS"/>
        </w:rPr>
        <w:t xml:space="preserve">granicu zaustavljanja </w:t>
      </w:r>
      <w:r w:rsidRPr="00C256EF">
        <w:rPr>
          <w:spacing w:val="-3"/>
          <w:sz w:val="22"/>
          <w:szCs w:val="22"/>
          <w:lang w:val="sr-Latn-RS"/>
        </w:rPr>
        <w:t xml:space="preserve">od </w:t>
      </w:r>
      <w:r w:rsidRPr="00C256EF">
        <w:rPr>
          <w:sz w:val="22"/>
          <w:szCs w:val="22"/>
          <w:lang w:val="sr-Latn-RS"/>
        </w:rPr>
        <w:t>0,0077</w:t>
      </w:r>
    </w:p>
    <w:p w14:paraId="2689F3C7" w14:textId="65D975D1" w:rsidR="00DA1672" w:rsidRPr="00C256EF" w:rsidRDefault="00DA1672" w:rsidP="00F95F4D">
      <w:pPr>
        <w:ind w:right="30"/>
        <w:jc w:val="both"/>
        <w:rPr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t>** nezavisni radiološki izv</w:t>
      </w:r>
      <w:r w:rsidR="000630FA" w:rsidRPr="00C256EF">
        <w:rPr>
          <w:sz w:val="22"/>
          <w:szCs w:val="22"/>
          <w:lang w:val="sr-Latn-RS"/>
        </w:rPr>
        <w:t>j</w:t>
      </w:r>
      <w:r w:rsidRPr="00C256EF">
        <w:rPr>
          <w:sz w:val="22"/>
          <w:szCs w:val="22"/>
          <w:lang w:val="sr-Latn-RS"/>
        </w:rPr>
        <w:t>eštaj</w:t>
      </w:r>
    </w:p>
    <w:p w14:paraId="1559D790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32AF609E" w14:textId="087AB242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U drugoj internacionalnoj, multicentričnoj, randomizovanoj, dvostruko sl</w:t>
      </w:r>
      <w:r w:rsidR="000630FA" w:rsidRPr="00C256EF">
        <w:rPr>
          <w:lang w:val="sr-Latn-RS"/>
        </w:rPr>
        <w:t>ij</w:t>
      </w:r>
      <w:r w:rsidRPr="00C256EF">
        <w:rPr>
          <w:lang w:val="sr-Latn-RS"/>
        </w:rPr>
        <w:t>epoj, placebom kontrolisanoj studiji faze III (Studija 4, 11849) proc</w:t>
      </w:r>
      <w:r w:rsidR="000630FA" w:rsidRPr="00C256EF">
        <w:rPr>
          <w:lang w:val="sr-Latn-RS"/>
        </w:rPr>
        <w:t>ij</w:t>
      </w:r>
      <w:r w:rsidRPr="00C256EF">
        <w:rPr>
          <w:lang w:val="sr-Latn-RS"/>
        </w:rPr>
        <w:t xml:space="preserve">enjena je klinička korist sorafeniba kod 226 pacijenata sa uznapredovalim hepatocelularnim karcinomom. Ova studija, koja je sprovedena u Kini, Koreji i </w:t>
      </w:r>
      <w:r w:rsidRPr="00C256EF">
        <w:rPr>
          <w:lang w:val="sr-Latn-RS"/>
        </w:rPr>
        <w:lastRenderedPageBreak/>
        <w:t>Tajvanu, potvrdila je rezultate Studije 3 po pitanju pozitivnog odnosa koristi-rizika sorafeniba (HR (OS): 0,68; p =</w:t>
      </w:r>
      <w:r w:rsidRPr="00C256EF">
        <w:rPr>
          <w:spacing w:val="-31"/>
          <w:lang w:val="sr-Latn-RS"/>
        </w:rPr>
        <w:t xml:space="preserve"> </w:t>
      </w:r>
      <w:r w:rsidRPr="00C256EF">
        <w:rPr>
          <w:lang w:val="sr-Latn-RS"/>
        </w:rPr>
        <w:t>0,01414).</w:t>
      </w:r>
    </w:p>
    <w:p w14:paraId="0D1A54CF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463440A5" w14:textId="20A88F13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Kod unapr</w:t>
      </w:r>
      <w:r w:rsidR="000630FA" w:rsidRPr="00C256EF">
        <w:rPr>
          <w:lang w:val="sr-Latn-RS"/>
        </w:rPr>
        <w:t>ij</w:t>
      </w:r>
      <w:r w:rsidRPr="00C256EF">
        <w:rPr>
          <w:lang w:val="sr-Latn-RS"/>
        </w:rPr>
        <w:t>ed određenih stratifikacionih faktora (ECOG status, prisustvo i odsustvo makroskopskih vaskularnih invazija i/ili ekstrahepatičnog širenja tumora) i u Studiji 3 i Studiji 4, HR je dosl</w:t>
      </w:r>
      <w:r w:rsidR="000630FA" w:rsidRPr="00C256EF">
        <w:rPr>
          <w:lang w:val="sr-Latn-RS"/>
        </w:rPr>
        <w:t>j</w:t>
      </w:r>
      <w:r w:rsidRPr="00C256EF">
        <w:rPr>
          <w:lang w:val="sr-Latn-RS"/>
        </w:rPr>
        <w:t xml:space="preserve">edno bio u prilog sorafenibu u odnosu na placebo. Analiza ispitivane podgrupe ukazuje </w:t>
      </w:r>
      <w:r w:rsidRPr="00C256EF">
        <w:rPr>
          <w:spacing w:val="-3"/>
          <w:lang w:val="sr-Latn-RS"/>
        </w:rPr>
        <w:t xml:space="preserve">na </w:t>
      </w:r>
      <w:r w:rsidRPr="00C256EF">
        <w:rPr>
          <w:lang w:val="sr-Latn-RS"/>
        </w:rPr>
        <w:t>to da su pacijenti sa udaljenim metastazama na početku terapije imali manje izražen odgovor na</w:t>
      </w:r>
      <w:r w:rsidRPr="00C256EF">
        <w:rPr>
          <w:spacing w:val="-14"/>
          <w:lang w:val="sr-Latn-RS"/>
        </w:rPr>
        <w:t xml:space="preserve"> </w:t>
      </w:r>
      <w:r w:rsidRPr="00C256EF">
        <w:rPr>
          <w:lang w:val="sr-Latn-RS"/>
        </w:rPr>
        <w:t xml:space="preserve">terapiju. </w:t>
      </w:r>
    </w:p>
    <w:p w14:paraId="5DA0E3AA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004AD5EA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Karcinom bubrežnih ćelija</w:t>
      </w:r>
    </w:p>
    <w:p w14:paraId="51FD2DBA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78D0097E" w14:textId="1E9671A1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Bezb</w:t>
      </w:r>
      <w:r w:rsidR="000630FA" w:rsidRPr="00C256EF">
        <w:rPr>
          <w:lang w:val="sr-Latn-RS"/>
        </w:rPr>
        <w:t>j</w:t>
      </w:r>
      <w:r w:rsidRPr="00C256EF">
        <w:rPr>
          <w:lang w:val="sr-Latn-RS"/>
        </w:rPr>
        <w:t xml:space="preserve">ednost i efikasnost sorafeniba u terapiji uznapredovalog karcinoma bubrežnih ćelija (RCC) ispitane su u </w:t>
      </w:r>
      <w:r w:rsidR="00DA6303" w:rsidRPr="00C256EF">
        <w:rPr>
          <w:lang w:val="sr-Latn-RS"/>
        </w:rPr>
        <w:t>dvije</w:t>
      </w:r>
      <w:r w:rsidRPr="00C256EF">
        <w:rPr>
          <w:lang w:val="sr-Latn-RS"/>
        </w:rPr>
        <w:t xml:space="preserve"> kliničke studije:</w:t>
      </w:r>
    </w:p>
    <w:p w14:paraId="60091597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578E3492" w14:textId="5CD1839A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Studija 1 (studija 11213) bila je studija faze III – multicentrična, randomizovana, dvostruko sl</w:t>
      </w:r>
      <w:r w:rsidR="000630FA" w:rsidRPr="00C256EF">
        <w:rPr>
          <w:lang w:val="sr-Latn-RS"/>
        </w:rPr>
        <w:t>ij</w:t>
      </w:r>
      <w:r w:rsidRPr="00C256EF">
        <w:rPr>
          <w:lang w:val="sr-Latn-RS"/>
        </w:rPr>
        <w:t>epa, placebom kontrolisana studija, sprovedena na 903 pacijenta. Uključeni su samo pacijenti sa karcinomom bubrežnih ćelija – i to podtip sv</w:t>
      </w:r>
      <w:r w:rsidR="000630FA" w:rsidRPr="00C256EF">
        <w:rPr>
          <w:lang w:val="sr-Latn-RS"/>
        </w:rPr>
        <w:t>ij</w:t>
      </w:r>
      <w:r w:rsidRPr="00C256EF">
        <w:rPr>
          <w:lang w:val="sr-Latn-RS"/>
        </w:rPr>
        <w:t>etloćelijski karcinom, sa malim do um</w:t>
      </w:r>
      <w:r w:rsidR="000630FA" w:rsidRPr="00C256EF">
        <w:rPr>
          <w:lang w:val="sr-Latn-RS"/>
        </w:rPr>
        <w:t>j</w:t>
      </w:r>
      <w:r w:rsidRPr="00C256EF">
        <w:rPr>
          <w:lang w:val="sr-Latn-RS"/>
        </w:rPr>
        <w:t xml:space="preserve">erenim rizikom po MSKCC klasifikaciji (engl. </w:t>
      </w:r>
      <w:r w:rsidRPr="00C256EF">
        <w:rPr>
          <w:i/>
          <w:lang w:val="sr-Latn-RS"/>
        </w:rPr>
        <w:t>Memorial Sloan Kettering Cancer Center</w:t>
      </w:r>
      <w:r w:rsidRPr="00C256EF">
        <w:rPr>
          <w:lang w:val="sr-Latn-RS"/>
        </w:rPr>
        <w:t xml:space="preserve">). Primarni ishodi studije bili su ukupno preživljavanje (OS) i preživljavanje bez napredovanja bolesti (engl. </w:t>
      </w:r>
      <w:r w:rsidRPr="00C256EF">
        <w:rPr>
          <w:i/>
          <w:lang w:val="sr-Latn-RS"/>
        </w:rPr>
        <w:t>Progression-Free Survival</w:t>
      </w:r>
      <w:r w:rsidRPr="00C256EF">
        <w:rPr>
          <w:lang w:val="sr-Latn-RS"/>
        </w:rPr>
        <w:t>, PFS).</w:t>
      </w:r>
    </w:p>
    <w:p w14:paraId="0583A267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Približno polovina pacijenata je imala status performanse prema ECOG 0, a polovina pacijenata bila je u prema kriterijumima MSKCC u prognostičkoj grupi sa niskim rizikom.</w:t>
      </w:r>
    </w:p>
    <w:p w14:paraId="25FA0955" w14:textId="2633DC26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PFS je proc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>enjivan pomoću „sl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 xml:space="preserve">epog” (nezavisnog) radiološkog pregleda i </w:t>
      </w:r>
      <w:r w:rsidR="001659AE" w:rsidRPr="00C256EF">
        <w:rPr>
          <w:lang w:val="sr-Latn-RS"/>
        </w:rPr>
        <w:t>vredno</w:t>
      </w:r>
      <w:r w:rsidRPr="00C256EF">
        <w:rPr>
          <w:lang w:val="sr-Latn-RS"/>
        </w:rPr>
        <w:t xml:space="preserve">van uz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u RECIST (engl. </w:t>
      </w:r>
      <w:r w:rsidRPr="00C256EF">
        <w:rPr>
          <w:i/>
          <w:lang w:val="sr-Latn-RS"/>
        </w:rPr>
        <w:t>Response Evaluation Criteria in Solid Tumors</w:t>
      </w:r>
      <w:r w:rsidRPr="00C256EF">
        <w:rPr>
          <w:lang w:val="sr-Latn-RS"/>
        </w:rPr>
        <w:t xml:space="preserve">) kriterijuma. Analiza PFS obuhvatila je 342 događaja kod 769 pacijenata. Medijana PFS iznosila je 167 dana kod pacijenata randomizovanih u sorafenib grupu, u poređenju sa 84 dana kod grupe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 xml:space="preserve">ne placebom (HR=0,44; 95% CI: 0,35-0,55; p &lt; 0,000001). Uzrast, prognostička grupa prema MSKCC, ECOG PS i prethodna terapija </w:t>
      </w:r>
      <w:r w:rsidR="00DA6303" w:rsidRPr="00C256EF">
        <w:rPr>
          <w:lang w:val="sr-Latn-RS"/>
        </w:rPr>
        <w:t>nijesu</w:t>
      </w:r>
      <w:r w:rsidRPr="00C256EF">
        <w:rPr>
          <w:lang w:val="sr-Latn-RS"/>
        </w:rPr>
        <w:t xml:space="preserve"> uticali na postignuti efekat terapije.</w:t>
      </w:r>
    </w:p>
    <w:p w14:paraId="0444D966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6054D786" w14:textId="2E915F71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Periodična analiza (druga periodična analiza) za ukupno preživljavanje sprovedena je kod 367 smrtnih slučajeva zab</w:t>
      </w:r>
      <w:r w:rsidR="00964053" w:rsidRPr="00C256EF">
        <w:rPr>
          <w:lang w:val="sr-Latn-RS"/>
        </w:rPr>
        <w:t>i</w:t>
      </w:r>
      <w:r w:rsidRPr="00C256EF">
        <w:rPr>
          <w:lang w:val="sr-Latn-RS"/>
        </w:rPr>
        <w:t>l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>eženih kod 903 pacijenta. Nominalna alfa-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 xml:space="preserve">st za </w:t>
      </w:r>
      <w:r w:rsidRPr="00C256EF">
        <w:rPr>
          <w:spacing w:val="-3"/>
          <w:lang w:val="sr-Latn-RS"/>
        </w:rPr>
        <w:t xml:space="preserve">ovu </w:t>
      </w:r>
      <w:r w:rsidRPr="00C256EF">
        <w:rPr>
          <w:lang w:val="sr-Latn-RS"/>
        </w:rPr>
        <w:t xml:space="preserve">analizu iznosila je 0,0094. Medijana preživljavanja iznosila je 19,3 </w:t>
      </w:r>
      <w:r w:rsidR="001659AE" w:rsidRPr="00C256EF">
        <w:rPr>
          <w:lang w:val="sr-Latn-RS"/>
        </w:rPr>
        <w:t>mjese</w:t>
      </w:r>
      <w:r w:rsidRPr="00C256EF">
        <w:rPr>
          <w:lang w:val="sr-Latn-RS"/>
        </w:rPr>
        <w:t xml:space="preserve">ca kod pacijenata randomizovanih u sorafenib grupu, u poređenju sa 15,9 </w:t>
      </w:r>
      <w:r w:rsidR="001659AE" w:rsidRPr="00C256EF">
        <w:rPr>
          <w:spacing w:val="-3"/>
          <w:lang w:val="sr-Latn-RS"/>
        </w:rPr>
        <w:t>mjese</w:t>
      </w:r>
      <w:r w:rsidRPr="00C256EF">
        <w:rPr>
          <w:spacing w:val="-3"/>
          <w:lang w:val="sr-Latn-RS"/>
        </w:rPr>
        <w:t xml:space="preserve">ci </w:t>
      </w:r>
      <w:r w:rsidRPr="00C256EF">
        <w:rPr>
          <w:lang w:val="sr-Latn-RS"/>
        </w:rPr>
        <w:t>kod pacijenata koji su dobijali placebo (HR=0,77; 95 % CI: 0,63-0,95; p = 0,015). U vr</w:t>
      </w:r>
      <w:r w:rsidR="001659AE" w:rsidRPr="00C256EF">
        <w:rPr>
          <w:lang w:val="sr-Latn-RS"/>
        </w:rPr>
        <w:t>ij</w:t>
      </w:r>
      <w:r w:rsidRPr="00C256EF">
        <w:rPr>
          <w:lang w:val="sr-Latn-RS"/>
        </w:rPr>
        <w:t>eme ove analize, oko 200 pacijenata preb</w:t>
      </w:r>
      <w:r w:rsidR="001659AE" w:rsidRPr="00C256EF">
        <w:rPr>
          <w:lang w:val="sr-Latn-RS"/>
        </w:rPr>
        <w:t>a</w:t>
      </w:r>
      <w:r w:rsidRPr="00C256EF">
        <w:rPr>
          <w:lang w:val="sr-Latn-RS"/>
        </w:rPr>
        <w:t>čeno je iz placebo grupe u sorafenib</w:t>
      </w:r>
      <w:r w:rsidRPr="00C256EF">
        <w:rPr>
          <w:spacing w:val="-21"/>
          <w:lang w:val="sr-Latn-RS"/>
        </w:rPr>
        <w:t xml:space="preserve"> </w:t>
      </w:r>
      <w:r w:rsidRPr="00C256EF">
        <w:rPr>
          <w:lang w:val="sr-Latn-RS"/>
        </w:rPr>
        <w:t>grupu.</w:t>
      </w:r>
    </w:p>
    <w:p w14:paraId="31DD15BC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09978FE9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Studija 2 bila je studija faze II – studija prekida kod pacijenata sa metastatskim malignitetima, uključujući karcinom bubrežnih ćelija. Pacijenti sa stabilnom bolešću na terapiji sorafenibom randomizovani su u placebo grupu ili onu koja nastavlja terapiju sorafenibom. Preživljavanje bez progresije bolesti kod pacijenata sa karcinomom bubrežnih ćelija bilo je znatno duže u sorafenib grupi (163 dana), nego u placebo grupi (41 dan) (p = 0,0001; HR =</w:t>
      </w:r>
      <w:r w:rsidRPr="00C256EF">
        <w:rPr>
          <w:spacing w:val="-9"/>
          <w:lang w:val="sr-Latn-RS"/>
        </w:rPr>
        <w:t xml:space="preserve"> </w:t>
      </w:r>
      <w:r w:rsidRPr="00C256EF">
        <w:rPr>
          <w:lang w:val="sr-Latn-RS"/>
        </w:rPr>
        <w:t>0,29).</w:t>
      </w:r>
    </w:p>
    <w:p w14:paraId="1678A37B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2D246440" w14:textId="77777777" w:rsidR="00DA1672" w:rsidRPr="00C256EF" w:rsidRDefault="00DA1672" w:rsidP="00F95F4D">
      <w:pPr>
        <w:pStyle w:val="BodyText"/>
        <w:ind w:left="0" w:right="3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t>Diferentovani karcinom tireoidee (DTC)</w:t>
      </w:r>
    </w:p>
    <w:p w14:paraId="6826B86D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307E0AE2" w14:textId="5975C561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Studija 5 (studija 14295) bila je internacionalna, multicentrična, randomizovana, dvostruko sl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epa, placebom kontrolisana studija faze III, sprovedena na 417 pacijenata sa lokalno uznapredovalim ili metastatskim diferentovanim karcinomima tireoidne žl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 xml:space="preserve">ezde (DTC) koji ne reaguju na terapiju radioaktivnim jodom. </w:t>
      </w:r>
    </w:p>
    <w:p w14:paraId="6E745F68" w14:textId="491674D1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Preživljavanje bez napredovanja bolesti (PFS) proc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enjeno pomoću „sl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 xml:space="preserve">epog” nezavisnog, radiološkog pregleda koristeći RECIST kriterijum, bilo je primarni ishod studije. Sekundarni ishodi studije su uključivali ukupno preživljavanje (OS), stopu odgovora tumora i trajanje odgovora. Nakon progresije, pacijentima je dozvoljeno da primaju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 xml:space="preserve"> sorafenib u otvorenom d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elu studije.</w:t>
      </w:r>
    </w:p>
    <w:p w14:paraId="017D1AC9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37794A31" w14:textId="28EB16C2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Pacijenti su bili uključeni u studiju ukoliko se kod njih javilo napredovanje bolesti u okviru 14 </w:t>
      </w:r>
      <w:r w:rsidR="001659AE" w:rsidRPr="00C256EF">
        <w:rPr>
          <w:lang w:val="sr-Latn-RS"/>
        </w:rPr>
        <w:t>mjese</w:t>
      </w:r>
      <w:r w:rsidRPr="00C256EF">
        <w:rPr>
          <w:lang w:val="sr-Latn-RS"/>
        </w:rPr>
        <w:t>ci od uključenja u studiju i ukoliko imaju DTC koji ne reaguje na terapiju radioaktivnim jodom (RAI).</w:t>
      </w:r>
    </w:p>
    <w:p w14:paraId="432003FB" w14:textId="25A3B3BE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Diferentovani karcinom tireoidee refraktoran na terapiju radioaktivnim jodom (RAI) se definiše kao lezija vidljiva na RAI snimanju u kojoj ne dolazi do preuzimanja joda ili je kumulativno primanje RAI ≥</w:t>
      </w:r>
      <w:r w:rsidR="00964053" w:rsidRPr="00C256EF">
        <w:rPr>
          <w:lang w:val="sr-Latn-RS"/>
        </w:rPr>
        <w:t xml:space="preserve"> </w:t>
      </w:r>
      <w:r w:rsidRPr="00C256EF">
        <w:rPr>
          <w:lang w:val="sr-Latn-RS"/>
        </w:rPr>
        <w:t xml:space="preserve">22,2 GBq ili napredovanje bolesti nakon RAI terapije u okviru 16 </w:t>
      </w:r>
      <w:r w:rsidR="001659AE" w:rsidRPr="00C256EF">
        <w:rPr>
          <w:lang w:val="sr-Latn-RS"/>
        </w:rPr>
        <w:t>mjese</w:t>
      </w:r>
      <w:r w:rsidRPr="00C256EF">
        <w:rPr>
          <w:lang w:val="sr-Latn-RS"/>
        </w:rPr>
        <w:t xml:space="preserve">ci od otpočinjanja ili nakon </w:t>
      </w:r>
      <w:r w:rsidR="00DA6303" w:rsidRPr="00C256EF">
        <w:rPr>
          <w:lang w:val="sr-Latn-RS"/>
        </w:rPr>
        <w:t>dvije</w:t>
      </w:r>
      <w:r w:rsidRPr="00C256EF">
        <w:rPr>
          <w:lang w:val="sr-Latn-RS"/>
        </w:rPr>
        <w:t xml:space="preserve"> RAI terapije u razmaku od 16 </w:t>
      </w:r>
      <w:r w:rsidR="001659AE" w:rsidRPr="00C256EF">
        <w:rPr>
          <w:lang w:val="sr-Latn-RS"/>
        </w:rPr>
        <w:t>mjese</w:t>
      </w:r>
      <w:r w:rsidRPr="00C256EF">
        <w:rPr>
          <w:lang w:val="sr-Latn-RS"/>
        </w:rPr>
        <w:t>ci.</w:t>
      </w:r>
    </w:p>
    <w:p w14:paraId="3E4592BE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0E1B65B5" w14:textId="0F962536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Početni demografski podaci i karakteristike pacijenta su ravnom</w:t>
      </w:r>
      <w:r w:rsidR="001659AE" w:rsidRPr="00C256EF">
        <w:rPr>
          <w:lang w:val="sr-Latn-RS"/>
        </w:rPr>
        <w:t>j</w:t>
      </w:r>
      <w:r w:rsidRPr="00C256EF">
        <w:rPr>
          <w:lang w:val="sr-Latn-RS"/>
        </w:rPr>
        <w:t>erno raspoređene u ob</w:t>
      </w:r>
      <w:r w:rsidR="00964053" w:rsidRPr="00C256EF">
        <w:rPr>
          <w:lang w:val="sr-Latn-RS"/>
        </w:rPr>
        <w:t>i</w:t>
      </w:r>
      <w:r w:rsidR="001659AE" w:rsidRPr="00C256EF">
        <w:rPr>
          <w:lang w:val="sr-Latn-RS"/>
        </w:rPr>
        <w:t>j</w:t>
      </w:r>
      <w:r w:rsidRPr="00C256EF">
        <w:rPr>
          <w:lang w:val="sr-Latn-RS"/>
        </w:rPr>
        <w:t>e terapijske grupe.</w:t>
      </w:r>
    </w:p>
    <w:p w14:paraId="4C198CB2" w14:textId="7A2F97FA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Metastaze su bile prisutne na plućima kod 86%, na limfnim čvorovima kod 51% i na kostima kod 27% pacijenata. Medijana kumulativne aktivnosti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jenog radioaktivnog joda pr</w:t>
      </w:r>
      <w:r w:rsidR="001659AE" w:rsidRPr="00C256EF">
        <w:rPr>
          <w:lang w:val="sr-Latn-RS"/>
        </w:rPr>
        <w:t>ij</w:t>
      </w:r>
      <w:r w:rsidRPr="00C256EF">
        <w:rPr>
          <w:lang w:val="sr-Latn-RS"/>
        </w:rPr>
        <w:t>e uključivanja je bila približno 14,8 GBq. Većina pacijenata je imala papilarni karcinom (56,8%), zatim folikularni (25,4%) i slabo diferentovani karcinom (9,6%).</w:t>
      </w:r>
    </w:p>
    <w:p w14:paraId="0B376E7F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6896ABD7" w14:textId="1ADA778E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Medijana preživljavanja bez napredovanja bolesti (PFS) je bila 10,8 </w:t>
      </w:r>
      <w:r w:rsidR="001659AE" w:rsidRPr="00C256EF">
        <w:rPr>
          <w:lang w:val="sr-Latn-RS"/>
        </w:rPr>
        <w:t>mjese</w:t>
      </w:r>
      <w:r w:rsidRPr="00C256EF">
        <w:rPr>
          <w:lang w:val="sr-Latn-RS"/>
        </w:rPr>
        <w:t xml:space="preserve">ci kod pacijenata koji su bili na terapiji sofarenibom u odnosu na 5,8 </w:t>
      </w:r>
      <w:r w:rsidR="001659AE" w:rsidRPr="00C256EF">
        <w:rPr>
          <w:lang w:val="sr-Latn-RS"/>
        </w:rPr>
        <w:t>mjese</w:t>
      </w:r>
      <w:r w:rsidRPr="00C256EF">
        <w:rPr>
          <w:lang w:val="sr-Latn-RS"/>
        </w:rPr>
        <w:t>ci kod pacijenata koji su primali placebo (HR=0,587; 95% interval pouzdanosti (CI): 0,454, 0,758; jednostrana p-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>st &lt; 0,0001).</w:t>
      </w:r>
    </w:p>
    <w:p w14:paraId="774B4FA9" w14:textId="3C168E83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Efekat sorafeniba na preživljavanje bez napredovanja bolesti (PFS) je dosl</w:t>
      </w:r>
      <w:r w:rsidR="00B874F5" w:rsidRPr="00C256EF">
        <w:rPr>
          <w:lang w:val="sr-Latn-RS"/>
        </w:rPr>
        <w:t>j</w:t>
      </w:r>
      <w:r w:rsidRPr="00C256EF">
        <w:rPr>
          <w:lang w:val="sr-Latn-RS"/>
        </w:rPr>
        <w:t>edan, nezavisno od geografskog regiona, uzrasta preko/ispod 60 godina, pola, histološkog podtipa i prisustva ili odsustva metastaza na kostima.</w:t>
      </w:r>
    </w:p>
    <w:p w14:paraId="1F3C1091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5E543C0D" w14:textId="43C7E2F3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U analizi ukupnog preživljavanja koja je sprovedena 9 </w:t>
      </w:r>
      <w:r w:rsidR="001659AE" w:rsidRPr="00C256EF">
        <w:rPr>
          <w:lang w:val="sr-Latn-RS"/>
        </w:rPr>
        <w:t>mjese</w:t>
      </w:r>
      <w:r w:rsidRPr="00C256EF">
        <w:rPr>
          <w:lang w:val="sr-Latn-RS"/>
        </w:rPr>
        <w:t>ci nakon pres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>eka podataka za završnu analizu preživljavanja bez napredovanja bolesti (PFS), nije bilo statistički značajne razlike u ukupnom preživljavanju između ispitivanih grupa (HR=0,884; 95% CI: 0,633, 1,236, jednostrana p-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 xml:space="preserve">st 0,236). Medijana ukupnog preživljavanja (OS) nije dostignuta u grupi koja je primala sorafenib, a bila je 36,5 </w:t>
      </w:r>
      <w:r w:rsidR="001659AE" w:rsidRPr="00C256EF">
        <w:rPr>
          <w:lang w:val="sr-Latn-RS"/>
        </w:rPr>
        <w:t>mjese</w:t>
      </w:r>
      <w:r w:rsidRPr="00C256EF">
        <w:rPr>
          <w:lang w:val="sr-Latn-RS"/>
        </w:rPr>
        <w:t>ci za placebo grupu. Sto pedeset sedam (75%) pacijenata randomizovanih u grupu koja je primala placebo i 61 (30%) pacijent randomizovan u grupu koja je primala sorafenib, primali su sorafenib u otvorenom d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elu studije.</w:t>
      </w:r>
    </w:p>
    <w:p w14:paraId="6090B376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2A418F8F" w14:textId="6694CBD0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Medijana dužine trajanja terapije u dvostruko sl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epom periodu je bila 46 ned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>elja (raspon 0,3-135) za pacijente koji su bili na terapiji sorafenibom i 28 ned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 xml:space="preserve">elja (raspon 1,7-132) za pacijente koji su primali placebo. </w:t>
      </w:r>
    </w:p>
    <w:p w14:paraId="302D24B0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4EE52F35" w14:textId="14334855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Prema RECIST kriterijumima nije bio zab</w:t>
      </w:r>
      <w:r w:rsidR="00964053" w:rsidRPr="00C256EF">
        <w:rPr>
          <w:lang w:val="sr-Latn-RS"/>
        </w:rPr>
        <w:t>i</w:t>
      </w:r>
      <w:r w:rsidRPr="00C256EF">
        <w:rPr>
          <w:lang w:val="sr-Latn-RS"/>
        </w:rPr>
        <w:t>l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>ežen potpun odgovor (engl. complete response, CR). Ukupna stopa odgovora (potpun odgovor (CR) + parcijalni odgovor (engl. partial response, PR)) na osnovu nezavisne radiološke proc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>ene je bila viša kod pacijenata koji su bili na terapiji sorafenibom (24 pacijenta, 12,2%) nego kod pacijenata koji su primali placebo (1 pacijent, 0,5%), jednostrana p-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>st &lt; 0,0001. Medijana dužine odgovora je bila 309 dana (95% CI: 226,505 dana) kod pacijenata koji su bili na terapiji sorafenibom, a koji su imali parcijalni odgovor.</w:t>
      </w:r>
    </w:p>
    <w:p w14:paraId="4950D1BB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3C8AC5BB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Post-hoc analiza podgrupa na osnovu maksimale veličine tumora, pokazuje da terapijski efekti na preživljavanje bez napredovanja bolesti (PFS) idu u korist sorafeniba u odnosu na placebo, za pacijente sa maksimalnom veličinom tumora od 1,5 cm ili veće (HR 0,54 (95% CI: 0,41 – 0,71)), dok je kod pacijenata sa maksimalnom veličinom tumora manjom od 1,5 cm došlo do brojčano manjeg efekta (HR 0,87 (95% CI: 0,40 – 1,89)).</w:t>
      </w:r>
    </w:p>
    <w:p w14:paraId="32D065C2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7FDCA09C" w14:textId="4DC627EF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Post-hoc analiza podgrupa na osnovu simptoma karcinoma tireoidne žl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 xml:space="preserve">ezde na početku </w:t>
      </w:r>
      <w:r w:rsidR="00375E66" w:rsidRPr="00C256EF">
        <w:rPr>
          <w:lang w:val="sr-Latn-RS"/>
        </w:rPr>
        <w:t>liječe</w:t>
      </w:r>
      <w:r w:rsidRPr="00C256EF">
        <w:rPr>
          <w:lang w:val="sr-Latn-RS"/>
        </w:rPr>
        <w:t>nja pokazuje da preživljavanje bez napredovanja bolesti (PFS) ide u korist sorafeniba u odnosu na placebo, i za simptomatske i asimptomatske pacijente. HR preživljavanja bez napredovanja bolesti je bio 0,39 (95% CI: 0,21-0,72) za pacijente sa simptomima pr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 terapije i 0,60 (95% CI: 0,45-0,81) za pacijente bez simptoma pr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 terapije.</w:t>
      </w:r>
    </w:p>
    <w:p w14:paraId="4E0A7868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02BA11D1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Produženje QT intervala</w:t>
      </w:r>
    </w:p>
    <w:p w14:paraId="374A1ED9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318E2CD9" w14:textId="697F62DD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U kliničko farmakološkoj studiji, QT/QTc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>sti su m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>erene kod 31 pacijenta pr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 terapije i nakon terapije. Posl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 jednog 28-dnevnog terapijskog ciklusa, u vr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 xml:space="preserve">eme kada je koncentracija sorafeniba bila maksimalna, QTcB je produžen za 4 ± 19 milisekundi i QTcF za 9 ± 18 milisekundi u poređenju sa početnim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>stima kod placebo terapije. Nijedan pacijent nije pokazao produženje QTcB ili QTcF &gt; 500 milisekundi tokom EKG monitoringa nakon terapije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4.4).</w:t>
      </w:r>
    </w:p>
    <w:p w14:paraId="365B4C49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678A62FC" w14:textId="77777777" w:rsidR="00DA1672" w:rsidRPr="00C256EF" w:rsidRDefault="00DA1672" w:rsidP="00F95F4D">
      <w:pPr>
        <w:pStyle w:val="BodyText"/>
        <w:ind w:left="0" w:right="3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t>Pedijatrijska populacija</w:t>
      </w:r>
    </w:p>
    <w:p w14:paraId="43044EEA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15430247" w14:textId="0E6AA339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Evropska agencija za l</w:t>
      </w:r>
      <w:r w:rsidR="00375E66" w:rsidRPr="00C256EF">
        <w:rPr>
          <w:lang w:val="sr-Latn-RS"/>
        </w:rPr>
        <w:t>j</w:t>
      </w:r>
      <w:r w:rsidRPr="00C256EF">
        <w:rPr>
          <w:lang w:val="sr-Latn-RS"/>
        </w:rPr>
        <w:t xml:space="preserve">ekove izuzela je od obaveze podnošenje rezultata ispitivanja, u svim podgrupama </w:t>
      </w:r>
      <w:r w:rsidRPr="00C256EF">
        <w:rPr>
          <w:lang w:val="sr-Latn-RS"/>
        </w:rPr>
        <w:lastRenderedPageBreak/>
        <w:t>pedijatrijske populacije, za karcinom bubrega i bubrežni pelvični karcinom (izuzev nefroblastoma, nefroblastomatoze, „</w:t>
      </w:r>
      <w:r w:rsidRPr="00C256EF">
        <w:rPr>
          <w:i/>
          <w:lang w:val="sr-Latn-RS"/>
        </w:rPr>
        <w:t>clear cell</w:t>
      </w:r>
      <w:r w:rsidRPr="00C256EF">
        <w:rPr>
          <w:lang w:val="sr-Latn-RS"/>
        </w:rPr>
        <w:t>” sarkoma, mezoblastičnog nefroma, bubrežnog medularnog karcinoma i rabdoidnog tumora bubrega), karcinom jetre, intrahepatični karcinom žučnog kanala (izuzev hepatoblastoma) i diferentovani karcinom tireoidee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lang w:val="sr-Latn-RS"/>
        </w:rPr>
        <w:t xml:space="preserve"> 4.2 za informacije o upotrebi u pedijatrijskoj</w:t>
      </w:r>
      <w:r w:rsidRPr="00C256EF">
        <w:rPr>
          <w:spacing w:val="-2"/>
          <w:lang w:val="sr-Latn-RS"/>
        </w:rPr>
        <w:t xml:space="preserve"> </w:t>
      </w:r>
      <w:r w:rsidRPr="00C256EF">
        <w:rPr>
          <w:lang w:val="sr-Latn-RS"/>
        </w:rPr>
        <w:t>populaciji).</w:t>
      </w:r>
    </w:p>
    <w:p w14:paraId="25F4BE24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64FFE63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5.2.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Farmakokinetički podaci</w:t>
      </w:r>
      <w:r w:rsidR="003A7059" w:rsidRPr="00C256EF">
        <w:rPr>
          <w:b/>
          <w:bCs/>
          <w:sz w:val="22"/>
          <w:szCs w:val="22"/>
          <w:lang w:val="sr-Latn-RS"/>
        </w:rPr>
        <w:t xml:space="preserve"> </w:t>
      </w:r>
    </w:p>
    <w:p w14:paraId="75DF0B4E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08FB35C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Resorpcija i distribucija</w:t>
      </w:r>
    </w:p>
    <w:p w14:paraId="03E0BDF9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5FE49BFF" w14:textId="75B3803C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Posl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 xml:space="preserve">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tableta sorafeniba, pros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 xml:space="preserve">ečna relativna bioraspoloživost iznosi 38-49%, u poređenju sa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om oralnog rastvora. Apsolutna bioraspoloživost nije poznata. Nakon oralne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e, sorafenib dostiže maksimalnu koncentraciju u plazmi za oko 3 sata. Kada je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jivan uz </w:t>
      </w:r>
      <w:r w:rsidRPr="00C256EF">
        <w:rPr>
          <w:spacing w:val="-3"/>
          <w:lang w:val="sr-Latn-RS"/>
        </w:rPr>
        <w:t xml:space="preserve">veoma </w:t>
      </w:r>
      <w:r w:rsidRPr="00C256EF">
        <w:rPr>
          <w:lang w:val="sr-Latn-RS"/>
        </w:rPr>
        <w:t xml:space="preserve">masan </w:t>
      </w:r>
      <w:r w:rsidRPr="00C256EF">
        <w:rPr>
          <w:spacing w:val="-2"/>
          <w:lang w:val="sr-Latn-RS"/>
        </w:rPr>
        <w:t xml:space="preserve">obrok, </w:t>
      </w:r>
      <w:r w:rsidRPr="00C256EF">
        <w:rPr>
          <w:lang w:val="sr-Latn-RS"/>
        </w:rPr>
        <w:t xml:space="preserve">resorpcija sorafeniba je bila smanjena za 30% u poređenju sa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om</w:t>
      </w:r>
      <w:r w:rsidRPr="00C256EF">
        <w:rPr>
          <w:spacing w:val="-12"/>
          <w:lang w:val="sr-Latn-RS"/>
        </w:rPr>
        <w:t xml:space="preserve"> </w:t>
      </w:r>
      <w:r w:rsidRPr="00C256EF">
        <w:rPr>
          <w:lang w:val="sr-Latn-RS"/>
        </w:rPr>
        <w:t>natašte.</w:t>
      </w:r>
    </w:p>
    <w:p w14:paraId="60417BB9" w14:textId="52CCAF6B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Nakon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doza većih od 400 mg dva puta dnevno pros</w:t>
      </w:r>
      <w:r w:rsidR="00964053" w:rsidRPr="00C256EF">
        <w:rPr>
          <w:lang w:val="sr-Latn-RS"/>
        </w:rPr>
        <w:t>j</w:t>
      </w:r>
      <w:r w:rsidRPr="00C256EF">
        <w:rPr>
          <w:lang w:val="sr-Latn-RS"/>
        </w:rPr>
        <w:t>ečni C</w:t>
      </w:r>
      <w:r w:rsidRPr="00C256EF">
        <w:rPr>
          <w:vertAlign w:val="subscript"/>
          <w:lang w:val="sr-Latn-RS"/>
        </w:rPr>
        <w:t>max</w:t>
      </w:r>
      <w:r w:rsidRPr="00C256EF">
        <w:rPr>
          <w:lang w:val="sr-Latn-RS"/>
        </w:rPr>
        <w:t xml:space="preserve"> i PIK povećavaju se manje nego proporcionalno. Vezivanje sorafeniba </w:t>
      </w:r>
      <w:r w:rsidRPr="00C256EF">
        <w:rPr>
          <w:i/>
          <w:lang w:val="sr-Latn-RS"/>
        </w:rPr>
        <w:t xml:space="preserve">in vitro </w:t>
      </w:r>
      <w:r w:rsidRPr="00C256EF">
        <w:rPr>
          <w:lang w:val="sr-Latn-RS"/>
        </w:rPr>
        <w:t>za proteine humane plazme iznosi 99,5%.</w:t>
      </w:r>
    </w:p>
    <w:p w14:paraId="4B344C3C" w14:textId="2C0479FB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Ponovljeno doziranje sorafeniba tokom 7 dana rezult</w:t>
      </w:r>
      <w:r w:rsidR="00964053" w:rsidRPr="00C256EF">
        <w:rPr>
          <w:lang w:val="sr-Latn-RS"/>
        </w:rPr>
        <w:t>ira</w:t>
      </w:r>
      <w:r w:rsidRPr="00C256EF">
        <w:rPr>
          <w:lang w:val="sr-Latn-RS"/>
        </w:rPr>
        <w:t xml:space="preserve">lo je 2,5 do 7 puta većom akumulacijom, u poređenju sa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om pojedinačne doze. Ravnotežne koncentracije sorafeniba u plazmi postižu se unutar 7 dana, sa odnosom srednjih najviših koncentracija i koncentracija pred narednu dozu </w:t>
      </w:r>
      <w:r w:rsidRPr="00C256EF">
        <w:rPr>
          <w:spacing w:val="-3"/>
          <w:lang w:val="sr-Latn-RS"/>
        </w:rPr>
        <w:t xml:space="preserve">manjim </w:t>
      </w:r>
      <w:r w:rsidRPr="00C256EF">
        <w:rPr>
          <w:lang w:val="sr-Latn-RS"/>
        </w:rPr>
        <w:t>od</w:t>
      </w:r>
      <w:r w:rsidRPr="00C256EF">
        <w:rPr>
          <w:spacing w:val="-4"/>
          <w:lang w:val="sr-Latn-RS"/>
        </w:rPr>
        <w:t xml:space="preserve"> </w:t>
      </w:r>
      <w:r w:rsidRPr="00C256EF">
        <w:rPr>
          <w:lang w:val="sr-Latn-RS"/>
        </w:rPr>
        <w:t>2.</w:t>
      </w:r>
    </w:p>
    <w:p w14:paraId="305D8672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0EFB856E" w14:textId="18BBF1E0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Koncentracije u stanju dinamičke ravnoteže sorafeniba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jenog u dozi od 400 mg dva puta dnevno su proc</w:t>
      </w:r>
      <w:r w:rsidR="00964053" w:rsidRPr="00C256EF">
        <w:rPr>
          <w:lang w:val="sr-Latn-RS"/>
        </w:rPr>
        <w:t>ij</w:t>
      </w:r>
      <w:r w:rsidRPr="00C256EF">
        <w:rPr>
          <w:lang w:val="sr-Latn-RS"/>
        </w:rPr>
        <w:t>enjene kod pacijenata sa DTC, RCC i HCC. Najveća srednja koncentracija je prim</w:t>
      </w:r>
      <w:r w:rsidR="00182169" w:rsidRPr="00C256EF">
        <w:rPr>
          <w:lang w:val="sr-Latn-RS"/>
        </w:rPr>
        <w:t>ij</w:t>
      </w:r>
      <w:r w:rsidRPr="00C256EF">
        <w:rPr>
          <w:lang w:val="sr-Latn-RS"/>
        </w:rPr>
        <w:t>ećena kod pacijenata sa DTC (približno dva puta veća nego kod pacijenata sa RCC i HCC), mada je bila prisutna velika varijabilnost kod svih tipova tumora. Razlog za povećanu koncentraciju kod pacijenata sa DTC je nepoznat.</w:t>
      </w:r>
    </w:p>
    <w:p w14:paraId="623A8169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798378AD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Biotransformacija i eliminacija</w:t>
      </w:r>
    </w:p>
    <w:p w14:paraId="43B97564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3CD95093" w14:textId="31B9519A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Poluvr</w:t>
      </w:r>
      <w:r w:rsidR="00182169" w:rsidRPr="00C256EF">
        <w:rPr>
          <w:lang w:val="sr-Latn-RS"/>
        </w:rPr>
        <w:t>ij</w:t>
      </w:r>
      <w:r w:rsidRPr="00C256EF">
        <w:rPr>
          <w:lang w:val="sr-Latn-RS"/>
        </w:rPr>
        <w:t>eme eliminacije sorafeniba je oko 25-48 sati. Sorafenib se primarno metaboliše u jetri i podl</w:t>
      </w:r>
      <w:r w:rsidR="00182169" w:rsidRPr="00C256EF">
        <w:rPr>
          <w:lang w:val="sr-Latn-RS"/>
        </w:rPr>
        <w:t>ij</w:t>
      </w:r>
      <w:r w:rsidRPr="00C256EF">
        <w:rPr>
          <w:lang w:val="sr-Latn-RS"/>
        </w:rPr>
        <w:t>eže oksidativnom metabolizmu, posredovanom CYP3A4, kao i glukuronidaciji, posredovanoj UGT1A9. U gastrointestinalnom traktu, d</w:t>
      </w:r>
      <w:r w:rsidR="00182169" w:rsidRPr="00C256EF">
        <w:rPr>
          <w:lang w:val="sr-Latn-RS"/>
        </w:rPr>
        <w:t>j</w:t>
      </w:r>
      <w:r w:rsidRPr="00C256EF">
        <w:rPr>
          <w:lang w:val="sr-Latn-RS"/>
        </w:rPr>
        <w:t>elovanjem bakterijske glukuronidaze, može doći do c</w:t>
      </w:r>
      <w:r w:rsidR="00182169" w:rsidRPr="00C256EF">
        <w:rPr>
          <w:lang w:val="sr-Latn-RS"/>
        </w:rPr>
        <w:t>ij</w:t>
      </w:r>
      <w:r w:rsidRPr="00C256EF">
        <w:rPr>
          <w:lang w:val="sr-Latn-RS"/>
        </w:rPr>
        <w:t xml:space="preserve">epanja sorafenib konjugata, </w:t>
      </w:r>
      <w:r w:rsidRPr="00C256EF">
        <w:rPr>
          <w:spacing w:val="-3"/>
          <w:lang w:val="sr-Latn-RS"/>
        </w:rPr>
        <w:t xml:space="preserve">čime </w:t>
      </w:r>
      <w:r w:rsidRPr="00C256EF">
        <w:rPr>
          <w:spacing w:val="2"/>
          <w:lang w:val="sr-Latn-RS"/>
        </w:rPr>
        <w:t xml:space="preserve">se </w:t>
      </w:r>
      <w:r w:rsidRPr="00C256EF">
        <w:rPr>
          <w:lang w:val="sr-Latn-RS"/>
        </w:rPr>
        <w:t xml:space="preserve">omogućava da se nekonjugovana aktivna supstanca ponovo resorbuje. Pokazano je </w:t>
      </w:r>
      <w:r w:rsidRPr="00C256EF">
        <w:rPr>
          <w:spacing w:val="-5"/>
          <w:lang w:val="sr-Latn-RS"/>
        </w:rPr>
        <w:t xml:space="preserve">da </w:t>
      </w:r>
      <w:r w:rsidRPr="00C256EF">
        <w:rPr>
          <w:lang w:val="sr-Latn-RS"/>
        </w:rPr>
        <w:t xml:space="preserve">istovremena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a neomicina interferiše sa ovim procesom, što smanjuje pros</w:t>
      </w:r>
      <w:r w:rsidR="00B874F5" w:rsidRPr="00C256EF">
        <w:rPr>
          <w:lang w:val="sr-Latn-RS"/>
        </w:rPr>
        <w:t>j</w:t>
      </w:r>
      <w:r w:rsidRPr="00C256EF">
        <w:rPr>
          <w:lang w:val="sr-Latn-RS"/>
        </w:rPr>
        <w:t>ečnu bioraspoloživost sorafeniba za</w:t>
      </w:r>
      <w:r w:rsidRPr="00C256EF">
        <w:rPr>
          <w:spacing w:val="-3"/>
          <w:lang w:val="sr-Latn-RS"/>
        </w:rPr>
        <w:t xml:space="preserve"> </w:t>
      </w:r>
      <w:r w:rsidRPr="00C256EF">
        <w:rPr>
          <w:lang w:val="sr-Latn-RS"/>
        </w:rPr>
        <w:t>54%.</w:t>
      </w:r>
    </w:p>
    <w:p w14:paraId="77F4E9AC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09B55643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Sorafenib čini oko 70-85% cirkulišućeg analizata plazme u stanju ravnoteže. Do sada je identifikovano osam metabolita sorafeniba, </w:t>
      </w:r>
      <w:r w:rsidRPr="00C256EF">
        <w:rPr>
          <w:spacing w:val="-3"/>
          <w:lang w:val="sr-Latn-RS"/>
        </w:rPr>
        <w:t xml:space="preserve">od </w:t>
      </w:r>
      <w:r w:rsidRPr="00C256EF">
        <w:rPr>
          <w:lang w:val="sr-Latn-RS"/>
        </w:rPr>
        <w:t xml:space="preserve">kojih je pet detektovano u plazmi. Glavni cirkulišući metabolit sorafeniba  u plazmi, piridin-N-oksid, pokazuje </w:t>
      </w:r>
      <w:r w:rsidRPr="00C256EF">
        <w:rPr>
          <w:i/>
          <w:lang w:val="sr-Latn-RS"/>
        </w:rPr>
        <w:t xml:space="preserve">in vitro </w:t>
      </w:r>
      <w:r w:rsidRPr="00C256EF">
        <w:rPr>
          <w:lang w:val="sr-Latn-RS"/>
        </w:rPr>
        <w:t xml:space="preserve">potentnost </w:t>
      </w:r>
      <w:r w:rsidRPr="00C256EF">
        <w:rPr>
          <w:spacing w:val="-3"/>
          <w:lang w:val="sr-Latn-RS"/>
        </w:rPr>
        <w:t xml:space="preserve">sličnu </w:t>
      </w:r>
      <w:r w:rsidRPr="00C256EF">
        <w:rPr>
          <w:lang w:val="sr-Latn-RS"/>
        </w:rPr>
        <w:t>sorafenibu. Ovaj metabolit čini oko 9-16% cirkulišućeg analizata u stanju</w:t>
      </w:r>
      <w:r w:rsidRPr="00C256EF">
        <w:rPr>
          <w:spacing w:val="-5"/>
          <w:lang w:val="sr-Latn-RS"/>
        </w:rPr>
        <w:t xml:space="preserve"> </w:t>
      </w:r>
      <w:r w:rsidRPr="00C256EF">
        <w:rPr>
          <w:lang w:val="sr-Latn-RS"/>
        </w:rPr>
        <w:t>ravnoteže.</w:t>
      </w:r>
    </w:p>
    <w:p w14:paraId="0CBAF5AD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7B6F9D33" w14:textId="33C89156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Posl</w:t>
      </w:r>
      <w:r w:rsidR="00182169" w:rsidRPr="00C256EF">
        <w:rPr>
          <w:lang w:val="sr-Latn-RS"/>
        </w:rPr>
        <w:t>ij</w:t>
      </w:r>
      <w:r w:rsidRPr="00C256EF">
        <w:rPr>
          <w:lang w:val="sr-Latn-RS"/>
        </w:rPr>
        <w:t xml:space="preserve">e oralne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doze od 100 mg sorafeniba u obliku rastvora, 96% doze se eliminiše nakon 14 dana, pri čemu se 77% doze izluči fecesom, a 19% doze urinom u vidu glukuronizovanih metabolita. Neprom</w:t>
      </w:r>
      <w:r w:rsidR="00182169" w:rsidRPr="00C256EF">
        <w:rPr>
          <w:lang w:val="sr-Latn-RS"/>
        </w:rPr>
        <w:t>ij</w:t>
      </w:r>
      <w:r w:rsidRPr="00C256EF">
        <w:rPr>
          <w:lang w:val="sr-Latn-RS"/>
        </w:rPr>
        <w:t>enjeni sorafenib, koji čini 51% un</w:t>
      </w:r>
      <w:r w:rsidR="00B874F5" w:rsidRPr="00C256EF">
        <w:rPr>
          <w:lang w:val="sr-Latn-RS"/>
        </w:rPr>
        <w:t>ij</w:t>
      </w:r>
      <w:r w:rsidRPr="00C256EF">
        <w:rPr>
          <w:lang w:val="sr-Latn-RS"/>
        </w:rPr>
        <w:t>ete doze, nađen je u fecesu, ali ne i u urinu, što ukazuje na to da bilijarna ekskrecija nepromenjene aktivne supstance može doprinositi eliminaciji sorafeniba.</w:t>
      </w:r>
    </w:p>
    <w:p w14:paraId="03EEA5F1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7560BE21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Farmakokinetika u posebnim populacijama</w:t>
      </w:r>
    </w:p>
    <w:p w14:paraId="1B6ADEF1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6DF78D34" w14:textId="04B3F291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Analiza demografskih podataka ukazuje da nema povezanosti između farmakokinetike i uzrasta (do 65 godina), pola ili t</w:t>
      </w:r>
      <w:r w:rsidR="00B874F5" w:rsidRPr="00C256EF">
        <w:rPr>
          <w:lang w:val="sr-Latn-RS"/>
        </w:rPr>
        <w:t>j</w:t>
      </w:r>
      <w:r w:rsidRPr="00C256EF">
        <w:rPr>
          <w:lang w:val="sr-Latn-RS"/>
        </w:rPr>
        <w:t>elesne mase.</w:t>
      </w:r>
    </w:p>
    <w:p w14:paraId="4CF0F2EF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52A49C28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Pedijatrijska populacija</w:t>
      </w:r>
    </w:p>
    <w:p w14:paraId="10078280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0B26256C" w14:textId="39BAB64B" w:rsidR="00DA1672" w:rsidRPr="00C256EF" w:rsidRDefault="00DA6303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Nijesu</w:t>
      </w:r>
      <w:r w:rsidR="00DA1672" w:rsidRPr="00C256EF">
        <w:rPr>
          <w:lang w:val="sr-Latn-RS"/>
        </w:rPr>
        <w:t xml:space="preserve"> sprovedena ispitivanja farmakokinetike sorafeniba kod pedijatrijskih pacijenata. </w:t>
      </w:r>
    </w:p>
    <w:p w14:paraId="51764732" w14:textId="3D0876FA" w:rsidR="00182169" w:rsidRPr="00C256EF" w:rsidRDefault="00182169">
      <w:pPr>
        <w:rPr>
          <w:sz w:val="22"/>
          <w:szCs w:val="22"/>
          <w:lang w:val="sr-Latn-RS"/>
        </w:rPr>
      </w:pPr>
      <w:r w:rsidRPr="00C256EF">
        <w:rPr>
          <w:sz w:val="22"/>
          <w:szCs w:val="22"/>
          <w:lang w:val="sr-Latn-RS"/>
        </w:rPr>
        <w:br w:type="page"/>
      </w:r>
    </w:p>
    <w:p w14:paraId="41963463" w14:textId="77777777" w:rsidR="00DA1672" w:rsidRPr="00C256EF" w:rsidRDefault="00DA1672" w:rsidP="007E1ACC">
      <w:pPr>
        <w:pStyle w:val="BodyText"/>
        <w:ind w:left="0" w:right="30"/>
        <w:jc w:val="both"/>
        <w:rPr>
          <w:u w:val="single"/>
          <w:lang w:val="sr-Latn-RS"/>
        </w:rPr>
      </w:pPr>
      <w:r w:rsidRPr="00C256EF">
        <w:rPr>
          <w:u w:val="single"/>
          <w:lang w:val="sr-Latn-RS"/>
        </w:rPr>
        <w:lastRenderedPageBreak/>
        <w:t>Rasa</w:t>
      </w:r>
    </w:p>
    <w:p w14:paraId="3A649108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3F1CBC4B" w14:textId="2E93428B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Nema klinički značajnih razlika u farmakokinetičkim parametrima između pacijenata kavkaske (b</w:t>
      </w:r>
      <w:r w:rsidR="00B874F5" w:rsidRPr="00C256EF">
        <w:rPr>
          <w:lang w:val="sr-Latn-RS"/>
        </w:rPr>
        <w:t>ij</w:t>
      </w:r>
      <w:r w:rsidRPr="00C256EF">
        <w:rPr>
          <w:lang w:val="sr-Latn-RS"/>
        </w:rPr>
        <w:t>ele) rase i azijskih pacijenata.</w:t>
      </w:r>
    </w:p>
    <w:p w14:paraId="4C7061A9" w14:textId="77777777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</w:p>
    <w:p w14:paraId="0E5F7720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Oštećenje funkcije bubrega</w:t>
      </w:r>
    </w:p>
    <w:p w14:paraId="7F69BB39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1640672E" w14:textId="29BF74AD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U četiri kliničke studije faze I, izloženost sorafenibu u stanju ravnoteže bila je slična kod pacijenata sa blagim ili um</w:t>
      </w:r>
      <w:r w:rsidR="00B874F5" w:rsidRPr="00C256EF">
        <w:rPr>
          <w:lang w:val="sr-Latn-RS"/>
        </w:rPr>
        <w:t>j</w:t>
      </w:r>
      <w:r w:rsidRPr="00C256EF">
        <w:rPr>
          <w:lang w:val="sr-Latn-RS"/>
        </w:rPr>
        <w:t>erenim oštećenjem funkcije bubrega, u poređenju sa izloženošću kod pacijenata sa normalnom funkcijom bubrega. U kliničko farmakološkoj studiji (pojedinačna doza od 400 mg sorafeniba) nije prim</w:t>
      </w:r>
      <w:r w:rsidR="00B874F5" w:rsidRPr="00C256EF">
        <w:rPr>
          <w:lang w:val="sr-Latn-RS"/>
        </w:rPr>
        <w:t>ij</w:t>
      </w:r>
      <w:r w:rsidRPr="00C256EF">
        <w:rPr>
          <w:lang w:val="sr-Latn-RS"/>
        </w:rPr>
        <w:t>ećena veza između izloženosti sorafenibu i bubrežne funkcije kod ispitanika sa očuvanom funkcijom bubrega, blagim, um</w:t>
      </w:r>
      <w:r w:rsidR="00182169" w:rsidRPr="00C256EF">
        <w:rPr>
          <w:lang w:val="sr-Latn-RS"/>
        </w:rPr>
        <w:t>j</w:t>
      </w:r>
      <w:r w:rsidRPr="00C256EF">
        <w:rPr>
          <w:lang w:val="sr-Latn-RS"/>
        </w:rPr>
        <w:t xml:space="preserve">erenim ili teškim oštećenjem funkcije bubrega. </w:t>
      </w:r>
      <w:r w:rsidR="00DA6303" w:rsidRPr="00C256EF">
        <w:rPr>
          <w:lang w:val="sr-Latn-RS"/>
        </w:rPr>
        <w:t>Nijesu</w:t>
      </w:r>
      <w:r w:rsidRPr="00C256EF">
        <w:rPr>
          <w:lang w:val="sr-Latn-RS"/>
        </w:rPr>
        <w:t xml:space="preserve"> dostupni podaci o pacijentima koji zaht</w:t>
      </w:r>
      <w:r w:rsidR="00182169" w:rsidRPr="00C256EF">
        <w:rPr>
          <w:lang w:val="sr-Latn-RS"/>
        </w:rPr>
        <w:t>ij</w:t>
      </w:r>
      <w:r w:rsidRPr="00C256EF">
        <w:rPr>
          <w:lang w:val="sr-Latn-RS"/>
        </w:rPr>
        <w:t>evaju</w:t>
      </w:r>
      <w:r w:rsidRPr="00C256EF">
        <w:rPr>
          <w:spacing w:val="-2"/>
          <w:lang w:val="sr-Latn-RS"/>
        </w:rPr>
        <w:t xml:space="preserve"> </w:t>
      </w:r>
      <w:r w:rsidRPr="00C256EF">
        <w:rPr>
          <w:lang w:val="sr-Latn-RS"/>
        </w:rPr>
        <w:t>dijalizu.</w:t>
      </w:r>
    </w:p>
    <w:p w14:paraId="3FC311B9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398BC105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Oštećenje funkcije jetre</w:t>
      </w:r>
    </w:p>
    <w:p w14:paraId="4178BC5A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2F505D35" w14:textId="42C85578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Kod pacijenata sa hepatocelularnim karcinomom (HCC) sa oštećenjem funkcije jetre </w:t>
      </w:r>
      <w:r w:rsidRPr="00C256EF">
        <w:rPr>
          <w:i/>
          <w:lang w:val="sr-Latn-RS"/>
        </w:rPr>
        <w:t xml:space="preserve">Child-Pugh </w:t>
      </w:r>
      <w:r w:rsidRPr="00C256EF">
        <w:rPr>
          <w:lang w:val="sr-Latn-RS"/>
        </w:rPr>
        <w:t>stadijuma A ili B (blagim do um</w:t>
      </w:r>
      <w:r w:rsidR="00182169" w:rsidRPr="00C256EF">
        <w:rPr>
          <w:lang w:val="sr-Latn-RS"/>
        </w:rPr>
        <w:t>j</w:t>
      </w:r>
      <w:r w:rsidRPr="00C256EF">
        <w:rPr>
          <w:lang w:val="sr-Latn-RS"/>
        </w:rPr>
        <w:t xml:space="preserve">erenim),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>sti za izloženost l</w:t>
      </w:r>
      <w:r w:rsidR="00375E66" w:rsidRPr="00C256EF">
        <w:rPr>
          <w:lang w:val="sr-Latn-RS"/>
        </w:rPr>
        <w:t>ij</w:t>
      </w:r>
      <w:r w:rsidRPr="00C256EF">
        <w:rPr>
          <w:lang w:val="sr-Latn-RS"/>
        </w:rPr>
        <w:t>eku su bile uporedive i unutar granica prim</w:t>
      </w:r>
      <w:r w:rsidR="00182169" w:rsidRPr="00C256EF">
        <w:rPr>
          <w:lang w:val="sr-Latn-RS"/>
        </w:rPr>
        <w:t>ij</w:t>
      </w:r>
      <w:r w:rsidRPr="00C256EF">
        <w:rPr>
          <w:lang w:val="sr-Latn-RS"/>
        </w:rPr>
        <w:t xml:space="preserve">ećenih kod pacijenata </w:t>
      </w:r>
      <w:r w:rsidRPr="00C256EF">
        <w:rPr>
          <w:spacing w:val="-3"/>
          <w:lang w:val="sr-Latn-RS"/>
        </w:rPr>
        <w:t xml:space="preserve">bez </w:t>
      </w:r>
      <w:r w:rsidRPr="00C256EF">
        <w:rPr>
          <w:lang w:val="sr-Latn-RS"/>
        </w:rPr>
        <w:t xml:space="preserve">oštećenja funkcije jetre. Farmakokinetika sorafeniba kod pacijenata bez hepatocelularnog karcinoma i oštećenjem funkcije jetre </w:t>
      </w:r>
      <w:r w:rsidRPr="00C256EF">
        <w:rPr>
          <w:i/>
          <w:lang w:val="sr-Latn-RS"/>
        </w:rPr>
        <w:t xml:space="preserve">Child-Pugh </w:t>
      </w:r>
      <w:r w:rsidRPr="00C256EF">
        <w:rPr>
          <w:lang w:val="sr-Latn-RS"/>
        </w:rPr>
        <w:t xml:space="preserve">stadijuma A i B bila je slična farmakokinetici sorafeniba kod zdravih dobrovoljaca. </w:t>
      </w:r>
      <w:r w:rsidRPr="00C256EF">
        <w:rPr>
          <w:spacing w:val="-3"/>
          <w:lang w:val="sr-Latn-RS"/>
        </w:rPr>
        <w:t xml:space="preserve">Nema </w:t>
      </w:r>
      <w:r w:rsidRPr="00C256EF">
        <w:rPr>
          <w:lang w:val="sr-Latn-RS"/>
        </w:rPr>
        <w:t xml:space="preserve">podataka o pacijentima sa (teškim) stadijumom oštećenja funkcije jetre </w:t>
      </w:r>
      <w:r w:rsidRPr="00C256EF">
        <w:rPr>
          <w:i/>
          <w:lang w:val="sr-Latn-RS"/>
        </w:rPr>
        <w:t xml:space="preserve">Child-Pugh </w:t>
      </w:r>
      <w:r w:rsidRPr="00C256EF">
        <w:rPr>
          <w:lang w:val="sr-Latn-RS"/>
        </w:rPr>
        <w:t xml:space="preserve">C. Sorafenib </w:t>
      </w:r>
      <w:r w:rsidRPr="00C256EF">
        <w:rPr>
          <w:spacing w:val="2"/>
          <w:lang w:val="sr-Latn-RS"/>
        </w:rPr>
        <w:t xml:space="preserve">se </w:t>
      </w:r>
      <w:r w:rsidRPr="00C256EF">
        <w:rPr>
          <w:lang w:val="sr-Latn-RS"/>
        </w:rPr>
        <w:t>uglavnom eliminiše putem jetre i u ovoj populaciji pacijenata izloženost bi mogla da bude</w:t>
      </w:r>
      <w:r w:rsidRPr="00C256EF">
        <w:rPr>
          <w:spacing w:val="-4"/>
          <w:lang w:val="sr-Latn-RS"/>
        </w:rPr>
        <w:t xml:space="preserve"> </w:t>
      </w:r>
      <w:r w:rsidRPr="00C256EF">
        <w:rPr>
          <w:lang w:val="sr-Latn-RS"/>
        </w:rPr>
        <w:t>povećana.</w:t>
      </w:r>
    </w:p>
    <w:p w14:paraId="61D9188D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8C1AC8B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5.3.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0905180E" w14:textId="77777777" w:rsidR="00836B35" w:rsidRPr="00C256EF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A7D15E2" w14:textId="34CB81F5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Pretklinički bezb</w:t>
      </w:r>
      <w:r w:rsidR="00182169" w:rsidRPr="00C256EF">
        <w:rPr>
          <w:lang w:val="sr-Latn-RS"/>
        </w:rPr>
        <w:t>j</w:t>
      </w:r>
      <w:r w:rsidRPr="00C256EF">
        <w:rPr>
          <w:lang w:val="sr-Latn-RS"/>
        </w:rPr>
        <w:t>ednosni profil sorafeniba proc</w:t>
      </w:r>
      <w:r w:rsidR="00182169" w:rsidRPr="00C256EF">
        <w:rPr>
          <w:lang w:val="sr-Latn-RS"/>
        </w:rPr>
        <w:t>j</w:t>
      </w:r>
      <w:r w:rsidRPr="00C256EF">
        <w:rPr>
          <w:lang w:val="sr-Latn-RS"/>
        </w:rPr>
        <w:t>enjivan je na miševima, pacovima, psima i kunićima.</w:t>
      </w:r>
    </w:p>
    <w:p w14:paraId="2BBD80F4" w14:textId="5DB77BAE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Studije toksičnosti pri ponovljenim dozama otkrile su prom</w:t>
      </w:r>
      <w:r w:rsidR="00182169" w:rsidRPr="00C256EF">
        <w:rPr>
          <w:lang w:val="sr-Latn-RS"/>
        </w:rPr>
        <w:t>j</w:t>
      </w:r>
      <w:r w:rsidRPr="00C256EF">
        <w:rPr>
          <w:lang w:val="sr-Latn-RS"/>
        </w:rPr>
        <w:t xml:space="preserve">ene (degeneracije i regeneracije) na raznim organima pri izloženostima ispod predviđenih za kliničku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 xml:space="preserve">u (zasnovano na poređenju PIK </w:t>
      </w:r>
      <w:r w:rsidR="001659AE" w:rsidRPr="00C256EF">
        <w:rPr>
          <w:lang w:val="sr-Latn-RS"/>
        </w:rPr>
        <w:t>vrijedno</w:t>
      </w:r>
      <w:r w:rsidRPr="00C256EF">
        <w:rPr>
          <w:lang w:val="sr-Latn-RS"/>
        </w:rPr>
        <w:t xml:space="preserve">sti). </w:t>
      </w:r>
    </w:p>
    <w:p w14:paraId="2008E23D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0FDC1096" w14:textId="5484FC9B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Posl</w:t>
      </w:r>
      <w:r w:rsidR="00B874F5" w:rsidRPr="00C256EF">
        <w:rPr>
          <w:lang w:val="sr-Latn-RS"/>
        </w:rPr>
        <w:t>ij</w:t>
      </w:r>
      <w:r w:rsidRPr="00C256EF">
        <w:rPr>
          <w:lang w:val="sr-Latn-RS"/>
        </w:rPr>
        <w:t>e ponavljanih doza kod mladih pasa i pasa u razvoju, prim</w:t>
      </w:r>
      <w:r w:rsidR="00B874F5" w:rsidRPr="00C256EF">
        <w:rPr>
          <w:lang w:val="sr-Latn-RS"/>
        </w:rPr>
        <w:t>ij</w:t>
      </w:r>
      <w:r w:rsidRPr="00C256EF">
        <w:rPr>
          <w:lang w:val="sr-Latn-RS"/>
        </w:rPr>
        <w:t>ećeni su uticaji na kosti i zube, pri izloženostima nižim od kliničkih. Prom</w:t>
      </w:r>
      <w:r w:rsidR="00B874F5" w:rsidRPr="00C256EF">
        <w:rPr>
          <w:lang w:val="sr-Latn-RS"/>
        </w:rPr>
        <w:t>j</w:t>
      </w:r>
      <w:r w:rsidRPr="00C256EF">
        <w:rPr>
          <w:lang w:val="sr-Latn-RS"/>
        </w:rPr>
        <w:t>ene su se sastojale u nepravilnim zadebljanjima na ploči rasta butne kosti, hipocelularnosti koštane srži u području uz izm</w:t>
      </w:r>
      <w:r w:rsidR="00182169" w:rsidRPr="00C256EF">
        <w:rPr>
          <w:lang w:val="sr-Latn-RS"/>
        </w:rPr>
        <w:t>ij</w:t>
      </w:r>
      <w:r w:rsidRPr="00C256EF">
        <w:rPr>
          <w:lang w:val="sr-Latn-RS"/>
        </w:rPr>
        <w:t>enjenu ploču rasta i prom</w:t>
      </w:r>
      <w:r w:rsidR="00B874F5" w:rsidRPr="00C256EF">
        <w:rPr>
          <w:lang w:val="sr-Latn-RS"/>
        </w:rPr>
        <w:t>j</w:t>
      </w:r>
      <w:r w:rsidRPr="00C256EF">
        <w:rPr>
          <w:lang w:val="sr-Latn-RS"/>
        </w:rPr>
        <w:t xml:space="preserve">enama sastava dentina. Slični efekti </w:t>
      </w:r>
      <w:r w:rsidR="00DA6303" w:rsidRPr="00C256EF">
        <w:rPr>
          <w:lang w:val="sr-Latn-RS"/>
        </w:rPr>
        <w:t>nijesu</w:t>
      </w:r>
      <w:r w:rsidRPr="00C256EF">
        <w:rPr>
          <w:lang w:val="sr-Latn-RS"/>
        </w:rPr>
        <w:t xml:space="preserve"> izazvani kod odraslih pasa.</w:t>
      </w:r>
    </w:p>
    <w:p w14:paraId="0874F67B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</w:p>
    <w:p w14:paraId="0A2071B4" w14:textId="77777777" w:rsidR="00DA1672" w:rsidRPr="00C256EF" w:rsidRDefault="00DA1672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Sproveden je i standardni program studija genotoksičnosti, a pozitivni rezultati dobijeni su kao povećanje strukturnih hromozomskih aberacija u </w:t>
      </w:r>
      <w:r w:rsidRPr="00C256EF">
        <w:rPr>
          <w:i/>
          <w:lang w:val="sr-Latn-RS"/>
        </w:rPr>
        <w:t xml:space="preserve">in vitro </w:t>
      </w:r>
      <w:r w:rsidRPr="00C256EF">
        <w:rPr>
          <w:lang w:val="sr-Latn-RS"/>
        </w:rPr>
        <w:t xml:space="preserve">uzorku ćelija sisara (ovarijum kineskog hrčka) za klastogenost u prisustvu metaboličke aktivacije. Sorafenib nije bio genotoksičan u Amesovom testu ili u </w:t>
      </w:r>
      <w:r w:rsidRPr="00C256EF">
        <w:rPr>
          <w:i/>
          <w:lang w:val="sr-Latn-RS"/>
        </w:rPr>
        <w:t xml:space="preserve">in vivo </w:t>
      </w:r>
      <w:r w:rsidRPr="00C256EF">
        <w:rPr>
          <w:lang w:val="sr-Latn-RS"/>
        </w:rPr>
        <w:t xml:space="preserve">mikronukleusnom testu na miševima. Jedan intermedijer iz proizvodnog procesa, koji je prisutan i u finalnoj aktivnoj supstanci (&lt; 0,15%), bio je pozitivan na mutagenost u </w:t>
      </w:r>
      <w:r w:rsidRPr="00C256EF">
        <w:rPr>
          <w:i/>
          <w:lang w:val="sr-Latn-RS"/>
        </w:rPr>
        <w:t xml:space="preserve">in vitro </w:t>
      </w:r>
      <w:r w:rsidRPr="00C256EF">
        <w:rPr>
          <w:lang w:val="sr-Latn-RS"/>
        </w:rPr>
        <w:t>bakterijskom ćelijskom uzorku (Amesov test). Štaviše, proizvodna serija sorafeniba, testirana standardnim nizom testova genotoksičnosti, imala je 0,34% PAPE.</w:t>
      </w:r>
    </w:p>
    <w:p w14:paraId="19B6AF87" w14:textId="596B7BF0" w:rsidR="00DA1672" w:rsidRPr="00C256EF" w:rsidRDefault="00DA6303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Nijesu</w:t>
      </w:r>
      <w:r w:rsidR="00DA1672" w:rsidRPr="00C256EF">
        <w:rPr>
          <w:lang w:val="sr-Latn-RS"/>
        </w:rPr>
        <w:t xml:space="preserve"> sprovedena ispitivanja karcinogenosti sa sorafenibom.</w:t>
      </w:r>
    </w:p>
    <w:p w14:paraId="10789D2C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7E324D43" w14:textId="7C125D27" w:rsidR="00DA1672" w:rsidRPr="00C256EF" w:rsidRDefault="00DA6303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Nijesu</w:t>
      </w:r>
      <w:r w:rsidR="00DA1672" w:rsidRPr="00C256EF">
        <w:rPr>
          <w:lang w:val="sr-Latn-RS"/>
        </w:rPr>
        <w:t xml:space="preserve"> sprovedena nikakva posebna ispitivanja sorafeniba na životinjama kako bi se proc</w:t>
      </w:r>
      <w:r w:rsidR="00182169" w:rsidRPr="00C256EF">
        <w:rPr>
          <w:lang w:val="sr-Latn-RS"/>
        </w:rPr>
        <w:t>ij</w:t>
      </w:r>
      <w:r w:rsidR="00DA1672" w:rsidRPr="00C256EF">
        <w:rPr>
          <w:lang w:val="sr-Latn-RS"/>
        </w:rPr>
        <w:t>enio uticaj na plodnost. Međutim, može se očekivati neželjeno d</w:t>
      </w:r>
      <w:r w:rsidR="00182169" w:rsidRPr="00C256EF">
        <w:rPr>
          <w:lang w:val="sr-Latn-RS"/>
        </w:rPr>
        <w:t>j</w:t>
      </w:r>
      <w:r w:rsidR="00DA1672" w:rsidRPr="00C256EF">
        <w:rPr>
          <w:lang w:val="sr-Latn-RS"/>
        </w:rPr>
        <w:t xml:space="preserve">elovanje na plodnost kod muškaraca i žena, jer su studije ponovljenog doziranja na životinjama pokazale promene na muškim i ženskim reproduktivnim organima pri izloženostima ispod predviđenih za kliničku </w:t>
      </w:r>
      <w:r w:rsidR="001659AE" w:rsidRPr="00C256EF">
        <w:rPr>
          <w:lang w:val="sr-Latn-RS"/>
        </w:rPr>
        <w:t>primjen</w:t>
      </w:r>
      <w:r w:rsidR="00DA1672" w:rsidRPr="00C256EF">
        <w:rPr>
          <w:lang w:val="sr-Latn-RS"/>
        </w:rPr>
        <w:t xml:space="preserve">u (zasnovano na PIK </w:t>
      </w:r>
      <w:r w:rsidR="001659AE" w:rsidRPr="00C256EF">
        <w:rPr>
          <w:lang w:val="sr-Latn-RS"/>
        </w:rPr>
        <w:t>vrijedno</w:t>
      </w:r>
      <w:r w:rsidR="00DA1672" w:rsidRPr="00C256EF">
        <w:rPr>
          <w:lang w:val="sr-Latn-RS"/>
        </w:rPr>
        <w:t>stima). Tipične prom</w:t>
      </w:r>
      <w:r w:rsidR="00BB036E" w:rsidRPr="00C256EF">
        <w:rPr>
          <w:lang w:val="sr-Latn-RS"/>
        </w:rPr>
        <w:t>j</w:t>
      </w:r>
      <w:r w:rsidR="00DA1672" w:rsidRPr="00C256EF">
        <w:rPr>
          <w:lang w:val="sr-Latn-RS"/>
        </w:rPr>
        <w:t>ene sastojale su se od znakova degeneracije i zastoja rasta u testisima, epididimisu, prostati i seminalnim vezikulama pacova. Ženke pacova pokazivale su centralnu nekrozu žutog t</w:t>
      </w:r>
      <w:r w:rsidR="00BB036E" w:rsidRPr="00C256EF">
        <w:rPr>
          <w:lang w:val="sr-Latn-RS"/>
        </w:rPr>
        <w:t>ij</w:t>
      </w:r>
      <w:r w:rsidR="00DA1672" w:rsidRPr="00C256EF">
        <w:rPr>
          <w:lang w:val="sr-Latn-RS"/>
        </w:rPr>
        <w:t>ela i zastoj u razvoju folikula u jajnicima. Kod pasa je nađena tubularna degeneracija u testisima i oligospermija.</w:t>
      </w:r>
    </w:p>
    <w:p w14:paraId="6ACB10F4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07CEBE42" w14:textId="1A83BAC8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Za sorafenib je pokazano da je embriotoksičan i teratogen, prilikom </w:t>
      </w:r>
      <w:r w:rsidR="001659AE" w:rsidRPr="00C256EF">
        <w:rPr>
          <w:lang w:val="sr-Latn-RS"/>
        </w:rPr>
        <w:t>primjen</w:t>
      </w:r>
      <w:r w:rsidRPr="00C256EF">
        <w:rPr>
          <w:lang w:val="sr-Latn-RS"/>
        </w:rPr>
        <w:t>e kod pacova i kunića pri izloženosti nižoj od kliničkih. Prim</w:t>
      </w:r>
      <w:r w:rsidR="00BB036E" w:rsidRPr="00C256EF">
        <w:rPr>
          <w:lang w:val="sr-Latn-RS"/>
        </w:rPr>
        <w:t>ij</w:t>
      </w:r>
      <w:r w:rsidRPr="00C256EF">
        <w:rPr>
          <w:lang w:val="sr-Latn-RS"/>
        </w:rPr>
        <w:t>ećeni efekti uključivali su smanjenje t</w:t>
      </w:r>
      <w:r w:rsidR="00BB036E" w:rsidRPr="00C256EF">
        <w:rPr>
          <w:lang w:val="sr-Latn-RS"/>
        </w:rPr>
        <w:t>j</w:t>
      </w:r>
      <w:r w:rsidRPr="00C256EF">
        <w:rPr>
          <w:lang w:val="sr-Latn-RS"/>
        </w:rPr>
        <w:t>elesne mase majke i fetusa,  povećani broj resorpcija fetusa i povećani broj spoljašnjih i visceralnih</w:t>
      </w:r>
      <w:r w:rsidRPr="00C256EF">
        <w:rPr>
          <w:spacing w:val="-9"/>
          <w:lang w:val="sr-Latn-RS"/>
        </w:rPr>
        <w:t xml:space="preserve"> </w:t>
      </w:r>
      <w:r w:rsidRPr="00C256EF">
        <w:rPr>
          <w:lang w:val="sr-Latn-RS"/>
        </w:rPr>
        <w:t>malformacija.</w:t>
      </w:r>
    </w:p>
    <w:p w14:paraId="2165AD44" w14:textId="61EEF206" w:rsidR="00DA1672" w:rsidRPr="00C256EF" w:rsidRDefault="00DA1672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lastRenderedPageBreak/>
        <w:t>Studije proc</w:t>
      </w:r>
      <w:r w:rsidR="00B874F5" w:rsidRPr="00C256EF">
        <w:rPr>
          <w:lang w:val="sr-Latn-RS"/>
        </w:rPr>
        <w:t>j</w:t>
      </w:r>
      <w:r w:rsidRPr="00C256EF">
        <w:rPr>
          <w:lang w:val="sr-Latn-RS"/>
        </w:rPr>
        <w:t>ene rizika za okolinu pokazale su da sorafenib-tosilat ima potencijal perzistencije, bioakumulacije i toksičnosti po okolinu. Informacije o proc</w:t>
      </w:r>
      <w:r w:rsidR="00BB036E" w:rsidRPr="00C256EF">
        <w:rPr>
          <w:lang w:val="sr-Latn-RS"/>
        </w:rPr>
        <w:t>j</w:t>
      </w:r>
      <w:r w:rsidRPr="00C256EF">
        <w:rPr>
          <w:lang w:val="sr-Latn-RS"/>
        </w:rPr>
        <w:t xml:space="preserve">eni rizika po okolinu (engl. </w:t>
      </w:r>
      <w:r w:rsidRPr="00C256EF">
        <w:rPr>
          <w:i/>
          <w:lang w:val="sr-Latn-RS"/>
        </w:rPr>
        <w:t>Environmental Risk Assessment information</w:t>
      </w:r>
      <w:r w:rsidRPr="00C256EF">
        <w:rPr>
          <w:lang w:val="sr-Latn-RS"/>
        </w:rPr>
        <w:t>) dostupne su na sajtu Evropske agencije za l</w:t>
      </w:r>
      <w:r w:rsidR="00375E66" w:rsidRPr="00C256EF">
        <w:rPr>
          <w:lang w:val="sr-Latn-RS"/>
        </w:rPr>
        <w:t>j</w:t>
      </w:r>
      <w:r w:rsidRPr="00C256EF">
        <w:rPr>
          <w:lang w:val="sr-Latn-RS"/>
        </w:rPr>
        <w:t xml:space="preserve">ekove u okviru EPAR dokumenta za ovaj </w:t>
      </w:r>
      <w:r w:rsidR="00375E66" w:rsidRPr="00C256EF">
        <w:rPr>
          <w:lang w:val="sr-Latn-RS"/>
        </w:rPr>
        <w:t>lijek</w:t>
      </w:r>
      <w:r w:rsidRPr="00C256EF">
        <w:rPr>
          <w:lang w:val="sr-Latn-RS"/>
        </w:rPr>
        <w:t xml:space="preserve"> (</w:t>
      </w:r>
      <w:r w:rsidR="00DA6303" w:rsidRPr="00C256EF">
        <w:rPr>
          <w:lang w:val="sr-Latn-RS"/>
        </w:rPr>
        <w:t>vidjeti</w:t>
      </w:r>
      <w:r w:rsidRPr="00C256EF">
        <w:rPr>
          <w:lang w:val="sr-Latn-RS"/>
        </w:rPr>
        <w:t xml:space="preserve"> </w:t>
      </w:r>
      <w:r w:rsidR="00375E66" w:rsidRPr="00C256EF">
        <w:rPr>
          <w:lang w:val="sr-Latn-RS"/>
        </w:rPr>
        <w:t>dio</w:t>
      </w:r>
      <w:r w:rsidRPr="00C256EF">
        <w:rPr>
          <w:spacing w:val="1"/>
          <w:lang w:val="sr-Latn-RS"/>
        </w:rPr>
        <w:t xml:space="preserve"> </w:t>
      </w:r>
      <w:r w:rsidRPr="00C256EF">
        <w:rPr>
          <w:lang w:val="sr-Latn-RS"/>
        </w:rPr>
        <w:t>6.6).</w:t>
      </w:r>
    </w:p>
    <w:p w14:paraId="63421DC6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3789679" w14:textId="77777777" w:rsidR="00396DFD" w:rsidRPr="00C256EF" w:rsidRDefault="00396D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4315B13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6.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FARMACEUTSKI PODACI</w:t>
      </w:r>
    </w:p>
    <w:p w14:paraId="547FCDCE" w14:textId="77777777" w:rsidR="00836B35" w:rsidRPr="00C256EF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60732E0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6.1.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Lista pomoćnih supstanci</w:t>
      </w:r>
      <w:r w:rsidR="002E0135" w:rsidRPr="00C256EF">
        <w:rPr>
          <w:b/>
          <w:bCs/>
          <w:sz w:val="22"/>
          <w:szCs w:val="22"/>
          <w:lang w:val="sr-Latn-RS"/>
        </w:rPr>
        <w:t xml:space="preserve"> (ekscipijenasa)</w:t>
      </w:r>
    </w:p>
    <w:p w14:paraId="747DA13A" w14:textId="77777777" w:rsidR="00DA1672" w:rsidRPr="00C256EF" w:rsidRDefault="00DA16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49799B0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Jezgro tablete</w:t>
      </w:r>
      <w:r w:rsidRPr="00C256EF">
        <w:rPr>
          <w:lang w:val="sr-Latn-RS"/>
        </w:rPr>
        <w:t>:</w:t>
      </w:r>
    </w:p>
    <w:p w14:paraId="76EFEF24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Hipromeloza 2910 (E464)</w:t>
      </w:r>
    </w:p>
    <w:p w14:paraId="6DB6422B" w14:textId="4AA14A7F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Kroskarmeloza</w:t>
      </w:r>
      <w:r w:rsidR="004108DC" w:rsidRPr="00C256EF">
        <w:rPr>
          <w:lang w:val="sr-Latn-RS"/>
        </w:rPr>
        <w:t xml:space="preserve"> </w:t>
      </w:r>
      <w:r w:rsidRPr="00C256EF">
        <w:rPr>
          <w:lang w:val="sr-Latn-RS"/>
        </w:rPr>
        <w:t>natrijum (E468)</w:t>
      </w:r>
    </w:p>
    <w:p w14:paraId="041562D6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Celuloza, mikrokristalna (E460)</w:t>
      </w:r>
    </w:p>
    <w:p w14:paraId="437D5EEB" w14:textId="28B3BAB0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Magnezijum</w:t>
      </w:r>
      <w:r w:rsidR="004108DC" w:rsidRPr="00C256EF">
        <w:rPr>
          <w:lang w:val="sr-Latn-RS"/>
        </w:rPr>
        <w:t xml:space="preserve"> </w:t>
      </w:r>
      <w:r w:rsidRPr="00C256EF">
        <w:rPr>
          <w:lang w:val="sr-Latn-RS"/>
        </w:rPr>
        <w:t>stearat (E470b)</w:t>
      </w:r>
    </w:p>
    <w:p w14:paraId="3BAF3989" w14:textId="120DAF88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Natrijum</w:t>
      </w:r>
      <w:r w:rsidR="004108DC" w:rsidRPr="00C256EF">
        <w:rPr>
          <w:lang w:val="sr-Latn-RS"/>
        </w:rPr>
        <w:t xml:space="preserve"> </w:t>
      </w:r>
      <w:r w:rsidRPr="00C256EF">
        <w:rPr>
          <w:lang w:val="sr-Latn-RS"/>
        </w:rPr>
        <w:t>laurilsulfat (E514)</w:t>
      </w:r>
    </w:p>
    <w:p w14:paraId="4C3F0048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27FA96E2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u w:val="single"/>
          <w:lang w:val="sr-Latn-RS"/>
        </w:rPr>
        <w:t>Film (obloga)</w:t>
      </w:r>
      <w:r w:rsidRPr="00C256EF">
        <w:rPr>
          <w:spacing w:val="-13"/>
          <w:u w:val="single"/>
          <w:lang w:val="sr-Latn-RS"/>
        </w:rPr>
        <w:t xml:space="preserve"> </w:t>
      </w:r>
      <w:r w:rsidRPr="00C256EF">
        <w:rPr>
          <w:u w:val="single"/>
          <w:lang w:val="sr-Latn-RS"/>
        </w:rPr>
        <w:t>tablete</w:t>
      </w:r>
      <w:r w:rsidRPr="00C256EF">
        <w:rPr>
          <w:lang w:val="sr-Latn-RS"/>
        </w:rPr>
        <w:t>:</w:t>
      </w:r>
    </w:p>
    <w:p w14:paraId="537B35F1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Hipromeloza 2910 (E464)</w:t>
      </w:r>
    </w:p>
    <w:p w14:paraId="38D13039" w14:textId="3213B3B9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Titan</w:t>
      </w:r>
      <w:r w:rsidR="004108DC" w:rsidRPr="00C256EF">
        <w:rPr>
          <w:lang w:val="sr-Latn-RS"/>
        </w:rPr>
        <w:t xml:space="preserve"> </w:t>
      </w:r>
      <w:r w:rsidRPr="00C256EF">
        <w:rPr>
          <w:lang w:val="sr-Latn-RS"/>
        </w:rPr>
        <w:t xml:space="preserve">dioksid (E171) </w:t>
      </w:r>
    </w:p>
    <w:p w14:paraId="4C33D419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Makrogol (E1521)</w:t>
      </w:r>
    </w:p>
    <w:p w14:paraId="7B5C914E" w14:textId="38E2865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Gvožđe</w:t>
      </w:r>
      <w:r w:rsidR="004108DC" w:rsidRPr="00C256EF">
        <w:rPr>
          <w:lang w:val="sr-Latn-RS"/>
        </w:rPr>
        <w:t xml:space="preserve"> </w:t>
      </w:r>
      <w:r w:rsidRPr="00C256EF">
        <w:rPr>
          <w:lang w:val="sr-Latn-RS"/>
        </w:rPr>
        <w:t xml:space="preserve">oksid, crveni (E172) </w:t>
      </w:r>
    </w:p>
    <w:p w14:paraId="1D378974" w14:textId="0F27925F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6A0E4F4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6.2.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Inkompatibilnost</w:t>
      </w:r>
      <w:r w:rsidR="002846DB" w:rsidRPr="00C256EF">
        <w:rPr>
          <w:b/>
          <w:bCs/>
          <w:sz w:val="22"/>
          <w:szCs w:val="22"/>
          <w:lang w:val="sr-Latn-RS"/>
        </w:rPr>
        <w:t>i</w:t>
      </w:r>
    </w:p>
    <w:p w14:paraId="163F7D72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3A5E08D9" w14:textId="2C60BD00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Nije primjenljivo.</w:t>
      </w:r>
    </w:p>
    <w:p w14:paraId="45AA8931" w14:textId="37BB52C8" w:rsidR="00DA1672" w:rsidRPr="00C256EF" w:rsidRDefault="00DA16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F5DEDD7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>6.3.</w:t>
      </w:r>
      <w:r w:rsidR="00C05DF8" w:rsidRPr="00C256EF">
        <w:rPr>
          <w:b/>
          <w:bCs/>
          <w:sz w:val="22"/>
          <w:szCs w:val="22"/>
          <w:lang w:val="sr-Latn-RS"/>
        </w:rPr>
        <w:t xml:space="preserve">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Rok upotrebe</w:t>
      </w:r>
    </w:p>
    <w:p w14:paraId="45820D10" w14:textId="77777777" w:rsidR="004108DC" w:rsidRPr="00C256EF" w:rsidRDefault="004108DC" w:rsidP="007E1ACC">
      <w:pPr>
        <w:pStyle w:val="BodyText"/>
        <w:ind w:left="0" w:right="30"/>
        <w:jc w:val="both"/>
        <w:rPr>
          <w:lang w:val="sr-Latn-RS"/>
        </w:rPr>
      </w:pPr>
    </w:p>
    <w:p w14:paraId="7EE63A8D" w14:textId="27D38A79" w:rsidR="00DA1672" w:rsidRPr="00C256EF" w:rsidRDefault="00022BC8" w:rsidP="007E1ACC">
      <w:pPr>
        <w:pStyle w:val="BodyText"/>
        <w:ind w:left="0" w:right="30"/>
        <w:rPr>
          <w:lang w:val="sr-Latn-RS"/>
        </w:rPr>
      </w:pPr>
      <w:r w:rsidRPr="00C256EF">
        <w:rPr>
          <w:lang w:val="sr-Latn-RS"/>
        </w:rPr>
        <w:t xml:space="preserve">4 </w:t>
      </w:r>
      <w:r w:rsidR="00DA1672" w:rsidRPr="00C256EF">
        <w:rPr>
          <w:lang w:val="sr-Latn-RS"/>
        </w:rPr>
        <w:t>godine</w:t>
      </w:r>
    </w:p>
    <w:p w14:paraId="317A2CAB" w14:textId="77777777" w:rsidR="0072020E" w:rsidRPr="00C256EF" w:rsidRDefault="0072020E" w:rsidP="00F95F4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710749D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6.4.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C256EF">
        <w:rPr>
          <w:b/>
          <w:bCs/>
          <w:sz w:val="22"/>
          <w:szCs w:val="22"/>
          <w:lang w:val="sr-Latn-RS"/>
        </w:rPr>
        <w:t xml:space="preserve"> lijeka</w:t>
      </w:r>
    </w:p>
    <w:p w14:paraId="5B4F9F2B" w14:textId="77777777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</w:p>
    <w:p w14:paraId="2E60F0D4" w14:textId="40B42DD8" w:rsidR="00DA1672" w:rsidRPr="00C256EF" w:rsidRDefault="00DA1672" w:rsidP="007E1ACC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Čuvati na temperaturi do 30°C.</w:t>
      </w:r>
    </w:p>
    <w:p w14:paraId="0D56725F" w14:textId="77777777" w:rsidR="00EC2532" w:rsidRPr="00C256EF" w:rsidRDefault="00EC2532" w:rsidP="00F95F4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86E56FD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6.5.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="002846DB" w:rsidRPr="00C256EF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C256EF">
        <w:rPr>
          <w:b/>
          <w:bCs/>
          <w:sz w:val="22"/>
          <w:szCs w:val="22"/>
          <w:lang w:val="sr-Latn-RS"/>
        </w:rPr>
        <w:t>pakovanja</w:t>
      </w:r>
      <w:r w:rsidR="00C06864" w:rsidRPr="00C256EF">
        <w:rPr>
          <w:b/>
          <w:bCs/>
          <w:sz w:val="22"/>
          <w:szCs w:val="22"/>
          <w:lang w:val="sr-Latn-RS"/>
        </w:rPr>
        <w:t xml:space="preserve"> </w:t>
      </w:r>
    </w:p>
    <w:p w14:paraId="106467F0" w14:textId="77777777" w:rsidR="00375E66" w:rsidRPr="00C256EF" w:rsidRDefault="00375E66" w:rsidP="007E1ACC">
      <w:pPr>
        <w:pStyle w:val="BodyText"/>
        <w:ind w:left="0" w:right="30"/>
        <w:jc w:val="both"/>
        <w:rPr>
          <w:lang w:val="sr-Latn-RS"/>
        </w:rPr>
      </w:pPr>
    </w:p>
    <w:p w14:paraId="47CE4BEB" w14:textId="7190C8EC" w:rsidR="00375E66" w:rsidRPr="00C256EF" w:rsidRDefault="00375E66" w:rsidP="00F95F4D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Unutrašnje pakovanje lijeka je Al-PVC/PE/PVDC blister. Jedan blister sadrži 28 film tableta. </w:t>
      </w:r>
    </w:p>
    <w:p w14:paraId="5043614B" w14:textId="701F1758" w:rsidR="00375E66" w:rsidRPr="00C256EF" w:rsidRDefault="00375E66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 xml:space="preserve">Spoljašnje pakovanje je složiva kartonska kutija koja sadrži 4 blistera (ukupno 112 film tableta) i Uputstvo za lijek. </w:t>
      </w:r>
    </w:p>
    <w:p w14:paraId="4C0C15C1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6AB71E5" w14:textId="77777777" w:rsidR="002846DB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6.6.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C256EF">
        <w:rPr>
          <w:b/>
          <w:bCs/>
          <w:sz w:val="22"/>
          <w:szCs w:val="22"/>
          <w:lang w:val="sr-Latn-RS"/>
        </w:rPr>
        <w:t xml:space="preserve"> </w:t>
      </w:r>
      <w:r w:rsidR="00310F03" w:rsidRPr="00C256EF">
        <w:rPr>
          <w:b/>
          <w:bCs/>
          <w:sz w:val="22"/>
          <w:szCs w:val="22"/>
          <w:lang w:val="sr-Latn-RS"/>
        </w:rPr>
        <w:t>(i druga uputs</w:t>
      </w:r>
      <w:r w:rsidR="004109FA" w:rsidRPr="00C256EF">
        <w:rPr>
          <w:b/>
          <w:bCs/>
          <w:sz w:val="22"/>
          <w:szCs w:val="22"/>
          <w:lang w:val="sr-Latn-RS"/>
        </w:rPr>
        <w:t>t</w:t>
      </w:r>
      <w:r w:rsidR="00310F03" w:rsidRPr="00C256EF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7A3D1D6D" w14:textId="77777777" w:rsidR="00B66A70" w:rsidRPr="00C256EF" w:rsidRDefault="00B66A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F3537BD" w14:textId="0410796C" w:rsidR="00375E66" w:rsidRPr="00C256EF" w:rsidRDefault="00375E66">
      <w:pPr>
        <w:pStyle w:val="BodyText"/>
        <w:ind w:left="0" w:right="30"/>
        <w:jc w:val="both"/>
        <w:rPr>
          <w:lang w:val="sr-Latn-RS"/>
        </w:rPr>
      </w:pPr>
      <w:r w:rsidRPr="00C256EF">
        <w:rPr>
          <w:lang w:val="sr-Latn-RS"/>
        </w:rPr>
        <w:t>Ovaj lijek može predstavljati potencijalni rizik po okolinu. Svu neiskorišćenu količinu lijeka ili otpadnog materijala nakon njegove upotrebe treba ukloniti, u skladu sa važećim propisima.</w:t>
      </w:r>
    </w:p>
    <w:p w14:paraId="0A38C6F4" w14:textId="77777777" w:rsidR="00375E66" w:rsidRPr="00C256EF" w:rsidRDefault="00375E6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59EEA7E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C969C0C" w14:textId="77777777" w:rsidR="00F8570A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7.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NOSILAC DOZVOLE</w:t>
      </w:r>
      <w:r w:rsidR="00483928" w:rsidRPr="00C256EF">
        <w:rPr>
          <w:b/>
          <w:bCs/>
          <w:sz w:val="22"/>
          <w:szCs w:val="22"/>
          <w:lang w:val="sr-Latn-RS"/>
        </w:rPr>
        <w:t xml:space="preserve"> </w:t>
      </w:r>
    </w:p>
    <w:p w14:paraId="08ED3BA6" w14:textId="77777777" w:rsidR="00C61BE0" w:rsidRPr="00C256EF" w:rsidRDefault="00C61B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0160721" w14:textId="04270B0C" w:rsidR="00C37FD7" w:rsidRPr="00C256EF" w:rsidRDefault="00375E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256EF">
        <w:rPr>
          <w:bCs/>
          <w:sz w:val="22"/>
          <w:szCs w:val="22"/>
          <w:lang w:val="sr-Latn-RS"/>
        </w:rPr>
        <w:t>Glosarij d.o.o.</w:t>
      </w:r>
      <w:r w:rsidR="00B874F5" w:rsidRPr="00C256EF">
        <w:rPr>
          <w:bCs/>
          <w:sz w:val="22"/>
          <w:szCs w:val="22"/>
          <w:lang w:val="sr-Latn-RS"/>
        </w:rPr>
        <w:t>, Podgorica</w:t>
      </w:r>
    </w:p>
    <w:p w14:paraId="283DC7D9" w14:textId="00C73E71" w:rsidR="00375E66" w:rsidRPr="00C256EF" w:rsidRDefault="00375E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256EF">
        <w:rPr>
          <w:bCs/>
          <w:sz w:val="22"/>
          <w:szCs w:val="22"/>
          <w:lang w:val="sr-Latn-RS"/>
        </w:rPr>
        <w:t xml:space="preserve">Vojislavljevića 76, </w:t>
      </w:r>
      <w:r w:rsidR="00B874F5" w:rsidRPr="00C256EF">
        <w:rPr>
          <w:bCs/>
          <w:sz w:val="22"/>
          <w:szCs w:val="22"/>
          <w:lang w:val="sr-Latn-RS"/>
        </w:rPr>
        <w:t xml:space="preserve">81000, </w:t>
      </w:r>
      <w:r w:rsidRPr="00C256EF">
        <w:rPr>
          <w:bCs/>
          <w:sz w:val="22"/>
          <w:szCs w:val="22"/>
          <w:lang w:val="sr-Latn-RS"/>
        </w:rPr>
        <w:t>Podgorica</w:t>
      </w:r>
      <w:r w:rsidR="00B874F5" w:rsidRPr="00C256EF">
        <w:rPr>
          <w:bCs/>
          <w:sz w:val="22"/>
          <w:szCs w:val="22"/>
          <w:lang w:val="sr-Latn-RS"/>
        </w:rPr>
        <w:t>, Crna Gora.</w:t>
      </w:r>
    </w:p>
    <w:p w14:paraId="76B329F2" w14:textId="40405A49" w:rsidR="00C256EF" w:rsidRPr="00C256EF" w:rsidRDefault="00C256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FD47037" w14:textId="77777777" w:rsidR="00C256EF" w:rsidRPr="00C256EF" w:rsidRDefault="00C256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A3C3A2F" w14:textId="06E844EA" w:rsidR="00375E66" w:rsidRDefault="00375E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7A86AA0" w14:textId="08F63758" w:rsidR="00C256EF" w:rsidRDefault="00C256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8B5E38A" w14:textId="77777777" w:rsidR="00C256EF" w:rsidRPr="00C256EF" w:rsidRDefault="00C256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bookmarkStart w:id="0" w:name="_GoBack"/>
      <w:bookmarkEnd w:id="0"/>
    </w:p>
    <w:p w14:paraId="381C3CD4" w14:textId="6293CC9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lastRenderedPageBreak/>
        <w:t xml:space="preserve">8.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>BROJ DOZVOLE</w:t>
      </w:r>
      <w:r w:rsidR="008A6D43" w:rsidRPr="00C256EF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5B1C9CFD" w14:textId="5452D55C" w:rsidR="00C256EF" w:rsidRPr="00C256EF" w:rsidRDefault="00C256E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8D009A9" w14:textId="175538B5" w:rsidR="00C256EF" w:rsidRPr="00C256EF" w:rsidRDefault="00C256E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sz w:val="22"/>
          <w:szCs w:val="22"/>
          <w:lang w:val="sr-Latn-RS" w:eastAsia="sr-Latn-ME"/>
        </w:rPr>
        <w:t>2030/25/2014 - 5586</w:t>
      </w:r>
    </w:p>
    <w:p w14:paraId="2E566191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2E9B544" w14:textId="77777777" w:rsidR="00F45F77" w:rsidRPr="00C256EF" w:rsidRDefault="00F45F7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ADBD762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9.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Pr="00C256EF">
        <w:rPr>
          <w:b/>
          <w:bCs/>
          <w:sz w:val="22"/>
          <w:szCs w:val="22"/>
          <w:lang w:val="sr-Latn-RS"/>
        </w:rPr>
        <w:t xml:space="preserve">DATUM </w:t>
      </w:r>
      <w:r w:rsidR="00C05DF8" w:rsidRPr="00C256EF">
        <w:rPr>
          <w:b/>
          <w:bCs/>
          <w:sz w:val="22"/>
          <w:szCs w:val="22"/>
          <w:lang w:val="sr-Latn-RS"/>
        </w:rPr>
        <w:t xml:space="preserve">PRVE </w:t>
      </w:r>
      <w:r w:rsidR="008A6D43" w:rsidRPr="00C256EF">
        <w:rPr>
          <w:b/>
          <w:bCs/>
          <w:sz w:val="22"/>
          <w:szCs w:val="22"/>
          <w:lang w:val="sr-Latn-RS"/>
        </w:rPr>
        <w:t>DOZVOLE</w:t>
      </w:r>
      <w:r w:rsidR="00C05DF8" w:rsidRPr="00C256EF">
        <w:rPr>
          <w:b/>
          <w:bCs/>
          <w:sz w:val="22"/>
          <w:szCs w:val="22"/>
          <w:lang w:val="sr-Latn-RS"/>
        </w:rPr>
        <w:t>/OBNOVE DOZVOLE</w:t>
      </w:r>
      <w:r w:rsidR="008A6D43" w:rsidRPr="00C256EF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7EE290BB" w14:textId="77777777" w:rsidR="0072020E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4D756BC" w14:textId="02544CEB" w:rsidR="00836B35" w:rsidRPr="00C256EF" w:rsidRDefault="00C256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256EF">
        <w:rPr>
          <w:sz w:val="22"/>
          <w:szCs w:val="22"/>
          <w:lang w:val="sr-Latn-RS" w:eastAsia="sr-Latn-ME"/>
        </w:rPr>
        <w:t>09.05.2025. godine</w:t>
      </w:r>
    </w:p>
    <w:p w14:paraId="70E927B0" w14:textId="303F1BCE" w:rsidR="00C256EF" w:rsidRPr="00C256EF" w:rsidRDefault="00C256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01A7698" w14:textId="77777777" w:rsidR="00C256EF" w:rsidRPr="00C256EF" w:rsidRDefault="00C256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4274D6D" w14:textId="77777777" w:rsidR="003F6A59" w:rsidRPr="00C256EF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256EF">
        <w:rPr>
          <w:b/>
          <w:bCs/>
          <w:sz w:val="22"/>
          <w:szCs w:val="22"/>
          <w:lang w:val="sr-Latn-RS"/>
        </w:rPr>
        <w:t xml:space="preserve">10. </w:t>
      </w:r>
      <w:r w:rsidR="00480FB1" w:rsidRPr="00C256EF">
        <w:rPr>
          <w:b/>
          <w:bCs/>
          <w:sz w:val="22"/>
          <w:szCs w:val="22"/>
          <w:lang w:val="sr-Latn-RS"/>
        </w:rPr>
        <w:tab/>
      </w:r>
      <w:r w:rsidR="002846DB" w:rsidRPr="00C256EF">
        <w:rPr>
          <w:b/>
          <w:bCs/>
          <w:sz w:val="22"/>
          <w:szCs w:val="22"/>
          <w:lang w:val="sr-Latn-RS"/>
        </w:rPr>
        <w:t>D</w:t>
      </w:r>
      <w:r w:rsidR="00EC2532" w:rsidRPr="00C256EF">
        <w:rPr>
          <w:b/>
          <w:bCs/>
          <w:sz w:val="22"/>
          <w:szCs w:val="22"/>
          <w:lang w:val="sr-Latn-RS"/>
        </w:rPr>
        <w:t xml:space="preserve">ATUM REVIZIJE TEKSTA </w:t>
      </w:r>
    </w:p>
    <w:p w14:paraId="52D23459" w14:textId="77777777" w:rsidR="003F6A59" w:rsidRPr="00C256EF" w:rsidRDefault="003F6A5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52F2DCB" w14:textId="5DD176F2" w:rsidR="008A6D43" w:rsidRPr="00C256EF" w:rsidRDefault="00C256E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256EF">
        <w:rPr>
          <w:bCs/>
          <w:sz w:val="22"/>
          <w:szCs w:val="22"/>
          <w:lang w:val="sr-Latn-RS"/>
        </w:rPr>
        <w:t>Maj, 2025. godine</w:t>
      </w:r>
    </w:p>
    <w:p w14:paraId="16F76CB8" w14:textId="32713032" w:rsidR="003F6A59" w:rsidRPr="00C256EF" w:rsidRDefault="003F6A59" w:rsidP="00DA1672">
      <w:pPr>
        <w:jc w:val="both"/>
        <w:rPr>
          <w:sz w:val="22"/>
          <w:szCs w:val="22"/>
          <w:lang w:val="sr-Latn-RS"/>
        </w:rPr>
      </w:pPr>
    </w:p>
    <w:sectPr w:rsidR="003F6A59" w:rsidRPr="00C256EF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4B339" w14:textId="77777777" w:rsidR="0058319D" w:rsidRDefault="0058319D">
      <w:r>
        <w:separator/>
      </w:r>
    </w:p>
  </w:endnote>
  <w:endnote w:type="continuationSeparator" w:id="0">
    <w:p w14:paraId="629744C4" w14:textId="77777777" w:rsidR="0058319D" w:rsidRDefault="0058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8004" w14:textId="4AF17A13" w:rsidR="00022BC8" w:rsidRPr="00B23F69" w:rsidRDefault="00022BC8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256EF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256EF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35C69" w14:textId="77777777" w:rsidR="0058319D" w:rsidRDefault="0058319D">
      <w:r>
        <w:separator/>
      </w:r>
    </w:p>
  </w:footnote>
  <w:footnote w:type="continuationSeparator" w:id="0">
    <w:p w14:paraId="5E75FC82" w14:textId="77777777" w:rsidR="0058319D" w:rsidRDefault="0058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91827377" o:spid="_x0000_i1032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44174"/>
    <w:multiLevelType w:val="hybridMultilevel"/>
    <w:tmpl w:val="9BAEFA4C"/>
    <w:lvl w:ilvl="0" w:tplc="FF448554">
      <w:numFmt w:val="bullet"/>
      <w:lvlText w:val="o"/>
      <w:lvlJc w:val="left"/>
      <w:pPr>
        <w:ind w:left="592" w:hanging="360"/>
      </w:pPr>
      <w:rPr>
        <w:rFonts w:ascii="Courier New" w:eastAsia="Courier New" w:hAnsi="Courier New" w:cs="Courier New" w:hint="default"/>
        <w:w w:val="99"/>
        <w:sz w:val="22"/>
        <w:szCs w:val="22"/>
        <w:lang w:val="bs" w:eastAsia="en-US" w:bidi="ar-SA"/>
      </w:rPr>
    </w:lvl>
    <w:lvl w:ilvl="1" w:tplc="841230C0">
      <w:numFmt w:val="bullet"/>
      <w:lvlText w:val="•"/>
      <w:lvlJc w:val="left"/>
      <w:pPr>
        <w:ind w:left="1550" w:hanging="360"/>
      </w:pPr>
      <w:rPr>
        <w:rFonts w:hint="default"/>
        <w:lang w:val="bs" w:eastAsia="en-US" w:bidi="ar-SA"/>
      </w:rPr>
    </w:lvl>
    <w:lvl w:ilvl="2" w:tplc="B9F46850">
      <w:numFmt w:val="bullet"/>
      <w:lvlText w:val="•"/>
      <w:lvlJc w:val="left"/>
      <w:pPr>
        <w:ind w:left="2501" w:hanging="360"/>
      </w:pPr>
      <w:rPr>
        <w:rFonts w:hint="default"/>
        <w:lang w:val="bs" w:eastAsia="en-US" w:bidi="ar-SA"/>
      </w:rPr>
    </w:lvl>
    <w:lvl w:ilvl="3" w:tplc="530684D4">
      <w:numFmt w:val="bullet"/>
      <w:lvlText w:val="•"/>
      <w:lvlJc w:val="left"/>
      <w:pPr>
        <w:ind w:left="3451" w:hanging="360"/>
      </w:pPr>
      <w:rPr>
        <w:rFonts w:hint="default"/>
        <w:lang w:val="bs" w:eastAsia="en-US" w:bidi="ar-SA"/>
      </w:rPr>
    </w:lvl>
    <w:lvl w:ilvl="4" w:tplc="431E4558">
      <w:numFmt w:val="bullet"/>
      <w:lvlText w:val="•"/>
      <w:lvlJc w:val="left"/>
      <w:pPr>
        <w:ind w:left="4402" w:hanging="360"/>
      </w:pPr>
      <w:rPr>
        <w:rFonts w:hint="default"/>
        <w:lang w:val="bs" w:eastAsia="en-US" w:bidi="ar-SA"/>
      </w:rPr>
    </w:lvl>
    <w:lvl w:ilvl="5" w:tplc="AA8EB498">
      <w:numFmt w:val="bullet"/>
      <w:lvlText w:val="•"/>
      <w:lvlJc w:val="left"/>
      <w:pPr>
        <w:ind w:left="5352" w:hanging="360"/>
      </w:pPr>
      <w:rPr>
        <w:rFonts w:hint="default"/>
        <w:lang w:val="bs" w:eastAsia="en-US" w:bidi="ar-SA"/>
      </w:rPr>
    </w:lvl>
    <w:lvl w:ilvl="6" w:tplc="E1B8FD44">
      <w:numFmt w:val="bullet"/>
      <w:lvlText w:val="•"/>
      <w:lvlJc w:val="left"/>
      <w:pPr>
        <w:ind w:left="6303" w:hanging="360"/>
      </w:pPr>
      <w:rPr>
        <w:rFonts w:hint="default"/>
        <w:lang w:val="bs" w:eastAsia="en-US" w:bidi="ar-SA"/>
      </w:rPr>
    </w:lvl>
    <w:lvl w:ilvl="7" w:tplc="E50EF38E">
      <w:numFmt w:val="bullet"/>
      <w:lvlText w:val="•"/>
      <w:lvlJc w:val="left"/>
      <w:pPr>
        <w:ind w:left="7253" w:hanging="360"/>
      </w:pPr>
      <w:rPr>
        <w:rFonts w:hint="default"/>
        <w:lang w:val="bs" w:eastAsia="en-US" w:bidi="ar-SA"/>
      </w:rPr>
    </w:lvl>
    <w:lvl w:ilvl="8" w:tplc="19542970">
      <w:numFmt w:val="bullet"/>
      <w:lvlText w:val="•"/>
      <w:lvlJc w:val="left"/>
      <w:pPr>
        <w:ind w:left="8204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0A62"/>
    <w:rsid w:val="00022BC8"/>
    <w:rsid w:val="00033469"/>
    <w:rsid w:val="00036FA0"/>
    <w:rsid w:val="0003793F"/>
    <w:rsid w:val="00045130"/>
    <w:rsid w:val="000557A2"/>
    <w:rsid w:val="00057E35"/>
    <w:rsid w:val="000630FA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659AE"/>
    <w:rsid w:val="00171CF1"/>
    <w:rsid w:val="00182169"/>
    <w:rsid w:val="00197053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0351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62686"/>
    <w:rsid w:val="00371510"/>
    <w:rsid w:val="00375E66"/>
    <w:rsid w:val="00396DFD"/>
    <w:rsid w:val="003A7059"/>
    <w:rsid w:val="003B7A36"/>
    <w:rsid w:val="003C17AB"/>
    <w:rsid w:val="003C7823"/>
    <w:rsid w:val="003E1DCC"/>
    <w:rsid w:val="003F11A1"/>
    <w:rsid w:val="003F4FAB"/>
    <w:rsid w:val="003F6A59"/>
    <w:rsid w:val="004065C8"/>
    <w:rsid w:val="004108DC"/>
    <w:rsid w:val="004109FA"/>
    <w:rsid w:val="00411B4B"/>
    <w:rsid w:val="00415BEE"/>
    <w:rsid w:val="004254E9"/>
    <w:rsid w:val="00427F85"/>
    <w:rsid w:val="00436D43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C331F"/>
    <w:rsid w:val="004C45E5"/>
    <w:rsid w:val="004D6103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72527"/>
    <w:rsid w:val="00573E40"/>
    <w:rsid w:val="00576348"/>
    <w:rsid w:val="0058319D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602457"/>
    <w:rsid w:val="00644FC3"/>
    <w:rsid w:val="00646BD1"/>
    <w:rsid w:val="006527EB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B6503"/>
    <w:rsid w:val="006D20A5"/>
    <w:rsid w:val="006D37BF"/>
    <w:rsid w:val="00702E22"/>
    <w:rsid w:val="0072020E"/>
    <w:rsid w:val="00754902"/>
    <w:rsid w:val="00786071"/>
    <w:rsid w:val="007A3ECB"/>
    <w:rsid w:val="007D7BB3"/>
    <w:rsid w:val="007E1ACC"/>
    <w:rsid w:val="007E31E9"/>
    <w:rsid w:val="007F05E3"/>
    <w:rsid w:val="007F661E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26265"/>
    <w:rsid w:val="00940B9B"/>
    <w:rsid w:val="00950F03"/>
    <w:rsid w:val="00953573"/>
    <w:rsid w:val="0095676E"/>
    <w:rsid w:val="00956983"/>
    <w:rsid w:val="00963CF0"/>
    <w:rsid w:val="00964053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13944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25F1"/>
    <w:rsid w:val="00B23F69"/>
    <w:rsid w:val="00B60619"/>
    <w:rsid w:val="00B66A70"/>
    <w:rsid w:val="00B67366"/>
    <w:rsid w:val="00B80EE1"/>
    <w:rsid w:val="00B84135"/>
    <w:rsid w:val="00B874F5"/>
    <w:rsid w:val="00BB036E"/>
    <w:rsid w:val="00BD029F"/>
    <w:rsid w:val="00C04D34"/>
    <w:rsid w:val="00C05DF8"/>
    <w:rsid w:val="00C06864"/>
    <w:rsid w:val="00C10F54"/>
    <w:rsid w:val="00C23D8D"/>
    <w:rsid w:val="00C252B5"/>
    <w:rsid w:val="00C256EF"/>
    <w:rsid w:val="00C37AA3"/>
    <w:rsid w:val="00C37FD7"/>
    <w:rsid w:val="00C43419"/>
    <w:rsid w:val="00C44CF3"/>
    <w:rsid w:val="00C61BE0"/>
    <w:rsid w:val="00C6707E"/>
    <w:rsid w:val="00C70B0E"/>
    <w:rsid w:val="00C773CA"/>
    <w:rsid w:val="00C77C56"/>
    <w:rsid w:val="00C83785"/>
    <w:rsid w:val="00C87FA8"/>
    <w:rsid w:val="00C90852"/>
    <w:rsid w:val="00C94C0D"/>
    <w:rsid w:val="00CA1FEB"/>
    <w:rsid w:val="00CD4F85"/>
    <w:rsid w:val="00CD6F02"/>
    <w:rsid w:val="00CE246D"/>
    <w:rsid w:val="00CF07A0"/>
    <w:rsid w:val="00CF3E03"/>
    <w:rsid w:val="00D0082A"/>
    <w:rsid w:val="00D03F4B"/>
    <w:rsid w:val="00D21455"/>
    <w:rsid w:val="00D47634"/>
    <w:rsid w:val="00D709B3"/>
    <w:rsid w:val="00D74CD2"/>
    <w:rsid w:val="00D87277"/>
    <w:rsid w:val="00DA1672"/>
    <w:rsid w:val="00DA2ED6"/>
    <w:rsid w:val="00DA6303"/>
    <w:rsid w:val="00DB1D55"/>
    <w:rsid w:val="00DB76B8"/>
    <w:rsid w:val="00DC2EA1"/>
    <w:rsid w:val="00DD6AAF"/>
    <w:rsid w:val="00DE3F5C"/>
    <w:rsid w:val="00DF1D20"/>
    <w:rsid w:val="00DF7921"/>
    <w:rsid w:val="00E21324"/>
    <w:rsid w:val="00E246B9"/>
    <w:rsid w:val="00E31FEA"/>
    <w:rsid w:val="00E45169"/>
    <w:rsid w:val="00E47787"/>
    <w:rsid w:val="00E51C30"/>
    <w:rsid w:val="00E64180"/>
    <w:rsid w:val="00E7235D"/>
    <w:rsid w:val="00E74AEE"/>
    <w:rsid w:val="00E868E5"/>
    <w:rsid w:val="00E91805"/>
    <w:rsid w:val="00E9237A"/>
    <w:rsid w:val="00E939FA"/>
    <w:rsid w:val="00EA5765"/>
    <w:rsid w:val="00EC2532"/>
    <w:rsid w:val="00ED7812"/>
    <w:rsid w:val="00EF3B86"/>
    <w:rsid w:val="00F317E9"/>
    <w:rsid w:val="00F34554"/>
    <w:rsid w:val="00F35B68"/>
    <w:rsid w:val="00F45F77"/>
    <w:rsid w:val="00F5167F"/>
    <w:rsid w:val="00F52258"/>
    <w:rsid w:val="00F8570A"/>
    <w:rsid w:val="00F91C7B"/>
    <w:rsid w:val="00F95F4D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41902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16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A1672"/>
    <w:pPr>
      <w:widowControl w:val="0"/>
      <w:autoSpaceDE w:val="0"/>
      <w:autoSpaceDN w:val="0"/>
      <w:ind w:left="232"/>
    </w:pPr>
    <w:rPr>
      <w:sz w:val="22"/>
      <w:szCs w:val="22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DA1672"/>
    <w:rPr>
      <w:sz w:val="22"/>
      <w:szCs w:val="22"/>
      <w:lang w:val="bs" w:eastAsia="en-US"/>
    </w:rPr>
  </w:style>
  <w:style w:type="paragraph" w:styleId="ListParagraph">
    <w:name w:val="List Paragraph"/>
    <w:basedOn w:val="Normal"/>
    <w:uiPriority w:val="1"/>
    <w:qFormat/>
    <w:rsid w:val="00DA1672"/>
    <w:pPr>
      <w:widowControl w:val="0"/>
      <w:autoSpaceDE w:val="0"/>
      <w:autoSpaceDN w:val="0"/>
      <w:ind w:left="616" w:hanging="390"/>
    </w:pPr>
    <w:rPr>
      <w:sz w:val="22"/>
      <w:szCs w:val="22"/>
      <w:lang w:val="bs"/>
    </w:rPr>
  </w:style>
  <w:style w:type="character" w:customStyle="1" w:styleId="Heading1Char">
    <w:name w:val="Heading 1 Char"/>
    <w:basedOn w:val="DefaultParagraphFont"/>
    <w:link w:val="Heading1"/>
    <w:rsid w:val="00DA16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A1672"/>
    <w:pPr>
      <w:widowControl w:val="0"/>
      <w:autoSpaceDE w:val="0"/>
      <w:autoSpaceDN w:val="0"/>
      <w:ind w:left="110"/>
    </w:pPr>
    <w:rPr>
      <w:sz w:val="22"/>
      <w:szCs w:val="22"/>
      <w:lang w:val="bs"/>
    </w:rPr>
  </w:style>
  <w:style w:type="table" w:styleId="TableGrid">
    <w:name w:val="Table Grid"/>
    <w:basedOn w:val="TableNormal"/>
    <w:uiPriority w:val="39"/>
    <w:rsid w:val="00DA16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1A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5F96-A261-4C51-9A3E-63636C91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7996</Words>
  <Characters>45581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53471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9</cp:revision>
  <cp:lastPrinted>2023-02-09T08:16:00Z</cp:lastPrinted>
  <dcterms:created xsi:type="dcterms:W3CDTF">2025-04-04T09:34:00Z</dcterms:created>
  <dcterms:modified xsi:type="dcterms:W3CDTF">2025-05-09T07:57:00Z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