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37712" w14:textId="77777777" w:rsidR="001A5518" w:rsidRPr="007A5434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B1BB312" w14:textId="77777777" w:rsidR="00F91C7B" w:rsidRPr="007A543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0B1A8F5" w14:textId="77777777" w:rsidR="002510A5" w:rsidRPr="007A5434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7A543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AAB9CAA" w14:textId="77777777" w:rsidR="002510A5" w:rsidRPr="007A5434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9F5E6DC" w14:textId="77777777" w:rsidR="00C37FD7" w:rsidRPr="007A5434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A66934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1.</w:t>
      </w:r>
      <w:r w:rsidR="00F5167F" w:rsidRPr="007A5434">
        <w:rPr>
          <w:b/>
          <w:bCs/>
          <w:sz w:val="22"/>
          <w:szCs w:val="22"/>
          <w:lang w:val="sr-Latn-ME"/>
        </w:rPr>
        <w:tab/>
      </w:r>
      <w:r w:rsidR="002846DB" w:rsidRPr="007A5434">
        <w:rPr>
          <w:b/>
          <w:bCs/>
          <w:sz w:val="22"/>
          <w:szCs w:val="22"/>
          <w:lang w:val="sr-Latn-ME"/>
        </w:rPr>
        <w:t xml:space="preserve">NAZIV </w:t>
      </w:r>
      <w:r w:rsidRPr="007A5434">
        <w:rPr>
          <w:b/>
          <w:bCs/>
          <w:sz w:val="22"/>
          <w:szCs w:val="22"/>
          <w:lang w:val="sr-Latn-ME"/>
        </w:rPr>
        <w:t>LIJEKA</w:t>
      </w:r>
    </w:p>
    <w:p w14:paraId="701EBD37" w14:textId="77777777" w:rsidR="00EC2532" w:rsidRPr="007A5434" w:rsidRDefault="00EC2532" w:rsidP="00E858F2">
      <w:pPr>
        <w:jc w:val="both"/>
        <w:rPr>
          <w:sz w:val="22"/>
          <w:szCs w:val="22"/>
          <w:lang w:val="sr-Latn-ME"/>
        </w:rPr>
      </w:pPr>
    </w:p>
    <w:p w14:paraId="42507BCA" w14:textId="321604A7" w:rsidR="00E276C4" w:rsidRPr="007A5434" w:rsidRDefault="007F0930" w:rsidP="00E858F2">
      <w:pPr>
        <w:jc w:val="both"/>
        <w:rPr>
          <w:iCs/>
          <w:sz w:val="22"/>
          <w:szCs w:val="22"/>
          <w:lang w:val="sr-Latn-ME"/>
        </w:rPr>
      </w:pPr>
      <w:r w:rsidRPr="007A5434">
        <w:rPr>
          <w:iCs/>
          <w:sz w:val="22"/>
          <w:szCs w:val="22"/>
          <w:lang w:val="sr-Latn-ME"/>
        </w:rPr>
        <w:t>Efferalgan sa vitaminom C, 330 mg</w:t>
      </w:r>
      <w:r w:rsidR="00B80B5F" w:rsidRPr="007A5434">
        <w:rPr>
          <w:iCs/>
          <w:sz w:val="22"/>
          <w:szCs w:val="22"/>
          <w:lang w:val="sr-Latn-ME"/>
        </w:rPr>
        <w:t xml:space="preserve"> + </w:t>
      </w:r>
      <w:r w:rsidRPr="007A5434">
        <w:rPr>
          <w:iCs/>
          <w:sz w:val="22"/>
          <w:szCs w:val="22"/>
          <w:lang w:val="sr-Latn-ME"/>
        </w:rPr>
        <w:t>200 mg, šumeć</w:t>
      </w:r>
      <w:r w:rsidR="00E276C4" w:rsidRPr="007A5434">
        <w:rPr>
          <w:iCs/>
          <w:sz w:val="22"/>
          <w:szCs w:val="22"/>
          <w:lang w:val="sr-Latn-ME"/>
        </w:rPr>
        <w:t>a</w:t>
      </w:r>
      <w:r w:rsidRPr="007A5434">
        <w:rPr>
          <w:iCs/>
          <w:sz w:val="22"/>
          <w:szCs w:val="22"/>
          <w:lang w:val="sr-Latn-ME"/>
        </w:rPr>
        <w:t xml:space="preserve"> tablet</w:t>
      </w:r>
      <w:r w:rsidR="00E276C4" w:rsidRPr="007A5434">
        <w:rPr>
          <w:iCs/>
          <w:sz w:val="22"/>
          <w:szCs w:val="22"/>
          <w:lang w:val="sr-Latn-ME"/>
        </w:rPr>
        <w:t>a</w:t>
      </w:r>
    </w:p>
    <w:p w14:paraId="5285EC08" w14:textId="182301CC" w:rsidR="000D425A" w:rsidRPr="007A5434" w:rsidRDefault="007F0930" w:rsidP="00E858F2">
      <w:pPr>
        <w:jc w:val="both"/>
        <w:rPr>
          <w:bCs/>
          <w:sz w:val="22"/>
          <w:szCs w:val="22"/>
          <w:lang w:val="sr-Latn-ME"/>
        </w:rPr>
      </w:pPr>
      <w:r w:rsidRPr="007A5434">
        <w:rPr>
          <w:iCs/>
          <w:sz w:val="22"/>
          <w:szCs w:val="22"/>
          <w:lang w:val="sr-Latn-ME"/>
        </w:rPr>
        <w:t xml:space="preserve">  </w:t>
      </w:r>
    </w:p>
    <w:p w14:paraId="76BCD242" w14:textId="11BD4FF1" w:rsidR="006D20A5" w:rsidRPr="007A5434" w:rsidRDefault="006D20A5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INN:</w:t>
      </w:r>
      <w:r w:rsidR="007F0930" w:rsidRPr="007A5434">
        <w:rPr>
          <w:sz w:val="22"/>
          <w:szCs w:val="22"/>
          <w:lang w:val="sr-Latn-ME"/>
        </w:rPr>
        <w:t xml:space="preserve"> paracetamol</w:t>
      </w:r>
      <w:r w:rsidR="00B80B5F" w:rsidRPr="007A5434">
        <w:rPr>
          <w:sz w:val="22"/>
          <w:szCs w:val="22"/>
          <w:lang w:val="sr-Latn-ME"/>
        </w:rPr>
        <w:t xml:space="preserve">, </w:t>
      </w:r>
      <w:r w:rsidR="007F0930" w:rsidRPr="007A5434">
        <w:rPr>
          <w:sz w:val="22"/>
          <w:szCs w:val="22"/>
          <w:lang w:val="sr-Latn-ME"/>
        </w:rPr>
        <w:t>askorbinska kiselina</w:t>
      </w:r>
    </w:p>
    <w:p w14:paraId="44DB28A2" w14:textId="77777777" w:rsidR="006D20A5" w:rsidRPr="007A5434" w:rsidRDefault="006D20A5" w:rsidP="00E858F2">
      <w:pPr>
        <w:jc w:val="both"/>
        <w:rPr>
          <w:bCs/>
          <w:sz w:val="22"/>
          <w:szCs w:val="22"/>
          <w:lang w:val="sr-Latn-ME"/>
        </w:rPr>
      </w:pPr>
    </w:p>
    <w:p w14:paraId="26B2B608" w14:textId="77777777" w:rsidR="00530BD7" w:rsidRPr="007A5434" w:rsidRDefault="00530BD7" w:rsidP="00E858F2">
      <w:pPr>
        <w:jc w:val="both"/>
        <w:rPr>
          <w:bCs/>
          <w:sz w:val="22"/>
          <w:szCs w:val="22"/>
          <w:lang w:val="sr-Latn-ME"/>
        </w:rPr>
      </w:pPr>
    </w:p>
    <w:p w14:paraId="30FE08F4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2. </w:t>
      </w:r>
      <w:r w:rsidR="00F5167F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KVALITATIVNI I KVANTITATIVNI SASTAV</w:t>
      </w:r>
    </w:p>
    <w:p w14:paraId="1CAA4D63" w14:textId="77777777" w:rsidR="005A0B2E" w:rsidRPr="007A5434" w:rsidRDefault="005A0B2E" w:rsidP="00E858F2">
      <w:pPr>
        <w:jc w:val="both"/>
        <w:rPr>
          <w:sz w:val="22"/>
          <w:szCs w:val="22"/>
          <w:lang w:val="sr-Latn-ME"/>
        </w:rPr>
      </w:pPr>
    </w:p>
    <w:p w14:paraId="46334935" w14:textId="67921F84" w:rsidR="007F0930" w:rsidRPr="007A5434" w:rsidRDefault="007F0930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Jedna šumeća tableta sadrži</w:t>
      </w:r>
      <w:r w:rsidR="00B80B5F" w:rsidRPr="007A5434">
        <w:rPr>
          <w:sz w:val="22"/>
          <w:szCs w:val="22"/>
          <w:lang w:val="sr-Latn-ME"/>
        </w:rPr>
        <w:t xml:space="preserve"> 330 mg paracetamola i 200 mg askorbinske kiseline (vitamin C).</w:t>
      </w:r>
    </w:p>
    <w:p w14:paraId="388C6214" w14:textId="1E7BE487" w:rsidR="007F0930" w:rsidRPr="007A5434" w:rsidRDefault="007F0930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ab/>
      </w:r>
      <w:r w:rsidRPr="007A5434">
        <w:rPr>
          <w:sz w:val="22"/>
          <w:szCs w:val="22"/>
          <w:lang w:val="sr-Latn-ME"/>
        </w:rPr>
        <w:tab/>
      </w:r>
      <w:r w:rsidRPr="007A5434">
        <w:rPr>
          <w:sz w:val="22"/>
          <w:szCs w:val="22"/>
          <w:lang w:val="sr-Latn-ME"/>
        </w:rPr>
        <w:tab/>
      </w:r>
      <w:r w:rsidRPr="007A5434">
        <w:rPr>
          <w:sz w:val="22"/>
          <w:szCs w:val="22"/>
          <w:lang w:val="sr-Latn-ME"/>
        </w:rPr>
        <w:tab/>
      </w:r>
    </w:p>
    <w:p w14:paraId="4AD0BCCF" w14:textId="77777777" w:rsidR="007F0930" w:rsidRPr="007A5434" w:rsidRDefault="007F0930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Pomoćne supstance sa potvrđenim dejstvom</w:t>
      </w:r>
      <w:r w:rsidRPr="007A5434">
        <w:rPr>
          <w:sz w:val="22"/>
          <w:szCs w:val="22"/>
          <w:lang w:val="sr-Latn-ME"/>
        </w:rPr>
        <w:t>:</w:t>
      </w:r>
    </w:p>
    <w:p w14:paraId="44E822CC" w14:textId="35727368" w:rsidR="007F0930" w:rsidRPr="007A5434" w:rsidRDefault="007F0930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Jedna šumeća tableta sadrži 50 mg natrijum</w:t>
      </w:r>
      <w:r w:rsidR="00E276C4" w:rsidRPr="007A5434">
        <w:rPr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 xml:space="preserve">benzoata (E211), 330 mg natrijuma i 300 mg sorbitola. </w:t>
      </w:r>
    </w:p>
    <w:p w14:paraId="13B000FF" w14:textId="77777777" w:rsidR="007F0930" w:rsidRPr="007A5434" w:rsidRDefault="007F0930" w:rsidP="00E858F2">
      <w:pPr>
        <w:jc w:val="both"/>
        <w:rPr>
          <w:sz w:val="22"/>
          <w:szCs w:val="22"/>
          <w:lang w:val="sr-Latn-ME"/>
        </w:rPr>
      </w:pPr>
    </w:p>
    <w:p w14:paraId="4C679326" w14:textId="6222F08E" w:rsidR="0003793F" w:rsidRPr="007A5434" w:rsidRDefault="0003793F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Za spisak svih ekscipijenasa, pogledati dio 6.1.</w:t>
      </w:r>
    </w:p>
    <w:p w14:paraId="3C84FDE2" w14:textId="77777777" w:rsidR="0003793F" w:rsidRPr="007A5434" w:rsidRDefault="0003793F" w:rsidP="00E858F2">
      <w:pPr>
        <w:jc w:val="both"/>
        <w:rPr>
          <w:sz w:val="22"/>
          <w:szCs w:val="22"/>
          <w:lang w:val="sr-Latn-ME"/>
        </w:rPr>
      </w:pPr>
    </w:p>
    <w:p w14:paraId="550CA237" w14:textId="77777777" w:rsidR="00C37FD7" w:rsidRPr="007A5434" w:rsidRDefault="00C37FD7" w:rsidP="00E858F2">
      <w:pPr>
        <w:jc w:val="both"/>
        <w:rPr>
          <w:sz w:val="22"/>
          <w:szCs w:val="22"/>
          <w:lang w:val="sr-Latn-ME"/>
        </w:rPr>
      </w:pPr>
    </w:p>
    <w:p w14:paraId="60B7ED06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3. </w:t>
      </w:r>
      <w:r w:rsidR="00F5167F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FARMACEUTSKI OBLIK</w:t>
      </w:r>
      <w:r w:rsidR="009F2D23" w:rsidRPr="007A5434">
        <w:rPr>
          <w:b/>
          <w:bCs/>
          <w:sz w:val="22"/>
          <w:szCs w:val="22"/>
          <w:lang w:val="sr-Latn-ME"/>
        </w:rPr>
        <w:t xml:space="preserve"> </w:t>
      </w:r>
    </w:p>
    <w:p w14:paraId="0B0CDF3E" w14:textId="77777777" w:rsidR="00411B4B" w:rsidRPr="007A5434" w:rsidRDefault="00411B4B" w:rsidP="00E858F2">
      <w:pPr>
        <w:jc w:val="both"/>
        <w:rPr>
          <w:bCs/>
          <w:sz w:val="22"/>
          <w:szCs w:val="22"/>
          <w:lang w:val="sr-Latn-ME"/>
        </w:rPr>
      </w:pPr>
    </w:p>
    <w:p w14:paraId="03DA6F1F" w14:textId="77777777" w:rsidR="007F0930" w:rsidRPr="007A5434" w:rsidRDefault="007F0930" w:rsidP="00E858F2">
      <w:pPr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Šumeća tableta.</w:t>
      </w:r>
    </w:p>
    <w:p w14:paraId="1D005A19" w14:textId="1A595ED4" w:rsidR="007F0930" w:rsidRPr="007A5434" w:rsidRDefault="007F0930" w:rsidP="00E858F2">
      <w:pPr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Šumeće tablete b</w:t>
      </w:r>
      <w:r w:rsidR="00605EA4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ele boje, sa utisnutom pod</w:t>
      </w:r>
      <w:r w:rsidR="00E276C4" w:rsidRPr="007A5434">
        <w:rPr>
          <w:bCs/>
          <w:sz w:val="22"/>
          <w:szCs w:val="22"/>
          <w:lang w:val="sr-Latn-ME"/>
        </w:rPr>
        <w:t>i</w:t>
      </w:r>
      <w:r w:rsidRPr="007A5434">
        <w:rPr>
          <w:bCs/>
          <w:sz w:val="22"/>
          <w:szCs w:val="22"/>
          <w:lang w:val="sr-Latn-ME"/>
        </w:rPr>
        <w:t>onom linijom na jednoj strani, kosih ivica.</w:t>
      </w:r>
      <w:r w:rsidR="00B80B5F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Pod</w:t>
      </w:r>
      <w:r w:rsidR="00E276C4" w:rsidRPr="007A5434">
        <w:rPr>
          <w:bCs/>
          <w:sz w:val="22"/>
          <w:szCs w:val="22"/>
          <w:lang w:val="sr-Latn-ME"/>
        </w:rPr>
        <w:t>i</w:t>
      </w:r>
      <w:r w:rsidRPr="007A5434">
        <w:rPr>
          <w:bCs/>
          <w:sz w:val="22"/>
          <w:szCs w:val="22"/>
          <w:lang w:val="sr-Latn-ME"/>
        </w:rPr>
        <w:t>ona linija nije nam</w:t>
      </w:r>
      <w:r w:rsidR="00605EA4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 xml:space="preserve">enjena za </w:t>
      </w:r>
      <w:r w:rsidR="00B80B5F" w:rsidRPr="007A5434">
        <w:rPr>
          <w:bCs/>
          <w:sz w:val="22"/>
          <w:szCs w:val="22"/>
          <w:lang w:val="sr-Latn-ME"/>
        </w:rPr>
        <w:t>dijeljenje tablete na jednake doze</w:t>
      </w:r>
      <w:r w:rsidRPr="007A5434">
        <w:rPr>
          <w:bCs/>
          <w:sz w:val="22"/>
          <w:szCs w:val="22"/>
          <w:lang w:val="sr-Latn-ME"/>
        </w:rPr>
        <w:t>.</w:t>
      </w:r>
    </w:p>
    <w:p w14:paraId="6C857E73" w14:textId="77777777" w:rsidR="00E276C4" w:rsidRPr="007A5434" w:rsidRDefault="00E276C4" w:rsidP="00E858F2">
      <w:pPr>
        <w:jc w:val="both"/>
        <w:rPr>
          <w:bCs/>
          <w:sz w:val="22"/>
          <w:szCs w:val="22"/>
          <w:lang w:val="sr-Latn-ME"/>
        </w:rPr>
      </w:pPr>
    </w:p>
    <w:p w14:paraId="07DCFBC2" w14:textId="77777777" w:rsidR="00EC2532" w:rsidRPr="007A5434" w:rsidRDefault="00EC2532" w:rsidP="00E858F2">
      <w:pPr>
        <w:jc w:val="both"/>
        <w:rPr>
          <w:bCs/>
          <w:sz w:val="22"/>
          <w:szCs w:val="22"/>
          <w:lang w:val="sr-Latn-ME"/>
        </w:rPr>
      </w:pPr>
    </w:p>
    <w:p w14:paraId="43B2F7BA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KLINIČKI PODACI</w:t>
      </w:r>
    </w:p>
    <w:p w14:paraId="43D66187" w14:textId="77777777" w:rsidR="00CD6F02" w:rsidRPr="007A5434" w:rsidRDefault="00CD6F02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685269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4.1.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Terapijske indikacije</w:t>
      </w:r>
    </w:p>
    <w:p w14:paraId="01D8B541" w14:textId="77777777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34D3847" w14:textId="32B21223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Simptomatska terapija blagog do um</w:t>
      </w:r>
      <w:r w:rsidR="0010336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erenog bola i/ili povišene t</w:t>
      </w:r>
      <w:r w:rsidR="00A944E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elesne temperature.</w:t>
      </w:r>
    </w:p>
    <w:p w14:paraId="0474C261" w14:textId="77777777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E51BAC3" w14:textId="0472B55F" w:rsidR="007F0930" w:rsidRPr="007A5434" w:rsidDel="001D7B16" w:rsidRDefault="007F0930" w:rsidP="00E858F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7A5434" w:rsidDel="001D7B16">
        <w:rPr>
          <w:sz w:val="22"/>
          <w:szCs w:val="22"/>
          <w:lang w:val="sr-Latn-ME"/>
        </w:rPr>
        <w:t>L</w:t>
      </w:r>
      <w:r w:rsidR="00A944E2" w:rsidRPr="007A5434">
        <w:rPr>
          <w:sz w:val="22"/>
          <w:szCs w:val="22"/>
          <w:lang w:val="sr-Latn-ME"/>
        </w:rPr>
        <w:t>ij</w:t>
      </w:r>
      <w:r w:rsidRPr="007A5434" w:rsidDel="001D7B16">
        <w:rPr>
          <w:sz w:val="22"/>
          <w:szCs w:val="22"/>
          <w:lang w:val="sr-Latn-ME"/>
        </w:rPr>
        <w:t>ek je nam</w:t>
      </w:r>
      <w:r w:rsidR="00A944E2" w:rsidRPr="007A5434">
        <w:rPr>
          <w:sz w:val="22"/>
          <w:szCs w:val="22"/>
          <w:lang w:val="sr-Latn-ME"/>
        </w:rPr>
        <w:t>ij</w:t>
      </w:r>
      <w:r w:rsidRPr="007A5434" w:rsidDel="001D7B16">
        <w:rPr>
          <w:sz w:val="22"/>
          <w:szCs w:val="22"/>
          <w:lang w:val="sr-Latn-ME"/>
        </w:rPr>
        <w:t>enjen odraslima i d</w:t>
      </w:r>
      <w:r w:rsidR="00A944E2" w:rsidRPr="007A5434">
        <w:rPr>
          <w:sz w:val="22"/>
          <w:szCs w:val="22"/>
          <w:lang w:val="sr-Latn-ME"/>
        </w:rPr>
        <w:t>j</w:t>
      </w:r>
      <w:r w:rsidRPr="007A5434" w:rsidDel="001D7B16">
        <w:rPr>
          <w:sz w:val="22"/>
          <w:szCs w:val="22"/>
          <w:lang w:val="sr-Latn-ME"/>
        </w:rPr>
        <w:t>eci t</w:t>
      </w:r>
      <w:r w:rsidR="00A944E2" w:rsidRPr="007A5434">
        <w:rPr>
          <w:sz w:val="22"/>
          <w:szCs w:val="22"/>
          <w:lang w:val="sr-Latn-ME"/>
        </w:rPr>
        <w:t>j</w:t>
      </w:r>
      <w:r w:rsidRPr="007A5434" w:rsidDel="001D7B16">
        <w:rPr>
          <w:sz w:val="22"/>
          <w:szCs w:val="22"/>
          <w:lang w:val="sr-Latn-ME"/>
        </w:rPr>
        <w:t>elesne mase veće od 27 kg (uzrasta od oko 8 godina i star</w:t>
      </w:r>
      <w:r w:rsidRPr="007A5434">
        <w:rPr>
          <w:sz w:val="22"/>
          <w:szCs w:val="22"/>
          <w:lang w:val="sr-Latn-ME"/>
        </w:rPr>
        <w:t>i</w:t>
      </w:r>
      <w:r w:rsidRPr="007A5434" w:rsidDel="001D7B16">
        <w:rPr>
          <w:sz w:val="22"/>
          <w:szCs w:val="22"/>
          <w:lang w:val="sr-Latn-ME"/>
        </w:rPr>
        <w:t>ji).</w:t>
      </w:r>
    </w:p>
    <w:p w14:paraId="42CFED83" w14:textId="77777777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BB968E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4.2.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Doziranje i način primjene</w:t>
      </w:r>
    </w:p>
    <w:p w14:paraId="5E8B966F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16F9CA" w14:textId="77777777" w:rsidR="00452E9D" w:rsidRPr="007A5434" w:rsidRDefault="00452E9D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7A5434">
        <w:rPr>
          <w:bCs/>
          <w:sz w:val="22"/>
          <w:szCs w:val="22"/>
          <w:u w:val="single"/>
          <w:lang w:val="sr-Latn-ME"/>
        </w:rPr>
        <w:t>Doziranje</w:t>
      </w:r>
    </w:p>
    <w:p w14:paraId="4367D41E" w14:textId="725FBB43" w:rsidR="00F71157" w:rsidRPr="007A5434" w:rsidRDefault="00F71157" w:rsidP="00E858F2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7A5434">
        <w:rPr>
          <w:i/>
          <w:sz w:val="22"/>
          <w:szCs w:val="22"/>
          <w:u w:val="single"/>
          <w:lang w:val="sr-Latn-ME"/>
        </w:rPr>
        <w:t>Pedijatrijska populacija (d</w:t>
      </w:r>
      <w:r w:rsidR="00745DD0" w:rsidRPr="007A5434">
        <w:rPr>
          <w:i/>
          <w:sz w:val="22"/>
          <w:szCs w:val="22"/>
          <w:u w:val="single"/>
          <w:lang w:val="sr-Latn-ME"/>
        </w:rPr>
        <w:t>j</w:t>
      </w:r>
      <w:r w:rsidRPr="007A5434">
        <w:rPr>
          <w:i/>
          <w:sz w:val="22"/>
          <w:szCs w:val="22"/>
          <w:u w:val="single"/>
          <w:lang w:val="sr-Latn-ME"/>
        </w:rPr>
        <w:t>eca t</w:t>
      </w:r>
      <w:r w:rsidR="00745DD0" w:rsidRPr="007A5434">
        <w:rPr>
          <w:i/>
          <w:sz w:val="22"/>
          <w:szCs w:val="22"/>
          <w:u w:val="single"/>
          <w:lang w:val="sr-Latn-ME"/>
        </w:rPr>
        <w:t>j</w:t>
      </w:r>
      <w:r w:rsidRPr="007A5434">
        <w:rPr>
          <w:i/>
          <w:sz w:val="22"/>
          <w:szCs w:val="22"/>
          <w:u w:val="single"/>
          <w:lang w:val="sr-Latn-ME"/>
        </w:rPr>
        <w:t>elesne mase veće od 27 kg)</w:t>
      </w:r>
    </w:p>
    <w:p w14:paraId="014164E9" w14:textId="25560B50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Kod d</w:t>
      </w:r>
      <w:r w:rsidR="00745DD0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ece, </w:t>
      </w:r>
      <w:r w:rsidRPr="007A5434">
        <w:rPr>
          <w:b/>
          <w:bCs/>
          <w:sz w:val="22"/>
          <w:szCs w:val="22"/>
          <w:lang w:val="sr-Latn-ME"/>
        </w:rPr>
        <w:t>doziranje paracetamola zavisi od t</w:t>
      </w:r>
      <w:r w:rsidR="00745DD0" w:rsidRPr="007A5434">
        <w:rPr>
          <w:b/>
          <w:bCs/>
          <w:sz w:val="22"/>
          <w:szCs w:val="22"/>
          <w:lang w:val="sr-Latn-ME"/>
        </w:rPr>
        <w:t>j</w:t>
      </w:r>
      <w:r w:rsidRPr="007A5434">
        <w:rPr>
          <w:b/>
          <w:bCs/>
          <w:sz w:val="22"/>
          <w:szCs w:val="22"/>
          <w:lang w:val="sr-Latn-ME"/>
        </w:rPr>
        <w:t>elesne mase d</w:t>
      </w:r>
      <w:r w:rsidR="00745DD0" w:rsidRPr="007A5434">
        <w:rPr>
          <w:b/>
          <w:bCs/>
          <w:sz w:val="22"/>
          <w:szCs w:val="22"/>
          <w:lang w:val="sr-Latn-ME"/>
        </w:rPr>
        <w:t>j</w:t>
      </w:r>
      <w:r w:rsidRPr="007A5434">
        <w:rPr>
          <w:b/>
          <w:bCs/>
          <w:sz w:val="22"/>
          <w:szCs w:val="22"/>
          <w:lang w:val="sr-Latn-ME"/>
        </w:rPr>
        <w:t>eteta</w:t>
      </w:r>
      <w:r w:rsidRPr="007A5434">
        <w:rPr>
          <w:sz w:val="22"/>
          <w:szCs w:val="22"/>
          <w:lang w:val="sr-Latn-ME"/>
        </w:rPr>
        <w:t xml:space="preserve"> i posledično, treba odabrati pogodan farmaceutski oblik l</w:t>
      </w:r>
      <w:r w:rsidR="00745DD0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eka. Približan uzrast za određenu t</w:t>
      </w:r>
      <w:r w:rsidR="00745DD0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elesnu masu d</w:t>
      </w:r>
      <w:r w:rsidR="00745DD0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eteta dat je samo kao relativna odrednica.</w:t>
      </w:r>
    </w:p>
    <w:p w14:paraId="44C8E23C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9BFC59" w14:textId="145EB45C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lang w:val="sr-Latn-ME"/>
        </w:rPr>
        <w:t>Preporučena dnevna doza paracetamola je 60 mg/kg/dan, pod</w:t>
      </w:r>
      <w:r w:rsidR="00745DD0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 xml:space="preserve">eljena u 4 do 6 pojedinačnih doza, odnosno </w:t>
      </w:r>
      <w:r w:rsidRPr="007A5434">
        <w:rPr>
          <w:sz w:val="22"/>
          <w:szCs w:val="22"/>
          <w:u w:val="single"/>
          <w:lang w:val="sr-Latn-ME"/>
        </w:rPr>
        <w:t xml:space="preserve">15 mg/kg svakih 6 sati ili 10 mg/kg svaka 4 sata. </w:t>
      </w:r>
    </w:p>
    <w:p w14:paraId="094929D1" w14:textId="77777777" w:rsidR="00F71157" w:rsidRPr="007A5434" w:rsidRDefault="00F71157" w:rsidP="00F71157">
      <w:pPr>
        <w:tabs>
          <w:tab w:val="left" w:pos="284"/>
        </w:tabs>
        <w:rPr>
          <w:sz w:val="22"/>
          <w:szCs w:val="22"/>
          <w:u w:val="single"/>
          <w:lang w:val="sr-Latn-ME"/>
        </w:rPr>
      </w:pPr>
    </w:p>
    <w:tbl>
      <w:tblPr>
        <w:tblW w:w="434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2360"/>
        <w:gridCol w:w="990"/>
        <w:gridCol w:w="3013"/>
      </w:tblGrid>
      <w:tr w:rsidR="00F71157" w:rsidRPr="007A5434" w14:paraId="6B28FE0C" w14:textId="77777777" w:rsidTr="00E858F2">
        <w:trPr>
          <w:trHeight w:val="480"/>
          <w:jc w:val="center"/>
        </w:trPr>
        <w:tc>
          <w:tcPr>
            <w:tcW w:w="1502" w:type="dxa"/>
            <w:shd w:val="pct12" w:color="auto" w:fill="auto"/>
          </w:tcPr>
          <w:p w14:paraId="28D22694" w14:textId="1039E459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T</w:t>
            </w:r>
            <w:r w:rsidR="00745DD0"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j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elesna masa</w:t>
            </w:r>
          </w:p>
          <w:p w14:paraId="211EC3B3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(uzrast)</w:t>
            </w:r>
          </w:p>
        </w:tc>
        <w:tc>
          <w:tcPr>
            <w:tcW w:w="2360" w:type="dxa"/>
            <w:shd w:val="pct12" w:color="auto" w:fill="auto"/>
          </w:tcPr>
          <w:p w14:paraId="34466BE4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Pojedinačna doza</w:t>
            </w:r>
          </w:p>
        </w:tc>
        <w:tc>
          <w:tcPr>
            <w:tcW w:w="990" w:type="dxa"/>
            <w:shd w:val="pct12" w:color="auto" w:fill="auto"/>
          </w:tcPr>
          <w:p w14:paraId="0CA5D6B5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Razmak između doza</w:t>
            </w:r>
          </w:p>
        </w:tc>
        <w:tc>
          <w:tcPr>
            <w:tcW w:w="3013" w:type="dxa"/>
            <w:shd w:val="pct12" w:color="auto" w:fill="auto"/>
          </w:tcPr>
          <w:p w14:paraId="512A9F2A" w14:textId="1F0E4EDB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 xml:space="preserve">Maksimalna </w:t>
            </w: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dnevna doza</w:t>
            </w:r>
          </w:p>
        </w:tc>
      </w:tr>
      <w:tr w:rsidR="00F71157" w:rsidRPr="007A5434" w14:paraId="3F672091" w14:textId="77777777" w:rsidTr="00E858F2">
        <w:trPr>
          <w:trHeight w:val="480"/>
          <w:jc w:val="center"/>
        </w:trPr>
        <w:tc>
          <w:tcPr>
            <w:tcW w:w="1502" w:type="dxa"/>
          </w:tcPr>
          <w:p w14:paraId="1EA712DD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27 kg–30 kg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br/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(oko 8 do 10 godina)</w:t>
            </w:r>
          </w:p>
        </w:tc>
        <w:tc>
          <w:tcPr>
            <w:tcW w:w="2360" w:type="dxa"/>
          </w:tcPr>
          <w:p w14:paraId="0A8B6F8C" w14:textId="77777777" w:rsidR="00F71157" w:rsidRPr="007A5434" w:rsidRDefault="00F71157" w:rsidP="00E858F2">
            <w:pPr>
              <w:jc w:val="center"/>
              <w:rPr>
                <w:b/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1 šumeća tableta</w:t>
            </w:r>
          </w:p>
          <w:p w14:paraId="2242F75F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ili</w:t>
            </w:r>
          </w:p>
          <w:p w14:paraId="7E18C31C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330 mg paracetamola</w:t>
            </w:r>
          </w:p>
          <w:p w14:paraId="170213F1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+ 200 mg vitamina C</w:t>
            </w:r>
          </w:p>
        </w:tc>
        <w:tc>
          <w:tcPr>
            <w:tcW w:w="990" w:type="dxa"/>
          </w:tcPr>
          <w:p w14:paraId="45C3C750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4-6 sati</w:t>
            </w:r>
          </w:p>
        </w:tc>
        <w:tc>
          <w:tcPr>
            <w:tcW w:w="3013" w:type="dxa"/>
          </w:tcPr>
          <w:p w14:paraId="02C21BD6" w14:textId="02F3EBE6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4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 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šumeće tablete</w:t>
            </w: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 xml:space="preserve"> na dan</w:t>
            </w:r>
          </w:p>
          <w:p w14:paraId="6BB29710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ili</w:t>
            </w:r>
          </w:p>
          <w:p w14:paraId="3D5A351B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1320 mg paracetamola</w:t>
            </w:r>
          </w:p>
          <w:p w14:paraId="48B413C4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+ 800 mg vitamina C</w:t>
            </w:r>
          </w:p>
        </w:tc>
      </w:tr>
      <w:tr w:rsidR="00F71157" w:rsidRPr="007A5434" w14:paraId="15C99F1C" w14:textId="77777777" w:rsidTr="00E858F2">
        <w:trPr>
          <w:trHeight w:val="480"/>
          <w:jc w:val="center"/>
        </w:trPr>
        <w:tc>
          <w:tcPr>
            <w:tcW w:w="1502" w:type="dxa"/>
          </w:tcPr>
          <w:p w14:paraId="725936C3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lastRenderedPageBreak/>
              <w:t>30 kg–35 kg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br/>
              <w:t>(oko 10 do 12 godina)</w:t>
            </w:r>
          </w:p>
        </w:tc>
        <w:tc>
          <w:tcPr>
            <w:tcW w:w="2360" w:type="dxa"/>
          </w:tcPr>
          <w:p w14:paraId="6396B9BE" w14:textId="77777777" w:rsidR="00F71157" w:rsidRPr="007A5434" w:rsidRDefault="00F71157" w:rsidP="00E858F2">
            <w:pPr>
              <w:jc w:val="center"/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1 šumeća tableta</w:t>
            </w:r>
          </w:p>
          <w:p w14:paraId="2860A53C" w14:textId="77777777" w:rsidR="00F71157" w:rsidRPr="007A5434" w:rsidRDefault="00F71157" w:rsidP="00E858F2">
            <w:pPr>
              <w:jc w:val="center"/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ili</w:t>
            </w:r>
          </w:p>
          <w:p w14:paraId="1EAFC843" w14:textId="77777777" w:rsidR="00F71157" w:rsidRPr="007A5434" w:rsidRDefault="00F71157" w:rsidP="00E858F2">
            <w:pPr>
              <w:jc w:val="center"/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330 mg paracetamola</w:t>
            </w:r>
          </w:p>
          <w:p w14:paraId="58A28788" w14:textId="62AD7CD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+ 200 mg vitamina C</w:t>
            </w:r>
          </w:p>
        </w:tc>
        <w:tc>
          <w:tcPr>
            <w:tcW w:w="990" w:type="dxa"/>
          </w:tcPr>
          <w:p w14:paraId="6E365A66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4-6 sati</w:t>
            </w:r>
          </w:p>
        </w:tc>
        <w:tc>
          <w:tcPr>
            <w:tcW w:w="3013" w:type="dxa"/>
          </w:tcPr>
          <w:p w14:paraId="3636EDC5" w14:textId="349B3D58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6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 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šumećih tableta</w:t>
            </w: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 xml:space="preserve"> na dan</w:t>
            </w:r>
          </w:p>
          <w:p w14:paraId="744C7C00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ili</w:t>
            </w:r>
          </w:p>
          <w:p w14:paraId="353DF93F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1980 mg paracetamola</w:t>
            </w:r>
          </w:p>
          <w:p w14:paraId="258FB96F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+ 1200 mg vitamina C</w:t>
            </w:r>
          </w:p>
        </w:tc>
      </w:tr>
      <w:tr w:rsidR="00F71157" w:rsidRPr="007A5434" w14:paraId="49BF219B" w14:textId="77777777" w:rsidTr="00E858F2">
        <w:trPr>
          <w:trHeight w:val="480"/>
          <w:jc w:val="center"/>
        </w:trPr>
        <w:tc>
          <w:tcPr>
            <w:tcW w:w="1502" w:type="dxa"/>
          </w:tcPr>
          <w:p w14:paraId="72E9A918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35 kg–50 kg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br/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(oko 12 do 15 godina)</w:t>
            </w:r>
          </w:p>
        </w:tc>
        <w:tc>
          <w:tcPr>
            <w:tcW w:w="2360" w:type="dxa"/>
          </w:tcPr>
          <w:p w14:paraId="0908F934" w14:textId="6380C5E4" w:rsidR="00F71157" w:rsidRPr="007A5434" w:rsidRDefault="00F71157" w:rsidP="0062443C">
            <w:pPr>
              <w:keepNext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ja-JP"/>
              </w:rPr>
              <w:t>1 (do 2)</w:t>
            </w:r>
            <w:r w:rsidR="0062443C"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ja-JP"/>
              </w:rPr>
              <w:t xml:space="preserve"> 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ja-JP"/>
              </w:rPr>
              <w:t>šumeće tablete</w:t>
            </w:r>
          </w:p>
          <w:p w14:paraId="384D008E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ili</w:t>
            </w:r>
          </w:p>
          <w:p w14:paraId="7D1B180E" w14:textId="428D1F6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330 do 660 mg paracetamola</w:t>
            </w:r>
          </w:p>
          <w:p w14:paraId="1376D470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 Narrow"/>
                <w:sz w:val="22"/>
                <w:szCs w:val="22"/>
                <w:bdr w:val="nil"/>
                <w:lang w:val="sr-Latn-ME" w:eastAsia="ja-JP"/>
              </w:rPr>
              <w:t>+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 xml:space="preserve"> 200 do 400 mg vitamina C</w:t>
            </w:r>
          </w:p>
        </w:tc>
        <w:tc>
          <w:tcPr>
            <w:tcW w:w="990" w:type="dxa"/>
          </w:tcPr>
          <w:p w14:paraId="50C09032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4-6 sati</w:t>
            </w:r>
          </w:p>
        </w:tc>
        <w:tc>
          <w:tcPr>
            <w:tcW w:w="3013" w:type="dxa"/>
          </w:tcPr>
          <w:p w14:paraId="0668C142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7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 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šumećih tableta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 xml:space="preserve"> </w:t>
            </w: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>na dan</w:t>
            </w:r>
          </w:p>
          <w:p w14:paraId="7BCAB473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ili</w:t>
            </w:r>
          </w:p>
          <w:p w14:paraId="2A7997D0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2310 mg paracetamola</w:t>
            </w:r>
          </w:p>
          <w:p w14:paraId="15C1E01B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+ 1400 mg vitamina C</w:t>
            </w:r>
          </w:p>
        </w:tc>
      </w:tr>
      <w:tr w:rsidR="00F71157" w:rsidRPr="007A5434" w14:paraId="5D839FE0" w14:textId="77777777" w:rsidTr="00E858F2">
        <w:trPr>
          <w:trHeight w:val="480"/>
          <w:jc w:val="center"/>
        </w:trPr>
        <w:tc>
          <w:tcPr>
            <w:tcW w:w="1502" w:type="dxa"/>
          </w:tcPr>
          <w:p w14:paraId="4479212F" w14:textId="4079E649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&gt;50 kg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 xml:space="preserve"> 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br/>
              <w:t>(d</w:t>
            </w:r>
            <w:r w:rsidR="00745DD0"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j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eca starija od 15 godina)</w:t>
            </w:r>
          </w:p>
        </w:tc>
        <w:tc>
          <w:tcPr>
            <w:tcW w:w="2360" w:type="dxa"/>
          </w:tcPr>
          <w:p w14:paraId="75FAD4CC" w14:textId="77777777" w:rsidR="00F71157" w:rsidRPr="007A5434" w:rsidRDefault="00F71157" w:rsidP="0062443C">
            <w:pPr>
              <w:keepNext/>
              <w:ind w:right="-2196"/>
              <w:rPr>
                <w:rFonts w:eastAsia="MS Mincho"/>
                <w:b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ja-JP"/>
              </w:rPr>
              <w:t>1 (do 2) šumeće tablete</w:t>
            </w:r>
          </w:p>
          <w:p w14:paraId="32C29650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ili</w:t>
            </w:r>
          </w:p>
          <w:p w14:paraId="6E0D4CCF" w14:textId="3AFA825E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330 do 660 mg paracetamola</w:t>
            </w:r>
          </w:p>
          <w:p w14:paraId="0F48818F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 Narrow"/>
                <w:sz w:val="22"/>
                <w:szCs w:val="22"/>
                <w:bdr w:val="nil"/>
                <w:lang w:val="sr-Latn-ME" w:eastAsia="ja-JP"/>
              </w:rPr>
              <w:t>+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 xml:space="preserve"> 200 do 400 mg vitamina C</w:t>
            </w:r>
          </w:p>
        </w:tc>
        <w:tc>
          <w:tcPr>
            <w:tcW w:w="990" w:type="dxa"/>
          </w:tcPr>
          <w:p w14:paraId="6B9F1533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4-6 sati</w:t>
            </w:r>
          </w:p>
        </w:tc>
        <w:tc>
          <w:tcPr>
            <w:tcW w:w="3013" w:type="dxa"/>
          </w:tcPr>
          <w:p w14:paraId="50FD45F4" w14:textId="77777777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9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 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>šumećih tableta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 xml:space="preserve"> </w:t>
            </w: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>na dan*</w:t>
            </w:r>
          </w:p>
          <w:p w14:paraId="1F71885F" w14:textId="77777777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ili</w:t>
            </w:r>
          </w:p>
          <w:p w14:paraId="6189591C" w14:textId="77777777" w:rsidR="00F71157" w:rsidRPr="007A5434" w:rsidRDefault="00F71157" w:rsidP="00E858F2">
            <w:pPr>
              <w:keepNext/>
              <w:jc w:val="center"/>
              <w:rPr>
                <w:rFonts w:eastAsia="MS Mincho"/>
                <w:sz w:val="22"/>
                <w:szCs w:val="22"/>
                <w:lang w:val="sr-Latn-ME" w:eastAsia="ja-JP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2970 mg paracetamola</w:t>
            </w:r>
          </w:p>
          <w:p w14:paraId="6D2C74A4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ja-JP"/>
              </w:rPr>
              <w:t>+ 1800 mg vitamina C</w:t>
            </w:r>
          </w:p>
        </w:tc>
      </w:tr>
    </w:tbl>
    <w:p w14:paraId="08798F94" w14:textId="77777777" w:rsidR="00452E9D" w:rsidRPr="007A5434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01C5BA0" w14:textId="77777777" w:rsidR="00F71157" w:rsidRPr="007A5434" w:rsidRDefault="00F71157" w:rsidP="00F71157">
      <w:pPr>
        <w:tabs>
          <w:tab w:val="left" w:pos="284"/>
        </w:tabs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Odrasli</w:t>
      </w:r>
    </w:p>
    <w:p w14:paraId="4AF3DBD8" w14:textId="77777777" w:rsidR="00F71157" w:rsidRPr="007A5434" w:rsidRDefault="00F71157" w:rsidP="00F71157">
      <w:pPr>
        <w:tabs>
          <w:tab w:val="left" w:pos="284"/>
        </w:tabs>
        <w:rPr>
          <w:sz w:val="22"/>
          <w:szCs w:val="22"/>
          <w:lang w:val="sr-Latn-ME"/>
        </w:rPr>
      </w:pPr>
    </w:p>
    <w:tbl>
      <w:tblPr>
        <w:tblW w:w="498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3030"/>
        <w:gridCol w:w="1407"/>
        <w:gridCol w:w="2541"/>
      </w:tblGrid>
      <w:tr w:rsidR="00F71157" w:rsidRPr="007A5434" w14:paraId="25F2FD96" w14:textId="77777777" w:rsidTr="0000568B">
        <w:trPr>
          <w:trHeight w:val="495"/>
          <w:jc w:val="center"/>
        </w:trPr>
        <w:tc>
          <w:tcPr>
            <w:tcW w:w="1828" w:type="dxa"/>
            <w:shd w:val="clear" w:color="auto" w:fill="auto"/>
          </w:tcPr>
          <w:p w14:paraId="0845DBB1" w14:textId="6890F66E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T</w:t>
            </w:r>
            <w:r w:rsidR="00745DD0"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j</w:t>
            </w: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elesna masa</w:t>
            </w:r>
          </w:p>
          <w:p w14:paraId="7B09D031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(uzrast)</w:t>
            </w:r>
          </w:p>
        </w:tc>
        <w:tc>
          <w:tcPr>
            <w:tcW w:w="2703" w:type="dxa"/>
            <w:shd w:val="clear" w:color="auto" w:fill="auto"/>
          </w:tcPr>
          <w:p w14:paraId="4284DF29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Pojedinačna doza</w:t>
            </w:r>
          </w:p>
        </w:tc>
        <w:tc>
          <w:tcPr>
            <w:tcW w:w="1255" w:type="dxa"/>
            <w:shd w:val="clear" w:color="auto" w:fill="auto"/>
          </w:tcPr>
          <w:p w14:paraId="7E720F5E" w14:textId="77777777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Razmak između doza</w:t>
            </w:r>
          </w:p>
        </w:tc>
        <w:tc>
          <w:tcPr>
            <w:tcW w:w="2267" w:type="dxa"/>
            <w:shd w:val="clear" w:color="auto" w:fill="auto"/>
          </w:tcPr>
          <w:p w14:paraId="78C4836E" w14:textId="1B13AAC9" w:rsidR="00F71157" w:rsidRPr="007A5434" w:rsidRDefault="00F71157" w:rsidP="00E858F2">
            <w:pPr>
              <w:jc w:val="center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 xml:space="preserve">Maksimalna </w:t>
            </w: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dnevna doza</w:t>
            </w:r>
          </w:p>
        </w:tc>
      </w:tr>
      <w:tr w:rsidR="00F71157" w:rsidRPr="007A5434" w14:paraId="38DD3FF6" w14:textId="77777777" w:rsidTr="0000568B">
        <w:trPr>
          <w:trHeight w:val="495"/>
          <w:jc w:val="center"/>
        </w:trPr>
        <w:tc>
          <w:tcPr>
            <w:tcW w:w="1828" w:type="dxa"/>
            <w:shd w:val="clear" w:color="auto" w:fill="auto"/>
          </w:tcPr>
          <w:p w14:paraId="75F7293F" w14:textId="5C8B9159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odrasli &gt;50 kg</w:t>
            </w:r>
          </w:p>
        </w:tc>
        <w:tc>
          <w:tcPr>
            <w:tcW w:w="2703" w:type="dxa"/>
            <w:shd w:val="clear" w:color="auto" w:fill="auto"/>
          </w:tcPr>
          <w:p w14:paraId="25F65A36" w14:textId="77777777" w:rsidR="00F71157" w:rsidRPr="007A5434" w:rsidRDefault="00F71157" w:rsidP="00E858F2">
            <w:pPr>
              <w:jc w:val="center"/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>1 (do 2) šumeće tablete</w:t>
            </w:r>
          </w:p>
          <w:p w14:paraId="76EF9B10" w14:textId="77777777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ili</w:t>
            </w:r>
          </w:p>
          <w:p w14:paraId="611C9FA9" w14:textId="7153E33D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330 do 660 mg paracetamola</w:t>
            </w:r>
          </w:p>
          <w:p w14:paraId="2225F123" w14:textId="77777777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+ 200 do 400 mg vitamina C</w:t>
            </w:r>
          </w:p>
        </w:tc>
        <w:tc>
          <w:tcPr>
            <w:tcW w:w="1255" w:type="dxa"/>
            <w:shd w:val="clear" w:color="auto" w:fill="auto"/>
          </w:tcPr>
          <w:p w14:paraId="24A07DEB" w14:textId="77777777" w:rsidR="00F71157" w:rsidRPr="007A5434" w:rsidRDefault="00F71157" w:rsidP="00E858F2">
            <w:pPr>
              <w:jc w:val="center"/>
              <w:rPr>
                <w:rFonts w:eastAsia="Arial"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bdr w:val="nil"/>
                <w:lang w:val="sr-Latn-ME" w:eastAsia="fr-FR"/>
              </w:rPr>
              <w:t>4-6 sati</w:t>
            </w:r>
          </w:p>
        </w:tc>
        <w:tc>
          <w:tcPr>
            <w:tcW w:w="2267" w:type="dxa"/>
            <w:shd w:val="clear" w:color="auto" w:fill="auto"/>
          </w:tcPr>
          <w:p w14:paraId="3C0B6EAC" w14:textId="77777777" w:rsidR="00F71157" w:rsidRPr="007A5434" w:rsidRDefault="00F71157" w:rsidP="00E858F2">
            <w:pPr>
              <w:jc w:val="center"/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/>
                <w:sz w:val="22"/>
                <w:szCs w:val="22"/>
                <w:bdr w:val="nil"/>
                <w:lang w:val="sr-Latn-ME" w:eastAsia="fr-FR"/>
              </w:rPr>
              <w:t>9 šumećih tableta</w:t>
            </w:r>
            <w:r w:rsidRPr="007A5434"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  <w:t xml:space="preserve"> na dan*</w:t>
            </w:r>
          </w:p>
          <w:p w14:paraId="1DA18F35" w14:textId="77777777" w:rsidR="00F71157" w:rsidRPr="007A5434" w:rsidRDefault="00F71157" w:rsidP="00E858F2">
            <w:pPr>
              <w:jc w:val="center"/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ili</w:t>
            </w:r>
          </w:p>
          <w:p w14:paraId="59FFAC1C" w14:textId="77777777" w:rsidR="00F71157" w:rsidRPr="007A5434" w:rsidRDefault="00F71157" w:rsidP="00E858F2">
            <w:pPr>
              <w:jc w:val="center"/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2970 mg paracetamola</w:t>
            </w:r>
          </w:p>
          <w:p w14:paraId="407A8F6E" w14:textId="77777777" w:rsidR="00F71157" w:rsidRPr="007A5434" w:rsidRDefault="00F71157" w:rsidP="00E858F2">
            <w:pPr>
              <w:jc w:val="center"/>
              <w:rPr>
                <w:rFonts w:eastAsia="Arial"/>
                <w:b/>
                <w:bCs/>
                <w:sz w:val="22"/>
                <w:szCs w:val="22"/>
                <w:bdr w:val="nil"/>
                <w:lang w:val="sr-Latn-ME" w:eastAsia="fr-FR"/>
              </w:rPr>
            </w:pPr>
            <w:r w:rsidRPr="007A5434">
              <w:rPr>
                <w:rFonts w:eastAsia="Arial"/>
                <w:bCs/>
                <w:sz w:val="22"/>
                <w:szCs w:val="22"/>
                <w:bdr w:val="nil"/>
                <w:lang w:val="sr-Latn-ME" w:eastAsia="fr-FR"/>
              </w:rPr>
              <w:t>+ 1800 mg vitamina C</w:t>
            </w:r>
          </w:p>
        </w:tc>
      </w:tr>
    </w:tbl>
    <w:p w14:paraId="1AEB8168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D03FBB" w14:textId="5E349FDB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Kod odraslih čija je t</w:t>
      </w:r>
      <w:r w:rsidR="00745DD0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elesna masa </w:t>
      </w:r>
      <w:r w:rsidRPr="007A5434">
        <w:rPr>
          <w:rFonts w:ascii="Calibri" w:hAnsi="Calibri" w:cs="Calibri"/>
          <w:sz w:val="22"/>
          <w:szCs w:val="22"/>
          <w:lang w:val="sr-Latn-ME"/>
        </w:rPr>
        <w:t>˃</w:t>
      </w:r>
      <w:r w:rsidRPr="007A5434">
        <w:rPr>
          <w:sz w:val="22"/>
          <w:szCs w:val="22"/>
          <w:lang w:val="sr-Latn-ME"/>
        </w:rPr>
        <w:t>50 kg (stariji od 15 godina) uobičajena doza je 1 do 2 šumeće</w:t>
      </w:r>
      <w:r w:rsidR="0062443C" w:rsidRPr="007A5434">
        <w:rPr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tablete koje sadrže 330 mg paracetamola po dozi, i može se po potrebi ponoviti nakon najmanje 4 sata.</w:t>
      </w:r>
    </w:p>
    <w:p w14:paraId="0036A9B9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30ACD7" w14:textId="3389F670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*Obično nema potrebe za uzimanjem većih doza od 3 g paracetamola dnevno, odnosno </w:t>
      </w:r>
      <w:r w:rsidRPr="007A5434">
        <w:rPr>
          <w:b/>
          <w:bCs/>
          <w:sz w:val="22"/>
          <w:szCs w:val="22"/>
          <w:lang w:val="sr-Latn-ME"/>
        </w:rPr>
        <w:t>9 šumećih tableta na dnevno</w:t>
      </w:r>
      <w:r w:rsidRPr="007A5434">
        <w:rPr>
          <w:sz w:val="22"/>
          <w:szCs w:val="22"/>
          <w:lang w:val="sr-Latn-ME"/>
        </w:rPr>
        <w:t xml:space="preserve">. Međutim, u slučaju jačih bolova, maksimalna dnevna doza se može povećati do 4 g dnevno, odnosno </w:t>
      </w:r>
      <w:r w:rsidRPr="007A5434">
        <w:rPr>
          <w:b/>
          <w:bCs/>
          <w:sz w:val="22"/>
          <w:szCs w:val="22"/>
          <w:lang w:val="sr-Latn-ME"/>
        </w:rPr>
        <w:t>12 šumećih tableta na dan</w:t>
      </w:r>
      <w:r w:rsidRPr="007A5434">
        <w:rPr>
          <w:sz w:val="22"/>
          <w:szCs w:val="22"/>
          <w:lang w:val="sr-Latn-ME"/>
        </w:rPr>
        <w:t>. Vremenski razmak između dv</w:t>
      </w:r>
      <w:r w:rsidR="00745DD0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doze l</w:t>
      </w:r>
      <w:r w:rsidR="00745DD0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mora biti najmanje 4 sata.</w:t>
      </w:r>
    </w:p>
    <w:p w14:paraId="1F636496" w14:textId="27188DA8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FF202C" w14:textId="0CAA1ABE" w:rsidR="0062443C" w:rsidRPr="007A5434" w:rsidRDefault="0062443C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i/>
          <w:sz w:val="22"/>
          <w:szCs w:val="22"/>
          <w:u w:val="single"/>
          <w:lang w:val="sr-Latn-ME"/>
        </w:rPr>
        <w:t>Maksimalne preporučene doze:</w:t>
      </w:r>
      <w:r w:rsidRPr="007A5434">
        <w:rPr>
          <w:sz w:val="22"/>
          <w:szCs w:val="22"/>
          <w:lang w:val="sr-Latn-ME"/>
        </w:rPr>
        <w:t xml:space="preserve"> pogledati dio 4.4. </w:t>
      </w:r>
    </w:p>
    <w:p w14:paraId="74D0A829" w14:textId="77777777" w:rsidR="0062443C" w:rsidRPr="007A5434" w:rsidRDefault="0062443C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1695F9" w14:textId="77777777" w:rsidR="00F71157" w:rsidRPr="007A5434" w:rsidRDefault="00F71157" w:rsidP="00E858F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Oštećenje funkcije bubrega</w:t>
      </w:r>
    </w:p>
    <w:p w14:paraId="5484563C" w14:textId="7B581487" w:rsidR="00F71157" w:rsidRPr="007A5434" w:rsidRDefault="00F71157" w:rsidP="0062443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U slučaju oštećenja funkcije bubrega, osim ako l</w:t>
      </w:r>
      <w:r w:rsidR="003C3873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ekar nije drugačije odredio, preporučuje se smanjenje pojedinačne doze i povećanje intervala između doza, kao što je navedeno u sl</w:t>
      </w:r>
      <w:r w:rsidR="003C3873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edećoj tabeli:</w:t>
      </w:r>
    </w:p>
    <w:p w14:paraId="73ED2166" w14:textId="77777777" w:rsidR="00F71157" w:rsidRPr="007A5434" w:rsidRDefault="00F71157" w:rsidP="00F7115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2957"/>
      </w:tblGrid>
      <w:tr w:rsidR="00F71157" w:rsidRPr="007A5434" w14:paraId="51DF0F90" w14:textId="77777777" w:rsidTr="00AB2078">
        <w:trPr>
          <w:cantSplit/>
          <w:jc w:val="center"/>
        </w:trPr>
        <w:tc>
          <w:tcPr>
            <w:tcW w:w="2957" w:type="dxa"/>
            <w:tcBorders>
              <w:bottom w:val="single" w:sz="6" w:space="0" w:color="auto"/>
            </w:tcBorders>
            <w:shd w:val="pct12" w:color="auto" w:fill="auto"/>
          </w:tcPr>
          <w:p w14:paraId="6B272B95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Klirens kreatinina</w:t>
            </w:r>
          </w:p>
        </w:tc>
        <w:tc>
          <w:tcPr>
            <w:tcW w:w="2957" w:type="dxa"/>
            <w:tcBorders>
              <w:bottom w:val="single" w:sz="6" w:space="0" w:color="auto"/>
            </w:tcBorders>
            <w:shd w:val="pct12" w:color="auto" w:fill="auto"/>
          </w:tcPr>
          <w:p w14:paraId="58BFD1C3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Razmak između doza</w:t>
            </w:r>
          </w:p>
        </w:tc>
      </w:tr>
      <w:tr w:rsidR="00F71157" w:rsidRPr="007A5434" w14:paraId="46E4950F" w14:textId="77777777" w:rsidTr="00AB2078">
        <w:trPr>
          <w:cantSplit/>
          <w:jc w:val="center"/>
        </w:trPr>
        <w:tc>
          <w:tcPr>
            <w:tcW w:w="2957" w:type="dxa"/>
            <w:tcBorders>
              <w:bottom w:val="single" w:sz="6" w:space="0" w:color="auto"/>
            </w:tcBorders>
          </w:tcPr>
          <w:p w14:paraId="7564EC76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sz w:val="22"/>
                <w:szCs w:val="22"/>
                <w:lang w:val="sr-Latn-ME"/>
              </w:rPr>
              <w:t>&gt;</w:t>
            </w: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10 mL/min</w:t>
            </w:r>
          </w:p>
        </w:tc>
        <w:tc>
          <w:tcPr>
            <w:tcW w:w="2957" w:type="dxa"/>
            <w:tcBorders>
              <w:bottom w:val="single" w:sz="6" w:space="0" w:color="auto"/>
            </w:tcBorders>
          </w:tcPr>
          <w:p w14:paraId="3BD07350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6 sati</w:t>
            </w:r>
          </w:p>
        </w:tc>
      </w:tr>
      <w:tr w:rsidR="00F71157" w:rsidRPr="007A5434" w14:paraId="4838D12F" w14:textId="77777777" w:rsidTr="00AB2078">
        <w:trPr>
          <w:cantSplit/>
          <w:jc w:val="center"/>
        </w:trPr>
        <w:tc>
          <w:tcPr>
            <w:tcW w:w="2957" w:type="dxa"/>
            <w:vAlign w:val="center"/>
          </w:tcPr>
          <w:p w14:paraId="4A3747DA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&lt;10 mL/min</w:t>
            </w:r>
          </w:p>
        </w:tc>
        <w:tc>
          <w:tcPr>
            <w:tcW w:w="2957" w:type="dxa"/>
          </w:tcPr>
          <w:p w14:paraId="45CC4326" w14:textId="77777777" w:rsidR="00F71157" w:rsidRPr="007A5434" w:rsidRDefault="00F71157" w:rsidP="00F71157">
            <w:pPr>
              <w:jc w:val="both"/>
              <w:rPr>
                <w:sz w:val="22"/>
                <w:szCs w:val="22"/>
                <w:lang w:val="sr-Latn-ME" w:eastAsia="fr-FR"/>
              </w:rPr>
            </w:pPr>
            <w:r w:rsidRPr="007A5434">
              <w:rPr>
                <w:rFonts w:eastAsia="Arial"/>
                <w:sz w:val="22"/>
                <w:szCs w:val="22"/>
                <w:lang w:val="sr-Latn-ME" w:eastAsia="fr-FR"/>
              </w:rPr>
              <w:t>8 sati</w:t>
            </w:r>
          </w:p>
        </w:tc>
      </w:tr>
    </w:tbl>
    <w:p w14:paraId="46BDE3BF" w14:textId="77777777" w:rsidR="00F71157" w:rsidRPr="007A5434" w:rsidRDefault="00F71157" w:rsidP="0062443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DD6F0E6" w14:textId="23E58135" w:rsidR="00F71157" w:rsidRPr="007A5434" w:rsidRDefault="00F71157" w:rsidP="0062443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Ukupna doza paracetamola ne sm</w:t>
      </w:r>
      <w:r w:rsidR="003C3873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 da pređe 2 g/dan.</w:t>
      </w:r>
    </w:p>
    <w:p w14:paraId="352E3FA2" w14:textId="60A57138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F2152E9" w14:textId="77777777" w:rsidR="00F71157" w:rsidRPr="007A5434" w:rsidRDefault="00F71157" w:rsidP="0062443C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Posebna klinička stanja</w:t>
      </w:r>
    </w:p>
    <w:p w14:paraId="7C7681D1" w14:textId="29185ED1" w:rsidR="00F71157" w:rsidRPr="007A5434" w:rsidRDefault="00F71157" w:rsidP="00CC711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Najmanju moguću dozu, bez postizanja doze od 60 mg/kg/dan (ne više od 2 g/dan), treba prim</w:t>
      </w:r>
      <w:r w:rsidR="00597474" w:rsidRPr="007A5434">
        <w:rPr>
          <w:sz w:val="22"/>
          <w:szCs w:val="22"/>
          <w:lang w:val="sr-Latn-ME"/>
        </w:rPr>
        <w:t>i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eniti kod:</w:t>
      </w:r>
    </w:p>
    <w:p w14:paraId="695F3293" w14:textId="0076BD70" w:rsidR="00F71157" w:rsidRPr="007A5434" w:rsidRDefault="00F71157" w:rsidP="00CC7115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odraslih koji imaju manje od 50 kg</w:t>
      </w:r>
      <w:r w:rsidR="00CC7115" w:rsidRPr="007A5434">
        <w:rPr>
          <w:sz w:val="22"/>
          <w:szCs w:val="22"/>
          <w:lang w:val="sr-Latn-ME"/>
        </w:rPr>
        <w:t>,</w:t>
      </w:r>
    </w:p>
    <w:p w14:paraId="042410CA" w14:textId="1E2824C7" w:rsidR="00F71157" w:rsidRPr="007A5434" w:rsidRDefault="00F71157" w:rsidP="000E1C80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blage do um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erene hepatocelularne insuficijencije</w:t>
      </w:r>
      <w:r w:rsidR="00CC7115" w:rsidRPr="007A5434">
        <w:rPr>
          <w:sz w:val="22"/>
          <w:szCs w:val="22"/>
          <w:lang w:val="sr-Latn-ME"/>
        </w:rPr>
        <w:t>,</w:t>
      </w:r>
    </w:p>
    <w:p w14:paraId="76A4D19F" w14:textId="051462F1" w:rsidR="00F71157" w:rsidRPr="007A5434" w:rsidRDefault="00F71157" w:rsidP="006F792F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bCs/>
          <w:i/>
          <w:sz w:val="22"/>
          <w:szCs w:val="22"/>
          <w:lang w:val="sr-Latn-ME"/>
        </w:rPr>
        <w:t>Gilbert</w:t>
      </w:r>
      <w:r w:rsidRPr="007A5434">
        <w:rPr>
          <w:bCs/>
          <w:sz w:val="22"/>
          <w:szCs w:val="22"/>
          <w:lang w:val="sr-Latn-ME"/>
        </w:rPr>
        <w:t>-ovog sindroma (nasl</w:t>
      </w:r>
      <w:r w:rsidR="00CC7115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edna nehemolitička žutica)</w:t>
      </w:r>
      <w:r w:rsidR="00CC7115" w:rsidRPr="007A5434">
        <w:rPr>
          <w:bCs/>
          <w:sz w:val="22"/>
          <w:szCs w:val="22"/>
          <w:lang w:val="sr-Latn-ME"/>
        </w:rPr>
        <w:t>,</w:t>
      </w:r>
    </w:p>
    <w:p w14:paraId="2C0AC277" w14:textId="15EF50F2" w:rsidR="00F71157" w:rsidRPr="007A5434" w:rsidRDefault="00F71157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hroničnog alkoholizma</w:t>
      </w:r>
      <w:r w:rsidR="00CC7115" w:rsidRPr="007A5434">
        <w:rPr>
          <w:sz w:val="22"/>
          <w:szCs w:val="22"/>
          <w:lang w:val="sr-Latn-ME"/>
        </w:rPr>
        <w:t>,</w:t>
      </w:r>
    </w:p>
    <w:p w14:paraId="33D312E4" w14:textId="4CA84849" w:rsidR="00F71157" w:rsidRPr="007A5434" w:rsidRDefault="00F71157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hronične malnutricije</w:t>
      </w:r>
      <w:r w:rsidR="00CC7115" w:rsidRPr="007A5434">
        <w:rPr>
          <w:sz w:val="22"/>
          <w:szCs w:val="22"/>
          <w:lang w:val="sr-Latn-ME"/>
        </w:rPr>
        <w:t>,</w:t>
      </w:r>
    </w:p>
    <w:p w14:paraId="43888F7E" w14:textId="59663342" w:rsidR="00F71157" w:rsidRPr="007A5434" w:rsidRDefault="00F71157">
      <w:pPr>
        <w:numPr>
          <w:ilvl w:val="2"/>
          <w:numId w:val="1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dehidratacije</w:t>
      </w:r>
      <w:r w:rsidR="00CC7115" w:rsidRPr="007A5434">
        <w:rPr>
          <w:sz w:val="22"/>
          <w:szCs w:val="22"/>
          <w:lang w:val="sr-Latn-ME"/>
        </w:rPr>
        <w:t>.</w:t>
      </w:r>
    </w:p>
    <w:p w14:paraId="32FC5CEF" w14:textId="17367D6C" w:rsidR="00F71157" w:rsidRPr="007A5434" w:rsidRDefault="00F71157" w:rsidP="00E858F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lastRenderedPageBreak/>
        <w:t>Učestalost prim</w:t>
      </w:r>
      <w:r w:rsidR="00211CFC" w:rsidRPr="007A5434">
        <w:rPr>
          <w:b/>
          <w:bCs/>
          <w:i/>
          <w:sz w:val="22"/>
          <w:szCs w:val="22"/>
          <w:lang w:val="sr-Latn-ME"/>
        </w:rPr>
        <w:t>j</w:t>
      </w:r>
      <w:r w:rsidRPr="007A5434">
        <w:rPr>
          <w:b/>
          <w:bCs/>
          <w:i/>
          <w:sz w:val="22"/>
          <w:szCs w:val="22"/>
          <w:lang w:val="sr-Latn-ME"/>
        </w:rPr>
        <w:t>ene</w:t>
      </w:r>
    </w:p>
    <w:p w14:paraId="16860F2C" w14:textId="05C105A0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Pravilnom prim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enom 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izbegavaju se fluktuacije u jačini bola i povišenoj t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elesnoj temperaturi:</w:t>
      </w:r>
    </w:p>
    <w:p w14:paraId="3000D65D" w14:textId="37C5650D" w:rsidR="00F71157" w:rsidRPr="007A5434" w:rsidRDefault="00F71157" w:rsidP="0062443C">
      <w:pPr>
        <w:numPr>
          <w:ilvl w:val="2"/>
          <w:numId w:val="12"/>
        </w:numPr>
        <w:tabs>
          <w:tab w:val="left" w:pos="284"/>
        </w:tabs>
        <w:ind w:left="851" w:hanging="425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Kod d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ece, 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 xml:space="preserve">ek se mora davati u pravilnim vremenskim intervalima, </w:t>
      </w:r>
      <w:r w:rsidRPr="007A5434">
        <w:rPr>
          <w:b/>
          <w:sz w:val="22"/>
          <w:szCs w:val="22"/>
          <w:lang w:val="sr-Latn-ME"/>
        </w:rPr>
        <w:t>tokom dana i noći,</w:t>
      </w:r>
      <w:r w:rsidRPr="007A5434">
        <w:rPr>
          <w:sz w:val="22"/>
          <w:szCs w:val="22"/>
          <w:lang w:val="sr-Latn-ME"/>
        </w:rPr>
        <w:t xml:space="preserve"> </w:t>
      </w:r>
      <w:r w:rsidR="00D5204E" w:rsidRPr="007A5434">
        <w:rPr>
          <w:sz w:val="22"/>
          <w:szCs w:val="22"/>
          <w:lang w:val="sr-Latn-ME"/>
        </w:rPr>
        <w:t>n</w:t>
      </w:r>
      <w:r w:rsidRPr="007A5434">
        <w:rPr>
          <w:sz w:val="22"/>
          <w:szCs w:val="22"/>
          <w:u w:val="single"/>
          <w:lang w:val="sr-Latn-ME"/>
        </w:rPr>
        <w:t>ajbolje na 6 sati.</w:t>
      </w:r>
      <w:r w:rsidRPr="007A5434">
        <w:rPr>
          <w:sz w:val="22"/>
          <w:szCs w:val="22"/>
          <w:lang w:val="sr-Latn-ME"/>
        </w:rPr>
        <w:t xml:space="preserve"> Najmanji vremenski interval između dv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prim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 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 xml:space="preserve">eka može biti 4 sata. </w:t>
      </w:r>
    </w:p>
    <w:p w14:paraId="2B2C7D49" w14:textId="1D4E7F3E" w:rsidR="00F71157" w:rsidRPr="007A5434" w:rsidRDefault="00F71157" w:rsidP="007458BA">
      <w:pPr>
        <w:numPr>
          <w:ilvl w:val="2"/>
          <w:numId w:val="12"/>
        </w:numPr>
        <w:tabs>
          <w:tab w:val="left" w:pos="284"/>
        </w:tabs>
        <w:ind w:left="851" w:hanging="425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Kod odraslih, vremenski interval između dv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prim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 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ne sm</w:t>
      </w:r>
      <w:r w:rsidR="007458BA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biti kraći od 4 sata.</w:t>
      </w:r>
    </w:p>
    <w:p w14:paraId="64CF28A4" w14:textId="77777777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A571496" w14:textId="2044FC91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Usl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 sadržaja vitamina C, prim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enu 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pred odlazak na spavanje treba izb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egavati.</w:t>
      </w:r>
    </w:p>
    <w:p w14:paraId="79BDA5BD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C4F8C" w14:textId="0A5425D8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L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 se ne sm</w:t>
      </w:r>
      <w:r w:rsidR="00D5204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uzimati duže od 3 dana u kontinuitetu bez prethodne konsultacije sa l</w:t>
      </w:r>
      <w:r w:rsidR="00D5204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ekarom.</w:t>
      </w:r>
    </w:p>
    <w:p w14:paraId="5D485C3C" w14:textId="77777777" w:rsidR="007F0930" w:rsidRPr="007A5434" w:rsidRDefault="007F0930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A85E866" w14:textId="4A4BE977" w:rsidR="00452E9D" w:rsidRPr="007A5434" w:rsidRDefault="00452E9D" w:rsidP="00E858F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Način primjene</w:t>
      </w:r>
    </w:p>
    <w:p w14:paraId="7D7D66A7" w14:textId="77777777" w:rsidR="00F71157" w:rsidRPr="007A5434" w:rsidDel="005B37E9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 w:rsidDel="005B37E9">
        <w:rPr>
          <w:sz w:val="22"/>
          <w:szCs w:val="22"/>
          <w:lang w:val="sr-Latn-ME"/>
        </w:rPr>
        <w:t>Oralna upotreba.</w:t>
      </w:r>
    </w:p>
    <w:p w14:paraId="4ED8135F" w14:textId="77777777" w:rsidR="00F71157" w:rsidRPr="007A5434" w:rsidDel="005B37E9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 w:rsidDel="005B37E9">
        <w:rPr>
          <w:sz w:val="22"/>
          <w:szCs w:val="22"/>
          <w:lang w:val="sr-Latn-ME"/>
        </w:rPr>
        <w:t>Šumeću tabletu potpuno rastvoriti u punoj čaši obične vode i odmah popiti.</w:t>
      </w:r>
    </w:p>
    <w:p w14:paraId="526C0358" w14:textId="77777777" w:rsidR="00F71157" w:rsidRPr="007A5434" w:rsidDel="005B37E9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 w:rsidDel="005B37E9">
        <w:rPr>
          <w:bCs/>
          <w:sz w:val="22"/>
          <w:szCs w:val="22"/>
          <w:lang w:val="sr-Latn-ME"/>
        </w:rPr>
        <w:t>Šumeće tablete ne treba žvakati niti gutati.</w:t>
      </w:r>
    </w:p>
    <w:p w14:paraId="3E315D68" w14:textId="77777777" w:rsidR="00452E9D" w:rsidRPr="007A5434" w:rsidRDefault="00452E9D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D93C25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4.3.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Kontraindikacije</w:t>
      </w:r>
    </w:p>
    <w:p w14:paraId="56E5175B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22169E" w14:textId="664E3199" w:rsidR="00F71157" w:rsidRPr="007A5434" w:rsidRDefault="00F71157" w:rsidP="00E858F2">
      <w:pPr>
        <w:tabs>
          <w:tab w:val="left" w:pos="284"/>
        </w:tabs>
        <w:ind w:left="1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Poznata preos</w:t>
      </w:r>
      <w:r w:rsidR="00D6606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etljivost na paracetamol, askorbinsku kiselinu ili na bilo koju od pomoćnih supstanci navedenih u </w:t>
      </w:r>
      <w:r w:rsidR="007458BA" w:rsidRPr="007A5434">
        <w:rPr>
          <w:sz w:val="22"/>
          <w:szCs w:val="22"/>
          <w:lang w:val="sr-Latn-ME"/>
        </w:rPr>
        <w:t>dijel</w:t>
      </w:r>
      <w:r w:rsidRPr="007A5434">
        <w:rPr>
          <w:sz w:val="22"/>
          <w:szCs w:val="22"/>
          <w:lang w:val="sr-Latn-ME"/>
        </w:rPr>
        <w:t>u 6.1.</w:t>
      </w:r>
    </w:p>
    <w:p w14:paraId="6BCA6F35" w14:textId="6B69E245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Teška insuficijencija jetre ili akutna dekompenzacija jetre</w:t>
      </w:r>
      <w:r w:rsidR="00A45D74" w:rsidRPr="007A5434">
        <w:rPr>
          <w:sz w:val="22"/>
          <w:szCs w:val="22"/>
          <w:lang w:val="sr-Latn-ME"/>
        </w:rPr>
        <w:t>.</w:t>
      </w:r>
    </w:p>
    <w:p w14:paraId="50192CDA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Kalcijum-oksalatna nefrolitijaza (kamen u bubregu) za doze vitamina C veće od 1 g/dan.</w:t>
      </w:r>
    </w:p>
    <w:p w14:paraId="61760D97" w14:textId="77777777" w:rsidR="00F71157" w:rsidRPr="007A5434" w:rsidRDefault="00F71157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DBDD594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4.4.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6B7483C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C944A3" w14:textId="77777777" w:rsidR="00F71157" w:rsidRPr="007A5434" w:rsidRDefault="00F71157" w:rsidP="00E858F2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7A5434">
        <w:rPr>
          <w:b/>
          <w:i/>
          <w:sz w:val="22"/>
          <w:szCs w:val="22"/>
          <w:lang w:val="sr-Latn-ME"/>
        </w:rPr>
        <w:t>Posebna upozorenja</w:t>
      </w:r>
    </w:p>
    <w:p w14:paraId="285AEDDE" w14:textId="724FACFF" w:rsidR="00F71157" w:rsidRPr="007A5434" w:rsidRDefault="00F71157" w:rsidP="006244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Kako bi se izb</w:t>
      </w:r>
      <w:r w:rsidR="00AA530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egao rizik od predoziranja, potrebno je:</w:t>
      </w:r>
    </w:p>
    <w:p w14:paraId="43643085" w14:textId="3546F660" w:rsidR="00F71157" w:rsidRPr="007A5434" w:rsidRDefault="00F71157" w:rsidP="007458BA">
      <w:pPr>
        <w:numPr>
          <w:ilvl w:val="0"/>
          <w:numId w:val="1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prov</w:t>
      </w:r>
      <w:r w:rsidR="00AA530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eriti da li drugi istovremeno prim</w:t>
      </w:r>
      <w:r w:rsidR="007458BA" w:rsidRPr="007A5434">
        <w:rPr>
          <w:sz w:val="22"/>
          <w:szCs w:val="22"/>
          <w:lang w:val="sr-Latn-ME"/>
        </w:rPr>
        <w:t>i</w:t>
      </w:r>
      <w:r w:rsidR="00AA530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enjeni l</w:t>
      </w:r>
      <w:r w:rsidR="00AA530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ekovi sadrže paracetamol</w:t>
      </w:r>
      <w:r w:rsidR="007458BA" w:rsidRPr="007A5434">
        <w:rPr>
          <w:sz w:val="22"/>
          <w:szCs w:val="22"/>
          <w:lang w:val="sr-Latn-ME"/>
        </w:rPr>
        <w:t>,</w:t>
      </w:r>
    </w:p>
    <w:p w14:paraId="75A6341B" w14:textId="3434F950" w:rsidR="00F71157" w:rsidRPr="007A5434" w:rsidRDefault="00F71157" w:rsidP="000E1C80">
      <w:pPr>
        <w:numPr>
          <w:ilvl w:val="0"/>
          <w:numId w:val="1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pridržavati se maksimalno preporučenih doza</w:t>
      </w:r>
      <w:r w:rsidR="007458BA" w:rsidRPr="007A5434">
        <w:rPr>
          <w:sz w:val="22"/>
          <w:szCs w:val="22"/>
          <w:lang w:val="sr-Latn-ME"/>
        </w:rPr>
        <w:t>.</w:t>
      </w:r>
      <w:r w:rsidRPr="007A5434">
        <w:rPr>
          <w:sz w:val="22"/>
          <w:szCs w:val="22"/>
          <w:lang w:val="sr-Latn-ME"/>
        </w:rPr>
        <w:t xml:space="preserve"> </w:t>
      </w:r>
    </w:p>
    <w:p w14:paraId="0429EF31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C9D62F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Maksimalne preporučene doze:</w:t>
      </w:r>
    </w:p>
    <w:p w14:paraId="752AA96E" w14:textId="218E934C" w:rsidR="00F71157" w:rsidRPr="007A5434" w:rsidRDefault="00F71157" w:rsidP="0062443C">
      <w:pPr>
        <w:numPr>
          <w:ilvl w:val="0"/>
          <w:numId w:val="14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D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eca t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elesne mase manje od 40 kg</w:t>
      </w:r>
      <w:r w:rsidRPr="007A5434">
        <w:rPr>
          <w:sz w:val="22"/>
          <w:szCs w:val="22"/>
          <w:lang w:val="sr-Latn-ME"/>
        </w:rPr>
        <w:t xml:space="preserve">: ukupna doza paracetamola ne </w:t>
      </w:r>
      <w:r w:rsidR="007458BA" w:rsidRPr="007A5434">
        <w:rPr>
          <w:sz w:val="22"/>
          <w:szCs w:val="22"/>
          <w:lang w:val="sr-Latn-ME"/>
        </w:rPr>
        <w:t>smije</w:t>
      </w:r>
      <w:r w:rsidRPr="007A5434">
        <w:rPr>
          <w:sz w:val="22"/>
          <w:szCs w:val="22"/>
          <w:lang w:val="sr-Latn-ME"/>
        </w:rPr>
        <w:t xml:space="preserve"> da pređe 60 mg/kg/dan (</w:t>
      </w:r>
      <w:r w:rsidR="00205ABC" w:rsidRPr="007A5434">
        <w:rPr>
          <w:sz w:val="22"/>
          <w:szCs w:val="22"/>
          <w:lang w:val="sr-Latn-ME"/>
        </w:rPr>
        <w:t>pogleda</w:t>
      </w:r>
      <w:r w:rsidRPr="007A5434">
        <w:rPr>
          <w:sz w:val="22"/>
          <w:szCs w:val="22"/>
          <w:lang w:val="sr-Latn-ME"/>
        </w:rPr>
        <w:t xml:space="preserve">ti </w:t>
      </w:r>
      <w:r w:rsidR="00AA5303" w:rsidRPr="007A5434">
        <w:rPr>
          <w:sz w:val="22"/>
          <w:szCs w:val="22"/>
          <w:lang w:val="sr-Latn-ME"/>
        </w:rPr>
        <w:t>dio</w:t>
      </w:r>
      <w:r w:rsidRPr="007A5434">
        <w:rPr>
          <w:sz w:val="22"/>
          <w:szCs w:val="22"/>
          <w:lang w:val="sr-Latn-ME"/>
        </w:rPr>
        <w:t xml:space="preserve"> </w:t>
      </w:r>
      <w:r w:rsidRPr="007A5434">
        <w:rPr>
          <w:i/>
          <w:sz w:val="22"/>
          <w:szCs w:val="22"/>
          <w:lang w:val="sr-Latn-ME"/>
        </w:rPr>
        <w:t>Predoziranje)</w:t>
      </w:r>
    </w:p>
    <w:p w14:paraId="00B2D16F" w14:textId="5A428AD4" w:rsidR="00F71157" w:rsidRPr="007A5434" w:rsidRDefault="00F71157" w:rsidP="007458BA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D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eca t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elesne mase od 41 kg do 50 kg</w:t>
      </w:r>
      <w:r w:rsidRPr="007A5434">
        <w:rPr>
          <w:sz w:val="22"/>
          <w:szCs w:val="22"/>
          <w:lang w:val="sr-Latn-ME"/>
        </w:rPr>
        <w:t>: ukupna doza paracetamola ne sm</w:t>
      </w:r>
      <w:r w:rsidR="00AA5303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da pređe 2 g/dan (</w:t>
      </w:r>
      <w:r w:rsidR="00205ABC" w:rsidRPr="007A5434">
        <w:rPr>
          <w:sz w:val="22"/>
          <w:szCs w:val="22"/>
          <w:lang w:val="sr-Latn-ME"/>
        </w:rPr>
        <w:t>pogleda</w:t>
      </w:r>
      <w:r w:rsidRPr="007A5434">
        <w:rPr>
          <w:sz w:val="22"/>
          <w:szCs w:val="22"/>
          <w:lang w:val="sr-Latn-ME"/>
        </w:rPr>
        <w:t xml:space="preserve">ti </w:t>
      </w:r>
      <w:r w:rsidR="00AA5303" w:rsidRPr="007A5434">
        <w:rPr>
          <w:sz w:val="22"/>
          <w:szCs w:val="22"/>
          <w:lang w:val="sr-Latn-ME"/>
        </w:rPr>
        <w:t>dio</w:t>
      </w:r>
      <w:r w:rsidRPr="007A5434">
        <w:rPr>
          <w:sz w:val="22"/>
          <w:szCs w:val="22"/>
          <w:lang w:val="sr-Latn-ME"/>
        </w:rPr>
        <w:t xml:space="preserve"> 4.9)</w:t>
      </w:r>
    </w:p>
    <w:p w14:paraId="67193529" w14:textId="061FF985" w:rsidR="00F71157" w:rsidRPr="007A5434" w:rsidRDefault="00F71157" w:rsidP="007458BA">
      <w:pPr>
        <w:numPr>
          <w:ilvl w:val="0"/>
          <w:numId w:val="14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Odrasli i d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eca t</w:t>
      </w:r>
      <w:r w:rsidR="00AA5303" w:rsidRPr="007A5434">
        <w:rPr>
          <w:sz w:val="22"/>
          <w:szCs w:val="22"/>
          <w:u w:val="single"/>
          <w:lang w:val="sr-Latn-ME"/>
        </w:rPr>
        <w:t>j</w:t>
      </w:r>
      <w:r w:rsidRPr="007A5434">
        <w:rPr>
          <w:sz w:val="22"/>
          <w:szCs w:val="22"/>
          <w:u w:val="single"/>
          <w:lang w:val="sr-Latn-ME"/>
        </w:rPr>
        <w:t>elesne mase veće od 50 kg</w:t>
      </w:r>
      <w:r w:rsidRPr="007A5434">
        <w:rPr>
          <w:sz w:val="22"/>
          <w:szCs w:val="22"/>
          <w:lang w:val="sr-Latn-ME"/>
        </w:rPr>
        <w:t>: UKUPNA DOZA PARACETAMOLA NE SM</w:t>
      </w:r>
      <w:r w:rsidR="00AA5303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DA PREĐE 3 g DNEVNO (</w:t>
      </w:r>
      <w:r w:rsidR="00205ABC" w:rsidRPr="007A5434">
        <w:rPr>
          <w:sz w:val="22"/>
          <w:szCs w:val="22"/>
          <w:lang w:val="sr-Latn-ME"/>
        </w:rPr>
        <w:t>pogledat</w:t>
      </w:r>
      <w:r w:rsidRPr="007A5434">
        <w:rPr>
          <w:sz w:val="22"/>
          <w:szCs w:val="22"/>
          <w:lang w:val="sr-Latn-ME"/>
        </w:rPr>
        <w:t xml:space="preserve">i </w:t>
      </w:r>
      <w:r w:rsidR="00AA5303" w:rsidRPr="007A5434">
        <w:rPr>
          <w:sz w:val="22"/>
          <w:szCs w:val="22"/>
          <w:lang w:val="sr-Latn-ME"/>
        </w:rPr>
        <w:t>dio</w:t>
      </w:r>
      <w:r w:rsidRPr="007A5434">
        <w:rPr>
          <w:sz w:val="22"/>
          <w:szCs w:val="22"/>
          <w:lang w:val="sr-Latn-ME"/>
        </w:rPr>
        <w:t xml:space="preserve"> 4.9)</w:t>
      </w:r>
    </w:p>
    <w:p w14:paraId="4D195BAF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7A97AB" w14:textId="000FD7CE" w:rsidR="00981881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Paracetamol može da izazove teške kožne reakcije, kao što su akutni generalizovani pustulozni egzantem (AGEP), </w:t>
      </w:r>
      <w:r w:rsidRPr="007A5434">
        <w:rPr>
          <w:i/>
          <w:sz w:val="22"/>
          <w:szCs w:val="22"/>
          <w:lang w:val="sr-Latn-ME"/>
        </w:rPr>
        <w:t>Stevens-Johnson</w:t>
      </w:r>
      <w:r w:rsidRPr="007A5434">
        <w:rPr>
          <w:sz w:val="22"/>
          <w:szCs w:val="22"/>
          <w:lang w:val="sr-Latn-ME"/>
        </w:rPr>
        <w:t>-ov sindrom (SJS) i toksičn</w:t>
      </w:r>
      <w:r w:rsidR="00597474" w:rsidRPr="007A5434">
        <w:rPr>
          <w:sz w:val="22"/>
          <w:szCs w:val="22"/>
          <w:lang w:val="sr-Latn-ME"/>
        </w:rPr>
        <w:t>a</w:t>
      </w:r>
      <w:r w:rsidRPr="007A5434">
        <w:rPr>
          <w:sz w:val="22"/>
          <w:szCs w:val="22"/>
          <w:lang w:val="sr-Latn-ME"/>
        </w:rPr>
        <w:t xml:space="preserve"> epidermaln</w:t>
      </w:r>
      <w:r w:rsidR="00597474" w:rsidRPr="007A5434">
        <w:rPr>
          <w:sz w:val="22"/>
          <w:szCs w:val="22"/>
          <w:lang w:val="sr-Latn-ME"/>
        </w:rPr>
        <w:t>a</w:t>
      </w:r>
      <w:r w:rsidRPr="007A5434">
        <w:rPr>
          <w:sz w:val="22"/>
          <w:szCs w:val="22"/>
          <w:lang w:val="sr-Latn-ME"/>
        </w:rPr>
        <w:t xml:space="preserve"> nekroliz</w:t>
      </w:r>
      <w:r w:rsidR="00597474" w:rsidRPr="007A5434">
        <w:rPr>
          <w:sz w:val="22"/>
          <w:szCs w:val="22"/>
          <w:lang w:val="sr-Latn-ME"/>
        </w:rPr>
        <w:t>a</w:t>
      </w:r>
      <w:r w:rsidRPr="007A5434">
        <w:rPr>
          <w:sz w:val="22"/>
          <w:szCs w:val="22"/>
          <w:lang w:val="sr-Latn-ME"/>
        </w:rPr>
        <w:t xml:space="preserve"> (TEN), koj</w:t>
      </w:r>
      <w:r w:rsidR="007458BA" w:rsidRPr="007A5434">
        <w:rPr>
          <w:sz w:val="22"/>
          <w:szCs w:val="22"/>
          <w:lang w:val="sr-Latn-ME"/>
        </w:rPr>
        <w:t>e</w:t>
      </w:r>
      <w:r w:rsidRPr="007A5434">
        <w:rPr>
          <w:sz w:val="22"/>
          <w:szCs w:val="22"/>
          <w:lang w:val="sr-Latn-ME"/>
        </w:rPr>
        <w:t xml:space="preserve"> mogu biti sa smrtnim ishodom. Pacijentima treba objasniti koji su početni znaci navedenih teških kožnih reakcija i da pojava osipa na koži ili bilo kog drugog znaka ima za posl</w:t>
      </w:r>
      <w:r w:rsidR="0095416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edicu trajni prekid terapije.</w:t>
      </w:r>
    </w:p>
    <w:p w14:paraId="6A4978E9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B07F2D" w14:textId="41E286F2" w:rsidR="00F71157" w:rsidRPr="007A5434" w:rsidRDefault="00F71157" w:rsidP="00E858F2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M</w:t>
      </w:r>
      <w:r w:rsidR="005A2593" w:rsidRPr="007A5434">
        <w:rPr>
          <w:b/>
          <w:bCs/>
          <w:i/>
          <w:sz w:val="22"/>
          <w:szCs w:val="22"/>
          <w:lang w:val="sr-Latn-ME"/>
        </w:rPr>
        <w:t>j</w:t>
      </w:r>
      <w:r w:rsidRPr="007A5434">
        <w:rPr>
          <w:b/>
          <w:bCs/>
          <w:i/>
          <w:sz w:val="22"/>
          <w:szCs w:val="22"/>
          <w:lang w:val="sr-Latn-ME"/>
        </w:rPr>
        <w:t>ere opreza pri upotrebi l</w:t>
      </w:r>
      <w:r w:rsidR="009C6FCE" w:rsidRPr="007A5434">
        <w:rPr>
          <w:b/>
          <w:bCs/>
          <w:i/>
          <w:sz w:val="22"/>
          <w:szCs w:val="22"/>
          <w:lang w:val="sr-Latn-ME"/>
        </w:rPr>
        <w:t>ij</w:t>
      </w:r>
      <w:r w:rsidRPr="007A5434">
        <w:rPr>
          <w:b/>
          <w:bCs/>
          <w:i/>
          <w:sz w:val="22"/>
          <w:szCs w:val="22"/>
          <w:lang w:val="sr-Latn-ME"/>
        </w:rPr>
        <w:t>eka</w:t>
      </w:r>
    </w:p>
    <w:p w14:paraId="510BB6D7" w14:textId="597BC378" w:rsidR="00F71157" w:rsidRPr="007A5434" w:rsidRDefault="00F71157" w:rsidP="00E858F2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lang w:val="sr-Latn-ME"/>
        </w:rPr>
        <w:t>Usl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 blagog stimulativnog efekta vitamina C, prim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enu l</w:t>
      </w:r>
      <w:r w:rsidR="00FB12C9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pred odlazak na spavanje treba izb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egavati.</w:t>
      </w:r>
    </w:p>
    <w:p w14:paraId="4972399C" w14:textId="77777777" w:rsidR="00F71157" w:rsidRPr="007A5434" w:rsidRDefault="00F71157" w:rsidP="00E858F2">
      <w:pPr>
        <w:jc w:val="both"/>
        <w:rPr>
          <w:sz w:val="22"/>
          <w:szCs w:val="22"/>
          <w:lang w:val="sr-Latn-ME"/>
        </w:rPr>
      </w:pPr>
    </w:p>
    <w:p w14:paraId="3E18F7E7" w14:textId="3E35B6F4" w:rsidR="00F71157" w:rsidRPr="007A5434" w:rsidRDefault="00F71157" w:rsidP="00E858F2">
      <w:pPr>
        <w:jc w:val="both"/>
        <w:rPr>
          <w:b/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lang w:val="sr-Latn-ME"/>
        </w:rPr>
        <w:t>Ukoliko d</w:t>
      </w:r>
      <w:r w:rsidR="007458BA" w:rsidRPr="007A5434">
        <w:rPr>
          <w:sz w:val="22"/>
          <w:szCs w:val="22"/>
          <w:lang w:val="sr-Latn-ME"/>
        </w:rPr>
        <w:t>i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ete prima paracetamol u dozi od 60 mg/kg/dan, kombinacija sa drugim antipiretikom je opravdana samo u slučaju neefikasnosti paracetamola.</w:t>
      </w:r>
    </w:p>
    <w:p w14:paraId="5EEB37C7" w14:textId="77777777" w:rsidR="00F71157" w:rsidRPr="007A5434" w:rsidRDefault="00F71157" w:rsidP="00E858F2">
      <w:pPr>
        <w:jc w:val="both"/>
        <w:rPr>
          <w:sz w:val="22"/>
          <w:szCs w:val="22"/>
          <w:lang w:val="sr-Latn-ME"/>
        </w:rPr>
      </w:pPr>
    </w:p>
    <w:p w14:paraId="00C7A57D" w14:textId="77777777" w:rsidR="00F71157" w:rsidRPr="007A5434" w:rsidRDefault="00F71157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treba davati uz oprez u slučaju:</w:t>
      </w:r>
    </w:p>
    <w:p w14:paraId="062457DF" w14:textId="6D5247CD" w:rsidR="00F71157" w:rsidRPr="007A5434" w:rsidRDefault="00A45D74" w:rsidP="0062443C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odraslih osoba </w:t>
      </w:r>
      <w:r w:rsidR="00F71157" w:rsidRPr="007A5434">
        <w:rPr>
          <w:sz w:val="22"/>
          <w:szCs w:val="22"/>
          <w:lang w:val="sr-Latn-ME"/>
        </w:rPr>
        <w:t>t</w:t>
      </w:r>
      <w:r w:rsidR="00FB12C9" w:rsidRPr="007A5434">
        <w:rPr>
          <w:sz w:val="22"/>
          <w:szCs w:val="22"/>
          <w:lang w:val="sr-Latn-ME"/>
        </w:rPr>
        <w:t>j</w:t>
      </w:r>
      <w:r w:rsidR="00F71157" w:rsidRPr="007A5434">
        <w:rPr>
          <w:sz w:val="22"/>
          <w:szCs w:val="22"/>
          <w:lang w:val="sr-Latn-ME"/>
        </w:rPr>
        <w:t>elesne mase &lt;50 kg</w:t>
      </w:r>
    </w:p>
    <w:p w14:paraId="3B4BC6FA" w14:textId="669C6B44" w:rsidR="00F71157" w:rsidRPr="007A5434" w:rsidRDefault="00F71157" w:rsidP="00CC7115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blage do um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erene hepatocelularne insuficijencije</w:t>
      </w:r>
    </w:p>
    <w:p w14:paraId="651D364C" w14:textId="5CA61729" w:rsidR="00F71157" w:rsidRPr="007A5434" w:rsidRDefault="00F71157" w:rsidP="006F792F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oštećenja funkcije bubrega (</w:t>
      </w:r>
      <w:r w:rsidR="00FB12C9" w:rsidRPr="007A5434">
        <w:rPr>
          <w:sz w:val="22"/>
          <w:szCs w:val="22"/>
          <w:lang w:val="sr-Latn-ME"/>
        </w:rPr>
        <w:t>pogledati dio</w:t>
      </w:r>
      <w:r w:rsidRPr="007A5434">
        <w:rPr>
          <w:sz w:val="22"/>
          <w:szCs w:val="22"/>
          <w:lang w:val="sr-Latn-ME"/>
        </w:rPr>
        <w:t xml:space="preserve"> 4.2)</w:t>
      </w:r>
    </w:p>
    <w:p w14:paraId="2CB8FB85" w14:textId="75C7D0D1" w:rsidR="00F71157" w:rsidRPr="007A5434" w:rsidRDefault="00F71157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bCs/>
          <w:i/>
          <w:sz w:val="22"/>
          <w:szCs w:val="22"/>
          <w:lang w:val="sr-Latn-ME"/>
        </w:rPr>
        <w:t>Gilbert</w:t>
      </w:r>
      <w:r w:rsidRPr="007A5434">
        <w:rPr>
          <w:bCs/>
          <w:sz w:val="22"/>
          <w:szCs w:val="22"/>
          <w:lang w:val="sr-Latn-ME"/>
        </w:rPr>
        <w:t>-ovog sindroma (nasl</w:t>
      </w:r>
      <w:r w:rsidR="007458BA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edna nehemolitička žutica)</w:t>
      </w:r>
    </w:p>
    <w:p w14:paraId="4F95E519" w14:textId="77777777" w:rsidR="00F71157" w:rsidRPr="007A5434" w:rsidRDefault="00F71157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deficijencije enzima glukozo-6-fosfat dehidrogenaze (G6PD) (može dovesti do hemolitičke anemije)</w:t>
      </w:r>
    </w:p>
    <w:p w14:paraId="4482CA5F" w14:textId="19CC0EC9" w:rsidR="00F71157" w:rsidRPr="007A5434" w:rsidRDefault="00F71157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lastRenderedPageBreak/>
        <w:t>hroničnog alkoholizma, prekom</w:t>
      </w:r>
      <w:r w:rsidR="00FB12C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erne upotrebe alkohola (3 ili više alkoholnih pića dnevno)</w:t>
      </w:r>
    </w:p>
    <w:p w14:paraId="689A73A1" w14:textId="77777777" w:rsidR="00F71157" w:rsidRPr="007A5434" w:rsidRDefault="00F71157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anoreksije, bulimije ili kaheksije; hronične malnutricije (smanjene rezerve glutationa u jetri)</w:t>
      </w:r>
    </w:p>
    <w:p w14:paraId="0852CE85" w14:textId="1B12882A" w:rsidR="00F71157" w:rsidRPr="007A5434" w:rsidRDefault="00F71157">
      <w:pPr>
        <w:numPr>
          <w:ilvl w:val="3"/>
          <w:numId w:val="13"/>
        </w:num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dehidratacije, hipovolemije (</w:t>
      </w:r>
      <w:r w:rsidR="00FB12C9" w:rsidRPr="007A5434">
        <w:rPr>
          <w:sz w:val="22"/>
          <w:szCs w:val="22"/>
          <w:lang w:val="sr-Latn-ME"/>
        </w:rPr>
        <w:t>pogledati dio</w:t>
      </w:r>
      <w:r w:rsidRPr="007A5434">
        <w:rPr>
          <w:sz w:val="22"/>
          <w:szCs w:val="22"/>
          <w:lang w:val="sr-Latn-ME"/>
        </w:rPr>
        <w:t xml:space="preserve"> </w:t>
      </w:r>
      <w:r w:rsidRPr="007A5434">
        <w:rPr>
          <w:i/>
          <w:sz w:val="22"/>
          <w:szCs w:val="22"/>
          <w:lang w:val="sr-Latn-ME"/>
        </w:rPr>
        <w:t>Doziranje i način prim</w:t>
      </w:r>
      <w:r w:rsidR="00FB12C9" w:rsidRPr="007A5434">
        <w:rPr>
          <w:i/>
          <w:sz w:val="22"/>
          <w:szCs w:val="22"/>
          <w:lang w:val="sr-Latn-ME"/>
        </w:rPr>
        <w:t>j</w:t>
      </w:r>
      <w:r w:rsidRPr="007A5434">
        <w:rPr>
          <w:i/>
          <w:sz w:val="22"/>
          <w:szCs w:val="22"/>
          <w:lang w:val="sr-Latn-ME"/>
        </w:rPr>
        <w:t>ene</w:t>
      </w:r>
      <w:r w:rsidRPr="007A5434">
        <w:rPr>
          <w:sz w:val="22"/>
          <w:szCs w:val="22"/>
          <w:lang w:val="sr-Latn-ME"/>
        </w:rPr>
        <w:t>).</w:t>
      </w:r>
    </w:p>
    <w:p w14:paraId="6BC96E6C" w14:textId="77777777" w:rsidR="00F71157" w:rsidRPr="007A5434" w:rsidRDefault="00F71157">
      <w:pPr>
        <w:tabs>
          <w:tab w:val="left" w:pos="284"/>
        </w:tabs>
        <w:ind w:left="1418" w:hanging="284"/>
        <w:jc w:val="both"/>
        <w:rPr>
          <w:sz w:val="22"/>
          <w:szCs w:val="22"/>
          <w:lang w:val="sr-Latn-ME"/>
        </w:rPr>
      </w:pPr>
    </w:p>
    <w:p w14:paraId="299E2896" w14:textId="68183B1E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Sav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etuje se poseban oprez prilikom upotrebe vitamina C kod pacijenata sa porem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ećajem metabolizma gvožđa, kod pacijenata koji su predisponirani za stvaranje urinarne ili bubrežne litijaze i kod osoba sa nedostatkom glukoza-6-fosfat dehidrogenaze.</w:t>
      </w:r>
    </w:p>
    <w:p w14:paraId="3387C601" w14:textId="77777777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AC3E116" w14:textId="2C7C5163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 slučaju akutnog virusnog hepatitisa treba prekinuti terapiju l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ekom Efferalgan sa vitaminom C.</w:t>
      </w:r>
    </w:p>
    <w:p w14:paraId="479F0932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3094E9" w14:textId="3BF234CB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L</w:t>
      </w:r>
      <w:r w:rsidR="009C6FCE" w:rsidRPr="007A5434">
        <w:rPr>
          <w:b/>
          <w:bCs/>
          <w:sz w:val="22"/>
          <w:szCs w:val="22"/>
          <w:lang w:val="sr-Latn-ME"/>
        </w:rPr>
        <w:t>ij</w:t>
      </w:r>
      <w:r w:rsidRPr="007A5434">
        <w:rPr>
          <w:b/>
          <w:bCs/>
          <w:sz w:val="22"/>
          <w:szCs w:val="22"/>
          <w:lang w:val="sr-Latn-ME"/>
        </w:rPr>
        <w:t>ek Efferalgan sa vitaminom C sadrži natrijum-benzoat (E211), sorbitol (E420) i natrijum.</w:t>
      </w:r>
    </w:p>
    <w:p w14:paraId="51CD8F00" w14:textId="77777777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5F3E377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Jedna šumeća tableta sadrži 50 mg natrijum-benzoata (E211)</w:t>
      </w:r>
      <w:r w:rsidRPr="007A5434">
        <w:rPr>
          <w:sz w:val="22"/>
          <w:szCs w:val="22"/>
          <w:lang w:val="sr-Latn-ME"/>
        </w:rPr>
        <w:t xml:space="preserve">.  </w:t>
      </w:r>
    </w:p>
    <w:p w14:paraId="086A3EBA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F507A9" w14:textId="7AD6AA89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Jedna šumeća tableta l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Efferalgan sa vitaminom C sadrži 330 mg natrijuma, što je ekvivalentno 16,5% maksimalnog dnevnog unosa natrijuma u ishrani za odraslu osobu koji preporučuje SZO (Sv</w:t>
      </w:r>
      <w:r w:rsidR="007458BA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etska zdravstvena organizacija). Maksimalna dnevna doza ovog l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je ekvivalentna 148,5% maksimalnog dnevnog unosa natrijuma koju preporučuje SZO. S obzirom na veliki sadržaj natrijuma; sav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etuje se poseban oprez prilikom upotrebe kod pacijenata koji su na dijeti u kojoj se kontroliše unos natrijuma. </w:t>
      </w:r>
    </w:p>
    <w:p w14:paraId="4933D109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3E71CCF" w14:textId="17A1AA82" w:rsidR="00F71157" w:rsidRPr="007A5434" w:rsidRDefault="00F71157" w:rsidP="0062443C">
      <w:pPr>
        <w:tabs>
          <w:tab w:val="left" w:pos="284"/>
        </w:tabs>
        <w:jc w:val="both"/>
        <w:rPr>
          <w:sz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Jedna šumeća tableta sadrži 300 mg sorbitola (E420). </w:t>
      </w:r>
      <w:r w:rsidRPr="007A5434">
        <w:rPr>
          <w:sz w:val="22"/>
          <w:lang w:val="sr-Latn-ME"/>
        </w:rPr>
        <w:t>Pacijenti sa r</w:t>
      </w:r>
      <w:r w:rsidR="00DE30C2" w:rsidRPr="007A5434">
        <w:rPr>
          <w:sz w:val="22"/>
          <w:lang w:val="sr-Latn-ME"/>
        </w:rPr>
        <w:t>ij</w:t>
      </w:r>
      <w:r w:rsidRPr="007A5434">
        <w:rPr>
          <w:sz w:val="22"/>
          <w:lang w:val="sr-Latn-ME"/>
        </w:rPr>
        <w:t>etkim nasl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ednim oboljenjem intolerancije na fruktozu, ne sm</w:t>
      </w:r>
      <w:r w:rsidR="00DE30C2" w:rsidRPr="007A5434">
        <w:rPr>
          <w:sz w:val="22"/>
          <w:lang w:val="sr-Latn-ME"/>
        </w:rPr>
        <w:t>i</w:t>
      </w:r>
      <w:r w:rsidRPr="007A5434">
        <w:rPr>
          <w:sz w:val="22"/>
          <w:lang w:val="sr-Latn-ME"/>
        </w:rPr>
        <w:t>ju koristiti ovaj l</w:t>
      </w:r>
      <w:r w:rsidR="00DE30C2" w:rsidRPr="007A5434">
        <w:rPr>
          <w:sz w:val="22"/>
          <w:lang w:val="sr-Latn-ME"/>
        </w:rPr>
        <w:t>ij</w:t>
      </w:r>
      <w:r w:rsidRPr="007A5434">
        <w:rPr>
          <w:sz w:val="22"/>
          <w:lang w:val="sr-Latn-ME"/>
        </w:rPr>
        <w:t xml:space="preserve">ek. </w:t>
      </w:r>
    </w:p>
    <w:p w14:paraId="34492989" w14:textId="19A82EA1" w:rsidR="00F71157" w:rsidRPr="007A5434" w:rsidRDefault="00F71157" w:rsidP="007458BA">
      <w:pPr>
        <w:tabs>
          <w:tab w:val="left" w:pos="284"/>
        </w:tabs>
        <w:jc w:val="both"/>
        <w:rPr>
          <w:sz w:val="22"/>
          <w:lang w:val="sr-Latn-ME"/>
        </w:rPr>
      </w:pPr>
      <w:r w:rsidRPr="007A5434">
        <w:rPr>
          <w:sz w:val="22"/>
          <w:lang w:val="sr-Latn-ME"/>
        </w:rPr>
        <w:t>Treba uzeti u obzir aditivni uticaj istovremeno prim</w:t>
      </w:r>
      <w:r w:rsidR="007458BA" w:rsidRPr="007A5434">
        <w:rPr>
          <w:sz w:val="22"/>
          <w:lang w:val="sr-Latn-ME"/>
        </w:rPr>
        <w:t>i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enjenih l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ekova koji sadrže sorbitol (ili fruktozu) i unos sorbitola (ili fruktoze) ishranom. Sadržaj sorbitola u l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ekovima za oralnu upotrebu može uticati na bioraspoloživost drugih l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ekova za oralnu upotrebu koji se prim</w:t>
      </w:r>
      <w:r w:rsidR="00DE30C2" w:rsidRPr="007A5434">
        <w:rPr>
          <w:sz w:val="22"/>
          <w:lang w:val="sr-Latn-ME"/>
        </w:rPr>
        <w:t>j</w:t>
      </w:r>
      <w:r w:rsidRPr="007A5434">
        <w:rPr>
          <w:sz w:val="22"/>
          <w:lang w:val="sr-Latn-ME"/>
        </w:rPr>
        <w:t>enjuju istovremeno.</w:t>
      </w:r>
    </w:p>
    <w:p w14:paraId="5FE26CCE" w14:textId="77777777" w:rsidR="00057E35" w:rsidRPr="007A5434" w:rsidRDefault="00057E35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750709" w14:textId="77777777" w:rsidR="00411B4B" w:rsidRPr="007A5434" w:rsidRDefault="00411B4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4.5.</w:t>
      </w:r>
      <w:r w:rsidR="000D60CC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39D7E57C" w14:textId="77777777" w:rsidR="00F71157" w:rsidRPr="007A5434" w:rsidRDefault="00F71157" w:rsidP="0062443C">
      <w:pPr>
        <w:tabs>
          <w:tab w:val="left" w:pos="284"/>
        </w:tabs>
        <w:contextualSpacing/>
        <w:jc w:val="both"/>
        <w:rPr>
          <w:b/>
          <w:sz w:val="22"/>
          <w:szCs w:val="22"/>
          <w:lang w:val="sr-Latn-ME"/>
        </w:rPr>
      </w:pPr>
    </w:p>
    <w:p w14:paraId="26EE5CFC" w14:textId="48247637" w:rsidR="00F71157" w:rsidRPr="007A5434" w:rsidRDefault="00F71157" w:rsidP="006F792F">
      <w:pPr>
        <w:tabs>
          <w:tab w:val="left" w:pos="284"/>
        </w:tabs>
        <w:contextualSpacing/>
        <w:jc w:val="both"/>
        <w:rPr>
          <w:b/>
          <w:sz w:val="22"/>
          <w:szCs w:val="22"/>
          <w:lang w:val="sr-Latn-ME"/>
        </w:rPr>
      </w:pPr>
      <w:r w:rsidRPr="007A5434">
        <w:rPr>
          <w:b/>
          <w:sz w:val="22"/>
          <w:szCs w:val="22"/>
          <w:lang w:val="sr-Latn-ME"/>
        </w:rPr>
        <w:t>Interakcije sa paracetamolom:</w:t>
      </w:r>
    </w:p>
    <w:p w14:paraId="2171E98B" w14:textId="77777777" w:rsidR="00F71157" w:rsidRPr="007A5434" w:rsidRDefault="00F71157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2A19439A" w14:textId="0BFAB663" w:rsidR="00F71157" w:rsidRPr="007A5434" w:rsidRDefault="00F71157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7A5434">
        <w:rPr>
          <w:b/>
          <w:bCs/>
          <w:sz w:val="22"/>
          <w:szCs w:val="22"/>
          <w:u w:val="single"/>
          <w:lang w:val="sr-Latn-ME"/>
        </w:rPr>
        <w:t>Kombinacije koje zaht</w:t>
      </w:r>
      <w:r w:rsidR="007458BA" w:rsidRPr="007A5434">
        <w:rPr>
          <w:b/>
          <w:bCs/>
          <w:sz w:val="22"/>
          <w:szCs w:val="22"/>
          <w:u w:val="single"/>
          <w:lang w:val="sr-Latn-ME"/>
        </w:rPr>
        <w:t>i</w:t>
      </w:r>
      <w:r w:rsidR="00DE30C2" w:rsidRPr="007A5434">
        <w:rPr>
          <w:b/>
          <w:bCs/>
          <w:sz w:val="22"/>
          <w:szCs w:val="22"/>
          <w:u w:val="single"/>
          <w:lang w:val="sr-Latn-ME"/>
        </w:rPr>
        <w:t>j</w:t>
      </w:r>
      <w:r w:rsidRPr="007A5434">
        <w:rPr>
          <w:b/>
          <w:bCs/>
          <w:sz w:val="22"/>
          <w:szCs w:val="22"/>
          <w:u w:val="single"/>
          <w:lang w:val="sr-Latn-ME"/>
        </w:rPr>
        <w:t>evaju poseban oprez</w:t>
      </w:r>
    </w:p>
    <w:p w14:paraId="2C33B1B5" w14:textId="77777777" w:rsidR="000E1C80" w:rsidRPr="007A5434" w:rsidRDefault="000E1C80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</w:p>
    <w:p w14:paraId="26433713" w14:textId="77777777" w:rsidR="00F71157" w:rsidRPr="007A5434" w:rsidRDefault="00F71157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7A5434">
        <w:rPr>
          <w:b/>
          <w:i/>
          <w:sz w:val="22"/>
          <w:szCs w:val="22"/>
          <w:lang w:val="sr-Latn-ME"/>
        </w:rPr>
        <w:t>Antagonisti vitamina K</w:t>
      </w:r>
    </w:p>
    <w:p w14:paraId="7BA49C5B" w14:textId="371D4D41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Rizik od pojačanog </w:t>
      </w:r>
      <w:r w:rsidRPr="007A5434">
        <w:rPr>
          <w:bCs/>
          <w:sz w:val="22"/>
          <w:szCs w:val="22"/>
          <w:lang w:val="sr-Latn-ME"/>
        </w:rPr>
        <w:t xml:space="preserve">dejstva antagonista vitamina K </w:t>
      </w:r>
      <w:r w:rsidRPr="007A5434">
        <w:rPr>
          <w:sz w:val="22"/>
          <w:szCs w:val="22"/>
          <w:lang w:val="sr-Latn-ME"/>
        </w:rPr>
        <w:t xml:space="preserve">i povećan rizik </w:t>
      </w:r>
      <w:r w:rsidRPr="007A5434">
        <w:rPr>
          <w:bCs/>
          <w:sz w:val="22"/>
          <w:szCs w:val="22"/>
          <w:lang w:val="sr-Latn-ME"/>
        </w:rPr>
        <w:t>od krvarenja</w:t>
      </w:r>
      <w:r w:rsidRPr="007A5434">
        <w:rPr>
          <w:sz w:val="22"/>
          <w:szCs w:val="22"/>
          <w:lang w:val="sr-Latn-ME"/>
        </w:rPr>
        <w:t xml:space="preserve"> postoji ukoliko se paracetamol prim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enjuje u maksimalnim dozama (4 g/dan) tokom najmanje 4 dana. </w:t>
      </w:r>
    </w:p>
    <w:p w14:paraId="750F41B2" w14:textId="77777777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584691" w14:textId="7647029E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Vr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INR se moraju češće prov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eravati. Ukoliko je potrebno, doziranje </w:t>
      </w:r>
      <w:r w:rsidRPr="007A5434">
        <w:rPr>
          <w:bCs/>
          <w:sz w:val="22"/>
          <w:szCs w:val="22"/>
          <w:lang w:val="sr-Latn-ME"/>
        </w:rPr>
        <w:t xml:space="preserve">antagonista vitamina K </w:t>
      </w:r>
      <w:r w:rsidRPr="007A5434">
        <w:rPr>
          <w:sz w:val="22"/>
          <w:szCs w:val="22"/>
          <w:lang w:val="sr-Latn-ME"/>
        </w:rPr>
        <w:t>treba prilagoditi tokom i nakon prestanka prim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ene paracetamola. </w:t>
      </w:r>
    </w:p>
    <w:p w14:paraId="06982117" w14:textId="77777777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53A1EDD" w14:textId="77777777" w:rsidR="00F71157" w:rsidRPr="007A5434" w:rsidRDefault="00F71157">
      <w:pPr>
        <w:tabs>
          <w:tab w:val="left" w:pos="284"/>
        </w:tabs>
        <w:jc w:val="both"/>
        <w:rPr>
          <w:bCs/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Flukloksacilin</w:t>
      </w:r>
    </w:p>
    <w:p w14:paraId="71BEBDE7" w14:textId="18594C86" w:rsidR="00F71157" w:rsidRPr="007A5434" w:rsidRDefault="00F7115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Sav</w:t>
      </w:r>
      <w:r w:rsidR="00DE30C2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etuje se oprez kada se paracetamol prim</w:t>
      </w:r>
      <w:r w:rsidR="00DE30C2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enjuje istovremeno sa flukloksacilinom zbog povećanog rizika od metaboličke acidoze sa povećanim anjonskim zjapom (engl.</w:t>
      </w:r>
      <w:r w:rsidRPr="007A5434">
        <w:rPr>
          <w:bCs/>
          <w:i/>
          <w:sz w:val="22"/>
          <w:szCs w:val="22"/>
          <w:lang w:val="sr-Latn-ME"/>
        </w:rPr>
        <w:t xml:space="preserve"> </w:t>
      </w:r>
      <w:r w:rsidRPr="007A5434">
        <w:rPr>
          <w:i/>
          <w:sz w:val="22"/>
          <w:szCs w:val="22"/>
          <w:lang w:val="sr-Latn-ME"/>
        </w:rPr>
        <w:t xml:space="preserve">high anion gap metabolic acidosis, </w:t>
      </w:r>
      <w:r w:rsidRPr="007A5434">
        <w:rPr>
          <w:bCs/>
          <w:sz w:val="22"/>
          <w:szCs w:val="22"/>
          <w:lang w:val="sr-Latn-ME"/>
        </w:rPr>
        <w:t>HAGMA), posebno kod pacijenata sa faktorom rizika za nedostatak glutationa, kao što su: teška insuficijencija bubrega, sepsa, neuhranjenost i hronični alkoholizam. Preporučuje se pažljivo praćenje kako bi se otkrila pojava poremećaja acidobazne ravnoteže, odnosno HAGMA, uključujući prov</w:t>
      </w:r>
      <w:r w:rsidR="00DE30C2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eru 5-oksoprolina u urinu.</w:t>
      </w:r>
    </w:p>
    <w:p w14:paraId="3D883AE8" w14:textId="77777777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E48B704" w14:textId="77777777" w:rsidR="00F71157" w:rsidRPr="007A5434" w:rsidRDefault="00F71157">
      <w:pPr>
        <w:tabs>
          <w:tab w:val="left" w:pos="284"/>
        </w:tabs>
        <w:jc w:val="both"/>
        <w:rPr>
          <w:b/>
          <w:sz w:val="22"/>
          <w:szCs w:val="22"/>
          <w:u w:val="single"/>
          <w:lang w:val="sr-Latn-ME"/>
        </w:rPr>
      </w:pPr>
      <w:r w:rsidRPr="007A5434">
        <w:rPr>
          <w:b/>
          <w:sz w:val="22"/>
          <w:szCs w:val="22"/>
          <w:u w:val="single"/>
          <w:lang w:val="sr-Latn-ME"/>
        </w:rPr>
        <w:t>Interakcije sa laboratorijskim testovima</w:t>
      </w:r>
    </w:p>
    <w:p w14:paraId="36A1DB09" w14:textId="0D8E6982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Prim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ena paracetamola može da utiče na rezultate laboratorijskih testova za određivanje koncentracije glukoze u krvi, koji se 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ere prim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enom metode glukoza oksidaze-peroksidaze u slučaju izuzetno visokih koncentracija.</w:t>
      </w:r>
    </w:p>
    <w:p w14:paraId="7A5CC627" w14:textId="14BB8EFF" w:rsidR="00F71157" w:rsidRPr="007A5434" w:rsidRDefault="00F71157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Prim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ena paracetamola može da utiče na određivanje vr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mokraćne kiseline u krvi pomoću fosfovolframske </w:t>
      </w:r>
      <w:r w:rsidRPr="007A5434">
        <w:rPr>
          <w:bCs/>
          <w:sz w:val="22"/>
          <w:szCs w:val="22"/>
          <w:lang w:val="sr-Latn-ME"/>
        </w:rPr>
        <w:t>kiseline.</w:t>
      </w:r>
    </w:p>
    <w:p w14:paraId="29FC9965" w14:textId="77777777" w:rsidR="00B80B5F" w:rsidRPr="007A5434" w:rsidRDefault="00B80B5F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5B5F6F5" w14:textId="524B3351" w:rsidR="00F71157" w:rsidRPr="007A5434" w:rsidRDefault="00F71157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lastRenderedPageBreak/>
        <w:t>Interakcije sa vitaminom C</w:t>
      </w:r>
      <w:r w:rsidR="00981881" w:rsidRPr="007A5434">
        <w:rPr>
          <w:b/>
          <w:bCs/>
          <w:sz w:val="22"/>
          <w:szCs w:val="22"/>
          <w:lang w:val="sr-Latn-ME"/>
        </w:rPr>
        <w:t>:</w:t>
      </w:r>
    </w:p>
    <w:p w14:paraId="58760E5D" w14:textId="77777777" w:rsidR="00981881" w:rsidRPr="007A5434" w:rsidRDefault="00981881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0CFD119" w14:textId="7A698E58" w:rsidR="00F71157" w:rsidRPr="007A5434" w:rsidRDefault="00F7115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 dozi većoj od 2 g/dan vitamin C odnosno askorbinska kiselina može da ometa sl</w:t>
      </w:r>
      <w:r w:rsidR="00DE30C2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edeće laboratorijske testove: određivanje vr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kreatinina i određivanje vr</w:t>
      </w:r>
      <w:r w:rsidR="00DE30C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glukoze u krvi i urinu.</w:t>
      </w:r>
    </w:p>
    <w:p w14:paraId="2F95797C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146255E1" w14:textId="4B38314F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7A5434">
        <w:rPr>
          <w:b/>
          <w:bCs/>
          <w:sz w:val="22"/>
          <w:szCs w:val="22"/>
          <w:u w:val="single"/>
          <w:lang w:val="sr-Latn-ME"/>
        </w:rPr>
        <w:t>Kombinacije sa drugim l</w:t>
      </w:r>
      <w:r w:rsidR="009C6FCE" w:rsidRPr="007A5434">
        <w:rPr>
          <w:b/>
          <w:bCs/>
          <w:sz w:val="22"/>
          <w:szCs w:val="22"/>
          <w:u w:val="single"/>
          <w:lang w:val="sr-Latn-ME"/>
        </w:rPr>
        <w:t>j</w:t>
      </w:r>
      <w:r w:rsidRPr="007A5434">
        <w:rPr>
          <w:b/>
          <w:bCs/>
          <w:sz w:val="22"/>
          <w:szCs w:val="22"/>
          <w:u w:val="single"/>
          <w:lang w:val="sr-Latn-ME"/>
        </w:rPr>
        <w:t>ekovima koje zaht</w:t>
      </w:r>
      <w:r w:rsidR="000E1C80" w:rsidRPr="007A5434">
        <w:rPr>
          <w:b/>
          <w:bCs/>
          <w:sz w:val="22"/>
          <w:szCs w:val="22"/>
          <w:u w:val="single"/>
          <w:lang w:val="sr-Latn-ME"/>
        </w:rPr>
        <w:t>i</w:t>
      </w:r>
      <w:r w:rsidR="009C6FCE" w:rsidRPr="007A5434">
        <w:rPr>
          <w:b/>
          <w:bCs/>
          <w:sz w:val="22"/>
          <w:szCs w:val="22"/>
          <w:u w:val="single"/>
          <w:lang w:val="sr-Latn-ME"/>
        </w:rPr>
        <w:t>j</w:t>
      </w:r>
      <w:r w:rsidRPr="007A5434">
        <w:rPr>
          <w:b/>
          <w:bCs/>
          <w:sz w:val="22"/>
          <w:szCs w:val="22"/>
          <w:u w:val="single"/>
          <w:lang w:val="sr-Latn-ME"/>
        </w:rPr>
        <w:t>evaju m</w:t>
      </w:r>
      <w:r w:rsidR="009C6FCE" w:rsidRPr="007A5434">
        <w:rPr>
          <w:b/>
          <w:bCs/>
          <w:sz w:val="22"/>
          <w:szCs w:val="22"/>
          <w:u w:val="single"/>
          <w:lang w:val="sr-Latn-ME"/>
        </w:rPr>
        <w:t>j</w:t>
      </w:r>
      <w:r w:rsidRPr="007A5434">
        <w:rPr>
          <w:b/>
          <w:bCs/>
          <w:sz w:val="22"/>
          <w:szCs w:val="22"/>
          <w:u w:val="single"/>
          <w:lang w:val="sr-Latn-ME"/>
        </w:rPr>
        <w:t>ere predostrožnosti</w:t>
      </w:r>
    </w:p>
    <w:p w14:paraId="45C89285" w14:textId="77777777" w:rsidR="000E1C80" w:rsidRPr="007A5434" w:rsidRDefault="000E1C80" w:rsidP="00E858F2">
      <w:pPr>
        <w:tabs>
          <w:tab w:val="left" w:pos="284"/>
        </w:tabs>
        <w:jc w:val="both"/>
        <w:rPr>
          <w:b/>
          <w:bCs/>
          <w:i/>
          <w:sz w:val="22"/>
          <w:szCs w:val="22"/>
          <w:u w:val="single"/>
          <w:lang w:val="sr-Latn-ME"/>
        </w:rPr>
      </w:pPr>
    </w:p>
    <w:p w14:paraId="1B854553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Deferipron</w:t>
      </w:r>
    </w:p>
    <w:p w14:paraId="62C1378C" w14:textId="3E86D1A3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Na osnovu podataka iz interakcije sa deferoksaminom: sa visokim dozama askorbinske kis</w:t>
      </w:r>
      <w:r w:rsidR="00DF34E5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eline datim intravenski, postoji rizik od poremećaja rada srca ili akutne srčane insuficijencije (</w:t>
      </w:r>
      <w:r w:rsidRPr="007A5434">
        <w:rPr>
          <w:bCs/>
          <w:sz w:val="22"/>
          <w:szCs w:val="22"/>
          <w:lang w:val="sr-Latn-ME"/>
        </w:rPr>
        <w:t>ove prom</w:t>
      </w:r>
      <w:r w:rsidR="00DF34E5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ene su obično reverzibilne i nestaju nakon prestanka prim</w:t>
      </w:r>
      <w:r w:rsidR="00DF34E5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ene vitamina C</w:t>
      </w:r>
      <w:r w:rsidRPr="007A5434">
        <w:rPr>
          <w:sz w:val="22"/>
          <w:szCs w:val="22"/>
          <w:lang w:val="sr-Latn-ME"/>
        </w:rPr>
        <w:t>).</w:t>
      </w:r>
    </w:p>
    <w:p w14:paraId="297CF11E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393ADE05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i/>
          <w:sz w:val="22"/>
          <w:szCs w:val="22"/>
          <w:u w:val="single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Deferoksamin</w:t>
      </w:r>
    </w:p>
    <w:p w14:paraId="226442A8" w14:textId="0A228F1A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Istovremena prim</w:t>
      </w:r>
      <w:r w:rsidR="00B552FF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ena velikih doza vitamina C sa helatnim agensom deferoksaminom, može povećati vr</w:t>
      </w:r>
      <w:r w:rsidR="00B552FF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ednosti gvožđa u tkivima što dovodi do toksičnih vr</w:t>
      </w:r>
      <w:r w:rsidR="009C6FCE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ednosti i može dovesti do srčane insuficijencije (ove prom</w:t>
      </w:r>
      <w:r w:rsidR="00B552FF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ene su obično reverzibilne i nestaju nakon prestanka prim</w:t>
      </w:r>
      <w:r w:rsidR="009C6FCE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 xml:space="preserve">ene vitamina C). </w:t>
      </w:r>
    </w:p>
    <w:p w14:paraId="7B5DDC87" w14:textId="77777777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5AE21B68" w14:textId="0ADD99D6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U slučaju hemohromatoze, vitamin C prim</w:t>
      </w:r>
      <w:r w:rsidR="000E1C80" w:rsidRPr="007A5434">
        <w:rPr>
          <w:bCs/>
          <w:sz w:val="22"/>
          <w:szCs w:val="22"/>
          <w:lang w:val="sr-Latn-ME"/>
        </w:rPr>
        <w:t>i</w:t>
      </w:r>
      <w:r w:rsidR="00B552FF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eniti nakon početka prim</w:t>
      </w:r>
      <w:r w:rsidR="009C6FCE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ene deferoksamina. Kod kombinovane prim</w:t>
      </w:r>
      <w:r w:rsidR="00B552FF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ene, kontrolisati rad srca.</w:t>
      </w:r>
    </w:p>
    <w:p w14:paraId="2F424211" w14:textId="77777777" w:rsidR="00F71157" w:rsidRPr="007A5434" w:rsidRDefault="00F71157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BED657D" w14:textId="394E44E7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7A5434">
        <w:rPr>
          <w:b/>
          <w:bCs/>
          <w:sz w:val="22"/>
          <w:szCs w:val="22"/>
          <w:u w:val="single"/>
          <w:lang w:val="sr-Latn-ME"/>
        </w:rPr>
        <w:t>Kombinacije sa drugim l</w:t>
      </w:r>
      <w:r w:rsidR="00B552FF" w:rsidRPr="007A5434">
        <w:rPr>
          <w:b/>
          <w:bCs/>
          <w:sz w:val="22"/>
          <w:szCs w:val="22"/>
          <w:u w:val="single"/>
          <w:lang w:val="sr-Latn-ME"/>
        </w:rPr>
        <w:t>j</w:t>
      </w:r>
      <w:r w:rsidRPr="007A5434">
        <w:rPr>
          <w:b/>
          <w:bCs/>
          <w:sz w:val="22"/>
          <w:szCs w:val="22"/>
          <w:u w:val="single"/>
          <w:lang w:val="sr-Latn-ME"/>
        </w:rPr>
        <w:t>ekovima koje zaht</w:t>
      </w:r>
      <w:r w:rsidR="00B552FF" w:rsidRPr="007A5434">
        <w:rPr>
          <w:b/>
          <w:bCs/>
          <w:sz w:val="22"/>
          <w:szCs w:val="22"/>
          <w:u w:val="single"/>
          <w:lang w:val="sr-Latn-ME"/>
        </w:rPr>
        <w:t>ij</w:t>
      </w:r>
      <w:r w:rsidRPr="007A5434">
        <w:rPr>
          <w:b/>
          <w:bCs/>
          <w:sz w:val="22"/>
          <w:szCs w:val="22"/>
          <w:u w:val="single"/>
          <w:lang w:val="sr-Latn-ME"/>
        </w:rPr>
        <w:t>evaju poseban oprez</w:t>
      </w:r>
    </w:p>
    <w:p w14:paraId="0AB613C9" w14:textId="77777777" w:rsidR="000E1C80" w:rsidRPr="007A5434" w:rsidRDefault="000E1C80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7D5B21AE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i/>
          <w:sz w:val="22"/>
          <w:szCs w:val="22"/>
          <w:lang w:val="sr-Latn-ME"/>
        </w:rPr>
      </w:pPr>
      <w:r w:rsidRPr="007A5434">
        <w:rPr>
          <w:b/>
          <w:bCs/>
          <w:i/>
          <w:sz w:val="22"/>
          <w:szCs w:val="22"/>
          <w:lang w:val="sr-Latn-ME"/>
        </w:rPr>
        <w:t>Ciklosporin</w:t>
      </w:r>
    </w:p>
    <w:p w14:paraId="2C281609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Rizik od smanjenja koncentracije ciklosporina u krvi, posebno kada se kombinuje sa vitaminom E.</w:t>
      </w:r>
    </w:p>
    <w:p w14:paraId="18E21AA2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C2B8EA" w14:textId="5EF0A09E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4.6.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="006D20A5" w:rsidRPr="007A5434">
        <w:rPr>
          <w:b/>
          <w:sz w:val="22"/>
          <w:szCs w:val="22"/>
          <w:lang w:val="sr-Latn-ME"/>
        </w:rPr>
        <w:t>Plodnost, trudnoća i dojenje</w:t>
      </w:r>
    </w:p>
    <w:p w14:paraId="2A26277A" w14:textId="359B077E" w:rsidR="000E1C80" w:rsidRPr="007A5434" w:rsidRDefault="000E1C80" w:rsidP="00E858F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736A8008" w14:textId="77777777" w:rsidR="007A3ECB" w:rsidRPr="007A5434" w:rsidRDefault="007A3ECB" w:rsidP="00E858F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Trudnoća</w:t>
      </w:r>
    </w:p>
    <w:p w14:paraId="7C015CA1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Vezano za paracetamol</w:t>
      </w:r>
    </w:p>
    <w:p w14:paraId="5B4B8067" w14:textId="449A254E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Ispitivanja na životinjama ni</w:t>
      </w:r>
      <w:r w:rsidR="000E1C80" w:rsidRPr="007A5434">
        <w:rPr>
          <w:sz w:val="22"/>
          <w:szCs w:val="22"/>
          <w:lang w:val="sr-Latn-ME"/>
        </w:rPr>
        <w:t>je</w:t>
      </w:r>
      <w:r w:rsidRPr="007A5434">
        <w:rPr>
          <w:sz w:val="22"/>
          <w:szCs w:val="22"/>
          <w:lang w:val="sr-Latn-ME"/>
        </w:rPr>
        <w:t>su pokazala teratogeni niti fetotoksični efekat paracetamola.</w:t>
      </w:r>
    </w:p>
    <w:p w14:paraId="7A89C941" w14:textId="379C9C06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Brojni  podaci kod trudnica ni</w:t>
      </w:r>
      <w:r w:rsidR="000E1C80" w:rsidRPr="007A5434">
        <w:rPr>
          <w:sz w:val="22"/>
          <w:szCs w:val="22"/>
          <w:lang w:val="sr-Latn-ME"/>
        </w:rPr>
        <w:t>je</w:t>
      </w:r>
      <w:r w:rsidRPr="007A5434">
        <w:rPr>
          <w:sz w:val="22"/>
          <w:szCs w:val="22"/>
          <w:lang w:val="sr-Latn-ME"/>
        </w:rPr>
        <w:t xml:space="preserve">su ukazali na mogućnost bilo koje malformacije ili toksičnog dejstva paracetamola na fetus ili novorođenče. </w:t>
      </w:r>
    </w:p>
    <w:p w14:paraId="12FABAA7" w14:textId="502A76F5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Epidemiološke studije o neurološkom razvoju d</w:t>
      </w:r>
      <w:r w:rsidR="00B552F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ece koja su bila </w:t>
      </w:r>
      <w:r w:rsidRPr="007A5434">
        <w:rPr>
          <w:iCs/>
          <w:sz w:val="22"/>
          <w:szCs w:val="22"/>
          <w:lang w:val="sr-Latn-ME"/>
        </w:rPr>
        <w:t>intrauterino</w:t>
      </w:r>
      <w:r w:rsidRPr="007A5434">
        <w:rPr>
          <w:sz w:val="22"/>
          <w:szCs w:val="22"/>
          <w:lang w:val="sr-Latn-ME"/>
        </w:rPr>
        <w:t xml:space="preserve"> izložena paracetamolu pokazuju neusaglašene rezultate. Paracetamol se može prim</w:t>
      </w:r>
      <w:r w:rsidR="00B552F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enjivati tokom trudnoće samo ako je to klinički neophodno, i to najmanja efikasna doza tokom najkraćeg mogućeg perioda i sa najmanjom mogućom učestalošću.</w:t>
      </w:r>
    </w:p>
    <w:p w14:paraId="37D74BD8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98579A1" w14:textId="77777777" w:rsidR="00F71157" w:rsidRPr="007A5434" w:rsidRDefault="00F71157" w:rsidP="00E858F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Vezano za vitamin C </w:t>
      </w:r>
    </w:p>
    <w:p w14:paraId="7097FF5C" w14:textId="74F36916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Ni</w:t>
      </w:r>
      <w:r w:rsidR="00017630" w:rsidRPr="007A5434">
        <w:rPr>
          <w:sz w:val="22"/>
          <w:szCs w:val="22"/>
          <w:lang w:val="sr-Latn-ME"/>
        </w:rPr>
        <w:t>je</w:t>
      </w:r>
      <w:r w:rsidRPr="007A5434">
        <w:rPr>
          <w:sz w:val="22"/>
          <w:szCs w:val="22"/>
          <w:lang w:val="sr-Latn-ME"/>
        </w:rPr>
        <w:t>su raspoloživa ispitivanja teratogenosti vitamina C na životinjama.</w:t>
      </w:r>
    </w:p>
    <w:p w14:paraId="4B58FE6E" w14:textId="2F673F16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Klinički, značajano praćenje i dovoljno veliki broj trudnoća tokom kojih se pratilo uzimanje vitamina C nije ukazalo na bilo kakvu malformaciju ili fetotoksičnost vitamina C usl</w:t>
      </w:r>
      <w:r w:rsidR="00B552F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 njegove prim</w:t>
      </w:r>
      <w:r w:rsidR="00B552F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ene.  </w:t>
      </w:r>
    </w:p>
    <w:p w14:paraId="2C9D873E" w14:textId="0CDDEAB2" w:rsidR="00F71157" w:rsidRPr="007A5434" w:rsidRDefault="00981881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L</w:t>
      </w:r>
      <w:r w:rsidR="00B552FF" w:rsidRPr="007A5434">
        <w:rPr>
          <w:sz w:val="22"/>
          <w:szCs w:val="22"/>
          <w:lang w:val="sr-Latn-ME"/>
        </w:rPr>
        <w:t>ij</w:t>
      </w:r>
      <w:r w:rsidR="00F71157" w:rsidRPr="007A5434">
        <w:rPr>
          <w:sz w:val="22"/>
          <w:szCs w:val="22"/>
          <w:lang w:val="sr-Latn-ME"/>
        </w:rPr>
        <w:t>ek Efferalgan sa vitaminom C se može prim</w:t>
      </w:r>
      <w:r w:rsidR="00B552FF" w:rsidRPr="007A5434">
        <w:rPr>
          <w:sz w:val="22"/>
          <w:szCs w:val="22"/>
          <w:lang w:val="sr-Latn-ME"/>
        </w:rPr>
        <w:t>j</w:t>
      </w:r>
      <w:r w:rsidR="00F71157" w:rsidRPr="007A5434">
        <w:rPr>
          <w:sz w:val="22"/>
          <w:szCs w:val="22"/>
          <w:lang w:val="sr-Latn-ME"/>
        </w:rPr>
        <w:t>enjivati tokom trudnoće samo ako je to klinički neophodno, i to najniža efikasna doza tokom najkraćeg mogućeg perioda i sa najmanjom mogućom učestalošću.</w:t>
      </w:r>
    </w:p>
    <w:p w14:paraId="325A23C0" w14:textId="77777777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79EFE3" w14:textId="77777777" w:rsidR="0072020E" w:rsidRPr="007A5434" w:rsidRDefault="007A3ECB" w:rsidP="00E858F2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 xml:space="preserve">Dojenje </w:t>
      </w:r>
    </w:p>
    <w:p w14:paraId="0ED8A147" w14:textId="458A86FB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Nakon oralne prim</w:t>
      </w:r>
      <w:r w:rsidR="00D1731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ene, paracetamol se u malim količinama eliminiše putem majčinog ml</w:t>
      </w:r>
      <w:r w:rsidR="00B552FF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eka. Prijavljeni su slučajevi osipa kože kod novorođenčadi.</w:t>
      </w:r>
    </w:p>
    <w:p w14:paraId="27AFCC1B" w14:textId="1FB3B7D3" w:rsidR="00F71157" w:rsidRPr="007A5434" w:rsidRDefault="00F7115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Zbog nedostataka podataka o prelasku vitamina C u majčino ml</w:t>
      </w:r>
      <w:r w:rsidR="00B552FF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eko, prim</w:t>
      </w:r>
      <w:r w:rsidR="00B552F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enu l</w:t>
      </w:r>
      <w:r w:rsidR="00B552FF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treba izb</w:t>
      </w:r>
      <w:r w:rsidR="00017630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egavati tokom dojenja.  </w:t>
      </w:r>
    </w:p>
    <w:p w14:paraId="4C9FDEA9" w14:textId="77777777" w:rsidR="00D05CC7" w:rsidRPr="007A5434" w:rsidRDefault="00D05CC7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2E4FE4" w14:textId="52A27BE3" w:rsidR="00597474" w:rsidRPr="007A5434" w:rsidRDefault="00597474" w:rsidP="0059747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7A5434">
        <w:rPr>
          <w:sz w:val="22"/>
          <w:szCs w:val="22"/>
          <w:u w:val="single"/>
          <w:lang w:val="sr-Latn-ME"/>
        </w:rPr>
        <w:t>Plodnost</w:t>
      </w:r>
    </w:p>
    <w:p w14:paraId="54BBBF02" w14:textId="3881697C" w:rsidR="00597474" w:rsidRPr="007A5434" w:rsidRDefault="00597474" w:rsidP="00597474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5EFDD0A" w14:textId="5BA301A8" w:rsidR="00353278" w:rsidRPr="007A5434" w:rsidRDefault="00353278" w:rsidP="003532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Zbog potencijalnog mehanizma d</w:t>
      </w:r>
      <w:r w:rsidR="00E73E8A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elovanja na ciklooksigenazu i sintezu prostaglandina, paracetamol može uticati na plodnost kod žena, </w:t>
      </w:r>
      <w:r w:rsidR="00E73E8A" w:rsidRPr="007A5434">
        <w:rPr>
          <w:sz w:val="22"/>
          <w:szCs w:val="22"/>
          <w:lang w:val="sr-Latn-ME"/>
        </w:rPr>
        <w:t>djelujući</w:t>
      </w:r>
      <w:r w:rsidRPr="007A5434">
        <w:rPr>
          <w:sz w:val="22"/>
          <w:szCs w:val="22"/>
          <w:lang w:val="sr-Latn-ME"/>
        </w:rPr>
        <w:t xml:space="preserve"> na ovulaciju</w:t>
      </w:r>
      <w:r w:rsidR="00E73E8A" w:rsidRPr="007A5434">
        <w:rPr>
          <w:sz w:val="22"/>
          <w:szCs w:val="22"/>
          <w:lang w:val="sr-Latn-ME"/>
        </w:rPr>
        <w:t>,</w:t>
      </w:r>
      <w:r w:rsidRPr="007A5434">
        <w:rPr>
          <w:sz w:val="22"/>
          <w:szCs w:val="22"/>
          <w:lang w:val="sr-Latn-ME"/>
        </w:rPr>
        <w:t xml:space="preserve"> </w:t>
      </w:r>
      <w:r w:rsidR="00E73E8A" w:rsidRPr="007A5434">
        <w:rPr>
          <w:sz w:val="22"/>
          <w:szCs w:val="22"/>
          <w:lang w:val="sr-Latn-ME"/>
        </w:rPr>
        <w:t xml:space="preserve">što </w:t>
      </w:r>
      <w:r w:rsidRPr="007A5434">
        <w:rPr>
          <w:sz w:val="22"/>
          <w:szCs w:val="22"/>
          <w:lang w:val="sr-Latn-ME"/>
        </w:rPr>
        <w:t>je reverzibil</w:t>
      </w:r>
      <w:r w:rsidR="00E73E8A" w:rsidRPr="007A5434">
        <w:rPr>
          <w:sz w:val="22"/>
          <w:szCs w:val="22"/>
          <w:lang w:val="sr-Latn-ME"/>
        </w:rPr>
        <w:t>no</w:t>
      </w:r>
      <w:r w:rsidRPr="007A5434">
        <w:rPr>
          <w:sz w:val="22"/>
          <w:szCs w:val="22"/>
          <w:lang w:val="sr-Latn-ME"/>
        </w:rPr>
        <w:t xml:space="preserve"> nakon prekida terapije.</w:t>
      </w:r>
    </w:p>
    <w:p w14:paraId="3BF8CA7A" w14:textId="1235C6FB" w:rsidR="00353278" w:rsidRPr="007A5434" w:rsidRDefault="00353278" w:rsidP="003532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Neka dejstva na plodnost kod muškaraca su prim</w:t>
      </w:r>
      <w:r w:rsidR="00E73E8A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 xml:space="preserve">ećena u studijama na životinjama. Relevantnost ovih dejstava kod ljudi nije poznat. </w:t>
      </w:r>
    </w:p>
    <w:p w14:paraId="7848633C" w14:textId="77777777" w:rsidR="0072020E" w:rsidRPr="007A5434" w:rsidRDefault="0072020E" w:rsidP="00E858F2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lastRenderedPageBreak/>
        <w:t xml:space="preserve">4.7.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 xml:space="preserve">Uticaj na </w:t>
      </w:r>
      <w:r w:rsidR="002031B3" w:rsidRPr="007A543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7A5434">
        <w:rPr>
          <w:b/>
          <w:bCs/>
          <w:sz w:val="22"/>
          <w:szCs w:val="22"/>
          <w:lang w:val="sr-Latn-ME"/>
        </w:rPr>
        <w:t>upravljanja vozili</w:t>
      </w:r>
      <w:r w:rsidRPr="007A5434">
        <w:rPr>
          <w:b/>
          <w:bCs/>
          <w:sz w:val="22"/>
          <w:szCs w:val="22"/>
          <w:lang w:val="sr-Latn-ME"/>
        </w:rPr>
        <w:t>m</w:t>
      </w:r>
      <w:r w:rsidR="00F34554" w:rsidRPr="007A5434">
        <w:rPr>
          <w:b/>
          <w:bCs/>
          <w:sz w:val="22"/>
          <w:szCs w:val="22"/>
          <w:lang w:val="sr-Latn-ME"/>
        </w:rPr>
        <w:t>a</w:t>
      </w:r>
      <w:r w:rsidRPr="007A5434">
        <w:rPr>
          <w:b/>
          <w:bCs/>
          <w:sz w:val="22"/>
          <w:szCs w:val="22"/>
          <w:lang w:val="sr-Latn-ME"/>
        </w:rPr>
        <w:t xml:space="preserve"> i </w:t>
      </w:r>
      <w:r w:rsidR="000D3449" w:rsidRPr="007A5434">
        <w:rPr>
          <w:b/>
          <w:bCs/>
          <w:sz w:val="22"/>
          <w:szCs w:val="22"/>
          <w:lang w:val="sr-Latn-ME"/>
        </w:rPr>
        <w:t xml:space="preserve">rukovanje </w:t>
      </w:r>
      <w:r w:rsidRPr="007A5434">
        <w:rPr>
          <w:b/>
          <w:bCs/>
          <w:sz w:val="22"/>
          <w:szCs w:val="22"/>
          <w:lang w:val="sr-Latn-ME"/>
        </w:rPr>
        <w:t>mašinama</w:t>
      </w:r>
    </w:p>
    <w:p w14:paraId="0C13FD2B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90E2215" w14:textId="68294BB4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nema ili ima zanemarljiv uticaj na sposobnost upravljanja vozilom i rukovanja mašinama</w:t>
      </w:r>
    </w:p>
    <w:p w14:paraId="07D4DA20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5E42493" w14:textId="48ABF4A3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4.8.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Neželjena dejstva</w:t>
      </w:r>
    </w:p>
    <w:p w14:paraId="4C5BFFF5" w14:textId="77777777" w:rsidR="004E70AD" w:rsidRPr="007A5434" w:rsidRDefault="004E70AD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C39E60A" w14:textId="77777777" w:rsidR="00C22609" w:rsidRPr="007A5434" w:rsidRDefault="00C22609" w:rsidP="00E858F2">
      <w:pPr>
        <w:tabs>
          <w:tab w:val="left" w:pos="284"/>
        </w:tabs>
        <w:jc w:val="both"/>
        <w:rPr>
          <w:i/>
          <w:iCs/>
          <w:caps/>
          <w:noProof/>
          <w:sz w:val="22"/>
          <w:szCs w:val="22"/>
          <w:u w:val="single"/>
          <w:lang w:val="sr-Latn-ME"/>
        </w:rPr>
      </w:pPr>
      <w:r w:rsidRPr="007A5434">
        <w:rPr>
          <w:b/>
          <w:i/>
          <w:iCs/>
          <w:caps/>
          <w:noProof/>
          <w:sz w:val="22"/>
          <w:szCs w:val="22"/>
          <w:u w:val="single"/>
          <w:lang w:val="sr-Latn-ME"/>
        </w:rPr>
        <w:t>Neželjena dejstava vezana za paracetamol</w:t>
      </w:r>
    </w:p>
    <w:p w14:paraId="5604F9A4" w14:textId="7103A9D1" w:rsidR="00C22609" w:rsidRPr="007A5434" w:rsidRDefault="00C22609" w:rsidP="0062443C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Prijavljeno je nekoliko r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etkih slučajeva (</w:t>
      </w:r>
      <w:bookmarkStart w:id="0" w:name="_Hlk149215736"/>
      <w:r w:rsidRPr="007A5434">
        <w:rPr>
          <w:bCs/>
          <w:noProof/>
          <w:sz w:val="22"/>
          <w:szCs w:val="22"/>
          <w:lang w:val="sr-Latn-ME"/>
        </w:rPr>
        <w:t>mogu da se jave kod najviše 1 na 1000 pacijenata koji uzimaju l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ek</w:t>
      </w:r>
      <w:bookmarkEnd w:id="0"/>
      <w:r w:rsidRPr="007A5434">
        <w:rPr>
          <w:bCs/>
          <w:noProof/>
          <w:sz w:val="22"/>
          <w:szCs w:val="22"/>
          <w:lang w:val="sr-Latn-ME"/>
        </w:rPr>
        <w:t>) reakcija</w:t>
      </w:r>
      <w:r w:rsidRPr="007A5434" w:rsidDel="00196746">
        <w:rPr>
          <w:bCs/>
          <w:noProof/>
          <w:sz w:val="22"/>
          <w:szCs w:val="22"/>
          <w:lang w:val="sr-Latn-ME"/>
        </w:rPr>
        <w:t xml:space="preserve"> </w:t>
      </w:r>
      <w:r w:rsidRPr="007A5434">
        <w:rPr>
          <w:bCs/>
          <w:noProof/>
          <w:sz w:val="22"/>
          <w:szCs w:val="22"/>
          <w:lang w:val="sr-Latn-ME"/>
        </w:rPr>
        <w:t>preosetljivosti kao što su anafilaktički šok, hipotenzija (kao simptom anafilakse), angioedem (</w:t>
      </w:r>
      <w:r w:rsidRPr="007A5434">
        <w:rPr>
          <w:bCs/>
          <w:i/>
          <w:noProof/>
          <w:sz w:val="22"/>
          <w:szCs w:val="22"/>
          <w:lang w:val="sr-Latn-ME"/>
        </w:rPr>
        <w:t>Quincke</w:t>
      </w:r>
      <w:r w:rsidRPr="007A5434">
        <w:rPr>
          <w:bCs/>
          <w:noProof/>
          <w:sz w:val="22"/>
          <w:szCs w:val="22"/>
          <w:lang w:val="sr-Latn-ME"/>
        </w:rPr>
        <w:t>-ov edem), eritem, urtikarija, osip kože, purpura. Ukoliko se pojave ove reakcije preos</w:t>
      </w:r>
      <w:r w:rsidR="00017630" w:rsidRPr="007A5434">
        <w:rPr>
          <w:bCs/>
          <w:noProof/>
          <w:sz w:val="22"/>
          <w:szCs w:val="22"/>
          <w:lang w:val="sr-Latn-ME"/>
        </w:rPr>
        <w:t>j</w:t>
      </w:r>
      <w:r w:rsidRPr="007A5434">
        <w:rPr>
          <w:bCs/>
          <w:noProof/>
          <w:sz w:val="22"/>
          <w:szCs w:val="22"/>
          <w:lang w:val="sr-Latn-ME"/>
        </w:rPr>
        <w:t>etljivosti, treba trajno prekinuti prim</w:t>
      </w:r>
      <w:r w:rsidR="00B220A3" w:rsidRPr="007A5434">
        <w:rPr>
          <w:bCs/>
          <w:noProof/>
          <w:sz w:val="22"/>
          <w:szCs w:val="22"/>
          <w:lang w:val="sr-Latn-ME"/>
        </w:rPr>
        <w:t>j</w:t>
      </w:r>
      <w:r w:rsidRPr="007A5434">
        <w:rPr>
          <w:bCs/>
          <w:noProof/>
          <w:sz w:val="22"/>
          <w:szCs w:val="22"/>
          <w:lang w:val="sr-Latn-ME"/>
        </w:rPr>
        <w:t>enu paracetamola i drugih njemu sličnih l</w:t>
      </w:r>
      <w:r w:rsidR="00B220A3" w:rsidRPr="007A5434">
        <w:rPr>
          <w:bCs/>
          <w:noProof/>
          <w:sz w:val="22"/>
          <w:szCs w:val="22"/>
          <w:lang w:val="sr-Latn-ME"/>
        </w:rPr>
        <w:t>j</w:t>
      </w:r>
      <w:r w:rsidRPr="007A5434">
        <w:rPr>
          <w:bCs/>
          <w:noProof/>
          <w:sz w:val="22"/>
          <w:szCs w:val="22"/>
          <w:lang w:val="sr-Latn-ME"/>
        </w:rPr>
        <w:t xml:space="preserve">ekova. </w:t>
      </w:r>
    </w:p>
    <w:p w14:paraId="3496B961" w14:textId="77777777" w:rsidR="00017630" w:rsidRPr="007A5434" w:rsidRDefault="00017630" w:rsidP="0062443C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17E9EC9C" w14:textId="03ADD050" w:rsidR="00C22609" w:rsidRPr="007A5434" w:rsidRDefault="00C22609" w:rsidP="00E858F2">
      <w:pPr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Veoma r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etki slučajevi (mogu da se jave kod najviše 1 na 10000 pacijenata koji uzimaju l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ek) ozbiljnih reakcija na koži (akutn</w:t>
      </w:r>
      <w:r w:rsidR="00017630" w:rsidRPr="007A5434">
        <w:rPr>
          <w:bCs/>
          <w:noProof/>
          <w:sz w:val="22"/>
          <w:szCs w:val="22"/>
          <w:lang w:val="sr-Latn-ME"/>
        </w:rPr>
        <w:t>a generalizovana egzantematozna pustuloza</w:t>
      </w:r>
      <w:r w:rsidRPr="007A5434">
        <w:rPr>
          <w:bCs/>
          <w:noProof/>
          <w:sz w:val="22"/>
          <w:szCs w:val="22"/>
          <w:lang w:val="sr-Latn-ME"/>
        </w:rPr>
        <w:t xml:space="preserve">, toksična epidermalna nekroliza i </w:t>
      </w:r>
      <w:r w:rsidRPr="007A5434">
        <w:rPr>
          <w:bCs/>
          <w:i/>
          <w:noProof/>
          <w:sz w:val="22"/>
          <w:szCs w:val="22"/>
          <w:lang w:val="sr-Latn-ME"/>
        </w:rPr>
        <w:t>Steven-Johnson</w:t>
      </w:r>
      <w:r w:rsidRPr="007A5434">
        <w:rPr>
          <w:bCs/>
          <w:noProof/>
          <w:sz w:val="22"/>
          <w:szCs w:val="22"/>
          <w:lang w:val="sr-Latn-ME"/>
        </w:rPr>
        <w:t>-ov sindrom) su prijavljeni i zaht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evali su prekid terapije.</w:t>
      </w:r>
    </w:p>
    <w:p w14:paraId="2078DE49" w14:textId="77777777" w:rsidR="00017630" w:rsidRPr="007A5434" w:rsidRDefault="00017630" w:rsidP="00E858F2">
      <w:pPr>
        <w:rPr>
          <w:bCs/>
          <w:noProof/>
          <w:sz w:val="22"/>
          <w:szCs w:val="22"/>
          <w:lang w:val="sr-Latn-ME"/>
        </w:rPr>
      </w:pPr>
    </w:p>
    <w:p w14:paraId="0426E2F5" w14:textId="5003A5CD" w:rsidR="00C22609" w:rsidRPr="007A5434" w:rsidRDefault="00C22609" w:rsidP="00017630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Prijavljeni su veoma r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 xml:space="preserve">etki slučajevi trombocitopenije, leukopenije i neutropenije.  </w:t>
      </w:r>
    </w:p>
    <w:p w14:paraId="36FC858F" w14:textId="77777777" w:rsidR="00017630" w:rsidRPr="007A5434" w:rsidRDefault="00017630" w:rsidP="00017630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62DD9304" w14:textId="101DFA61" w:rsidR="00C22609" w:rsidRPr="007A5434" w:rsidRDefault="00C22609" w:rsidP="006F792F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Prijavljeni su i slučajevi dijareje, abdominalnog bola, povišenih vr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ednosti enzima jetre, povišene ili smanjene vr</w:t>
      </w:r>
      <w:r w:rsidR="00B220A3" w:rsidRPr="007A5434">
        <w:rPr>
          <w:bCs/>
          <w:noProof/>
          <w:sz w:val="22"/>
          <w:szCs w:val="22"/>
          <w:lang w:val="sr-Latn-ME"/>
        </w:rPr>
        <w:t>ij</w:t>
      </w:r>
      <w:r w:rsidRPr="007A5434">
        <w:rPr>
          <w:bCs/>
          <w:noProof/>
          <w:sz w:val="22"/>
          <w:szCs w:val="22"/>
          <w:lang w:val="sr-Latn-ME"/>
        </w:rPr>
        <w:t>ednosti INR-a.</w:t>
      </w:r>
    </w:p>
    <w:p w14:paraId="695DDB44" w14:textId="77777777" w:rsidR="00C22609" w:rsidRPr="007A5434" w:rsidRDefault="00C22609" w:rsidP="00E858F2">
      <w:pPr>
        <w:tabs>
          <w:tab w:val="left" w:pos="284"/>
        </w:tabs>
        <w:jc w:val="both"/>
        <w:rPr>
          <w:b/>
          <w:noProof/>
          <w:sz w:val="22"/>
          <w:szCs w:val="22"/>
          <w:u w:val="single"/>
          <w:lang w:val="sr-Latn-ME"/>
        </w:rPr>
      </w:pPr>
    </w:p>
    <w:p w14:paraId="50B19F3C" w14:textId="77777777" w:rsidR="00C22609" w:rsidRPr="007A5434" w:rsidRDefault="00C22609" w:rsidP="00E858F2">
      <w:pPr>
        <w:tabs>
          <w:tab w:val="left" w:pos="284"/>
        </w:tabs>
        <w:jc w:val="both"/>
        <w:rPr>
          <w:rFonts w:ascii="Times New Roman Bold" w:hAnsi="Times New Roman Bold"/>
          <w:i/>
          <w:iCs/>
          <w:caps/>
          <w:noProof/>
          <w:sz w:val="22"/>
          <w:szCs w:val="22"/>
          <w:u w:val="single"/>
          <w:lang w:val="sr-Latn-ME"/>
        </w:rPr>
      </w:pPr>
      <w:r w:rsidRPr="007A5434">
        <w:rPr>
          <w:rFonts w:ascii="Times New Roman Bold" w:hAnsi="Times New Roman Bold"/>
          <w:b/>
          <w:i/>
          <w:iCs/>
          <w:caps/>
          <w:noProof/>
          <w:sz w:val="22"/>
          <w:szCs w:val="22"/>
          <w:u w:val="single"/>
          <w:lang w:val="sr-Latn-ME"/>
        </w:rPr>
        <w:t>Neželjena dejstva vezana za vitamin C</w:t>
      </w:r>
    </w:p>
    <w:p w14:paraId="4936B157" w14:textId="2FBC2A57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U dozama v</w:t>
      </w:r>
      <w:r w:rsidR="00017630" w:rsidRPr="007A5434">
        <w:rPr>
          <w:bCs/>
          <w:noProof/>
          <w:sz w:val="22"/>
          <w:szCs w:val="22"/>
          <w:lang w:val="sr-Latn-ME"/>
        </w:rPr>
        <w:t>ećim</w:t>
      </w:r>
      <w:r w:rsidRPr="007A5434">
        <w:rPr>
          <w:bCs/>
          <w:noProof/>
          <w:sz w:val="22"/>
          <w:szCs w:val="22"/>
          <w:lang w:val="sr-Latn-ME"/>
        </w:rPr>
        <w:t xml:space="preserve"> od 1</w:t>
      </w:r>
      <w:r w:rsidR="00017630" w:rsidRPr="007A5434">
        <w:rPr>
          <w:bCs/>
          <w:noProof/>
          <w:sz w:val="22"/>
          <w:szCs w:val="22"/>
          <w:lang w:val="sr-Latn-ME"/>
        </w:rPr>
        <w:t xml:space="preserve"> </w:t>
      </w:r>
      <w:r w:rsidRPr="007A5434">
        <w:rPr>
          <w:bCs/>
          <w:noProof/>
          <w:sz w:val="22"/>
          <w:szCs w:val="22"/>
          <w:lang w:val="sr-Latn-ME"/>
        </w:rPr>
        <w:t xml:space="preserve">g/dan vitamina C postoji mogućnost: poremećaja varenja (gorušica, dijareja, bol u stomaku), poremećaja mokrenja (oksalna, cistinska i/ili mokraćna litijaza).  </w:t>
      </w:r>
    </w:p>
    <w:p w14:paraId="523E29B3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35D2A2BA" w14:textId="60B10B11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>U dozama v</w:t>
      </w:r>
      <w:r w:rsidR="00017630" w:rsidRPr="007A5434">
        <w:rPr>
          <w:bCs/>
          <w:noProof/>
          <w:sz w:val="22"/>
          <w:szCs w:val="22"/>
          <w:lang w:val="sr-Latn-ME"/>
        </w:rPr>
        <w:t>ećim</w:t>
      </w:r>
      <w:r w:rsidRPr="007A5434">
        <w:rPr>
          <w:bCs/>
          <w:noProof/>
          <w:sz w:val="22"/>
          <w:szCs w:val="22"/>
          <w:lang w:val="sr-Latn-ME"/>
        </w:rPr>
        <w:t xml:space="preserve"> od 3 g/dan vitamina C postoji rizik od hemolize kod osoba sa deficijencijom glukozo-6-fosfat dehidrogenaze.</w:t>
      </w:r>
    </w:p>
    <w:p w14:paraId="6CB98638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245F0B94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  <w:r w:rsidRPr="007A5434">
        <w:rPr>
          <w:bCs/>
          <w:noProof/>
          <w:sz w:val="22"/>
          <w:szCs w:val="22"/>
          <w:lang w:val="sr-Latn-ME"/>
        </w:rPr>
        <w:t xml:space="preserve">Prijavljeni su slučajevi vrtoglavice, urtikarije, osipa i hromaturije. </w:t>
      </w:r>
    </w:p>
    <w:p w14:paraId="6D4C02B5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noProof/>
          <w:sz w:val="22"/>
          <w:szCs w:val="22"/>
          <w:lang w:val="sr-Latn-ME"/>
        </w:rPr>
      </w:pPr>
    </w:p>
    <w:p w14:paraId="1810C0B5" w14:textId="19897E8C" w:rsidR="00C22609" w:rsidRPr="007A5434" w:rsidRDefault="00C22609" w:rsidP="00E858F2">
      <w:pPr>
        <w:tabs>
          <w:tab w:val="left" w:pos="284"/>
        </w:tabs>
        <w:jc w:val="both"/>
        <w:rPr>
          <w:rFonts w:ascii="Times New Roman Bold" w:hAnsi="Times New Roman Bold"/>
          <w:b/>
          <w:bCs/>
          <w:i/>
          <w:iCs/>
          <w:caps/>
          <w:noProof/>
          <w:sz w:val="22"/>
          <w:szCs w:val="22"/>
          <w:u w:val="single"/>
          <w:lang w:val="sr-Latn-ME"/>
        </w:rPr>
      </w:pPr>
      <w:r w:rsidRPr="007A5434">
        <w:rPr>
          <w:rFonts w:ascii="Times New Roman Bold" w:hAnsi="Times New Roman Bold"/>
          <w:b/>
          <w:bCs/>
          <w:i/>
          <w:iCs/>
          <w:caps/>
          <w:noProof/>
          <w:sz w:val="22"/>
          <w:szCs w:val="22"/>
          <w:u w:val="single"/>
          <w:lang w:val="sr-Latn-ME"/>
        </w:rPr>
        <w:t>Neželjena dejstva  vezana za l</w:t>
      </w:r>
      <w:r w:rsidR="00017630" w:rsidRPr="007A5434">
        <w:rPr>
          <w:rFonts w:ascii="Times New Roman Bold" w:hAnsi="Times New Roman Bold"/>
          <w:b/>
          <w:bCs/>
          <w:i/>
          <w:iCs/>
          <w:caps/>
          <w:noProof/>
          <w:sz w:val="22"/>
          <w:szCs w:val="22"/>
          <w:u w:val="single"/>
          <w:lang w:val="sr-Latn-ME"/>
        </w:rPr>
        <w:t>IJ</w:t>
      </w:r>
      <w:r w:rsidRPr="007A5434">
        <w:rPr>
          <w:rFonts w:ascii="Times New Roman Bold" w:hAnsi="Times New Roman Bold"/>
          <w:b/>
          <w:bCs/>
          <w:i/>
          <w:iCs/>
          <w:caps/>
          <w:noProof/>
          <w:sz w:val="22"/>
          <w:szCs w:val="22"/>
          <w:u w:val="single"/>
          <w:lang w:val="sr-Latn-ME"/>
        </w:rPr>
        <w:t xml:space="preserve">ek  Efferalgan  sa vitaminom C </w:t>
      </w:r>
    </w:p>
    <w:p w14:paraId="55BDA968" w14:textId="2FC5ADD3" w:rsidR="00C22609" w:rsidRPr="007A5434" w:rsidRDefault="00C22609" w:rsidP="00E858F2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7A5434">
        <w:rPr>
          <w:noProof/>
          <w:sz w:val="22"/>
          <w:szCs w:val="22"/>
          <w:lang w:val="sr-Latn-ME"/>
        </w:rPr>
        <w:t>Prijavljeni su slučajevi agranulocitoze, abdominalnog bola, hepatitisa, preos</w:t>
      </w:r>
      <w:r w:rsidR="00017630" w:rsidRPr="007A5434">
        <w:rPr>
          <w:noProof/>
          <w:sz w:val="22"/>
          <w:szCs w:val="22"/>
          <w:lang w:val="sr-Latn-ME"/>
        </w:rPr>
        <w:t>j</w:t>
      </w:r>
      <w:r w:rsidRPr="007A5434">
        <w:rPr>
          <w:noProof/>
          <w:sz w:val="22"/>
          <w:szCs w:val="22"/>
          <w:lang w:val="sr-Latn-ME"/>
        </w:rPr>
        <w:t>etljivosti, anafilaktičke reakcije, angioedema (</w:t>
      </w:r>
      <w:r w:rsidRPr="007A5434">
        <w:rPr>
          <w:i/>
          <w:iCs/>
          <w:noProof/>
          <w:sz w:val="22"/>
          <w:szCs w:val="22"/>
          <w:lang w:val="sr-Latn-ME"/>
        </w:rPr>
        <w:t>Quincke’s oedem</w:t>
      </w:r>
      <w:r w:rsidRPr="007A5434">
        <w:rPr>
          <w:noProof/>
          <w:sz w:val="22"/>
          <w:szCs w:val="22"/>
          <w:lang w:val="sr-Latn-ME"/>
        </w:rPr>
        <w:t>), dermatitisa, pruritisa, osipa i urtikarije.</w:t>
      </w:r>
    </w:p>
    <w:p w14:paraId="00772ADB" w14:textId="050F1152" w:rsidR="005A23D2" w:rsidRPr="007A5434" w:rsidRDefault="005A23D2" w:rsidP="00E858F2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7A543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6B3C6A8" w14:textId="77777777" w:rsidR="005A23D2" w:rsidRPr="007A5434" w:rsidRDefault="005A23D2" w:rsidP="0062443C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7A5434">
        <w:rPr>
          <w:rFonts w:eastAsia="Calibri"/>
          <w:sz w:val="22"/>
          <w:szCs w:val="22"/>
          <w:lang w:val="sr-Latn-ME"/>
        </w:rPr>
        <w:t>inuirano praćenje odnosa korist</w:t>
      </w:r>
      <w:r w:rsidRPr="007A543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7A5434">
        <w:rPr>
          <w:rFonts w:eastAsia="Calibri"/>
          <w:sz w:val="22"/>
          <w:szCs w:val="22"/>
          <w:lang w:val="sr-Latn-ME"/>
        </w:rPr>
        <w:t xml:space="preserve"> </w:t>
      </w:r>
      <w:r w:rsidRPr="007A543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7A5434">
        <w:rPr>
          <w:rFonts w:eastAsia="Calibri"/>
          <w:sz w:val="22"/>
          <w:szCs w:val="22"/>
          <w:lang w:val="sr-Latn-ME"/>
        </w:rPr>
        <w:t>Institutu</w:t>
      </w:r>
      <w:r w:rsidRPr="007A543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7A5434">
        <w:rPr>
          <w:rFonts w:eastAsia="Calibri"/>
          <w:sz w:val="22"/>
          <w:szCs w:val="22"/>
          <w:lang w:val="sr-Latn-ME"/>
        </w:rPr>
        <w:t xml:space="preserve"> </w:t>
      </w:r>
      <w:r w:rsidRPr="007A5434">
        <w:rPr>
          <w:rFonts w:eastAsia="Calibri"/>
          <w:sz w:val="22"/>
          <w:szCs w:val="22"/>
          <w:lang w:val="sr-Latn-ME"/>
        </w:rPr>
        <w:t>(</w:t>
      </w:r>
      <w:r w:rsidR="004E70AD" w:rsidRPr="007A5434">
        <w:rPr>
          <w:rFonts w:eastAsia="Calibri"/>
          <w:sz w:val="22"/>
          <w:szCs w:val="22"/>
          <w:lang w:val="sr-Latn-ME"/>
        </w:rPr>
        <w:t>CInMED</w:t>
      </w:r>
      <w:r w:rsidRPr="007A5434">
        <w:rPr>
          <w:rFonts w:eastAsia="Calibri"/>
          <w:sz w:val="22"/>
          <w:szCs w:val="22"/>
          <w:lang w:val="sr-Latn-ME"/>
        </w:rPr>
        <w:t>):</w:t>
      </w:r>
    </w:p>
    <w:p w14:paraId="69D91696" w14:textId="77777777" w:rsidR="005A23D2" w:rsidRPr="007A5434" w:rsidRDefault="004E70AD" w:rsidP="006F792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7A543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4844721A" w14:textId="77777777" w:rsidR="005A23D2" w:rsidRPr="007A54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Odjeljenje za farmakovigilancu</w:t>
      </w:r>
    </w:p>
    <w:p w14:paraId="04DA21B8" w14:textId="77777777" w:rsidR="00EA5765" w:rsidRPr="007A54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F4C5441" w14:textId="77777777" w:rsidR="00EA5765" w:rsidRPr="007A5434" w:rsidRDefault="00EA5765" w:rsidP="00E858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E49153B" w14:textId="77777777" w:rsidR="005A23D2" w:rsidRPr="007A5434" w:rsidRDefault="005A23D2" w:rsidP="0062443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tel: +382 (0) 20 310 280</w:t>
      </w:r>
    </w:p>
    <w:p w14:paraId="04C06D8D" w14:textId="77777777" w:rsidR="00EA5765" w:rsidRPr="007A5434" w:rsidRDefault="005A23D2" w:rsidP="006F792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fax:</w:t>
      </w:r>
      <w:r w:rsidR="00EA5765" w:rsidRPr="007A5434">
        <w:rPr>
          <w:rFonts w:eastAsia="Calibri"/>
          <w:sz w:val="22"/>
          <w:szCs w:val="22"/>
          <w:lang w:val="sr-Latn-ME"/>
        </w:rPr>
        <w:t xml:space="preserve"> </w:t>
      </w:r>
      <w:r w:rsidRPr="007A5434">
        <w:rPr>
          <w:rFonts w:eastAsia="Calibri"/>
          <w:sz w:val="22"/>
          <w:szCs w:val="22"/>
          <w:lang w:val="sr-Latn-ME"/>
        </w:rPr>
        <w:t>+382 (0) 20 310 581</w:t>
      </w:r>
      <w:r w:rsidR="00FF3EDF" w:rsidRPr="007A5434">
        <w:rPr>
          <w:rFonts w:eastAsia="Calibri"/>
          <w:sz w:val="22"/>
          <w:szCs w:val="22"/>
          <w:lang w:val="sr-Latn-ME"/>
        </w:rPr>
        <w:tab/>
      </w:r>
    </w:p>
    <w:p w14:paraId="65376A1A" w14:textId="77777777" w:rsidR="005A23D2" w:rsidRPr="007A5434" w:rsidRDefault="00A6572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7A543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19EE43E9" w14:textId="77777777" w:rsidR="00EA5765" w:rsidRPr="007A5434" w:rsidRDefault="00A6572C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7A543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4AFFAAA" w14:textId="77777777" w:rsidR="005A23D2" w:rsidRPr="007A543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putem IS zdravstvene zaštite</w:t>
      </w:r>
    </w:p>
    <w:p w14:paraId="4E302E5D" w14:textId="77777777" w:rsidR="007E31E9" w:rsidRPr="007A5434" w:rsidRDefault="007E31E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QR kod za online prijavu</w:t>
      </w:r>
      <w:r w:rsidR="00D74CD2" w:rsidRPr="007A5434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7A5434">
        <w:rPr>
          <w:rFonts w:eastAsia="Calibri"/>
          <w:sz w:val="22"/>
          <w:szCs w:val="22"/>
          <w:lang w:val="sr-Latn-ME"/>
        </w:rPr>
        <w:t>:</w:t>
      </w:r>
    </w:p>
    <w:p w14:paraId="296F8120" w14:textId="77777777" w:rsidR="004F17E2" w:rsidRPr="007A5434" w:rsidRDefault="004F17E2" w:rsidP="00E858F2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5B96C36" w14:textId="77777777" w:rsidR="00836B35" w:rsidRPr="007A5434" w:rsidRDefault="007F661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35214D36" wp14:editId="757D947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792750" w14:textId="77777777" w:rsidR="007F661E" w:rsidRPr="007A5434" w:rsidRDefault="007F661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3E5FDC8" w14:textId="56F4C2CD" w:rsidR="00CD6F02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lastRenderedPageBreak/>
        <w:t xml:space="preserve">4.9.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Predoziranje</w:t>
      </w:r>
      <w:r w:rsidR="002846DB" w:rsidRPr="007A5434">
        <w:rPr>
          <w:b/>
          <w:bCs/>
          <w:sz w:val="22"/>
          <w:szCs w:val="22"/>
          <w:lang w:val="sr-Latn-ME"/>
        </w:rPr>
        <w:t xml:space="preserve"> </w:t>
      </w:r>
    </w:p>
    <w:p w14:paraId="3E4F6438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1D07FF7C" w14:textId="0302859D" w:rsidR="00C22609" w:rsidRPr="007A5434" w:rsidRDefault="00C22609" w:rsidP="00E858F2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7A5434">
        <w:rPr>
          <w:bCs/>
          <w:sz w:val="22"/>
          <w:szCs w:val="22"/>
          <w:lang w:val="sr-Latn-ME"/>
        </w:rPr>
        <w:t>Rizik od predoziranja je povećan kod starijih osoba, mlađe d</w:t>
      </w:r>
      <w:r w:rsidR="00BA6EDE" w:rsidRPr="007A5434">
        <w:rPr>
          <w:bCs/>
          <w:sz w:val="22"/>
          <w:szCs w:val="22"/>
          <w:lang w:val="sr-Latn-ME"/>
        </w:rPr>
        <w:t>j</w:t>
      </w:r>
      <w:r w:rsidRPr="007A5434">
        <w:rPr>
          <w:bCs/>
          <w:sz w:val="22"/>
          <w:szCs w:val="22"/>
          <w:lang w:val="sr-Latn-ME"/>
        </w:rPr>
        <w:t>ece, kod pacijenata sa oslabljenom funkcijom jetre, kod hroničnog alkoholizma, kod pacijenata sa hroničnom malnutricijom i kod pacijenata koji uzimaju induktore enzima. U navedenim slučajevima trovanje može biti</w:t>
      </w:r>
      <w:r w:rsidR="00BA6EDE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fatalno.</w:t>
      </w:r>
      <w:r w:rsidRPr="007A5434">
        <w:rPr>
          <w:bCs/>
          <w:sz w:val="22"/>
          <w:szCs w:val="22"/>
          <w:u w:val="single"/>
          <w:lang w:val="sr-Latn-ME"/>
        </w:rPr>
        <w:t xml:space="preserve"> </w:t>
      </w:r>
    </w:p>
    <w:p w14:paraId="50A654C5" w14:textId="77777777" w:rsidR="00C22609" w:rsidRPr="007A5434" w:rsidRDefault="00C22609" w:rsidP="00E858F2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41F34D03" w14:textId="216002C0" w:rsidR="00C22609" w:rsidRPr="007A5434" w:rsidRDefault="00C22609" w:rsidP="00E858F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Predoziranje paracetamolom</w:t>
      </w:r>
      <w:r w:rsidR="00981881" w:rsidRPr="007A5434">
        <w:rPr>
          <w:b/>
          <w:bCs/>
          <w:sz w:val="22"/>
          <w:szCs w:val="22"/>
          <w:lang w:val="sr-Latn-ME"/>
        </w:rPr>
        <w:t>:</w:t>
      </w:r>
    </w:p>
    <w:p w14:paraId="2DDE4B2D" w14:textId="77777777" w:rsidR="00C22609" w:rsidRPr="007A5434" w:rsidRDefault="00C22609" w:rsidP="00E858F2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14:paraId="43F6C414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bCs/>
          <w:sz w:val="22"/>
          <w:szCs w:val="22"/>
          <w:u w:val="single"/>
          <w:lang w:val="sr-Latn-ME"/>
        </w:rPr>
        <w:t>Simptomi</w:t>
      </w:r>
    </w:p>
    <w:p w14:paraId="6CCD1F16" w14:textId="74A58F6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Mučnina, povraćanje, anoreksija, bl</w:t>
      </w:r>
      <w:r w:rsidR="00AB2078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edilo, malaksalost, znojenje i abdominalni bol, obično se pojavljuju u prva 24 sata.</w:t>
      </w:r>
    </w:p>
    <w:p w14:paraId="142E7772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5A90BFB" w14:textId="7BBAF87B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Unos pojedinačne doze od 10 g paracetamola ili više i 150 mg/kg t</w:t>
      </w:r>
      <w:r w:rsidR="001B30E1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elesne mase kod d</w:t>
      </w:r>
      <w:r w:rsidR="001B30E1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ece, dovodi do citolize ćelija jetre, a zatim i do potpune i ireverzibilne nekroze jetre, što ima za posl</w:t>
      </w:r>
      <w:r w:rsidR="001B30E1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edicu insuficijenciju jetre, metaboličku acidozu i encefalopatiju, koja može dovesti do kome i imati fatalan ishod.</w:t>
      </w:r>
    </w:p>
    <w:p w14:paraId="513D8588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389B15" w14:textId="4AEBBF74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Istovremeno su uočene povećane vr</w:t>
      </w:r>
      <w:r w:rsidR="001B30E1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transaminaza jetre, laktat-dehidrogenaze i bilirubina, kao i smanjene vr</w:t>
      </w:r>
      <w:r w:rsidR="00574669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protrombina</w:t>
      </w:r>
      <w:r w:rsidR="001F606E" w:rsidRPr="007A5434">
        <w:rPr>
          <w:sz w:val="22"/>
          <w:szCs w:val="22"/>
          <w:lang w:val="sr-Latn-ME"/>
        </w:rPr>
        <w:t>,</w:t>
      </w:r>
      <w:r w:rsidRPr="007A5434">
        <w:rPr>
          <w:sz w:val="22"/>
          <w:szCs w:val="22"/>
          <w:lang w:val="sr-Latn-ME"/>
        </w:rPr>
        <w:t xml:space="preserve"> koji mogu da se jave 12-48 sati nakon prim</w:t>
      </w:r>
      <w:r w:rsidR="0057466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ene. Klinički znaci oštećenja funkcije jetre su evidentirani nakon 1 do 2 dana, a maksimum dostižu nakon 3 do 4 dana. </w:t>
      </w:r>
    </w:p>
    <w:p w14:paraId="56A244F3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Predoziranje takođe može dovesti do akutnog pankreatitisa, hiperamilazemije.</w:t>
      </w:r>
    </w:p>
    <w:p w14:paraId="2A3C13B1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DCC38FA" w14:textId="4A29BC0F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bCs/>
          <w:sz w:val="22"/>
          <w:szCs w:val="22"/>
          <w:u w:val="single"/>
          <w:lang w:val="sr-Latn-ME"/>
        </w:rPr>
        <w:t>M</w:t>
      </w:r>
      <w:r w:rsidR="00DC7593" w:rsidRPr="007A5434">
        <w:rPr>
          <w:bCs/>
          <w:sz w:val="22"/>
          <w:szCs w:val="22"/>
          <w:u w:val="single"/>
          <w:lang w:val="sr-Latn-ME"/>
        </w:rPr>
        <w:t>j</w:t>
      </w:r>
      <w:r w:rsidRPr="007A5434">
        <w:rPr>
          <w:bCs/>
          <w:sz w:val="22"/>
          <w:szCs w:val="22"/>
          <w:u w:val="single"/>
          <w:lang w:val="sr-Latn-ME"/>
        </w:rPr>
        <w:t>ere zbrinjavanja</w:t>
      </w:r>
      <w:r w:rsidRPr="007A5434">
        <w:rPr>
          <w:sz w:val="22"/>
          <w:szCs w:val="22"/>
          <w:u w:val="single"/>
          <w:lang w:val="sr-Latn-ME"/>
        </w:rPr>
        <w:t xml:space="preserve"> </w:t>
      </w:r>
    </w:p>
    <w:p w14:paraId="7EB2BA30" w14:textId="77777777" w:rsidR="00C22609" w:rsidRPr="007A5434" w:rsidRDefault="00C22609" w:rsidP="0062443C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prekid terapije,</w:t>
      </w:r>
    </w:p>
    <w:p w14:paraId="299DCECE" w14:textId="77777777" w:rsidR="00C22609" w:rsidRPr="007A5434" w:rsidRDefault="00C22609" w:rsidP="006F792F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hitan prijem u bolnicu,</w:t>
      </w:r>
      <w:r w:rsidRPr="007A5434" w:rsidDel="008A3332">
        <w:rPr>
          <w:sz w:val="22"/>
          <w:szCs w:val="22"/>
          <w:lang w:val="sr-Latn-ME"/>
        </w:rPr>
        <w:t xml:space="preserve"> </w:t>
      </w:r>
    </w:p>
    <w:p w14:paraId="261388FB" w14:textId="307F87FE" w:rsidR="00C22609" w:rsidRPr="007A5434" w:rsidRDefault="00C22609" w:rsidP="006F792F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uzimanje uzorka krvi kako bi se što pr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odredila inicijalna koncentracija paracetamola u krvi, počev</w:t>
      </w:r>
      <w:r w:rsidR="00AB2078" w:rsidRPr="007A5434">
        <w:rPr>
          <w:sz w:val="22"/>
          <w:szCs w:val="22"/>
          <w:lang w:val="sr-Latn-ME"/>
        </w:rPr>
        <w:t>ši</w:t>
      </w:r>
      <w:r w:rsidRPr="007A5434">
        <w:rPr>
          <w:sz w:val="22"/>
          <w:szCs w:val="22"/>
          <w:lang w:val="sr-Latn-ME"/>
        </w:rPr>
        <w:t xml:space="preserve"> od 4. sata nakon ingestije,</w:t>
      </w:r>
    </w:p>
    <w:p w14:paraId="567ADE59" w14:textId="72313610" w:rsidR="00C22609" w:rsidRPr="007A5434" w:rsidRDefault="00C22609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brzo uklanjanje progutanog l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eka ispiranjem želuca</w:t>
      </w:r>
      <w:r w:rsidRPr="007A5434" w:rsidDel="008A3332">
        <w:rPr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(gastričnom lavažom),</w:t>
      </w:r>
    </w:p>
    <w:p w14:paraId="42B0DC04" w14:textId="75023CAF" w:rsidR="00C22609" w:rsidRPr="007A5434" w:rsidRDefault="00C22609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uobičajena terapija predoziranja uključuje prim</w:t>
      </w:r>
      <w:r w:rsidR="006B18D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enu antidota N-acetilcisteina što je pr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moguće, intravenski ili oralno, ukoliko je moguće pr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 10. sata od uzimanja paracetamola,</w:t>
      </w:r>
      <w:r w:rsidRPr="007A5434" w:rsidDel="008A3332">
        <w:rPr>
          <w:sz w:val="22"/>
          <w:szCs w:val="22"/>
          <w:lang w:val="sr-Latn-ME"/>
        </w:rPr>
        <w:t xml:space="preserve"> </w:t>
      </w:r>
    </w:p>
    <w:p w14:paraId="15F55D92" w14:textId="77777777" w:rsidR="00C22609" w:rsidRPr="007A5434" w:rsidRDefault="00C22609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simptomatska terapija,</w:t>
      </w:r>
    </w:p>
    <w:p w14:paraId="011374E6" w14:textId="73CE0852" w:rsidR="00C22609" w:rsidRPr="007A5434" w:rsidRDefault="00C22609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funkciju jetre treba prov</w:t>
      </w:r>
      <w:r w:rsidR="006B18D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eriti na početku terapije i ponavljati ih svaka 24 sata. U većini slučajeva, vr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transaminaza jetre se vrate na normalnu vr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 nakon 1 do 2 ned</w:t>
      </w:r>
      <w:r w:rsidR="00AB2078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elje uz potpun oporavak funkcije jetre. Mađutim, kod veoma teških slučajeva može biti neophodna transplantacija jetre.</w:t>
      </w:r>
    </w:p>
    <w:p w14:paraId="62783A46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607B67" w14:textId="77777777" w:rsidR="00C22609" w:rsidRPr="007A5434" w:rsidRDefault="00C22609" w:rsidP="00E858F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A5434">
        <w:rPr>
          <w:b/>
          <w:sz w:val="22"/>
          <w:szCs w:val="22"/>
          <w:lang w:val="sr-Latn-ME"/>
        </w:rPr>
        <w:t>Predoziranje vitaminom C:</w:t>
      </w:r>
    </w:p>
    <w:p w14:paraId="456AF9E8" w14:textId="511CB3E2" w:rsidR="00C22609" w:rsidRPr="007A5434" w:rsidRDefault="00C22609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Sl</w:t>
      </w:r>
      <w:r w:rsidR="006B18D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 xml:space="preserve">edeći slučajevi predoziranja se mogu javiti nakon uzimanja vitamina C u dozama većim od </w:t>
      </w:r>
      <w:r w:rsidR="006B18DE" w:rsidRPr="007A5434">
        <w:rPr>
          <w:sz w:val="22"/>
          <w:szCs w:val="22"/>
          <w:lang w:val="sr-Latn-ME"/>
        </w:rPr>
        <w:t xml:space="preserve">                          </w:t>
      </w:r>
      <w:r w:rsidRPr="007A5434">
        <w:rPr>
          <w:sz w:val="22"/>
          <w:szCs w:val="22"/>
          <w:lang w:val="sr-Latn-ME"/>
        </w:rPr>
        <w:t xml:space="preserve">1 g/dan: </w:t>
      </w:r>
    </w:p>
    <w:p w14:paraId="34020ACE" w14:textId="552DD0C6" w:rsidR="00C22609" w:rsidRPr="007A5434" w:rsidRDefault="00C22609" w:rsidP="00E858F2">
      <w:pPr>
        <w:ind w:left="720" w:hanging="360"/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ab/>
        <w:t>- mogući digestivni poremećaji (gorušica, dijareja, bol u trbuhu),</w:t>
      </w:r>
    </w:p>
    <w:p w14:paraId="4D654C4A" w14:textId="59AF1671" w:rsidR="00C22609" w:rsidRPr="007A5434" w:rsidRDefault="00C22609" w:rsidP="00E858F2">
      <w:pPr>
        <w:ind w:left="720" w:hanging="360"/>
        <w:contextualSpacing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ab/>
        <w:t>- urinarni poremećaji (oksalatni, cistinski i/ili uratni kamen).</w:t>
      </w:r>
    </w:p>
    <w:p w14:paraId="422C895A" w14:textId="77777777" w:rsidR="00C22609" w:rsidRPr="007A5434" w:rsidRDefault="00C22609" w:rsidP="00E858F2">
      <w:pPr>
        <w:ind w:hanging="76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  </w:t>
      </w:r>
    </w:p>
    <w:p w14:paraId="419E0CB3" w14:textId="7AD3CE90" w:rsidR="00C22609" w:rsidRPr="007A5434" w:rsidRDefault="00C22609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Uzimanjem vitamina C u dozama većim od 2 g/dan, askorbinska kiselina može da utiče na rezultate sl</w:t>
      </w:r>
      <w:r w:rsidR="006B18DE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edećih laboratorijskih testova: određivanje vr</w:t>
      </w:r>
      <w:r w:rsidR="006B18DE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ednosti glukoze ili kreatinina u krvi i urinu (testovi za dijabetes sa  test-trakama sa glukoza-oksidazom).</w:t>
      </w:r>
    </w:p>
    <w:p w14:paraId="675A020C" w14:textId="77777777" w:rsidR="00C22609" w:rsidRPr="007A5434" w:rsidRDefault="00C22609" w:rsidP="00E858F2">
      <w:pPr>
        <w:jc w:val="both"/>
        <w:rPr>
          <w:sz w:val="22"/>
          <w:szCs w:val="22"/>
          <w:lang w:val="sr-Latn-ME"/>
        </w:rPr>
      </w:pPr>
    </w:p>
    <w:p w14:paraId="030D6A18" w14:textId="2AA86246" w:rsidR="00C22609" w:rsidRPr="007A5434" w:rsidRDefault="00C22609" w:rsidP="00E858F2">
      <w:pPr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Uzimanjem vitamina C u dozama većim od 3 g/dan postoji rizik od hemolize kod osoba sa deficijencijom </w:t>
      </w:r>
      <w:r w:rsidRPr="007A5434">
        <w:rPr>
          <w:bCs/>
          <w:sz w:val="22"/>
          <w:szCs w:val="22"/>
          <w:lang w:val="sr-Latn-ME"/>
        </w:rPr>
        <w:t>glukozo-6-fosfat dehidrogenaze.</w:t>
      </w:r>
    </w:p>
    <w:p w14:paraId="3D7F4E60" w14:textId="77777777" w:rsidR="00C22609" w:rsidRPr="007A5434" w:rsidRDefault="00C22609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220BD643" w14:textId="77777777" w:rsidR="00227BDB" w:rsidRPr="007A5434" w:rsidRDefault="00227BDB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2781F6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5.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FARMAKOLOŠK</w:t>
      </w:r>
      <w:r w:rsidR="000D425A" w:rsidRPr="007A5434">
        <w:rPr>
          <w:b/>
          <w:bCs/>
          <w:sz w:val="22"/>
          <w:szCs w:val="22"/>
          <w:lang w:val="sr-Latn-ME"/>
        </w:rPr>
        <w:t>I</w:t>
      </w:r>
      <w:r w:rsidRPr="007A5434">
        <w:rPr>
          <w:b/>
          <w:bCs/>
          <w:sz w:val="22"/>
          <w:szCs w:val="22"/>
          <w:lang w:val="sr-Latn-ME"/>
        </w:rPr>
        <w:t xml:space="preserve"> PODACI</w:t>
      </w:r>
    </w:p>
    <w:p w14:paraId="75B187FD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6BAFC02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5.1.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Farmakodinamski podaci</w:t>
      </w:r>
      <w:r w:rsidR="003A7059" w:rsidRPr="007A5434">
        <w:rPr>
          <w:b/>
          <w:bCs/>
          <w:sz w:val="22"/>
          <w:szCs w:val="22"/>
          <w:lang w:val="sr-Latn-ME"/>
        </w:rPr>
        <w:t xml:space="preserve"> </w:t>
      </w:r>
    </w:p>
    <w:p w14:paraId="3E629F62" w14:textId="77777777" w:rsidR="00F45F77" w:rsidRPr="007A5434" w:rsidRDefault="00F45F77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8895774" w14:textId="6D52353A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Farmakoterapijska grupa:</w:t>
      </w:r>
      <w:r w:rsidR="00C22609" w:rsidRPr="007A5434">
        <w:rPr>
          <w:bCs/>
          <w:sz w:val="22"/>
          <w:szCs w:val="22"/>
          <w:lang w:val="sr-Latn-ME"/>
        </w:rPr>
        <w:t xml:space="preserve"> Ostali analgetici i antipiretici, anilidi</w:t>
      </w:r>
    </w:p>
    <w:p w14:paraId="77ECE9B5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CECC86" w14:textId="601D238D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ATC kod:</w:t>
      </w:r>
      <w:r w:rsidR="00C22609" w:rsidRPr="007A5434">
        <w:rPr>
          <w:bCs/>
          <w:sz w:val="22"/>
          <w:szCs w:val="22"/>
          <w:lang w:val="sr-Latn-ME"/>
        </w:rPr>
        <w:t xml:space="preserve"> N02BE51</w:t>
      </w:r>
    </w:p>
    <w:p w14:paraId="2D6DF882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63D1410" w14:textId="77777777" w:rsidR="00C22609" w:rsidRPr="007A5434" w:rsidRDefault="00C22609" w:rsidP="00E858F2">
      <w:pPr>
        <w:tabs>
          <w:tab w:val="left" w:pos="284"/>
          <w:tab w:val="left" w:pos="1494"/>
        </w:tabs>
        <w:jc w:val="both"/>
        <w:rPr>
          <w:b/>
          <w:sz w:val="22"/>
          <w:szCs w:val="22"/>
          <w:lang w:val="sr-Latn-ME"/>
        </w:rPr>
      </w:pPr>
      <w:r w:rsidRPr="007A5434">
        <w:rPr>
          <w:b/>
          <w:sz w:val="22"/>
          <w:szCs w:val="22"/>
          <w:lang w:val="sr-Latn-ME"/>
        </w:rPr>
        <w:lastRenderedPageBreak/>
        <w:t>Mehanizam dejstva</w:t>
      </w:r>
    </w:p>
    <w:p w14:paraId="303778CA" w14:textId="1581BEF9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ima centralni i periferni mehanizam dejstva. Paracetamol pos</w:t>
      </w:r>
      <w:r w:rsidR="004E2F23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eduje analgetičko i antipiretičko dejstvo.</w:t>
      </w:r>
    </w:p>
    <w:p w14:paraId="5B21A217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543BDA" w14:textId="18CEE9EE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Askorbinska kiselina je često sastavni d</w:t>
      </w:r>
      <w:r w:rsidR="004E2F23" w:rsidRPr="007A5434">
        <w:rPr>
          <w:sz w:val="22"/>
          <w:szCs w:val="22"/>
          <w:lang w:val="sr-Latn-ME"/>
        </w:rPr>
        <w:t>i</w:t>
      </w:r>
      <w:r w:rsidRPr="007A5434">
        <w:rPr>
          <w:sz w:val="22"/>
          <w:szCs w:val="22"/>
          <w:lang w:val="sr-Latn-ME"/>
        </w:rPr>
        <w:t>o kombinovanih preparata za prehladu i služi da kompenzuje</w:t>
      </w:r>
    </w:p>
    <w:p w14:paraId="1E88D877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gubitak vitamina C do kog može doći u inicijalnoj fazi akutnih virusnih infekcija, uključujući i prehladu.</w:t>
      </w:r>
    </w:p>
    <w:p w14:paraId="56890F9D" w14:textId="77777777" w:rsidR="002E37A5" w:rsidRPr="007A5434" w:rsidRDefault="002E37A5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328D931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5.2.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Farmakokinetički podaci</w:t>
      </w:r>
      <w:r w:rsidR="003A7059" w:rsidRPr="007A5434">
        <w:rPr>
          <w:b/>
          <w:bCs/>
          <w:sz w:val="22"/>
          <w:szCs w:val="22"/>
          <w:lang w:val="sr-Latn-ME"/>
        </w:rPr>
        <w:t xml:space="preserve"> </w:t>
      </w:r>
    </w:p>
    <w:p w14:paraId="3270541E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74B2075" w14:textId="77777777" w:rsidR="00C22609" w:rsidRPr="007A5434" w:rsidRDefault="00C22609" w:rsidP="00E858F2">
      <w:pPr>
        <w:widowControl w:val="0"/>
        <w:ind w:right="105"/>
        <w:jc w:val="both"/>
        <w:rPr>
          <w:sz w:val="22"/>
          <w:szCs w:val="22"/>
          <w:lang w:val="sr-Latn-ME"/>
        </w:rPr>
      </w:pPr>
      <w:r w:rsidRPr="007A5434">
        <w:rPr>
          <w:rFonts w:eastAsia="Calibri"/>
          <w:b/>
          <w:sz w:val="22"/>
          <w:szCs w:val="22"/>
          <w:lang w:val="sr-Latn-ME"/>
        </w:rPr>
        <w:t>Paracetamol</w:t>
      </w:r>
    </w:p>
    <w:p w14:paraId="0828EF3D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 w:color="000000"/>
          <w:lang w:val="sr-Latn-ME"/>
        </w:rPr>
        <w:t>Resorpcija</w:t>
      </w:r>
    </w:p>
    <w:p w14:paraId="256EBC9F" w14:textId="72F818D8" w:rsidR="00C22609" w:rsidRPr="007A5434" w:rsidRDefault="00C22609" w:rsidP="00E858F2">
      <w:pPr>
        <w:widowControl w:val="0"/>
        <w:ind w:right="105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Nakon oralne prim</w:t>
      </w:r>
      <w:r w:rsidR="00E31EED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 resorpcija paracetamola je brza i kompletna. Nakon prim</w:t>
      </w:r>
      <w:r w:rsidR="00E31EED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 šumećih tableta</w:t>
      </w:r>
      <w:r w:rsidR="00464306" w:rsidRPr="007A5434">
        <w:rPr>
          <w:sz w:val="22"/>
          <w:szCs w:val="22"/>
          <w:lang w:val="sr-Latn-ME"/>
        </w:rPr>
        <w:t>,</w:t>
      </w:r>
      <w:r w:rsidR="00464306" w:rsidRPr="007A5434">
        <w:rPr>
          <w:spacing w:val="33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maksimalne</w:t>
      </w:r>
      <w:r w:rsidRPr="007A5434">
        <w:rPr>
          <w:spacing w:val="-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 xml:space="preserve">koncentracije u plazmi se dostižu u roku od 20 do 30 </w:t>
      </w:r>
      <w:r w:rsidRPr="007A5434">
        <w:rPr>
          <w:spacing w:val="-2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minuta.</w:t>
      </w:r>
    </w:p>
    <w:p w14:paraId="2446E1DA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</w:p>
    <w:p w14:paraId="4E53239D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 w:color="000000"/>
          <w:lang w:val="sr-Latn-ME"/>
        </w:rPr>
        <w:t>Distribucija</w:t>
      </w:r>
    </w:p>
    <w:p w14:paraId="668A1972" w14:textId="77777777" w:rsidR="00C22609" w:rsidRPr="007A5434" w:rsidRDefault="00C22609" w:rsidP="00E858F2">
      <w:pPr>
        <w:widowControl w:val="0"/>
        <w:ind w:right="303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rapidno difunduje u sva tkiva.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Koncentracije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u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krvi,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salivi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i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plazmi</w:t>
      </w:r>
      <w:r w:rsidRPr="007A5434">
        <w:rPr>
          <w:spacing w:val="-4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su</w:t>
      </w:r>
      <w:r w:rsidRPr="007A5434">
        <w:rPr>
          <w:spacing w:val="-4"/>
          <w:sz w:val="22"/>
          <w:szCs w:val="22"/>
          <w:lang w:val="sr-Latn-ME"/>
        </w:rPr>
        <w:t xml:space="preserve"> međusobno </w:t>
      </w:r>
      <w:r w:rsidRPr="007A5434">
        <w:rPr>
          <w:sz w:val="22"/>
          <w:szCs w:val="22"/>
          <w:lang w:val="sr-Latn-ME"/>
        </w:rPr>
        <w:t>uporedive.</w:t>
      </w:r>
      <w:r w:rsidRPr="007A5434">
        <w:rPr>
          <w:spacing w:val="-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Vezivanje</w:t>
      </w:r>
      <w:r w:rsidRPr="007A5434">
        <w:rPr>
          <w:spacing w:val="-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za</w:t>
      </w:r>
      <w:r w:rsidRPr="007A5434">
        <w:rPr>
          <w:spacing w:val="-5"/>
          <w:sz w:val="22"/>
          <w:szCs w:val="22"/>
          <w:lang w:val="sr-Latn-ME"/>
        </w:rPr>
        <w:t xml:space="preserve"> p</w:t>
      </w:r>
      <w:r w:rsidRPr="007A5434">
        <w:rPr>
          <w:sz w:val="22"/>
          <w:szCs w:val="22"/>
          <w:lang w:val="sr-Latn-ME"/>
        </w:rPr>
        <w:t>roteine</w:t>
      </w:r>
      <w:r w:rsidRPr="007A5434">
        <w:rPr>
          <w:spacing w:val="-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plazme je slabo izraženo.</w:t>
      </w:r>
    </w:p>
    <w:p w14:paraId="5AFF1B54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</w:p>
    <w:p w14:paraId="07C85B75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 w:color="000000"/>
          <w:lang w:val="sr-Latn-ME"/>
        </w:rPr>
        <w:t>Biotransformacija</w:t>
      </w:r>
    </w:p>
    <w:p w14:paraId="2C69473C" w14:textId="0C2FC0C9" w:rsidR="00C22609" w:rsidRPr="007A5434" w:rsidRDefault="00C22609" w:rsidP="00E858F2">
      <w:pPr>
        <w:widowControl w:val="0"/>
        <w:ind w:right="105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se pretežno metaboliše u jetri. Postoje dva glavna metabolička puta, konjugacija sa glukuronskom ili sulfatnom kiselinom. Do zasićenja posl</w:t>
      </w:r>
      <w:r w:rsidR="006F792F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ednjeg puta (konjugacije sa sulfatnom kis</w:t>
      </w:r>
      <w:r w:rsidR="00D0545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elinom)</w:t>
      </w:r>
      <w:r w:rsidRPr="007A5434">
        <w:rPr>
          <w:rFonts w:ascii="TimesNewRoman" w:hAnsi="TimesNewRoman" w:cs="TimesNewRoman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dolazi pri prim</w:t>
      </w:r>
      <w:r w:rsidR="00E31EED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eni doza većih od terapijskih. Manje značajan metabolički put katalizovan citohromom</w:t>
      </w:r>
      <w:r w:rsidRPr="007A5434">
        <w:rPr>
          <w:spacing w:val="1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</w:t>
      </w:r>
      <w:r w:rsidRPr="007A5434">
        <w:rPr>
          <w:spacing w:val="20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450 dovodi do</w:t>
      </w:r>
      <w:r w:rsidRPr="007A5434">
        <w:rPr>
          <w:spacing w:val="12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stvaranja reaktivnog</w:t>
      </w:r>
      <w:r w:rsidRPr="007A5434">
        <w:rPr>
          <w:spacing w:val="18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intermedijera</w:t>
      </w:r>
      <w:r w:rsidRPr="007A5434">
        <w:rPr>
          <w:spacing w:val="16"/>
          <w:sz w:val="22"/>
          <w:szCs w:val="22"/>
          <w:lang w:val="sr-Latn-ME"/>
        </w:rPr>
        <w:t xml:space="preserve"> (</w:t>
      </w:r>
      <w:r w:rsidRPr="007A5434">
        <w:rPr>
          <w:sz w:val="22"/>
          <w:szCs w:val="22"/>
          <w:lang w:val="sr-Latn-ME"/>
        </w:rPr>
        <w:t>N-acetil benzohinonimina)</w:t>
      </w:r>
      <w:r w:rsidRPr="007A5434">
        <w:rPr>
          <w:spacing w:val="1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koji</w:t>
      </w:r>
      <w:r w:rsidRPr="007A5434">
        <w:rPr>
          <w:spacing w:val="18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se</w:t>
      </w:r>
      <w:r w:rsidRPr="007A5434">
        <w:rPr>
          <w:spacing w:val="1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pod</w:t>
      </w:r>
      <w:r w:rsidRPr="007A5434">
        <w:rPr>
          <w:spacing w:val="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normalnim</w:t>
      </w:r>
      <w:r w:rsidRPr="007A5434">
        <w:rPr>
          <w:spacing w:val="40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uslovima</w:t>
      </w:r>
      <w:r w:rsidRPr="007A5434">
        <w:rPr>
          <w:spacing w:val="36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brzo</w:t>
      </w:r>
      <w:r w:rsidRPr="007A5434">
        <w:rPr>
          <w:spacing w:val="36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detoksikuje</w:t>
      </w:r>
      <w:r w:rsidRPr="007A5434">
        <w:rPr>
          <w:spacing w:val="3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pomoću</w:t>
      </w:r>
      <w:r w:rsidRPr="007A5434">
        <w:rPr>
          <w:spacing w:val="3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redukovanog</w:t>
      </w:r>
      <w:r w:rsidRPr="007A5434">
        <w:rPr>
          <w:spacing w:val="36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glutationa</w:t>
      </w:r>
      <w:r w:rsidRPr="007A5434">
        <w:rPr>
          <w:spacing w:val="36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i</w:t>
      </w:r>
      <w:r w:rsidRPr="007A5434">
        <w:rPr>
          <w:spacing w:val="38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eliminiše</w:t>
      </w:r>
      <w:r w:rsidRPr="007A5434">
        <w:rPr>
          <w:spacing w:val="3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urinom</w:t>
      </w:r>
      <w:r w:rsidRPr="007A5434">
        <w:rPr>
          <w:spacing w:val="4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nakon</w:t>
      </w:r>
      <w:r w:rsidRPr="007A5434">
        <w:rPr>
          <w:spacing w:val="35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konjugacije</w:t>
      </w:r>
      <w:r w:rsidRPr="007A5434">
        <w:rPr>
          <w:spacing w:val="40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sa</w:t>
      </w:r>
      <w:r w:rsidRPr="007A5434">
        <w:rPr>
          <w:spacing w:val="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cisteinom i merkaptopurinskom kiselinom. Ipak, kod trovanja velikim dozama povećana je koncentracija</w:t>
      </w:r>
      <w:r w:rsidRPr="007A5434">
        <w:rPr>
          <w:spacing w:val="12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toksičnog</w:t>
      </w:r>
      <w:r w:rsidRPr="007A5434">
        <w:rPr>
          <w:spacing w:val="-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metabolita.</w:t>
      </w:r>
    </w:p>
    <w:p w14:paraId="5DDE9752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</w:p>
    <w:p w14:paraId="3F600C6A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u w:val="single" w:color="000000"/>
          <w:lang w:val="sr-Latn-ME"/>
        </w:rPr>
        <w:t>Eliminacija</w:t>
      </w:r>
    </w:p>
    <w:p w14:paraId="62C9205D" w14:textId="0A880BEB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Paracetamol se izlučuje uglavnom putem urina.</w:t>
      </w:r>
      <w:r w:rsidRPr="007A5434">
        <w:rPr>
          <w:spacing w:val="22"/>
          <w:sz w:val="22"/>
          <w:szCs w:val="22"/>
          <w:lang w:val="sr-Latn-ME"/>
        </w:rPr>
        <w:t xml:space="preserve"> </w:t>
      </w:r>
      <w:r w:rsidRPr="007A5434">
        <w:rPr>
          <w:spacing w:val="19"/>
          <w:sz w:val="22"/>
          <w:szCs w:val="22"/>
          <w:lang w:val="sr-Latn-ME"/>
        </w:rPr>
        <w:t xml:space="preserve">90% </w:t>
      </w:r>
      <w:r w:rsidRPr="007A5434">
        <w:rPr>
          <w:sz w:val="22"/>
          <w:szCs w:val="22"/>
          <w:lang w:val="sr-Latn-ME"/>
        </w:rPr>
        <w:t>un</w:t>
      </w:r>
      <w:r w:rsidR="00464306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ete</w:t>
      </w:r>
      <w:r w:rsidRPr="007A5434">
        <w:rPr>
          <w:spacing w:val="22"/>
          <w:sz w:val="22"/>
          <w:szCs w:val="22"/>
          <w:lang w:val="sr-Latn-ME"/>
        </w:rPr>
        <w:t xml:space="preserve"> </w:t>
      </w:r>
      <w:r w:rsidRPr="007A5434">
        <w:rPr>
          <w:spacing w:val="-3"/>
          <w:sz w:val="22"/>
          <w:szCs w:val="22"/>
          <w:lang w:val="sr-Latn-ME"/>
        </w:rPr>
        <w:t>doze</w:t>
      </w:r>
      <w:r w:rsidRPr="007A5434">
        <w:rPr>
          <w:spacing w:val="22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eliminiše</w:t>
      </w:r>
      <w:r w:rsidRPr="007A5434">
        <w:rPr>
          <w:spacing w:val="12"/>
          <w:sz w:val="22"/>
          <w:szCs w:val="22"/>
          <w:lang w:val="sr-Latn-ME"/>
        </w:rPr>
        <w:t xml:space="preserve"> </w:t>
      </w:r>
      <w:r w:rsidRPr="007A5434">
        <w:rPr>
          <w:spacing w:val="2"/>
          <w:sz w:val="22"/>
          <w:szCs w:val="22"/>
          <w:lang w:val="sr-Latn-ME"/>
        </w:rPr>
        <w:t>se</w:t>
      </w:r>
      <w:r w:rsidRPr="007A5434">
        <w:rPr>
          <w:spacing w:val="13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putem</w:t>
      </w:r>
      <w:r w:rsidRPr="007A5434">
        <w:rPr>
          <w:spacing w:val="1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bubrega</w:t>
      </w:r>
      <w:r w:rsidRPr="007A5434">
        <w:rPr>
          <w:spacing w:val="19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u</w:t>
      </w:r>
      <w:r w:rsidRPr="007A5434">
        <w:rPr>
          <w:spacing w:val="19"/>
          <w:sz w:val="22"/>
          <w:szCs w:val="22"/>
          <w:lang w:val="sr-Latn-ME"/>
        </w:rPr>
        <w:t xml:space="preserve"> </w:t>
      </w:r>
      <w:r w:rsidRPr="007A5434">
        <w:rPr>
          <w:spacing w:val="-3"/>
          <w:sz w:val="22"/>
          <w:szCs w:val="22"/>
          <w:lang w:val="sr-Latn-ME"/>
        </w:rPr>
        <w:t>toku</w:t>
      </w:r>
      <w:r w:rsidRPr="007A5434">
        <w:rPr>
          <w:spacing w:val="1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24</w:t>
      </w:r>
      <w:r w:rsidRPr="007A5434">
        <w:rPr>
          <w:spacing w:val="19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sata</w:t>
      </w:r>
      <w:r w:rsidRPr="007A5434">
        <w:rPr>
          <w:spacing w:val="20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u</w:t>
      </w:r>
      <w:r w:rsidRPr="007A5434">
        <w:rPr>
          <w:spacing w:val="19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obliku</w:t>
      </w:r>
      <w:r w:rsidRPr="007A5434">
        <w:rPr>
          <w:spacing w:val="-1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konjugata glukuronida (60-80%) i konjugata sulfata</w:t>
      </w:r>
      <w:r w:rsidRPr="007A5434">
        <w:rPr>
          <w:spacing w:val="-17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(20-30%). Manje od 5% eliminiše se</w:t>
      </w:r>
      <w:r w:rsidRPr="007A5434">
        <w:rPr>
          <w:spacing w:val="-32"/>
          <w:sz w:val="22"/>
          <w:szCs w:val="22"/>
          <w:lang w:val="sr-Latn-ME"/>
        </w:rPr>
        <w:t xml:space="preserve">  u   </w:t>
      </w:r>
      <w:r w:rsidRPr="007A5434">
        <w:rPr>
          <w:sz w:val="22"/>
          <w:szCs w:val="22"/>
          <w:lang w:val="sr-Latn-ME"/>
        </w:rPr>
        <w:t>neprom</w:t>
      </w:r>
      <w:r w:rsidR="000F59F9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enjenom obliku. Nakon oralne prim</w:t>
      </w:r>
      <w:r w:rsidR="000F59F9" w:rsidRPr="007A5434">
        <w:rPr>
          <w:sz w:val="22"/>
          <w:szCs w:val="22"/>
          <w:lang w:val="sr-Latn-ME"/>
        </w:rPr>
        <w:t>j</w:t>
      </w:r>
      <w:r w:rsidRPr="007A5434">
        <w:rPr>
          <w:sz w:val="22"/>
          <w:szCs w:val="22"/>
          <w:lang w:val="sr-Latn-ME"/>
        </w:rPr>
        <w:t>ene, poluvreme eliminacije je oko 2</w:t>
      </w:r>
      <w:r w:rsidRPr="007A5434">
        <w:rPr>
          <w:spacing w:val="-30"/>
          <w:sz w:val="22"/>
          <w:szCs w:val="22"/>
          <w:lang w:val="sr-Latn-ME"/>
        </w:rPr>
        <w:t xml:space="preserve"> </w:t>
      </w:r>
      <w:r w:rsidRPr="007A5434">
        <w:rPr>
          <w:sz w:val="22"/>
          <w:szCs w:val="22"/>
          <w:lang w:val="sr-Latn-ME"/>
        </w:rPr>
        <w:t>sata.</w:t>
      </w:r>
    </w:p>
    <w:p w14:paraId="58EB722A" w14:textId="77777777" w:rsidR="00C22609" w:rsidRPr="007A5434" w:rsidRDefault="00C22609" w:rsidP="00E858F2">
      <w:pPr>
        <w:widowControl w:val="0"/>
        <w:jc w:val="both"/>
        <w:rPr>
          <w:sz w:val="22"/>
          <w:szCs w:val="22"/>
          <w:lang w:val="sr-Latn-ME"/>
        </w:rPr>
      </w:pPr>
    </w:p>
    <w:p w14:paraId="5B87A20D" w14:textId="77777777" w:rsidR="00C22609" w:rsidRPr="007A5434" w:rsidRDefault="00C22609" w:rsidP="00E858F2">
      <w:pPr>
        <w:widowControl w:val="0"/>
        <w:ind w:left="142"/>
        <w:jc w:val="both"/>
        <w:rPr>
          <w:i/>
          <w:iCs/>
          <w:sz w:val="22"/>
          <w:szCs w:val="22"/>
          <w:u w:color="000000"/>
          <w:lang w:val="sr-Latn-ME"/>
        </w:rPr>
      </w:pPr>
      <w:r w:rsidRPr="007A5434">
        <w:rPr>
          <w:i/>
          <w:iCs/>
          <w:sz w:val="22"/>
          <w:szCs w:val="22"/>
          <w:u w:color="000000"/>
          <w:lang w:val="sr-Latn-ME"/>
        </w:rPr>
        <w:t>Posebne populacije</w:t>
      </w:r>
    </w:p>
    <w:p w14:paraId="7D60C308" w14:textId="1F039485" w:rsidR="00C22609" w:rsidRPr="007A5434" w:rsidRDefault="00C22609" w:rsidP="0062443C">
      <w:pPr>
        <w:widowControl w:val="0"/>
        <w:numPr>
          <w:ilvl w:val="0"/>
          <w:numId w:val="17"/>
        </w:numPr>
        <w:tabs>
          <w:tab w:val="left" w:pos="284"/>
          <w:tab w:val="left" w:pos="709"/>
        </w:tabs>
        <w:ind w:left="714" w:right="105" w:hanging="357"/>
        <w:contextualSpacing/>
        <w:jc w:val="both"/>
        <w:rPr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u w:val="single"/>
          <w:lang w:val="sr-Latn-ME"/>
        </w:rPr>
        <w:t>Starije osobe</w:t>
      </w:r>
      <w:r w:rsidRPr="007A5434">
        <w:rPr>
          <w:rFonts w:eastAsia="Calibri"/>
          <w:sz w:val="22"/>
          <w:szCs w:val="22"/>
          <w:lang w:val="sr-Latn-ME"/>
        </w:rPr>
        <w:t>: sposobnost konjugacije je</w:t>
      </w:r>
      <w:r w:rsidRPr="007A5434">
        <w:rPr>
          <w:rFonts w:eastAsia="Calibri"/>
          <w:spacing w:val="-7"/>
          <w:sz w:val="22"/>
          <w:szCs w:val="22"/>
          <w:lang w:val="sr-Latn-ME"/>
        </w:rPr>
        <w:t xml:space="preserve"> </w:t>
      </w:r>
      <w:r w:rsidRPr="007A5434">
        <w:rPr>
          <w:rFonts w:eastAsia="Calibri"/>
          <w:sz w:val="22"/>
          <w:szCs w:val="22"/>
          <w:lang w:val="sr-Latn-ME"/>
        </w:rPr>
        <w:t>neprom</w:t>
      </w:r>
      <w:r w:rsidR="007F345A" w:rsidRPr="007A5434">
        <w:rPr>
          <w:rFonts w:eastAsia="Calibri"/>
          <w:sz w:val="22"/>
          <w:szCs w:val="22"/>
          <w:lang w:val="sr-Latn-ME"/>
        </w:rPr>
        <w:t>ij</w:t>
      </w:r>
      <w:r w:rsidRPr="007A5434">
        <w:rPr>
          <w:rFonts w:eastAsia="Calibri"/>
          <w:sz w:val="22"/>
          <w:szCs w:val="22"/>
          <w:lang w:val="sr-Latn-ME"/>
        </w:rPr>
        <w:t>enjena (vid</w:t>
      </w:r>
      <w:r w:rsidR="00464306" w:rsidRPr="007A5434">
        <w:rPr>
          <w:rFonts w:eastAsia="Calibri"/>
          <w:sz w:val="22"/>
          <w:szCs w:val="22"/>
          <w:lang w:val="sr-Latn-ME"/>
        </w:rPr>
        <w:t>j</w:t>
      </w:r>
      <w:r w:rsidRPr="007A5434">
        <w:rPr>
          <w:rFonts w:eastAsia="Calibri"/>
          <w:sz w:val="22"/>
          <w:szCs w:val="22"/>
          <w:lang w:val="sr-Latn-ME"/>
        </w:rPr>
        <w:t xml:space="preserve">eti </w:t>
      </w:r>
      <w:r w:rsidR="00464306" w:rsidRPr="007A5434">
        <w:rPr>
          <w:rFonts w:eastAsia="Calibri"/>
          <w:sz w:val="22"/>
          <w:szCs w:val="22"/>
          <w:lang w:val="sr-Latn-ME"/>
        </w:rPr>
        <w:t>dio</w:t>
      </w:r>
      <w:r w:rsidRPr="007A5434">
        <w:rPr>
          <w:rFonts w:eastAsia="Calibri"/>
          <w:sz w:val="22"/>
          <w:szCs w:val="22"/>
          <w:lang w:val="sr-Latn-ME"/>
        </w:rPr>
        <w:t xml:space="preserve"> 4.2).</w:t>
      </w:r>
    </w:p>
    <w:p w14:paraId="042702D8" w14:textId="67658051" w:rsidR="00C22609" w:rsidRPr="007A5434" w:rsidRDefault="00C22609" w:rsidP="00464306">
      <w:pPr>
        <w:numPr>
          <w:ilvl w:val="0"/>
          <w:numId w:val="17"/>
        </w:numPr>
        <w:tabs>
          <w:tab w:val="left" w:pos="284"/>
        </w:tabs>
        <w:ind w:left="714" w:hanging="357"/>
        <w:contextualSpacing/>
        <w:rPr>
          <w:rFonts w:eastAsia="Calibri"/>
          <w:sz w:val="22"/>
          <w:szCs w:val="22"/>
          <w:lang w:val="sr-Latn-ME"/>
        </w:rPr>
      </w:pPr>
      <w:r w:rsidRPr="007A5434">
        <w:rPr>
          <w:rFonts w:eastAsia="Calibri"/>
          <w:sz w:val="22"/>
          <w:szCs w:val="22"/>
          <w:lang w:val="sr-Latn-ME"/>
        </w:rPr>
        <w:t>U slučaju teškog oštećenja funkcije bubrega (vid</w:t>
      </w:r>
      <w:r w:rsidR="00464306" w:rsidRPr="007A5434">
        <w:rPr>
          <w:rFonts w:eastAsia="Calibri"/>
          <w:sz w:val="22"/>
          <w:szCs w:val="22"/>
          <w:lang w:val="sr-Latn-ME"/>
        </w:rPr>
        <w:t>j</w:t>
      </w:r>
      <w:r w:rsidRPr="007A5434">
        <w:rPr>
          <w:rFonts w:eastAsia="Calibri"/>
          <w:sz w:val="22"/>
          <w:szCs w:val="22"/>
          <w:lang w:val="sr-Latn-ME"/>
        </w:rPr>
        <w:t xml:space="preserve">eti </w:t>
      </w:r>
      <w:r w:rsidR="00464306" w:rsidRPr="007A5434">
        <w:rPr>
          <w:rFonts w:eastAsia="Calibri"/>
          <w:sz w:val="22"/>
          <w:szCs w:val="22"/>
          <w:lang w:val="sr-Latn-ME"/>
        </w:rPr>
        <w:t>dio</w:t>
      </w:r>
      <w:r w:rsidRPr="007A5434">
        <w:rPr>
          <w:rFonts w:eastAsia="Calibri"/>
          <w:sz w:val="22"/>
          <w:szCs w:val="22"/>
          <w:lang w:val="sr-Latn-ME"/>
        </w:rPr>
        <w:t xml:space="preserve"> 4.2), izlučivanje paracetamola i njegovih metabolita je usporeno.</w:t>
      </w:r>
      <w:r w:rsidRPr="007A5434">
        <w:rPr>
          <w:rFonts w:eastAsia="Calibri"/>
          <w:sz w:val="22"/>
          <w:szCs w:val="22"/>
          <w:lang w:val="sr-Latn-ME"/>
        </w:rPr>
        <w:br/>
      </w:r>
    </w:p>
    <w:p w14:paraId="67A4D289" w14:textId="77777777" w:rsidR="00C22609" w:rsidRPr="007A5434" w:rsidRDefault="00C22609" w:rsidP="00E858F2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Vitamin C</w:t>
      </w:r>
    </w:p>
    <w:p w14:paraId="2C8CBE43" w14:textId="476BC58E" w:rsidR="00C22609" w:rsidRPr="007A5434" w:rsidRDefault="00C22609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Askorbinska kiselina se brzo resorbuje iz digestivnog trakta. Un</w:t>
      </w:r>
      <w:r w:rsidR="00464306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eta količina askorbinske kiseline preko</w:t>
      </w:r>
      <w:r w:rsidR="007F345A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 xml:space="preserve">one koja je potrebna organizmu se izlučuje iz organizma putem urina. </w:t>
      </w:r>
    </w:p>
    <w:p w14:paraId="378292EB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EF6A5FC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5.3.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374A9D5F" w14:textId="77777777" w:rsidR="00836B35" w:rsidRPr="007A5434" w:rsidRDefault="00836B35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57DF24B" w14:textId="77777777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Konvencionalne studije za evaluaciju reproduktivne i razvojne toksičnosti paracetamola, u skladu sa</w:t>
      </w:r>
    </w:p>
    <w:p w14:paraId="0BC4EF08" w14:textId="296F195E" w:rsidR="00C22609" w:rsidRPr="007A5434" w:rsidRDefault="00C22609" w:rsidP="006244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trenutno prihvaćenim standardima, ni</w:t>
      </w:r>
      <w:r w:rsidR="00464306" w:rsidRPr="007A5434">
        <w:rPr>
          <w:sz w:val="22"/>
          <w:szCs w:val="22"/>
          <w:lang w:val="sr-Latn-ME"/>
        </w:rPr>
        <w:t>je</w:t>
      </w:r>
      <w:r w:rsidRPr="007A5434">
        <w:rPr>
          <w:sz w:val="22"/>
          <w:szCs w:val="22"/>
          <w:lang w:val="sr-Latn-ME"/>
        </w:rPr>
        <w:t>su dostupne.</w:t>
      </w:r>
    </w:p>
    <w:p w14:paraId="44A0EE86" w14:textId="56A36E8A" w:rsidR="00464306" w:rsidRPr="007A5434" w:rsidRDefault="00CC0FA2" w:rsidP="006244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Konvencionalne </w:t>
      </w:r>
      <w:r w:rsidR="00464306" w:rsidRPr="007A5434">
        <w:rPr>
          <w:sz w:val="22"/>
          <w:szCs w:val="22"/>
          <w:lang w:val="sr-Latn-ME"/>
        </w:rPr>
        <w:t>pretkliničke studije farmakologije bezb</w:t>
      </w:r>
      <w:r w:rsidRPr="007A5434">
        <w:rPr>
          <w:sz w:val="22"/>
          <w:szCs w:val="22"/>
          <w:lang w:val="sr-Latn-ME"/>
        </w:rPr>
        <w:t>j</w:t>
      </w:r>
      <w:r w:rsidR="00464306" w:rsidRPr="007A5434">
        <w:rPr>
          <w:sz w:val="22"/>
          <w:szCs w:val="22"/>
          <w:lang w:val="sr-Latn-ME"/>
        </w:rPr>
        <w:t xml:space="preserve">ednosti, genotoksičnosti, toksičnosti ponovljenih doza i karcinogenog potencijala nijesu otkrile nikakav poseban rizik za ljude pri terapijskim dozama. </w:t>
      </w:r>
    </w:p>
    <w:p w14:paraId="5828BC4E" w14:textId="2699B586" w:rsidR="00CC0FA2" w:rsidRPr="007A5434" w:rsidRDefault="00464306" w:rsidP="006244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 xml:space="preserve">Pri hepatotoksičnim dozama, paracetamol je pokazao genotoksični i karcinogeni potencijal (tumori u jetri i bešici) kod miševa i pacova. Međutim, smatra se da je ova genotoksična i kancerogena aktivnost povezana sa promjenama u metabolizmu paracetamola kada se primjenjuje u visokim dozama ili koncentracijama i ne predstavlja rizik </w:t>
      </w:r>
      <w:r w:rsidR="00CC0FA2" w:rsidRPr="007A5434">
        <w:rPr>
          <w:sz w:val="22"/>
          <w:szCs w:val="22"/>
          <w:lang w:val="sr-Latn-ME"/>
        </w:rPr>
        <w:t>za kliničku upotrebu.</w:t>
      </w:r>
    </w:p>
    <w:p w14:paraId="262D0464" w14:textId="4F6F2927" w:rsidR="00464306" w:rsidRPr="007A5434" w:rsidRDefault="00464306" w:rsidP="0062443C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Kod pacova, prim</w:t>
      </w:r>
      <w:r w:rsidR="00CC0FA2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 xml:space="preserve">ećeni su efekti na plodnost mužjaka (oligospermija, abnormalna pokretljivost spermatozoida i smanjenje </w:t>
      </w:r>
      <w:r w:rsidR="00CC0FA2" w:rsidRPr="007A5434">
        <w:rPr>
          <w:sz w:val="22"/>
          <w:szCs w:val="22"/>
          <w:lang w:val="sr-Latn-ME"/>
        </w:rPr>
        <w:t>oplodnog potencijala</w:t>
      </w:r>
      <w:r w:rsidRPr="007A5434">
        <w:rPr>
          <w:sz w:val="22"/>
          <w:szCs w:val="22"/>
          <w:lang w:val="sr-Latn-ME"/>
        </w:rPr>
        <w:t xml:space="preserve"> spermatozoida) pri visokim dozama (500 i 1000 mg/kg t</w:t>
      </w:r>
      <w:r w:rsidR="00CC0FA2" w:rsidRPr="007A5434">
        <w:rPr>
          <w:sz w:val="22"/>
          <w:szCs w:val="22"/>
          <w:lang w:val="sr-Latn-ME"/>
        </w:rPr>
        <w:t>jelesne mase</w:t>
      </w:r>
      <w:r w:rsidRPr="007A5434">
        <w:rPr>
          <w:sz w:val="22"/>
          <w:szCs w:val="22"/>
          <w:lang w:val="sr-Latn-ME"/>
        </w:rPr>
        <w:t xml:space="preserve"> dnevno).</w:t>
      </w:r>
    </w:p>
    <w:p w14:paraId="6A1CE458" w14:textId="4D810B2E" w:rsidR="00E276C4" w:rsidRPr="007A5434" w:rsidRDefault="00E276C4" w:rsidP="00E858F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A96BDEC" w14:textId="77777777" w:rsidR="00B80B5F" w:rsidRPr="007A5434" w:rsidRDefault="00B80B5F" w:rsidP="00E858F2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C5D29BD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FARMACEUTSKI PODACI</w:t>
      </w:r>
    </w:p>
    <w:p w14:paraId="3D170416" w14:textId="77777777" w:rsidR="00836B35" w:rsidRPr="007A5434" w:rsidRDefault="00836B35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04A452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6.1.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Lista pomoćnih supstanci</w:t>
      </w:r>
      <w:r w:rsidR="002E0135" w:rsidRPr="007A5434">
        <w:rPr>
          <w:b/>
          <w:bCs/>
          <w:sz w:val="22"/>
          <w:szCs w:val="22"/>
          <w:lang w:val="sr-Latn-ME"/>
        </w:rPr>
        <w:t xml:space="preserve"> (ekscipijenasa)</w:t>
      </w:r>
    </w:p>
    <w:p w14:paraId="13F68254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8DF712" w14:textId="353F8C29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kalijum</w:t>
      </w:r>
      <w:r w:rsidR="00E276C4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hidrogen</w:t>
      </w:r>
      <w:r w:rsidR="00B55EFC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 xml:space="preserve">karbonat </w:t>
      </w:r>
    </w:p>
    <w:p w14:paraId="674C3924" w14:textId="10960756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natrijum</w:t>
      </w:r>
      <w:r w:rsidR="00E276C4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hidrogen</w:t>
      </w:r>
      <w:r w:rsidR="00B55EFC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karbonat</w:t>
      </w:r>
    </w:p>
    <w:p w14:paraId="7238FE7B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sorbitol (E420)</w:t>
      </w:r>
    </w:p>
    <w:p w14:paraId="0F879DD0" w14:textId="655ECAD1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 xml:space="preserve">limunska kiselina, bezvodna </w:t>
      </w:r>
    </w:p>
    <w:p w14:paraId="60BDE20B" w14:textId="00979FC0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natrijum</w:t>
      </w:r>
      <w:r w:rsidR="00E276C4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>benzoat (E211)</w:t>
      </w:r>
    </w:p>
    <w:p w14:paraId="6F95A3A6" w14:textId="53D84AD6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natrijum</w:t>
      </w:r>
      <w:r w:rsidR="00E276C4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 xml:space="preserve">dokusat </w:t>
      </w:r>
    </w:p>
    <w:p w14:paraId="5AB40779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povidon K30</w:t>
      </w:r>
    </w:p>
    <w:p w14:paraId="4820BFF2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B707ECE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6.2.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Inkompatibilnost</w:t>
      </w:r>
      <w:r w:rsidR="002846DB" w:rsidRPr="007A5434">
        <w:rPr>
          <w:b/>
          <w:bCs/>
          <w:sz w:val="22"/>
          <w:szCs w:val="22"/>
          <w:lang w:val="sr-Latn-ME"/>
        </w:rPr>
        <w:t>i</w:t>
      </w:r>
    </w:p>
    <w:p w14:paraId="15BD8127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42135D" w14:textId="1BDE291B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Nema podataka o inkompatibilnosti.</w:t>
      </w:r>
    </w:p>
    <w:p w14:paraId="34DBBF69" w14:textId="77777777" w:rsidR="00E276C4" w:rsidRPr="007A5434" w:rsidRDefault="00E276C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106041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>6.3.</w:t>
      </w:r>
      <w:r w:rsidR="00C05DF8" w:rsidRPr="007A5434">
        <w:rPr>
          <w:b/>
          <w:bCs/>
          <w:sz w:val="22"/>
          <w:szCs w:val="22"/>
          <w:lang w:val="sr-Latn-ME"/>
        </w:rPr>
        <w:t xml:space="preserve">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Rok upotrebe</w:t>
      </w:r>
    </w:p>
    <w:p w14:paraId="3BE39F89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713CC2" w14:textId="02FCEB83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3 godine.</w:t>
      </w:r>
    </w:p>
    <w:p w14:paraId="69496218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4533AC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6.4.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7A5434">
        <w:rPr>
          <w:b/>
          <w:bCs/>
          <w:sz w:val="22"/>
          <w:szCs w:val="22"/>
          <w:lang w:val="sr-Latn-ME"/>
        </w:rPr>
        <w:t xml:space="preserve"> lijeka</w:t>
      </w:r>
    </w:p>
    <w:p w14:paraId="5CDC181D" w14:textId="77777777" w:rsidR="00EC2532" w:rsidRPr="007A5434" w:rsidRDefault="00EC2532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97A0E7" w14:textId="71979965" w:rsidR="00C22609" w:rsidRPr="007A5434" w:rsidRDefault="00C22609" w:rsidP="00E858F2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Čuvati u originalnom pakovanju na temperaturi do 25</w:t>
      </w:r>
      <w:r w:rsidR="00B55EFC" w:rsidRPr="007A5434">
        <w:rPr>
          <w:sz w:val="22"/>
          <w:szCs w:val="22"/>
          <w:lang w:val="sr-Latn-ME"/>
        </w:rPr>
        <w:t>°</w:t>
      </w:r>
      <w:r w:rsidRPr="007A5434">
        <w:rPr>
          <w:sz w:val="22"/>
          <w:szCs w:val="22"/>
          <w:lang w:val="sr-Latn-ME"/>
        </w:rPr>
        <w:t>C, radi zaštite od vlage.</w:t>
      </w:r>
    </w:p>
    <w:p w14:paraId="1814A8AD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295E715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6.5.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="002846DB" w:rsidRPr="007A543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7A5434">
        <w:rPr>
          <w:b/>
          <w:bCs/>
          <w:sz w:val="22"/>
          <w:szCs w:val="22"/>
          <w:lang w:val="sr-Latn-ME"/>
        </w:rPr>
        <w:t>pakovanja</w:t>
      </w:r>
      <w:r w:rsidR="00C06864" w:rsidRPr="007A5434">
        <w:rPr>
          <w:b/>
          <w:bCs/>
          <w:sz w:val="22"/>
          <w:szCs w:val="22"/>
          <w:lang w:val="sr-Latn-ME"/>
        </w:rPr>
        <w:t xml:space="preserve"> </w:t>
      </w:r>
    </w:p>
    <w:p w14:paraId="5F415C8E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12C3F74" w14:textId="6C8C8539" w:rsidR="00C22609" w:rsidRPr="007A5434" w:rsidRDefault="00C22609" w:rsidP="00E858F2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Unutrašnje pakovanje</w:t>
      </w:r>
      <w:r w:rsidR="007A5434">
        <w:rPr>
          <w:bCs/>
          <w:sz w:val="22"/>
          <w:szCs w:val="22"/>
          <w:lang w:val="sr-Latn-ME"/>
        </w:rPr>
        <w:t xml:space="preserve"> je</w:t>
      </w:r>
      <w:r w:rsidRPr="007A5434">
        <w:rPr>
          <w:bCs/>
          <w:sz w:val="22"/>
          <w:szCs w:val="22"/>
          <w:lang w:val="sr-Latn-ME"/>
        </w:rPr>
        <w:t xml:space="preserve"> </w:t>
      </w:r>
      <w:r w:rsidR="00D72267" w:rsidRPr="007A5434">
        <w:rPr>
          <w:bCs/>
          <w:sz w:val="22"/>
          <w:szCs w:val="22"/>
          <w:lang w:val="sr-Latn-ME"/>
        </w:rPr>
        <w:t>tuba</w:t>
      </w:r>
      <w:r w:rsidRPr="007A5434">
        <w:rPr>
          <w:bCs/>
          <w:sz w:val="22"/>
          <w:szCs w:val="22"/>
          <w:lang w:val="sr-Latn-ME"/>
        </w:rPr>
        <w:t xml:space="preserve"> od polipropilena sa zatvaračem od polietilena koji sadrži</w:t>
      </w:r>
      <w:r w:rsidR="00E276C4" w:rsidRPr="007A5434">
        <w:rPr>
          <w:bCs/>
          <w:sz w:val="22"/>
          <w:szCs w:val="22"/>
          <w:lang w:val="sr-Latn-ME"/>
        </w:rPr>
        <w:t xml:space="preserve"> </w:t>
      </w:r>
      <w:r w:rsidRPr="007A5434">
        <w:rPr>
          <w:bCs/>
          <w:sz w:val="22"/>
          <w:szCs w:val="22"/>
          <w:lang w:val="sr-Latn-ME"/>
        </w:rPr>
        <w:t xml:space="preserve">molekulsko sito kao desikant. </w:t>
      </w:r>
    </w:p>
    <w:p w14:paraId="3A5AF598" w14:textId="6130E363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sz w:val="22"/>
          <w:szCs w:val="22"/>
          <w:lang w:val="sr-Latn-ME"/>
        </w:rPr>
        <w:t>Spoljašnje pakovanje je složiva kartonska kutija u kojoj se nalazi jed</w:t>
      </w:r>
      <w:r w:rsidR="00D72267" w:rsidRPr="007A5434">
        <w:rPr>
          <w:sz w:val="22"/>
          <w:szCs w:val="22"/>
          <w:lang w:val="sr-Latn-ME"/>
        </w:rPr>
        <w:t>na tuba</w:t>
      </w:r>
      <w:r w:rsidRPr="007A5434">
        <w:rPr>
          <w:sz w:val="22"/>
          <w:szCs w:val="22"/>
          <w:lang w:val="sr-Latn-ME"/>
        </w:rPr>
        <w:t xml:space="preserve"> sa 10 šumećih tableta (ukupno 10 šumećih tableta) i Uputstvo za l</w:t>
      </w:r>
      <w:r w:rsidR="006B3EBA" w:rsidRPr="007A5434">
        <w:rPr>
          <w:sz w:val="22"/>
          <w:szCs w:val="22"/>
          <w:lang w:val="sr-Latn-ME"/>
        </w:rPr>
        <w:t>ij</w:t>
      </w:r>
      <w:r w:rsidRPr="007A5434">
        <w:rPr>
          <w:sz w:val="22"/>
          <w:szCs w:val="22"/>
          <w:lang w:val="sr-Latn-ME"/>
        </w:rPr>
        <w:t>ek.</w:t>
      </w:r>
    </w:p>
    <w:p w14:paraId="4BCEBC3D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183F10" w14:textId="77777777" w:rsidR="002846DB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6.6.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7A5434">
        <w:rPr>
          <w:b/>
          <w:bCs/>
          <w:sz w:val="22"/>
          <w:szCs w:val="22"/>
          <w:lang w:val="sr-Latn-ME"/>
        </w:rPr>
        <w:t xml:space="preserve"> </w:t>
      </w:r>
      <w:r w:rsidR="00310F03" w:rsidRPr="007A5434">
        <w:rPr>
          <w:b/>
          <w:bCs/>
          <w:sz w:val="22"/>
          <w:szCs w:val="22"/>
          <w:lang w:val="sr-Latn-ME"/>
        </w:rPr>
        <w:t>(i druga uputs</w:t>
      </w:r>
      <w:r w:rsidR="004109FA" w:rsidRPr="007A5434">
        <w:rPr>
          <w:b/>
          <w:bCs/>
          <w:sz w:val="22"/>
          <w:szCs w:val="22"/>
          <w:lang w:val="sr-Latn-ME"/>
        </w:rPr>
        <w:t>t</w:t>
      </w:r>
      <w:r w:rsidR="00310F03" w:rsidRPr="007A543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1E381D8F" w14:textId="77777777" w:rsidR="00B66A70" w:rsidRPr="007A5434" w:rsidRDefault="00B66A70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E75759D" w14:textId="4CC5BE43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>Svu neiskorišćenu količinu l</w:t>
      </w:r>
      <w:r w:rsidR="00214302" w:rsidRPr="007A5434">
        <w:rPr>
          <w:bCs/>
          <w:sz w:val="22"/>
          <w:szCs w:val="22"/>
          <w:lang w:val="sr-Latn-ME"/>
        </w:rPr>
        <w:t>ij</w:t>
      </w:r>
      <w:r w:rsidRPr="007A5434">
        <w:rPr>
          <w:bCs/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5920FA36" w14:textId="77777777" w:rsidR="00E276C4" w:rsidRPr="007A5434" w:rsidRDefault="00E276C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2BB22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461EC6E" w14:textId="77777777" w:rsidR="00F8570A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7.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NOSILAC DOZVOLE</w:t>
      </w:r>
      <w:r w:rsidR="00483928" w:rsidRPr="007A5434">
        <w:rPr>
          <w:b/>
          <w:bCs/>
          <w:sz w:val="22"/>
          <w:szCs w:val="22"/>
          <w:lang w:val="sr-Latn-ME"/>
        </w:rPr>
        <w:t xml:space="preserve"> </w:t>
      </w:r>
    </w:p>
    <w:p w14:paraId="0CA8C224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1" w:name="_Hlk121480137"/>
    </w:p>
    <w:p w14:paraId="13AA407F" w14:textId="2B903604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 xml:space="preserve">AMICUS PHARMA D.O.O. </w:t>
      </w:r>
      <w:r w:rsidR="00B55EFC" w:rsidRPr="007A5434">
        <w:rPr>
          <w:bCs/>
          <w:sz w:val="22"/>
          <w:szCs w:val="22"/>
          <w:lang w:val="sr-Latn-ME"/>
        </w:rPr>
        <w:t>PODGORICA</w:t>
      </w:r>
    </w:p>
    <w:p w14:paraId="0579098E" w14:textId="57BAB4B2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A5434">
        <w:rPr>
          <w:bCs/>
          <w:sz w:val="22"/>
          <w:szCs w:val="22"/>
          <w:lang w:val="sr-Latn-ME"/>
        </w:rPr>
        <w:t xml:space="preserve">Bulevar Džordža Vašingtona 51, </w:t>
      </w:r>
      <w:r w:rsidR="00B55EFC" w:rsidRPr="007A5434">
        <w:rPr>
          <w:bCs/>
          <w:sz w:val="22"/>
          <w:szCs w:val="22"/>
          <w:lang w:val="sr-Latn-ME"/>
        </w:rPr>
        <w:t xml:space="preserve">81000 </w:t>
      </w:r>
      <w:r w:rsidRPr="007A5434">
        <w:rPr>
          <w:bCs/>
          <w:sz w:val="22"/>
          <w:szCs w:val="22"/>
          <w:lang w:val="sr-Latn-ME"/>
        </w:rPr>
        <w:t>Podgorica</w:t>
      </w:r>
      <w:r w:rsidR="00B55EFC" w:rsidRPr="007A5434">
        <w:rPr>
          <w:bCs/>
          <w:sz w:val="22"/>
          <w:szCs w:val="22"/>
          <w:lang w:val="sr-Latn-ME"/>
        </w:rPr>
        <w:t>, Crna Gora</w:t>
      </w:r>
    </w:p>
    <w:p w14:paraId="07B747EE" w14:textId="77777777" w:rsidR="00E276C4" w:rsidRPr="007A5434" w:rsidRDefault="00E276C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bookmarkEnd w:id="1"/>
    <w:p w14:paraId="6FC094F2" w14:textId="77777777" w:rsidR="00C37FD7" w:rsidRPr="007A5434" w:rsidRDefault="00C37FD7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A1EE7F9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8.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>BROJ DOZVOLE</w:t>
      </w:r>
      <w:r w:rsidR="008A6D43" w:rsidRPr="007A543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1EB61034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50D195" w14:textId="5528016E" w:rsidR="00E276C4" w:rsidRPr="007A5434" w:rsidRDefault="007A543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2" w:name="_Hlk121480060"/>
      <w:r w:rsidRPr="007A5434">
        <w:rPr>
          <w:bCs/>
          <w:sz w:val="22"/>
          <w:szCs w:val="22"/>
          <w:lang w:val="sr-Latn-ME"/>
        </w:rPr>
        <w:t>2030/25/2045 - 8587</w:t>
      </w:r>
    </w:p>
    <w:bookmarkEnd w:id="2"/>
    <w:p w14:paraId="49985F13" w14:textId="546737A7" w:rsidR="00F45F77" w:rsidRDefault="00F45F77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CEED1E" w14:textId="77777777" w:rsidR="007A5434" w:rsidRPr="007A5434" w:rsidRDefault="007A543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58440FA" w14:textId="77777777" w:rsidR="0072020E" w:rsidRPr="007A5434" w:rsidRDefault="0072020E" w:rsidP="00E858F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t xml:space="preserve">9.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Pr="007A5434">
        <w:rPr>
          <w:b/>
          <w:bCs/>
          <w:sz w:val="22"/>
          <w:szCs w:val="22"/>
          <w:lang w:val="sr-Latn-ME"/>
        </w:rPr>
        <w:t xml:space="preserve">DATUM </w:t>
      </w:r>
      <w:r w:rsidR="00C05DF8" w:rsidRPr="007A5434">
        <w:rPr>
          <w:b/>
          <w:bCs/>
          <w:sz w:val="22"/>
          <w:szCs w:val="22"/>
          <w:lang w:val="sr-Latn-ME"/>
        </w:rPr>
        <w:t xml:space="preserve">PRVE </w:t>
      </w:r>
      <w:r w:rsidR="008A6D43" w:rsidRPr="007A5434">
        <w:rPr>
          <w:b/>
          <w:bCs/>
          <w:sz w:val="22"/>
          <w:szCs w:val="22"/>
          <w:lang w:val="sr-Latn-ME"/>
        </w:rPr>
        <w:t>DOZVOLE</w:t>
      </w:r>
      <w:r w:rsidR="00C05DF8" w:rsidRPr="007A5434">
        <w:rPr>
          <w:b/>
          <w:bCs/>
          <w:sz w:val="22"/>
          <w:szCs w:val="22"/>
          <w:lang w:val="sr-Latn-ME"/>
        </w:rPr>
        <w:t>/OBNOVE DOZVOLE</w:t>
      </w:r>
      <w:r w:rsidR="008A6D43" w:rsidRPr="007A543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A847A09" w14:textId="77777777" w:rsidR="00C22609" w:rsidRPr="007A5434" w:rsidRDefault="00C22609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BF29730" w14:textId="2EE86AD6" w:rsidR="00C22609" w:rsidRDefault="007A543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Datum prve dozvole: </w:t>
      </w:r>
      <w:r w:rsidRPr="007A5434">
        <w:rPr>
          <w:bCs/>
          <w:sz w:val="22"/>
          <w:szCs w:val="22"/>
          <w:lang w:val="sr-Latn-ME"/>
        </w:rPr>
        <w:t>04.10.2013. godine</w:t>
      </w:r>
    </w:p>
    <w:p w14:paraId="5A7E5FAA" w14:textId="32C80E3D" w:rsidR="007A5434" w:rsidRPr="007A5434" w:rsidRDefault="007A543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Datum poslednje obnove dozvole: </w:t>
      </w:r>
      <w:r w:rsidRPr="007A5434">
        <w:rPr>
          <w:bCs/>
          <w:sz w:val="22"/>
          <w:szCs w:val="22"/>
          <w:lang w:val="sr-Latn-ME"/>
        </w:rPr>
        <w:t>13.05.2025. godine</w:t>
      </w:r>
    </w:p>
    <w:p w14:paraId="65D764C2" w14:textId="77777777" w:rsidR="00E276C4" w:rsidRPr="007A5434" w:rsidRDefault="00E276C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5410A8" w14:textId="0185B6A4" w:rsidR="00836B35" w:rsidRDefault="00836B35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BC5E17" w14:textId="77777777" w:rsidR="007A5434" w:rsidRPr="007A5434" w:rsidRDefault="007A5434" w:rsidP="00E858F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0FB6CE" w14:textId="77777777" w:rsidR="003F6A59" w:rsidRPr="007A5434" w:rsidRDefault="0072020E" w:rsidP="00E858F2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7A5434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7A5434">
        <w:rPr>
          <w:b/>
          <w:bCs/>
          <w:sz w:val="22"/>
          <w:szCs w:val="22"/>
          <w:lang w:val="sr-Latn-ME"/>
        </w:rPr>
        <w:tab/>
      </w:r>
      <w:r w:rsidR="002846DB" w:rsidRPr="007A5434">
        <w:rPr>
          <w:b/>
          <w:bCs/>
          <w:sz w:val="22"/>
          <w:szCs w:val="22"/>
          <w:lang w:val="sr-Latn-ME"/>
        </w:rPr>
        <w:t>D</w:t>
      </w:r>
      <w:r w:rsidR="00EC2532" w:rsidRPr="007A5434">
        <w:rPr>
          <w:b/>
          <w:bCs/>
          <w:sz w:val="22"/>
          <w:szCs w:val="22"/>
          <w:lang w:val="sr-Latn-ME"/>
        </w:rPr>
        <w:t xml:space="preserve">ATUM REVIZIJE TEKSTA </w:t>
      </w:r>
    </w:p>
    <w:p w14:paraId="7D7B38F9" w14:textId="77777777" w:rsidR="00214302" w:rsidRPr="007A5434" w:rsidRDefault="00214302" w:rsidP="00E858F2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09C9CC17" w14:textId="0282A179" w:rsidR="003F6A59" w:rsidRPr="007A5434" w:rsidRDefault="007A5434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Maj, 2025. godine</w:t>
      </w:r>
      <w:bookmarkStart w:id="3" w:name="_GoBack"/>
      <w:bookmarkEnd w:id="3"/>
    </w:p>
    <w:sectPr w:rsidR="003F6A59" w:rsidRPr="007A5434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8C4CE" w14:textId="77777777" w:rsidR="00A6572C" w:rsidRDefault="00A6572C">
      <w:r>
        <w:separator/>
      </w:r>
    </w:p>
  </w:endnote>
  <w:endnote w:type="continuationSeparator" w:id="0">
    <w:p w14:paraId="21961B3A" w14:textId="77777777" w:rsidR="00A6572C" w:rsidRDefault="00A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BE5A" w14:textId="5F6B8E64" w:rsidR="00AB2078" w:rsidRPr="00B23F69" w:rsidRDefault="00AB2078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7A5434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7A5434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1E8B8" w14:textId="77777777" w:rsidR="00A6572C" w:rsidRDefault="00A6572C">
      <w:r>
        <w:separator/>
      </w:r>
    </w:p>
  </w:footnote>
  <w:footnote w:type="continuationSeparator" w:id="0">
    <w:p w14:paraId="1958AA64" w14:textId="77777777" w:rsidR="00A6572C" w:rsidRDefault="00A6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AB1F86"/>
    <w:multiLevelType w:val="hybridMultilevel"/>
    <w:tmpl w:val="FEBA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2325D"/>
    <w:multiLevelType w:val="hybridMultilevel"/>
    <w:tmpl w:val="A27C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C17326"/>
    <w:multiLevelType w:val="multilevel"/>
    <w:tmpl w:val="23F4A744"/>
    <w:lvl w:ilvl="0">
      <w:start w:val="4"/>
      <w:numFmt w:val="decimal"/>
      <w:lvlText w:val="%1"/>
      <w:lvlJc w:val="left"/>
      <w:pPr>
        <w:ind w:left="596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" w:hanging="384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1003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7E22EB2"/>
    <w:multiLevelType w:val="multilevel"/>
    <w:tmpl w:val="F5100E14"/>
    <w:lvl w:ilvl="0">
      <w:start w:val="4"/>
      <w:numFmt w:val="decimal"/>
      <w:lvlText w:val="%1"/>
      <w:lvlJc w:val="left"/>
      <w:pPr>
        <w:ind w:left="204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" w:hanging="363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>
      <w:numFmt w:val="bullet"/>
      <w:lvlText w:val="-"/>
      <w:lvlJc w:val="left"/>
      <w:pPr>
        <w:ind w:left="831" w:hanging="332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2795" w:hanging="332"/>
      </w:pPr>
      <w:rPr>
        <w:rFonts w:hint="default"/>
      </w:rPr>
    </w:lvl>
    <w:lvl w:ilvl="4">
      <w:numFmt w:val="bullet"/>
      <w:lvlText w:val="•"/>
      <w:lvlJc w:val="left"/>
      <w:pPr>
        <w:ind w:left="3773" w:hanging="332"/>
      </w:pPr>
      <w:rPr>
        <w:rFonts w:hint="default"/>
      </w:rPr>
    </w:lvl>
    <w:lvl w:ilvl="5">
      <w:numFmt w:val="bullet"/>
      <w:lvlText w:val="•"/>
      <w:lvlJc w:val="left"/>
      <w:pPr>
        <w:ind w:left="4751" w:hanging="332"/>
      </w:pPr>
      <w:rPr>
        <w:rFonts w:hint="default"/>
      </w:rPr>
    </w:lvl>
    <w:lvl w:ilvl="6">
      <w:numFmt w:val="bullet"/>
      <w:lvlText w:val="•"/>
      <w:lvlJc w:val="left"/>
      <w:pPr>
        <w:ind w:left="5728" w:hanging="332"/>
      </w:pPr>
      <w:rPr>
        <w:rFonts w:hint="default"/>
      </w:rPr>
    </w:lvl>
    <w:lvl w:ilvl="7">
      <w:numFmt w:val="bullet"/>
      <w:lvlText w:val="•"/>
      <w:lvlJc w:val="left"/>
      <w:pPr>
        <w:ind w:left="6706" w:hanging="332"/>
      </w:pPr>
      <w:rPr>
        <w:rFonts w:hint="default"/>
      </w:rPr>
    </w:lvl>
    <w:lvl w:ilvl="8">
      <w:numFmt w:val="bullet"/>
      <w:lvlText w:val="•"/>
      <w:lvlJc w:val="left"/>
      <w:pPr>
        <w:ind w:left="7684" w:hanging="332"/>
      </w:pPr>
      <w:rPr>
        <w:rFonts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F54B3"/>
    <w:multiLevelType w:val="hybridMultilevel"/>
    <w:tmpl w:val="1B62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16A6D"/>
    <w:multiLevelType w:val="hybridMultilevel"/>
    <w:tmpl w:val="6EF0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9"/>
  </w:num>
  <w:num w:numId="13">
    <w:abstractNumId w:val="12"/>
  </w:num>
  <w:num w:numId="14">
    <w:abstractNumId w:val="16"/>
  </w:num>
  <w:num w:numId="15">
    <w:abstractNumId w:val="2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568B"/>
    <w:rsid w:val="00017630"/>
    <w:rsid w:val="000176CA"/>
    <w:rsid w:val="00033469"/>
    <w:rsid w:val="00035432"/>
    <w:rsid w:val="00036FA0"/>
    <w:rsid w:val="0003793F"/>
    <w:rsid w:val="00045130"/>
    <w:rsid w:val="00052F33"/>
    <w:rsid w:val="00057E35"/>
    <w:rsid w:val="00060E96"/>
    <w:rsid w:val="00067C47"/>
    <w:rsid w:val="00075E28"/>
    <w:rsid w:val="00076726"/>
    <w:rsid w:val="00080303"/>
    <w:rsid w:val="00083D02"/>
    <w:rsid w:val="000962DD"/>
    <w:rsid w:val="000A3F58"/>
    <w:rsid w:val="000C554F"/>
    <w:rsid w:val="000D2343"/>
    <w:rsid w:val="000D3449"/>
    <w:rsid w:val="000D425A"/>
    <w:rsid w:val="000D60CC"/>
    <w:rsid w:val="000E1C80"/>
    <w:rsid w:val="000E2084"/>
    <w:rsid w:val="000E6F55"/>
    <w:rsid w:val="000F59F9"/>
    <w:rsid w:val="000F77FA"/>
    <w:rsid w:val="00103369"/>
    <w:rsid w:val="00107BF7"/>
    <w:rsid w:val="00126F53"/>
    <w:rsid w:val="0013503D"/>
    <w:rsid w:val="00146798"/>
    <w:rsid w:val="0014766D"/>
    <w:rsid w:val="001536CC"/>
    <w:rsid w:val="001A3FBA"/>
    <w:rsid w:val="001A5518"/>
    <w:rsid w:val="001B1C6A"/>
    <w:rsid w:val="001B30E1"/>
    <w:rsid w:val="001C124C"/>
    <w:rsid w:val="001C1263"/>
    <w:rsid w:val="001C1417"/>
    <w:rsid w:val="001E390B"/>
    <w:rsid w:val="001F42FB"/>
    <w:rsid w:val="001F606E"/>
    <w:rsid w:val="001F719A"/>
    <w:rsid w:val="002031B3"/>
    <w:rsid w:val="00205ABC"/>
    <w:rsid w:val="00205C09"/>
    <w:rsid w:val="00211CFC"/>
    <w:rsid w:val="00214302"/>
    <w:rsid w:val="00215931"/>
    <w:rsid w:val="00224C91"/>
    <w:rsid w:val="00227BDB"/>
    <w:rsid w:val="00234CB1"/>
    <w:rsid w:val="002352F8"/>
    <w:rsid w:val="0024238C"/>
    <w:rsid w:val="002510A5"/>
    <w:rsid w:val="00254A0A"/>
    <w:rsid w:val="0026472C"/>
    <w:rsid w:val="00266046"/>
    <w:rsid w:val="002846DB"/>
    <w:rsid w:val="00284CCD"/>
    <w:rsid w:val="002C6637"/>
    <w:rsid w:val="002E0135"/>
    <w:rsid w:val="002E37A5"/>
    <w:rsid w:val="00310F03"/>
    <w:rsid w:val="003224D8"/>
    <w:rsid w:val="003247D2"/>
    <w:rsid w:val="003445C1"/>
    <w:rsid w:val="003517A4"/>
    <w:rsid w:val="00353278"/>
    <w:rsid w:val="00355B61"/>
    <w:rsid w:val="00362686"/>
    <w:rsid w:val="00371510"/>
    <w:rsid w:val="003760AE"/>
    <w:rsid w:val="00396DFD"/>
    <w:rsid w:val="003A7059"/>
    <w:rsid w:val="003B7A36"/>
    <w:rsid w:val="003C17AB"/>
    <w:rsid w:val="003C3873"/>
    <w:rsid w:val="003C7823"/>
    <w:rsid w:val="003E1DCC"/>
    <w:rsid w:val="003F11A1"/>
    <w:rsid w:val="003F4FAB"/>
    <w:rsid w:val="003F6A59"/>
    <w:rsid w:val="004065C8"/>
    <w:rsid w:val="004109FA"/>
    <w:rsid w:val="00411B4B"/>
    <w:rsid w:val="00415BEE"/>
    <w:rsid w:val="004254E9"/>
    <w:rsid w:val="00427F85"/>
    <w:rsid w:val="00436D43"/>
    <w:rsid w:val="00436F42"/>
    <w:rsid w:val="004378B4"/>
    <w:rsid w:val="00451314"/>
    <w:rsid w:val="00452E9D"/>
    <w:rsid w:val="004534C7"/>
    <w:rsid w:val="00464306"/>
    <w:rsid w:val="004671AA"/>
    <w:rsid w:val="00471319"/>
    <w:rsid w:val="00471DF8"/>
    <w:rsid w:val="00480FB1"/>
    <w:rsid w:val="00483928"/>
    <w:rsid w:val="004845BF"/>
    <w:rsid w:val="004935A4"/>
    <w:rsid w:val="004B6358"/>
    <w:rsid w:val="004C331F"/>
    <w:rsid w:val="004C45E5"/>
    <w:rsid w:val="004C7544"/>
    <w:rsid w:val="004D6103"/>
    <w:rsid w:val="004E2F23"/>
    <w:rsid w:val="004E3BCE"/>
    <w:rsid w:val="004E70AD"/>
    <w:rsid w:val="004F0E97"/>
    <w:rsid w:val="004F17E2"/>
    <w:rsid w:val="00501DD1"/>
    <w:rsid w:val="00515C21"/>
    <w:rsid w:val="00530BD7"/>
    <w:rsid w:val="005320D1"/>
    <w:rsid w:val="00545CD2"/>
    <w:rsid w:val="005476F3"/>
    <w:rsid w:val="00572527"/>
    <w:rsid w:val="00573E40"/>
    <w:rsid w:val="00574669"/>
    <w:rsid w:val="00576348"/>
    <w:rsid w:val="00590500"/>
    <w:rsid w:val="00597474"/>
    <w:rsid w:val="005A0B2E"/>
    <w:rsid w:val="005A23D2"/>
    <w:rsid w:val="005A2593"/>
    <w:rsid w:val="005A36CB"/>
    <w:rsid w:val="005B1510"/>
    <w:rsid w:val="005B2D8D"/>
    <w:rsid w:val="005B49B8"/>
    <w:rsid w:val="005C0741"/>
    <w:rsid w:val="005C5EF4"/>
    <w:rsid w:val="005E2E0B"/>
    <w:rsid w:val="005E67AD"/>
    <w:rsid w:val="005E7A7D"/>
    <w:rsid w:val="00602457"/>
    <w:rsid w:val="00605EA4"/>
    <w:rsid w:val="0062443C"/>
    <w:rsid w:val="00644FC3"/>
    <w:rsid w:val="00646BD1"/>
    <w:rsid w:val="006561C2"/>
    <w:rsid w:val="00671CB3"/>
    <w:rsid w:val="00674BAF"/>
    <w:rsid w:val="00682200"/>
    <w:rsid w:val="00692BF6"/>
    <w:rsid w:val="006A1351"/>
    <w:rsid w:val="006A1497"/>
    <w:rsid w:val="006B0BD1"/>
    <w:rsid w:val="006B18DE"/>
    <w:rsid w:val="006B1A2B"/>
    <w:rsid w:val="006B3EBA"/>
    <w:rsid w:val="006B5404"/>
    <w:rsid w:val="006B6503"/>
    <w:rsid w:val="006D20A5"/>
    <w:rsid w:val="006D37BF"/>
    <w:rsid w:val="006E0CAC"/>
    <w:rsid w:val="006E7548"/>
    <w:rsid w:val="006F792F"/>
    <w:rsid w:val="00702E22"/>
    <w:rsid w:val="0072020E"/>
    <w:rsid w:val="00735E03"/>
    <w:rsid w:val="007458BA"/>
    <w:rsid w:val="00745DD0"/>
    <w:rsid w:val="00754902"/>
    <w:rsid w:val="00774D53"/>
    <w:rsid w:val="00783427"/>
    <w:rsid w:val="00786071"/>
    <w:rsid w:val="007934E7"/>
    <w:rsid w:val="007A3ECB"/>
    <w:rsid w:val="007A5434"/>
    <w:rsid w:val="007D7BB3"/>
    <w:rsid w:val="007E31E9"/>
    <w:rsid w:val="007F05E3"/>
    <w:rsid w:val="007F0930"/>
    <w:rsid w:val="007F345A"/>
    <w:rsid w:val="007F661E"/>
    <w:rsid w:val="00824AB9"/>
    <w:rsid w:val="00836B35"/>
    <w:rsid w:val="00843BDE"/>
    <w:rsid w:val="0087588C"/>
    <w:rsid w:val="0089705C"/>
    <w:rsid w:val="008A2925"/>
    <w:rsid w:val="008A6D43"/>
    <w:rsid w:val="008B491E"/>
    <w:rsid w:val="008C1A28"/>
    <w:rsid w:val="008C2E98"/>
    <w:rsid w:val="008E49BD"/>
    <w:rsid w:val="008E53E9"/>
    <w:rsid w:val="008E5771"/>
    <w:rsid w:val="008F4ACF"/>
    <w:rsid w:val="009169C1"/>
    <w:rsid w:val="00924166"/>
    <w:rsid w:val="00940B9B"/>
    <w:rsid w:val="00950F03"/>
    <w:rsid w:val="0095152E"/>
    <w:rsid w:val="00953573"/>
    <w:rsid w:val="00954163"/>
    <w:rsid w:val="0095676E"/>
    <w:rsid w:val="00956983"/>
    <w:rsid w:val="00963CF0"/>
    <w:rsid w:val="009644A8"/>
    <w:rsid w:val="00964BB1"/>
    <w:rsid w:val="009775D9"/>
    <w:rsid w:val="00981881"/>
    <w:rsid w:val="00997175"/>
    <w:rsid w:val="009A1847"/>
    <w:rsid w:val="009B062A"/>
    <w:rsid w:val="009C6FCE"/>
    <w:rsid w:val="009E7C6F"/>
    <w:rsid w:val="009F1793"/>
    <w:rsid w:val="009F2D23"/>
    <w:rsid w:val="00A01D69"/>
    <w:rsid w:val="00A02335"/>
    <w:rsid w:val="00A14EB2"/>
    <w:rsid w:val="00A45D74"/>
    <w:rsid w:val="00A46C9A"/>
    <w:rsid w:val="00A619F3"/>
    <w:rsid w:val="00A62A73"/>
    <w:rsid w:val="00A6572C"/>
    <w:rsid w:val="00A87FF6"/>
    <w:rsid w:val="00A944E2"/>
    <w:rsid w:val="00AA0A3B"/>
    <w:rsid w:val="00AA2763"/>
    <w:rsid w:val="00AA33B6"/>
    <w:rsid w:val="00AA5303"/>
    <w:rsid w:val="00AB2078"/>
    <w:rsid w:val="00AB50CA"/>
    <w:rsid w:val="00AB6D64"/>
    <w:rsid w:val="00AC53CE"/>
    <w:rsid w:val="00AC7DFD"/>
    <w:rsid w:val="00AD054C"/>
    <w:rsid w:val="00AD2193"/>
    <w:rsid w:val="00AF19F4"/>
    <w:rsid w:val="00AF2AC7"/>
    <w:rsid w:val="00AF74CE"/>
    <w:rsid w:val="00B208DB"/>
    <w:rsid w:val="00B220A3"/>
    <w:rsid w:val="00B22995"/>
    <w:rsid w:val="00B23F69"/>
    <w:rsid w:val="00B552FF"/>
    <w:rsid w:val="00B55EFC"/>
    <w:rsid w:val="00B60619"/>
    <w:rsid w:val="00B66A70"/>
    <w:rsid w:val="00B67366"/>
    <w:rsid w:val="00B71970"/>
    <w:rsid w:val="00B80B5F"/>
    <w:rsid w:val="00B80EE1"/>
    <w:rsid w:val="00B84135"/>
    <w:rsid w:val="00BA6EDE"/>
    <w:rsid w:val="00BC3627"/>
    <w:rsid w:val="00C04D34"/>
    <w:rsid w:val="00C05DF8"/>
    <w:rsid w:val="00C06864"/>
    <w:rsid w:val="00C10F54"/>
    <w:rsid w:val="00C22609"/>
    <w:rsid w:val="00C23D8D"/>
    <w:rsid w:val="00C37AA3"/>
    <w:rsid w:val="00C37FD7"/>
    <w:rsid w:val="00C43419"/>
    <w:rsid w:val="00C44CF3"/>
    <w:rsid w:val="00C61BE0"/>
    <w:rsid w:val="00C6707E"/>
    <w:rsid w:val="00C70637"/>
    <w:rsid w:val="00C70B0E"/>
    <w:rsid w:val="00C773CA"/>
    <w:rsid w:val="00C83785"/>
    <w:rsid w:val="00C87FA8"/>
    <w:rsid w:val="00C90852"/>
    <w:rsid w:val="00C94C0D"/>
    <w:rsid w:val="00C9785C"/>
    <w:rsid w:val="00CA1FEB"/>
    <w:rsid w:val="00CC0FA2"/>
    <w:rsid w:val="00CC7115"/>
    <w:rsid w:val="00CD32F9"/>
    <w:rsid w:val="00CD4F85"/>
    <w:rsid w:val="00CD6F02"/>
    <w:rsid w:val="00CE246D"/>
    <w:rsid w:val="00CF07A0"/>
    <w:rsid w:val="00CF3E03"/>
    <w:rsid w:val="00D0082A"/>
    <w:rsid w:val="00D05459"/>
    <w:rsid w:val="00D05CC7"/>
    <w:rsid w:val="00D17319"/>
    <w:rsid w:val="00D21455"/>
    <w:rsid w:val="00D47634"/>
    <w:rsid w:val="00D47B27"/>
    <w:rsid w:val="00D5204E"/>
    <w:rsid w:val="00D66069"/>
    <w:rsid w:val="00D709B3"/>
    <w:rsid w:val="00D72267"/>
    <w:rsid w:val="00D74CD2"/>
    <w:rsid w:val="00D77420"/>
    <w:rsid w:val="00D80FA9"/>
    <w:rsid w:val="00DA2ED6"/>
    <w:rsid w:val="00DB1D55"/>
    <w:rsid w:val="00DB76B8"/>
    <w:rsid w:val="00DC2EA1"/>
    <w:rsid w:val="00DC7593"/>
    <w:rsid w:val="00DD0F51"/>
    <w:rsid w:val="00DD5AFE"/>
    <w:rsid w:val="00DD6AAF"/>
    <w:rsid w:val="00DE30C2"/>
    <w:rsid w:val="00DE3F5C"/>
    <w:rsid w:val="00DF1D20"/>
    <w:rsid w:val="00DF34E5"/>
    <w:rsid w:val="00E21324"/>
    <w:rsid w:val="00E246B9"/>
    <w:rsid w:val="00E276C4"/>
    <w:rsid w:val="00E31EED"/>
    <w:rsid w:val="00E31FEA"/>
    <w:rsid w:val="00E45169"/>
    <w:rsid w:val="00E47787"/>
    <w:rsid w:val="00E512C9"/>
    <w:rsid w:val="00E51C30"/>
    <w:rsid w:val="00E64180"/>
    <w:rsid w:val="00E7235D"/>
    <w:rsid w:val="00E73E8A"/>
    <w:rsid w:val="00E74AEE"/>
    <w:rsid w:val="00E858F2"/>
    <w:rsid w:val="00E868E5"/>
    <w:rsid w:val="00E91805"/>
    <w:rsid w:val="00E9237A"/>
    <w:rsid w:val="00E939FA"/>
    <w:rsid w:val="00E95CF2"/>
    <w:rsid w:val="00EA5765"/>
    <w:rsid w:val="00EC2532"/>
    <w:rsid w:val="00ED1B98"/>
    <w:rsid w:val="00ED7812"/>
    <w:rsid w:val="00EF3B86"/>
    <w:rsid w:val="00F317E9"/>
    <w:rsid w:val="00F33FDC"/>
    <w:rsid w:val="00F34554"/>
    <w:rsid w:val="00F35B68"/>
    <w:rsid w:val="00F45F77"/>
    <w:rsid w:val="00F5167F"/>
    <w:rsid w:val="00F52258"/>
    <w:rsid w:val="00F71157"/>
    <w:rsid w:val="00F717C9"/>
    <w:rsid w:val="00F8570A"/>
    <w:rsid w:val="00F91C7B"/>
    <w:rsid w:val="00FB12C9"/>
    <w:rsid w:val="00FE582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09AF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76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0176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3517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A875-7ECB-4987-9159-62D4218E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22207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cp:lastPrinted>2023-02-09T08:16:00Z</cp:lastPrinted>
  <dcterms:created xsi:type="dcterms:W3CDTF">2025-05-12T08:25:00Z</dcterms:created>
  <dcterms:modified xsi:type="dcterms:W3CDTF">2025-05-12T08:33:00Z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