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3E6E" w14:textId="77777777" w:rsidR="00FA4894" w:rsidRPr="00287D9C" w:rsidRDefault="001742DD" w:rsidP="001A20AC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87D9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3B4D2BC" w14:textId="77777777" w:rsidR="00FA4894" w:rsidRPr="00287D9C" w:rsidRDefault="00FA4894" w:rsidP="001A20A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B0548CB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4C66D0F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52C61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>1.</w:t>
      </w:r>
      <w:r w:rsidRPr="00287D9C">
        <w:rPr>
          <w:b/>
          <w:bCs/>
          <w:sz w:val="22"/>
          <w:szCs w:val="22"/>
          <w:lang w:val="sr-Latn-ME"/>
        </w:rPr>
        <w:tab/>
        <w:t>NAZIV LIJEKA</w:t>
      </w:r>
    </w:p>
    <w:p w14:paraId="3185707D" w14:textId="77777777" w:rsidR="00FA4894" w:rsidRPr="00287D9C" w:rsidRDefault="00FA4894" w:rsidP="001A20AC">
      <w:pPr>
        <w:jc w:val="both"/>
        <w:rPr>
          <w:sz w:val="22"/>
          <w:szCs w:val="22"/>
          <w:lang w:val="sr-Latn-ME"/>
        </w:rPr>
      </w:pPr>
    </w:p>
    <w:p w14:paraId="67393E0E" w14:textId="067762F1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total, 1,5 mg/ml + 5 mg/ml, sprej za usnu </w:t>
      </w:r>
      <w:proofErr w:type="spellStart"/>
      <w:r w:rsidRPr="00287D9C">
        <w:rPr>
          <w:sz w:val="22"/>
          <w:szCs w:val="22"/>
          <w:lang w:val="sr-Latn-ME"/>
        </w:rPr>
        <w:t>sluznicu</w:t>
      </w:r>
      <w:proofErr w:type="spellEnd"/>
      <w:r w:rsidRPr="00287D9C">
        <w:rPr>
          <w:sz w:val="22"/>
          <w:szCs w:val="22"/>
          <w:lang w:val="sr-Latn-ME"/>
        </w:rPr>
        <w:t>, rastvor</w:t>
      </w:r>
    </w:p>
    <w:p w14:paraId="1A0E8657" w14:textId="77777777" w:rsidR="00FA4894" w:rsidRPr="00287D9C" w:rsidRDefault="00FA4894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A44769F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INN: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,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</w:p>
    <w:p w14:paraId="6F878262" w14:textId="77777777" w:rsidR="00FA4894" w:rsidRPr="00287D9C" w:rsidRDefault="00FA4894" w:rsidP="001A20AC">
      <w:pPr>
        <w:jc w:val="both"/>
        <w:rPr>
          <w:bCs/>
          <w:sz w:val="22"/>
          <w:szCs w:val="22"/>
          <w:lang w:val="sr-Latn-ME"/>
        </w:rPr>
      </w:pPr>
    </w:p>
    <w:p w14:paraId="3CA1D486" w14:textId="77777777" w:rsidR="00FA4894" w:rsidRPr="00287D9C" w:rsidRDefault="00FA4894" w:rsidP="001A20AC">
      <w:pPr>
        <w:jc w:val="both"/>
        <w:rPr>
          <w:bCs/>
          <w:sz w:val="22"/>
          <w:szCs w:val="22"/>
          <w:lang w:val="sr-Latn-ME"/>
        </w:rPr>
      </w:pPr>
    </w:p>
    <w:p w14:paraId="2762FA50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2. </w:t>
      </w:r>
      <w:r w:rsidRPr="00287D9C">
        <w:rPr>
          <w:b/>
          <w:bCs/>
          <w:sz w:val="22"/>
          <w:szCs w:val="22"/>
          <w:lang w:val="sr-Latn-ME"/>
        </w:rPr>
        <w:tab/>
        <w:t>KVALITATIVNI I KVANTITATIVNI SASTAV</w:t>
      </w:r>
    </w:p>
    <w:p w14:paraId="1B299C8A" w14:textId="77777777" w:rsidR="00FA4894" w:rsidRPr="00287D9C" w:rsidRDefault="00FA4894" w:rsidP="001A20AC">
      <w:pPr>
        <w:jc w:val="both"/>
        <w:rPr>
          <w:sz w:val="22"/>
          <w:szCs w:val="22"/>
          <w:lang w:val="sr-Latn-ME"/>
        </w:rPr>
      </w:pPr>
    </w:p>
    <w:p w14:paraId="26672CEE" w14:textId="078EACC5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Jedan ml rastvora sadrži 1,5 mg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hidrohlorida</w:t>
      </w:r>
      <w:proofErr w:type="spellEnd"/>
      <w:r w:rsidRPr="00287D9C">
        <w:rPr>
          <w:sz w:val="22"/>
          <w:szCs w:val="22"/>
          <w:lang w:val="sr-Latn-ME"/>
        </w:rPr>
        <w:t xml:space="preserve"> i 5 mg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  <w:r w:rsidRPr="00287D9C">
        <w:rPr>
          <w:sz w:val="22"/>
          <w:szCs w:val="22"/>
          <w:lang w:val="sr-Latn-ME"/>
        </w:rPr>
        <w:t xml:space="preserve"> hlorida.</w:t>
      </w:r>
    </w:p>
    <w:p w14:paraId="5F337549" w14:textId="55216113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Jedno raspršivanje sadrži 0,1 ml rastvora, što </w:t>
      </w:r>
      <w:r w:rsidR="001A20AC" w:rsidRPr="00287D9C">
        <w:rPr>
          <w:sz w:val="22"/>
          <w:szCs w:val="22"/>
          <w:lang w:val="sr-Latn-ME"/>
        </w:rPr>
        <w:t xml:space="preserve">odgovara </w:t>
      </w:r>
      <w:r w:rsidRPr="00287D9C">
        <w:rPr>
          <w:sz w:val="22"/>
          <w:szCs w:val="22"/>
          <w:lang w:val="sr-Latn-ME"/>
        </w:rPr>
        <w:t xml:space="preserve">0,15 mg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hidrohlorida</w:t>
      </w:r>
      <w:proofErr w:type="spellEnd"/>
      <w:r w:rsidRPr="00287D9C">
        <w:rPr>
          <w:sz w:val="22"/>
          <w:szCs w:val="22"/>
          <w:lang w:val="sr-Latn-ME"/>
        </w:rPr>
        <w:t xml:space="preserve"> i 0,5 mg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  <w:r w:rsidRPr="00287D9C">
        <w:rPr>
          <w:sz w:val="22"/>
          <w:szCs w:val="22"/>
          <w:lang w:val="sr-Latn-ME"/>
        </w:rPr>
        <w:t xml:space="preserve"> hlorida.</w:t>
      </w:r>
    </w:p>
    <w:p w14:paraId="54274EA8" w14:textId="77777777" w:rsidR="00FA4894" w:rsidRPr="00287D9C" w:rsidRDefault="00FA4894" w:rsidP="001A20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3015468" w14:textId="1EEFFFA3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287D9C">
        <w:rPr>
          <w:bCs/>
          <w:sz w:val="22"/>
          <w:szCs w:val="22"/>
          <w:u w:val="single"/>
          <w:lang w:val="sr-Latn-ME"/>
        </w:rPr>
        <w:t>Pomoćn</w:t>
      </w:r>
      <w:r w:rsidR="001A20AC" w:rsidRPr="00287D9C">
        <w:rPr>
          <w:bCs/>
          <w:sz w:val="22"/>
          <w:szCs w:val="22"/>
          <w:u w:val="single"/>
          <w:lang w:val="sr-Latn-ME"/>
        </w:rPr>
        <w:t>e</w:t>
      </w:r>
      <w:r w:rsidRPr="00287D9C">
        <w:rPr>
          <w:bCs/>
          <w:sz w:val="22"/>
          <w:szCs w:val="22"/>
          <w:u w:val="single"/>
          <w:lang w:val="sr-Latn-ME"/>
        </w:rPr>
        <w:t xml:space="preserve"> supstanc</w:t>
      </w:r>
      <w:r w:rsidR="001A20AC" w:rsidRPr="00287D9C">
        <w:rPr>
          <w:bCs/>
          <w:sz w:val="22"/>
          <w:szCs w:val="22"/>
          <w:u w:val="single"/>
          <w:lang w:val="sr-Latn-ME"/>
        </w:rPr>
        <w:t>e</w:t>
      </w:r>
      <w:r w:rsidRPr="00287D9C">
        <w:rPr>
          <w:bCs/>
          <w:sz w:val="22"/>
          <w:szCs w:val="22"/>
          <w:u w:val="single"/>
          <w:lang w:val="sr-Latn-ME"/>
        </w:rPr>
        <w:t xml:space="preserve"> sa potvrđenim dejstvom</w:t>
      </w:r>
      <w:r w:rsidRPr="00287D9C">
        <w:rPr>
          <w:bCs/>
          <w:sz w:val="22"/>
          <w:szCs w:val="22"/>
          <w:lang w:val="sr-Latn-ME"/>
        </w:rPr>
        <w:t>:</w:t>
      </w:r>
    </w:p>
    <w:p w14:paraId="2BC35D53" w14:textId="35526C0E" w:rsidR="00BB40ED" w:rsidRPr="00287D9C" w:rsidRDefault="001A20AC" w:rsidP="005048B7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Jedno raspršivanje sadrži </w:t>
      </w:r>
      <w:r w:rsidRPr="00287D9C">
        <w:rPr>
          <w:bCs/>
          <w:sz w:val="22"/>
          <w:szCs w:val="22"/>
          <w:lang w:val="sr-Latn-ME"/>
        </w:rPr>
        <w:t xml:space="preserve">26,76 mg </w:t>
      </w:r>
      <w:r w:rsidR="001742DD" w:rsidRPr="00287D9C">
        <w:rPr>
          <w:bCs/>
          <w:sz w:val="22"/>
          <w:szCs w:val="22"/>
          <w:lang w:val="sr-Latn-ME"/>
        </w:rPr>
        <w:t>etanol</w:t>
      </w:r>
      <w:r w:rsidRPr="00287D9C">
        <w:rPr>
          <w:bCs/>
          <w:sz w:val="22"/>
          <w:szCs w:val="22"/>
          <w:lang w:val="sr-Latn-ME"/>
        </w:rPr>
        <w:t>a i</w:t>
      </w:r>
      <w:r w:rsidR="001742DD" w:rsidRPr="00287D9C">
        <w:rPr>
          <w:bCs/>
          <w:sz w:val="22"/>
          <w:szCs w:val="22"/>
          <w:lang w:val="sr-Latn-ME"/>
        </w:rPr>
        <w:t xml:space="preserve"> </w:t>
      </w:r>
      <w:r w:rsidRPr="00287D9C">
        <w:rPr>
          <w:bCs/>
          <w:sz w:val="22"/>
          <w:szCs w:val="22"/>
          <w:lang w:val="sr-Latn-ME"/>
        </w:rPr>
        <w:t>0,25 mg</w:t>
      </w:r>
      <w:r w:rsidRPr="00287D9C" w:rsidDel="001A20AC">
        <w:rPr>
          <w:bCs/>
          <w:sz w:val="22"/>
          <w:szCs w:val="22"/>
          <w:lang w:val="sr-Latn-ME"/>
        </w:rPr>
        <w:t xml:space="preserve"> </w:t>
      </w:r>
      <w:proofErr w:type="spellStart"/>
      <w:r w:rsidRPr="00287D9C">
        <w:rPr>
          <w:bCs/>
          <w:sz w:val="22"/>
          <w:szCs w:val="22"/>
          <w:lang w:val="sr-Latn-ME"/>
        </w:rPr>
        <w:t>m</w:t>
      </w:r>
      <w:r w:rsidR="00BB40ED" w:rsidRPr="00287D9C">
        <w:rPr>
          <w:bCs/>
          <w:sz w:val="22"/>
          <w:szCs w:val="22"/>
          <w:lang w:val="sr-Latn-ME"/>
        </w:rPr>
        <w:t>akrogolglicerol</w:t>
      </w:r>
      <w:proofErr w:type="spellEnd"/>
      <w:r w:rsidR="00BB40ED" w:rsidRPr="00287D9C">
        <w:rPr>
          <w:bCs/>
          <w:sz w:val="22"/>
          <w:szCs w:val="22"/>
          <w:lang w:val="sr-Latn-ME"/>
        </w:rPr>
        <w:t xml:space="preserve"> </w:t>
      </w:r>
      <w:proofErr w:type="spellStart"/>
      <w:r w:rsidR="00BB40ED" w:rsidRPr="00287D9C">
        <w:rPr>
          <w:bCs/>
          <w:sz w:val="22"/>
          <w:szCs w:val="22"/>
          <w:lang w:val="sr-Latn-ME"/>
        </w:rPr>
        <w:t>hidroksistearat</w:t>
      </w:r>
      <w:r w:rsidRPr="00287D9C">
        <w:rPr>
          <w:bCs/>
          <w:sz w:val="22"/>
          <w:szCs w:val="22"/>
          <w:lang w:val="sr-Latn-ME"/>
        </w:rPr>
        <w:t>a</w:t>
      </w:r>
      <w:proofErr w:type="spellEnd"/>
      <w:r w:rsidRPr="00287D9C">
        <w:rPr>
          <w:bCs/>
          <w:sz w:val="22"/>
          <w:szCs w:val="22"/>
          <w:lang w:val="sr-Latn-ME"/>
        </w:rPr>
        <w:t>.</w:t>
      </w:r>
    </w:p>
    <w:p w14:paraId="00DFF40D" w14:textId="77777777" w:rsidR="00FA4894" w:rsidRPr="00287D9C" w:rsidRDefault="00FA4894" w:rsidP="001A20AC">
      <w:pPr>
        <w:jc w:val="both"/>
        <w:rPr>
          <w:sz w:val="22"/>
          <w:szCs w:val="22"/>
          <w:lang w:val="sr-Latn-ME"/>
        </w:rPr>
      </w:pPr>
    </w:p>
    <w:p w14:paraId="2AA2415C" w14:textId="77777777" w:rsidR="00FA4894" w:rsidRPr="00287D9C" w:rsidRDefault="001742DD" w:rsidP="001A20AC">
      <w:pPr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Za spisak svih </w:t>
      </w:r>
      <w:proofErr w:type="spellStart"/>
      <w:r w:rsidRPr="00287D9C">
        <w:rPr>
          <w:sz w:val="22"/>
          <w:szCs w:val="22"/>
          <w:lang w:val="sr-Latn-ME"/>
        </w:rPr>
        <w:t>ekscipijenasa</w:t>
      </w:r>
      <w:proofErr w:type="spellEnd"/>
      <w:r w:rsidRPr="00287D9C">
        <w:rPr>
          <w:sz w:val="22"/>
          <w:szCs w:val="22"/>
          <w:lang w:val="sr-Latn-ME"/>
        </w:rPr>
        <w:t>, pogledati dio 6.1.</w:t>
      </w:r>
    </w:p>
    <w:p w14:paraId="2DB22776" w14:textId="77777777" w:rsidR="00FA4894" w:rsidRPr="00287D9C" w:rsidRDefault="00FA4894" w:rsidP="001A20AC">
      <w:pPr>
        <w:jc w:val="both"/>
        <w:rPr>
          <w:sz w:val="22"/>
          <w:szCs w:val="22"/>
          <w:lang w:val="sr-Latn-ME"/>
        </w:rPr>
      </w:pPr>
    </w:p>
    <w:p w14:paraId="26A0B252" w14:textId="77777777" w:rsidR="00FA4894" w:rsidRPr="00287D9C" w:rsidRDefault="00FA4894" w:rsidP="001A20AC">
      <w:pPr>
        <w:jc w:val="both"/>
        <w:rPr>
          <w:sz w:val="22"/>
          <w:szCs w:val="22"/>
          <w:lang w:val="sr-Latn-ME"/>
        </w:rPr>
      </w:pPr>
    </w:p>
    <w:p w14:paraId="7DE5CAD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3. </w:t>
      </w:r>
      <w:r w:rsidRPr="00287D9C">
        <w:rPr>
          <w:b/>
          <w:bCs/>
          <w:sz w:val="22"/>
          <w:szCs w:val="22"/>
          <w:lang w:val="sr-Latn-ME"/>
        </w:rPr>
        <w:tab/>
        <w:t xml:space="preserve">FARMACEUTSKI OBLIK </w:t>
      </w:r>
    </w:p>
    <w:p w14:paraId="73A2A002" w14:textId="77777777" w:rsidR="00FA4894" w:rsidRPr="00287D9C" w:rsidRDefault="00FA4894" w:rsidP="001A20AC">
      <w:pPr>
        <w:jc w:val="both"/>
        <w:rPr>
          <w:bCs/>
          <w:sz w:val="22"/>
          <w:szCs w:val="22"/>
          <w:lang w:val="sr-Latn-ME"/>
        </w:rPr>
      </w:pPr>
    </w:p>
    <w:p w14:paraId="40E15A7F" w14:textId="360828C8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Sprej za usnu </w:t>
      </w:r>
      <w:proofErr w:type="spellStart"/>
      <w:r w:rsidRPr="00287D9C">
        <w:rPr>
          <w:sz w:val="22"/>
          <w:szCs w:val="22"/>
          <w:lang w:val="sr-Latn-ME"/>
        </w:rPr>
        <w:t>sluznicu</w:t>
      </w:r>
      <w:proofErr w:type="spellEnd"/>
      <w:r w:rsidRPr="00287D9C">
        <w:rPr>
          <w:sz w:val="22"/>
          <w:szCs w:val="22"/>
          <w:lang w:val="sr-Latn-ME"/>
        </w:rPr>
        <w:t>, rastvor</w:t>
      </w:r>
      <w:r w:rsidR="00E84B31" w:rsidRPr="00287D9C">
        <w:rPr>
          <w:sz w:val="22"/>
          <w:szCs w:val="22"/>
          <w:lang w:val="sr-Latn-ME"/>
        </w:rPr>
        <w:t>.</w:t>
      </w:r>
      <w:r w:rsidRPr="00287D9C">
        <w:rPr>
          <w:sz w:val="22"/>
          <w:szCs w:val="22"/>
          <w:lang w:val="sr-Latn-ME"/>
        </w:rPr>
        <w:t xml:space="preserve"> </w:t>
      </w:r>
    </w:p>
    <w:p w14:paraId="20599806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Bistra, bezbojna do žućkasta tečnost.</w:t>
      </w:r>
    </w:p>
    <w:p w14:paraId="2829E883" w14:textId="77777777" w:rsidR="00FA4894" w:rsidRPr="00287D9C" w:rsidRDefault="00FA4894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6AC9A442" w14:textId="77777777" w:rsidR="00FA4894" w:rsidRPr="00287D9C" w:rsidRDefault="00FA4894" w:rsidP="001A20AC">
      <w:pPr>
        <w:jc w:val="both"/>
        <w:rPr>
          <w:bCs/>
          <w:sz w:val="22"/>
          <w:szCs w:val="22"/>
          <w:lang w:val="sr-Latn-ME"/>
        </w:rPr>
      </w:pPr>
    </w:p>
    <w:p w14:paraId="54AF5A6E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 </w:t>
      </w:r>
      <w:r w:rsidRPr="00287D9C">
        <w:rPr>
          <w:b/>
          <w:bCs/>
          <w:sz w:val="22"/>
          <w:szCs w:val="22"/>
          <w:lang w:val="sr-Latn-ME"/>
        </w:rPr>
        <w:tab/>
        <w:t>KLINIČKI PODACI</w:t>
      </w:r>
    </w:p>
    <w:p w14:paraId="662D21DF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96823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4.1. </w:t>
      </w:r>
      <w:r w:rsidRPr="00287D9C">
        <w:rPr>
          <w:b/>
          <w:bCs/>
          <w:sz w:val="22"/>
          <w:szCs w:val="22"/>
          <w:lang w:val="sr-Latn-ME"/>
        </w:rPr>
        <w:tab/>
        <w:t>Terapijske indikacije</w:t>
      </w:r>
    </w:p>
    <w:p w14:paraId="089CF7C9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8DA913F" w14:textId="0DBDD60C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total, sprej za usnu </w:t>
      </w:r>
      <w:proofErr w:type="spellStart"/>
      <w:r w:rsidRPr="00287D9C">
        <w:rPr>
          <w:sz w:val="22"/>
          <w:szCs w:val="22"/>
          <w:lang w:val="sr-Latn-ME"/>
        </w:rPr>
        <w:t>sluznicu</w:t>
      </w:r>
      <w:proofErr w:type="spellEnd"/>
      <w:r w:rsidRPr="00287D9C">
        <w:rPr>
          <w:sz w:val="22"/>
          <w:szCs w:val="22"/>
          <w:lang w:val="sr-Latn-ME"/>
        </w:rPr>
        <w:t xml:space="preserve">, rastvor je </w:t>
      </w:r>
      <w:proofErr w:type="spellStart"/>
      <w:r w:rsidRPr="00287D9C">
        <w:rPr>
          <w:sz w:val="22"/>
          <w:szCs w:val="22"/>
          <w:lang w:val="sr-Latn-ME"/>
        </w:rPr>
        <w:t>indikovan</w:t>
      </w:r>
      <w:proofErr w:type="spellEnd"/>
      <w:r w:rsidRPr="00287D9C">
        <w:rPr>
          <w:sz w:val="22"/>
          <w:szCs w:val="22"/>
          <w:lang w:val="sr-Latn-ME"/>
        </w:rPr>
        <w:t xml:space="preserve"> za odrasle i djecu stariju od 6 godina za </w:t>
      </w:r>
      <w:proofErr w:type="spellStart"/>
      <w:r w:rsidRPr="00287D9C">
        <w:rPr>
          <w:sz w:val="22"/>
          <w:szCs w:val="22"/>
          <w:lang w:val="sr-Latn-ME"/>
        </w:rPr>
        <w:t>antiinflamatorno</w:t>
      </w:r>
      <w:proofErr w:type="spellEnd"/>
      <w:r w:rsidRPr="00287D9C">
        <w:rPr>
          <w:sz w:val="22"/>
          <w:szCs w:val="22"/>
          <w:lang w:val="sr-Latn-ME"/>
        </w:rPr>
        <w:t xml:space="preserve">, analgetičko i antiseptičko liječenje nadražaja u grlu, ustima i desnima, kod </w:t>
      </w:r>
      <w:proofErr w:type="spellStart"/>
      <w:r w:rsidRPr="00287D9C">
        <w:rPr>
          <w:sz w:val="22"/>
          <w:szCs w:val="22"/>
          <w:lang w:val="sr-Latn-ME"/>
        </w:rPr>
        <w:t>gingivitisa</w:t>
      </w:r>
      <w:proofErr w:type="spellEnd"/>
      <w:r w:rsidRPr="00287D9C">
        <w:rPr>
          <w:sz w:val="22"/>
          <w:szCs w:val="22"/>
          <w:lang w:val="sr-Latn-ME"/>
        </w:rPr>
        <w:t xml:space="preserve"> i </w:t>
      </w:r>
      <w:proofErr w:type="spellStart"/>
      <w:r w:rsidRPr="00287D9C">
        <w:rPr>
          <w:sz w:val="22"/>
          <w:szCs w:val="22"/>
          <w:lang w:val="sr-Latn-ME"/>
        </w:rPr>
        <w:t>faringitisa</w:t>
      </w:r>
      <w:proofErr w:type="spellEnd"/>
      <w:r w:rsidRPr="00287D9C">
        <w:rPr>
          <w:sz w:val="22"/>
          <w:szCs w:val="22"/>
          <w:lang w:val="sr-Latn-ME"/>
        </w:rPr>
        <w:t>, kao i prije i nakon ekstrakcije zuba.</w:t>
      </w:r>
    </w:p>
    <w:p w14:paraId="4402CC58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66171F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4.2. </w:t>
      </w:r>
      <w:r w:rsidRPr="00287D9C">
        <w:rPr>
          <w:b/>
          <w:bCs/>
          <w:sz w:val="22"/>
          <w:szCs w:val="22"/>
          <w:lang w:val="sr-Latn-ME"/>
        </w:rPr>
        <w:tab/>
        <w:t>Doziranje i način primjene</w:t>
      </w:r>
    </w:p>
    <w:p w14:paraId="7991E137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9FCD4" w14:textId="77777777" w:rsidR="00FA4894" w:rsidRPr="00287D9C" w:rsidRDefault="001742DD" w:rsidP="001A20AC">
      <w:pPr>
        <w:widowControl w:val="0"/>
        <w:jc w:val="both"/>
        <w:rPr>
          <w:iCs/>
          <w:sz w:val="22"/>
          <w:szCs w:val="22"/>
          <w:u w:val="single"/>
          <w:lang w:val="sr-Latn-ME"/>
        </w:rPr>
      </w:pPr>
      <w:r w:rsidRPr="00287D9C">
        <w:rPr>
          <w:iCs/>
          <w:sz w:val="22"/>
          <w:szCs w:val="22"/>
          <w:u w:val="single"/>
          <w:lang w:val="sr-Latn-ME"/>
        </w:rPr>
        <w:t>Doziranje</w:t>
      </w:r>
    </w:p>
    <w:p w14:paraId="1EE548FA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5D2D7151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b/>
          <w:sz w:val="22"/>
          <w:szCs w:val="22"/>
          <w:lang w:val="sr-Latn-ME"/>
        </w:rPr>
        <w:t>Odrasli:</w:t>
      </w:r>
      <w:r w:rsidRPr="00287D9C">
        <w:rPr>
          <w:sz w:val="22"/>
          <w:szCs w:val="22"/>
          <w:lang w:val="sr-Latn-ME"/>
        </w:rPr>
        <w:t xml:space="preserve"> Za jednu dozu, raspršivač treba pritisnuti jednom do dva puta. Ovo se može ponoviti na svaka 2 sata, 3-5 puta dnevno.</w:t>
      </w:r>
    </w:p>
    <w:p w14:paraId="336109BE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2CBF8548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Da bi se postiglo optimalno dejstvo, ne preporučuje se primjena ovog lijeka neposredno prije ili poslije pranja zuba.</w:t>
      </w:r>
    </w:p>
    <w:p w14:paraId="4A68EB08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Navedena doza se ne smije prekoračiti.</w:t>
      </w:r>
    </w:p>
    <w:p w14:paraId="360D5D83" w14:textId="77777777" w:rsidR="00FA4894" w:rsidRPr="00287D9C" w:rsidRDefault="006506D3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Lijek </w:t>
      </w:r>
      <w:proofErr w:type="spellStart"/>
      <w:r w:rsidR="001742DD" w:rsidRPr="00287D9C">
        <w:rPr>
          <w:sz w:val="22"/>
          <w:szCs w:val="22"/>
          <w:lang w:val="sr-Latn-ME"/>
        </w:rPr>
        <w:t>Septolete</w:t>
      </w:r>
      <w:proofErr w:type="spellEnd"/>
      <w:r w:rsidR="001742DD" w:rsidRPr="00287D9C">
        <w:rPr>
          <w:sz w:val="22"/>
          <w:szCs w:val="22"/>
          <w:lang w:val="sr-Latn-ME"/>
        </w:rPr>
        <w:t xml:space="preserve"> total se može primjenjivati do 7 dana.</w:t>
      </w:r>
    </w:p>
    <w:p w14:paraId="39C928A2" w14:textId="77777777" w:rsidR="006506D3" w:rsidRPr="00287D9C" w:rsidRDefault="006506D3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7528919C" w14:textId="77777777" w:rsidR="00FA4894" w:rsidRPr="00287D9C" w:rsidRDefault="001742DD" w:rsidP="001A20AC">
      <w:pPr>
        <w:widowControl w:val="0"/>
        <w:jc w:val="both"/>
        <w:rPr>
          <w:b/>
          <w:iCs/>
          <w:sz w:val="22"/>
          <w:szCs w:val="22"/>
          <w:lang w:val="sr-Latn-ME"/>
        </w:rPr>
      </w:pPr>
      <w:r w:rsidRPr="00287D9C">
        <w:rPr>
          <w:b/>
          <w:iCs/>
          <w:sz w:val="22"/>
          <w:szCs w:val="22"/>
          <w:lang w:val="sr-Latn-ME"/>
        </w:rPr>
        <w:t>Stariji pacijenti</w:t>
      </w:r>
    </w:p>
    <w:p w14:paraId="7BA346AB" w14:textId="3C95FF58" w:rsidR="00FA4894" w:rsidRPr="00287D9C" w:rsidRDefault="001742DD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>Preporučena doza ista je kao i za odrasle.</w:t>
      </w:r>
    </w:p>
    <w:p w14:paraId="41DB1059" w14:textId="77777777" w:rsidR="00FA4894" w:rsidRPr="00287D9C" w:rsidRDefault="001742DD" w:rsidP="001A20AC">
      <w:pPr>
        <w:widowControl w:val="0"/>
        <w:jc w:val="both"/>
        <w:rPr>
          <w:i/>
          <w:iCs/>
          <w:sz w:val="22"/>
          <w:szCs w:val="22"/>
          <w:lang w:val="sr-Latn-ME"/>
        </w:rPr>
      </w:pPr>
      <w:r w:rsidRPr="00287D9C">
        <w:rPr>
          <w:i/>
          <w:iCs/>
          <w:sz w:val="22"/>
          <w:szCs w:val="22"/>
          <w:lang w:val="sr-Latn-ME"/>
        </w:rPr>
        <w:t>Pedijatrijska populacija</w:t>
      </w:r>
    </w:p>
    <w:p w14:paraId="0C0EF47C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34C5FDD5" w14:textId="46C9555D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b/>
          <w:sz w:val="22"/>
          <w:szCs w:val="22"/>
          <w:lang w:val="sr-Latn-ME"/>
        </w:rPr>
        <w:t xml:space="preserve">Adolescenti stariji od 12 godina: </w:t>
      </w:r>
      <w:r w:rsidRPr="00287D9C">
        <w:rPr>
          <w:sz w:val="22"/>
          <w:szCs w:val="22"/>
          <w:lang w:val="sr-Latn-ME"/>
        </w:rPr>
        <w:t>Za jednu dozu, raspršivač treba pritisnuti jednom do dva puta. Ovo se može ponoviti svaka 2 sata, 3-5 puta dnevno.</w:t>
      </w:r>
    </w:p>
    <w:p w14:paraId="4709EB82" w14:textId="77777777" w:rsidR="00244D65" w:rsidRPr="00287D9C" w:rsidRDefault="00244D65" w:rsidP="001A20AC">
      <w:pPr>
        <w:widowControl w:val="0"/>
        <w:jc w:val="both"/>
        <w:rPr>
          <w:b/>
          <w:sz w:val="22"/>
          <w:szCs w:val="22"/>
          <w:lang w:val="sr-Latn-ME"/>
        </w:rPr>
      </w:pPr>
    </w:p>
    <w:p w14:paraId="2AA7A47B" w14:textId="13809612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b/>
          <w:sz w:val="22"/>
          <w:szCs w:val="22"/>
          <w:lang w:val="sr-Latn-ME"/>
        </w:rPr>
        <w:t xml:space="preserve">Djeca uzrasta od 6 do 12 godina: </w:t>
      </w:r>
      <w:r w:rsidRPr="00287D9C">
        <w:rPr>
          <w:sz w:val="22"/>
          <w:szCs w:val="22"/>
          <w:lang w:val="sr-Latn-ME"/>
        </w:rPr>
        <w:t>Za jednu dozu, raspršivač treba pritisnuti jednom. Ovo se može ponoviti svaka 2 sata, 3-5 puta dnevno.</w:t>
      </w:r>
    </w:p>
    <w:p w14:paraId="7C5DBCD3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3321E90F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 sprej je kontraindikovan kod djece mlađe od 6 godina.</w:t>
      </w:r>
    </w:p>
    <w:p w14:paraId="36F6A869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2FA79452" w14:textId="77777777" w:rsidR="00FA4894" w:rsidRPr="00287D9C" w:rsidRDefault="001742DD" w:rsidP="001A20AC">
      <w:pPr>
        <w:widowControl w:val="0"/>
        <w:jc w:val="both"/>
        <w:rPr>
          <w:b/>
          <w:sz w:val="22"/>
          <w:szCs w:val="22"/>
          <w:lang w:val="sr-Latn-ME"/>
        </w:rPr>
      </w:pPr>
      <w:r w:rsidRPr="00287D9C">
        <w:rPr>
          <w:b/>
          <w:sz w:val="22"/>
          <w:szCs w:val="22"/>
          <w:lang w:val="sr-Latn-ME"/>
        </w:rPr>
        <w:t>Način primjene</w:t>
      </w:r>
    </w:p>
    <w:p w14:paraId="4AF1CEE7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Prije prve primjene </w:t>
      </w: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 spreja za usnu </w:t>
      </w:r>
      <w:proofErr w:type="spellStart"/>
      <w:r w:rsidRPr="00287D9C">
        <w:rPr>
          <w:sz w:val="22"/>
          <w:szCs w:val="22"/>
          <w:lang w:val="sr-Latn-ME"/>
        </w:rPr>
        <w:t>sluznicu</w:t>
      </w:r>
      <w:proofErr w:type="spellEnd"/>
      <w:r w:rsidRPr="00287D9C">
        <w:rPr>
          <w:sz w:val="22"/>
          <w:szCs w:val="22"/>
          <w:lang w:val="sr-Latn-ME"/>
        </w:rPr>
        <w:t>, pritisnite sprej nekoliko puta da biste postigli ravnomjerno raspršivanje. Ako sprej ni</w:t>
      </w:r>
      <w:r w:rsidR="00C84B22" w:rsidRPr="00287D9C">
        <w:rPr>
          <w:sz w:val="22"/>
          <w:szCs w:val="22"/>
          <w:lang w:val="sr-Latn-ME"/>
        </w:rPr>
        <w:t>je</w:t>
      </w:r>
      <w:r w:rsidRPr="00287D9C">
        <w:rPr>
          <w:sz w:val="22"/>
          <w:szCs w:val="22"/>
          <w:lang w:val="sr-Latn-ME"/>
        </w:rPr>
        <w:t xml:space="preserve">ste koristili tokom dužeg perioda (npr. najmanje nedjelju dana), pritisnite raspršivač jednom da biste postigli ravnomjerno raspršivanje. </w:t>
      </w:r>
    </w:p>
    <w:p w14:paraId="399B47D7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05"/>
        <w:gridCol w:w="3005"/>
      </w:tblGrid>
      <w:tr w:rsidR="00FA4894" w:rsidRPr="00287D9C" w14:paraId="62056201" w14:textId="77777777">
        <w:tc>
          <w:tcPr>
            <w:tcW w:w="3005" w:type="dxa"/>
            <w:hideMark/>
          </w:tcPr>
          <w:p w14:paraId="151FC75E" w14:textId="77777777" w:rsidR="00FA4894" w:rsidRPr="00287D9C" w:rsidRDefault="00386C7A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noProof/>
                <w:sz w:val="22"/>
                <w:szCs w:val="22"/>
                <w:lang w:val="sr-Latn-ME"/>
              </w:rPr>
              <w:drawing>
                <wp:inline distT="0" distB="0" distL="0" distR="0" wp14:anchorId="764DAF3E" wp14:editId="1D48CF91">
                  <wp:extent cx="1285875" cy="12573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F3026D4" w14:textId="77777777" w:rsidR="00FA4894" w:rsidRPr="00287D9C" w:rsidRDefault="00FA4894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754E905E" w14:textId="77777777" w:rsidR="00FA4894" w:rsidRPr="00287D9C" w:rsidRDefault="001742DD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Prije upotrebe, uklonite plastični čep.</w:t>
            </w:r>
          </w:p>
        </w:tc>
      </w:tr>
    </w:tbl>
    <w:p w14:paraId="038DA3F2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05"/>
        <w:gridCol w:w="3005"/>
      </w:tblGrid>
      <w:tr w:rsidR="00FA4894" w:rsidRPr="00287D9C" w14:paraId="1E2A5CFE" w14:textId="77777777">
        <w:tc>
          <w:tcPr>
            <w:tcW w:w="3005" w:type="dxa"/>
          </w:tcPr>
          <w:p w14:paraId="6BD73DBF" w14:textId="77777777" w:rsidR="00FA4894" w:rsidRPr="00287D9C" w:rsidRDefault="00386C7A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noProof/>
                <w:sz w:val="22"/>
                <w:szCs w:val="22"/>
                <w:lang w:val="sr-Latn-ME"/>
              </w:rPr>
              <w:drawing>
                <wp:inline distT="0" distB="0" distL="0" distR="0" wp14:anchorId="0D4FB2D7" wp14:editId="458C8852">
                  <wp:extent cx="1285875" cy="1247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B68C97D" w14:textId="77777777" w:rsidR="00FA4894" w:rsidRPr="00287D9C" w:rsidRDefault="00FA4894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</w:p>
          <w:p w14:paraId="3E06990D" w14:textId="77777777" w:rsidR="00FA4894" w:rsidRPr="00287D9C" w:rsidRDefault="001742DD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Širom otvorite usta, usmjerite prskalicu spreja prema svom grlu i pritisnite raspršivač 1-2 puta. Zadržite dah tokom prskanja.</w:t>
            </w:r>
          </w:p>
        </w:tc>
      </w:tr>
    </w:tbl>
    <w:p w14:paraId="5A3E4ADF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22CB3B9C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Nakon svake primjene, vratite plastični čep na raspršivač.</w:t>
      </w:r>
    </w:p>
    <w:p w14:paraId="69BA870B" w14:textId="7211565F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Kada se raspršivač pritisne jednom, otpušta se 0,1 ml rastvora koji sadrži 0,15 mg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hidrohlorida</w:t>
      </w:r>
      <w:proofErr w:type="spellEnd"/>
      <w:r w:rsidRPr="00287D9C">
        <w:rPr>
          <w:sz w:val="22"/>
          <w:szCs w:val="22"/>
          <w:lang w:val="sr-Latn-ME"/>
        </w:rPr>
        <w:t xml:space="preserve"> i 0,5 mg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  <w:r w:rsidRPr="00287D9C">
        <w:rPr>
          <w:sz w:val="22"/>
          <w:szCs w:val="22"/>
          <w:lang w:val="sr-Latn-ME"/>
        </w:rPr>
        <w:t xml:space="preserve"> hlorida.</w:t>
      </w:r>
    </w:p>
    <w:p w14:paraId="33DB93C1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C01607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4.3. </w:t>
      </w:r>
      <w:r w:rsidRPr="00287D9C">
        <w:rPr>
          <w:b/>
          <w:bCs/>
          <w:sz w:val="22"/>
          <w:szCs w:val="22"/>
          <w:lang w:val="sr-Latn-ME"/>
        </w:rPr>
        <w:tab/>
      </w:r>
      <w:proofErr w:type="spellStart"/>
      <w:r w:rsidRPr="00287D9C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919C5E3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C969E8" w14:textId="34DCA3CF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Preosjetljivost na aktivne supstance ili neku od pomoćnih supstanci navedenih u </w:t>
      </w:r>
      <w:r w:rsidR="00C84B22" w:rsidRPr="00287D9C">
        <w:rPr>
          <w:sz w:val="22"/>
          <w:szCs w:val="22"/>
          <w:lang w:val="sr-Latn-ME"/>
        </w:rPr>
        <w:t xml:space="preserve">dijelu </w:t>
      </w:r>
      <w:r w:rsidRPr="00287D9C">
        <w:rPr>
          <w:sz w:val="22"/>
          <w:szCs w:val="22"/>
          <w:lang w:val="sr-Latn-ME"/>
        </w:rPr>
        <w:t>6.1. Upotreba kod djece mlađe od 6 godina je kontraindikovana, budući da ovaj farmaceutski oblik nije pogodan za primjenu u ovoj starosnoj grupi.</w:t>
      </w:r>
    </w:p>
    <w:p w14:paraId="35F0DE52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8DBEFC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4.4. </w:t>
      </w:r>
      <w:r w:rsidRPr="00287D9C">
        <w:rPr>
          <w:b/>
          <w:bCs/>
          <w:sz w:val="22"/>
          <w:szCs w:val="22"/>
          <w:lang w:val="sr-Latn-ME"/>
        </w:rPr>
        <w:tab/>
        <w:t>Posebna upozorenja i mjere opreza pri upotrebi lijeka</w:t>
      </w:r>
    </w:p>
    <w:p w14:paraId="7CE4C985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13FCCF" w14:textId="77777777" w:rsidR="00FA4894" w:rsidRPr="00287D9C" w:rsidRDefault="001742DD" w:rsidP="001A20AC">
      <w:pPr>
        <w:widowControl w:val="0"/>
        <w:jc w:val="both"/>
        <w:rPr>
          <w:iCs/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 sprej se ne smije primjenjivati duže od</w:t>
      </w:r>
      <w:r w:rsidRPr="00287D9C">
        <w:rPr>
          <w:iCs/>
          <w:sz w:val="22"/>
          <w:szCs w:val="22"/>
          <w:lang w:val="sr-Latn-ME"/>
        </w:rPr>
        <w:t xml:space="preserve"> 7 dana. Ako nema primjetnih rezultata nakon 3 dana, potrebno je obratiti se ljekaru.</w:t>
      </w:r>
    </w:p>
    <w:p w14:paraId="49D67707" w14:textId="77777777" w:rsidR="00FA4894" w:rsidRPr="00287D9C" w:rsidRDefault="001742DD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Primjena lokalnih preparata, naročito tokom dugog vremenskog perioda, može dovesti do preosjetljivosti. U tom slučaju, liječenje treba obustaviti i uvesti odgovarajuću terapiju. </w:t>
      </w:r>
    </w:p>
    <w:p w14:paraId="43A11BB0" w14:textId="3527159D" w:rsidR="00FA4894" w:rsidRPr="00287D9C" w:rsidRDefault="001742DD" w:rsidP="001A20AC">
      <w:pPr>
        <w:widowControl w:val="0"/>
        <w:tabs>
          <w:tab w:val="left" w:pos="567"/>
        </w:tabs>
        <w:jc w:val="both"/>
        <w:rPr>
          <w:iCs/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 sprej se </w:t>
      </w:r>
      <w:r w:rsidRPr="00287D9C">
        <w:rPr>
          <w:iCs/>
          <w:sz w:val="22"/>
          <w:szCs w:val="22"/>
          <w:lang w:val="sr-Latn-ME"/>
        </w:rPr>
        <w:t xml:space="preserve">ne smije koristiti u kombinaciji sa </w:t>
      </w:r>
      <w:proofErr w:type="spellStart"/>
      <w:r w:rsidRPr="00287D9C">
        <w:rPr>
          <w:iCs/>
          <w:sz w:val="22"/>
          <w:szCs w:val="22"/>
          <w:lang w:val="sr-Latn-ME"/>
        </w:rPr>
        <w:t>anjonskim</w:t>
      </w:r>
      <w:proofErr w:type="spellEnd"/>
      <w:r w:rsidRPr="00287D9C">
        <w:rPr>
          <w:iCs/>
          <w:sz w:val="22"/>
          <w:szCs w:val="22"/>
          <w:lang w:val="sr-Latn-ME"/>
        </w:rPr>
        <w:t xml:space="preserve"> jedinjen</w:t>
      </w:r>
      <w:r w:rsidR="00E84B31" w:rsidRPr="00287D9C">
        <w:rPr>
          <w:iCs/>
          <w:sz w:val="22"/>
          <w:szCs w:val="22"/>
          <w:lang w:val="sr-Latn-ME"/>
        </w:rPr>
        <w:t>j</w:t>
      </w:r>
      <w:r w:rsidRPr="00287D9C">
        <w:rPr>
          <w:iCs/>
          <w:sz w:val="22"/>
          <w:szCs w:val="22"/>
          <w:lang w:val="sr-Latn-ME"/>
        </w:rPr>
        <w:t>ima, poput onih koji se nalaze u zubnim pastama. Zbog toga se ne preporučuje primjena ovog lijeka neposredno prije ili poslije pranja zuba.</w:t>
      </w:r>
    </w:p>
    <w:p w14:paraId="16B0081B" w14:textId="03E49DAE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Treba izbjegavati direktan kontakt </w:t>
      </w: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</w:t>
      </w:r>
      <w:r w:rsidR="009B7324" w:rsidRPr="00287D9C">
        <w:rPr>
          <w:sz w:val="22"/>
          <w:szCs w:val="22"/>
          <w:lang w:val="sr-Latn-ME"/>
        </w:rPr>
        <w:t xml:space="preserve">, spreja za usnu </w:t>
      </w:r>
      <w:proofErr w:type="spellStart"/>
      <w:r w:rsidR="009B7324" w:rsidRPr="00287D9C">
        <w:rPr>
          <w:sz w:val="22"/>
          <w:szCs w:val="22"/>
          <w:lang w:val="sr-Latn-ME"/>
        </w:rPr>
        <w:t>sluznicu</w:t>
      </w:r>
      <w:proofErr w:type="spellEnd"/>
      <w:r w:rsidRPr="00287D9C">
        <w:rPr>
          <w:sz w:val="22"/>
          <w:szCs w:val="22"/>
          <w:lang w:val="sr-Latn-ME"/>
        </w:rPr>
        <w:t xml:space="preserve"> sa očima.</w:t>
      </w:r>
    </w:p>
    <w:p w14:paraId="7A33AD20" w14:textId="77777777" w:rsidR="00FA4894" w:rsidRPr="00287D9C" w:rsidRDefault="001742DD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Lijek se ne smije inhalirati.</w:t>
      </w:r>
    </w:p>
    <w:p w14:paraId="2B85A31B" w14:textId="77777777" w:rsidR="00FA4894" w:rsidRPr="00287D9C" w:rsidRDefault="00FA4894" w:rsidP="001A20AC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40CF0DAA" w14:textId="77777777" w:rsidR="00FA4894" w:rsidRPr="00287D9C" w:rsidRDefault="001742DD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>Ovaj lijek sadrži malu količinu etanola (alkohola), manje od 100 mg po dozi.</w:t>
      </w:r>
      <w:r w:rsidR="00C84B22" w:rsidRPr="00287D9C">
        <w:rPr>
          <w:iCs/>
          <w:sz w:val="22"/>
          <w:szCs w:val="22"/>
          <w:lang w:val="sr-Latn-ME"/>
        </w:rPr>
        <w:t xml:space="preserve"> Ta mala količina neće i</w:t>
      </w:r>
      <w:r w:rsidR="00BE143D" w:rsidRPr="00287D9C">
        <w:rPr>
          <w:iCs/>
          <w:sz w:val="22"/>
          <w:szCs w:val="22"/>
          <w:lang w:val="sr-Latn-ME"/>
        </w:rPr>
        <w:t>zazvati</w:t>
      </w:r>
      <w:r w:rsidR="00C84B22" w:rsidRPr="00287D9C">
        <w:rPr>
          <w:iCs/>
          <w:sz w:val="22"/>
          <w:szCs w:val="22"/>
          <w:lang w:val="sr-Latn-ME"/>
        </w:rPr>
        <w:t xml:space="preserve"> nikakve primjetne efekte. </w:t>
      </w:r>
    </w:p>
    <w:p w14:paraId="624BF7D7" w14:textId="77777777" w:rsidR="00C84B22" w:rsidRPr="00287D9C" w:rsidRDefault="00C84B22" w:rsidP="001A20AC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176FDF14" w14:textId="77777777" w:rsidR="00BE143D" w:rsidRPr="00287D9C" w:rsidRDefault="00C84B22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lastRenderedPageBreak/>
        <w:t xml:space="preserve">Ovaj lijek sadrži </w:t>
      </w:r>
      <w:proofErr w:type="spellStart"/>
      <w:r w:rsidRPr="00287D9C">
        <w:rPr>
          <w:iCs/>
          <w:sz w:val="22"/>
          <w:szCs w:val="22"/>
          <w:lang w:val="sr-Latn-ME"/>
        </w:rPr>
        <w:t>makrog</w:t>
      </w:r>
      <w:r w:rsidR="00BE143D" w:rsidRPr="00287D9C">
        <w:rPr>
          <w:iCs/>
          <w:sz w:val="22"/>
          <w:szCs w:val="22"/>
          <w:lang w:val="sr-Latn-ME"/>
        </w:rPr>
        <w:t>olglicerol</w:t>
      </w:r>
      <w:proofErr w:type="spellEnd"/>
      <w:r w:rsidR="00BE143D" w:rsidRPr="00287D9C">
        <w:rPr>
          <w:iCs/>
          <w:sz w:val="22"/>
          <w:szCs w:val="22"/>
          <w:lang w:val="sr-Latn-ME"/>
        </w:rPr>
        <w:t xml:space="preserve"> </w:t>
      </w:r>
      <w:proofErr w:type="spellStart"/>
      <w:r w:rsidR="00BE143D" w:rsidRPr="00287D9C">
        <w:rPr>
          <w:iCs/>
          <w:sz w:val="22"/>
          <w:szCs w:val="22"/>
          <w:lang w:val="sr-Latn-ME"/>
        </w:rPr>
        <w:t>hidroksistearat</w:t>
      </w:r>
      <w:proofErr w:type="spellEnd"/>
      <w:r w:rsidR="00BE143D" w:rsidRPr="00287D9C">
        <w:rPr>
          <w:iCs/>
          <w:sz w:val="22"/>
          <w:szCs w:val="22"/>
          <w:lang w:val="sr-Latn-ME"/>
        </w:rPr>
        <w:t xml:space="preserve">, koji može izazvati poremećaj stomaka i dijareju. </w:t>
      </w:r>
    </w:p>
    <w:p w14:paraId="39CDD24A" w14:textId="77777777" w:rsidR="00BE143D" w:rsidRPr="00287D9C" w:rsidRDefault="00BE143D" w:rsidP="001A20AC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28093A6D" w14:textId="77777777" w:rsidR="00C84B22" w:rsidRPr="00287D9C" w:rsidRDefault="00BE143D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Ovaj lijek sadrži manje od 1 </w:t>
      </w:r>
      <w:proofErr w:type="spellStart"/>
      <w:r w:rsidRPr="00287D9C">
        <w:rPr>
          <w:iCs/>
          <w:sz w:val="22"/>
          <w:szCs w:val="22"/>
          <w:lang w:val="sr-Latn-ME"/>
        </w:rPr>
        <w:t>mmol</w:t>
      </w:r>
      <w:proofErr w:type="spellEnd"/>
      <w:r w:rsidRPr="00287D9C">
        <w:rPr>
          <w:iCs/>
          <w:sz w:val="22"/>
          <w:szCs w:val="22"/>
          <w:lang w:val="sr-Latn-ME"/>
        </w:rPr>
        <w:t xml:space="preserve"> natrijuma (23 mg) po dozi, odnosno suštinski je ,,bez natrijuma''. </w:t>
      </w:r>
      <w:r w:rsidR="00C84B22" w:rsidRPr="00287D9C">
        <w:rPr>
          <w:iCs/>
          <w:sz w:val="22"/>
          <w:szCs w:val="22"/>
          <w:lang w:val="sr-Latn-ME"/>
        </w:rPr>
        <w:t xml:space="preserve"> </w:t>
      </w:r>
    </w:p>
    <w:p w14:paraId="05131D66" w14:textId="77777777" w:rsidR="00C84B22" w:rsidRPr="00287D9C" w:rsidRDefault="00C84B22" w:rsidP="001A20AC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495B959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>4.5.</w:t>
      </w:r>
      <w:r w:rsidRPr="00287D9C">
        <w:rPr>
          <w:b/>
          <w:bCs/>
          <w:sz w:val="22"/>
          <w:szCs w:val="22"/>
          <w:lang w:val="sr-Latn-ME"/>
        </w:rPr>
        <w:tab/>
        <w:t>Interakcije sa drugim ljekovima i druge vrste interakcija</w:t>
      </w:r>
    </w:p>
    <w:p w14:paraId="5985A867" w14:textId="77777777" w:rsidR="00FA4894" w:rsidRPr="00287D9C" w:rsidRDefault="00FA4894" w:rsidP="001A20AC">
      <w:pPr>
        <w:widowControl w:val="0"/>
        <w:jc w:val="both"/>
        <w:rPr>
          <w:sz w:val="22"/>
          <w:szCs w:val="22"/>
          <w:lang w:val="sr-Latn-ME"/>
        </w:rPr>
      </w:pPr>
    </w:p>
    <w:p w14:paraId="779A5141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</w:t>
      </w:r>
      <w:r w:rsidR="00BE143D" w:rsidRPr="00287D9C">
        <w:rPr>
          <w:sz w:val="22"/>
          <w:szCs w:val="22"/>
          <w:lang w:val="sr-Latn-ME"/>
        </w:rPr>
        <w:t xml:space="preserve"> sprej</w:t>
      </w:r>
      <w:r w:rsidRPr="00287D9C">
        <w:rPr>
          <w:sz w:val="22"/>
          <w:szCs w:val="22"/>
          <w:lang w:val="sr-Latn-ME"/>
        </w:rPr>
        <w:t xml:space="preserve"> ne treba upotrebljavati istovremeno sa drugim antisepticima.</w:t>
      </w:r>
    </w:p>
    <w:p w14:paraId="762C22A5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3A13D9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4.6. </w:t>
      </w:r>
      <w:r w:rsidRPr="00287D9C">
        <w:rPr>
          <w:b/>
          <w:bCs/>
          <w:sz w:val="22"/>
          <w:szCs w:val="22"/>
          <w:lang w:val="sr-Latn-ME"/>
        </w:rPr>
        <w:tab/>
      </w:r>
      <w:r w:rsidRPr="00287D9C">
        <w:rPr>
          <w:b/>
          <w:sz w:val="22"/>
          <w:szCs w:val="22"/>
          <w:lang w:val="sr-Latn-ME"/>
        </w:rPr>
        <w:t>Plodnost, trudnoća i dojenje</w:t>
      </w:r>
    </w:p>
    <w:p w14:paraId="4D1821B4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1D1E73C" w14:textId="77777777" w:rsidR="00FA4894" w:rsidRPr="00287D9C" w:rsidRDefault="001742DD" w:rsidP="001A20AC">
      <w:pPr>
        <w:widowControl w:val="0"/>
        <w:jc w:val="both"/>
        <w:outlineLvl w:val="0"/>
        <w:rPr>
          <w:sz w:val="22"/>
          <w:szCs w:val="22"/>
          <w:u w:val="single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Trudnoća</w:t>
      </w:r>
    </w:p>
    <w:p w14:paraId="5CA0B167" w14:textId="77777777" w:rsidR="00FA4894" w:rsidRPr="00287D9C" w:rsidRDefault="001742DD" w:rsidP="001A20AC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287D9C">
        <w:rPr>
          <w:sz w:val="22"/>
          <w:szCs w:val="22"/>
          <w:lang w:val="sr-Latn-ME" w:eastAsia="hr-HR"/>
        </w:rPr>
        <w:t xml:space="preserve">Ne postoje ili su ograničeni podaci o primjeni </w:t>
      </w:r>
      <w:proofErr w:type="spellStart"/>
      <w:r w:rsidRPr="00287D9C">
        <w:rPr>
          <w:sz w:val="22"/>
          <w:szCs w:val="22"/>
          <w:lang w:val="sr-Latn-ME" w:eastAsia="hr-HR"/>
        </w:rPr>
        <w:t>benzidamin</w:t>
      </w:r>
      <w:proofErr w:type="spellEnd"/>
      <w:r w:rsidRPr="00287D9C">
        <w:rPr>
          <w:sz w:val="22"/>
          <w:szCs w:val="22"/>
          <w:lang w:val="sr-Latn-ME" w:eastAsia="hr-HR"/>
        </w:rPr>
        <w:t xml:space="preserve"> </w:t>
      </w:r>
      <w:proofErr w:type="spellStart"/>
      <w:r w:rsidRPr="00287D9C">
        <w:rPr>
          <w:sz w:val="22"/>
          <w:szCs w:val="22"/>
          <w:lang w:val="sr-Latn-ME" w:eastAsia="hr-HR"/>
        </w:rPr>
        <w:t>hidrohlorida</w:t>
      </w:r>
      <w:proofErr w:type="spellEnd"/>
      <w:r w:rsidRPr="00287D9C">
        <w:rPr>
          <w:sz w:val="22"/>
          <w:szCs w:val="22"/>
          <w:lang w:val="sr-Latn-ME" w:eastAsia="hr-HR"/>
        </w:rPr>
        <w:t xml:space="preserve"> i </w:t>
      </w:r>
      <w:proofErr w:type="spellStart"/>
      <w:r w:rsidRPr="00287D9C">
        <w:rPr>
          <w:sz w:val="22"/>
          <w:szCs w:val="22"/>
          <w:lang w:val="sr-Latn-ME" w:eastAsia="hr-HR"/>
        </w:rPr>
        <w:t>cetilpiridinijum</w:t>
      </w:r>
      <w:proofErr w:type="spellEnd"/>
      <w:r w:rsidRPr="00287D9C">
        <w:rPr>
          <w:sz w:val="22"/>
          <w:szCs w:val="22"/>
          <w:lang w:val="sr-Latn-ME" w:eastAsia="hr-HR"/>
        </w:rPr>
        <w:t xml:space="preserve"> hlorida kod trudnica. Ne preporučuje se primjena </w:t>
      </w:r>
      <w:proofErr w:type="spellStart"/>
      <w:r w:rsidRPr="00287D9C">
        <w:rPr>
          <w:sz w:val="22"/>
          <w:szCs w:val="22"/>
          <w:lang w:val="sr-Latn-ME" w:eastAsia="hr-HR"/>
        </w:rPr>
        <w:t>Septolete</w:t>
      </w:r>
      <w:proofErr w:type="spellEnd"/>
      <w:r w:rsidRPr="00287D9C">
        <w:rPr>
          <w:sz w:val="22"/>
          <w:szCs w:val="22"/>
          <w:lang w:val="sr-Latn-ME" w:eastAsia="hr-HR"/>
        </w:rPr>
        <w:t xml:space="preserve"> total spreja tokom trudnoće.</w:t>
      </w:r>
    </w:p>
    <w:p w14:paraId="1BC296A2" w14:textId="77777777" w:rsidR="00FA4894" w:rsidRPr="00287D9C" w:rsidRDefault="00FA4894" w:rsidP="001A20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13199301" w14:textId="77777777" w:rsidR="00FA4894" w:rsidRPr="00287D9C" w:rsidRDefault="001742DD" w:rsidP="001A20AC">
      <w:pPr>
        <w:widowControl w:val="0"/>
        <w:jc w:val="both"/>
        <w:outlineLvl w:val="0"/>
        <w:rPr>
          <w:sz w:val="22"/>
          <w:szCs w:val="22"/>
          <w:u w:val="single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Dojenje</w:t>
      </w:r>
    </w:p>
    <w:p w14:paraId="57295225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 w:eastAsia="hr-HR"/>
        </w:rPr>
      </w:pPr>
      <w:r w:rsidRPr="00287D9C">
        <w:rPr>
          <w:sz w:val="22"/>
          <w:szCs w:val="22"/>
          <w:lang w:val="sr-Latn-ME"/>
        </w:rPr>
        <w:t xml:space="preserve">Nije poznato izlučuju li se </w:t>
      </w:r>
      <w:proofErr w:type="spellStart"/>
      <w:r w:rsidRPr="00287D9C">
        <w:rPr>
          <w:sz w:val="22"/>
          <w:szCs w:val="22"/>
          <w:lang w:val="sr-Latn-ME" w:eastAsia="hr-HR"/>
        </w:rPr>
        <w:t>benzidamin</w:t>
      </w:r>
      <w:proofErr w:type="spellEnd"/>
      <w:r w:rsidRPr="00287D9C">
        <w:rPr>
          <w:sz w:val="22"/>
          <w:szCs w:val="22"/>
          <w:lang w:val="sr-Latn-ME" w:eastAsia="hr-HR"/>
        </w:rPr>
        <w:t xml:space="preserve"> </w:t>
      </w:r>
      <w:proofErr w:type="spellStart"/>
      <w:r w:rsidRPr="00287D9C">
        <w:rPr>
          <w:sz w:val="22"/>
          <w:szCs w:val="22"/>
          <w:lang w:val="sr-Latn-ME" w:eastAsia="hr-HR"/>
        </w:rPr>
        <w:t>hidrohlorid</w:t>
      </w:r>
      <w:proofErr w:type="spellEnd"/>
      <w:r w:rsidRPr="00287D9C">
        <w:rPr>
          <w:sz w:val="22"/>
          <w:szCs w:val="22"/>
          <w:lang w:val="sr-Latn-ME" w:eastAsia="hr-HR"/>
        </w:rPr>
        <w:t xml:space="preserve"> i </w:t>
      </w:r>
      <w:proofErr w:type="spellStart"/>
      <w:r w:rsidRPr="00287D9C">
        <w:rPr>
          <w:sz w:val="22"/>
          <w:szCs w:val="22"/>
          <w:lang w:val="sr-Latn-ME" w:eastAsia="hr-HR"/>
        </w:rPr>
        <w:t>cetilpiridinijum</w:t>
      </w:r>
      <w:proofErr w:type="spellEnd"/>
      <w:r w:rsidRPr="00287D9C">
        <w:rPr>
          <w:sz w:val="22"/>
          <w:szCs w:val="22"/>
          <w:lang w:val="sr-Latn-ME" w:eastAsia="hr-HR"/>
        </w:rPr>
        <w:t xml:space="preserve"> hlorid u majčino mlijeko.</w:t>
      </w:r>
    </w:p>
    <w:p w14:paraId="67414BE7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 w:eastAsia="hr-HR"/>
        </w:rPr>
        <w:t xml:space="preserve">Rizik za novorođenčad/dojenčad ne može se isključiti. Mora se odlučiti da li će se prekinuti dojenje ili primjena </w:t>
      </w:r>
      <w:proofErr w:type="spellStart"/>
      <w:r w:rsidRPr="00287D9C">
        <w:rPr>
          <w:sz w:val="22"/>
          <w:szCs w:val="22"/>
          <w:lang w:val="sr-Latn-ME" w:eastAsia="hr-HR"/>
        </w:rPr>
        <w:t>Septolete</w:t>
      </w:r>
      <w:proofErr w:type="spellEnd"/>
      <w:r w:rsidRPr="00287D9C">
        <w:rPr>
          <w:sz w:val="22"/>
          <w:szCs w:val="22"/>
          <w:lang w:val="sr-Latn-ME" w:eastAsia="hr-HR"/>
        </w:rPr>
        <w:t xml:space="preserve"> total</w:t>
      </w:r>
      <w:r w:rsidR="00BE143D" w:rsidRPr="00287D9C">
        <w:rPr>
          <w:sz w:val="22"/>
          <w:szCs w:val="22"/>
          <w:lang w:val="sr-Latn-ME" w:eastAsia="hr-HR"/>
        </w:rPr>
        <w:t xml:space="preserve"> spreja</w:t>
      </w:r>
      <w:r w:rsidRPr="00287D9C">
        <w:rPr>
          <w:sz w:val="22"/>
          <w:szCs w:val="22"/>
          <w:lang w:val="sr-Latn-ME" w:eastAsia="hr-HR"/>
        </w:rPr>
        <w:t>, uzimajući u obzir korist dojenja za dijete i korist terapije za dojilju.</w:t>
      </w:r>
    </w:p>
    <w:p w14:paraId="4F09BD6D" w14:textId="77777777" w:rsidR="00FA4894" w:rsidRPr="00287D9C" w:rsidRDefault="00FA4894" w:rsidP="001A20A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3B4D6A3" w14:textId="77777777" w:rsidR="00FA4894" w:rsidRPr="00287D9C" w:rsidRDefault="001742DD" w:rsidP="001A20AC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4.7. </w:t>
      </w:r>
      <w:r w:rsidRPr="00287D9C">
        <w:rPr>
          <w:b/>
          <w:bCs/>
          <w:sz w:val="22"/>
          <w:szCs w:val="22"/>
          <w:lang w:val="sr-Latn-ME"/>
        </w:rPr>
        <w:tab/>
        <w:t>Uticaj na sposobnost upravljanja vozilima i rukovanje mašinama</w:t>
      </w:r>
    </w:p>
    <w:p w14:paraId="0B9B1577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7933F6F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i/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Septolete</w:t>
      </w:r>
      <w:proofErr w:type="spellEnd"/>
      <w:r w:rsidRPr="00287D9C">
        <w:rPr>
          <w:sz w:val="22"/>
          <w:szCs w:val="22"/>
          <w:lang w:val="sr-Latn-ME"/>
        </w:rPr>
        <w:t xml:space="preserve"> total nemaju ili imaju zanemarljiv uticaj na sposobnost upravljanja motornim vozilima ili rukovanja mašinama.</w:t>
      </w:r>
    </w:p>
    <w:p w14:paraId="46F570EC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0F9E147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4.8. </w:t>
      </w:r>
      <w:r w:rsidRPr="00287D9C">
        <w:rPr>
          <w:b/>
          <w:bCs/>
          <w:sz w:val="22"/>
          <w:szCs w:val="22"/>
          <w:lang w:val="sr-Latn-ME"/>
        </w:rPr>
        <w:tab/>
        <w:t>Neželjena dejstva</w:t>
      </w:r>
    </w:p>
    <w:p w14:paraId="1D444EF1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952779" w14:textId="77777777" w:rsidR="00FA4894" w:rsidRPr="00287D9C" w:rsidRDefault="001742DD" w:rsidP="001A20AC">
      <w:p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 xml:space="preserve">Neželjena dejstva koja se mogu javiti tokom terapije lijekom </w:t>
      </w:r>
      <w:proofErr w:type="spellStart"/>
      <w:r w:rsidRPr="00287D9C">
        <w:rPr>
          <w:sz w:val="22"/>
          <w:szCs w:val="22"/>
          <w:lang w:val="sr-Latn-ME" w:eastAsia="ar-SA"/>
        </w:rPr>
        <w:t>Septolete</w:t>
      </w:r>
      <w:proofErr w:type="spellEnd"/>
      <w:r w:rsidRPr="00287D9C">
        <w:rPr>
          <w:bCs/>
          <w:sz w:val="22"/>
          <w:szCs w:val="22"/>
          <w:vertAlign w:val="superscript"/>
          <w:lang w:val="sr-Latn-ME" w:eastAsia="ar-SA"/>
        </w:rPr>
        <w:t xml:space="preserve"> </w:t>
      </w:r>
      <w:r w:rsidRPr="00287D9C">
        <w:rPr>
          <w:bCs/>
          <w:sz w:val="22"/>
          <w:szCs w:val="22"/>
          <w:lang w:val="sr-Latn-ME" w:eastAsia="ar-SA"/>
        </w:rPr>
        <w:t>total</w:t>
      </w:r>
      <w:r w:rsidRPr="00287D9C">
        <w:rPr>
          <w:sz w:val="22"/>
          <w:szCs w:val="22"/>
          <w:lang w:val="sr-Latn-ME" w:eastAsia="ar-SA"/>
        </w:rPr>
        <w:t xml:space="preserve"> razvrstana su prema učestalosti ispoljavanja u sljedeće grupe:</w:t>
      </w:r>
    </w:p>
    <w:p w14:paraId="55184870" w14:textId="77777777" w:rsidR="00FA4894" w:rsidRPr="00287D9C" w:rsidRDefault="001742DD" w:rsidP="001A20AC">
      <w:pPr>
        <w:numPr>
          <w:ilvl w:val="0"/>
          <w:numId w:val="2"/>
        </w:num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>veoma često (</w:t>
      </w:r>
      <w:r w:rsidRPr="00287D9C">
        <w:rPr>
          <w:b/>
          <w:sz w:val="22"/>
          <w:szCs w:val="22"/>
          <w:lang w:val="sr-Latn-ME" w:eastAsia="ar-SA"/>
        </w:rPr>
        <w:t>≥</w:t>
      </w:r>
      <w:r w:rsidRPr="00287D9C">
        <w:rPr>
          <w:sz w:val="22"/>
          <w:szCs w:val="22"/>
          <w:lang w:val="sr-Latn-ME" w:eastAsia="ar-SA"/>
        </w:rPr>
        <w:t xml:space="preserve"> 1/10),</w:t>
      </w:r>
    </w:p>
    <w:p w14:paraId="1F9FD7B7" w14:textId="77777777" w:rsidR="00FA4894" w:rsidRPr="00287D9C" w:rsidRDefault="001742DD" w:rsidP="001A20AC">
      <w:pPr>
        <w:numPr>
          <w:ilvl w:val="0"/>
          <w:numId w:val="2"/>
        </w:num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>često (</w:t>
      </w:r>
      <w:r w:rsidRPr="00287D9C">
        <w:rPr>
          <w:b/>
          <w:sz w:val="22"/>
          <w:szCs w:val="22"/>
          <w:lang w:val="sr-Latn-ME" w:eastAsia="ar-SA"/>
        </w:rPr>
        <w:t>≥</w:t>
      </w:r>
      <w:r w:rsidRPr="00287D9C">
        <w:rPr>
          <w:sz w:val="22"/>
          <w:szCs w:val="22"/>
          <w:lang w:val="sr-Latn-ME" w:eastAsia="ar-SA"/>
        </w:rPr>
        <w:t xml:space="preserve"> 1/100 do &lt; 1/10),</w:t>
      </w:r>
    </w:p>
    <w:p w14:paraId="522357F4" w14:textId="77777777" w:rsidR="00FA4894" w:rsidRPr="00287D9C" w:rsidRDefault="001742DD" w:rsidP="001A20AC">
      <w:pPr>
        <w:numPr>
          <w:ilvl w:val="0"/>
          <w:numId w:val="2"/>
        </w:num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>povremeno (</w:t>
      </w:r>
      <w:r w:rsidRPr="00287D9C">
        <w:rPr>
          <w:b/>
          <w:sz w:val="22"/>
          <w:szCs w:val="22"/>
          <w:lang w:val="sr-Latn-ME" w:eastAsia="ar-SA"/>
        </w:rPr>
        <w:t>≥</w:t>
      </w:r>
      <w:r w:rsidRPr="00287D9C">
        <w:rPr>
          <w:sz w:val="22"/>
          <w:szCs w:val="22"/>
          <w:lang w:val="sr-Latn-ME" w:eastAsia="ar-SA"/>
        </w:rPr>
        <w:t xml:space="preserve"> 1/1000 do &lt; 1/100),</w:t>
      </w:r>
    </w:p>
    <w:p w14:paraId="30F208A1" w14:textId="77777777" w:rsidR="00FA4894" w:rsidRPr="00287D9C" w:rsidRDefault="001742DD" w:rsidP="001A20AC">
      <w:pPr>
        <w:numPr>
          <w:ilvl w:val="0"/>
          <w:numId w:val="2"/>
        </w:num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>rijetko (</w:t>
      </w:r>
      <w:r w:rsidRPr="00287D9C">
        <w:rPr>
          <w:b/>
          <w:sz w:val="22"/>
          <w:szCs w:val="22"/>
          <w:lang w:val="sr-Latn-ME" w:eastAsia="ar-SA"/>
        </w:rPr>
        <w:t>≥</w:t>
      </w:r>
      <w:r w:rsidRPr="00287D9C">
        <w:rPr>
          <w:sz w:val="22"/>
          <w:szCs w:val="22"/>
          <w:lang w:val="sr-Latn-ME" w:eastAsia="ar-SA"/>
        </w:rPr>
        <w:t xml:space="preserve"> 1/10.000 do &lt; 1/1000),</w:t>
      </w:r>
    </w:p>
    <w:p w14:paraId="5041CBEC" w14:textId="77777777" w:rsidR="00FA4894" w:rsidRPr="00287D9C" w:rsidRDefault="001742DD" w:rsidP="001A20AC">
      <w:pPr>
        <w:numPr>
          <w:ilvl w:val="0"/>
          <w:numId w:val="2"/>
        </w:num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 xml:space="preserve">veoma rijetko (&lt; 1/10.000), </w:t>
      </w:r>
    </w:p>
    <w:p w14:paraId="073908DC" w14:textId="77777777" w:rsidR="00FA4894" w:rsidRPr="00287D9C" w:rsidRDefault="001742DD" w:rsidP="001A20AC">
      <w:pPr>
        <w:numPr>
          <w:ilvl w:val="0"/>
          <w:numId w:val="2"/>
        </w:num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 xml:space="preserve">nepoznate učestalosti (ne može se procijeniti na osnovu raspoloživih podataka). </w:t>
      </w:r>
    </w:p>
    <w:p w14:paraId="32159785" w14:textId="77777777" w:rsidR="00FA4894" w:rsidRPr="00287D9C" w:rsidRDefault="001742DD" w:rsidP="001A20AC">
      <w:p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 xml:space="preserve">Unutar svake grupe učestalosti, neželjena dejstva su prikazana po </w:t>
      </w:r>
      <w:proofErr w:type="spellStart"/>
      <w:r w:rsidRPr="00287D9C">
        <w:rPr>
          <w:sz w:val="22"/>
          <w:szCs w:val="22"/>
          <w:lang w:val="sr-Latn-ME" w:eastAsia="ar-SA"/>
        </w:rPr>
        <w:t>opadajućem</w:t>
      </w:r>
      <w:proofErr w:type="spellEnd"/>
      <w:r w:rsidRPr="00287D9C">
        <w:rPr>
          <w:sz w:val="22"/>
          <w:szCs w:val="22"/>
          <w:lang w:val="sr-Latn-ME" w:eastAsia="ar-SA"/>
        </w:rPr>
        <w:t xml:space="preserve"> stepenu ozbiljnosti.</w:t>
      </w:r>
    </w:p>
    <w:p w14:paraId="01629A9E" w14:textId="77777777" w:rsidR="00FA4894" w:rsidRPr="00287D9C" w:rsidRDefault="00FA4894" w:rsidP="001A20AC">
      <w:pPr>
        <w:suppressAutoHyphens/>
        <w:jc w:val="both"/>
        <w:rPr>
          <w:sz w:val="22"/>
          <w:szCs w:val="22"/>
          <w:lang w:val="sr-Latn-ME" w:eastAsia="ar-SA"/>
        </w:rPr>
      </w:pPr>
    </w:p>
    <w:p w14:paraId="3ED255F2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Tabelarni prikaz neželjenih dejstava</w:t>
      </w:r>
    </w:p>
    <w:p w14:paraId="263807BF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2427"/>
        <w:gridCol w:w="1843"/>
        <w:gridCol w:w="1163"/>
      </w:tblGrid>
      <w:tr w:rsidR="00FA4894" w:rsidRPr="00287D9C" w14:paraId="6C869DE8" w14:textId="77777777" w:rsidTr="00244D65">
        <w:trPr>
          <w:trHeight w:val="508"/>
        </w:trPr>
        <w:tc>
          <w:tcPr>
            <w:tcW w:w="2931" w:type="dxa"/>
            <w:vAlign w:val="center"/>
          </w:tcPr>
          <w:p w14:paraId="4E8DFFBB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287D9C">
              <w:rPr>
                <w:b/>
                <w:sz w:val="22"/>
                <w:szCs w:val="22"/>
                <w:lang w:val="sr-Latn-ME"/>
              </w:rPr>
              <w:t>Klasifikacija po sistemu organa</w:t>
            </w:r>
          </w:p>
        </w:tc>
        <w:tc>
          <w:tcPr>
            <w:tcW w:w="2427" w:type="dxa"/>
            <w:vAlign w:val="center"/>
          </w:tcPr>
          <w:p w14:paraId="38987E81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287D9C">
              <w:rPr>
                <w:b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843" w:type="dxa"/>
            <w:vAlign w:val="center"/>
          </w:tcPr>
          <w:p w14:paraId="4D39DEF9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287D9C">
              <w:rPr>
                <w:b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1163" w:type="dxa"/>
            <w:vAlign w:val="center"/>
          </w:tcPr>
          <w:p w14:paraId="402BD491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287D9C">
              <w:rPr>
                <w:b/>
                <w:sz w:val="22"/>
                <w:szCs w:val="22"/>
                <w:lang w:val="sr-Latn-ME"/>
              </w:rPr>
              <w:t>Nepoznata učestalost</w:t>
            </w:r>
          </w:p>
        </w:tc>
      </w:tr>
      <w:tr w:rsidR="00FA4894" w:rsidRPr="00287D9C" w14:paraId="3F0B88F4" w14:textId="77777777" w:rsidTr="00244D65">
        <w:tc>
          <w:tcPr>
            <w:tcW w:w="2931" w:type="dxa"/>
            <w:vAlign w:val="center"/>
          </w:tcPr>
          <w:p w14:paraId="0364C851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Poremećaji imunološkog sistema</w:t>
            </w:r>
          </w:p>
        </w:tc>
        <w:tc>
          <w:tcPr>
            <w:tcW w:w="2427" w:type="dxa"/>
            <w:vAlign w:val="center"/>
          </w:tcPr>
          <w:p w14:paraId="4C6588CB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14:paraId="6E3DA484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63" w:type="dxa"/>
            <w:vAlign w:val="center"/>
          </w:tcPr>
          <w:p w14:paraId="4DDD54D0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87D9C">
              <w:rPr>
                <w:sz w:val="22"/>
                <w:szCs w:val="22"/>
                <w:lang w:val="sr-Latn-ME"/>
              </w:rPr>
              <w:t>anafilaktička</w:t>
            </w:r>
            <w:proofErr w:type="spellEnd"/>
            <w:r w:rsidRPr="00287D9C">
              <w:rPr>
                <w:sz w:val="22"/>
                <w:szCs w:val="22"/>
                <w:lang w:val="sr-Latn-ME"/>
              </w:rPr>
              <w:t xml:space="preserve"> reakcija, reakcija preosjetljivosti</w:t>
            </w:r>
          </w:p>
        </w:tc>
      </w:tr>
      <w:tr w:rsidR="00FA4894" w:rsidRPr="00287D9C" w14:paraId="479DA261" w14:textId="77777777" w:rsidTr="00244D65">
        <w:tc>
          <w:tcPr>
            <w:tcW w:w="2931" w:type="dxa"/>
            <w:vAlign w:val="center"/>
          </w:tcPr>
          <w:p w14:paraId="3891C6DE" w14:textId="77777777" w:rsidR="00FA4894" w:rsidRPr="00287D9C" w:rsidRDefault="001742DD" w:rsidP="001A20AC">
            <w:pPr>
              <w:widowControl w:val="0"/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2427" w:type="dxa"/>
            <w:vAlign w:val="center"/>
          </w:tcPr>
          <w:p w14:paraId="4B86FE67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14:paraId="14DA8166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63" w:type="dxa"/>
            <w:vAlign w:val="center"/>
          </w:tcPr>
          <w:p w14:paraId="1DA2E093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osjećaj peckanja sluzokože,</w:t>
            </w:r>
          </w:p>
          <w:p w14:paraId="0C8E3BED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 xml:space="preserve">anestezija </w:t>
            </w:r>
            <w:r w:rsidRPr="00287D9C">
              <w:rPr>
                <w:sz w:val="22"/>
                <w:szCs w:val="22"/>
                <w:lang w:val="sr-Latn-ME"/>
              </w:rPr>
              <w:lastRenderedPageBreak/>
              <w:t xml:space="preserve">usne </w:t>
            </w:r>
            <w:proofErr w:type="spellStart"/>
            <w:r w:rsidRPr="00287D9C">
              <w:rPr>
                <w:sz w:val="22"/>
                <w:szCs w:val="22"/>
                <w:lang w:val="sr-Latn-ME"/>
              </w:rPr>
              <w:t>sluznice</w:t>
            </w:r>
            <w:proofErr w:type="spellEnd"/>
          </w:p>
        </w:tc>
      </w:tr>
      <w:tr w:rsidR="00FA4894" w:rsidRPr="00287D9C" w14:paraId="0364B41B" w14:textId="77777777" w:rsidTr="00244D65">
        <w:tc>
          <w:tcPr>
            <w:tcW w:w="2931" w:type="dxa"/>
            <w:vAlign w:val="center"/>
          </w:tcPr>
          <w:p w14:paraId="056B2E52" w14:textId="77777777" w:rsidR="00FA4894" w:rsidRPr="00287D9C" w:rsidRDefault="001742DD" w:rsidP="001A20AC">
            <w:pPr>
              <w:shd w:val="clear" w:color="auto" w:fill="FFFFFF"/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lastRenderedPageBreak/>
              <w:t xml:space="preserve">Respiratorni, torakalni i </w:t>
            </w:r>
            <w:proofErr w:type="spellStart"/>
            <w:r w:rsidRPr="00287D9C">
              <w:rPr>
                <w:sz w:val="22"/>
                <w:szCs w:val="22"/>
                <w:lang w:val="sr-Latn-ME"/>
              </w:rPr>
              <w:t>medijastinalni</w:t>
            </w:r>
            <w:proofErr w:type="spellEnd"/>
            <w:r w:rsidRPr="00287D9C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87D9C">
              <w:rPr>
                <w:sz w:val="22"/>
                <w:szCs w:val="22"/>
                <w:lang w:val="sr-Latn-ME"/>
              </w:rPr>
              <w:t>poremećaji</w:t>
            </w:r>
            <w:proofErr w:type="spellEnd"/>
          </w:p>
          <w:p w14:paraId="7BDCB369" w14:textId="77777777" w:rsidR="00FA4894" w:rsidRPr="00287D9C" w:rsidRDefault="00FA4894" w:rsidP="001A20AC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427" w:type="dxa"/>
            <w:vAlign w:val="center"/>
          </w:tcPr>
          <w:p w14:paraId="5CDBC91D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87D9C">
              <w:rPr>
                <w:sz w:val="22"/>
                <w:szCs w:val="22"/>
                <w:lang w:val="sr-Latn-ME"/>
              </w:rPr>
              <w:t>bronhospazam</w:t>
            </w:r>
            <w:proofErr w:type="spellEnd"/>
          </w:p>
        </w:tc>
        <w:tc>
          <w:tcPr>
            <w:tcW w:w="1843" w:type="dxa"/>
            <w:vAlign w:val="center"/>
          </w:tcPr>
          <w:p w14:paraId="76BF550B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63" w:type="dxa"/>
            <w:vAlign w:val="center"/>
          </w:tcPr>
          <w:p w14:paraId="252E7C56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FA4894" w:rsidRPr="00287D9C" w14:paraId="7942900C" w14:textId="77777777" w:rsidTr="00244D65">
        <w:tc>
          <w:tcPr>
            <w:tcW w:w="2931" w:type="dxa"/>
            <w:vAlign w:val="center"/>
          </w:tcPr>
          <w:p w14:paraId="495E2083" w14:textId="77777777" w:rsidR="00FA4894" w:rsidRPr="00287D9C" w:rsidRDefault="001742DD" w:rsidP="001A20AC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Poremećaji gastrointestinalnog sistema</w:t>
            </w:r>
          </w:p>
        </w:tc>
        <w:tc>
          <w:tcPr>
            <w:tcW w:w="2427" w:type="dxa"/>
            <w:vAlign w:val="center"/>
          </w:tcPr>
          <w:p w14:paraId="3B121DFA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43" w:type="dxa"/>
            <w:vAlign w:val="center"/>
          </w:tcPr>
          <w:p w14:paraId="4114D83C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 xml:space="preserve">nadraženost usne </w:t>
            </w:r>
            <w:proofErr w:type="spellStart"/>
            <w:r w:rsidRPr="00287D9C">
              <w:rPr>
                <w:sz w:val="22"/>
                <w:szCs w:val="22"/>
                <w:lang w:val="sr-Latn-ME"/>
              </w:rPr>
              <w:t>sluznice</w:t>
            </w:r>
            <w:proofErr w:type="spellEnd"/>
            <w:r w:rsidRPr="00287D9C">
              <w:rPr>
                <w:sz w:val="22"/>
                <w:szCs w:val="22"/>
                <w:lang w:val="sr-Latn-ME"/>
              </w:rPr>
              <w:t>,</w:t>
            </w:r>
          </w:p>
          <w:p w14:paraId="57B85C86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osjećaj peckanja u ustima</w:t>
            </w:r>
          </w:p>
        </w:tc>
        <w:tc>
          <w:tcPr>
            <w:tcW w:w="1163" w:type="dxa"/>
            <w:vAlign w:val="center"/>
          </w:tcPr>
          <w:p w14:paraId="56C25BA4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FA4894" w:rsidRPr="00287D9C" w14:paraId="673BC729" w14:textId="77777777" w:rsidTr="00244D65">
        <w:tc>
          <w:tcPr>
            <w:tcW w:w="2931" w:type="dxa"/>
            <w:vAlign w:val="center"/>
          </w:tcPr>
          <w:p w14:paraId="099D04AA" w14:textId="77777777" w:rsidR="00FA4894" w:rsidRPr="00287D9C" w:rsidRDefault="001742DD" w:rsidP="001A20AC">
            <w:pPr>
              <w:widowControl w:val="0"/>
              <w:tabs>
                <w:tab w:val="center" w:pos="4536"/>
                <w:tab w:val="right" w:pos="9072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2427" w:type="dxa"/>
            <w:vAlign w:val="center"/>
          </w:tcPr>
          <w:p w14:paraId="67C89B3D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r w:rsidRPr="00287D9C">
              <w:rPr>
                <w:sz w:val="22"/>
                <w:szCs w:val="22"/>
                <w:lang w:val="sr-Latn-ME"/>
              </w:rPr>
              <w:t>urtikarija,</w:t>
            </w:r>
          </w:p>
          <w:p w14:paraId="15F856D1" w14:textId="77777777" w:rsidR="00FA4894" w:rsidRPr="00287D9C" w:rsidRDefault="001742DD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87D9C">
              <w:rPr>
                <w:sz w:val="22"/>
                <w:szCs w:val="22"/>
                <w:lang w:val="sr-Latn-ME"/>
              </w:rPr>
              <w:t>fotosenzitivnost</w:t>
            </w:r>
            <w:proofErr w:type="spellEnd"/>
          </w:p>
        </w:tc>
        <w:tc>
          <w:tcPr>
            <w:tcW w:w="1843" w:type="dxa"/>
            <w:vAlign w:val="center"/>
          </w:tcPr>
          <w:p w14:paraId="732759BA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63" w:type="dxa"/>
            <w:vAlign w:val="center"/>
          </w:tcPr>
          <w:p w14:paraId="47AA318D" w14:textId="77777777" w:rsidR="00FA4894" w:rsidRPr="00287D9C" w:rsidRDefault="00FA4894" w:rsidP="001A20AC">
            <w:pPr>
              <w:widowControl w:val="0"/>
              <w:tabs>
                <w:tab w:val="left" w:pos="567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6F1B7ABF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C40E18F" w14:textId="0DF495F0" w:rsidR="00FA4894" w:rsidRDefault="001742DD" w:rsidP="001A20AC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287D9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019DB47" w14:textId="7A5C86E8" w:rsidR="00FA4894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AB073E8" w14:textId="77777777" w:rsidR="00287D9C" w:rsidRPr="00287D9C" w:rsidRDefault="00287D9C" w:rsidP="001A20AC">
      <w:pPr>
        <w:jc w:val="both"/>
        <w:rPr>
          <w:rFonts w:eastAsia="Calibri"/>
          <w:sz w:val="22"/>
          <w:szCs w:val="22"/>
          <w:lang w:val="sr-Latn-ME"/>
        </w:rPr>
      </w:pPr>
    </w:p>
    <w:p w14:paraId="6AFE12B3" w14:textId="59F56CD1" w:rsidR="00FA4894" w:rsidRPr="00287D9C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30204A0D" w14:textId="77777777" w:rsidR="00FA4894" w:rsidRPr="00287D9C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287D9C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1C59349" w14:textId="77777777" w:rsidR="00FA4894" w:rsidRPr="00287D9C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3B04B0E" w14:textId="77777777" w:rsidR="00FA4894" w:rsidRPr="00287D9C" w:rsidRDefault="00FA4894" w:rsidP="001A20AC">
      <w:pPr>
        <w:jc w:val="both"/>
        <w:rPr>
          <w:rFonts w:eastAsia="Calibri"/>
          <w:sz w:val="22"/>
          <w:szCs w:val="22"/>
          <w:lang w:val="sr-Latn-ME"/>
        </w:rPr>
      </w:pPr>
    </w:p>
    <w:p w14:paraId="4D3C5BBC" w14:textId="77777777" w:rsidR="00FA4894" w:rsidRPr="00287D9C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>tel: +382 (0) 20 310 280</w:t>
      </w:r>
    </w:p>
    <w:p w14:paraId="1F981AAF" w14:textId="77777777" w:rsidR="00FA4894" w:rsidRPr="00287D9C" w:rsidRDefault="001742DD" w:rsidP="001A20AC">
      <w:pPr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287D9C">
        <w:rPr>
          <w:rFonts w:eastAsia="Calibri"/>
          <w:sz w:val="22"/>
          <w:szCs w:val="22"/>
          <w:lang w:val="sr-Latn-ME"/>
        </w:rPr>
        <w:t>fax</w:t>
      </w:r>
      <w:proofErr w:type="spellEnd"/>
      <w:r w:rsidRPr="00287D9C">
        <w:rPr>
          <w:rFonts w:eastAsia="Calibri"/>
          <w:sz w:val="22"/>
          <w:szCs w:val="22"/>
          <w:lang w:val="sr-Latn-ME"/>
        </w:rPr>
        <w:t>: +382 (0) 20 310 581</w:t>
      </w:r>
      <w:r w:rsidRPr="00287D9C">
        <w:rPr>
          <w:rFonts w:eastAsia="Calibri"/>
          <w:sz w:val="22"/>
          <w:szCs w:val="22"/>
          <w:lang w:val="sr-Latn-ME"/>
        </w:rPr>
        <w:tab/>
      </w:r>
    </w:p>
    <w:p w14:paraId="48912C4A" w14:textId="77777777" w:rsidR="00FA4894" w:rsidRPr="00287D9C" w:rsidRDefault="00ED72F2" w:rsidP="001A20AC">
      <w:pPr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1742DD" w:rsidRPr="00287D9C">
          <w:rPr>
            <w:rFonts w:eastAsia="Calibri"/>
            <w:color w:val="0563C1"/>
            <w:sz w:val="22"/>
            <w:szCs w:val="22"/>
            <w:u w:val="single"/>
            <w:lang w:val="sr-Latn-ME"/>
          </w:rPr>
          <w:t>www.cinmed.me</w:t>
        </w:r>
      </w:hyperlink>
    </w:p>
    <w:p w14:paraId="045CE695" w14:textId="77777777" w:rsidR="00FA4894" w:rsidRPr="00287D9C" w:rsidRDefault="00ED72F2" w:rsidP="001A20AC">
      <w:pPr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1742DD" w:rsidRPr="00287D9C">
          <w:rPr>
            <w:rFonts w:eastAsia="Calibri"/>
            <w:color w:val="0563C1"/>
            <w:sz w:val="22"/>
            <w:szCs w:val="22"/>
            <w:u w:val="single"/>
            <w:lang w:val="sr-Latn-ME"/>
          </w:rPr>
          <w:t>nezeljenadejstva@cinmed.me</w:t>
        </w:r>
      </w:hyperlink>
    </w:p>
    <w:p w14:paraId="7B06917B" w14:textId="77777777" w:rsidR="00FA4894" w:rsidRPr="00287D9C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>putem IS zdravstvene zaštite</w:t>
      </w:r>
    </w:p>
    <w:p w14:paraId="46081418" w14:textId="77777777" w:rsidR="00FA4894" w:rsidRPr="00287D9C" w:rsidRDefault="001742DD" w:rsidP="001A20AC">
      <w:pPr>
        <w:jc w:val="both"/>
        <w:rPr>
          <w:rFonts w:eastAsia="Calibri"/>
          <w:sz w:val="22"/>
          <w:szCs w:val="22"/>
          <w:lang w:val="sr-Latn-ME"/>
        </w:rPr>
      </w:pPr>
      <w:r w:rsidRPr="00287D9C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287D9C">
        <w:rPr>
          <w:rFonts w:eastAsia="Calibri"/>
          <w:sz w:val="22"/>
          <w:szCs w:val="22"/>
          <w:lang w:val="sr-Latn-ME"/>
        </w:rPr>
        <w:t>online</w:t>
      </w:r>
      <w:proofErr w:type="spellEnd"/>
      <w:r w:rsidRPr="00287D9C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3EF7B2A9" w14:textId="77777777" w:rsidR="00FA4894" w:rsidRPr="00287D9C" w:rsidRDefault="00FA4894" w:rsidP="001A20AC">
      <w:pPr>
        <w:jc w:val="both"/>
        <w:rPr>
          <w:rFonts w:eastAsia="Calibri"/>
          <w:sz w:val="22"/>
          <w:szCs w:val="22"/>
          <w:lang w:val="sr-Latn-ME"/>
        </w:rPr>
      </w:pPr>
    </w:p>
    <w:p w14:paraId="3F8DE459" w14:textId="77777777" w:rsidR="00FA4894" w:rsidRPr="00287D9C" w:rsidRDefault="00386C7A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noProof/>
          <w:sz w:val="22"/>
          <w:szCs w:val="22"/>
          <w:lang w:val="sr-Latn-ME"/>
        </w:rPr>
        <w:drawing>
          <wp:inline distT="0" distB="0" distL="0" distR="0" wp14:anchorId="3B567DB1" wp14:editId="0020C938">
            <wp:extent cx="981075" cy="971550"/>
            <wp:effectExtent l="0" t="0" r="0" b="0"/>
            <wp:docPr id="3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F3D6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0039DA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4.9. </w:t>
      </w:r>
      <w:r w:rsidRPr="00287D9C">
        <w:rPr>
          <w:b/>
          <w:bCs/>
          <w:sz w:val="22"/>
          <w:szCs w:val="22"/>
          <w:lang w:val="sr-Latn-ME"/>
        </w:rPr>
        <w:tab/>
      </w:r>
      <w:proofErr w:type="spellStart"/>
      <w:r w:rsidRPr="00287D9C">
        <w:rPr>
          <w:b/>
          <w:bCs/>
          <w:sz w:val="22"/>
          <w:szCs w:val="22"/>
          <w:lang w:val="sr-Latn-ME"/>
        </w:rPr>
        <w:t>Predoziranje</w:t>
      </w:r>
      <w:proofErr w:type="spellEnd"/>
      <w:r w:rsidRPr="00287D9C">
        <w:rPr>
          <w:b/>
          <w:bCs/>
          <w:sz w:val="22"/>
          <w:szCs w:val="22"/>
          <w:lang w:val="sr-Latn-ME"/>
        </w:rPr>
        <w:t xml:space="preserve"> </w:t>
      </w:r>
    </w:p>
    <w:p w14:paraId="5BB82341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22D6442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iCs/>
          <w:sz w:val="22"/>
          <w:szCs w:val="22"/>
          <w:u w:val="single"/>
          <w:lang w:val="sr-Latn-ME"/>
        </w:rPr>
      </w:pPr>
      <w:r w:rsidRPr="00287D9C">
        <w:rPr>
          <w:iCs/>
          <w:sz w:val="22"/>
          <w:szCs w:val="22"/>
          <w:u w:val="single"/>
          <w:lang w:val="sr-Latn-ME"/>
        </w:rPr>
        <w:t>Simptomi</w:t>
      </w:r>
    </w:p>
    <w:p w14:paraId="626C042D" w14:textId="6B8AC1BF" w:rsidR="00FA4894" w:rsidRPr="00287D9C" w:rsidRDefault="001742DD" w:rsidP="001A20AC">
      <w:pPr>
        <w:widowControl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287D9C">
        <w:rPr>
          <w:color w:val="000000"/>
          <w:sz w:val="22"/>
          <w:szCs w:val="22"/>
          <w:lang w:val="sr-Latn-ME"/>
        </w:rPr>
        <w:t>Predoziranje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se očekuje samo ukoliko dođe do slučajnog uzimanja velike količine </w:t>
      </w:r>
      <w:proofErr w:type="spellStart"/>
      <w:r w:rsidRPr="00287D9C">
        <w:rPr>
          <w:color w:val="000000"/>
          <w:sz w:val="22"/>
          <w:szCs w:val="22"/>
          <w:lang w:val="sr-Latn-ME"/>
        </w:rPr>
        <w:t>benzidamina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(&gt; 300 mg).</w:t>
      </w:r>
    </w:p>
    <w:p w14:paraId="64E92822" w14:textId="77777777" w:rsidR="00FA4894" w:rsidRPr="00287D9C" w:rsidRDefault="001742DD" w:rsidP="001A20AC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287D9C">
        <w:rPr>
          <w:color w:val="000000"/>
          <w:sz w:val="22"/>
          <w:szCs w:val="22"/>
          <w:lang w:val="sr-Latn-ME"/>
        </w:rPr>
        <w:t xml:space="preserve">Simptomi povezani sa prekomjernim unošenjem </w:t>
      </w:r>
      <w:proofErr w:type="spellStart"/>
      <w:r w:rsidRPr="00287D9C">
        <w:rPr>
          <w:color w:val="000000"/>
          <w:sz w:val="22"/>
          <w:szCs w:val="22"/>
          <w:lang w:val="sr-Latn-ME"/>
        </w:rPr>
        <w:t>benzidamina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su uglavnom gastrointestinalni simptomi i simptomi centralnog nervnog sistema. Najčešći gastrointestinalni simptomi su mučnina, povraćanje, bol u stomaku i iritacija jednjaka. Simptomi centralnog nervnog sistema uključuju vrtoglavicu, halucinacije, uznemirenost, anksioznost i razdražljivost.</w:t>
      </w:r>
    </w:p>
    <w:p w14:paraId="5FB58EDF" w14:textId="77777777" w:rsidR="00FA4894" w:rsidRPr="00287D9C" w:rsidRDefault="001742DD" w:rsidP="001A20AC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287D9C">
        <w:rPr>
          <w:color w:val="000000"/>
          <w:sz w:val="22"/>
          <w:szCs w:val="22"/>
          <w:lang w:val="sr-Latn-ME"/>
        </w:rPr>
        <w:t xml:space="preserve">Kod akutnog </w:t>
      </w:r>
      <w:proofErr w:type="spellStart"/>
      <w:r w:rsidRPr="00287D9C">
        <w:rPr>
          <w:color w:val="000000"/>
          <w:sz w:val="22"/>
          <w:szCs w:val="22"/>
          <w:lang w:val="sr-Latn-ME"/>
        </w:rPr>
        <w:t>predoziranja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moguće je samo </w:t>
      </w:r>
      <w:proofErr w:type="spellStart"/>
      <w:r w:rsidRPr="00287D9C">
        <w:rPr>
          <w:color w:val="000000"/>
          <w:sz w:val="22"/>
          <w:szCs w:val="22"/>
          <w:lang w:val="sr-Latn-ME"/>
        </w:rPr>
        <w:t>simptomatsko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liječenje. Pacijente treba pažljivo pratiti i pružiti im </w:t>
      </w:r>
      <w:proofErr w:type="spellStart"/>
      <w:r w:rsidRPr="00287D9C">
        <w:rPr>
          <w:color w:val="000000"/>
          <w:sz w:val="22"/>
          <w:szCs w:val="22"/>
          <w:lang w:val="sr-Latn-ME"/>
        </w:rPr>
        <w:t>suportivnu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terapiju. Mora se održavati adekvatna </w:t>
      </w:r>
      <w:proofErr w:type="spellStart"/>
      <w:r w:rsidRPr="00287D9C">
        <w:rPr>
          <w:color w:val="000000"/>
          <w:sz w:val="22"/>
          <w:szCs w:val="22"/>
          <w:lang w:val="sr-Latn-ME"/>
        </w:rPr>
        <w:t>hidratacija</w:t>
      </w:r>
      <w:proofErr w:type="spellEnd"/>
      <w:r w:rsidRPr="00287D9C">
        <w:rPr>
          <w:color w:val="000000"/>
          <w:sz w:val="22"/>
          <w:szCs w:val="22"/>
          <w:lang w:val="sr-Latn-ME"/>
        </w:rPr>
        <w:t>.</w:t>
      </w:r>
    </w:p>
    <w:p w14:paraId="5336D7C7" w14:textId="77777777" w:rsidR="00FA4894" w:rsidRPr="00287D9C" w:rsidRDefault="001742DD" w:rsidP="001A20AC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287D9C">
        <w:rPr>
          <w:color w:val="000000"/>
          <w:sz w:val="22"/>
          <w:szCs w:val="22"/>
          <w:lang w:val="sr-Latn-ME"/>
        </w:rPr>
        <w:t xml:space="preserve">Znaci i simptomi </w:t>
      </w:r>
      <w:proofErr w:type="spellStart"/>
      <w:r w:rsidRPr="00287D9C">
        <w:rPr>
          <w:color w:val="000000"/>
          <w:sz w:val="22"/>
          <w:szCs w:val="22"/>
          <w:lang w:val="sr-Latn-ME"/>
        </w:rPr>
        <w:t>intoksikacije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koji su rezultat unosa značajne količine </w:t>
      </w:r>
      <w:proofErr w:type="spellStart"/>
      <w:r w:rsidRPr="00287D9C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hlorida uključuju mučninu, povraćanje, </w:t>
      </w:r>
      <w:proofErr w:type="spellStart"/>
      <w:r w:rsidRPr="00287D9C">
        <w:rPr>
          <w:color w:val="000000"/>
          <w:sz w:val="22"/>
          <w:szCs w:val="22"/>
          <w:lang w:val="sr-Latn-ME"/>
        </w:rPr>
        <w:t>dispneju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, cijanozu, </w:t>
      </w:r>
      <w:proofErr w:type="spellStart"/>
      <w:r w:rsidRPr="00287D9C">
        <w:rPr>
          <w:color w:val="000000"/>
          <w:sz w:val="22"/>
          <w:szCs w:val="22"/>
          <w:lang w:val="sr-Latn-ME"/>
        </w:rPr>
        <w:t>asfiksiju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, praćenu paralizom respiratornih mišića, depresiju CNS-a, </w:t>
      </w:r>
      <w:proofErr w:type="spellStart"/>
      <w:r w:rsidRPr="00287D9C">
        <w:rPr>
          <w:color w:val="000000"/>
          <w:sz w:val="22"/>
          <w:szCs w:val="22"/>
          <w:lang w:val="sr-Latn-ME"/>
        </w:rPr>
        <w:t>hipotenziju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i komu. </w:t>
      </w:r>
      <w:proofErr w:type="spellStart"/>
      <w:r w:rsidRPr="00287D9C">
        <w:rPr>
          <w:color w:val="000000"/>
          <w:sz w:val="22"/>
          <w:szCs w:val="22"/>
          <w:lang w:val="sr-Latn-ME"/>
        </w:rPr>
        <w:t>Letalna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doza za </w:t>
      </w:r>
      <w:proofErr w:type="spellStart"/>
      <w:r w:rsidRPr="00287D9C">
        <w:rPr>
          <w:color w:val="000000"/>
          <w:sz w:val="22"/>
          <w:szCs w:val="22"/>
          <w:lang w:val="sr-Latn-ME"/>
        </w:rPr>
        <w:t>ljude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je približno 1-3 grama.</w:t>
      </w:r>
    </w:p>
    <w:p w14:paraId="7A00D42B" w14:textId="77777777" w:rsidR="00FA4894" w:rsidRPr="00287D9C" w:rsidRDefault="00FA4894" w:rsidP="001A20AC">
      <w:pPr>
        <w:widowControl w:val="0"/>
        <w:tabs>
          <w:tab w:val="left" w:pos="567"/>
        </w:tabs>
        <w:jc w:val="both"/>
        <w:rPr>
          <w:iCs/>
          <w:sz w:val="22"/>
          <w:szCs w:val="22"/>
          <w:u w:val="single"/>
          <w:lang w:val="sr-Latn-ME"/>
        </w:rPr>
      </w:pPr>
    </w:p>
    <w:p w14:paraId="0CD85E86" w14:textId="77777777" w:rsidR="00FA4894" w:rsidRPr="00287D9C" w:rsidRDefault="001742DD" w:rsidP="001A20AC">
      <w:pPr>
        <w:widowControl w:val="0"/>
        <w:tabs>
          <w:tab w:val="left" w:pos="567"/>
        </w:tabs>
        <w:jc w:val="both"/>
        <w:rPr>
          <w:iCs/>
          <w:sz w:val="22"/>
          <w:szCs w:val="22"/>
          <w:u w:val="single"/>
          <w:lang w:val="sr-Latn-ME"/>
        </w:rPr>
      </w:pPr>
      <w:r w:rsidRPr="00287D9C">
        <w:rPr>
          <w:iCs/>
          <w:sz w:val="22"/>
          <w:szCs w:val="22"/>
          <w:u w:val="single"/>
          <w:lang w:val="sr-Latn-ME"/>
        </w:rPr>
        <w:t>Liječenje</w:t>
      </w:r>
    </w:p>
    <w:p w14:paraId="63AEF98B" w14:textId="77777777" w:rsidR="00FA4894" w:rsidRPr="00287D9C" w:rsidRDefault="001742DD" w:rsidP="001A20AC">
      <w:pPr>
        <w:widowControl w:val="0"/>
        <w:jc w:val="both"/>
        <w:rPr>
          <w:color w:val="000000"/>
          <w:sz w:val="22"/>
          <w:szCs w:val="22"/>
          <w:lang w:val="sr-Latn-ME"/>
        </w:rPr>
      </w:pPr>
      <w:r w:rsidRPr="00287D9C">
        <w:rPr>
          <w:color w:val="000000"/>
          <w:sz w:val="22"/>
          <w:szCs w:val="22"/>
          <w:lang w:val="sr-Latn-ME"/>
        </w:rPr>
        <w:t xml:space="preserve">Budući da nema specifičnog antidota, liječenje akutnog </w:t>
      </w:r>
      <w:proofErr w:type="spellStart"/>
      <w:r w:rsidRPr="00287D9C">
        <w:rPr>
          <w:color w:val="000000"/>
          <w:sz w:val="22"/>
          <w:szCs w:val="22"/>
          <w:lang w:val="sr-Latn-ME"/>
        </w:rPr>
        <w:t>predoziranja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isključivo je </w:t>
      </w:r>
      <w:proofErr w:type="spellStart"/>
      <w:r w:rsidRPr="00287D9C">
        <w:rPr>
          <w:color w:val="000000"/>
          <w:sz w:val="22"/>
          <w:szCs w:val="22"/>
          <w:lang w:val="sr-Latn-ME"/>
        </w:rPr>
        <w:t>simptomatsko</w:t>
      </w:r>
      <w:proofErr w:type="spellEnd"/>
      <w:r w:rsidRPr="00287D9C">
        <w:rPr>
          <w:color w:val="000000"/>
          <w:sz w:val="22"/>
          <w:szCs w:val="22"/>
          <w:lang w:val="sr-Latn-ME"/>
        </w:rPr>
        <w:t>.</w:t>
      </w:r>
    </w:p>
    <w:p w14:paraId="4AA8328C" w14:textId="77777777" w:rsidR="00FA4894" w:rsidRPr="00287D9C" w:rsidRDefault="00FA4894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1A7F1A9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EEC134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5. </w:t>
      </w:r>
      <w:r w:rsidRPr="00287D9C">
        <w:rPr>
          <w:b/>
          <w:bCs/>
          <w:sz w:val="22"/>
          <w:szCs w:val="22"/>
          <w:lang w:val="sr-Latn-ME"/>
        </w:rPr>
        <w:tab/>
        <w:t>FARMAKOLOŠKI PODACI</w:t>
      </w:r>
    </w:p>
    <w:p w14:paraId="6C76B570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1B89D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5.1. </w:t>
      </w:r>
      <w:r w:rsidRPr="00287D9C">
        <w:rPr>
          <w:b/>
          <w:bCs/>
          <w:sz w:val="22"/>
          <w:szCs w:val="22"/>
          <w:lang w:val="sr-Latn-ME"/>
        </w:rPr>
        <w:tab/>
      </w:r>
      <w:proofErr w:type="spellStart"/>
      <w:r w:rsidRPr="00287D9C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287D9C">
        <w:rPr>
          <w:b/>
          <w:bCs/>
          <w:sz w:val="22"/>
          <w:szCs w:val="22"/>
          <w:lang w:val="sr-Latn-ME"/>
        </w:rPr>
        <w:t xml:space="preserve"> podaci </w:t>
      </w:r>
    </w:p>
    <w:p w14:paraId="3882E1C8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1C7ABE" w14:textId="4537B46C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 w:eastAsia="ar-SA"/>
        </w:rPr>
        <w:t>Farmakoterapijska</w:t>
      </w:r>
      <w:proofErr w:type="spellEnd"/>
      <w:r w:rsidRPr="00287D9C">
        <w:rPr>
          <w:sz w:val="22"/>
          <w:szCs w:val="22"/>
          <w:lang w:val="sr-Latn-ME" w:eastAsia="ar-SA"/>
        </w:rPr>
        <w:t xml:space="preserve"> grupa: </w:t>
      </w:r>
      <w:r w:rsidRPr="00287D9C">
        <w:rPr>
          <w:sz w:val="22"/>
          <w:szCs w:val="22"/>
          <w:lang w:val="sr-Latn-ME"/>
        </w:rPr>
        <w:t xml:space="preserve">preparati za grlo </w:t>
      </w:r>
    </w:p>
    <w:p w14:paraId="2F9D90A2" w14:textId="77777777" w:rsidR="00FA4894" w:rsidRPr="00287D9C" w:rsidRDefault="00FA4894" w:rsidP="001A20AC">
      <w:pPr>
        <w:suppressAutoHyphens/>
        <w:jc w:val="both"/>
        <w:rPr>
          <w:sz w:val="22"/>
          <w:szCs w:val="22"/>
          <w:lang w:val="sr-Latn-ME" w:eastAsia="ar-SA"/>
        </w:rPr>
      </w:pPr>
    </w:p>
    <w:p w14:paraId="4AC266E0" w14:textId="05116CC7" w:rsidR="00FA4894" w:rsidRPr="00287D9C" w:rsidRDefault="001742DD" w:rsidP="001A20AC">
      <w:pPr>
        <w:suppressAutoHyphens/>
        <w:jc w:val="both"/>
        <w:rPr>
          <w:sz w:val="22"/>
          <w:szCs w:val="22"/>
          <w:lang w:val="sr-Latn-ME" w:eastAsia="ar-SA"/>
        </w:rPr>
      </w:pPr>
      <w:r w:rsidRPr="00287D9C">
        <w:rPr>
          <w:sz w:val="22"/>
          <w:szCs w:val="22"/>
          <w:lang w:val="sr-Latn-ME" w:eastAsia="ar-SA"/>
        </w:rPr>
        <w:t xml:space="preserve">ATC kod: </w:t>
      </w:r>
      <w:r w:rsidRPr="00287D9C">
        <w:rPr>
          <w:sz w:val="22"/>
          <w:szCs w:val="22"/>
          <w:lang w:val="sr-Latn-ME"/>
        </w:rPr>
        <w:t>R02AX03</w:t>
      </w:r>
    </w:p>
    <w:p w14:paraId="1EF178EB" w14:textId="77777777" w:rsidR="00FA4894" w:rsidRPr="00287D9C" w:rsidRDefault="00FA4894" w:rsidP="001A20AC">
      <w:pPr>
        <w:suppressAutoHyphens/>
        <w:jc w:val="both"/>
        <w:rPr>
          <w:color w:val="FF0000"/>
          <w:sz w:val="22"/>
          <w:szCs w:val="22"/>
          <w:lang w:val="sr-Latn-ME" w:eastAsia="ar-SA"/>
        </w:rPr>
      </w:pPr>
    </w:p>
    <w:p w14:paraId="30B8852C" w14:textId="77777777" w:rsidR="00FA4894" w:rsidRPr="00287D9C" w:rsidRDefault="001742DD" w:rsidP="001A20AC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Mehanizam djelovanja</w:t>
      </w:r>
    </w:p>
    <w:p w14:paraId="31D9AC7F" w14:textId="77777777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287D9C">
        <w:rPr>
          <w:color w:val="000000"/>
          <w:sz w:val="22"/>
          <w:szCs w:val="22"/>
          <w:lang w:val="sr-Latn-ME"/>
        </w:rPr>
        <w:t>Benzidamin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87D9C">
        <w:rPr>
          <w:color w:val="000000"/>
          <w:sz w:val="22"/>
          <w:szCs w:val="22"/>
          <w:lang w:val="sr-Latn-ME"/>
        </w:rPr>
        <w:t>hidrohlorid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je molekul sa </w:t>
      </w:r>
      <w:proofErr w:type="spellStart"/>
      <w:r w:rsidRPr="00287D9C">
        <w:rPr>
          <w:color w:val="000000"/>
          <w:sz w:val="22"/>
          <w:szCs w:val="22"/>
          <w:lang w:val="sr-Latn-ME"/>
        </w:rPr>
        <w:t>nesteroidnom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hemijskom strukturom sa </w:t>
      </w:r>
      <w:proofErr w:type="spellStart"/>
      <w:r w:rsidRPr="00287D9C">
        <w:rPr>
          <w:color w:val="000000"/>
          <w:sz w:val="22"/>
          <w:szCs w:val="22"/>
          <w:lang w:val="sr-Latn-ME"/>
        </w:rPr>
        <w:t>antiinflamatornim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i analgetskim svojstvima. Mehanizam djelovanja može se pripisati inhibiciji sinteze </w:t>
      </w:r>
      <w:proofErr w:type="spellStart"/>
      <w:r w:rsidRPr="00287D9C">
        <w:rPr>
          <w:color w:val="000000"/>
          <w:sz w:val="22"/>
          <w:szCs w:val="22"/>
          <w:lang w:val="sr-Latn-ME"/>
        </w:rPr>
        <w:t>prostaglandina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, čime se smanjuju lokalni znaci zapaljenja (kao što su bol, crvenilo, oticanje, toplota i umanjena funkcija). </w:t>
      </w:r>
      <w:proofErr w:type="spellStart"/>
      <w:r w:rsidRPr="00287D9C">
        <w:rPr>
          <w:color w:val="000000"/>
          <w:sz w:val="22"/>
          <w:szCs w:val="22"/>
          <w:lang w:val="sr-Latn-ME"/>
        </w:rPr>
        <w:t>Benzidamin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87D9C">
        <w:rPr>
          <w:color w:val="000000"/>
          <w:sz w:val="22"/>
          <w:szCs w:val="22"/>
          <w:lang w:val="sr-Latn-ME"/>
        </w:rPr>
        <w:t>hidrohlorid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ima i umjereni lokalni anestetski efekat.</w:t>
      </w:r>
    </w:p>
    <w:p w14:paraId="06BB50DE" w14:textId="3F21C5D5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287D9C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hlorid je </w:t>
      </w:r>
      <w:proofErr w:type="spellStart"/>
      <w:r w:rsidRPr="00287D9C">
        <w:rPr>
          <w:color w:val="000000"/>
          <w:sz w:val="22"/>
          <w:szCs w:val="22"/>
          <w:lang w:val="sr-Latn-ME"/>
        </w:rPr>
        <w:t>katjonski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antiseptik iz grupe </w:t>
      </w:r>
      <w:proofErr w:type="spellStart"/>
      <w:r w:rsidRPr="00287D9C">
        <w:rPr>
          <w:color w:val="000000"/>
          <w:sz w:val="22"/>
          <w:szCs w:val="22"/>
          <w:lang w:val="sr-Latn-ME"/>
        </w:rPr>
        <w:t>kvarternarnih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amonijum soli.</w:t>
      </w:r>
    </w:p>
    <w:p w14:paraId="5B1A081F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0B6854D" w14:textId="77777777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sr-Latn-ME"/>
        </w:rPr>
      </w:pPr>
      <w:r w:rsidRPr="00287D9C">
        <w:rPr>
          <w:color w:val="000000"/>
          <w:sz w:val="22"/>
          <w:szCs w:val="22"/>
          <w:u w:val="single"/>
          <w:lang w:val="sr-Latn-ME"/>
        </w:rPr>
        <w:t>Klinička efikasnost i bezbjednost</w:t>
      </w:r>
    </w:p>
    <w:p w14:paraId="45248E00" w14:textId="77777777" w:rsidR="00FA4894" w:rsidRPr="00287D9C" w:rsidRDefault="001742DD" w:rsidP="001A20A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287D9C">
        <w:rPr>
          <w:color w:val="000000"/>
          <w:sz w:val="22"/>
          <w:szCs w:val="22"/>
          <w:lang w:val="sr-Latn-ME"/>
        </w:rPr>
        <w:t>Benzidamin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se prevashodno primjenjuje u liječenju poremećaja </w:t>
      </w:r>
      <w:proofErr w:type="spellStart"/>
      <w:r w:rsidRPr="00287D9C">
        <w:rPr>
          <w:color w:val="000000"/>
          <w:sz w:val="22"/>
          <w:szCs w:val="22"/>
          <w:lang w:val="sr-Latn-ME"/>
        </w:rPr>
        <w:t>orofaringealne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regije. </w:t>
      </w:r>
      <w:proofErr w:type="spellStart"/>
      <w:r w:rsidRPr="00287D9C">
        <w:rPr>
          <w:color w:val="000000"/>
          <w:sz w:val="22"/>
          <w:szCs w:val="22"/>
          <w:lang w:val="sr-Latn-ME"/>
        </w:rPr>
        <w:t>Cetilpiridinijum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hlorid je aktivan protiv gram-pozitivnih bakterija i manje aktivan protiv gram-negativnih bakterija, i zato ima optimalno antiseptičko i </w:t>
      </w:r>
      <w:proofErr w:type="spellStart"/>
      <w:r w:rsidRPr="00287D9C">
        <w:rPr>
          <w:color w:val="000000"/>
          <w:sz w:val="22"/>
          <w:szCs w:val="22"/>
          <w:lang w:val="sr-Latn-ME"/>
        </w:rPr>
        <w:t>germicidno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djelovanje. Takođe ima </w:t>
      </w:r>
      <w:proofErr w:type="spellStart"/>
      <w:r w:rsidRPr="00287D9C">
        <w:rPr>
          <w:color w:val="000000"/>
          <w:sz w:val="22"/>
          <w:szCs w:val="22"/>
          <w:lang w:val="sr-Latn-ME"/>
        </w:rPr>
        <w:t>antifungalna</w:t>
      </w:r>
      <w:proofErr w:type="spellEnd"/>
      <w:r w:rsidRPr="00287D9C">
        <w:rPr>
          <w:color w:val="000000"/>
          <w:sz w:val="22"/>
          <w:szCs w:val="22"/>
          <w:lang w:val="sr-Latn-ME"/>
        </w:rPr>
        <w:t xml:space="preserve"> svojstva.</w:t>
      </w:r>
    </w:p>
    <w:p w14:paraId="2668643A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DD9D0D4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5.2. </w:t>
      </w:r>
      <w:r w:rsidRPr="00287D9C">
        <w:rPr>
          <w:b/>
          <w:bCs/>
          <w:sz w:val="22"/>
          <w:szCs w:val="22"/>
          <w:lang w:val="sr-Latn-ME"/>
        </w:rPr>
        <w:tab/>
      </w:r>
      <w:proofErr w:type="spellStart"/>
      <w:r w:rsidRPr="00287D9C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287D9C">
        <w:rPr>
          <w:b/>
          <w:bCs/>
          <w:sz w:val="22"/>
          <w:szCs w:val="22"/>
          <w:lang w:val="sr-Latn-ME"/>
        </w:rPr>
        <w:t xml:space="preserve"> podaci </w:t>
      </w:r>
    </w:p>
    <w:p w14:paraId="782CFAA0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97D35E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Resorpcija</w:t>
      </w:r>
    </w:p>
    <w:p w14:paraId="0B94B81C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Od dvije aktivne supstance, </w:t>
      </w:r>
      <w:proofErr w:type="spellStart"/>
      <w:r w:rsidRPr="00287D9C">
        <w:rPr>
          <w:iCs/>
          <w:sz w:val="22"/>
          <w:szCs w:val="22"/>
          <w:lang w:val="sr-Latn-ME"/>
        </w:rPr>
        <w:t>cetilpiridinijuma</w:t>
      </w:r>
      <w:proofErr w:type="spellEnd"/>
      <w:r w:rsidRPr="00287D9C">
        <w:rPr>
          <w:iCs/>
          <w:sz w:val="22"/>
          <w:szCs w:val="22"/>
          <w:lang w:val="sr-Latn-ME"/>
        </w:rPr>
        <w:t xml:space="preserve"> i </w:t>
      </w:r>
      <w:proofErr w:type="spellStart"/>
      <w:r w:rsidRPr="00287D9C">
        <w:rPr>
          <w:iCs/>
          <w:sz w:val="22"/>
          <w:szCs w:val="22"/>
          <w:lang w:val="sr-Latn-ME"/>
        </w:rPr>
        <w:t>benzidamina</w:t>
      </w:r>
      <w:proofErr w:type="spellEnd"/>
      <w:r w:rsidRPr="00287D9C">
        <w:rPr>
          <w:iCs/>
          <w:sz w:val="22"/>
          <w:szCs w:val="22"/>
          <w:lang w:val="sr-Latn-ME"/>
        </w:rPr>
        <w:t xml:space="preserve">, samo se </w:t>
      </w:r>
      <w:proofErr w:type="spellStart"/>
      <w:r w:rsidRPr="00287D9C">
        <w:rPr>
          <w:iCs/>
          <w:sz w:val="22"/>
          <w:szCs w:val="22"/>
          <w:lang w:val="sr-Latn-ME"/>
        </w:rPr>
        <w:t>benzidamin</w:t>
      </w:r>
      <w:proofErr w:type="spellEnd"/>
      <w:r w:rsidRPr="00287D9C">
        <w:rPr>
          <w:iCs/>
          <w:sz w:val="22"/>
          <w:szCs w:val="22"/>
          <w:lang w:val="sr-Latn-ME"/>
        </w:rPr>
        <w:t xml:space="preserve"> resorbuje. Zbog toga, </w:t>
      </w:r>
      <w:proofErr w:type="spellStart"/>
      <w:r w:rsidRPr="00287D9C">
        <w:rPr>
          <w:iCs/>
          <w:sz w:val="22"/>
          <w:szCs w:val="22"/>
          <w:lang w:val="sr-Latn-ME"/>
        </w:rPr>
        <w:t>cetilpiridinijum</w:t>
      </w:r>
      <w:proofErr w:type="spellEnd"/>
      <w:r w:rsidRPr="00287D9C">
        <w:rPr>
          <w:iCs/>
          <w:sz w:val="22"/>
          <w:szCs w:val="22"/>
          <w:lang w:val="sr-Latn-ME"/>
        </w:rPr>
        <w:t xml:space="preserve"> ne može dovesti do </w:t>
      </w:r>
      <w:proofErr w:type="spellStart"/>
      <w:r w:rsidRPr="00287D9C">
        <w:rPr>
          <w:iCs/>
          <w:sz w:val="22"/>
          <w:szCs w:val="22"/>
          <w:lang w:val="sr-Latn-ME"/>
        </w:rPr>
        <w:t>farmakokinetičkih</w:t>
      </w:r>
      <w:proofErr w:type="spellEnd"/>
      <w:r w:rsidRPr="00287D9C">
        <w:rPr>
          <w:iCs/>
          <w:sz w:val="22"/>
          <w:szCs w:val="22"/>
          <w:lang w:val="sr-Latn-ME"/>
        </w:rPr>
        <w:t xml:space="preserve"> interakcija sa </w:t>
      </w:r>
      <w:proofErr w:type="spellStart"/>
      <w:r w:rsidRPr="00287D9C">
        <w:rPr>
          <w:iCs/>
          <w:sz w:val="22"/>
          <w:szCs w:val="22"/>
          <w:lang w:val="sr-Latn-ME"/>
        </w:rPr>
        <w:t>benzidaminom</w:t>
      </w:r>
      <w:proofErr w:type="spellEnd"/>
      <w:r w:rsidRPr="00287D9C">
        <w:rPr>
          <w:iCs/>
          <w:sz w:val="22"/>
          <w:szCs w:val="22"/>
          <w:lang w:val="sr-Latn-ME"/>
        </w:rPr>
        <w:t xml:space="preserve"> na sistemskom nivou.</w:t>
      </w:r>
    </w:p>
    <w:p w14:paraId="6367C07E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Resorpcija </w:t>
      </w:r>
      <w:proofErr w:type="spellStart"/>
      <w:r w:rsidRPr="00287D9C">
        <w:rPr>
          <w:iCs/>
          <w:sz w:val="22"/>
          <w:szCs w:val="22"/>
          <w:lang w:val="sr-Latn-ME"/>
        </w:rPr>
        <w:t>benzidamina</w:t>
      </w:r>
      <w:proofErr w:type="spellEnd"/>
      <w:r w:rsidRPr="00287D9C">
        <w:rPr>
          <w:iCs/>
          <w:sz w:val="22"/>
          <w:szCs w:val="22"/>
          <w:lang w:val="sr-Latn-ME"/>
        </w:rPr>
        <w:t xml:space="preserve"> </w:t>
      </w:r>
      <w:proofErr w:type="spellStart"/>
      <w:r w:rsidRPr="00287D9C">
        <w:rPr>
          <w:iCs/>
          <w:sz w:val="22"/>
          <w:szCs w:val="22"/>
          <w:lang w:val="sr-Latn-ME"/>
        </w:rPr>
        <w:t>preko</w:t>
      </w:r>
      <w:proofErr w:type="spellEnd"/>
      <w:r w:rsidRPr="00287D9C">
        <w:rPr>
          <w:iCs/>
          <w:sz w:val="22"/>
          <w:szCs w:val="22"/>
          <w:lang w:val="sr-Latn-ME"/>
        </w:rPr>
        <w:t xml:space="preserve"> </w:t>
      </w:r>
      <w:proofErr w:type="spellStart"/>
      <w:r w:rsidRPr="00287D9C">
        <w:rPr>
          <w:iCs/>
          <w:sz w:val="22"/>
          <w:szCs w:val="22"/>
          <w:lang w:val="sr-Latn-ME"/>
        </w:rPr>
        <w:t>orofaringealne</w:t>
      </w:r>
      <w:proofErr w:type="spellEnd"/>
      <w:r w:rsidRPr="00287D9C">
        <w:rPr>
          <w:iCs/>
          <w:sz w:val="22"/>
          <w:szCs w:val="22"/>
          <w:lang w:val="sr-Latn-ME"/>
        </w:rPr>
        <w:t xml:space="preserve"> sluzokože dokazana je otkrivanjem mjerljive količine aktivne supstance u serumu, koja nije dovoljna za izazivanje sistemskog djelovanja.</w:t>
      </w:r>
    </w:p>
    <w:p w14:paraId="1E509611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Međutim, </w:t>
      </w:r>
      <w:proofErr w:type="spellStart"/>
      <w:r w:rsidRPr="00287D9C">
        <w:rPr>
          <w:iCs/>
          <w:sz w:val="22"/>
          <w:szCs w:val="22"/>
          <w:lang w:val="sr-Latn-ME"/>
        </w:rPr>
        <w:t>benzidamin</w:t>
      </w:r>
      <w:proofErr w:type="spellEnd"/>
      <w:r w:rsidRPr="00287D9C">
        <w:rPr>
          <w:iCs/>
          <w:sz w:val="22"/>
          <w:szCs w:val="22"/>
          <w:lang w:val="sr-Latn-ME"/>
        </w:rPr>
        <w:t xml:space="preserve"> se resorbuje kada se primjenjuje sistemski. Stoga je resorpcija </w:t>
      </w:r>
      <w:proofErr w:type="spellStart"/>
      <w:r w:rsidRPr="00287D9C">
        <w:rPr>
          <w:iCs/>
          <w:sz w:val="22"/>
          <w:szCs w:val="22"/>
          <w:lang w:val="sr-Latn-ME"/>
        </w:rPr>
        <w:t>benzidamina</w:t>
      </w:r>
      <w:proofErr w:type="spellEnd"/>
      <w:r w:rsidRPr="00287D9C">
        <w:rPr>
          <w:iCs/>
          <w:sz w:val="22"/>
          <w:szCs w:val="22"/>
          <w:lang w:val="sr-Latn-ME"/>
        </w:rPr>
        <w:t xml:space="preserve"> veća kod farmaceutskih oblika koji se rastvaraju u ustima, u poređenju sa primjenom lokalnim putem (kao što je sprej za usnu </w:t>
      </w:r>
      <w:proofErr w:type="spellStart"/>
      <w:r w:rsidRPr="00287D9C">
        <w:rPr>
          <w:iCs/>
          <w:sz w:val="22"/>
          <w:szCs w:val="22"/>
          <w:lang w:val="sr-Latn-ME"/>
        </w:rPr>
        <w:t>sluznicu</w:t>
      </w:r>
      <w:proofErr w:type="spellEnd"/>
      <w:r w:rsidRPr="00287D9C">
        <w:rPr>
          <w:iCs/>
          <w:sz w:val="22"/>
          <w:szCs w:val="22"/>
          <w:lang w:val="sr-Latn-ME"/>
        </w:rPr>
        <w:t xml:space="preserve">). Osim toga, pri preporučenim dozama, resorpcija </w:t>
      </w:r>
      <w:proofErr w:type="spellStart"/>
      <w:r w:rsidRPr="00287D9C">
        <w:rPr>
          <w:iCs/>
          <w:sz w:val="22"/>
          <w:szCs w:val="22"/>
          <w:lang w:val="sr-Latn-ME"/>
        </w:rPr>
        <w:t>benzidamina</w:t>
      </w:r>
      <w:proofErr w:type="spellEnd"/>
      <w:r w:rsidRPr="00287D9C">
        <w:rPr>
          <w:iCs/>
          <w:sz w:val="22"/>
          <w:szCs w:val="22"/>
          <w:lang w:val="sr-Latn-ME"/>
        </w:rPr>
        <w:t xml:space="preserve"> iz spreja za usnu </w:t>
      </w:r>
      <w:proofErr w:type="spellStart"/>
      <w:r w:rsidRPr="00287D9C">
        <w:rPr>
          <w:iCs/>
          <w:sz w:val="22"/>
          <w:szCs w:val="22"/>
          <w:lang w:val="sr-Latn-ME"/>
        </w:rPr>
        <w:t>sluznicu</w:t>
      </w:r>
      <w:proofErr w:type="spellEnd"/>
      <w:r w:rsidRPr="00287D9C">
        <w:rPr>
          <w:iCs/>
          <w:sz w:val="22"/>
          <w:szCs w:val="22"/>
          <w:lang w:val="sr-Latn-ME"/>
        </w:rPr>
        <w:t xml:space="preserve"> je zanemarljiva.</w:t>
      </w:r>
    </w:p>
    <w:p w14:paraId="1499BA0F" w14:textId="77777777" w:rsidR="00FA4894" w:rsidRPr="00287D9C" w:rsidRDefault="00FA4894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</w:p>
    <w:p w14:paraId="6883878C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u w:val="single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Distribucija</w:t>
      </w:r>
    </w:p>
    <w:p w14:paraId="18F3E53F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>Volumen distribucije je isti za sve farmaceutske oblike.</w:t>
      </w:r>
    </w:p>
    <w:p w14:paraId="5FAE5E21" w14:textId="77777777" w:rsidR="00FA4894" w:rsidRPr="00287D9C" w:rsidRDefault="00FA4894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u w:val="single"/>
          <w:lang w:val="sr-Latn-ME"/>
        </w:rPr>
      </w:pPr>
      <w:bookmarkStart w:id="0" w:name="_GoBack"/>
      <w:bookmarkEnd w:id="0"/>
    </w:p>
    <w:p w14:paraId="3F5DF354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u w:val="single"/>
          <w:lang w:val="sr-Latn-ME"/>
        </w:rPr>
      </w:pPr>
      <w:r w:rsidRPr="00287D9C">
        <w:rPr>
          <w:sz w:val="22"/>
          <w:szCs w:val="22"/>
          <w:u w:val="single"/>
          <w:lang w:val="sr-Latn-ME"/>
        </w:rPr>
        <w:t>Eliminacija</w:t>
      </w:r>
    </w:p>
    <w:p w14:paraId="124CA11B" w14:textId="77777777" w:rsidR="00FA4894" w:rsidRPr="00287D9C" w:rsidRDefault="001742DD" w:rsidP="001A20AC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iCs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Izlučivanje se odvija u prvom redu putem urina i najvećim dijelom u obliku neaktivnih </w:t>
      </w:r>
      <w:proofErr w:type="spellStart"/>
      <w:r w:rsidRPr="00287D9C">
        <w:rPr>
          <w:iCs/>
          <w:sz w:val="22"/>
          <w:szCs w:val="22"/>
          <w:lang w:val="sr-Latn-ME"/>
        </w:rPr>
        <w:t>metabolita</w:t>
      </w:r>
      <w:proofErr w:type="spellEnd"/>
      <w:r w:rsidRPr="00287D9C">
        <w:rPr>
          <w:iCs/>
          <w:sz w:val="22"/>
          <w:szCs w:val="22"/>
          <w:lang w:val="sr-Latn-ME"/>
        </w:rPr>
        <w:t xml:space="preserve">. Poluvrijeme i sistemski </w:t>
      </w:r>
      <w:proofErr w:type="spellStart"/>
      <w:r w:rsidRPr="00287D9C">
        <w:rPr>
          <w:iCs/>
          <w:sz w:val="22"/>
          <w:szCs w:val="22"/>
          <w:lang w:val="sr-Latn-ME"/>
        </w:rPr>
        <w:t>klirens</w:t>
      </w:r>
      <w:proofErr w:type="spellEnd"/>
      <w:r w:rsidRPr="00287D9C">
        <w:rPr>
          <w:iCs/>
          <w:sz w:val="22"/>
          <w:szCs w:val="22"/>
          <w:lang w:val="sr-Latn-ME"/>
        </w:rPr>
        <w:t xml:space="preserve"> imaju slične vrijednosti za sve farmaceutske oblike.</w:t>
      </w:r>
    </w:p>
    <w:p w14:paraId="1C433343" w14:textId="77777777" w:rsidR="00244D65" w:rsidRPr="00287D9C" w:rsidRDefault="00244D65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A2D8CB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5.3. </w:t>
      </w:r>
      <w:r w:rsidRPr="00287D9C">
        <w:rPr>
          <w:b/>
          <w:bCs/>
          <w:sz w:val="22"/>
          <w:szCs w:val="22"/>
          <w:lang w:val="sr-Latn-ME"/>
        </w:rPr>
        <w:tab/>
      </w:r>
      <w:proofErr w:type="spellStart"/>
      <w:r w:rsidRPr="00287D9C">
        <w:rPr>
          <w:b/>
          <w:bCs/>
          <w:sz w:val="22"/>
          <w:szCs w:val="22"/>
          <w:lang w:val="sr-Latn-ME"/>
        </w:rPr>
        <w:t>Pretklinički</w:t>
      </w:r>
      <w:proofErr w:type="spellEnd"/>
      <w:r w:rsidRPr="00287D9C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163DC28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01C079" w14:textId="77777777" w:rsidR="00FA4894" w:rsidRPr="00287D9C" w:rsidRDefault="001742DD" w:rsidP="001A20A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Pretklinički</w:t>
      </w:r>
      <w:proofErr w:type="spellEnd"/>
      <w:r w:rsidRPr="00287D9C">
        <w:rPr>
          <w:sz w:val="22"/>
          <w:szCs w:val="22"/>
          <w:lang w:val="sr-Latn-ME"/>
        </w:rPr>
        <w:t xml:space="preserve"> podaci dobijeni na osnovnu konvencionalnih studija o farmakološkoj bezbjednosti, toksičnosti ponovljenih doza, </w:t>
      </w:r>
      <w:proofErr w:type="spellStart"/>
      <w:r w:rsidRPr="00287D9C">
        <w:rPr>
          <w:sz w:val="22"/>
          <w:szCs w:val="22"/>
          <w:lang w:val="sr-Latn-ME"/>
        </w:rPr>
        <w:t>genotoksičnosti</w:t>
      </w:r>
      <w:proofErr w:type="spellEnd"/>
      <w:r w:rsidRPr="00287D9C">
        <w:rPr>
          <w:sz w:val="22"/>
          <w:szCs w:val="22"/>
          <w:lang w:val="sr-Latn-ME"/>
        </w:rPr>
        <w:t xml:space="preserve">, kancerogenom potencijalu i toksičnom efektu na reprodukciju i razvoj ne ukazuju na posebnu opasnost za </w:t>
      </w:r>
      <w:proofErr w:type="spellStart"/>
      <w:r w:rsidRPr="00287D9C">
        <w:rPr>
          <w:sz w:val="22"/>
          <w:szCs w:val="22"/>
          <w:lang w:val="sr-Latn-ME"/>
        </w:rPr>
        <w:t>ljude</w:t>
      </w:r>
      <w:proofErr w:type="spellEnd"/>
      <w:r w:rsidRPr="00287D9C">
        <w:rPr>
          <w:sz w:val="22"/>
          <w:szCs w:val="22"/>
          <w:lang w:val="sr-Latn-ME"/>
        </w:rPr>
        <w:t>.</w:t>
      </w:r>
    </w:p>
    <w:p w14:paraId="6141C8E8" w14:textId="77777777" w:rsidR="00FA4894" w:rsidRPr="00287D9C" w:rsidRDefault="00FA4894" w:rsidP="001A20A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3C55C26" w14:textId="77777777" w:rsidR="00FA4894" w:rsidRPr="00287D9C" w:rsidRDefault="001742DD" w:rsidP="001A20A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U ispitivanjima za potvrdu racionalne kombinacije ove dvije aktivne supstance pokazalo se da ovaj lijek ima optimalnu toleranciju i nije toksičan. Testovi tolerancije na životinjama sa kombinacijom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hidrohlorida</w:t>
      </w:r>
      <w:proofErr w:type="spellEnd"/>
      <w:r w:rsidRPr="00287D9C">
        <w:rPr>
          <w:sz w:val="22"/>
          <w:szCs w:val="22"/>
          <w:lang w:val="sr-Latn-ME"/>
        </w:rPr>
        <w:t xml:space="preserve"> i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  <w:r w:rsidRPr="00287D9C">
        <w:rPr>
          <w:sz w:val="22"/>
          <w:szCs w:val="22"/>
          <w:lang w:val="sr-Latn-ME"/>
        </w:rPr>
        <w:t xml:space="preserve"> hlorida pokazali su dobar profil tolerancije.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hidrohlorid</w:t>
      </w:r>
      <w:proofErr w:type="spellEnd"/>
      <w:r w:rsidRPr="00287D9C">
        <w:rPr>
          <w:sz w:val="22"/>
          <w:szCs w:val="22"/>
          <w:lang w:val="sr-Latn-ME"/>
        </w:rPr>
        <w:t xml:space="preserve"> i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  <w:r w:rsidRPr="00287D9C">
        <w:rPr>
          <w:sz w:val="22"/>
          <w:szCs w:val="22"/>
          <w:lang w:val="sr-Latn-ME"/>
        </w:rPr>
        <w:t xml:space="preserve"> hlorid u kombinaciji nijesu doveli do promjena u crijevnoj </w:t>
      </w:r>
      <w:proofErr w:type="spellStart"/>
      <w:r w:rsidRPr="00287D9C">
        <w:rPr>
          <w:sz w:val="22"/>
          <w:szCs w:val="22"/>
          <w:lang w:val="sr-Latn-ME"/>
        </w:rPr>
        <w:t>bakterijskoj</w:t>
      </w:r>
      <w:proofErr w:type="spellEnd"/>
      <w:r w:rsidRPr="00287D9C">
        <w:rPr>
          <w:sz w:val="22"/>
          <w:szCs w:val="22"/>
          <w:lang w:val="sr-Latn-ME"/>
        </w:rPr>
        <w:t xml:space="preserve"> flori.</w:t>
      </w:r>
    </w:p>
    <w:p w14:paraId="356CFEEA" w14:textId="77777777" w:rsidR="00FA4894" w:rsidRPr="00287D9C" w:rsidRDefault="001742DD" w:rsidP="001A20AC">
      <w:pPr>
        <w:widowControl w:val="0"/>
        <w:jc w:val="both"/>
        <w:rPr>
          <w:sz w:val="22"/>
          <w:szCs w:val="22"/>
          <w:highlight w:val="yellow"/>
          <w:lang w:val="sr-Latn-ME"/>
        </w:rPr>
      </w:pPr>
      <w:r w:rsidRPr="00287D9C">
        <w:rPr>
          <w:sz w:val="22"/>
          <w:szCs w:val="22"/>
          <w:lang w:val="sr-Latn-ME"/>
        </w:rPr>
        <w:lastRenderedPageBreak/>
        <w:t xml:space="preserve">Za </w:t>
      </w:r>
      <w:proofErr w:type="spellStart"/>
      <w:r w:rsidRPr="00287D9C">
        <w:rPr>
          <w:sz w:val="22"/>
          <w:szCs w:val="22"/>
          <w:lang w:val="sr-Latn-ME"/>
        </w:rPr>
        <w:t>benzidamin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hidrohlorid</w:t>
      </w:r>
      <w:proofErr w:type="spellEnd"/>
      <w:r w:rsidRPr="00287D9C">
        <w:rPr>
          <w:sz w:val="22"/>
          <w:szCs w:val="22"/>
          <w:lang w:val="sr-Latn-ME"/>
        </w:rPr>
        <w:t xml:space="preserve"> i </w:t>
      </w:r>
      <w:proofErr w:type="spellStart"/>
      <w:r w:rsidRPr="00287D9C">
        <w:rPr>
          <w:sz w:val="22"/>
          <w:szCs w:val="22"/>
          <w:lang w:val="sr-Latn-ME"/>
        </w:rPr>
        <w:t>cetilpiridinijum</w:t>
      </w:r>
      <w:proofErr w:type="spellEnd"/>
      <w:r w:rsidRPr="00287D9C">
        <w:rPr>
          <w:sz w:val="22"/>
          <w:szCs w:val="22"/>
          <w:lang w:val="sr-Latn-ME"/>
        </w:rPr>
        <w:t xml:space="preserve"> hlorid u obliku spreja za usnu </w:t>
      </w:r>
      <w:proofErr w:type="spellStart"/>
      <w:r w:rsidRPr="00287D9C">
        <w:rPr>
          <w:sz w:val="22"/>
          <w:szCs w:val="22"/>
          <w:lang w:val="sr-Latn-ME"/>
        </w:rPr>
        <w:t>sluznicu</w:t>
      </w:r>
      <w:proofErr w:type="spellEnd"/>
      <w:r w:rsidRPr="00287D9C">
        <w:rPr>
          <w:sz w:val="22"/>
          <w:szCs w:val="22"/>
          <w:lang w:val="sr-Latn-ME"/>
        </w:rPr>
        <w:t xml:space="preserve"> dokazana je optimalna tolerancija kod pacijenata, pošto se nijesu javila toksična dejstva, ni lokalna ni sistemska.</w:t>
      </w:r>
    </w:p>
    <w:p w14:paraId="7EFFCA2E" w14:textId="77777777" w:rsidR="00386C7A" w:rsidRPr="00287D9C" w:rsidRDefault="00386C7A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FC5287" w14:textId="77777777" w:rsidR="00386C7A" w:rsidRPr="00287D9C" w:rsidRDefault="00386C7A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F6DCC9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 </w:t>
      </w:r>
      <w:r w:rsidRPr="00287D9C">
        <w:rPr>
          <w:b/>
          <w:bCs/>
          <w:sz w:val="22"/>
          <w:szCs w:val="22"/>
          <w:lang w:val="sr-Latn-ME"/>
        </w:rPr>
        <w:tab/>
        <w:t>FARMACEUTSKI PODACI</w:t>
      </w:r>
    </w:p>
    <w:p w14:paraId="3880D965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20D16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6.1. </w:t>
      </w:r>
      <w:r w:rsidRPr="00287D9C">
        <w:rPr>
          <w:b/>
          <w:bCs/>
          <w:sz w:val="22"/>
          <w:szCs w:val="22"/>
          <w:lang w:val="sr-Latn-ME"/>
        </w:rPr>
        <w:tab/>
        <w:t>Lista pomoćnih supstanci (</w:t>
      </w:r>
      <w:proofErr w:type="spellStart"/>
      <w:r w:rsidRPr="00287D9C">
        <w:rPr>
          <w:b/>
          <w:bCs/>
          <w:sz w:val="22"/>
          <w:szCs w:val="22"/>
          <w:lang w:val="sr-Latn-ME"/>
        </w:rPr>
        <w:t>ekscipijenasa</w:t>
      </w:r>
      <w:proofErr w:type="spellEnd"/>
      <w:r w:rsidRPr="00287D9C">
        <w:rPr>
          <w:b/>
          <w:bCs/>
          <w:sz w:val="22"/>
          <w:szCs w:val="22"/>
          <w:lang w:val="sr-Latn-ME"/>
        </w:rPr>
        <w:t>)</w:t>
      </w:r>
    </w:p>
    <w:p w14:paraId="000D6057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35A4E0" w14:textId="77777777" w:rsidR="00FA4894" w:rsidRPr="00287D9C" w:rsidRDefault="001742DD" w:rsidP="001A20AC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etanol (96 %)</w:t>
      </w:r>
    </w:p>
    <w:p w14:paraId="5102F2DA" w14:textId="77777777" w:rsidR="00FA4894" w:rsidRPr="00287D9C" w:rsidRDefault="001742DD" w:rsidP="001A20AC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glicerol</w:t>
      </w:r>
      <w:proofErr w:type="spellEnd"/>
      <w:r w:rsidRPr="00287D9C">
        <w:rPr>
          <w:sz w:val="22"/>
          <w:szCs w:val="22"/>
          <w:lang w:val="sr-Latn-ME"/>
        </w:rPr>
        <w:t xml:space="preserve"> (E422)</w:t>
      </w:r>
    </w:p>
    <w:p w14:paraId="792B75A0" w14:textId="77777777" w:rsidR="00FA4894" w:rsidRPr="00287D9C" w:rsidRDefault="001742DD" w:rsidP="001A20AC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makrogolglicerol</w:t>
      </w:r>
      <w:proofErr w:type="spellEnd"/>
      <w:r w:rsidRPr="00287D9C">
        <w:rPr>
          <w:sz w:val="22"/>
          <w:szCs w:val="22"/>
          <w:lang w:val="sr-Latn-ME"/>
        </w:rPr>
        <w:t xml:space="preserve"> </w:t>
      </w:r>
      <w:proofErr w:type="spellStart"/>
      <w:r w:rsidRPr="00287D9C">
        <w:rPr>
          <w:sz w:val="22"/>
          <w:szCs w:val="22"/>
          <w:lang w:val="sr-Latn-ME"/>
        </w:rPr>
        <w:t>hidroksistearat</w:t>
      </w:r>
      <w:proofErr w:type="spellEnd"/>
    </w:p>
    <w:p w14:paraId="134C7290" w14:textId="77777777" w:rsidR="00FA4894" w:rsidRPr="00287D9C" w:rsidRDefault="001742DD" w:rsidP="001A20AC">
      <w:pPr>
        <w:widowControl w:val="0"/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saharin natrijum (E954)</w:t>
      </w:r>
    </w:p>
    <w:p w14:paraId="76D3C677" w14:textId="77777777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ulje peperminta</w:t>
      </w:r>
    </w:p>
    <w:p w14:paraId="3571C05D" w14:textId="77777777" w:rsidR="00FA4894" w:rsidRPr="00287D9C" w:rsidRDefault="001742DD" w:rsidP="001A20AC">
      <w:pPr>
        <w:widowControl w:val="0"/>
        <w:jc w:val="both"/>
        <w:rPr>
          <w:iCs/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voda, prečišćena</w:t>
      </w:r>
    </w:p>
    <w:p w14:paraId="67ED7072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FFBC4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6.2. </w:t>
      </w:r>
      <w:r w:rsidRPr="00287D9C">
        <w:rPr>
          <w:b/>
          <w:bCs/>
          <w:sz w:val="22"/>
          <w:szCs w:val="22"/>
          <w:lang w:val="sr-Latn-ME"/>
        </w:rPr>
        <w:tab/>
        <w:t>Inkompatibilnosti</w:t>
      </w:r>
    </w:p>
    <w:p w14:paraId="5FE5C03C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0CA799" w14:textId="39E098D5" w:rsidR="00FA4894" w:rsidRPr="00287D9C" w:rsidRDefault="001742DD" w:rsidP="001A20AC">
      <w:pPr>
        <w:widowControl w:val="0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Nije primjen</w:t>
      </w:r>
      <w:r w:rsidR="00E84B31" w:rsidRPr="00287D9C">
        <w:rPr>
          <w:sz w:val="22"/>
          <w:szCs w:val="22"/>
          <w:lang w:val="sr-Latn-ME"/>
        </w:rPr>
        <w:t>l</w:t>
      </w:r>
      <w:r w:rsidRPr="00287D9C">
        <w:rPr>
          <w:sz w:val="22"/>
          <w:szCs w:val="22"/>
          <w:lang w:val="sr-Latn-ME"/>
        </w:rPr>
        <w:t>jivo.</w:t>
      </w:r>
    </w:p>
    <w:p w14:paraId="5C865E57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DE0D9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6.3. </w:t>
      </w:r>
      <w:r w:rsidRPr="00287D9C">
        <w:rPr>
          <w:b/>
          <w:bCs/>
          <w:sz w:val="22"/>
          <w:szCs w:val="22"/>
          <w:lang w:val="sr-Latn-ME"/>
        </w:rPr>
        <w:tab/>
        <w:t>Rok upotrebe</w:t>
      </w:r>
    </w:p>
    <w:p w14:paraId="48C87007" w14:textId="77777777" w:rsidR="000B2562" w:rsidRPr="00287D9C" w:rsidRDefault="000B2562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46BB44F9" w14:textId="54EAA4FD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3 godine.</w:t>
      </w:r>
    </w:p>
    <w:p w14:paraId="1951E15F" w14:textId="68E287C5" w:rsidR="00FA4894" w:rsidRPr="00287D9C" w:rsidRDefault="00E84B31" w:rsidP="001A20AC">
      <w:pPr>
        <w:widowControl w:val="0"/>
        <w:tabs>
          <w:tab w:val="left" w:pos="567"/>
        </w:tabs>
        <w:jc w:val="both"/>
        <w:rPr>
          <w:color w:val="000000"/>
          <w:sz w:val="22"/>
          <w:szCs w:val="22"/>
          <w:lang w:val="sr-Latn-ME"/>
        </w:rPr>
      </w:pPr>
      <w:r w:rsidRPr="00287D9C">
        <w:rPr>
          <w:iCs/>
          <w:sz w:val="22"/>
          <w:szCs w:val="22"/>
          <w:lang w:val="sr-Latn-ME"/>
        </w:rPr>
        <w:t xml:space="preserve">Rok upotrebe lijeka nakon </w:t>
      </w:r>
      <w:r w:rsidR="001742DD" w:rsidRPr="00287D9C">
        <w:rPr>
          <w:iCs/>
          <w:sz w:val="22"/>
          <w:szCs w:val="22"/>
          <w:lang w:val="sr-Latn-ME"/>
        </w:rPr>
        <w:t>prvog otvaranja</w:t>
      </w:r>
      <w:r w:rsidRPr="00287D9C">
        <w:rPr>
          <w:iCs/>
          <w:sz w:val="22"/>
          <w:szCs w:val="22"/>
          <w:lang w:val="sr-Latn-ME"/>
        </w:rPr>
        <w:t>:</w:t>
      </w:r>
      <w:r w:rsidR="001742DD" w:rsidRPr="00287D9C">
        <w:rPr>
          <w:iCs/>
          <w:sz w:val="22"/>
          <w:szCs w:val="22"/>
          <w:lang w:val="sr-Latn-ME"/>
        </w:rPr>
        <w:t xml:space="preserve"> </w:t>
      </w:r>
      <w:r w:rsidR="001742DD" w:rsidRPr="00287D9C">
        <w:rPr>
          <w:color w:val="000000"/>
          <w:sz w:val="22"/>
          <w:szCs w:val="22"/>
          <w:lang w:val="sr-Latn-ME"/>
        </w:rPr>
        <w:t xml:space="preserve">12 mjeseci </w:t>
      </w:r>
      <w:r w:rsidRPr="00287D9C">
        <w:rPr>
          <w:color w:val="000000"/>
          <w:sz w:val="22"/>
          <w:szCs w:val="22"/>
          <w:lang w:val="sr-Latn-ME"/>
        </w:rPr>
        <w:t xml:space="preserve">ukoliko </w:t>
      </w:r>
      <w:r w:rsidR="001742DD" w:rsidRPr="00287D9C">
        <w:rPr>
          <w:color w:val="000000"/>
          <w:sz w:val="22"/>
          <w:szCs w:val="22"/>
          <w:lang w:val="sr-Latn-ME"/>
        </w:rPr>
        <w:t xml:space="preserve">se čuva na temperaturi do </w:t>
      </w:r>
      <w:r w:rsidR="001742DD" w:rsidRPr="00287D9C">
        <w:rPr>
          <w:sz w:val="22"/>
          <w:szCs w:val="22"/>
          <w:lang w:val="sr-Latn-ME"/>
        </w:rPr>
        <w:t>25</w:t>
      </w:r>
      <w:r w:rsidR="001742DD" w:rsidRPr="00287D9C">
        <w:rPr>
          <w:sz w:val="22"/>
          <w:szCs w:val="22"/>
          <w:lang w:val="sr-Latn-ME"/>
        </w:rPr>
        <w:sym w:font="Symbol" w:char="F0B0"/>
      </w:r>
      <w:r w:rsidR="001742DD" w:rsidRPr="00287D9C">
        <w:rPr>
          <w:sz w:val="22"/>
          <w:szCs w:val="22"/>
          <w:lang w:val="sr-Latn-ME"/>
        </w:rPr>
        <w:t>C</w:t>
      </w:r>
      <w:r w:rsidR="001742DD" w:rsidRPr="00287D9C">
        <w:rPr>
          <w:color w:val="000000"/>
          <w:sz w:val="22"/>
          <w:szCs w:val="22"/>
          <w:lang w:val="sr-Latn-ME"/>
        </w:rPr>
        <w:t>.</w:t>
      </w:r>
    </w:p>
    <w:p w14:paraId="753FB5FA" w14:textId="06A3D1A2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352811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6.4. </w:t>
      </w:r>
      <w:r w:rsidRPr="00287D9C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1A4ECB8D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E39C9D" w14:textId="0886C418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Lijek čuvati na temperaturi do 25</w:t>
      </w:r>
      <w:r w:rsidRPr="00287D9C">
        <w:rPr>
          <w:sz w:val="22"/>
          <w:szCs w:val="22"/>
          <w:lang w:val="sr-Latn-ME"/>
        </w:rPr>
        <w:sym w:font="Symbol" w:char="F0B0"/>
      </w:r>
      <w:r w:rsidRPr="00287D9C">
        <w:rPr>
          <w:sz w:val="22"/>
          <w:szCs w:val="22"/>
          <w:lang w:val="sr-Latn-ME"/>
        </w:rPr>
        <w:t>C.</w:t>
      </w:r>
    </w:p>
    <w:p w14:paraId="45FC1C4F" w14:textId="557F82D5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Za uslove čuvanja </w:t>
      </w:r>
      <w:r w:rsidR="00E84B31" w:rsidRPr="00287D9C">
        <w:rPr>
          <w:sz w:val="22"/>
          <w:szCs w:val="22"/>
          <w:lang w:val="sr-Latn-ME"/>
        </w:rPr>
        <w:t xml:space="preserve">lijeka </w:t>
      </w:r>
      <w:r w:rsidRPr="00287D9C">
        <w:rPr>
          <w:sz w:val="22"/>
          <w:szCs w:val="22"/>
          <w:lang w:val="sr-Latn-ME"/>
        </w:rPr>
        <w:t xml:space="preserve">nakon </w:t>
      </w:r>
      <w:r w:rsidR="00E84B31" w:rsidRPr="00287D9C">
        <w:rPr>
          <w:sz w:val="22"/>
          <w:szCs w:val="22"/>
          <w:lang w:val="sr-Latn-ME"/>
        </w:rPr>
        <w:t xml:space="preserve">prvog </w:t>
      </w:r>
      <w:r w:rsidRPr="00287D9C">
        <w:rPr>
          <w:sz w:val="22"/>
          <w:szCs w:val="22"/>
          <w:lang w:val="sr-Latn-ME"/>
        </w:rPr>
        <w:t>ot</w:t>
      </w:r>
      <w:r w:rsidR="00386C7A" w:rsidRPr="00287D9C">
        <w:rPr>
          <w:sz w:val="22"/>
          <w:szCs w:val="22"/>
          <w:lang w:val="sr-Latn-ME"/>
        </w:rPr>
        <w:t>varanja, vidjeti dio</w:t>
      </w:r>
      <w:r w:rsidRPr="00287D9C">
        <w:rPr>
          <w:sz w:val="22"/>
          <w:szCs w:val="22"/>
          <w:lang w:val="sr-Latn-ME"/>
        </w:rPr>
        <w:t xml:space="preserve"> 6.3.</w:t>
      </w:r>
    </w:p>
    <w:p w14:paraId="73D6E467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053E3A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6.5. </w:t>
      </w:r>
      <w:r w:rsidRPr="00287D9C">
        <w:rPr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623105D1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B91F76" w14:textId="46E72C2F" w:rsidR="00FA4894" w:rsidRPr="00287D9C" w:rsidRDefault="00E84B31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Unutrašnje pakovanje lijeka je</w:t>
      </w:r>
      <w:r w:rsidR="001742DD" w:rsidRPr="00287D9C">
        <w:rPr>
          <w:sz w:val="22"/>
          <w:szCs w:val="22"/>
          <w:lang w:val="sr-Latn-ME"/>
        </w:rPr>
        <w:t xml:space="preserve"> plastični </w:t>
      </w:r>
      <w:r w:rsidR="00E14D07" w:rsidRPr="00287D9C">
        <w:rPr>
          <w:sz w:val="22"/>
          <w:szCs w:val="22"/>
          <w:lang w:val="sr-Latn-ME"/>
        </w:rPr>
        <w:t xml:space="preserve">(HDPE) </w:t>
      </w:r>
      <w:r w:rsidR="001742DD" w:rsidRPr="00287D9C">
        <w:rPr>
          <w:sz w:val="22"/>
          <w:szCs w:val="22"/>
          <w:lang w:val="sr-Latn-ME"/>
        </w:rPr>
        <w:t xml:space="preserve">sprej kontejner sa bijelom sprej </w:t>
      </w:r>
      <w:proofErr w:type="spellStart"/>
      <w:r w:rsidR="001742DD" w:rsidRPr="00287D9C">
        <w:rPr>
          <w:sz w:val="22"/>
          <w:szCs w:val="22"/>
          <w:lang w:val="sr-Latn-ME"/>
        </w:rPr>
        <w:t>pumpicom</w:t>
      </w:r>
      <w:proofErr w:type="spellEnd"/>
      <w:r w:rsidR="001742DD" w:rsidRPr="00287D9C">
        <w:rPr>
          <w:sz w:val="22"/>
          <w:szCs w:val="22"/>
          <w:lang w:val="sr-Latn-ME"/>
        </w:rPr>
        <w:t xml:space="preserve"> sa </w:t>
      </w:r>
      <w:proofErr w:type="spellStart"/>
      <w:r w:rsidR="001742DD" w:rsidRPr="00287D9C">
        <w:rPr>
          <w:sz w:val="22"/>
          <w:szCs w:val="22"/>
          <w:lang w:val="sr-Latn-ME"/>
        </w:rPr>
        <w:t>aktuatorom</w:t>
      </w:r>
      <w:proofErr w:type="spellEnd"/>
      <w:r w:rsidR="001742DD" w:rsidRPr="00287D9C">
        <w:rPr>
          <w:sz w:val="22"/>
          <w:szCs w:val="22"/>
          <w:lang w:val="sr-Latn-ME"/>
        </w:rPr>
        <w:t xml:space="preserve"> i plavim plastičnim (PP) čepom</w:t>
      </w:r>
      <w:r w:rsidR="00E14D07" w:rsidRPr="00287D9C">
        <w:rPr>
          <w:sz w:val="22"/>
          <w:szCs w:val="22"/>
          <w:lang w:val="sr-Latn-ME"/>
        </w:rPr>
        <w:t>, koji sadrži</w:t>
      </w:r>
      <w:r w:rsidR="001742DD" w:rsidRPr="00287D9C">
        <w:rPr>
          <w:sz w:val="22"/>
          <w:szCs w:val="22"/>
          <w:lang w:val="sr-Latn-ME"/>
        </w:rPr>
        <w:t xml:space="preserve"> 30 ml rastvora</w:t>
      </w:r>
      <w:r w:rsidR="00E14D07" w:rsidRPr="00287D9C">
        <w:rPr>
          <w:sz w:val="22"/>
          <w:szCs w:val="22"/>
          <w:lang w:val="sr-Latn-ME"/>
        </w:rPr>
        <w:t xml:space="preserve"> što je</w:t>
      </w:r>
      <w:r w:rsidR="001742DD" w:rsidRPr="00287D9C">
        <w:rPr>
          <w:sz w:val="22"/>
          <w:szCs w:val="22"/>
          <w:lang w:val="sr-Latn-ME"/>
        </w:rPr>
        <w:t xml:space="preserve"> dovoljno za 250 raspršivanja.</w:t>
      </w:r>
    </w:p>
    <w:p w14:paraId="4AF85388" w14:textId="447E60E8" w:rsidR="00E14D07" w:rsidRPr="00287D9C" w:rsidRDefault="00E14D07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F5872BB" w14:textId="406AF3E6" w:rsidR="00E14D07" w:rsidRPr="00287D9C" w:rsidRDefault="00E14D07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287D9C">
        <w:rPr>
          <w:sz w:val="22"/>
          <w:szCs w:val="22"/>
          <w:lang w:val="sr-Latn-ME"/>
        </w:rPr>
        <w:t>složiva</w:t>
      </w:r>
      <w:proofErr w:type="spellEnd"/>
      <w:r w:rsidRPr="00287D9C">
        <w:rPr>
          <w:sz w:val="22"/>
          <w:szCs w:val="22"/>
          <w:lang w:val="sr-Latn-ME"/>
        </w:rPr>
        <w:t xml:space="preserve"> kartonska kutija u kojoj se nalazi 1 sprej kontejner i Uputstvo za lijek.</w:t>
      </w:r>
    </w:p>
    <w:p w14:paraId="11F8A100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453A25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6.6. </w:t>
      </w:r>
      <w:r w:rsidRPr="00287D9C">
        <w:rPr>
          <w:b/>
          <w:bCs/>
          <w:sz w:val="22"/>
          <w:szCs w:val="22"/>
          <w:lang w:val="sr-Latn-ME"/>
        </w:rPr>
        <w:tab/>
      </w:r>
      <w:r w:rsidRPr="00287D9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87D9C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1CD45950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730A90" w14:textId="0D64B540" w:rsidR="00FA4894" w:rsidRPr="00287D9C" w:rsidRDefault="001742DD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Neupotrijebljeni</w:t>
      </w:r>
      <w:proofErr w:type="spellEnd"/>
      <w:r w:rsidRPr="00287D9C">
        <w:rPr>
          <w:sz w:val="22"/>
          <w:szCs w:val="22"/>
          <w:lang w:val="sr-Latn-ME"/>
        </w:rPr>
        <w:t xml:space="preserve"> lijek se uništava u skladu sa važećim propisima.</w:t>
      </w:r>
    </w:p>
    <w:p w14:paraId="6B8A0488" w14:textId="5F70F1A9" w:rsidR="00E14D07" w:rsidRPr="00287D9C" w:rsidRDefault="00E14D07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0AF3CD32" w14:textId="77777777" w:rsidR="00E14D07" w:rsidRPr="00287D9C" w:rsidRDefault="00E14D07" w:rsidP="001A20AC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177724E2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7. </w:t>
      </w:r>
      <w:r w:rsidRPr="00287D9C">
        <w:rPr>
          <w:b/>
          <w:bCs/>
          <w:sz w:val="22"/>
          <w:szCs w:val="22"/>
          <w:lang w:val="sr-Latn-ME"/>
        </w:rPr>
        <w:tab/>
        <w:t xml:space="preserve">NOSILAC DOZVOLE </w:t>
      </w:r>
    </w:p>
    <w:p w14:paraId="50CEB829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7BD05E" w14:textId="2D96D347" w:rsidR="00FA4894" w:rsidRPr="00287D9C" w:rsidRDefault="001742DD" w:rsidP="001A20AC">
      <w:pPr>
        <w:autoSpaceDE w:val="0"/>
        <w:autoSpaceDN w:val="0"/>
        <w:adjustRightInd w:val="0"/>
        <w:ind w:left="1985" w:hanging="1985"/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D</w:t>
      </w:r>
      <w:r w:rsidR="00E14D07" w:rsidRPr="00287D9C">
        <w:rPr>
          <w:sz w:val="22"/>
          <w:szCs w:val="22"/>
          <w:lang w:val="sr-Latn-ME"/>
        </w:rPr>
        <w:t>.</w:t>
      </w:r>
      <w:r w:rsidRPr="00287D9C">
        <w:rPr>
          <w:sz w:val="22"/>
          <w:szCs w:val="22"/>
          <w:lang w:val="sr-Latn-ME"/>
        </w:rPr>
        <w:t>S</w:t>
      </w:r>
      <w:r w:rsidR="00E14D07" w:rsidRPr="00287D9C">
        <w:rPr>
          <w:sz w:val="22"/>
          <w:szCs w:val="22"/>
          <w:lang w:val="sr-Latn-ME"/>
        </w:rPr>
        <w:t>.</w:t>
      </w:r>
      <w:r w:rsidRPr="00287D9C">
        <w:rPr>
          <w:sz w:val="22"/>
          <w:szCs w:val="22"/>
          <w:lang w:val="sr-Latn-ME"/>
        </w:rPr>
        <w:t>D</w:t>
      </w:r>
      <w:r w:rsidR="00E14D07" w:rsidRPr="00287D9C">
        <w:rPr>
          <w:sz w:val="22"/>
          <w:szCs w:val="22"/>
          <w:lang w:val="sr-Latn-ME"/>
        </w:rPr>
        <w:t>.</w:t>
      </w:r>
      <w:r w:rsidRPr="00287D9C">
        <w:rPr>
          <w:sz w:val="22"/>
          <w:szCs w:val="22"/>
          <w:lang w:val="sr-Latn-ME"/>
        </w:rPr>
        <w:t xml:space="preserve"> „KRKA </w:t>
      </w:r>
      <w:proofErr w:type="spellStart"/>
      <w:r w:rsidRPr="00287D9C">
        <w:rPr>
          <w:sz w:val="22"/>
          <w:szCs w:val="22"/>
          <w:lang w:val="sr-Latn-ME"/>
        </w:rPr>
        <w:t>d.d</w:t>
      </w:r>
      <w:proofErr w:type="spellEnd"/>
      <w:r w:rsidRPr="00287D9C">
        <w:rPr>
          <w:sz w:val="22"/>
          <w:szCs w:val="22"/>
          <w:lang w:val="sr-Latn-ME"/>
        </w:rPr>
        <w:t xml:space="preserve">., Novo </w:t>
      </w:r>
      <w:proofErr w:type="spellStart"/>
      <w:r w:rsidRPr="00287D9C">
        <w:rPr>
          <w:sz w:val="22"/>
          <w:szCs w:val="22"/>
          <w:lang w:val="sr-Latn-ME"/>
        </w:rPr>
        <w:t>mesto</w:t>
      </w:r>
      <w:proofErr w:type="spellEnd"/>
      <w:r w:rsidRPr="00287D9C">
        <w:rPr>
          <w:sz w:val="22"/>
          <w:szCs w:val="22"/>
          <w:lang w:val="sr-Latn-ME"/>
        </w:rPr>
        <w:t>“</w:t>
      </w:r>
      <w:r w:rsidR="00E14D07" w:rsidRPr="00287D9C">
        <w:rPr>
          <w:sz w:val="22"/>
          <w:szCs w:val="22"/>
          <w:lang w:val="sr-Latn-ME"/>
        </w:rPr>
        <w:t xml:space="preserve"> Slovenija</w:t>
      </w:r>
      <w:r w:rsidRPr="00287D9C">
        <w:rPr>
          <w:sz w:val="22"/>
          <w:szCs w:val="22"/>
          <w:lang w:val="sr-Latn-ME"/>
        </w:rPr>
        <w:t xml:space="preserve"> - predstavništvo Podgorica</w:t>
      </w:r>
      <w:r w:rsidR="00E14D07" w:rsidRPr="00287D9C">
        <w:rPr>
          <w:sz w:val="22"/>
          <w:szCs w:val="22"/>
          <w:lang w:val="sr-Latn-ME"/>
        </w:rPr>
        <w:t>,</w:t>
      </w:r>
    </w:p>
    <w:p w14:paraId="19F566F7" w14:textId="77777777" w:rsidR="00FA4894" w:rsidRPr="00287D9C" w:rsidRDefault="001742DD" w:rsidP="001A20AC">
      <w:pPr>
        <w:autoSpaceDE w:val="0"/>
        <w:autoSpaceDN w:val="0"/>
        <w:adjustRightInd w:val="0"/>
        <w:ind w:right="71"/>
        <w:jc w:val="both"/>
        <w:rPr>
          <w:sz w:val="22"/>
          <w:szCs w:val="22"/>
          <w:lang w:val="sr-Latn-ME"/>
        </w:rPr>
      </w:pPr>
      <w:proofErr w:type="spellStart"/>
      <w:r w:rsidRPr="00287D9C">
        <w:rPr>
          <w:sz w:val="22"/>
          <w:szCs w:val="22"/>
          <w:lang w:val="sr-Latn-ME"/>
        </w:rPr>
        <w:t>Svetlane</w:t>
      </w:r>
      <w:proofErr w:type="spellEnd"/>
      <w:r w:rsidRPr="00287D9C">
        <w:rPr>
          <w:sz w:val="22"/>
          <w:szCs w:val="22"/>
          <w:lang w:val="sr-Latn-ME"/>
        </w:rPr>
        <w:t xml:space="preserve"> Kane </w:t>
      </w:r>
      <w:proofErr w:type="spellStart"/>
      <w:r w:rsidRPr="00287D9C">
        <w:rPr>
          <w:sz w:val="22"/>
          <w:szCs w:val="22"/>
          <w:lang w:val="sr-Latn-ME"/>
        </w:rPr>
        <w:t>Radević</w:t>
      </w:r>
      <w:proofErr w:type="spellEnd"/>
      <w:r w:rsidRPr="00287D9C">
        <w:rPr>
          <w:sz w:val="22"/>
          <w:szCs w:val="22"/>
          <w:lang w:val="sr-Latn-ME"/>
        </w:rPr>
        <w:t xml:space="preserve"> br. 3, 81000 Podgorica, Crna Gora</w:t>
      </w:r>
    </w:p>
    <w:p w14:paraId="767BC9C6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F8AC0A" w14:textId="77777777" w:rsidR="00435B3F" w:rsidRPr="00287D9C" w:rsidRDefault="00435B3F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ECBFE5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8. </w:t>
      </w:r>
      <w:r w:rsidRPr="00287D9C">
        <w:rPr>
          <w:b/>
          <w:bCs/>
          <w:sz w:val="22"/>
          <w:szCs w:val="22"/>
          <w:lang w:val="sr-Latn-ME"/>
        </w:rPr>
        <w:tab/>
        <w:t>BROJ DOZVOLE ZA STAVLJANJE LIJEKA U PROMET</w:t>
      </w:r>
    </w:p>
    <w:p w14:paraId="288A79E0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B52B6F" w14:textId="40A71B0F" w:rsidR="00287D9C" w:rsidRPr="00287D9C" w:rsidRDefault="00287D9C" w:rsidP="00287D9C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 xml:space="preserve">2030/25/2078 – 644 </w:t>
      </w:r>
    </w:p>
    <w:p w14:paraId="3574B491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3FFB36" w14:textId="77777777" w:rsidR="00435B3F" w:rsidRPr="00287D9C" w:rsidRDefault="00435B3F" w:rsidP="001A20A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952CF9" w14:textId="77777777" w:rsidR="00FA4894" w:rsidRPr="00287D9C" w:rsidRDefault="001742DD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9. </w:t>
      </w:r>
      <w:r w:rsidRPr="00287D9C">
        <w:rPr>
          <w:b/>
          <w:bCs/>
          <w:sz w:val="22"/>
          <w:szCs w:val="22"/>
          <w:lang w:val="sr-Latn-ME"/>
        </w:rPr>
        <w:tab/>
        <w:t>DATUM PRVE DOZVOLE/OBNOVE DOZVOLE ZA STAVLJANJE LIJEKA U PROMET</w:t>
      </w:r>
    </w:p>
    <w:p w14:paraId="23EB0495" w14:textId="77777777" w:rsidR="00FA4894" w:rsidRPr="00287D9C" w:rsidRDefault="00FA4894" w:rsidP="001A20A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1B7D7B" w14:textId="114B5328" w:rsidR="00FA4894" w:rsidRPr="00287D9C" w:rsidRDefault="00E14D07" w:rsidP="001A20AC">
      <w:pPr>
        <w:tabs>
          <w:tab w:val="left" w:pos="709"/>
        </w:tabs>
        <w:jc w:val="both"/>
        <w:rPr>
          <w:bCs/>
          <w:sz w:val="22"/>
          <w:szCs w:val="22"/>
          <w:lang w:val="sr-Latn-ME"/>
        </w:rPr>
      </w:pPr>
      <w:r w:rsidRPr="00287D9C">
        <w:rPr>
          <w:bCs/>
          <w:sz w:val="22"/>
          <w:szCs w:val="22"/>
          <w:lang w:val="sr-Latn-ME"/>
        </w:rPr>
        <w:t xml:space="preserve">Datum prve dozvole: </w:t>
      </w:r>
      <w:r w:rsidR="001742DD" w:rsidRPr="00287D9C">
        <w:rPr>
          <w:bCs/>
          <w:sz w:val="22"/>
          <w:szCs w:val="22"/>
          <w:lang w:val="sr-Latn-ME"/>
        </w:rPr>
        <w:t>16.11.2016. godine</w:t>
      </w:r>
    </w:p>
    <w:p w14:paraId="5BA997BF" w14:textId="260EAD77" w:rsidR="00435B3F" w:rsidRPr="00287D9C" w:rsidRDefault="00E14D07" w:rsidP="001A20AC">
      <w:pPr>
        <w:tabs>
          <w:tab w:val="left" w:pos="709"/>
        </w:tabs>
        <w:jc w:val="both"/>
        <w:rPr>
          <w:bCs/>
          <w:sz w:val="22"/>
          <w:szCs w:val="22"/>
          <w:lang w:val="sr-Latn-ME"/>
        </w:rPr>
      </w:pPr>
      <w:r w:rsidRPr="00287D9C">
        <w:rPr>
          <w:bCs/>
          <w:sz w:val="22"/>
          <w:szCs w:val="22"/>
          <w:lang w:val="sr-Latn-ME"/>
        </w:rPr>
        <w:t>Datum posljednje obnove dozvole:</w:t>
      </w:r>
      <w:r w:rsidR="00287D9C" w:rsidRPr="00287D9C">
        <w:rPr>
          <w:sz w:val="22"/>
          <w:szCs w:val="22"/>
          <w:lang w:val="sr-Latn-ME"/>
        </w:rPr>
        <w:t xml:space="preserve"> </w:t>
      </w:r>
      <w:r w:rsidR="00287D9C" w:rsidRPr="00287D9C">
        <w:rPr>
          <w:sz w:val="22"/>
          <w:szCs w:val="22"/>
          <w:lang w:val="sr-Latn-ME"/>
        </w:rPr>
        <w:t>14.05.2025. godine</w:t>
      </w:r>
    </w:p>
    <w:p w14:paraId="5E00FE66" w14:textId="77777777" w:rsidR="00E14D07" w:rsidRPr="00287D9C" w:rsidRDefault="00E14D07" w:rsidP="001A20AC">
      <w:pPr>
        <w:tabs>
          <w:tab w:val="left" w:pos="709"/>
        </w:tabs>
        <w:jc w:val="both"/>
        <w:rPr>
          <w:bCs/>
          <w:sz w:val="22"/>
          <w:szCs w:val="22"/>
          <w:lang w:val="sr-Latn-ME"/>
        </w:rPr>
      </w:pPr>
    </w:p>
    <w:p w14:paraId="142F5FD8" w14:textId="77777777" w:rsidR="00435B3F" w:rsidRPr="00287D9C" w:rsidRDefault="00435B3F" w:rsidP="001A20AC">
      <w:pPr>
        <w:tabs>
          <w:tab w:val="left" w:pos="709"/>
        </w:tabs>
        <w:jc w:val="both"/>
        <w:rPr>
          <w:bCs/>
          <w:sz w:val="22"/>
          <w:szCs w:val="22"/>
          <w:lang w:val="sr-Latn-ME"/>
        </w:rPr>
      </w:pPr>
    </w:p>
    <w:p w14:paraId="787C92B2" w14:textId="77777777" w:rsidR="00FA4894" w:rsidRPr="00287D9C" w:rsidRDefault="001742DD" w:rsidP="001A20AC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287D9C">
        <w:rPr>
          <w:b/>
          <w:bCs/>
          <w:sz w:val="22"/>
          <w:szCs w:val="22"/>
          <w:lang w:val="sr-Latn-ME"/>
        </w:rPr>
        <w:t xml:space="preserve">10. </w:t>
      </w:r>
      <w:r w:rsidRPr="00287D9C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5E149D77" w14:textId="77777777" w:rsidR="00FA4894" w:rsidRPr="00287D9C" w:rsidRDefault="00FA4894" w:rsidP="001A20AC">
      <w:pPr>
        <w:jc w:val="both"/>
        <w:rPr>
          <w:bCs/>
          <w:sz w:val="22"/>
          <w:szCs w:val="22"/>
          <w:lang w:val="sr-Latn-ME"/>
        </w:rPr>
      </w:pPr>
    </w:p>
    <w:p w14:paraId="1893B9DA" w14:textId="042D8E9B" w:rsidR="00FA4894" w:rsidRPr="00287D9C" w:rsidRDefault="00287D9C" w:rsidP="001A20AC">
      <w:pPr>
        <w:jc w:val="both"/>
        <w:rPr>
          <w:sz w:val="22"/>
          <w:szCs w:val="22"/>
          <w:lang w:val="sr-Latn-ME"/>
        </w:rPr>
      </w:pPr>
      <w:r w:rsidRPr="00287D9C">
        <w:rPr>
          <w:sz w:val="22"/>
          <w:szCs w:val="22"/>
          <w:lang w:val="sr-Latn-ME"/>
        </w:rPr>
        <w:t>Maj, 2025. godine</w:t>
      </w:r>
    </w:p>
    <w:sectPr w:rsidR="00FA4894" w:rsidRPr="00287D9C" w:rsidSect="00287D9C">
      <w:footerReference w:type="default" r:id="rId14"/>
      <w:pgSz w:w="11901" w:h="16840" w:code="184"/>
      <w:pgMar w:top="1440" w:right="1797" w:bottom="1440" w:left="1797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7521D" w14:textId="77777777" w:rsidR="00ED72F2" w:rsidRDefault="00ED72F2">
      <w:r>
        <w:separator/>
      </w:r>
    </w:p>
  </w:endnote>
  <w:endnote w:type="continuationSeparator" w:id="0">
    <w:p w14:paraId="22BF6547" w14:textId="77777777" w:rsidR="00ED72F2" w:rsidRDefault="00ED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08760" w14:textId="08EE120F" w:rsidR="00FA4894" w:rsidRDefault="001742D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287D9C">
      <w:rPr>
        <w:noProof/>
        <w:sz w:val="22"/>
        <w:szCs w:val="22"/>
      </w:rPr>
      <w:t>7</w:t>
    </w:r>
    <w:r>
      <w:rPr>
        <w:noProof/>
        <w:sz w:val="22"/>
        <w:szCs w:val="22"/>
      </w:rPr>
      <w:fldChar w:fldCharType="end"/>
    </w:r>
    <w:r w:rsidR="00E84B31">
      <w:rPr>
        <w:noProof/>
        <w:sz w:val="22"/>
        <w:szCs w:val="22"/>
      </w:rPr>
      <w:t xml:space="preserve"> </w:t>
    </w:r>
    <w:r>
      <w:rPr>
        <w:noProof/>
        <w:sz w:val="22"/>
        <w:szCs w:val="22"/>
      </w:rPr>
      <w:t>/</w:t>
    </w:r>
    <w:r w:rsidR="00E84B31">
      <w:rPr>
        <w:noProof/>
        <w:sz w:val="22"/>
        <w:szCs w:val="22"/>
      </w:rPr>
      <w:t xml:space="preserve"> </w:t>
    </w:r>
    <w:r w:rsidR="00E14D07">
      <w:rPr>
        <w:noProof/>
        <w:sz w:val="22"/>
        <w:szCs w:val="22"/>
      </w:rPr>
      <w:t>7</w:t>
    </w:r>
  </w:p>
  <w:p w14:paraId="40662F5D" w14:textId="77777777" w:rsidR="00FA4894" w:rsidRDefault="00FA4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40D18" w14:textId="77777777" w:rsidR="00ED72F2" w:rsidRDefault="00ED72F2">
      <w:r>
        <w:separator/>
      </w:r>
    </w:p>
  </w:footnote>
  <w:footnote w:type="continuationSeparator" w:id="0">
    <w:p w14:paraId="3FBB2D40" w14:textId="77777777" w:rsidR="00ED72F2" w:rsidRDefault="00ED7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E0F"/>
    <w:multiLevelType w:val="hybridMultilevel"/>
    <w:tmpl w:val="C156733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C71D3"/>
    <w:multiLevelType w:val="hybridMultilevel"/>
    <w:tmpl w:val="098CBA84"/>
    <w:lvl w:ilvl="0" w:tplc="0000000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94"/>
    <w:rsid w:val="000B2562"/>
    <w:rsid w:val="000F76C8"/>
    <w:rsid w:val="001742DD"/>
    <w:rsid w:val="001812B1"/>
    <w:rsid w:val="001A20AC"/>
    <w:rsid w:val="001F6070"/>
    <w:rsid w:val="00244D65"/>
    <w:rsid w:val="00285EE4"/>
    <w:rsid w:val="00287D9C"/>
    <w:rsid w:val="00386C7A"/>
    <w:rsid w:val="003B2D40"/>
    <w:rsid w:val="003C3A15"/>
    <w:rsid w:val="003F6845"/>
    <w:rsid w:val="00435B3F"/>
    <w:rsid w:val="00473372"/>
    <w:rsid w:val="005048B7"/>
    <w:rsid w:val="00602625"/>
    <w:rsid w:val="006506D3"/>
    <w:rsid w:val="006A11C7"/>
    <w:rsid w:val="006F6E4B"/>
    <w:rsid w:val="007555EE"/>
    <w:rsid w:val="007D3DCD"/>
    <w:rsid w:val="007E5EC9"/>
    <w:rsid w:val="008A61E6"/>
    <w:rsid w:val="009360AA"/>
    <w:rsid w:val="009B7324"/>
    <w:rsid w:val="00A10E9C"/>
    <w:rsid w:val="00A67C88"/>
    <w:rsid w:val="00AD59B0"/>
    <w:rsid w:val="00BA2062"/>
    <w:rsid w:val="00BB40ED"/>
    <w:rsid w:val="00BD38F2"/>
    <w:rsid w:val="00BE143D"/>
    <w:rsid w:val="00BE38AD"/>
    <w:rsid w:val="00C84B22"/>
    <w:rsid w:val="00CC7510"/>
    <w:rsid w:val="00D3155E"/>
    <w:rsid w:val="00D516B6"/>
    <w:rsid w:val="00DD7DDC"/>
    <w:rsid w:val="00E14D07"/>
    <w:rsid w:val="00E84B31"/>
    <w:rsid w:val="00EA27DE"/>
    <w:rsid w:val="00ED72F2"/>
    <w:rsid w:val="00F0593C"/>
    <w:rsid w:val="00F37221"/>
    <w:rsid w:val="00F73DA9"/>
    <w:rsid w:val="00F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FCC99"/>
  <w15:chartTrackingRefBased/>
  <w15:docId w15:val="{B20D648E-48D7-49E8-9D8C-D5634378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50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73EE91-6FA2-47D9-9AB3-BB570361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1770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Ninoslava Lalatović</cp:lastModifiedBy>
  <cp:revision>10</cp:revision>
  <dcterms:created xsi:type="dcterms:W3CDTF">2025-03-24T13:00:00Z</dcterms:created>
  <dcterms:modified xsi:type="dcterms:W3CDTF">2025-05-14T11:39:00Z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