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9ACF6" w14:textId="77777777" w:rsidR="00CE73FC" w:rsidRPr="00173F69" w:rsidRDefault="00CE73FC" w:rsidP="00614295">
      <w:pPr>
        <w:rPr>
          <w:szCs w:val="22"/>
          <w:lang w:val="sr-Latn-ME"/>
        </w:rPr>
      </w:pPr>
    </w:p>
    <w:p w14:paraId="3AA9FFE9" w14:textId="6333108A" w:rsidR="00CE09F3" w:rsidRPr="00173F69" w:rsidRDefault="00CE09F3" w:rsidP="00614295">
      <w:pPr>
        <w:jc w:val="center"/>
        <w:rPr>
          <w:b/>
          <w:bCs/>
          <w:iCs/>
          <w:szCs w:val="22"/>
          <w:u w:val="single"/>
          <w:lang w:val="sr-Latn-ME"/>
        </w:rPr>
      </w:pPr>
      <w:r w:rsidRPr="00173F69">
        <w:rPr>
          <w:b/>
          <w:bCs/>
          <w:iCs/>
          <w:szCs w:val="22"/>
          <w:u w:val="single"/>
          <w:lang w:val="sr-Latn-ME"/>
        </w:rPr>
        <w:t>SAŽETAK KARAKTERISTIKA L</w:t>
      </w:r>
      <w:r w:rsidR="009213FE" w:rsidRPr="00173F69">
        <w:rPr>
          <w:b/>
          <w:bCs/>
          <w:iCs/>
          <w:szCs w:val="22"/>
          <w:u w:val="single"/>
          <w:lang w:val="sr-Latn-ME"/>
        </w:rPr>
        <w:t>IJ</w:t>
      </w:r>
      <w:r w:rsidRPr="00173F69">
        <w:rPr>
          <w:b/>
          <w:bCs/>
          <w:iCs/>
          <w:szCs w:val="22"/>
          <w:u w:val="single"/>
          <w:lang w:val="sr-Latn-ME"/>
        </w:rPr>
        <w:t>EKA</w:t>
      </w:r>
    </w:p>
    <w:p w14:paraId="26CB58E0" w14:textId="77777777" w:rsidR="00383195" w:rsidRPr="00173F69" w:rsidRDefault="003E3EC7" w:rsidP="00614295">
      <w:pPr>
        <w:rPr>
          <w:szCs w:val="22"/>
          <w:lang w:val="sr-Latn-ME"/>
        </w:rPr>
      </w:pPr>
      <w:r w:rsidRPr="00173F69">
        <w:rPr>
          <w:szCs w:val="22"/>
          <w:lang w:val="sr-Latn-ME"/>
        </w:rPr>
        <w:t xml:space="preserve"> </w:t>
      </w:r>
    </w:p>
    <w:p w14:paraId="621D4AEF" w14:textId="77777777" w:rsidR="00CE09F3" w:rsidRPr="00173F69" w:rsidRDefault="00CE09F3" w:rsidP="00614295">
      <w:pPr>
        <w:rPr>
          <w:b/>
          <w:bCs/>
          <w:szCs w:val="22"/>
          <w:lang w:val="sr-Latn-ME"/>
        </w:rPr>
      </w:pPr>
    </w:p>
    <w:p w14:paraId="18D0B08E" w14:textId="3625B329" w:rsidR="00CE09F3" w:rsidRPr="00173F69" w:rsidRDefault="00CE09F3" w:rsidP="00614295">
      <w:pPr>
        <w:pStyle w:val="NASLOV123"/>
        <w:spacing w:before="0" w:after="0"/>
        <w:rPr>
          <w:lang w:val="sr-Latn-ME"/>
        </w:rPr>
      </w:pPr>
      <w:r w:rsidRPr="00173F69">
        <w:rPr>
          <w:lang w:val="sr-Latn-ME"/>
        </w:rPr>
        <w:t xml:space="preserve">1. </w:t>
      </w:r>
      <w:r w:rsidR="00327AA1" w:rsidRPr="00173F69">
        <w:rPr>
          <w:lang w:val="sr-Latn-ME"/>
        </w:rPr>
        <w:t>NAZIV</w:t>
      </w:r>
      <w:r w:rsidRPr="00173F69">
        <w:rPr>
          <w:lang w:val="sr-Latn-ME"/>
        </w:rPr>
        <w:t xml:space="preserve"> </w:t>
      </w:r>
      <w:r w:rsidR="00305BDB" w:rsidRPr="00173F69">
        <w:rPr>
          <w:lang w:val="sr-Latn-ME"/>
        </w:rPr>
        <w:t>LIJEKA</w:t>
      </w:r>
    </w:p>
    <w:p w14:paraId="21228268" w14:textId="77777777" w:rsidR="00614295" w:rsidRPr="00173F69" w:rsidRDefault="00614295" w:rsidP="00614295">
      <w:pPr>
        <w:rPr>
          <w:szCs w:val="22"/>
          <w:lang w:val="sr-Latn-ME"/>
        </w:rPr>
      </w:pPr>
    </w:p>
    <w:p w14:paraId="1912097C" w14:textId="128A84F6" w:rsidR="00CE09F3" w:rsidRPr="00173F69" w:rsidRDefault="0064623E" w:rsidP="00614295">
      <w:pPr>
        <w:rPr>
          <w:bCs/>
          <w:szCs w:val="22"/>
          <w:lang w:val="sr-Latn-ME"/>
        </w:rPr>
      </w:pPr>
      <w:proofErr w:type="spellStart"/>
      <w:r w:rsidRPr="00173F69">
        <w:rPr>
          <w:szCs w:val="22"/>
          <w:lang w:val="sr-Latn-ME"/>
        </w:rPr>
        <w:t>I</w:t>
      </w:r>
      <w:r w:rsidR="00AC616E" w:rsidRPr="00173F69">
        <w:rPr>
          <w:szCs w:val="22"/>
          <w:lang w:val="sr-Latn-ME"/>
        </w:rPr>
        <w:t>soprinosine</w:t>
      </w:r>
      <w:proofErr w:type="spellEnd"/>
      <w:r w:rsidRPr="00173F69">
        <w:rPr>
          <w:szCs w:val="22"/>
          <w:lang w:val="sr-Latn-ME"/>
        </w:rPr>
        <w:t>,</w:t>
      </w:r>
      <w:r w:rsidRPr="00173F69">
        <w:rPr>
          <w:szCs w:val="22"/>
          <w:vertAlign w:val="superscript"/>
          <w:lang w:val="sr-Latn-ME"/>
        </w:rPr>
        <w:t xml:space="preserve"> </w:t>
      </w:r>
      <w:r w:rsidRPr="00173F69">
        <w:rPr>
          <w:szCs w:val="22"/>
          <w:lang w:val="sr-Latn-ME"/>
        </w:rPr>
        <w:t>50 mg/m</w:t>
      </w:r>
      <w:r w:rsidR="00614295" w:rsidRPr="00173F69">
        <w:rPr>
          <w:szCs w:val="22"/>
          <w:lang w:val="sr-Latn-ME"/>
        </w:rPr>
        <w:t>l</w:t>
      </w:r>
      <w:r w:rsidRPr="00173F69">
        <w:rPr>
          <w:szCs w:val="22"/>
          <w:lang w:val="sr-Latn-ME"/>
        </w:rPr>
        <w:t>, sirup</w:t>
      </w:r>
    </w:p>
    <w:p w14:paraId="6402A1FA" w14:textId="77777777" w:rsidR="00CE09F3" w:rsidRPr="00173F69" w:rsidRDefault="00CE09F3" w:rsidP="00614295">
      <w:pPr>
        <w:rPr>
          <w:bCs/>
          <w:szCs w:val="22"/>
          <w:lang w:val="sr-Latn-ME"/>
        </w:rPr>
      </w:pPr>
    </w:p>
    <w:p w14:paraId="540CDC0B" w14:textId="77777777" w:rsidR="00CE09F3" w:rsidRPr="00173F69" w:rsidRDefault="00CE09F3" w:rsidP="00614295">
      <w:pPr>
        <w:rPr>
          <w:szCs w:val="22"/>
          <w:lang w:val="sr-Latn-ME"/>
        </w:rPr>
      </w:pPr>
      <w:r w:rsidRPr="00173F69">
        <w:rPr>
          <w:szCs w:val="22"/>
          <w:lang w:val="sr-Latn-ME"/>
        </w:rPr>
        <w:t>INN:</w:t>
      </w:r>
      <w:r w:rsidR="0064623E" w:rsidRPr="00173F69">
        <w:rPr>
          <w:szCs w:val="22"/>
          <w:lang w:val="sr-Latn-ME"/>
        </w:rPr>
        <w:t xml:space="preserve"> </w:t>
      </w:r>
      <w:proofErr w:type="spellStart"/>
      <w:r w:rsidR="00AC2D0C" w:rsidRPr="00173F69">
        <w:rPr>
          <w:szCs w:val="22"/>
          <w:lang w:val="sr-Latn-ME"/>
        </w:rPr>
        <w:t>i</w:t>
      </w:r>
      <w:r w:rsidR="0064623E" w:rsidRPr="00173F69">
        <w:rPr>
          <w:szCs w:val="22"/>
          <w:lang w:val="sr-Latn-ME"/>
        </w:rPr>
        <w:t>nozin</w:t>
      </w:r>
      <w:proofErr w:type="spellEnd"/>
      <w:r w:rsidR="0064623E" w:rsidRPr="00173F69">
        <w:rPr>
          <w:szCs w:val="22"/>
          <w:lang w:val="sr-Latn-ME"/>
        </w:rPr>
        <w:t xml:space="preserve"> </w:t>
      </w:r>
    </w:p>
    <w:p w14:paraId="534DEF80" w14:textId="0468FE3C" w:rsidR="00747889" w:rsidRPr="00173F69" w:rsidRDefault="00747889" w:rsidP="00614295">
      <w:pPr>
        <w:rPr>
          <w:szCs w:val="22"/>
          <w:lang w:val="sr-Latn-ME"/>
        </w:rPr>
      </w:pPr>
    </w:p>
    <w:p w14:paraId="4AEDF519" w14:textId="77777777" w:rsidR="00614295" w:rsidRPr="00173F69" w:rsidRDefault="00614295" w:rsidP="00614295">
      <w:pPr>
        <w:rPr>
          <w:szCs w:val="22"/>
          <w:lang w:val="sr-Latn-ME"/>
        </w:rPr>
      </w:pPr>
    </w:p>
    <w:p w14:paraId="0C62853D" w14:textId="77777777" w:rsidR="00CE09F3" w:rsidRPr="00173F69" w:rsidRDefault="00CE09F3" w:rsidP="00614295">
      <w:pPr>
        <w:pStyle w:val="NASLOV123"/>
        <w:spacing w:before="0" w:after="0"/>
        <w:rPr>
          <w:lang w:val="sr-Latn-ME"/>
        </w:rPr>
      </w:pPr>
      <w:r w:rsidRPr="00173F69">
        <w:rPr>
          <w:lang w:val="sr-Latn-ME"/>
        </w:rPr>
        <w:t>2. KVALITATIVNI I KVANTITATIVNI SASTAV</w:t>
      </w:r>
    </w:p>
    <w:p w14:paraId="1A66BB10" w14:textId="77777777" w:rsidR="00614295" w:rsidRPr="00173F69" w:rsidRDefault="00614295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23231F0F" w14:textId="671B9B05" w:rsidR="00614295" w:rsidRPr="00173F69" w:rsidRDefault="00490502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173F69">
        <w:rPr>
          <w:szCs w:val="22"/>
          <w:lang w:val="sr-Latn-ME"/>
        </w:rPr>
        <w:t>Jedan</w:t>
      </w:r>
      <w:r w:rsidR="0064623E" w:rsidRPr="00173F69">
        <w:rPr>
          <w:szCs w:val="22"/>
          <w:lang w:val="sr-Latn-ME"/>
        </w:rPr>
        <w:t xml:space="preserve"> m</w:t>
      </w:r>
      <w:r w:rsidR="00747889" w:rsidRPr="00173F69">
        <w:rPr>
          <w:szCs w:val="22"/>
          <w:lang w:val="sr-Latn-ME"/>
        </w:rPr>
        <w:t>ililitar</w:t>
      </w:r>
      <w:r w:rsidR="0064623E" w:rsidRPr="00173F69">
        <w:rPr>
          <w:szCs w:val="22"/>
          <w:lang w:val="sr-Latn-ME"/>
        </w:rPr>
        <w:t xml:space="preserve"> sirupa sadrži 50 mg </w:t>
      </w:r>
      <w:proofErr w:type="spellStart"/>
      <w:r w:rsidR="0064623E" w:rsidRPr="00173F69">
        <w:rPr>
          <w:szCs w:val="22"/>
          <w:lang w:val="sr-Latn-ME"/>
        </w:rPr>
        <w:t>inozin</w:t>
      </w:r>
      <w:proofErr w:type="spellEnd"/>
      <w:r w:rsidR="0064623E" w:rsidRPr="00173F69">
        <w:rPr>
          <w:szCs w:val="22"/>
          <w:lang w:val="sr-Latn-ME"/>
        </w:rPr>
        <w:t xml:space="preserve"> </w:t>
      </w:r>
      <w:proofErr w:type="spellStart"/>
      <w:r w:rsidR="0064623E" w:rsidRPr="00173F69">
        <w:rPr>
          <w:szCs w:val="22"/>
          <w:lang w:val="sr-Latn-ME"/>
        </w:rPr>
        <w:t>acedoben</w:t>
      </w:r>
      <w:proofErr w:type="spellEnd"/>
      <w:r w:rsidR="0064623E" w:rsidRPr="00173F69">
        <w:rPr>
          <w:szCs w:val="22"/>
          <w:lang w:val="sr-Latn-ME"/>
        </w:rPr>
        <w:t xml:space="preserve"> </w:t>
      </w:r>
      <w:proofErr w:type="spellStart"/>
      <w:r w:rsidR="0064623E" w:rsidRPr="00173F69">
        <w:rPr>
          <w:szCs w:val="22"/>
          <w:lang w:val="sr-Latn-ME"/>
        </w:rPr>
        <w:t>dimepranola</w:t>
      </w:r>
      <w:proofErr w:type="spellEnd"/>
      <w:r w:rsidR="0064623E" w:rsidRPr="00173F69">
        <w:rPr>
          <w:szCs w:val="22"/>
          <w:lang w:val="sr-Latn-ME"/>
        </w:rPr>
        <w:t xml:space="preserve">. </w:t>
      </w:r>
    </w:p>
    <w:p w14:paraId="3A9E3693" w14:textId="2916FDDD" w:rsidR="0064623E" w:rsidRPr="00173F69" w:rsidRDefault="0064623E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173F69">
        <w:rPr>
          <w:szCs w:val="22"/>
          <w:lang w:val="sr-Latn-ME"/>
        </w:rPr>
        <w:t>Jedna puna kašika za doziranje (5 m</w:t>
      </w:r>
      <w:r w:rsidR="00614295" w:rsidRPr="00173F69">
        <w:rPr>
          <w:szCs w:val="22"/>
          <w:lang w:val="sr-Latn-ME"/>
        </w:rPr>
        <w:t>l</w:t>
      </w:r>
      <w:r w:rsidRPr="00173F69">
        <w:rPr>
          <w:szCs w:val="22"/>
          <w:lang w:val="sr-Latn-ME"/>
        </w:rPr>
        <w:t xml:space="preserve">) sirupa sadrži 250 mg </w:t>
      </w:r>
      <w:proofErr w:type="spellStart"/>
      <w:r w:rsidRPr="00173F69">
        <w:rPr>
          <w:szCs w:val="22"/>
          <w:lang w:val="sr-Latn-ME"/>
        </w:rPr>
        <w:t>inozin</w:t>
      </w:r>
      <w:proofErr w:type="spellEnd"/>
      <w:r w:rsidRPr="00173F69">
        <w:rPr>
          <w:szCs w:val="22"/>
          <w:lang w:val="sr-Latn-ME"/>
        </w:rPr>
        <w:t xml:space="preserve"> </w:t>
      </w:r>
      <w:proofErr w:type="spellStart"/>
      <w:r w:rsidRPr="00173F69">
        <w:rPr>
          <w:szCs w:val="22"/>
          <w:lang w:val="sr-Latn-ME"/>
        </w:rPr>
        <w:t>acedoben</w:t>
      </w:r>
      <w:proofErr w:type="spellEnd"/>
      <w:r w:rsidRPr="00173F69">
        <w:rPr>
          <w:szCs w:val="22"/>
          <w:lang w:val="sr-Latn-ME"/>
        </w:rPr>
        <w:t xml:space="preserve"> </w:t>
      </w:r>
      <w:proofErr w:type="spellStart"/>
      <w:r w:rsidRPr="00173F69">
        <w:rPr>
          <w:szCs w:val="22"/>
          <w:lang w:val="sr-Latn-ME"/>
        </w:rPr>
        <w:t>dimepranola</w:t>
      </w:r>
      <w:proofErr w:type="spellEnd"/>
      <w:r w:rsidRPr="00173F69">
        <w:rPr>
          <w:szCs w:val="22"/>
          <w:lang w:val="sr-Latn-ME"/>
        </w:rPr>
        <w:t>.</w:t>
      </w:r>
    </w:p>
    <w:p w14:paraId="62A06ED5" w14:textId="77777777" w:rsidR="0064623E" w:rsidRPr="00173F69" w:rsidRDefault="0064623E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3FC8BB85" w14:textId="7215C21A" w:rsidR="0064623E" w:rsidRPr="00173F69" w:rsidRDefault="0064623E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173F69">
        <w:rPr>
          <w:szCs w:val="22"/>
          <w:u w:val="single"/>
          <w:lang w:val="sr-Latn-ME"/>
        </w:rPr>
        <w:t xml:space="preserve">Pomoćne supstance sa </w:t>
      </w:r>
      <w:r w:rsidR="00490502" w:rsidRPr="00173F69">
        <w:rPr>
          <w:szCs w:val="22"/>
          <w:u w:val="single"/>
          <w:lang w:val="sr-Latn-ME"/>
        </w:rPr>
        <w:t>potvrđenim</w:t>
      </w:r>
      <w:r w:rsidRPr="00173F69">
        <w:rPr>
          <w:szCs w:val="22"/>
          <w:u w:val="single"/>
          <w:lang w:val="sr-Latn-ME"/>
        </w:rPr>
        <w:t xml:space="preserve"> dejstvom</w:t>
      </w:r>
    </w:p>
    <w:p w14:paraId="366C8CD1" w14:textId="5137B043" w:rsidR="00490502" w:rsidRPr="00173F69" w:rsidRDefault="00490502" w:rsidP="00614295">
      <w:pPr>
        <w:rPr>
          <w:szCs w:val="22"/>
          <w:lang w:val="sr-Latn-ME"/>
        </w:rPr>
      </w:pPr>
      <w:r w:rsidRPr="00173F69">
        <w:rPr>
          <w:szCs w:val="22"/>
          <w:lang w:val="sr-Latn-ME"/>
        </w:rPr>
        <w:t>Jedan m</w:t>
      </w:r>
      <w:r w:rsidR="00747889" w:rsidRPr="00173F69">
        <w:rPr>
          <w:szCs w:val="22"/>
          <w:lang w:val="sr-Latn-ME"/>
        </w:rPr>
        <w:t>ililitar</w:t>
      </w:r>
      <w:r w:rsidRPr="00173F69">
        <w:rPr>
          <w:szCs w:val="22"/>
          <w:lang w:val="sr-Latn-ME"/>
        </w:rPr>
        <w:t xml:space="preserve"> sirupa sadrži 650 mg saharoze, 1,2 mg </w:t>
      </w:r>
      <w:proofErr w:type="spellStart"/>
      <w:r w:rsidRPr="00173F69">
        <w:rPr>
          <w:szCs w:val="22"/>
          <w:lang w:val="sr-Latn-ME"/>
        </w:rPr>
        <w:t>metilparahidroksibenzoata</w:t>
      </w:r>
      <w:proofErr w:type="spellEnd"/>
      <w:r w:rsidRPr="00173F69">
        <w:rPr>
          <w:szCs w:val="22"/>
          <w:lang w:val="sr-Latn-ME"/>
        </w:rPr>
        <w:t xml:space="preserve">, 0,3 mg </w:t>
      </w:r>
      <w:proofErr w:type="spellStart"/>
      <w:r w:rsidRPr="00173F69">
        <w:rPr>
          <w:szCs w:val="22"/>
          <w:lang w:val="sr-Latn-ME"/>
        </w:rPr>
        <w:t>propilparahidroksibenzoata</w:t>
      </w:r>
      <w:proofErr w:type="spellEnd"/>
      <w:r w:rsidRPr="00173F69">
        <w:rPr>
          <w:szCs w:val="22"/>
          <w:lang w:val="sr-Latn-ME"/>
        </w:rPr>
        <w:t>, približno 2,87 mg natrijuma i 3,8 mg etanola (u aromi šljive).</w:t>
      </w:r>
    </w:p>
    <w:p w14:paraId="4243909C" w14:textId="77777777" w:rsidR="00490502" w:rsidRPr="00173F69" w:rsidRDefault="00490502" w:rsidP="00614295">
      <w:pPr>
        <w:rPr>
          <w:szCs w:val="22"/>
          <w:lang w:val="sr-Latn-ME"/>
        </w:rPr>
      </w:pPr>
    </w:p>
    <w:p w14:paraId="63B5E481" w14:textId="1B50AC5E" w:rsidR="00CE09F3" w:rsidRPr="00173F69" w:rsidRDefault="00AC616E" w:rsidP="00614295">
      <w:pPr>
        <w:rPr>
          <w:szCs w:val="22"/>
          <w:lang w:val="sr-Latn-ME"/>
        </w:rPr>
      </w:pPr>
      <w:r w:rsidRPr="00173F69">
        <w:rPr>
          <w:szCs w:val="22"/>
          <w:lang w:val="sr-Latn-ME"/>
        </w:rPr>
        <w:t xml:space="preserve">Za </w:t>
      </w:r>
      <w:r w:rsidR="00614295" w:rsidRPr="00173F69">
        <w:rPr>
          <w:szCs w:val="22"/>
          <w:lang w:val="sr-Latn-ME"/>
        </w:rPr>
        <w:t xml:space="preserve">spisak </w:t>
      </w:r>
      <w:r w:rsidRPr="00173F69">
        <w:rPr>
          <w:szCs w:val="22"/>
          <w:lang w:val="sr-Latn-ME"/>
        </w:rPr>
        <w:t xml:space="preserve">svih </w:t>
      </w:r>
      <w:proofErr w:type="spellStart"/>
      <w:r w:rsidR="00614295" w:rsidRPr="00173F69">
        <w:rPr>
          <w:szCs w:val="22"/>
          <w:lang w:val="sr-Latn-ME"/>
        </w:rPr>
        <w:t>ekscipijenasa</w:t>
      </w:r>
      <w:proofErr w:type="spellEnd"/>
      <w:r w:rsidRPr="00173F69">
        <w:rPr>
          <w:szCs w:val="22"/>
          <w:lang w:val="sr-Latn-ME"/>
        </w:rPr>
        <w:t xml:space="preserve">, </w:t>
      </w:r>
      <w:r w:rsidR="00614295" w:rsidRPr="00173F69">
        <w:rPr>
          <w:szCs w:val="22"/>
          <w:lang w:val="sr-Latn-ME"/>
        </w:rPr>
        <w:t xml:space="preserve">pogledati </w:t>
      </w:r>
      <w:r w:rsidR="00F32A1B" w:rsidRPr="00173F69">
        <w:rPr>
          <w:szCs w:val="22"/>
          <w:lang w:val="sr-Latn-ME"/>
        </w:rPr>
        <w:t>dio</w:t>
      </w:r>
      <w:r w:rsidRPr="00173F69">
        <w:rPr>
          <w:szCs w:val="22"/>
          <w:lang w:val="sr-Latn-ME"/>
        </w:rPr>
        <w:t xml:space="preserve"> 6.1.</w:t>
      </w:r>
    </w:p>
    <w:p w14:paraId="6FE9D485" w14:textId="7591BBFD" w:rsidR="00747889" w:rsidRPr="00173F69" w:rsidRDefault="00747889" w:rsidP="00614295">
      <w:pPr>
        <w:rPr>
          <w:szCs w:val="22"/>
          <w:lang w:val="sr-Latn-ME"/>
        </w:rPr>
      </w:pPr>
    </w:p>
    <w:p w14:paraId="72E5D836" w14:textId="77777777" w:rsidR="00614295" w:rsidRPr="00173F69" w:rsidRDefault="00614295" w:rsidP="00614295">
      <w:pPr>
        <w:rPr>
          <w:szCs w:val="22"/>
          <w:lang w:val="sr-Latn-ME"/>
        </w:rPr>
      </w:pPr>
    </w:p>
    <w:p w14:paraId="540C0CE4" w14:textId="77777777" w:rsidR="00CE09F3" w:rsidRPr="00173F69" w:rsidRDefault="00CE09F3" w:rsidP="00614295">
      <w:pPr>
        <w:pStyle w:val="NASLOV123"/>
        <w:spacing w:before="0" w:after="0"/>
        <w:rPr>
          <w:lang w:val="sr-Latn-ME"/>
        </w:rPr>
      </w:pPr>
      <w:r w:rsidRPr="00173F69">
        <w:rPr>
          <w:lang w:val="sr-Latn-ME"/>
        </w:rPr>
        <w:t>3. FARMACEUTSKI OBLIK</w:t>
      </w:r>
    </w:p>
    <w:p w14:paraId="7A06DC3D" w14:textId="77777777" w:rsidR="00614295" w:rsidRPr="00173F69" w:rsidRDefault="00614295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6D577379" w14:textId="55A019B3" w:rsidR="0064623E" w:rsidRPr="00173F69" w:rsidRDefault="0064623E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173F69">
        <w:rPr>
          <w:szCs w:val="22"/>
          <w:lang w:val="sr-Latn-ME"/>
        </w:rPr>
        <w:t>Sirup.</w:t>
      </w:r>
    </w:p>
    <w:p w14:paraId="4EF5D155" w14:textId="11C2E59E" w:rsidR="0064623E" w:rsidRPr="00173F69" w:rsidRDefault="0064623E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476C84C4" w14:textId="750D42B6" w:rsidR="00CE09F3" w:rsidRPr="00173F69" w:rsidRDefault="0064623E" w:rsidP="00614295">
      <w:pPr>
        <w:rPr>
          <w:szCs w:val="22"/>
          <w:lang w:val="sr-Latn-ME"/>
        </w:rPr>
      </w:pPr>
      <w:r w:rsidRPr="00173F69">
        <w:rPr>
          <w:szCs w:val="22"/>
          <w:lang w:val="sr-Latn-ME"/>
        </w:rPr>
        <w:t>Bistar</w:t>
      </w:r>
      <w:r w:rsidR="00992E0F" w:rsidRPr="00173F69">
        <w:rPr>
          <w:szCs w:val="22"/>
          <w:lang w:val="sr-Latn-ME"/>
        </w:rPr>
        <w:t xml:space="preserve"> sirup</w:t>
      </w:r>
      <w:r w:rsidRPr="00173F69">
        <w:rPr>
          <w:szCs w:val="22"/>
          <w:lang w:val="sr-Latn-ME"/>
        </w:rPr>
        <w:t xml:space="preserve">, </w:t>
      </w:r>
      <w:proofErr w:type="spellStart"/>
      <w:r w:rsidRPr="00173F69">
        <w:rPr>
          <w:szCs w:val="22"/>
          <w:lang w:val="sr-Latn-ME"/>
        </w:rPr>
        <w:t>sv</w:t>
      </w:r>
      <w:r w:rsidR="00A10638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>etložut</w:t>
      </w:r>
      <w:r w:rsidR="00992E0F" w:rsidRPr="00173F69">
        <w:rPr>
          <w:szCs w:val="22"/>
          <w:lang w:val="sr-Latn-ME"/>
        </w:rPr>
        <w:t>e</w:t>
      </w:r>
      <w:proofErr w:type="spellEnd"/>
      <w:r w:rsidR="00992E0F" w:rsidRPr="00173F69">
        <w:rPr>
          <w:szCs w:val="22"/>
          <w:lang w:val="sr-Latn-ME"/>
        </w:rPr>
        <w:t xml:space="preserve"> ili</w:t>
      </w:r>
      <w:r w:rsidRPr="00173F69">
        <w:rPr>
          <w:szCs w:val="22"/>
          <w:lang w:val="sr-Latn-ME"/>
        </w:rPr>
        <w:t xml:space="preserve"> sv</w:t>
      </w:r>
      <w:r w:rsidR="00A10638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>etlosmeđ</w:t>
      </w:r>
      <w:r w:rsidR="00992E0F" w:rsidRPr="00173F69">
        <w:rPr>
          <w:szCs w:val="22"/>
          <w:lang w:val="sr-Latn-ME"/>
        </w:rPr>
        <w:t>e boje</w:t>
      </w:r>
      <w:r w:rsidRPr="00173F69">
        <w:rPr>
          <w:szCs w:val="22"/>
          <w:lang w:val="sr-Latn-ME"/>
        </w:rPr>
        <w:t>.</w:t>
      </w:r>
    </w:p>
    <w:p w14:paraId="18C540C6" w14:textId="77777777" w:rsidR="00614295" w:rsidRPr="00173F69" w:rsidRDefault="00614295" w:rsidP="00614295">
      <w:pPr>
        <w:rPr>
          <w:szCs w:val="22"/>
          <w:lang w:val="sr-Latn-ME"/>
        </w:rPr>
      </w:pPr>
    </w:p>
    <w:p w14:paraId="5175CFAC" w14:textId="77777777" w:rsidR="00747889" w:rsidRPr="00173F69" w:rsidRDefault="00747889" w:rsidP="00614295">
      <w:pPr>
        <w:rPr>
          <w:szCs w:val="22"/>
          <w:lang w:val="sr-Latn-ME"/>
        </w:rPr>
      </w:pPr>
    </w:p>
    <w:p w14:paraId="292E39B5" w14:textId="77777777" w:rsidR="00CE09F3" w:rsidRPr="00173F69" w:rsidRDefault="00CE09F3" w:rsidP="00614295">
      <w:pPr>
        <w:pStyle w:val="NASLOV123"/>
        <w:spacing w:before="0" w:after="0"/>
        <w:rPr>
          <w:lang w:val="sr-Latn-ME"/>
        </w:rPr>
      </w:pPr>
      <w:r w:rsidRPr="00173F69">
        <w:rPr>
          <w:lang w:val="sr-Latn-ME"/>
        </w:rPr>
        <w:t>4. KLINIČKI PODACI</w:t>
      </w:r>
    </w:p>
    <w:p w14:paraId="259A2561" w14:textId="77777777" w:rsidR="00614295" w:rsidRPr="00173F69" w:rsidRDefault="00614295" w:rsidP="00614295">
      <w:pPr>
        <w:rPr>
          <w:b/>
          <w:bCs/>
          <w:szCs w:val="22"/>
          <w:lang w:val="sr-Latn-ME"/>
        </w:rPr>
      </w:pPr>
    </w:p>
    <w:p w14:paraId="6D689ACF" w14:textId="1B54F726" w:rsidR="00CE09F3" w:rsidRPr="00173F69" w:rsidRDefault="00CE09F3" w:rsidP="00614295">
      <w:pPr>
        <w:rPr>
          <w:b/>
          <w:bCs/>
          <w:szCs w:val="22"/>
          <w:lang w:val="sr-Latn-ME"/>
        </w:rPr>
      </w:pPr>
      <w:r w:rsidRPr="00173F69">
        <w:rPr>
          <w:b/>
          <w:bCs/>
          <w:szCs w:val="22"/>
          <w:lang w:val="sr-Latn-ME"/>
        </w:rPr>
        <w:t>4.1. Terapijske indikacije</w:t>
      </w:r>
    </w:p>
    <w:p w14:paraId="6107F108" w14:textId="77777777" w:rsidR="00CE09F3" w:rsidRPr="00173F69" w:rsidRDefault="00CE09F3" w:rsidP="00614295">
      <w:pPr>
        <w:rPr>
          <w:szCs w:val="22"/>
          <w:lang w:val="sr-Latn-ME"/>
        </w:rPr>
      </w:pPr>
    </w:p>
    <w:p w14:paraId="08B6A73C" w14:textId="22794F49" w:rsidR="0064623E" w:rsidRPr="00173F69" w:rsidRDefault="0064623E" w:rsidP="00602947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173F69">
        <w:rPr>
          <w:szCs w:val="22"/>
          <w:lang w:val="sr-Latn-ME"/>
        </w:rPr>
        <w:t>L</w:t>
      </w:r>
      <w:r w:rsidR="00614295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 xml:space="preserve">ek </w:t>
      </w:r>
      <w:proofErr w:type="spellStart"/>
      <w:r w:rsidRPr="00173F69">
        <w:rPr>
          <w:szCs w:val="22"/>
          <w:lang w:val="sr-Latn-ME"/>
        </w:rPr>
        <w:t>Isoprinosine</w:t>
      </w:r>
      <w:proofErr w:type="spellEnd"/>
      <w:r w:rsidRPr="00173F69">
        <w:rPr>
          <w:szCs w:val="22"/>
          <w:lang w:val="sr-Latn-ME"/>
        </w:rPr>
        <w:t xml:space="preserve"> </w:t>
      </w:r>
      <w:r w:rsidR="00661B4D" w:rsidRPr="00173F69">
        <w:rPr>
          <w:szCs w:val="22"/>
          <w:lang w:val="sr-Latn-ME"/>
        </w:rPr>
        <w:t xml:space="preserve">je </w:t>
      </w:r>
      <w:proofErr w:type="spellStart"/>
      <w:r w:rsidR="00661B4D" w:rsidRPr="00173F69">
        <w:rPr>
          <w:szCs w:val="22"/>
          <w:lang w:val="sr-Latn-ME"/>
        </w:rPr>
        <w:t>indikovan</w:t>
      </w:r>
      <w:proofErr w:type="spellEnd"/>
      <w:r w:rsidR="00661B4D" w:rsidRPr="00173F69">
        <w:rPr>
          <w:szCs w:val="22"/>
          <w:lang w:val="sr-Latn-ME"/>
        </w:rPr>
        <w:t xml:space="preserve"> u terapiji</w:t>
      </w:r>
      <w:r w:rsidRPr="00173F69">
        <w:rPr>
          <w:szCs w:val="22"/>
          <w:lang w:val="sr-Latn-ME"/>
        </w:rPr>
        <w:t>:</w:t>
      </w:r>
    </w:p>
    <w:p w14:paraId="51C35F8B" w14:textId="77777777" w:rsidR="00CE73FC" w:rsidRPr="00173F69" w:rsidRDefault="00CE73FC" w:rsidP="00602947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62DAB920" w14:textId="77777777" w:rsidR="004B7F95" w:rsidRPr="00173F69" w:rsidRDefault="004B7F95" w:rsidP="00614295">
      <w:pPr>
        <w:pStyle w:val="Header"/>
        <w:numPr>
          <w:ilvl w:val="0"/>
          <w:numId w:val="4"/>
        </w:numPr>
        <w:tabs>
          <w:tab w:val="clear" w:pos="4536"/>
          <w:tab w:val="clear" w:pos="9072"/>
          <w:tab w:val="left" w:pos="284"/>
        </w:tabs>
        <w:ind w:left="720"/>
        <w:rPr>
          <w:szCs w:val="22"/>
          <w:lang w:val="sr-Latn-ME"/>
        </w:rPr>
      </w:pPr>
      <w:proofErr w:type="spellStart"/>
      <w:r w:rsidRPr="00173F69">
        <w:rPr>
          <w:szCs w:val="22"/>
          <w:lang w:val="sr-Latn-ME"/>
        </w:rPr>
        <w:t>Mukokutanih</w:t>
      </w:r>
      <w:proofErr w:type="spellEnd"/>
      <w:r w:rsidRPr="00173F69">
        <w:rPr>
          <w:szCs w:val="22"/>
          <w:lang w:val="sr-Latn-ME"/>
        </w:rPr>
        <w:t xml:space="preserve"> infekcija izazvanih virusom Herpes </w:t>
      </w:r>
      <w:proofErr w:type="spellStart"/>
      <w:r w:rsidRPr="00173F69">
        <w:rPr>
          <w:szCs w:val="22"/>
          <w:lang w:val="sr-Latn-ME"/>
        </w:rPr>
        <w:t>simplex</w:t>
      </w:r>
      <w:proofErr w:type="spellEnd"/>
      <w:r w:rsidRPr="00173F69">
        <w:rPr>
          <w:i/>
          <w:szCs w:val="22"/>
          <w:lang w:val="sr-Latn-ME"/>
        </w:rPr>
        <w:t xml:space="preserve"> </w:t>
      </w:r>
      <w:r w:rsidRPr="00173F69">
        <w:rPr>
          <w:szCs w:val="22"/>
          <w:lang w:val="sr-Latn-ME"/>
        </w:rPr>
        <w:t>(tip 1 i/ili tip II).</w:t>
      </w:r>
    </w:p>
    <w:p w14:paraId="7BFCEB3F" w14:textId="0203D871" w:rsidR="004B7F95" w:rsidRPr="00173F69" w:rsidRDefault="004B7F95" w:rsidP="00614295">
      <w:pPr>
        <w:pStyle w:val="Header"/>
        <w:numPr>
          <w:ilvl w:val="0"/>
          <w:numId w:val="4"/>
        </w:numPr>
        <w:tabs>
          <w:tab w:val="clear" w:pos="4536"/>
          <w:tab w:val="clear" w:pos="9072"/>
          <w:tab w:val="left" w:pos="284"/>
        </w:tabs>
        <w:ind w:left="720"/>
        <w:rPr>
          <w:szCs w:val="22"/>
          <w:lang w:val="sr-Latn-ME"/>
        </w:rPr>
      </w:pPr>
      <w:r w:rsidRPr="00173F69">
        <w:rPr>
          <w:szCs w:val="22"/>
          <w:lang w:val="sr-Latn-ME"/>
        </w:rPr>
        <w:t xml:space="preserve">Genitalnih </w:t>
      </w:r>
      <w:proofErr w:type="spellStart"/>
      <w:r w:rsidRPr="00173F69">
        <w:rPr>
          <w:szCs w:val="22"/>
          <w:lang w:val="sr-Latn-ME"/>
        </w:rPr>
        <w:t>kondiloma</w:t>
      </w:r>
      <w:proofErr w:type="spellEnd"/>
      <w:r w:rsidRPr="00173F69">
        <w:rPr>
          <w:szCs w:val="22"/>
          <w:lang w:val="sr-Latn-ME"/>
        </w:rPr>
        <w:t xml:space="preserve"> </w:t>
      </w:r>
      <w:r w:rsidR="00CA171C" w:rsidRPr="00173F69">
        <w:rPr>
          <w:szCs w:val="22"/>
          <w:lang w:val="sr-Latn-ME"/>
        </w:rPr>
        <w:t xml:space="preserve">povezanih sa HPV infekcijom, lokalizovanih </w:t>
      </w:r>
      <w:proofErr w:type="spellStart"/>
      <w:r w:rsidR="00CA171C" w:rsidRPr="00173F69">
        <w:rPr>
          <w:szCs w:val="22"/>
          <w:lang w:val="sr-Latn-ME"/>
        </w:rPr>
        <w:t>mukokutano</w:t>
      </w:r>
      <w:proofErr w:type="spellEnd"/>
      <w:r w:rsidR="00CA171C" w:rsidRPr="00173F69">
        <w:rPr>
          <w:szCs w:val="22"/>
          <w:lang w:val="sr-Latn-ME"/>
        </w:rPr>
        <w:t xml:space="preserve">, </w:t>
      </w:r>
      <w:proofErr w:type="spellStart"/>
      <w:r w:rsidR="00CA171C" w:rsidRPr="00173F69">
        <w:rPr>
          <w:szCs w:val="22"/>
          <w:lang w:val="sr-Latn-ME"/>
        </w:rPr>
        <w:t>vulvovaginalno</w:t>
      </w:r>
      <w:proofErr w:type="spellEnd"/>
      <w:r w:rsidR="00CA171C" w:rsidRPr="00173F69">
        <w:rPr>
          <w:szCs w:val="22"/>
          <w:lang w:val="sr-Latn-ME"/>
        </w:rPr>
        <w:t xml:space="preserve"> ili </w:t>
      </w:r>
      <w:proofErr w:type="spellStart"/>
      <w:r w:rsidR="00CA171C" w:rsidRPr="00173F69">
        <w:rPr>
          <w:szCs w:val="22"/>
          <w:lang w:val="sr-Latn-ME"/>
        </w:rPr>
        <w:t>endocervikalno</w:t>
      </w:r>
      <w:proofErr w:type="spellEnd"/>
      <w:r w:rsidR="00CA171C" w:rsidRPr="00173F69">
        <w:rPr>
          <w:szCs w:val="22"/>
          <w:lang w:val="sr-Latn-ME"/>
        </w:rPr>
        <w:t xml:space="preserve">, </w:t>
      </w:r>
      <w:r w:rsidRPr="00173F69">
        <w:rPr>
          <w:szCs w:val="22"/>
          <w:lang w:val="sr-Latn-ME"/>
        </w:rPr>
        <w:t>kao dodatak standardnoj lokalnoj terapiji.</w:t>
      </w:r>
    </w:p>
    <w:p w14:paraId="2C0B96F8" w14:textId="00F1446E" w:rsidR="004B7F95" w:rsidRPr="00173F69" w:rsidRDefault="004B7F95" w:rsidP="00614295">
      <w:pPr>
        <w:pStyle w:val="Header"/>
        <w:numPr>
          <w:ilvl w:val="0"/>
          <w:numId w:val="4"/>
        </w:numPr>
        <w:tabs>
          <w:tab w:val="clear" w:pos="4536"/>
          <w:tab w:val="clear" w:pos="9072"/>
          <w:tab w:val="left" w:pos="284"/>
        </w:tabs>
        <w:ind w:left="720"/>
        <w:rPr>
          <w:szCs w:val="22"/>
          <w:lang w:val="sr-Latn-ME"/>
        </w:rPr>
      </w:pPr>
      <w:proofErr w:type="spellStart"/>
      <w:r w:rsidRPr="00173F69">
        <w:rPr>
          <w:szCs w:val="22"/>
          <w:lang w:val="sr-Latn-ME"/>
        </w:rPr>
        <w:t>Su</w:t>
      </w:r>
      <w:r w:rsidR="00614295" w:rsidRPr="00173F69">
        <w:rPr>
          <w:szCs w:val="22"/>
          <w:lang w:val="sr-Latn-ME"/>
        </w:rPr>
        <w:t>b</w:t>
      </w:r>
      <w:r w:rsidRPr="00173F69">
        <w:rPr>
          <w:szCs w:val="22"/>
          <w:lang w:val="sr-Latn-ME"/>
        </w:rPr>
        <w:t>akutnog</w:t>
      </w:r>
      <w:proofErr w:type="spellEnd"/>
      <w:r w:rsidRPr="00173F69">
        <w:rPr>
          <w:szCs w:val="22"/>
          <w:lang w:val="sr-Latn-ME"/>
        </w:rPr>
        <w:t xml:space="preserve"> </w:t>
      </w:r>
      <w:proofErr w:type="spellStart"/>
      <w:r w:rsidRPr="00173F69">
        <w:rPr>
          <w:szCs w:val="22"/>
          <w:lang w:val="sr-Latn-ME"/>
        </w:rPr>
        <w:t>sklerozirajućeg</w:t>
      </w:r>
      <w:proofErr w:type="spellEnd"/>
      <w:r w:rsidRPr="00173F69">
        <w:rPr>
          <w:szCs w:val="22"/>
          <w:lang w:val="sr-Latn-ME"/>
        </w:rPr>
        <w:t xml:space="preserve"> </w:t>
      </w:r>
      <w:proofErr w:type="spellStart"/>
      <w:r w:rsidRPr="00173F69">
        <w:rPr>
          <w:szCs w:val="22"/>
          <w:lang w:val="sr-Latn-ME"/>
        </w:rPr>
        <w:t>panencefalitisa</w:t>
      </w:r>
      <w:proofErr w:type="spellEnd"/>
      <w:r w:rsidRPr="00173F69">
        <w:rPr>
          <w:szCs w:val="22"/>
          <w:lang w:val="sr-Latn-ME"/>
        </w:rPr>
        <w:t xml:space="preserve"> (SSPE).</w:t>
      </w:r>
    </w:p>
    <w:p w14:paraId="53AB6516" w14:textId="77777777" w:rsidR="004B7F95" w:rsidRPr="00173F69" w:rsidRDefault="004B7F95" w:rsidP="00602947">
      <w:pPr>
        <w:pStyle w:val="Header"/>
        <w:numPr>
          <w:ilvl w:val="0"/>
          <w:numId w:val="4"/>
        </w:numPr>
        <w:tabs>
          <w:tab w:val="clear" w:pos="4536"/>
          <w:tab w:val="clear" w:pos="9072"/>
          <w:tab w:val="left" w:pos="284"/>
        </w:tabs>
        <w:ind w:left="720"/>
        <w:rPr>
          <w:szCs w:val="22"/>
          <w:lang w:val="sr-Latn-ME"/>
        </w:rPr>
      </w:pPr>
      <w:r w:rsidRPr="00173F69">
        <w:rPr>
          <w:szCs w:val="22"/>
          <w:lang w:val="sr-Latn-ME"/>
        </w:rPr>
        <w:t xml:space="preserve">Virusnih infekcija gornjeg respiratornog trakta izazvanih virusima influence A ili B, RSV, </w:t>
      </w:r>
      <w:proofErr w:type="spellStart"/>
      <w:r w:rsidRPr="00173F69">
        <w:rPr>
          <w:szCs w:val="22"/>
          <w:lang w:val="sr-Latn-ME"/>
        </w:rPr>
        <w:t>adenovirusom</w:t>
      </w:r>
      <w:proofErr w:type="spellEnd"/>
      <w:r w:rsidRPr="00173F69">
        <w:rPr>
          <w:szCs w:val="22"/>
          <w:lang w:val="sr-Latn-ME"/>
        </w:rPr>
        <w:t xml:space="preserve"> ili virusom </w:t>
      </w:r>
      <w:proofErr w:type="spellStart"/>
      <w:r w:rsidRPr="00173F69">
        <w:rPr>
          <w:szCs w:val="22"/>
          <w:lang w:val="sr-Latn-ME"/>
        </w:rPr>
        <w:t>parainfluence</w:t>
      </w:r>
      <w:proofErr w:type="spellEnd"/>
      <w:r w:rsidRPr="00173F69">
        <w:rPr>
          <w:szCs w:val="22"/>
          <w:lang w:val="sr-Latn-ME"/>
        </w:rPr>
        <w:t xml:space="preserve"> 1 ili 3.</w:t>
      </w:r>
    </w:p>
    <w:p w14:paraId="016557B4" w14:textId="77777777" w:rsidR="006D5752" w:rsidRPr="00173F69" w:rsidRDefault="006D5752" w:rsidP="00614295">
      <w:pPr>
        <w:rPr>
          <w:szCs w:val="22"/>
          <w:lang w:val="sr-Latn-ME"/>
        </w:rPr>
      </w:pPr>
    </w:p>
    <w:p w14:paraId="27E2514F" w14:textId="1C5D6503" w:rsidR="00CE09F3" w:rsidRPr="00173F69" w:rsidRDefault="00CE09F3" w:rsidP="00614295">
      <w:pPr>
        <w:rPr>
          <w:b/>
          <w:bCs/>
          <w:szCs w:val="22"/>
          <w:lang w:val="sr-Latn-ME"/>
        </w:rPr>
      </w:pPr>
      <w:r w:rsidRPr="00173F69">
        <w:rPr>
          <w:b/>
          <w:bCs/>
          <w:szCs w:val="22"/>
          <w:lang w:val="sr-Latn-ME"/>
        </w:rPr>
        <w:t>4.2. Doziranje i način prim</w:t>
      </w:r>
      <w:r w:rsidR="00327AA1" w:rsidRPr="00173F69">
        <w:rPr>
          <w:b/>
          <w:bCs/>
          <w:szCs w:val="22"/>
          <w:lang w:val="sr-Latn-ME"/>
        </w:rPr>
        <w:t>j</w:t>
      </w:r>
      <w:r w:rsidRPr="00173F69">
        <w:rPr>
          <w:b/>
          <w:bCs/>
          <w:szCs w:val="22"/>
          <w:lang w:val="sr-Latn-ME"/>
        </w:rPr>
        <w:t>ene</w:t>
      </w:r>
    </w:p>
    <w:p w14:paraId="30561107" w14:textId="77777777" w:rsidR="00CE09F3" w:rsidRPr="00173F69" w:rsidRDefault="00CE09F3" w:rsidP="00614295">
      <w:pPr>
        <w:rPr>
          <w:szCs w:val="22"/>
          <w:lang w:val="sr-Latn-ME"/>
        </w:rPr>
      </w:pPr>
    </w:p>
    <w:p w14:paraId="36A0631E" w14:textId="1DF96C42" w:rsidR="005513DB" w:rsidRPr="00173F69" w:rsidRDefault="005513DB" w:rsidP="00614295">
      <w:pPr>
        <w:rPr>
          <w:szCs w:val="22"/>
          <w:u w:val="single"/>
          <w:lang w:val="sr-Latn-ME"/>
        </w:rPr>
      </w:pPr>
      <w:r w:rsidRPr="00173F69">
        <w:rPr>
          <w:szCs w:val="22"/>
          <w:u w:val="single"/>
          <w:lang w:val="sr-Latn-ME"/>
        </w:rPr>
        <w:t>Doziranje:</w:t>
      </w:r>
    </w:p>
    <w:p w14:paraId="4F9BE522" w14:textId="77777777" w:rsidR="005513DB" w:rsidRPr="00173F69" w:rsidRDefault="005513DB" w:rsidP="00614295">
      <w:pPr>
        <w:rPr>
          <w:szCs w:val="22"/>
          <w:lang w:val="sr-Latn-ME"/>
        </w:rPr>
      </w:pPr>
    </w:p>
    <w:p w14:paraId="70D809E7" w14:textId="77777777" w:rsidR="0064623E" w:rsidRPr="00173F69" w:rsidRDefault="0064623E" w:rsidP="00614295">
      <w:pPr>
        <w:pStyle w:val="Header"/>
        <w:tabs>
          <w:tab w:val="clear" w:pos="4536"/>
          <w:tab w:val="clear" w:pos="9072"/>
          <w:tab w:val="left" w:pos="284"/>
        </w:tabs>
        <w:rPr>
          <w:i/>
          <w:szCs w:val="22"/>
          <w:lang w:val="sr-Latn-ME"/>
        </w:rPr>
      </w:pPr>
      <w:r w:rsidRPr="00173F69">
        <w:rPr>
          <w:i/>
          <w:szCs w:val="22"/>
          <w:lang w:val="sr-Latn-ME"/>
        </w:rPr>
        <w:t>Odrasli</w:t>
      </w:r>
    </w:p>
    <w:p w14:paraId="2B00C8A2" w14:textId="524860B5" w:rsidR="0064623E" w:rsidRPr="00173F69" w:rsidRDefault="0064623E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proofErr w:type="spellStart"/>
      <w:r w:rsidRPr="00173F69">
        <w:rPr>
          <w:szCs w:val="22"/>
          <w:u w:val="single"/>
          <w:lang w:val="sr-Latn-ME"/>
        </w:rPr>
        <w:t>Mukokutani</w:t>
      </w:r>
      <w:proofErr w:type="spellEnd"/>
      <w:r w:rsidRPr="00173F69">
        <w:rPr>
          <w:szCs w:val="22"/>
          <w:u w:val="single"/>
          <w:lang w:val="sr-Latn-ME"/>
        </w:rPr>
        <w:t xml:space="preserve"> herpes </w:t>
      </w:r>
      <w:proofErr w:type="spellStart"/>
      <w:r w:rsidRPr="00173F69">
        <w:rPr>
          <w:szCs w:val="22"/>
          <w:u w:val="single"/>
          <w:lang w:val="sr-Latn-ME"/>
        </w:rPr>
        <w:t>simpleks</w:t>
      </w:r>
      <w:proofErr w:type="spellEnd"/>
      <w:r w:rsidRPr="00173F69">
        <w:rPr>
          <w:szCs w:val="22"/>
          <w:lang w:val="sr-Latn-ME"/>
        </w:rPr>
        <w:t>: 1 g četiri puta dnevno (4 g dnevno), tokom 7 - 14 dana.</w:t>
      </w:r>
    </w:p>
    <w:p w14:paraId="3DB2F039" w14:textId="77777777" w:rsidR="00614295" w:rsidRPr="00173F69" w:rsidRDefault="00614295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71C3A42A" w14:textId="46D0447A" w:rsidR="007434D8" w:rsidRPr="00173F69" w:rsidRDefault="007434D8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173F69">
        <w:rPr>
          <w:szCs w:val="22"/>
          <w:u w:val="single"/>
          <w:lang w:val="sr-Latn-ME"/>
        </w:rPr>
        <w:t xml:space="preserve">Genitalni </w:t>
      </w:r>
      <w:proofErr w:type="spellStart"/>
      <w:r w:rsidRPr="00173F69">
        <w:rPr>
          <w:szCs w:val="22"/>
          <w:u w:val="single"/>
          <w:lang w:val="sr-Latn-ME"/>
        </w:rPr>
        <w:t>kondilomi</w:t>
      </w:r>
      <w:proofErr w:type="spellEnd"/>
      <w:r w:rsidRPr="00173F69">
        <w:rPr>
          <w:szCs w:val="22"/>
          <w:u w:val="single"/>
          <w:lang w:val="sr-Latn-ME"/>
        </w:rPr>
        <w:t xml:space="preserve"> povezan</w:t>
      </w:r>
      <w:r w:rsidR="00895111" w:rsidRPr="00173F69">
        <w:rPr>
          <w:szCs w:val="22"/>
          <w:u w:val="single"/>
          <w:lang w:val="sr-Latn-ME"/>
        </w:rPr>
        <w:t>i</w:t>
      </w:r>
      <w:r w:rsidRPr="00173F69">
        <w:rPr>
          <w:szCs w:val="22"/>
          <w:u w:val="single"/>
          <w:lang w:val="sr-Latn-ME"/>
        </w:rPr>
        <w:t xml:space="preserve"> sa HPV:</w:t>
      </w:r>
      <w:r w:rsidRPr="00173F69">
        <w:rPr>
          <w:szCs w:val="22"/>
          <w:lang w:val="sr-Latn-ME"/>
        </w:rPr>
        <w:t xml:space="preserve"> 1 g tri puta dnevno (3 g dnevno), tokom 14 – 28 dana kao dopuna standardnoj lokalnoj terapiji, prema sl</w:t>
      </w:r>
      <w:r w:rsidR="00D31269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 xml:space="preserve">edećoj </w:t>
      </w:r>
      <w:r w:rsidR="00771908" w:rsidRPr="00173F69">
        <w:rPr>
          <w:szCs w:val="22"/>
          <w:lang w:val="sr-Latn-ME"/>
        </w:rPr>
        <w:t>sh</w:t>
      </w:r>
      <w:r w:rsidRPr="00173F69">
        <w:rPr>
          <w:szCs w:val="22"/>
          <w:lang w:val="sr-Latn-ME"/>
        </w:rPr>
        <w:t>emi.</w:t>
      </w:r>
    </w:p>
    <w:p w14:paraId="797DD484" w14:textId="77777777" w:rsidR="007434D8" w:rsidRPr="00173F69" w:rsidRDefault="007434D8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6B4ED67E" w14:textId="42DADEDE" w:rsidR="007434D8" w:rsidRPr="00173F69" w:rsidRDefault="007434D8" w:rsidP="00614295">
      <w:pPr>
        <w:pStyle w:val="Header"/>
        <w:numPr>
          <w:ilvl w:val="0"/>
          <w:numId w:val="6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173F69">
        <w:rPr>
          <w:b/>
          <w:bCs/>
          <w:szCs w:val="22"/>
          <w:lang w:val="sr-Latn-ME"/>
        </w:rPr>
        <w:t>Pacijenti sa niskim rizikom</w:t>
      </w:r>
      <w:r w:rsidRPr="00173F69">
        <w:rPr>
          <w:szCs w:val="22"/>
          <w:lang w:val="sr-Latn-ME"/>
        </w:rPr>
        <w:t xml:space="preserve"> (</w:t>
      </w:r>
      <w:proofErr w:type="spellStart"/>
      <w:r w:rsidRPr="00173F69">
        <w:rPr>
          <w:szCs w:val="22"/>
          <w:lang w:val="sr-Latn-ME"/>
        </w:rPr>
        <w:t>imunokompetentni</w:t>
      </w:r>
      <w:proofErr w:type="spellEnd"/>
      <w:r w:rsidRPr="00173F69">
        <w:rPr>
          <w:szCs w:val="22"/>
          <w:lang w:val="sr-Latn-ME"/>
        </w:rPr>
        <w:t xml:space="preserve"> ili pacijenti sa niskim rizikom od </w:t>
      </w:r>
      <w:proofErr w:type="spellStart"/>
      <w:r w:rsidRPr="00173F69">
        <w:rPr>
          <w:szCs w:val="22"/>
          <w:lang w:val="sr-Latn-ME"/>
        </w:rPr>
        <w:t>relapsa</w:t>
      </w:r>
      <w:proofErr w:type="spellEnd"/>
      <w:r w:rsidRPr="00173F69">
        <w:rPr>
          <w:szCs w:val="22"/>
          <w:lang w:val="sr-Latn-ME"/>
        </w:rPr>
        <w:t>): tokom 14-28 dana, čime se omogu</w:t>
      </w:r>
      <w:r w:rsidR="00614295" w:rsidRPr="00173F69">
        <w:rPr>
          <w:szCs w:val="22"/>
          <w:lang w:val="sr-Latn-ME"/>
        </w:rPr>
        <w:t>ć</w:t>
      </w:r>
      <w:r w:rsidRPr="00173F69">
        <w:rPr>
          <w:szCs w:val="22"/>
          <w:lang w:val="sr-Latn-ME"/>
        </w:rPr>
        <w:t xml:space="preserve">ava da maksimalna stopa </w:t>
      </w:r>
      <w:proofErr w:type="spellStart"/>
      <w:r w:rsidRPr="00173F69">
        <w:rPr>
          <w:szCs w:val="22"/>
          <w:lang w:val="sr-Latn-ME"/>
        </w:rPr>
        <w:t>klirensa</w:t>
      </w:r>
      <w:proofErr w:type="spellEnd"/>
      <w:r w:rsidRPr="00173F69">
        <w:rPr>
          <w:szCs w:val="22"/>
          <w:lang w:val="sr-Latn-ME"/>
        </w:rPr>
        <w:t xml:space="preserve">/remisije </w:t>
      </w:r>
      <w:proofErr w:type="spellStart"/>
      <w:r w:rsidRPr="00173F69">
        <w:rPr>
          <w:szCs w:val="22"/>
          <w:lang w:val="sr-Latn-ME"/>
        </w:rPr>
        <w:t>lezija</w:t>
      </w:r>
      <w:proofErr w:type="spellEnd"/>
      <w:r w:rsidRPr="00173F69">
        <w:rPr>
          <w:szCs w:val="22"/>
          <w:lang w:val="sr-Latn-ME"/>
        </w:rPr>
        <w:t xml:space="preserve"> bude postignuta za </w:t>
      </w:r>
      <w:r w:rsidR="00CD5119" w:rsidRPr="00173F69">
        <w:rPr>
          <w:szCs w:val="22"/>
          <w:lang w:val="sr-Latn-ME"/>
        </w:rPr>
        <w:br/>
      </w:r>
      <w:r w:rsidRPr="00173F69">
        <w:rPr>
          <w:szCs w:val="22"/>
          <w:lang w:val="sr-Latn-ME"/>
        </w:rPr>
        <w:t>2 m</w:t>
      </w:r>
      <w:r w:rsidR="0067296B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>eseca ili više nakon prekida terapije, bez prim</w:t>
      </w:r>
      <w:r w:rsidR="00A10638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>ene drug</w:t>
      </w:r>
      <w:r w:rsidR="00895111" w:rsidRPr="00173F69">
        <w:rPr>
          <w:szCs w:val="22"/>
          <w:lang w:val="sr-Latn-ME"/>
        </w:rPr>
        <w:t>e</w:t>
      </w:r>
      <w:r w:rsidRPr="00173F69">
        <w:rPr>
          <w:szCs w:val="22"/>
          <w:lang w:val="sr-Latn-ME"/>
        </w:rPr>
        <w:t xml:space="preserve"> </w:t>
      </w:r>
      <w:r w:rsidR="00895111" w:rsidRPr="00173F69">
        <w:rPr>
          <w:szCs w:val="22"/>
          <w:lang w:val="sr-Latn-ME"/>
        </w:rPr>
        <w:t>terapije</w:t>
      </w:r>
      <w:r w:rsidRPr="00173F69">
        <w:rPr>
          <w:szCs w:val="22"/>
          <w:lang w:val="sr-Latn-ME"/>
        </w:rPr>
        <w:t>.</w:t>
      </w:r>
    </w:p>
    <w:p w14:paraId="4FAD28B2" w14:textId="77777777" w:rsidR="00CE0B5D" w:rsidRPr="00173F69" w:rsidRDefault="00CE0B5D" w:rsidP="00614295">
      <w:pPr>
        <w:pStyle w:val="Header"/>
        <w:tabs>
          <w:tab w:val="clear" w:pos="4536"/>
          <w:tab w:val="clear" w:pos="9072"/>
          <w:tab w:val="left" w:pos="284"/>
        </w:tabs>
        <w:ind w:left="360"/>
        <w:rPr>
          <w:szCs w:val="22"/>
          <w:lang w:val="sr-Latn-ME"/>
        </w:rPr>
      </w:pPr>
    </w:p>
    <w:p w14:paraId="4A879A6E" w14:textId="77777777" w:rsidR="007434D8" w:rsidRPr="00173F69" w:rsidRDefault="007434D8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589AFE20" w14:textId="61A4B93F" w:rsidR="007434D8" w:rsidRPr="00173F69" w:rsidRDefault="007434D8" w:rsidP="00614295">
      <w:pPr>
        <w:pStyle w:val="Header"/>
        <w:numPr>
          <w:ilvl w:val="0"/>
          <w:numId w:val="6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173F69">
        <w:rPr>
          <w:b/>
          <w:bCs/>
          <w:szCs w:val="22"/>
          <w:lang w:val="sr-Latn-ME"/>
        </w:rPr>
        <w:t>Pacijenti sa visokim rizikom</w:t>
      </w:r>
      <w:r w:rsidR="00627979" w:rsidRPr="00173F69">
        <w:rPr>
          <w:b/>
          <w:bCs/>
          <w:szCs w:val="22"/>
          <w:lang w:val="sr-Latn-ME"/>
        </w:rPr>
        <w:t>*</w:t>
      </w:r>
      <w:r w:rsidRPr="00173F69">
        <w:rPr>
          <w:szCs w:val="22"/>
          <w:lang w:val="sr-Latn-ME"/>
        </w:rPr>
        <w:t xml:space="preserve"> (pacijenti sa </w:t>
      </w:r>
      <w:proofErr w:type="spellStart"/>
      <w:r w:rsidRPr="00173F69">
        <w:rPr>
          <w:szCs w:val="22"/>
          <w:lang w:val="sr-Latn-ME"/>
        </w:rPr>
        <w:t>imunodeficijencijom</w:t>
      </w:r>
      <w:proofErr w:type="spellEnd"/>
      <w:r w:rsidRPr="00173F69">
        <w:rPr>
          <w:szCs w:val="22"/>
          <w:lang w:val="sr-Latn-ME"/>
        </w:rPr>
        <w:t xml:space="preserve"> i oni sa visokim rizikom od </w:t>
      </w:r>
      <w:proofErr w:type="spellStart"/>
      <w:r w:rsidRPr="00173F69">
        <w:rPr>
          <w:szCs w:val="22"/>
          <w:lang w:val="sr-Latn-ME"/>
        </w:rPr>
        <w:t>relapsa</w:t>
      </w:r>
      <w:proofErr w:type="spellEnd"/>
      <w:r w:rsidRPr="00173F69">
        <w:rPr>
          <w:szCs w:val="22"/>
          <w:lang w:val="sr-Latn-ME"/>
        </w:rPr>
        <w:t>): 5 dana ned</w:t>
      </w:r>
      <w:r w:rsidR="00614295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 xml:space="preserve">eljno, </w:t>
      </w:r>
      <w:r w:rsidR="00EA43EC" w:rsidRPr="00173F69">
        <w:rPr>
          <w:szCs w:val="22"/>
          <w:lang w:val="sr-Latn-ME"/>
        </w:rPr>
        <w:t>1-</w:t>
      </w:r>
      <w:r w:rsidRPr="00173F69">
        <w:rPr>
          <w:szCs w:val="22"/>
          <w:lang w:val="sr-Latn-ME"/>
        </w:rPr>
        <w:t>2 uzastopne ned</w:t>
      </w:r>
      <w:r w:rsidR="00614295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>elje m</w:t>
      </w:r>
      <w:r w:rsidR="006B2E4E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>esečno, tokom 3 m</w:t>
      </w:r>
      <w:r w:rsidR="006B2E4E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 xml:space="preserve">eseca, čime se postiže maksimalna stopa </w:t>
      </w:r>
      <w:proofErr w:type="spellStart"/>
      <w:r w:rsidRPr="00173F69">
        <w:rPr>
          <w:szCs w:val="22"/>
          <w:lang w:val="sr-Latn-ME"/>
        </w:rPr>
        <w:t>klirensa</w:t>
      </w:r>
      <w:proofErr w:type="spellEnd"/>
      <w:r w:rsidRPr="00173F69">
        <w:rPr>
          <w:szCs w:val="22"/>
          <w:lang w:val="sr-Latn-ME"/>
        </w:rPr>
        <w:t xml:space="preserve">/remisije </w:t>
      </w:r>
      <w:proofErr w:type="spellStart"/>
      <w:r w:rsidRPr="00173F69">
        <w:rPr>
          <w:szCs w:val="22"/>
          <w:lang w:val="sr-Latn-ME"/>
        </w:rPr>
        <w:t>lezija</w:t>
      </w:r>
      <w:proofErr w:type="spellEnd"/>
      <w:r w:rsidRPr="00173F69">
        <w:rPr>
          <w:szCs w:val="22"/>
          <w:lang w:val="sr-Latn-ME"/>
        </w:rPr>
        <w:t xml:space="preserve"> do kraja tre</w:t>
      </w:r>
      <w:r w:rsidR="00614295" w:rsidRPr="00173F69">
        <w:rPr>
          <w:szCs w:val="22"/>
          <w:lang w:val="sr-Latn-ME"/>
        </w:rPr>
        <w:t>ć</w:t>
      </w:r>
      <w:r w:rsidRPr="00173F69">
        <w:rPr>
          <w:szCs w:val="22"/>
          <w:lang w:val="sr-Latn-ME"/>
        </w:rPr>
        <w:t>eg m</w:t>
      </w:r>
      <w:r w:rsidR="006B2E4E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 xml:space="preserve">eseca uzimanja terapije. </w:t>
      </w:r>
    </w:p>
    <w:p w14:paraId="0C01F583" w14:textId="77777777" w:rsidR="00CD5119" w:rsidRPr="00173F69" w:rsidRDefault="00CD5119" w:rsidP="00614295">
      <w:pPr>
        <w:tabs>
          <w:tab w:val="left" w:pos="-1800"/>
          <w:tab w:val="left" w:pos="-1080"/>
          <w:tab w:val="left" w:pos="-360"/>
        </w:tabs>
        <w:suppressAutoHyphens/>
        <w:ind w:right="-1"/>
        <w:rPr>
          <w:szCs w:val="22"/>
          <w:lang w:val="sr-Latn-ME"/>
        </w:rPr>
      </w:pPr>
    </w:p>
    <w:p w14:paraId="0E409F34" w14:textId="2DFADD21" w:rsidR="00C211DC" w:rsidRPr="00173F69" w:rsidRDefault="00C211DC" w:rsidP="00614295">
      <w:pPr>
        <w:tabs>
          <w:tab w:val="left" w:pos="-1800"/>
          <w:tab w:val="left" w:pos="-1080"/>
          <w:tab w:val="left" w:pos="-360"/>
        </w:tabs>
        <w:suppressAutoHyphens/>
        <w:ind w:right="-1"/>
        <w:rPr>
          <w:szCs w:val="22"/>
          <w:lang w:val="sr-Latn-ME"/>
        </w:rPr>
      </w:pPr>
      <w:r w:rsidRPr="00173F69">
        <w:rPr>
          <w:szCs w:val="22"/>
          <w:lang w:val="sr-Latn-ME"/>
        </w:rPr>
        <w:t xml:space="preserve">*Profili pacijenata sa visokim rizikom od recidiva ili sa cervikalnom </w:t>
      </w:r>
      <w:proofErr w:type="spellStart"/>
      <w:r w:rsidRPr="00173F69">
        <w:rPr>
          <w:szCs w:val="22"/>
          <w:lang w:val="sr-Latn-ME"/>
        </w:rPr>
        <w:t>displazijom</w:t>
      </w:r>
      <w:proofErr w:type="spellEnd"/>
      <w:r w:rsidRPr="00173F69">
        <w:rPr>
          <w:szCs w:val="22"/>
          <w:lang w:val="sr-Latn-ME"/>
        </w:rPr>
        <w:t xml:space="preserve"> ili genitalnim bradavicama slični su drugim stanjima koja obuhvataju:</w:t>
      </w:r>
    </w:p>
    <w:p w14:paraId="60283992" w14:textId="61374C3E" w:rsidR="00C211DC" w:rsidRPr="00173F69" w:rsidRDefault="00C211DC" w:rsidP="00614295">
      <w:pPr>
        <w:tabs>
          <w:tab w:val="left" w:pos="-1800"/>
          <w:tab w:val="left" w:pos="-1080"/>
          <w:tab w:val="left" w:pos="-360"/>
        </w:tabs>
        <w:suppressAutoHyphens/>
        <w:ind w:right="-1"/>
        <w:rPr>
          <w:szCs w:val="22"/>
          <w:lang w:val="sr-Latn-ME"/>
        </w:rPr>
      </w:pPr>
      <w:r w:rsidRPr="00173F69">
        <w:rPr>
          <w:szCs w:val="22"/>
          <w:lang w:val="sr-Latn-ME"/>
        </w:rPr>
        <w:t>• genitalni HPV u anamnezi &gt; 2 godine ili &gt; 3 neusp</w:t>
      </w:r>
      <w:r w:rsidR="006B2E4E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>eha prethodnih terapija</w:t>
      </w:r>
    </w:p>
    <w:p w14:paraId="02359246" w14:textId="77777777" w:rsidR="00C211DC" w:rsidRPr="00173F69" w:rsidRDefault="00C211DC" w:rsidP="00614295">
      <w:pPr>
        <w:tabs>
          <w:tab w:val="left" w:pos="-1800"/>
          <w:tab w:val="left" w:pos="-1080"/>
          <w:tab w:val="left" w:pos="-360"/>
        </w:tabs>
        <w:suppressAutoHyphens/>
        <w:ind w:right="-1"/>
        <w:rPr>
          <w:szCs w:val="22"/>
          <w:lang w:val="sr-Latn-ME"/>
        </w:rPr>
      </w:pPr>
      <w:r w:rsidRPr="00173F69">
        <w:rPr>
          <w:szCs w:val="22"/>
          <w:lang w:val="sr-Latn-ME"/>
        </w:rPr>
        <w:t xml:space="preserve">• </w:t>
      </w:r>
      <w:proofErr w:type="spellStart"/>
      <w:r w:rsidRPr="00173F69">
        <w:rPr>
          <w:szCs w:val="22"/>
          <w:lang w:val="sr-Latn-ME"/>
        </w:rPr>
        <w:t>imunodepresiju</w:t>
      </w:r>
      <w:proofErr w:type="spellEnd"/>
      <w:r w:rsidRPr="00173F69">
        <w:rPr>
          <w:szCs w:val="22"/>
          <w:lang w:val="sr-Latn-ME"/>
        </w:rPr>
        <w:t xml:space="preserve"> koja nastaje zbog:</w:t>
      </w:r>
    </w:p>
    <w:p w14:paraId="5C39410C" w14:textId="38F869CB" w:rsidR="00C211DC" w:rsidRPr="00173F69" w:rsidRDefault="00A30941" w:rsidP="00614295">
      <w:pPr>
        <w:tabs>
          <w:tab w:val="left" w:pos="-1800"/>
          <w:tab w:val="left" w:pos="-1080"/>
          <w:tab w:val="left" w:pos="-360"/>
        </w:tabs>
        <w:suppressAutoHyphens/>
        <w:ind w:right="-1"/>
        <w:rPr>
          <w:szCs w:val="22"/>
          <w:lang w:val="sr-Latn-ME"/>
        </w:rPr>
      </w:pPr>
      <w:r w:rsidRPr="00173F69">
        <w:rPr>
          <w:szCs w:val="22"/>
          <w:lang w:val="sr-Latn-ME"/>
        </w:rPr>
        <w:t xml:space="preserve">  </w:t>
      </w:r>
      <w:r w:rsidR="00C211DC" w:rsidRPr="00173F69">
        <w:rPr>
          <w:szCs w:val="22"/>
          <w:lang w:val="sr-Latn-ME"/>
        </w:rPr>
        <w:t>-hronične ili rekurentne infekcije ili bilo koje druge polno prenosive bolesti u anamnezi</w:t>
      </w:r>
    </w:p>
    <w:p w14:paraId="1B815D5A" w14:textId="00B0F9AF" w:rsidR="00C211DC" w:rsidRPr="00173F69" w:rsidRDefault="00A30941" w:rsidP="00614295">
      <w:pPr>
        <w:tabs>
          <w:tab w:val="left" w:pos="-1800"/>
          <w:tab w:val="left" w:pos="-1080"/>
          <w:tab w:val="left" w:pos="-360"/>
        </w:tabs>
        <w:suppressAutoHyphens/>
        <w:ind w:right="-1"/>
        <w:rPr>
          <w:szCs w:val="22"/>
          <w:lang w:val="sr-Latn-ME"/>
        </w:rPr>
      </w:pPr>
      <w:r w:rsidRPr="00173F69">
        <w:rPr>
          <w:szCs w:val="22"/>
          <w:lang w:val="sr-Latn-ME"/>
        </w:rPr>
        <w:t xml:space="preserve">  </w:t>
      </w:r>
      <w:r w:rsidR="00C211DC" w:rsidRPr="00173F69">
        <w:rPr>
          <w:szCs w:val="22"/>
          <w:lang w:val="sr-Latn-ME"/>
        </w:rPr>
        <w:t>-</w:t>
      </w:r>
      <w:proofErr w:type="spellStart"/>
      <w:r w:rsidR="00C211DC" w:rsidRPr="00173F69">
        <w:rPr>
          <w:szCs w:val="22"/>
          <w:lang w:val="sr-Latn-ME"/>
        </w:rPr>
        <w:t>antikancerske</w:t>
      </w:r>
      <w:proofErr w:type="spellEnd"/>
      <w:r w:rsidR="00C211DC" w:rsidRPr="00173F69">
        <w:rPr>
          <w:szCs w:val="22"/>
          <w:lang w:val="sr-Latn-ME"/>
        </w:rPr>
        <w:t xml:space="preserve"> </w:t>
      </w:r>
      <w:proofErr w:type="spellStart"/>
      <w:r w:rsidR="00C211DC" w:rsidRPr="00173F69">
        <w:rPr>
          <w:szCs w:val="22"/>
          <w:lang w:val="sr-Latn-ME"/>
        </w:rPr>
        <w:t>hemioterapije</w:t>
      </w:r>
      <w:proofErr w:type="spellEnd"/>
    </w:p>
    <w:p w14:paraId="4CE71711" w14:textId="02B2216D" w:rsidR="00C211DC" w:rsidRPr="00173F69" w:rsidRDefault="00A30941" w:rsidP="00614295">
      <w:pPr>
        <w:tabs>
          <w:tab w:val="left" w:pos="-1800"/>
          <w:tab w:val="left" w:pos="-1080"/>
          <w:tab w:val="left" w:pos="-360"/>
        </w:tabs>
        <w:suppressAutoHyphens/>
        <w:ind w:right="-1"/>
        <w:rPr>
          <w:szCs w:val="22"/>
          <w:lang w:val="sr-Latn-ME"/>
        </w:rPr>
      </w:pPr>
      <w:r w:rsidRPr="00173F69">
        <w:rPr>
          <w:szCs w:val="22"/>
          <w:lang w:val="sr-Latn-ME"/>
        </w:rPr>
        <w:t xml:space="preserve">  </w:t>
      </w:r>
      <w:r w:rsidR="00C211DC" w:rsidRPr="00173F69">
        <w:rPr>
          <w:szCs w:val="22"/>
          <w:lang w:val="sr-Latn-ME"/>
        </w:rPr>
        <w:t>-učestalo</w:t>
      </w:r>
      <w:r w:rsidR="00CD5119" w:rsidRPr="00173F69">
        <w:rPr>
          <w:szCs w:val="22"/>
          <w:lang w:val="sr-Latn-ME"/>
        </w:rPr>
        <w:t>g</w:t>
      </w:r>
      <w:r w:rsidR="00C211DC" w:rsidRPr="00173F69">
        <w:rPr>
          <w:szCs w:val="22"/>
          <w:lang w:val="sr-Latn-ME"/>
        </w:rPr>
        <w:t xml:space="preserve"> konzumiranj</w:t>
      </w:r>
      <w:r w:rsidR="00CD5119" w:rsidRPr="00173F69">
        <w:rPr>
          <w:szCs w:val="22"/>
          <w:lang w:val="sr-Latn-ME"/>
        </w:rPr>
        <w:t>a</w:t>
      </w:r>
      <w:r w:rsidR="00C211DC" w:rsidRPr="00173F69">
        <w:rPr>
          <w:szCs w:val="22"/>
          <w:lang w:val="sr-Latn-ME"/>
        </w:rPr>
        <w:t xml:space="preserve"> većih ko</w:t>
      </w:r>
      <w:r w:rsidR="00CD5119" w:rsidRPr="00173F69">
        <w:rPr>
          <w:szCs w:val="22"/>
          <w:lang w:val="sr-Latn-ME"/>
        </w:rPr>
        <w:t>l</w:t>
      </w:r>
      <w:r w:rsidR="00C211DC" w:rsidRPr="00173F69">
        <w:rPr>
          <w:szCs w:val="22"/>
          <w:lang w:val="sr-Latn-ME"/>
        </w:rPr>
        <w:t>ičina alkohola</w:t>
      </w:r>
    </w:p>
    <w:p w14:paraId="586CCB0E" w14:textId="77777777" w:rsidR="00C211DC" w:rsidRPr="00173F69" w:rsidRDefault="00C211DC" w:rsidP="00614295">
      <w:pPr>
        <w:tabs>
          <w:tab w:val="left" w:pos="-1800"/>
          <w:tab w:val="left" w:pos="-1080"/>
          <w:tab w:val="left" w:pos="-360"/>
        </w:tabs>
        <w:suppressAutoHyphens/>
        <w:ind w:right="-1"/>
        <w:rPr>
          <w:szCs w:val="22"/>
          <w:lang w:val="sr-Latn-ME"/>
        </w:rPr>
      </w:pPr>
      <w:r w:rsidRPr="00173F69">
        <w:rPr>
          <w:szCs w:val="22"/>
          <w:lang w:val="sr-Latn-ME"/>
        </w:rPr>
        <w:t xml:space="preserve">• loše kontrolisan dijabetes </w:t>
      </w:r>
      <w:proofErr w:type="spellStart"/>
      <w:r w:rsidRPr="00173F69">
        <w:rPr>
          <w:szCs w:val="22"/>
          <w:lang w:val="sr-Latn-ME"/>
        </w:rPr>
        <w:t>melitus</w:t>
      </w:r>
      <w:proofErr w:type="spellEnd"/>
    </w:p>
    <w:p w14:paraId="60B6B6CB" w14:textId="2E5155A6" w:rsidR="00C211DC" w:rsidRPr="00173F69" w:rsidRDefault="00C211DC" w:rsidP="00614295">
      <w:pPr>
        <w:tabs>
          <w:tab w:val="left" w:pos="-1800"/>
          <w:tab w:val="left" w:pos="-1080"/>
          <w:tab w:val="left" w:pos="-360"/>
        </w:tabs>
        <w:suppressAutoHyphens/>
        <w:ind w:right="-1"/>
        <w:rPr>
          <w:szCs w:val="22"/>
          <w:lang w:val="sr-Latn-ME"/>
        </w:rPr>
      </w:pPr>
      <w:r w:rsidRPr="00173F69">
        <w:rPr>
          <w:szCs w:val="22"/>
          <w:lang w:val="sr-Latn-ME"/>
        </w:rPr>
        <w:t xml:space="preserve">• </w:t>
      </w:r>
      <w:proofErr w:type="spellStart"/>
      <w:r w:rsidRPr="00173F69">
        <w:rPr>
          <w:szCs w:val="22"/>
          <w:lang w:val="sr-Latn-ME"/>
        </w:rPr>
        <w:t>atopij</w:t>
      </w:r>
      <w:r w:rsidR="00A30941" w:rsidRPr="00173F69">
        <w:rPr>
          <w:szCs w:val="22"/>
          <w:lang w:val="sr-Latn-ME"/>
        </w:rPr>
        <w:t>u</w:t>
      </w:r>
      <w:proofErr w:type="spellEnd"/>
    </w:p>
    <w:p w14:paraId="5C8F7A5D" w14:textId="014F7D7A" w:rsidR="00C211DC" w:rsidRPr="00173F69" w:rsidRDefault="00C211DC" w:rsidP="00614295">
      <w:pPr>
        <w:tabs>
          <w:tab w:val="left" w:pos="-1800"/>
          <w:tab w:val="left" w:pos="-1080"/>
          <w:tab w:val="left" w:pos="-360"/>
        </w:tabs>
        <w:suppressAutoHyphens/>
        <w:ind w:right="-1"/>
        <w:rPr>
          <w:szCs w:val="22"/>
          <w:lang w:val="sr-Latn-ME"/>
        </w:rPr>
      </w:pPr>
      <w:r w:rsidRPr="00173F69">
        <w:rPr>
          <w:szCs w:val="22"/>
          <w:lang w:val="sr-Latn-ME"/>
        </w:rPr>
        <w:t>• dugotrajn</w:t>
      </w:r>
      <w:r w:rsidR="00A30941" w:rsidRPr="00173F69">
        <w:rPr>
          <w:szCs w:val="22"/>
          <w:lang w:val="sr-Latn-ME"/>
        </w:rPr>
        <w:t>u</w:t>
      </w:r>
      <w:r w:rsidRPr="00173F69">
        <w:rPr>
          <w:szCs w:val="22"/>
          <w:lang w:val="sr-Latn-ME"/>
        </w:rPr>
        <w:t xml:space="preserve"> upotreba oralnih </w:t>
      </w:r>
      <w:proofErr w:type="spellStart"/>
      <w:r w:rsidRPr="00173F69">
        <w:rPr>
          <w:szCs w:val="22"/>
          <w:lang w:val="sr-Latn-ME"/>
        </w:rPr>
        <w:t>kontraceptiva</w:t>
      </w:r>
      <w:proofErr w:type="spellEnd"/>
      <w:r w:rsidRPr="00173F69">
        <w:rPr>
          <w:szCs w:val="22"/>
          <w:lang w:val="sr-Latn-ME"/>
        </w:rPr>
        <w:t xml:space="preserve"> (2 ili više godina)</w:t>
      </w:r>
    </w:p>
    <w:p w14:paraId="07561BDA" w14:textId="07639FF3" w:rsidR="00C211DC" w:rsidRPr="00173F69" w:rsidRDefault="00C211DC" w:rsidP="00614295">
      <w:pPr>
        <w:tabs>
          <w:tab w:val="left" w:pos="-1800"/>
          <w:tab w:val="left" w:pos="-1080"/>
          <w:tab w:val="left" w:pos="-360"/>
        </w:tabs>
        <w:suppressAutoHyphens/>
        <w:ind w:right="-1"/>
        <w:rPr>
          <w:szCs w:val="22"/>
          <w:lang w:val="sr-Latn-ME"/>
        </w:rPr>
      </w:pPr>
      <w:r w:rsidRPr="00173F69">
        <w:rPr>
          <w:szCs w:val="22"/>
          <w:lang w:val="sr-Latn-ME"/>
        </w:rPr>
        <w:t xml:space="preserve">• koncentracije </w:t>
      </w:r>
      <w:proofErr w:type="spellStart"/>
      <w:r w:rsidRPr="00173F69">
        <w:rPr>
          <w:szCs w:val="22"/>
          <w:lang w:val="sr-Latn-ME"/>
        </w:rPr>
        <w:t>folata</w:t>
      </w:r>
      <w:proofErr w:type="spellEnd"/>
      <w:r w:rsidRPr="00173F69">
        <w:rPr>
          <w:szCs w:val="22"/>
          <w:lang w:val="sr-Latn-ME"/>
        </w:rPr>
        <w:t xml:space="preserve"> u </w:t>
      </w:r>
      <w:proofErr w:type="spellStart"/>
      <w:r w:rsidRPr="00173F69">
        <w:rPr>
          <w:szCs w:val="22"/>
          <w:lang w:val="sr-Latn-ME"/>
        </w:rPr>
        <w:t>eritrocitima</w:t>
      </w:r>
      <w:proofErr w:type="spellEnd"/>
      <w:r w:rsidRPr="00173F69">
        <w:rPr>
          <w:szCs w:val="22"/>
          <w:lang w:val="sr-Latn-ME"/>
        </w:rPr>
        <w:t xml:space="preserve"> ≤ 660 </w:t>
      </w:r>
      <w:proofErr w:type="spellStart"/>
      <w:r w:rsidRPr="00173F69">
        <w:rPr>
          <w:szCs w:val="22"/>
          <w:lang w:val="sr-Latn-ME"/>
        </w:rPr>
        <w:t>n</w:t>
      </w:r>
      <w:r w:rsidR="00AA62E4" w:rsidRPr="00173F69">
        <w:rPr>
          <w:szCs w:val="22"/>
          <w:lang w:val="sr-Latn-ME"/>
        </w:rPr>
        <w:t>ano</w:t>
      </w:r>
      <w:r w:rsidRPr="00173F69">
        <w:rPr>
          <w:szCs w:val="22"/>
          <w:lang w:val="sr-Latn-ME"/>
        </w:rPr>
        <w:t>mol</w:t>
      </w:r>
      <w:proofErr w:type="spellEnd"/>
      <w:r w:rsidRPr="00173F69">
        <w:rPr>
          <w:szCs w:val="22"/>
          <w:lang w:val="sr-Latn-ME"/>
        </w:rPr>
        <w:t>/</w:t>
      </w:r>
      <w:r w:rsidR="00614295" w:rsidRPr="00173F69">
        <w:rPr>
          <w:szCs w:val="22"/>
          <w:lang w:val="sr-Latn-ME"/>
        </w:rPr>
        <w:t>l</w:t>
      </w:r>
    </w:p>
    <w:p w14:paraId="0D773A6A" w14:textId="79F5ACFF" w:rsidR="00C211DC" w:rsidRPr="00173F69" w:rsidRDefault="00C211DC" w:rsidP="00614295">
      <w:pPr>
        <w:rPr>
          <w:szCs w:val="22"/>
          <w:lang w:val="sr-Latn-ME"/>
        </w:rPr>
      </w:pPr>
      <w:r w:rsidRPr="00173F69">
        <w:rPr>
          <w:szCs w:val="22"/>
          <w:lang w:val="sr-Latn-ME"/>
        </w:rPr>
        <w:t>• bez pojave kožnih bradavica u d</w:t>
      </w:r>
      <w:r w:rsidR="0067296B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>etinjstvu u anamnezi</w:t>
      </w:r>
    </w:p>
    <w:p w14:paraId="32089B2C" w14:textId="2174C5C2" w:rsidR="00C211DC" w:rsidRPr="00173F69" w:rsidRDefault="00C211DC" w:rsidP="00614295">
      <w:pPr>
        <w:tabs>
          <w:tab w:val="left" w:pos="-1800"/>
          <w:tab w:val="left" w:pos="-1080"/>
          <w:tab w:val="left" w:pos="-360"/>
        </w:tabs>
        <w:suppressAutoHyphens/>
        <w:ind w:right="-1"/>
        <w:rPr>
          <w:szCs w:val="22"/>
          <w:lang w:val="sr-Latn-ME"/>
        </w:rPr>
      </w:pPr>
      <w:r w:rsidRPr="00173F69">
        <w:rPr>
          <w:szCs w:val="22"/>
          <w:lang w:val="sr-Latn-ME"/>
        </w:rPr>
        <w:t>• višestruki broj seksualnih partnera ili prom</w:t>
      </w:r>
      <w:r w:rsidR="006B2E4E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>ena stalnog partnera</w:t>
      </w:r>
    </w:p>
    <w:p w14:paraId="0F35B656" w14:textId="1D68F5BF" w:rsidR="00C211DC" w:rsidRPr="00173F69" w:rsidRDefault="00C211DC" w:rsidP="00614295">
      <w:pPr>
        <w:tabs>
          <w:tab w:val="left" w:pos="-1800"/>
          <w:tab w:val="left" w:pos="-1080"/>
          <w:tab w:val="left" w:pos="-360"/>
        </w:tabs>
        <w:suppressAutoHyphens/>
        <w:ind w:right="-1"/>
        <w:rPr>
          <w:szCs w:val="22"/>
          <w:lang w:val="sr-Latn-ME"/>
        </w:rPr>
      </w:pPr>
      <w:r w:rsidRPr="00173F69">
        <w:rPr>
          <w:szCs w:val="22"/>
          <w:lang w:val="sr-Latn-ME"/>
        </w:rPr>
        <w:t>• česte vaginalne seksualne kontakte (≥</w:t>
      </w:r>
      <w:r w:rsidR="00AA62E4" w:rsidRPr="00173F69">
        <w:rPr>
          <w:szCs w:val="22"/>
          <w:lang w:val="sr-Latn-ME"/>
        </w:rPr>
        <w:t xml:space="preserve"> </w:t>
      </w:r>
      <w:r w:rsidRPr="00173F69">
        <w:rPr>
          <w:szCs w:val="22"/>
          <w:lang w:val="sr-Latn-ME"/>
        </w:rPr>
        <w:t>2-6 ned</w:t>
      </w:r>
      <w:r w:rsidR="00614295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>eljno) ili analni seks</w:t>
      </w:r>
    </w:p>
    <w:p w14:paraId="1AA0C26F" w14:textId="618D5F53" w:rsidR="00C211DC" w:rsidRPr="00173F69" w:rsidRDefault="00C211DC" w:rsidP="00614295">
      <w:pPr>
        <w:tabs>
          <w:tab w:val="left" w:pos="-1800"/>
          <w:tab w:val="left" w:pos="-1080"/>
          <w:tab w:val="left" w:pos="-360"/>
        </w:tabs>
        <w:suppressAutoHyphens/>
        <w:ind w:right="-1"/>
        <w:rPr>
          <w:szCs w:val="22"/>
          <w:lang w:val="sr-Latn-ME"/>
        </w:rPr>
      </w:pPr>
      <w:r w:rsidRPr="00173F69">
        <w:rPr>
          <w:szCs w:val="22"/>
          <w:lang w:val="sr-Latn-ME"/>
        </w:rPr>
        <w:t>• pušač</w:t>
      </w:r>
      <w:r w:rsidR="00A30941" w:rsidRPr="00173F69">
        <w:rPr>
          <w:szCs w:val="22"/>
          <w:lang w:val="sr-Latn-ME"/>
        </w:rPr>
        <w:t>e</w:t>
      </w:r>
    </w:p>
    <w:p w14:paraId="244FD0DA" w14:textId="77777777" w:rsidR="00C211DC" w:rsidRPr="00173F69" w:rsidRDefault="00C211DC" w:rsidP="00614295">
      <w:pPr>
        <w:tabs>
          <w:tab w:val="left" w:pos="-1800"/>
          <w:tab w:val="left" w:pos="-1080"/>
          <w:tab w:val="left" w:pos="-360"/>
        </w:tabs>
        <w:suppressAutoHyphens/>
        <w:ind w:right="-1"/>
        <w:rPr>
          <w:szCs w:val="22"/>
          <w:lang w:val="sr-Latn-ME"/>
        </w:rPr>
      </w:pPr>
      <w:r w:rsidRPr="00173F69">
        <w:rPr>
          <w:szCs w:val="22"/>
          <w:lang w:val="sr-Latn-ME"/>
        </w:rPr>
        <w:t>• starost</w:t>
      </w:r>
    </w:p>
    <w:p w14:paraId="4D13E65E" w14:textId="77777777" w:rsidR="007434D8" w:rsidRPr="00173F69" w:rsidRDefault="007434D8" w:rsidP="00614295">
      <w:pPr>
        <w:pStyle w:val="ListParagraph"/>
        <w:rPr>
          <w:szCs w:val="22"/>
          <w:lang w:val="sr-Latn-ME"/>
        </w:rPr>
      </w:pPr>
    </w:p>
    <w:p w14:paraId="581DCBB0" w14:textId="6041E5C0" w:rsidR="0064623E" w:rsidRPr="00173F69" w:rsidRDefault="007434D8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173F69">
        <w:rPr>
          <w:szCs w:val="22"/>
          <w:lang w:val="sr-Latn-ME"/>
        </w:rPr>
        <w:t xml:space="preserve">Ova doza se može ponoviti po potrebi i pacijenta treba pratiti i zbog </w:t>
      </w:r>
      <w:proofErr w:type="spellStart"/>
      <w:r w:rsidRPr="00173F69">
        <w:rPr>
          <w:szCs w:val="22"/>
          <w:lang w:val="sr-Latn-ME"/>
        </w:rPr>
        <w:t>relapsa</w:t>
      </w:r>
      <w:proofErr w:type="spellEnd"/>
      <w:r w:rsidR="0064623E" w:rsidRPr="00173F69">
        <w:rPr>
          <w:szCs w:val="22"/>
          <w:lang w:val="sr-Latn-ME"/>
        </w:rPr>
        <w:t>.</w:t>
      </w:r>
    </w:p>
    <w:p w14:paraId="5B34981C" w14:textId="77777777" w:rsidR="00CD5119" w:rsidRPr="00173F69" w:rsidRDefault="00CD5119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0A1BFACE" w14:textId="13FBDCA3" w:rsidR="0064623E" w:rsidRPr="00173F69" w:rsidRDefault="0064623E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proofErr w:type="spellStart"/>
      <w:r w:rsidRPr="00173F69">
        <w:rPr>
          <w:szCs w:val="22"/>
          <w:u w:val="single"/>
          <w:lang w:val="sr-Latn-ME"/>
        </w:rPr>
        <w:t>Su</w:t>
      </w:r>
      <w:r w:rsidR="00614295" w:rsidRPr="00173F69">
        <w:rPr>
          <w:szCs w:val="22"/>
          <w:u w:val="single"/>
          <w:lang w:val="sr-Latn-ME"/>
        </w:rPr>
        <w:t>b</w:t>
      </w:r>
      <w:r w:rsidRPr="00173F69">
        <w:rPr>
          <w:szCs w:val="22"/>
          <w:u w:val="single"/>
          <w:lang w:val="sr-Latn-ME"/>
        </w:rPr>
        <w:t>akutni</w:t>
      </w:r>
      <w:proofErr w:type="spellEnd"/>
      <w:r w:rsidRPr="00173F69">
        <w:rPr>
          <w:szCs w:val="22"/>
          <w:u w:val="single"/>
          <w:lang w:val="sr-Latn-ME"/>
        </w:rPr>
        <w:t xml:space="preserve"> </w:t>
      </w:r>
      <w:proofErr w:type="spellStart"/>
      <w:r w:rsidRPr="00173F69">
        <w:rPr>
          <w:szCs w:val="22"/>
          <w:u w:val="single"/>
          <w:lang w:val="sr-Latn-ME"/>
        </w:rPr>
        <w:t>sklerozirajući</w:t>
      </w:r>
      <w:proofErr w:type="spellEnd"/>
      <w:r w:rsidRPr="00173F69">
        <w:rPr>
          <w:szCs w:val="22"/>
          <w:u w:val="single"/>
          <w:lang w:val="sr-Latn-ME"/>
        </w:rPr>
        <w:t xml:space="preserve"> </w:t>
      </w:r>
      <w:proofErr w:type="spellStart"/>
      <w:r w:rsidRPr="00173F69">
        <w:rPr>
          <w:szCs w:val="22"/>
          <w:u w:val="single"/>
          <w:lang w:val="sr-Latn-ME"/>
        </w:rPr>
        <w:t>panencefalitis</w:t>
      </w:r>
      <w:proofErr w:type="spellEnd"/>
      <w:r w:rsidRPr="00173F69">
        <w:rPr>
          <w:szCs w:val="22"/>
          <w:u w:val="single"/>
          <w:lang w:val="sr-Latn-ME"/>
        </w:rPr>
        <w:t xml:space="preserve"> (SSPE)</w:t>
      </w:r>
      <w:r w:rsidRPr="00173F69">
        <w:rPr>
          <w:szCs w:val="22"/>
          <w:lang w:val="sr-Latn-ME"/>
        </w:rPr>
        <w:t>: 50-100 mg/kg/dan, u pod</w:t>
      </w:r>
      <w:r w:rsidR="00F41DEC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>eljenim dozama, na svaka 4 sata.</w:t>
      </w:r>
    </w:p>
    <w:p w14:paraId="11EF7B0D" w14:textId="77777777" w:rsidR="00614295" w:rsidRPr="00173F69" w:rsidRDefault="00614295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712683EE" w14:textId="175D2C38" w:rsidR="006265F3" w:rsidRPr="00173F69" w:rsidRDefault="00BD0565" w:rsidP="00614295">
      <w:pPr>
        <w:pStyle w:val="Header"/>
        <w:tabs>
          <w:tab w:val="clear" w:pos="4536"/>
          <w:tab w:val="clear" w:pos="9072"/>
          <w:tab w:val="left" w:pos="284"/>
        </w:tabs>
        <w:rPr>
          <w:color w:val="000000" w:themeColor="text1"/>
          <w:szCs w:val="22"/>
          <w:lang w:val="sr-Latn-ME"/>
        </w:rPr>
      </w:pPr>
      <w:r w:rsidRPr="00173F69">
        <w:rPr>
          <w:color w:val="000000" w:themeColor="text1"/>
          <w:szCs w:val="22"/>
          <w:u w:val="single"/>
          <w:lang w:val="sr-Latn-ME"/>
        </w:rPr>
        <w:t xml:space="preserve">Virusne </w:t>
      </w:r>
      <w:r w:rsidR="00DE7BB2" w:rsidRPr="00173F69">
        <w:rPr>
          <w:color w:val="000000" w:themeColor="text1"/>
          <w:szCs w:val="22"/>
          <w:u w:val="single"/>
          <w:lang w:val="sr-Latn-ME"/>
        </w:rPr>
        <w:t>i</w:t>
      </w:r>
      <w:r w:rsidRPr="00173F69">
        <w:rPr>
          <w:color w:val="000000" w:themeColor="text1"/>
          <w:szCs w:val="22"/>
          <w:u w:val="single"/>
          <w:lang w:val="sr-Latn-ME"/>
        </w:rPr>
        <w:t>nfekcije gornjih disajnih puteva:</w:t>
      </w:r>
      <w:r w:rsidRPr="00173F69">
        <w:rPr>
          <w:color w:val="000000" w:themeColor="text1"/>
          <w:szCs w:val="22"/>
          <w:lang w:val="sr-Latn-ME"/>
        </w:rPr>
        <w:t xml:space="preserve"> preporučena doza je 50 mg/kg t</w:t>
      </w:r>
      <w:r w:rsidR="006B2E4E" w:rsidRPr="00173F69">
        <w:rPr>
          <w:color w:val="000000" w:themeColor="text1"/>
          <w:szCs w:val="22"/>
          <w:lang w:val="sr-Latn-ME"/>
        </w:rPr>
        <w:t>j</w:t>
      </w:r>
      <w:r w:rsidRPr="00173F69">
        <w:rPr>
          <w:color w:val="000000" w:themeColor="text1"/>
          <w:szCs w:val="22"/>
          <w:lang w:val="sr-Latn-ME"/>
        </w:rPr>
        <w:t>elesne mase</w:t>
      </w:r>
      <w:r w:rsidR="00831173" w:rsidRPr="00173F69">
        <w:rPr>
          <w:color w:val="000000" w:themeColor="text1"/>
          <w:szCs w:val="22"/>
          <w:lang w:val="sr-Latn-ME"/>
        </w:rPr>
        <w:t xml:space="preserve"> (1 m</w:t>
      </w:r>
      <w:r w:rsidR="00614295" w:rsidRPr="00173F69">
        <w:rPr>
          <w:color w:val="000000" w:themeColor="text1"/>
          <w:szCs w:val="22"/>
          <w:lang w:val="sr-Latn-ME"/>
        </w:rPr>
        <w:t>l</w:t>
      </w:r>
      <w:r w:rsidR="00831173" w:rsidRPr="00173F69">
        <w:rPr>
          <w:color w:val="000000" w:themeColor="text1"/>
          <w:szCs w:val="22"/>
          <w:lang w:val="sr-Latn-ME"/>
        </w:rPr>
        <w:t>/kg t</w:t>
      </w:r>
      <w:r w:rsidR="006B2E4E" w:rsidRPr="00173F69">
        <w:rPr>
          <w:color w:val="000000" w:themeColor="text1"/>
          <w:szCs w:val="22"/>
          <w:lang w:val="sr-Latn-ME"/>
        </w:rPr>
        <w:t>j</w:t>
      </w:r>
      <w:r w:rsidR="00831173" w:rsidRPr="00173F69">
        <w:rPr>
          <w:color w:val="000000" w:themeColor="text1"/>
          <w:szCs w:val="22"/>
          <w:lang w:val="sr-Latn-ME"/>
        </w:rPr>
        <w:t>elesne mase dnevno)</w:t>
      </w:r>
      <w:r w:rsidRPr="00173F69">
        <w:rPr>
          <w:color w:val="000000" w:themeColor="text1"/>
          <w:szCs w:val="22"/>
          <w:lang w:val="sr-Latn-ME"/>
        </w:rPr>
        <w:t>, koja se daje oralno u 3-4 jednako pod</w:t>
      </w:r>
      <w:r w:rsidR="006B2E4E" w:rsidRPr="00173F69">
        <w:rPr>
          <w:color w:val="000000" w:themeColor="text1"/>
          <w:szCs w:val="22"/>
          <w:lang w:val="sr-Latn-ME"/>
        </w:rPr>
        <w:t>ij</w:t>
      </w:r>
      <w:r w:rsidRPr="00173F69">
        <w:rPr>
          <w:color w:val="000000" w:themeColor="text1"/>
          <w:szCs w:val="22"/>
          <w:lang w:val="sr-Latn-ME"/>
        </w:rPr>
        <w:t xml:space="preserve">eljene doze tokom dana. </w:t>
      </w:r>
      <w:r w:rsidR="00831173" w:rsidRPr="00173F69">
        <w:rPr>
          <w:color w:val="000000" w:themeColor="text1"/>
          <w:szCs w:val="22"/>
          <w:lang w:val="sr-Latn-ME"/>
        </w:rPr>
        <w:t>Uo</w:t>
      </w:r>
      <w:r w:rsidRPr="00173F69">
        <w:rPr>
          <w:color w:val="000000" w:themeColor="text1"/>
          <w:szCs w:val="22"/>
          <w:lang w:val="sr-Latn-ME"/>
        </w:rPr>
        <w:t>bič</w:t>
      </w:r>
      <w:r w:rsidR="001F2ADA" w:rsidRPr="00173F69">
        <w:rPr>
          <w:color w:val="000000" w:themeColor="text1"/>
          <w:szCs w:val="22"/>
          <w:lang w:val="sr-Latn-ME"/>
        </w:rPr>
        <w:t xml:space="preserve">ajena doza </w:t>
      </w:r>
      <w:r w:rsidRPr="00173F69">
        <w:rPr>
          <w:color w:val="000000" w:themeColor="text1"/>
          <w:szCs w:val="22"/>
          <w:lang w:val="sr-Latn-ME"/>
        </w:rPr>
        <w:t>3</w:t>
      </w:r>
      <w:r w:rsidR="00AA62E4" w:rsidRPr="00173F69">
        <w:rPr>
          <w:color w:val="000000" w:themeColor="text1"/>
          <w:szCs w:val="22"/>
          <w:lang w:val="sr-Latn-ME"/>
        </w:rPr>
        <w:t xml:space="preserve"> </w:t>
      </w:r>
      <w:r w:rsidRPr="00173F69">
        <w:rPr>
          <w:color w:val="000000" w:themeColor="text1"/>
          <w:szCs w:val="22"/>
          <w:lang w:val="sr-Latn-ME"/>
        </w:rPr>
        <w:t>g/dan</w:t>
      </w:r>
      <w:r w:rsidR="001F2ADA" w:rsidRPr="00173F69">
        <w:rPr>
          <w:color w:val="000000" w:themeColor="text1"/>
          <w:szCs w:val="22"/>
          <w:lang w:val="sr-Latn-ME"/>
        </w:rPr>
        <w:t xml:space="preserve"> (60 m</w:t>
      </w:r>
      <w:r w:rsidR="00614295" w:rsidRPr="00173F69">
        <w:rPr>
          <w:color w:val="000000" w:themeColor="text1"/>
          <w:szCs w:val="22"/>
          <w:lang w:val="sr-Latn-ME"/>
        </w:rPr>
        <w:t>l</w:t>
      </w:r>
      <w:r w:rsidR="001F2ADA" w:rsidRPr="00173F69">
        <w:rPr>
          <w:color w:val="000000" w:themeColor="text1"/>
          <w:szCs w:val="22"/>
          <w:lang w:val="sr-Latn-ME"/>
        </w:rPr>
        <w:t xml:space="preserve"> sirupa</w:t>
      </w:r>
      <w:r w:rsidRPr="00173F69">
        <w:rPr>
          <w:color w:val="000000" w:themeColor="text1"/>
          <w:szCs w:val="22"/>
          <w:lang w:val="sr-Latn-ME"/>
        </w:rPr>
        <w:t>) do maksimalno 4</w:t>
      </w:r>
      <w:r w:rsidR="00103E9E" w:rsidRPr="00173F69">
        <w:rPr>
          <w:color w:val="000000" w:themeColor="text1"/>
          <w:szCs w:val="22"/>
          <w:lang w:val="sr-Latn-ME"/>
        </w:rPr>
        <w:t xml:space="preserve"> </w:t>
      </w:r>
      <w:r w:rsidRPr="00173F69">
        <w:rPr>
          <w:color w:val="000000" w:themeColor="text1"/>
          <w:szCs w:val="22"/>
          <w:lang w:val="sr-Latn-ME"/>
        </w:rPr>
        <w:t>g/dan (</w:t>
      </w:r>
      <w:r w:rsidR="001F2ADA" w:rsidRPr="00173F69">
        <w:rPr>
          <w:color w:val="000000" w:themeColor="text1"/>
          <w:szCs w:val="22"/>
          <w:lang w:val="sr-Latn-ME"/>
        </w:rPr>
        <w:t>80 m</w:t>
      </w:r>
      <w:r w:rsidR="00614295" w:rsidRPr="00173F69">
        <w:rPr>
          <w:color w:val="000000" w:themeColor="text1"/>
          <w:szCs w:val="22"/>
          <w:lang w:val="sr-Latn-ME"/>
        </w:rPr>
        <w:t>l</w:t>
      </w:r>
      <w:r w:rsidR="001F2ADA" w:rsidRPr="00173F69">
        <w:rPr>
          <w:color w:val="000000" w:themeColor="text1"/>
          <w:szCs w:val="22"/>
          <w:lang w:val="sr-Latn-ME"/>
        </w:rPr>
        <w:t xml:space="preserve"> sirupa</w:t>
      </w:r>
      <w:r w:rsidRPr="00173F69">
        <w:rPr>
          <w:color w:val="000000" w:themeColor="text1"/>
          <w:szCs w:val="22"/>
          <w:lang w:val="sr-Latn-ME"/>
        </w:rPr>
        <w:t>).</w:t>
      </w:r>
      <w:r w:rsidR="001F2ADA" w:rsidRPr="00173F69">
        <w:rPr>
          <w:color w:val="000000" w:themeColor="text1"/>
          <w:szCs w:val="22"/>
          <w:lang w:val="sr-Latn-ME"/>
        </w:rPr>
        <w:t xml:space="preserve"> Uobičajeno trajanje terapije je </w:t>
      </w:r>
      <w:r w:rsidR="001D2E7F" w:rsidRPr="00173F69">
        <w:rPr>
          <w:color w:val="000000" w:themeColor="text1"/>
          <w:szCs w:val="22"/>
          <w:lang w:val="sr-Latn-ME"/>
        </w:rPr>
        <w:t xml:space="preserve">od </w:t>
      </w:r>
      <w:r w:rsidR="001F2ADA" w:rsidRPr="00173F69">
        <w:rPr>
          <w:color w:val="000000" w:themeColor="text1"/>
          <w:szCs w:val="22"/>
          <w:lang w:val="sr-Latn-ME"/>
        </w:rPr>
        <w:t xml:space="preserve">5 do 14 dana. </w:t>
      </w:r>
    </w:p>
    <w:p w14:paraId="6E715878" w14:textId="79EC1675" w:rsidR="00BD0565" w:rsidRPr="00173F69" w:rsidRDefault="001F2ADA" w:rsidP="00614295">
      <w:pPr>
        <w:pStyle w:val="Header"/>
        <w:tabs>
          <w:tab w:val="clear" w:pos="4536"/>
          <w:tab w:val="clear" w:pos="9072"/>
          <w:tab w:val="left" w:pos="284"/>
        </w:tabs>
        <w:rPr>
          <w:color w:val="000000" w:themeColor="text1"/>
          <w:szCs w:val="22"/>
          <w:lang w:val="sr-Latn-ME"/>
        </w:rPr>
      </w:pPr>
      <w:r w:rsidRPr="00173F69">
        <w:rPr>
          <w:color w:val="000000" w:themeColor="text1"/>
          <w:szCs w:val="22"/>
          <w:lang w:val="sr-Latn-ME"/>
        </w:rPr>
        <w:t>Nakon povlačenja simptoma terapiju je potrebno nastaviti 1-2 dana.</w:t>
      </w:r>
      <w:r w:rsidR="00BD0565" w:rsidRPr="00173F69">
        <w:rPr>
          <w:color w:val="000000" w:themeColor="text1"/>
          <w:szCs w:val="22"/>
          <w:lang w:val="sr-Latn-ME"/>
        </w:rPr>
        <w:t xml:space="preserve"> </w:t>
      </w:r>
    </w:p>
    <w:p w14:paraId="1E8EC959" w14:textId="77777777" w:rsidR="001F2ADA" w:rsidRPr="00173F69" w:rsidRDefault="001F2ADA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u w:val="single"/>
          <w:lang w:val="sr-Latn-ME"/>
        </w:rPr>
      </w:pPr>
    </w:p>
    <w:p w14:paraId="7999311F" w14:textId="101729FB" w:rsidR="0020702B" w:rsidRPr="00173F69" w:rsidRDefault="0020702B" w:rsidP="00614295">
      <w:pPr>
        <w:pStyle w:val="Header"/>
        <w:tabs>
          <w:tab w:val="clear" w:pos="4536"/>
          <w:tab w:val="clear" w:pos="9072"/>
          <w:tab w:val="left" w:pos="284"/>
        </w:tabs>
        <w:rPr>
          <w:i/>
          <w:iCs/>
          <w:szCs w:val="22"/>
          <w:lang w:val="sr-Latn-ME"/>
        </w:rPr>
      </w:pPr>
      <w:r w:rsidRPr="00173F69">
        <w:rPr>
          <w:i/>
          <w:iCs/>
          <w:szCs w:val="22"/>
          <w:lang w:val="sr-Latn-ME"/>
        </w:rPr>
        <w:t>Pedijatrijska populacija</w:t>
      </w:r>
    </w:p>
    <w:p w14:paraId="4A314430" w14:textId="77777777" w:rsidR="001D2E7F" w:rsidRPr="00173F69" w:rsidRDefault="001D2E7F" w:rsidP="00614295">
      <w:pPr>
        <w:pStyle w:val="Header"/>
        <w:tabs>
          <w:tab w:val="clear" w:pos="4536"/>
          <w:tab w:val="clear" w:pos="9072"/>
          <w:tab w:val="left" w:pos="284"/>
        </w:tabs>
        <w:rPr>
          <w:i/>
          <w:iCs/>
          <w:szCs w:val="22"/>
          <w:lang w:val="sr-Latn-ME"/>
        </w:rPr>
      </w:pPr>
    </w:p>
    <w:p w14:paraId="2397E68E" w14:textId="5CBDC75B" w:rsidR="001D2E7F" w:rsidRPr="00173F69" w:rsidRDefault="001F2ADA" w:rsidP="00614295">
      <w:pPr>
        <w:pStyle w:val="Header"/>
        <w:tabs>
          <w:tab w:val="clear" w:pos="4536"/>
          <w:tab w:val="clear" w:pos="9072"/>
          <w:tab w:val="left" w:pos="284"/>
        </w:tabs>
        <w:rPr>
          <w:color w:val="000000" w:themeColor="text1"/>
          <w:szCs w:val="22"/>
          <w:u w:val="single"/>
          <w:lang w:val="sr-Latn-ME"/>
        </w:rPr>
      </w:pPr>
      <w:r w:rsidRPr="00173F69">
        <w:rPr>
          <w:color w:val="000000" w:themeColor="text1"/>
          <w:szCs w:val="22"/>
          <w:u w:val="single"/>
          <w:lang w:val="sr-Latn-ME"/>
        </w:rPr>
        <w:t>Virusne infekcije gornjih disajnih puteva:</w:t>
      </w:r>
    </w:p>
    <w:p w14:paraId="7795E4D1" w14:textId="77777777" w:rsidR="00614295" w:rsidRPr="00173F69" w:rsidRDefault="00614295" w:rsidP="00614295">
      <w:pPr>
        <w:pStyle w:val="Header"/>
        <w:tabs>
          <w:tab w:val="clear" w:pos="4536"/>
          <w:tab w:val="clear" w:pos="9072"/>
          <w:tab w:val="left" w:pos="284"/>
        </w:tabs>
        <w:rPr>
          <w:color w:val="000000" w:themeColor="text1"/>
          <w:szCs w:val="22"/>
          <w:u w:val="single"/>
          <w:lang w:val="sr-Latn-ME"/>
        </w:rPr>
      </w:pPr>
    </w:p>
    <w:p w14:paraId="6226DE3E" w14:textId="6C762DF8" w:rsidR="00305ED3" w:rsidRPr="00173F69" w:rsidRDefault="00BD0565" w:rsidP="00614295">
      <w:pPr>
        <w:pStyle w:val="Header"/>
        <w:tabs>
          <w:tab w:val="clear" w:pos="4536"/>
          <w:tab w:val="clear" w:pos="9072"/>
          <w:tab w:val="left" w:pos="284"/>
        </w:tabs>
        <w:rPr>
          <w:color w:val="000000" w:themeColor="text1"/>
          <w:szCs w:val="22"/>
          <w:lang w:val="sr-Latn-ME"/>
        </w:rPr>
      </w:pPr>
      <w:r w:rsidRPr="00173F69">
        <w:rPr>
          <w:color w:val="000000" w:themeColor="text1"/>
          <w:szCs w:val="22"/>
          <w:u w:val="single"/>
          <w:lang w:val="sr-Latn-ME"/>
        </w:rPr>
        <w:t>D</w:t>
      </w:r>
      <w:r w:rsidR="006A00C7" w:rsidRPr="00173F69">
        <w:rPr>
          <w:color w:val="000000" w:themeColor="text1"/>
          <w:szCs w:val="22"/>
          <w:u w:val="single"/>
          <w:lang w:val="sr-Latn-ME"/>
        </w:rPr>
        <w:t>j</w:t>
      </w:r>
      <w:r w:rsidRPr="00173F69">
        <w:rPr>
          <w:color w:val="000000" w:themeColor="text1"/>
          <w:szCs w:val="22"/>
          <w:u w:val="single"/>
          <w:lang w:val="sr-Latn-ME"/>
        </w:rPr>
        <w:t xml:space="preserve">eca starija od </w:t>
      </w:r>
      <w:r w:rsidR="00DE7BB2" w:rsidRPr="00173F69">
        <w:rPr>
          <w:color w:val="000000" w:themeColor="text1"/>
          <w:szCs w:val="22"/>
          <w:u w:val="single"/>
          <w:lang w:val="sr-Latn-ME"/>
        </w:rPr>
        <w:t>1</w:t>
      </w:r>
      <w:r w:rsidRPr="00173F69">
        <w:rPr>
          <w:color w:val="000000" w:themeColor="text1"/>
          <w:szCs w:val="22"/>
          <w:u w:val="single"/>
          <w:lang w:val="sr-Latn-ME"/>
        </w:rPr>
        <w:t xml:space="preserve"> godine:</w:t>
      </w:r>
      <w:r w:rsidRPr="00173F69">
        <w:rPr>
          <w:color w:val="000000" w:themeColor="text1"/>
          <w:szCs w:val="22"/>
          <w:lang w:val="sr-Latn-ME"/>
        </w:rPr>
        <w:t xml:space="preserve"> 50 mg/kg t</w:t>
      </w:r>
      <w:r w:rsidR="006A00C7" w:rsidRPr="00173F69">
        <w:rPr>
          <w:color w:val="000000" w:themeColor="text1"/>
          <w:szCs w:val="22"/>
          <w:lang w:val="sr-Latn-ME"/>
        </w:rPr>
        <w:t>j</w:t>
      </w:r>
      <w:r w:rsidRPr="00173F69">
        <w:rPr>
          <w:color w:val="000000" w:themeColor="text1"/>
          <w:szCs w:val="22"/>
          <w:lang w:val="sr-Latn-ME"/>
        </w:rPr>
        <w:t xml:space="preserve">elesne mase/dan </w:t>
      </w:r>
      <w:r w:rsidR="0046270F" w:rsidRPr="00173F69">
        <w:rPr>
          <w:color w:val="000000" w:themeColor="text1"/>
          <w:szCs w:val="22"/>
          <w:lang w:val="sr-Latn-ME"/>
        </w:rPr>
        <w:t>(1</w:t>
      </w:r>
      <w:r w:rsidR="001D2E7F" w:rsidRPr="00173F69">
        <w:rPr>
          <w:color w:val="000000" w:themeColor="text1"/>
          <w:szCs w:val="22"/>
          <w:lang w:val="sr-Latn-ME"/>
        </w:rPr>
        <w:t xml:space="preserve"> </w:t>
      </w:r>
      <w:r w:rsidR="0046270F" w:rsidRPr="00173F69">
        <w:rPr>
          <w:color w:val="000000" w:themeColor="text1"/>
          <w:szCs w:val="22"/>
          <w:lang w:val="sr-Latn-ME"/>
        </w:rPr>
        <w:t>m</w:t>
      </w:r>
      <w:r w:rsidR="00614295" w:rsidRPr="00173F69">
        <w:rPr>
          <w:color w:val="000000" w:themeColor="text1"/>
          <w:szCs w:val="22"/>
          <w:lang w:val="sr-Latn-ME"/>
        </w:rPr>
        <w:t>l</w:t>
      </w:r>
      <w:r w:rsidR="0046270F" w:rsidRPr="00173F69">
        <w:rPr>
          <w:color w:val="000000" w:themeColor="text1"/>
          <w:szCs w:val="22"/>
          <w:lang w:val="sr-Latn-ME"/>
        </w:rPr>
        <w:t>/kg t</w:t>
      </w:r>
      <w:r w:rsidR="006A00C7" w:rsidRPr="00173F69">
        <w:rPr>
          <w:color w:val="000000" w:themeColor="text1"/>
          <w:szCs w:val="22"/>
          <w:lang w:val="sr-Latn-ME"/>
        </w:rPr>
        <w:t>j</w:t>
      </w:r>
      <w:r w:rsidR="0046270F" w:rsidRPr="00173F69">
        <w:rPr>
          <w:color w:val="000000" w:themeColor="text1"/>
          <w:szCs w:val="22"/>
          <w:lang w:val="sr-Latn-ME"/>
        </w:rPr>
        <w:t>elesne mase) pod</w:t>
      </w:r>
      <w:r w:rsidR="00614295" w:rsidRPr="00173F69">
        <w:rPr>
          <w:color w:val="000000" w:themeColor="text1"/>
          <w:szCs w:val="22"/>
          <w:lang w:val="sr-Latn-ME"/>
        </w:rPr>
        <w:t>ij</w:t>
      </w:r>
      <w:r w:rsidR="0046270F" w:rsidRPr="00173F69">
        <w:rPr>
          <w:color w:val="000000" w:themeColor="text1"/>
          <w:szCs w:val="22"/>
          <w:lang w:val="sr-Latn-ME"/>
        </w:rPr>
        <w:t>eljeno u 3-4 jednake doze tokom dana i</w:t>
      </w:r>
      <w:r w:rsidRPr="00173F69">
        <w:rPr>
          <w:color w:val="000000" w:themeColor="text1"/>
          <w:szCs w:val="22"/>
          <w:lang w:val="sr-Latn-ME"/>
        </w:rPr>
        <w:t>li prema tabeli</w:t>
      </w:r>
      <w:r w:rsidR="0046270F" w:rsidRPr="00173F69">
        <w:rPr>
          <w:color w:val="000000" w:themeColor="text1"/>
          <w:szCs w:val="22"/>
          <w:lang w:val="sr-Latn-ME"/>
        </w:rPr>
        <w:t xml:space="preserve"> ispod. Uobičajeno trajanje terapije je </w:t>
      </w:r>
      <w:r w:rsidR="001D2E7F" w:rsidRPr="00173F69">
        <w:rPr>
          <w:color w:val="000000" w:themeColor="text1"/>
          <w:szCs w:val="22"/>
          <w:lang w:val="sr-Latn-ME"/>
        </w:rPr>
        <w:t xml:space="preserve">od </w:t>
      </w:r>
      <w:r w:rsidR="0046270F" w:rsidRPr="00173F69">
        <w:rPr>
          <w:color w:val="000000" w:themeColor="text1"/>
          <w:szCs w:val="22"/>
          <w:lang w:val="sr-Latn-ME"/>
        </w:rPr>
        <w:t>5 do 14 dana. Nakon povlačenja simptoma terapiju je potrebno nastaviti 1-2 dana</w:t>
      </w:r>
      <w:r w:rsidR="001D2E7F" w:rsidRPr="00173F69">
        <w:rPr>
          <w:color w:val="000000" w:themeColor="text1"/>
          <w:szCs w:val="22"/>
          <w:lang w:val="sr-Latn-ME"/>
        </w:rPr>
        <w:t>.</w:t>
      </w:r>
    </w:p>
    <w:p w14:paraId="18434AE8" w14:textId="77777777" w:rsidR="00044BF7" w:rsidRPr="00173F69" w:rsidRDefault="00044BF7" w:rsidP="00614295">
      <w:pPr>
        <w:pStyle w:val="Header"/>
        <w:tabs>
          <w:tab w:val="clear" w:pos="4536"/>
          <w:tab w:val="clear" w:pos="9072"/>
          <w:tab w:val="left" w:pos="284"/>
        </w:tabs>
        <w:rPr>
          <w:color w:val="000000" w:themeColor="text1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7"/>
        <w:gridCol w:w="4812"/>
      </w:tblGrid>
      <w:tr w:rsidR="00305ED3" w:rsidRPr="00173F69" w14:paraId="04B232FA" w14:textId="77777777" w:rsidTr="00305ED3">
        <w:tc>
          <w:tcPr>
            <w:tcW w:w="4927" w:type="dxa"/>
          </w:tcPr>
          <w:p w14:paraId="3407E0F0" w14:textId="7E5F9022" w:rsidR="00305ED3" w:rsidRPr="00173F69" w:rsidRDefault="00044BF7" w:rsidP="00614295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b/>
                <w:bCs/>
                <w:color w:val="000000" w:themeColor="text1"/>
                <w:szCs w:val="22"/>
                <w:lang w:val="sr-Latn-ME"/>
              </w:rPr>
            </w:pPr>
            <w:r w:rsidRPr="00173F69">
              <w:rPr>
                <w:b/>
                <w:bCs/>
                <w:color w:val="000000" w:themeColor="text1"/>
                <w:szCs w:val="22"/>
                <w:lang w:val="sr-Latn-ME"/>
              </w:rPr>
              <w:t>T</w:t>
            </w:r>
            <w:r w:rsidR="002377E6" w:rsidRPr="00173F69">
              <w:rPr>
                <w:b/>
                <w:bCs/>
                <w:color w:val="000000" w:themeColor="text1"/>
                <w:szCs w:val="22"/>
                <w:lang w:val="sr-Latn-ME"/>
              </w:rPr>
              <w:t>j</w:t>
            </w:r>
            <w:r w:rsidRPr="00173F69">
              <w:rPr>
                <w:b/>
                <w:bCs/>
                <w:color w:val="000000" w:themeColor="text1"/>
                <w:szCs w:val="22"/>
                <w:lang w:val="sr-Latn-ME"/>
              </w:rPr>
              <w:t>elesna masa</w:t>
            </w:r>
          </w:p>
        </w:tc>
        <w:tc>
          <w:tcPr>
            <w:tcW w:w="4928" w:type="dxa"/>
          </w:tcPr>
          <w:p w14:paraId="2D4D2C88" w14:textId="6F1F359D" w:rsidR="00305ED3" w:rsidRPr="00173F69" w:rsidRDefault="00044BF7" w:rsidP="00614295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color w:val="000000" w:themeColor="text1"/>
                <w:szCs w:val="22"/>
                <w:lang w:val="sr-Latn-ME"/>
              </w:rPr>
            </w:pPr>
            <w:r w:rsidRPr="00173F69">
              <w:rPr>
                <w:b/>
                <w:bCs/>
                <w:szCs w:val="22"/>
                <w:lang w:val="sr-Latn-ME"/>
              </w:rPr>
              <w:t>Doza*</w:t>
            </w:r>
          </w:p>
        </w:tc>
      </w:tr>
      <w:tr w:rsidR="00305ED3" w:rsidRPr="00173F69" w14:paraId="69C0AC45" w14:textId="77777777" w:rsidTr="00305ED3">
        <w:tc>
          <w:tcPr>
            <w:tcW w:w="4927" w:type="dxa"/>
          </w:tcPr>
          <w:p w14:paraId="435A64EE" w14:textId="0ECC5C26" w:rsidR="00305ED3" w:rsidRPr="00173F69" w:rsidRDefault="00044BF7" w:rsidP="00614295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color w:val="000000" w:themeColor="text1"/>
                <w:szCs w:val="22"/>
                <w:lang w:val="sr-Latn-ME"/>
              </w:rPr>
            </w:pPr>
            <w:r w:rsidRPr="00173F69">
              <w:rPr>
                <w:color w:val="000000" w:themeColor="text1"/>
                <w:szCs w:val="22"/>
                <w:lang w:val="sr-Latn-ME"/>
              </w:rPr>
              <w:t>10-14 kg</w:t>
            </w:r>
          </w:p>
        </w:tc>
        <w:tc>
          <w:tcPr>
            <w:tcW w:w="4928" w:type="dxa"/>
          </w:tcPr>
          <w:p w14:paraId="7DDEDC91" w14:textId="0CCE63D4" w:rsidR="00305ED3" w:rsidRPr="00173F69" w:rsidRDefault="00044BF7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color w:val="000000" w:themeColor="text1"/>
                <w:szCs w:val="22"/>
                <w:lang w:val="sr-Latn-ME"/>
              </w:rPr>
            </w:pPr>
            <w:r w:rsidRPr="00173F69">
              <w:rPr>
                <w:color w:val="000000" w:themeColor="text1"/>
                <w:szCs w:val="22"/>
                <w:lang w:val="sr-Latn-ME"/>
              </w:rPr>
              <w:t>3 x 5 m</w:t>
            </w:r>
            <w:r w:rsidR="00614295" w:rsidRPr="00173F69">
              <w:rPr>
                <w:color w:val="000000" w:themeColor="text1"/>
                <w:szCs w:val="22"/>
                <w:lang w:val="sr-Latn-ME"/>
              </w:rPr>
              <w:t>l</w:t>
            </w:r>
          </w:p>
        </w:tc>
      </w:tr>
      <w:tr w:rsidR="00305ED3" w:rsidRPr="00173F69" w14:paraId="5C803E7C" w14:textId="77777777" w:rsidTr="00305ED3">
        <w:tc>
          <w:tcPr>
            <w:tcW w:w="4927" w:type="dxa"/>
          </w:tcPr>
          <w:p w14:paraId="1F9DCE2D" w14:textId="4F79CD78" w:rsidR="00305ED3" w:rsidRPr="00173F69" w:rsidRDefault="00044BF7" w:rsidP="00614295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color w:val="000000" w:themeColor="text1"/>
                <w:szCs w:val="22"/>
                <w:lang w:val="sr-Latn-ME"/>
              </w:rPr>
            </w:pPr>
            <w:r w:rsidRPr="00173F69">
              <w:rPr>
                <w:color w:val="000000" w:themeColor="text1"/>
                <w:szCs w:val="22"/>
                <w:lang w:val="sr-Latn-ME"/>
              </w:rPr>
              <w:t>15-20 kg</w:t>
            </w:r>
          </w:p>
        </w:tc>
        <w:tc>
          <w:tcPr>
            <w:tcW w:w="4928" w:type="dxa"/>
          </w:tcPr>
          <w:p w14:paraId="03FB5889" w14:textId="64D882AC" w:rsidR="00305ED3" w:rsidRPr="00173F69" w:rsidRDefault="00044BF7" w:rsidP="00614295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color w:val="000000" w:themeColor="text1"/>
                <w:szCs w:val="22"/>
                <w:lang w:val="sr-Latn-ME"/>
              </w:rPr>
            </w:pPr>
            <w:r w:rsidRPr="00173F69">
              <w:rPr>
                <w:color w:val="000000" w:themeColor="text1"/>
                <w:szCs w:val="22"/>
                <w:lang w:val="sr-Latn-ME"/>
              </w:rPr>
              <w:t>3 x 5-7,5 m</w:t>
            </w:r>
            <w:r w:rsidR="00614295" w:rsidRPr="00173F69">
              <w:rPr>
                <w:color w:val="000000" w:themeColor="text1"/>
                <w:szCs w:val="22"/>
                <w:lang w:val="sr-Latn-ME"/>
              </w:rPr>
              <w:t>l</w:t>
            </w:r>
          </w:p>
        </w:tc>
      </w:tr>
      <w:tr w:rsidR="00305ED3" w:rsidRPr="00173F69" w14:paraId="6C5B723E" w14:textId="77777777" w:rsidTr="00305ED3">
        <w:tc>
          <w:tcPr>
            <w:tcW w:w="4927" w:type="dxa"/>
          </w:tcPr>
          <w:p w14:paraId="3EE9F629" w14:textId="454DA5A4" w:rsidR="00305ED3" w:rsidRPr="00173F69" w:rsidRDefault="00044BF7" w:rsidP="00614295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color w:val="000000" w:themeColor="text1"/>
                <w:szCs w:val="22"/>
                <w:lang w:val="sr-Latn-ME"/>
              </w:rPr>
            </w:pPr>
            <w:r w:rsidRPr="00173F69">
              <w:rPr>
                <w:color w:val="000000" w:themeColor="text1"/>
                <w:szCs w:val="22"/>
                <w:lang w:val="sr-Latn-ME"/>
              </w:rPr>
              <w:t>21-30 kg</w:t>
            </w:r>
          </w:p>
        </w:tc>
        <w:tc>
          <w:tcPr>
            <w:tcW w:w="4928" w:type="dxa"/>
          </w:tcPr>
          <w:p w14:paraId="309557F0" w14:textId="6119E556" w:rsidR="00305ED3" w:rsidRPr="00173F69" w:rsidRDefault="00044BF7" w:rsidP="00614295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color w:val="000000" w:themeColor="text1"/>
                <w:szCs w:val="22"/>
                <w:lang w:val="sr-Latn-ME"/>
              </w:rPr>
            </w:pPr>
            <w:r w:rsidRPr="00173F69">
              <w:rPr>
                <w:color w:val="000000" w:themeColor="text1"/>
                <w:szCs w:val="22"/>
                <w:lang w:val="sr-Latn-ME"/>
              </w:rPr>
              <w:t>3 x 7,5-10 m</w:t>
            </w:r>
            <w:r w:rsidR="00614295" w:rsidRPr="00173F69">
              <w:rPr>
                <w:color w:val="000000" w:themeColor="text1"/>
                <w:szCs w:val="22"/>
                <w:lang w:val="sr-Latn-ME"/>
              </w:rPr>
              <w:t>l</w:t>
            </w:r>
          </w:p>
        </w:tc>
      </w:tr>
      <w:tr w:rsidR="00305ED3" w:rsidRPr="00173F69" w14:paraId="4FE1B070" w14:textId="77777777" w:rsidTr="00305ED3">
        <w:tc>
          <w:tcPr>
            <w:tcW w:w="4927" w:type="dxa"/>
          </w:tcPr>
          <w:p w14:paraId="0B3AAF7C" w14:textId="49072EEB" w:rsidR="00305ED3" w:rsidRPr="00173F69" w:rsidRDefault="00044BF7" w:rsidP="00614295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color w:val="000000" w:themeColor="text1"/>
                <w:szCs w:val="22"/>
                <w:lang w:val="sr-Latn-ME"/>
              </w:rPr>
            </w:pPr>
            <w:r w:rsidRPr="00173F69">
              <w:rPr>
                <w:color w:val="000000" w:themeColor="text1"/>
                <w:szCs w:val="22"/>
                <w:lang w:val="sr-Latn-ME"/>
              </w:rPr>
              <w:t>31-40 kg</w:t>
            </w:r>
          </w:p>
        </w:tc>
        <w:tc>
          <w:tcPr>
            <w:tcW w:w="4928" w:type="dxa"/>
          </w:tcPr>
          <w:p w14:paraId="656ADE5E" w14:textId="398000D0" w:rsidR="00305ED3" w:rsidRPr="00173F69" w:rsidRDefault="00044BF7" w:rsidP="00614295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color w:val="000000" w:themeColor="text1"/>
                <w:szCs w:val="22"/>
                <w:lang w:val="sr-Latn-ME"/>
              </w:rPr>
            </w:pPr>
            <w:r w:rsidRPr="00173F69">
              <w:rPr>
                <w:color w:val="000000" w:themeColor="text1"/>
                <w:szCs w:val="22"/>
                <w:lang w:val="sr-Latn-ME"/>
              </w:rPr>
              <w:t>3 x 10-15 m</w:t>
            </w:r>
            <w:r w:rsidR="00614295" w:rsidRPr="00173F69">
              <w:rPr>
                <w:color w:val="000000" w:themeColor="text1"/>
                <w:szCs w:val="22"/>
                <w:lang w:val="sr-Latn-ME"/>
              </w:rPr>
              <w:t>l</w:t>
            </w:r>
          </w:p>
        </w:tc>
      </w:tr>
      <w:tr w:rsidR="00305ED3" w:rsidRPr="00173F69" w14:paraId="2A84691F" w14:textId="77777777" w:rsidTr="00305ED3">
        <w:tc>
          <w:tcPr>
            <w:tcW w:w="4927" w:type="dxa"/>
          </w:tcPr>
          <w:p w14:paraId="203A8EEF" w14:textId="168D26B5" w:rsidR="00305ED3" w:rsidRPr="00173F69" w:rsidRDefault="00044BF7" w:rsidP="00614295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color w:val="000000" w:themeColor="text1"/>
                <w:szCs w:val="22"/>
                <w:lang w:val="sr-Latn-ME"/>
              </w:rPr>
            </w:pPr>
            <w:r w:rsidRPr="00173F69">
              <w:rPr>
                <w:color w:val="000000" w:themeColor="text1"/>
                <w:szCs w:val="22"/>
                <w:lang w:val="sr-Latn-ME"/>
              </w:rPr>
              <w:t>41-50 kg</w:t>
            </w:r>
          </w:p>
        </w:tc>
        <w:tc>
          <w:tcPr>
            <w:tcW w:w="4928" w:type="dxa"/>
          </w:tcPr>
          <w:p w14:paraId="018A1CED" w14:textId="7EAC0CF7" w:rsidR="00305ED3" w:rsidRPr="00173F69" w:rsidRDefault="00044BF7" w:rsidP="00614295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color w:val="000000" w:themeColor="text1"/>
                <w:szCs w:val="22"/>
                <w:lang w:val="sr-Latn-ME"/>
              </w:rPr>
            </w:pPr>
            <w:r w:rsidRPr="00173F69">
              <w:rPr>
                <w:color w:val="000000" w:themeColor="text1"/>
                <w:szCs w:val="22"/>
                <w:lang w:val="sr-Latn-ME"/>
              </w:rPr>
              <w:t>3 x 15-17,5 m</w:t>
            </w:r>
            <w:r w:rsidR="00614295" w:rsidRPr="00173F69">
              <w:rPr>
                <w:color w:val="000000" w:themeColor="text1"/>
                <w:szCs w:val="22"/>
                <w:lang w:val="sr-Latn-ME"/>
              </w:rPr>
              <w:t>l</w:t>
            </w:r>
          </w:p>
        </w:tc>
      </w:tr>
    </w:tbl>
    <w:p w14:paraId="5A65B128" w14:textId="297A6508" w:rsidR="001D2E7F" w:rsidRPr="00173F69" w:rsidRDefault="001D2E7F" w:rsidP="00614295">
      <w:pPr>
        <w:pStyle w:val="Header"/>
        <w:tabs>
          <w:tab w:val="clear" w:pos="4536"/>
          <w:tab w:val="clear" w:pos="9072"/>
          <w:tab w:val="left" w:pos="180"/>
        </w:tabs>
        <w:rPr>
          <w:color w:val="000000" w:themeColor="text1"/>
          <w:szCs w:val="22"/>
          <w:lang w:val="sr-Latn-ME"/>
        </w:rPr>
      </w:pPr>
      <w:r w:rsidRPr="00173F69">
        <w:rPr>
          <w:color w:val="000000" w:themeColor="text1"/>
          <w:szCs w:val="22"/>
          <w:lang w:val="sr-Latn-ME"/>
        </w:rPr>
        <w:t>*Mora se koristiti priložena plastična kašika za doziranje od 5</w:t>
      </w:r>
      <w:r w:rsidR="00CD5119" w:rsidRPr="00173F69">
        <w:rPr>
          <w:color w:val="000000" w:themeColor="text1"/>
          <w:szCs w:val="22"/>
          <w:lang w:val="sr-Latn-ME"/>
        </w:rPr>
        <w:t xml:space="preserve"> </w:t>
      </w:r>
      <w:r w:rsidRPr="00173F69">
        <w:rPr>
          <w:color w:val="000000" w:themeColor="text1"/>
          <w:szCs w:val="22"/>
          <w:lang w:val="sr-Latn-ME"/>
        </w:rPr>
        <w:t>m</w:t>
      </w:r>
      <w:r w:rsidR="00614295" w:rsidRPr="00173F69">
        <w:rPr>
          <w:color w:val="000000" w:themeColor="text1"/>
          <w:szCs w:val="22"/>
          <w:lang w:val="sr-Latn-ME"/>
        </w:rPr>
        <w:t>l</w:t>
      </w:r>
      <w:r w:rsidRPr="00173F69">
        <w:rPr>
          <w:color w:val="000000" w:themeColor="text1"/>
          <w:szCs w:val="22"/>
          <w:lang w:val="sr-Latn-ME"/>
        </w:rPr>
        <w:t>.</w:t>
      </w:r>
    </w:p>
    <w:p w14:paraId="2D673C8A" w14:textId="77777777" w:rsidR="00B76A65" w:rsidRPr="00173F69" w:rsidRDefault="00B76A65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u w:val="single"/>
          <w:lang w:val="sr-Latn-ME"/>
        </w:rPr>
      </w:pPr>
    </w:p>
    <w:p w14:paraId="6FD339CA" w14:textId="57829CC7" w:rsidR="00CD5119" w:rsidRPr="00173F69" w:rsidRDefault="00CD5119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173F69">
        <w:rPr>
          <w:szCs w:val="22"/>
          <w:lang w:val="sr-Latn-ME"/>
        </w:rPr>
        <w:t>Jedna puna kašika za doziranje (5 m</w:t>
      </w:r>
      <w:r w:rsidR="00614295" w:rsidRPr="00173F69">
        <w:rPr>
          <w:szCs w:val="22"/>
          <w:lang w:val="sr-Latn-ME"/>
        </w:rPr>
        <w:t>l</w:t>
      </w:r>
      <w:r w:rsidRPr="00173F69">
        <w:rPr>
          <w:szCs w:val="22"/>
          <w:lang w:val="sr-Latn-ME"/>
        </w:rPr>
        <w:t>) sirupa sadrži 250 mg l</w:t>
      </w:r>
      <w:r w:rsidR="006B2E4E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 xml:space="preserve">eka </w:t>
      </w:r>
      <w:proofErr w:type="spellStart"/>
      <w:r w:rsidRPr="00173F69">
        <w:rPr>
          <w:szCs w:val="22"/>
          <w:lang w:val="sr-Latn-ME"/>
        </w:rPr>
        <w:t>Isoprinosine</w:t>
      </w:r>
      <w:proofErr w:type="spellEnd"/>
      <w:r w:rsidRPr="00173F69">
        <w:rPr>
          <w:szCs w:val="22"/>
          <w:lang w:val="sr-Latn-ME"/>
        </w:rPr>
        <w:t>.</w:t>
      </w:r>
    </w:p>
    <w:p w14:paraId="324FB2EC" w14:textId="77777777" w:rsidR="00CD5119" w:rsidRPr="00173F69" w:rsidRDefault="00CD5119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u w:val="single"/>
          <w:lang w:val="sr-Latn-ME"/>
        </w:rPr>
      </w:pPr>
    </w:p>
    <w:p w14:paraId="06E959D8" w14:textId="77777777" w:rsidR="0064623E" w:rsidRPr="00173F69" w:rsidRDefault="0064623E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u w:val="single"/>
          <w:lang w:val="sr-Latn-ME"/>
        </w:rPr>
      </w:pPr>
      <w:r w:rsidRPr="00173F69">
        <w:rPr>
          <w:szCs w:val="22"/>
          <w:u w:val="single"/>
          <w:lang w:val="sr-Latn-ME"/>
        </w:rPr>
        <w:t>Stariji</w:t>
      </w:r>
      <w:r w:rsidR="0020702B" w:rsidRPr="00173F69">
        <w:rPr>
          <w:szCs w:val="22"/>
          <w:u w:val="single"/>
          <w:lang w:val="sr-Latn-ME"/>
        </w:rPr>
        <w:t xml:space="preserve"> pacijenti</w:t>
      </w:r>
      <w:r w:rsidRPr="00173F69">
        <w:rPr>
          <w:szCs w:val="22"/>
          <w:u w:val="single"/>
          <w:lang w:val="sr-Latn-ME"/>
        </w:rPr>
        <w:t>:</w:t>
      </w:r>
    </w:p>
    <w:p w14:paraId="5D220C0D" w14:textId="6E8F0FB8" w:rsidR="0064623E" w:rsidRPr="00173F69" w:rsidRDefault="0064623E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173F69">
        <w:rPr>
          <w:szCs w:val="22"/>
          <w:lang w:val="sr-Latn-ME"/>
        </w:rPr>
        <w:t xml:space="preserve">Nije potrebno </w:t>
      </w:r>
      <w:r w:rsidR="00AC616E" w:rsidRPr="00173F69">
        <w:rPr>
          <w:szCs w:val="22"/>
          <w:lang w:val="sr-Latn-ME"/>
        </w:rPr>
        <w:t xml:space="preserve">prilagođavanje </w:t>
      </w:r>
      <w:r w:rsidRPr="00173F69">
        <w:rPr>
          <w:szCs w:val="22"/>
          <w:lang w:val="sr-Latn-ME"/>
        </w:rPr>
        <w:t>doze.</w:t>
      </w:r>
    </w:p>
    <w:p w14:paraId="7E353871" w14:textId="77777777" w:rsidR="0020702B" w:rsidRPr="00173F69" w:rsidRDefault="0020702B" w:rsidP="00614295">
      <w:pPr>
        <w:rPr>
          <w:szCs w:val="22"/>
          <w:lang w:val="sr-Latn-ME"/>
        </w:rPr>
      </w:pPr>
    </w:p>
    <w:p w14:paraId="5AC35291" w14:textId="45F8F504" w:rsidR="0020702B" w:rsidRPr="00173F69" w:rsidRDefault="0020702B" w:rsidP="00614295">
      <w:pPr>
        <w:rPr>
          <w:szCs w:val="22"/>
          <w:u w:val="single"/>
          <w:lang w:val="sr-Latn-ME"/>
        </w:rPr>
      </w:pPr>
      <w:r w:rsidRPr="00173F69">
        <w:rPr>
          <w:szCs w:val="22"/>
          <w:u w:val="single"/>
          <w:lang w:val="sr-Latn-ME"/>
        </w:rPr>
        <w:t>Način prim</w:t>
      </w:r>
      <w:r w:rsidR="00327AA1" w:rsidRPr="00173F69">
        <w:rPr>
          <w:szCs w:val="22"/>
          <w:u w:val="single"/>
          <w:lang w:val="sr-Latn-ME"/>
        </w:rPr>
        <w:t>j</w:t>
      </w:r>
      <w:r w:rsidRPr="00173F69">
        <w:rPr>
          <w:szCs w:val="22"/>
          <w:u w:val="single"/>
          <w:lang w:val="sr-Latn-ME"/>
        </w:rPr>
        <w:t>ene</w:t>
      </w:r>
    </w:p>
    <w:p w14:paraId="124366E9" w14:textId="5FB51EE0" w:rsidR="0020702B" w:rsidRPr="00173F69" w:rsidRDefault="0020702B" w:rsidP="00614295">
      <w:pPr>
        <w:rPr>
          <w:szCs w:val="22"/>
          <w:lang w:val="sr-Latn-ME"/>
        </w:rPr>
      </w:pPr>
      <w:r w:rsidRPr="00173F69">
        <w:rPr>
          <w:szCs w:val="22"/>
          <w:lang w:val="sr-Latn-ME"/>
        </w:rPr>
        <w:t>Ovaj l</w:t>
      </w:r>
      <w:r w:rsidR="006B2E4E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>ek je nam</w:t>
      </w:r>
      <w:r w:rsidR="006B2E4E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 xml:space="preserve">enjen isključivo za oralnu </w:t>
      </w:r>
      <w:r w:rsidR="00855B7F" w:rsidRPr="00173F69">
        <w:rPr>
          <w:szCs w:val="22"/>
          <w:lang w:val="sr-Latn-ME"/>
        </w:rPr>
        <w:t>upotrebu.</w:t>
      </w:r>
    </w:p>
    <w:p w14:paraId="426E5EB4" w14:textId="77777777" w:rsidR="00614295" w:rsidRPr="00173F69" w:rsidRDefault="00614295" w:rsidP="00614295">
      <w:pPr>
        <w:rPr>
          <w:szCs w:val="22"/>
          <w:lang w:val="sr-Latn-ME"/>
        </w:rPr>
      </w:pPr>
    </w:p>
    <w:p w14:paraId="7D39CDCA" w14:textId="77777777" w:rsidR="00CE09F3" w:rsidRPr="00173F69" w:rsidRDefault="00CE09F3" w:rsidP="00614295">
      <w:pPr>
        <w:rPr>
          <w:b/>
          <w:bCs/>
          <w:szCs w:val="22"/>
          <w:lang w:val="sr-Latn-ME"/>
        </w:rPr>
      </w:pPr>
      <w:r w:rsidRPr="00173F69">
        <w:rPr>
          <w:b/>
          <w:bCs/>
          <w:szCs w:val="22"/>
          <w:lang w:val="sr-Latn-ME"/>
        </w:rPr>
        <w:t xml:space="preserve">4.3. </w:t>
      </w:r>
      <w:proofErr w:type="spellStart"/>
      <w:r w:rsidRPr="00173F69">
        <w:rPr>
          <w:b/>
          <w:bCs/>
          <w:szCs w:val="22"/>
          <w:lang w:val="sr-Latn-ME"/>
        </w:rPr>
        <w:t>Kontraindikacije</w:t>
      </w:r>
      <w:proofErr w:type="spellEnd"/>
    </w:p>
    <w:p w14:paraId="2D98AABB" w14:textId="77777777" w:rsidR="00CE09F3" w:rsidRPr="00173F69" w:rsidRDefault="00CE09F3" w:rsidP="00614295">
      <w:pPr>
        <w:rPr>
          <w:szCs w:val="22"/>
          <w:lang w:val="sr-Latn-ME"/>
        </w:rPr>
      </w:pPr>
    </w:p>
    <w:p w14:paraId="54DA9496" w14:textId="50FE2054" w:rsidR="009B0EDE" w:rsidRPr="00173F69" w:rsidRDefault="009B0EDE" w:rsidP="00614295">
      <w:pPr>
        <w:rPr>
          <w:szCs w:val="22"/>
          <w:lang w:val="sr-Latn-ME"/>
        </w:rPr>
      </w:pPr>
      <w:r w:rsidRPr="00173F69">
        <w:rPr>
          <w:szCs w:val="22"/>
          <w:lang w:val="sr-Latn-ME"/>
        </w:rPr>
        <w:t>L</w:t>
      </w:r>
      <w:r w:rsidR="006B2E4E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 xml:space="preserve">ek </w:t>
      </w:r>
      <w:proofErr w:type="spellStart"/>
      <w:r w:rsidRPr="00173F69">
        <w:rPr>
          <w:szCs w:val="22"/>
          <w:lang w:val="sr-Latn-ME"/>
        </w:rPr>
        <w:t>Isoprinosine</w:t>
      </w:r>
      <w:proofErr w:type="spellEnd"/>
      <w:r w:rsidRPr="00173F69">
        <w:rPr>
          <w:szCs w:val="22"/>
          <w:lang w:val="sr-Latn-ME"/>
        </w:rPr>
        <w:t xml:space="preserve"> ne sm</w:t>
      </w:r>
      <w:r w:rsidR="006B2E4E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>e se prim</w:t>
      </w:r>
      <w:r w:rsidR="006B2E4E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 xml:space="preserve">enjivati: </w:t>
      </w:r>
    </w:p>
    <w:p w14:paraId="6083115C" w14:textId="5287C3E4" w:rsidR="009B0EDE" w:rsidRPr="00173F69" w:rsidRDefault="009B0EDE" w:rsidP="00614295">
      <w:pPr>
        <w:pStyle w:val="Header"/>
        <w:numPr>
          <w:ilvl w:val="0"/>
          <w:numId w:val="5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173F69">
        <w:rPr>
          <w:szCs w:val="22"/>
          <w:lang w:val="sr-Latn-ME"/>
        </w:rPr>
        <w:t>u slučajevima gd</w:t>
      </w:r>
      <w:r w:rsidR="006B2E4E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>e postoji poznata preos</w:t>
      </w:r>
      <w:r w:rsidR="002377E6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 xml:space="preserve">etljivost na aktivnu supstancu ili na bilo koju od pomoćnih supstanci navedenih u </w:t>
      </w:r>
      <w:r w:rsidR="006B2E4E" w:rsidRPr="00173F69">
        <w:rPr>
          <w:szCs w:val="22"/>
          <w:lang w:val="sr-Latn-ME"/>
        </w:rPr>
        <w:t>dijelu</w:t>
      </w:r>
      <w:r w:rsidRPr="00173F69">
        <w:rPr>
          <w:szCs w:val="22"/>
          <w:lang w:val="sr-Latn-ME"/>
        </w:rPr>
        <w:t xml:space="preserve"> 6.1;</w:t>
      </w:r>
    </w:p>
    <w:p w14:paraId="1F3DF295" w14:textId="77777777" w:rsidR="009B0EDE" w:rsidRPr="00173F69" w:rsidRDefault="009B0EDE" w:rsidP="00614295">
      <w:pPr>
        <w:pStyle w:val="Header"/>
        <w:numPr>
          <w:ilvl w:val="0"/>
          <w:numId w:val="5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173F69">
        <w:rPr>
          <w:szCs w:val="22"/>
          <w:lang w:val="sr-Latn-ME"/>
        </w:rPr>
        <w:t>u slučajevima kada pacijent trenutno boluje od gihta;</w:t>
      </w:r>
    </w:p>
    <w:p w14:paraId="268FF0C8" w14:textId="54A478C3" w:rsidR="009B0EDE" w:rsidRPr="00173F69" w:rsidRDefault="009B0EDE" w:rsidP="00614295">
      <w:pPr>
        <w:pStyle w:val="Header"/>
        <w:numPr>
          <w:ilvl w:val="0"/>
          <w:numId w:val="5"/>
        </w:numPr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173F69">
        <w:rPr>
          <w:szCs w:val="22"/>
          <w:lang w:val="sr-Latn-ME"/>
        </w:rPr>
        <w:t>u slučajevima kada pacijent ima povišene vr</w:t>
      </w:r>
      <w:r w:rsidR="006B2E4E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>ednosti mokraćne kiseline u krvi.</w:t>
      </w:r>
    </w:p>
    <w:p w14:paraId="7B14FA66" w14:textId="77777777" w:rsidR="00CE09F3" w:rsidRPr="00173F69" w:rsidRDefault="00CE09F3" w:rsidP="00614295">
      <w:pPr>
        <w:rPr>
          <w:szCs w:val="22"/>
          <w:lang w:val="sr-Latn-ME"/>
        </w:rPr>
      </w:pPr>
    </w:p>
    <w:p w14:paraId="6ED721C6" w14:textId="2FA18395" w:rsidR="00CE09F3" w:rsidRPr="00173F69" w:rsidRDefault="00CE09F3" w:rsidP="00614295">
      <w:pPr>
        <w:rPr>
          <w:b/>
          <w:bCs/>
          <w:szCs w:val="22"/>
          <w:lang w:val="sr-Latn-ME"/>
        </w:rPr>
      </w:pPr>
      <w:r w:rsidRPr="00173F69">
        <w:rPr>
          <w:b/>
          <w:bCs/>
          <w:szCs w:val="22"/>
          <w:lang w:val="sr-Latn-ME"/>
        </w:rPr>
        <w:t>4.4. Posebna upozorenja i m</w:t>
      </w:r>
      <w:r w:rsidR="000332C5" w:rsidRPr="00173F69">
        <w:rPr>
          <w:b/>
          <w:bCs/>
          <w:szCs w:val="22"/>
          <w:lang w:val="sr-Latn-ME"/>
        </w:rPr>
        <w:t>j</w:t>
      </w:r>
      <w:r w:rsidRPr="00173F69">
        <w:rPr>
          <w:b/>
          <w:bCs/>
          <w:szCs w:val="22"/>
          <w:lang w:val="sr-Latn-ME"/>
        </w:rPr>
        <w:t>ere opreza pri upotrebi l</w:t>
      </w:r>
      <w:r w:rsidR="000332C5" w:rsidRPr="00173F69">
        <w:rPr>
          <w:b/>
          <w:bCs/>
          <w:szCs w:val="22"/>
          <w:lang w:val="sr-Latn-ME"/>
        </w:rPr>
        <w:t>ij</w:t>
      </w:r>
      <w:r w:rsidRPr="00173F69">
        <w:rPr>
          <w:b/>
          <w:bCs/>
          <w:szCs w:val="22"/>
          <w:lang w:val="sr-Latn-ME"/>
        </w:rPr>
        <w:t>eka</w:t>
      </w:r>
    </w:p>
    <w:p w14:paraId="4E37998C" w14:textId="77777777" w:rsidR="00844D5E" w:rsidRPr="00173F69" w:rsidRDefault="00844D5E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460A6A00" w14:textId="48C552F6" w:rsidR="00844D5E" w:rsidRPr="00173F69" w:rsidRDefault="00844D5E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173F69">
        <w:rPr>
          <w:szCs w:val="22"/>
          <w:lang w:val="sr-Latn-ME"/>
        </w:rPr>
        <w:t>L</w:t>
      </w:r>
      <w:r w:rsidR="006B2E4E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 xml:space="preserve">ek </w:t>
      </w:r>
      <w:proofErr w:type="spellStart"/>
      <w:r w:rsidRPr="00173F69">
        <w:rPr>
          <w:szCs w:val="22"/>
          <w:lang w:val="sr-Latn-ME"/>
        </w:rPr>
        <w:t>Isoprinosine</w:t>
      </w:r>
      <w:proofErr w:type="spellEnd"/>
      <w:r w:rsidRPr="00173F69">
        <w:rPr>
          <w:szCs w:val="22"/>
          <w:lang w:val="sr-Latn-ME"/>
        </w:rPr>
        <w:t xml:space="preserve"> može uzrokovati prolazno povećanje početnih </w:t>
      </w:r>
      <w:r w:rsidR="008556CC" w:rsidRPr="00173F69">
        <w:rPr>
          <w:szCs w:val="22"/>
          <w:lang w:val="sr-Latn-ME"/>
        </w:rPr>
        <w:t>koncentracija</w:t>
      </w:r>
      <w:r w:rsidRPr="00173F69">
        <w:rPr>
          <w:szCs w:val="22"/>
          <w:lang w:val="sr-Latn-ME"/>
        </w:rPr>
        <w:t xml:space="preserve"> mokraćne kiseline u serumu i mokraći, koje obično ostaju u fiziološkim granicama (uzimajući 8 mg % kao gornju granicu, odnosno 0,420 </w:t>
      </w:r>
      <w:proofErr w:type="spellStart"/>
      <w:r w:rsidRPr="00173F69">
        <w:rPr>
          <w:szCs w:val="22"/>
          <w:lang w:val="sr-Latn-ME"/>
        </w:rPr>
        <w:t>mmol</w:t>
      </w:r>
      <w:proofErr w:type="spellEnd"/>
      <w:r w:rsidRPr="00173F69">
        <w:rPr>
          <w:szCs w:val="22"/>
          <w:lang w:val="sr-Latn-ME"/>
        </w:rPr>
        <w:t>/</w:t>
      </w:r>
      <w:r w:rsidR="00614295" w:rsidRPr="00173F69">
        <w:rPr>
          <w:szCs w:val="22"/>
          <w:lang w:val="sr-Latn-ME"/>
        </w:rPr>
        <w:t>l</w:t>
      </w:r>
      <w:r w:rsidRPr="00173F69">
        <w:rPr>
          <w:szCs w:val="22"/>
          <w:lang w:val="sr-Latn-ME"/>
        </w:rPr>
        <w:t>), posebno kod muškaraca i kod starije populacije pacijenata oba pola. Razlog povećanja vr</w:t>
      </w:r>
      <w:r w:rsidR="002377E6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 xml:space="preserve">ednosti mokraćne kiseline je </w:t>
      </w:r>
      <w:proofErr w:type="spellStart"/>
      <w:r w:rsidRPr="00173F69">
        <w:rPr>
          <w:szCs w:val="22"/>
          <w:lang w:val="sr-Latn-ME"/>
        </w:rPr>
        <w:t>katabolizam</w:t>
      </w:r>
      <w:proofErr w:type="spellEnd"/>
      <w:r w:rsidRPr="00173F69">
        <w:rPr>
          <w:szCs w:val="22"/>
          <w:lang w:val="sr-Latn-ME"/>
        </w:rPr>
        <w:t xml:space="preserve"> </w:t>
      </w:r>
      <w:proofErr w:type="spellStart"/>
      <w:r w:rsidRPr="00173F69">
        <w:rPr>
          <w:szCs w:val="22"/>
          <w:lang w:val="sr-Latn-ME"/>
        </w:rPr>
        <w:t>inozinskog</w:t>
      </w:r>
      <w:proofErr w:type="spellEnd"/>
      <w:r w:rsidRPr="00173F69">
        <w:rPr>
          <w:szCs w:val="22"/>
          <w:lang w:val="sr-Latn-ME"/>
        </w:rPr>
        <w:t xml:space="preserve"> d</w:t>
      </w:r>
      <w:r w:rsidR="004F7F52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 xml:space="preserve">ela molekula kod </w:t>
      </w:r>
      <w:proofErr w:type="spellStart"/>
      <w:r w:rsidRPr="00173F69">
        <w:rPr>
          <w:szCs w:val="22"/>
          <w:lang w:val="sr-Latn-ME"/>
        </w:rPr>
        <w:t>ljudi</w:t>
      </w:r>
      <w:proofErr w:type="spellEnd"/>
      <w:r w:rsidRPr="00173F69">
        <w:rPr>
          <w:szCs w:val="22"/>
          <w:lang w:val="sr-Latn-ME"/>
        </w:rPr>
        <w:t xml:space="preserve">. On </w:t>
      </w:r>
      <w:r w:rsidRPr="00173F69">
        <w:rPr>
          <w:b/>
          <w:szCs w:val="22"/>
          <w:lang w:val="sr-Latn-ME"/>
        </w:rPr>
        <w:t>nije</w:t>
      </w:r>
      <w:r w:rsidRPr="00173F69">
        <w:rPr>
          <w:szCs w:val="22"/>
          <w:lang w:val="sr-Latn-ME"/>
        </w:rPr>
        <w:t xml:space="preserve"> posl</w:t>
      </w:r>
      <w:r w:rsidR="006B2E4E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 xml:space="preserve">edica fundamentalne alteracije enzima ili </w:t>
      </w:r>
      <w:proofErr w:type="spellStart"/>
      <w:r w:rsidRPr="00173F69">
        <w:rPr>
          <w:szCs w:val="22"/>
          <w:lang w:val="sr-Latn-ME"/>
        </w:rPr>
        <w:t>klirensa</w:t>
      </w:r>
      <w:proofErr w:type="spellEnd"/>
      <w:r w:rsidRPr="00173F69">
        <w:rPr>
          <w:szCs w:val="22"/>
          <w:lang w:val="sr-Latn-ME"/>
        </w:rPr>
        <w:t xml:space="preserve"> </w:t>
      </w:r>
      <w:proofErr w:type="spellStart"/>
      <w:r w:rsidRPr="00173F69">
        <w:rPr>
          <w:szCs w:val="22"/>
          <w:lang w:val="sr-Latn-ME"/>
        </w:rPr>
        <w:t>renalne</w:t>
      </w:r>
      <w:proofErr w:type="spellEnd"/>
      <w:r w:rsidRPr="00173F69">
        <w:rPr>
          <w:szCs w:val="22"/>
          <w:lang w:val="sr-Latn-ME"/>
        </w:rPr>
        <w:t xml:space="preserve"> funkcije indukovanih l</w:t>
      </w:r>
      <w:r w:rsidR="002377E6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>ekom.</w:t>
      </w:r>
      <w:r w:rsidR="00AC616E" w:rsidRPr="00173F69">
        <w:rPr>
          <w:szCs w:val="22"/>
          <w:lang w:val="sr-Latn-ME"/>
        </w:rPr>
        <w:t xml:space="preserve"> </w:t>
      </w:r>
      <w:proofErr w:type="spellStart"/>
      <w:r w:rsidRPr="00173F69">
        <w:rPr>
          <w:szCs w:val="22"/>
          <w:lang w:val="sr-Latn-ME"/>
        </w:rPr>
        <w:t>Usl</w:t>
      </w:r>
      <w:r w:rsidR="006B2E4E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>ed</w:t>
      </w:r>
      <w:proofErr w:type="spellEnd"/>
      <w:r w:rsidRPr="00173F69">
        <w:rPr>
          <w:szCs w:val="22"/>
          <w:lang w:val="sr-Latn-ME"/>
        </w:rPr>
        <w:t xml:space="preserve"> toga, l</w:t>
      </w:r>
      <w:r w:rsidR="006B2E4E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 xml:space="preserve">ek </w:t>
      </w:r>
      <w:proofErr w:type="spellStart"/>
      <w:r w:rsidRPr="00173F69">
        <w:rPr>
          <w:szCs w:val="22"/>
          <w:lang w:val="sr-Latn-ME"/>
        </w:rPr>
        <w:t>Isoprinosine</w:t>
      </w:r>
      <w:proofErr w:type="spellEnd"/>
      <w:r w:rsidRPr="00173F69">
        <w:rPr>
          <w:szCs w:val="22"/>
          <w:lang w:val="sr-Latn-ME"/>
        </w:rPr>
        <w:t xml:space="preserve"> mora se prim</w:t>
      </w:r>
      <w:r w:rsidR="004F7F52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 xml:space="preserve">enjivati sa oprezom kod pacijenata sa </w:t>
      </w:r>
      <w:r w:rsidRPr="00173F69">
        <w:rPr>
          <w:szCs w:val="22"/>
          <w:u w:val="single"/>
          <w:lang w:val="sr-Latn-ME"/>
        </w:rPr>
        <w:t>istorijom</w:t>
      </w:r>
      <w:r w:rsidRPr="00173F69">
        <w:rPr>
          <w:szCs w:val="22"/>
          <w:lang w:val="sr-Latn-ME"/>
        </w:rPr>
        <w:t xml:space="preserve"> gihta, </w:t>
      </w:r>
      <w:proofErr w:type="spellStart"/>
      <w:r w:rsidRPr="00173F69">
        <w:rPr>
          <w:szCs w:val="22"/>
          <w:lang w:val="sr-Latn-ME"/>
        </w:rPr>
        <w:t>hiperurikemijom</w:t>
      </w:r>
      <w:proofErr w:type="spellEnd"/>
      <w:r w:rsidRPr="00173F69">
        <w:rPr>
          <w:szCs w:val="22"/>
          <w:lang w:val="sr-Latn-ME"/>
        </w:rPr>
        <w:t xml:space="preserve">, </w:t>
      </w:r>
      <w:proofErr w:type="spellStart"/>
      <w:r w:rsidRPr="00173F69">
        <w:rPr>
          <w:szCs w:val="22"/>
          <w:lang w:val="sr-Latn-ME"/>
        </w:rPr>
        <w:t>urolitijazom</w:t>
      </w:r>
      <w:proofErr w:type="spellEnd"/>
      <w:r w:rsidRPr="00173F69">
        <w:rPr>
          <w:szCs w:val="22"/>
          <w:lang w:val="sr-Latn-ME"/>
        </w:rPr>
        <w:t>, ili kod pacijenata sa oštećenom funkcijom bubrega. Tokom l</w:t>
      </w:r>
      <w:r w:rsidR="006B2E4E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>ečenja, kod ovih pacijenata je potrebno češće kontrolisati vr</w:t>
      </w:r>
      <w:r w:rsidR="006B2E4E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>ednosti mokraćne kiseline.</w:t>
      </w:r>
    </w:p>
    <w:p w14:paraId="1891492F" w14:textId="77777777" w:rsidR="00844D5E" w:rsidRPr="00173F69" w:rsidRDefault="00844D5E" w:rsidP="00614295">
      <w:pPr>
        <w:tabs>
          <w:tab w:val="left" w:pos="-1800"/>
          <w:tab w:val="left" w:pos="-1080"/>
          <w:tab w:val="left" w:pos="-360"/>
          <w:tab w:val="left" w:pos="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Cs w:val="22"/>
          <w:lang w:val="sr-Latn-ME"/>
        </w:rPr>
      </w:pPr>
    </w:p>
    <w:p w14:paraId="18B158FB" w14:textId="477E4CBD" w:rsidR="00844D5E" w:rsidRPr="00173F69" w:rsidRDefault="00844D5E" w:rsidP="00614295">
      <w:pPr>
        <w:tabs>
          <w:tab w:val="left" w:pos="-1800"/>
          <w:tab w:val="left" w:pos="-1080"/>
          <w:tab w:val="left" w:pos="-360"/>
          <w:tab w:val="left" w:pos="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Cs w:val="22"/>
          <w:lang w:val="sr-Latn-ME"/>
        </w:rPr>
      </w:pPr>
      <w:r w:rsidRPr="00173F69">
        <w:rPr>
          <w:szCs w:val="22"/>
          <w:lang w:val="sr-Latn-ME"/>
        </w:rPr>
        <w:t>Kod nekih osoba mogu se pojaviti reakcije preos</w:t>
      </w:r>
      <w:r w:rsidR="00B35214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 xml:space="preserve">etljivosti (urtikarija, </w:t>
      </w:r>
      <w:proofErr w:type="spellStart"/>
      <w:r w:rsidRPr="00173F69">
        <w:rPr>
          <w:szCs w:val="22"/>
          <w:lang w:val="sr-Latn-ME"/>
        </w:rPr>
        <w:t>angioedem</w:t>
      </w:r>
      <w:proofErr w:type="spellEnd"/>
      <w:r w:rsidRPr="00173F69">
        <w:rPr>
          <w:szCs w:val="22"/>
          <w:lang w:val="sr-Latn-ME"/>
        </w:rPr>
        <w:t xml:space="preserve">, </w:t>
      </w:r>
      <w:proofErr w:type="spellStart"/>
      <w:r w:rsidRPr="00173F69">
        <w:rPr>
          <w:szCs w:val="22"/>
          <w:lang w:val="sr-Latn-ME"/>
        </w:rPr>
        <w:t>anafilaksa</w:t>
      </w:r>
      <w:proofErr w:type="spellEnd"/>
      <w:r w:rsidRPr="00173F69">
        <w:rPr>
          <w:szCs w:val="22"/>
          <w:lang w:val="sr-Latn-ME"/>
        </w:rPr>
        <w:t>). U ovim slučajevima potrebno je prekinuti l</w:t>
      </w:r>
      <w:r w:rsidR="006B2E4E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>ečenje l</w:t>
      </w:r>
      <w:r w:rsidR="006B2E4E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 xml:space="preserve">ekom </w:t>
      </w:r>
      <w:proofErr w:type="spellStart"/>
      <w:r w:rsidRPr="00173F69">
        <w:rPr>
          <w:szCs w:val="22"/>
          <w:lang w:val="sr-Latn-ME"/>
        </w:rPr>
        <w:t>Isoprinosine</w:t>
      </w:r>
      <w:proofErr w:type="spellEnd"/>
      <w:r w:rsidRPr="00173F69">
        <w:rPr>
          <w:szCs w:val="22"/>
          <w:lang w:val="sr-Latn-ME"/>
        </w:rPr>
        <w:t>.</w:t>
      </w:r>
    </w:p>
    <w:p w14:paraId="66AF64E8" w14:textId="77777777" w:rsidR="00844D5E" w:rsidRPr="00173F69" w:rsidRDefault="00844D5E" w:rsidP="00614295">
      <w:pPr>
        <w:tabs>
          <w:tab w:val="left" w:pos="-1800"/>
          <w:tab w:val="left" w:pos="-1080"/>
          <w:tab w:val="left" w:pos="-360"/>
          <w:tab w:val="left" w:pos="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Cs w:val="22"/>
          <w:lang w:val="sr-Latn-ME"/>
        </w:rPr>
      </w:pPr>
    </w:p>
    <w:p w14:paraId="71BEFC4F" w14:textId="1C9A737D" w:rsidR="00844D5E" w:rsidRPr="00173F69" w:rsidRDefault="00844D5E" w:rsidP="00614295">
      <w:pPr>
        <w:tabs>
          <w:tab w:val="left" w:pos="-1800"/>
          <w:tab w:val="left" w:pos="-1080"/>
          <w:tab w:val="left" w:pos="-360"/>
          <w:tab w:val="left" w:pos="70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Cs w:val="22"/>
          <w:lang w:val="sr-Latn-ME"/>
        </w:rPr>
      </w:pPr>
      <w:r w:rsidRPr="00173F69">
        <w:rPr>
          <w:szCs w:val="22"/>
          <w:lang w:val="sr-Latn-ME"/>
        </w:rPr>
        <w:t>U slučaju dugotrajnog l</w:t>
      </w:r>
      <w:r w:rsidR="006B2E4E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>ečenja, postoji mogućnost pojave bubrežnih</w:t>
      </w:r>
      <w:r w:rsidR="00EA4890" w:rsidRPr="00173F69">
        <w:rPr>
          <w:szCs w:val="22"/>
          <w:lang w:val="sr-Latn-ME"/>
        </w:rPr>
        <w:t xml:space="preserve"> i žučnih </w:t>
      </w:r>
      <w:r w:rsidRPr="00173F69">
        <w:rPr>
          <w:szCs w:val="22"/>
          <w:lang w:val="sr-Latn-ME"/>
        </w:rPr>
        <w:t xml:space="preserve">kamenaca. </w:t>
      </w:r>
    </w:p>
    <w:p w14:paraId="46E24F58" w14:textId="3391D18C" w:rsidR="00844D5E" w:rsidRPr="00173F69" w:rsidRDefault="00844D5E" w:rsidP="00614295">
      <w:pPr>
        <w:tabs>
          <w:tab w:val="left" w:pos="-1800"/>
          <w:tab w:val="left" w:pos="-1080"/>
          <w:tab w:val="left" w:pos="-360"/>
          <w:tab w:val="left" w:pos="708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Cs w:val="22"/>
          <w:lang w:val="sr-Latn-ME"/>
        </w:rPr>
      </w:pPr>
      <w:r w:rsidRPr="00173F69">
        <w:rPr>
          <w:szCs w:val="22"/>
          <w:lang w:val="sr-Latn-ME"/>
        </w:rPr>
        <w:t>Potrebno je svim pacijentima koji se dugotrajno l</w:t>
      </w:r>
      <w:r w:rsidR="006B2E4E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>eče l</w:t>
      </w:r>
      <w:r w:rsidR="006B2E4E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 xml:space="preserve">ekom </w:t>
      </w:r>
      <w:proofErr w:type="spellStart"/>
      <w:r w:rsidRPr="00173F69">
        <w:rPr>
          <w:szCs w:val="22"/>
          <w:lang w:val="sr-Latn-ME"/>
        </w:rPr>
        <w:t>Isoprinosine</w:t>
      </w:r>
      <w:proofErr w:type="spellEnd"/>
      <w:r w:rsidRPr="00173F69">
        <w:rPr>
          <w:szCs w:val="22"/>
          <w:lang w:val="sr-Latn-ME"/>
        </w:rPr>
        <w:t>, redovno kontrolisati vr</w:t>
      </w:r>
      <w:r w:rsidR="006B2E4E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 xml:space="preserve">ednosti mokraćne kiseline u serumu i/ili urinu, funkciju jetre, krvnu sliku i funkciju bubrega. </w:t>
      </w:r>
    </w:p>
    <w:p w14:paraId="730ACB7E" w14:textId="77777777" w:rsidR="00CE09F3" w:rsidRPr="00173F69" w:rsidRDefault="00CE09F3" w:rsidP="00614295">
      <w:pPr>
        <w:rPr>
          <w:szCs w:val="22"/>
          <w:lang w:val="sr-Latn-ME"/>
        </w:rPr>
      </w:pPr>
    </w:p>
    <w:p w14:paraId="002D8987" w14:textId="4756E646" w:rsidR="00AC616E" w:rsidRPr="00173F69" w:rsidRDefault="00677C79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173F69">
        <w:rPr>
          <w:szCs w:val="22"/>
          <w:lang w:val="sr-Latn-ME"/>
        </w:rPr>
        <w:t>L</w:t>
      </w:r>
      <w:r w:rsidR="006B2E4E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 xml:space="preserve">ek </w:t>
      </w:r>
      <w:proofErr w:type="spellStart"/>
      <w:r w:rsidR="00AC616E" w:rsidRPr="00173F69">
        <w:rPr>
          <w:szCs w:val="22"/>
          <w:lang w:val="sr-Latn-ME"/>
        </w:rPr>
        <w:t>Isoprinosine</w:t>
      </w:r>
      <w:proofErr w:type="spellEnd"/>
      <w:r w:rsidR="00AC616E" w:rsidRPr="00173F69">
        <w:rPr>
          <w:szCs w:val="22"/>
          <w:lang w:val="sr-Latn-ME"/>
        </w:rPr>
        <w:t>,</w:t>
      </w:r>
      <w:r w:rsidR="00AC616E" w:rsidRPr="00173F69">
        <w:rPr>
          <w:szCs w:val="22"/>
          <w:vertAlign w:val="superscript"/>
          <w:lang w:val="sr-Latn-ME"/>
        </w:rPr>
        <w:t xml:space="preserve"> </w:t>
      </w:r>
      <w:r w:rsidR="00AC616E" w:rsidRPr="00173F69">
        <w:rPr>
          <w:szCs w:val="22"/>
          <w:lang w:val="sr-Latn-ME"/>
        </w:rPr>
        <w:t>50 mg/m</w:t>
      </w:r>
      <w:r w:rsidR="004F7F52" w:rsidRPr="00173F69">
        <w:rPr>
          <w:szCs w:val="22"/>
          <w:lang w:val="sr-Latn-ME"/>
        </w:rPr>
        <w:t>l</w:t>
      </w:r>
      <w:r w:rsidR="00AC616E" w:rsidRPr="00173F69">
        <w:rPr>
          <w:szCs w:val="22"/>
          <w:lang w:val="sr-Latn-ME"/>
        </w:rPr>
        <w:t xml:space="preserve">, sirup </w:t>
      </w:r>
      <w:r w:rsidRPr="00173F69">
        <w:rPr>
          <w:szCs w:val="22"/>
          <w:lang w:val="sr-Latn-ME"/>
        </w:rPr>
        <w:t xml:space="preserve">sadrži </w:t>
      </w:r>
      <w:proofErr w:type="spellStart"/>
      <w:r w:rsidRPr="00173F69">
        <w:rPr>
          <w:szCs w:val="22"/>
          <w:lang w:val="sr-Latn-ME"/>
        </w:rPr>
        <w:t>metilparahidroksibenzoat</w:t>
      </w:r>
      <w:proofErr w:type="spellEnd"/>
      <w:r w:rsidRPr="00173F69">
        <w:rPr>
          <w:szCs w:val="22"/>
          <w:lang w:val="sr-Latn-ME"/>
        </w:rPr>
        <w:t xml:space="preserve"> i </w:t>
      </w:r>
      <w:proofErr w:type="spellStart"/>
      <w:r w:rsidRPr="00173F69">
        <w:rPr>
          <w:szCs w:val="22"/>
          <w:lang w:val="sr-Latn-ME"/>
        </w:rPr>
        <w:t>propilparahidroksibenzoat</w:t>
      </w:r>
      <w:proofErr w:type="spellEnd"/>
      <w:r w:rsidR="00AC616E" w:rsidRPr="00173F69">
        <w:rPr>
          <w:szCs w:val="22"/>
          <w:lang w:val="sr-Latn-ME"/>
        </w:rPr>
        <w:t>.</w:t>
      </w:r>
    </w:p>
    <w:p w14:paraId="6E01B11E" w14:textId="77777777" w:rsidR="00677C79" w:rsidRPr="00173F69" w:rsidRDefault="00677C79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173F69">
        <w:rPr>
          <w:szCs w:val="22"/>
          <w:lang w:val="sr-Latn-ME"/>
        </w:rPr>
        <w:t>Može izazvati alergijske reakcije, čak i odložene.</w:t>
      </w:r>
    </w:p>
    <w:p w14:paraId="51F4CB21" w14:textId="77777777" w:rsidR="00677C79" w:rsidRPr="00173F69" w:rsidRDefault="00677C79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3721832F" w14:textId="6BCCE3FE" w:rsidR="004701E8" w:rsidRPr="00173F69" w:rsidRDefault="00677C79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173F69">
        <w:rPr>
          <w:szCs w:val="22"/>
          <w:lang w:val="sr-Latn-ME"/>
        </w:rPr>
        <w:t>L</w:t>
      </w:r>
      <w:r w:rsidR="006B2E4E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>ek sadrži i saharozu</w:t>
      </w:r>
      <w:r w:rsidR="00E17DF4" w:rsidRPr="00173F69">
        <w:rPr>
          <w:szCs w:val="22"/>
          <w:lang w:val="sr-Latn-ME"/>
        </w:rPr>
        <w:t>.</w:t>
      </w:r>
      <w:r w:rsidRPr="00173F69">
        <w:rPr>
          <w:szCs w:val="22"/>
          <w:lang w:val="sr-Latn-ME"/>
        </w:rPr>
        <w:t xml:space="preserve"> Jedna pojedinačna doza </w:t>
      </w:r>
      <w:r w:rsidR="00B45BE5" w:rsidRPr="00173F69">
        <w:rPr>
          <w:szCs w:val="22"/>
          <w:lang w:val="sr-Latn-ME"/>
        </w:rPr>
        <w:t>l</w:t>
      </w:r>
      <w:r w:rsidR="006B2E4E" w:rsidRPr="00173F69">
        <w:rPr>
          <w:szCs w:val="22"/>
          <w:lang w:val="sr-Latn-ME"/>
        </w:rPr>
        <w:t>ij</w:t>
      </w:r>
      <w:r w:rsidR="00B45BE5" w:rsidRPr="00173F69">
        <w:rPr>
          <w:szCs w:val="22"/>
          <w:lang w:val="sr-Latn-ME"/>
        </w:rPr>
        <w:t xml:space="preserve">eka </w:t>
      </w:r>
      <w:proofErr w:type="spellStart"/>
      <w:r w:rsidRPr="00173F69">
        <w:rPr>
          <w:szCs w:val="22"/>
          <w:lang w:val="sr-Latn-ME"/>
        </w:rPr>
        <w:t>Isoprinosine</w:t>
      </w:r>
      <w:proofErr w:type="spellEnd"/>
      <w:r w:rsidRPr="00173F69">
        <w:rPr>
          <w:szCs w:val="22"/>
          <w:lang w:val="sr-Latn-ME"/>
        </w:rPr>
        <w:t xml:space="preserve"> sirupa </w:t>
      </w:r>
      <w:proofErr w:type="spellStart"/>
      <w:r w:rsidRPr="00173F69">
        <w:rPr>
          <w:szCs w:val="22"/>
          <w:lang w:val="sr-Latn-ME"/>
        </w:rPr>
        <w:t>preko</w:t>
      </w:r>
      <w:proofErr w:type="spellEnd"/>
      <w:r w:rsidRPr="00173F69">
        <w:rPr>
          <w:szCs w:val="22"/>
          <w:lang w:val="sr-Latn-ME"/>
        </w:rPr>
        <w:t xml:space="preserve"> 10 m</w:t>
      </w:r>
      <w:r w:rsidR="004F7F52" w:rsidRPr="00173F69">
        <w:rPr>
          <w:szCs w:val="22"/>
          <w:lang w:val="sr-Latn-ME"/>
        </w:rPr>
        <w:t>l</w:t>
      </w:r>
      <w:r w:rsidRPr="00173F69">
        <w:rPr>
          <w:szCs w:val="22"/>
          <w:lang w:val="sr-Latn-ME"/>
        </w:rPr>
        <w:t xml:space="preserve"> sadrži ≥ 5g saharoze . Ovo treba uzeti u obzir kod pacijenata sa dijabetes </w:t>
      </w:r>
      <w:proofErr w:type="spellStart"/>
      <w:r w:rsidRPr="00173F69">
        <w:rPr>
          <w:szCs w:val="22"/>
          <w:lang w:val="sr-Latn-ME"/>
        </w:rPr>
        <w:t>melitusom</w:t>
      </w:r>
      <w:proofErr w:type="spellEnd"/>
      <w:r w:rsidR="00A21CAD" w:rsidRPr="00173F69">
        <w:rPr>
          <w:szCs w:val="22"/>
          <w:lang w:val="sr-Latn-ME"/>
        </w:rPr>
        <w:t xml:space="preserve">. </w:t>
      </w:r>
    </w:p>
    <w:p w14:paraId="1BB285E2" w14:textId="2E537BF0" w:rsidR="00677C79" w:rsidRPr="00173F69" w:rsidRDefault="00677C79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173F69">
        <w:rPr>
          <w:szCs w:val="22"/>
          <w:lang w:val="sr-Latn-ME"/>
        </w:rPr>
        <w:t>Pacijenti sa r</w:t>
      </w:r>
      <w:r w:rsidR="002377E6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 xml:space="preserve">etkim </w:t>
      </w:r>
      <w:proofErr w:type="spellStart"/>
      <w:r w:rsidRPr="00173F69">
        <w:rPr>
          <w:szCs w:val="22"/>
          <w:lang w:val="sr-Latn-ME"/>
        </w:rPr>
        <w:t>nasl</w:t>
      </w:r>
      <w:r w:rsidR="006B2E4E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>ednim</w:t>
      </w:r>
      <w:proofErr w:type="spellEnd"/>
      <w:r w:rsidRPr="00173F69">
        <w:rPr>
          <w:szCs w:val="22"/>
          <w:lang w:val="sr-Latn-ME"/>
        </w:rPr>
        <w:t xml:space="preserve"> oboljenjem intolerancije na </w:t>
      </w:r>
      <w:proofErr w:type="spellStart"/>
      <w:r w:rsidRPr="00173F69">
        <w:rPr>
          <w:szCs w:val="22"/>
          <w:lang w:val="sr-Latn-ME"/>
        </w:rPr>
        <w:t>fruktozu</w:t>
      </w:r>
      <w:proofErr w:type="spellEnd"/>
      <w:r w:rsidRPr="00173F69">
        <w:rPr>
          <w:szCs w:val="22"/>
          <w:lang w:val="sr-Latn-ME"/>
        </w:rPr>
        <w:t xml:space="preserve">, </w:t>
      </w:r>
      <w:proofErr w:type="spellStart"/>
      <w:r w:rsidRPr="00173F69">
        <w:rPr>
          <w:szCs w:val="22"/>
          <w:lang w:val="sr-Latn-ME"/>
        </w:rPr>
        <w:t>glukozno-galaktoznom</w:t>
      </w:r>
      <w:proofErr w:type="spellEnd"/>
      <w:r w:rsidRPr="00173F69">
        <w:rPr>
          <w:szCs w:val="22"/>
          <w:lang w:val="sr-Latn-ME"/>
        </w:rPr>
        <w:t xml:space="preserve"> </w:t>
      </w:r>
      <w:proofErr w:type="spellStart"/>
      <w:r w:rsidRPr="00173F69">
        <w:rPr>
          <w:szCs w:val="22"/>
          <w:lang w:val="sr-Latn-ME"/>
        </w:rPr>
        <w:t>malapsorpcijom</w:t>
      </w:r>
      <w:proofErr w:type="spellEnd"/>
      <w:r w:rsidRPr="00173F69">
        <w:rPr>
          <w:szCs w:val="22"/>
          <w:lang w:val="sr-Latn-ME"/>
        </w:rPr>
        <w:t xml:space="preserve"> ili nedostatkom </w:t>
      </w:r>
      <w:proofErr w:type="spellStart"/>
      <w:r w:rsidR="00AC616E" w:rsidRPr="00173F69">
        <w:rPr>
          <w:szCs w:val="22"/>
          <w:lang w:val="sr-Latn-ME"/>
        </w:rPr>
        <w:t>saharaza</w:t>
      </w:r>
      <w:r w:rsidRPr="00173F69">
        <w:rPr>
          <w:szCs w:val="22"/>
          <w:lang w:val="sr-Latn-ME"/>
        </w:rPr>
        <w:t>-izomaltaze</w:t>
      </w:r>
      <w:proofErr w:type="spellEnd"/>
      <w:r w:rsidRPr="00173F69">
        <w:rPr>
          <w:szCs w:val="22"/>
          <w:lang w:val="sr-Latn-ME"/>
        </w:rPr>
        <w:t>, ne sm</w:t>
      </w:r>
      <w:r w:rsidR="002377E6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>u koristiti ovaj l</w:t>
      </w:r>
      <w:r w:rsidR="006B2E4E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 xml:space="preserve">ek. </w:t>
      </w:r>
    </w:p>
    <w:p w14:paraId="2AC6E07B" w14:textId="77777777" w:rsidR="00677C79" w:rsidRPr="00173F69" w:rsidRDefault="00677C79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2A9E9D0F" w14:textId="53C678FB" w:rsidR="00A21CAD" w:rsidRPr="00173F69" w:rsidRDefault="00677C79" w:rsidP="00614295">
      <w:pPr>
        <w:rPr>
          <w:szCs w:val="22"/>
          <w:lang w:val="sr-Latn-ME"/>
        </w:rPr>
      </w:pPr>
      <w:r w:rsidRPr="00173F69">
        <w:rPr>
          <w:szCs w:val="22"/>
          <w:lang w:val="sr-Latn-ME"/>
        </w:rPr>
        <w:t>Ovaj l</w:t>
      </w:r>
      <w:r w:rsidR="006B2E4E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 xml:space="preserve">ek sadrži natrijum. Jedna pojedinačna doza </w:t>
      </w:r>
      <w:r w:rsidR="00B45BE5" w:rsidRPr="00173F69">
        <w:rPr>
          <w:szCs w:val="22"/>
          <w:lang w:val="sr-Latn-ME"/>
        </w:rPr>
        <w:t>l</w:t>
      </w:r>
      <w:r w:rsidR="006B2E4E" w:rsidRPr="00173F69">
        <w:rPr>
          <w:szCs w:val="22"/>
          <w:lang w:val="sr-Latn-ME"/>
        </w:rPr>
        <w:t>ij</w:t>
      </w:r>
      <w:r w:rsidR="00B45BE5" w:rsidRPr="00173F69">
        <w:rPr>
          <w:szCs w:val="22"/>
          <w:lang w:val="sr-Latn-ME"/>
        </w:rPr>
        <w:t xml:space="preserve">eka </w:t>
      </w:r>
      <w:proofErr w:type="spellStart"/>
      <w:r w:rsidRPr="00173F69">
        <w:rPr>
          <w:szCs w:val="22"/>
          <w:lang w:val="sr-Latn-ME"/>
        </w:rPr>
        <w:t>Isoprinosine</w:t>
      </w:r>
      <w:proofErr w:type="spellEnd"/>
      <w:r w:rsidRPr="00173F69">
        <w:rPr>
          <w:szCs w:val="22"/>
          <w:lang w:val="sr-Latn-ME"/>
        </w:rPr>
        <w:t xml:space="preserve"> sirupa </w:t>
      </w:r>
      <w:proofErr w:type="spellStart"/>
      <w:r w:rsidRPr="00173F69">
        <w:rPr>
          <w:szCs w:val="22"/>
          <w:lang w:val="sr-Latn-ME"/>
        </w:rPr>
        <w:t>preko</w:t>
      </w:r>
      <w:proofErr w:type="spellEnd"/>
      <w:r w:rsidRPr="00173F69">
        <w:rPr>
          <w:szCs w:val="22"/>
          <w:lang w:val="sr-Latn-ME"/>
        </w:rPr>
        <w:t xml:space="preserve"> 10 </w:t>
      </w:r>
      <w:r w:rsidR="00AC616E" w:rsidRPr="00173F69">
        <w:rPr>
          <w:szCs w:val="22"/>
          <w:lang w:val="sr-Latn-ME"/>
        </w:rPr>
        <w:t>m</w:t>
      </w:r>
      <w:r w:rsidR="004F7F52" w:rsidRPr="00173F69">
        <w:rPr>
          <w:szCs w:val="22"/>
          <w:lang w:val="sr-Latn-ME"/>
        </w:rPr>
        <w:t>l</w:t>
      </w:r>
      <w:r w:rsidR="00AC616E" w:rsidRPr="00173F69">
        <w:rPr>
          <w:szCs w:val="22"/>
          <w:lang w:val="sr-Latn-ME"/>
        </w:rPr>
        <w:t xml:space="preserve"> </w:t>
      </w:r>
      <w:r w:rsidRPr="00173F69">
        <w:rPr>
          <w:szCs w:val="22"/>
          <w:lang w:val="sr-Latn-ME"/>
        </w:rPr>
        <w:t xml:space="preserve">sadrži više od </w:t>
      </w:r>
      <w:r w:rsidR="00B45BE5" w:rsidRPr="00173F69">
        <w:rPr>
          <w:szCs w:val="22"/>
          <w:lang w:val="sr-Latn-ME"/>
        </w:rPr>
        <w:br/>
      </w:r>
      <w:r w:rsidRPr="00173F69">
        <w:rPr>
          <w:szCs w:val="22"/>
          <w:lang w:val="sr-Latn-ME"/>
        </w:rPr>
        <w:t xml:space="preserve">1 </w:t>
      </w:r>
      <w:proofErr w:type="spellStart"/>
      <w:r w:rsidRPr="00173F69">
        <w:rPr>
          <w:szCs w:val="22"/>
          <w:lang w:val="sr-Latn-ME"/>
        </w:rPr>
        <w:t>mmol</w:t>
      </w:r>
      <w:proofErr w:type="spellEnd"/>
      <w:r w:rsidR="00291D3D" w:rsidRPr="00173F69">
        <w:rPr>
          <w:szCs w:val="22"/>
          <w:lang w:val="sr-Latn-ME"/>
        </w:rPr>
        <w:t xml:space="preserve"> (23 mg)</w:t>
      </w:r>
      <w:r w:rsidRPr="00173F69">
        <w:rPr>
          <w:szCs w:val="22"/>
          <w:lang w:val="sr-Latn-ME"/>
        </w:rPr>
        <w:t xml:space="preserve"> natrijuma</w:t>
      </w:r>
      <w:r w:rsidR="00BD3BDE" w:rsidRPr="00173F69">
        <w:rPr>
          <w:szCs w:val="22"/>
          <w:lang w:val="sr-Latn-ME"/>
        </w:rPr>
        <w:t>, što odgovara 1,2% maksimalnog dnevnog unosa od 2 g natrijuma prema preporukama SZO za odraslu osobu</w:t>
      </w:r>
      <w:r w:rsidRPr="00173F69">
        <w:rPr>
          <w:szCs w:val="22"/>
          <w:lang w:val="sr-Latn-ME"/>
        </w:rPr>
        <w:t xml:space="preserve">. </w:t>
      </w:r>
      <w:r w:rsidR="00A21CAD" w:rsidRPr="00173F69">
        <w:rPr>
          <w:szCs w:val="22"/>
          <w:lang w:val="sr-Latn-ME"/>
        </w:rPr>
        <w:t>Sav</w:t>
      </w:r>
      <w:r w:rsidR="00D44E66" w:rsidRPr="00173F69">
        <w:rPr>
          <w:szCs w:val="22"/>
          <w:lang w:val="sr-Latn-ME"/>
        </w:rPr>
        <w:t>j</w:t>
      </w:r>
      <w:r w:rsidR="00A21CAD" w:rsidRPr="00173F69">
        <w:rPr>
          <w:szCs w:val="22"/>
          <w:lang w:val="sr-Latn-ME"/>
        </w:rPr>
        <w:t>etuje se poseban oprez prilikom upotrebe kod pacijenata koji su na dijeti u kojoj se kontroliše unos natrijuma.</w:t>
      </w:r>
    </w:p>
    <w:p w14:paraId="75BD47A9" w14:textId="77777777" w:rsidR="00B45BE5" w:rsidRPr="00173F69" w:rsidRDefault="00B45BE5" w:rsidP="00602947">
      <w:pPr>
        <w:rPr>
          <w:szCs w:val="22"/>
          <w:lang w:val="sr-Latn-ME"/>
        </w:rPr>
      </w:pPr>
    </w:p>
    <w:p w14:paraId="21FC2224" w14:textId="4D7A7D56" w:rsidR="0064623E" w:rsidRPr="00173F69" w:rsidRDefault="00677C79" w:rsidP="00602947">
      <w:pPr>
        <w:rPr>
          <w:szCs w:val="22"/>
          <w:lang w:val="sr-Latn-ME"/>
        </w:rPr>
      </w:pPr>
      <w:r w:rsidRPr="00173F69">
        <w:rPr>
          <w:szCs w:val="22"/>
          <w:lang w:val="sr-Latn-ME"/>
        </w:rPr>
        <w:t>Ovaj l</w:t>
      </w:r>
      <w:r w:rsidR="006B2E4E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>ek sadrži male količine etanola (alkohola), manje od 100 mg po dozi.</w:t>
      </w:r>
    </w:p>
    <w:p w14:paraId="60B682D0" w14:textId="77777777" w:rsidR="00677C79" w:rsidRPr="00173F69" w:rsidRDefault="00677C79" w:rsidP="00614295">
      <w:pPr>
        <w:rPr>
          <w:szCs w:val="22"/>
          <w:lang w:val="sr-Latn-ME"/>
        </w:rPr>
      </w:pPr>
    </w:p>
    <w:p w14:paraId="54C54731" w14:textId="6241B1C9" w:rsidR="00CE09F3" w:rsidRPr="00173F69" w:rsidRDefault="00CE09F3" w:rsidP="00614295">
      <w:pPr>
        <w:rPr>
          <w:b/>
          <w:bCs/>
          <w:szCs w:val="22"/>
          <w:lang w:val="sr-Latn-ME"/>
        </w:rPr>
      </w:pPr>
      <w:r w:rsidRPr="00173F69">
        <w:rPr>
          <w:b/>
          <w:bCs/>
          <w:szCs w:val="22"/>
          <w:lang w:val="sr-Latn-ME"/>
        </w:rPr>
        <w:t>4.5. Interakcije sa drugim l</w:t>
      </w:r>
      <w:r w:rsidR="000332C5" w:rsidRPr="00173F69">
        <w:rPr>
          <w:b/>
          <w:bCs/>
          <w:szCs w:val="22"/>
          <w:lang w:val="sr-Latn-ME"/>
        </w:rPr>
        <w:t>j</w:t>
      </w:r>
      <w:r w:rsidRPr="00173F69">
        <w:rPr>
          <w:b/>
          <w:bCs/>
          <w:szCs w:val="22"/>
          <w:lang w:val="sr-Latn-ME"/>
        </w:rPr>
        <w:t>ekovima i druge vrste interakcija</w:t>
      </w:r>
    </w:p>
    <w:p w14:paraId="2F4916A4" w14:textId="77777777" w:rsidR="00CE09F3" w:rsidRPr="00173F69" w:rsidRDefault="00CE09F3" w:rsidP="00614295">
      <w:pPr>
        <w:rPr>
          <w:szCs w:val="22"/>
          <w:lang w:val="sr-Latn-ME"/>
        </w:rPr>
      </w:pPr>
    </w:p>
    <w:p w14:paraId="21F66460" w14:textId="55982E93" w:rsidR="0064623E" w:rsidRPr="00173F69" w:rsidRDefault="0064623E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173F69">
        <w:rPr>
          <w:szCs w:val="22"/>
          <w:lang w:val="sr-Latn-ME"/>
        </w:rPr>
        <w:t>L</w:t>
      </w:r>
      <w:r w:rsidR="006B2E4E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>ek treba</w:t>
      </w:r>
      <w:r w:rsidR="004701E8" w:rsidRPr="00173F69">
        <w:rPr>
          <w:szCs w:val="22"/>
          <w:lang w:val="sr-Latn-ME"/>
        </w:rPr>
        <w:t xml:space="preserve"> uzimati</w:t>
      </w:r>
      <w:r w:rsidRPr="00173F69">
        <w:rPr>
          <w:szCs w:val="22"/>
          <w:lang w:val="sr-Latn-ME"/>
        </w:rPr>
        <w:t xml:space="preserve"> sa oprezom sa </w:t>
      </w:r>
      <w:proofErr w:type="spellStart"/>
      <w:r w:rsidRPr="00173F69">
        <w:rPr>
          <w:szCs w:val="22"/>
          <w:lang w:val="sr-Latn-ME"/>
        </w:rPr>
        <w:t>inhibitorima</w:t>
      </w:r>
      <w:proofErr w:type="spellEnd"/>
      <w:r w:rsidRPr="00173F69">
        <w:rPr>
          <w:szCs w:val="22"/>
          <w:lang w:val="sr-Latn-ME"/>
        </w:rPr>
        <w:t xml:space="preserve"> </w:t>
      </w:r>
      <w:proofErr w:type="spellStart"/>
      <w:r w:rsidR="00693A2F" w:rsidRPr="00173F69">
        <w:rPr>
          <w:szCs w:val="22"/>
          <w:lang w:val="sr-Latn-ME"/>
        </w:rPr>
        <w:t>ksantin</w:t>
      </w:r>
      <w:proofErr w:type="spellEnd"/>
      <w:r w:rsidR="00693A2F" w:rsidRPr="00173F69">
        <w:rPr>
          <w:szCs w:val="22"/>
          <w:lang w:val="sr-Latn-ME"/>
        </w:rPr>
        <w:t xml:space="preserve"> </w:t>
      </w:r>
      <w:proofErr w:type="spellStart"/>
      <w:r w:rsidR="00693A2F" w:rsidRPr="00173F69">
        <w:rPr>
          <w:szCs w:val="22"/>
          <w:lang w:val="sr-Latn-ME"/>
        </w:rPr>
        <w:t>oksidaze</w:t>
      </w:r>
      <w:proofErr w:type="spellEnd"/>
      <w:r w:rsidR="00693A2F" w:rsidRPr="00173F69">
        <w:rPr>
          <w:szCs w:val="22"/>
          <w:lang w:val="sr-Latn-ME"/>
        </w:rPr>
        <w:t xml:space="preserve"> </w:t>
      </w:r>
      <w:r w:rsidRPr="00173F69">
        <w:rPr>
          <w:szCs w:val="22"/>
          <w:lang w:val="sr-Latn-ME"/>
        </w:rPr>
        <w:t>(</w:t>
      </w:r>
      <w:proofErr w:type="spellStart"/>
      <w:r w:rsidRPr="00173F69">
        <w:rPr>
          <w:szCs w:val="22"/>
          <w:lang w:val="sr-Latn-ME"/>
        </w:rPr>
        <w:t>alopurinol</w:t>
      </w:r>
      <w:proofErr w:type="spellEnd"/>
      <w:r w:rsidRPr="00173F69">
        <w:rPr>
          <w:szCs w:val="22"/>
          <w:lang w:val="sr-Latn-ME"/>
        </w:rPr>
        <w:t xml:space="preserve">) ili </w:t>
      </w:r>
      <w:proofErr w:type="spellStart"/>
      <w:r w:rsidRPr="00173F69">
        <w:rPr>
          <w:szCs w:val="22"/>
          <w:lang w:val="sr-Latn-ME"/>
        </w:rPr>
        <w:t>urikozuričkim</w:t>
      </w:r>
      <w:proofErr w:type="spellEnd"/>
      <w:r w:rsidRPr="00173F69">
        <w:rPr>
          <w:szCs w:val="22"/>
          <w:lang w:val="sr-Latn-ME"/>
        </w:rPr>
        <w:t xml:space="preserve"> l</w:t>
      </w:r>
      <w:r w:rsidR="006B2E4E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 xml:space="preserve">ekovima, </w:t>
      </w:r>
      <w:proofErr w:type="spellStart"/>
      <w:r w:rsidRPr="00173F69">
        <w:rPr>
          <w:szCs w:val="22"/>
          <w:lang w:val="sr-Latn-ME"/>
        </w:rPr>
        <w:t>diureticima</w:t>
      </w:r>
      <w:proofErr w:type="spellEnd"/>
      <w:r w:rsidRPr="00173F69">
        <w:rPr>
          <w:szCs w:val="22"/>
          <w:lang w:val="sr-Latn-ME"/>
        </w:rPr>
        <w:t xml:space="preserve"> – </w:t>
      </w:r>
      <w:proofErr w:type="spellStart"/>
      <w:r w:rsidRPr="00173F69">
        <w:rPr>
          <w:szCs w:val="22"/>
          <w:lang w:val="sr-Latn-ME"/>
        </w:rPr>
        <w:t>tiazidnim</w:t>
      </w:r>
      <w:proofErr w:type="spellEnd"/>
      <w:r w:rsidRPr="00173F69">
        <w:rPr>
          <w:szCs w:val="22"/>
          <w:lang w:val="sr-Latn-ME"/>
        </w:rPr>
        <w:t xml:space="preserve"> </w:t>
      </w:r>
      <w:proofErr w:type="spellStart"/>
      <w:r w:rsidRPr="00173F69">
        <w:rPr>
          <w:szCs w:val="22"/>
          <w:lang w:val="sr-Latn-ME"/>
        </w:rPr>
        <w:t>diureticima</w:t>
      </w:r>
      <w:proofErr w:type="spellEnd"/>
      <w:r w:rsidRPr="00173F69">
        <w:rPr>
          <w:szCs w:val="22"/>
          <w:lang w:val="sr-Latn-ME"/>
        </w:rPr>
        <w:t xml:space="preserve"> (kao što su </w:t>
      </w:r>
      <w:proofErr w:type="spellStart"/>
      <w:r w:rsidRPr="00173F69">
        <w:rPr>
          <w:szCs w:val="22"/>
          <w:lang w:val="sr-Latn-ME"/>
        </w:rPr>
        <w:t>hidrohlortiazid</w:t>
      </w:r>
      <w:proofErr w:type="spellEnd"/>
      <w:r w:rsidRPr="00173F69">
        <w:rPr>
          <w:szCs w:val="22"/>
          <w:lang w:val="sr-Latn-ME"/>
        </w:rPr>
        <w:t xml:space="preserve">, </w:t>
      </w:r>
      <w:proofErr w:type="spellStart"/>
      <w:r w:rsidRPr="00173F69">
        <w:rPr>
          <w:szCs w:val="22"/>
          <w:lang w:val="sr-Latn-ME"/>
        </w:rPr>
        <w:t>hlortalidon</w:t>
      </w:r>
      <w:proofErr w:type="spellEnd"/>
      <w:r w:rsidRPr="00173F69">
        <w:rPr>
          <w:szCs w:val="22"/>
          <w:lang w:val="sr-Latn-ME"/>
        </w:rPr>
        <w:t xml:space="preserve">, </w:t>
      </w:r>
      <w:proofErr w:type="spellStart"/>
      <w:r w:rsidRPr="00173F69">
        <w:rPr>
          <w:szCs w:val="22"/>
          <w:lang w:val="sr-Latn-ME"/>
        </w:rPr>
        <w:t>indapamid</w:t>
      </w:r>
      <w:proofErr w:type="spellEnd"/>
      <w:r w:rsidRPr="00173F69">
        <w:rPr>
          <w:szCs w:val="22"/>
          <w:lang w:val="sr-Latn-ME"/>
        </w:rPr>
        <w:t xml:space="preserve">) ili </w:t>
      </w:r>
      <w:proofErr w:type="spellStart"/>
      <w:r w:rsidRPr="00173F69">
        <w:rPr>
          <w:szCs w:val="22"/>
          <w:lang w:val="sr-Latn-ME"/>
        </w:rPr>
        <w:t>diureticima</w:t>
      </w:r>
      <w:proofErr w:type="spellEnd"/>
      <w:r w:rsidRPr="00173F69">
        <w:rPr>
          <w:szCs w:val="22"/>
          <w:lang w:val="sr-Latn-ME"/>
        </w:rPr>
        <w:t xml:space="preserve"> </w:t>
      </w:r>
      <w:proofErr w:type="spellStart"/>
      <w:r w:rsidRPr="00173F69">
        <w:rPr>
          <w:szCs w:val="22"/>
          <w:lang w:val="sr-Latn-ME"/>
        </w:rPr>
        <w:t>Henleove</w:t>
      </w:r>
      <w:proofErr w:type="spellEnd"/>
      <w:r w:rsidRPr="00173F69">
        <w:rPr>
          <w:szCs w:val="22"/>
          <w:lang w:val="sr-Latn-ME"/>
        </w:rPr>
        <w:t xml:space="preserve"> petlje (kao što su </w:t>
      </w:r>
      <w:proofErr w:type="spellStart"/>
      <w:r w:rsidRPr="00173F69">
        <w:rPr>
          <w:szCs w:val="22"/>
          <w:lang w:val="sr-Latn-ME"/>
        </w:rPr>
        <w:t>furosemid</w:t>
      </w:r>
      <w:proofErr w:type="spellEnd"/>
      <w:r w:rsidRPr="00173F69">
        <w:rPr>
          <w:szCs w:val="22"/>
          <w:lang w:val="sr-Latn-ME"/>
        </w:rPr>
        <w:t xml:space="preserve">, </w:t>
      </w:r>
      <w:proofErr w:type="spellStart"/>
      <w:r w:rsidRPr="00173F69">
        <w:rPr>
          <w:szCs w:val="22"/>
          <w:lang w:val="sr-Latn-ME"/>
        </w:rPr>
        <w:t>torasemid</w:t>
      </w:r>
      <w:proofErr w:type="spellEnd"/>
      <w:r w:rsidRPr="00173F69">
        <w:rPr>
          <w:szCs w:val="22"/>
          <w:lang w:val="sr-Latn-ME"/>
        </w:rPr>
        <w:t xml:space="preserve">, </w:t>
      </w:r>
      <w:proofErr w:type="spellStart"/>
      <w:r w:rsidRPr="00173F69">
        <w:rPr>
          <w:szCs w:val="22"/>
          <w:lang w:val="sr-Latn-ME"/>
        </w:rPr>
        <w:t>etakrinska</w:t>
      </w:r>
      <w:proofErr w:type="spellEnd"/>
      <w:r w:rsidRPr="00173F69">
        <w:rPr>
          <w:szCs w:val="22"/>
          <w:lang w:val="sr-Latn-ME"/>
        </w:rPr>
        <w:t xml:space="preserve"> kiselina).</w:t>
      </w:r>
    </w:p>
    <w:p w14:paraId="047585B4" w14:textId="77777777" w:rsidR="0064623E" w:rsidRPr="00173F69" w:rsidRDefault="0064623E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2B97012A" w14:textId="16797594" w:rsidR="0064623E" w:rsidRPr="00173F69" w:rsidRDefault="0064623E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173F69">
        <w:rPr>
          <w:szCs w:val="22"/>
          <w:lang w:val="sr-Latn-ME"/>
        </w:rPr>
        <w:t>L</w:t>
      </w:r>
      <w:r w:rsidR="006B2E4E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 xml:space="preserve">ek </w:t>
      </w:r>
      <w:proofErr w:type="spellStart"/>
      <w:r w:rsidRPr="00173F69">
        <w:rPr>
          <w:szCs w:val="22"/>
          <w:lang w:val="sr-Latn-ME"/>
        </w:rPr>
        <w:t>Isoprinosine</w:t>
      </w:r>
      <w:proofErr w:type="spellEnd"/>
      <w:r w:rsidRPr="00173F69">
        <w:rPr>
          <w:szCs w:val="22"/>
          <w:lang w:val="sr-Latn-ME"/>
        </w:rPr>
        <w:t xml:space="preserve"> se može prim</w:t>
      </w:r>
      <w:r w:rsidR="005074EB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>eniti posl</w:t>
      </w:r>
      <w:r w:rsidR="002377E6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 xml:space="preserve">e, ali nikako istovremeno sa </w:t>
      </w:r>
      <w:proofErr w:type="spellStart"/>
      <w:r w:rsidRPr="00173F69">
        <w:rPr>
          <w:szCs w:val="22"/>
          <w:lang w:val="sr-Latn-ME"/>
        </w:rPr>
        <w:t>imunosupresivnim</w:t>
      </w:r>
      <w:proofErr w:type="spellEnd"/>
      <w:r w:rsidRPr="00173F69">
        <w:rPr>
          <w:szCs w:val="22"/>
          <w:lang w:val="sr-Latn-ME"/>
        </w:rPr>
        <w:t xml:space="preserve"> l</w:t>
      </w:r>
      <w:r w:rsidR="006B2E4E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 xml:space="preserve">ekovima, </w:t>
      </w:r>
      <w:proofErr w:type="spellStart"/>
      <w:r w:rsidRPr="00173F69">
        <w:rPr>
          <w:szCs w:val="22"/>
          <w:lang w:val="sr-Latn-ME"/>
        </w:rPr>
        <w:t>usl</w:t>
      </w:r>
      <w:r w:rsidR="006B2E4E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>ed</w:t>
      </w:r>
      <w:proofErr w:type="spellEnd"/>
      <w:r w:rsidRPr="00173F69">
        <w:rPr>
          <w:szCs w:val="22"/>
          <w:lang w:val="sr-Latn-ME"/>
        </w:rPr>
        <w:t xml:space="preserve"> </w:t>
      </w:r>
      <w:proofErr w:type="spellStart"/>
      <w:r w:rsidRPr="00173F69">
        <w:rPr>
          <w:szCs w:val="22"/>
          <w:lang w:val="sr-Latn-ME"/>
        </w:rPr>
        <w:t>farmakokinetičkog</w:t>
      </w:r>
      <w:proofErr w:type="spellEnd"/>
      <w:r w:rsidRPr="00173F69">
        <w:rPr>
          <w:szCs w:val="22"/>
          <w:lang w:val="sr-Latn-ME"/>
        </w:rPr>
        <w:t xml:space="preserve"> uticaja na željene terap</w:t>
      </w:r>
      <w:r w:rsidR="004701E8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>ske efekte ovog l</w:t>
      </w:r>
      <w:r w:rsidR="006B2E4E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>eka.</w:t>
      </w:r>
    </w:p>
    <w:p w14:paraId="5B1479A1" w14:textId="77777777" w:rsidR="0064623E" w:rsidRPr="00173F69" w:rsidRDefault="0064623E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3B8AF95E" w14:textId="046AE693" w:rsidR="0085152E" w:rsidRPr="00173F69" w:rsidRDefault="0085152E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173F69">
        <w:rPr>
          <w:szCs w:val="22"/>
          <w:lang w:val="sr-Latn-ME"/>
        </w:rPr>
        <w:t>Istovremena prim</w:t>
      </w:r>
      <w:r w:rsidR="006B2E4E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 xml:space="preserve">ena sa </w:t>
      </w:r>
      <w:proofErr w:type="spellStart"/>
      <w:r w:rsidRPr="00173F69">
        <w:rPr>
          <w:szCs w:val="22"/>
          <w:lang w:val="sr-Latn-ME"/>
        </w:rPr>
        <w:t>zidovudinom</w:t>
      </w:r>
      <w:proofErr w:type="spellEnd"/>
      <w:r w:rsidRPr="00173F69">
        <w:rPr>
          <w:szCs w:val="22"/>
          <w:lang w:val="sr-Latn-ME"/>
        </w:rPr>
        <w:t xml:space="preserve"> povećava stvaranje </w:t>
      </w:r>
      <w:proofErr w:type="spellStart"/>
      <w:r w:rsidRPr="00173F69">
        <w:rPr>
          <w:szCs w:val="22"/>
          <w:lang w:val="sr-Latn-ME"/>
        </w:rPr>
        <w:t>zidovudin</w:t>
      </w:r>
      <w:proofErr w:type="spellEnd"/>
      <w:r w:rsidRPr="00173F69">
        <w:rPr>
          <w:szCs w:val="22"/>
          <w:lang w:val="sr-Latn-ME"/>
        </w:rPr>
        <w:t xml:space="preserve"> </w:t>
      </w:r>
      <w:proofErr w:type="spellStart"/>
      <w:r w:rsidRPr="00173F69">
        <w:rPr>
          <w:szCs w:val="22"/>
          <w:lang w:val="sr-Latn-ME"/>
        </w:rPr>
        <w:t>nukleotida</w:t>
      </w:r>
      <w:proofErr w:type="spellEnd"/>
      <w:r w:rsidRPr="00173F69">
        <w:rPr>
          <w:szCs w:val="22"/>
          <w:lang w:val="sr-Latn-ME"/>
        </w:rPr>
        <w:t xml:space="preserve"> </w:t>
      </w:r>
      <w:proofErr w:type="spellStart"/>
      <w:r w:rsidRPr="00173F69">
        <w:rPr>
          <w:szCs w:val="22"/>
          <w:lang w:val="sr-Latn-ME"/>
        </w:rPr>
        <w:t>preko</w:t>
      </w:r>
      <w:proofErr w:type="spellEnd"/>
      <w:r w:rsidRPr="00173F69">
        <w:rPr>
          <w:szCs w:val="22"/>
          <w:lang w:val="sr-Latn-ME"/>
        </w:rPr>
        <w:t xml:space="preserve"> više mehanizama, koji uključuju povećanu </w:t>
      </w:r>
      <w:proofErr w:type="spellStart"/>
      <w:r w:rsidRPr="00173F69">
        <w:rPr>
          <w:szCs w:val="22"/>
          <w:lang w:val="sr-Latn-ME"/>
        </w:rPr>
        <w:t>bioraspoloživost</w:t>
      </w:r>
      <w:proofErr w:type="spellEnd"/>
      <w:r w:rsidRPr="00173F69">
        <w:rPr>
          <w:szCs w:val="22"/>
          <w:lang w:val="sr-Latn-ME"/>
        </w:rPr>
        <w:t xml:space="preserve"> </w:t>
      </w:r>
      <w:proofErr w:type="spellStart"/>
      <w:r w:rsidRPr="00173F69">
        <w:rPr>
          <w:szCs w:val="22"/>
          <w:lang w:val="sr-Latn-ME"/>
        </w:rPr>
        <w:t>zidovudina</w:t>
      </w:r>
      <w:proofErr w:type="spellEnd"/>
      <w:r w:rsidRPr="00173F69">
        <w:rPr>
          <w:szCs w:val="22"/>
          <w:lang w:val="sr-Latn-ME"/>
        </w:rPr>
        <w:t xml:space="preserve"> u plazmi i povećanu </w:t>
      </w:r>
      <w:proofErr w:type="spellStart"/>
      <w:r w:rsidRPr="00173F69">
        <w:rPr>
          <w:szCs w:val="22"/>
          <w:lang w:val="sr-Latn-ME"/>
        </w:rPr>
        <w:t>intracelularnu</w:t>
      </w:r>
      <w:proofErr w:type="spellEnd"/>
      <w:r w:rsidRPr="00173F69">
        <w:rPr>
          <w:szCs w:val="22"/>
          <w:lang w:val="sr-Latn-ME"/>
        </w:rPr>
        <w:t xml:space="preserve"> </w:t>
      </w:r>
      <w:proofErr w:type="spellStart"/>
      <w:r w:rsidRPr="00173F69">
        <w:rPr>
          <w:szCs w:val="22"/>
          <w:lang w:val="sr-Latn-ME"/>
        </w:rPr>
        <w:t>fosforilaciju</w:t>
      </w:r>
      <w:proofErr w:type="spellEnd"/>
      <w:r w:rsidRPr="00173F69">
        <w:rPr>
          <w:szCs w:val="22"/>
          <w:lang w:val="sr-Latn-ME"/>
        </w:rPr>
        <w:t xml:space="preserve"> u </w:t>
      </w:r>
      <w:proofErr w:type="spellStart"/>
      <w:r w:rsidRPr="00173F69">
        <w:rPr>
          <w:szCs w:val="22"/>
          <w:lang w:val="sr-Latn-ME"/>
        </w:rPr>
        <w:t>monocitima</w:t>
      </w:r>
      <w:proofErr w:type="spellEnd"/>
      <w:r w:rsidRPr="00173F69">
        <w:rPr>
          <w:szCs w:val="22"/>
          <w:lang w:val="sr-Latn-ME"/>
        </w:rPr>
        <w:t xml:space="preserve"> humane krvi. </w:t>
      </w:r>
      <w:proofErr w:type="spellStart"/>
      <w:r w:rsidRPr="00173F69">
        <w:rPr>
          <w:szCs w:val="22"/>
          <w:lang w:val="sr-Latn-ME"/>
        </w:rPr>
        <w:t>Usl</w:t>
      </w:r>
      <w:r w:rsidR="006B2E4E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>ed</w:t>
      </w:r>
      <w:proofErr w:type="spellEnd"/>
      <w:r w:rsidRPr="00173F69">
        <w:rPr>
          <w:szCs w:val="22"/>
          <w:lang w:val="sr-Latn-ME"/>
        </w:rPr>
        <w:t xml:space="preserve"> toga, l</w:t>
      </w:r>
      <w:r w:rsidR="006B2E4E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 xml:space="preserve">ek </w:t>
      </w:r>
      <w:proofErr w:type="spellStart"/>
      <w:r w:rsidRPr="00173F69">
        <w:rPr>
          <w:szCs w:val="22"/>
          <w:lang w:val="sr-Latn-ME"/>
        </w:rPr>
        <w:t>Isoprinosine</w:t>
      </w:r>
      <w:proofErr w:type="spellEnd"/>
      <w:r w:rsidRPr="00173F69">
        <w:rPr>
          <w:szCs w:val="22"/>
          <w:lang w:val="sr-Latn-ME"/>
        </w:rPr>
        <w:t xml:space="preserve"> povećava </w:t>
      </w:r>
      <w:r w:rsidR="00693A2F" w:rsidRPr="00173F69">
        <w:rPr>
          <w:szCs w:val="22"/>
          <w:lang w:val="sr-Latn-ME"/>
        </w:rPr>
        <w:t>dej</w:t>
      </w:r>
      <w:r w:rsidR="004F7F52" w:rsidRPr="00173F69">
        <w:rPr>
          <w:szCs w:val="22"/>
          <w:lang w:val="sr-Latn-ME"/>
        </w:rPr>
        <w:t>s</w:t>
      </w:r>
      <w:r w:rsidR="00693A2F" w:rsidRPr="00173F69">
        <w:rPr>
          <w:szCs w:val="22"/>
          <w:lang w:val="sr-Latn-ME"/>
        </w:rPr>
        <w:t xml:space="preserve">tvo </w:t>
      </w:r>
      <w:proofErr w:type="spellStart"/>
      <w:r w:rsidRPr="00173F69">
        <w:rPr>
          <w:szCs w:val="22"/>
          <w:lang w:val="sr-Latn-ME"/>
        </w:rPr>
        <w:t>zidovudina</w:t>
      </w:r>
      <w:proofErr w:type="spellEnd"/>
      <w:r w:rsidRPr="00173F69">
        <w:rPr>
          <w:szCs w:val="22"/>
          <w:lang w:val="sr-Latn-ME"/>
        </w:rPr>
        <w:t>.</w:t>
      </w:r>
    </w:p>
    <w:p w14:paraId="5D8D69DB" w14:textId="77777777" w:rsidR="00693A2F" w:rsidRPr="00173F69" w:rsidRDefault="00693A2F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1522E72E" w14:textId="34EBB969" w:rsidR="00693A2F" w:rsidRPr="00173F69" w:rsidRDefault="00A00CF7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173F69">
        <w:rPr>
          <w:szCs w:val="22"/>
          <w:lang w:val="sr-Latn-ME"/>
        </w:rPr>
        <w:lastRenderedPageBreak/>
        <w:t>Nema dostupnih podataka o istovremenoj prim</w:t>
      </w:r>
      <w:r w:rsidR="002377E6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>eni l</w:t>
      </w:r>
      <w:r w:rsidR="006B2E4E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 xml:space="preserve">eka </w:t>
      </w:r>
      <w:proofErr w:type="spellStart"/>
      <w:r w:rsidRPr="00173F69">
        <w:rPr>
          <w:szCs w:val="22"/>
          <w:lang w:val="sr-Latn-ME"/>
        </w:rPr>
        <w:t>Isoprinosine</w:t>
      </w:r>
      <w:proofErr w:type="spellEnd"/>
      <w:r w:rsidRPr="00173F69">
        <w:rPr>
          <w:szCs w:val="22"/>
          <w:lang w:val="sr-Latn-ME"/>
        </w:rPr>
        <w:t xml:space="preserve"> sa </w:t>
      </w:r>
      <w:proofErr w:type="spellStart"/>
      <w:r w:rsidRPr="00173F69">
        <w:rPr>
          <w:szCs w:val="22"/>
          <w:lang w:val="sr-Latn-ME"/>
        </w:rPr>
        <w:t>oseltamivirom</w:t>
      </w:r>
      <w:proofErr w:type="spellEnd"/>
      <w:r w:rsidRPr="00173F69">
        <w:rPr>
          <w:szCs w:val="22"/>
          <w:lang w:val="sr-Latn-ME"/>
        </w:rPr>
        <w:t xml:space="preserve">, </w:t>
      </w:r>
      <w:proofErr w:type="spellStart"/>
      <w:r w:rsidRPr="00173F69">
        <w:rPr>
          <w:szCs w:val="22"/>
          <w:lang w:val="sr-Latn-ME"/>
        </w:rPr>
        <w:t>aciklovirom</w:t>
      </w:r>
      <w:proofErr w:type="spellEnd"/>
      <w:r w:rsidRPr="00173F69">
        <w:rPr>
          <w:szCs w:val="22"/>
          <w:lang w:val="sr-Latn-ME"/>
        </w:rPr>
        <w:t xml:space="preserve"> i </w:t>
      </w:r>
      <w:proofErr w:type="spellStart"/>
      <w:r w:rsidRPr="00173F69">
        <w:rPr>
          <w:szCs w:val="22"/>
          <w:lang w:val="sr-Latn-ME"/>
        </w:rPr>
        <w:t>ganciklovirom</w:t>
      </w:r>
      <w:proofErr w:type="spellEnd"/>
      <w:r w:rsidRPr="00173F69">
        <w:rPr>
          <w:szCs w:val="22"/>
          <w:lang w:val="sr-Latn-ME"/>
        </w:rPr>
        <w:t>.</w:t>
      </w:r>
    </w:p>
    <w:p w14:paraId="770B8369" w14:textId="77777777" w:rsidR="00693A2F" w:rsidRPr="00173F69" w:rsidRDefault="00693A2F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0FBD39BA" w14:textId="77777777" w:rsidR="00CE09F3" w:rsidRPr="00173F69" w:rsidRDefault="00CE09F3" w:rsidP="00614295">
      <w:pPr>
        <w:rPr>
          <w:b/>
          <w:bCs/>
          <w:szCs w:val="22"/>
          <w:lang w:val="sr-Latn-ME"/>
        </w:rPr>
      </w:pPr>
      <w:r w:rsidRPr="00173F69">
        <w:rPr>
          <w:b/>
          <w:bCs/>
          <w:szCs w:val="22"/>
          <w:lang w:val="sr-Latn-ME"/>
        </w:rPr>
        <w:t>4.6. Plodnost, trudnoća i dojenje</w:t>
      </w:r>
    </w:p>
    <w:p w14:paraId="695C3B4E" w14:textId="77777777" w:rsidR="00CE09F3" w:rsidRPr="00173F69" w:rsidRDefault="00CE09F3" w:rsidP="00614295">
      <w:pPr>
        <w:rPr>
          <w:szCs w:val="22"/>
          <w:lang w:val="sr-Latn-ME"/>
        </w:rPr>
      </w:pPr>
    </w:p>
    <w:p w14:paraId="125C1C05" w14:textId="4A9C480D" w:rsidR="00CE09F3" w:rsidRPr="00173F69" w:rsidRDefault="0064623E" w:rsidP="00614295">
      <w:pPr>
        <w:rPr>
          <w:szCs w:val="22"/>
          <w:lang w:val="sr-Latn-ME"/>
        </w:rPr>
      </w:pPr>
      <w:r w:rsidRPr="00173F69">
        <w:rPr>
          <w:szCs w:val="22"/>
          <w:lang w:val="sr-Latn-ME"/>
        </w:rPr>
        <w:t xml:space="preserve">Nisu sprovedene kontrolisane kliničke studije u kojima je praćen rizik po fetus i uticaj na plodnost kod </w:t>
      </w:r>
      <w:proofErr w:type="spellStart"/>
      <w:r w:rsidRPr="00173F69">
        <w:rPr>
          <w:b/>
          <w:szCs w:val="22"/>
          <w:lang w:val="sr-Latn-ME"/>
        </w:rPr>
        <w:t>ljudi</w:t>
      </w:r>
      <w:proofErr w:type="spellEnd"/>
      <w:r w:rsidRPr="00173F69">
        <w:rPr>
          <w:szCs w:val="22"/>
          <w:lang w:val="sr-Latn-ME"/>
        </w:rPr>
        <w:t xml:space="preserve">. Nije poznato da li se </w:t>
      </w:r>
      <w:proofErr w:type="spellStart"/>
      <w:r w:rsidRPr="00173F69">
        <w:rPr>
          <w:szCs w:val="22"/>
          <w:lang w:val="sr-Latn-ME"/>
        </w:rPr>
        <w:t>inozin</w:t>
      </w:r>
      <w:proofErr w:type="spellEnd"/>
      <w:r w:rsidRPr="00173F69">
        <w:rPr>
          <w:szCs w:val="22"/>
          <w:lang w:val="sr-Latn-ME"/>
        </w:rPr>
        <w:t xml:space="preserve"> </w:t>
      </w:r>
      <w:proofErr w:type="spellStart"/>
      <w:r w:rsidRPr="00173F69">
        <w:rPr>
          <w:szCs w:val="22"/>
          <w:lang w:val="sr-Latn-ME"/>
        </w:rPr>
        <w:t>acedoben</w:t>
      </w:r>
      <w:proofErr w:type="spellEnd"/>
      <w:r w:rsidRPr="00173F69">
        <w:rPr>
          <w:szCs w:val="22"/>
          <w:lang w:val="sr-Latn-ME"/>
        </w:rPr>
        <w:t xml:space="preserve"> </w:t>
      </w:r>
      <w:proofErr w:type="spellStart"/>
      <w:r w:rsidRPr="00173F69">
        <w:rPr>
          <w:szCs w:val="22"/>
          <w:lang w:val="sr-Latn-ME"/>
        </w:rPr>
        <w:t>dimepranol</w:t>
      </w:r>
      <w:proofErr w:type="spellEnd"/>
      <w:r w:rsidRPr="00173F69">
        <w:rPr>
          <w:szCs w:val="22"/>
          <w:lang w:val="sr-Latn-ME"/>
        </w:rPr>
        <w:t xml:space="preserve"> izlučuje u majčino ml</w:t>
      </w:r>
      <w:r w:rsidR="006B2E4E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 xml:space="preserve">eko. </w:t>
      </w:r>
      <w:proofErr w:type="spellStart"/>
      <w:r w:rsidRPr="00173F69">
        <w:rPr>
          <w:szCs w:val="22"/>
          <w:lang w:val="sr-Latn-ME"/>
        </w:rPr>
        <w:t>Usl</w:t>
      </w:r>
      <w:r w:rsidR="006B2E4E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>ed</w:t>
      </w:r>
      <w:proofErr w:type="spellEnd"/>
      <w:r w:rsidRPr="00173F69">
        <w:rPr>
          <w:szCs w:val="22"/>
          <w:lang w:val="sr-Latn-ME"/>
        </w:rPr>
        <w:t xml:space="preserve"> toga, ne preporučuje se prim</w:t>
      </w:r>
      <w:r w:rsidR="002377E6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>ena l</w:t>
      </w:r>
      <w:r w:rsidR="006B2E4E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 xml:space="preserve">eka </w:t>
      </w:r>
      <w:proofErr w:type="spellStart"/>
      <w:r w:rsidRPr="00173F69">
        <w:rPr>
          <w:szCs w:val="22"/>
          <w:lang w:val="sr-Latn-ME"/>
        </w:rPr>
        <w:t>Isoprinosine</w:t>
      </w:r>
      <w:proofErr w:type="spellEnd"/>
      <w:r w:rsidRPr="00173F69">
        <w:rPr>
          <w:szCs w:val="22"/>
          <w:lang w:val="sr-Latn-ME"/>
        </w:rPr>
        <w:t xml:space="preserve"> tokom trudnoće ili perioda dojenja, osim ako l</w:t>
      </w:r>
      <w:r w:rsidR="006B2E4E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>ekar ne proc</w:t>
      </w:r>
      <w:r w:rsidR="006B2E4E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>eni da korist od prim</w:t>
      </w:r>
      <w:r w:rsidR="002377E6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>ene l</w:t>
      </w:r>
      <w:r w:rsidR="006B2E4E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 xml:space="preserve">eka nadmašuje </w:t>
      </w:r>
      <w:r w:rsidR="00552851" w:rsidRPr="00173F69">
        <w:rPr>
          <w:szCs w:val="22"/>
          <w:lang w:val="sr-Latn-ME"/>
        </w:rPr>
        <w:t>mogući</w:t>
      </w:r>
      <w:r w:rsidRPr="00173F69">
        <w:rPr>
          <w:szCs w:val="22"/>
          <w:lang w:val="sr-Latn-ME"/>
        </w:rPr>
        <w:t xml:space="preserve"> rizik. </w:t>
      </w:r>
    </w:p>
    <w:p w14:paraId="72ABA8E1" w14:textId="77777777" w:rsidR="00552851" w:rsidRPr="00173F69" w:rsidRDefault="00552851" w:rsidP="00614295">
      <w:pPr>
        <w:rPr>
          <w:szCs w:val="22"/>
          <w:lang w:val="sr-Latn-ME"/>
        </w:rPr>
      </w:pPr>
    </w:p>
    <w:p w14:paraId="3E7AC15D" w14:textId="4F6FA089" w:rsidR="00CE09F3" w:rsidRPr="00173F69" w:rsidRDefault="00CE09F3" w:rsidP="00614295">
      <w:pPr>
        <w:rPr>
          <w:b/>
          <w:bCs/>
          <w:spacing w:val="-8"/>
          <w:szCs w:val="22"/>
          <w:lang w:val="sr-Latn-ME"/>
        </w:rPr>
      </w:pPr>
      <w:r w:rsidRPr="00173F69">
        <w:rPr>
          <w:b/>
          <w:bCs/>
          <w:spacing w:val="-8"/>
          <w:szCs w:val="22"/>
          <w:lang w:val="sr-Latn-ME"/>
        </w:rPr>
        <w:t>4.7. Uticaj na sposobnost upravljanja vozilima i rukovanj</w:t>
      </w:r>
      <w:r w:rsidR="000332C5" w:rsidRPr="00173F69">
        <w:rPr>
          <w:b/>
          <w:bCs/>
          <w:spacing w:val="-8"/>
          <w:szCs w:val="22"/>
          <w:lang w:val="sr-Latn-ME"/>
        </w:rPr>
        <w:t>e</w:t>
      </w:r>
      <w:r w:rsidRPr="00173F69">
        <w:rPr>
          <w:b/>
          <w:bCs/>
          <w:spacing w:val="-8"/>
          <w:szCs w:val="22"/>
          <w:lang w:val="sr-Latn-ME"/>
        </w:rPr>
        <w:t xml:space="preserve"> mašinama</w:t>
      </w:r>
    </w:p>
    <w:p w14:paraId="0658EFEB" w14:textId="77777777" w:rsidR="00CE09F3" w:rsidRPr="00173F69" w:rsidRDefault="00CE09F3" w:rsidP="00614295">
      <w:pPr>
        <w:rPr>
          <w:szCs w:val="22"/>
          <w:lang w:val="sr-Latn-ME"/>
        </w:rPr>
      </w:pPr>
    </w:p>
    <w:p w14:paraId="1CF8C9C3" w14:textId="4BED1546" w:rsidR="008560C9" w:rsidRPr="00173F69" w:rsidRDefault="008560C9" w:rsidP="00614295">
      <w:pPr>
        <w:rPr>
          <w:szCs w:val="22"/>
          <w:lang w:val="sr-Latn-ME"/>
        </w:rPr>
      </w:pPr>
      <w:r w:rsidRPr="00173F69">
        <w:rPr>
          <w:szCs w:val="22"/>
          <w:lang w:val="sr-Latn-ME"/>
        </w:rPr>
        <w:t>L</w:t>
      </w:r>
      <w:r w:rsidR="006B2E4E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 xml:space="preserve">ek </w:t>
      </w:r>
      <w:proofErr w:type="spellStart"/>
      <w:r w:rsidRPr="00173F69">
        <w:rPr>
          <w:szCs w:val="22"/>
          <w:lang w:val="sr-Latn-ME"/>
        </w:rPr>
        <w:t>Isoprinosine</w:t>
      </w:r>
      <w:proofErr w:type="spellEnd"/>
      <w:r w:rsidRPr="00173F69">
        <w:rPr>
          <w:szCs w:val="22"/>
          <w:lang w:val="sr-Latn-ME"/>
        </w:rPr>
        <w:t xml:space="preserve"> nema ili ima zanemarljiv uticaj na sposobnost upravljanja vozilima i rukovanja mašinama. </w:t>
      </w:r>
    </w:p>
    <w:p w14:paraId="0F610AF2" w14:textId="77777777" w:rsidR="0064623E" w:rsidRPr="00173F69" w:rsidRDefault="0064623E" w:rsidP="00614295">
      <w:pPr>
        <w:rPr>
          <w:szCs w:val="22"/>
          <w:lang w:val="sr-Latn-ME"/>
        </w:rPr>
      </w:pPr>
    </w:p>
    <w:p w14:paraId="18ED95DF" w14:textId="77777777" w:rsidR="00CE09F3" w:rsidRPr="00173F69" w:rsidRDefault="00CE09F3" w:rsidP="00614295">
      <w:pPr>
        <w:rPr>
          <w:b/>
          <w:bCs/>
          <w:szCs w:val="22"/>
          <w:lang w:val="sr-Latn-ME"/>
        </w:rPr>
      </w:pPr>
      <w:r w:rsidRPr="00173F69">
        <w:rPr>
          <w:b/>
          <w:bCs/>
          <w:szCs w:val="22"/>
          <w:lang w:val="sr-Latn-ME"/>
        </w:rPr>
        <w:t>4.8. Neželjena dejstva</w:t>
      </w:r>
    </w:p>
    <w:p w14:paraId="6D9B4913" w14:textId="77777777" w:rsidR="00CE09F3" w:rsidRPr="00173F69" w:rsidRDefault="00CE09F3" w:rsidP="00614295">
      <w:pPr>
        <w:rPr>
          <w:szCs w:val="22"/>
          <w:u w:val="single"/>
          <w:lang w:val="sr-Latn-ME"/>
        </w:rPr>
      </w:pPr>
    </w:p>
    <w:p w14:paraId="794F5F86" w14:textId="1C8F47FB" w:rsidR="006E4E9B" w:rsidRPr="00173F69" w:rsidRDefault="006E4E9B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173F69">
        <w:rPr>
          <w:szCs w:val="22"/>
          <w:lang w:val="sr-Latn-ME"/>
        </w:rPr>
        <w:t>Tokom l</w:t>
      </w:r>
      <w:r w:rsidR="009B2951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>ečenja l</w:t>
      </w:r>
      <w:r w:rsidR="009B2951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 xml:space="preserve">ekom </w:t>
      </w:r>
      <w:proofErr w:type="spellStart"/>
      <w:r w:rsidRPr="00173F69">
        <w:rPr>
          <w:szCs w:val="22"/>
          <w:lang w:val="sr-Latn-ME"/>
        </w:rPr>
        <w:t>Isoprinosine</w:t>
      </w:r>
      <w:proofErr w:type="spellEnd"/>
      <w:r w:rsidRPr="00173F69">
        <w:rPr>
          <w:szCs w:val="22"/>
          <w:lang w:val="sr-Latn-ME"/>
        </w:rPr>
        <w:t>, jedino konzistentno prim</w:t>
      </w:r>
      <w:r w:rsidR="009B2951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>ećeno neželjeno dejstvo povezano sa prim</w:t>
      </w:r>
      <w:r w:rsidR="00305BDB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 xml:space="preserve">enom </w:t>
      </w:r>
      <w:r w:rsidR="00305BDB" w:rsidRPr="00173F69">
        <w:rPr>
          <w:szCs w:val="22"/>
          <w:lang w:val="sr-Latn-ME"/>
        </w:rPr>
        <w:t>lijeka</w:t>
      </w:r>
      <w:r w:rsidRPr="00173F69">
        <w:rPr>
          <w:szCs w:val="22"/>
          <w:lang w:val="sr-Latn-ME"/>
        </w:rPr>
        <w:t xml:space="preserve"> kod odraslih, kao i u pedijatrijskoj populaciji, je prolazno povećanje (obično ostaje u rasponu fizioloških vr</w:t>
      </w:r>
      <w:r w:rsidR="00305BDB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>ednosti) vr</w:t>
      </w:r>
      <w:r w:rsidR="00305BDB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>ednosti mokraćne kiseline u urinu i serumu, a koje se obično vraća na početnu vr</w:t>
      </w:r>
      <w:r w:rsidR="00305BDB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>ednost tokom nekoliko dana nakon prestanka terapije.</w:t>
      </w:r>
    </w:p>
    <w:p w14:paraId="7510A12C" w14:textId="77777777" w:rsidR="00865959" w:rsidRPr="00173F69" w:rsidRDefault="00865959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25B9D1B5" w14:textId="67F65B60" w:rsidR="00693A2F" w:rsidRPr="00173F69" w:rsidRDefault="00693A2F" w:rsidP="00614295">
      <w:pPr>
        <w:pStyle w:val="Header"/>
        <w:tabs>
          <w:tab w:val="clear" w:pos="4536"/>
          <w:tab w:val="clear" w:pos="9072"/>
          <w:tab w:val="left" w:pos="284"/>
        </w:tabs>
        <w:rPr>
          <w:i/>
          <w:szCs w:val="22"/>
          <w:lang w:val="sr-Latn-ME"/>
        </w:rPr>
      </w:pPr>
      <w:r w:rsidRPr="00173F69">
        <w:rPr>
          <w:i/>
          <w:szCs w:val="22"/>
          <w:lang w:val="sr-Latn-ME"/>
        </w:rPr>
        <w:t>Učestalost neželjenih dejstva je navedena prema sl</w:t>
      </w:r>
      <w:r w:rsidR="00D31269" w:rsidRPr="00173F69">
        <w:rPr>
          <w:i/>
          <w:szCs w:val="22"/>
          <w:lang w:val="sr-Latn-ME"/>
        </w:rPr>
        <w:t>j</w:t>
      </w:r>
      <w:r w:rsidRPr="00173F69">
        <w:rPr>
          <w:i/>
          <w:szCs w:val="22"/>
          <w:lang w:val="sr-Latn-ME"/>
        </w:rPr>
        <w:t>edećoj konvenciji (</w:t>
      </w:r>
      <w:proofErr w:type="spellStart"/>
      <w:r w:rsidRPr="00173F69">
        <w:rPr>
          <w:i/>
          <w:szCs w:val="22"/>
          <w:lang w:val="sr-Latn-ME"/>
        </w:rPr>
        <w:t>MedDRA</w:t>
      </w:r>
      <w:proofErr w:type="spellEnd"/>
      <w:r w:rsidRPr="00173F69">
        <w:rPr>
          <w:i/>
          <w:szCs w:val="22"/>
          <w:lang w:val="sr-Latn-ME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8"/>
        <w:gridCol w:w="4979"/>
      </w:tblGrid>
      <w:tr w:rsidR="006E4E9B" w:rsidRPr="00173F69" w14:paraId="26541934" w14:textId="77777777" w:rsidTr="00AC616E">
        <w:tc>
          <w:tcPr>
            <w:tcW w:w="4978" w:type="dxa"/>
          </w:tcPr>
          <w:p w14:paraId="64AEE5EB" w14:textId="77777777" w:rsidR="006E4E9B" w:rsidRPr="00173F69" w:rsidRDefault="006E4E9B" w:rsidP="00614295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szCs w:val="22"/>
                <w:lang w:val="sr-Latn-ME"/>
              </w:rPr>
            </w:pPr>
            <w:r w:rsidRPr="00173F69">
              <w:rPr>
                <w:szCs w:val="22"/>
                <w:lang w:val="sr-Latn-ME"/>
              </w:rPr>
              <w:t>Veoma često</w:t>
            </w:r>
          </w:p>
        </w:tc>
        <w:tc>
          <w:tcPr>
            <w:tcW w:w="4979" w:type="dxa"/>
          </w:tcPr>
          <w:p w14:paraId="24B7480E" w14:textId="0513BD83" w:rsidR="006E4E9B" w:rsidRPr="00173F69" w:rsidRDefault="006E4E9B" w:rsidP="00614295">
            <w:pPr>
              <w:rPr>
                <w:szCs w:val="22"/>
                <w:lang w:val="sr-Latn-ME"/>
              </w:rPr>
            </w:pPr>
            <w:r w:rsidRPr="00173F69">
              <w:rPr>
                <w:szCs w:val="22"/>
                <w:lang w:val="sr-Latn-ME"/>
              </w:rPr>
              <w:t>≥</w:t>
            </w:r>
            <w:r w:rsidR="005F67E8" w:rsidRPr="00173F69">
              <w:rPr>
                <w:szCs w:val="22"/>
                <w:lang w:val="sr-Latn-ME"/>
              </w:rPr>
              <w:t xml:space="preserve"> </w:t>
            </w:r>
            <w:r w:rsidRPr="00173F69">
              <w:rPr>
                <w:szCs w:val="22"/>
                <w:lang w:val="sr-Latn-ME"/>
              </w:rPr>
              <w:t>1/10</w:t>
            </w:r>
          </w:p>
        </w:tc>
      </w:tr>
      <w:tr w:rsidR="006E4E9B" w:rsidRPr="00173F69" w14:paraId="4C56B591" w14:textId="77777777" w:rsidTr="00AC616E">
        <w:tc>
          <w:tcPr>
            <w:tcW w:w="4978" w:type="dxa"/>
          </w:tcPr>
          <w:p w14:paraId="0357AABF" w14:textId="77777777" w:rsidR="006E4E9B" w:rsidRPr="00173F69" w:rsidRDefault="006E4E9B" w:rsidP="00614295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szCs w:val="22"/>
                <w:lang w:val="sr-Latn-ME"/>
              </w:rPr>
            </w:pPr>
            <w:r w:rsidRPr="00173F69">
              <w:rPr>
                <w:szCs w:val="22"/>
                <w:lang w:val="sr-Latn-ME"/>
              </w:rPr>
              <w:t>Često</w:t>
            </w:r>
          </w:p>
        </w:tc>
        <w:tc>
          <w:tcPr>
            <w:tcW w:w="4979" w:type="dxa"/>
          </w:tcPr>
          <w:p w14:paraId="553E2678" w14:textId="5588976E" w:rsidR="006E4E9B" w:rsidRPr="00173F69" w:rsidRDefault="006E4E9B" w:rsidP="00614295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szCs w:val="22"/>
                <w:lang w:val="sr-Latn-ME"/>
              </w:rPr>
            </w:pPr>
            <w:r w:rsidRPr="00173F69">
              <w:rPr>
                <w:szCs w:val="22"/>
                <w:lang w:val="sr-Latn-ME"/>
              </w:rPr>
              <w:t>≥</w:t>
            </w:r>
            <w:r w:rsidR="005F67E8" w:rsidRPr="00173F69">
              <w:rPr>
                <w:szCs w:val="22"/>
                <w:lang w:val="sr-Latn-ME"/>
              </w:rPr>
              <w:t xml:space="preserve"> </w:t>
            </w:r>
            <w:r w:rsidRPr="00173F69">
              <w:rPr>
                <w:szCs w:val="22"/>
                <w:lang w:val="sr-Latn-ME"/>
              </w:rPr>
              <w:t>1/100 do &lt;</w:t>
            </w:r>
            <w:r w:rsidR="005F67E8" w:rsidRPr="00173F69">
              <w:rPr>
                <w:szCs w:val="22"/>
                <w:lang w:val="sr-Latn-ME"/>
              </w:rPr>
              <w:t xml:space="preserve"> </w:t>
            </w:r>
            <w:r w:rsidRPr="00173F69">
              <w:rPr>
                <w:szCs w:val="22"/>
                <w:lang w:val="sr-Latn-ME"/>
              </w:rPr>
              <w:t>1/10</w:t>
            </w:r>
          </w:p>
        </w:tc>
      </w:tr>
      <w:tr w:rsidR="006E4E9B" w:rsidRPr="00173F69" w14:paraId="0A2DF5D7" w14:textId="77777777" w:rsidTr="00AC616E">
        <w:tc>
          <w:tcPr>
            <w:tcW w:w="4978" w:type="dxa"/>
          </w:tcPr>
          <w:p w14:paraId="35804BB3" w14:textId="77777777" w:rsidR="006E4E9B" w:rsidRPr="00173F69" w:rsidRDefault="006E4E9B" w:rsidP="00614295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szCs w:val="22"/>
                <w:lang w:val="sr-Latn-ME"/>
              </w:rPr>
            </w:pPr>
            <w:r w:rsidRPr="00173F69">
              <w:rPr>
                <w:szCs w:val="22"/>
                <w:lang w:val="sr-Latn-ME"/>
              </w:rPr>
              <w:t>Povremeno</w:t>
            </w:r>
          </w:p>
        </w:tc>
        <w:tc>
          <w:tcPr>
            <w:tcW w:w="4979" w:type="dxa"/>
          </w:tcPr>
          <w:p w14:paraId="15E4EB92" w14:textId="7C0D8D65" w:rsidR="006E4E9B" w:rsidRPr="00173F69" w:rsidRDefault="006E4E9B" w:rsidP="00614295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szCs w:val="22"/>
                <w:lang w:val="sr-Latn-ME"/>
              </w:rPr>
            </w:pPr>
            <w:r w:rsidRPr="00173F69">
              <w:rPr>
                <w:szCs w:val="22"/>
                <w:lang w:val="sr-Latn-ME"/>
              </w:rPr>
              <w:t>≥</w:t>
            </w:r>
            <w:r w:rsidR="005F67E8" w:rsidRPr="00173F69">
              <w:rPr>
                <w:szCs w:val="22"/>
                <w:lang w:val="sr-Latn-ME"/>
              </w:rPr>
              <w:t xml:space="preserve"> </w:t>
            </w:r>
            <w:r w:rsidRPr="00173F69">
              <w:rPr>
                <w:szCs w:val="22"/>
                <w:lang w:val="sr-Latn-ME"/>
              </w:rPr>
              <w:t>1/1000 do &lt;</w:t>
            </w:r>
            <w:r w:rsidR="005F67E8" w:rsidRPr="00173F69">
              <w:rPr>
                <w:szCs w:val="22"/>
                <w:lang w:val="sr-Latn-ME"/>
              </w:rPr>
              <w:t xml:space="preserve"> </w:t>
            </w:r>
            <w:r w:rsidRPr="00173F69">
              <w:rPr>
                <w:szCs w:val="22"/>
                <w:lang w:val="sr-Latn-ME"/>
              </w:rPr>
              <w:t>1/100</w:t>
            </w:r>
          </w:p>
        </w:tc>
      </w:tr>
      <w:tr w:rsidR="006E4E9B" w:rsidRPr="00173F69" w14:paraId="3B5BD377" w14:textId="77777777" w:rsidTr="00AC616E">
        <w:tc>
          <w:tcPr>
            <w:tcW w:w="4978" w:type="dxa"/>
          </w:tcPr>
          <w:p w14:paraId="203CFC9E" w14:textId="23EBB4E7" w:rsidR="006E4E9B" w:rsidRPr="00173F69" w:rsidRDefault="006E4E9B" w:rsidP="00614295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szCs w:val="22"/>
                <w:lang w:val="sr-Latn-ME"/>
              </w:rPr>
            </w:pPr>
            <w:r w:rsidRPr="00173F69">
              <w:rPr>
                <w:szCs w:val="22"/>
                <w:lang w:val="sr-Latn-ME"/>
              </w:rPr>
              <w:t>R</w:t>
            </w:r>
            <w:r w:rsidR="00305BDB" w:rsidRPr="00173F69">
              <w:rPr>
                <w:szCs w:val="22"/>
                <w:lang w:val="sr-Latn-ME"/>
              </w:rPr>
              <w:t>ij</w:t>
            </w:r>
            <w:r w:rsidRPr="00173F69">
              <w:rPr>
                <w:szCs w:val="22"/>
                <w:lang w:val="sr-Latn-ME"/>
              </w:rPr>
              <w:t>etko</w:t>
            </w:r>
          </w:p>
        </w:tc>
        <w:tc>
          <w:tcPr>
            <w:tcW w:w="4979" w:type="dxa"/>
          </w:tcPr>
          <w:p w14:paraId="5EB40620" w14:textId="3B27BDD6" w:rsidR="006E4E9B" w:rsidRPr="00173F69" w:rsidRDefault="006E4E9B" w:rsidP="00614295">
            <w:pPr>
              <w:rPr>
                <w:szCs w:val="22"/>
                <w:lang w:val="sr-Latn-ME"/>
              </w:rPr>
            </w:pPr>
            <w:r w:rsidRPr="00173F69">
              <w:rPr>
                <w:szCs w:val="22"/>
                <w:lang w:val="sr-Latn-ME"/>
              </w:rPr>
              <w:t>≥</w:t>
            </w:r>
            <w:r w:rsidR="005F67E8" w:rsidRPr="00173F69">
              <w:rPr>
                <w:szCs w:val="22"/>
                <w:lang w:val="sr-Latn-ME"/>
              </w:rPr>
              <w:t xml:space="preserve"> </w:t>
            </w:r>
            <w:r w:rsidRPr="00173F69">
              <w:rPr>
                <w:szCs w:val="22"/>
                <w:lang w:val="sr-Latn-ME"/>
              </w:rPr>
              <w:t>1/10000 do &lt;</w:t>
            </w:r>
            <w:r w:rsidR="005F67E8" w:rsidRPr="00173F69">
              <w:rPr>
                <w:szCs w:val="22"/>
                <w:lang w:val="sr-Latn-ME"/>
              </w:rPr>
              <w:t xml:space="preserve"> </w:t>
            </w:r>
            <w:r w:rsidRPr="00173F69">
              <w:rPr>
                <w:szCs w:val="22"/>
                <w:lang w:val="sr-Latn-ME"/>
              </w:rPr>
              <w:t xml:space="preserve">1/1000 </w:t>
            </w:r>
          </w:p>
        </w:tc>
      </w:tr>
      <w:tr w:rsidR="006E4E9B" w:rsidRPr="00173F69" w14:paraId="1B4254ED" w14:textId="77777777" w:rsidTr="00AC616E">
        <w:tc>
          <w:tcPr>
            <w:tcW w:w="4978" w:type="dxa"/>
          </w:tcPr>
          <w:p w14:paraId="4CCC4DE7" w14:textId="34627180" w:rsidR="006E4E9B" w:rsidRPr="00173F69" w:rsidRDefault="006E4E9B" w:rsidP="00614295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szCs w:val="22"/>
                <w:lang w:val="sr-Latn-ME"/>
              </w:rPr>
            </w:pPr>
            <w:r w:rsidRPr="00173F69">
              <w:rPr>
                <w:szCs w:val="22"/>
                <w:lang w:val="sr-Latn-ME"/>
              </w:rPr>
              <w:t>Veoma r</w:t>
            </w:r>
            <w:r w:rsidR="004F7F52" w:rsidRPr="00173F69">
              <w:rPr>
                <w:szCs w:val="22"/>
                <w:lang w:val="sr-Latn-ME"/>
              </w:rPr>
              <w:t>ij</w:t>
            </w:r>
            <w:r w:rsidRPr="00173F69">
              <w:rPr>
                <w:szCs w:val="22"/>
                <w:lang w:val="sr-Latn-ME"/>
              </w:rPr>
              <w:t>etko</w:t>
            </w:r>
          </w:p>
        </w:tc>
        <w:tc>
          <w:tcPr>
            <w:tcW w:w="4979" w:type="dxa"/>
          </w:tcPr>
          <w:p w14:paraId="54D5704E" w14:textId="7EAA969A" w:rsidR="006E4E9B" w:rsidRPr="00173F69" w:rsidRDefault="006E4E9B" w:rsidP="00614295">
            <w:pPr>
              <w:rPr>
                <w:szCs w:val="22"/>
                <w:lang w:val="sr-Latn-ME"/>
              </w:rPr>
            </w:pPr>
            <w:r w:rsidRPr="00173F69">
              <w:rPr>
                <w:szCs w:val="22"/>
                <w:lang w:val="sr-Latn-ME"/>
              </w:rPr>
              <w:t>≤</w:t>
            </w:r>
            <w:r w:rsidR="005F67E8" w:rsidRPr="00173F69">
              <w:rPr>
                <w:szCs w:val="22"/>
                <w:lang w:val="sr-Latn-ME"/>
              </w:rPr>
              <w:t xml:space="preserve"> </w:t>
            </w:r>
            <w:r w:rsidRPr="00173F69">
              <w:rPr>
                <w:szCs w:val="22"/>
                <w:lang w:val="sr-Latn-ME"/>
              </w:rPr>
              <w:t>1/10000</w:t>
            </w:r>
          </w:p>
        </w:tc>
      </w:tr>
      <w:tr w:rsidR="006E4E9B" w:rsidRPr="00173F69" w14:paraId="446E5EDE" w14:textId="77777777" w:rsidTr="00AC616E">
        <w:tc>
          <w:tcPr>
            <w:tcW w:w="4978" w:type="dxa"/>
          </w:tcPr>
          <w:p w14:paraId="5AC0D3D9" w14:textId="77777777" w:rsidR="006E4E9B" w:rsidRPr="00173F69" w:rsidRDefault="006E4E9B" w:rsidP="00614295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szCs w:val="22"/>
                <w:lang w:val="sr-Latn-ME"/>
              </w:rPr>
            </w:pPr>
            <w:r w:rsidRPr="00173F69">
              <w:rPr>
                <w:szCs w:val="22"/>
                <w:lang w:val="sr-Latn-ME"/>
              </w:rPr>
              <w:t>Nepoznato</w:t>
            </w:r>
          </w:p>
        </w:tc>
        <w:tc>
          <w:tcPr>
            <w:tcW w:w="4979" w:type="dxa"/>
          </w:tcPr>
          <w:p w14:paraId="328C1E2C" w14:textId="05D94EC6" w:rsidR="006E4E9B" w:rsidRPr="00173F69" w:rsidRDefault="006E4E9B" w:rsidP="00614295">
            <w:pPr>
              <w:rPr>
                <w:szCs w:val="22"/>
                <w:lang w:val="sr-Latn-ME"/>
              </w:rPr>
            </w:pPr>
            <w:r w:rsidRPr="00173F69">
              <w:rPr>
                <w:szCs w:val="22"/>
                <w:lang w:val="sr-Latn-ME"/>
              </w:rPr>
              <w:t xml:space="preserve">ne može </w:t>
            </w:r>
            <w:r w:rsidR="00D11D7F" w:rsidRPr="00173F69">
              <w:rPr>
                <w:szCs w:val="22"/>
                <w:lang w:val="sr-Latn-ME"/>
              </w:rPr>
              <w:t xml:space="preserve">se </w:t>
            </w:r>
            <w:r w:rsidRPr="00173F69">
              <w:rPr>
                <w:szCs w:val="22"/>
                <w:lang w:val="sr-Latn-ME"/>
              </w:rPr>
              <w:t>proc</w:t>
            </w:r>
            <w:r w:rsidR="00305BDB" w:rsidRPr="00173F69">
              <w:rPr>
                <w:szCs w:val="22"/>
                <w:lang w:val="sr-Latn-ME"/>
              </w:rPr>
              <w:t>ij</w:t>
            </w:r>
            <w:r w:rsidRPr="00173F69">
              <w:rPr>
                <w:szCs w:val="22"/>
                <w:lang w:val="sr-Latn-ME"/>
              </w:rPr>
              <w:t>eniti na osnovu dostupnih podataka</w:t>
            </w:r>
          </w:p>
        </w:tc>
      </w:tr>
    </w:tbl>
    <w:p w14:paraId="593A3F2B" w14:textId="77777777" w:rsidR="00865959" w:rsidRPr="00173F69" w:rsidRDefault="00865959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2A962A44" w14:textId="77777777" w:rsidR="006E4E9B" w:rsidRPr="00173F69" w:rsidRDefault="006E4E9B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u w:val="single"/>
          <w:lang w:val="sr-Latn-ME"/>
        </w:rPr>
      </w:pPr>
      <w:r w:rsidRPr="00173F69">
        <w:rPr>
          <w:szCs w:val="22"/>
          <w:u w:val="single"/>
          <w:lang w:val="sr-Latn-ME"/>
        </w:rPr>
        <w:t>Veoma česta neželjena dejstva:</w:t>
      </w:r>
    </w:p>
    <w:p w14:paraId="4C825187" w14:textId="60444AA1" w:rsidR="00936D8A" w:rsidRPr="00173F69" w:rsidRDefault="00936D8A" w:rsidP="00614295">
      <w:pPr>
        <w:pStyle w:val="Header"/>
        <w:tabs>
          <w:tab w:val="clear" w:pos="4536"/>
          <w:tab w:val="clear" w:pos="9072"/>
          <w:tab w:val="left" w:pos="1985"/>
        </w:tabs>
        <w:jc w:val="left"/>
        <w:rPr>
          <w:spacing w:val="-2"/>
          <w:szCs w:val="22"/>
          <w:lang w:val="sr-Latn-ME"/>
        </w:rPr>
      </w:pPr>
      <w:r w:rsidRPr="00173F69">
        <w:rPr>
          <w:i/>
          <w:szCs w:val="22"/>
          <w:lang w:val="sr-Latn-ME"/>
        </w:rPr>
        <w:t xml:space="preserve">  </w:t>
      </w:r>
      <w:r w:rsidR="006E4E9B" w:rsidRPr="00173F69">
        <w:rPr>
          <w:i/>
          <w:szCs w:val="22"/>
          <w:lang w:val="sr-Latn-ME"/>
        </w:rPr>
        <w:t>Ispitivanja:</w:t>
      </w:r>
      <w:r w:rsidR="006E4E9B" w:rsidRPr="00173F69">
        <w:rPr>
          <w:spacing w:val="-2"/>
          <w:szCs w:val="22"/>
          <w:lang w:val="sr-Latn-ME"/>
        </w:rPr>
        <w:t xml:space="preserve"> </w:t>
      </w:r>
      <w:r w:rsidR="006E4E9B" w:rsidRPr="00173F69">
        <w:rPr>
          <w:spacing w:val="-2"/>
          <w:szCs w:val="22"/>
          <w:lang w:val="sr-Latn-ME"/>
        </w:rPr>
        <w:tab/>
      </w:r>
      <w:r w:rsidR="00693A2F" w:rsidRPr="00173F69">
        <w:rPr>
          <w:spacing w:val="-2"/>
          <w:szCs w:val="22"/>
          <w:lang w:val="sr-Latn-ME"/>
        </w:rPr>
        <w:tab/>
      </w:r>
      <w:r w:rsidR="00E351AE" w:rsidRPr="00173F69">
        <w:rPr>
          <w:spacing w:val="-2"/>
          <w:szCs w:val="22"/>
          <w:lang w:val="sr-Latn-ME"/>
        </w:rPr>
        <w:t xml:space="preserve">        </w:t>
      </w:r>
      <w:r w:rsidR="006E4E9B" w:rsidRPr="00173F69">
        <w:rPr>
          <w:spacing w:val="-2"/>
          <w:szCs w:val="22"/>
          <w:lang w:val="sr-Latn-ME"/>
        </w:rPr>
        <w:t>Pov</w:t>
      </w:r>
      <w:r w:rsidR="00A8705F" w:rsidRPr="00173F69">
        <w:rPr>
          <w:spacing w:val="-2"/>
          <w:szCs w:val="22"/>
          <w:lang w:val="sr-Latn-ME"/>
        </w:rPr>
        <w:t>ećane</w:t>
      </w:r>
      <w:r w:rsidR="006E4E9B" w:rsidRPr="00173F69">
        <w:rPr>
          <w:spacing w:val="-2"/>
          <w:szCs w:val="22"/>
          <w:lang w:val="sr-Latn-ME"/>
        </w:rPr>
        <w:t xml:space="preserve"> </w:t>
      </w:r>
      <w:r w:rsidR="00504D43" w:rsidRPr="00173F69">
        <w:rPr>
          <w:spacing w:val="-2"/>
          <w:szCs w:val="22"/>
          <w:lang w:val="sr-Latn-ME"/>
        </w:rPr>
        <w:t>koncentracije</w:t>
      </w:r>
      <w:r w:rsidR="006E4E9B" w:rsidRPr="00173F69">
        <w:rPr>
          <w:spacing w:val="-2"/>
          <w:szCs w:val="22"/>
          <w:lang w:val="sr-Latn-ME"/>
        </w:rPr>
        <w:t xml:space="preserve"> mokraćne kiseline u krvi, pov</w:t>
      </w:r>
      <w:r w:rsidR="00A8705F" w:rsidRPr="00173F69">
        <w:rPr>
          <w:spacing w:val="-2"/>
          <w:szCs w:val="22"/>
          <w:lang w:val="sr-Latn-ME"/>
        </w:rPr>
        <w:t>ećane</w:t>
      </w:r>
      <w:r w:rsidR="006E4E9B" w:rsidRPr="00173F69">
        <w:rPr>
          <w:spacing w:val="-2"/>
          <w:szCs w:val="22"/>
          <w:lang w:val="sr-Latn-ME"/>
        </w:rPr>
        <w:t xml:space="preserve"> </w:t>
      </w:r>
      <w:r w:rsidR="00504D43" w:rsidRPr="00173F69">
        <w:rPr>
          <w:spacing w:val="-2"/>
          <w:szCs w:val="22"/>
          <w:lang w:val="sr-Latn-ME"/>
        </w:rPr>
        <w:t>koncentracije</w:t>
      </w:r>
      <w:r w:rsidR="006E4E9B" w:rsidRPr="00173F69">
        <w:rPr>
          <w:spacing w:val="-2"/>
          <w:szCs w:val="22"/>
          <w:lang w:val="sr-Latn-ME"/>
        </w:rPr>
        <w:t xml:space="preserve"> </w:t>
      </w:r>
      <w:r w:rsidRPr="00173F69">
        <w:rPr>
          <w:spacing w:val="-2"/>
          <w:szCs w:val="22"/>
          <w:lang w:val="sr-Latn-ME"/>
        </w:rPr>
        <w:t xml:space="preserve"> </w:t>
      </w:r>
    </w:p>
    <w:p w14:paraId="5DE03DC8" w14:textId="500FFD9F" w:rsidR="006E4E9B" w:rsidRPr="00173F69" w:rsidRDefault="00936D8A" w:rsidP="00614295">
      <w:pPr>
        <w:pStyle w:val="Header"/>
        <w:tabs>
          <w:tab w:val="clear" w:pos="4536"/>
          <w:tab w:val="clear" w:pos="9072"/>
          <w:tab w:val="left" w:pos="1985"/>
        </w:tabs>
        <w:jc w:val="left"/>
        <w:rPr>
          <w:spacing w:val="-2"/>
          <w:szCs w:val="22"/>
          <w:lang w:val="sr-Latn-ME"/>
        </w:rPr>
      </w:pPr>
      <w:r w:rsidRPr="00173F69">
        <w:rPr>
          <w:spacing w:val="-2"/>
          <w:szCs w:val="22"/>
          <w:lang w:val="sr-Latn-ME"/>
        </w:rPr>
        <w:t xml:space="preserve">                                                 </w:t>
      </w:r>
      <w:r w:rsidR="006E4E9B" w:rsidRPr="00173F69">
        <w:rPr>
          <w:spacing w:val="-2"/>
          <w:szCs w:val="22"/>
          <w:lang w:val="sr-Latn-ME"/>
        </w:rPr>
        <w:t>mokraćne</w:t>
      </w:r>
      <w:r w:rsidRPr="00173F69">
        <w:rPr>
          <w:spacing w:val="-2"/>
          <w:szCs w:val="22"/>
          <w:lang w:val="sr-Latn-ME"/>
        </w:rPr>
        <w:t xml:space="preserve"> </w:t>
      </w:r>
      <w:r w:rsidR="006E4E9B" w:rsidRPr="00173F69">
        <w:rPr>
          <w:spacing w:val="-2"/>
          <w:szCs w:val="22"/>
          <w:lang w:val="sr-Latn-ME"/>
        </w:rPr>
        <w:t xml:space="preserve">kiseline u </w:t>
      </w:r>
      <w:r w:rsidR="003E2A3C" w:rsidRPr="00173F69">
        <w:rPr>
          <w:spacing w:val="-2"/>
          <w:szCs w:val="22"/>
          <w:lang w:val="sr-Latn-ME"/>
        </w:rPr>
        <w:t>urinu</w:t>
      </w:r>
    </w:p>
    <w:p w14:paraId="7EAEFBA4" w14:textId="77777777" w:rsidR="00EC53D2" w:rsidRPr="00173F69" w:rsidRDefault="00EC53D2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19F8C88D" w14:textId="77777777" w:rsidR="006E4E9B" w:rsidRPr="00173F69" w:rsidRDefault="006E4E9B" w:rsidP="00614295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r-Latn-ME"/>
        </w:rPr>
      </w:pPr>
      <w:r w:rsidRPr="00173F69">
        <w:rPr>
          <w:spacing w:val="-2"/>
          <w:szCs w:val="22"/>
          <w:u w:val="single"/>
          <w:lang w:val="sr-Latn-ME"/>
        </w:rPr>
        <w:t xml:space="preserve">Česta </w:t>
      </w:r>
      <w:r w:rsidRPr="00173F69">
        <w:rPr>
          <w:szCs w:val="22"/>
          <w:u w:val="single"/>
          <w:lang w:val="sr-Latn-ME"/>
        </w:rPr>
        <w:t>neželjena dejstva:</w:t>
      </w:r>
      <w:r w:rsidRPr="00173F69">
        <w:rPr>
          <w:spacing w:val="-2"/>
          <w:szCs w:val="22"/>
          <w:lang w:val="sr-Latn-ME"/>
        </w:rPr>
        <w:tab/>
      </w:r>
      <w:r w:rsidRPr="00173F69">
        <w:rPr>
          <w:spacing w:val="-2"/>
          <w:szCs w:val="22"/>
          <w:lang w:val="sr-Latn-ME"/>
        </w:rPr>
        <w:tab/>
      </w:r>
      <w:r w:rsidRPr="00173F69">
        <w:rPr>
          <w:spacing w:val="-2"/>
          <w:szCs w:val="22"/>
          <w:lang w:val="sr-Latn-ME"/>
        </w:rPr>
        <w:tab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538"/>
        <w:gridCol w:w="6074"/>
      </w:tblGrid>
      <w:tr w:rsidR="006E4E9B" w:rsidRPr="00173F69" w14:paraId="5EE591C5" w14:textId="77777777" w:rsidTr="004408D4">
        <w:tc>
          <w:tcPr>
            <w:tcW w:w="2538" w:type="dxa"/>
          </w:tcPr>
          <w:p w14:paraId="78329A5E" w14:textId="77777777" w:rsidR="006E4E9B" w:rsidRPr="00173F69" w:rsidRDefault="006E4E9B" w:rsidP="00614295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jc w:val="left"/>
              <w:rPr>
                <w:spacing w:val="-2"/>
                <w:szCs w:val="22"/>
                <w:lang w:val="sr-Latn-ME"/>
              </w:rPr>
            </w:pPr>
            <w:r w:rsidRPr="00173F69">
              <w:rPr>
                <w:i/>
                <w:spacing w:val="-2"/>
                <w:szCs w:val="22"/>
                <w:lang w:val="sr-Latn-ME"/>
              </w:rPr>
              <w:t>Gastrointestinalni poremećaji</w:t>
            </w:r>
            <w:r w:rsidRPr="00173F69">
              <w:rPr>
                <w:spacing w:val="-2"/>
                <w:szCs w:val="22"/>
                <w:lang w:val="sr-Latn-ME"/>
              </w:rPr>
              <w:t>:</w:t>
            </w:r>
          </w:p>
          <w:p w14:paraId="4858FD7C" w14:textId="77777777" w:rsidR="006E4E9B" w:rsidRPr="00173F69" w:rsidRDefault="006E4E9B" w:rsidP="00614295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jc w:val="left"/>
              <w:rPr>
                <w:spacing w:val="-2"/>
                <w:szCs w:val="22"/>
                <w:lang w:val="sr-Latn-ME"/>
              </w:rPr>
            </w:pPr>
          </w:p>
          <w:p w14:paraId="19016946" w14:textId="77777777" w:rsidR="006E4E9B" w:rsidRPr="00173F69" w:rsidRDefault="006E4E9B" w:rsidP="00614295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jc w:val="left"/>
              <w:rPr>
                <w:i/>
                <w:spacing w:val="-2"/>
                <w:szCs w:val="22"/>
                <w:lang w:val="sr-Latn-ME"/>
              </w:rPr>
            </w:pPr>
            <w:r w:rsidRPr="00173F69">
              <w:rPr>
                <w:i/>
                <w:spacing w:val="-2"/>
                <w:szCs w:val="22"/>
                <w:lang w:val="sr-Latn-ME"/>
              </w:rPr>
              <w:t xml:space="preserve">Opšti poremećaji i </w:t>
            </w:r>
          </w:p>
          <w:p w14:paraId="66305322" w14:textId="7D323D12" w:rsidR="006E4E9B" w:rsidRPr="00173F69" w:rsidRDefault="006E4E9B" w:rsidP="00614295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jc w:val="left"/>
              <w:rPr>
                <w:i/>
                <w:spacing w:val="-2"/>
                <w:szCs w:val="22"/>
                <w:lang w:val="sr-Latn-ME"/>
              </w:rPr>
            </w:pPr>
            <w:r w:rsidRPr="00173F69">
              <w:rPr>
                <w:i/>
                <w:spacing w:val="-2"/>
                <w:szCs w:val="22"/>
                <w:lang w:val="sr-Latn-ME"/>
              </w:rPr>
              <w:t>reakcije na m</w:t>
            </w:r>
            <w:r w:rsidR="004F7F52" w:rsidRPr="00173F69">
              <w:rPr>
                <w:i/>
                <w:spacing w:val="-2"/>
                <w:szCs w:val="22"/>
                <w:lang w:val="sr-Latn-ME"/>
              </w:rPr>
              <w:t>j</w:t>
            </w:r>
            <w:r w:rsidRPr="00173F69">
              <w:rPr>
                <w:i/>
                <w:spacing w:val="-2"/>
                <w:szCs w:val="22"/>
                <w:lang w:val="sr-Latn-ME"/>
              </w:rPr>
              <w:t>estu prim</w:t>
            </w:r>
            <w:r w:rsidR="004F7F52" w:rsidRPr="00173F69">
              <w:rPr>
                <w:i/>
                <w:spacing w:val="-2"/>
                <w:szCs w:val="22"/>
                <w:lang w:val="sr-Latn-ME"/>
              </w:rPr>
              <w:t>j</w:t>
            </w:r>
            <w:r w:rsidRPr="00173F69">
              <w:rPr>
                <w:i/>
                <w:spacing w:val="-2"/>
                <w:szCs w:val="22"/>
                <w:lang w:val="sr-Latn-ME"/>
              </w:rPr>
              <w:t>ene:</w:t>
            </w:r>
          </w:p>
          <w:p w14:paraId="66F21BBC" w14:textId="77777777" w:rsidR="006E4E9B" w:rsidRPr="00173F69" w:rsidRDefault="006E4E9B" w:rsidP="00614295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jc w:val="left"/>
              <w:rPr>
                <w:i/>
                <w:spacing w:val="-2"/>
                <w:szCs w:val="22"/>
                <w:lang w:val="sr-Latn-ME"/>
              </w:rPr>
            </w:pPr>
          </w:p>
          <w:p w14:paraId="711EFA13" w14:textId="77777777" w:rsidR="006E4E9B" w:rsidRPr="00173F69" w:rsidRDefault="006E4E9B" w:rsidP="00614295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jc w:val="left"/>
              <w:rPr>
                <w:i/>
                <w:spacing w:val="-3"/>
                <w:szCs w:val="22"/>
                <w:lang w:val="sr-Latn-ME"/>
              </w:rPr>
            </w:pPr>
            <w:r w:rsidRPr="00173F69">
              <w:rPr>
                <w:i/>
                <w:szCs w:val="22"/>
                <w:lang w:val="sr-Latn-ME"/>
              </w:rPr>
              <w:t>Ispitivanja:</w:t>
            </w:r>
          </w:p>
        </w:tc>
        <w:tc>
          <w:tcPr>
            <w:tcW w:w="6074" w:type="dxa"/>
          </w:tcPr>
          <w:p w14:paraId="4C6C91A1" w14:textId="77777777" w:rsidR="006E4E9B" w:rsidRPr="00173F69" w:rsidRDefault="006E4E9B" w:rsidP="00614295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spacing w:val="-3"/>
                <w:szCs w:val="22"/>
                <w:lang w:val="sr-Latn-ME"/>
              </w:rPr>
            </w:pPr>
            <w:r w:rsidRPr="00173F69">
              <w:rPr>
                <w:spacing w:val="-3"/>
                <w:szCs w:val="22"/>
                <w:lang w:val="sr-Latn-ME"/>
              </w:rPr>
              <w:t xml:space="preserve">Mučnina, povraćanje, nelagodnost u </w:t>
            </w:r>
            <w:proofErr w:type="spellStart"/>
            <w:r w:rsidRPr="00173F69">
              <w:rPr>
                <w:spacing w:val="-3"/>
                <w:szCs w:val="22"/>
                <w:lang w:val="sr-Latn-ME"/>
              </w:rPr>
              <w:t>epigastrijumu</w:t>
            </w:r>
            <w:proofErr w:type="spellEnd"/>
          </w:p>
          <w:p w14:paraId="7C1BA886" w14:textId="77777777" w:rsidR="006E4E9B" w:rsidRPr="00173F69" w:rsidRDefault="006E4E9B" w:rsidP="00614295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spacing w:val="-3"/>
                <w:szCs w:val="22"/>
                <w:lang w:val="sr-Latn-ME"/>
              </w:rPr>
            </w:pPr>
          </w:p>
          <w:p w14:paraId="4C1D111E" w14:textId="77777777" w:rsidR="006E4E9B" w:rsidRPr="00173F69" w:rsidRDefault="006E4E9B" w:rsidP="00614295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spacing w:val="-3"/>
                <w:szCs w:val="22"/>
                <w:lang w:val="sr-Latn-ME"/>
              </w:rPr>
            </w:pPr>
          </w:p>
          <w:p w14:paraId="1226903B" w14:textId="77777777" w:rsidR="006E4E9B" w:rsidRPr="00173F69" w:rsidRDefault="006E4E9B" w:rsidP="00614295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spacing w:val="-3"/>
                <w:szCs w:val="22"/>
                <w:lang w:val="sr-Latn-ME"/>
              </w:rPr>
            </w:pPr>
            <w:r w:rsidRPr="00173F69">
              <w:rPr>
                <w:spacing w:val="-3"/>
                <w:szCs w:val="22"/>
                <w:lang w:val="sr-Latn-ME"/>
              </w:rPr>
              <w:t>Umor, slabost</w:t>
            </w:r>
          </w:p>
          <w:p w14:paraId="6C77E339" w14:textId="77777777" w:rsidR="006E4E9B" w:rsidRPr="00173F69" w:rsidRDefault="006E4E9B" w:rsidP="00614295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spacing w:val="-3"/>
                <w:szCs w:val="22"/>
                <w:lang w:val="sr-Latn-ME"/>
              </w:rPr>
            </w:pPr>
          </w:p>
          <w:p w14:paraId="4E54FFF6" w14:textId="77777777" w:rsidR="006E4E9B" w:rsidRPr="00173F69" w:rsidRDefault="006E4E9B" w:rsidP="00614295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spacing w:val="-3"/>
                <w:szCs w:val="22"/>
                <w:lang w:val="sr-Latn-ME"/>
              </w:rPr>
            </w:pPr>
          </w:p>
          <w:p w14:paraId="2DEC5CC1" w14:textId="77777777" w:rsidR="006E4E9B" w:rsidRPr="00173F69" w:rsidRDefault="006E4E9B" w:rsidP="00614295">
            <w:pPr>
              <w:rPr>
                <w:szCs w:val="22"/>
                <w:lang w:val="sr-Latn-ME"/>
              </w:rPr>
            </w:pPr>
          </w:p>
          <w:p w14:paraId="5FAF3087" w14:textId="78FDA8E9" w:rsidR="006E4E9B" w:rsidRPr="00173F69" w:rsidRDefault="006E4E9B" w:rsidP="00614295">
            <w:pPr>
              <w:rPr>
                <w:szCs w:val="22"/>
                <w:lang w:val="sr-Latn-ME"/>
              </w:rPr>
            </w:pPr>
            <w:r w:rsidRPr="00173F69">
              <w:rPr>
                <w:spacing w:val="-2"/>
                <w:szCs w:val="22"/>
                <w:lang w:val="sr-Latn-ME"/>
              </w:rPr>
              <w:t>Povišene vr</w:t>
            </w:r>
            <w:r w:rsidR="00305BDB" w:rsidRPr="00173F69">
              <w:rPr>
                <w:spacing w:val="-2"/>
                <w:szCs w:val="22"/>
                <w:lang w:val="sr-Latn-ME"/>
              </w:rPr>
              <w:t>ij</w:t>
            </w:r>
            <w:r w:rsidRPr="00173F69">
              <w:rPr>
                <w:spacing w:val="-2"/>
                <w:szCs w:val="22"/>
                <w:lang w:val="sr-Latn-ME"/>
              </w:rPr>
              <w:t xml:space="preserve">ednosti </w:t>
            </w:r>
            <w:proofErr w:type="spellStart"/>
            <w:r w:rsidRPr="00173F69">
              <w:rPr>
                <w:spacing w:val="-2"/>
                <w:szCs w:val="22"/>
                <w:lang w:val="sr-Latn-ME"/>
              </w:rPr>
              <w:t>uree</w:t>
            </w:r>
            <w:proofErr w:type="spellEnd"/>
            <w:r w:rsidRPr="00173F69">
              <w:rPr>
                <w:spacing w:val="-2"/>
                <w:szCs w:val="22"/>
                <w:lang w:val="sr-Latn-ME"/>
              </w:rPr>
              <w:t xml:space="preserve">, </w:t>
            </w:r>
            <w:proofErr w:type="spellStart"/>
            <w:r w:rsidRPr="00173F69">
              <w:rPr>
                <w:spacing w:val="-2"/>
                <w:szCs w:val="22"/>
                <w:lang w:val="sr-Latn-ME"/>
              </w:rPr>
              <w:t>transaminaza</w:t>
            </w:r>
            <w:proofErr w:type="spellEnd"/>
            <w:r w:rsidRPr="00173F69">
              <w:rPr>
                <w:spacing w:val="-2"/>
                <w:szCs w:val="22"/>
                <w:lang w:val="sr-Latn-ME"/>
              </w:rPr>
              <w:t xml:space="preserve">, alkalne </w:t>
            </w:r>
            <w:proofErr w:type="spellStart"/>
            <w:r w:rsidRPr="00173F69">
              <w:rPr>
                <w:spacing w:val="-2"/>
                <w:szCs w:val="22"/>
                <w:lang w:val="sr-Latn-ME"/>
              </w:rPr>
              <w:t>fosfataze</w:t>
            </w:r>
            <w:proofErr w:type="spellEnd"/>
            <w:r w:rsidRPr="00173F69">
              <w:rPr>
                <w:spacing w:val="-2"/>
                <w:szCs w:val="22"/>
                <w:lang w:val="sr-Latn-ME"/>
              </w:rPr>
              <w:t xml:space="preserve"> </w:t>
            </w:r>
            <w:r w:rsidRPr="00173F69">
              <w:rPr>
                <w:color w:val="000000"/>
                <w:spacing w:val="-2"/>
                <w:szCs w:val="22"/>
                <w:lang w:val="sr-Latn-ME"/>
              </w:rPr>
              <w:t>u krvi</w:t>
            </w:r>
            <w:r w:rsidRPr="00173F69">
              <w:rPr>
                <w:strike/>
                <w:color w:val="FF0000"/>
                <w:spacing w:val="-2"/>
                <w:szCs w:val="22"/>
                <w:lang w:val="sr-Latn-ME"/>
              </w:rPr>
              <w:t xml:space="preserve">  </w:t>
            </w:r>
          </w:p>
        </w:tc>
      </w:tr>
      <w:tr w:rsidR="006E4E9B" w:rsidRPr="00173F69" w14:paraId="560546E4" w14:textId="77777777" w:rsidTr="004408D4">
        <w:tc>
          <w:tcPr>
            <w:tcW w:w="2538" w:type="dxa"/>
          </w:tcPr>
          <w:p w14:paraId="28160D88" w14:textId="77777777" w:rsidR="006E4E9B" w:rsidRPr="00173F69" w:rsidRDefault="006E4E9B" w:rsidP="00614295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jc w:val="left"/>
              <w:rPr>
                <w:i/>
                <w:strike/>
                <w:color w:val="FF0000"/>
                <w:spacing w:val="-2"/>
                <w:szCs w:val="22"/>
                <w:lang w:val="sr-Latn-ME"/>
              </w:rPr>
            </w:pPr>
          </w:p>
        </w:tc>
        <w:tc>
          <w:tcPr>
            <w:tcW w:w="6074" w:type="dxa"/>
          </w:tcPr>
          <w:p w14:paraId="7111E183" w14:textId="77777777" w:rsidR="006E4E9B" w:rsidRPr="00173F69" w:rsidRDefault="006E4E9B" w:rsidP="00614295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spacing w:val="-3"/>
                <w:szCs w:val="22"/>
                <w:lang w:val="sr-Latn-ME"/>
              </w:rPr>
            </w:pPr>
          </w:p>
        </w:tc>
      </w:tr>
      <w:tr w:rsidR="006E4E9B" w:rsidRPr="00173F69" w14:paraId="3F8FBCE2" w14:textId="77777777" w:rsidTr="004408D4">
        <w:tc>
          <w:tcPr>
            <w:tcW w:w="2538" w:type="dxa"/>
          </w:tcPr>
          <w:p w14:paraId="237D6CAD" w14:textId="77777777" w:rsidR="006E4E9B" w:rsidRPr="00173F69" w:rsidRDefault="006E4E9B" w:rsidP="00614295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jc w:val="left"/>
              <w:rPr>
                <w:i/>
                <w:spacing w:val="-2"/>
                <w:szCs w:val="22"/>
                <w:lang w:val="sr-Latn-ME"/>
              </w:rPr>
            </w:pPr>
            <w:r w:rsidRPr="00173F69">
              <w:rPr>
                <w:i/>
                <w:spacing w:val="-2"/>
                <w:szCs w:val="22"/>
                <w:lang w:val="sr-Latn-ME"/>
              </w:rPr>
              <w:t>Poremećaji kože i potkožnog tkiva:</w:t>
            </w:r>
          </w:p>
        </w:tc>
        <w:tc>
          <w:tcPr>
            <w:tcW w:w="6074" w:type="dxa"/>
          </w:tcPr>
          <w:p w14:paraId="1DBEE624" w14:textId="77777777" w:rsidR="006E4E9B" w:rsidRPr="00173F69" w:rsidRDefault="006E4E9B" w:rsidP="00614295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spacing w:val="-2"/>
                <w:szCs w:val="22"/>
                <w:lang w:val="sr-Latn-ME"/>
              </w:rPr>
            </w:pPr>
            <w:r w:rsidRPr="00173F69">
              <w:rPr>
                <w:spacing w:val="-2"/>
                <w:szCs w:val="22"/>
                <w:lang w:val="sr-Latn-ME"/>
              </w:rPr>
              <w:t>Osipi na koži, svrab</w:t>
            </w:r>
          </w:p>
        </w:tc>
      </w:tr>
      <w:tr w:rsidR="006E4E9B" w:rsidRPr="00173F69" w14:paraId="3D375096" w14:textId="77777777" w:rsidTr="004408D4">
        <w:tc>
          <w:tcPr>
            <w:tcW w:w="2538" w:type="dxa"/>
          </w:tcPr>
          <w:p w14:paraId="084E00B9" w14:textId="77777777" w:rsidR="006E4E9B" w:rsidRPr="00173F69" w:rsidRDefault="006E4E9B" w:rsidP="00614295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jc w:val="left"/>
              <w:rPr>
                <w:i/>
                <w:spacing w:val="-2"/>
                <w:szCs w:val="22"/>
                <w:lang w:val="sr-Latn-ME"/>
              </w:rPr>
            </w:pPr>
          </w:p>
          <w:p w14:paraId="337E6BC9" w14:textId="77777777" w:rsidR="006E4E9B" w:rsidRPr="00173F69" w:rsidRDefault="006E4E9B" w:rsidP="00614295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jc w:val="left"/>
              <w:rPr>
                <w:spacing w:val="-3"/>
                <w:szCs w:val="22"/>
                <w:lang w:val="sr-Latn-ME"/>
              </w:rPr>
            </w:pPr>
            <w:r w:rsidRPr="00173F69">
              <w:rPr>
                <w:i/>
                <w:spacing w:val="-2"/>
                <w:szCs w:val="22"/>
                <w:lang w:val="sr-Latn-ME"/>
              </w:rPr>
              <w:t>Poremećaji nervnog sistema:</w:t>
            </w:r>
          </w:p>
        </w:tc>
        <w:tc>
          <w:tcPr>
            <w:tcW w:w="6074" w:type="dxa"/>
          </w:tcPr>
          <w:p w14:paraId="13F9C8CD" w14:textId="77777777" w:rsidR="006E4E9B" w:rsidRPr="00173F69" w:rsidRDefault="006E4E9B" w:rsidP="00614295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spacing w:val="-2"/>
                <w:szCs w:val="22"/>
                <w:lang w:val="sr-Latn-ME"/>
              </w:rPr>
            </w:pPr>
          </w:p>
          <w:p w14:paraId="70991E96" w14:textId="77777777" w:rsidR="006E4E9B" w:rsidRPr="00173F69" w:rsidRDefault="006E4E9B" w:rsidP="00614295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spacing w:val="-3"/>
                <w:szCs w:val="22"/>
                <w:lang w:val="sr-Latn-ME"/>
              </w:rPr>
            </w:pPr>
            <w:r w:rsidRPr="00173F69">
              <w:rPr>
                <w:spacing w:val="-2"/>
                <w:szCs w:val="22"/>
                <w:lang w:val="sr-Latn-ME"/>
              </w:rPr>
              <w:t>Glavobolja</w:t>
            </w:r>
          </w:p>
        </w:tc>
      </w:tr>
      <w:tr w:rsidR="006E4E9B" w:rsidRPr="00173F69" w14:paraId="70B31AC5" w14:textId="77777777" w:rsidTr="004408D4">
        <w:tc>
          <w:tcPr>
            <w:tcW w:w="2538" w:type="dxa"/>
          </w:tcPr>
          <w:p w14:paraId="0E1B5A25" w14:textId="77777777" w:rsidR="006E4E9B" w:rsidRPr="00173F69" w:rsidRDefault="006E4E9B" w:rsidP="00614295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jc w:val="left"/>
              <w:rPr>
                <w:i/>
                <w:spacing w:val="-2"/>
                <w:szCs w:val="22"/>
                <w:lang w:val="sr-Latn-ME"/>
              </w:rPr>
            </w:pPr>
          </w:p>
          <w:p w14:paraId="4A5DF424" w14:textId="77777777" w:rsidR="00DC46DA" w:rsidRPr="00173F69" w:rsidRDefault="00DC46DA" w:rsidP="00614295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jc w:val="left"/>
              <w:rPr>
                <w:i/>
                <w:spacing w:val="-2"/>
                <w:szCs w:val="22"/>
                <w:lang w:val="sr-Latn-ME"/>
              </w:rPr>
            </w:pPr>
            <w:r w:rsidRPr="00173F69">
              <w:rPr>
                <w:i/>
                <w:spacing w:val="-2"/>
                <w:szCs w:val="22"/>
                <w:lang w:val="sr-Latn-ME"/>
              </w:rPr>
              <w:t>Poremećaji uha i</w:t>
            </w:r>
          </w:p>
          <w:p w14:paraId="116BD37C" w14:textId="77777777" w:rsidR="00DC46DA" w:rsidRPr="00173F69" w:rsidRDefault="00DC46DA" w:rsidP="00614295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jc w:val="left"/>
              <w:rPr>
                <w:i/>
                <w:spacing w:val="-2"/>
                <w:szCs w:val="22"/>
                <w:lang w:val="sr-Latn-ME"/>
              </w:rPr>
            </w:pPr>
            <w:r w:rsidRPr="00173F69">
              <w:rPr>
                <w:i/>
                <w:spacing w:val="-2"/>
                <w:szCs w:val="22"/>
                <w:lang w:val="sr-Latn-ME"/>
              </w:rPr>
              <w:t xml:space="preserve">labirinta </w:t>
            </w:r>
          </w:p>
          <w:p w14:paraId="709CFDAE" w14:textId="77777777" w:rsidR="00DC46DA" w:rsidRPr="00173F69" w:rsidRDefault="00DC46DA" w:rsidP="00614295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jc w:val="left"/>
              <w:rPr>
                <w:i/>
                <w:spacing w:val="-2"/>
                <w:szCs w:val="22"/>
                <w:lang w:val="sr-Latn-ME"/>
              </w:rPr>
            </w:pPr>
          </w:p>
          <w:p w14:paraId="51BD00E8" w14:textId="77777777" w:rsidR="006E4E9B" w:rsidRPr="00173F69" w:rsidRDefault="006E4E9B" w:rsidP="00614295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jc w:val="left"/>
              <w:rPr>
                <w:spacing w:val="-3"/>
                <w:szCs w:val="22"/>
                <w:lang w:val="sr-Latn-ME"/>
              </w:rPr>
            </w:pPr>
            <w:r w:rsidRPr="00173F69">
              <w:rPr>
                <w:i/>
                <w:spacing w:val="-2"/>
                <w:szCs w:val="22"/>
                <w:lang w:val="sr-Latn-ME"/>
              </w:rPr>
              <w:t>Poremećaji mišićno-koštanog sistema i vezivnog tkiva:</w:t>
            </w:r>
          </w:p>
        </w:tc>
        <w:tc>
          <w:tcPr>
            <w:tcW w:w="6074" w:type="dxa"/>
          </w:tcPr>
          <w:p w14:paraId="5AD8B87E" w14:textId="77777777" w:rsidR="006E4E9B" w:rsidRPr="00173F69" w:rsidRDefault="006E4E9B" w:rsidP="00614295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spacing w:val="-2"/>
                <w:szCs w:val="22"/>
                <w:lang w:val="sr-Latn-ME"/>
              </w:rPr>
            </w:pPr>
          </w:p>
          <w:p w14:paraId="472AAF69" w14:textId="77777777" w:rsidR="00DC46DA" w:rsidRPr="00173F69" w:rsidRDefault="00DC46DA" w:rsidP="00614295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spacing w:val="-2"/>
                <w:szCs w:val="22"/>
                <w:lang w:val="sr-Latn-ME"/>
              </w:rPr>
            </w:pPr>
            <w:proofErr w:type="spellStart"/>
            <w:r w:rsidRPr="00173F69">
              <w:rPr>
                <w:spacing w:val="-2"/>
                <w:szCs w:val="22"/>
                <w:lang w:val="sr-Latn-ME"/>
              </w:rPr>
              <w:t>Vertigo</w:t>
            </w:r>
            <w:proofErr w:type="spellEnd"/>
          </w:p>
          <w:p w14:paraId="4B982FBA" w14:textId="77777777" w:rsidR="00DC46DA" w:rsidRPr="00173F69" w:rsidRDefault="00DC46DA" w:rsidP="00614295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spacing w:val="-2"/>
                <w:szCs w:val="22"/>
                <w:lang w:val="sr-Latn-ME"/>
              </w:rPr>
            </w:pPr>
          </w:p>
          <w:p w14:paraId="286BD195" w14:textId="77777777" w:rsidR="00DC46DA" w:rsidRPr="00173F69" w:rsidRDefault="00DC46DA" w:rsidP="00614295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spacing w:val="-2"/>
                <w:szCs w:val="22"/>
                <w:lang w:val="sr-Latn-ME"/>
              </w:rPr>
            </w:pPr>
          </w:p>
          <w:p w14:paraId="4B5400E4" w14:textId="77777777" w:rsidR="006E4E9B" w:rsidRPr="00173F69" w:rsidRDefault="006E4E9B" w:rsidP="00614295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rPr>
                <w:spacing w:val="-3"/>
                <w:szCs w:val="22"/>
                <w:lang w:val="sr-Latn-ME"/>
              </w:rPr>
            </w:pPr>
            <w:proofErr w:type="spellStart"/>
            <w:r w:rsidRPr="00173F69">
              <w:rPr>
                <w:spacing w:val="-2"/>
                <w:szCs w:val="22"/>
                <w:lang w:val="sr-Latn-ME"/>
              </w:rPr>
              <w:t>Artralgija</w:t>
            </w:r>
            <w:proofErr w:type="spellEnd"/>
          </w:p>
        </w:tc>
      </w:tr>
    </w:tbl>
    <w:p w14:paraId="2216DFA5" w14:textId="77777777" w:rsidR="006E4E9B" w:rsidRPr="00173F69" w:rsidRDefault="006E4E9B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628E7BF4" w14:textId="77777777" w:rsidR="006E4E9B" w:rsidRPr="00173F69" w:rsidRDefault="006E4E9B" w:rsidP="00614295">
      <w:pPr>
        <w:pStyle w:val="Header"/>
        <w:tabs>
          <w:tab w:val="clear" w:pos="4536"/>
          <w:tab w:val="clear" w:pos="9072"/>
          <w:tab w:val="left" w:pos="284"/>
        </w:tabs>
        <w:rPr>
          <w:spacing w:val="-2"/>
          <w:szCs w:val="22"/>
          <w:u w:val="single"/>
          <w:lang w:val="sr-Latn-ME"/>
        </w:rPr>
      </w:pPr>
      <w:r w:rsidRPr="00173F69">
        <w:rPr>
          <w:spacing w:val="-2"/>
          <w:szCs w:val="22"/>
          <w:u w:val="single"/>
          <w:lang w:val="sr-Latn-ME"/>
        </w:rPr>
        <w:t xml:space="preserve">Povremena </w:t>
      </w:r>
      <w:r w:rsidRPr="00173F69">
        <w:rPr>
          <w:szCs w:val="22"/>
          <w:u w:val="single"/>
          <w:lang w:val="sr-Latn-ME"/>
        </w:rPr>
        <w:t>neželjena dejstva</w:t>
      </w:r>
      <w:r w:rsidRPr="00173F69">
        <w:rPr>
          <w:spacing w:val="-2"/>
          <w:szCs w:val="22"/>
          <w:u w:val="single"/>
          <w:lang w:val="sr-Latn-ME"/>
        </w:rPr>
        <w:t xml:space="preserve">: </w:t>
      </w:r>
    </w:p>
    <w:tbl>
      <w:tblPr>
        <w:tblW w:w="8505" w:type="dxa"/>
        <w:tblLayout w:type="fixed"/>
        <w:tblLook w:val="01E0" w:firstRow="1" w:lastRow="1" w:firstColumn="1" w:lastColumn="1" w:noHBand="0" w:noVBand="0"/>
      </w:tblPr>
      <w:tblGrid>
        <w:gridCol w:w="1985"/>
        <w:gridCol w:w="6520"/>
      </w:tblGrid>
      <w:tr w:rsidR="006E4E9B" w:rsidRPr="00173F69" w14:paraId="32E244EB" w14:textId="77777777" w:rsidTr="00AC616E">
        <w:trPr>
          <w:trHeight w:val="653"/>
        </w:trPr>
        <w:tc>
          <w:tcPr>
            <w:tcW w:w="1985" w:type="dxa"/>
          </w:tcPr>
          <w:p w14:paraId="0F3636A1" w14:textId="77777777" w:rsidR="006E4E9B" w:rsidRPr="00173F69" w:rsidRDefault="006E4E9B" w:rsidP="00614295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jc w:val="left"/>
              <w:rPr>
                <w:spacing w:val="-3"/>
                <w:szCs w:val="22"/>
                <w:lang w:val="sr-Latn-ME"/>
              </w:rPr>
            </w:pPr>
            <w:r w:rsidRPr="00173F69">
              <w:rPr>
                <w:i/>
                <w:spacing w:val="-2"/>
                <w:szCs w:val="22"/>
                <w:lang w:val="sr-Latn-ME"/>
              </w:rPr>
              <w:t>Gastrointestinalni poremećaji</w:t>
            </w:r>
            <w:r w:rsidRPr="00173F69">
              <w:rPr>
                <w:spacing w:val="-2"/>
                <w:szCs w:val="22"/>
                <w:lang w:val="sr-Latn-ME"/>
              </w:rPr>
              <w:t>:</w:t>
            </w:r>
          </w:p>
        </w:tc>
        <w:tc>
          <w:tcPr>
            <w:tcW w:w="6520" w:type="dxa"/>
          </w:tcPr>
          <w:p w14:paraId="2DDA830D" w14:textId="77777777" w:rsidR="006E4E9B" w:rsidRPr="00173F69" w:rsidRDefault="004408D4" w:rsidP="00614295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i/>
                <w:spacing w:val="-2"/>
                <w:szCs w:val="22"/>
                <w:lang w:val="sr-Latn-ME"/>
              </w:rPr>
            </w:pPr>
            <w:r w:rsidRPr="00173F69">
              <w:rPr>
                <w:spacing w:val="-2"/>
                <w:szCs w:val="22"/>
                <w:lang w:val="sr-Latn-ME"/>
              </w:rPr>
              <w:t xml:space="preserve">           </w:t>
            </w:r>
            <w:r w:rsidR="006E4E9B" w:rsidRPr="00173F69">
              <w:rPr>
                <w:spacing w:val="-2"/>
                <w:szCs w:val="22"/>
                <w:lang w:val="sr-Latn-ME"/>
              </w:rPr>
              <w:t>Dijareja, konstipacija</w:t>
            </w:r>
          </w:p>
        </w:tc>
      </w:tr>
      <w:tr w:rsidR="006E4E9B" w:rsidRPr="00173F69" w14:paraId="4A8EFC95" w14:textId="77777777" w:rsidTr="00AC616E">
        <w:trPr>
          <w:trHeight w:val="653"/>
        </w:trPr>
        <w:tc>
          <w:tcPr>
            <w:tcW w:w="1985" w:type="dxa"/>
          </w:tcPr>
          <w:p w14:paraId="2D7AB1E1" w14:textId="77777777" w:rsidR="006E4E9B" w:rsidRPr="00173F69" w:rsidRDefault="006E4E9B" w:rsidP="00614295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left"/>
              <w:rPr>
                <w:i/>
                <w:spacing w:val="-2"/>
                <w:szCs w:val="22"/>
                <w:lang w:val="sr-Latn-ME"/>
              </w:rPr>
            </w:pPr>
            <w:r w:rsidRPr="00173F69">
              <w:rPr>
                <w:i/>
                <w:spacing w:val="-2"/>
                <w:szCs w:val="22"/>
                <w:lang w:val="sr-Latn-ME"/>
              </w:rPr>
              <w:t>Poremećaji nervnog sistema:</w:t>
            </w:r>
          </w:p>
          <w:p w14:paraId="5706DBA7" w14:textId="77777777" w:rsidR="006E4E9B" w:rsidRPr="00173F69" w:rsidRDefault="006E4E9B" w:rsidP="00614295">
            <w:pPr>
              <w:tabs>
                <w:tab w:val="left" w:pos="-720"/>
                <w:tab w:val="left" w:pos="0"/>
                <w:tab w:val="left" w:pos="720"/>
                <w:tab w:val="left" w:pos="2977"/>
              </w:tabs>
              <w:suppressAutoHyphens/>
              <w:jc w:val="left"/>
              <w:rPr>
                <w:i/>
                <w:spacing w:val="-2"/>
                <w:szCs w:val="22"/>
                <w:lang w:val="sr-Latn-ME"/>
              </w:rPr>
            </w:pPr>
          </w:p>
        </w:tc>
        <w:tc>
          <w:tcPr>
            <w:tcW w:w="6520" w:type="dxa"/>
          </w:tcPr>
          <w:p w14:paraId="3D258A7B" w14:textId="1462FC1C" w:rsidR="006E4E9B" w:rsidRPr="00173F69" w:rsidRDefault="004408D4" w:rsidP="00614295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spacing w:val="-2"/>
                <w:szCs w:val="22"/>
                <w:lang w:val="sr-Latn-ME"/>
              </w:rPr>
            </w:pPr>
            <w:r w:rsidRPr="00173F69">
              <w:rPr>
                <w:spacing w:val="-2"/>
                <w:szCs w:val="22"/>
                <w:lang w:val="sr-Latn-ME"/>
              </w:rPr>
              <w:t xml:space="preserve">      </w:t>
            </w:r>
            <w:r w:rsidR="008A02F3" w:rsidRPr="00173F69">
              <w:rPr>
                <w:spacing w:val="-2"/>
                <w:szCs w:val="22"/>
                <w:lang w:val="sr-Latn-ME"/>
              </w:rPr>
              <w:t xml:space="preserve">    </w:t>
            </w:r>
            <w:r w:rsidR="00A30941" w:rsidRPr="00173F69">
              <w:rPr>
                <w:spacing w:val="-2"/>
                <w:szCs w:val="22"/>
                <w:lang w:val="sr-Latn-ME"/>
              </w:rPr>
              <w:t xml:space="preserve"> </w:t>
            </w:r>
            <w:proofErr w:type="spellStart"/>
            <w:r w:rsidR="006E4E9B" w:rsidRPr="00173F69">
              <w:rPr>
                <w:spacing w:val="-2"/>
                <w:szCs w:val="22"/>
                <w:lang w:val="sr-Latn-ME"/>
              </w:rPr>
              <w:t>Somnolencija</w:t>
            </w:r>
            <w:proofErr w:type="spellEnd"/>
          </w:p>
          <w:p w14:paraId="643E7157" w14:textId="77777777" w:rsidR="006E4E9B" w:rsidRPr="00173F69" w:rsidRDefault="006E4E9B" w:rsidP="00614295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spacing w:val="-2"/>
                <w:szCs w:val="22"/>
                <w:lang w:val="sr-Latn-ME"/>
              </w:rPr>
            </w:pPr>
          </w:p>
        </w:tc>
      </w:tr>
      <w:tr w:rsidR="006E4E9B" w:rsidRPr="00173F69" w14:paraId="1311BEAE" w14:textId="77777777" w:rsidTr="00AC616E">
        <w:tc>
          <w:tcPr>
            <w:tcW w:w="1985" w:type="dxa"/>
          </w:tcPr>
          <w:p w14:paraId="6A7CC222" w14:textId="77777777" w:rsidR="006E4E9B" w:rsidRPr="00173F69" w:rsidRDefault="006E4E9B" w:rsidP="00614295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left"/>
              <w:rPr>
                <w:i/>
                <w:spacing w:val="-2"/>
                <w:szCs w:val="22"/>
                <w:lang w:val="sr-Latn-ME"/>
              </w:rPr>
            </w:pPr>
            <w:r w:rsidRPr="00173F69">
              <w:rPr>
                <w:i/>
                <w:spacing w:val="-2"/>
                <w:szCs w:val="22"/>
                <w:lang w:val="sr-Latn-ME"/>
              </w:rPr>
              <w:t>Psihijatrijski poremećaji:</w:t>
            </w:r>
          </w:p>
        </w:tc>
        <w:tc>
          <w:tcPr>
            <w:tcW w:w="6520" w:type="dxa"/>
          </w:tcPr>
          <w:p w14:paraId="4F3082AB" w14:textId="72128B16" w:rsidR="006E4E9B" w:rsidRPr="00173F69" w:rsidRDefault="004408D4" w:rsidP="00614295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i/>
                <w:color w:val="000000"/>
                <w:spacing w:val="-2"/>
                <w:szCs w:val="22"/>
                <w:lang w:val="sr-Latn-ME"/>
              </w:rPr>
            </w:pPr>
            <w:r w:rsidRPr="00173F69">
              <w:rPr>
                <w:color w:val="000000"/>
                <w:spacing w:val="-2"/>
                <w:szCs w:val="22"/>
                <w:lang w:val="sr-Latn-ME"/>
              </w:rPr>
              <w:t xml:space="preserve">      </w:t>
            </w:r>
            <w:r w:rsidR="008A02F3" w:rsidRPr="00173F69">
              <w:rPr>
                <w:color w:val="000000"/>
                <w:spacing w:val="-2"/>
                <w:szCs w:val="22"/>
                <w:lang w:val="sr-Latn-ME"/>
              </w:rPr>
              <w:t xml:space="preserve">    </w:t>
            </w:r>
            <w:r w:rsidR="00A30941" w:rsidRPr="00173F69">
              <w:rPr>
                <w:color w:val="000000"/>
                <w:spacing w:val="-2"/>
                <w:szCs w:val="22"/>
                <w:lang w:val="sr-Latn-ME"/>
              </w:rPr>
              <w:t xml:space="preserve"> </w:t>
            </w:r>
            <w:r w:rsidR="006E4E9B" w:rsidRPr="00173F69">
              <w:rPr>
                <w:color w:val="000000"/>
                <w:spacing w:val="-2"/>
                <w:szCs w:val="22"/>
                <w:lang w:val="sr-Latn-ME"/>
              </w:rPr>
              <w:t>Nervoza</w:t>
            </w:r>
            <w:r w:rsidR="008A02F3" w:rsidRPr="00173F69">
              <w:rPr>
                <w:spacing w:val="-2"/>
                <w:szCs w:val="22"/>
                <w:lang w:val="sr-Latn-ME"/>
              </w:rPr>
              <w:t xml:space="preserve">, </w:t>
            </w:r>
            <w:proofErr w:type="spellStart"/>
            <w:r w:rsidR="008A02F3" w:rsidRPr="00173F69">
              <w:rPr>
                <w:spacing w:val="-2"/>
                <w:szCs w:val="22"/>
                <w:lang w:val="sr-Latn-ME"/>
              </w:rPr>
              <w:t>insomnija</w:t>
            </w:r>
            <w:proofErr w:type="spellEnd"/>
          </w:p>
        </w:tc>
      </w:tr>
      <w:tr w:rsidR="006E4E9B" w:rsidRPr="00173F69" w14:paraId="322AD15C" w14:textId="77777777" w:rsidTr="00AC616E">
        <w:tc>
          <w:tcPr>
            <w:tcW w:w="1985" w:type="dxa"/>
          </w:tcPr>
          <w:p w14:paraId="2ACCC38C" w14:textId="77777777" w:rsidR="006E4E9B" w:rsidRPr="00173F69" w:rsidRDefault="006E4E9B" w:rsidP="00614295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left"/>
              <w:rPr>
                <w:i/>
                <w:spacing w:val="-2"/>
                <w:szCs w:val="22"/>
                <w:lang w:val="sr-Latn-ME"/>
              </w:rPr>
            </w:pPr>
          </w:p>
          <w:p w14:paraId="0C769D64" w14:textId="77777777" w:rsidR="006E4E9B" w:rsidRPr="00173F69" w:rsidRDefault="006E4E9B" w:rsidP="00614295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left"/>
              <w:rPr>
                <w:i/>
                <w:spacing w:val="-2"/>
                <w:szCs w:val="22"/>
                <w:lang w:val="sr-Latn-ME"/>
              </w:rPr>
            </w:pPr>
            <w:r w:rsidRPr="00173F69">
              <w:rPr>
                <w:i/>
                <w:spacing w:val="-2"/>
                <w:szCs w:val="22"/>
                <w:lang w:val="sr-Latn-ME"/>
              </w:rPr>
              <w:t xml:space="preserve">Poremećaji bubrega i </w:t>
            </w:r>
            <w:proofErr w:type="spellStart"/>
            <w:r w:rsidRPr="00173F69">
              <w:rPr>
                <w:i/>
                <w:spacing w:val="-2"/>
                <w:szCs w:val="22"/>
                <w:lang w:val="sr-Latn-ME"/>
              </w:rPr>
              <w:t>urinarnog</w:t>
            </w:r>
            <w:proofErr w:type="spellEnd"/>
            <w:r w:rsidRPr="00173F69">
              <w:rPr>
                <w:i/>
                <w:spacing w:val="-2"/>
                <w:szCs w:val="22"/>
                <w:lang w:val="sr-Latn-ME"/>
              </w:rPr>
              <w:t xml:space="preserve"> sistema:</w:t>
            </w:r>
          </w:p>
        </w:tc>
        <w:tc>
          <w:tcPr>
            <w:tcW w:w="6520" w:type="dxa"/>
          </w:tcPr>
          <w:p w14:paraId="3D80BC67" w14:textId="77777777" w:rsidR="006E4E9B" w:rsidRPr="00173F69" w:rsidRDefault="006E4E9B" w:rsidP="00614295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spacing w:val="-2"/>
                <w:szCs w:val="22"/>
                <w:lang w:val="sr-Latn-ME"/>
              </w:rPr>
            </w:pPr>
          </w:p>
          <w:p w14:paraId="0EC8824E" w14:textId="77777777" w:rsidR="006E4E9B" w:rsidRPr="00173F69" w:rsidRDefault="006E4E9B" w:rsidP="00614295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spacing w:val="-2"/>
                <w:szCs w:val="22"/>
                <w:lang w:val="sr-Latn-ME"/>
              </w:rPr>
            </w:pPr>
          </w:p>
          <w:p w14:paraId="3D3B975E" w14:textId="3584F1C6" w:rsidR="006E4E9B" w:rsidRPr="00173F69" w:rsidRDefault="004408D4" w:rsidP="00614295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i/>
                <w:spacing w:val="-2"/>
                <w:szCs w:val="22"/>
                <w:lang w:val="sr-Latn-ME"/>
              </w:rPr>
            </w:pPr>
            <w:r w:rsidRPr="00173F69">
              <w:rPr>
                <w:spacing w:val="-2"/>
                <w:szCs w:val="22"/>
                <w:lang w:val="sr-Latn-ME"/>
              </w:rPr>
              <w:t xml:space="preserve">      </w:t>
            </w:r>
            <w:r w:rsidR="008A02F3" w:rsidRPr="00173F69">
              <w:rPr>
                <w:spacing w:val="-2"/>
                <w:szCs w:val="22"/>
                <w:lang w:val="sr-Latn-ME"/>
              </w:rPr>
              <w:t xml:space="preserve">  </w:t>
            </w:r>
            <w:r w:rsidR="00A30941" w:rsidRPr="00173F69">
              <w:rPr>
                <w:spacing w:val="-2"/>
                <w:szCs w:val="22"/>
                <w:lang w:val="sr-Latn-ME"/>
              </w:rPr>
              <w:t xml:space="preserve"> </w:t>
            </w:r>
            <w:r w:rsidR="008A02F3" w:rsidRPr="00173F69">
              <w:rPr>
                <w:spacing w:val="-2"/>
                <w:szCs w:val="22"/>
                <w:lang w:val="sr-Latn-ME"/>
              </w:rPr>
              <w:t xml:space="preserve"> </w:t>
            </w:r>
            <w:r w:rsidR="00A30941" w:rsidRPr="00173F69">
              <w:rPr>
                <w:spacing w:val="-2"/>
                <w:szCs w:val="22"/>
                <w:lang w:val="sr-Latn-ME"/>
              </w:rPr>
              <w:t xml:space="preserve"> </w:t>
            </w:r>
            <w:proofErr w:type="spellStart"/>
            <w:r w:rsidR="006E4E9B" w:rsidRPr="00173F69">
              <w:rPr>
                <w:spacing w:val="-2"/>
                <w:szCs w:val="22"/>
                <w:lang w:val="sr-Latn-ME"/>
              </w:rPr>
              <w:t>Poliurija</w:t>
            </w:r>
            <w:proofErr w:type="spellEnd"/>
            <w:r w:rsidR="006E4E9B" w:rsidRPr="00173F69">
              <w:rPr>
                <w:spacing w:val="-2"/>
                <w:szCs w:val="22"/>
                <w:lang w:val="sr-Latn-ME"/>
              </w:rPr>
              <w:t xml:space="preserve"> </w:t>
            </w:r>
          </w:p>
        </w:tc>
      </w:tr>
    </w:tbl>
    <w:p w14:paraId="2FAE7297" w14:textId="77777777" w:rsidR="006E4E9B" w:rsidRPr="00173F69" w:rsidRDefault="006E4E9B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526EDF39" w14:textId="0FBEB6DB" w:rsidR="006E4E9B" w:rsidRPr="00173F69" w:rsidRDefault="006E4E9B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173F69">
        <w:rPr>
          <w:szCs w:val="22"/>
          <w:lang w:val="sr-Latn-ME"/>
        </w:rPr>
        <w:t>Sl</w:t>
      </w:r>
      <w:r w:rsidR="00305BDB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 xml:space="preserve">edeća neželjena dejstva prijavljena su tokom </w:t>
      </w:r>
      <w:proofErr w:type="spellStart"/>
      <w:r w:rsidRPr="00173F69">
        <w:rPr>
          <w:szCs w:val="22"/>
          <w:lang w:val="sr-Latn-ME"/>
        </w:rPr>
        <w:t>postmarketinškog</w:t>
      </w:r>
      <w:proofErr w:type="spellEnd"/>
      <w:r w:rsidRPr="00173F69">
        <w:rPr>
          <w:szCs w:val="22"/>
          <w:lang w:val="sr-Latn-ME"/>
        </w:rPr>
        <w:t xml:space="preserve"> praćenja. Učestalost sa kojom se javljaju nije poznata (ne može da se proc</w:t>
      </w:r>
      <w:r w:rsidR="00305BDB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>eni na osnovu dostupnih podataka):</w:t>
      </w:r>
    </w:p>
    <w:p w14:paraId="2279A822" w14:textId="77777777" w:rsidR="004F7F52" w:rsidRPr="00173F69" w:rsidRDefault="004F7F52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02767BC8" w14:textId="245A2D44" w:rsidR="006E4E9B" w:rsidRPr="00173F69" w:rsidRDefault="006E4E9B" w:rsidP="00614295">
      <w:pPr>
        <w:tabs>
          <w:tab w:val="left" w:pos="-720"/>
          <w:tab w:val="left" w:pos="0"/>
          <w:tab w:val="left" w:pos="720"/>
          <w:tab w:val="left" w:pos="2977"/>
        </w:tabs>
        <w:suppressAutoHyphens/>
        <w:rPr>
          <w:spacing w:val="-2"/>
          <w:szCs w:val="22"/>
          <w:lang w:val="sr-Latn-ME"/>
        </w:rPr>
      </w:pPr>
      <w:r w:rsidRPr="00173F69">
        <w:rPr>
          <w:i/>
          <w:spacing w:val="-2"/>
          <w:szCs w:val="22"/>
          <w:lang w:val="sr-Latn-ME"/>
        </w:rPr>
        <w:t>Gastrointestinalni poremećaji</w:t>
      </w:r>
      <w:r w:rsidRPr="00173F69">
        <w:rPr>
          <w:spacing w:val="-2"/>
          <w:szCs w:val="22"/>
          <w:lang w:val="sr-Latn-ME"/>
        </w:rPr>
        <w:t xml:space="preserve">: </w:t>
      </w:r>
      <w:r w:rsidRPr="00173F69">
        <w:rPr>
          <w:spacing w:val="-2"/>
          <w:szCs w:val="22"/>
          <w:lang w:val="sr-Latn-ME"/>
        </w:rPr>
        <w:tab/>
      </w:r>
      <w:r w:rsidR="00EC53D2" w:rsidRPr="00173F69">
        <w:rPr>
          <w:spacing w:val="-2"/>
          <w:szCs w:val="22"/>
          <w:lang w:val="sr-Latn-ME"/>
        </w:rPr>
        <w:t xml:space="preserve">    </w:t>
      </w:r>
      <w:r w:rsidRPr="00173F69">
        <w:rPr>
          <w:spacing w:val="-2"/>
          <w:szCs w:val="22"/>
          <w:lang w:val="sr-Latn-ME"/>
        </w:rPr>
        <w:t>Bol u gornjem d</w:t>
      </w:r>
      <w:r w:rsidR="002377E6" w:rsidRPr="00173F69">
        <w:rPr>
          <w:spacing w:val="-2"/>
          <w:szCs w:val="22"/>
          <w:lang w:val="sr-Latn-ME"/>
        </w:rPr>
        <w:t>ij</w:t>
      </w:r>
      <w:r w:rsidRPr="00173F69">
        <w:rPr>
          <w:spacing w:val="-2"/>
          <w:szCs w:val="22"/>
          <w:lang w:val="sr-Latn-ME"/>
        </w:rPr>
        <w:t>elu abdomena</w:t>
      </w:r>
    </w:p>
    <w:p w14:paraId="1677549E" w14:textId="001C2A60" w:rsidR="006E4E9B" w:rsidRPr="00173F69" w:rsidRDefault="006E4E9B" w:rsidP="00614295">
      <w:pPr>
        <w:tabs>
          <w:tab w:val="left" w:pos="-720"/>
          <w:tab w:val="left" w:pos="0"/>
          <w:tab w:val="left" w:pos="720"/>
          <w:tab w:val="left" w:pos="2977"/>
        </w:tabs>
        <w:suppressAutoHyphens/>
        <w:rPr>
          <w:spacing w:val="-2"/>
          <w:szCs w:val="22"/>
          <w:lang w:val="sr-Latn-ME"/>
        </w:rPr>
      </w:pPr>
      <w:r w:rsidRPr="00173F69">
        <w:rPr>
          <w:i/>
          <w:spacing w:val="-2"/>
          <w:szCs w:val="22"/>
          <w:lang w:val="sr-Latn-ME"/>
        </w:rPr>
        <w:t>Poremećaji imunog sistema:</w:t>
      </w:r>
      <w:r w:rsidRPr="00173F69">
        <w:rPr>
          <w:spacing w:val="-2"/>
          <w:szCs w:val="22"/>
          <w:lang w:val="sr-Latn-ME"/>
        </w:rPr>
        <w:t xml:space="preserve"> </w:t>
      </w:r>
      <w:r w:rsidRPr="00173F69">
        <w:rPr>
          <w:spacing w:val="-2"/>
          <w:szCs w:val="22"/>
          <w:lang w:val="sr-Latn-ME"/>
        </w:rPr>
        <w:tab/>
      </w:r>
      <w:r w:rsidR="00EC53D2" w:rsidRPr="00173F69">
        <w:rPr>
          <w:spacing w:val="-2"/>
          <w:szCs w:val="22"/>
          <w:lang w:val="sr-Latn-ME"/>
        </w:rPr>
        <w:t xml:space="preserve">    </w:t>
      </w:r>
      <w:r w:rsidR="00A30941" w:rsidRPr="00173F69">
        <w:rPr>
          <w:spacing w:val="-2"/>
          <w:szCs w:val="22"/>
          <w:lang w:val="sr-Latn-ME"/>
        </w:rPr>
        <w:t>P</w:t>
      </w:r>
      <w:r w:rsidRPr="00173F69">
        <w:rPr>
          <w:spacing w:val="-2"/>
          <w:szCs w:val="22"/>
          <w:lang w:val="sr-Latn-ME"/>
        </w:rPr>
        <w:t>reos</w:t>
      </w:r>
      <w:r w:rsidR="00305BDB" w:rsidRPr="00173F69">
        <w:rPr>
          <w:spacing w:val="-2"/>
          <w:szCs w:val="22"/>
          <w:lang w:val="sr-Latn-ME"/>
        </w:rPr>
        <w:t>j</w:t>
      </w:r>
      <w:r w:rsidRPr="00173F69">
        <w:rPr>
          <w:spacing w:val="-2"/>
          <w:szCs w:val="22"/>
          <w:lang w:val="sr-Latn-ME"/>
        </w:rPr>
        <w:t xml:space="preserve">etljivost, </w:t>
      </w:r>
      <w:proofErr w:type="spellStart"/>
      <w:r w:rsidRPr="00173F69">
        <w:rPr>
          <w:spacing w:val="-2"/>
          <w:szCs w:val="22"/>
          <w:lang w:val="sr-Latn-ME"/>
        </w:rPr>
        <w:t>anafilaktička</w:t>
      </w:r>
      <w:proofErr w:type="spellEnd"/>
      <w:r w:rsidRPr="00173F69">
        <w:rPr>
          <w:spacing w:val="-2"/>
          <w:szCs w:val="22"/>
          <w:lang w:val="sr-Latn-ME"/>
        </w:rPr>
        <w:t xml:space="preserve"> reakcija</w:t>
      </w:r>
    </w:p>
    <w:p w14:paraId="7AF5E446" w14:textId="17FD0035" w:rsidR="006E4E9B" w:rsidRPr="00173F69" w:rsidRDefault="006E4E9B" w:rsidP="00614295">
      <w:pPr>
        <w:tabs>
          <w:tab w:val="left" w:pos="-720"/>
          <w:tab w:val="left" w:pos="0"/>
          <w:tab w:val="left" w:pos="720"/>
          <w:tab w:val="left" w:pos="2977"/>
        </w:tabs>
        <w:suppressAutoHyphens/>
        <w:rPr>
          <w:spacing w:val="-2"/>
          <w:szCs w:val="22"/>
          <w:lang w:val="sr-Latn-ME"/>
        </w:rPr>
      </w:pPr>
      <w:r w:rsidRPr="00173F69">
        <w:rPr>
          <w:i/>
          <w:spacing w:val="-2"/>
          <w:szCs w:val="22"/>
          <w:lang w:val="sr-Latn-ME"/>
        </w:rPr>
        <w:t xml:space="preserve">Poremećaji nervnog sistema: </w:t>
      </w:r>
      <w:r w:rsidRPr="00173F69">
        <w:rPr>
          <w:i/>
          <w:spacing w:val="-2"/>
          <w:szCs w:val="22"/>
          <w:lang w:val="sr-Latn-ME"/>
        </w:rPr>
        <w:tab/>
      </w:r>
      <w:r w:rsidR="00EC53D2" w:rsidRPr="00173F69">
        <w:rPr>
          <w:i/>
          <w:spacing w:val="-2"/>
          <w:szCs w:val="22"/>
          <w:lang w:val="sr-Latn-ME"/>
        </w:rPr>
        <w:t xml:space="preserve">    </w:t>
      </w:r>
      <w:r w:rsidRPr="00173F69">
        <w:rPr>
          <w:spacing w:val="-2"/>
          <w:szCs w:val="22"/>
          <w:lang w:val="sr-Latn-ME"/>
        </w:rPr>
        <w:t>Nesv</w:t>
      </w:r>
      <w:r w:rsidR="00305BDB" w:rsidRPr="00173F69">
        <w:rPr>
          <w:spacing w:val="-2"/>
          <w:szCs w:val="22"/>
          <w:lang w:val="sr-Latn-ME"/>
        </w:rPr>
        <w:t>j</w:t>
      </w:r>
      <w:r w:rsidRPr="00173F69">
        <w:rPr>
          <w:spacing w:val="-2"/>
          <w:szCs w:val="22"/>
          <w:lang w:val="sr-Latn-ME"/>
        </w:rPr>
        <w:t>estica</w:t>
      </w:r>
    </w:p>
    <w:p w14:paraId="46434F16" w14:textId="77777777" w:rsidR="006E4E9B" w:rsidRPr="00173F69" w:rsidRDefault="006E4E9B" w:rsidP="00614295">
      <w:pPr>
        <w:tabs>
          <w:tab w:val="left" w:pos="-720"/>
          <w:tab w:val="left" w:pos="0"/>
          <w:tab w:val="left" w:pos="720"/>
          <w:tab w:val="left" w:pos="2977"/>
          <w:tab w:val="left" w:pos="3261"/>
        </w:tabs>
        <w:suppressAutoHyphens/>
        <w:rPr>
          <w:spacing w:val="-2"/>
          <w:szCs w:val="22"/>
          <w:lang w:val="sr-Latn-ME"/>
        </w:rPr>
      </w:pPr>
      <w:r w:rsidRPr="00173F69">
        <w:rPr>
          <w:i/>
          <w:spacing w:val="-2"/>
          <w:szCs w:val="22"/>
          <w:lang w:val="sr-Latn-ME"/>
        </w:rPr>
        <w:t>Poremećaji kože i potkožnog tkiva:</w:t>
      </w:r>
      <w:r w:rsidR="00EC53D2" w:rsidRPr="00173F69">
        <w:rPr>
          <w:i/>
          <w:spacing w:val="-2"/>
          <w:szCs w:val="22"/>
          <w:lang w:val="sr-Latn-ME"/>
        </w:rPr>
        <w:t xml:space="preserve">   </w:t>
      </w:r>
      <w:proofErr w:type="spellStart"/>
      <w:r w:rsidRPr="00173F69">
        <w:rPr>
          <w:spacing w:val="-2"/>
          <w:szCs w:val="22"/>
          <w:lang w:val="sr-Latn-ME"/>
        </w:rPr>
        <w:t>Eritem</w:t>
      </w:r>
      <w:proofErr w:type="spellEnd"/>
      <w:r w:rsidR="007B13FA" w:rsidRPr="00173F69">
        <w:rPr>
          <w:spacing w:val="-2"/>
          <w:szCs w:val="22"/>
          <w:lang w:val="sr-Latn-ME"/>
        </w:rPr>
        <w:t xml:space="preserve">, </w:t>
      </w:r>
      <w:proofErr w:type="spellStart"/>
      <w:r w:rsidR="007B13FA" w:rsidRPr="00173F69">
        <w:rPr>
          <w:spacing w:val="-2"/>
          <w:szCs w:val="22"/>
          <w:lang w:val="sr-Latn-ME"/>
        </w:rPr>
        <w:t>angioedem</w:t>
      </w:r>
      <w:proofErr w:type="spellEnd"/>
      <w:r w:rsidR="007B13FA" w:rsidRPr="00173F69">
        <w:rPr>
          <w:spacing w:val="-2"/>
          <w:szCs w:val="22"/>
          <w:lang w:val="sr-Latn-ME"/>
        </w:rPr>
        <w:t>, urtikarija</w:t>
      </w:r>
    </w:p>
    <w:p w14:paraId="207B0EA9" w14:textId="77777777" w:rsidR="006E4E9B" w:rsidRPr="00173F69" w:rsidRDefault="006E4E9B" w:rsidP="00614295">
      <w:pPr>
        <w:rPr>
          <w:szCs w:val="22"/>
          <w:u w:val="single"/>
          <w:lang w:val="sr-Latn-ME"/>
        </w:rPr>
      </w:pPr>
    </w:p>
    <w:p w14:paraId="202A1122" w14:textId="77777777" w:rsidR="000332C5" w:rsidRPr="00173F69" w:rsidRDefault="000332C5" w:rsidP="00614295">
      <w:pPr>
        <w:rPr>
          <w:rFonts w:eastAsia="Calibri"/>
          <w:szCs w:val="22"/>
          <w:u w:val="single"/>
          <w:lang w:val="sr-Latn-ME"/>
        </w:rPr>
      </w:pPr>
      <w:r w:rsidRPr="00173F69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08E00EEF" w14:textId="10F5802D" w:rsidR="000332C5" w:rsidRPr="00173F69" w:rsidRDefault="000332C5" w:rsidP="00614295">
      <w:pPr>
        <w:rPr>
          <w:rFonts w:eastAsia="Calibri"/>
          <w:szCs w:val="22"/>
          <w:lang w:val="sr-Latn-ME"/>
        </w:rPr>
      </w:pPr>
      <w:r w:rsidRPr="00173F69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3542FC04" w14:textId="77777777" w:rsidR="004F7F52" w:rsidRPr="00173F69" w:rsidRDefault="004F7F52" w:rsidP="00614295">
      <w:pPr>
        <w:rPr>
          <w:rFonts w:eastAsia="Calibri"/>
          <w:szCs w:val="22"/>
          <w:lang w:val="sr-Latn-ME"/>
        </w:rPr>
      </w:pPr>
    </w:p>
    <w:p w14:paraId="16A9A88A" w14:textId="77777777" w:rsidR="000332C5" w:rsidRPr="00173F69" w:rsidRDefault="000332C5" w:rsidP="0061429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73F69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05B37514" w14:textId="77777777" w:rsidR="000332C5" w:rsidRPr="00173F69" w:rsidRDefault="000332C5" w:rsidP="0061429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73F69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173F69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509F238E" w14:textId="77777777" w:rsidR="000332C5" w:rsidRPr="00173F69" w:rsidRDefault="000332C5" w:rsidP="0061429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73F69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0423EDA2" w14:textId="77777777" w:rsidR="000332C5" w:rsidRPr="00173F69" w:rsidRDefault="000332C5" w:rsidP="00614295">
      <w:pPr>
        <w:pStyle w:val="NoSpacing"/>
        <w:rPr>
          <w:rFonts w:eastAsia="Calibri"/>
          <w:sz w:val="22"/>
          <w:szCs w:val="22"/>
          <w:lang w:val="sr-Latn-ME"/>
        </w:rPr>
      </w:pPr>
    </w:p>
    <w:p w14:paraId="71601AAB" w14:textId="77777777" w:rsidR="000332C5" w:rsidRPr="00173F69" w:rsidRDefault="000332C5" w:rsidP="0061429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73F69">
        <w:rPr>
          <w:rFonts w:eastAsia="Calibri"/>
          <w:sz w:val="22"/>
          <w:szCs w:val="22"/>
          <w:lang w:val="sr-Latn-ME"/>
        </w:rPr>
        <w:t>tel: +382 (0) 20 310 280</w:t>
      </w:r>
    </w:p>
    <w:p w14:paraId="0EEC0284" w14:textId="77777777" w:rsidR="000332C5" w:rsidRPr="00173F69" w:rsidRDefault="000332C5" w:rsidP="00614295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173F69">
        <w:rPr>
          <w:rFonts w:eastAsia="Calibri"/>
          <w:sz w:val="22"/>
          <w:szCs w:val="22"/>
          <w:lang w:val="sr-Latn-ME"/>
        </w:rPr>
        <w:t>fax</w:t>
      </w:r>
      <w:proofErr w:type="spellEnd"/>
      <w:r w:rsidRPr="00173F69">
        <w:rPr>
          <w:rFonts w:eastAsia="Calibri"/>
          <w:sz w:val="22"/>
          <w:szCs w:val="22"/>
          <w:lang w:val="sr-Latn-ME"/>
        </w:rPr>
        <w:t>: +382 (0) 20 310 581</w:t>
      </w:r>
      <w:r w:rsidRPr="00173F69">
        <w:rPr>
          <w:rFonts w:eastAsia="Calibri"/>
          <w:sz w:val="22"/>
          <w:szCs w:val="22"/>
          <w:lang w:val="sr-Latn-ME"/>
        </w:rPr>
        <w:tab/>
      </w:r>
    </w:p>
    <w:p w14:paraId="0F29471E" w14:textId="77777777" w:rsidR="000332C5" w:rsidRPr="00173F69" w:rsidRDefault="00773B58" w:rsidP="0061429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1" w:history="1">
        <w:r w:rsidR="000332C5" w:rsidRPr="00173F69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3D99F01D" w14:textId="77777777" w:rsidR="000332C5" w:rsidRPr="00173F69" w:rsidRDefault="00773B58" w:rsidP="00614295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2" w:history="1">
        <w:r w:rsidR="000332C5" w:rsidRPr="00173F69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559D5470" w14:textId="77777777" w:rsidR="000332C5" w:rsidRPr="00173F69" w:rsidRDefault="000332C5" w:rsidP="0061429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73F69">
        <w:rPr>
          <w:rFonts w:eastAsia="Calibri"/>
          <w:sz w:val="22"/>
          <w:szCs w:val="22"/>
          <w:lang w:val="sr-Latn-ME"/>
        </w:rPr>
        <w:t>putem IS zdravstvene zaštite</w:t>
      </w:r>
    </w:p>
    <w:p w14:paraId="0FBD269B" w14:textId="77777777" w:rsidR="000332C5" w:rsidRPr="00173F69" w:rsidRDefault="000332C5" w:rsidP="0061429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73F69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173F69">
        <w:rPr>
          <w:rFonts w:eastAsia="Calibri"/>
          <w:sz w:val="22"/>
          <w:szCs w:val="22"/>
          <w:lang w:val="sr-Latn-ME"/>
        </w:rPr>
        <w:t>online</w:t>
      </w:r>
      <w:proofErr w:type="spellEnd"/>
      <w:r w:rsidRPr="00173F69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667EBA95" w14:textId="77777777" w:rsidR="000332C5" w:rsidRPr="00173F69" w:rsidRDefault="000332C5" w:rsidP="00614295">
      <w:pPr>
        <w:pStyle w:val="NoSpacing"/>
        <w:rPr>
          <w:rFonts w:eastAsia="Calibri"/>
          <w:sz w:val="22"/>
          <w:szCs w:val="22"/>
          <w:lang w:val="sr-Latn-ME"/>
        </w:rPr>
      </w:pPr>
    </w:p>
    <w:p w14:paraId="26C8E1C3" w14:textId="77777777" w:rsidR="000332C5" w:rsidRPr="00173F69" w:rsidRDefault="000332C5" w:rsidP="00614295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173F69">
        <w:rPr>
          <w:b/>
          <w:bCs/>
          <w:noProof/>
          <w:szCs w:val="22"/>
          <w:lang w:val="sr-Latn-ME"/>
        </w:rPr>
        <w:drawing>
          <wp:inline distT="0" distB="0" distL="0" distR="0" wp14:anchorId="5741EB48" wp14:editId="54E0176A">
            <wp:extent cx="980796" cy="972000"/>
            <wp:effectExtent l="0" t="0" r="0" b="0"/>
            <wp:docPr id="10" name="Picture 9" descr="A qr code on a white background&#10;&#10;AI-generated content may be incorrect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qr code on a white background&#10;&#10;AI-generated content may be incorrect.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2961FA" w14:textId="77777777" w:rsidR="00CE09F3" w:rsidRPr="00173F69" w:rsidRDefault="00CE09F3" w:rsidP="00614295">
      <w:pPr>
        <w:rPr>
          <w:szCs w:val="22"/>
          <w:lang w:val="sr-Latn-ME"/>
        </w:rPr>
      </w:pPr>
    </w:p>
    <w:p w14:paraId="43A0A9C2" w14:textId="77777777" w:rsidR="00CE09F3" w:rsidRPr="00173F69" w:rsidRDefault="00CE09F3" w:rsidP="00614295">
      <w:pPr>
        <w:rPr>
          <w:b/>
          <w:bCs/>
          <w:szCs w:val="22"/>
          <w:lang w:val="sr-Latn-ME"/>
        </w:rPr>
      </w:pPr>
      <w:r w:rsidRPr="00173F69">
        <w:rPr>
          <w:b/>
          <w:bCs/>
          <w:szCs w:val="22"/>
          <w:lang w:val="sr-Latn-ME"/>
        </w:rPr>
        <w:t xml:space="preserve">4.9. </w:t>
      </w:r>
      <w:proofErr w:type="spellStart"/>
      <w:r w:rsidRPr="00173F69">
        <w:rPr>
          <w:b/>
          <w:bCs/>
          <w:szCs w:val="22"/>
          <w:lang w:val="sr-Latn-ME"/>
        </w:rPr>
        <w:t>Predoziranje</w:t>
      </w:r>
      <w:proofErr w:type="spellEnd"/>
    </w:p>
    <w:p w14:paraId="059D4DB9" w14:textId="77777777" w:rsidR="00CE09F3" w:rsidRPr="00173F69" w:rsidRDefault="00CE09F3" w:rsidP="00614295">
      <w:pPr>
        <w:rPr>
          <w:szCs w:val="22"/>
          <w:lang w:val="sr-Latn-ME"/>
        </w:rPr>
      </w:pPr>
    </w:p>
    <w:p w14:paraId="7EBB684D" w14:textId="7031A966" w:rsidR="00CE09F3" w:rsidRPr="00173F69" w:rsidRDefault="00C22964" w:rsidP="00614295">
      <w:pPr>
        <w:rPr>
          <w:szCs w:val="22"/>
          <w:lang w:val="sr-Latn-ME"/>
        </w:rPr>
      </w:pPr>
      <w:r w:rsidRPr="00173F69">
        <w:rPr>
          <w:szCs w:val="22"/>
          <w:lang w:val="sr-Latn-ME"/>
        </w:rPr>
        <w:t xml:space="preserve">Ne postoje iskustva o </w:t>
      </w:r>
      <w:proofErr w:type="spellStart"/>
      <w:r w:rsidRPr="00173F69">
        <w:rPr>
          <w:szCs w:val="22"/>
          <w:lang w:val="sr-Latn-ME"/>
        </w:rPr>
        <w:t>predoziranju</w:t>
      </w:r>
      <w:proofErr w:type="spellEnd"/>
      <w:r w:rsidRPr="00173F69">
        <w:rPr>
          <w:szCs w:val="22"/>
          <w:lang w:val="sr-Latn-ME"/>
        </w:rPr>
        <w:t xml:space="preserve"> </w:t>
      </w:r>
      <w:proofErr w:type="spellStart"/>
      <w:r w:rsidRPr="00173F69">
        <w:rPr>
          <w:szCs w:val="22"/>
          <w:lang w:val="sr-Latn-ME"/>
        </w:rPr>
        <w:t>inozin</w:t>
      </w:r>
      <w:proofErr w:type="spellEnd"/>
      <w:r w:rsidRPr="00173F69">
        <w:rPr>
          <w:szCs w:val="22"/>
          <w:lang w:val="sr-Latn-ME"/>
        </w:rPr>
        <w:t xml:space="preserve"> </w:t>
      </w:r>
      <w:proofErr w:type="spellStart"/>
      <w:r w:rsidRPr="00173F69">
        <w:rPr>
          <w:szCs w:val="22"/>
          <w:lang w:val="sr-Latn-ME"/>
        </w:rPr>
        <w:t>acedoben</w:t>
      </w:r>
      <w:proofErr w:type="spellEnd"/>
      <w:r w:rsidRPr="00173F69">
        <w:rPr>
          <w:szCs w:val="22"/>
          <w:lang w:val="sr-Latn-ME"/>
        </w:rPr>
        <w:t xml:space="preserve"> </w:t>
      </w:r>
      <w:proofErr w:type="spellStart"/>
      <w:r w:rsidRPr="00173F69">
        <w:rPr>
          <w:szCs w:val="22"/>
          <w:lang w:val="sr-Latn-ME"/>
        </w:rPr>
        <w:t>dimepranolom</w:t>
      </w:r>
      <w:proofErr w:type="spellEnd"/>
      <w:r w:rsidRPr="00173F69">
        <w:rPr>
          <w:szCs w:val="22"/>
          <w:lang w:val="sr-Latn-ME"/>
        </w:rPr>
        <w:t>. Međutim, ozbiljna neželjena dejstva, osim povišen</w:t>
      </w:r>
      <w:r w:rsidR="00504D43" w:rsidRPr="00173F69">
        <w:rPr>
          <w:szCs w:val="22"/>
          <w:lang w:val="sr-Latn-ME"/>
        </w:rPr>
        <w:t>e koncentracije</w:t>
      </w:r>
      <w:r w:rsidRPr="00173F69">
        <w:rPr>
          <w:szCs w:val="22"/>
          <w:lang w:val="sr-Latn-ME"/>
        </w:rPr>
        <w:t xml:space="preserve"> mokraćne kiseline u t</w:t>
      </w:r>
      <w:r w:rsidR="00305BDB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>elu, su malo v</w:t>
      </w:r>
      <w:r w:rsidR="00305BDB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>erovatna prema studijama toksičnosti sprovedenim na životinjama. L</w:t>
      </w:r>
      <w:r w:rsidR="00305BDB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 xml:space="preserve">ečenje </w:t>
      </w:r>
      <w:proofErr w:type="spellStart"/>
      <w:r w:rsidRPr="00173F69">
        <w:rPr>
          <w:szCs w:val="22"/>
          <w:lang w:val="sr-Latn-ME"/>
        </w:rPr>
        <w:t>predoziranja</w:t>
      </w:r>
      <w:proofErr w:type="spellEnd"/>
      <w:r w:rsidRPr="00173F69">
        <w:rPr>
          <w:szCs w:val="22"/>
          <w:lang w:val="sr-Latn-ME"/>
        </w:rPr>
        <w:t xml:space="preserve"> bi trebalo bazirati na </w:t>
      </w:r>
      <w:proofErr w:type="spellStart"/>
      <w:r w:rsidRPr="00173F69">
        <w:rPr>
          <w:szCs w:val="22"/>
          <w:lang w:val="sr-Latn-ME"/>
        </w:rPr>
        <w:t>simptomatskom</w:t>
      </w:r>
      <w:proofErr w:type="spellEnd"/>
      <w:r w:rsidRPr="00173F69">
        <w:rPr>
          <w:szCs w:val="22"/>
          <w:lang w:val="sr-Latn-ME"/>
        </w:rPr>
        <w:t xml:space="preserve"> i </w:t>
      </w:r>
      <w:proofErr w:type="spellStart"/>
      <w:r w:rsidRPr="00173F69">
        <w:rPr>
          <w:szCs w:val="22"/>
          <w:lang w:val="sr-Latn-ME"/>
        </w:rPr>
        <w:t>suportivnom</w:t>
      </w:r>
      <w:proofErr w:type="spellEnd"/>
      <w:r w:rsidRPr="00173F69">
        <w:rPr>
          <w:szCs w:val="22"/>
          <w:lang w:val="sr-Latn-ME"/>
        </w:rPr>
        <w:t xml:space="preserve"> l</w:t>
      </w:r>
      <w:r w:rsidR="00305BDB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>ečenju.</w:t>
      </w:r>
    </w:p>
    <w:p w14:paraId="771E0404" w14:textId="1E229526" w:rsidR="00107AD2" w:rsidRPr="00173F69" w:rsidRDefault="00107AD2" w:rsidP="00614295">
      <w:pPr>
        <w:rPr>
          <w:szCs w:val="22"/>
          <w:lang w:val="sr-Latn-ME"/>
        </w:rPr>
      </w:pPr>
    </w:p>
    <w:p w14:paraId="2FC088C1" w14:textId="77777777" w:rsidR="004F7F52" w:rsidRPr="00173F69" w:rsidRDefault="004F7F52" w:rsidP="00614295">
      <w:pPr>
        <w:rPr>
          <w:szCs w:val="22"/>
          <w:lang w:val="sr-Latn-ME"/>
        </w:rPr>
      </w:pPr>
    </w:p>
    <w:p w14:paraId="769D57B7" w14:textId="77777777" w:rsidR="00CE09F3" w:rsidRPr="00173F69" w:rsidRDefault="00CE09F3" w:rsidP="00614295">
      <w:pPr>
        <w:pStyle w:val="NASLOV123"/>
        <w:spacing w:before="0" w:after="0"/>
        <w:rPr>
          <w:lang w:val="sr-Latn-ME"/>
        </w:rPr>
      </w:pPr>
      <w:r w:rsidRPr="00173F69">
        <w:rPr>
          <w:lang w:val="sr-Latn-ME"/>
        </w:rPr>
        <w:t>5. FARMAKOLOŠKI PODACI</w:t>
      </w:r>
    </w:p>
    <w:p w14:paraId="7B5B8C9F" w14:textId="77777777" w:rsidR="004F7F52" w:rsidRPr="00173F69" w:rsidRDefault="004F7F52" w:rsidP="00614295">
      <w:pPr>
        <w:rPr>
          <w:b/>
          <w:bCs/>
          <w:szCs w:val="22"/>
          <w:lang w:val="sr-Latn-ME"/>
        </w:rPr>
      </w:pPr>
    </w:p>
    <w:p w14:paraId="0D3B1087" w14:textId="6C1EF9A1" w:rsidR="00CE09F3" w:rsidRPr="00173F69" w:rsidRDefault="00CE09F3" w:rsidP="00614295">
      <w:pPr>
        <w:rPr>
          <w:b/>
          <w:bCs/>
          <w:szCs w:val="22"/>
          <w:lang w:val="sr-Latn-ME"/>
        </w:rPr>
      </w:pPr>
      <w:r w:rsidRPr="00173F69">
        <w:rPr>
          <w:b/>
          <w:bCs/>
          <w:szCs w:val="22"/>
          <w:lang w:val="sr-Latn-ME"/>
        </w:rPr>
        <w:t xml:space="preserve">5.1. </w:t>
      </w:r>
      <w:proofErr w:type="spellStart"/>
      <w:r w:rsidRPr="00173F69">
        <w:rPr>
          <w:b/>
          <w:bCs/>
          <w:szCs w:val="22"/>
          <w:lang w:val="sr-Latn-ME"/>
        </w:rPr>
        <w:t>Farmakodinamski</w:t>
      </w:r>
      <w:proofErr w:type="spellEnd"/>
      <w:r w:rsidRPr="00173F69">
        <w:rPr>
          <w:b/>
          <w:bCs/>
          <w:szCs w:val="22"/>
          <w:lang w:val="sr-Latn-ME"/>
        </w:rPr>
        <w:t xml:space="preserve"> podaci</w:t>
      </w:r>
    </w:p>
    <w:p w14:paraId="015E484E" w14:textId="77777777" w:rsidR="004F7F52" w:rsidRPr="00173F69" w:rsidRDefault="004F7F52" w:rsidP="00614295">
      <w:pPr>
        <w:rPr>
          <w:b/>
          <w:bCs/>
          <w:szCs w:val="22"/>
          <w:lang w:val="sr-Latn-ME"/>
        </w:rPr>
      </w:pPr>
    </w:p>
    <w:p w14:paraId="2DF5C710" w14:textId="2C061B9E" w:rsidR="00CE09F3" w:rsidRPr="00173F69" w:rsidRDefault="00CE09F3" w:rsidP="00614295">
      <w:pPr>
        <w:rPr>
          <w:szCs w:val="22"/>
          <w:lang w:val="sr-Latn-ME"/>
        </w:rPr>
      </w:pPr>
      <w:proofErr w:type="spellStart"/>
      <w:r w:rsidRPr="00173F69">
        <w:rPr>
          <w:b/>
          <w:bCs/>
          <w:szCs w:val="22"/>
          <w:lang w:val="sr-Latn-ME"/>
        </w:rPr>
        <w:t>Farmakoterapijska</w:t>
      </w:r>
      <w:proofErr w:type="spellEnd"/>
      <w:r w:rsidRPr="00173F69">
        <w:rPr>
          <w:b/>
          <w:bCs/>
          <w:szCs w:val="22"/>
          <w:lang w:val="sr-Latn-ME"/>
        </w:rPr>
        <w:t xml:space="preserve"> grupa:</w:t>
      </w:r>
      <w:r w:rsidR="00C22964" w:rsidRPr="00173F69">
        <w:rPr>
          <w:b/>
          <w:bCs/>
          <w:szCs w:val="22"/>
          <w:lang w:val="sr-Latn-ME"/>
        </w:rPr>
        <w:t xml:space="preserve"> </w:t>
      </w:r>
      <w:r w:rsidR="00E91474" w:rsidRPr="00173F69">
        <w:rPr>
          <w:szCs w:val="22"/>
          <w:lang w:val="sr-Latn-ME"/>
        </w:rPr>
        <w:t>Antivirusni l</w:t>
      </w:r>
      <w:r w:rsidR="00E7432A" w:rsidRPr="00173F69">
        <w:rPr>
          <w:szCs w:val="22"/>
          <w:lang w:val="sr-Latn-ME"/>
        </w:rPr>
        <w:t>j</w:t>
      </w:r>
      <w:r w:rsidR="00E91474" w:rsidRPr="00173F69">
        <w:rPr>
          <w:szCs w:val="22"/>
          <w:lang w:val="sr-Latn-ME"/>
        </w:rPr>
        <w:t>ekovi za sistemsku prim</w:t>
      </w:r>
      <w:r w:rsidR="00E7432A" w:rsidRPr="00173F69">
        <w:rPr>
          <w:szCs w:val="22"/>
          <w:lang w:val="sr-Latn-ME"/>
        </w:rPr>
        <w:t>j</w:t>
      </w:r>
      <w:r w:rsidR="00E91474" w:rsidRPr="00173F69">
        <w:rPr>
          <w:szCs w:val="22"/>
          <w:lang w:val="sr-Latn-ME"/>
        </w:rPr>
        <w:t>enu; o</w:t>
      </w:r>
      <w:r w:rsidR="00C22964" w:rsidRPr="00173F69">
        <w:rPr>
          <w:szCs w:val="22"/>
          <w:lang w:val="sr-Latn-ME"/>
        </w:rPr>
        <w:t>stali antivirusni l</w:t>
      </w:r>
      <w:r w:rsidR="00E7432A" w:rsidRPr="00173F69">
        <w:rPr>
          <w:szCs w:val="22"/>
          <w:lang w:val="sr-Latn-ME"/>
        </w:rPr>
        <w:t>j</w:t>
      </w:r>
      <w:r w:rsidR="00C22964" w:rsidRPr="00173F69">
        <w:rPr>
          <w:szCs w:val="22"/>
          <w:lang w:val="sr-Latn-ME"/>
        </w:rPr>
        <w:t>ekovi</w:t>
      </w:r>
    </w:p>
    <w:p w14:paraId="48E2773F" w14:textId="77777777" w:rsidR="00CE09F3" w:rsidRPr="00173F69" w:rsidRDefault="00CE09F3" w:rsidP="00614295">
      <w:pPr>
        <w:rPr>
          <w:szCs w:val="22"/>
          <w:lang w:val="sr-Latn-ME"/>
        </w:rPr>
      </w:pPr>
    </w:p>
    <w:p w14:paraId="33057BD6" w14:textId="07E3F7A7" w:rsidR="00CE09F3" w:rsidRPr="00173F69" w:rsidRDefault="00CE09F3" w:rsidP="00614295">
      <w:pPr>
        <w:rPr>
          <w:b/>
          <w:bCs/>
          <w:szCs w:val="22"/>
          <w:lang w:val="sr-Latn-ME"/>
        </w:rPr>
      </w:pPr>
      <w:r w:rsidRPr="00173F69">
        <w:rPr>
          <w:b/>
          <w:bCs/>
          <w:szCs w:val="22"/>
          <w:lang w:val="sr-Latn-ME"/>
        </w:rPr>
        <w:t xml:space="preserve">ATC </w:t>
      </w:r>
      <w:r w:rsidR="00ED4A84" w:rsidRPr="00173F69">
        <w:rPr>
          <w:b/>
          <w:bCs/>
          <w:szCs w:val="22"/>
          <w:lang w:val="sr-Latn-ME"/>
        </w:rPr>
        <w:t>kod</w:t>
      </w:r>
      <w:r w:rsidRPr="00173F69">
        <w:rPr>
          <w:b/>
          <w:bCs/>
          <w:szCs w:val="22"/>
          <w:lang w:val="sr-Latn-ME"/>
        </w:rPr>
        <w:t>:</w:t>
      </w:r>
      <w:r w:rsidR="00C22964" w:rsidRPr="00173F69">
        <w:rPr>
          <w:b/>
          <w:bCs/>
          <w:szCs w:val="22"/>
          <w:lang w:val="sr-Latn-ME"/>
        </w:rPr>
        <w:t xml:space="preserve"> </w:t>
      </w:r>
      <w:r w:rsidR="00C22964" w:rsidRPr="00173F69">
        <w:rPr>
          <w:szCs w:val="22"/>
          <w:lang w:val="sr-Latn-ME"/>
        </w:rPr>
        <w:t>J05AX05</w:t>
      </w:r>
    </w:p>
    <w:p w14:paraId="746C934F" w14:textId="77777777" w:rsidR="00CE09F3" w:rsidRPr="00173F69" w:rsidRDefault="00CE09F3" w:rsidP="00614295">
      <w:pPr>
        <w:rPr>
          <w:szCs w:val="22"/>
          <w:lang w:val="sr-Latn-ME"/>
        </w:rPr>
      </w:pPr>
    </w:p>
    <w:p w14:paraId="045C4459" w14:textId="20369F1E" w:rsidR="002E3359" w:rsidRPr="00173F69" w:rsidRDefault="002E3359" w:rsidP="00614295">
      <w:pPr>
        <w:rPr>
          <w:spacing w:val="-2"/>
          <w:szCs w:val="22"/>
          <w:lang w:val="sr-Latn-ME"/>
        </w:rPr>
      </w:pPr>
      <w:proofErr w:type="spellStart"/>
      <w:r w:rsidRPr="00173F69">
        <w:rPr>
          <w:szCs w:val="22"/>
          <w:lang w:val="sr-Latn-ME"/>
        </w:rPr>
        <w:t>Isoprinosine</w:t>
      </w:r>
      <w:proofErr w:type="spellEnd"/>
      <w:r w:rsidRPr="00173F69">
        <w:rPr>
          <w:szCs w:val="22"/>
          <w:lang w:val="sr-Latn-ME"/>
        </w:rPr>
        <w:t xml:space="preserve"> (</w:t>
      </w:r>
      <w:proofErr w:type="spellStart"/>
      <w:r w:rsidRPr="00173F69">
        <w:rPr>
          <w:szCs w:val="22"/>
          <w:lang w:val="sr-Latn-ME"/>
        </w:rPr>
        <w:t>inozin</w:t>
      </w:r>
      <w:proofErr w:type="spellEnd"/>
      <w:r w:rsidRPr="00173F69">
        <w:rPr>
          <w:szCs w:val="22"/>
          <w:lang w:val="sr-Latn-ME"/>
        </w:rPr>
        <w:t xml:space="preserve"> </w:t>
      </w:r>
      <w:proofErr w:type="spellStart"/>
      <w:r w:rsidRPr="00173F69">
        <w:rPr>
          <w:szCs w:val="22"/>
          <w:lang w:val="sr-Latn-ME"/>
        </w:rPr>
        <w:t>acedoben</w:t>
      </w:r>
      <w:proofErr w:type="spellEnd"/>
      <w:r w:rsidRPr="00173F69">
        <w:rPr>
          <w:szCs w:val="22"/>
          <w:lang w:val="sr-Latn-ME"/>
        </w:rPr>
        <w:t xml:space="preserve"> </w:t>
      </w:r>
      <w:proofErr w:type="spellStart"/>
      <w:r w:rsidRPr="00173F69">
        <w:rPr>
          <w:szCs w:val="22"/>
          <w:lang w:val="sr-Latn-ME"/>
        </w:rPr>
        <w:t>dimepranol</w:t>
      </w:r>
      <w:proofErr w:type="spellEnd"/>
      <w:r w:rsidRPr="00173F69">
        <w:rPr>
          <w:szCs w:val="22"/>
          <w:lang w:val="sr-Latn-ME"/>
        </w:rPr>
        <w:t xml:space="preserve">) je sintetski derivat purina sa </w:t>
      </w:r>
      <w:proofErr w:type="spellStart"/>
      <w:r w:rsidRPr="00173F69">
        <w:rPr>
          <w:szCs w:val="22"/>
          <w:lang w:val="sr-Latn-ME"/>
        </w:rPr>
        <w:t>imunomodulatornim</w:t>
      </w:r>
      <w:proofErr w:type="spellEnd"/>
      <w:r w:rsidRPr="00173F69">
        <w:rPr>
          <w:szCs w:val="22"/>
          <w:lang w:val="sr-Latn-ME"/>
        </w:rPr>
        <w:t xml:space="preserve"> i antivirusnim dejstvom, koji rezultira </w:t>
      </w:r>
      <w:r w:rsidRPr="00173F69">
        <w:rPr>
          <w:i/>
          <w:szCs w:val="22"/>
          <w:lang w:val="sr-Latn-ME"/>
        </w:rPr>
        <w:t xml:space="preserve">in </w:t>
      </w:r>
      <w:proofErr w:type="spellStart"/>
      <w:r w:rsidRPr="00173F69">
        <w:rPr>
          <w:i/>
          <w:szCs w:val="22"/>
          <w:lang w:val="sr-Latn-ME"/>
        </w:rPr>
        <w:t>vivo</w:t>
      </w:r>
      <w:proofErr w:type="spellEnd"/>
      <w:r w:rsidRPr="00173F69">
        <w:rPr>
          <w:i/>
          <w:szCs w:val="22"/>
          <w:lang w:val="sr-Latn-ME"/>
        </w:rPr>
        <w:t xml:space="preserve"> </w:t>
      </w:r>
      <w:r w:rsidRPr="00173F69">
        <w:rPr>
          <w:szCs w:val="22"/>
          <w:lang w:val="sr-Latn-ME"/>
        </w:rPr>
        <w:t xml:space="preserve">očiglednim poboljšanjem imunog odgovora domaćina. U kliničkim studijama pokazano je da </w:t>
      </w:r>
      <w:proofErr w:type="spellStart"/>
      <w:r w:rsidRPr="00173F69">
        <w:rPr>
          <w:szCs w:val="22"/>
          <w:lang w:val="sr-Latn-ME"/>
        </w:rPr>
        <w:t>inozin</w:t>
      </w:r>
      <w:proofErr w:type="spellEnd"/>
      <w:r w:rsidRPr="00173F69">
        <w:rPr>
          <w:szCs w:val="22"/>
          <w:lang w:val="sr-Latn-ME"/>
        </w:rPr>
        <w:t xml:space="preserve"> </w:t>
      </w:r>
      <w:proofErr w:type="spellStart"/>
      <w:r w:rsidRPr="00173F69">
        <w:rPr>
          <w:szCs w:val="22"/>
          <w:lang w:val="sr-Latn-ME"/>
        </w:rPr>
        <w:t>acedoben</w:t>
      </w:r>
      <w:proofErr w:type="spellEnd"/>
      <w:r w:rsidRPr="00173F69">
        <w:rPr>
          <w:szCs w:val="22"/>
          <w:lang w:val="sr-Latn-ME"/>
        </w:rPr>
        <w:t xml:space="preserve"> </w:t>
      </w:r>
      <w:proofErr w:type="spellStart"/>
      <w:r w:rsidRPr="00173F69">
        <w:rPr>
          <w:szCs w:val="22"/>
          <w:lang w:val="sr-Latn-ME"/>
        </w:rPr>
        <w:t>dimepranol</w:t>
      </w:r>
      <w:proofErr w:type="spellEnd"/>
      <w:r w:rsidRPr="00173F69">
        <w:rPr>
          <w:szCs w:val="22"/>
          <w:lang w:val="sr-Latn-ME"/>
        </w:rPr>
        <w:t xml:space="preserve"> dovodi do normalizacije (vraća na pacijentove početne vr</w:t>
      </w:r>
      <w:r w:rsidR="00E7432A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 xml:space="preserve">ednosti) </w:t>
      </w:r>
      <w:proofErr w:type="spellStart"/>
      <w:r w:rsidRPr="00173F69">
        <w:rPr>
          <w:szCs w:val="22"/>
          <w:lang w:val="sr-Latn-ME"/>
        </w:rPr>
        <w:t>deficijentnog</w:t>
      </w:r>
      <w:proofErr w:type="spellEnd"/>
      <w:r w:rsidRPr="00173F69">
        <w:rPr>
          <w:szCs w:val="22"/>
          <w:lang w:val="sr-Latn-ME"/>
        </w:rPr>
        <w:t xml:space="preserve"> ili </w:t>
      </w:r>
      <w:proofErr w:type="spellStart"/>
      <w:r w:rsidRPr="00173F69">
        <w:rPr>
          <w:szCs w:val="22"/>
          <w:lang w:val="sr-Latn-ME"/>
        </w:rPr>
        <w:t>disfunkcionalnog</w:t>
      </w:r>
      <w:proofErr w:type="spellEnd"/>
      <w:r w:rsidRPr="00173F69">
        <w:rPr>
          <w:szCs w:val="22"/>
          <w:lang w:val="sr-Latn-ME"/>
        </w:rPr>
        <w:t xml:space="preserve"> ćelijski posredovanog imunog odgovora podstičući </w:t>
      </w:r>
      <w:r w:rsidRPr="00173F69">
        <w:rPr>
          <w:spacing w:val="-2"/>
          <w:szCs w:val="22"/>
          <w:lang w:val="sr-Latn-ME"/>
        </w:rPr>
        <w:t xml:space="preserve">Th1 tip imunog odgovora koji započinje </w:t>
      </w:r>
      <w:proofErr w:type="spellStart"/>
      <w:r w:rsidRPr="00173F69">
        <w:rPr>
          <w:spacing w:val="-2"/>
          <w:szCs w:val="22"/>
          <w:lang w:val="sr-Latn-ME"/>
        </w:rPr>
        <w:t>maturacijom</w:t>
      </w:r>
      <w:proofErr w:type="spellEnd"/>
      <w:r w:rsidRPr="00173F69">
        <w:rPr>
          <w:spacing w:val="-2"/>
          <w:szCs w:val="22"/>
          <w:lang w:val="sr-Latn-ME"/>
        </w:rPr>
        <w:t xml:space="preserve"> i diferencijacijom T </w:t>
      </w:r>
      <w:proofErr w:type="spellStart"/>
      <w:r w:rsidRPr="00173F69">
        <w:rPr>
          <w:spacing w:val="-2"/>
          <w:szCs w:val="22"/>
          <w:lang w:val="sr-Latn-ME"/>
        </w:rPr>
        <w:t>limfocita</w:t>
      </w:r>
      <w:proofErr w:type="spellEnd"/>
      <w:r w:rsidRPr="00173F69">
        <w:rPr>
          <w:spacing w:val="-2"/>
          <w:szCs w:val="22"/>
          <w:lang w:val="sr-Latn-ME"/>
        </w:rPr>
        <w:t xml:space="preserve"> i potencira </w:t>
      </w:r>
      <w:proofErr w:type="spellStart"/>
      <w:r w:rsidRPr="00173F69">
        <w:rPr>
          <w:spacing w:val="-2"/>
          <w:szCs w:val="22"/>
          <w:lang w:val="sr-Latn-ME"/>
        </w:rPr>
        <w:t>mitogenima</w:t>
      </w:r>
      <w:proofErr w:type="spellEnd"/>
      <w:r w:rsidRPr="00173F69">
        <w:rPr>
          <w:spacing w:val="-2"/>
          <w:szCs w:val="22"/>
          <w:lang w:val="sr-Latn-ME"/>
        </w:rPr>
        <w:t xml:space="preserve"> ili </w:t>
      </w:r>
      <w:proofErr w:type="spellStart"/>
      <w:r w:rsidRPr="00173F69">
        <w:rPr>
          <w:spacing w:val="-2"/>
          <w:szCs w:val="22"/>
          <w:lang w:val="sr-Latn-ME"/>
        </w:rPr>
        <w:t>antigenima</w:t>
      </w:r>
      <w:proofErr w:type="spellEnd"/>
      <w:r w:rsidRPr="00173F69">
        <w:rPr>
          <w:spacing w:val="-2"/>
          <w:szCs w:val="22"/>
          <w:lang w:val="sr-Latn-ME"/>
        </w:rPr>
        <w:t xml:space="preserve"> indukovanu </w:t>
      </w:r>
      <w:proofErr w:type="spellStart"/>
      <w:r w:rsidRPr="00173F69">
        <w:rPr>
          <w:spacing w:val="-2"/>
          <w:szCs w:val="22"/>
          <w:lang w:val="sr-Latn-ME"/>
        </w:rPr>
        <w:t>proliferaciju</w:t>
      </w:r>
      <w:proofErr w:type="spellEnd"/>
      <w:r w:rsidRPr="00173F69">
        <w:rPr>
          <w:spacing w:val="-2"/>
          <w:szCs w:val="22"/>
          <w:lang w:val="sr-Latn-ME"/>
        </w:rPr>
        <w:t xml:space="preserve"> </w:t>
      </w:r>
      <w:proofErr w:type="spellStart"/>
      <w:r w:rsidRPr="00173F69">
        <w:rPr>
          <w:spacing w:val="-2"/>
          <w:szCs w:val="22"/>
          <w:lang w:val="sr-Latn-ME"/>
        </w:rPr>
        <w:t>limfocita</w:t>
      </w:r>
      <w:proofErr w:type="spellEnd"/>
      <w:r w:rsidRPr="00173F69">
        <w:rPr>
          <w:spacing w:val="-2"/>
          <w:szCs w:val="22"/>
          <w:lang w:val="sr-Latn-ME"/>
        </w:rPr>
        <w:t>. Slično tome, pokazano je da ovaj l</w:t>
      </w:r>
      <w:r w:rsidR="00E7432A" w:rsidRPr="00173F69">
        <w:rPr>
          <w:spacing w:val="-2"/>
          <w:szCs w:val="22"/>
          <w:lang w:val="sr-Latn-ME"/>
        </w:rPr>
        <w:t>ij</w:t>
      </w:r>
      <w:r w:rsidRPr="00173F69">
        <w:rPr>
          <w:spacing w:val="-2"/>
          <w:szCs w:val="22"/>
          <w:lang w:val="sr-Latn-ME"/>
        </w:rPr>
        <w:t xml:space="preserve">ek modulira </w:t>
      </w:r>
      <w:proofErr w:type="spellStart"/>
      <w:r w:rsidRPr="00173F69">
        <w:rPr>
          <w:spacing w:val="-2"/>
          <w:szCs w:val="22"/>
          <w:lang w:val="sr-Latn-ME"/>
        </w:rPr>
        <w:t>citotoksičnost</w:t>
      </w:r>
      <w:proofErr w:type="spellEnd"/>
      <w:r w:rsidRPr="00173F69">
        <w:rPr>
          <w:spacing w:val="-2"/>
          <w:szCs w:val="22"/>
          <w:lang w:val="sr-Latn-ME"/>
        </w:rPr>
        <w:t xml:space="preserve"> T </w:t>
      </w:r>
      <w:proofErr w:type="spellStart"/>
      <w:r w:rsidRPr="00173F69">
        <w:rPr>
          <w:spacing w:val="-2"/>
          <w:szCs w:val="22"/>
          <w:lang w:val="sr-Latn-ME"/>
        </w:rPr>
        <w:t>limfocita</w:t>
      </w:r>
      <w:proofErr w:type="spellEnd"/>
      <w:r w:rsidRPr="00173F69">
        <w:rPr>
          <w:spacing w:val="-2"/>
          <w:szCs w:val="22"/>
          <w:lang w:val="sr-Latn-ME"/>
        </w:rPr>
        <w:t xml:space="preserve"> i ćelija prirodnih ubica, funkcije </w:t>
      </w:r>
      <w:r w:rsidR="00693A2F" w:rsidRPr="00173F69">
        <w:rPr>
          <w:spacing w:val="-2"/>
          <w:szCs w:val="22"/>
          <w:lang w:val="sr-Latn-ME"/>
        </w:rPr>
        <w:t xml:space="preserve">CD8+ </w:t>
      </w:r>
      <w:proofErr w:type="spellStart"/>
      <w:r w:rsidR="00693A2F" w:rsidRPr="00173F69">
        <w:rPr>
          <w:spacing w:val="-2"/>
          <w:szCs w:val="22"/>
          <w:lang w:val="sr-Latn-ME"/>
        </w:rPr>
        <w:t>supresorskih</w:t>
      </w:r>
      <w:proofErr w:type="spellEnd"/>
      <w:r w:rsidR="00693A2F" w:rsidRPr="00173F69">
        <w:rPr>
          <w:spacing w:val="-2"/>
          <w:szCs w:val="22"/>
          <w:lang w:val="sr-Latn-ME"/>
        </w:rPr>
        <w:t xml:space="preserve"> i CD4+</w:t>
      </w:r>
      <w:r w:rsidR="00693A2F" w:rsidRPr="00173F69">
        <w:rPr>
          <w:i/>
          <w:spacing w:val="-2"/>
          <w:szCs w:val="22"/>
          <w:lang w:val="sr-Latn-ME"/>
        </w:rPr>
        <w:t xml:space="preserve"> </w:t>
      </w:r>
      <w:r w:rsidR="00693A2F" w:rsidRPr="00173F69">
        <w:rPr>
          <w:spacing w:val="-2"/>
          <w:szCs w:val="22"/>
          <w:lang w:val="sr-Latn-ME"/>
        </w:rPr>
        <w:t>pomoćnih ćelija</w:t>
      </w:r>
      <w:r w:rsidRPr="00173F69">
        <w:rPr>
          <w:spacing w:val="-2"/>
          <w:szCs w:val="22"/>
          <w:lang w:val="sr-Latn-ME"/>
        </w:rPr>
        <w:t xml:space="preserve">, a takođe, povećava i broj površinskih markera za </w:t>
      </w:r>
      <w:proofErr w:type="spellStart"/>
      <w:r w:rsidRPr="00173F69">
        <w:rPr>
          <w:spacing w:val="-2"/>
          <w:szCs w:val="22"/>
          <w:lang w:val="sr-Latn-ME"/>
        </w:rPr>
        <w:t>IgG</w:t>
      </w:r>
      <w:proofErr w:type="spellEnd"/>
      <w:r w:rsidRPr="00173F69">
        <w:rPr>
          <w:spacing w:val="-2"/>
          <w:szCs w:val="22"/>
          <w:lang w:val="sr-Latn-ME"/>
        </w:rPr>
        <w:t xml:space="preserve"> i </w:t>
      </w:r>
      <w:proofErr w:type="spellStart"/>
      <w:r w:rsidRPr="00173F69">
        <w:rPr>
          <w:spacing w:val="-2"/>
          <w:szCs w:val="22"/>
          <w:lang w:val="sr-Latn-ME"/>
        </w:rPr>
        <w:t>komplement</w:t>
      </w:r>
      <w:proofErr w:type="spellEnd"/>
      <w:r w:rsidRPr="00173F69">
        <w:rPr>
          <w:spacing w:val="-2"/>
          <w:szCs w:val="22"/>
          <w:lang w:val="sr-Latn-ME"/>
        </w:rPr>
        <w:t xml:space="preserve">. </w:t>
      </w:r>
      <w:r w:rsidR="00693A2F" w:rsidRPr="00173F69">
        <w:rPr>
          <w:i/>
          <w:spacing w:val="-2"/>
          <w:szCs w:val="22"/>
          <w:lang w:val="sr-Latn-ME"/>
        </w:rPr>
        <w:t xml:space="preserve">In </w:t>
      </w:r>
      <w:proofErr w:type="spellStart"/>
      <w:r w:rsidR="00693A2F" w:rsidRPr="00173F69">
        <w:rPr>
          <w:i/>
          <w:spacing w:val="-2"/>
          <w:szCs w:val="22"/>
          <w:lang w:val="sr-Latn-ME"/>
        </w:rPr>
        <w:t>vitro</w:t>
      </w:r>
      <w:proofErr w:type="spellEnd"/>
      <w:r w:rsidR="00693A2F" w:rsidRPr="00173F69">
        <w:rPr>
          <w:i/>
          <w:spacing w:val="-2"/>
          <w:szCs w:val="22"/>
          <w:lang w:val="sr-Latn-ME"/>
        </w:rPr>
        <w:t xml:space="preserve"> </w:t>
      </w:r>
      <w:proofErr w:type="spellStart"/>
      <w:r w:rsidR="00693A2F" w:rsidRPr="00173F69">
        <w:rPr>
          <w:spacing w:val="-2"/>
          <w:szCs w:val="22"/>
          <w:lang w:val="sr-Latn-ME"/>
        </w:rPr>
        <w:t>inozin</w:t>
      </w:r>
      <w:proofErr w:type="spellEnd"/>
      <w:r w:rsidR="00693A2F" w:rsidRPr="00173F69">
        <w:rPr>
          <w:spacing w:val="-2"/>
          <w:szCs w:val="22"/>
          <w:lang w:val="sr-Latn-ME"/>
        </w:rPr>
        <w:t xml:space="preserve"> </w:t>
      </w:r>
      <w:proofErr w:type="spellStart"/>
      <w:r w:rsidR="00693A2F" w:rsidRPr="00173F69">
        <w:rPr>
          <w:spacing w:val="-2"/>
          <w:szCs w:val="22"/>
          <w:lang w:val="sr-Latn-ME"/>
        </w:rPr>
        <w:t>acedoben</w:t>
      </w:r>
      <w:proofErr w:type="spellEnd"/>
      <w:r w:rsidR="00693A2F" w:rsidRPr="00173F69">
        <w:rPr>
          <w:spacing w:val="-2"/>
          <w:szCs w:val="22"/>
          <w:lang w:val="sr-Latn-ME"/>
        </w:rPr>
        <w:t xml:space="preserve"> </w:t>
      </w:r>
      <w:proofErr w:type="spellStart"/>
      <w:r w:rsidR="00693A2F" w:rsidRPr="00173F69">
        <w:rPr>
          <w:spacing w:val="-2"/>
          <w:szCs w:val="22"/>
          <w:lang w:val="sr-Latn-ME"/>
        </w:rPr>
        <w:t>dimepranol</w:t>
      </w:r>
      <w:proofErr w:type="spellEnd"/>
      <w:r w:rsidR="00693A2F" w:rsidRPr="00173F69">
        <w:rPr>
          <w:spacing w:val="-2"/>
          <w:szCs w:val="22"/>
          <w:lang w:val="sr-Latn-ME"/>
        </w:rPr>
        <w:t xml:space="preserve"> povećava produkciju IL-1 i IL-2 i dodatno reguliše ekspresiju receptora za IL-2. </w:t>
      </w:r>
      <w:r w:rsidR="00693A2F" w:rsidRPr="00173F69">
        <w:rPr>
          <w:i/>
          <w:spacing w:val="-2"/>
          <w:szCs w:val="22"/>
          <w:lang w:val="sr-Latn-ME"/>
        </w:rPr>
        <w:t xml:space="preserve">In </w:t>
      </w:r>
      <w:proofErr w:type="spellStart"/>
      <w:r w:rsidR="00693A2F" w:rsidRPr="00173F69">
        <w:rPr>
          <w:i/>
          <w:spacing w:val="-2"/>
          <w:szCs w:val="22"/>
          <w:lang w:val="sr-Latn-ME"/>
        </w:rPr>
        <w:t>vivo</w:t>
      </w:r>
      <w:proofErr w:type="spellEnd"/>
      <w:r w:rsidR="00693A2F" w:rsidRPr="00173F69">
        <w:rPr>
          <w:spacing w:val="-2"/>
          <w:szCs w:val="22"/>
          <w:lang w:val="sr-Latn-ME"/>
        </w:rPr>
        <w:t xml:space="preserve"> značajno povećava sekreciju endogenog IFN-</w:t>
      </w:r>
      <w:r w:rsidR="00693A2F" w:rsidRPr="00173F69">
        <w:rPr>
          <w:spacing w:val="-2"/>
          <w:szCs w:val="22"/>
          <w:lang w:val="sr-Latn-ME"/>
        </w:rPr>
        <w:sym w:font="Symbol" w:char="F067"/>
      </w:r>
      <w:r w:rsidR="00693A2F" w:rsidRPr="00173F69">
        <w:rPr>
          <w:spacing w:val="-2"/>
          <w:szCs w:val="22"/>
          <w:lang w:val="sr-Latn-ME"/>
        </w:rPr>
        <w:t xml:space="preserve"> i smanjuje stvaranje IL-4. Pokazano je da potencira </w:t>
      </w:r>
      <w:proofErr w:type="spellStart"/>
      <w:r w:rsidR="00693A2F" w:rsidRPr="00173F69">
        <w:rPr>
          <w:spacing w:val="-2"/>
          <w:szCs w:val="22"/>
          <w:lang w:val="sr-Latn-ME"/>
        </w:rPr>
        <w:t>hemotaksičnu</w:t>
      </w:r>
      <w:proofErr w:type="spellEnd"/>
      <w:r w:rsidR="00693A2F" w:rsidRPr="00173F69">
        <w:rPr>
          <w:spacing w:val="-2"/>
          <w:szCs w:val="22"/>
          <w:lang w:val="sr-Latn-ME"/>
        </w:rPr>
        <w:t xml:space="preserve"> i </w:t>
      </w:r>
      <w:proofErr w:type="spellStart"/>
      <w:r w:rsidR="00693A2F" w:rsidRPr="00173F69">
        <w:rPr>
          <w:spacing w:val="-2"/>
          <w:szCs w:val="22"/>
          <w:lang w:val="sr-Latn-ME"/>
        </w:rPr>
        <w:t>fagocitnu</w:t>
      </w:r>
      <w:proofErr w:type="spellEnd"/>
      <w:r w:rsidR="00693A2F" w:rsidRPr="00173F69">
        <w:rPr>
          <w:spacing w:val="-2"/>
          <w:szCs w:val="22"/>
          <w:lang w:val="sr-Latn-ME"/>
        </w:rPr>
        <w:t xml:space="preserve"> moć </w:t>
      </w:r>
      <w:proofErr w:type="spellStart"/>
      <w:r w:rsidR="00693A2F" w:rsidRPr="00173F69">
        <w:rPr>
          <w:spacing w:val="-2"/>
          <w:szCs w:val="22"/>
          <w:lang w:val="sr-Latn-ME"/>
        </w:rPr>
        <w:t>neutrofila</w:t>
      </w:r>
      <w:proofErr w:type="spellEnd"/>
      <w:r w:rsidR="00693A2F" w:rsidRPr="00173F69">
        <w:rPr>
          <w:spacing w:val="-2"/>
          <w:szCs w:val="22"/>
          <w:lang w:val="sr-Latn-ME"/>
        </w:rPr>
        <w:t xml:space="preserve">, </w:t>
      </w:r>
      <w:proofErr w:type="spellStart"/>
      <w:r w:rsidR="00693A2F" w:rsidRPr="00173F69">
        <w:rPr>
          <w:spacing w:val="-2"/>
          <w:szCs w:val="22"/>
          <w:lang w:val="sr-Latn-ME"/>
        </w:rPr>
        <w:t>monocita</w:t>
      </w:r>
      <w:proofErr w:type="spellEnd"/>
      <w:r w:rsidR="00693A2F" w:rsidRPr="00173F69">
        <w:rPr>
          <w:spacing w:val="-2"/>
          <w:szCs w:val="22"/>
          <w:lang w:val="sr-Latn-ME"/>
        </w:rPr>
        <w:t xml:space="preserve"> i </w:t>
      </w:r>
      <w:proofErr w:type="spellStart"/>
      <w:r w:rsidR="00693A2F" w:rsidRPr="00173F69">
        <w:rPr>
          <w:spacing w:val="-2"/>
          <w:szCs w:val="22"/>
          <w:lang w:val="sr-Latn-ME"/>
        </w:rPr>
        <w:t>makrofaga</w:t>
      </w:r>
      <w:proofErr w:type="spellEnd"/>
      <w:r w:rsidR="00693A2F" w:rsidRPr="00173F69">
        <w:rPr>
          <w:spacing w:val="-2"/>
          <w:szCs w:val="22"/>
          <w:lang w:val="sr-Latn-ME"/>
        </w:rPr>
        <w:t>.</w:t>
      </w:r>
    </w:p>
    <w:p w14:paraId="62B6CD8A" w14:textId="77777777" w:rsidR="002E3359" w:rsidRPr="00173F69" w:rsidRDefault="002E3359" w:rsidP="00614295">
      <w:pPr>
        <w:rPr>
          <w:szCs w:val="22"/>
          <w:lang w:val="sr-Latn-ME"/>
        </w:rPr>
      </w:pPr>
    </w:p>
    <w:p w14:paraId="19F824B7" w14:textId="77777777" w:rsidR="002E3359" w:rsidRPr="00173F69" w:rsidRDefault="002E3359" w:rsidP="00614295">
      <w:pPr>
        <w:rPr>
          <w:szCs w:val="22"/>
          <w:lang w:val="sr-Latn-ME"/>
        </w:rPr>
      </w:pPr>
      <w:r w:rsidRPr="00173F69">
        <w:rPr>
          <w:i/>
          <w:szCs w:val="22"/>
          <w:lang w:val="sr-Latn-ME"/>
        </w:rPr>
        <w:t xml:space="preserve">In </w:t>
      </w:r>
      <w:proofErr w:type="spellStart"/>
      <w:r w:rsidRPr="00173F69">
        <w:rPr>
          <w:i/>
          <w:szCs w:val="22"/>
          <w:lang w:val="sr-Latn-ME"/>
        </w:rPr>
        <w:t>vivo</w:t>
      </w:r>
      <w:proofErr w:type="spellEnd"/>
      <w:r w:rsidRPr="00173F69">
        <w:rPr>
          <w:i/>
          <w:szCs w:val="22"/>
          <w:lang w:val="sr-Latn-ME"/>
        </w:rPr>
        <w:t xml:space="preserve">, </w:t>
      </w:r>
      <w:proofErr w:type="spellStart"/>
      <w:r w:rsidRPr="00173F69">
        <w:rPr>
          <w:szCs w:val="22"/>
          <w:lang w:val="sr-Latn-ME"/>
        </w:rPr>
        <w:t>inozin</w:t>
      </w:r>
      <w:proofErr w:type="spellEnd"/>
      <w:r w:rsidRPr="00173F69">
        <w:rPr>
          <w:szCs w:val="22"/>
          <w:lang w:val="sr-Latn-ME"/>
        </w:rPr>
        <w:t xml:space="preserve"> </w:t>
      </w:r>
      <w:proofErr w:type="spellStart"/>
      <w:r w:rsidRPr="00173F69">
        <w:rPr>
          <w:szCs w:val="22"/>
          <w:lang w:val="sr-Latn-ME"/>
        </w:rPr>
        <w:t>acedoben</w:t>
      </w:r>
      <w:proofErr w:type="spellEnd"/>
      <w:r w:rsidRPr="00173F69">
        <w:rPr>
          <w:szCs w:val="22"/>
          <w:lang w:val="sr-Latn-ME"/>
        </w:rPr>
        <w:t xml:space="preserve"> </w:t>
      </w:r>
      <w:proofErr w:type="spellStart"/>
      <w:r w:rsidRPr="00173F69">
        <w:rPr>
          <w:szCs w:val="22"/>
          <w:lang w:val="sr-Latn-ME"/>
        </w:rPr>
        <w:t>dimepranol</w:t>
      </w:r>
      <w:proofErr w:type="spellEnd"/>
      <w:r w:rsidRPr="00173F69">
        <w:rPr>
          <w:szCs w:val="22"/>
          <w:lang w:val="sr-Latn-ME"/>
        </w:rPr>
        <w:t xml:space="preserve"> pojačava potenciju </w:t>
      </w:r>
      <w:proofErr w:type="spellStart"/>
      <w:r w:rsidRPr="00173F69">
        <w:rPr>
          <w:szCs w:val="22"/>
          <w:lang w:val="sr-Latn-ME"/>
        </w:rPr>
        <w:t>limfocitne</w:t>
      </w:r>
      <w:proofErr w:type="spellEnd"/>
      <w:r w:rsidRPr="00173F69">
        <w:rPr>
          <w:szCs w:val="22"/>
          <w:lang w:val="sr-Latn-ME"/>
        </w:rPr>
        <w:t xml:space="preserve"> </w:t>
      </w:r>
      <w:proofErr w:type="spellStart"/>
      <w:r w:rsidRPr="00173F69">
        <w:rPr>
          <w:szCs w:val="22"/>
          <w:lang w:val="sr-Latn-ME"/>
        </w:rPr>
        <w:t>mRNK</w:t>
      </w:r>
      <w:proofErr w:type="spellEnd"/>
      <w:r w:rsidRPr="00173F69">
        <w:rPr>
          <w:szCs w:val="22"/>
          <w:lang w:val="sr-Latn-ME"/>
        </w:rPr>
        <w:t xml:space="preserve"> u sintezi proteina </w:t>
      </w:r>
      <w:r w:rsidR="00CB1C8C" w:rsidRPr="00173F69">
        <w:rPr>
          <w:szCs w:val="22"/>
          <w:lang w:val="sr-Latn-ME"/>
        </w:rPr>
        <w:t>i</w:t>
      </w:r>
      <w:r w:rsidRPr="00173F69">
        <w:rPr>
          <w:szCs w:val="22"/>
          <w:lang w:val="sr-Latn-ME"/>
        </w:rPr>
        <w:t xml:space="preserve"> translaciji dok mehanizam inhibicija sinteze virusne RNK tek treba da bude razjašnjen: (1) inkorporacija </w:t>
      </w:r>
      <w:proofErr w:type="spellStart"/>
      <w:r w:rsidRPr="00173F69">
        <w:rPr>
          <w:szCs w:val="22"/>
          <w:lang w:val="sr-Latn-ME"/>
        </w:rPr>
        <w:t>inozin</w:t>
      </w:r>
      <w:proofErr w:type="spellEnd"/>
      <w:r w:rsidRPr="00173F69">
        <w:rPr>
          <w:szCs w:val="22"/>
          <w:lang w:val="sr-Latn-ME"/>
        </w:rPr>
        <w:t xml:space="preserve">-posredovane </w:t>
      </w:r>
      <w:proofErr w:type="spellStart"/>
      <w:r w:rsidRPr="00173F69">
        <w:rPr>
          <w:szCs w:val="22"/>
          <w:lang w:val="sr-Latn-ME"/>
        </w:rPr>
        <w:t>orotične</w:t>
      </w:r>
      <w:proofErr w:type="spellEnd"/>
      <w:r w:rsidRPr="00173F69">
        <w:rPr>
          <w:szCs w:val="22"/>
          <w:lang w:val="sr-Latn-ME"/>
        </w:rPr>
        <w:t xml:space="preserve"> kiseline u </w:t>
      </w:r>
      <w:proofErr w:type="spellStart"/>
      <w:r w:rsidR="00693A2F" w:rsidRPr="00173F69">
        <w:rPr>
          <w:szCs w:val="22"/>
          <w:lang w:val="sr-Latn-ME"/>
        </w:rPr>
        <w:t>poliribozome</w:t>
      </w:r>
      <w:proofErr w:type="spellEnd"/>
      <w:r w:rsidRPr="00173F69">
        <w:rPr>
          <w:szCs w:val="22"/>
          <w:lang w:val="sr-Latn-ME"/>
        </w:rPr>
        <w:t xml:space="preserve">; (2) inhibicija vezivanja </w:t>
      </w:r>
      <w:proofErr w:type="spellStart"/>
      <w:r w:rsidRPr="00173F69">
        <w:rPr>
          <w:szCs w:val="22"/>
          <w:lang w:val="sr-Latn-ME"/>
        </w:rPr>
        <w:t>poliadenilne</w:t>
      </w:r>
      <w:proofErr w:type="spellEnd"/>
      <w:r w:rsidRPr="00173F69">
        <w:rPr>
          <w:szCs w:val="22"/>
          <w:lang w:val="sr-Latn-ME"/>
        </w:rPr>
        <w:t xml:space="preserve"> kiseline na virusnu </w:t>
      </w:r>
      <w:proofErr w:type="spellStart"/>
      <w:r w:rsidRPr="00173F69">
        <w:rPr>
          <w:szCs w:val="22"/>
          <w:lang w:val="sr-Latn-ME"/>
        </w:rPr>
        <w:t>mRNK</w:t>
      </w:r>
      <w:proofErr w:type="spellEnd"/>
      <w:r w:rsidRPr="00173F69">
        <w:rPr>
          <w:szCs w:val="22"/>
          <w:lang w:val="sr-Latn-ME"/>
        </w:rPr>
        <w:t xml:space="preserve"> </w:t>
      </w:r>
      <w:r w:rsidR="00CB1C8C" w:rsidRPr="00173F69">
        <w:rPr>
          <w:szCs w:val="22"/>
          <w:lang w:val="sr-Latn-ME"/>
        </w:rPr>
        <w:t>i</w:t>
      </w:r>
      <w:r w:rsidRPr="00173F69">
        <w:rPr>
          <w:szCs w:val="22"/>
          <w:lang w:val="sr-Latn-ME"/>
        </w:rPr>
        <w:t xml:space="preserve"> (3) molekularna reorganizacija </w:t>
      </w:r>
      <w:proofErr w:type="spellStart"/>
      <w:r w:rsidRPr="00173F69">
        <w:rPr>
          <w:szCs w:val="22"/>
          <w:lang w:val="sr-Latn-ME"/>
        </w:rPr>
        <w:t>transmembranskih</w:t>
      </w:r>
      <w:proofErr w:type="spellEnd"/>
      <w:r w:rsidRPr="00173F69">
        <w:rPr>
          <w:szCs w:val="22"/>
          <w:lang w:val="sr-Latn-ME"/>
        </w:rPr>
        <w:t xml:space="preserve"> proteinskih kompleksa uključenih u signalizacije </w:t>
      </w:r>
      <w:proofErr w:type="spellStart"/>
      <w:r w:rsidRPr="00173F69">
        <w:rPr>
          <w:szCs w:val="22"/>
          <w:lang w:val="sr-Latn-ME"/>
        </w:rPr>
        <w:t>preko</w:t>
      </w:r>
      <w:proofErr w:type="spellEnd"/>
      <w:r w:rsidRPr="00173F69">
        <w:rPr>
          <w:szCs w:val="22"/>
          <w:lang w:val="sr-Latn-ME"/>
        </w:rPr>
        <w:t xml:space="preserve"> T-ćelijskih specifičnih receptora (</w:t>
      </w:r>
      <w:proofErr w:type="spellStart"/>
      <w:r w:rsidR="00693A2F" w:rsidRPr="00173F69">
        <w:rPr>
          <w:szCs w:val="22"/>
          <w:lang w:val="sr-Latn-ME"/>
        </w:rPr>
        <w:t>TcR</w:t>
      </w:r>
      <w:proofErr w:type="spellEnd"/>
      <w:r w:rsidRPr="00173F69">
        <w:rPr>
          <w:szCs w:val="22"/>
          <w:lang w:val="sr-Latn-ME"/>
        </w:rPr>
        <w:t xml:space="preserve">) u </w:t>
      </w:r>
      <w:proofErr w:type="spellStart"/>
      <w:r w:rsidRPr="00173F69">
        <w:rPr>
          <w:szCs w:val="22"/>
          <w:lang w:val="sr-Latn-ME"/>
        </w:rPr>
        <w:t>intramembranskoj</w:t>
      </w:r>
      <w:proofErr w:type="spellEnd"/>
      <w:r w:rsidRPr="00173F69">
        <w:rPr>
          <w:szCs w:val="22"/>
          <w:lang w:val="sr-Latn-ME"/>
        </w:rPr>
        <w:t xml:space="preserve"> partikuli</w:t>
      </w:r>
      <w:r w:rsidR="00693A2F" w:rsidRPr="00173F69">
        <w:rPr>
          <w:szCs w:val="22"/>
          <w:lang w:val="sr-Latn-ME"/>
        </w:rPr>
        <w:t xml:space="preserve"> </w:t>
      </w:r>
      <w:proofErr w:type="spellStart"/>
      <w:r w:rsidR="00693A2F" w:rsidRPr="00173F69">
        <w:rPr>
          <w:szCs w:val="22"/>
          <w:lang w:val="sr-Latn-ME"/>
        </w:rPr>
        <w:t>limfocita</w:t>
      </w:r>
      <w:proofErr w:type="spellEnd"/>
      <w:r w:rsidRPr="00173F69">
        <w:rPr>
          <w:szCs w:val="22"/>
          <w:lang w:val="sr-Latn-ME"/>
        </w:rPr>
        <w:t xml:space="preserve"> (IMP) što rezultira gotovo trostrukim povećanjem gustine.</w:t>
      </w:r>
    </w:p>
    <w:p w14:paraId="5FA54470" w14:textId="77777777" w:rsidR="002E3359" w:rsidRPr="00173F69" w:rsidRDefault="002E3359" w:rsidP="00614295">
      <w:pPr>
        <w:rPr>
          <w:szCs w:val="22"/>
          <w:lang w:val="sr-Latn-ME"/>
        </w:rPr>
      </w:pPr>
    </w:p>
    <w:p w14:paraId="623F7339" w14:textId="39C8DBF0" w:rsidR="002E3359" w:rsidRPr="00173F69" w:rsidRDefault="002E3359" w:rsidP="00614295">
      <w:pPr>
        <w:rPr>
          <w:szCs w:val="22"/>
          <w:lang w:val="sr-Latn-ME"/>
        </w:rPr>
      </w:pPr>
      <w:proofErr w:type="spellStart"/>
      <w:r w:rsidRPr="00173F69">
        <w:rPr>
          <w:szCs w:val="22"/>
          <w:lang w:val="sr-Latn-ME"/>
        </w:rPr>
        <w:t>Inozin</w:t>
      </w:r>
      <w:proofErr w:type="spellEnd"/>
      <w:r w:rsidRPr="00173F69">
        <w:rPr>
          <w:szCs w:val="22"/>
          <w:lang w:val="sr-Latn-ME"/>
        </w:rPr>
        <w:t xml:space="preserve"> </w:t>
      </w:r>
      <w:proofErr w:type="spellStart"/>
      <w:r w:rsidRPr="00173F69">
        <w:rPr>
          <w:szCs w:val="22"/>
          <w:lang w:val="sr-Latn-ME"/>
        </w:rPr>
        <w:t>acedoben</w:t>
      </w:r>
      <w:proofErr w:type="spellEnd"/>
      <w:r w:rsidRPr="00173F69">
        <w:rPr>
          <w:szCs w:val="22"/>
          <w:lang w:val="sr-Latn-ME"/>
        </w:rPr>
        <w:t xml:space="preserve"> </w:t>
      </w:r>
      <w:proofErr w:type="spellStart"/>
      <w:r w:rsidRPr="00173F69">
        <w:rPr>
          <w:szCs w:val="22"/>
          <w:lang w:val="sr-Latn-ME"/>
        </w:rPr>
        <w:t>dimepranol</w:t>
      </w:r>
      <w:proofErr w:type="spellEnd"/>
      <w:r w:rsidRPr="00173F69">
        <w:rPr>
          <w:szCs w:val="22"/>
          <w:lang w:val="sr-Latn-ME"/>
        </w:rPr>
        <w:t xml:space="preserve"> inhibira </w:t>
      </w:r>
      <w:proofErr w:type="spellStart"/>
      <w:r w:rsidRPr="00173F69">
        <w:rPr>
          <w:szCs w:val="22"/>
          <w:lang w:val="sr-Latn-ME"/>
        </w:rPr>
        <w:t>cGMP</w:t>
      </w:r>
      <w:proofErr w:type="spellEnd"/>
      <w:r w:rsidRPr="00173F69">
        <w:rPr>
          <w:szCs w:val="22"/>
          <w:lang w:val="sr-Latn-ME"/>
        </w:rPr>
        <w:t xml:space="preserve"> </w:t>
      </w:r>
      <w:proofErr w:type="spellStart"/>
      <w:r w:rsidRPr="00173F69">
        <w:rPr>
          <w:szCs w:val="22"/>
          <w:lang w:val="sr-Latn-ME"/>
        </w:rPr>
        <w:t>fosfodiesteraze</w:t>
      </w:r>
      <w:proofErr w:type="spellEnd"/>
      <w:r w:rsidRPr="00173F69">
        <w:rPr>
          <w:szCs w:val="22"/>
          <w:lang w:val="sr-Latn-ME"/>
        </w:rPr>
        <w:t xml:space="preserve"> tek pri visokim koncentracijama </w:t>
      </w:r>
      <w:r w:rsidRPr="00173F69">
        <w:rPr>
          <w:i/>
          <w:szCs w:val="22"/>
          <w:lang w:val="sr-Latn-ME"/>
        </w:rPr>
        <w:t xml:space="preserve">in </w:t>
      </w:r>
      <w:proofErr w:type="spellStart"/>
      <w:r w:rsidRPr="00173F69">
        <w:rPr>
          <w:i/>
          <w:szCs w:val="22"/>
          <w:lang w:val="sr-Latn-ME"/>
        </w:rPr>
        <w:t>vitro</w:t>
      </w:r>
      <w:proofErr w:type="spellEnd"/>
      <w:r w:rsidRPr="00173F69">
        <w:rPr>
          <w:i/>
          <w:szCs w:val="22"/>
          <w:lang w:val="sr-Latn-ME"/>
        </w:rPr>
        <w:t xml:space="preserve"> </w:t>
      </w:r>
      <w:r w:rsidR="00CB1C8C" w:rsidRPr="00173F69">
        <w:rPr>
          <w:szCs w:val="22"/>
          <w:lang w:val="sr-Latn-ME"/>
        </w:rPr>
        <w:t>i</w:t>
      </w:r>
      <w:r w:rsidRPr="00173F69">
        <w:rPr>
          <w:szCs w:val="22"/>
          <w:lang w:val="sr-Latn-ME"/>
        </w:rPr>
        <w:t xml:space="preserve"> na nivou u kome nisu uključene u </w:t>
      </w:r>
      <w:r w:rsidRPr="00173F69">
        <w:rPr>
          <w:i/>
          <w:szCs w:val="22"/>
          <w:lang w:val="sr-Latn-ME"/>
        </w:rPr>
        <w:t xml:space="preserve">in </w:t>
      </w:r>
      <w:proofErr w:type="spellStart"/>
      <w:r w:rsidRPr="00173F69">
        <w:rPr>
          <w:i/>
          <w:szCs w:val="22"/>
          <w:lang w:val="sr-Latn-ME"/>
        </w:rPr>
        <w:t>vivo</w:t>
      </w:r>
      <w:proofErr w:type="spellEnd"/>
      <w:r w:rsidRPr="00173F69">
        <w:rPr>
          <w:i/>
          <w:szCs w:val="22"/>
          <w:lang w:val="sr-Latn-ME"/>
        </w:rPr>
        <w:t xml:space="preserve"> </w:t>
      </w:r>
      <w:proofErr w:type="spellStart"/>
      <w:r w:rsidRPr="00173F69">
        <w:rPr>
          <w:szCs w:val="22"/>
          <w:lang w:val="sr-Latn-ME"/>
        </w:rPr>
        <w:t>imunofarmakološk</w:t>
      </w:r>
      <w:r w:rsidR="00372479" w:rsidRPr="00173F69">
        <w:rPr>
          <w:szCs w:val="22"/>
          <w:lang w:val="sr-Latn-ME"/>
        </w:rPr>
        <w:t>a</w:t>
      </w:r>
      <w:proofErr w:type="spellEnd"/>
      <w:r w:rsidRPr="00173F69">
        <w:rPr>
          <w:szCs w:val="22"/>
          <w:lang w:val="sr-Latn-ME"/>
        </w:rPr>
        <w:t xml:space="preserve"> </w:t>
      </w:r>
      <w:r w:rsidR="00372479" w:rsidRPr="00173F69">
        <w:rPr>
          <w:szCs w:val="22"/>
          <w:lang w:val="sr-Latn-ME"/>
        </w:rPr>
        <w:t>dejstva</w:t>
      </w:r>
      <w:r w:rsidRPr="00173F69">
        <w:rPr>
          <w:szCs w:val="22"/>
          <w:lang w:val="sr-Latn-ME"/>
        </w:rPr>
        <w:t>.</w:t>
      </w:r>
    </w:p>
    <w:p w14:paraId="698293FE" w14:textId="77777777" w:rsidR="00C22964" w:rsidRPr="00173F69" w:rsidRDefault="00C22964" w:rsidP="00614295">
      <w:pPr>
        <w:rPr>
          <w:szCs w:val="22"/>
          <w:lang w:val="sr-Latn-ME"/>
        </w:rPr>
      </w:pPr>
    </w:p>
    <w:p w14:paraId="517461E5" w14:textId="77777777" w:rsidR="00CE09F3" w:rsidRPr="00173F69" w:rsidRDefault="00CE09F3" w:rsidP="00614295">
      <w:pPr>
        <w:rPr>
          <w:b/>
          <w:bCs/>
          <w:szCs w:val="22"/>
          <w:lang w:val="sr-Latn-ME"/>
        </w:rPr>
      </w:pPr>
      <w:r w:rsidRPr="00173F69">
        <w:rPr>
          <w:b/>
          <w:bCs/>
          <w:szCs w:val="22"/>
          <w:lang w:val="sr-Latn-ME"/>
        </w:rPr>
        <w:t xml:space="preserve">5.2. </w:t>
      </w:r>
      <w:proofErr w:type="spellStart"/>
      <w:r w:rsidRPr="00173F69">
        <w:rPr>
          <w:b/>
          <w:bCs/>
          <w:szCs w:val="22"/>
          <w:lang w:val="sr-Latn-ME"/>
        </w:rPr>
        <w:t>Farmakokinetički</w:t>
      </w:r>
      <w:proofErr w:type="spellEnd"/>
      <w:r w:rsidRPr="00173F69">
        <w:rPr>
          <w:b/>
          <w:bCs/>
          <w:szCs w:val="22"/>
          <w:lang w:val="sr-Latn-ME"/>
        </w:rPr>
        <w:t xml:space="preserve"> podaci</w:t>
      </w:r>
    </w:p>
    <w:p w14:paraId="78DC7A3C" w14:textId="77777777" w:rsidR="00CE09F3" w:rsidRPr="00173F69" w:rsidRDefault="00CE09F3" w:rsidP="00614295">
      <w:pPr>
        <w:rPr>
          <w:szCs w:val="22"/>
          <w:lang w:val="sr-Latn-ME"/>
        </w:rPr>
      </w:pPr>
    </w:p>
    <w:p w14:paraId="3D4A4D27" w14:textId="7601F966" w:rsidR="00E81926" w:rsidRPr="00173F69" w:rsidRDefault="00E81926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173F69">
        <w:rPr>
          <w:szCs w:val="22"/>
          <w:lang w:val="sr-Latn-ME"/>
        </w:rPr>
        <w:t xml:space="preserve">Svaka komponenta </w:t>
      </w:r>
      <w:r w:rsidR="00305BDB" w:rsidRPr="00173F69">
        <w:rPr>
          <w:szCs w:val="22"/>
          <w:lang w:val="sr-Latn-ME"/>
        </w:rPr>
        <w:t>lijeka</w:t>
      </w:r>
      <w:r w:rsidRPr="00173F69">
        <w:rPr>
          <w:szCs w:val="22"/>
          <w:lang w:val="sr-Latn-ME"/>
        </w:rPr>
        <w:t xml:space="preserve"> ima posebne farmakološke osobine.</w:t>
      </w:r>
    </w:p>
    <w:p w14:paraId="667EA6A9" w14:textId="77777777" w:rsidR="002B588B" w:rsidRPr="00173F69" w:rsidRDefault="002B588B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23CC84E7" w14:textId="45950EED" w:rsidR="00E81926" w:rsidRPr="00173F69" w:rsidRDefault="00E81926" w:rsidP="00614295">
      <w:pPr>
        <w:pStyle w:val="Header"/>
        <w:tabs>
          <w:tab w:val="clear" w:pos="4536"/>
          <w:tab w:val="clear" w:pos="9072"/>
          <w:tab w:val="left" w:pos="284"/>
        </w:tabs>
        <w:rPr>
          <w:spacing w:val="-2"/>
          <w:szCs w:val="22"/>
          <w:lang w:val="sr-Latn-ME"/>
        </w:rPr>
      </w:pPr>
      <w:r w:rsidRPr="00173F69">
        <w:rPr>
          <w:szCs w:val="22"/>
          <w:u w:val="single"/>
          <w:lang w:val="sr-Latn-ME"/>
        </w:rPr>
        <w:t>Resorpcija</w:t>
      </w:r>
      <w:r w:rsidRPr="00173F69">
        <w:rPr>
          <w:szCs w:val="22"/>
          <w:lang w:val="sr-Latn-ME"/>
        </w:rPr>
        <w:t>: Kada se prim</w:t>
      </w:r>
      <w:r w:rsidR="00E7432A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 xml:space="preserve">enjuje oralno kod </w:t>
      </w:r>
      <w:proofErr w:type="spellStart"/>
      <w:r w:rsidRPr="00173F69">
        <w:rPr>
          <w:szCs w:val="22"/>
          <w:lang w:val="sr-Latn-ME"/>
        </w:rPr>
        <w:t>ljudi</w:t>
      </w:r>
      <w:proofErr w:type="spellEnd"/>
      <w:r w:rsidRPr="00173F69">
        <w:rPr>
          <w:szCs w:val="22"/>
          <w:lang w:val="sr-Latn-ME"/>
        </w:rPr>
        <w:t xml:space="preserve">, </w:t>
      </w:r>
      <w:proofErr w:type="spellStart"/>
      <w:r w:rsidRPr="00173F69">
        <w:rPr>
          <w:szCs w:val="22"/>
          <w:lang w:val="sr-Latn-ME"/>
        </w:rPr>
        <w:t>inozin</w:t>
      </w:r>
      <w:proofErr w:type="spellEnd"/>
      <w:r w:rsidRPr="00173F69">
        <w:rPr>
          <w:szCs w:val="22"/>
          <w:lang w:val="sr-Latn-ME"/>
        </w:rPr>
        <w:t xml:space="preserve"> </w:t>
      </w:r>
      <w:proofErr w:type="spellStart"/>
      <w:r w:rsidRPr="00173F69">
        <w:rPr>
          <w:szCs w:val="22"/>
          <w:lang w:val="sr-Latn-ME"/>
        </w:rPr>
        <w:t>acedoben</w:t>
      </w:r>
      <w:proofErr w:type="spellEnd"/>
      <w:r w:rsidRPr="00173F69">
        <w:rPr>
          <w:szCs w:val="22"/>
          <w:lang w:val="sr-Latn-ME"/>
        </w:rPr>
        <w:t xml:space="preserve"> </w:t>
      </w:r>
      <w:proofErr w:type="spellStart"/>
      <w:r w:rsidRPr="00173F69">
        <w:rPr>
          <w:szCs w:val="22"/>
          <w:lang w:val="sr-Latn-ME"/>
        </w:rPr>
        <w:t>dimepranol</w:t>
      </w:r>
      <w:proofErr w:type="spellEnd"/>
      <w:r w:rsidRPr="00173F69">
        <w:rPr>
          <w:szCs w:val="22"/>
          <w:lang w:val="sr-Latn-ME"/>
        </w:rPr>
        <w:t xml:space="preserve"> se brzo i potpuno resorbuje </w:t>
      </w:r>
      <w:r w:rsidRPr="00173F69">
        <w:rPr>
          <w:spacing w:val="-2"/>
          <w:szCs w:val="22"/>
          <w:lang w:val="sr-Latn-ME"/>
        </w:rPr>
        <w:t>(</w:t>
      </w:r>
      <w:r w:rsidRPr="00173F69">
        <w:rPr>
          <w:spacing w:val="-2"/>
          <w:szCs w:val="22"/>
          <w:lang w:val="sr-Latn-ME"/>
        </w:rPr>
        <w:sym w:font="Symbol" w:char="F0B3"/>
      </w:r>
      <w:r w:rsidR="00504D43" w:rsidRPr="00173F69">
        <w:rPr>
          <w:spacing w:val="-2"/>
          <w:szCs w:val="22"/>
          <w:lang w:val="sr-Latn-ME"/>
        </w:rPr>
        <w:t> </w:t>
      </w:r>
      <w:r w:rsidRPr="00173F69">
        <w:rPr>
          <w:spacing w:val="-2"/>
          <w:szCs w:val="22"/>
          <w:lang w:val="sr-Latn-ME"/>
        </w:rPr>
        <w:t>90%) iz gastrointestinalnog trakta i pojavljuje u krvi. Slično, 94-100% vr</w:t>
      </w:r>
      <w:r w:rsidR="00E7432A" w:rsidRPr="00173F69">
        <w:rPr>
          <w:spacing w:val="-2"/>
          <w:szCs w:val="22"/>
          <w:lang w:val="sr-Latn-ME"/>
        </w:rPr>
        <w:t>ij</w:t>
      </w:r>
      <w:r w:rsidRPr="00173F69">
        <w:rPr>
          <w:spacing w:val="-2"/>
          <w:szCs w:val="22"/>
          <w:lang w:val="sr-Latn-ME"/>
        </w:rPr>
        <w:t xml:space="preserve">ednosti DIP [N,N-dimetilamino-2-propanol] i </w:t>
      </w:r>
      <w:proofErr w:type="spellStart"/>
      <w:r w:rsidRPr="00173F69">
        <w:rPr>
          <w:spacing w:val="-2"/>
          <w:szCs w:val="22"/>
          <w:lang w:val="sr-Latn-ME"/>
        </w:rPr>
        <w:t>PacBA</w:t>
      </w:r>
      <w:proofErr w:type="spellEnd"/>
      <w:r w:rsidRPr="00173F69">
        <w:rPr>
          <w:spacing w:val="-2"/>
          <w:szCs w:val="22"/>
          <w:lang w:val="sr-Latn-ME"/>
        </w:rPr>
        <w:t xml:space="preserve"> [p-</w:t>
      </w:r>
      <w:proofErr w:type="spellStart"/>
      <w:r w:rsidRPr="00173F69">
        <w:rPr>
          <w:spacing w:val="-2"/>
          <w:szCs w:val="22"/>
          <w:lang w:val="sr-Latn-ME"/>
        </w:rPr>
        <w:t>acetamidobenzoeva</w:t>
      </w:r>
      <w:proofErr w:type="spellEnd"/>
      <w:r w:rsidRPr="00173F69">
        <w:rPr>
          <w:spacing w:val="-2"/>
          <w:szCs w:val="22"/>
          <w:lang w:val="sr-Latn-ME"/>
        </w:rPr>
        <w:t xml:space="preserve"> kiselina] se nalazi (engl. </w:t>
      </w:r>
      <w:r w:rsidRPr="00173F69">
        <w:rPr>
          <w:i/>
          <w:spacing w:val="-2"/>
          <w:szCs w:val="22"/>
          <w:lang w:val="sr-Latn-ME"/>
        </w:rPr>
        <w:t xml:space="preserve">urine </w:t>
      </w:r>
      <w:proofErr w:type="spellStart"/>
      <w:r w:rsidRPr="00173F69">
        <w:rPr>
          <w:i/>
          <w:spacing w:val="-2"/>
          <w:szCs w:val="22"/>
          <w:lang w:val="sr-Latn-ME"/>
        </w:rPr>
        <w:t>recovery</w:t>
      </w:r>
      <w:proofErr w:type="spellEnd"/>
      <w:r w:rsidRPr="00173F69">
        <w:rPr>
          <w:i/>
          <w:spacing w:val="-2"/>
          <w:szCs w:val="22"/>
          <w:lang w:val="sr-Latn-ME"/>
        </w:rPr>
        <w:t>)</w:t>
      </w:r>
      <w:r w:rsidRPr="00173F69">
        <w:rPr>
          <w:spacing w:val="-2"/>
          <w:szCs w:val="22"/>
          <w:lang w:val="sr-Latn-ME"/>
        </w:rPr>
        <w:t xml:space="preserve"> u urinu nakon oralne prim</w:t>
      </w:r>
      <w:r w:rsidR="00E7432A" w:rsidRPr="00173F69">
        <w:rPr>
          <w:spacing w:val="-2"/>
          <w:szCs w:val="22"/>
          <w:lang w:val="sr-Latn-ME"/>
        </w:rPr>
        <w:t>j</w:t>
      </w:r>
      <w:r w:rsidRPr="00173F69">
        <w:rPr>
          <w:spacing w:val="-2"/>
          <w:szCs w:val="22"/>
          <w:lang w:val="sr-Latn-ME"/>
        </w:rPr>
        <w:t xml:space="preserve">ene kod </w:t>
      </w:r>
      <w:proofErr w:type="spellStart"/>
      <w:r w:rsidRPr="00173F69">
        <w:rPr>
          <w:i/>
          <w:spacing w:val="-2"/>
          <w:szCs w:val="22"/>
          <w:lang w:val="sr-Latn-ME"/>
        </w:rPr>
        <w:t>Rhesus</w:t>
      </w:r>
      <w:proofErr w:type="spellEnd"/>
      <w:r w:rsidRPr="00173F69">
        <w:rPr>
          <w:spacing w:val="-2"/>
          <w:szCs w:val="22"/>
          <w:lang w:val="sr-Latn-ME"/>
        </w:rPr>
        <w:t xml:space="preserve"> majmuna.</w:t>
      </w:r>
    </w:p>
    <w:p w14:paraId="78134DC8" w14:textId="77777777" w:rsidR="002B588B" w:rsidRPr="00173F69" w:rsidRDefault="002B588B" w:rsidP="00614295">
      <w:pPr>
        <w:pStyle w:val="Header"/>
        <w:tabs>
          <w:tab w:val="clear" w:pos="4536"/>
          <w:tab w:val="clear" w:pos="9072"/>
          <w:tab w:val="left" w:pos="284"/>
        </w:tabs>
        <w:rPr>
          <w:spacing w:val="-2"/>
          <w:szCs w:val="22"/>
          <w:lang w:val="sr-Latn-ME"/>
        </w:rPr>
      </w:pPr>
    </w:p>
    <w:p w14:paraId="179BF6E2" w14:textId="79BDFEE8" w:rsidR="002B588B" w:rsidRPr="00173F69" w:rsidRDefault="002B588B" w:rsidP="00614295">
      <w:pPr>
        <w:pStyle w:val="Header"/>
        <w:tabs>
          <w:tab w:val="clear" w:pos="4536"/>
          <w:tab w:val="clear" w:pos="9072"/>
          <w:tab w:val="left" w:pos="284"/>
        </w:tabs>
        <w:rPr>
          <w:spacing w:val="-2"/>
          <w:szCs w:val="22"/>
          <w:lang w:val="sr-Latn-ME"/>
        </w:rPr>
      </w:pPr>
      <w:r w:rsidRPr="00173F69">
        <w:rPr>
          <w:spacing w:val="-2"/>
          <w:szCs w:val="22"/>
          <w:u w:val="single"/>
          <w:lang w:val="sr-Latn-ME"/>
        </w:rPr>
        <w:t>Distribucija</w:t>
      </w:r>
      <w:r w:rsidRPr="00173F69">
        <w:rPr>
          <w:spacing w:val="-2"/>
          <w:szCs w:val="22"/>
          <w:lang w:val="sr-Latn-ME"/>
        </w:rPr>
        <w:t>: Radioaktivni materijal je nađen u sl</w:t>
      </w:r>
      <w:r w:rsidR="00D31269" w:rsidRPr="00173F69">
        <w:rPr>
          <w:spacing w:val="-2"/>
          <w:szCs w:val="22"/>
          <w:lang w:val="sr-Latn-ME"/>
        </w:rPr>
        <w:t>j</w:t>
      </w:r>
      <w:r w:rsidRPr="00173F69">
        <w:rPr>
          <w:spacing w:val="-2"/>
          <w:szCs w:val="22"/>
          <w:lang w:val="sr-Latn-ME"/>
        </w:rPr>
        <w:t>edećim tkivima kada se l</w:t>
      </w:r>
      <w:r w:rsidR="00E7432A" w:rsidRPr="00173F69">
        <w:rPr>
          <w:spacing w:val="-2"/>
          <w:szCs w:val="22"/>
          <w:lang w:val="sr-Latn-ME"/>
        </w:rPr>
        <w:t>ij</w:t>
      </w:r>
      <w:r w:rsidRPr="00173F69">
        <w:rPr>
          <w:spacing w:val="-2"/>
          <w:szCs w:val="22"/>
          <w:lang w:val="sr-Latn-ME"/>
        </w:rPr>
        <w:t xml:space="preserve">ek </w:t>
      </w:r>
      <w:r w:rsidR="00E81926" w:rsidRPr="00173F69">
        <w:rPr>
          <w:spacing w:val="-2"/>
          <w:szCs w:val="22"/>
          <w:lang w:val="sr-Latn-ME"/>
        </w:rPr>
        <w:t>prim</w:t>
      </w:r>
      <w:r w:rsidR="00E7432A" w:rsidRPr="00173F69">
        <w:rPr>
          <w:spacing w:val="-2"/>
          <w:szCs w:val="22"/>
          <w:lang w:val="sr-Latn-ME"/>
        </w:rPr>
        <w:t>j</w:t>
      </w:r>
      <w:r w:rsidR="00E81926" w:rsidRPr="00173F69">
        <w:rPr>
          <w:spacing w:val="-2"/>
          <w:szCs w:val="22"/>
          <w:lang w:val="sr-Latn-ME"/>
        </w:rPr>
        <w:t xml:space="preserve">eni </w:t>
      </w:r>
      <w:r w:rsidRPr="00173F69">
        <w:rPr>
          <w:spacing w:val="-2"/>
          <w:szCs w:val="22"/>
          <w:lang w:val="sr-Latn-ME"/>
        </w:rPr>
        <w:t>majmunima: bubrezi, pluća, jetra, srce, slezina, testisi, pankreas, mozak i skeletni mišići.</w:t>
      </w:r>
    </w:p>
    <w:p w14:paraId="555AEE14" w14:textId="77777777" w:rsidR="002B588B" w:rsidRPr="00173F69" w:rsidRDefault="002B588B" w:rsidP="00614295">
      <w:pPr>
        <w:pStyle w:val="Header"/>
        <w:tabs>
          <w:tab w:val="clear" w:pos="4536"/>
          <w:tab w:val="clear" w:pos="9072"/>
          <w:tab w:val="left" w:pos="284"/>
        </w:tabs>
        <w:rPr>
          <w:spacing w:val="-2"/>
          <w:szCs w:val="22"/>
          <w:lang w:val="sr-Latn-ME"/>
        </w:rPr>
      </w:pPr>
    </w:p>
    <w:p w14:paraId="1C6C5507" w14:textId="3D0F156B" w:rsidR="00E81926" w:rsidRPr="00173F69" w:rsidRDefault="00372479" w:rsidP="00614295">
      <w:pPr>
        <w:pStyle w:val="Header"/>
        <w:tabs>
          <w:tab w:val="clear" w:pos="4536"/>
          <w:tab w:val="clear" w:pos="9072"/>
          <w:tab w:val="left" w:pos="284"/>
        </w:tabs>
        <w:rPr>
          <w:spacing w:val="-2"/>
          <w:szCs w:val="22"/>
          <w:lang w:val="sr-Latn-ME"/>
        </w:rPr>
      </w:pPr>
      <w:proofErr w:type="spellStart"/>
      <w:r w:rsidRPr="00173F69">
        <w:rPr>
          <w:spacing w:val="-2"/>
          <w:szCs w:val="22"/>
          <w:u w:val="single"/>
          <w:lang w:val="sr-Latn-ME"/>
        </w:rPr>
        <w:t>Biotransformacija</w:t>
      </w:r>
      <w:proofErr w:type="spellEnd"/>
      <w:r w:rsidR="00E81926" w:rsidRPr="00173F69">
        <w:rPr>
          <w:spacing w:val="-2"/>
          <w:szCs w:val="22"/>
          <w:lang w:val="sr-Latn-ME"/>
        </w:rPr>
        <w:t xml:space="preserve">: Kod </w:t>
      </w:r>
      <w:proofErr w:type="spellStart"/>
      <w:r w:rsidR="00E81926" w:rsidRPr="00173F69">
        <w:rPr>
          <w:spacing w:val="-2"/>
          <w:szCs w:val="22"/>
          <w:lang w:val="sr-Latn-ME"/>
        </w:rPr>
        <w:t>ljudi</w:t>
      </w:r>
      <w:proofErr w:type="spellEnd"/>
      <w:r w:rsidR="00E81926" w:rsidRPr="00173F69">
        <w:rPr>
          <w:spacing w:val="-2"/>
          <w:szCs w:val="22"/>
          <w:lang w:val="sr-Latn-ME"/>
        </w:rPr>
        <w:t>, nakon oralne doze od 1</w:t>
      </w:r>
      <w:r w:rsidR="00504D43" w:rsidRPr="00173F69">
        <w:rPr>
          <w:spacing w:val="-2"/>
          <w:szCs w:val="22"/>
          <w:lang w:val="sr-Latn-ME"/>
        </w:rPr>
        <w:t> </w:t>
      </w:r>
      <w:r w:rsidR="00E81926" w:rsidRPr="00173F69">
        <w:rPr>
          <w:spacing w:val="-2"/>
          <w:szCs w:val="22"/>
          <w:lang w:val="sr-Latn-ME"/>
        </w:rPr>
        <w:t xml:space="preserve">g </w:t>
      </w:r>
      <w:proofErr w:type="spellStart"/>
      <w:r w:rsidR="00E81926" w:rsidRPr="00173F69">
        <w:rPr>
          <w:spacing w:val="-2"/>
          <w:szCs w:val="22"/>
          <w:lang w:val="sr-Latn-ME"/>
        </w:rPr>
        <w:t>inozin</w:t>
      </w:r>
      <w:proofErr w:type="spellEnd"/>
      <w:r w:rsidR="00E81926" w:rsidRPr="00173F69">
        <w:rPr>
          <w:spacing w:val="-2"/>
          <w:szCs w:val="22"/>
          <w:lang w:val="sr-Latn-ME"/>
        </w:rPr>
        <w:t xml:space="preserve"> </w:t>
      </w:r>
      <w:proofErr w:type="spellStart"/>
      <w:r w:rsidR="00E81926" w:rsidRPr="00173F69">
        <w:rPr>
          <w:spacing w:val="-2"/>
          <w:szCs w:val="22"/>
          <w:lang w:val="sr-Latn-ME"/>
        </w:rPr>
        <w:t>acedoben</w:t>
      </w:r>
      <w:proofErr w:type="spellEnd"/>
      <w:r w:rsidR="00E81926" w:rsidRPr="00173F69">
        <w:rPr>
          <w:spacing w:val="-2"/>
          <w:szCs w:val="22"/>
          <w:lang w:val="sr-Latn-ME"/>
        </w:rPr>
        <w:t xml:space="preserve"> </w:t>
      </w:r>
      <w:proofErr w:type="spellStart"/>
      <w:r w:rsidR="00E81926" w:rsidRPr="00173F69">
        <w:rPr>
          <w:spacing w:val="-2"/>
          <w:szCs w:val="22"/>
          <w:lang w:val="sr-Latn-ME"/>
        </w:rPr>
        <w:t>dimepranola</w:t>
      </w:r>
      <w:proofErr w:type="spellEnd"/>
      <w:r w:rsidR="00E81926" w:rsidRPr="00173F69">
        <w:rPr>
          <w:spacing w:val="-2"/>
          <w:szCs w:val="22"/>
          <w:lang w:val="sr-Latn-ME"/>
        </w:rPr>
        <w:t>, pronađene su sl</w:t>
      </w:r>
      <w:r w:rsidR="00624BDE" w:rsidRPr="00173F69">
        <w:rPr>
          <w:spacing w:val="-2"/>
          <w:szCs w:val="22"/>
          <w:lang w:val="sr-Latn-ME"/>
        </w:rPr>
        <w:t>j</w:t>
      </w:r>
      <w:r w:rsidR="00E81926" w:rsidRPr="00173F69">
        <w:rPr>
          <w:spacing w:val="-2"/>
          <w:szCs w:val="22"/>
          <w:lang w:val="sr-Latn-ME"/>
        </w:rPr>
        <w:t xml:space="preserve">edeće koncentracije u plazmi za DIP i </w:t>
      </w:r>
      <w:proofErr w:type="spellStart"/>
      <w:r w:rsidR="00E81926" w:rsidRPr="00173F69">
        <w:rPr>
          <w:spacing w:val="-2"/>
          <w:szCs w:val="22"/>
          <w:lang w:val="sr-Latn-ME"/>
        </w:rPr>
        <w:t>PacBA</w:t>
      </w:r>
      <w:proofErr w:type="spellEnd"/>
      <w:r w:rsidR="00E81926" w:rsidRPr="00173F69">
        <w:rPr>
          <w:spacing w:val="-2"/>
          <w:szCs w:val="22"/>
          <w:lang w:val="sr-Latn-ME"/>
        </w:rPr>
        <w:t>: 3,7 </w:t>
      </w:r>
      <w:proofErr w:type="spellStart"/>
      <w:r w:rsidR="00E81926" w:rsidRPr="00173F69">
        <w:rPr>
          <w:spacing w:val="-2"/>
          <w:szCs w:val="22"/>
          <w:lang w:val="sr-Latn-ME"/>
        </w:rPr>
        <w:t>mikrograma</w:t>
      </w:r>
      <w:proofErr w:type="spellEnd"/>
      <w:r w:rsidR="00E81926" w:rsidRPr="00173F69">
        <w:rPr>
          <w:spacing w:val="-2"/>
          <w:szCs w:val="22"/>
          <w:lang w:val="sr-Latn-ME"/>
        </w:rPr>
        <w:t>/m</w:t>
      </w:r>
      <w:r w:rsidR="004F7F52" w:rsidRPr="00173F69">
        <w:rPr>
          <w:spacing w:val="-2"/>
          <w:szCs w:val="22"/>
          <w:lang w:val="sr-Latn-ME"/>
        </w:rPr>
        <w:t>l</w:t>
      </w:r>
      <w:r w:rsidR="00E81926" w:rsidRPr="00173F69">
        <w:rPr>
          <w:spacing w:val="-2"/>
          <w:szCs w:val="22"/>
          <w:lang w:val="sr-Latn-ME"/>
        </w:rPr>
        <w:t xml:space="preserve"> (2 sata) odnosno 9,4 </w:t>
      </w:r>
      <w:proofErr w:type="spellStart"/>
      <w:r w:rsidR="00E81926" w:rsidRPr="00173F69">
        <w:rPr>
          <w:spacing w:val="-2"/>
          <w:szCs w:val="22"/>
          <w:lang w:val="sr-Latn-ME"/>
        </w:rPr>
        <w:t>mikrograma</w:t>
      </w:r>
      <w:proofErr w:type="spellEnd"/>
      <w:r w:rsidR="00E81926" w:rsidRPr="00173F69">
        <w:rPr>
          <w:spacing w:val="-2"/>
          <w:szCs w:val="22"/>
          <w:lang w:val="sr-Latn-ME"/>
        </w:rPr>
        <w:t>/m</w:t>
      </w:r>
      <w:r w:rsidR="004F7F52" w:rsidRPr="00173F69">
        <w:rPr>
          <w:spacing w:val="-2"/>
          <w:szCs w:val="22"/>
          <w:lang w:val="sr-Latn-ME"/>
        </w:rPr>
        <w:t>l</w:t>
      </w:r>
      <w:r w:rsidR="00E81926" w:rsidRPr="00173F69">
        <w:rPr>
          <w:spacing w:val="-2"/>
          <w:szCs w:val="22"/>
          <w:lang w:val="sr-Latn-ME"/>
        </w:rPr>
        <w:t xml:space="preserve"> (1 sat). U ispitivanjima </w:t>
      </w:r>
      <w:proofErr w:type="spellStart"/>
      <w:r w:rsidR="00E81926" w:rsidRPr="00173F69">
        <w:rPr>
          <w:spacing w:val="-2"/>
          <w:szCs w:val="22"/>
          <w:lang w:val="sr-Latn-ME"/>
        </w:rPr>
        <w:t>podnošljivosti</w:t>
      </w:r>
      <w:proofErr w:type="spellEnd"/>
      <w:r w:rsidR="00E81926" w:rsidRPr="00173F69">
        <w:rPr>
          <w:spacing w:val="-2"/>
          <w:szCs w:val="22"/>
          <w:lang w:val="sr-Latn-ME"/>
        </w:rPr>
        <w:t xml:space="preserve"> doze kod </w:t>
      </w:r>
      <w:proofErr w:type="spellStart"/>
      <w:r w:rsidR="00E81926" w:rsidRPr="00173F69">
        <w:rPr>
          <w:spacing w:val="-2"/>
          <w:szCs w:val="22"/>
          <w:lang w:val="sr-Latn-ME"/>
        </w:rPr>
        <w:t>ljudi</w:t>
      </w:r>
      <w:proofErr w:type="spellEnd"/>
      <w:r w:rsidR="00E81926" w:rsidRPr="00173F69">
        <w:rPr>
          <w:spacing w:val="-2"/>
          <w:szCs w:val="22"/>
          <w:lang w:val="sr-Latn-ME"/>
        </w:rPr>
        <w:t>, maksimalno povećanje koncentracije mokraćne kiseline, kao m</w:t>
      </w:r>
      <w:r w:rsidR="00624BDE" w:rsidRPr="00173F69">
        <w:rPr>
          <w:spacing w:val="-2"/>
          <w:szCs w:val="22"/>
          <w:lang w:val="sr-Latn-ME"/>
        </w:rPr>
        <w:t>j</w:t>
      </w:r>
      <w:r w:rsidR="00E81926" w:rsidRPr="00173F69">
        <w:rPr>
          <w:spacing w:val="-2"/>
          <w:szCs w:val="22"/>
          <w:lang w:val="sr-Latn-ME"/>
        </w:rPr>
        <w:t xml:space="preserve">era </w:t>
      </w:r>
      <w:proofErr w:type="spellStart"/>
      <w:r w:rsidR="00E81926" w:rsidRPr="00173F69">
        <w:rPr>
          <w:spacing w:val="-2"/>
          <w:szCs w:val="22"/>
          <w:lang w:val="sr-Latn-ME"/>
        </w:rPr>
        <w:t>inozina</w:t>
      </w:r>
      <w:proofErr w:type="spellEnd"/>
      <w:r w:rsidR="00E81926" w:rsidRPr="00173F69">
        <w:rPr>
          <w:spacing w:val="-2"/>
          <w:szCs w:val="22"/>
          <w:lang w:val="sr-Latn-ME"/>
        </w:rPr>
        <w:t xml:space="preserve"> koji potiče od </w:t>
      </w:r>
      <w:r w:rsidR="00305BDB" w:rsidRPr="00173F69">
        <w:rPr>
          <w:spacing w:val="-2"/>
          <w:szCs w:val="22"/>
          <w:lang w:val="sr-Latn-ME"/>
        </w:rPr>
        <w:t>lijeka</w:t>
      </w:r>
      <w:r w:rsidR="00E81926" w:rsidRPr="00173F69">
        <w:rPr>
          <w:spacing w:val="-2"/>
          <w:szCs w:val="22"/>
          <w:lang w:val="sr-Latn-ME"/>
        </w:rPr>
        <w:t xml:space="preserve">, nije linearno i može varirati </w:t>
      </w:r>
      <w:r w:rsidR="00E81926" w:rsidRPr="00173F69">
        <w:rPr>
          <w:spacing w:val="-2"/>
          <w:szCs w:val="22"/>
          <w:u w:val="single"/>
          <w:lang w:val="sr-Latn-ME"/>
        </w:rPr>
        <w:t>+</w:t>
      </w:r>
      <w:r w:rsidR="00E81926" w:rsidRPr="00173F69">
        <w:rPr>
          <w:spacing w:val="-2"/>
          <w:szCs w:val="22"/>
          <w:lang w:val="sr-Latn-ME"/>
        </w:rPr>
        <w:t xml:space="preserve"> 10% između 1-3 h.</w:t>
      </w:r>
    </w:p>
    <w:p w14:paraId="0306A645" w14:textId="77777777" w:rsidR="002B588B" w:rsidRPr="00173F69" w:rsidRDefault="002B588B" w:rsidP="00614295">
      <w:pPr>
        <w:pStyle w:val="Header"/>
        <w:tabs>
          <w:tab w:val="clear" w:pos="4536"/>
          <w:tab w:val="clear" w:pos="9072"/>
          <w:tab w:val="left" w:pos="284"/>
        </w:tabs>
        <w:rPr>
          <w:spacing w:val="-2"/>
          <w:szCs w:val="22"/>
          <w:lang w:val="sr-Latn-ME"/>
        </w:rPr>
      </w:pPr>
    </w:p>
    <w:p w14:paraId="31254570" w14:textId="61BD32A0" w:rsidR="00E81926" w:rsidRPr="00173F69" w:rsidRDefault="00E81926" w:rsidP="00614295">
      <w:pPr>
        <w:pStyle w:val="Header"/>
        <w:tabs>
          <w:tab w:val="clear" w:pos="4536"/>
          <w:tab w:val="clear" w:pos="9072"/>
          <w:tab w:val="left" w:pos="284"/>
        </w:tabs>
        <w:rPr>
          <w:spacing w:val="-2"/>
          <w:szCs w:val="22"/>
          <w:lang w:val="sr-Latn-ME"/>
        </w:rPr>
      </w:pPr>
      <w:r w:rsidRPr="00173F69">
        <w:rPr>
          <w:spacing w:val="-2"/>
          <w:szCs w:val="22"/>
          <w:u w:val="single"/>
          <w:lang w:val="sr-Latn-ME"/>
        </w:rPr>
        <w:t>E</w:t>
      </w:r>
      <w:r w:rsidR="00372479" w:rsidRPr="00173F69">
        <w:rPr>
          <w:spacing w:val="-2"/>
          <w:szCs w:val="22"/>
          <w:u w:val="single"/>
          <w:lang w:val="sr-Latn-ME"/>
        </w:rPr>
        <w:t>liminacija</w:t>
      </w:r>
      <w:r w:rsidRPr="00173F69">
        <w:rPr>
          <w:spacing w:val="-2"/>
          <w:szCs w:val="22"/>
          <w:lang w:val="sr-Latn-ME"/>
        </w:rPr>
        <w:t>: E</w:t>
      </w:r>
      <w:r w:rsidR="00372479" w:rsidRPr="00173F69">
        <w:rPr>
          <w:spacing w:val="-2"/>
          <w:szCs w:val="22"/>
          <w:lang w:val="sr-Latn-ME"/>
        </w:rPr>
        <w:t>liminacija</w:t>
      </w:r>
      <w:r w:rsidRPr="00173F69">
        <w:rPr>
          <w:spacing w:val="-2"/>
          <w:szCs w:val="22"/>
          <w:lang w:val="sr-Latn-ME"/>
        </w:rPr>
        <w:t xml:space="preserve"> tokom 24 sata putem urina </w:t>
      </w:r>
      <w:proofErr w:type="spellStart"/>
      <w:r w:rsidRPr="00173F69">
        <w:rPr>
          <w:spacing w:val="-2"/>
          <w:szCs w:val="22"/>
          <w:lang w:val="sr-Latn-ME"/>
        </w:rPr>
        <w:t>PacBA</w:t>
      </w:r>
      <w:proofErr w:type="spellEnd"/>
      <w:r w:rsidRPr="00173F69">
        <w:rPr>
          <w:spacing w:val="-2"/>
          <w:szCs w:val="22"/>
          <w:lang w:val="sr-Latn-ME"/>
        </w:rPr>
        <w:t xml:space="preserve">, i njenog glavnog </w:t>
      </w:r>
      <w:proofErr w:type="spellStart"/>
      <w:r w:rsidRPr="00173F69">
        <w:rPr>
          <w:spacing w:val="-2"/>
          <w:szCs w:val="22"/>
          <w:lang w:val="sr-Latn-ME"/>
        </w:rPr>
        <w:t>metabolita</w:t>
      </w:r>
      <w:proofErr w:type="spellEnd"/>
      <w:r w:rsidRPr="00173F69">
        <w:rPr>
          <w:spacing w:val="-2"/>
          <w:szCs w:val="22"/>
          <w:lang w:val="sr-Latn-ME"/>
        </w:rPr>
        <w:t>, u stanju ravnoteže, do 4 g dnevno iznosi približno 85% od prim</w:t>
      </w:r>
      <w:r w:rsidR="00D31269" w:rsidRPr="00173F69">
        <w:rPr>
          <w:spacing w:val="-2"/>
          <w:szCs w:val="22"/>
          <w:lang w:val="sr-Latn-ME"/>
        </w:rPr>
        <w:t>ij</w:t>
      </w:r>
      <w:r w:rsidRPr="00173F69">
        <w:rPr>
          <w:spacing w:val="-2"/>
          <w:szCs w:val="22"/>
          <w:lang w:val="sr-Latn-ME"/>
        </w:rPr>
        <w:t>enjene doze. 95% radioaktivno ob</w:t>
      </w:r>
      <w:r w:rsidR="00624BDE" w:rsidRPr="00173F69">
        <w:rPr>
          <w:spacing w:val="-2"/>
          <w:szCs w:val="22"/>
          <w:lang w:val="sr-Latn-ME"/>
        </w:rPr>
        <w:t>i</w:t>
      </w:r>
      <w:r w:rsidRPr="00173F69">
        <w:rPr>
          <w:spacing w:val="-2"/>
          <w:szCs w:val="22"/>
          <w:lang w:val="sr-Latn-ME"/>
        </w:rPr>
        <w:t>l</w:t>
      </w:r>
      <w:r w:rsidR="00624BDE" w:rsidRPr="00173F69">
        <w:rPr>
          <w:spacing w:val="-2"/>
          <w:szCs w:val="22"/>
          <w:lang w:val="sr-Latn-ME"/>
        </w:rPr>
        <w:t>j</w:t>
      </w:r>
      <w:r w:rsidRPr="00173F69">
        <w:rPr>
          <w:spacing w:val="-2"/>
          <w:szCs w:val="22"/>
          <w:lang w:val="sr-Latn-ME"/>
        </w:rPr>
        <w:t xml:space="preserve">eženog DIP u urinu se nalazi kao </w:t>
      </w:r>
      <w:proofErr w:type="spellStart"/>
      <w:r w:rsidRPr="00173F69">
        <w:rPr>
          <w:spacing w:val="-2"/>
          <w:szCs w:val="22"/>
          <w:lang w:val="sr-Latn-ME"/>
        </w:rPr>
        <w:t>neprom</w:t>
      </w:r>
      <w:r w:rsidR="00624BDE" w:rsidRPr="00173F69">
        <w:rPr>
          <w:spacing w:val="-2"/>
          <w:szCs w:val="22"/>
          <w:lang w:val="sr-Latn-ME"/>
        </w:rPr>
        <w:t>ije</w:t>
      </w:r>
      <w:r w:rsidRPr="00173F69">
        <w:rPr>
          <w:spacing w:val="-2"/>
          <w:szCs w:val="22"/>
          <w:lang w:val="sr-Latn-ME"/>
        </w:rPr>
        <w:t>njen</w:t>
      </w:r>
      <w:proofErr w:type="spellEnd"/>
      <w:r w:rsidRPr="00173F69">
        <w:rPr>
          <w:spacing w:val="-2"/>
          <w:szCs w:val="22"/>
          <w:lang w:val="sr-Latn-ME"/>
        </w:rPr>
        <w:t xml:space="preserve"> DIP-a i DIP N-oksid. Poluvr</w:t>
      </w:r>
      <w:r w:rsidR="00F26D92" w:rsidRPr="00173F69">
        <w:rPr>
          <w:spacing w:val="-2"/>
          <w:szCs w:val="22"/>
          <w:lang w:val="sr-Latn-ME"/>
        </w:rPr>
        <w:t>ij</w:t>
      </w:r>
      <w:r w:rsidRPr="00173F69">
        <w:rPr>
          <w:spacing w:val="-2"/>
          <w:szCs w:val="22"/>
          <w:lang w:val="sr-Latn-ME"/>
        </w:rPr>
        <w:t xml:space="preserve">eme eliminacije je 3,5 sata za DIP i 50 minuta za </w:t>
      </w:r>
      <w:proofErr w:type="spellStart"/>
      <w:r w:rsidRPr="00173F69">
        <w:rPr>
          <w:spacing w:val="-2"/>
          <w:szCs w:val="22"/>
          <w:lang w:val="sr-Latn-ME"/>
        </w:rPr>
        <w:t>PacBA</w:t>
      </w:r>
      <w:proofErr w:type="spellEnd"/>
      <w:r w:rsidRPr="00173F69">
        <w:rPr>
          <w:spacing w:val="-2"/>
          <w:szCs w:val="22"/>
          <w:lang w:val="sr-Latn-ME"/>
        </w:rPr>
        <w:t xml:space="preserve">. Glavni </w:t>
      </w:r>
      <w:proofErr w:type="spellStart"/>
      <w:r w:rsidRPr="00173F69">
        <w:rPr>
          <w:spacing w:val="-2"/>
          <w:szCs w:val="22"/>
          <w:lang w:val="sr-Latn-ME"/>
        </w:rPr>
        <w:t>metaboliti</w:t>
      </w:r>
      <w:proofErr w:type="spellEnd"/>
      <w:r w:rsidRPr="00173F69">
        <w:rPr>
          <w:spacing w:val="-2"/>
          <w:szCs w:val="22"/>
          <w:lang w:val="sr-Latn-ME"/>
        </w:rPr>
        <w:t xml:space="preserve"> kod </w:t>
      </w:r>
      <w:proofErr w:type="spellStart"/>
      <w:r w:rsidRPr="00173F69">
        <w:rPr>
          <w:spacing w:val="-2"/>
          <w:szCs w:val="22"/>
          <w:lang w:val="sr-Latn-ME"/>
        </w:rPr>
        <w:t>ljudi</w:t>
      </w:r>
      <w:proofErr w:type="spellEnd"/>
      <w:r w:rsidRPr="00173F69">
        <w:rPr>
          <w:spacing w:val="-2"/>
          <w:szCs w:val="22"/>
          <w:lang w:val="sr-Latn-ME"/>
        </w:rPr>
        <w:t xml:space="preserve"> su N-oksid za DIP i o-</w:t>
      </w:r>
      <w:proofErr w:type="spellStart"/>
      <w:r w:rsidRPr="00173F69">
        <w:rPr>
          <w:spacing w:val="-2"/>
          <w:szCs w:val="22"/>
          <w:lang w:val="sr-Latn-ME"/>
        </w:rPr>
        <w:t>acilglukuronid</w:t>
      </w:r>
      <w:proofErr w:type="spellEnd"/>
      <w:r w:rsidRPr="00173F69">
        <w:rPr>
          <w:spacing w:val="-2"/>
          <w:szCs w:val="22"/>
          <w:lang w:val="sr-Latn-ME"/>
        </w:rPr>
        <w:t xml:space="preserve"> za </w:t>
      </w:r>
      <w:proofErr w:type="spellStart"/>
      <w:r w:rsidRPr="00173F69">
        <w:rPr>
          <w:spacing w:val="-2"/>
          <w:szCs w:val="22"/>
          <w:lang w:val="sr-Latn-ME"/>
        </w:rPr>
        <w:t>PacBA</w:t>
      </w:r>
      <w:proofErr w:type="spellEnd"/>
      <w:r w:rsidRPr="00173F69">
        <w:rPr>
          <w:spacing w:val="-2"/>
          <w:szCs w:val="22"/>
          <w:lang w:val="sr-Latn-ME"/>
        </w:rPr>
        <w:t xml:space="preserve">. Pošto se </w:t>
      </w:r>
      <w:proofErr w:type="spellStart"/>
      <w:r w:rsidRPr="00173F69">
        <w:rPr>
          <w:spacing w:val="-2"/>
          <w:szCs w:val="22"/>
          <w:lang w:val="sr-Latn-ME"/>
        </w:rPr>
        <w:t>inozin</w:t>
      </w:r>
      <w:proofErr w:type="spellEnd"/>
      <w:r w:rsidRPr="00173F69">
        <w:rPr>
          <w:spacing w:val="-2"/>
          <w:szCs w:val="22"/>
          <w:lang w:val="sr-Latn-ME"/>
        </w:rPr>
        <w:t xml:space="preserve"> </w:t>
      </w:r>
      <w:proofErr w:type="spellStart"/>
      <w:r w:rsidRPr="00173F69">
        <w:rPr>
          <w:spacing w:val="-2"/>
          <w:szCs w:val="22"/>
          <w:lang w:val="sr-Latn-ME"/>
        </w:rPr>
        <w:t>metaboliše</w:t>
      </w:r>
      <w:proofErr w:type="spellEnd"/>
      <w:r w:rsidRPr="00173F69">
        <w:rPr>
          <w:spacing w:val="-2"/>
          <w:szCs w:val="22"/>
          <w:lang w:val="sr-Latn-ME"/>
        </w:rPr>
        <w:t xml:space="preserve"> putem </w:t>
      </w:r>
      <w:proofErr w:type="spellStart"/>
      <w:r w:rsidRPr="00173F69">
        <w:rPr>
          <w:spacing w:val="-2"/>
          <w:szCs w:val="22"/>
          <w:lang w:val="sr-Latn-ME"/>
        </w:rPr>
        <w:t>purinske</w:t>
      </w:r>
      <w:proofErr w:type="spellEnd"/>
      <w:r w:rsidRPr="00173F69">
        <w:rPr>
          <w:spacing w:val="-2"/>
          <w:szCs w:val="22"/>
          <w:lang w:val="sr-Latn-ME"/>
        </w:rPr>
        <w:t xml:space="preserve"> degradacije do mokraćne kiseline, eksperimenti sa radioaktivnim ob</w:t>
      </w:r>
      <w:r w:rsidR="00624BDE" w:rsidRPr="00173F69">
        <w:rPr>
          <w:spacing w:val="-2"/>
          <w:szCs w:val="22"/>
          <w:lang w:val="sr-Latn-ME"/>
        </w:rPr>
        <w:t>i</w:t>
      </w:r>
      <w:r w:rsidRPr="00173F69">
        <w:rPr>
          <w:spacing w:val="-2"/>
          <w:szCs w:val="22"/>
          <w:lang w:val="sr-Latn-ME"/>
        </w:rPr>
        <w:t>l</w:t>
      </w:r>
      <w:r w:rsidR="00624BDE" w:rsidRPr="00173F69">
        <w:rPr>
          <w:spacing w:val="-2"/>
          <w:szCs w:val="22"/>
          <w:lang w:val="sr-Latn-ME"/>
        </w:rPr>
        <w:t>j</w:t>
      </w:r>
      <w:r w:rsidRPr="00173F69">
        <w:rPr>
          <w:spacing w:val="-2"/>
          <w:szCs w:val="22"/>
          <w:lang w:val="sr-Latn-ME"/>
        </w:rPr>
        <w:t xml:space="preserve">ežavanjem kod </w:t>
      </w:r>
      <w:proofErr w:type="spellStart"/>
      <w:r w:rsidRPr="00173F69">
        <w:rPr>
          <w:spacing w:val="-2"/>
          <w:szCs w:val="22"/>
          <w:lang w:val="sr-Latn-ME"/>
        </w:rPr>
        <w:t>ljudi</w:t>
      </w:r>
      <w:proofErr w:type="spellEnd"/>
      <w:r w:rsidRPr="00173F69">
        <w:rPr>
          <w:spacing w:val="-2"/>
          <w:szCs w:val="22"/>
          <w:lang w:val="sr-Latn-ME"/>
        </w:rPr>
        <w:t xml:space="preserve"> nisu odgovarajući. Kod životinja do oko 70% oralno prim</w:t>
      </w:r>
      <w:r w:rsidR="00F26D92" w:rsidRPr="00173F69">
        <w:rPr>
          <w:spacing w:val="-2"/>
          <w:szCs w:val="22"/>
          <w:lang w:val="sr-Latn-ME"/>
        </w:rPr>
        <w:t>ij</w:t>
      </w:r>
      <w:r w:rsidRPr="00173F69">
        <w:rPr>
          <w:spacing w:val="-2"/>
          <w:szCs w:val="22"/>
          <w:lang w:val="sr-Latn-ME"/>
        </w:rPr>
        <w:t xml:space="preserve">enjenog </w:t>
      </w:r>
      <w:proofErr w:type="spellStart"/>
      <w:r w:rsidRPr="00173F69">
        <w:rPr>
          <w:spacing w:val="-2"/>
          <w:szCs w:val="22"/>
          <w:lang w:val="sr-Latn-ME"/>
        </w:rPr>
        <w:t>inozina</w:t>
      </w:r>
      <w:proofErr w:type="spellEnd"/>
      <w:r w:rsidRPr="00173F69">
        <w:rPr>
          <w:spacing w:val="-2"/>
          <w:szCs w:val="22"/>
          <w:lang w:val="sr-Latn-ME"/>
        </w:rPr>
        <w:t xml:space="preserve"> u urinu se nalazi kao mokraćna kiselina, a ostatak kao normalni </w:t>
      </w:r>
      <w:proofErr w:type="spellStart"/>
      <w:r w:rsidRPr="00173F69">
        <w:rPr>
          <w:spacing w:val="-2"/>
          <w:szCs w:val="22"/>
          <w:lang w:val="sr-Latn-ME"/>
        </w:rPr>
        <w:t>metaboliti</w:t>
      </w:r>
      <w:proofErr w:type="spellEnd"/>
      <w:r w:rsidRPr="00173F69">
        <w:rPr>
          <w:spacing w:val="-2"/>
          <w:szCs w:val="22"/>
          <w:lang w:val="sr-Latn-ME"/>
        </w:rPr>
        <w:t xml:space="preserve">, </w:t>
      </w:r>
      <w:proofErr w:type="spellStart"/>
      <w:r w:rsidRPr="00173F69">
        <w:rPr>
          <w:spacing w:val="-2"/>
          <w:szCs w:val="22"/>
          <w:lang w:val="sr-Latn-ME"/>
        </w:rPr>
        <w:t>ksantin</w:t>
      </w:r>
      <w:proofErr w:type="spellEnd"/>
      <w:r w:rsidRPr="00173F69">
        <w:rPr>
          <w:spacing w:val="-2"/>
          <w:szCs w:val="22"/>
          <w:lang w:val="sr-Latn-ME"/>
        </w:rPr>
        <w:t xml:space="preserve"> i </w:t>
      </w:r>
      <w:proofErr w:type="spellStart"/>
      <w:r w:rsidRPr="00173F69">
        <w:rPr>
          <w:spacing w:val="-2"/>
          <w:szCs w:val="22"/>
          <w:lang w:val="sr-Latn-ME"/>
        </w:rPr>
        <w:t>hipoksantin</w:t>
      </w:r>
      <w:proofErr w:type="spellEnd"/>
      <w:r w:rsidRPr="00173F69">
        <w:rPr>
          <w:spacing w:val="-2"/>
          <w:szCs w:val="22"/>
          <w:lang w:val="sr-Latn-ME"/>
        </w:rPr>
        <w:t>.</w:t>
      </w:r>
    </w:p>
    <w:p w14:paraId="7DE59F25" w14:textId="77777777" w:rsidR="002B588B" w:rsidRPr="00173F69" w:rsidRDefault="002B588B" w:rsidP="00614295">
      <w:pPr>
        <w:pStyle w:val="Header"/>
        <w:tabs>
          <w:tab w:val="clear" w:pos="4536"/>
          <w:tab w:val="clear" w:pos="9072"/>
          <w:tab w:val="left" w:pos="284"/>
        </w:tabs>
        <w:rPr>
          <w:spacing w:val="-2"/>
          <w:szCs w:val="22"/>
          <w:lang w:val="sr-Latn-ME"/>
        </w:rPr>
      </w:pPr>
    </w:p>
    <w:p w14:paraId="6D174DE4" w14:textId="08BFD0E7" w:rsidR="002B588B" w:rsidRPr="00173F69" w:rsidRDefault="002B588B" w:rsidP="00614295">
      <w:pPr>
        <w:pStyle w:val="Header"/>
        <w:tabs>
          <w:tab w:val="clear" w:pos="4536"/>
          <w:tab w:val="clear" w:pos="9072"/>
          <w:tab w:val="left" w:pos="284"/>
        </w:tabs>
        <w:rPr>
          <w:spacing w:val="-2"/>
          <w:szCs w:val="22"/>
          <w:lang w:val="sr-Latn-ME"/>
        </w:rPr>
      </w:pPr>
      <w:proofErr w:type="spellStart"/>
      <w:r w:rsidRPr="00173F69">
        <w:rPr>
          <w:spacing w:val="-2"/>
          <w:szCs w:val="22"/>
          <w:u w:val="single"/>
          <w:lang w:val="sr-Latn-ME"/>
        </w:rPr>
        <w:t>Bioraspoloživost</w:t>
      </w:r>
      <w:proofErr w:type="spellEnd"/>
      <w:r w:rsidRPr="00173F69">
        <w:rPr>
          <w:spacing w:val="-2"/>
          <w:szCs w:val="22"/>
          <w:u w:val="single"/>
          <w:lang w:val="sr-Latn-ME"/>
        </w:rPr>
        <w:t>/PIK</w:t>
      </w:r>
      <w:r w:rsidRPr="00173F69">
        <w:rPr>
          <w:spacing w:val="-2"/>
          <w:szCs w:val="22"/>
          <w:lang w:val="sr-Latn-ME"/>
        </w:rPr>
        <w:t xml:space="preserve">: </w:t>
      </w:r>
      <w:r w:rsidR="00E81926" w:rsidRPr="00173F69">
        <w:rPr>
          <w:spacing w:val="-2"/>
          <w:szCs w:val="22"/>
          <w:lang w:val="sr-Latn-ME"/>
        </w:rPr>
        <w:t xml:space="preserve">U stanju ravnoteže </w:t>
      </w:r>
      <w:proofErr w:type="spellStart"/>
      <w:r w:rsidR="00E81926" w:rsidRPr="00173F69">
        <w:rPr>
          <w:spacing w:val="-2"/>
          <w:szCs w:val="22"/>
          <w:lang w:val="sr-Latn-ME"/>
        </w:rPr>
        <w:t>PacBA</w:t>
      </w:r>
      <w:proofErr w:type="spellEnd"/>
      <w:r w:rsidR="00E81926" w:rsidRPr="00173F69">
        <w:rPr>
          <w:spacing w:val="-2"/>
          <w:szCs w:val="22"/>
          <w:lang w:val="sr-Latn-ME"/>
        </w:rPr>
        <w:t xml:space="preserve"> i njeni </w:t>
      </w:r>
      <w:proofErr w:type="spellStart"/>
      <w:r w:rsidR="00E81926" w:rsidRPr="00173F69">
        <w:rPr>
          <w:spacing w:val="-2"/>
          <w:szCs w:val="22"/>
          <w:lang w:val="sr-Latn-ME"/>
        </w:rPr>
        <w:t>metaboliti</w:t>
      </w:r>
      <w:proofErr w:type="spellEnd"/>
      <w:r w:rsidR="00E81926" w:rsidRPr="00173F69">
        <w:rPr>
          <w:spacing w:val="-2"/>
          <w:szCs w:val="22"/>
          <w:lang w:val="sr-Latn-ME"/>
        </w:rPr>
        <w:t xml:space="preserve"> se u urinu nalaze </w:t>
      </w:r>
      <w:r w:rsidR="00D31269" w:rsidRPr="00173F69">
        <w:rPr>
          <w:spacing w:val="-2"/>
          <w:szCs w:val="22"/>
          <w:lang w:val="sr-Latn-ME"/>
        </w:rPr>
        <w:t xml:space="preserve">≥ </w:t>
      </w:r>
      <w:r w:rsidR="00E81926" w:rsidRPr="00173F69">
        <w:rPr>
          <w:spacing w:val="-2"/>
          <w:szCs w:val="22"/>
          <w:lang w:val="sr-Latn-ME"/>
        </w:rPr>
        <w:t>90% od očekivanih vr</w:t>
      </w:r>
      <w:r w:rsidR="00075CF1" w:rsidRPr="00173F69">
        <w:rPr>
          <w:spacing w:val="-2"/>
          <w:szCs w:val="22"/>
          <w:lang w:val="sr-Latn-ME"/>
        </w:rPr>
        <w:t>ij</w:t>
      </w:r>
      <w:r w:rsidR="00E81926" w:rsidRPr="00173F69">
        <w:rPr>
          <w:spacing w:val="-2"/>
          <w:szCs w:val="22"/>
          <w:lang w:val="sr-Latn-ME"/>
        </w:rPr>
        <w:t>ednosti. Vr</w:t>
      </w:r>
      <w:r w:rsidR="00075CF1" w:rsidRPr="00173F69">
        <w:rPr>
          <w:spacing w:val="-2"/>
          <w:szCs w:val="22"/>
          <w:lang w:val="sr-Latn-ME"/>
        </w:rPr>
        <w:t>ij</w:t>
      </w:r>
      <w:r w:rsidR="00E81926" w:rsidRPr="00173F69">
        <w:rPr>
          <w:spacing w:val="-2"/>
          <w:szCs w:val="22"/>
          <w:lang w:val="sr-Latn-ME"/>
        </w:rPr>
        <w:t xml:space="preserve">ednost u kojoj se DIP i njegovi </w:t>
      </w:r>
      <w:proofErr w:type="spellStart"/>
      <w:r w:rsidR="00E81926" w:rsidRPr="00173F69">
        <w:rPr>
          <w:spacing w:val="-2"/>
          <w:szCs w:val="22"/>
          <w:lang w:val="sr-Latn-ME"/>
        </w:rPr>
        <w:t>metaboliti</w:t>
      </w:r>
      <w:proofErr w:type="spellEnd"/>
      <w:r w:rsidR="00E81926" w:rsidRPr="00173F69">
        <w:rPr>
          <w:spacing w:val="-2"/>
          <w:szCs w:val="22"/>
          <w:lang w:val="sr-Latn-ME"/>
        </w:rPr>
        <w:t xml:space="preserve"> mogu naći u urinu iznosi </w:t>
      </w:r>
      <w:r w:rsidR="00D31269" w:rsidRPr="00173F69">
        <w:rPr>
          <w:spacing w:val="-2"/>
          <w:szCs w:val="22"/>
          <w:lang w:val="sr-Latn-ME"/>
        </w:rPr>
        <w:t xml:space="preserve">≥ </w:t>
      </w:r>
      <w:r w:rsidR="00E81926" w:rsidRPr="00173F69">
        <w:rPr>
          <w:spacing w:val="-2"/>
          <w:szCs w:val="22"/>
          <w:lang w:val="sr-Latn-ME"/>
        </w:rPr>
        <w:t>76%. Vr</w:t>
      </w:r>
      <w:r w:rsidR="00075CF1" w:rsidRPr="00173F69">
        <w:rPr>
          <w:spacing w:val="-2"/>
          <w:szCs w:val="22"/>
          <w:lang w:val="sr-Latn-ME"/>
        </w:rPr>
        <w:t>ij</w:t>
      </w:r>
      <w:r w:rsidR="00E81926" w:rsidRPr="00173F69">
        <w:rPr>
          <w:spacing w:val="-2"/>
          <w:szCs w:val="22"/>
          <w:lang w:val="sr-Latn-ME"/>
        </w:rPr>
        <w:t xml:space="preserve">ednosti PIK je </w:t>
      </w:r>
      <w:r w:rsidR="00D31269" w:rsidRPr="00173F69">
        <w:rPr>
          <w:spacing w:val="-2"/>
          <w:szCs w:val="22"/>
          <w:lang w:val="sr-Latn-ME"/>
        </w:rPr>
        <w:t xml:space="preserve">≥ </w:t>
      </w:r>
      <w:r w:rsidR="00E81926" w:rsidRPr="00173F69">
        <w:rPr>
          <w:spacing w:val="-2"/>
          <w:szCs w:val="22"/>
          <w:lang w:val="sr-Latn-ME"/>
        </w:rPr>
        <w:t xml:space="preserve">88%, za DIP i </w:t>
      </w:r>
      <w:r w:rsidR="00D31269" w:rsidRPr="00173F69">
        <w:rPr>
          <w:spacing w:val="-2"/>
          <w:szCs w:val="22"/>
          <w:lang w:val="sr-Latn-ME"/>
        </w:rPr>
        <w:t xml:space="preserve">≥ </w:t>
      </w:r>
      <w:r w:rsidR="00E81926" w:rsidRPr="00173F69">
        <w:rPr>
          <w:spacing w:val="-2"/>
          <w:szCs w:val="22"/>
          <w:lang w:val="sr-Latn-ME"/>
        </w:rPr>
        <w:t xml:space="preserve">77% za </w:t>
      </w:r>
      <w:proofErr w:type="spellStart"/>
      <w:r w:rsidR="00E81926" w:rsidRPr="00173F69">
        <w:rPr>
          <w:spacing w:val="-2"/>
          <w:szCs w:val="22"/>
          <w:lang w:val="sr-Latn-ME"/>
        </w:rPr>
        <w:t>P</w:t>
      </w:r>
      <w:r w:rsidR="0006007C" w:rsidRPr="00173F69">
        <w:rPr>
          <w:spacing w:val="-2"/>
          <w:szCs w:val="22"/>
          <w:lang w:val="sr-Latn-ME"/>
        </w:rPr>
        <w:t>a</w:t>
      </w:r>
      <w:r w:rsidR="00E81926" w:rsidRPr="00173F69">
        <w:rPr>
          <w:spacing w:val="-2"/>
          <w:szCs w:val="22"/>
          <w:lang w:val="sr-Latn-ME"/>
        </w:rPr>
        <w:t>cBA</w:t>
      </w:r>
      <w:proofErr w:type="spellEnd"/>
      <w:r w:rsidR="00E81926" w:rsidRPr="00173F69">
        <w:rPr>
          <w:spacing w:val="-2"/>
          <w:szCs w:val="22"/>
          <w:lang w:val="sr-Latn-ME"/>
        </w:rPr>
        <w:t>.</w:t>
      </w:r>
    </w:p>
    <w:p w14:paraId="321422FC" w14:textId="77777777" w:rsidR="00C22964" w:rsidRPr="00173F69" w:rsidRDefault="00C22964" w:rsidP="00614295">
      <w:pPr>
        <w:rPr>
          <w:szCs w:val="22"/>
          <w:lang w:val="sr-Latn-ME"/>
        </w:rPr>
      </w:pPr>
    </w:p>
    <w:p w14:paraId="498EDA77" w14:textId="205FEE10" w:rsidR="00CE09F3" w:rsidRPr="00173F69" w:rsidRDefault="00CE09F3" w:rsidP="00614295">
      <w:pPr>
        <w:rPr>
          <w:b/>
          <w:bCs/>
          <w:szCs w:val="22"/>
          <w:lang w:val="sr-Latn-ME"/>
        </w:rPr>
      </w:pPr>
      <w:r w:rsidRPr="00173F69">
        <w:rPr>
          <w:b/>
          <w:bCs/>
          <w:szCs w:val="22"/>
          <w:lang w:val="sr-Latn-ME"/>
        </w:rPr>
        <w:t xml:space="preserve">5.3. </w:t>
      </w:r>
      <w:proofErr w:type="spellStart"/>
      <w:r w:rsidRPr="00173F69">
        <w:rPr>
          <w:b/>
          <w:bCs/>
          <w:szCs w:val="22"/>
          <w:lang w:val="sr-Latn-ME"/>
        </w:rPr>
        <w:t>Pretklinički</w:t>
      </w:r>
      <w:proofErr w:type="spellEnd"/>
      <w:r w:rsidRPr="00173F69">
        <w:rPr>
          <w:b/>
          <w:bCs/>
          <w:szCs w:val="22"/>
          <w:lang w:val="sr-Latn-ME"/>
        </w:rPr>
        <w:t xml:space="preserve"> podaci o bezb</w:t>
      </w:r>
      <w:r w:rsidR="00ED4A84" w:rsidRPr="00173F69">
        <w:rPr>
          <w:b/>
          <w:bCs/>
          <w:szCs w:val="22"/>
          <w:lang w:val="sr-Latn-ME"/>
        </w:rPr>
        <w:t>j</w:t>
      </w:r>
      <w:r w:rsidRPr="00173F69">
        <w:rPr>
          <w:b/>
          <w:bCs/>
          <w:szCs w:val="22"/>
          <w:lang w:val="sr-Latn-ME"/>
        </w:rPr>
        <w:t>ednosti</w:t>
      </w:r>
    </w:p>
    <w:p w14:paraId="085FD48F" w14:textId="77777777" w:rsidR="00CE09F3" w:rsidRPr="00173F69" w:rsidRDefault="00CE09F3" w:rsidP="00614295">
      <w:pPr>
        <w:rPr>
          <w:szCs w:val="22"/>
          <w:lang w:val="sr-Latn-ME"/>
        </w:rPr>
      </w:pPr>
    </w:p>
    <w:p w14:paraId="5F6A36CF" w14:textId="287D3B25" w:rsidR="00CE09F3" w:rsidRPr="00173F69" w:rsidRDefault="00C22964" w:rsidP="00614295">
      <w:pPr>
        <w:rPr>
          <w:szCs w:val="22"/>
          <w:lang w:val="sr-Latn-ME"/>
        </w:rPr>
      </w:pPr>
      <w:proofErr w:type="spellStart"/>
      <w:r w:rsidRPr="00173F69">
        <w:rPr>
          <w:szCs w:val="22"/>
          <w:lang w:val="sr-Latn-ME"/>
        </w:rPr>
        <w:t>Isoprinosine</w:t>
      </w:r>
      <w:proofErr w:type="spellEnd"/>
      <w:r w:rsidRPr="00173F69">
        <w:rPr>
          <w:szCs w:val="22"/>
          <w:lang w:val="sr-Latn-ME"/>
        </w:rPr>
        <w:t xml:space="preserve"> ispoljava nisku toksičnost u studijama akutne, </w:t>
      </w:r>
      <w:proofErr w:type="spellStart"/>
      <w:r w:rsidRPr="00173F69">
        <w:rPr>
          <w:szCs w:val="22"/>
          <w:lang w:val="sr-Latn-ME"/>
        </w:rPr>
        <w:t>subakutne</w:t>
      </w:r>
      <w:proofErr w:type="spellEnd"/>
      <w:r w:rsidRPr="00173F69">
        <w:rPr>
          <w:szCs w:val="22"/>
          <w:lang w:val="sr-Latn-ME"/>
        </w:rPr>
        <w:t xml:space="preserve"> i hronične toksičnosti na miševima, pacovima, psima, mačkama i majmunima pri čemu su korišćene doze od 1500 mg/kg/dan. Najmanja akutna oralna LD</w:t>
      </w:r>
      <w:r w:rsidRPr="00173F69">
        <w:rPr>
          <w:szCs w:val="22"/>
          <w:vertAlign w:val="subscript"/>
          <w:lang w:val="sr-Latn-ME"/>
        </w:rPr>
        <w:t>50</w:t>
      </w:r>
      <w:r w:rsidRPr="00173F69">
        <w:rPr>
          <w:szCs w:val="22"/>
          <w:lang w:val="sr-Latn-ME"/>
        </w:rPr>
        <w:t xml:space="preserve"> je 50 puta veća od maksimalne terapijske doze od 100 mg/kg/dan. </w:t>
      </w:r>
      <w:proofErr w:type="spellStart"/>
      <w:r w:rsidRPr="00173F69">
        <w:rPr>
          <w:szCs w:val="22"/>
          <w:lang w:val="sr-Latn-ME"/>
        </w:rPr>
        <w:t>Isoprinosine</w:t>
      </w:r>
      <w:proofErr w:type="spellEnd"/>
      <w:r w:rsidRPr="00173F69">
        <w:rPr>
          <w:szCs w:val="22"/>
          <w:lang w:val="sr-Latn-ME"/>
        </w:rPr>
        <w:t xml:space="preserve"> nema </w:t>
      </w:r>
      <w:proofErr w:type="spellStart"/>
      <w:r w:rsidRPr="00173F69">
        <w:rPr>
          <w:szCs w:val="22"/>
          <w:lang w:val="sr-Latn-ME"/>
        </w:rPr>
        <w:t>genotoksičan</w:t>
      </w:r>
      <w:proofErr w:type="spellEnd"/>
      <w:r w:rsidRPr="00173F69">
        <w:rPr>
          <w:szCs w:val="22"/>
          <w:lang w:val="sr-Latn-ME"/>
        </w:rPr>
        <w:t xml:space="preserve"> niti </w:t>
      </w:r>
      <w:proofErr w:type="spellStart"/>
      <w:r w:rsidRPr="00173F69">
        <w:rPr>
          <w:szCs w:val="22"/>
          <w:lang w:val="sr-Latn-ME"/>
        </w:rPr>
        <w:t>ka</w:t>
      </w:r>
      <w:r w:rsidR="007706B9" w:rsidRPr="00173F69">
        <w:rPr>
          <w:szCs w:val="22"/>
          <w:lang w:val="sr-Latn-ME"/>
        </w:rPr>
        <w:t>rcinogeni</w:t>
      </w:r>
      <w:proofErr w:type="spellEnd"/>
      <w:r w:rsidRPr="00173F69">
        <w:rPr>
          <w:szCs w:val="22"/>
          <w:lang w:val="sr-Latn-ME"/>
        </w:rPr>
        <w:t xml:space="preserve"> potencijal.</w:t>
      </w:r>
    </w:p>
    <w:p w14:paraId="58B81F21" w14:textId="105FB0CC" w:rsidR="00504D43" w:rsidRPr="00173F69" w:rsidRDefault="00504D43" w:rsidP="00614295">
      <w:pPr>
        <w:rPr>
          <w:szCs w:val="22"/>
          <w:lang w:val="sr-Latn-ME"/>
        </w:rPr>
      </w:pPr>
    </w:p>
    <w:p w14:paraId="420E3805" w14:textId="77777777" w:rsidR="004F7F52" w:rsidRPr="00173F69" w:rsidRDefault="004F7F52" w:rsidP="00614295">
      <w:pPr>
        <w:rPr>
          <w:szCs w:val="22"/>
          <w:lang w:val="sr-Latn-ME"/>
        </w:rPr>
      </w:pPr>
    </w:p>
    <w:p w14:paraId="08C57A45" w14:textId="77777777" w:rsidR="00CE09F3" w:rsidRPr="00173F69" w:rsidRDefault="00CE09F3" w:rsidP="00614295">
      <w:pPr>
        <w:pStyle w:val="NASLOV123"/>
        <w:keepNext/>
        <w:keepLines/>
        <w:spacing w:before="0" w:after="0"/>
        <w:rPr>
          <w:lang w:val="sr-Latn-ME"/>
        </w:rPr>
      </w:pPr>
      <w:r w:rsidRPr="00173F69">
        <w:rPr>
          <w:lang w:val="sr-Latn-ME"/>
        </w:rPr>
        <w:t>6. FARMACEUTSKI PODACI</w:t>
      </w:r>
    </w:p>
    <w:p w14:paraId="54345F53" w14:textId="77777777" w:rsidR="004F7F52" w:rsidRPr="00173F69" w:rsidRDefault="004F7F52" w:rsidP="00614295">
      <w:pPr>
        <w:keepNext/>
        <w:keepLines/>
        <w:rPr>
          <w:b/>
          <w:bCs/>
          <w:szCs w:val="22"/>
          <w:lang w:val="sr-Latn-ME"/>
        </w:rPr>
      </w:pPr>
    </w:p>
    <w:p w14:paraId="1AF05F18" w14:textId="10597D9B" w:rsidR="00CE09F3" w:rsidRPr="00173F69" w:rsidRDefault="00CE09F3" w:rsidP="00614295">
      <w:pPr>
        <w:keepNext/>
        <w:keepLines/>
        <w:rPr>
          <w:b/>
          <w:bCs/>
          <w:szCs w:val="22"/>
          <w:lang w:val="sr-Latn-ME"/>
        </w:rPr>
      </w:pPr>
      <w:r w:rsidRPr="00173F69">
        <w:rPr>
          <w:b/>
          <w:bCs/>
          <w:szCs w:val="22"/>
          <w:lang w:val="sr-Latn-ME"/>
        </w:rPr>
        <w:t>6.1. Lista pomoćnih supstanci</w:t>
      </w:r>
      <w:r w:rsidR="00E64B56" w:rsidRPr="00173F69">
        <w:rPr>
          <w:b/>
          <w:bCs/>
          <w:szCs w:val="22"/>
          <w:lang w:val="sr-Latn-ME"/>
        </w:rPr>
        <w:t xml:space="preserve"> (</w:t>
      </w:r>
      <w:proofErr w:type="spellStart"/>
      <w:r w:rsidR="00E64B56" w:rsidRPr="00173F69">
        <w:rPr>
          <w:b/>
          <w:bCs/>
          <w:szCs w:val="22"/>
          <w:lang w:val="sr-Latn-ME"/>
        </w:rPr>
        <w:t>ekscipijenasa</w:t>
      </w:r>
      <w:proofErr w:type="spellEnd"/>
      <w:r w:rsidR="00E64B56" w:rsidRPr="00173F69">
        <w:rPr>
          <w:b/>
          <w:bCs/>
          <w:szCs w:val="22"/>
          <w:lang w:val="sr-Latn-ME"/>
        </w:rPr>
        <w:t>)</w:t>
      </w:r>
    </w:p>
    <w:p w14:paraId="127CCDC6" w14:textId="77777777" w:rsidR="00CE09F3" w:rsidRPr="00173F69" w:rsidRDefault="00CE09F3" w:rsidP="00614295">
      <w:pPr>
        <w:keepNext/>
        <w:keepLines/>
        <w:rPr>
          <w:szCs w:val="22"/>
          <w:lang w:val="sr-Latn-ME"/>
        </w:rPr>
      </w:pPr>
    </w:p>
    <w:p w14:paraId="58EEE54B" w14:textId="77777777" w:rsidR="00C22964" w:rsidRPr="00173F69" w:rsidRDefault="00C22964" w:rsidP="00614295">
      <w:pPr>
        <w:pStyle w:val="Header"/>
        <w:keepNext/>
        <w:keepLines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173F69">
        <w:rPr>
          <w:szCs w:val="22"/>
          <w:lang w:val="sr-Latn-ME"/>
        </w:rPr>
        <w:t>saharoza</w:t>
      </w:r>
    </w:p>
    <w:p w14:paraId="5FDF4935" w14:textId="41BDD21C" w:rsidR="00C22964" w:rsidRPr="00173F69" w:rsidRDefault="00C22964" w:rsidP="00614295">
      <w:pPr>
        <w:pStyle w:val="Header"/>
        <w:keepNext/>
        <w:keepLines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proofErr w:type="spellStart"/>
      <w:r w:rsidRPr="00173F69">
        <w:rPr>
          <w:szCs w:val="22"/>
          <w:lang w:val="sr-Latn-ME"/>
        </w:rPr>
        <w:t>metilparahidroksibenzoat</w:t>
      </w:r>
      <w:proofErr w:type="spellEnd"/>
    </w:p>
    <w:p w14:paraId="140863BA" w14:textId="2A324BBF" w:rsidR="00C22964" w:rsidRPr="00173F69" w:rsidRDefault="00C22964" w:rsidP="00614295">
      <w:pPr>
        <w:pStyle w:val="Header"/>
        <w:keepNext/>
        <w:keepLines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proofErr w:type="spellStart"/>
      <w:r w:rsidRPr="00173F69">
        <w:rPr>
          <w:szCs w:val="22"/>
          <w:lang w:val="sr-Latn-ME"/>
        </w:rPr>
        <w:t>propilparahidroksibenzoat</w:t>
      </w:r>
      <w:proofErr w:type="spellEnd"/>
    </w:p>
    <w:p w14:paraId="20E69882" w14:textId="6690B47A" w:rsidR="00C22964" w:rsidRPr="00173F69" w:rsidRDefault="00C22964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173F69">
        <w:rPr>
          <w:szCs w:val="22"/>
          <w:lang w:val="sr-Latn-ME"/>
        </w:rPr>
        <w:t>natrijum</w:t>
      </w:r>
      <w:r w:rsidR="004F7F52" w:rsidRPr="00173F69">
        <w:rPr>
          <w:szCs w:val="22"/>
          <w:lang w:val="sr-Latn-ME"/>
        </w:rPr>
        <w:t xml:space="preserve"> </w:t>
      </w:r>
      <w:r w:rsidRPr="00173F69">
        <w:rPr>
          <w:szCs w:val="22"/>
          <w:lang w:val="sr-Latn-ME"/>
        </w:rPr>
        <w:t>hidroksid</w:t>
      </w:r>
    </w:p>
    <w:p w14:paraId="49758712" w14:textId="27F13E46" w:rsidR="00C22964" w:rsidRPr="00173F69" w:rsidRDefault="00C22964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173F69">
        <w:rPr>
          <w:szCs w:val="22"/>
          <w:lang w:val="sr-Latn-ME"/>
        </w:rPr>
        <w:t>aroma šljive</w:t>
      </w:r>
      <w:r w:rsidR="00490502" w:rsidRPr="00173F69">
        <w:rPr>
          <w:szCs w:val="22"/>
          <w:lang w:val="sr-Latn-ME"/>
        </w:rPr>
        <w:t xml:space="preserve"> (sadrži etanol)</w:t>
      </w:r>
    </w:p>
    <w:p w14:paraId="3CCBA132" w14:textId="5868A135" w:rsidR="00C22964" w:rsidRPr="00173F69" w:rsidRDefault="00C22964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173F69">
        <w:rPr>
          <w:szCs w:val="22"/>
          <w:lang w:val="sr-Latn-ME"/>
        </w:rPr>
        <w:t>natrijum</w:t>
      </w:r>
      <w:r w:rsidR="004F7F52" w:rsidRPr="00173F69">
        <w:rPr>
          <w:szCs w:val="22"/>
          <w:lang w:val="sr-Latn-ME"/>
        </w:rPr>
        <w:t xml:space="preserve"> </w:t>
      </w:r>
      <w:proofErr w:type="spellStart"/>
      <w:r w:rsidR="0042465B" w:rsidRPr="00173F69">
        <w:rPr>
          <w:szCs w:val="22"/>
          <w:lang w:val="sr-Latn-ME"/>
        </w:rPr>
        <w:t>dihidrogen</w:t>
      </w:r>
      <w:r w:rsidRPr="00173F69">
        <w:rPr>
          <w:szCs w:val="22"/>
          <w:lang w:val="sr-Latn-ME"/>
        </w:rPr>
        <w:t>citrat</w:t>
      </w:r>
      <w:proofErr w:type="spellEnd"/>
    </w:p>
    <w:p w14:paraId="6AF3C4F7" w14:textId="18525B9C" w:rsidR="00CE09F3" w:rsidRPr="00173F69" w:rsidRDefault="00694596" w:rsidP="00614295">
      <w:pPr>
        <w:rPr>
          <w:szCs w:val="22"/>
          <w:lang w:val="sr-Latn-ME"/>
        </w:rPr>
      </w:pPr>
      <w:r w:rsidRPr="00173F69">
        <w:rPr>
          <w:szCs w:val="22"/>
          <w:lang w:val="sr-Latn-ME"/>
        </w:rPr>
        <w:t>voda, prečišćena</w:t>
      </w:r>
    </w:p>
    <w:p w14:paraId="1655B90C" w14:textId="77777777" w:rsidR="00694596" w:rsidRPr="00173F69" w:rsidRDefault="00694596" w:rsidP="00614295">
      <w:pPr>
        <w:rPr>
          <w:szCs w:val="22"/>
          <w:lang w:val="sr-Latn-ME"/>
        </w:rPr>
      </w:pPr>
    </w:p>
    <w:p w14:paraId="24D834B6" w14:textId="6E71A257" w:rsidR="00CE09F3" w:rsidRPr="00173F69" w:rsidRDefault="00CE09F3" w:rsidP="00614295">
      <w:pPr>
        <w:rPr>
          <w:b/>
          <w:bCs/>
          <w:szCs w:val="22"/>
          <w:lang w:val="sr-Latn-ME"/>
        </w:rPr>
      </w:pPr>
      <w:r w:rsidRPr="00173F69">
        <w:rPr>
          <w:b/>
          <w:bCs/>
          <w:szCs w:val="22"/>
          <w:lang w:val="sr-Latn-ME"/>
        </w:rPr>
        <w:t>6.2. Inkompatibilnost</w:t>
      </w:r>
      <w:r w:rsidR="00E64B56" w:rsidRPr="00173F69">
        <w:rPr>
          <w:b/>
          <w:bCs/>
          <w:szCs w:val="22"/>
          <w:lang w:val="sr-Latn-ME"/>
        </w:rPr>
        <w:t>i</w:t>
      </w:r>
    </w:p>
    <w:p w14:paraId="42EFB3CF" w14:textId="77777777" w:rsidR="00490502" w:rsidRPr="00173F69" w:rsidRDefault="00490502" w:rsidP="00614295">
      <w:pPr>
        <w:rPr>
          <w:b/>
          <w:bCs/>
          <w:szCs w:val="22"/>
          <w:lang w:val="sr-Latn-ME"/>
        </w:rPr>
      </w:pPr>
    </w:p>
    <w:p w14:paraId="4561213A" w14:textId="33E18F37" w:rsidR="00CE09F3" w:rsidRPr="00173F69" w:rsidRDefault="00DE7BB2" w:rsidP="00614295">
      <w:pPr>
        <w:rPr>
          <w:szCs w:val="22"/>
          <w:lang w:val="sr-Latn-ME"/>
        </w:rPr>
      </w:pPr>
      <w:r w:rsidRPr="00173F69">
        <w:rPr>
          <w:szCs w:val="22"/>
          <w:lang w:val="sr-Latn-ME"/>
        </w:rPr>
        <w:t>Nije prim</w:t>
      </w:r>
      <w:r w:rsidR="00CE734D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>enljivo</w:t>
      </w:r>
      <w:r w:rsidR="00E81926" w:rsidRPr="00173F69">
        <w:rPr>
          <w:szCs w:val="22"/>
          <w:lang w:val="sr-Latn-ME"/>
        </w:rPr>
        <w:t>.</w:t>
      </w:r>
    </w:p>
    <w:p w14:paraId="3A44928D" w14:textId="77777777" w:rsidR="00C22964" w:rsidRPr="00173F69" w:rsidRDefault="00C22964" w:rsidP="00614295">
      <w:pPr>
        <w:rPr>
          <w:szCs w:val="22"/>
          <w:lang w:val="sr-Latn-ME"/>
        </w:rPr>
      </w:pPr>
    </w:p>
    <w:p w14:paraId="73B6F4F3" w14:textId="77777777" w:rsidR="00CE09F3" w:rsidRPr="00173F69" w:rsidRDefault="00CE09F3" w:rsidP="00614295">
      <w:pPr>
        <w:rPr>
          <w:b/>
          <w:bCs/>
          <w:szCs w:val="22"/>
          <w:lang w:val="sr-Latn-ME"/>
        </w:rPr>
      </w:pPr>
      <w:r w:rsidRPr="00173F69">
        <w:rPr>
          <w:b/>
          <w:bCs/>
          <w:szCs w:val="22"/>
          <w:lang w:val="sr-Latn-ME"/>
        </w:rPr>
        <w:t>6.3. Rok upotrebe</w:t>
      </w:r>
    </w:p>
    <w:p w14:paraId="4CE0044A" w14:textId="77777777" w:rsidR="00CE09F3" w:rsidRPr="00173F69" w:rsidRDefault="00CE09F3" w:rsidP="00614295">
      <w:pPr>
        <w:rPr>
          <w:szCs w:val="22"/>
          <w:lang w:val="sr-Latn-ME"/>
        </w:rPr>
      </w:pPr>
    </w:p>
    <w:p w14:paraId="49116805" w14:textId="77777777" w:rsidR="00CE09F3" w:rsidRPr="00173F69" w:rsidRDefault="00F23EE3" w:rsidP="00614295">
      <w:pPr>
        <w:rPr>
          <w:szCs w:val="22"/>
          <w:lang w:val="sr-Latn-ME"/>
        </w:rPr>
      </w:pPr>
      <w:r w:rsidRPr="00173F69">
        <w:rPr>
          <w:szCs w:val="22"/>
          <w:lang w:val="sr-Latn-ME"/>
        </w:rPr>
        <w:t>3 godine</w:t>
      </w:r>
    </w:p>
    <w:p w14:paraId="5A16C3A1" w14:textId="77777777" w:rsidR="00490502" w:rsidRPr="00173F69" w:rsidRDefault="00490502" w:rsidP="00614295">
      <w:pPr>
        <w:rPr>
          <w:szCs w:val="22"/>
          <w:lang w:val="sr-Latn-ME"/>
        </w:rPr>
      </w:pPr>
    </w:p>
    <w:p w14:paraId="3BD05930" w14:textId="40FD55E1" w:rsidR="00E93391" w:rsidRPr="00173F69" w:rsidRDefault="00E93391" w:rsidP="00614295">
      <w:pPr>
        <w:rPr>
          <w:szCs w:val="22"/>
          <w:lang w:val="sr-Latn-ME"/>
        </w:rPr>
      </w:pPr>
      <w:r w:rsidRPr="00173F69">
        <w:rPr>
          <w:szCs w:val="22"/>
          <w:lang w:val="sr-Latn-ME"/>
        </w:rPr>
        <w:t xml:space="preserve">Rok upotrebe </w:t>
      </w:r>
      <w:r w:rsidR="004F7F52" w:rsidRPr="00173F69">
        <w:rPr>
          <w:szCs w:val="22"/>
          <w:lang w:val="sr-Latn-ME"/>
        </w:rPr>
        <w:t xml:space="preserve">lijeka </w:t>
      </w:r>
      <w:r w:rsidRPr="00173F69">
        <w:rPr>
          <w:szCs w:val="22"/>
          <w:lang w:val="sr-Latn-ME"/>
        </w:rPr>
        <w:t>nakon prvog otvaranja: 6 m</w:t>
      </w:r>
      <w:r w:rsidR="005B6EC6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 xml:space="preserve">eseci, </w:t>
      </w:r>
      <w:r w:rsidR="009F777F" w:rsidRPr="00173F69">
        <w:rPr>
          <w:szCs w:val="22"/>
          <w:lang w:val="sr-Latn-ME"/>
        </w:rPr>
        <w:t xml:space="preserve">ukoliko se čuva </w:t>
      </w:r>
      <w:r w:rsidRPr="00173F69">
        <w:rPr>
          <w:szCs w:val="22"/>
          <w:lang w:val="sr-Latn-ME"/>
        </w:rPr>
        <w:t>na temperaturi do 25°C.</w:t>
      </w:r>
    </w:p>
    <w:p w14:paraId="42FA6A51" w14:textId="77777777" w:rsidR="00F23EE3" w:rsidRPr="00173F69" w:rsidRDefault="00F23EE3" w:rsidP="00614295">
      <w:pPr>
        <w:rPr>
          <w:szCs w:val="22"/>
          <w:lang w:val="sr-Latn-ME"/>
        </w:rPr>
      </w:pPr>
    </w:p>
    <w:p w14:paraId="1BCD8423" w14:textId="533D9E13" w:rsidR="00CE09F3" w:rsidRPr="00173F69" w:rsidRDefault="00CE09F3" w:rsidP="00614295">
      <w:pPr>
        <w:rPr>
          <w:b/>
          <w:bCs/>
          <w:szCs w:val="22"/>
          <w:lang w:val="sr-Latn-ME"/>
        </w:rPr>
      </w:pPr>
      <w:r w:rsidRPr="00173F69">
        <w:rPr>
          <w:b/>
          <w:bCs/>
          <w:szCs w:val="22"/>
          <w:lang w:val="sr-Latn-ME"/>
        </w:rPr>
        <w:t>6.4. Posebne m</w:t>
      </w:r>
      <w:r w:rsidR="00E64B56" w:rsidRPr="00173F69">
        <w:rPr>
          <w:b/>
          <w:bCs/>
          <w:szCs w:val="22"/>
          <w:lang w:val="sr-Latn-ME"/>
        </w:rPr>
        <w:t>j</w:t>
      </w:r>
      <w:r w:rsidRPr="00173F69">
        <w:rPr>
          <w:b/>
          <w:bCs/>
          <w:szCs w:val="22"/>
          <w:lang w:val="sr-Latn-ME"/>
        </w:rPr>
        <w:t>ere opreza pri čuvanju</w:t>
      </w:r>
      <w:r w:rsidR="00E64B56" w:rsidRPr="00173F69">
        <w:rPr>
          <w:b/>
          <w:bCs/>
          <w:szCs w:val="22"/>
          <w:lang w:val="sr-Latn-ME"/>
        </w:rPr>
        <w:t xml:space="preserve"> lijeka</w:t>
      </w:r>
    </w:p>
    <w:p w14:paraId="3652FCF8" w14:textId="77777777" w:rsidR="00CE09F3" w:rsidRPr="00173F69" w:rsidRDefault="00CE09F3" w:rsidP="00614295">
      <w:pPr>
        <w:rPr>
          <w:szCs w:val="22"/>
          <w:lang w:val="sr-Latn-ME"/>
        </w:rPr>
      </w:pPr>
    </w:p>
    <w:p w14:paraId="28BF9029" w14:textId="51D47A98" w:rsidR="00F23EE3" w:rsidRPr="00173F69" w:rsidRDefault="00E93391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173F69">
        <w:rPr>
          <w:szCs w:val="22"/>
          <w:lang w:val="sr-Latn-ME"/>
        </w:rPr>
        <w:t>Č</w:t>
      </w:r>
      <w:r w:rsidR="00F23EE3" w:rsidRPr="00173F69">
        <w:rPr>
          <w:szCs w:val="22"/>
          <w:lang w:val="sr-Latn-ME"/>
        </w:rPr>
        <w:t xml:space="preserve">uvati na temperaturi </w:t>
      </w:r>
      <w:r w:rsidR="00490502" w:rsidRPr="00173F69">
        <w:rPr>
          <w:szCs w:val="22"/>
          <w:lang w:val="sr-Latn-ME"/>
        </w:rPr>
        <w:t>do</w:t>
      </w:r>
      <w:r w:rsidR="00F23EE3" w:rsidRPr="00173F69">
        <w:rPr>
          <w:szCs w:val="22"/>
          <w:lang w:val="sr-Latn-ME"/>
        </w:rPr>
        <w:t xml:space="preserve"> 25°C</w:t>
      </w:r>
      <w:r w:rsidR="004F7F52" w:rsidRPr="00173F69">
        <w:rPr>
          <w:szCs w:val="22"/>
          <w:lang w:val="sr-Latn-ME"/>
        </w:rPr>
        <w:t>,</w:t>
      </w:r>
      <w:r w:rsidR="00F23EE3" w:rsidRPr="00173F69">
        <w:rPr>
          <w:szCs w:val="22"/>
          <w:lang w:val="sr-Latn-ME"/>
        </w:rPr>
        <w:t xml:space="preserve"> u originalnom pakovanju</w:t>
      </w:r>
      <w:r w:rsidRPr="00173F69">
        <w:rPr>
          <w:szCs w:val="22"/>
          <w:lang w:val="sr-Latn-ME"/>
        </w:rPr>
        <w:t>,</w:t>
      </w:r>
      <w:r w:rsidR="00F23EE3" w:rsidRPr="00173F69">
        <w:rPr>
          <w:szCs w:val="22"/>
          <w:lang w:val="sr-Latn-ME"/>
        </w:rPr>
        <w:t xml:space="preserve"> </w:t>
      </w:r>
      <w:r w:rsidR="003510D5" w:rsidRPr="00173F69">
        <w:rPr>
          <w:szCs w:val="22"/>
          <w:lang w:val="sr-Latn-ME"/>
        </w:rPr>
        <w:t xml:space="preserve">u </w:t>
      </w:r>
      <w:r w:rsidR="00F23EE3" w:rsidRPr="00173F69">
        <w:rPr>
          <w:szCs w:val="22"/>
          <w:lang w:val="sr-Latn-ME"/>
        </w:rPr>
        <w:t>dobro zatvoren</w:t>
      </w:r>
      <w:r w:rsidR="003510D5" w:rsidRPr="00173F69">
        <w:rPr>
          <w:szCs w:val="22"/>
          <w:lang w:val="sr-Latn-ME"/>
        </w:rPr>
        <w:t>oj boci</w:t>
      </w:r>
      <w:r w:rsidR="00F23EE3" w:rsidRPr="00173F69">
        <w:rPr>
          <w:szCs w:val="22"/>
          <w:lang w:val="sr-Latn-ME"/>
        </w:rPr>
        <w:t>.</w:t>
      </w:r>
    </w:p>
    <w:p w14:paraId="3AE45AAC" w14:textId="77777777" w:rsidR="004F7F52" w:rsidRPr="00173F69" w:rsidRDefault="004F7F52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580A351B" w14:textId="66140960" w:rsidR="00E93391" w:rsidRPr="00173F69" w:rsidRDefault="00E93391" w:rsidP="00614295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173F69">
        <w:rPr>
          <w:szCs w:val="22"/>
          <w:lang w:val="sr-Latn-ME"/>
        </w:rPr>
        <w:t>Za uslove čuvanja</w:t>
      </w:r>
      <w:r w:rsidR="004F7F52" w:rsidRPr="00173F69">
        <w:rPr>
          <w:szCs w:val="22"/>
          <w:lang w:val="sr-Latn-ME"/>
        </w:rPr>
        <w:t xml:space="preserve"> lijeka</w:t>
      </w:r>
      <w:r w:rsidRPr="00173F69">
        <w:rPr>
          <w:szCs w:val="22"/>
          <w:lang w:val="sr-Latn-ME"/>
        </w:rPr>
        <w:t xml:space="preserve"> nakon prvog otvaranja, vid</w:t>
      </w:r>
      <w:r w:rsidR="00CE734D" w:rsidRPr="00173F69">
        <w:rPr>
          <w:szCs w:val="22"/>
          <w:lang w:val="sr-Latn-ME"/>
        </w:rPr>
        <w:t>j</w:t>
      </w:r>
      <w:r w:rsidRPr="00173F69">
        <w:rPr>
          <w:szCs w:val="22"/>
          <w:lang w:val="sr-Latn-ME"/>
        </w:rPr>
        <w:t>et</w:t>
      </w:r>
      <w:r w:rsidR="00A30941" w:rsidRPr="00173F69">
        <w:rPr>
          <w:szCs w:val="22"/>
          <w:lang w:val="sr-Latn-ME"/>
        </w:rPr>
        <w:t>i</w:t>
      </w:r>
      <w:r w:rsidRPr="00173F69">
        <w:rPr>
          <w:szCs w:val="22"/>
          <w:lang w:val="sr-Latn-ME"/>
        </w:rPr>
        <w:t xml:space="preserve"> </w:t>
      </w:r>
      <w:r w:rsidR="00F32A1B" w:rsidRPr="00173F69">
        <w:rPr>
          <w:szCs w:val="22"/>
          <w:lang w:val="sr-Latn-ME"/>
        </w:rPr>
        <w:t>dio</w:t>
      </w:r>
      <w:r w:rsidRPr="00173F69">
        <w:rPr>
          <w:szCs w:val="22"/>
          <w:lang w:val="sr-Latn-ME"/>
        </w:rPr>
        <w:t xml:space="preserve"> 6.3.</w:t>
      </w:r>
    </w:p>
    <w:p w14:paraId="1AA44033" w14:textId="77777777" w:rsidR="00F23EE3" w:rsidRPr="00173F69" w:rsidRDefault="00F23EE3" w:rsidP="00614295">
      <w:pPr>
        <w:rPr>
          <w:szCs w:val="22"/>
          <w:lang w:val="sr-Latn-ME"/>
        </w:rPr>
      </w:pPr>
    </w:p>
    <w:p w14:paraId="2A3FB3E1" w14:textId="77231709" w:rsidR="00CE09F3" w:rsidRPr="00173F69" w:rsidRDefault="0022223A" w:rsidP="00614295">
      <w:pPr>
        <w:rPr>
          <w:b/>
          <w:bCs/>
          <w:szCs w:val="22"/>
          <w:lang w:val="sr-Latn-ME"/>
        </w:rPr>
      </w:pPr>
      <w:r w:rsidRPr="00173F69">
        <w:rPr>
          <w:b/>
          <w:bCs/>
          <w:szCs w:val="22"/>
          <w:lang w:val="sr-Latn-ME"/>
        </w:rPr>
        <w:t xml:space="preserve">6.5. </w:t>
      </w:r>
      <w:r w:rsidR="00E64B56" w:rsidRPr="00173F69">
        <w:rPr>
          <w:b/>
          <w:bCs/>
          <w:szCs w:val="22"/>
          <w:lang w:val="sr-Latn-ME"/>
        </w:rPr>
        <w:t>Vrsta</w:t>
      </w:r>
      <w:r w:rsidR="00CE09F3" w:rsidRPr="00173F69">
        <w:rPr>
          <w:b/>
          <w:bCs/>
          <w:szCs w:val="22"/>
          <w:lang w:val="sr-Latn-ME"/>
        </w:rPr>
        <w:t xml:space="preserve"> i sadržaj pakovanja</w:t>
      </w:r>
    </w:p>
    <w:p w14:paraId="68E47FEC" w14:textId="77777777" w:rsidR="00CE09F3" w:rsidRPr="00173F69" w:rsidRDefault="00CE09F3" w:rsidP="00614295">
      <w:pPr>
        <w:rPr>
          <w:szCs w:val="22"/>
          <w:lang w:val="sr-Latn-ME"/>
        </w:rPr>
      </w:pPr>
    </w:p>
    <w:p w14:paraId="210C81FD" w14:textId="2A996A03" w:rsidR="00CD3ACE" w:rsidRPr="00173F69" w:rsidRDefault="00CD3ACE" w:rsidP="00614295">
      <w:pPr>
        <w:tabs>
          <w:tab w:val="left" w:pos="-1800"/>
          <w:tab w:val="left" w:pos="-1080"/>
          <w:tab w:val="left" w:pos="-360"/>
          <w:tab w:val="left" w:pos="360"/>
          <w:tab w:val="left" w:pos="708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Cs w:val="22"/>
          <w:lang w:val="sr-Latn-ME"/>
        </w:rPr>
      </w:pPr>
      <w:bookmarkStart w:id="0" w:name="_Hlk161991536"/>
      <w:r w:rsidRPr="00173F69">
        <w:rPr>
          <w:szCs w:val="22"/>
          <w:lang w:val="sr-Latn-ME"/>
        </w:rPr>
        <w:t xml:space="preserve">Unutrašnje pakovanje </w:t>
      </w:r>
      <w:r w:rsidR="004F7F52" w:rsidRPr="00173F69">
        <w:rPr>
          <w:szCs w:val="22"/>
          <w:lang w:val="sr-Latn-ME"/>
        </w:rPr>
        <w:t xml:space="preserve">lijeka </w:t>
      </w:r>
      <w:r w:rsidRPr="00173F69">
        <w:rPr>
          <w:szCs w:val="22"/>
          <w:lang w:val="sr-Latn-ME"/>
        </w:rPr>
        <w:t xml:space="preserve">je boca od tamnog stakla </w:t>
      </w:r>
      <w:proofErr w:type="spellStart"/>
      <w:r w:rsidRPr="00173F69">
        <w:rPr>
          <w:szCs w:val="22"/>
          <w:lang w:val="sr-Latn-ME"/>
        </w:rPr>
        <w:t>hidrolitičke</w:t>
      </w:r>
      <w:proofErr w:type="spellEnd"/>
      <w:r w:rsidRPr="00173F69">
        <w:rPr>
          <w:szCs w:val="22"/>
          <w:lang w:val="sr-Latn-ME"/>
        </w:rPr>
        <w:t xml:space="preserve"> otpornosti tip III </w:t>
      </w:r>
      <w:r w:rsidR="00490502" w:rsidRPr="00173F69">
        <w:rPr>
          <w:szCs w:val="22"/>
          <w:lang w:val="sr-Latn-ME"/>
        </w:rPr>
        <w:t>zatvorena</w:t>
      </w:r>
      <w:r w:rsidRPr="00173F69">
        <w:rPr>
          <w:szCs w:val="22"/>
          <w:lang w:val="sr-Latn-ME"/>
        </w:rPr>
        <w:t xml:space="preserve"> sigurnosnim </w:t>
      </w:r>
      <w:r w:rsidR="00490502" w:rsidRPr="00173F69">
        <w:rPr>
          <w:szCs w:val="22"/>
          <w:lang w:val="sr-Latn-ME"/>
        </w:rPr>
        <w:t xml:space="preserve">plastičnim </w:t>
      </w:r>
      <w:r w:rsidRPr="00173F69">
        <w:rPr>
          <w:szCs w:val="22"/>
          <w:lang w:val="sr-Latn-ME"/>
        </w:rPr>
        <w:t xml:space="preserve">zatvaračem od </w:t>
      </w:r>
      <w:proofErr w:type="spellStart"/>
      <w:r w:rsidR="00490502" w:rsidRPr="00173F69">
        <w:rPr>
          <w:szCs w:val="22"/>
          <w:lang w:val="sr-Latn-ME"/>
        </w:rPr>
        <w:t>polietilena</w:t>
      </w:r>
      <w:proofErr w:type="spellEnd"/>
      <w:r w:rsidR="00490502" w:rsidRPr="00173F69">
        <w:rPr>
          <w:szCs w:val="22"/>
          <w:lang w:val="sr-Latn-ME"/>
        </w:rPr>
        <w:t xml:space="preserve"> visoke gustine (</w:t>
      </w:r>
      <w:r w:rsidRPr="00173F69">
        <w:rPr>
          <w:szCs w:val="22"/>
          <w:lang w:val="sr-Latn-ME"/>
        </w:rPr>
        <w:t>HDPE</w:t>
      </w:r>
      <w:r w:rsidR="00490502" w:rsidRPr="00173F69">
        <w:rPr>
          <w:szCs w:val="22"/>
          <w:lang w:val="sr-Latn-ME"/>
        </w:rPr>
        <w:t>)</w:t>
      </w:r>
      <w:r w:rsidRPr="00173F69">
        <w:rPr>
          <w:szCs w:val="22"/>
          <w:lang w:val="sr-Latn-ME"/>
        </w:rPr>
        <w:t xml:space="preserve">, koji je sa unutrašnje strane obložen PPH </w:t>
      </w:r>
      <w:r w:rsidR="005513DB" w:rsidRPr="00173F69">
        <w:rPr>
          <w:szCs w:val="22"/>
          <w:lang w:val="sr-Latn-ME"/>
        </w:rPr>
        <w:t>(</w:t>
      </w:r>
      <w:proofErr w:type="spellStart"/>
      <w:r w:rsidRPr="00173F69">
        <w:rPr>
          <w:szCs w:val="22"/>
          <w:lang w:val="sr-Latn-ME"/>
        </w:rPr>
        <w:t>polipropilen</w:t>
      </w:r>
      <w:proofErr w:type="spellEnd"/>
      <w:r w:rsidRPr="00173F69">
        <w:rPr>
          <w:szCs w:val="22"/>
          <w:lang w:val="sr-Latn-ME"/>
        </w:rPr>
        <w:t xml:space="preserve"> </w:t>
      </w:r>
      <w:proofErr w:type="spellStart"/>
      <w:r w:rsidRPr="00173F69">
        <w:rPr>
          <w:szCs w:val="22"/>
          <w:lang w:val="sr-Latn-ME"/>
        </w:rPr>
        <w:t>homopolimerom</w:t>
      </w:r>
      <w:proofErr w:type="spellEnd"/>
      <w:r w:rsidR="005513DB" w:rsidRPr="00173F69">
        <w:rPr>
          <w:szCs w:val="22"/>
          <w:lang w:val="sr-Latn-ME"/>
        </w:rPr>
        <w:t>)</w:t>
      </w:r>
      <w:r w:rsidRPr="00173F69">
        <w:rPr>
          <w:szCs w:val="22"/>
          <w:lang w:val="sr-Latn-ME"/>
        </w:rPr>
        <w:t xml:space="preserve">, </w:t>
      </w:r>
      <w:r w:rsidR="004F7F52" w:rsidRPr="00173F69">
        <w:rPr>
          <w:szCs w:val="22"/>
          <w:lang w:val="sr-Latn-ME"/>
        </w:rPr>
        <w:t xml:space="preserve">sa </w:t>
      </w:r>
      <w:r w:rsidRPr="00173F69">
        <w:rPr>
          <w:szCs w:val="22"/>
          <w:lang w:val="sr-Latn-ME"/>
        </w:rPr>
        <w:t>sigurnosni</w:t>
      </w:r>
      <w:r w:rsidR="004F7F52" w:rsidRPr="00173F69">
        <w:rPr>
          <w:szCs w:val="22"/>
          <w:lang w:val="sr-Latn-ME"/>
        </w:rPr>
        <w:t>m</w:t>
      </w:r>
      <w:r w:rsidRPr="00173F69">
        <w:rPr>
          <w:szCs w:val="22"/>
          <w:lang w:val="sr-Latn-ME"/>
        </w:rPr>
        <w:t xml:space="preserve"> prsten</w:t>
      </w:r>
      <w:r w:rsidR="004F7F52" w:rsidRPr="00173F69">
        <w:rPr>
          <w:szCs w:val="22"/>
          <w:lang w:val="sr-Latn-ME"/>
        </w:rPr>
        <w:t>om</w:t>
      </w:r>
      <w:r w:rsidRPr="00173F69">
        <w:rPr>
          <w:szCs w:val="22"/>
          <w:lang w:val="sr-Latn-ME"/>
        </w:rPr>
        <w:t xml:space="preserve"> od </w:t>
      </w:r>
      <w:proofErr w:type="spellStart"/>
      <w:r w:rsidR="005513DB" w:rsidRPr="00173F69">
        <w:rPr>
          <w:szCs w:val="22"/>
          <w:lang w:val="sr-Latn-ME"/>
        </w:rPr>
        <w:t>polietilena</w:t>
      </w:r>
      <w:proofErr w:type="spellEnd"/>
      <w:r w:rsidR="005513DB" w:rsidRPr="00173F69">
        <w:rPr>
          <w:szCs w:val="22"/>
          <w:lang w:val="sr-Latn-ME"/>
        </w:rPr>
        <w:t xml:space="preserve"> niske gustine (</w:t>
      </w:r>
      <w:r w:rsidRPr="00173F69">
        <w:rPr>
          <w:szCs w:val="22"/>
          <w:lang w:val="sr-Latn-ME"/>
        </w:rPr>
        <w:t>LDPE</w:t>
      </w:r>
      <w:r w:rsidR="005513DB" w:rsidRPr="00173F69">
        <w:rPr>
          <w:szCs w:val="22"/>
          <w:lang w:val="sr-Latn-ME"/>
        </w:rPr>
        <w:t>)</w:t>
      </w:r>
      <w:r w:rsidRPr="00173F69">
        <w:rPr>
          <w:szCs w:val="22"/>
          <w:lang w:val="sr-Latn-ME"/>
        </w:rPr>
        <w:t>.</w:t>
      </w:r>
    </w:p>
    <w:p w14:paraId="77E3870C" w14:textId="77777777" w:rsidR="00CD3ACE" w:rsidRPr="00173F69" w:rsidRDefault="00CD3ACE" w:rsidP="00614295">
      <w:pPr>
        <w:tabs>
          <w:tab w:val="left" w:pos="-1800"/>
          <w:tab w:val="left" w:pos="-1080"/>
          <w:tab w:val="left" w:pos="-360"/>
          <w:tab w:val="left" w:pos="360"/>
          <w:tab w:val="left" w:pos="708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Cs w:val="22"/>
          <w:lang w:val="sr-Latn-ME"/>
        </w:rPr>
      </w:pPr>
    </w:p>
    <w:p w14:paraId="6EC0C3C7" w14:textId="5A84AF02" w:rsidR="00CD3ACE" w:rsidRPr="00173F69" w:rsidRDefault="00CD3ACE" w:rsidP="00614295">
      <w:pPr>
        <w:tabs>
          <w:tab w:val="left" w:pos="-1800"/>
          <w:tab w:val="left" w:pos="-1080"/>
          <w:tab w:val="left" w:pos="-360"/>
          <w:tab w:val="left" w:pos="360"/>
          <w:tab w:val="left" w:pos="708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Cs w:val="22"/>
          <w:lang w:val="sr-Latn-ME"/>
        </w:rPr>
      </w:pPr>
      <w:r w:rsidRPr="00173F69">
        <w:rPr>
          <w:szCs w:val="22"/>
          <w:lang w:val="sr-Latn-ME"/>
        </w:rPr>
        <w:t>Spolj</w:t>
      </w:r>
      <w:r w:rsidR="00E81926" w:rsidRPr="00173F69">
        <w:rPr>
          <w:szCs w:val="22"/>
          <w:lang w:val="sr-Latn-ME"/>
        </w:rPr>
        <w:t>aš</w:t>
      </w:r>
      <w:r w:rsidRPr="00173F69">
        <w:rPr>
          <w:szCs w:val="22"/>
          <w:lang w:val="sr-Latn-ME"/>
        </w:rPr>
        <w:t xml:space="preserve">nje pakovanje </w:t>
      </w:r>
      <w:r w:rsidR="004F7F52" w:rsidRPr="00173F69">
        <w:rPr>
          <w:szCs w:val="22"/>
          <w:lang w:val="sr-Latn-ME"/>
        </w:rPr>
        <w:t xml:space="preserve">lijeka </w:t>
      </w:r>
      <w:r w:rsidRPr="00173F69">
        <w:rPr>
          <w:szCs w:val="22"/>
          <w:lang w:val="sr-Latn-ME"/>
        </w:rPr>
        <w:t xml:space="preserve">je </w:t>
      </w:r>
      <w:proofErr w:type="spellStart"/>
      <w:r w:rsidRPr="00173F69">
        <w:rPr>
          <w:szCs w:val="22"/>
          <w:lang w:val="sr-Latn-ME"/>
        </w:rPr>
        <w:t>složiva</w:t>
      </w:r>
      <w:proofErr w:type="spellEnd"/>
      <w:r w:rsidRPr="00173F69">
        <w:rPr>
          <w:szCs w:val="22"/>
          <w:lang w:val="sr-Latn-ME"/>
        </w:rPr>
        <w:t xml:space="preserve"> kartonska kutija u kojoj se nalazi</w:t>
      </w:r>
      <w:r w:rsidR="00E81926" w:rsidRPr="00173F69">
        <w:rPr>
          <w:szCs w:val="22"/>
          <w:lang w:val="sr-Latn-ME"/>
        </w:rPr>
        <w:t xml:space="preserve"> </w:t>
      </w:r>
      <w:r w:rsidRPr="00173F69">
        <w:rPr>
          <w:szCs w:val="22"/>
          <w:lang w:val="sr-Latn-ME"/>
        </w:rPr>
        <w:t xml:space="preserve">1 boca </w:t>
      </w:r>
      <w:r w:rsidR="00E81926" w:rsidRPr="00173F69">
        <w:rPr>
          <w:szCs w:val="22"/>
          <w:lang w:val="sr-Latn-ME"/>
        </w:rPr>
        <w:t>sa</w:t>
      </w:r>
      <w:r w:rsidRPr="00173F69">
        <w:rPr>
          <w:szCs w:val="22"/>
          <w:lang w:val="sr-Latn-ME"/>
        </w:rPr>
        <w:t xml:space="preserve"> 150 m</w:t>
      </w:r>
      <w:r w:rsidR="004F7F52" w:rsidRPr="00173F69">
        <w:rPr>
          <w:szCs w:val="22"/>
          <w:lang w:val="sr-Latn-ME"/>
        </w:rPr>
        <w:t>l</w:t>
      </w:r>
      <w:r w:rsidRPr="00173F69">
        <w:rPr>
          <w:szCs w:val="22"/>
          <w:lang w:val="sr-Latn-ME"/>
        </w:rPr>
        <w:t xml:space="preserve"> sirupa</w:t>
      </w:r>
      <w:r w:rsidR="005513DB" w:rsidRPr="00173F69">
        <w:rPr>
          <w:szCs w:val="22"/>
          <w:lang w:val="sr-Latn-ME"/>
        </w:rPr>
        <w:t>, kašika za doziranje i Uputstvo za l</w:t>
      </w:r>
      <w:r w:rsidR="00624BDE" w:rsidRPr="00173F69">
        <w:rPr>
          <w:szCs w:val="22"/>
          <w:lang w:val="sr-Latn-ME"/>
        </w:rPr>
        <w:t>ij</w:t>
      </w:r>
      <w:r w:rsidR="005513DB" w:rsidRPr="00173F69">
        <w:rPr>
          <w:szCs w:val="22"/>
          <w:lang w:val="sr-Latn-ME"/>
        </w:rPr>
        <w:t>ek.</w:t>
      </w:r>
    </w:p>
    <w:p w14:paraId="7423A333" w14:textId="77777777" w:rsidR="00CD3ACE" w:rsidRPr="00173F69" w:rsidRDefault="00CD3ACE" w:rsidP="00614295">
      <w:pPr>
        <w:tabs>
          <w:tab w:val="left" w:pos="-1800"/>
          <w:tab w:val="left" w:pos="-1080"/>
          <w:tab w:val="left" w:pos="-360"/>
          <w:tab w:val="left" w:pos="360"/>
          <w:tab w:val="left" w:pos="708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Cs w:val="22"/>
          <w:lang w:val="sr-Latn-ME"/>
        </w:rPr>
      </w:pPr>
    </w:p>
    <w:p w14:paraId="1638C9C0" w14:textId="159BBFDF" w:rsidR="00CD3ACE" w:rsidRPr="00173F69" w:rsidRDefault="00CD3ACE" w:rsidP="00614295">
      <w:pPr>
        <w:tabs>
          <w:tab w:val="left" w:pos="-1800"/>
          <w:tab w:val="left" w:pos="-1080"/>
          <w:tab w:val="left" w:pos="-360"/>
          <w:tab w:val="left" w:pos="360"/>
          <w:tab w:val="left" w:pos="708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Cs w:val="22"/>
          <w:lang w:val="sr-Latn-ME"/>
        </w:rPr>
      </w:pPr>
      <w:r w:rsidRPr="00173F69">
        <w:rPr>
          <w:szCs w:val="22"/>
          <w:lang w:val="sr-Latn-ME"/>
        </w:rPr>
        <w:t xml:space="preserve">Priložena kašika za doziranje </w:t>
      </w:r>
      <w:r w:rsidR="005513DB" w:rsidRPr="00173F69">
        <w:rPr>
          <w:szCs w:val="22"/>
          <w:lang w:val="sr-Latn-ME"/>
        </w:rPr>
        <w:t xml:space="preserve">je </w:t>
      </w:r>
      <w:r w:rsidRPr="00173F69">
        <w:rPr>
          <w:szCs w:val="22"/>
          <w:lang w:val="sr-Latn-ME"/>
        </w:rPr>
        <w:t xml:space="preserve">od </w:t>
      </w:r>
      <w:proofErr w:type="spellStart"/>
      <w:r w:rsidRPr="00173F69">
        <w:rPr>
          <w:szCs w:val="22"/>
          <w:lang w:val="sr-Latn-ME"/>
        </w:rPr>
        <w:t>polistirena</w:t>
      </w:r>
      <w:proofErr w:type="spellEnd"/>
      <w:r w:rsidRPr="00173F69">
        <w:rPr>
          <w:szCs w:val="22"/>
          <w:lang w:val="sr-Latn-ME"/>
        </w:rPr>
        <w:t>. Kašika je graduisana, odnosno na njoj su prikazane zapremine: 1,25 m</w:t>
      </w:r>
      <w:r w:rsidR="004F7F52" w:rsidRPr="00173F69">
        <w:rPr>
          <w:szCs w:val="22"/>
          <w:lang w:val="sr-Latn-ME"/>
        </w:rPr>
        <w:t>l</w:t>
      </w:r>
      <w:r w:rsidRPr="00173F69">
        <w:rPr>
          <w:szCs w:val="22"/>
          <w:lang w:val="sr-Latn-ME"/>
        </w:rPr>
        <w:t>; 2,5 m</w:t>
      </w:r>
      <w:r w:rsidR="004F7F52" w:rsidRPr="00173F69">
        <w:rPr>
          <w:szCs w:val="22"/>
          <w:lang w:val="sr-Latn-ME"/>
        </w:rPr>
        <w:t>l</w:t>
      </w:r>
      <w:r w:rsidRPr="00173F69">
        <w:rPr>
          <w:szCs w:val="22"/>
          <w:lang w:val="sr-Latn-ME"/>
        </w:rPr>
        <w:t xml:space="preserve"> i 5 m</w:t>
      </w:r>
      <w:r w:rsidR="004F7F52" w:rsidRPr="00173F69">
        <w:rPr>
          <w:szCs w:val="22"/>
          <w:lang w:val="sr-Latn-ME"/>
        </w:rPr>
        <w:t>l</w:t>
      </w:r>
      <w:r w:rsidRPr="00173F69">
        <w:rPr>
          <w:szCs w:val="22"/>
          <w:lang w:val="sr-Latn-ME"/>
        </w:rPr>
        <w:t xml:space="preserve"> (puna kašika).</w:t>
      </w:r>
    </w:p>
    <w:bookmarkEnd w:id="0"/>
    <w:p w14:paraId="1BA085B9" w14:textId="77777777" w:rsidR="00CD3ACE" w:rsidRPr="00173F69" w:rsidRDefault="00CD3ACE" w:rsidP="00614295">
      <w:pPr>
        <w:rPr>
          <w:szCs w:val="22"/>
          <w:lang w:val="sr-Latn-ME"/>
        </w:rPr>
      </w:pPr>
    </w:p>
    <w:p w14:paraId="7836BBCE" w14:textId="684A7535" w:rsidR="00CE09F3" w:rsidRPr="00173F69" w:rsidRDefault="00CE09F3" w:rsidP="00614295">
      <w:pPr>
        <w:rPr>
          <w:b/>
          <w:bCs/>
          <w:szCs w:val="22"/>
          <w:lang w:val="sr-Latn-ME"/>
        </w:rPr>
      </w:pPr>
      <w:r w:rsidRPr="00173F69">
        <w:rPr>
          <w:b/>
          <w:bCs/>
          <w:szCs w:val="22"/>
          <w:lang w:val="sr-Latn-ME"/>
        </w:rPr>
        <w:t>6.6. Posebne m</w:t>
      </w:r>
      <w:r w:rsidR="00E64B56" w:rsidRPr="00173F69">
        <w:rPr>
          <w:b/>
          <w:bCs/>
          <w:szCs w:val="22"/>
          <w:lang w:val="sr-Latn-ME"/>
        </w:rPr>
        <w:t>j</w:t>
      </w:r>
      <w:r w:rsidRPr="00173F69">
        <w:rPr>
          <w:b/>
          <w:bCs/>
          <w:szCs w:val="22"/>
          <w:lang w:val="sr-Latn-ME"/>
        </w:rPr>
        <w:t xml:space="preserve">ere opreza pri odlaganju materijala koji treba odbaciti nakon </w:t>
      </w:r>
      <w:proofErr w:type="spellStart"/>
      <w:r w:rsidRPr="00173F69">
        <w:rPr>
          <w:b/>
          <w:bCs/>
          <w:szCs w:val="22"/>
          <w:lang w:val="sr-Latn-ME"/>
        </w:rPr>
        <w:t>primene</w:t>
      </w:r>
      <w:proofErr w:type="spellEnd"/>
      <w:r w:rsidRPr="00173F69">
        <w:rPr>
          <w:b/>
          <w:bCs/>
          <w:szCs w:val="22"/>
          <w:lang w:val="sr-Latn-ME"/>
        </w:rPr>
        <w:t xml:space="preserve"> l</w:t>
      </w:r>
      <w:r w:rsidR="00E64B56" w:rsidRPr="00173F69">
        <w:rPr>
          <w:b/>
          <w:bCs/>
          <w:szCs w:val="22"/>
          <w:lang w:val="sr-Latn-ME"/>
        </w:rPr>
        <w:t>ij</w:t>
      </w:r>
      <w:r w:rsidRPr="00173F69">
        <w:rPr>
          <w:b/>
          <w:bCs/>
          <w:szCs w:val="22"/>
          <w:lang w:val="sr-Latn-ME"/>
        </w:rPr>
        <w:t>eka (i druga uputstva za rukovanje l</w:t>
      </w:r>
      <w:r w:rsidR="00E64B56" w:rsidRPr="00173F69">
        <w:rPr>
          <w:b/>
          <w:bCs/>
          <w:szCs w:val="22"/>
          <w:lang w:val="sr-Latn-ME"/>
        </w:rPr>
        <w:t>ij</w:t>
      </w:r>
      <w:r w:rsidRPr="00173F69">
        <w:rPr>
          <w:b/>
          <w:bCs/>
          <w:szCs w:val="22"/>
          <w:lang w:val="sr-Latn-ME"/>
        </w:rPr>
        <w:t>ekom)</w:t>
      </w:r>
    </w:p>
    <w:p w14:paraId="66CFD77A" w14:textId="77777777" w:rsidR="00CE09F3" w:rsidRPr="00173F69" w:rsidRDefault="00CE09F3" w:rsidP="00614295">
      <w:pPr>
        <w:rPr>
          <w:szCs w:val="22"/>
          <w:lang w:val="sr-Latn-ME"/>
        </w:rPr>
      </w:pPr>
    </w:p>
    <w:p w14:paraId="2C3BB2D2" w14:textId="7823D458" w:rsidR="00E81926" w:rsidRPr="00173F69" w:rsidRDefault="00E81926" w:rsidP="00614295">
      <w:pPr>
        <w:rPr>
          <w:szCs w:val="22"/>
          <w:lang w:val="sr-Latn-ME"/>
        </w:rPr>
      </w:pPr>
      <w:r w:rsidRPr="00173F69">
        <w:rPr>
          <w:szCs w:val="22"/>
          <w:lang w:val="sr-Latn-ME"/>
        </w:rPr>
        <w:t>Svu neiskorišćenu količinu l</w:t>
      </w:r>
      <w:r w:rsidR="00E64B56" w:rsidRPr="00173F69">
        <w:rPr>
          <w:szCs w:val="22"/>
          <w:lang w:val="sr-Latn-ME"/>
        </w:rPr>
        <w:t>ij</w:t>
      </w:r>
      <w:r w:rsidRPr="00173F69">
        <w:rPr>
          <w:szCs w:val="22"/>
          <w:lang w:val="sr-Latn-ME"/>
        </w:rPr>
        <w:t>eka ili otpadnog materijala nakon njegove upotrebe treba ukloniti, u skladu sa važećim propisima.</w:t>
      </w:r>
    </w:p>
    <w:p w14:paraId="65B4165F" w14:textId="6AA6B506" w:rsidR="004C7ED1" w:rsidRPr="00173F69" w:rsidRDefault="004C7ED1" w:rsidP="00614295">
      <w:pPr>
        <w:rPr>
          <w:szCs w:val="22"/>
          <w:lang w:val="sr-Latn-ME"/>
        </w:rPr>
      </w:pPr>
    </w:p>
    <w:p w14:paraId="187B8584" w14:textId="77777777" w:rsidR="004F7F52" w:rsidRPr="00173F69" w:rsidRDefault="004F7F52" w:rsidP="00614295">
      <w:pPr>
        <w:rPr>
          <w:szCs w:val="22"/>
          <w:lang w:val="sr-Latn-ME"/>
        </w:rPr>
      </w:pPr>
    </w:p>
    <w:p w14:paraId="0947F53D" w14:textId="1D4AC758" w:rsidR="00CE09F3" w:rsidRDefault="00CE09F3" w:rsidP="00614295">
      <w:pPr>
        <w:pStyle w:val="NASLOV123"/>
        <w:spacing w:before="0" w:after="0"/>
        <w:rPr>
          <w:lang w:val="sr-Latn-ME"/>
        </w:rPr>
      </w:pPr>
      <w:r w:rsidRPr="00173F69">
        <w:rPr>
          <w:lang w:val="sr-Latn-ME"/>
        </w:rPr>
        <w:t xml:space="preserve">7. NOSILAC DOZVOLE </w:t>
      </w:r>
    </w:p>
    <w:p w14:paraId="58CE2DC5" w14:textId="77777777" w:rsidR="00173F69" w:rsidRPr="00173F69" w:rsidRDefault="00173F69" w:rsidP="00614295">
      <w:pPr>
        <w:pStyle w:val="NASLOV123"/>
        <w:spacing w:before="0" w:after="0"/>
        <w:rPr>
          <w:lang w:val="sr-Latn-ME"/>
        </w:rPr>
      </w:pPr>
    </w:p>
    <w:p w14:paraId="5AE6945E" w14:textId="3AF65406" w:rsidR="00E64B56" w:rsidRPr="00173F69" w:rsidRDefault="00E64B56" w:rsidP="00614295">
      <w:pPr>
        <w:rPr>
          <w:szCs w:val="22"/>
          <w:lang w:val="sr-Latn-ME"/>
        </w:rPr>
      </w:pPr>
      <w:r w:rsidRPr="00173F69">
        <w:rPr>
          <w:szCs w:val="22"/>
          <w:lang w:val="sr-Latn-ME"/>
        </w:rPr>
        <w:lastRenderedPageBreak/>
        <w:t xml:space="preserve">Evropa </w:t>
      </w:r>
      <w:proofErr w:type="spellStart"/>
      <w:r w:rsidRPr="00173F69">
        <w:rPr>
          <w:szCs w:val="22"/>
          <w:lang w:val="sr-Latn-ME"/>
        </w:rPr>
        <w:t>Lek</w:t>
      </w:r>
      <w:proofErr w:type="spellEnd"/>
      <w:r w:rsidRPr="00173F69">
        <w:rPr>
          <w:szCs w:val="22"/>
          <w:lang w:val="sr-Latn-ME"/>
        </w:rPr>
        <w:t xml:space="preserve"> Pharma </w:t>
      </w:r>
      <w:proofErr w:type="spellStart"/>
      <w:r w:rsidRPr="00173F69">
        <w:rPr>
          <w:szCs w:val="22"/>
          <w:lang w:val="sr-Latn-ME"/>
        </w:rPr>
        <w:t>d.o.o</w:t>
      </w:r>
      <w:proofErr w:type="spellEnd"/>
      <w:r w:rsidR="004F7F52" w:rsidRPr="00173F69">
        <w:rPr>
          <w:szCs w:val="22"/>
          <w:lang w:val="sr-Latn-ME"/>
        </w:rPr>
        <w:t>.</w:t>
      </w:r>
      <w:r w:rsidRPr="00173F69">
        <w:rPr>
          <w:szCs w:val="22"/>
          <w:lang w:val="sr-Latn-ME"/>
        </w:rPr>
        <w:t xml:space="preserve"> Podgorica</w:t>
      </w:r>
      <w:r w:rsidR="004F7F52" w:rsidRPr="00173F69">
        <w:rPr>
          <w:szCs w:val="22"/>
          <w:lang w:val="sr-Latn-ME"/>
        </w:rPr>
        <w:t>,</w:t>
      </w:r>
    </w:p>
    <w:p w14:paraId="48CB2FED" w14:textId="2F9300F8" w:rsidR="004C7ED1" w:rsidRPr="00173F69" w:rsidRDefault="00E64B56" w:rsidP="00614295">
      <w:pPr>
        <w:rPr>
          <w:szCs w:val="22"/>
          <w:lang w:val="sr-Latn-ME"/>
        </w:rPr>
      </w:pPr>
      <w:r w:rsidRPr="00173F69">
        <w:rPr>
          <w:szCs w:val="22"/>
          <w:lang w:val="sr-Latn-ME"/>
        </w:rPr>
        <w:t>Kritskog odreda 4/1</w:t>
      </w:r>
      <w:r w:rsidR="004F7F52" w:rsidRPr="00173F69">
        <w:rPr>
          <w:szCs w:val="22"/>
          <w:lang w:val="sr-Latn-ME"/>
        </w:rPr>
        <w:t>,</w:t>
      </w:r>
      <w:r w:rsidRPr="00173F69">
        <w:rPr>
          <w:szCs w:val="22"/>
          <w:lang w:val="sr-Latn-ME"/>
        </w:rPr>
        <w:t xml:space="preserve"> 81000 Podgorica</w:t>
      </w:r>
      <w:r w:rsidR="004F7F52" w:rsidRPr="00173F69">
        <w:rPr>
          <w:szCs w:val="22"/>
          <w:lang w:val="sr-Latn-ME"/>
        </w:rPr>
        <w:t xml:space="preserve">, </w:t>
      </w:r>
      <w:r w:rsidRPr="00173F69">
        <w:rPr>
          <w:szCs w:val="22"/>
          <w:lang w:val="sr-Latn-ME"/>
        </w:rPr>
        <w:t>Crna Gora</w:t>
      </w:r>
    </w:p>
    <w:p w14:paraId="673099AC" w14:textId="710E9FE0" w:rsidR="004F7F52" w:rsidRPr="00173F69" w:rsidRDefault="004F7F52" w:rsidP="00614295">
      <w:pPr>
        <w:rPr>
          <w:szCs w:val="22"/>
          <w:lang w:val="sr-Latn-ME"/>
        </w:rPr>
      </w:pPr>
    </w:p>
    <w:p w14:paraId="591839E7" w14:textId="77777777" w:rsidR="004F7F52" w:rsidRPr="00173F69" w:rsidRDefault="004F7F52" w:rsidP="00614295">
      <w:pPr>
        <w:rPr>
          <w:szCs w:val="22"/>
          <w:lang w:val="sr-Latn-ME"/>
        </w:rPr>
      </w:pPr>
    </w:p>
    <w:p w14:paraId="755D06B0" w14:textId="174E7D9A" w:rsidR="00CE09F3" w:rsidRPr="00173F69" w:rsidRDefault="00CE09F3" w:rsidP="00614295">
      <w:pPr>
        <w:pStyle w:val="NASLOV123"/>
        <w:spacing w:before="0" w:after="0"/>
        <w:rPr>
          <w:lang w:val="sr-Latn-ME"/>
        </w:rPr>
      </w:pPr>
      <w:r w:rsidRPr="00173F69">
        <w:rPr>
          <w:lang w:val="sr-Latn-ME"/>
        </w:rPr>
        <w:t>8. BROJ DOZVOLE ZA STAVLJANJE L</w:t>
      </w:r>
      <w:r w:rsidR="00E64B56" w:rsidRPr="00173F69">
        <w:rPr>
          <w:lang w:val="sr-Latn-ME"/>
        </w:rPr>
        <w:t>IJ</w:t>
      </w:r>
      <w:r w:rsidRPr="00173F69">
        <w:rPr>
          <w:lang w:val="sr-Latn-ME"/>
        </w:rPr>
        <w:t>EKA U PROMET</w:t>
      </w:r>
    </w:p>
    <w:p w14:paraId="0CD6903E" w14:textId="11E6B061" w:rsidR="005D7EDA" w:rsidRPr="00173F69" w:rsidRDefault="005D7EDA" w:rsidP="00614295">
      <w:pPr>
        <w:pStyle w:val="NASLOV123"/>
        <w:spacing w:before="0" w:after="0"/>
        <w:rPr>
          <w:b w:val="0"/>
          <w:lang w:val="sr-Latn-ME"/>
        </w:rPr>
      </w:pPr>
    </w:p>
    <w:p w14:paraId="3B3C13FE" w14:textId="09468139" w:rsidR="00173F69" w:rsidRPr="00173F69" w:rsidRDefault="00173F69" w:rsidP="00173F69">
      <w:pPr>
        <w:rPr>
          <w:rFonts w:eastAsia="TimesNewRoman,Bold"/>
          <w:bCs/>
          <w:szCs w:val="22"/>
          <w:lang w:val="sr-Latn-ME"/>
        </w:rPr>
      </w:pPr>
      <w:r w:rsidRPr="00173F69">
        <w:rPr>
          <w:szCs w:val="22"/>
          <w:lang w:val="sr-Latn-ME"/>
        </w:rPr>
        <w:t xml:space="preserve">2030/25/2098 – 5881 </w:t>
      </w:r>
    </w:p>
    <w:p w14:paraId="5A0946F0" w14:textId="7EE68AF1" w:rsidR="004F7F52" w:rsidRPr="00173F69" w:rsidRDefault="004F7F52" w:rsidP="00614295">
      <w:pPr>
        <w:pStyle w:val="NASLOV123"/>
        <w:spacing w:before="0" w:after="0"/>
        <w:rPr>
          <w:b w:val="0"/>
          <w:lang w:val="sr-Latn-ME"/>
        </w:rPr>
      </w:pPr>
    </w:p>
    <w:p w14:paraId="6D6D3B08" w14:textId="77777777" w:rsidR="004F7F52" w:rsidRPr="00173F69" w:rsidRDefault="004F7F52" w:rsidP="00614295">
      <w:pPr>
        <w:pStyle w:val="NASLOV123"/>
        <w:spacing w:before="0" w:after="0"/>
        <w:rPr>
          <w:b w:val="0"/>
          <w:lang w:val="sr-Latn-ME"/>
        </w:rPr>
      </w:pPr>
    </w:p>
    <w:p w14:paraId="1E684935" w14:textId="4B25F985" w:rsidR="00CE09F3" w:rsidRPr="00173F69" w:rsidRDefault="00CE09F3" w:rsidP="00614295">
      <w:pPr>
        <w:pStyle w:val="NASLOV123"/>
        <w:spacing w:before="0" w:after="0"/>
        <w:jc w:val="both"/>
        <w:rPr>
          <w:lang w:val="sr-Latn-ME"/>
        </w:rPr>
      </w:pPr>
      <w:r w:rsidRPr="00173F69">
        <w:rPr>
          <w:lang w:val="sr-Latn-ME"/>
        </w:rPr>
        <w:t>9. DATUM PRVE DOZVOLE</w:t>
      </w:r>
      <w:r w:rsidR="00E64B56" w:rsidRPr="00173F69">
        <w:rPr>
          <w:lang w:val="sr-Latn-ME"/>
        </w:rPr>
        <w:t>/</w:t>
      </w:r>
      <w:r w:rsidRPr="00173F69">
        <w:rPr>
          <w:lang w:val="sr-Latn-ME"/>
        </w:rPr>
        <w:t xml:space="preserve"> OBNOVE DOZVOLE ZA STAVLJANJE L</w:t>
      </w:r>
      <w:r w:rsidR="00E64B56" w:rsidRPr="00173F69">
        <w:rPr>
          <w:lang w:val="sr-Latn-ME"/>
        </w:rPr>
        <w:t>IJ</w:t>
      </w:r>
      <w:r w:rsidRPr="00173F69">
        <w:rPr>
          <w:lang w:val="sr-Latn-ME"/>
        </w:rPr>
        <w:t>EKA U PROMET</w:t>
      </w:r>
    </w:p>
    <w:p w14:paraId="57B551DF" w14:textId="676871E6" w:rsidR="00CE09F3" w:rsidRPr="00173F69" w:rsidRDefault="00CE09F3" w:rsidP="00614295">
      <w:pPr>
        <w:rPr>
          <w:szCs w:val="22"/>
          <w:lang w:val="sr-Latn-ME"/>
        </w:rPr>
      </w:pPr>
    </w:p>
    <w:p w14:paraId="348C5162" w14:textId="77777777" w:rsidR="00173F69" w:rsidRPr="00173F69" w:rsidRDefault="00173F69" w:rsidP="00173F69">
      <w:pPr>
        <w:rPr>
          <w:rFonts w:eastAsia="TimesNewRoman,Bold"/>
          <w:bCs/>
          <w:szCs w:val="22"/>
          <w:lang w:val="sr-Latn-ME"/>
        </w:rPr>
      </w:pPr>
      <w:r w:rsidRPr="00173F69">
        <w:rPr>
          <w:szCs w:val="22"/>
          <w:lang w:val="sr-Latn-ME"/>
        </w:rPr>
        <w:t>15.05.2025. godine</w:t>
      </w:r>
    </w:p>
    <w:p w14:paraId="35FA62C7" w14:textId="72886EC9" w:rsidR="004C7ED1" w:rsidRPr="00173F69" w:rsidRDefault="004C7ED1" w:rsidP="00614295">
      <w:pPr>
        <w:rPr>
          <w:szCs w:val="22"/>
          <w:lang w:val="sr-Latn-ME"/>
        </w:rPr>
      </w:pPr>
    </w:p>
    <w:p w14:paraId="770F027D" w14:textId="77777777" w:rsidR="004F7F52" w:rsidRPr="00173F69" w:rsidRDefault="004F7F52" w:rsidP="00614295">
      <w:pPr>
        <w:rPr>
          <w:szCs w:val="22"/>
          <w:lang w:val="sr-Latn-ME"/>
        </w:rPr>
      </w:pPr>
    </w:p>
    <w:p w14:paraId="6212B49F" w14:textId="01E658C3" w:rsidR="00CE09F3" w:rsidRPr="00173F69" w:rsidRDefault="00CE09F3" w:rsidP="00614295">
      <w:pPr>
        <w:pStyle w:val="NASLOV123"/>
        <w:spacing w:before="0" w:after="0"/>
        <w:rPr>
          <w:lang w:val="sr-Latn-ME"/>
        </w:rPr>
      </w:pPr>
      <w:r w:rsidRPr="00173F69">
        <w:rPr>
          <w:lang w:val="sr-Latn-ME"/>
        </w:rPr>
        <w:t>10. DATUM REVIZIJE TEKSTA</w:t>
      </w:r>
    </w:p>
    <w:p w14:paraId="61AC314D" w14:textId="10C78B04" w:rsidR="004C7ED1" w:rsidRPr="00173F69" w:rsidRDefault="004C7ED1" w:rsidP="00614295">
      <w:pPr>
        <w:pStyle w:val="NASLOV123"/>
        <w:spacing w:before="0" w:after="0"/>
        <w:rPr>
          <w:b w:val="0"/>
          <w:lang w:val="sr-Latn-ME"/>
        </w:rPr>
      </w:pPr>
    </w:p>
    <w:p w14:paraId="522CDD3D" w14:textId="204FEBAF" w:rsidR="00173F69" w:rsidRPr="00173F69" w:rsidRDefault="00173F69" w:rsidP="00614295">
      <w:pPr>
        <w:pStyle w:val="NASLOV123"/>
        <w:spacing w:before="0" w:after="0"/>
        <w:rPr>
          <w:b w:val="0"/>
          <w:lang w:val="sr-Latn-ME"/>
        </w:rPr>
      </w:pPr>
      <w:r w:rsidRPr="00173F69">
        <w:rPr>
          <w:b w:val="0"/>
          <w:lang w:val="sr-Latn-ME"/>
        </w:rPr>
        <w:t>Maj, 2025. godine</w:t>
      </w:r>
      <w:bookmarkStart w:id="1" w:name="_GoBack"/>
      <w:bookmarkEnd w:id="1"/>
    </w:p>
    <w:sectPr w:rsidR="00173F69" w:rsidRPr="00173F69" w:rsidSect="00173F69">
      <w:footerReference w:type="even" r:id="rId15"/>
      <w:footerReference w:type="default" r:id="rId16"/>
      <w:pgSz w:w="11907" w:h="16840" w:code="9"/>
      <w:pgMar w:top="905" w:right="1134" w:bottom="1701" w:left="1134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369F1" w14:textId="77777777" w:rsidR="00773B58" w:rsidRDefault="00773B58">
      <w:r>
        <w:separator/>
      </w:r>
    </w:p>
  </w:endnote>
  <w:endnote w:type="continuationSeparator" w:id="0">
    <w:p w14:paraId="7DF5924F" w14:textId="77777777" w:rsidR="00773B58" w:rsidRDefault="0077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,Bold">
    <w:altName w:val="MS Mincho"/>
    <w:panose1 w:val="00000000000000000000"/>
    <w:charset w:val="EE"/>
    <w:family w:val="auto"/>
    <w:notTrueType/>
    <w:pitch w:val="default"/>
    <w:sig w:usb0="00000205" w:usb1="08070000" w:usb2="00000010" w:usb3="00000000" w:csb0="00020006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913EC" w14:textId="77777777" w:rsidR="00693A2F" w:rsidRDefault="00693A2F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DE39D9" w14:textId="77777777" w:rsidR="00693A2F" w:rsidRDefault="00693A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8A57F" w14:textId="647C5E72" w:rsidR="00693A2F" w:rsidRPr="00ED4A84" w:rsidRDefault="00773B58" w:rsidP="00CE09F3">
    <w:pPr>
      <w:pStyle w:val="Footer"/>
      <w:tabs>
        <w:tab w:val="left" w:pos="5448"/>
      </w:tabs>
      <w:spacing w:before="360"/>
      <w:jc w:val="center"/>
      <w:rPr>
        <w:szCs w:val="22"/>
      </w:rPr>
    </w:pPr>
    <w:sdt>
      <w:sdtPr>
        <w:rPr>
          <w:szCs w:val="22"/>
        </w:r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Cs w:val="22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693A2F" w:rsidRPr="00ED4A84">
              <w:rPr>
                <w:szCs w:val="22"/>
              </w:rPr>
              <w:fldChar w:fldCharType="begin"/>
            </w:r>
            <w:r w:rsidR="00693A2F" w:rsidRPr="00ED4A84">
              <w:rPr>
                <w:szCs w:val="22"/>
              </w:rPr>
              <w:instrText xml:space="preserve"> PAGE </w:instrText>
            </w:r>
            <w:r w:rsidR="00693A2F" w:rsidRPr="00ED4A84">
              <w:rPr>
                <w:szCs w:val="22"/>
              </w:rPr>
              <w:fldChar w:fldCharType="separate"/>
            </w:r>
            <w:r w:rsidR="00173F69">
              <w:rPr>
                <w:noProof/>
                <w:szCs w:val="22"/>
              </w:rPr>
              <w:t>6</w:t>
            </w:r>
            <w:r w:rsidR="00693A2F" w:rsidRPr="00ED4A84">
              <w:rPr>
                <w:szCs w:val="22"/>
              </w:rPr>
              <w:fldChar w:fldCharType="end"/>
            </w:r>
            <w:r w:rsidR="00693A2F" w:rsidRPr="00ED4A84">
              <w:rPr>
                <w:szCs w:val="22"/>
              </w:rPr>
              <w:t xml:space="preserve"> </w:t>
            </w:r>
            <w:r w:rsidR="004517D9" w:rsidRPr="00ED4A84">
              <w:rPr>
                <w:szCs w:val="22"/>
              </w:rPr>
              <w:t>/</w:t>
            </w:r>
            <w:r w:rsidR="00693A2F" w:rsidRPr="00ED4A84">
              <w:rPr>
                <w:szCs w:val="22"/>
              </w:rPr>
              <w:t xml:space="preserve"> </w:t>
            </w:r>
            <w:r w:rsidR="00693A2F" w:rsidRPr="00ED4A84">
              <w:rPr>
                <w:szCs w:val="22"/>
              </w:rPr>
              <w:fldChar w:fldCharType="begin"/>
            </w:r>
            <w:r w:rsidR="00693A2F" w:rsidRPr="00ED4A84">
              <w:rPr>
                <w:szCs w:val="22"/>
              </w:rPr>
              <w:instrText xml:space="preserve"> NUMPAGES  </w:instrText>
            </w:r>
            <w:r w:rsidR="00693A2F" w:rsidRPr="00ED4A84">
              <w:rPr>
                <w:szCs w:val="22"/>
              </w:rPr>
              <w:fldChar w:fldCharType="separate"/>
            </w:r>
            <w:r w:rsidR="00173F69">
              <w:rPr>
                <w:noProof/>
                <w:szCs w:val="22"/>
              </w:rPr>
              <w:t>8</w:t>
            </w:r>
            <w:r w:rsidR="00693A2F" w:rsidRPr="00ED4A84">
              <w:rPr>
                <w:szCs w:val="22"/>
              </w:rPr>
              <w:fldChar w:fldCharType="end"/>
            </w:r>
          </w:sdtContent>
        </w:sdt>
      </w:sdtContent>
    </w:sdt>
  </w:p>
  <w:p w14:paraId="4911B647" w14:textId="77777777" w:rsidR="00693A2F" w:rsidRPr="00C536C2" w:rsidRDefault="00693A2F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B4FE4" w14:textId="77777777" w:rsidR="00773B58" w:rsidRDefault="00773B58">
      <w:r>
        <w:separator/>
      </w:r>
    </w:p>
  </w:footnote>
  <w:footnote w:type="continuationSeparator" w:id="0">
    <w:p w14:paraId="1A26ECCC" w14:textId="77777777" w:rsidR="00773B58" w:rsidRDefault="00773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07EB781F"/>
    <w:multiLevelType w:val="hybridMultilevel"/>
    <w:tmpl w:val="1004E268"/>
    <w:lvl w:ilvl="0" w:tplc="D27A2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29E6016"/>
    <w:multiLevelType w:val="hybridMultilevel"/>
    <w:tmpl w:val="F88A73E8"/>
    <w:lvl w:ilvl="0" w:tplc="04090017">
      <w:start w:val="1"/>
      <w:numFmt w:val="lowerLetter"/>
      <w:lvlText w:val="%1)"/>
      <w:lvlJc w:val="left"/>
      <w:pPr>
        <w:ind w:left="1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" w15:restartNumberingAfterBreak="0">
    <w:nsid w:val="61E13DB2"/>
    <w:multiLevelType w:val="hybridMultilevel"/>
    <w:tmpl w:val="169A6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57C85"/>
    <w:multiLevelType w:val="hybridMultilevel"/>
    <w:tmpl w:val="9BEAC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7"/>
    </w:lvlOverride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13AC"/>
    <w:rsid w:val="000053F4"/>
    <w:rsid w:val="00015455"/>
    <w:rsid w:val="00017801"/>
    <w:rsid w:val="000332C5"/>
    <w:rsid w:val="00044BF7"/>
    <w:rsid w:val="00050ECC"/>
    <w:rsid w:val="0005798D"/>
    <w:rsid w:val="0006007C"/>
    <w:rsid w:val="00064273"/>
    <w:rsid w:val="0006436C"/>
    <w:rsid w:val="00075CF1"/>
    <w:rsid w:val="00083BE0"/>
    <w:rsid w:val="00086ED9"/>
    <w:rsid w:val="00095FB6"/>
    <w:rsid w:val="0009758B"/>
    <w:rsid w:val="000A0F4A"/>
    <w:rsid w:val="000A15CE"/>
    <w:rsid w:val="000D5631"/>
    <w:rsid w:val="000E75C0"/>
    <w:rsid w:val="00103E9E"/>
    <w:rsid w:val="00107AD2"/>
    <w:rsid w:val="00131F7F"/>
    <w:rsid w:val="00141639"/>
    <w:rsid w:val="0014180A"/>
    <w:rsid w:val="00145913"/>
    <w:rsid w:val="00152082"/>
    <w:rsid w:val="00157603"/>
    <w:rsid w:val="001674C9"/>
    <w:rsid w:val="00172D10"/>
    <w:rsid w:val="00173D18"/>
    <w:rsid w:val="00173F69"/>
    <w:rsid w:val="00175772"/>
    <w:rsid w:val="00175A7E"/>
    <w:rsid w:val="0018601D"/>
    <w:rsid w:val="0019473F"/>
    <w:rsid w:val="001B706A"/>
    <w:rsid w:val="001C52A0"/>
    <w:rsid w:val="001D10C9"/>
    <w:rsid w:val="001D2E7F"/>
    <w:rsid w:val="001E0A07"/>
    <w:rsid w:val="001E2359"/>
    <w:rsid w:val="001E6145"/>
    <w:rsid w:val="001F2ADA"/>
    <w:rsid w:val="001F2D4E"/>
    <w:rsid w:val="001F39B6"/>
    <w:rsid w:val="0020502A"/>
    <w:rsid w:val="0020702B"/>
    <w:rsid w:val="0022218E"/>
    <w:rsid w:val="0022223A"/>
    <w:rsid w:val="00235191"/>
    <w:rsid w:val="002377E6"/>
    <w:rsid w:val="0024132F"/>
    <w:rsid w:val="00242DCD"/>
    <w:rsid w:val="00247C5C"/>
    <w:rsid w:val="00273BE0"/>
    <w:rsid w:val="00291D3D"/>
    <w:rsid w:val="002B443D"/>
    <w:rsid w:val="002B588B"/>
    <w:rsid w:val="002B6F6A"/>
    <w:rsid w:val="002C0FBF"/>
    <w:rsid w:val="002C24C0"/>
    <w:rsid w:val="002D2F6A"/>
    <w:rsid w:val="002D3DEE"/>
    <w:rsid w:val="002E3359"/>
    <w:rsid w:val="002F3AE3"/>
    <w:rsid w:val="002F3DF6"/>
    <w:rsid w:val="002F5E2F"/>
    <w:rsid w:val="0030330C"/>
    <w:rsid w:val="00305BDB"/>
    <w:rsid w:val="00305ED3"/>
    <w:rsid w:val="003072D7"/>
    <w:rsid w:val="00316FC0"/>
    <w:rsid w:val="0032378F"/>
    <w:rsid w:val="00327AA1"/>
    <w:rsid w:val="00333142"/>
    <w:rsid w:val="003452C0"/>
    <w:rsid w:val="003510D5"/>
    <w:rsid w:val="00361832"/>
    <w:rsid w:val="00365DF0"/>
    <w:rsid w:val="00372479"/>
    <w:rsid w:val="00383195"/>
    <w:rsid w:val="003A2DF8"/>
    <w:rsid w:val="003B2082"/>
    <w:rsid w:val="003C18A4"/>
    <w:rsid w:val="003C44B0"/>
    <w:rsid w:val="003E2A3C"/>
    <w:rsid w:val="003E3EC7"/>
    <w:rsid w:val="004123CD"/>
    <w:rsid w:val="004234ED"/>
    <w:rsid w:val="0042465B"/>
    <w:rsid w:val="00424F2B"/>
    <w:rsid w:val="00427781"/>
    <w:rsid w:val="00427D41"/>
    <w:rsid w:val="004408D4"/>
    <w:rsid w:val="00447522"/>
    <w:rsid w:val="004503D2"/>
    <w:rsid w:val="004517D9"/>
    <w:rsid w:val="00455EBE"/>
    <w:rsid w:val="00460071"/>
    <w:rsid w:val="0046270F"/>
    <w:rsid w:val="00462C33"/>
    <w:rsid w:val="004640F4"/>
    <w:rsid w:val="004701E8"/>
    <w:rsid w:val="00483EA8"/>
    <w:rsid w:val="00487CAC"/>
    <w:rsid w:val="00490502"/>
    <w:rsid w:val="00492248"/>
    <w:rsid w:val="00492BF0"/>
    <w:rsid w:val="00497648"/>
    <w:rsid w:val="004A75DE"/>
    <w:rsid w:val="004B5A11"/>
    <w:rsid w:val="004B7A50"/>
    <w:rsid w:val="004B7F46"/>
    <w:rsid w:val="004B7F95"/>
    <w:rsid w:val="004C6A1B"/>
    <w:rsid w:val="004C7ED1"/>
    <w:rsid w:val="004D19EF"/>
    <w:rsid w:val="004D230F"/>
    <w:rsid w:val="004E255A"/>
    <w:rsid w:val="004F7F52"/>
    <w:rsid w:val="00503974"/>
    <w:rsid w:val="00504D43"/>
    <w:rsid w:val="005074EB"/>
    <w:rsid w:val="00521EF5"/>
    <w:rsid w:val="0052230B"/>
    <w:rsid w:val="00525A8A"/>
    <w:rsid w:val="005276F0"/>
    <w:rsid w:val="00530909"/>
    <w:rsid w:val="00530EB7"/>
    <w:rsid w:val="005513DB"/>
    <w:rsid w:val="00552851"/>
    <w:rsid w:val="005604EB"/>
    <w:rsid w:val="00565C1A"/>
    <w:rsid w:val="005717A4"/>
    <w:rsid w:val="0057235A"/>
    <w:rsid w:val="00574CB5"/>
    <w:rsid w:val="005B3388"/>
    <w:rsid w:val="005B3F2F"/>
    <w:rsid w:val="005B6EC6"/>
    <w:rsid w:val="005B7B99"/>
    <w:rsid w:val="005C3F73"/>
    <w:rsid w:val="005C7891"/>
    <w:rsid w:val="005D7EDA"/>
    <w:rsid w:val="005F67E8"/>
    <w:rsid w:val="006007AE"/>
    <w:rsid w:val="00600C15"/>
    <w:rsid w:val="00602947"/>
    <w:rsid w:val="00603302"/>
    <w:rsid w:val="00604E4F"/>
    <w:rsid w:val="006054EE"/>
    <w:rsid w:val="00611006"/>
    <w:rsid w:val="006118B6"/>
    <w:rsid w:val="00614295"/>
    <w:rsid w:val="00624BDE"/>
    <w:rsid w:val="006265F3"/>
    <w:rsid w:val="006270C0"/>
    <w:rsid w:val="00627979"/>
    <w:rsid w:val="00630195"/>
    <w:rsid w:val="0064623E"/>
    <w:rsid w:val="006559AF"/>
    <w:rsid w:val="00660ED5"/>
    <w:rsid w:val="00661B4D"/>
    <w:rsid w:val="0067296B"/>
    <w:rsid w:val="00677C79"/>
    <w:rsid w:val="00681358"/>
    <w:rsid w:val="00693874"/>
    <w:rsid w:val="00693A2F"/>
    <w:rsid w:val="00693F46"/>
    <w:rsid w:val="00694596"/>
    <w:rsid w:val="006A00C7"/>
    <w:rsid w:val="006B0F9A"/>
    <w:rsid w:val="006B2E4E"/>
    <w:rsid w:val="006C6FCE"/>
    <w:rsid w:val="006D5752"/>
    <w:rsid w:val="006E4E9B"/>
    <w:rsid w:val="006E6274"/>
    <w:rsid w:val="006F158F"/>
    <w:rsid w:val="006F4BCB"/>
    <w:rsid w:val="00707D79"/>
    <w:rsid w:val="007319C9"/>
    <w:rsid w:val="00734289"/>
    <w:rsid w:val="007434D8"/>
    <w:rsid w:val="00747889"/>
    <w:rsid w:val="00764648"/>
    <w:rsid w:val="007672F3"/>
    <w:rsid w:val="007706B9"/>
    <w:rsid w:val="00771908"/>
    <w:rsid w:val="00773B50"/>
    <w:rsid w:val="00773B58"/>
    <w:rsid w:val="007835BD"/>
    <w:rsid w:val="00787BC7"/>
    <w:rsid w:val="007910C2"/>
    <w:rsid w:val="007B13FA"/>
    <w:rsid w:val="007B16C4"/>
    <w:rsid w:val="007B2391"/>
    <w:rsid w:val="007C2D7E"/>
    <w:rsid w:val="007C6712"/>
    <w:rsid w:val="007D17FD"/>
    <w:rsid w:val="007D48C5"/>
    <w:rsid w:val="007E06F0"/>
    <w:rsid w:val="007E55D7"/>
    <w:rsid w:val="00802DFC"/>
    <w:rsid w:val="00814709"/>
    <w:rsid w:val="00814781"/>
    <w:rsid w:val="00827506"/>
    <w:rsid w:val="00831173"/>
    <w:rsid w:val="00834DBB"/>
    <w:rsid w:val="00842FFB"/>
    <w:rsid w:val="00844D5E"/>
    <w:rsid w:val="0085152E"/>
    <w:rsid w:val="008556CC"/>
    <w:rsid w:val="00855B7F"/>
    <w:rsid w:val="008560C9"/>
    <w:rsid w:val="0086351A"/>
    <w:rsid w:val="00865959"/>
    <w:rsid w:val="00874B61"/>
    <w:rsid w:val="00893481"/>
    <w:rsid w:val="00895111"/>
    <w:rsid w:val="008A02F3"/>
    <w:rsid w:val="008A48B7"/>
    <w:rsid w:val="008B3EB5"/>
    <w:rsid w:val="008B7B68"/>
    <w:rsid w:val="008C5809"/>
    <w:rsid w:val="008D6075"/>
    <w:rsid w:val="008D78C9"/>
    <w:rsid w:val="008E0FC9"/>
    <w:rsid w:val="00905767"/>
    <w:rsid w:val="00913684"/>
    <w:rsid w:val="009213FE"/>
    <w:rsid w:val="00923865"/>
    <w:rsid w:val="0092528A"/>
    <w:rsid w:val="0093016E"/>
    <w:rsid w:val="00934B4D"/>
    <w:rsid w:val="00936D8A"/>
    <w:rsid w:val="009471A7"/>
    <w:rsid w:val="00955C75"/>
    <w:rsid w:val="009677DF"/>
    <w:rsid w:val="00972F45"/>
    <w:rsid w:val="00985387"/>
    <w:rsid w:val="00992E0F"/>
    <w:rsid w:val="009946F8"/>
    <w:rsid w:val="00996E6B"/>
    <w:rsid w:val="009A1D64"/>
    <w:rsid w:val="009A7810"/>
    <w:rsid w:val="009B0EDE"/>
    <w:rsid w:val="009B1292"/>
    <w:rsid w:val="009B2430"/>
    <w:rsid w:val="009B2948"/>
    <w:rsid w:val="009B2951"/>
    <w:rsid w:val="009B338B"/>
    <w:rsid w:val="009B58AD"/>
    <w:rsid w:val="009B7935"/>
    <w:rsid w:val="009C7BA2"/>
    <w:rsid w:val="009D1161"/>
    <w:rsid w:val="009D667B"/>
    <w:rsid w:val="009D6B7D"/>
    <w:rsid w:val="009D6C9B"/>
    <w:rsid w:val="009E028C"/>
    <w:rsid w:val="009F076C"/>
    <w:rsid w:val="009F4449"/>
    <w:rsid w:val="009F777F"/>
    <w:rsid w:val="00A00CF7"/>
    <w:rsid w:val="00A02252"/>
    <w:rsid w:val="00A10638"/>
    <w:rsid w:val="00A127F1"/>
    <w:rsid w:val="00A16932"/>
    <w:rsid w:val="00A21CAD"/>
    <w:rsid w:val="00A23DE0"/>
    <w:rsid w:val="00A27130"/>
    <w:rsid w:val="00A30941"/>
    <w:rsid w:val="00A53C30"/>
    <w:rsid w:val="00A7147C"/>
    <w:rsid w:val="00A7660B"/>
    <w:rsid w:val="00A86897"/>
    <w:rsid w:val="00A8705F"/>
    <w:rsid w:val="00A95733"/>
    <w:rsid w:val="00AA0F0E"/>
    <w:rsid w:val="00AA62E4"/>
    <w:rsid w:val="00AB5465"/>
    <w:rsid w:val="00AC2D0C"/>
    <w:rsid w:val="00AC522D"/>
    <w:rsid w:val="00AC616E"/>
    <w:rsid w:val="00AC7211"/>
    <w:rsid w:val="00B03E5A"/>
    <w:rsid w:val="00B12955"/>
    <w:rsid w:val="00B24CB8"/>
    <w:rsid w:val="00B26FAC"/>
    <w:rsid w:val="00B31AA2"/>
    <w:rsid w:val="00B35214"/>
    <w:rsid w:val="00B3755C"/>
    <w:rsid w:val="00B45BE5"/>
    <w:rsid w:val="00B71AF5"/>
    <w:rsid w:val="00B74C0B"/>
    <w:rsid w:val="00B76A65"/>
    <w:rsid w:val="00B8400D"/>
    <w:rsid w:val="00B93A37"/>
    <w:rsid w:val="00BA1819"/>
    <w:rsid w:val="00BA5A22"/>
    <w:rsid w:val="00BB0A3B"/>
    <w:rsid w:val="00BB55E5"/>
    <w:rsid w:val="00BD0565"/>
    <w:rsid w:val="00BD3BDE"/>
    <w:rsid w:val="00BD4F5C"/>
    <w:rsid w:val="00BD725A"/>
    <w:rsid w:val="00BE5620"/>
    <w:rsid w:val="00BF3750"/>
    <w:rsid w:val="00C06244"/>
    <w:rsid w:val="00C14D4A"/>
    <w:rsid w:val="00C211DC"/>
    <w:rsid w:val="00C2278B"/>
    <w:rsid w:val="00C22964"/>
    <w:rsid w:val="00C24E83"/>
    <w:rsid w:val="00C536C2"/>
    <w:rsid w:val="00C55F47"/>
    <w:rsid w:val="00C56E1E"/>
    <w:rsid w:val="00C56E2E"/>
    <w:rsid w:val="00C64A31"/>
    <w:rsid w:val="00C8176E"/>
    <w:rsid w:val="00C82E8B"/>
    <w:rsid w:val="00C94EB3"/>
    <w:rsid w:val="00CA171C"/>
    <w:rsid w:val="00CB1C8C"/>
    <w:rsid w:val="00CC4C88"/>
    <w:rsid w:val="00CD0B1F"/>
    <w:rsid w:val="00CD3ACE"/>
    <w:rsid w:val="00CD3F96"/>
    <w:rsid w:val="00CD5119"/>
    <w:rsid w:val="00CE09F3"/>
    <w:rsid w:val="00CE0B5D"/>
    <w:rsid w:val="00CE734D"/>
    <w:rsid w:val="00CE73FC"/>
    <w:rsid w:val="00CE76DA"/>
    <w:rsid w:val="00D023B1"/>
    <w:rsid w:val="00D11D6C"/>
    <w:rsid w:val="00D11D7F"/>
    <w:rsid w:val="00D11E94"/>
    <w:rsid w:val="00D1364D"/>
    <w:rsid w:val="00D148CF"/>
    <w:rsid w:val="00D30389"/>
    <w:rsid w:val="00D31269"/>
    <w:rsid w:val="00D337F6"/>
    <w:rsid w:val="00D44E66"/>
    <w:rsid w:val="00D52CDB"/>
    <w:rsid w:val="00D61710"/>
    <w:rsid w:val="00D660A4"/>
    <w:rsid w:val="00D6611E"/>
    <w:rsid w:val="00D85F37"/>
    <w:rsid w:val="00DB4534"/>
    <w:rsid w:val="00DB665A"/>
    <w:rsid w:val="00DC46DA"/>
    <w:rsid w:val="00DC7AF2"/>
    <w:rsid w:val="00DD2A82"/>
    <w:rsid w:val="00DE7BB2"/>
    <w:rsid w:val="00DF46E4"/>
    <w:rsid w:val="00E04856"/>
    <w:rsid w:val="00E17DF4"/>
    <w:rsid w:val="00E351AE"/>
    <w:rsid w:val="00E436E5"/>
    <w:rsid w:val="00E50CD3"/>
    <w:rsid w:val="00E54C0C"/>
    <w:rsid w:val="00E56089"/>
    <w:rsid w:val="00E64B56"/>
    <w:rsid w:val="00E7432A"/>
    <w:rsid w:val="00E74452"/>
    <w:rsid w:val="00E7783B"/>
    <w:rsid w:val="00E81926"/>
    <w:rsid w:val="00E87BE1"/>
    <w:rsid w:val="00E91474"/>
    <w:rsid w:val="00E93391"/>
    <w:rsid w:val="00E963F9"/>
    <w:rsid w:val="00EA020F"/>
    <w:rsid w:val="00EA1F85"/>
    <w:rsid w:val="00EA43EC"/>
    <w:rsid w:val="00EA4890"/>
    <w:rsid w:val="00EC53D2"/>
    <w:rsid w:val="00ED3B92"/>
    <w:rsid w:val="00ED4585"/>
    <w:rsid w:val="00ED4A84"/>
    <w:rsid w:val="00ED735F"/>
    <w:rsid w:val="00F14BFD"/>
    <w:rsid w:val="00F23EE3"/>
    <w:rsid w:val="00F26D92"/>
    <w:rsid w:val="00F3278F"/>
    <w:rsid w:val="00F32A1B"/>
    <w:rsid w:val="00F33FF8"/>
    <w:rsid w:val="00F41DEC"/>
    <w:rsid w:val="00F42610"/>
    <w:rsid w:val="00F5559F"/>
    <w:rsid w:val="00F5775F"/>
    <w:rsid w:val="00F63F24"/>
    <w:rsid w:val="00F80C76"/>
    <w:rsid w:val="00F847D5"/>
    <w:rsid w:val="00FA1186"/>
    <w:rsid w:val="00FB7133"/>
    <w:rsid w:val="00FF0D13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61EC79"/>
  <w15:docId w15:val="{8029F1AF-12E5-4144-B7A2-1E6BE7F1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styleId="ListParagraph">
    <w:name w:val="List Paragraph"/>
    <w:basedOn w:val="Normal"/>
    <w:uiPriority w:val="34"/>
    <w:qFormat/>
    <w:rsid w:val="007434D8"/>
    <w:pPr>
      <w:ind w:left="720"/>
      <w:contextualSpacing/>
    </w:pPr>
  </w:style>
  <w:style w:type="table" w:styleId="TableGrid">
    <w:name w:val="Table Grid"/>
    <w:basedOn w:val="TableNormal"/>
    <w:rsid w:val="00305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E6274"/>
    <w:rPr>
      <w:sz w:val="22"/>
      <w:szCs w:val="24"/>
    </w:rPr>
  </w:style>
  <w:style w:type="paragraph" w:styleId="NoSpacing">
    <w:name w:val="No Spacing"/>
    <w:uiPriority w:val="1"/>
    <w:qFormat/>
    <w:rsid w:val="000332C5"/>
    <w:rPr>
      <w:sz w:val="24"/>
      <w:szCs w:val="24"/>
    </w:rPr>
  </w:style>
  <w:style w:type="character" w:styleId="Hyperlink">
    <w:name w:val="Hyperlink"/>
    <w:basedOn w:val="DefaultParagraphFont"/>
    <w:rsid w:val="000332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0B85690B3D6448F8A54B2CA558A66" ma:contentTypeVersion="12" ma:contentTypeDescription="Create a new document." ma:contentTypeScope="" ma:versionID="94bbb02502c06569629d60cabce007a0">
  <xsd:schema xmlns:xsd="http://www.w3.org/2001/XMLSchema" xmlns:xs="http://www.w3.org/2001/XMLSchema" xmlns:p="http://schemas.microsoft.com/office/2006/metadata/properties" xmlns:ns2="59386e3a-3639-4a28-9d90-0138812c0b5a" xmlns:ns3="d3949772-4e22-4028-bba5-90b6e7a7386b" targetNamespace="http://schemas.microsoft.com/office/2006/metadata/properties" ma:root="true" ma:fieldsID="672300197398edaa146590c33cc75dea" ns2:_="" ns3:_="">
    <xsd:import namespace="59386e3a-3639-4a28-9d90-0138812c0b5a"/>
    <xsd:import namespace="d3949772-4e22-4028-bba5-90b6e7a738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86e3a-3639-4a28-9d90-0138812c0b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49772-4e22-4028-bba5-90b6e7a73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491DF-66BC-42E9-8A7C-82B8222DF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86e3a-3639-4a28-9d90-0138812c0b5a"/>
    <ds:schemaRef ds:uri="d3949772-4e22-4028-bba5-90b6e7a73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989CA1-CCE6-4E96-A978-E406AEF49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500D8-07FC-4652-8212-F38CB4732C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6E5757-DBBD-41CC-8F85-31EA22143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2597</Words>
  <Characters>14808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Ninoslava Lalatović</cp:lastModifiedBy>
  <cp:revision>20</cp:revision>
  <cp:lastPrinted>2024-03-22T08:36:00Z</cp:lastPrinted>
  <dcterms:created xsi:type="dcterms:W3CDTF">2025-05-07T06:29:00Z</dcterms:created>
  <dcterms:modified xsi:type="dcterms:W3CDTF">2025-05-15T12:35:00Z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0x010100FC40B85690B3D6448F8A54B2CA558A66</vt:lpwstr>
  </property>
</Properties>
</file>