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5A1411" w14:textId="77777777" w:rsidR="002510A5" w:rsidRPr="00BA318E" w:rsidRDefault="002510A5" w:rsidP="002510A5">
      <w:pPr>
        <w:jc w:val="center"/>
        <w:rPr>
          <w:b/>
          <w:bCs/>
          <w:iCs/>
          <w:sz w:val="22"/>
          <w:szCs w:val="22"/>
          <w:u w:val="single"/>
          <w:lang w:val="sr-Latn-ME"/>
        </w:rPr>
      </w:pPr>
      <w:r w:rsidRPr="00BA318E">
        <w:rPr>
          <w:b/>
          <w:bCs/>
          <w:iCs/>
          <w:sz w:val="22"/>
          <w:szCs w:val="22"/>
          <w:u w:val="single"/>
          <w:lang w:val="sr-Latn-ME"/>
        </w:rPr>
        <w:t>SAŽETAK KARAKTERISTIKA LIJEKA</w:t>
      </w:r>
    </w:p>
    <w:p w14:paraId="535A1412" w14:textId="77777777" w:rsidR="002510A5" w:rsidRPr="00BA318E" w:rsidRDefault="002510A5" w:rsidP="002510A5">
      <w:pPr>
        <w:rPr>
          <w:b/>
          <w:bCs/>
          <w:i/>
          <w:iCs/>
          <w:sz w:val="22"/>
          <w:szCs w:val="22"/>
          <w:u w:val="single"/>
          <w:lang w:val="sr-Latn-ME"/>
        </w:rPr>
      </w:pPr>
    </w:p>
    <w:p w14:paraId="535A1415" w14:textId="77777777" w:rsidR="003C17AB" w:rsidRPr="00BA318E" w:rsidRDefault="003C17AB" w:rsidP="00F5167F">
      <w:pPr>
        <w:tabs>
          <w:tab w:val="left" w:pos="540"/>
          <w:tab w:val="left" w:pos="569"/>
        </w:tabs>
        <w:rPr>
          <w:noProof/>
          <w:sz w:val="22"/>
          <w:szCs w:val="22"/>
          <w:lang w:val="sr-Latn-ME"/>
        </w:rPr>
      </w:pPr>
    </w:p>
    <w:p w14:paraId="535A1416" w14:textId="77777777" w:rsidR="00C37FD7" w:rsidRPr="00BA318E" w:rsidRDefault="00C37FD7" w:rsidP="00F5167F">
      <w:pPr>
        <w:tabs>
          <w:tab w:val="left" w:pos="540"/>
          <w:tab w:val="left" w:pos="569"/>
        </w:tabs>
        <w:rPr>
          <w:bCs/>
          <w:sz w:val="22"/>
          <w:szCs w:val="22"/>
          <w:lang w:val="sr-Latn-ME"/>
        </w:rPr>
      </w:pPr>
    </w:p>
    <w:p w14:paraId="535A1417" w14:textId="77777777" w:rsidR="00411B4B" w:rsidRPr="00BA318E" w:rsidRDefault="00411B4B" w:rsidP="00F5167F">
      <w:pPr>
        <w:tabs>
          <w:tab w:val="left" w:pos="540"/>
          <w:tab w:val="left" w:pos="569"/>
        </w:tabs>
        <w:rPr>
          <w:b/>
          <w:bCs/>
          <w:sz w:val="22"/>
          <w:szCs w:val="22"/>
          <w:lang w:val="sr-Latn-ME"/>
        </w:rPr>
      </w:pPr>
      <w:r w:rsidRPr="00BA318E">
        <w:rPr>
          <w:b/>
          <w:bCs/>
          <w:sz w:val="22"/>
          <w:szCs w:val="22"/>
          <w:lang w:val="sr-Latn-ME"/>
        </w:rPr>
        <w:t>1.</w:t>
      </w:r>
      <w:r w:rsidR="00F5167F" w:rsidRPr="00BA318E">
        <w:rPr>
          <w:b/>
          <w:bCs/>
          <w:sz w:val="22"/>
          <w:szCs w:val="22"/>
          <w:lang w:val="sr-Latn-ME"/>
        </w:rPr>
        <w:tab/>
      </w:r>
      <w:r w:rsidR="002846DB" w:rsidRPr="00BA318E">
        <w:rPr>
          <w:b/>
          <w:bCs/>
          <w:sz w:val="22"/>
          <w:szCs w:val="22"/>
          <w:lang w:val="sr-Latn-ME"/>
        </w:rPr>
        <w:t xml:space="preserve">NAZIV </w:t>
      </w:r>
      <w:r w:rsidRPr="00BA318E">
        <w:rPr>
          <w:b/>
          <w:bCs/>
          <w:sz w:val="22"/>
          <w:szCs w:val="22"/>
          <w:lang w:val="sr-Latn-ME"/>
        </w:rPr>
        <w:t>LIJEKA</w:t>
      </w:r>
    </w:p>
    <w:p w14:paraId="535A1418" w14:textId="77777777" w:rsidR="00EC2532" w:rsidRPr="00BA318E" w:rsidRDefault="00EC2532">
      <w:pPr>
        <w:rPr>
          <w:sz w:val="22"/>
          <w:szCs w:val="22"/>
          <w:lang w:val="sr-Latn-ME"/>
        </w:rPr>
      </w:pPr>
    </w:p>
    <w:p w14:paraId="79A092F4" w14:textId="77777777" w:rsidR="008A0E09" w:rsidRPr="00BA318E" w:rsidRDefault="008A0E09" w:rsidP="008A0E09">
      <w:pPr>
        <w:rPr>
          <w:sz w:val="22"/>
          <w:szCs w:val="22"/>
          <w:lang w:val="sr-Latn-ME"/>
        </w:rPr>
      </w:pPr>
      <w:r w:rsidRPr="00BA318E">
        <w:rPr>
          <w:sz w:val="22"/>
          <w:szCs w:val="22"/>
          <w:lang w:val="sr-Latn-ME"/>
        </w:rPr>
        <w:t>Xalatan, 50 mikrograma/ml, kapi za oči, rastvor</w:t>
      </w:r>
    </w:p>
    <w:p w14:paraId="203281AB" w14:textId="77777777" w:rsidR="008A0E09" w:rsidRPr="00BA318E" w:rsidRDefault="008A0E09" w:rsidP="008A0E09">
      <w:pPr>
        <w:rPr>
          <w:b/>
          <w:color w:val="000000"/>
          <w:sz w:val="22"/>
          <w:szCs w:val="22"/>
          <w:lang w:val="sr-Latn-ME"/>
        </w:rPr>
      </w:pPr>
    </w:p>
    <w:p w14:paraId="4CA54DAB" w14:textId="77777777" w:rsidR="008A0E09" w:rsidRPr="00BA318E" w:rsidRDefault="008A0E09" w:rsidP="008A0E09">
      <w:pPr>
        <w:rPr>
          <w:sz w:val="22"/>
          <w:szCs w:val="22"/>
          <w:lang w:val="sr-Latn-ME"/>
        </w:rPr>
      </w:pPr>
      <w:r w:rsidRPr="00BA318E">
        <w:rPr>
          <w:color w:val="000000"/>
          <w:sz w:val="22"/>
          <w:szCs w:val="22"/>
          <w:lang w:val="sr-Latn-ME"/>
        </w:rPr>
        <w:t xml:space="preserve">INN: </w:t>
      </w:r>
      <w:r w:rsidRPr="00BA318E">
        <w:rPr>
          <w:sz w:val="22"/>
          <w:szCs w:val="22"/>
          <w:lang w:val="sr-Latn-ME"/>
        </w:rPr>
        <w:t>latanoprost</w:t>
      </w:r>
    </w:p>
    <w:p w14:paraId="535A141C" w14:textId="77777777" w:rsidR="006D20A5" w:rsidRPr="00BA318E" w:rsidRDefault="006D20A5">
      <w:pPr>
        <w:rPr>
          <w:bCs/>
          <w:sz w:val="22"/>
          <w:szCs w:val="22"/>
          <w:lang w:val="sr-Latn-ME"/>
        </w:rPr>
      </w:pPr>
    </w:p>
    <w:p w14:paraId="535A141D" w14:textId="77777777" w:rsidR="00530BD7" w:rsidRPr="00BA318E" w:rsidRDefault="00530BD7">
      <w:pPr>
        <w:rPr>
          <w:bCs/>
          <w:sz w:val="22"/>
          <w:szCs w:val="22"/>
          <w:lang w:val="sr-Latn-ME"/>
        </w:rPr>
      </w:pPr>
    </w:p>
    <w:p w14:paraId="535A141E" w14:textId="77777777" w:rsidR="00411B4B" w:rsidRPr="00BA318E" w:rsidRDefault="00411B4B" w:rsidP="00F5167F">
      <w:pPr>
        <w:tabs>
          <w:tab w:val="left" w:pos="540"/>
          <w:tab w:val="left" w:pos="569"/>
        </w:tabs>
        <w:rPr>
          <w:b/>
          <w:bCs/>
          <w:sz w:val="22"/>
          <w:szCs w:val="22"/>
          <w:lang w:val="sr-Latn-ME"/>
        </w:rPr>
      </w:pPr>
      <w:r w:rsidRPr="00BA318E">
        <w:rPr>
          <w:b/>
          <w:bCs/>
          <w:sz w:val="22"/>
          <w:szCs w:val="22"/>
          <w:lang w:val="sr-Latn-ME"/>
        </w:rPr>
        <w:t xml:space="preserve">2. </w:t>
      </w:r>
      <w:r w:rsidR="00F5167F" w:rsidRPr="00BA318E">
        <w:rPr>
          <w:b/>
          <w:bCs/>
          <w:sz w:val="22"/>
          <w:szCs w:val="22"/>
          <w:lang w:val="sr-Latn-ME"/>
        </w:rPr>
        <w:tab/>
      </w:r>
      <w:r w:rsidRPr="00BA318E">
        <w:rPr>
          <w:b/>
          <w:bCs/>
          <w:sz w:val="22"/>
          <w:szCs w:val="22"/>
          <w:lang w:val="sr-Latn-ME"/>
        </w:rPr>
        <w:t>KVALITATIVNI I KVANTITATIVNI SASTAV</w:t>
      </w:r>
    </w:p>
    <w:p w14:paraId="4694E8A5" w14:textId="77777777" w:rsidR="009C4D5A" w:rsidRPr="00BA318E" w:rsidRDefault="009C4D5A" w:rsidP="00F5167F">
      <w:pPr>
        <w:tabs>
          <w:tab w:val="left" w:pos="540"/>
          <w:tab w:val="left" w:pos="569"/>
        </w:tabs>
        <w:rPr>
          <w:b/>
          <w:bCs/>
          <w:sz w:val="22"/>
          <w:szCs w:val="22"/>
          <w:lang w:val="sr-Latn-ME"/>
        </w:rPr>
      </w:pPr>
    </w:p>
    <w:p w14:paraId="4E506386" w14:textId="77777777" w:rsidR="009C4D5A" w:rsidRPr="00BA318E" w:rsidRDefault="009C4D5A" w:rsidP="005C59BD">
      <w:pPr>
        <w:rPr>
          <w:sz w:val="22"/>
          <w:szCs w:val="22"/>
          <w:lang w:val="sr-Latn-ME"/>
        </w:rPr>
      </w:pPr>
      <w:r w:rsidRPr="00BA318E">
        <w:rPr>
          <w:sz w:val="22"/>
          <w:szCs w:val="22"/>
          <w:lang w:val="sr-Latn-ME"/>
        </w:rPr>
        <w:t>Jedan mililitar rastvora sadrži 50 mikrograma latanoprosta.</w:t>
      </w:r>
    </w:p>
    <w:p w14:paraId="7D06DDDF" w14:textId="77777777" w:rsidR="009C4D5A" w:rsidRPr="00BA318E" w:rsidRDefault="009C4D5A" w:rsidP="005C59BD">
      <w:pPr>
        <w:rPr>
          <w:sz w:val="22"/>
          <w:szCs w:val="22"/>
          <w:lang w:val="sr-Latn-ME"/>
        </w:rPr>
      </w:pPr>
      <w:r w:rsidRPr="00BA318E">
        <w:rPr>
          <w:sz w:val="22"/>
          <w:szCs w:val="22"/>
          <w:lang w:val="sr-Latn-ME"/>
        </w:rPr>
        <w:t>Jedna kap rastvora sadrži približno 1,5 mikrograma latanoprosta.</w:t>
      </w:r>
    </w:p>
    <w:p w14:paraId="53FD9C93" w14:textId="77777777" w:rsidR="005C59BD" w:rsidRPr="00BA318E" w:rsidRDefault="005C59BD" w:rsidP="005C59BD">
      <w:pPr>
        <w:pStyle w:val="Header"/>
        <w:tabs>
          <w:tab w:val="left" w:pos="284"/>
        </w:tabs>
        <w:rPr>
          <w:noProof/>
          <w:sz w:val="22"/>
          <w:szCs w:val="22"/>
          <w:lang w:val="sr-Latn-ME"/>
        </w:rPr>
      </w:pPr>
    </w:p>
    <w:p w14:paraId="0B7ABE2F" w14:textId="7B85B855" w:rsidR="009C4D5A" w:rsidRPr="00BA318E" w:rsidRDefault="009C4D5A" w:rsidP="005C59BD">
      <w:pPr>
        <w:pStyle w:val="Header"/>
        <w:tabs>
          <w:tab w:val="left" w:pos="284"/>
        </w:tabs>
        <w:rPr>
          <w:noProof/>
          <w:sz w:val="22"/>
          <w:szCs w:val="22"/>
          <w:lang w:val="sr-Latn-ME"/>
        </w:rPr>
      </w:pPr>
      <w:r w:rsidRPr="00BA318E">
        <w:rPr>
          <w:noProof/>
          <w:sz w:val="22"/>
          <w:szCs w:val="22"/>
          <w:lang w:val="sr-Latn-ME"/>
        </w:rPr>
        <w:t xml:space="preserve">Pomoćne supstance sa poznatim dejstvom: </w:t>
      </w:r>
    </w:p>
    <w:p w14:paraId="7EDEC273" w14:textId="77777777" w:rsidR="009C4D5A" w:rsidRPr="00BA318E" w:rsidRDefault="009C4D5A" w:rsidP="005C59BD">
      <w:pPr>
        <w:pStyle w:val="Header"/>
        <w:tabs>
          <w:tab w:val="left" w:pos="284"/>
        </w:tabs>
        <w:rPr>
          <w:noProof/>
          <w:sz w:val="22"/>
          <w:szCs w:val="22"/>
          <w:lang w:val="sr-Latn-ME"/>
        </w:rPr>
      </w:pPr>
      <w:r w:rsidRPr="00BA318E">
        <w:rPr>
          <w:noProof/>
          <w:sz w:val="22"/>
          <w:szCs w:val="22"/>
          <w:lang w:val="sr-Latn-ME"/>
        </w:rPr>
        <w:t>50% rastvor benzalkonijum hlorida kao konzervans 0,2 mg/ml;</w:t>
      </w:r>
    </w:p>
    <w:p w14:paraId="42D6AA84" w14:textId="5E10B86D" w:rsidR="009C4D5A" w:rsidRPr="00BA318E" w:rsidRDefault="009C4D5A" w:rsidP="005C59BD">
      <w:pPr>
        <w:pStyle w:val="Header"/>
        <w:tabs>
          <w:tab w:val="left" w:pos="284"/>
        </w:tabs>
        <w:rPr>
          <w:noProof/>
          <w:sz w:val="22"/>
          <w:szCs w:val="22"/>
          <w:lang w:val="sr-Latn-ME"/>
        </w:rPr>
      </w:pPr>
      <w:r w:rsidRPr="00BA318E">
        <w:rPr>
          <w:noProof/>
          <w:sz w:val="22"/>
          <w:szCs w:val="22"/>
          <w:lang w:val="sr-Latn-ME"/>
        </w:rPr>
        <w:t>Natrijum dihidrogen</w:t>
      </w:r>
      <w:r w:rsidR="0084323D" w:rsidRPr="00BA318E">
        <w:rPr>
          <w:noProof/>
          <w:sz w:val="22"/>
          <w:szCs w:val="22"/>
          <w:lang w:val="sr-Latn-ME"/>
        </w:rPr>
        <w:t xml:space="preserve"> </w:t>
      </w:r>
      <w:r w:rsidRPr="00BA318E">
        <w:rPr>
          <w:noProof/>
          <w:sz w:val="22"/>
          <w:szCs w:val="22"/>
          <w:lang w:val="sr-Latn-ME"/>
        </w:rPr>
        <w:t>fosfat monohidrat 4,60 mg/ml;</w:t>
      </w:r>
    </w:p>
    <w:p w14:paraId="405863CB" w14:textId="07F6B882" w:rsidR="009C4D5A" w:rsidRPr="00BA318E" w:rsidRDefault="009C4D5A" w:rsidP="005C59BD">
      <w:pPr>
        <w:pStyle w:val="Header"/>
        <w:tabs>
          <w:tab w:val="left" w:pos="284"/>
        </w:tabs>
        <w:rPr>
          <w:noProof/>
          <w:sz w:val="22"/>
          <w:szCs w:val="22"/>
          <w:lang w:val="sr-Latn-ME"/>
        </w:rPr>
      </w:pPr>
      <w:r w:rsidRPr="00BA318E">
        <w:rPr>
          <w:noProof/>
          <w:sz w:val="22"/>
          <w:szCs w:val="22"/>
          <w:lang w:val="sr-Latn-ME"/>
        </w:rPr>
        <w:t>Natrijum hidrogen</w:t>
      </w:r>
      <w:r w:rsidR="00FF071E" w:rsidRPr="00BA318E">
        <w:rPr>
          <w:noProof/>
          <w:sz w:val="22"/>
          <w:szCs w:val="22"/>
          <w:lang w:val="sr-Latn-ME"/>
        </w:rPr>
        <w:t xml:space="preserve"> </w:t>
      </w:r>
      <w:r w:rsidRPr="00BA318E">
        <w:rPr>
          <w:noProof/>
          <w:sz w:val="22"/>
          <w:szCs w:val="22"/>
          <w:lang w:val="sr-Latn-ME"/>
        </w:rPr>
        <w:t>fosfat, bezvodni 4,74 mg/ml.</w:t>
      </w:r>
    </w:p>
    <w:p w14:paraId="535A141F" w14:textId="77777777" w:rsidR="005A0B2E" w:rsidRPr="00BA318E" w:rsidRDefault="005A0B2E">
      <w:pPr>
        <w:rPr>
          <w:sz w:val="22"/>
          <w:szCs w:val="22"/>
          <w:lang w:val="sr-Latn-ME"/>
        </w:rPr>
      </w:pPr>
    </w:p>
    <w:p w14:paraId="535A1420" w14:textId="77777777" w:rsidR="0003793F" w:rsidRPr="00BA318E" w:rsidRDefault="0003793F">
      <w:pPr>
        <w:rPr>
          <w:sz w:val="22"/>
          <w:szCs w:val="22"/>
          <w:lang w:val="sr-Latn-ME"/>
        </w:rPr>
      </w:pPr>
      <w:r w:rsidRPr="00BA318E">
        <w:rPr>
          <w:sz w:val="22"/>
          <w:szCs w:val="22"/>
          <w:lang w:val="sr-Latn-ME"/>
        </w:rPr>
        <w:t>Za spisak svih ekscipijenasa, pogledati dio 6.1.</w:t>
      </w:r>
    </w:p>
    <w:p w14:paraId="535A1421" w14:textId="77777777" w:rsidR="0003793F" w:rsidRPr="00BA318E" w:rsidRDefault="0003793F">
      <w:pPr>
        <w:rPr>
          <w:sz w:val="22"/>
          <w:szCs w:val="22"/>
          <w:lang w:val="sr-Latn-ME"/>
        </w:rPr>
      </w:pPr>
    </w:p>
    <w:p w14:paraId="535A1422" w14:textId="77777777" w:rsidR="00C37FD7" w:rsidRPr="00BA318E" w:rsidRDefault="00C37FD7">
      <w:pPr>
        <w:rPr>
          <w:sz w:val="22"/>
          <w:szCs w:val="22"/>
          <w:lang w:val="sr-Latn-ME"/>
        </w:rPr>
      </w:pPr>
    </w:p>
    <w:p w14:paraId="535A1423" w14:textId="77777777" w:rsidR="00411B4B" w:rsidRPr="00BA318E" w:rsidRDefault="00411B4B" w:rsidP="00F5167F">
      <w:pPr>
        <w:tabs>
          <w:tab w:val="left" w:pos="540"/>
          <w:tab w:val="left" w:pos="569"/>
        </w:tabs>
        <w:rPr>
          <w:b/>
          <w:bCs/>
          <w:sz w:val="22"/>
          <w:szCs w:val="22"/>
          <w:lang w:val="sr-Latn-ME"/>
        </w:rPr>
      </w:pPr>
      <w:r w:rsidRPr="00BA318E">
        <w:rPr>
          <w:b/>
          <w:bCs/>
          <w:sz w:val="22"/>
          <w:szCs w:val="22"/>
          <w:lang w:val="sr-Latn-ME"/>
        </w:rPr>
        <w:t xml:space="preserve">3. </w:t>
      </w:r>
      <w:r w:rsidR="00F5167F" w:rsidRPr="00BA318E">
        <w:rPr>
          <w:b/>
          <w:bCs/>
          <w:sz w:val="22"/>
          <w:szCs w:val="22"/>
          <w:lang w:val="sr-Latn-ME"/>
        </w:rPr>
        <w:tab/>
      </w:r>
      <w:r w:rsidRPr="00BA318E">
        <w:rPr>
          <w:b/>
          <w:bCs/>
          <w:sz w:val="22"/>
          <w:szCs w:val="22"/>
          <w:lang w:val="sr-Latn-ME"/>
        </w:rPr>
        <w:t>FARMACEUTSKI OBLIK</w:t>
      </w:r>
      <w:r w:rsidR="009F2D23" w:rsidRPr="00BA318E">
        <w:rPr>
          <w:b/>
          <w:bCs/>
          <w:sz w:val="22"/>
          <w:szCs w:val="22"/>
          <w:lang w:val="sr-Latn-ME"/>
        </w:rPr>
        <w:t xml:space="preserve"> </w:t>
      </w:r>
    </w:p>
    <w:p w14:paraId="535A1424" w14:textId="77777777" w:rsidR="00411B4B" w:rsidRPr="00BA318E" w:rsidRDefault="00411B4B">
      <w:pPr>
        <w:rPr>
          <w:bCs/>
          <w:sz w:val="22"/>
          <w:szCs w:val="22"/>
          <w:lang w:val="sr-Latn-ME"/>
        </w:rPr>
      </w:pPr>
    </w:p>
    <w:p w14:paraId="7AAD262A" w14:textId="77777777" w:rsidR="0042366F" w:rsidRPr="00BA318E" w:rsidRDefault="0042366F" w:rsidP="0042366F">
      <w:pPr>
        <w:rPr>
          <w:sz w:val="22"/>
          <w:szCs w:val="22"/>
          <w:lang w:val="sr-Latn-ME"/>
        </w:rPr>
      </w:pPr>
      <w:r w:rsidRPr="00BA318E">
        <w:rPr>
          <w:sz w:val="22"/>
          <w:szCs w:val="22"/>
          <w:lang w:val="sr-Latn-ME"/>
        </w:rPr>
        <w:t>Kapi za oči, rastvor.</w:t>
      </w:r>
    </w:p>
    <w:p w14:paraId="535A1425" w14:textId="5F9E0946" w:rsidR="00EC2532" w:rsidRPr="00BA318E" w:rsidRDefault="0042366F" w:rsidP="0042366F">
      <w:pPr>
        <w:rPr>
          <w:sz w:val="22"/>
          <w:szCs w:val="22"/>
          <w:lang w:val="sr-Latn-ME"/>
        </w:rPr>
      </w:pPr>
      <w:r w:rsidRPr="00BA318E">
        <w:rPr>
          <w:sz w:val="22"/>
          <w:szCs w:val="22"/>
          <w:lang w:val="sr-Latn-ME"/>
        </w:rPr>
        <w:t>Rastvor je bistra, bezbojna tečnost.</w:t>
      </w:r>
    </w:p>
    <w:p w14:paraId="739F69BB" w14:textId="22F1B63C" w:rsidR="00155962" w:rsidRDefault="00155962" w:rsidP="00BA318E">
      <w:pPr>
        <w:rPr>
          <w:bCs/>
          <w:sz w:val="22"/>
          <w:szCs w:val="22"/>
          <w:lang w:val="sr-Latn-ME"/>
        </w:rPr>
      </w:pPr>
    </w:p>
    <w:p w14:paraId="2DE8EC1F" w14:textId="77777777" w:rsidR="00BA318E" w:rsidRPr="00BA318E" w:rsidRDefault="00BA318E" w:rsidP="00BA318E">
      <w:pPr>
        <w:rPr>
          <w:bCs/>
          <w:sz w:val="22"/>
          <w:szCs w:val="22"/>
          <w:lang w:val="sr-Latn-ME"/>
        </w:rPr>
      </w:pPr>
    </w:p>
    <w:p w14:paraId="535A1426" w14:textId="77777777" w:rsidR="00411B4B" w:rsidRPr="00BA318E" w:rsidRDefault="00411B4B" w:rsidP="00BA318E">
      <w:pPr>
        <w:tabs>
          <w:tab w:val="left" w:pos="540"/>
          <w:tab w:val="left" w:pos="569"/>
        </w:tabs>
        <w:rPr>
          <w:b/>
          <w:bCs/>
          <w:sz w:val="22"/>
          <w:szCs w:val="22"/>
          <w:lang w:val="sr-Latn-ME"/>
        </w:rPr>
      </w:pPr>
      <w:r w:rsidRPr="00BA318E">
        <w:rPr>
          <w:b/>
          <w:bCs/>
          <w:sz w:val="22"/>
          <w:szCs w:val="22"/>
          <w:lang w:val="sr-Latn-ME"/>
        </w:rPr>
        <w:t xml:space="preserve">4. </w:t>
      </w:r>
      <w:r w:rsidR="00480FB1" w:rsidRPr="00BA318E">
        <w:rPr>
          <w:b/>
          <w:bCs/>
          <w:sz w:val="22"/>
          <w:szCs w:val="22"/>
          <w:lang w:val="sr-Latn-ME"/>
        </w:rPr>
        <w:tab/>
      </w:r>
      <w:r w:rsidRPr="00BA318E">
        <w:rPr>
          <w:b/>
          <w:bCs/>
          <w:sz w:val="22"/>
          <w:szCs w:val="22"/>
          <w:lang w:val="sr-Latn-ME"/>
        </w:rPr>
        <w:t>KLINIČKI PODACI</w:t>
      </w:r>
    </w:p>
    <w:p w14:paraId="535A1427" w14:textId="77777777" w:rsidR="00CD6F02" w:rsidRPr="00BA318E" w:rsidRDefault="00CD6F02" w:rsidP="00BA318E">
      <w:pPr>
        <w:tabs>
          <w:tab w:val="left" w:pos="540"/>
          <w:tab w:val="left" w:pos="569"/>
        </w:tabs>
        <w:rPr>
          <w:bCs/>
          <w:sz w:val="22"/>
          <w:szCs w:val="22"/>
          <w:lang w:val="sr-Latn-ME"/>
        </w:rPr>
      </w:pPr>
    </w:p>
    <w:p w14:paraId="535A1428" w14:textId="77777777" w:rsidR="00411B4B" w:rsidRPr="00BA318E" w:rsidRDefault="00411B4B" w:rsidP="00BA318E">
      <w:pPr>
        <w:tabs>
          <w:tab w:val="left" w:pos="540"/>
          <w:tab w:val="left" w:pos="569"/>
        </w:tabs>
        <w:rPr>
          <w:b/>
          <w:bCs/>
          <w:sz w:val="22"/>
          <w:szCs w:val="22"/>
          <w:lang w:val="sr-Latn-ME"/>
        </w:rPr>
      </w:pPr>
      <w:r w:rsidRPr="00BA318E">
        <w:rPr>
          <w:b/>
          <w:bCs/>
          <w:sz w:val="22"/>
          <w:szCs w:val="22"/>
          <w:lang w:val="sr-Latn-ME"/>
        </w:rPr>
        <w:t xml:space="preserve">4.1. </w:t>
      </w:r>
      <w:r w:rsidR="00480FB1" w:rsidRPr="00BA318E">
        <w:rPr>
          <w:b/>
          <w:bCs/>
          <w:sz w:val="22"/>
          <w:szCs w:val="22"/>
          <w:lang w:val="sr-Latn-ME"/>
        </w:rPr>
        <w:tab/>
      </w:r>
      <w:r w:rsidRPr="00BA318E">
        <w:rPr>
          <w:b/>
          <w:bCs/>
          <w:sz w:val="22"/>
          <w:szCs w:val="22"/>
          <w:lang w:val="sr-Latn-ME"/>
        </w:rPr>
        <w:t>Terapijske indikacije</w:t>
      </w:r>
    </w:p>
    <w:p w14:paraId="2DDE2B8E" w14:textId="77777777" w:rsidR="0056625C" w:rsidRPr="00BA318E" w:rsidRDefault="0056625C" w:rsidP="00BA318E">
      <w:pPr>
        <w:tabs>
          <w:tab w:val="left" w:pos="540"/>
          <w:tab w:val="left" w:pos="569"/>
        </w:tabs>
        <w:rPr>
          <w:b/>
          <w:bCs/>
          <w:sz w:val="22"/>
          <w:szCs w:val="22"/>
          <w:lang w:val="sr-Latn-ME"/>
        </w:rPr>
      </w:pPr>
    </w:p>
    <w:p w14:paraId="299168FB" w14:textId="77777777" w:rsidR="0056625C" w:rsidRPr="00BA318E" w:rsidRDefault="0056625C" w:rsidP="00BA318E">
      <w:pPr>
        <w:pStyle w:val="Header"/>
        <w:tabs>
          <w:tab w:val="left" w:pos="284"/>
        </w:tabs>
        <w:rPr>
          <w:sz w:val="22"/>
          <w:szCs w:val="22"/>
          <w:lang w:val="sr-Latn-ME"/>
        </w:rPr>
      </w:pPr>
      <w:r w:rsidRPr="00BA318E">
        <w:rPr>
          <w:sz w:val="22"/>
          <w:szCs w:val="22"/>
          <w:lang w:val="sr-Latn-ME"/>
        </w:rPr>
        <w:t>Sniženje povišenog intraokularnog pritiska kod pacijenata sa glaukomom otvorenog ugla i očnom hipertenzijom kod odraslih (uključujući i starije pacijente).</w:t>
      </w:r>
    </w:p>
    <w:p w14:paraId="4A75338F" w14:textId="77777777" w:rsidR="0056625C" w:rsidRPr="00BA318E" w:rsidRDefault="0056625C" w:rsidP="0056625C">
      <w:pPr>
        <w:pStyle w:val="Header"/>
        <w:tabs>
          <w:tab w:val="left" w:pos="284"/>
        </w:tabs>
        <w:rPr>
          <w:sz w:val="22"/>
          <w:szCs w:val="22"/>
          <w:lang w:val="sr-Latn-ME"/>
        </w:rPr>
      </w:pPr>
      <w:r w:rsidRPr="00BA318E">
        <w:rPr>
          <w:sz w:val="22"/>
          <w:szCs w:val="22"/>
          <w:lang w:val="sr-Latn-ME"/>
        </w:rPr>
        <w:t>Sniženje povišenog intraokularnog pritiska kod pedijatrijskih pacijenata sa povišenim intraokularnim pritiskom i pedijatrijskim glaukomom.</w:t>
      </w:r>
    </w:p>
    <w:p w14:paraId="535A1429" w14:textId="77777777" w:rsidR="00411B4B" w:rsidRPr="00BA318E" w:rsidRDefault="00411B4B" w:rsidP="00480FB1">
      <w:pPr>
        <w:tabs>
          <w:tab w:val="left" w:pos="540"/>
          <w:tab w:val="left" w:pos="569"/>
        </w:tabs>
        <w:rPr>
          <w:bCs/>
          <w:sz w:val="22"/>
          <w:szCs w:val="22"/>
          <w:lang w:val="sr-Latn-ME"/>
        </w:rPr>
      </w:pPr>
    </w:p>
    <w:p w14:paraId="535A142A" w14:textId="77777777" w:rsidR="00411B4B" w:rsidRPr="00BA318E" w:rsidRDefault="00411B4B" w:rsidP="00480FB1">
      <w:pPr>
        <w:tabs>
          <w:tab w:val="left" w:pos="540"/>
          <w:tab w:val="left" w:pos="569"/>
        </w:tabs>
        <w:rPr>
          <w:b/>
          <w:bCs/>
          <w:sz w:val="22"/>
          <w:szCs w:val="22"/>
          <w:lang w:val="sr-Latn-ME"/>
        </w:rPr>
      </w:pPr>
      <w:r w:rsidRPr="00BA318E">
        <w:rPr>
          <w:b/>
          <w:bCs/>
          <w:sz w:val="22"/>
          <w:szCs w:val="22"/>
          <w:lang w:val="sr-Latn-ME"/>
        </w:rPr>
        <w:t xml:space="preserve">4.2. </w:t>
      </w:r>
      <w:r w:rsidR="00480FB1" w:rsidRPr="00BA318E">
        <w:rPr>
          <w:b/>
          <w:bCs/>
          <w:sz w:val="22"/>
          <w:szCs w:val="22"/>
          <w:lang w:val="sr-Latn-ME"/>
        </w:rPr>
        <w:tab/>
      </w:r>
      <w:r w:rsidRPr="00BA318E">
        <w:rPr>
          <w:b/>
          <w:bCs/>
          <w:sz w:val="22"/>
          <w:szCs w:val="22"/>
          <w:lang w:val="sr-Latn-ME"/>
        </w:rPr>
        <w:t>Doziranje i način primjene</w:t>
      </w:r>
    </w:p>
    <w:p w14:paraId="535A142B" w14:textId="77777777" w:rsidR="0072020E" w:rsidRPr="00BA318E" w:rsidRDefault="0072020E" w:rsidP="00480FB1">
      <w:pPr>
        <w:tabs>
          <w:tab w:val="left" w:pos="540"/>
          <w:tab w:val="left" w:pos="569"/>
        </w:tabs>
        <w:rPr>
          <w:bCs/>
          <w:sz w:val="22"/>
          <w:szCs w:val="22"/>
          <w:lang w:val="sr-Latn-ME"/>
        </w:rPr>
      </w:pPr>
    </w:p>
    <w:p w14:paraId="7FEF10C3" w14:textId="77777777" w:rsidR="00A42E81" w:rsidRPr="00BA318E" w:rsidRDefault="00A42E81" w:rsidP="00A42E81">
      <w:pPr>
        <w:rPr>
          <w:sz w:val="22"/>
          <w:szCs w:val="22"/>
          <w:u w:val="single"/>
          <w:lang w:val="sr-Latn-ME"/>
        </w:rPr>
      </w:pPr>
      <w:r w:rsidRPr="00BA318E">
        <w:rPr>
          <w:sz w:val="22"/>
          <w:szCs w:val="22"/>
          <w:u w:val="single"/>
          <w:lang w:val="sr-Latn-ME"/>
        </w:rPr>
        <w:t>Doziranje</w:t>
      </w:r>
    </w:p>
    <w:p w14:paraId="1162FA82" w14:textId="77777777" w:rsidR="00A42E81" w:rsidRPr="00BA318E" w:rsidRDefault="00A42E81" w:rsidP="00A42E81">
      <w:pPr>
        <w:rPr>
          <w:sz w:val="22"/>
          <w:szCs w:val="22"/>
          <w:u w:val="single"/>
          <w:lang w:val="sr-Latn-ME"/>
        </w:rPr>
      </w:pPr>
    </w:p>
    <w:p w14:paraId="1D3115D6" w14:textId="77777777" w:rsidR="00A42E81" w:rsidRPr="00BA318E" w:rsidRDefault="00A42E81" w:rsidP="00A42E81">
      <w:pPr>
        <w:rPr>
          <w:i/>
          <w:sz w:val="22"/>
          <w:szCs w:val="22"/>
          <w:lang w:val="sr-Latn-ME"/>
        </w:rPr>
      </w:pPr>
      <w:r w:rsidRPr="00BA318E">
        <w:rPr>
          <w:i/>
          <w:sz w:val="22"/>
          <w:szCs w:val="22"/>
          <w:lang w:val="sr-Latn-ME"/>
        </w:rPr>
        <w:t>Odrasli (uključujući i starije pacijente)</w:t>
      </w:r>
    </w:p>
    <w:p w14:paraId="7F1F6697" w14:textId="77777777" w:rsidR="00A42E81" w:rsidRPr="00BA318E" w:rsidRDefault="00A42E81" w:rsidP="00A42E81">
      <w:pPr>
        <w:rPr>
          <w:sz w:val="22"/>
          <w:szCs w:val="22"/>
          <w:lang w:val="sr-Latn-ME"/>
        </w:rPr>
      </w:pPr>
    </w:p>
    <w:p w14:paraId="72AFA35E" w14:textId="77777777" w:rsidR="00A42E81" w:rsidRPr="00BA318E" w:rsidRDefault="00A42E81" w:rsidP="00A42E81">
      <w:pPr>
        <w:pStyle w:val="BodyTextIndent"/>
        <w:widowControl w:val="0"/>
        <w:ind w:left="0"/>
        <w:rPr>
          <w:szCs w:val="22"/>
          <w:lang w:val="sr-Latn-ME"/>
        </w:rPr>
      </w:pPr>
      <w:r w:rsidRPr="00BA318E">
        <w:rPr>
          <w:szCs w:val="22"/>
          <w:lang w:val="sr-Latn-ME"/>
        </w:rPr>
        <w:t>Preporučena doza je jedna kap koja se ukapava u oboljelo oko (oči) jednom dnevno. Optimalni efekat se postiže primjenom lijeka Xalatan uveče.</w:t>
      </w:r>
    </w:p>
    <w:p w14:paraId="571B385F" w14:textId="77777777" w:rsidR="00A42E81" w:rsidRPr="00BA318E" w:rsidRDefault="00A42E81" w:rsidP="00A42E81">
      <w:pPr>
        <w:pStyle w:val="BodyTextIndent"/>
        <w:widowControl w:val="0"/>
        <w:ind w:left="0"/>
        <w:rPr>
          <w:szCs w:val="22"/>
          <w:lang w:val="sr-Latn-ME"/>
        </w:rPr>
      </w:pPr>
    </w:p>
    <w:p w14:paraId="4A4E6BA7" w14:textId="77777777" w:rsidR="00A42E81" w:rsidRPr="00BA318E" w:rsidRDefault="00A42E81" w:rsidP="00A42E81">
      <w:pPr>
        <w:pStyle w:val="CommentText"/>
        <w:rPr>
          <w:sz w:val="22"/>
          <w:szCs w:val="22"/>
          <w:lang w:val="sr-Latn-ME"/>
        </w:rPr>
      </w:pPr>
      <w:r w:rsidRPr="00BA318E">
        <w:rPr>
          <w:sz w:val="22"/>
          <w:szCs w:val="22"/>
          <w:lang w:val="sr-Latn-ME"/>
        </w:rPr>
        <w:t>Doziranje lijeka Xalatan ne smije biti češće od jednom dnevno, jer je pokazano da  pri češćoj primjeni opada njegov efekat na smanjenje intraokularnog pritiska.</w:t>
      </w:r>
    </w:p>
    <w:p w14:paraId="3D84C906" w14:textId="77777777" w:rsidR="00A42E81" w:rsidRPr="00BA318E" w:rsidRDefault="00A42E81" w:rsidP="00A42E81">
      <w:pPr>
        <w:pStyle w:val="BodyTextIndent"/>
        <w:widowControl w:val="0"/>
        <w:ind w:left="0"/>
        <w:rPr>
          <w:szCs w:val="22"/>
          <w:lang w:val="sr-Latn-ME"/>
        </w:rPr>
      </w:pPr>
    </w:p>
    <w:p w14:paraId="2A20BF7A" w14:textId="77777777" w:rsidR="00A42E81" w:rsidRPr="00BA318E" w:rsidRDefault="00A42E81" w:rsidP="00A42E81">
      <w:pPr>
        <w:rPr>
          <w:sz w:val="22"/>
          <w:szCs w:val="22"/>
          <w:lang w:val="sr-Latn-ME"/>
        </w:rPr>
      </w:pPr>
      <w:r w:rsidRPr="00BA318E">
        <w:rPr>
          <w:sz w:val="22"/>
          <w:szCs w:val="22"/>
          <w:lang w:val="sr-Latn-ME"/>
        </w:rPr>
        <w:t>Ukoliko se jedna doza propusti, liječenje treba nastaviti primjenom sljedeće doze, kao što je propisano.</w:t>
      </w:r>
    </w:p>
    <w:p w14:paraId="455E6C0F" w14:textId="1DD19C5F" w:rsidR="00A42E81" w:rsidRPr="00BA318E" w:rsidRDefault="00A42E81" w:rsidP="00A42E81">
      <w:pPr>
        <w:pStyle w:val="BodyTextIndent"/>
        <w:widowControl w:val="0"/>
        <w:ind w:left="0"/>
        <w:rPr>
          <w:szCs w:val="22"/>
          <w:lang w:val="sr-Latn-ME"/>
        </w:rPr>
      </w:pPr>
    </w:p>
    <w:p w14:paraId="526452E4" w14:textId="77777777" w:rsidR="00A42E81" w:rsidRPr="00BA318E" w:rsidRDefault="00A42E81" w:rsidP="00A42E81">
      <w:pPr>
        <w:pStyle w:val="BodyTextIndent"/>
        <w:widowControl w:val="0"/>
        <w:ind w:left="0"/>
        <w:rPr>
          <w:i/>
          <w:szCs w:val="22"/>
          <w:lang w:val="sr-Latn-ME"/>
        </w:rPr>
      </w:pPr>
      <w:r w:rsidRPr="00BA318E">
        <w:rPr>
          <w:i/>
          <w:szCs w:val="22"/>
          <w:lang w:val="sr-Latn-ME"/>
        </w:rPr>
        <w:t>Pedijatrijska populacija</w:t>
      </w:r>
    </w:p>
    <w:p w14:paraId="6DCCCDB1" w14:textId="77777777" w:rsidR="00A42E81" w:rsidRPr="00BA318E" w:rsidRDefault="00A42E81" w:rsidP="00A42E81">
      <w:pPr>
        <w:pStyle w:val="BodyTextIndent"/>
        <w:widowControl w:val="0"/>
        <w:ind w:left="0"/>
        <w:rPr>
          <w:i/>
          <w:szCs w:val="22"/>
          <w:u w:val="single"/>
          <w:lang w:val="sr-Latn-ME"/>
        </w:rPr>
      </w:pPr>
    </w:p>
    <w:p w14:paraId="39CE9C63" w14:textId="384905FD" w:rsidR="009614D2" w:rsidRPr="00BA318E" w:rsidRDefault="00A42E81" w:rsidP="009614D2">
      <w:pPr>
        <w:ind w:left="3"/>
        <w:rPr>
          <w:sz w:val="22"/>
          <w:szCs w:val="22"/>
          <w:lang w:val="sr-Latn-ME"/>
        </w:rPr>
      </w:pPr>
      <w:r w:rsidRPr="00BA318E">
        <w:rPr>
          <w:sz w:val="22"/>
          <w:szCs w:val="22"/>
          <w:lang w:val="sr-Latn-ME"/>
        </w:rPr>
        <w:t>Lijek Xalatan kapi za oči mogu se primjenjivati kod pedijatrijskih pacijenata u istim dozama koje se</w:t>
      </w:r>
      <w:r w:rsidR="009614D2" w:rsidRPr="00BA318E">
        <w:rPr>
          <w:sz w:val="22"/>
          <w:szCs w:val="22"/>
          <w:lang w:val="sr-Latn-ME"/>
        </w:rPr>
        <w:t xml:space="preserve"> preporučuju kod odraslih. Nijesu dostupni podaci o primjeni kod prijevremeno rođene djece (kod koje </w:t>
      </w:r>
      <w:r w:rsidR="009614D2" w:rsidRPr="00BA318E">
        <w:rPr>
          <w:sz w:val="22"/>
          <w:szCs w:val="22"/>
          <w:lang w:val="sr-Latn-ME"/>
        </w:rPr>
        <w:lastRenderedPageBreak/>
        <w:t>je gestaciono doba manje od 36 nedjelja). Podaci o primjeni u starosnom dobu &lt; 1 godine (4 pacijenta) su veoma ograničeni (vidjeti dio 5.1).</w:t>
      </w:r>
    </w:p>
    <w:p w14:paraId="46526326" w14:textId="77777777" w:rsidR="009614D2" w:rsidRPr="00BA318E" w:rsidRDefault="009614D2" w:rsidP="009614D2">
      <w:pPr>
        <w:pStyle w:val="BodyTextIndent"/>
        <w:widowControl w:val="0"/>
        <w:ind w:left="0"/>
        <w:rPr>
          <w:szCs w:val="22"/>
          <w:lang w:val="sr-Latn-ME"/>
        </w:rPr>
      </w:pPr>
    </w:p>
    <w:p w14:paraId="61B272D5" w14:textId="77777777" w:rsidR="009614D2" w:rsidRPr="00BA318E" w:rsidRDefault="009614D2" w:rsidP="009614D2">
      <w:pPr>
        <w:pStyle w:val="BodyTextIndent"/>
        <w:widowControl w:val="0"/>
        <w:ind w:left="0"/>
        <w:rPr>
          <w:szCs w:val="22"/>
          <w:u w:val="single"/>
          <w:lang w:val="sr-Latn-ME"/>
        </w:rPr>
      </w:pPr>
      <w:r w:rsidRPr="00BA318E">
        <w:rPr>
          <w:szCs w:val="22"/>
          <w:u w:val="single"/>
          <w:lang w:val="sr-Latn-ME"/>
        </w:rPr>
        <w:t>Način primjene</w:t>
      </w:r>
    </w:p>
    <w:p w14:paraId="15EC40E7" w14:textId="77777777" w:rsidR="009614D2" w:rsidRPr="00BA318E" w:rsidRDefault="009614D2" w:rsidP="009614D2">
      <w:pPr>
        <w:pStyle w:val="BodyTextIndent"/>
        <w:widowControl w:val="0"/>
        <w:ind w:left="0"/>
        <w:rPr>
          <w:szCs w:val="22"/>
          <w:lang w:val="sr-Latn-ME"/>
        </w:rPr>
      </w:pPr>
      <w:r w:rsidRPr="00BA318E">
        <w:rPr>
          <w:szCs w:val="22"/>
          <w:lang w:val="sr-Latn-ME"/>
        </w:rPr>
        <w:t>Kao i kod primjene bilo kojih kapi za oči, u cilju smanjenja moguće sistemske resorpcije lijeka, preporuka je da se suzna kesica pritisne prstom u nivou medijalnog kantusa tokom jednog minuta. To bi trebalo učiniti svaki put neposredno poslije ukapavanja kapi.</w:t>
      </w:r>
    </w:p>
    <w:p w14:paraId="2382AA7F" w14:textId="77777777" w:rsidR="009614D2" w:rsidRPr="00BA318E" w:rsidRDefault="009614D2" w:rsidP="009614D2">
      <w:pPr>
        <w:pStyle w:val="BodyTextIndent"/>
        <w:widowControl w:val="0"/>
        <w:ind w:left="0"/>
        <w:rPr>
          <w:szCs w:val="22"/>
          <w:lang w:val="sr-Latn-ME"/>
        </w:rPr>
      </w:pPr>
    </w:p>
    <w:p w14:paraId="66D39609" w14:textId="77777777" w:rsidR="009614D2" w:rsidRPr="00BA318E" w:rsidRDefault="009614D2" w:rsidP="009614D2">
      <w:pPr>
        <w:rPr>
          <w:sz w:val="22"/>
          <w:szCs w:val="22"/>
          <w:lang w:val="sr-Latn-ME"/>
        </w:rPr>
      </w:pPr>
      <w:r w:rsidRPr="00BA318E">
        <w:rPr>
          <w:sz w:val="22"/>
          <w:szCs w:val="22"/>
          <w:lang w:val="sr-Latn-ME"/>
        </w:rPr>
        <w:t>Prije ukapavanja kapi u oko, kontaktna sočiva treba skinuti, a mogu se ponovo staviti 15 minuta nakon primjene kapi</w:t>
      </w:r>
      <w:r w:rsidRPr="00BA318E">
        <w:rPr>
          <w:color w:val="FF00FF"/>
          <w:sz w:val="22"/>
          <w:szCs w:val="22"/>
          <w:lang w:val="sr-Latn-ME"/>
        </w:rPr>
        <w:t>.</w:t>
      </w:r>
    </w:p>
    <w:p w14:paraId="5E2FD78C" w14:textId="77777777" w:rsidR="009614D2" w:rsidRPr="00BA318E" w:rsidRDefault="009614D2" w:rsidP="009614D2">
      <w:pPr>
        <w:pStyle w:val="BodyTextIndent"/>
        <w:widowControl w:val="0"/>
        <w:ind w:left="0"/>
        <w:rPr>
          <w:szCs w:val="22"/>
          <w:lang w:val="sr-Latn-ME"/>
        </w:rPr>
      </w:pPr>
    </w:p>
    <w:p w14:paraId="535A142F" w14:textId="6C6CEE7F" w:rsidR="00452E9D" w:rsidRPr="00BA318E" w:rsidRDefault="009614D2" w:rsidP="009614D2">
      <w:pPr>
        <w:tabs>
          <w:tab w:val="left" w:pos="540"/>
          <w:tab w:val="left" w:pos="569"/>
        </w:tabs>
        <w:rPr>
          <w:sz w:val="22"/>
          <w:szCs w:val="22"/>
          <w:lang w:val="sr-Latn-ME"/>
        </w:rPr>
      </w:pPr>
      <w:r w:rsidRPr="00BA318E">
        <w:rPr>
          <w:sz w:val="22"/>
          <w:szCs w:val="22"/>
          <w:lang w:val="sr-Latn-ME"/>
        </w:rPr>
        <w:t>Ako se u terapiji koristi više od jednog oftalmološkog lijeka za lokalnu primjenu, treba ih primjenjivati u razmaku od najmanje pet minuta.</w:t>
      </w:r>
    </w:p>
    <w:p w14:paraId="090A50A9" w14:textId="77777777" w:rsidR="00900143" w:rsidRPr="00BA318E" w:rsidRDefault="00900143" w:rsidP="009614D2">
      <w:pPr>
        <w:tabs>
          <w:tab w:val="left" w:pos="540"/>
          <w:tab w:val="left" w:pos="569"/>
        </w:tabs>
        <w:rPr>
          <w:bCs/>
          <w:sz w:val="22"/>
          <w:szCs w:val="22"/>
          <w:lang w:val="sr-Latn-ME"/>
        </w:rPr>
      </w:pPr>
    </w:p>
    <w:p w14:paraId="535A1430" w14:textId="77777777" w:rsidR="00411B4B" w:rsidRPr="00BA318E" w:rsidRDefault="00411B4B" w:rsidP="00480FB1">
      <w:pPr>
        <w:tabs>
          <w:tab w:val="left" w:pos="540"/>
          <w:tab w:val="left" w:pos="569"/>
        </w:tabs>
        <w:rPr>
          <w:b/>
          <w:bCs/>
          <w:sz w:val="22"/>
          <w:szCs w:val="22"/>
          <w:lang w:val="sr-Latn-ME"/>
        </w:rPr>
      </w:pPr>
      <w:r w:rsidRPr="00BA318E">
        <w:rPr>
          <w:b/>
          <w:bCs/>
          <w:sz w:val="22"/>
          <w:szCs w:val="22"/>
          <w:lang w:val="sr-Latn-ME"/>
        </w:rPr>
        <w:t xml:space="preserve">4.3. </w:t>
      </w:r>
      <w:r w:rsidR="00480FB1" w:rsidRPr="00BA318E">
        <w:rPr>
          <w:b/>
          <w:bCs/>
          <w:sz w:val="22"/>
          <w:szCs w:val="22"/>
          <w:lang w:val="sr-Latn-ME"/>
        </w:rPr>
        <w:tab/>
      </w:r>
      <w:r w:rsidRPr="00BA318E">
        <w:rPr>
          <w:b/>
          <w:bCs/>
          <w:sz w:val="22"/>
          <w:szCs w:val="22"/>
          <w:lang w:val="sr-Latn-ME"/>
        </w:rPr>
        <w:t>Kontraindikacije</w:t>
      </w:r>
    </w:p>
    <w:p w14:paraId="535A1431" w14:textId="77777777" w:rsidR="0072020E" w:rsidRPr="00BA318E" w:rsidRDefault="0072020E" w:rsidP="00480FB1">
      <w:pPr>
        <w:tabs>
          <w:tab w:val="left" w:pos="540"/>
          <w:tab w:val="left" w:pos="569"/>
        </w:tabs>
        <w:rPr>
          <w:bCs/>
          <w:sz w:val="22"/>
          <w:szCs w:val="22"/>
          <w:lang w:val="sr-Latn-ME"/>
        </w:rPr>
      </w:pPr>
    </w:p>
    <w:p w14:paraId="5E57D5C0" w14:textId="77777777" w:rsidR="00220586" w:rsidRPr="00BA318E" w:rsidRDefault="00220586" w:rsidP="00220586">
      <w:pPr>
        <w:pStyle w:val="Header"/>
        <w:tabs>
          <w:tab w:val="left" w:pos="284"/>
        </w:tabs>
        <w:rPr>
          <w:sz w:val="22"/>
          <w:szCs w:val="22"/>
          <w:lang w:val="sr-Latn-ME"/>
        </w:rPr>
      </w:pPr>
      <w:r w:rsidRPr="00BA318E">
        <w:rPr>
          <w:sz w:val="22"/>
          <w:szCs w:val="22"/>
          <w:lang w:val="sr-Latn-ME"/>
        </w:rPr>
        <w:t>Preosjetljivost na latanoprost ili na bilo koju pomoćnu supstancu navedenu u dijelu6.1.</w:t>
      </w:r>
    </w:p>
    <w:p w14:paraId="00DAA0CF" w14:textId="77777777" w:rsidR="00220586" w:rsidRPr="00BA318E" w:rsidRDefault="00220586" w:rsidP="00480FB1">
      <w:pPr>
        <w:tabs>
          <w:tab w:val="left" w:pos="540"/>
          <w:tab w:val="left" w:pos="569"/>
        </w:tabs>
        <w:rPr>
          <w:bCs/>
          <w:sz w:val="22"/>
          <w:szCs w:val="22"/>
          <w:lang w:val="sr-Latn-ME"/>
        </w:rPr>
      </w:pPr>
    </w:p>
    <w:p w14:paraId="535A1432" w14:textId="77777777" w:rsidR="00411B4B" w:rsidRPr="00BA318E" w:rsidRDefault="00411B4B" w:rsidP="00480FB1">
      <w:pPr>
        <w:tabs>
          <w:tab w:val="left" w:pos="540"/>
          <w:tab w:val="left" w:pos="569"/>
        </w:tabs>
        <w:rPr>
          <w:b/>
          <w:bCs/>
          <w:sz w:val="22"/>
          <w:szCs w:val="22"/>
          <w:lang w:val="sr-Latn-ME"/>
        </w:rPr>
      </w:pPr>
      <w:r w:rsidRPr="00BA318E">
        <w:rPr>
          <w:b/>
          <w:bCs/>
          <w:sz w:val="22"/>
          <w:szCs w:val="22"/>
          <w:lang w:val="sr-Latn-ME"/>
        </w:rPr>
        <w:t xml:space="preserve">4.4. </w:t>
      </w:r>
      <w:r w:rsidR="00480FB1" w:rsidRPr="00BA318E">
        <w:rPr>
          <w:b/>
          <w:bCs/>
          <w:sz w:val="22"/>
          <w:szCs w:val="22"/>
          <w:lang w:val="sr-Latn-ME"/>
        </w:rPr>
        <w:tab/>
      </w:r>
      <w:r w:rsidRPr="00BA318E">
        <w:rPr>
          <w:b/>
          <w:bCs/>
          <w:sz w:val="22"/>
          <w:szCs w:val="22"/>
          <w:lang w:val="sr-Latn-ME"/>
        </w:rPr>
        <w:t>Posebna upozorenja i mjere opreza pri upotrebi lijeka</w:t>
      </w:r>
    </w:p>
    <w:p w14:paraId="535A1433" w14:textId="77777777" w:rsidR="0072020E" w:rsidRPr="00BA318E" w:rsidRDefault="0072020E" w:rsidP="00480FB1">
      <w:pPr>
        <w:tabs>
          <w:tab w:val="left" w:pos="540"/>
          <w:tab w:val="left" w:pos="569"/>
        </w:tabs>
        <w:rPr>
          <w:bCs/>
          <w:sz w:val="22"/>
          <w:szCs w:val="22"/>
          <w:lang w:val="sr-Latn-ME"/>
        </w:rPr>
      </w:pPr>
    </w:p>
    <w:p w14:paraId="4F57CE42" w14:textId="77777777" w:rsidR="00A6014E" w:rsidRPr="00BA318E" w:rsidRDefault="00A6014E" w:rsidP="00A6014E">
      <w:pPr>
        <w:pStyle w:val="Header"/>
        <w:tabs>
          <w:tab w:val="left" w:pos="284"/>
        </w:tabs>
        <w:spacing w:before="80" w:after="80"/>
        <w:rPr>
          <w:b/>
          <w:bCs/>
          <w:sz w:val="22"/>
          <w:szCs w:val="22"/>
          <w:lang w:val="sr-Latn-ME"/>
        </w:rPr>
      </w:pPr>
      <w:r w:rsidRPr="00BA318E">
        <w:rPr>
          <w:sz w:val="22"/>
          <w:szCs w:val="22"/>
          <w:lang w:val="sr-Latn-ME"/>
        </w:rPr>
        <w:t>Lijek Xalatan može postepeno da promijeni boju oka povećavajući količinu smeđeg pigmenta u irisu. Prije započinjanja terapije, pacijenta treba upoznati sa mogućnošću trajne promjene boje oka. Unilateralna terapija može da rezultuje trajnom heterohromijom.</w:t>
      </w:r>
    </w:p>
    <w:p w14:paraId="7690A319" w14:textId="77777777" w:rsidR="00A6014E" w:rsidRPr="00BA318E" w:rsidRDefault="00A6014E" w:rsidP="00A6014E">
      <w:pPr>
        <w:pStyle w:val="Header"/>
        <w:tabs>
          <w:tab w:val="left" w:pos="284"/>
        </w:tabs>
        <w:rPr>
          <w:b/>
          <w:bCs/>
          <w:sz w:val="22"/>
          <w:szCs w:val="22"/>
          <w:lang w:val="sr-Latn-ME"/>
        </w:rPr>
      </w:pPr>
    </w:p>
    <w:p w14:paraId="25CDF038" w14:textId="77777777" w:rsidR="00A6014E" w:rsidRPr="00BA318E" w:rsidRDefault="00A6014E" w:rsidP="00A6014E">
      <w:pPr>
        <w:pStyle w:val="Header"/>
        <w:tabs>
          <w:tab w:val="left" w:pos="284"/>
        </w:tabs>
        <w:rPr>
          <w:sz w:val="22"/>
          <w:szCs w:val="22"/>
          <w:lang w:val="sr-Latn-ME"/>
        </w:rPr>
      </w:pPr>
      <w:r w:rsidRPr="00BA318E">
        <w:rPr>
          <w:sz w:val="22"/>
          <w:szCs w:val="22"/>
          <w:lang w:val="sr-Latn-ME"/>
        </w:rPr>
        <w:t>Ova promjena u boji očiju predominantno se viđa kod pacijenta sa miješanom bojom irisa, npr. plavo-smeđa, sivo-smeđa, žuto-smeđa i zeleno-smeđa. U studijama sa latanoprostom, promjena obično nastupa u prvih osam mjeseci terapije, rijetko za vrijeme druge ili treće godine i ne viđa se poslije četvrte godine liječenja. Stepen progresije pigmentacije irisa opada sa vremenom i postojan je pet godina. Efekat povećanja pigmentacije poslije pet godina nije praćen. U otvorenoj petogodišnjoj studiji bezbjednosti primjene latanoprosta, kod 33% pacijenata prijavljena je pojava pigmentacije irisa (vidjeti dio 4.8). U većini slučajeva promjena boje irisa bila je blaga i često nije bila klinički primijećena. Učestalost ove promjene kod pacijenta sa miješanom bojom irisa kreće se u rasponu od 7-85%, s tim da se sa najvećom učestalošću javlja kod irisa žuto-smeđe boje. Kod pacijenta sa homogeno plavom bojom očiju nijesu primijećene ove promjene, dok se kod onih sa homogeno sivom, zelenom ili smeđom bojom očiju ove promjene javljaju izuzetno rijetko.</w:t>
      </w:r>
    </w:p>
    <w:p w14:paraId="68854AD1" w14:textId="77777777" w:rsidR="00A6014E" w:rsidRPr="00BA318E" w:rsidRDefault="00A6014E" w:rsidP="00A6014E">
      <w:pPr>
        <w:pStyle w:val="Header"/>
        <w:tabs>
          <w:tab w:val="left" w:pos="284"/>
        </w:tabs>
        <w:rPr>
          <w:sz w:val="22"/>
          <w:szCs w:val="22"/>
          <w:lang w:val="sr-Latn-ME"/>
        </w:rPr>
      </w:pPr>
    </w:p>
    <w:p w14:paraId="5C940FC9" w14:textId="77777777" w:rsidR="00A6014E" w:rsidRPr="00BA318E" w:rsidRDefault="00A6014E" w:rsidP="00A6014E">
      <w:pPr>
        <w:tabs>
          <w:tab w:val="right" w:pos="8751"/>
        </w:tabs>
        <w:rPr>
          <w:sz w:val="22"/>
          <w:szCs w:val="22"/>
          <w:lang w:val="sr-Latn-ME"/>
        </w:rPr>
      </w:pPr>
      <w:r w:rsidRPr="00BA318E">
        <w:rPr>
          <w:sz w:val="22"/>
          <w:szCs w:val="22"/>
          <w:lang w:val="sr-Latn-ME"/>
        </w:rPr>
        <w:t xml:space="preserve">Opisana promjena boje nastaje zbog povećanog sadržaja melanina u stromalnim melanocitima irisa, a ne zbog povećanog broja melanocita. Tipično, smeđa pigmentacija se koncentrično širi oko zjenice prema periferiji tretiranog oka; ali cio iris ili njegovi djelovi mogu postati braonkasto obojeni. Dalje povećanje smeđe pigmentacije irisa nije primijećeno poslije prekida terapije. U dosadašnjim kliničkim ispitivanjima, ovo se nije moglo dovesti u vezu sa bilo kojim simptomom ili patološkim stanjem. </w:t>
      </w:r>
    </w:p>
    <w:p w14:paraId="372E8662" w14:textId="77777777" w:rsidR="00A6014E" w:rsidRPr="00BA318E" w:rsidRDefault="00A6014E" w:rsidP="00A6014E">
      <w:pPr>
        <w:tabs>
          <w:tab w:val="right" w:pos="8751"/>
        </w:tabs>
        <w:ind w:left="720" w:hanging="720"/>
        <w:rPr>
          <w:sz w:val="22"/>
          <w:szCs w:val="22"/>
          <w:lang w:val="sr-Latn-ME"/>
        </w:rPr>
      </w:pPr>
    </w:p>
    <w:p w14:paraId="0EE63AD1" w14:textId="77777777" w:rsidR="00A6014E" w:rsidRPr="00BA318E" w:rsidRDefault="00A6014E" w:rsidP="00A6014E">
      <w:pPr>
        <w:tabs>
          <w:tab w:val="right" w:pos="8751"/>
        </w:tabs>
        <w:rPr>
          <w:sz w:val="22"/>
          <w:szCs w:val="22"/>
          <w:lang w:val="sr-Latn-ME"/>
        </w:rPr>
      </w:pPr>
      <w:r w:rsidRPr="00BA318E">
        <w:rPr>
          <w:sz w:val="22"/>
          <w:szCs w:val="22"/>
          <w:lang w:val="sr-Latn-ME"/>
        </w:rPr>
        <w:t>Terapija ovim lijekom ne utiče na mladeže, niti na pjege na irisu. Akumulacija pigmenta u trabekularnoj mreži ili u drugim djelovima prednje komore oka nije uočena u kliničkim ispitivanjima. Na osnovu petogodišnjeg kliničkog iskustva može se zaključiti da povećana pigmentacija irisa ne dovodi do negativnih kliničkih sekvela i da se sa primjenom lijeka Xalatan može nastaviti, uprkos pojavi pigmentacije irisa. Međutim, pacijente treba redovno pratiti i, u slučaju pogoršanja kliničkog stanja, terapiju lijekom Xalatan treba obustaviti.</w:t>
      </w:r>
    </w:p>
    <w:p w14:paraId="316B15E7" w14:textId="77777777" w:rsidR="00A6014E" w:rsidRPr="00BA318E" w:rsidRDefault="00A6014E" w:rsidP="00A6014E">
      <w:pPr>
        <w:tabs>
          <w:tab w:val="right" w:pos="8751"/>
        </w:tabs>
        <w:ind w:left="720" w:hanging="720"/>
        <w:rPr>
          <w:sz w:val="22"/>
          <w:szCs w:val="22"/>
          <w:lang w:val="sr-Latn-ME"/>
        </w:rPr>
      </w:pPr>
    </w:p>
    <w:p w14:paraId="74341EAC" w14:textId="77777777" w:rsidR="00A6014E" w:rsidRPr="00BA318E" w:rsidRDefault="00A6014E" w:rsidP="00A6014E">
      <w:pPr>
        <w:tabs>
          <w:tab w:val="right" w:pos="8751"/>
        </w:tabs>
        <w:rPr>
          <w:sz w:val="22"/>
          <w:szCs w:val="22"/>
          <w:lang w:val="sr-Latn-ME"/>
        </w:rPr>
      </w:pPr>
      <w:r w:rsidRPr="00BA318E">
        <w:rPr>
          <w:sz w:val="22"/>
          <w:szCs w:val="22"/>
          <w:lang w:val="sr-Latn-ME"/>
        </w:rPr>
        <w:t>Postoje ograničena iskustva sa primjenom lijeka Xalatan kod pacijenta sa hroničnim glaukomom zatvorenog ugla, pseudofakičnih pacijenta sa glaukomom otvorenog ugla i kod pacijenata sa pigmentarnim glaukomom. Iskustvo ne postoji u slučaju inflamatornog i neovaskularnog glaukoma ili inflamatornih stanja oka. Lijek Xalatan nema ili ima veoma mali efekat na zjenicu, ali ne postoji iskustvo sa njegovom primjenom u akutnom napadu glaukoma zatvorenog ugla. Zbog toga se, dok se ne stekne više iskustva, preporučuje oprezna primjena lijeka Xalatan u tim stanjima.</w:t>
      </w:r>
    </w:p>
    <w:p w14:paraId="24E13704" w14:textId="77777777" w:rsidR="002101FA" w:rsidRPr="00BA318E" w:rsidRDefault="002101FA" w:rsidP="002101FA">
      <w:pPr>
        <w:tabs>
          <w:tab w:val="right" w:pos="8751"/>
        </w:tabs>
        <w:rPr>
          <w:sz w:val="22"/>
          <w:szCs w:val="22"/>
          <w:lang w:val="sr-Latn-ME"/>
        </w:rPr>
      </w:pPr>
      <w:r w:rsidRPr="00BA318E">
        <w:rPr>
          <w:sz w:val="22"/>
          <w:szCs w:val="22"/>
          <w:lang w:val="sr-Latn-ME"/>
        </w:rPr>
        <w:lastRenderedPageBreak/>
        <w:t>Postoje ograničeni podaci iz studija o perioperativnoj upotrebi lijeka Xalatan tokom hirurškog tretmana katarakte, pa lijek Xalatan treba sa oprezom koristiti kod takvih pacijenata.</w:t>
      </w:r>
    </w:p>
    <w:p w14:paraId="6F084D3F" w14:textId="77777777" w:rsidR="002101FA" w:rsidRPr="00BA318E" w:rsidRDefault="002101FA" w:rsidP="002101FA">
      <w:pPr>
        <w:pStyle w:val="Header"/>
        <w:tabs>
          <w:tab w:val="left" w:pos="284"/>
        </w:tabs>
        <w:rPr>
          <w:sz w:val="22"/>
          <w:szCs w:val="22"/>
          <w:lang w:val="sr-Latn-ME"/>
        </w:rPr>
      </w:pPr>
    </w:p>
    <w:p w14:paraId="2C885DF4" w14:textId="77777777" w:rsidR="002101FA" w:rsidRPr="00BA318E" w:rsidRDefault="002101FA" w:rsidP="002101FA">
      <w:pPr>
        <w:pStyle w:val="Header"/>
        <w:tabs>
          <w:tab w:val="left" w:pos="284"/>
        </w:tabs>
        <w:rPr>
          <w:sz w:val="22"/>
          <w:szCs w:val="22"/>
          <w:lang w:val="sr-Latn-ME"/>
        </w:rPr>
      </w:pPr>
      <w:r w:rsidRPr="00BA318E">
        <w:rPr>
          <w:sz w:val="22"/>
          <w:szCs w:val="22"/>
          <w:lang w:val="sr-Latn-ME"/>
        </w:rPr>
        <w:t xml:space="preserve">Lijek Xalatan treba primjenjivati sa oprezom kod pacijenata sa podacima o herpetičkom keratitisu u anamnezi, a njegovu primjenu treba izbjegavati u slučajevima aktivnog </w:t>
      </w:r>
      <w:r w:rsidRPr="00BA318E">
        <w:rPr>
          <w:i/>
          <w:sz w:val="22"/>
          <w:szCs w:val="22"/>
          <w:lang w:val="sr-Latn-ME"/>
        </w:rPr>
        <w:t>herpes simplex</w:t>
      </w:r>
      <w:r w:rsidRPr="00BA318E">
        <w:rPr>
          <w:sz w:val="22"/>
          <w:szCs w:val="22"/>
          <w:lang w:val="sr-Latn-ME"/>
        </w:rPr>
        <w:t xml:space="preserve"> keratitisa, kao i kod pacijenata sa istorijom rekurentnog herpetičkog keratitisa specifično povezanog sa primjenom analoga prostaglandina.</w:t>
      </w:r>
    </w:p>
    <w:p w14:paraId="06891B0F" w14:textId="77777777" w:rsidR="002101FA" w:rsidRPr="00BA318E" w:rsidRDefault="002101FA" w:rsidP="002101FA">
      <w:pPr>
        <w:pStyle w:val="Header"/>
        <w:tabs>
          <w:tab w:val="left" w:pos="284"/>
        </w:tabs>
        <w:rPr>
          <w:sz w:val="22"/>
          <w:szCs w:val="22"/>
          <w:lang w:val="sr-Latn-ME"/>
        </w:rPr>
      </w:pPr>
    </w:p>
    <w:p w14:paraId="54DFB184" w14:textId="77777777" w:rsidR="002101FA" w:rsidRPr="00BA318E" w:rsidRDefault="002101FA" w:rsidP="002101FA">
      <w:pPr>
        <w:pStyle w:val="Header"/>
        <w:tabs>
          <w:tab w:val="left" w:pos="284"/>
        </w:tabs>
        <w:rPr>
          <w:sz w:val="22"/>
          <w:szCs w:val="22"/>
          <w:lang w:val="sr-Latn-ME"/>
        </w:rPr>
      </w:pPr>
      <w:r w:rsidRPr="00BA318E">
        <w:rPr>
          <w:sz w:val="22"/>
          <w:szCs w:val="22"/>
          <w:lang w:val="sr-Latn-ME"/>
        </w:rPr>
        <w:t>Prijavljeni edemi makule se javljaju uglavnom kod pacijenata sa afakijom (vidjeti dio 4.8), kod pacijenata sa pseudofakijom sa oštećenom zadnjom kapsulom sočiva ili prednjom komorom sočiva ili kod pacijenata sa poznatim rizikom za razvoj cistoidnog makularnog edema (kao što su dijabetična retinopatija i okluzija vene retine). Lijek Xalatan treba da se koristi sa oprezom kod pacijenata sa afakijom i pseudofakijom sa oštećenom zadnjom kapsulom sočiva ili prednjom komorom sočiva ili kod pacijenata sa faktorima rizika za razvoj cistoidnog makularnog edema.</w:t>
      </w:r>
    </w:p>
    <w:p w14:paraId="24A9EF18" w14:textId="77777777" w:rsidR="002101FA" w:rsidRPr="00BA318E" w:rsidRDefault="002101FA" w:rsidP="002101FA">
      <w:pPr>
        <w:pStyle w:val="Header"/>
        <w:tabs>
          <w:tab w:val="left" w:pos="284"/>
        </w:tabs>
        <w:rPr>
          <w:sz w:val="22"/>
          <w:szCs w:val="22"/>
          <w:lang w:val="sr-Latn-ME"/>
        </w:rPr>
      </w:pPr>
    </w:p>
    <w:p w14:paraId="264632E7" w14:textId="77777777" w:rsidR="002101FA" w:rsidRPr="00BA318E" w:rsidRDefault="002101FA" w:rsidP="002101FA">
      <w:pPr>
        <w:pStyle w:val="Header"/>
        <w:tabs>
          <w:tab w:val="left" w:pos="284"/>
        </w:tabs>
        <w:rPr>
          <w:sz w:val="22"/>
          <w:szCs w:val="22"/>
          <w:lang w:val="sr-Latn-ME"/>
        </w:rPr>
      </w:pPr>
      <w:r w:rsidRPr="00BA318E">
        <w:rPr>
          <w:sz w:val="22"/>
          <w:szCs w:val="22"/>
          <w:lang w:val="sr-Latn-ME"/>
        </w:rPr>
        <w:t>Kod pacijenata sa poznatim predisponirajućim faktorima rizika za iritis/uveitis lijek Xalatan se mora koristiti sa oprezom.</w:t>
      </w:r>
    </w:p>
    <w:p w14:paraId="6E1B90D2" w14:textId="77777777" w:rsidR="002101FA" w:rsidRPr="00BA318E" w:rsidRDefault="002101FA" w:rsidP="002101FA">
      <w:pPr>
        <w:pStyle w:val="Header"/>
        <w:tabs>
          <w:tab w:val="left" w:pos="284"/>
        </w:tabs>
        <w:rPr>
          <w:sz w:val="22"/>
          <w:szCs w:val="22"/>
          <w:lang w:val="sr-Latn-ME"/>
        </w:rPr>
      </w:pPr>
    </w:p>
    <w:p w14:paraId="328FBE61" w14:textId="77777777" w:rsidR="002101FA" w:rsidRPr="00BA318E" w:rsidRDefault="002101FA" w:rsidP="002101FA">
      <w:pPr>
        <w:tabs>
          <w:tab w:val="right" w:pos="8751"/>
        </w:tabs>
        <w:rPr>
          <w:sz w:val="22"/>
          <w:szCs w:val="22"/>
          <w:lang w:val="sr-Latn-ME"/>
        </w:rPr>
      </w:pPr>
      <w:r w:rsidRPr="00BA318E">
        <w:rPr>
          <w:sz w:val="22"/>
          <w:szCs w:val="22"/>
          <w:lang w:val="sr-Latn-ME"/>
        </w:rPr>
        <w:t>Postoji ograničeno iskustvo sa primjenom lijeka Xalatan kod pacijenata sa astmom, a u postmarketinškom periodu postoje prijavljeni slučajevi pogoršanja astme i/ili dispneje. Takvim pacijentima lijek treba primjenjivati sa oprezom, dok se ne stekne više iskustva; vidjeti takođe dio 4.8.</w:t>
      </w:r>
    </w:p>
    <w:p w14:paraId="4F874CE7" w14:textId="77777777" w:rsidR="002101FA" w:rsidRPr="00BA318E" w:rsidRDefault="002101FA" w:rsidP="002101FA">
      <w:pPr>
        <w:tabs>
          <w:tab w:val="right" w:pos="8751"/>
        </w:tabs>
        <w:rPr>
          <w:sz w:val="22"/>
          <w:szCs w:val="22"/>
          <w:lang w:val="sr-Latn-ME"/>
        </w:rPr>
      </w:pPr>
    </w:p>
    <w:p w14:paraId="149E2691" w14:textId="77777777" w:rsidR="002101FA" w:rsidRPr="00BA318E" w:rsidRDefault="002101FA" w:rsidP="002101FA">
      <w:pPr>
        <w:tabs>
          <w:tab w:val="right" w:pos="8751"/>
        </w:tabs>
        <w:rPr>
          <w:sz w:val="22"/>
          <w:szCs w:val="22"/>
          <w:lang w:val="sr-Latn-ME"/>
        </w:rPr>
      </w:pPr>
      <w:r w:rsidRPr="00BA318E">
        <w:rPr>
          <w:sz w:val="22"/>
          <w:szCs w:val="22"/>
          <w:lang w:val="sr-Latn-ME"/>
        </w:rPr>
        <w:t>Zapažena je diskoloracija periorbitalne kože, ali većina izvještaja se odnosila na pacijente japanskog porijekla. Dosadašnja iskustva pokazuju da ova promjena nije trajna i u pojedinim slučajevima se povukla tokom dalje primjene lijeka Xalatan.</w:t>
      </w:r>
    </w:p>
    <w:p w14:paraId="123A4AB1" w14:textId="77777777" w:rsidR="002101FA" w:rsidRPr="00BA318E" w:rsidRDefault="002101FA" w:rsidP="002101FA">
      <w:pPr>
        <w:tabs>
          <w:tab w:val="right" w:pos="8751"/>
        </w:tabs>
        <w:rPr>
          <w:sz w:val="22"/>
          <w:szCs w:val="22"/>
          <w:lang w:val="sr-Latn-ME"/>
        </w:rPr>
      </w:pPr>
    </w:p>
    <w:p w14:paraId="61501CC0" w14:textId="77777777" w:rsidR="002101FA" w:rsidRPr="00BA318E" w:rsidRDefault="002101FA" w:rsidP="002101FA">
      <w:pPr>
        <w:tabs>
          <w:tab w:val="right" w:pos="8751"/>
        </w:tabs>
        <w:rPr>
          <w:sz w:val="22"/>
          <w:szCs w:val="22"/>
          <w:lang w:val="sr-Latn-ME"/>
        </w:rPr>
      </w:pPr>
      <w:r w:rsidRPr="00BA318E">
        <w:rPr>
          <w:sz w:val="22"/>
          <w:szCs w:val="22"/>
          <w:lang w:val="sr-Latn-ME"/>
        </w:rPr>
        <w:t>Latanoprost može postepeno da izazove promjenu trepavica, i velus dlaka u okolini tretiranog oka.  Ove promjene uključuju povećanje dužine, debljine, pigmentacije i broja trepavica i velus dlaka, kao i nepravilan pravac rasta trepavica. Promjene na trepavicama su reverzibilne i povlače se nakon prestanka terapije.</w:t>
      </w:r>
    </w:p>
    <w:p w14:paraId="596BD148" w14:textId="77777777" w:rsidR="002101FA" w:rsidRPr="00BA318E" w:rsidRDefault="002101FA" w:rsidP="002101FA">
      <w:pPr>
        <w:tabs>
          <w:tab w:val="right" w:pos="8751"/>
        </w:tabs>
        <w:rPr>
          <w:sz w:val="22"/>
          <w:szCs w:val="22"/>
          <w:lang w:val="sr-Latn-ME"/>
        </w:rPr>
      </w:pPr>
    </w:p>
    <w:p w14:paraId="1848A7B4" w14:textId="77777777" w:rsidR="002101FA" w:rsidRPr="00BA318E" w:rsidRDefault="002101FA" w:rsidP="002101FA">
      <w:pPr>
        <w:tabs>
          <w:tab w:val="right" w:pos="8751"/>
        </w:tabs>
        <w:rPr>
          <w:sz w:val="22"/>
          <w:szCs w:val="22"/>
          <w:lang w:val="sr-Latn-ME"/>
        </w:rPr>
      </w:pPr>
      <w:r w:rsidRPr="00BA318E">
        <w:rPr>
          <w:sz w:val="22"/>
          <w:szCs w:val="22"/>
          <w:lang w:val="sr-Latn-ME"/>
        </w:rPr>
        <w:t>Konzervans</w:t>
      </w:r>
    </w:p>
    <w:p w14:paraId="36565120" w14:textId="77777777" w:rsidR="002101FA" w:rsidRPr="00BA318E" w:rsidRDefault="002101FA" w:rsidP="002101FA">
      <w:pPr>
        <w:tabs>
          <w:tab w:val="right" w:pos="8751"/>
        </w:tabs>
        <w:rPr>
          <w:sz w:val="22"/>
          <w:szCs w:val="22"/>
          <w:lang w:val="sr-Latn-ME"/>
        </w:rPr>
      </w:pPr>
      <w:r w:rsidRPr="00BA318E">
        <w:rPr>
          <w:sz w:val="22"/>
          <w:szCs w:val="22"/>
          <w:lang w:val="sr-Latn-ME"/>
        </w:rPr>
        <w:t>Lijek Xalatan</w:t>
      </w:r>
      <w:r w:rsidRPr="00BA318E">
        <w:rPr>
          <w:sz w:val="22"/>
          <w:szCs w:val="22"/>
          <w:vertAlign w:val="superscript"/>
          <w:lang w:val="sr-Latn-ME"/>
        </w:rPr>
        <w:t xml:space="preserve"> </w:t>
      </w:r>
      <w:r w:rsidRPr="00BA318E">
        <w:rPr>
          <w:sz w:val="22"/>
          <w:szCs w:val="22"/>
          <w:lang w:val="sr-Latn-ME"/>
        </w:rPr>
        <w:t>sadrži benzalkonijum hlorid, koji se uobičajeno koristi kao konzervans u oftalmološkim preparatima. Iz ograničenih dostupnih podataka nema razlike u profilu neželjenih dejstava kod djece u poređenju sa odraslim osobama. Međutim, dječje oči uopšteno pokazuju jaču reakciju na određeni stimulans od očiju odraslih osoba. Iritacija može imati uticaj na pridržavanje liječenja kod djece. Benzakonijum hlorid može da izazove iritaciju oka, simptome suvih očiju i može uticati na suzni film i površinu rožnjače. Lijek Xalatan treba koristiti sa oprezom kod pacijenata sa suvim okom i kod stanja gdje je rožnjača možda oštećena. Pacijente treba pratiti u slučaju produžene upotrebe.</w:t>
      </w:r>
    </w:p>
    <w:p w14:paraId="2872FCF6" w14:textId="77777777" w:rsidR="002101FA" w:rsidRPr="00BA318E" w:rsidRDefault="002101FA" w:rsidP="002101FA">
      <w:pPr>
        <w:tabs>
          <w:tab w:val="right" w:pos="8751"/>
        </w:tabs>
        <w:rPr>
          <w:sz w:val="22"/>
          <w:szCs w:val="22"/>
          <w:lang w:val="sr-Latn-ME"/>
        </w:rPr>
      </w:pPr>
    </w:p>
    <w:p w14:paraId="5E5F3604" w14:textId="77777777" w:rsidR="002101FA" w:rsidRPr="00BA318E" w:rsidRDefault="002101FA" w:rsidP="002101FA">
      <w:pPr>
        <w:tabs>
          <w:tab w:val="right" w:pos="8751"/>
        </w:tabs>
        <w:rPr>
          <w:sz w:val="22"/>
          <w:szCs w:val="22"/>
          <w:lang w:val="sr-Latn-ME"/>
        </w:rPr>
      </w:pPr>
      <w:r w:rsidRPr="00BA318E">
        <w:rPr>
          <w:sz w:val="22"/>
          <w:szCs w:val="22"/>
          <w:lang w:val="sr-Latn-ME"/>
        </w:rPr>
        <w:t>Kontaktna sočiva</w:t>
      </w:r>
    </w:p>
    <w:p w14:paraId="05A830B1" w14:textId="77777777" w:rsidR="002101FA" w:rsidRPr="00BA318E" w:rsidRDefault="002101FA" w:rsidP="002101FA">
      <w:pPr>
        <w:tabs>
          <w:tab w:val="right" w:pos="8751"/>
        </w:tabs>
        <w:rPr>
          <w:sz w:val="22"/>
          <w:szCs w:val="22"/>
          <w:lang w:val="sr-Latn-ME"/>
        </w:rPr>
      </w:pPr>
      <w:r w:rsidRPr="00BA318E">
        <w:rPr>
          <w:sz w:val="22"/>
          <w:szCs w:val="22"/>
          <w:lang w:val="sr-Latn-ME"/>
        </w:rPr>
        <w:t>Kontaktna sočiva mogu apsorbovati benzalkonijum hlorid, pa je potrebno prije stavljanja kapi skinuti kontaktna sočiva i ponovo ih staviti nakon 15 minuta. (vidjeti dio 4.2).</w:t>
      </w:r>
    </w:p>
    <w:p w14:paraId="2060A5BC" w14:textId="77777777" w:rsidR="002101FA" w:rsidRPr="00BA318E" w:rsidRDefault="002101FA" w:rsidP="002101FA">
      <w:pPr>
        <w:tabs>
          <w:tab w:val="right" w:pos="8751"/>
        </w:tabs>
        <w:rPr>
          <w:sz w:val="22"/>
          <w:szCs w:val="22"/>
          <w:lang w:val="sr-Latn-ME"/>
        </w:rPr>
      </w:pPr>
    </w:p>
    <w:p w14:paraId="36C2CFF3" w14:textId="77777777" w:rsidR="002101FA" w:rsidRPr="00BA318E" w:rsidRDefault="002101FA" w:rsidP="002101FA">
      <w:pPr>
        <w:tabs>
          <w:tab w:val="right" w:pos="8751"/>
        </w:tabs>
        <w:rPr>
          <w:sz w:val="22"/>
          <w:szCs w:val="22"/>
          <w:u w:val="single"/>
          <w:lang w:val="sr-Latn-ME"/>
        </w:rPr>
      </w:pPr>
      <w:r w:rsidRPr="00BA318E">
        <w:rPr>
          <w:sz w:val="22"/>
          <w:szCs w:val="22"/>
          <w:u w:val="single"/>
          <w:lang w:val="sr-Latn-ME"/>
        </w:rPr>
        <w:t>Pedijatrijska populacija</w:t>
      </w:r>
    </w:p>
    <w:p w14:paraId="6AB06F06" w14:textId="77777777" w:rsidR="002101FA" w:rsidRPr="00BA318E" w:rsidRDefault="002101FA" w:rsidP="002101FA">
      <w:pPr>
        <w:pStyle w:val="BodyTextIndent"/>
        <w:widowControl w:val="0"/>
        <w:spacing w:before="120" w:after="120"/>
        <w:ind w:left="0"/>
        <w:rPr>
          <w:szCs w:val="22"/>
          <w:lang w:val="sr-Latn-ME"/>
        </w:rPr>
      </w:pPr>
      <w:r w:rsidRPr="00BA318E">
        <w:rPr>
          <w:szCs w:val="22"/>
          <w:lang w:val="sr-Latn-ME"/>
        </w:rPr>
        <w:t>Podaci o efikasnosti i bezbjednosti u uzrasnom dobu mlađem od 1 godine (4 pacijenta) su veoma ograničeni (vidjeti dio 5.1). nijesu dostupni podaci o primjeni kod prijevremeno rođene djece (kod koje je gestaciono doba bilo manje od 36 nedjelja).</w:t>
      </w:r>
    </w:p>
    <w:p w14:paraId="0DA0198A" w14:textId="77777777" w:rsidR="002101FA" w:rsidRPr="00BA318E" w:rsidRDefault="002101FA" w:rsidP="002101FA">
      <w:pPr>
        <w:pStyle w:val="BodyTextIndent"/>
        <w:widowControl w:val="0"/>
        <w:spacing w:after="120"/>
        <w:ind w:left="0"/>
        <w:rPr>
          <w:szCs w:val="22"/>
          <w:lang w:val="sr-Latn-ME"/>
        </w:rPr>
      </w:pPr>
      <w:r w:rsidRPr="00BA318E">
        <w:rPr>
          <w:szCs w:val="22"/>
          <w:lang w:val="sr-Latn-ME"/>
        </w:rPr>
        <w:t>Kod djece uzrasta od 0 do manje od 3 godine koja boluju od primarnog kongenitalnog glaukoma, prva linija terapije je hirurška intervencija (npr. trabekulotomija/goniotomija).</w:t>
      </w:r>
    </w:p>
    <w:p w14:paraId="535A1435" w14:textId="52008D3C" w:rsidR="00057E35" w:rsidRPr="00BA318E" w:rsidRDefault="002101FA" w:rsidP="002101FA">
      <w:pPr>
        <w:tabs>
          <w:tab w:val="left" w:pos="540"/>
          <w:tab w:val="left" w:pos="569"/>
        </w:tabs>
        <w:rPr>
          <w:sz w:val="22"/>
          <w:szCs w:val="22"/>
          <w:lang w:val="sr-Latn-ME"/>
        </w:rPr>
      </w:pPr>
      <w:r w:rsidRPr="00BA318E">
        <w:rPr>
          <w:sz w:val="22"/>
          <w:szCs w:val="22"/>
          <w:lang w:val="sr-Latn-ME"/>
        </w:rPr>
        <w:t>Još uvek nije ustanovljena dugoročna bezbjednost primjene kod djece.</w:t>
      </w:r>
    </w:p>
    <w:p w14:paraId="46EBF0D6" w14:textId="77777777" w:rsidR="002B3A78" w:rsidRPr="00BA318E" w:rsidRDefault="002B3A78" w:rsidP="002101FA">
      <w:pPr>
        <w:tabs>
          <w:tab w:val="left" w:pos="540"/>
          <w:tab w:val="left" w:pos="569"/>
        </w:tabs>
        <w:rPr>
          <w:sz w:val="22"/>
          <w:szCs w:val="22"/>
          <w:lang w:val="sr-Latn-ME"/>
        </w:rPr>
      </w:pPr>
    </w:p>
    <w:p w14:paraId="535A1436" w14:textId="77777777" w:rsidR="00411B4B" w:rsidRPr="00BA318E" w:rsidRDefault="00411B4B" w:rsidP="00480FB1">
      <w:pPr>
        <w:tabs>
          <w:tab w:val="left" w:pos="540"/>
          <w:tab w:val="left" w:pos="569"/>
        </w:tabs>
        <w:rPr>
          <w:b/>
          <w:bCs/>
          <w:sz w:val="22"/>
          <w:szCs w:val="22"/>
          <w:lang w:val="sr-Latn-ME"/>
        </w:rPr>
      </w:pPr>
      <w:r w:rsidRPr="00BA318E">
        <w:rPr>
          <w:b/>
          <w:bCs/>
          <w:sz w:val="22"/>
          <w:szCs w:val="22"/>
          <w:lang w:val="sr-Latn-ME"/>
        </w:rPr>
        <w:t>4.5.</w:t>
      </w:r>
      <w:r w:rsidR="000D60CC" w:rsidRPr="00BA318E">
        <w:rPr>
          <w:b/>
          <w:bCs/>
          <w:sz w:val="22"/>
          <w:szCs w:val="22"/>
          <w:lang w:val="sr-Latn-ME"/>
        </w:rPr>
        <w:tab/>
      </w:r>
      <w:r w:rsidRPr="00BA318E">
        <w:rPr>
          <w:b/>
          <w:bCs/>
          <w:sz w:val="22"/>
          <w:szCs w:val="22"/>
          <w:lang w:val="sr-Latn-ME"/>
        </w:rPr>
        <w:t>Interakcije sa drugim ljekovima i druge vrste interakcija</w:t>
      </w:r>
    </w:p>
    <w:p w14:paraId="1621C528" w14:textId="77777777" w:rsidR="002B3A78" w:rsidRPr="00BA318E" w:rsidRDefault="002B3A78" w:rsidP="00480FB1">
      <w:pPr>
        <w:tabs>
          <w:tab w:val="left" w:pos="540"/>
          <w:tab w:val="left" w:pos="569"/>
        </w:tabs>
        <w:rPr>
          <w:b/>
          <w:bCs/>
          <w:sz w:val="22"/>
          <w:szCs w:val="22"/>
          <w:lang w:val="sr-Latn-ME"/>
        </w:rPr>
      </w:pPr>
    </w:p>
    <w:p w14:paraId="190A1E7C" w14:textId="77777777" w:rsidR="002B3A78" w:rsidRPr="00BA318E" w:rsidRDefault="002B3A78" w:rsidP="002B3A78">
      <w:pPr>
        <w:widowControl w:val="0"/>
        <w:rPr>
          <w:sz w:val="22"/>
          <w:szCs w:val="22"/>
          <w:lang w:val="sr-Latn-ME"/>
        </w:rPr>
      </w:pPr>
      <w:r w:rsidRPr="00BA318E">
        <w:rPr>
          <w:sz w:val="22"/>
          <w:szCs w:val="22"/>
          <w:lang w:val="sr-Latn-ME"/>
        </w:rPr>
        <w:t>Definitivni podaci o interakcijama lijeka nijesu raspoloživi.</w:t>
      </w:r>
    </w:p>
    <w:p w14:paraId="34404B85" w14:textId="77777777" w:rsidR="002B3A78" w:rsidRPr="00BA318E" w:rsidRDefault="002B3A78" w:rsidP="002B3A78">
      <w:pPr>
        <w:widowControl w:val="0"/>
        <w:rPr>
          <w:sz w:val="22"/>
          <w:szCs w:val="22"/>
          <w:lang w:val="sr-Latn-ME"/>
        </w:rPr>
      </w:pPr>
    </w:p>
    <w:p w14:paraId="219E0A4E" w14:textId="77777777" w:rsidR="002B3A78" w:rsidRPr="00BA318E" w:rsidRDefault="002B3A78" w:rsidP="002B3A78">
      <w:pPr>
        <w:widowControl w:val="0"/>
        <w:rPr>
          <w:sz w:val="22"/>
          <w:szCs w:val="22"/>
          <w:lang w:val="sr-Latn-ME"/>
        </w:rPr>
      </w:pPr>
      <w:r w:rsidRPr="00BA318E">
        <w:rPr>
          <w:sz w:val="22"/>
          <w:szCs w:val="22"/>
          <w:lang w:val="sr-Latn-ME"/>
        </w:rPr>
        <w:lastRenderedPageBreak/>
        <w:t>Postoje prijavljeni slučajevi paradoksalnog povišenja intraokularnog pritiska koji se javlja poslije istovremene okularne primjene dva prostaglandinska analoga. Zbog toga se ne preporučuje istovremena primjena dva ili više prostaglandina, njihovih analoga ili derivata.</w:t>
      </w:r>
    </w:p>
    <w:p w14:paraId="46FE15C5" w14:textId="77777777" w:rsidR="002B3A78" w:rsidRPr="00BA318E" w:rsidRDefault="002B3A78" w:rsidP="002B3A78">
      <w:pPr>
        <w:widowControl w:val="0"/>
        <w:rPr>
          <w:sz w:val="22"/>
          <w:szCs w:val="22"/>
          <w:lang w:val="sr-Latn-ME"/>
        </w:rPr>
      </w:pPr>
    </w:p>
    <w:p w14:paraId="1C9612B1" w14:textId="77777777" w:rsidR="002B3A78" w:rsidRPr="00BA318E" w:rsidRDefault="002B3A78" w:rsidP="002B3A78">
      <w:pPr>
        <w:tabs>
          <w:tab w:val="right" w:pos="8751"/>
        </w:tabs>
        <w:rPr>
          <w:i/>
          <w:sz w:val="22"/>
          <w:szCs w:val="22"/>
          <w:lang w:val="sr-Latn-ME"/>
        </w:rPr>
      </w:pPr>
      <w:r w:rsidRPr="00BA318E">
        <w:rPr>
          <w:i/>
          <w:sz w:val="22"/>
          <w:szCs w:val="22"/>
          <w:lang w:val="sr-Latn-ME"/>
        </w:rPr>
        <w:t>Pedijatrijska populacija</w:t>
      </w:r>
    </w:p>
    <w:p w14:paraId="4457C7E6" w14:textId="77777777" w:rsidR="002B3A78" w:rsidRPr="00BA318E" w:rsidRDefault="002B3A78" w:rsidP="002B3A78">
      <w:pPr>
        <w:tabs>
          <w:tab w:val="right" w:pos="8751"/>
        </w:tabs>
        <w:rPr>
          <w:sz w:val="22"/>
          <w:szCs w:val="22"/>
          <w:lang w:val="sr-Latn-ME"/>
        </w:rPr>
      </w:pPr>
      <w:r w:rsidRPr="00BA318E">
        <w:rPr>
          <w:sz w:val="22"/>
          <w:szCs w:val="22"/>
          <w:lang w:val="sr-Latn-ME"/>
        </w:rPr>
        <w:t>Studije interakcija sprovedene su samo kod odraslih.</w:t>
      </w:r>
    </w:p>
    <w:p w14:paraId="535A1437" w14:textId="77777777" w:rsidR="0072020E" w:rsidRPr="00BA318E" w:rsidRDefault="0072020E" w:rsidP="00480FB1">
      <w:pPr>
        <w:tabs>
          <w:tab w:val="left" w:pos="540"/>
          <w:tab w:val="left" w:pos="569"/>
        </w:tabs>
        <w:rPr>
          <w:bCs/>
          <w:sz w:val="22"/>
          <w:szCs w:val="22"/>
          <w:lang w:val="sr-Latn-ME"/>
        </w:rPr>
      </w:pPr>
    </w:p>
    <w:p w14:paraId="535A1438" w14:textId="77777777" w:rsidR="0072020E" w:rsidRPr="00BA318E" w:rsidRDefault="0072020E" w:rsidP="00480FB1">
      <w:pPr>
        <w:tabs>
          <w:tab w:val="left" w:pos="540"/>
          <w:tab w:val="left" w:pos="569"/>
        </w:tabs>
        <w:rPr>
          <w:b/>
          <w:sz w:val="22"/>
          <w:szCs w:val="22"/>
          <w:lang w:val="sr-Latn-ME"/>
        </w:rPr>
      </w:pPr>
      <w:r w:rsidRPr="00BA318E">
        <w:rPr>
          <w:b/>
          <w:bCs/>
          <w:sz w:val="22"/>
          <w:szCs w:val="22"/>
          <w:lang w:val="sr-Latn-ME"/>
        </w:rPr>
        <w:t xml:space="preserve">4.6. </w:t>
      </w:r>
      <w:r w:rsidR="00480FB1" w:rsidRPr="00BA318E">
        <w:rPr>
          <w:b/>
          <w:bCs/>
          <w:sz w:val="22"/>
          <w:szCs w:val="22"/>
          <w:lang w:val="sr-Latn-ME"/>
        </w:rPr>
        <w:tab/>
      </w:r>
      <w:r w:rsidR="006D20A5" w:rsidRPr="00BA318E">
        <w:rPr>
          <w:b/>
          <w:sz w:val="22"/>
          <w:szCs w:val="22"/>
          <w:lang w:val="sr-Latn-ME"/>
        </w:rPr>
        <w:t>Plodnost, trudnoća i dojenje</w:t>
      </w:r>
    </w:p>
    <w:p w14:paraId="535A1439" w14:textId="77777777" w:rsidR="002031B3" w:rsidRPr="00BA318E" w:rsidRDefault="002031B3" w:rsidP="00480FB1">
      <w:pPr>
        <w:tabs>
          <w:tab w:val="left" w:pos="540"/>
          <w:tab w:val="left" w:pos="569"/>
        </w:tabs>
        <w:rPr>
          <w:sz w:val="22"/>
          <w:szCs w:val="22"/>
          <w:u w:val="single"/>
          <w:lang w:val="sr-Latn-ME"/>
        </w:rPr>
      </w:pPr>
    </w:p>
    <w:p w14:paraId="445E6387" w14:textId="77777777" w:rsidR="00FC372D" w:rsidRPr="00BA318E" w:rsidRDefault="00FC372D" w:rsidP="00FC372D">
      <w:pPr>
        <w:pStyle w:val="Header"/>
        <w:tabs>
          <w:tab w:val="left" w:pos="284"/>
        </w:tabs>
        <w:rPr>
          <w:rFonts w:eastAsia="Verdana"/>
          <w:sz w:val="22"/>
          <w:szCs w:val="22"/>
          <w:u w:val="single"/>
          <w:lang w:val="sr-Latn-ME" w:eastAsia="en-GB"/>
        </w:rPr>
      </w:pPr>
      <w:r w:rsidRPr="00BA318E">
        <w:rPr>
          <w:rFonts w:eastAsia="Verdana"/>
          <w:sz w:val="22"/>
          <w:szCs w:val="22"/>
          <w:u w:val="single"/>
          <w:lang w:val="sr-Latn-ME" w:eastAsia="en-GB"/>
        </w:rPr>
        <w:t>Plodnost</w:t>
      </w:r>
    </w:p>
    <w:p w14:paraId="741D1B17" w14:textId="77777777" w:rsidR="00FC372D" w:rsidRPr="00BA318E" w:rsidRDefault="00FC372D" w:rsidP="00FC372D">
      <w:pPr>
        <w:pStyle w:val="EndnoteText"/>
        <w:widowControl w:val="0"/>
        <w:jc w:val="both"/>
        <w:rPr>
          <w:rFonts w:ascii="Times New Roman" w:hAnsi="Times New Roman" w:cs="Times New Roman"/>
          <w:sz w:val="22"/>
          <w:szCs w:val="22"/>
          <w:lang w:val="sr-Latn-ME"/>
        </w:rPr>
      </w:pPr>
      <w:r w:rsidRPr="00BA318E">
        <w:rPr>
          <w:rFonts w:ascii="Times New Roman" w:hAnsi="Times New Roman" w:cs="Times New Roman"/>
          <w:sz w:val="22"/>
          <w:szCs w:val="22"/>
          <w:lang w:val="sr-Latn-ME"/>
        </w:rPr>
        <w:t xml:space="preserve">U studijama na životinjama nije utvrđeno da latanoprost ima bilo kakav uticaj na fertilitet mužjaka i ženki (vidjeti dio 5.3 </w:t>
      </w:r>
      <w:r w:rsidRPr="00BA318E">
        <w:rPr>
          <w:rFonts w:ascii="Times New Roman" w:hAnsi="Times New Roman" w:cs="Times New Roman"/>
          <w:bCs/>
          <w:sz w:val="22"/>
          <w:szCs w:val="22"/>
          <w:lang w:val="sr-Latn-ME"/>
        </w:rPr>
        <w:t>Pretklinički podaci o bezbjednosti lijeka</w:t>
      </w:r>
      <w:r w:rsidRPr="00BA318E">
        <w:rPr>
          <w:rFonts w:ascii="Times New Roman" w:hAnsi="Times New Roman" w:cs="Times New Roman"/>
          <w:sz w:val="22"/>
          <w:szCs w:val="22"/>
          <w:lang w:val="sr-Latn-ME"/>
        </w:rPr>
        <w:t>).</w:t>
      </w:r>
    </w:p>
    <w:p w14:paraId="1BA53486" w14:textId="77777777" w:rsidR="00FC372D" w:rsidRPr="00BA318E" w:rsidRDefault="00FC372D" w:rsidP="00FC372D">
      <w:pPr>
        <w:pStyle w:val="BodyTextIndent"/>
        <w:widowControl w:val="0"/>
        <w:ind w:left="0"/>
        <w:rPr>
          <w:szCs w:val="22"/>
          <w:u w:val="single"/>
          <w:lang w:val="sr-Latn-ME"/>
        </w:rPr>
      </w:pPr>
    </w:p>
    <w:p w14:paraId="2BDCB333" w14:textId="77777777" w:rsidR="00FC372D" w:rsidRPr="00BA318E" w:rsidRDefault="00FC372D" w:rsidP="00FC372D">
      <w:pPr>
        <w:pStyle w:val="BodyTextIndent"/>
        <w:widowControl w:val="0"/>
        <w:ind w:left="0"/>
        <w:rPr>
          <w:szCs w:val="22"/>
          <w:u w:val="single"/>
          <w:lang w:val="sr-Latn-ME"/>
        </w:rPr>
      </w:pPr>
      <w:r w:rsidRPr="00BA318E">
        <w:rPr>
          <w:szCs w:val="22"/>
          <w:u w:val="single"/>
          <w:lang w:val="sr-Latn-ME"/>
        </w:rPr>
        <w:t>Trudnoća</w:t>
      </w:r>
    </w:p>
    <w:p w14:paraId="4CD3800C" w14:textId="77777777" w:rsidR="00FC372D" w:rsidRPr="00BA318E" w:rsidRDefault="00FC372D" w:rsidP="00FC372D">
      <w:pPr>
        <w:pStyle w:val="BodyTextIndent"/>
        <w:widowControl w:val="0"/>
        <w:ind w:left="0"/>
        <w:rPr>
          <w:szCs w:val="22"/>
          <w:lang w:val="sr-Latn-ME"/>
        </w:rPr>
      </w:pPr>
      <w:r w:rsidRPr="00BA318E">
        <w:rPr>
          <w:szCs w:val="22"/>
          <w:lang w:val="sr-Latn-ME"/>
        </w:rPr>
        <w:t>Bezbjednost ovog lijeka za primjenu u humanoj trudnoći nije utvrđena. On posjeduje farmakološke efekte koji mogu da budu potencijalno opasni za tok trudnoće, fetus ili novorođenče. Prema tome, lijek Xalatan se ne bi trebao koristiti tokom trudnoće.</w:t>
      </w:r>
    </w:p>
    <w:p w14:paraId="68E42200" w14:textId="77777777" w:rsidR="00FC372D" w:rsidRPr="00BA318E" w:rsidRDefault="00FC372D" w:rsidP="00FC372D">
      <w:pPr>
        <w:pStyle w:val="BodyTextIndent"/>
        <w:widowControl w:val="0"/>
        <w:ind w:left="0"/>
        <w:rPr>
          <w:szCs w:val="22"/>
          <w:lang w:val="sr-Latn-ME"/>
        </w:rPr>
      </w:pPr>
    </w:p>
    <w:p w14:paraId="12F94B72" w14:textId="77777777" w:rsidR="00FC372D" w:rsidRPr="00BA318E" w:rsidRDefault="00FC372D" w:rsidP="00FC372D">
      <w:pPr>
        <w:pStyle w:val="BodyTextIndent"/>
        <w:widowControl w:val="0"/>
        <w:ind w:left="0"/>
        <w:rPr>
          <w:szCs w:val="22"/>
          <w:u w:val="single"/>
          <w:lang w:val="sr-Latn-ME"/>
        </w:rPr>
      </w:pPr>
      <w:r w:rsidRPr="00BA318E">
        <w:rPr>
          <w:szCs w:val="22"/>
          <w:u w:val="single"/>
          <w:lang w:val="sr-Latn-ME"/>
        </w:rPr>
        <w:t>Dojenje</w:t>
      </w:r>
    </w:p>
    <w:p w14:paraId="00D0080B" w14:textId="77777777" w:rsidR="00FC372D" w:rsidRPr="00BA318E" w:rsidRDefault="00FC372D" w:rsidP="00FC372D">
      <w:pPr>
        <w:ind w:firstLine="12"/>
        <w:rPr>
          <w:sz w:val="22"/>
          <w:szCs w:val="22"/>
          <w:lang w:val="sr-Latn-ME"/>
        </w:rPr>
      </w:pPr>
      <w:r w:rsidRPr="00BA318E">
        <w:rPr>
          <w:sz w:val="22"/>
          <w:szCs w:val="22"/>
          <w:lang w:val="sr-Latn-ME"/>
        </w:rPr>
        <w:t>Latanoprost i njegovi metaboliti mogu da pređu u majčino mlijeko, pa zbog toga dojilje ne treba da koriste lijek Xalatan, odnosno, ako ga koriste, tada treba da prekinu sa dojenjem.</w:t>
      </w:r>
    </w:p>
    <w:p w14:paraId="535A143F" w14:textId="77777777" w:rsidR="00227BDB" w:rsidRPr="00BA318E" w:rsidRDefault="00227BDB" w:rsidP="00396DFD">
      <w:pPr>
        <w:tabs>
          <w:tab w:val="left" w:pos="540"/>
          <w:tab w:val="left" w:pos="569"/>
        </w:tabs>
        <w:ind w:left="540" w:hanging="540"/>
        <w:rPr>
          <w:b/>
          <w:bCs/>
          <w:sz w:val="22"/>
          <w:szCs w:val="22"/>
          <w:lang w:val="sr-Latn-ME"/>
        </w:rPr>
      </w:pPr>
    </w:p>
    <w:p w14:paraId="535A1440" w14:textId="77777777" w:rsidR="0072020E" w:rsidRPr="00BA318E" w:rsidRDefault="0072020E" w:rsidP="00396DFD">
      <w:pPr>
        <w:tabs>
          <w:tab w:val="left" w:pos="540"/>
          <w:tab w:val="left" w:pos="569"/>
        </w:tabs>
        <w:ind w:left="540" w:hanging="540"/>
        <w:rPr>
          <w:b/>
          <w:bCs/>
          <w:sz w:val="22"/>
          <w:szCs w:val="22"/>
          <w:lang w:val="sr-Latn-ME"/>
        </w:rPr>
      </w:pPr>
      <w:r w:rsidRPr="00BA318E">
        <w:rPr>
          <w:b/>
          <w:bCs/>
          <w:sz w:val="22"/>
          <w:szCs w:val="22"/>
          <w:lang w:val="sr-Latn-ME"/>
        </w:rPr>
        <w:t xml:space="preserve">4.7. </w:t>
      </w:r>
      <w:r w:rsidR="00480FB1" w:rsidRPr="00BA318E">
        <w:rPr>
          <w:b/>
          <w:bCs/>
          <w:sz w:val="22"/>
          <w:szCs w:val="22"/>
          <w:lang w:val="sr-Latn-ME"/>
        </w:rPr>
        <w:tab/>
      </w:r>
      <w:r w:rsidRPr="00BA318E">
        <w:rPr>
          <w:b/>
          <w:bCs/>
          <w:sz w:val="22"/>
          <w:szCs w:val="22"/>
          <w:lang w:val="sr-Latn-ME"/>
        </w:rPr>
        <w:t xml:space="preserve">Uticaj na </w:t>
      </w:r>
      <w:r w:rsidR="002031B3" w:rsidRPr="00BA318E">
        <w:rPr>
          <w:b/>
          <w:bCs/>
          <w:sz w:val="22"/>
          <w:szCs w:val="22"/>
          <w:lang w:val="sr-Latn-ME"/>
        </w:rPr>
        <w:t xml:space="preserve">sposobnost </w:t>
      </w:r>
      <w:r w:rsidR="00F34554" w:rsidRPr="00BA318E">
        <w:rPr>
          <w:b/>
          <w:bCs/>
          <w:sz w:val="22"/>
          <w:szCs w:val="22"/>
          <w:lang w:val="sr-Latn-ME"/>
        </w:rPr>
        <w:t>upravljanja vozili</w:t>
      </w:r>
      <w:r w:rsidRPr="00BA318E">
        <w:rPr>
          <w:b/>
          <w:bCs/>
          <w:sz w:val="22"/>
          <w:szCs w:val="22"/>
          <w:lang w:val="sr-Latn-ME"/>
        </w:rPr>
        <w:t>m</w:t>
      </w:r>
      <w:r w:rsidR="00F34554" w:rsidRPr="00BA318E">
        <w:rPr>
          <w:b/>
          <w:bCs/>
          <w:sz w:val="22"/>
          <w:szCs w:val="22"/>
          <w:lang w:val="sr-Latn-ME"/>
        </w:rPr>
        <w:t>a</w:t>
      </w:r>
      <w:r w:rsidRPr="00BA318E">
        <w:rPr>
          <w:b/>
          <w:bCs/>
          <w:sz w:val="22"/>
          <w:szCs w:val="22"/>
          <w:lang w:val="sr-Latn-ME"/>
        </w:rPr>
        <w:t xml:space="preserve"> i </w:t>
      </w:r>
      <w:r w:rsidR="000D3449" w:rsidRPr="00BA318E">
        <w:rPr>
          <w:b/>
          <w:bCs/>
          <w:sz w:val="22"/>
          <w:szCs w:val="22"/>
          <w:lang w:val="sr-Latn-ME"/>
        </w:rPr>
        <w:t xml:space="preserve">rukovanje </w:t>
      </w:r>
      <w:r w:rsidRPr="00BA318E">
        <w:rPr>
          <w:b/>
          <w:bCs/>
          <w:sz w:val="22"/>
          <w:szCs w:val="22"/>
          <w:lang w:val="sr-Latn-ME"/>
        </w:rPr>
        <w:t>mašinama</w:t>
      </w:r>
    </w:p>
    <w:p w14:paraId="6FFF7492" w14:textId="77777777" w:rsidR="00271261" w:rsidRPr="00BA318E" w:rsidRDefault="00271261" w:rsidP="00396DFD">
      <w:pPr>
        <w:tabs>
          <w:tab w:val="left" w:pos="540"/>
          <w:tab w:val="left" w:pos="569"/>
        </w:tabs>
        <w:ind w:left="540" w:hanging="540"/>
        <w:rPr>
          <w:b/>
          <w:bCs/>
          <w:sz w:val="22"/>
          <w:szCs w:val="22"/>
          <w:lang w:val="sr-Latn-ME"/>
        </w:rPr>
      </w:pPr>
    </w:p>
    <w:p w14:paraId="535A1441" w14:textId="3627F5BB" w:rsidR="0072020E" w:rsidRPr="00BA318E" w:rsidRDefault="00271261" w:rsidP="00480FB1">
      <w:pPr>
        <w:tabs>
          <w:tab w:val="left" w:pos="540"/>
          <w:tab w:val="left" w:pos="569"/>
        </w:tabs>
        <w:rPr>
          <w:sz w:val="22"/>
          <w:szCs w:val="22"/>
          <w:lang w:val="sr-Latn-ME"/>
        </w:rPr>
      </w:pPr>
      <w:r w:rsidRPr="00BA318E">
        <w:rPr>
          <w:sz w:val="22"/>
          <w:szCs w:val="22"/>
          <w:lang w:val="sr-Latn-ME"/>
        </w:rPr>
        <w:t>Lijek Xalatan ima neznatan uticaj na sposobnost upravljanja vozilima i rukovanja mašinama. Generalno, kod svih oftalmoloških preparata, ukapavanje kapi za oči može da prouzrokuje prolazno zamućenje vida. Pacijent ne treba da upravlja motornim vozilom niti da rukuje mašinama dok se zamućenje vida ne povuče.</w:t>
      </w:r>
    </w:p>
    <w:p w14:paraId="33F5ECF8" w14:textId="77777777" w:rsidR="00271261" w:rsidRPr="00BA318E" w:rsidRDefault="00271261" w:rsidP="00480FB1">
      <w:pPr>
        <w:tabs>
          <w:tab w:val="left" w:pos="540"/>
          <w:tab w:val="left" w:pos="569"/>
        </w:tabs>
        <w:rPr>
          <w:b/>
          <w:bCs/>
          <w:sz w:val="22"/>
          <w:szCs w:val="22"/>
          <w:lang w:val="sr-Latn-ME"/>
        </w:rPr>
      </w:pPr>
    </w:p>
    <w:p w14:paraId="535A1442" w14:textId="77777777" w:rsidR="0072020E" w:rsidRPr="00BA318E" w:rsidRDefault="0072020E" w:rsidP="00480FB1">
      <w:pPr>
        <w:tabs>
          <w:tab w:val="left" w:pos="540"/>
          <w:tab w:val="left" w:pos="569"/>
        </w:tabs>
        <w:rPr>
          <w:b/>
          <w:bCs/>
          <w:sz w:val="22"/>
          <w:szCs w:val="22"/>
          <w:lang w:val="sr-Latn-ME"/>
        </w:rPr>
      </w:pPr>
      <w:r w:rsidRPr="00BA318E">
        <w:rPr>
          <w:b/>
          <w:bCs/>
          <w:sz w:val="22"/>
          <w:szCs w:val="22"/>
          <w:lang w:val="sr-Latn-ME"/>
        </w:rPr>
        <w:t xml:space="preserve">4.8. </w:t>
      </w:r>
      <w:r w:rsidR="00480FB1" w:rsidRPr="00BA318E">
        <w:rPr>
          <w:b/>
          <w:bCs/>
          <w:sz w:val="22"/>
          <w:szCs w:val="22"/>
          <w:lang w:val="sr-Latn-ME"/>
        </w:rPr>
        <w:tab/>
      </w:r>
      <w:r w:rsidRPr="00BA318E">
        <w:rPr>
          <w:b/>
          <w:bCs/>
          <w:sz w:val="22"/>
          <w:szCs w:val="22"/>
          <w:lang w:val="sr-Latn-ME"/>
        </w:rPr>
        <w:t>Neželjena dejstva</w:t>
      </w:r>
    </w:p>
    <w:p w14:paraId="1B0BC208" w14:textId="77777777" w:rsidR="000017E4" w:rsidRPr="00BA318E" w:rsidRDefault="000017E4" w:rsidP="00480FB1">
      <w:pPr>
        <w:tabs>
          <w:tab w:val="left" w:pos="540"/>
          <w:tab w:val="left" w:pos="569"/>
        </w:tabs>
        <w:rPr>
          <w:b/>
          <w:bCs/>
          <w:sz w:val="22"/>
          <w:szCs w:val="22"/>
          <w:lang w:val="sr-Latn-ME"/>
        </w:rPr>
      </w:pPr>
    </w:p>
    <w:p w14:paraId="67A130D8" w14:textId="77777777" w:rsidR="000017E4" w:rsidRPr="00BA318E" w:rsidRDefault="000017E4" w:rsidP="000017E4">
      <w:pPr>
        <w:rPr>
          <w:sz w:val="22"/>
          <w:szCs w:val="22"/>
          <w:u w:val="single"/>
          <w:lang w:val="sr-Latn-ME"/>
        </w:rPr>
      </w:pPr>
      <w:r w:rsidRPr="00BA318E">
        <w:rPr>
          <w:sz w:val="22"/>
          <w:szCs w:val="22"/>
          <w:u w:val="single"/>
          <w:lang w:val="sr-Latn-ME"/>
        </w:rPr>
        <w:t>a. Sažetak bezbjednosnog profila</w:t>
      </w:r>
    </w:p>
    <w:p w14:paraId="2DDBB340" w14:textId="77777777" w:rsidR="000017E4" w:rsidRPr="00BA318E" w:rsidRDefault="000017E4" w:rsidP="000017E4">
      <w:pPr>
        <w:rPr>
          <w:sz w:val="22"/>
          <w:szCs w:val="22"/>
          <w:lang w:val="sr-Latn-ME"/>
        </w:rPr>
      </w:pPr>
    </w:p>
    <w:p w14:paraId="60785D7D" w14:textId="77777777" w:rsidR="000017E4" w:rsidRPr="00BA318E" w:rsidRDefault="000017E4" w:rsidP="000017E4">
      <w:pPr>
        <w:rPr>
          <w:sz w:val="22"/>
          <w:szCs w:val="22"/>
          <w:lang w:val="sr-Latn-ME"/>
        </w:rPr>
      </w:pPr>
      <w:r w:rsidRPr="00BA318E">
        <w:rPr>
          <w:sz w:val="22"/>
          <w:szCs w:val="22"/>
          <w:lang w:val="sr-Latn-ME"/>
        </w:rPr>
        <w:t xml:space="preserve">Većina uočenih neželjenih reakcija odnosi se na okularni sistem. U otvorenoj petogodišnjoj studiji bezbjednosti, kod 33% pacijenata razvila se pigmentacija irisa (vidjeti dio 4.4). Druge okularne neželjene reakcije su uglavnom prolazne i javljaju se nakon primjene doze lijeka. </w:t>
      </w:r>
    </w:p>
    <w:p w14:paraId="04A769F1" w14:textId="77777777" w:rsidR="000017E4" w:rsidRPr="00BA318E" w:rsidRDefault="000017E4" w:rsidP="000017E4">
      <w:pPr>
        <w:rPr>
          <w:sz w:val="22"/>
          <w:szCs w:val="22"/>
          <w:lang w:val="sr-Latn-ME"/>
        </w:rPr>
      </w:pPr>
    </w:p>
    <w:p w14:paraId="2597FAC0" w14:textId="77777777" w:rsidR="000017E4" w:rsidRPr="00BA318E" w:rsidRDefault="000017E4" w:rsidP="000017E4">
      <w:pPr>
        <w:rPr>
          <w:sz w:val="22"/>
          <w:szCs w:val="22"/>
          <w:u w:val="single"/>
          <w:lang w:val="sr-Latn-ME"/>
        </w:rPr>
      </w:pPr>
      <w:r w:rsidRPr="00BA318E">
        <w:rPr>
          <w:sz w:val="22"/>
          <w:szCs w:val="22"/>
          <w:u w:val="single"/>
          <w:lang w:val="sr-Latn-ME"/>
        </w:rPr>
        <w:t>b. Tabelarni prikaz neželjenih reakcija</w:t>
      </w:r>
    </w:p>
    <w:p w14:paraId="527B5411" w14:textId="77777777" w:rsidR="000017E4" w:rsidRPr="00BA318E" w:rsidRDefault="000017E4" w:rsidP="000017E4">
      <w:pPr>
        <w:rPr>
          <w:sz w:val="22"/>
          <w:szCs w:val="22"/>
          <w:lang w:val="sr-Latn-ME"/>
        </w:rPr>
      </w:pPr>
    </w:p>
    <w:p w14:paraId="6054F27B" w14:textId="77777777" w:rsidR="000017E4" w:rsidRPr="00BA318E" w:rsidRDefault="000017E4" w:rsidP="000017E4">
      <w:pPr>
        <w:rPr>
          <w:sz w:val="22"/>
          <w:szCs w:val="22"/>
          <w:lang w:val="sr-Latn-ME"/>
        </w:rPr>
      </w:pPr>
      <w:r w:rsidRPr="00BA318E">
        <w:rPr>
          <w:sz w:val="22"/>
          <w:szCs w:val="22"/>
          <w:lang w:val="sr-Latn-ME"/>
        </w:rPr>
        <w:t>Neželjene reakcije su klasifikovane prema učestalosti na sljedeći način: veoma česte (≥ 1/10), česte (≥ 1/100,</w:t>
      </w:r>
      <w:r w:rsidRPr="00BA318E">
        <w:rPr>
          <w:sz w:val="22"/>
          <w:szCs w:val="22"/>
          <w:lang w:val="sr-Latn-ME"/>
        </w:rPr>
        <w:br/>
        <w:t xml:space="preserve">&lt; 1/10), povremene (≥ 1/1000, &lt; 1/100), rijetke (≥ 1/10000, &lt; 1/1000), veoma rijetke (&lt; 1/10000) i nepoznate (učestalost se ne može procijeniti iz raspoloživih podataka). </w:t>
      </w:r>
    </w:p>
    <w:p w14:paraId="35E73E83" w14:textId="017512C1" w:rsidR="000017E4" w:rsidRDefault="000017E4" w:rsidP="000017E4">
      <w:pPr>
        <w:rPr>
          <w:sz w:val="22"/>
          <w:szCs w:val="22"/>
          <w:lang w:val="sr-Latn-ME"/>
        </w:rPr>
      </w:pPr>
    </w:p>
    <w:p w14:paraId="035D33DC" w14:textId="77777777" w:rsidR="00BA318E" w:rsidRPr="00BA318E" w:rsidRDefault="00BA318E" w:rsidP="000017E4">
      <w:pPr>
        <w:rPr>
          <w:sz w:val="22"/>
          <w:szCs w:val="22"/>
          <w:lang w:val="sr-Latn-ME"/>
        </w:rPr>
      </w:pP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2"/>
        <w:gridCol w:w="1612"/>
        <w:gridCol w:w="1612"/>
        <w:gridCol w:w="1613"/>
        <w:gridCol w:w="1613"/>
        <w:gridCol w:w="1613"/>
      </w:tblGrid>
      <w:tr w:rsidR="000017E4" w:rsidRPr="00BA318E" w14:paraId="766FAE45" w14:textId="77777777" w:rsidTr="00BA318E">
        <w:tc>
          <w:tcPr>
            <w:tcW w:w="1612" w:type="dxa"/>
            <w:shd w:val="clear" w:color="auto" w:fill="auto"/>
          </w:tcPr>
          <w:p w14:paraId="14A45498" w14:textId="77777777" w:rsidR="000017E4" w:rsidRPr="00BA318E" w:rsidRDefault="000017E4" w:rsidP="00C24791">
            <w:pPr>
              <w:rPr>
                <w:b/>
                <w:sz w:val="22"/>
                <w:szCs w:val="22"/>
                <w:lang w:val="sr-Latn-ME"/>
              </w:rPr>
            </w:pPr>
            <w:r w:rsidRPr="00BA318E">
              <w:rPr>
                <w:b/>
                <w:sz w:val="22"/>
                <w:szCs w:val="22"/>
                <w:lang w:val="sr-Latn-ME"/>
              </w:rPr>
              <w:t>Klasa organa sistema</w:t>
            </w:r>
          </w:p>
        </w:tc>
        <w:tc>
          <w:tcPr>
            <w:tcW w:w="1612" w:type="dxa"/>
            <w:shd w:val="clear" w:color="auto" w:fill="auto"/>
          </w:tcPr>
          <w:p w14:paraId="7F4E08A8" w14:textId="77777777" w:rsidR="000017E4" w:rsidRPr="00BA318E" w:rsidRDefault="000017E4" w:rsidP="00C24791">
            <w:pPr>
              <w:rPr>
                <w:b/>
                <w:sz w:val="22"/>
                <w:szCs w:val="22"/>
                <w:lang w:val="sr-Latn-ME"/>
              </w:rPr>
            </w:pPr>
            <w:r w:rsidRPr="00BA318E">
              <w:rPr>
                <w:b/>
                <w:sz w:val="22"/>
                <w:szCs w:val="22"/>
                <w:lang w:val="sr-Latn-ME"/>
              </w:rPr>
              <w:t>Veoma često</w:t>
            </w:r>
          </w:p>
          <w:p w14:paraId="6FAF1322" w14:textId="77777777" w:rsidR="000017E4" w:rsidRPr="00BA318E" w:rsidRDefault="000017E4" w:rsidP="00C24791">
            <w:pPr>
              <w:rPr>
                <w:b/>
                <w:sz w:val="22"/>
                <w:szCs w:val="22"/>
                <w:lang w:val="sr-Latn-ME"/>
              </w:rPr>
            </w:pPr>
            <w:r w:rsidRPr="00BA318E">
              <w:rPr>
                <w:b/>
                <w:sz w:val="22"/>
                <w:szCs w:val="22"/>
                <w:lang w:val="sr-Latn-ME"/>
              </w:rPr>
              <w:t xml:space="preserve"> ≥1/10</w:t>
            </w:r>
          </w:p>
          <w:p w14:paraId="2A7DF42B" w14:textId="77777777" w:rsidR="000017E4" w:rsidRPr="00BA318E" w:rsidRDefault="000017E4" w:rsidP="00C24791">
            <w:pPr>
              <w:rPr>
                <w:b/>
                <w:sz w:val="22"/>
                <w:szCs w:val="22"/>
                <w:lang w:val="sr-Latn-ME"/>
              </w:rPr>
            </w:pPr>
          </w:p>
        </w:tc>
        <w:tc>
          <w:tcPr>
            <w:tcW w:w="1612" w:type="dxa"/>
            <w:shd w:val="clear" w:color="auto" w:fill="auto"/>
          </w:tcPr>
          <w:p w14:paraId="3D0CCFFE" w14:textId="77777777" w:rsidR="000017E4" w:rsidRPr="00BA318E" w:rsidRDefault="000017E4" w:rsidP="00C24791">
            <w:pPr>
              <w:rPr>
                <w:b/>
                <w:sz w:val="22"/>
                <w:szCs w:val="22"/>
                <w:lang w:val="sr-Latn-ME"/>
              </w:rPr>
            </w:pPr>
            <w:r w:rsidRPr="00BA318E">
              <w:rPr>
                <w:b/>
                <w:sz w:val="22"/>
                <w:szCs w:val="22"/>
                <w:lang w:val="sr-Latn-ME"/>
              </w:rPr>
              <w:t>Često</w:t>
            </w:r>
          </w:p>
          <w:p w14:paraId="2F9409DB" w14:textId="77777777" w:rsidR="000017E4" w:rsidRPr="00BA318E" w:rsidRDefault="000017E4" w:rsidP="00C24791">
            <w:pPr>
              <w:pStyle w:val="TableText"/>
              <w:rPr>
                <w:rFonts w:cs="Times New Roman"/>
                <w:b/>
                <w:sz w:val="22"/>
                <w:szCs w:val="22"/>
                <w:lang w:val="sr-Latn-ME"/>
              </w:rPr>
            </w:pPr>
            <w:r w:rsidRPr="00BA318E">
              <w:rPr>
                <w:rFonts w:cs="Times New Roman"/>
                <w:b/>
                <w:sz w:val="22"/>
                <w:szCs w:val="22"/>
                <w:lang w:val="sr-Latn-ME"/>
              </w:rPr>
              <w:t>≥1/100 do &lt;1/10</w:t>
            </w:r>
          </w:p>
          <w:p w14:paraId="5D4AF471" w14:textId="77777777" w:rsidR="000017E4" w:rsidRPr="00BA318E" w:rsidRDefault="000017E4" w:rsidP="00C24791">
            <w:pPr>
              <w:rPr>
                <w:b/>
                <w:sz w:val="22"/>
                <w:szCs w:val="22"/>
                <w:lang w:val="sr-Latn-ME"/>
              </w:rPr>
            </w:pPr>
          </w:p>
        </w:tc>
        <w:tc>
          <w:tcPr>
            <w:tcW w:w="1613" w:type="dxa"/>
            <w:shd w:val="clear" w:color="auto" w:fill="auto"/>
          </w:tcPr>
          <w:p w14:paraId="1F9083BF" w14:textId="77777777" w:rsidR="000017E4" w:rsidRPr="00BA318E" w:rsidRDefault="000017E4" w:rsidP="00C24791">
            <w:pPr>
              <w:rPr>
                <w:b/>
                <w:sz w:val="22"/>
                <w:szCs w:val="22"/>
                <w:lang w:val="sr-Latn-ME"/>
              </w:rPr>
            </w:pPr>
            <w:r w:rsidRPr="00BA318E">
              <w:rPr>
                <w:b/>
                <w:sz w:val="22"/>
                <w:szCs w:val="22"/>
                <w:lang w:val="sr-Latn-ME"/>
              </w:rPr>
              <w:t>Povremeno</w:t>
            </w:r>
          </w:p>
          <w:p w14:paraId="061AF10F" w14:textId="77777777" w:rsidR="000017E4" w:rsidRPr="00BA318E" w:rsidRDefault="000017E4" w:rsidP="00C24791">
            <w:pPr>
              <w:rPr>
                <w:b/>
                <w:sz w:val="22"/>
                <w:szCs w:val="22"/>
                <w:lang w:val="sr-Latn-ME"/>
              </w:rPr>
            </w:pPr>
            <w:r w:rsidRPr="00BA318E">
              <w:rPr>
                <w:b/>
                <w:sz w:val="22"/>
                <w:szCs w:val="22"/>
                <w:lang w:val="sr-Latn-ME"/>
              </w:rPr>
              <w:t>≥1/1000 do</w:t>
            </w:r>
          </w:p>
          <w:p w14:paraId="529E888A" w14:textId="77777777" w:rsidR="000017E4" w:rsidRPr="00BA318E" w:rsidRDefault="000017E4" w:rsidP="00C24791">
            <w:pPr>
              <w:rPr>
                <w:b/>
                <w:sz w:val="22"/>
                <w:szCs w:val="22"/>
                <w:lang w:val="sr-Latn-ME"/>
              </w:rPr>
            </w:pPr>
            <w:r w:rsidRPr="00BA318E">
              <w:rPr>
                <w:b/>
                <w:sz w:val="22"/>
                <w:szCs w:val="22"/>
                <w:lang w:val="sr-Latn-ME"/>
              </w:rPr>
              <w:t>&lt;1/100</w:t>
            </w:r>
          </w:p>
          <w:p w14:paraId="26E909E6" w14:textId="77777777" w:rsidR="000017E4" w:rsidRPr="00BA318E" w:rsidRDefault="000017E4" w:rsidP="00C24791">
            <w:pPr>
              <w:rPr>
                <w:b/>
                <w:sz w:val="22"/>
                <w:szCs w:val="22"/>
                <w:lang w:val="sr-Latn-ME"/>
              </w:rPr>
            </w:pPr>
          </w:p>
        </w:tc>
        <w:tc>
          <w:tcPr>
            <w:tcW w:w="1613" w:type="dxa"/>
            <w:shd w:val="clear" w:color="auto" w:fill="auto"/>
          </w:tcPr>
          <w:p w14:paraId="552D8862" w14:textId="77777777" w:rsidR="000017E4" w:rsidRPr="00BA318E" w:rsidRDefault="000017E4" w:rsidP="00C24791">
            <w:pPr>
              <w:pStyle w:val="TableText"/>
              <w:rPr>
                <w:rFonts w:cs="Times New Roman"/>
                <w:b/>
                <w:sz w:val="22"/>
                <w:szCs w:val="22"/>
                <w:lang w:val="sr-Latn-ME"/>
              </w:rPr>
            </w:pPr>
            <w:r w:rsidRPr="00BA318E">
              <w:rPr>
                <w:rFonts w:cs="Times New Roman"/>
                <w:b/>
                <w:sz w:val="22"/>
                <w:szCs w:val="22"/>
                <w:lang w:val="sr-Latn-ME"/>
              </w:rPr>
              <w:t>Rijetko</w:t>
            </w:r>
          </w:p>
          <w:p w14:paraId="4ED5EA8C" w14:textId="77777777" w:rsidR="000017E4" w:rsidRPr="00BA318E" w:rsidRDefault="000017E4" w:rsidP="00C24791">
            <w:pPr>
              <w:pStyle w:val="TableText"/>
              <w:rPr>
                <w:rFonts w:cs="Times New Roman"/>
                <w:b/>
                <w:sz w:val="22"/>
                <w:szCs w:val="22"/>
                <w:lang w:val="sr-Latn-ME"/>
              </w:rPr>
            </w:pPr>
            <w:r w:rsidRPr="00BA318E">
              <w:rPr>
                <w:rFonts w:cs="Times New Roman"/>
                <w:b/>
                <w:sz w:val="22"/>
                <w:szCs w:val="22"/>
                <w:lang w:val="sr-Latn-ME"/>
              </w:rPr>
              <w:t>≥1/10000 do</w:t>
            </w:r>
          </w:p>
          <w:p w14:paraId="7F93D99E" w14:textId="77777777" w:rsidR="000017E4" w:rsidRPr="00BA318E" w:rsidRDefault="000017E4" w:rsidP="00C24791">
            <w:pPr>
              <w:pStyle w:val="TableText"/>
              <w:rPr>
                <w:rFonts w:cs="Times New Roman"/>
                <w:b/>
                <w:sz w:val="22"/>
                <w:szCs w:val="22"/>
                <w:lang w:val="sr-Latn-ME"/>
              </w:rPr>
            </w:pPr>
            <w:r w:rsidRPr="00BA318E">
              <w:rPr>
                <w:rFonts w:cs="Times New Roman"/>
                <w:b/>
                <w:sz w:val="22"/>
                <w:szCs w:val="22"/>
                <w:lang w:val="sr-Latn-ME"/>
              </w:rPr>
              <w:t>&lt;1/1000</w:t>
            </w:r>
          </w:p>
          <w:p w14:paraId="66107DA7" w14:textId="77777777" w:rsidR="000017E4" w:rsidRPr="00BA318E" w:rsidRDefault="000017E4" w:rsidP="00C24791">
            <w:pPr>
              <w:rPr>
                <w:b/>
                <w:sz w:val="22"/>
                <w:szCs w:val="22"/>
                <w:lang w:val="sr-Latn-ME"/>
              </w:rPr>
            </w:pPr>
          </w:p>
        </w:tc>
        <w:tc>
          <w:tcPr>
            <w:tcW w:w="1613" w:type="dxa"/>
            <w:shd w:val="clear" w:color="auto" w:fill="auto"/>
          </w:tcPr>
          <w:p w14:paraId="21B1683B" w14:textId="77777777" w:rsidR="000017E4" w:rsidRPr="00BA318E" w:rsidRDefault="000017E4" w:rsidP="00C24791">
            <w:pPr>
              <w:pStyle w:val="TableText"/>
              <w:rPr>
                <w:rFonts w:cs="Times New Roman"/>
                <w:b/>
                <w:sz w:val="22"/>
                <w:szCs w:val="22"/>
                <w:lang w:val="sr-Latn-ME"/>
              </w:rPr>
            </w:pPr>
            <w:r w:rsidRPr="00BA318E">
              <w:rPr>
                <w:rFonts w:cs="Times New Roman"/>
                <w:b/>
                <w:sz w:val="22"/>
                <w:szCs w:val="22"/>
                <w:lang w:val="sr-Latn-ME"/>
              </w:rPr>
              <w:t>Veoma rijetko</w:t>
            </w:r>
          </w:p>
          <w:p w14:paraId="2DF85CE0" w14:textId="77777777" w:rsidR="000017E4" w:rsidRPr="00BA318E" w:rsidRDefault="000017E4" w:rsidP="00C24791">
            <w:pPr>
              <w:pStyle w:val="TableText"/>
              <w:rPr>
                <w:rFonts w:cs="Times New Roman"/>
                <w:b/>
                <w:sz w:val="22"/>
                <w:szCs w:val="22"/>
                <w:lang w:val="sr-Latn-ME"/>
              </w:rPr>
            </w:pPr>
            <w:r w:rsidRPr="00BA318E">
              <w:rPr>
                <w:rFonts w:cs="Times New Roman"/>
                <w:b/>
                <w:sz w:val="22"/>
                <w:szCs w:val="22"/>
                <w:lang w:val="sr-Latn-ME"/>
              </w:rPr>
              <w:t>&lt;1/10000</w:t>
            </w:r>
          </w:p>
          <w:p w14:paraId="2C0FD51E" w14:textId="77777777" w:rsidR="000017E4" w:rsidRPr="00BA318E" w:rsidRDefault="000017E4" w:rsidP="00C24791">
            <w:pPr>
              <w:rPr>
                <w:b/>
                <w:sz w:val="22"/>
                <w:szCs w:val="22"/>
                <w:lang w:val="sr-Latn-ME"/>
              </w:rPr>
            </w:pPr>
          </w:p>
        </w:tc>
      </w:tr>
      <w:tr w:rsidR="000017E4" w:rsidRPr="00BA318E" w14:paraId="1AF3A695" w14:textId="77777777" w:rsidTr="00BA318E">
        <w:tc>
          <w:tcPr>
            <w:tcW w:w="1612" w:type="dxa"/>
            <w:shd w:val="clear" w:color="auto" w:fill="auto"/>
          </w:tcPr>
          <w:p w14:paraId="357D8D1F" w14:textId="77777777" w:rsidR="000017E4" w:rsidRPr="00BA318E" w:rsidRDefault="000017E4" w:rsidP="00C24791">
            <w:pPr>
              <w:rPr>
                <w:sz w:val="22"/>
                <w:szCs w:val="22"/>
                <w:lang w:val="sr-Latn-ME"/>
              </w:rPr>
            </w:pPr>
            <w:r w:rsidRPr="00BA318E">
              <w:rPr>
                <w:sz w:val="22"/>
                <w:szCs w:val="22"/>
                <w:lang w:val="sr-Latn-ME"/>
              </w:rPr>
              <w:t>Infekcije i infestacije</w:t>
            </w:r>
          </w:p>
        </w:tc>
        <w:tc>
          <w:tcPr>
            <w:tcW w:w="1612" w:type="dxa"/>
            <w:shd w:val="clear" w:color="auto" w:fill="auto"/>
          </w:tcPr>
          <w:p w14:paraId="2C9BA213" w14:textId="77777777" w:rsidR="000017E4" w:rsidRPr="00BA318E" w:rsidRDefault="000017E4" w:rsidP="00C24791">
            <w:pPr>
              <w:rPr>
                <w:sz w:val="22"/>
                <w:szCs w:val="22"/>
                <w:lang w:val="sr-Latn-ME"/>
              </w:rPr>
            </w:pPr>
          </w:p>
        </w:tc>
        <w:tc>
          <w:tcPr>
            <w:tcW w:w="1612" w:type="dxa"/>
            <w:shd w:val="clear" w:color="auto" w:fill="auto"/>
          </w:tcPr>
          <w:p w14:paraId="69A57523" w14:textId="77777777" w:rsidR="000017E4" w:rsidRPr="00BA318E" w:rsidRDefault="000017E4" w:rsidP="00C24791">
            <w:pPr>
              <w:rPr>
                <w:sz w:val="22"/>
                <w:szCs w:val="22"/>
                <w:lang w:val="sr-Latn-ME"/>
              </w:rPr>
            </w:pPr>
          </w:p>
        </w:tc>
        <w:tc>
          <w:tcPr>
            <w:tcW w:w="1613" w:type="dxa"/>
            <w:shd w:val="clear" w:color="auto" w:fill="auto"/>
          </w:tcPr>
          <w:p w14:paraId="0B8BAF70" w14:textId="77777777" w:rsidR="000017E4" w:rsidRPr="00BA318E" w:rsidRDefault="000017E4" w:rsidP="00C24791">
            <w:pPr>
              <w:rPr>
                <w:sz w:val="22"/>
                <w:szCs w:val="22"/>
                <w:lang w:val="sr-Latn-ME"/>
              </w:rPr>
            </w:pPr>
          </w:p>
        </w:tc>
        <w:tc>
          <w:tcPr>
            <w:tcW w:w="1613" w:type="dxa"/>
            <w:shd w:val="clear" w:color="auto" w:fill="auto"/>
          </w:tcPr>
          <w:p w14:paraId="08D60880" w14:textId="77777777" w:rsidR="000017E4" w:rsidRPr="00BA318E" w:rsidRDefault="000017E4" w:rsidP="00C24791">
            <w:pPr>
              <w:rPr>
                <w:sz w:val="22"/>
                <w:szCs w:val="22"/>
                <w:lang w:val="sr-Latn-ME"/>
              </w:rPr>
            </w:pPr>
            <w:r w:rsidRPr="00BA318E">
              <w:rPr>
                <w:sz w:val="22"/>
                <w:szCs w:val="22"/>
                <w:lang w:val="sr-Latn-ME"/>
              </w:rPr>
              <w:t>Keratitis izazvan virusom herpesa</w:t>
            </w:r>
            <w:r w:rsidRPr="00BA318E">
              <w:rPr>
                <w:iCs/>
                <w:sz w:val="22"/>
                <w:szCs w:val="22"/>
                <w:lang w:val="sr-Latn-ME"/>
              </w:rPr>
              <w:t>*</w:t>
            </w:r>
            <w:r w:rsidRPr="00BA318E">
              <w:rPr>
                <w:rStyle w:val="TableText9"/>
                <w:sz w:val="22"/>
                <w:szCs w:val="22"/>
                <w:lang w:val="sr-Latn-ME"/>
              </w:rPr>
              <w:t>§</w:t>
            </w:r>
          </w:p>
        </w:tc>
        <w:tc>
          <w:tcPr>
            <w:tcW w:w="1613" w:type="dxa"/>
            <w:shd w:val="clear" w:color="auto" w:fill="auto"/>
          </w:tcPr>
          <w:p w14:paraId="1610BB71" w14:textId="77777777" w:rsidR="000017E4" w:rsidRPr="00BA318E" w:rsidRDefault="000017E4" w:rsidP="00C24791">
            <w:pPr>
              <w:rPr>
                <w:sz w:val="22"/>
                <w:szCs w:val="22"/>
                <w:lang w:val="sr-Latn-ME"/>
              </w:rPr>
            </w:pPr>
          </w:p>
        </w:tc>
      </w:tr>
      <w:tr w:rsidR="000017E4" w:rsidRPr="00BA318E" w14:paraId="008895E0" w14:textId="77777777" w:rsidTr="00BA318E">
        <w:tc>
          <w:tcPr>
            <w:tcW w:w="1612" w:type="dxa"/>
            <w:shd w:val="clear" w:color="auto" w:fill="auto"/>
          </w:tcPr>
          <w:p w14:paraId="104A7561" w14:textId="77777777" w:rsidR="000017E4" w:rsidRPr="00BA318E" w:rsidRDefault="000017E4" w:rsidP="00C24791">
            <w:pPr>
              <w:rPr>
                <w:sz w:val="22"/>
                <w:szCs w:val="22"/>
                <w:lang w:val="sr-Latn-ME"/>
              </w:rPr>
            </w:pPr>
            <w:r w:rsidRPr="00BA318E">
              <w:rPr>
                <w:sz w:val="22"/>
                <w:szCs w:val="22"/>
                <w:lang w:val="sr-Latn-ME"/>
              </w:rPr>
              <w:t>Poremećaji nervnog sistema</w:t>
            </w:r>
          </w:p>
        </w:tc>
        <w:tc>
          <w:tcPr>
            <w:tcW w:w="1612" w:type="dxa"/>
            <w:shd w:val="clear" w:color="auto" w:fill="auto"/>
          </w:tcPr>
          <w:p w14:paraId="1385B626" w14:textId="77777777" w:rsidR="000017E4" w:rsidRPr="00BA318E" w:rsidRDefault="000017E4" w:rsidP="00C24791">
            <w:pPr>
              <w:rPr>
                <w:sz w:val="22"/>
                <w:szCs w:val="22"/>
                <w:lang w:val="sr-Latn-ME"/>
              </w:rPr>
            </w:pPr>
          </w:p>
        </w:tc>
        <w:tc>
          <w:tcPr>
            <w:tcW w:w="1612" w:type="dxa"/>
            <w:shd w:val="clear" w:color="auto" w:fill="auto"/>
          </w:tcPr>
          <w:p w14:paraId="0BA99438" w14:textId="77777777" w:rsidR="000017E4" w:rsidRPr="00BA318E" w:rsidRDefault="000017E4" w:rsidP="00C24791">
            <w:pPr>
              <w:rPr>
                <w:sz w:val="22"/>
                <w:szCs w:val="22"/>
                <w:lang w:val="sr-Latn-ME"/>
              </w:rPr>
            </w:pPr>
          </w:p>
        </w:tc>
        <w:tc>
          <w:tcPr>
            <w:tcW w:w="1613" w:type="dxa"/>
            <w:shd w:val="clear" w:color="auto" w:fill="auto"/>
          </w:tcPr>
          <w:p w14:paraId="03A7D59B" w14:textId="77777777" w:rsidR="000017E4" w:rsidRPr="00BA318E" w:rsidRDefault="000017E4" w:rsidP="00C24791">
            <w:pPr>
              <w:rPr>
                <w:sz w:val="22"/>
                <w:szCs w:val="22"/>
                <w:lang w:val="sr-Latn-ME"/>
              </w:rPr>
            </w:pPr>
            <w:r w:rsidRPr="00BA318E">
              <w:rPr>
                <w:sz w:val="22"/>
                <w:szCs w:val="22"/>
                <w:lang w:val="sr-Latn-ME"/>
              </w:rPr>
              <w:t>Glavobolja*; vrtoglavica*</w:t>
            </w:r>
          </w:p>
        </w:tc>
        <w:tc>
          <w:tcPr>
            <w:tcW w:w="1613" w:type="dxa"/>
            <w:shd w:val="clear" w:color="auto" w:fill="auto"/>
          </w:tcPr>
          <w:p w14:paraId="58BA43B2" w14:textId="77777777" w:rsidR="000017E4" w:rsidRPr="00BA318E" w:rsidRDefault="000017E4" w:rsidP="00C24791">
            <w:pPr>
              <w:rPr>
                <w:sz w:val="22"/>
                <w:szCs w:val="22"/>
                <w:lang w:val="sr-Latn-ME"/>
              </w:rPr>
            </w:pPr>
          </w:p>
        </w:tc>
        <w:tc>
          <w:tcPr>
            <w:tcW w:w="1613" w:type="dxa"/>
            <w:shd w:val="clear" w:color="auto" w:fill="auto"/>
          </w:tcPr>
          <w:p w14:paraId="7CC3D9D4" w14:textId="77777777" w:rsidR="000017E4" w:rsidRPr="00BA318E" w:rsidRDefault="000017E4" w:rsidP="00C24791">
            <w:pPr>
              <w:rPr>
                <w:sz w:val="22"/>
                <w:szCs w:val="22"/>
                <w:lang w:val="sr-Latn-ME"/>
              </w:rPr>
            </w:pPr>
          </w:p>
        </w:tc>
      </w:tr>
      <w:tr w:rsidR="000017E4" w:rsidRPr="007A44EC" w14:paraId="31E7CDCA" w14:textId="77777777" w:rsidTr="00BA318E">
        <w:tc>
          <w:tcPr>
            <w:tcW w:w="1612" w:type="dxa"/>
            <w:shd w:val="clear" w:color="auto" w:fill="auto"/>
          </w:tcPr>
          <w:p w14:paraId="12EA6F98" w14:textId="77777777" w:rsidR="000017E4" w:rsidRPr="00BA318E" w:rsidRDefault="000017E4" w:rsidP="00C24791">
            <w:pPr>
              <w:rPr>
                <w:sz w:val="22"/>
                <w:szCs w:val="22"/>
                <w:lang w:val="sr-Latn-ME"/>
              </w:rPr>
            </w:pPr>
            <w:r w:rsidRPr="00BA318E">
              <w:rPr>
                <w:sz w:val="22"/>
                <w:szCs w:val="22"/>
                <w:lang w:val="sr-Latn-ME"/>
              </w:rPr>
              <w:lastRenderedPageBreak/>
              <w:t>Poremećaji oka</w:t>
            </w:r>
          </w:p>
        </w:tc>
        <w:tc>
          <w:tcPr>
            <w:tcW w:w="1612" w:type="dxa"/>
            <w:shd w:val="clear" w:color="auto" w:fill="auto"/>
          </w:tcPr>
          <w:p w14:paraId="46C7DD0E" w14:textId="77777777" w:rsidR="000017E4" w:rsidRPr="00BA318E" w:rsidRDefault="000017E4" w:rsidP="00C24791">
            <w:pPr>
              <w:rPr>
                <w:sz w:val="22"/>
                <w:szCs w:val="22"/>
                <w:lang w:val="sr-Latn-ME"/>
              </w:rPr>
            </w:pPr>
            <w:r w:rsidRPr="00BA318E">
              <w:rPr>
                <w:sz w:val="22"/>
                <w:szCs w:val="22"/>
                <w:lang w:val="sr-Latn-ME"/>
              </w:rPr>
              <w:t>Hiperpigmentacija dužice; blaga do umjerena hiperemija konjunktive; iritacija oka (osjećaj žarenja i grebanja u oku, svrab, bockanje, osjećaj postojanja stranog tijela u oku); promjena trepavica i finih dlačica očnog kapka (povećanje dužine, debljine, pigmentacije i broja trepavica)</w:t>
            </w:r>
          </w:p>
        </w:tc>
        <w:tc>
          <w:tcPr>
            <w:tcW w:w="1612" w:type="dxa"/>
            <w:shd w:val="clear" w:color="auto" w:fill="auto"/>
          </w:tcPr>
          <w:p w14:paraId="7C784852" w14:textId="77777777" w:rsidR="000017E4" w:rsidRPr="00BA318E" w:rsidRDefault="000017E4" w:rsidP="00C24791">
            <w:pPr>
              <w:rPr>
                <w:sz w:val="22"/>
                <w:szCs w:val="22"/>
                <w:lang w:val="sr-Latn-ME"/>
              </w:rPr>
            </w:pPr>
            <w:r w:rsidRPr="00BA318E">
              <w:rPr>
                <w:sz w:val="22"/>
                <w:szCs w:val="22"/>
                <w:lang w:val="sr-Latn-ME"/>
              </w:rPr>
              <w:t xml:space="preserve">Tačkasti keratitis, uglavnom bez simptoma; blefaritis, bol u oku; fotofobija; konjunktivitis* </w:t>
            </w:r>
          </w:p>
        </w:tc>
        <w:tc>
          <w:tcPr>
            <w:tcW w:w="1613" w:type="dxa"/>
            <w:shd w:val="clear" w:color="auto" w:fill="auto"/>
          </w:tcPr>
          <w:p w14:paraId="2D7B7F68" w14:textId="77777777" w:rsidR="000017E4" w:rsidRPr="00BA318E" w:rsidRDefault="000017E4" w:rsidP="00C24791">
            <w:pPr>
              <w:rPr>
                <w:sz w:val="22"/>
                <w:szCs w:val="22"/>
                <w:lang w:val="sr-Latn-ME"/>
              </w:rPr>
            </w:pPr>
            <w:r w:rsidRPr="00BA318E">
              <w:rPr>
                <w:sz w:val="22"/>
                <w:szCs w:val="22"/>
                <w:lang w:val="sr-Latn-ME"/>
              </w:rPr>
              <w:t>Edem očnog kapka; suvoća očiju, keratitis*; zamućen vid; makularni edem uključujući cistoidni makularni edem*; uveitis*.</w:t>
            </w:r>
          </w:p>
        </w:tc>
        <w:tc>
          <w:tcPr>
            <w:tcW w:w="1613" w:type="dxa"/>
            <w:shd w:val="clear" w:color="auto" w:fill="auto"/>
          </w:tcPr>
          <w:p w14:paraId="75D377F1" w14:textId="77777777" w:rsidR="000017E4" w:rsidRPr="00BA318E" w:rsidRDefault="000017E4" w:rsidP="00C24791">
            <w:pPr>
              <w:rPr>
                <w:sz w:val="22"/>
                <w:szCs w:val="22"/>
                <w:lang w:val="sr-Latn-ME"/>
              </w:rPr>
            </w:pPr>
            <w:r w:rsidRPr="00BA318E">
              <w:rPr>
                <w:sz w:val="22"/>
                <w:szCs w:val="22"/>
                <w:lang w:val="sr-Latn-ME"/>
              </w:rPr>
              <w:t>Iritis*; edem rožnjače*; erozija rožnjače; periorbitalni edem; trihijaza*; distihijaza; cista na dužici*</w:t>
            </w:r>
            <w:r w:rsidRPr="00BA318E">
              <w:rPr>
                <w:rStyle w:val="TableText9"/>
                <w:sz w:val="22"/>
                <w:szCs w:val="22"/>
                <w:lang w:val="sr-Latn-ME"/>
              </w:rPr>
              <w:t>§; lokalizovana kožna reakcija na očnim kapcima; tamnjenje palpebralne kože očnih kapaka; pseudopemfigoid konjunktive oka*§</w:t>
            </w:r>
          </w:p>
        </w:tc>
        <w:tc>
          <w:tcPr>
            <w:tcW w:w="1613" w:type="dxa"/>
            <w:shd w:val="clear" w:color="auto" w:fill="auto"/>
          </w:tcPr>
          <w:p w14:paraId="4CAD5D79" w14:textId="77777777" w:rsidR="000017E4" w:rsidRPr="00BA318E" w:rsidRDefault="000017E4" w:rsidP="00C24791">
            <w:pPr>
              <w:rPr>
                <w:sz w:val="22"/>
                <w:szCs w:val="22"/>
                <w:lang w:val="sr-Latn-ME"/>
              </w:rPr>
            </w:pPr>
            <w:r w:rsidRPr="00BA318E">
              <w:rPr>
                <w:sz w:val="22"/>
                <w:szCs w:val="22"/>
                <w:lang w:val="sr-Latn-ME"/>
              </w:rPr>
              <w:t>Periorbitalne i promjene očnog kapka koje dovode do produbljivanja sulkusa očnog kapka</w:t>
            </w:r>
          </w:p>
        </w:tc>
      </w:tr>
      <w:tr w:rsidR="000017E4" w:rsidRPr="00BA318E" w14:paraId="390754EA" w14:textId="77777777" w:rsidTr="00BA318E">
        <w:tc>
          <w:tcPr>
            <w:tcW w:w="1612" w:type="dxa"/>
            <w:shd w:val="clear" w:color="auto" w:fill="auto"/>
          </w:tcPr>
          <w:p w14:paraId="24CE8844" w14:textId="77777777" w:rsidR="000017E4" w:rsidRPr="00BA318E" w:rsidRDefault="000017E4" w:rsidP="00C24791">
            <w:pPr>
              <w:rPr>
                <w:sz w:val="22"/>
                <w:szCs w:val="22"/>
                <w:lang w:val="sr-Latn-ME"/>
              </w:rPr>
            </w:pPr>
            <w:r w:rsidRPr="00BA318E">
              <w:rPr>
                <w:sz w:val="22"/>
                <w:szCs w:val="22"/>
                <w:lang w:val="sr-Latn-ME"/>
              </w:rPr>
              <w:t>Srčani poremećaji</w:t>
            </w:r>
          </w:p>
        </w:tc>
        <w:tc>
          <w:tcPr>
            <w:tcW w:w="1612" w:type="dxa"/>
            <w:shd w:val="clear" w:color="auto" w:fill="auto"/>
          </w:tcPr>
          <w:p w14:paraId="224E4FED" w14:textId="77777777" w:rsidR="000017E4" w:rsidRPr="00BA318E" w:rsidRDefault="000017E4" w:rsidP="00C24791">
            <w:pPr>
              <w:rPr>
                <w:sz w:val="22"/>
                <w:szCs w:val="22"/>
                <w:lang w:val="sr-Latn-ME"/>
              </w:rPr>
            </w:pPr>
          </w:p>
        </w:tc>
        <w:tc>
          <w:tcPr>
            <w:tcW w:w="1612" w:type="dxa"/>
            <w:shd w:val="clear" w:color="auto" w:fill="auto"/>
          </w:tcPr>
          <w:p w14:paraId="315D0BEB" w14:textId="77777777" w:rsidR="000017E4" w:rsidRPr="00BA318E" w:rsidRDefault="000017E4" w:rsidP="00C24791">
            <w:pPr>
              <w:rPr>
                <w:sz w:val="22"/>
                <w:szCs w:val="22"/>
                <w:lang w:val="sr-Latn-ME"/>
              </w:rPr>
            </w:pPr>
          </w:p>
        </w:tc>
        <w:tc>
          <w:tcPr>
            <w:tcW w:w="1613" w:type="dxa"/>
            <w:shd w:val="clear" w:color="auto" w:fill="auto"/>
          </w:tcPr>
          <w:p w14:paraId="599F0186" w14:textId="77777777" w:rsidR="000017E4" w:rsidRPr="00BA318E" w:rsidRDefault="000017E4" w:rsidP="00C24791">
            <w:pPr>
              <w:rPr>
                <w:sz w:val="22"/>
                <w:szCs w:val="22"/>
                <w:lang w:val="sr-Latn-ME"/>
              </w:rPr>
            </w:pPr>
            <w:r w:rsidRPr="00BA318E">
              <w:rPr>
                <w:sz w:val="22"/>
                <w:szCs w:val="22"/>
                <w:lang w:val="sr-Latn-ME"/>
              </w:rPr>
              <w:t>Angina pectoris; palpitacije*</w:t>
            </w:r>
          </w:p>
        </w:tc>
        <w:tc>
          <w:tcPr>
            <w:tcW w:w="1613" w:type="dxa"/>
            <w:shd w:val="clear" w:color="auto" w:fill="auto"/>
          </w:tcPr>
          <w:p w14:paraId="440A52A3" w14:textId="77777777" w:rsidR="000017E4" w:rsidRPr="00BA318E" w:rsidRDefault="000017E4" w:rsidP="00C24791">
            <w:pPr>
              <w:rPr>
                <w:sz w:val="22"/>
                <w:szCs w:val="22"/>
                <w:lang w:val="sr-Latn-ME"/>
              </w:rPr>
            </w:pPr>
          </w:p>
        </w:tc>
        <w:tc>
          <w:tcPr>
            <w:tcW w:w="1613" w:type="dxa"/>
            <w:shd w:val="clear" w:color="auto" w:fill="auto"/>
          </w:tcPr>
          <w:p w14:paraId="5B1112B3" w14:textId="77777777" w:rsidR="000017E4" w:rsidRPr="00BA318E" w:rsidRDefault="000017E4" w:rsidP="00C24791">
            <w:pPr>
              <w:rPr>
                <w:sz w:val="22"/>
                <w:szCs w:val="22"/>
                <w:lang w:val="sr-Latn-ME"/>
              </w:rPr>
            </w:pPr>
            <w:r w:rsidRPr="00BA318E">
              <w:rPr>
                <w:sz w:val="22"/>
                <w:szCs w:val="22"/>
                <w:lang w:val="sr-Latn-ME"/>
              </w:rPr>
              <w:t>Nestabilna angina</w:t>
            </w:r>
          </w:p>
        </w:tc>
      </w:tr>
      <w:tr w:rsidR="000017E4" w:rsidRPr="00BA318E" w14:paraId="55505DFC" w14:textId="77777777" w:rsidTr="00BA318E">
        <w:tc>
          <w:tcPr>
            <w:tcW w:w="1612" w:type="dxa"/>
            <w:shd w:val="clear" w:color="auto" w:fill="auto"/>
          </w:tcPr>
          <w:p w14:paraId="69516075" w14:textId="77777777" w:rsidR="000017E4" w:rsidRPr="00BA318E" w:rsidRDefault="000017E4" w:rsidP="00C24791">
            <w:pPr>
              <w:rPr>
                <w:sz w:val="22"/>
                <w:szCs w:val="22"/>
                <w:lang w:val="sr-Latn-ME"/>
              </w:rPr>
            </w:pPr>
            <w:r w:rsidRPr="00BA318E">
              <w:rPr>
                <w:sz w:val="22"/>
                <w:szCs w:val="22"/>
                <w:lang w:val="sr-Latn-ME"/>
              </w:rPr>
              <w:t>Respiratorni, torakalni i medijastinalni poremećaji</w:t>
            </w:r>
          </w:p>
        </w:tc>
        <w:tc>
          <w:tcPr>
            <w:tcW w:w="1612" w:type="dxa"/>
            <w:shd w:val="clear" w:color="auto" w:fill="auto"/>
          </w:tcPr>
          <w:p w14:paraId="71EE6555" w14:textId="77777777" w:rsidR="000017E4" w:rsidRPr="00BA318E" w:rsidRDefault="000017E4" w:rsidP="00C24791">
            <w:pPr>
              <w:rPr>
                <w:sz w:val="22"/>
                <w:szCs w:val="22"/>
                <w:lang w:val="sr-Latn-ME"/>
              </w:rPr>
            </w:pPr>
          </w:p>
        </w:tc>
        <w:tc>
          <w:tcPr>
            <w:tcW w:w="1612" w:type="dxa"/>
            <w:shd w:val="clear" w:color="auto" w:fill="auto"/>
          </w:tcPr>
          <w:p w14:paraId="61B25F3E" w14:textId="77777777" w:rsidR="000017E4" w:rsidRPr="00BA318E" w:rsidRDefault="000017E4" w:rsidP="00C24791">
            <w:pPr>
              <w:rPr>
                <w:sz w:val="22"/>
                <w:szCs w:val="22"/>
                <w:lang w:val="sr-Latn-ME"/>
              </w:rPr>
            </w:pPr>
          </w:p>
        </w:tc>
        <w:tc>
          <w:tcPr>
            <w:tcW w:w="1613" w:type="dxa"/>
            <w:shd w:val="clear" w:color="auto" w:fill="auto"/>
          </w:tcPr>
          <w:p w14:paraId="12FCC6FC" w14:textId="77777777" w:rsidR="000017E4" w:rsidRPr="00BA318E" w:rsidRDefault="000017E4" w:rsidP="00C24791">
            <w:pPr>
              <w:rPr>
                <w:sz w:val="22"/>
                <w:szCs w:val="22"/>
                <w:lang w:val="sr-Latn-ME"/>
              </w:rPr>
            </w:pPr>
            <w:r w:rsidRPr="00BA318E">
              <w:rPr>
                <w:sz w:val="22"/>
                <w:szCs w:val="22"/>
                <w:lang w:val="sr-Latn-ME"/>
              </w:rPr>
              <w:t>Astma*; dispneja*</w:t>
            </w:r>
          </w:p>
        </w:tc>
        <w:tc>
          <w:tcPr>
            <w:tcW w:w="1613" w:type="dxa"/>
            <w:shd w:val="clear" w:color="auto" w:fill="auto"/>
          </w:tcPr>
          <w:p w14:paraId="066A75E3" w14:textId="77777777" w:rsidR="000017E4" w:rsidRPr="00BA318E" w:rsidRDefault="000017E4" w:rsidP="00C24791">
            <w:pPr>
              <w:rPr>
                <w:sz w:val="22"/>
                <w:szCs w:val="22"/>
                <w:lang w:val="sr-Latn-ME"/>
              </w:rPr>
            </w:pPr>
            <w:r w:rsidRPr="00BA318E">
              <w:rPr>
                <w:sz w:val="22"/>
                <w:szCs w:val="22"/>
                <w:lang w:val="sr-Latn-ME"/>
              </w:rPr>
              <w:t>Pogoršanje astme</w:t>
            </w:r>
          </w:p>
        </w:tc>
        <w:tc>
          <w:tcPr>
            <w:tcW w:w="1613" w:type="dxa"/>
            <w:shd w:val="clear" w:color="auto" w:fill="auto"/>
          </w:tcPr>
          <w:p w14:paraId="3D392BC1" w14:textId="77777777" w:rsidR="000017E4" w:rsidRPr="00BA318E" w:rsidRDefault="000017E4" w:rsidP="00C24791">
            <w:pPr>
              <w:rPr>
                <w:sz w:val="22"/>
                <w:szCs w:val="22"/>
                <w:lang w:val="sr-Latn-ME"/>
              </w:rPr>
            </w:pPr>
          </w:p>
        </w:tc>
      </w:tr>
      <w:tr w:rsidR="00DB503B" w:rsidRPr="00BA318E" w14:paraId="08922A41" w14:textId="77777777" w:rsidTr="007A44EC">
        <w:tc>
          <w:tcPr>
            <w:tcW w:w="1612" w:type="dxa"/>
          </w:tcPr>
          <w:p w14:paraId="1C90078E" w14:textId="01DEC12D" w:rsidR="00DB503B" w:rsidRPr="00BA318E" w:rsidRDefault="00DB503B" w:rsidP="00DB503B">
            <w:pPr>
              <w:rPr>
                <w:sz w:val="22"/>
                <w:szCs w:val="22"/>
                <w:lang w:val="sr-Latn-ME"/>
              </w:rPr>
            </w:pPr>
            <w:r w:rsidRPr="0053659C">
              <w:rPr>
                <w:sz w:val="22"/>
                <w:szCs w:val="22"/>
                <w:lang w:val="sr-Latn-ME"/>
              </w:rPr>
              <w:t>Gastrointestina</w:t>
            </w:r>
            <w:r w:rsidR="00443FA0">
              <w:rPr>
                <w:sz w:val="22"/>
                <w:szCs w:val="22"/>
                <w:lang w:val="sr-Latn-ME"/>
              </w:rPr>
              <w:t>-</w:t>
            </w:r>
            <w:r w:rsidRPr="0053659C">
              <w:rPr>
                <w:sz w:val="22"/>
                <w:szCs w:val="22"/>
                <w:lang w:val="sr-Latn-ME"/>
              </w:rPr>
              <w:t>lni poremećaji</w:t>
            </w:r>
          </w:p>
        </w:tc>
        <w:tc>
          <w:tcPr>
            <w:tcW w:w="1612" w:type="dxa"/>
          </w:tcPr>
          <w:p w14:paraId="5C7E9DE3" w14:textId="77777777" w:rsidR="00DB503B" w:rsidRPr="00BA318E" w:rsidRDefault="00DB503B" w:rsidP="00DB503B">
            <w:pPr>
              <w:rPr>
                <w:sz w:val="22"/>
                <w:szCs w:val="22"/>
                <w:lang w:val="sr-Latn-ME"/>
              </w:rPr>
            </w:pPr>
          </w:p>
        </w:tc>
        <w:tc>
          <w:tcPr>
            <w:tcW w:w="1612" w:type="dxa"/>
          </w:tcPr>
          <w:p w14:paraId="007BFC5D" w14:textId="77777777" w:rsidR="00DB503B" w:rsidRPr="00BA318E" w:rsidRDefault="00DB503B" w:rsidP="00DB503B">
            <w:pPr>
              <w:rPr>
                <w:sz w:val="22"/>
                <w:szCs w:val="22"/>
                <w:lang w:val="sr-Latn-ME"/>
              </w:rPr>
            </w:pPr>
          </w:p>
        </w:tc>
        <w:tc>
          <w:tcPr>
            <w:tcW w:w="1613" w:type="dxa"/>
          </w:tcPr>
          <w:p w14:paraId="2F8D28AB" w14:textId="57116A53" w:rsidR="00DB503B" w:rsidRPr="00443FA0" w:rsidRDefault="00DB503B" w:rsidP="00DB503B">
            <w:pPr>
              <w:rPr>
                <w:sz w:val="22"/>
                <w:szCs w:val="22"/>
                <w:lang w:val="sr-Latn-ME"/>
              </w:rPr>
            </w:pPr>
            <w:r w:rsidRPr="0053659C">
              <w:rPr>
                <w:sz w:val="22"/>
                <w:szCs w:val="22"/>
                <w:lang w:val="sr-Latn-ME"/>
              </w:rPr>
              <w:t>Mučnina*; Povraćanje*</w:t>
            </w:r>
          </w:p>
        </w:tc>
        <w:tc>
          <w:tcPr>
            <w:tcW w:w="1613" w:type="dxa"/>
            <w:shd w:val="clear" w:color="auto" w:fill="auto"/>
          </w:tcPr>
          <w:p w14:paraId="555DFA64" w14:textId="77777777" w:rsidR="00DB503B" w:rsidRPr="00BA318E" w:rsidRDefault="00DB503B" w:rsidP="00DB503B">
            <w:pPr>
              <w:rPr>
                <w:sz w:val="22"/>
                <w:szCs w:val="22"/>
                <w:lang w:val="sr-Latn-ME"/>
              </w:rPr>
            </w:pPr>
          </w:p>
        </w:tc>
        <w:tc>
          <w:tcPr>
            <w:tcW w:w="1613" w:type="dxa"/>
            <w:shd w:val="clear" w:color="auto" w:fill="auto"/>
          </w:tcPr>
          <w:p w14:paraId="115BC49B" w14:textId="77777777" w:rsidR="00DB503B" w:rsidRPr="00BA318E" w:rsidRDefault="00DB503B" w:rsidP="00DB503B">
            <w:pPr>
              <w:rPr>
                <w:sz w:val="22"/>
                <w:szCs w:val="22"/>
                <w:lang w:val="sr-Latn-ME"/>
              </w:rPr>
            </w:pPr>
          </w:p>
        </w:tc>
      </w:tr>
      <w:tr w:rsidR="000017E4" w:rsidRPr="00BA318E" w14:paraId="71FDEF92" w14:textId="77777777" w:rsidTr="00BA318E">
        <w:tc>
          <w:tcPr>
            <w:tcW w:w="1612" w:type="dxa"/>
            <w:shd w:val="clear" w:color="auto" w:fill="auto"/>
          </w:tcPr>
          <w:p w14:paraId="07326258" w14:textId="77777777" w:rsidR="000017E4" w:rsidRPr="00BA318E" w:rsidRDefault="000017E4" w:rsidP="00C24791">
            <w:pPr>
              <w:rPr>
                <w:sz w:val="22"/>
                <w:szCs w:val="22"/>
                <w:lang w:val="sr-Latn-ME"/>
              </w:rPr>
            </w:pPr>
            <w:r w:rsidRPr="00BA318E">
              <w:rPr>
                <w:sz w:val="22"/>
                <w:szCs w:val="22"/>
                <w:lang w:val="sr-Latn-ME"/>
              </w:rPr>
              <w:t>Poremećaji kože i potkožnog tkiva</w:t>
            </w:r>
          </w:p>
        </w:tc>
        <w:tc>
          <w:tcPr>
            <w:tcW w:w="1612" w:type="dxa"/>
            <w:shd w:val="clear" w:color="auto" w:fill="auto"/>
          </w:tcPr>
          <w:p w14:paraId="32F37C9F" w14:textId="77777777" w:rsidR="000017E4" w:rsidRPr="00BA318E" w:rsidRDefault="000017E4" w:rsidP="00C24791">
            <w:pPr>
              <w:rPr>
                <w:sz w:val="22"/>
                <w:szCs w:val="22"/>
                <w:lang w:val="sr-Latn-ME"/>
              </w:rPr>
            </w:pPr>
          </w:p>
        </w:tc>
        <w:tc>
          <w:tcPr>
            <w:tcW w:w="1612" w:type="dxa"/>
            <w:shd w:val="clear" w:color="auto" w:fill="auto"/>
          </w:tcPr>
          <w:p w14:paraId="4200B182" w14:textId="77777777" w:rsidR="000017E4" w:rsidRPr="00BA318E" w:rsidRDefault="000017E4" w:rsidP="00C24791">
            <w:pPr>
              <w:rPr>
                <w:sz w:val="22"/>
                <w:szCs w:val="22"/>
                <w:lang w:val="sr-Latn-ME"/>
              </w:rPr>
            </w:pPr>
          </w:p>
        </w:tc>
        <w:tc>
          <w:tcPr>
            <w:tcW w:w="1613" w:type="dxa"/>
            <w:shd w:val="clear" w:color="auto" w:fill="auto"/>
          </w:tcPr>
          <w:p w14:paraId="2FA6A896" w14:textId="77777777" w:rsidR="000017E4" w:rsidRPr="00BA318E" w:rsidRDefault="000017E4" w:rsidP="00C24791">
            <w:pPr>
              <w:rPr>
                <w:sz w:val="22"/>
                <w:szCs w:val="22"/>
                <w:lang w:val="sr-Latn-ME"/>
              </w:rPr>
            </w:pPr>
            <w:r w:rsidRPr="00BA318E">
              <w:rPr>
                <w:sz w:val="22"/>
                <w:szCs w:val="22"/>
                <w:lang w:val="sr-Latn-ME"/>
              </w:rPr>
              <w:t>Osip</w:t>
            </w:r>
          </w:p>
        </w:tc>
        <w:tc>
          <w:tcPr>
            <w:tcW w:w="1613" w:type="dxa"/>
            <w:shd w:val="clear" w:color="auto" w:fill="auto"/>
          </w:tcPr>
          <w:p w14:paraId="279E4C99" w14:textId="77777777" w:rsidR="000017E4" w:rsidRPr="00BA318E" w:rsidRDefault="000017E4" w:rsidP="00C24791">
            <w:pPr>
              <w:rPr>
                <w:sz w:val="22"/>
                <w:szCs w:val="22"/>
                <w:lang w:val="sr-Latn-ME"/>
              </w:rPr>
            </w:pPr>
            <w:r w:rsidRPr="00BA318E">
              <w:rPr>
                <w:sz w:val="22"/>
                <w:szCs w:val="22"/>
                <w:lang w:val="sr-Latn-ME"/>
              </w:rPr>
              <w:t>Pruritus</w:t>
            </w:r>
          </w:p>
        </w:tc>
        <w:tc>
          <w:tcPr>
            <w:tcW w:w="1613" w:type="dxa"/>
            <w:shd w:val="clear" w:color="auto" w:fill="auto"/>
          </w:tcPr>
          <w:p w14:paraId="7EED55B5" w14:textId="77777777" w:rsidR="000017E4" w:rsidRPr="00BA318E" w:rsidRDefault="000017E4" w:rsidP="00C24791">
            <w:pPr>
              <w:rPr>
                <w:sz w:val="22"/>
                <w:szCs w:val="22"/>
                <w:lang w:val="sr-Latn-ME"/>
              </w:rPr>
            </w:pPr>
          </w:p>
        </w:tc>
      </w:tr>
      <w:tr w:rsidR="000017E4" w:rsidRPr="00BA318E" w14:paraId="1170C9D0" w14:textId="77777777" w:rsidTr="00BA318E">
        <w:tc>
          <w:tcPr>
            <w:tcW w:w="1612" w:type="dxa"/>
            <w:shd w:val="clear" w:color="auto" w:fill="auto"/>
          </w:tcPr>
          <w:p w14:paraId="35DCA6C1" w14:textId="77777777" w:rsidR="000017E4" w:rsidRPr="00BA318E" w:rsidRDefault="000017E4" w:rsidP="00C24791">
            <w:pPr>
              <w:rPr>
                <w:sz w:val="22"/>
                <w:szCs w:val="22"/>
                <w:lang w:val="sr-Latn-ME"/>
              </w:rPr>
            </w:pPr>
            <w:r w:rsidRPr="00BA318E">
              <w:rPr>
                <w:sz w:val="22"/>
                <w:szCs w:val="22"/>
                <w:lang w:val="sr-Latn-ME"/>
              </w:rPr>
              <w:t>Poremećaji mišićno-kostnog sistema i vezivnog tkiva</w:t>
            </w:r>
          </w:p>
        </w:tc>
        <w:tc>
          <w:tcPr>
            <w:tcW w:w="1612" w:type="dxa"/>
            <w:shd w:val="clear" w:color="auto" w:fill="auto"/>
          </w:tcPr>
          <w:p w14:paraId="6CF6178C" w14:textId="77777777" w:rsidR="000017E4" w:rsidRPr="00BA318E" w:rsidRDefault="000017E4" w:rsidP="00C24791">
            <w:pPr>
              <w:rPr>
                <w:sz w:val="22"/>
                <w:szCs w:val="22"/>
                <w:lang w:val="sr-Latn-ME"/>
              </w:rPr>
            </w:pPr>
          </w:p>
        </w:tc>
        <w:tc>
          <w:tcPr>
            <w:tcW w:w="1612" w:type="dxa"/>
            <w:shd w:val="clear" w:color="auto" w:fill="auto"/>
          </w:tcPr>
          <w:p w14:paraId="37F2431B" w14:textId="77777777" w:rsidR="000017E4" w:rsidRPr="00BA318E" w:rsidRDefault="000017E4" w:rsidP="00C24791">
            <w:pPr>
              <w:rPr>
                <w:sz w:val="22"/>
                <w:szCs w:val="22"/>
                <w:lang w:val="sr-Latn-ME"/>
              </w:rPr>
            </w:pPr>
          </w:p>
        </w:tc>
        <w:tc>
          <w:tcPr>
            <w:tcW w:w="1613" w:type="dxa"/>
            <w:shd w:val="clear" w:color="auto" w:fill="auto"/>
          </w:tcPr>
          <w:p w14:paraId="6405365A" w14:textId="77777777" w:rsidR="000017E4" w:rsidRPr="00BA318E" w:rsidRDefault="000017E4" w:rsidP="00C24791">
            <w:pPr>
              <w:rPr>
                <w:sz w:val="22"/>
                <w:szCs w:val="22"/>
                <w:lang w:val="sr-Latn-ME"/>
              </w:rPr>
            </w:pPr>
            <w:r w:rsidRPr="00BA318E">
              <w:rPr>
                <w:sz w:val="22"/>
                <w:szCs w:val="22"/>
                <w:lang w:val="sr-Latn-ME"/>
              </w:rPr>
              <w:t>Mijalgija*; artralgija</w:t>
            </w:r>
          </w:p>
        </w:tc>
        <w:tc>
          <w:tcPr>
            <w:tcW w:w="1613" w:type="dxa"/>
            <w:shd w:val="clear" w:color="auto" w:fill="auto"/>
          </w:tcPr>
          <w:p w14:paraId="370308D7" w14:textId="77777777" w:rsidR="000017E4" w:rsidRPr="00BA318E" w:rsidRDefault="000017E4" w:rsidP="00C24791">
            <w:pPr>
              <w:rPr>
                <w:sz w:val="22"/>
                <w:szCs w:val="22"/>
                <w:lang w:val="sr-Latn-ME"/>
              </w:rPr>
            </w:pPr>
          </w:p>
        </w:tc>
        <w:tc>
          <w:tcPr>
            <w:tcW w:w="1613" w:type="dxa"/>
            <w:shd w:val="clear" w:color="auto" w:fill="auto"/>
          </w:tcPr>
          <w:p w14:paraId="0A76FA66" w14:textId="77777777" w:rsidR="000017E4" w:rsidRPr="00BA318E" w:rsidRDefault="000017E4" w:rsidP="00C24791">
            <w:pPr>
              <w:rPr>
                <w:sz w:val="22"/>
                <w:szCs w:val="22"/>
                <w:lang w:val="sr-Latn-ME"/>
              </w:rPr>
            </w:pPr>
          </w:p>
        </w:tc>
      </w:tr>
      <w:tr w:rsidR="000017E4" w:rsidRPr="00BA318E" w14:paraId="2E5DD8B0" w14:textId="77777777" w:rsidTr="00BA318E">
        <w:tc>
          <w:tcPr>
            <w:tcW w:w="1612" w:type="dxa"/>
            <w:shd w:val="clear" w:color="auto" w:fill="auto"/>
          </w:tcPr>
          <w:p w14:paraId="2EFAF13A" w14:textId="77777777" w:rsidR="000017E4" w:rsidRPr="00BA318E" w:rsidRDefault="000017E4" w:rsidP="00C24791">
            <w:pPr>
              <w:rPr>
                <w:sz w:val="22"/>
                <w:szCs w:val="22"/>
                <w:lang w:val="sr-Latn-ME"/>
              </w:rPr>
            </w:pPr>
            <w:r w:rsidRPr="00BA318E">
              <w:rPr>
                <w:sz w:val="22"/>
                <w:szCs w:val="22"/>
                <w:lang w:val="sr-Latn-ME"/>
              </w:rPr>
              <w:t>Opšti poremećaji i stanja na mjestu primjene</w:t>
            </w:r>
          </w:p>
        </w:tc>
        <w:tc>
          <w:tcPr>
            <w:tcW w:w="1612" w:type="dxa"/>
            <w:shd w:val="clear" w:color="auto" w:fill="auto"/>
          </w:tcPr>
          <w:p w14:paraId="6C050E8A" w14:textId="77777777" w:rsidR="000017E4" w:rsidRPr="00BA318E" w:rsidRDefault="000017E4" w:rsidP="00C24791">
            <w:pPr>
              <w:rPr>
                <w:sz w:val="22"/>
                <w:szCs w:val="22"/>
                <w:lang w:val="sr-Latn-ME"/>
              </w:rPr>
            </w:pPr>
          </w:p>
        </w:tc>
        <w:tc>
          <w:tcPr>
            <w:tcW w:w="1612" w:type="dxa"/>
            <w:shd w:val="clear" w:color="auto" w:fill="auto"/>
          </w:tcPr>
          <w:p w14:paraId="190BC77C" w14:textId="77777777" w:rsidR="000017E4" w:rsidRPr="00BA318E" w:rsidRDefault="000017E4" w:rsidP="00C24791">
            <w:pPr>
              <w:rPr>
                <w:sz w:val="22"/>
                <w:szCs w:val="22"/>
                <w:lang w:val="sr-Latn-ME"/>
              </w:rPr>
            </w:pPr>
          </w:p>
        </w:tc>
        <w:tc>
          <w:tcPr>
            <w:tcW w:w="1613" w:type="dxa"/>
            <w:shd w:val="clear" w:color="auto" w:fill="auto"/>
          </w:tcPr>
          <w:p w14:paraId="73F0A38E" w14:textId="77777777" w:rsidR="000017E4" w:rsidRPr="00BA318E" w:rsidRDefault="000017E4" w:rsidP="00C24791">
            <w:pPr>
              <w:rPr>
                <w:sz w:val="22"/>
                <w:szCs w:val="22"/>
                <w:lang w:val="sr-Latn-ME"/>
              </w:rPr>
            </w:pPr>
            <w:r w:rsidRPr="00BA318E">
              <w:rPr>
                <w:sz w:val="22"/>
                <w:szCs w:val="22"/>
                <w:lang w:val="sr-Latn-ME"/>
              </w:rPr>
              <w:t>Bol u grudima*</w:t>
            </w:r>
          </w:p>
        </w:tc>
        <w:tc>
          <w:tcPr>
            <w:tcW w:w="1613" w:type="dxa"/>
            <w:shd w:val="clear" w:color="auto" w:fill="auto"/>
          </w:tcPr>
          <w:p w14:paraId="71BF71AC" w14:textId="77777777" w:rsidR="000017E4" w:rsidRPr="00BA318E" w:rsidRDefault="000017E4" w:rsidP="00C24791">
            <w:pPr>
              <w:rPr>
                <w:sz w:val="22"/>
                <w:szCs w:val="22"/>
                <w:lang w:val="sr-Latn-ME"/>
              </w:rPr>
            </w:pPr>
          </w:p>
        </w:tc>
        <w:tc>
          <w:tcPr>
            <w:tcW w:w="1613" w:type="dxa"/>
            <w:shd w:val="clear" w:color="auto" w:fill="auto"/>
          </w:tcPr>
          <w:p w14:paraId="5878D3AF" w14:textId="77777777" w:rsidR="000017E4" w:rsidRPr="00BA318E" w:rsidRDefault="000017E4" w:rsidP="00C24791">
            <w:pPr>
              <w:rPr>
                <w:sz w:val="22"/>
                <w:szCs w:val="22"/>
                <w:lang w:val="sr-Latn-ME"/>
              </w:rPr>
            </w:pPr>
          </w:p>
        </w:tc>
      </w:tr>
    </w:tbl>
    <w:p w14:paraId="614E91EE" w14:textId="77777777" w:rsidR="000017E4" w:rsidRPr="00BA318E" w:rsidRDefault="000017E4" w:rsidP="000017E4">
      <w:pPr>
        <w:rPr>
          <w:sz w:val="22"/>
          <w:szCs w:val="22"/>
          <w:lang w:val="sr-Latn-ME"/>
        </w:rPr>
      </w:pPr>
      <w:r w:rsidRPr="00BA318E">
        <w:rPr>
          <w:sz w:val="22"/>
          <w:szCs w:val="22"/>
          <w:lang w:val="sr-Latn-ME"/>
        </w:rPr>
        <w:t>*Neželjena reakcija identifikovana u postmarketinškom periodu</w:t>
      </w:r>
    </w:p>
    <w:p w14:paraId="1E4147EE" w14:textId="77777777" w:rsidR="000017E4" w:rsidRPr="00BA318E" w:rsidRDefault="000017E4" w:rsidP="000017E4">
      <w:pPr>
        <w:rPr>
          <w:sz w:val="22"/>
          <w:szCs w:val="22"/>
          <w:lang w:val="sr-Latn-ME"/>
        </w:rPr>
      </w:pPr>
      <w:r w:rsidRPr="00BA318E">
        <w:rPr>
          <w:sz w:val="22"/>
          <w:szCs w:val="22"/>
          <w:lang w:val="sr-Latn-ME"/>
        </w:rPr>
        <w:t>§Učestalost neželjene reakcije procijenjena pomoću „trojnog pravila“</w:t>
      </w:r>
    </w:p>
    <w:p w14:paraId="49714196" w14:textId="77777777" w:rsidR="000017E4" w:rsidRPr="00BA318E" w:rsidRDefault="000017E4" w:rsidP="000017E4">
      <w:pPr>
        <w:rPr>
          <w:sz w:val="22"/>
          <w:szCs w:val="22"/>
          <w:lang w:val="sr-Latn-ME"/>
        </w:rPr>
      </w:pPr>
    </w:p>
    <w:p w14:paraId="18EE0650" w14:textId="77777777" w:rsidR="000017E4" w:rsidRPr="00BA318E" w:rsidRDefault="000017E4" w:rsidP="000017E4">
      <w:pPr>
        <w:rPr>
          <w:sz w:val="22"/>
          <w:szCs w:val="22"/>
          <w:lang w:val="sr-Latn-ME"/>
        </w:rPr>
      </w:pPr>
      <w:r w:rsidRPr="00BA318E">
        <w:rPr>
          <w:sz w:val="22"/>
          <w:szCs w:val="22"/>
          <w:lang w:val="sr-Latn-ME"/>
        </w:rPr>
        <w:t>Kod nekih pacijenata sa značajno oštećenom rožnjačom, veoma rijetko su prijavljeni slučajevi kalcifikacije rožnjače koji se dovode u vezu sa primjenom kapi za oči koje sadrže fosfate.</w:t>
      </w:r>
    </w:p>
    <w:p w14:paraId="135554E4" w14:textId="77777777" w:rsidR="00DF190F" w:rsidRPr="00BA318E" w:rsidRDefault="00DF190F" w:rsidP="000017E4">
      <w:pPr>
        <w:rPr>
          <w:sz w:val="22"/>
          <w:szCs w:val="22"/>
          <w:lang w:val="sr-Latn-ME"/>
        </w:rPr>
      </w:pPr>
    </w:p>
    <w:p w14:paraId="410A8A84" w14:textId="77777777" w:rsidR="00DF190F" w:rsidRPr="00BA318E" w:rsidRDefault="00DF190F" w:rsidP="00DF190F">
      <w:pPr>
        <w:rPr>
          <w:sz w:val="22"/>
          <w:szCs w:val="22"/>
          <w:u w:val="single"/>
          <w:lang w:val="sr-Latn-ME"/>
        </w:rPr>
      </w:pPr>
      <w:r w:rsidRPr="00BA318E">
        <w:rPr>
          <w:sz w:val="22"/>
          <w:szCs w:val="22"/>
          <w:u w:val="single"/>
          <w:lang w:val="sr-Latn-ME"/>
        </w:rPr>
        <w:t>c. Opis pojedinih neželjenih reakcija</w:t>
      </w:r>
    </w:p>
    <w:p w14:paraId="2C4EFC49" w14:textId="77777777" w:rsidR="0029097D" w:rsidRPr="00BA318E" w:rsidRDefault="0029097D" w:rsidP="00DF190F">
      <w:pPr>
        <w:rPr>
          <w:sz w:val="22"/>
          <w:szCs w:val="22"/>
          <w:u w:val="single"/>
          <w:lang w:val="sr-Latn-ME"/>
        </w:rPr>
      </w:pPr>
    </w:p>
    <w:p w14:paraId="6D31413A" w14:textId="77777777" w:rsidR="0029097D" w:rsidRPr="00BA318E" w:rsidRDefault="0029097D" w:rsidP="0029097D">
      <w:pPr>
        <w:rPr>
          <w:sz w:val="22"/>
          <w:szCs w:val="22"/>
          <w:lang w:val="sr-Latn-ME"/>
        </w:rPr>
      </w:pPr>
      <w:r w:rsidRPr="00BA318E">
        <w:rPr>
          <w:sz w:val="22"/>
          <w:szCs w:val="22"/>
          <w:lang w:val="sr-Latn-ME"/>
        </w:rPr>
        <w:t>Informacije nijesu date.</w:t>
      </w:r>
    </w:p>
    <w:p w14:paraId="15A03D91" w14:textId="77777777" w:rsidR="0029097D" w:rsidRPr="00BA318E" w:rsidRDefault="0029097D" w:rsidP="0029097D">
      <w:pPr>
        <w:rPr>
          <w:sz w:val="22"/>
          <w:szCs w:val="22"/>
          <w:u w:val="single"/>
          <w:lang w:val="sr-Latn-ME"/>
        </w:rPr>
      </w:pPr>
    </w:p>
    <w:p w14:paraId="6BAD95C0" w14:textId="77777777" w:rsidR="0029097D" w:rsidRPr="00BA318E" w:rsidRDefault="0029097D" w:rsidP="0029097D">
      <w:pPr>
        <w:pStyle w:val="BodyText2"/>
        <w:spacing w:after="0" w:line="240" w:lineRule="auto"/>
        <w:rPr>
          <w:rFonts w:ascii="Times New Roman" w:hAnsi="Times New Roman"/>
          <w:sz w:val="22"/>
          <w:szCs w:val="22"/>
          <w:u w:val="single"/>
          <w:lang w:val="sr-Latn-ME"/>
        </w:rPr>
      </w:pPr>
      <w:r w:rsidRPr="00BA318E">
        <w:rPr>
          <w:rFonts w:ascii="Times New Roman" w:hAnsi="Times New Roman"/>
          <w:sz w:val="22"/>
          <w:szCs w:val="22"/>
          <w:u w:val="single"/>
          <w:lang w:val="sr-Latn-ME"/>
        </w:rPr>
        <w:t>d. Pedijatrijska populacija</w:t>
      </w:r>
    </w:p>
    <w:p w14:paraId="7D56C48F" w14:textId="77777777" w:rsidR="0029097D" w:rsidRPr="00BA318E" w:rsidRDefault="0029097D" w:rsidP="0029097D">
      <w:pPr>
        <w:pStyle w:val="BodyText2"/>
        <w:spacing w:after="0" w:line="240" w:lineRule="auto"/>
        <w:rPr>
          <w:rFonts w:ascii="Times New Roman" w:hAnsi="Times New Roman"/>
          <w:i/>
          <w:sz w:val="22"/>
          <w:szCs w:val="22"/>
          <w:lang w:val="sr-Latn-ME"/>
        </w:rPr>
      </w:pPr>
    </w:p>
    <w:p w14:paraId="04BF8BAD" w14:textId="77777777" w:rsidR="0029097D" w:rsidRPr="00BA318E" w:rsidRDefault="0029097D" w:rsidP="0029097D">
      <w:pPr>
        <w:pStyle w:val="BodyText2"/>
        <w:spacing w:after="0" w:line="240" w:lineRule="auto"/>
        <w:rPr>
          <w:rFonts w:ascii="Times New Roman" w:hAnsi="Times New Roman"/>
          <w:sz w:val="22"/>
          <w:szCs w:val="22"/>
          <w:lang w:val="sr-Latn-ME"/>
        </w:rPr>
      </w:pPr>
      <w:r w:rsidRPr="00BA318E">
        <w:rPr>
          <w:rFonts w:ascii="Times New Roman" w:hAnsi="Times New Roman"/>
          <w:sz w:val="22"/>
          <w:szCs w:val="22"/>
          <w:lang w:val="sr-Latn-ME"/>
        </w:rPr>
        <w:t xml:space="preserve">U dva kratkotrajna klinička ispitivanja (≤ 12 nedjelja), koja su obuhvatila 93 (25 i 68) pedijatrijska pacijenta, bezbjednosni profil je bio sličan kao kod odraslih i nijesu identifikovani novi neželjeni događaji. Kratkoročni bezbjednosni profili u različitim podgrupama pedijatrijskih pacijenata takođe su bili slični (vidjeti dio 5.1) Neželjena dejstva koji su se češće javljali u pedijatrijskoj populaciji u poređenju sa odraslima bili su: nazofaringitis i pireksija. </w:t>
      </w:r>
    </w:p>
    <w:p w14:paraId="535A1443" w14:textId="77777777" w:rsidR="004E70AD" w:rsidRPr="00BA318E" w:rsidRDefault="004E70AD" w:rsidP="00480FB1">
      <w:pPr>
        <w:tabs>
          <w:tab w:val="left" w:pos="540"/>
          <w:tab w:val="left" w:pos="569"/>
        </w:tabs>
        <w:rPr>
          <w:b/>
          <w:bCs/>
          <w:sz w:val="22"/>
          <w:szCs w:val="22"/>
          <w:lang w:val="sr-Latn-ME"/>
        </w:rPr>
      </w:pPr>
    </w:p>
    <w:p w14:paraId="535A1444" w14:textId="77777777" w:rsidR="005A23D2" w:rsidRPr="00BA318E" w:rsidRDefault="005A23D2" w:rsidP="00A46C9A">
      <w:pPr>
        <w:spacing w:after="200" w:line="276" w:lineRule="auto"/>
        <w:rPr>
          <w:rFonts w:eastAsia="Calibri"/>
          <w:sz w:val="22"/>
          <w:szCs w:val="22"/>
          <w:u w:val="single"/>
          <w:lang w:val="sr-Latn-ME"/>
        </w:rPr>
      </w:pPr>
      <w:r w:rsidRPr="00BA318E">
        <w:rPr>
          <w:rFonts w:eastAsia="Calibri"/>
          <w:sz w:val="22"/>
          <w:szCs w:val="22"/>
          <w:u w:val="single"/>
          <w:lang w:val="sr-Latn-ME"/>
        </w:rPr>
        <w:t>Prijavljivanje sumnji na neželjena dejstva</w:t>
      </w:r>
    </w:p>
    <w:p w14:paraId="535A1445" w14:textId="77777777" w:rsidR="005A23D2" w:rsidRPr="00BA318E" w:rsidRDefault="005A23D2" w:rsidP="00A46C9A">
      <w:pPr>
        <w:spacing w:after="200"/>
        <w:jc w:val="both"/>
        <w:rPr>
          <w:rFonts w:eastAsia="Calibri"/>
          <w:sz w:val="22"/>
          <w:szCs w:val="22"/>
          <w:lang w:val="sr-Latn-ME"/>
        </w:rPr>
      </w:pPr>
      <w:r w:rsidRPr="00BA318E">
        <w:rPr>
          <w:rFonts w:eastAsia="Calibri"/>
          <w:sz w:val="22"/>
          <w:szCs w:val="22"/>
          <w:lang w:val="sr-Latn-ME"/>
        </w:rPr>
        <w:t>Prijavljivanje neželjenih dejstava nakon dobijanja dozvole je od velikog značaja jer obezbjeđuje kont</w:t>
      </w:r>
      <w:r w:rsidR="00EA5765" w:rsidRPr="00BA318E">
        <w:rPr>
          <w:rFonts w:eastAsia="Calibri"/>
          <w:sz w:val="22"/>
          <w:szCs w:val="22"/>
          <w:lang w:val="sr-Latn-ME"/>
        </w:rPr>
        <w:t>inuirano praćenje odnosa korist</w:t>
      </w:r>
      <w:r w:rsidRPr="00BA318E">
        <w:rPr>
          <w:rFonts w:eastAsia="Calibri"/>
          <w:sz w:val="22"/>
          <w:szCs w:val="22"/>
          <w:lang w:val="sr-Latn-ME"/>
        </w:rPr>
        <w:t>/rizik primjene lijeka. Zdravstveni radnici treba da prijave svaku sumnju na neželjeno</w:t>
      </w:r>
      <w:r w:rsidR="009B062A" w:rsidRPr="00BA318E">
        <w:rPr>
          <w:rFonts w:eastAsia="Calibri"/>
          <w:sz w:val="22"/>
          <w:szCs w:val="22"/>
          <w:lang w:val="sr-Latn-ME"/>
        </w:rPr>
        <w:t xml:space="preserve"> </w:t>
      </w:r>
      <w:r w:rsidRPr="00BA318E">
        <w:rPr>
          <w:rFonts w:eastAsia="Calibri"/>
          <w:sz w:val="22"/>
          <w:szCs w:val="22"/>
          <w:lang w:val="sr-Latn-ME"/>
        </w:rPr>
        <w:t xml:space="preserve">dejstvo ovog lijeka </w:t>
      </w:r>
      <w:r w:rsidR="004E70AD" w:rsidRPr="00BA318E">
        <w:rPr>
          <w:rFonts w:eastAsia="Calibri"/>
          <w:sz w:val="22"/>
          <w:szCs w:val="22"/>
          <w:lang w:val="sr-Latn-ME"/>
        </w:rPr>
        <w:t>Institutu</w:t>
      </w:r>
      <w:r w:rsidRPr="00BA318E">
        <w:rPr>
          <w:rFonts w:eastAsia="Calibri"/>
          <w:sz w:val="22"/>
          <w:szCs w:val="22"/>
          <w:lang w:val="sr-Latn-ME"/>
        </w:rPr>
        <w:t xml:space="preserve"> za ljekove i medicinska sredstva</w:t>
      </w:r>
      <w:r w:rsidR="004E70AD" w:rsidRPr="00BA318E">
        <w:rPr>
          <w:rFonts w:eastAsia="Calibri"/>
          <w:sz w:val="22"/>
          <w:szCs w:val="22"/>
          <w:lang w:val="sr-Latn-ME"/>
        </w:rPr>
        <w:t xml:space="preserve"> </w:t>
      </w:r>
      <w:r w:rsidRPr="00BA318E">
        <w:rPr>
          <w:rFonts w:eastAsia="Calibri"/>
          <w:sz w:val="22"/>
          <w:szCs w:val="22"/>
          <w:lang w:val="sr-Latn-ME"/>
        </w:rPr>
        <w:t>(</w:t>
      </w:r>
      <w:r w:rsidR="004E70AD" w:rsidRPr="00BA318E">
        <w:rPr>
          <w:rFonts w:eastAsia="Calibri"/>
          <w:sz w:val="22"/>
          <w:szCs w:val="22"/>
          <w:lang w:val="sr-Latn-ME"/>
        </w:rPr>
        <w:t>CInMED</w:t>
      </w:r>
      <w:r w:rsidRPr="00BA318E">
        <w:rPr>
          <w:rFonts w:eastAsia="Calibri"/>
          <w:sz w:val="22"/>
          <w:szCs w:val="22"/>
          <w:lang w:val="sr-Latn-ME"/>
        </w:rPr>
        <w:t>):</w:t>
      </w:r>
    </w:p>
    <w:p w14:paraId="535A1446" w14:textId="77777777" w:rsidR="005A23D2" w:rsidRPr="00BA318E" w:rsidRDefault="004E70AD" w:rsidP="00A46C9A">
      <w:pPr>
        <w:pStyle w:val="NoSpacing"/>
        <w:jc w:val="both"/>
        <w:rPr>
          <w:rFonts w:eastAsia="Calibri"/>
          <w:sz w:val="22"/>
          <w:szCs w:val="22"/>
          <w:lang w:val="sr-Latn-ME"/>
        </w:rPr>
      </w:pPr>
      <w:r w:rsidRPr="00BA318E">
        <w:rPr>
          <w:rFonts w:eastAsia="Calibri"/>
          <w:sz w:val="22"/>
          <w:szCs w:val="22"/>
          <w:lang w:val="sr-Latn-ME"/>
        </w:rPr>
        <w:t xml:space="preserve">Institut </w:t>
      </w:r>
      <w:r w:rsidR="005A23D2" w:rsidRPr="00BA318E">
        <w:rPr>
          <w:rFonts w:eastAsia="Calibri"/>
          <w:sz w:val="22"/>
          <w:szCs w:val="22"/>
          <w:lang w:val="sr-Latn-ME"/>
        </w:rPr>
        <w:t xml:space="preserve">za ljekove i medicinska sredstva </w:t>
      </w:r>
    </w:p>
    <w:p w14:paraId="535A1447" w14:textId="77777777" w:rsidR="005A23D2" w:rsidRPr="00BA318E" w:rsidRDefault="005A23D2" w:rsidP="00A46C9A">
      <w:pPr>
        <w:pStyle w:val="NoSpacing"/>
        <w:jc w:val="both"/>
        <w:rPr>
          <w:rFonts w:eastAsia="Calibri"/>
          <w:sz w:val="22"/>
          <w:szCs w:val="22"/>
          <w:lang w:val="sr-Latn-ME"/>
        </w:rPr>
      </w:pPr>
      <w:r w:rsidRPr="00BA318E">
        <w:rPr>
          <w:rFonts w:eastAsia="Calibri"/>
          <w:sz w:val="22"/>
          <w:szCs w:val="22"/>
          <w:lang w:val="sr-Latn-ME"/>
        </w:rPr>
        <w:t>Odjeljenje za farmakovigilancu</w:t>
      </w:r>
    </w:p>
    <w:p w14:paraId="535A1448" w14:textId="77777777" w:rsidR="00EA5765" w:rsidRPr="00BA318E" w:rsidRDefault="005A23D2" w:rsidP="00A46C9A">
      <w:pPr>
        <w:pStyle w:val="NoSpacing"/>
        <w:jc w:val="both"/>
        <w:rPr>
          <w:rFonts w:eastAsia="Calibri"/>
          <w:sz w:val="22"/>
          <w:szCs w:val="22"/>
          <w:lang w:val="sr-Latn-ME"/>
        </w:rPr>
      </w:pPr>
      <w:r w:rsidRPr="00BA318E">
        <w:rPr>
          <w:rFonts w:eastAsia="Calibri"/>
          <w:sz w:val="22"/>
          <w:szCs w:val="22"/>
          <w:lang w:val="sr-Latn-ME"/>
        </w:rPr>
        <w:t>Bulevar Ivana Crnojevića 64a, 81000 Podgorica</w:t>
      </w:r>
    </w:p>
    <w:p w14:paraId="535A1449" w14:textId="77777777" w:rsidR="00EA5765" w:rsidRPr="00BA318E" w:rsidRDefault="00EA5765" w:rsidP="00A46C9A">
      <w:pPr>
        <w:pStyle w:val="NoSpacing"/>
        <w:rPr>
          <w:rFonts w:eastAsia="Calibri"/>
          <w:sz w:val="22"/>
          <w:szCs w:val="22"/>
          <w:lang w:val="sr-Latn-ME"/>
        </w:rPr>
      </w:pPr>
    </w:p>
    <w:p w14:paraId="535A144A" w14:textId="77777777" w:rsidR="005A23D2" w:rsidRPr="00BA318E" w:rsidRDefault="005A23D2" w:rsidP="00A46C9A">
      <w:pPr>
        <w:pStyle w:val="NoSpacing"/>
        <w:jc w:val="both"/>
        <w:rPr>
          <w:rFonts w:eastAsia="Calibri"/>
          <w:sz w:val="22"/>
          <w:szCs w:val="22"/>
          <w:lang w:val="sr-Latn-ME"/>
        </w:rPr>
      </w:pPr>
      <w:r w:rsidRPr="00BA318E">
        <w:rPr>
          <w:rFonts w:eastAsia="Calibri"/>
          <w:sz w:val="22"/>
          <w:szCs w:val="22"/>
          <w:lang w:val="sr-Latn-ME"/>
        </w:rPr>
        <w:t>tel: +382 (0) 20 310 280</w:t>
      </w:r>
    </w:p>
    <w:p w14:paraId="535A144B" w14:textId="77777777" w:rsidR="00EA5765" w:rsidRPr="00BA318E" w:rsidRDefault="005A23D2" w:rsidP="00FF3EDF">
      <w:pPr>
        <w:pStyle w:val="NoSpacing"/>
        <w:tabs>
          <w:tab w:val="left" w:pos="6720"/>
        </w:tabs>
        <w:jc w:val="both"/>
        <w:rPr>
          <w:rFonts w:eastAsia="Calibri"/>
          <w:sz w:val="22"/>
          <w:szCs w:val="22"/>
          <w:lang w:val="sr-Latn-ME"/>
        </w:rPr>
      </w:pPr>
      <w:r w:rsidRPr="00BA318E">
        <w:rPr>
          <w:rFonts w:eastAsia="Calibri"/>
          <w:sz w:val="22"/>
          <w:szCs w:val="22"/>
          <w:lang w:val="sr-Latn-ME"/>
        </w:rPr>
        <w:t>fax:</w:t>
      </w:r>
      <w:r w:rsidR="00EA5765" w:rsidRPr="00BA318E">
        <w:rPr>
          <w:rFonts w:eastAsia="Calibri"/>
          <w:sz w:val="22"/>
          <w:szCs w:val="22"/>
          <w:lang w:val="sr-Latn-ME"/>
        </w:rPr>
        <w:t xml:space="preserve"> </w:t>
      </w:r>
      <w:r w:rsidRPr="00BA318E">
        <w:rPr>
          <w:rFonts w:eastAsia="Calibri"/>
          <w:sz w:val="22"/>
          <w:szCs w:val="22"/>
          <w:lang w:val="sr-Latn-ME"/>
        </w:rPr>
        <w:t>+382 (0) 20 310 581</w:t>
      </w:r>
      <w:r w:rsidR="00FF3EDF" w:rsidRPr="00BA318E">
        <w:rPr>
          <w:rFonts w:eastAsia="Calibri"/>
          <w:sz w:val="22"/>
          <w:szCs w:val="22"/>
          <w:lang w:val="sr-Latn-ME"/>
        </w:rPr>
        <w:tab/>
      </w:r>
    </w:p>
    <w:p w14:paraId="535A144C" w14:textId="77777777" w:rsidR="005A23D2" w:rsidRPr="00BA318E" w:rsidRDefault="00B241EA" w:rsidP="00A46C9A">
      <w:pPr>
        <w:pStyle w:val="NoSpacing"/>
        <w:jc w:val="both"/>
        <w:rPr>
          <w:rFonts w:eastAsia="Calibri"/>
          <w:sz w:val="22"/>
          <w:szCs w:val="22"/>
          <w:lang w:val="sr-Latn-ME"/>
        </w:rPr>
      </w:pPr>
      <w:hyperlink r:id="rId8" w:history="1">
        <w:r w:rsidR="004E70AD" w:rsidRPr="00BA318E">
          <w:rPr>
            <w:rStyle w:val="Hyperlink"/>
            <w:rFonts w:eastAsia="Calibri"/>
            <w:sz w:val="22"/>
            <w:szCs w:val="22"/>
            <w:lang w:val="sr-Latn-ME"/>
          </w:rPr>
          <w:t>www.cinmed.me</w:t>
        </w:r>
      </w:hyperlink>
    </w:p>
    <w:p w14:paraId="535A144D" w14:textId="77777777" w:rsidR="00EA5765" w:rsidRPr="00BA318E" w:rsidRDefault="00B241EA" w:rsidP="00A46C9A">
      <w:pPr>
        <w:pStyle w:val="NoSpacing"/>
        <w:jc w:val="both"/>
        <w:rPr>
          <w:rFonts w:eastAsia="Calibri"/>
          <w:color w:val="0000FF"/>
          <w:sz w:val="22"/>
          <w:szCs w:val="22"/>
          <w:u w:val="single"/>
          <w:lang w:val="sr-Latn-ME"/>
        </w:rPr>
      </w:pPr>
      <w:hyperlink r:id="rId9" w:history="1">
        <w:r w:rsidR="004E70AD" w:rsidRPr="00BA318E">
          <w:rPr>
            <w:rStyle w:val="Hyperlink"/>
            <w:rFonts w:eastAsia="Calibri"/>
            <w:sz w:val="22"/>
            <w:szCs w:val="22"/>
            <w:lang w:val="sr-Latn-ME"/>
          </w:rPr>
          <w:t>nezeljenadejstva@cinmed.me</w:t>
        </w:r>
      </w:hyperlink>
    </w:p>
    <w:p w14:paraId="535A144E" w14:textId="77777777" w:rsidR="005A23D2" w:rsidRPr="00BA318E" w:rsidRDefault="005A23D2" w:rsidP="00A46C9A">
      <w:pPr>
        <w:pStyle w:val="NoSpacing"/>
        <w:jc w:val="both"/>
        <w:rPr>
          <w:rFonts w:eastAsia="Calibri"/>
          <w:sz w:val="22"/>
          <w:szCs w:val="22"/>
          <w:lang w:val="sr-Latn-ME"/>
        </w:rPr>
      </w:pPr>
      <w:r w:rsidRPr="00BA318E">
        <w:rPr>
          <w:rFonts w:eastAsia="Calibri"/>
          <w:sz w:val="22"/>
          <w:szCs w:val="22"/>
          <w:lang w:val="sr-Latn-ME"/>
        </w:rPr>
        <w:t>putem IS zdravstvene zaštite</w:t>
      </w:r>
    </w:p>
    <w:p w14:paraId="535A144F" w14:textId="77777777" w:rsidR="007E31E9" w:rsidRPr="00BA318E" w:rsidRDefault="007E31E9" w:rsidP="00A46C9A">
      <w:pPr>
        <w:pStyle w:val="NoSpacing"/>
        <w:jc w:val="both"/>
        <w:rPr>
          <w:rFonts w:eastAsia="Calibri"/>
          <w:sz w:val="22"/>
          <w:szCs w:val="22"/>
          <w:lang w:val="sr-Latn-ME"/>
        </w:rPr>
      </w:pPr>
      <w:r w:rsidRPr="00BA318E">
        <w:rPr>
          <w:rFonts w:eastAsia="Calibri"/>
          <w:sz w:val="22"/>
          <w:szCs w:val="22"/>
          <w:lang w:val="sr-Latn-ME"/>
        </w:rPr>
        <w:t>QR kod za online prijavu</w:t>
      </w:r>
      <w:r w:rsidR="00D74CD2" w:rsidRPr="00BA318E">
        <w:rPr>
          <w:rFonts w:eastAsia="Calibri"/>
          <w:sz w:val="22"/>
          <w:szCs w:val="22"/>
          <w:lang w:val="sr-Latn-ME"/>
        </w:rPr>
        <w:t xml:space="preserve"> sumnje na neželjeno dejstvo lijeka</w:t>
      </w:r>
      <w:r w:rsidRPr="00BA318E">
        <w:rPr>
          <w:rFonts w:eastAsia="Calibri"/>
          <w:sz w:val="22"/>
          <w:szCs w:val="22"/>
          <w:lang w:val="sr-Latn-ME"/>
        </w:rPr>
        <w:t>:</w:t>
      </w:r>
    </w:p>
    <w:p w14:paraId="535A1450" w14:textId="77777777" w:rsidR="007E31E9" w:rsidRPr="00BA318E" w:rsidRDefault="007E31E9" w:rsidP="00A46C9A">
      <w:pPr>
        <w:pStyle w:val="NoSpacing"/>
        <w:jc w:val="both"/>
        <w:rPr>
          <w:rFonts w:eastAsia="Calibri"/>
          <w:sz w:val="22"/>
          <w:szCs w:val="22"/>
          <w:lang w:val="sr-Latn-ME"/>
        </w:rPr>
      </w:pPr>
    </w:p>
    <w:p w14:paraId="535A1451" w14:textId="1E405DAC" w:rsidR="004F17E2" w:rsidRPr="007A44EC" w:rsidRDefault="009A2736" w:rsidP="007E31E9">
      <w:pPr>
        <w:pStyle w:val="NoSpacing"/>
        <w:rPr>
          <w:rFonts w:eastAsia="Calibri"/>
          <w:sz w:val="22"/>
          <w:szCs w:val="22"/>
        </w:rPr>
      </w:pPr>
      <w:r w:rsidRPr="007F661E">
        <w:rPr>
          <w:b/>
          <w:bCs/>
          <w:noProof/>
          <w:sz w:val="22"/>
          <w:szCs w:val="22"/>
        </w:rPr>
        <w:drawing>
          <wp:inline distT="0" distB="0" distL="0" distR="0" wp14:anchorId="742F610A" wp14:editId="44FFA115">
            <wp:extent cx="980796" cy="972000"/>
            <wp:effectExtent l="0" t="0" r="0" b="0"/>
            <wp:docPr id="10" name="Picture 9" descr="A qr code on a white background&#10;&#10;Description automatically generate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qr code on a white background&#10;&#10;Description automatically generated">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535A1452" w14:textId="77777777" w:rsidR="00836B35" w:rsidRPr="00BA318E" w:rsidRDefault="00836B35" w:rsidP="00480FB1">
      <w:pPr>
        <w:tabs>
          <w:tab w:val="left" w:pos="540"/>
          <w:tab w:val="left" w:pos="569"/>
        </w:tabs>
        <w:rPr>
          <w:b/>
          <w:bCs/>
          <w:sz w:val="22"/>
          <w:szCs w:val="22"/>
          <w:lang w:val="sr-Latn-ME"/>
        </w:rPr>
      </w:pPr>
    </w:p>
    <w:p w14:paraId="535A1454" w14:textId="01B87903" w:rsidR="00CD6F02" w:rsidRPr="00BA318E" w:rsidRDefault="0072020E" w:rsidP="00480FB1">
      <w:pPr>
        <w:tabs>
          <w:tab w:val="left" w:pos="540"/>
          <w:tab w:val="left" w:pos="569"/>
        </w:tabs>
        <w:rPr>
          <w:b/>
          <w:bCs/>
          <w:sz w:val="22"/>
          <w:szCs w:val="22"/>
          <w:lang w:val="sr-Latn-ME"/>
        </w:rPr>
      </w:pPr>
      <w:r w:rsidRPr="00BA318E">
        <w:rPr>
          <w:b/>
          <w:bCs/>
          <w:sz w:val="22"/>
          <w:szCs w:val="22"/>
          <w:lang w:val="sr-Latn-ME"/>
        </w:rPr>
        <w:t xml:space="preserve">4.9. </w:t>
      </w:r>
      <w:r w:rsidR="00480FB1" w:rsidRPr="00BA318E">
        <w:rPr>
          <w:b/>
          <w:bCs/>
          <w:sz w:val="22"/>
          <w:szCs w:val="22"/>
          <w:lang w:val="sr-Latn-ME"/>
        </w:rPr>
        <w:tab/>
      </w:r>
      <w:r w:rsidRPr="00BA318E">
        <w:rPr>
          <w:b/>
          <w:bCs/>
          <w:sz w:val="22"/>
          <w:szCs w:val="22"/>
          <w:lang w:val="sr-Latn-ME"/>
        </w:rPr>
        <w:t>Predoziranje</w:t>
      </w:r>
      <w:r w:rsidR="002846DB" w:rsidRPr="00BA318E">
        <w:rPr>
          <w:b/>
          <w:bCs/>
          <w:sz w:val="22"/>
          <w:szCs w:val="22"/>
          <w:lang w:val="sr-Latn-ME"/>
        </w:rPr>
        <w:t xml:space="preserve"> </w:t>
      </w:r>
    </w:p>
    <w:p w14:paraId="7D9E297B" w14:textId="77777777" w:rsidR="00EF79FD" w:rsidRPr="00BA318E" w:rsidRDefault="00EF79FD" w:rsidP="00EF79FD">
      <w:pPr>
        <w:pStyle w:val="BodyTextIndent"/>
        <w:widowControl w:val="0"/>
        <w:spacing w:before="120"/>
        <w:ind w:left="0"/>
        <w:rPr>
          <w:szCs w:val="22"/>
          <w:u w:val="single"/>
          <w:lang w:val="sr-Latn-ME"/>
        </w:rPr>
      </w:pPr>
      <w:r w:rsidRPr="00BA318E">
        <w:rPr>
          <w:szCs w:val="22"/>
          <w:u w:val="single"/>
          <w:lang w:val="sr-Latn-ME"/>
        </w:rPr>
        <w:t>Simptomi</w:t>
      </w:r>
    </w:p>
    <w:p w14:paraId="37AA4E1E" w14:textId="77777777" w:rsidR="00EF79FD" w:rsidRPr="00BA318E" w:rsidRDefault="00EF79FD" w:rsidP="00EF79FD">
      <w:pPr>
        <w:pStyle w:val="BodyTextIndent"/>
        <w:widowControl w:val="0"/>
        <w:spacing w:before="120"/>
        <w:ind w:left="0"/>
        <w:rPr>
          <w:szCs w:val="22"/>
          <w:lang w:val="sr-Latn-ME"/>
        </w:rPr>
      </w:pPr>
      <w:r w:rsidRPr="00BA318E">
        <w:rPr>
          <w:szCs w:val="22"/>
          <w:lang w:val="sr-Latn-ME"/>
        </w:rPr>
        <w:t>Izuzev iritacije oka i konjunktivalne hiperemije, drugi neželjeni efekti nijesu opisani kod predoziranja lijekom Xalatan.</w:t>
      </w:r>
    </w:p>
    <w:p w14:paraId="1B83A73F" w14:textId="77777777" w:rsidR="00EF79FD" w:rsidRPr="00BA318E" w:rsidRDefault="00EF79FD" w:rsidP="00EF79FD">
      <w:pPr>
        <w:pStyle w:val="BodyTextIndent"/>
        <w:widowControl w:val="0"/>
        <w:ind w:left="0"/>
        <w:rPr>
          <w:szCs w:val="22"/>
          <w:lang w:val="sr-Latn-ME"/>
        </w:rPr>
      </w:pPr>
    </w:p>
    <w:p w14:paraId="24B3E744" w14:textId="77777777" w:rsidR="00EF79FD" w:rsidRPr="00BA318E" w:rsidRDefault="00EF79FD" w:rsidP="00EF79FD">
      <w:pPr>
        <w:pStyle w:val="BodyTextIndent"/>
        <w:widowControl w:val="0"/>
        <w:spacing w:after="240"/>
        <w:ind w:left="0"/>
        <w:rPr>
          <w:szCs w:val="22"/>
          <w:u w:val="single"/>
          <w:lang w:val="sr-Latn-ME"/>
        </w:rPr>
      </w:pPr>
      <w:r w:rsidRPr="00BA318E">
        <w:rPr>
          <w:szCs w:val="22"/>
          <w:u w:val="single"/>
          <w:lang w:val="sr-Latn-ME"/>
        </w:rPr>
        <w:t>Liječenje</w:t>
      </w:r>
    </w:p>
    <w:p w14:paraId="24BBEB34" w14:textId="77777777" w:rsidR="00EF79FD" w:rsidRPr="00BA318E" w:rsidRDefault="00EF79FD" w:rsidP="00EF79FD">
      <w:pPr>
        <w:pStyle w:val="BodyTextIndent"/>
        <w:widowControl w:val="0"/>
        <w:ind w:left="0"/>
        <w:rPr>
          <w:szCs w:val="22"/>
          <w:lang w:val="sr-Latn-ME"/>
        </w:rPr>
      </w:pPr>
      <w:r w:rsidRPr="00BA318E">
        <w:rPr>
          <w:spacing w:val="-4"/>
          <w:szCs w:val="22"/>
          <w:lang w:val="sr-Latn-ME"/>
        </w:rPr>
        <w:t>Ako dođe do slučajne ingestije lijeka X</w:t>
      </w:r>
      <w:r w:rsidRPr="00BA318E">
        <w:rPr>
          <w:szCs w:val="22"/>
          <w:lang w:val="sr-Latn-ME"/>
        </w:rPr>
        <w:t>alatan</w:t>
      </w:r>
      <w:r w:rsidRPr="00BA318E">
        <w:rPr>
          <w:spacing w:val="-4"/>
          <w:szCs w:val="22"/>
          <w:lang w:val="sr-Latn-ME"/>
        </w:rPr>
        <w:t>, sljedeće informacije mogu da budu od koristi: jedna bočica sadrži</w:t>
      </w:r>
      <w:r w:rsidRPr="00BA318E">
        <w:rPr>
          <w:szCs w:val="22"/>
          <w:lang w:val="sr-Latn-ME"/>
        </w:rPr>
        <w:t xml:space="preserve"> 125 mikrograma latanoprosta. Više od 90% lijeka se metaboliše za vrijeme prvog prolaska kroz jetru. Intravenska infuzija 3 mikrograma/kg kod zdravih dobrovoljaca kojom se postiže koncentracija u plazmi 200 puta veća od one koja se postiže u kliničkoj praksi nije izazvala simptome, ali je doza od 5,5-10 mikrograma/kg prouzrokovala mučninu, abdominalni bol, vrtoglavicu, umor, napade vrućine i znojenje. U eksperimentu na majmunima, latanoprost je primijenjen intravenskom infuzijom u dozama do 500 mikrograma/kg bez značajnijih efekata na kardiovskularni sistem. </w:t>
      </w:r>
    </w:p>
    <w:p w14:paraId="583AF904" w14:textId="77777777" w:rsidR="00EF79FD" w:rsidRPr="00BA318E" w:rsidRDefault="00EF79FD" w:rsidP="00EF79FD">
      <w:pPr>
        <w:pStyle w:val="BodyTextIndent"/>
        <w:widowControl w:val="0"/>
        <w:ind w:left="0"/>
        <w:rPr>
          <w:szCs w:val="22"/>
          <w:lang w:val="sr-Latn-ME"/>
        </w:rPr>
      </w:pPr>
    </w:p>
    <w:p w14:paraId="696FE119" w14:textId="77777777" w:rsidR="00EF79FD" w:rsidRPr="00BA318E" w:rsidRDefault="00EF79FD" w:rsidP="00EF79FD">
      <w:pPr>
        <w:pStyle w:val="BodyTextIndent"/>
        <w:widowControl w:val="0"/>
        <w:ind w:left="0"/>
        <w:rPr>
          <w:szCs w:val="22"/>
          <w:lang w:val="sr-Latn-ME"/>
        </w:rPr>
      </w:pPr>
      <w:r w:rsidRPr="00BA318E">
        <w:rPr>
          <w:szCs w:val="22"/>
          <w:lang w:val="sr-Latn-ME"/>
        </w:rPr>
        <w:t xml:space="preserve">Intravenska primjena latanoprosta kod majmuna bila je propraćena prolaznom bronhokonstrikcijom. Međutim, kod pacijenata sa umjerenim oblikom bronhijalne astme, nije došlo do razvoja bronhokonstrikcije kada je latanoprost aplikovan lokalno na oko u dozi koja je bila sedam puta veća od doze lijeka Xalatan koja se primjenjuje u kliničkoj praksi. </w:t>
      </w:r>
    </w:p>
    <w:p w14:paraId="041B6356" w14:textId="77777777" w:rsidR="00EF79FD" w:rsidRPr="00BA318E" w:rsidRDefault="00EF79FD" w:rsidP="00EF79FD">
      <w:pPr>
        <w:pStyle w:val="BodyTextIndent"/>
        <w:widowControl w:val="0"/>
        <w:ind w:left="0"/>
        <w:rPr>
          <w:szCs w:val="22"/>
          <w:lang w:val="sr-Latn-ME"/>
        </w:rPr>
      </w:pPr>
    </w:p>
    <w:p w14:paraId="29BE9942" w14:textId="77777777" w:rsidR="00EF79FD" w:rsidRPr="00BA318E" w:rsidRDefault="00EF79FD" w:rsidP="00EF79FD">
      <w:pPr>
        <w:pStyle w:val="Header"/>
        <w:tabs>
          <w:tab w:val="left" w:pos="284"/>
        </w:tabs>
        <w:rPr>
          <w:sz w:val="22"/>
          <w:szCs w:val="22"/>
          <w:lang w:val="sr-Latn-ME"/>
        </w:rPr>
      </w:pPr>
      <w:r w:rsidRPr="00BA318E">
        <w:rPr>
          <w:sz w:val="22"/>
          <w:szCs w:val="22"/>
          <w:lang w:val="sr-Latn-ME"/>
        </w:rPr>
        <w:t>Ako dođe do predoziranja lijekom Xalatan, terapija je simptomatska.</w:t>
      </w:r>
    </w:p>
    <w:p w14:paraId="66A8772F" w14:textId="45B37D59" w:rsidR="005C59BD" w:rsidRPr="00BA318E" w:rsidRDefault="005C59BD" w:rsidP="00480FB1">
      <w:pPr>
        <w:tabs>
          <w:tab w:val="left" w:pos="540"/>
          <w:tab w:val="left" w:pos="569"/>
        </w:tabs>
        <w:rPr>
          <w:b/>
          <w:bCs/>
          <w:sz w:val="22"/>
          <w:szCs w:val="22"/>
          <w:lang w:val="sr-Latn-ME"/>
        </w:rPr>
      </w:pPr>
    </w:p>
    <w:p w14:paraId="11DC8CE3" w14:textId="77777777" w:rsidR="005C59BD" w:rsidRPr="00BA318E" w:rsidRDefault="005C59BD" w:rsidP="00480FB1">
      <w:pPr>
        <w:tabs>
          <w:tab w:val="left" w:pos="540"/>
          <w:tab w:val="left" w:pos="569"/>
        </w:tabs>
        <w:rPr>
          <w:b/>
          <w:bCs/>
          <w:sz w:val="22"/>
          <w:szCs w:val="22"/>
          <w:lang w:val="sr-Latn-ME"/>
        </w:rPr>
      </w:pPr>
    </w:p>
    <w:p w14:paraId="535A1456" w14:textId="77777777" w:rsidR="0072020E" w:rsidRPr="00BA318E" w:rsidRDefault="0072020E" w:rsidP="00480FB1">
      <w:pPr>
        <w:tabs>
          <w:tab w:val="left" w:pos="540"/>
          <w:tab w:val="left" w:pos="569"/>
        </w:tabs>
        <w:rPr>
          <w:b/>
          <w:bCs/>
          <w:sz w:val="22"/>
          <w:szCs w:val="22"/>
          <w:lang w:val="sr-Latn-ME"/>
        </w:rPr>
      </w:pPr>
      <w:r w:rsidRPr="00BA318E">
        <w:rPr>
          <w:b/>
          <w:bCs/>
          <w:sz w:val="22"/>
          <w:szCs w:val="22"/>
          <w:lang w:val="sr-Latn-ME"/>
        </w:rPr>
        <w:t xml:space="preserve">5. </w:t>
      </w:r>
      <w:r w:rsidR="00480FB1" w:rsidRPr="00BA318E">
        <w:rPr>
          <w:b/>
          <w:bCs/>
          <w:sz w:val="22"/>
          <w:szCs w:val="22"/>
          <w:lang w:val="sr-Latn-ME"/>
        </w:rPr>
        <w:tab/>
      </w:r>
      <w:r w:rsidRPr="00BA318E">
        <w:rPr>
          <w:b/>
          <w:bCs/>
          <w:sz w:val="22"/>
          <w:szCs w:val="22"/>
          <w:lang w:val="sr-Latn-ME"/>
        </w:rPr>
        <w:t>FARMAKOLOŠK</w:t>
      </w:r>
      <w:r w:rsidR="000D425A" w:rsidRPr="00BA318E">
        <w:rPr>
          <w:b/>
          <w:bCs/>
          <w:sz w:val="22"/>
          <w:szCs w:val="22"/>
          <w:lang w:val="sr-Latn-ME"/>
        </w:rPr>
        <w:t>I</w:t>
      </w:r>
      <w:r w:rsidRPr="00BA318E">
        <w:rPr>
          <w:b/>
          <w:bCs/>
          <w:sz w:val="22"/>
          <w:szCs w:val="22"/>
          <w:lang w:val="sr-Latn-ME"/>
        </w:rPr>
        <w:t xml:space="preserve"> PODACI</w:t>
      </w:r>
    </w:p>
    <w:p w14:paraId="535A1457" w14:textId="77777777" w:rsidR="0072020E" w:rsidRPr="00BA318E" w:rsidRDefault="0072020E" w:rsidP="00480FB1">
      <w:pPr>
        <w:tabs>
          <w:tab w:val="left" w:pos="540"/>
          <w:tab w:val="left" w:pos="569"/>
        </w:tabs>
        <w:rPr>
          <w:b/>
          <w:bCs/>
          <w:sz w:val="22"/>
          <w:szCs w:val="22"/>
          <w:lang w:val="sr-Latn-ME"/>
        </w:rPr>
      </w:pPr>
    </w:p>
    <w:p w14:paraId="535A1458" w14:textId="77777777" w:rsidR="0072020E" w:rsidRPr="00BA318E" w:rsidRDefault="0072020E" w:rsidP="00480FB1">
      <w:pPr>
        <w:tabs>
          <w:tab w:val="left" w:pos="540"/>
          <w:tab w:val="left" w:pos="569"/>
        </w:tabs>
        <w:rPr>
          <w:b/>
          <w:bCs/>
          <w:sz w:val="22"/>
          <w:szCs w:val="22"/>
          <w:lang w:val="sr-Latn-ME"/>
        </w:rPr>
      </w:pPr>
      <w:r w:rsidRPr="00BA318E">
        <w:rPr>
          <w:b/>
          <w:bCs/>
          <w:sz w:val="22"/>
          <w:szCs w:val="22"/>
          <w:lang w:val="sr-Latn-ME"/>
        </w:rPr>
        <w:lastRenderedPageBreak/>
        <w:t xml:space="preserve">5.1. </w:t>
      </w:r>
      <w:r w:rsidR="00480FB1" w:rsidRPr="00BA318E">
        <w:rPr>
          <w:b/>
          <w:bCs/>
          <w:sz w:val="22"/>
          <w:szCs w:val="22"/>
          <w:lang w:val="sr-Latn-ME"/>
        </w:rPr>
        <w:tab/>
      </w:r>
      <w:r w:rsidRPr="00BA318E">
        <w:rPr>
          <w:b/>
          <w:bCs/>
          <w:sz w:val="22"/>
          <w:szCs w:val="22"/>
          <w:lang w:val="sr-Latn-ME"/>
        </w:rPr>
        <w:t>Farmakodinamski podaci</w:t>
      </w:r>
      <w:r w:rsidR="003A7059" w:rsidRPr="00BA318E">
        <w:rPr>
          <w:b/>
          <w:bCs/>
          <w:sz w:val="22"/>
          <w:szCs w:val="22"/>
          <w:lang w:val="sr-Latn-ME"/>
        </w:rPr>
        <w:t xml:space="preserve"> </w:t>
      </w:r>
    </w:p>
    <w:p w14:paraId="318D39E5" w14:textId="77777777" w:rsidR="005C59BD" w:rsidRPr="00BA318E" w:rsidRDefault="005C59BD" w:rsidP="005C59BD">
      <w:pPr>
        <w:pStyle w:val="Header"/>
        <w:tabs>
          <w:tab w:val="clear" w:pos="4320"/>
          <w:tab w:val="clear" w:pos="8640"/>
          <w:tab w:val="left" w:pos="2916"/>
        </w:tabs>
        <w:rPr>
          <w:b/>
          <w:bCs/>
          <w:sz w:val="22"/>
          <w:szCs w:val="22"/>
          <w:lang w:val="sr-Latn-ME"/>
        </w:rPr>
      </w:pPr>
    </w:p>
    <w:p w14:paraId="4019CF2E" w14:textId="2E9D6FF0" w:rsidR="005C59BD" w:rsidRPr="00BA318E" w:rsidRDefault="00BA318E" w:rsidP="005C59BD">
      <w:pPr>
        <w:pStyle w:val="Header"/>
        <w:tabs>
          <w:tab w:val="clear" w:pos="4320"/>
          <w:tab w:val="clear" w:pos="8640"/>
          <w:tab w:val="left" w:pos="2916"/>
        </w:tabs>
        <w:rPr>
          <w:sz w:val="22"/>
          <w:szCs w:val="22"/>
          <w:lang w:val="sr-Latn-ME"/>
        </w:rPr>
      </w:pPr>
      <w:r>
        <w:rPr>
          <w:bCs/>
          <w:sz w:val="22"/>
          <w:szCs w:val="22"/>
          <w:lang w:val="sr-Latn-ME"/>
        </w:rPr>
        <w:t xml:space="preserve">Farmakoterapijska grupa: </w:t>
      </w:r>
      <w:r w:rsidR="005C59BD" w:rsidRPr="00BA318E">
        <w:rPr>
          <w:sz w:val="22"/>
          <w:szCs w:val="22"/>
          <w:lang w:val="sr-Latn-ME"/>
        </w:rPr>
        <w:t>Analozi prostaglandina</w:t>
      </w:r>
    </w:p>
    <w:p w14:paraId="61B011D2" w14:textId="77777777" w:rsidR="005C59BD" w:rsidRPr="00BA318E" w:rsidRDefault="005C59BD" w:rsidP="005C59BD">
      <w:pPr>
        <w:pStyle w:val="Header"/>
        <w:tabs>
          <w:tab w:val="clear" w:pos="4320"/>
          <w:tab w:val="clear" w:pos="8640"/>
          <w:tab w:val="left" w:pos="1296"/>
        </w:tabs>
        <w:rPr>
          <w:bCs/>
          <w:sz w:val="22"/>
          <w:szCs w:val="22"/>
          <w:lang w:val="sr-Latn-ME"/>
        </w:rPr>
      </w:pPr>
    </w:p>
    <w:p w14:paraId="392DDEAB" w14:textId="24104755" w:rsidR="005C59BD" w:rsidRPr="00BA318E" w:rsidRDefault="005C59BD" w:rsidP="005C59BD">
      <w:pPr>
        <w:pStyle w:val="Header"/>
        <w:tabs>
          <w:tab w:val="clear" w:pos="4320"/>
          <w:tab w:val="clear" w:pos="8640"/>
          <w:tab w:val="left" w:pos="1296"/>
        </w:tabs>
        <w:rPr>
          <w:sz w:val="22"/>
          <w:szCs w:val="22"/>
          <w:lang w:val="sr-Latn-ME"/>
        </w:rPr>
      </w:pPr>
      <w:r w:rsidRPr="00BA318E">
        <w:rPr>
          <w:bCs/>
          <w:sz w:val="22"/>
          <w:szCs w:val="22"/>
          <w:lang w:val="sr-Latn-ME"/>
        </w:rPr>
        <w:t>ATC kod:</w:t>
      </w:r>
      <w:r w:rsidR="00BA318E">
        <w:rPr>
          <w:bCs/>
          <w:sz w:val="22"/>
          <w:szCs w:val="22"/>
          <w:lang w:val="sr-Latn-ME"/>
        </w:rPr>
        <w:t xml:space="preserve"> </w:t>
      </w:r>
      <w:r w:rsidRPr="00BA318E">
        <w:rPr>
          <w:sz w:val="22"/>
          <w:szCs w:val="22"/>
          <w:lang w:val="sr-Latn-ME"/>
        </w:rPr>
        <w:t>S01EE01</w:t>
      </w:r>
    </w:p>
    <w:p w14:paraId="4100F138" w14:textId="77777777" w:rsidR="005C59BD" w:rsidRPr="00BA318E" w:rsidRDefault="005C59BD" w:rsidP="0063575D">
      <w:pPr>
        <w:pStyle w:val="BodyTextIndent"/>
        <w:widowControl w:val="0"/>
        <w:ind w:left="0"/>
        <w:rPr>
          <w:szCs w:val="22"/>
          <w:lang w:val="sr-Latn-ME"/>
        </w:rPr>
      </w:pPr>
    </w:p>
    <w:p w14:paraId="58F00504" w14:textId="3B658736" w:rsidR="0063575D" w:rsidRPr="00BA318E" w:rsidRDefault="0063575D" w:rsidP="0063575D">
      <w:pPr>
        <w:pStyle w:val="BodyTextIndent"/>
        <w:widowControl w:val="0"/>
        <w:ind w:left="0"/>
        <w:rPr>
          <w:szCs w:val="22"/>
          <w:lang w:val="sr-Latn-ME"/>
        </w:rPr>
      </w:pPr>
      <w:r w:rsidRPr="00BA318E">
        <w:rPr>
          <w:szCs w:val="22"/>
          <w:lang w:val="sr-Latn-ME"/>
        </w:rPr>
        <w:t>Aktivna supstanca latanoprost, analog prostaglandina F2</w:t>
      </w:r>
      <w:r w:rsidRPr="00BA318E">
        <w:rPr>
          <w:szCs w:val="22"/>
          <w:lang w:val="sr-Latn-ME"/>
        </w:rPr>
        <w:sym w:font="Symbol" w:char="F061"/>
      </w:r>
      <w:r w:rsidRPr="00BA318E">
        <w:rPr>
          <w:szCs w:val="22"/>
          <w:lang w:val="sr-Latn-ME"/>
        </w:rPr>
        <w:t xml:space="preserve">, je selektivni agonista prostanoidnog FP receptora koji dovodi do smanjenja intraokularnog pritiska tako što povećava oticanje očne vodice. Smanjenje intraokularnog pritiska kod ljudi počinje oko 3-4 sata poslije primjene, a maksimalni efekat se postiže poslije 8-12 sati. Smanjenje pritiska se održava tokom najmanje 24 sata. </w:t>
      </w:r>
    </w:p>
    <w:p w14:paraId="0AFD5BC0" w14:textId="77777777" w:rsidR="0063575D" w:rsidRPr="00BA318E" w:rsidRDefault="0063575D" w:rsidP="0063575D">
      <w:pPr>
        <w:rPr>
          <w:sz w:val="22"/>
          <w:szCs w:val="22"/>
          <w:lang w:val="sr-Latn-ME"/>
        </w:rPr>
      </w:pPr>
    </w:p>
    <w:p w14:paraId="34B57A71" w14:textId="77777777" w:rsidR="0063575D" w:rsidRPr="00BA318E" w:rsidRDefault="0063575D" w:rsidP="0063575D">
      <w:pPr>
        <w:rPr>
          <w:sz w:val="22"/>
          <w:szCs w:val="22"/>
          <w:lang w:val="sr-Latn-ME"/>
        </w:rPr>
      </w:pPr>
      <w:r w:rsidRPr="00BA318E">
        <w:rPr>
          <w:sz w:val="22"/>
          <w:szCs w:val="22"/>
          <w:lang w:val="sr-Latn-ME"/>
        </w:rPr>
        <w:t xml:space="preserve">Studije sprovedene na životinjama i ljudima ukazuju na to da je glavni mehanizam dejstva povećano uveoskleralno oticanje očne vodice, premda je kod čovjeka pokazano da dolazi do olakšanog oticanja (smanjenje otpora oticanju). </w:t>
      </w:r>
    </w:p>
    <w:p w14:paraId="3127028A" w14:textId="77777777" w:rsidR="0063575D" w:rsidRPr="00BA318E" w:rsidRDefault="0063575D" w:rsidP="0063575D">
      <w:pPr>
        <w:pStyle w:val="BodyTextIndent"/>
        <w:widowControl w:val="0"/>
        <w:ind w:left="0"/>
        <w:rPr>
          <w:szCs w:val="22"/>
          <w:lang w:val="sr-Latn-ME"/>
        </w:rPr>
      </w:pPr>
    </w:p>
    <w:p w14:paraId="40993888" w14:textId="77777777" w:rsidR="0063575D" w:rsidRPr="00BA318E" w:rsidRDefault="0063575D" w:rsidP="0063575D">
      <w:pPr>
        <w:rPr>
          <w:sz w:val="22"/>
          <w:szCs w:val="22"/>
          <w:lang w:val="sr-Latn-ME"/>
        </w:rPr>
      </w:pPr>
      <w:r w:rsidRPr="00BA318E">
        <w:rPr>
          <w:sz w:val="22"/>
          <w:szCs w:val="22"/>
          <w:lang w:val="sr-Latn-ME"/>
        </w:rPr>
        <w:t>Pivotalne kliničke</w:t>
      </w:r>
      <w:r w:rsidRPr="00BA318E" w:rsidDel="00C3587E">
        <w:rPr>
          <w:sz w:val="22"/>
          <w:szCs w:val="22"/>
          <w:lang w:val="sr-Latn-ME"/>
        </w:rPr>
        <w:t xml:space="preserve"> </w:t>
      </w:r>
      <w:r w:rsidRPr="00BA318E">
        <w:rPr>
          <w:sz w:val="22"/>
          <w:szCs w:val="22"/>
          <w:lang w:val="sr-Latn-ME"/>
        </w:rPr>
        <w:t xml:space="preserve">studije su pokazale da je lijek Xalatan efikasan kao monoterapija. Dodatno su sprovedene i kliničke studije u kojima je ispitivana kombinovana upotreba lijeka Xalatan. Te studije uključuju i one u kojima je pokazano da je latanoprost efikasan u kombinaciji sa beta-adrenergičkim antagonistima (timolol). Kratkotrajne studije (u trajanju od 1-2 nedjelje) ukazuju da se kombinacijom latanoprosta sa adrenergičkim agonistima (dipivalil-epinefrin) i oralnim inhibitorima karboanhidraze (acetazolamid) postiže aditivan efekat, a sa holinergičkim agonistima (pilokarpin) barem djelimično aditivan efekat. </w:t>
      </w:r>
    </w:p>
    <w:p w14:paraId="511A8F6C" w14:textId="77777777" w:rsidR="0063575D" w:rsidRPr="00BA318E" w:rsidRDefault="0063575D" w:rsidP="0063575D">
      <w:pPr>
        <w:pStyle w:val="BodyTextIndent"/>
        <w:widowControl w:val="0"/>
        <w:ind w:hanging="709"/>
        <w:rPr>
          <w:szCs w:val="22"/>
          <w:lang w:val="sr-Latn-ME"/>
        </w:rPr>
      </w:pPr>
    </w:p>
    <w:p w14:paraId="02FD1029" w14:textId="77777777" w:rsidR="0063575D" w:rsidRPr="00BA318E" w:rsidRDefault="0063575D" w:rsidP="0063575D">
      <w:pPr>
        <w:rPr>
          <w:sz w:val="22"/>
          <w:szCs w:val="22"/>
          <w:lang w:val="sr-Latn-ME"/>
        </w:rPr>
      </w:pPr>
      <w:r w:rsidRPr="00BA318E">
        <w:rPr>
          <w:sz w:val="22"/>
          <w:szCs w:val="22"/>
          <w:lang w:val="sr-Latn-ME"/>
        </w:rPr>
        <w:t xml:space="preserve">Klinička ispitivanja su pokazala da latanoprost nema značajan efekat na produkciju očne vodice. Takođe nije utvrđeno da latanoprost ima bilo kakav efekat na barijeru krv-očna vodica. </w:t>
      </w:r>
    </w:p>
    <w:p w14:paraId="416193EA" w14:textId="77777777" w:rsidR="0063575D" w:rsidRPr="00BA318E" w:rsidRDefault="0063575D" w:rsidP="0063575D">
      <w:pPr>
        <w:pStyle w:val="BodyTextIndent"/>
        <w:widowControl w:val="0"/>
        <w:ind w:left="0"/>
        <w:rPr>
          <w:szCs w:val="22"/>
          <w:lang w:val="sr-Latn-ME"/>
        </w:rPr>
      </w:pPr>
    </w:p>
    <w:p w14:paraId="5774597E" w14:textId="77777777" w:rsidR="0063575D" w:rsidRPr="00BA318E" w:rsidRDefault="0063575D" w:rsidP="0063575D">
      <w:pPr>
        <w:rPr>
          <w:sz w:val="22"/>
          <w:szCs w:val="22"/>
          <w:lang w:val="sr-Latn-ME"/>
        </w:rPr>
      </w:pPr>
      <w:r w:rsidRPr="00BA318E">
        <w:rPr>
          <w:sz w:val="22"/>
          <w:szCs w:val="22"/>
          <w:lang w:val="sr-Latn-ME"/>
        </w:rPr>
        <w:t xml:space="preserve">Latanoprost nema ili ima zanemarljivo mali uticaj na intraokularnu cirkulaciju kada se koristi u terapijskim dozama, što je pokazano u studijama na majmunima. Ipak, tokom lokalne primjene moguća je pojava blage do umjerene konjunktivalne ili episkleralne hiperemije. </w:t>
      </w:r>
    </w:p>
    <w:p w14:paraId="259A0D51" w14:textId="77777777" w:rsidR="0063575D" w:rsidRPr="00BA318E" w:rsidRDefault="0063575D" w:rsidP="0063575D">
      <w:pPr>
        <w:pStyle w:val="BodyTextIndent"/>
        <w:widowControl w:val="0"/>
        <w:ind w:left="0"/>
        <w:rPr>
          <w:szCs w:val="22"/>
          <w:lang w:val="sr-Latn-ME"/>
        </w:rPr>
      </w:pPr>
    </w:p>
    <w:p w14:paraId="21FDAE66" w14:textId="77777777" w:rsidR="0063575D" w:rsidRPr="00BA318E" w:rsidRDefault="0063575D" w:rsidP="0063575D">
      <w:pPr>
        <w:pStyle w:val="BodyTextIndent"/>
        <w:widowControl w:val="0"/>
        <w:ind w:left="0"/>
        <w:rPr>
          <w:szCs w:val="22"/>
          <w:lang w:val="sr-Latn-ME"/>
        </w:rPr>
      </w:pPr>
      <w:r w:rsidRPr="00BA318E">
        <w:rPr>
          <w:szCs w:val="22"/>
          <w:lang w:val="sr-Latn-ME"/>
        </w:rPr>
        <w:t xml:space="preserve">Hronični tretman oka majmuna latanoprostom, koji su bili podvrgnuti ekstrakapsularnoj ekstrakciji sočiva, nije uticao na krvne sudove retine što je potvrđeno fluoresceinskom angiografijom. </w:t>
      </w:r>
    </w:p>
    <w:p w14:paraId="1C184DF5" w14:textId="77777777" w:rsidR="0063575D" w:rsidRPr="00BA318E" w:rsidRDefault="0063575D" w:rsidP="0063575D">
      <w:pPr>
        <w:pStyle w:val="BodyTextIndent"/>
        <w:widowControl w:val="0"/>
        <w:ind w:left="0"/>
        <w:rPr>
          <w:szCs w:val="22"/>
          <w:lang w:val="sr-Latn-ME"/>
        </w:rPr>
      </w:pPr>
    </w:p>
    <w:p w14:paraId="6B736DBE" w14:textId="77777777" w:rsidR="0063575D" w:rsidRPr="00BA318E" w:rsidRDefault="0063575D" w:rsidP="0063575D">
      <w:pPr>
        <w:pStyle w:val="Header"/>
        <w:tabs>
          <w:tab w:val="left" w:pos="284"/>
        </w:tabs>
        <w:rPr>
          <w:sz w:val="22"/>
          <w:szCs w:val="22"/>
          <w:lang w:val="sr-Latn-ME"/>
        </w:rPr>
      </w:pPr>
      <w:r w:rsidRPr="00BA318E">
        <w:rPr>
          <w:sz w:val="22"/>
          <w:szCs w:val="22"/>
          <w:lang w:val="sr-Latn-ME"/>
        </w:rPr>
        <w:t xml:space="preserve">Latanoprost nije indukovao isticanje fluoresceina u zadnji segment pseudoafakičnog ljudskog oka tokom kratkotrajne primjene. </w:t>
      </w:r>
    </w:p>
    <w:p w14:paraId="464605A3" w14:textId="77777777" w:rsidR="0063575D" w:rsidRPr="00BA318E" w:rsidRDefault="0063575D" w:rsidP="0063575D">
      <w:pPr>
        <w:pStyle w:val="BodyTextIndent"/>
        <w:widowControl w:val="0"/>
        <w:ind w:left="0"/>
        <w:rPr>
          <w:szCs w:val="22"/>
          <w:lang w:val="sr-Latn-ME"/>
        </w:rPr>
      </w:pPr>
    </w:p>
    <w:p w14:paraId="0753228C" w14:textId="77777777" w:rsidR="0063575D" w:rsidRPr="00BA318E" w:rsidRDefault="0063575D" w:rsidP="0063575D">
      <w:pPr>
        <w:rPr>
          <w:b/>
          <w:sz w:val="22"/>
          <w:szCs w:val="22"/>
          <w:lang w:val="sr-Latn-ME"/>
        </w:rPr>
      </w:pPr>
      <w:r w:rsidRPr="00BA318E">
        <w:rPr>
          <w:sz w:val="22"/>
          <w:szCs w:val="22"/>
          <w:lang w:val="sr-Latn-ME"/>
        </w:rPr>
        <w:t xml:space="preserve">Nije utvrđeno da latanoprost primijenjen u kliničkim dozama ima značajne farmakološke efekte na kardiovaskularni ili respiratorni sistem. </w:t>
      </w:r>
    </w:p>
    <w:p w14:paraId="1B6110A8" w14:textId="77777777" w:rsidR="0063575D" w:rsidRPr="00BA318E" w:rsidRDefault="0063575D" w:rsidP="0063575D">
      <w:pPr>
        <w:rPr>
          <w:bCs/>
          <w:i/>
          <w:iCs/>
          <w:sz w:val="22"/>
          <w:szCs w:val="22"/>
          <w:lang w:val="sr-Latn-ME"/>
        </w:rPr>
      </w:pPr>
    </w:p>
    <w:p w14:paraId="75C8AE8E" w14:textId="77777777" w:rsidR="0063575D" w:rsidRPr="00BA318E" w:rsidRDefault="0063575D" w:rsidP="0063575D">
      <w:pPr>
        <w:rPr>
          <w:bCs/>
          <w:i/>
          <w:iCs/>
          <w:sz w:val="22"/>
          <w:szCs w:val="22"/>
          <w:lang w:val="sr-Latn-ME"/>
        </w:rPr>
      </w:pPr>
      <w:r w:rsidRPr="00BA318E">
        <w:rPr>
          <w:bCs/>
          <w:i/>
          <w:iCs/>
          <w:sz w:val="22"/>
          <w:szCs w:val="22"/>
          <w:lang w:val="sr-Latn-ME"/>
        </w:rPr>
        <w:t>Pedijatrijska populacija</w:t>
      </w:r>
    </w:p>
    <w:p w14:paraId="2EDD8043" w14:textId="77777777" w:rsidR="0063575D" w:rsidRPr="00BA318E" w:rsidRDefault="0063575D" w:rsidP="0063575D">
      <w:pPr>
        <w:rPr>
          <w:bCs/>
          <w:iCs/>
          <w:sz w:val="22"/>
          <w:szCs w:val="22"/>
          <w:lang w:val="sr-Latn-ME"/>
        </w:rPr>
      </w:pPr>
    </w:p>
    <w:p w14:paraId="028E5BCA" w14:textId="77777777" w:rsidR="0063575D" w:rsidRPr="00BA318E" w:rsidRDefault="0063575D" w:rsidP="0063575D">
      <w:pPr>
        <w:rPr>
          <w:sz w:val="22"/>
          <w:szCs w:val="22"/>
          <w:lang w:val="sr-Latn-ME"/>
        </w:rPr>
      </w:pPr>
      <w:r w:rsidRPr="00BA318E">
        <w:rPr>
          <w:bCs/>
          <w:iCs/>
          <w:sz w:val="22"/>
          <w:szCs w:val="22"/>
          <w:lang w:val="sr-Latn-ME"/>
        </w:rPr>
        <w:t xml:space="preserve">Efikasnost lijeka Xalatan kod pedijatrijskih pacijenata mlađih od 18 godina pokazana je u 12-nedjeljnom, dvostruko-maskiranom kliničkom ispitivanju primjene latanoprosta u poređenju sa timololom kod 107 pacijenata kojima je dijagnostikovana okularna hipertenzija i pedijatrijski glaukom. U ispitivanje su uključena samo novorođenčad koja su dostigla najmanje 36 nedjelja gestacione starosti. Pacijenti su primali ili latanoprost 0,005% jednom dnevno ili timolol 0,5% (odnosno 0,25% kod ispitanika mlađih od 3 godine) dva puta dnevno. Primarni </w:t>
      </w:r>
      <w:r w:rsidRPr="00BA318E">
        <w:rPr>
          <w:sz w:val="22"/>
          <w:szCs w:val="22"/>
          <w:lang w:val="sr-Latn-ME"/>
        </w:rPr>
        <w:t>parametar</w:t>
      </w:r>
      <w:r w:rsidRPr="00BA318E">
        <w:rPr>
          <w:bCs/>
          <w:iCs/>
          <w:sz w:val="22"/>
          <w:szCs w:val="22"/>
          <w:lang w:val="sr-Latn-ME"/>
        </w:rPr>
        <w:t xml:space="preserve"> efikasnosti bilo je srednje smanjenje intraokularnog pritiska 12. nedjelje studije u odnosu na početnu vrijednost. Srednje smanjenje intraokularnog pritiska u grupi koja je primala latanoprost bilo je slično kao u grupi koja je primala timolol. U svim uzrastima (0 do &lt;3 godine, 3 do &lt;12 godina i 12 do 18 godina), srednje smanjenje intraokularnog pritiska 12. nedjelje u latanoprost grupi bilo je slično kao u timolol grupi. Ipak, podaci o efikasnosti u uzrastu </w:t>
      </w:r>
      <w:r w:rsidRPr="00BA318E">
        <w:rPr>
          <w:color w:val="000000"/>
          <w:sz w:val="22"/>
          <w:szCs w:val="22"/>
          <w:lang w:val="sr-Latn-ME"/>
        </w:rPr>
        <w:t>0</w:t>
      </w:r>
      <w:r w:rsidRPr="00BA318E">
        <w:rPr>
          <w:spacing w:val="-3"/>
          <w:sz w:val="22"/>
          <w:szCs w:val="22"/>
          <w:lang w:val="sr-Latn-ME"/>
        </w:rPr>
        <w:t xml:space="preserve"> do &lt; 3 godine zasnivali su se na samo 13 pacijenata koji su primali latanoprost. Nije pokazana relevantna efikasnost kod 4 pacijenta koja su činila starosnu grupu</w:t>
      </w:r>
      <w:r w:rsidRPr="00BA318E">
        <w:rPr>
          <w:color w:val="000000"/>
          <w:sz w:val="22"/>
          <w:szCs w:val="22"/>
          <w:lang w:val="sr-Latn-ME"/>
        </w:rPr>
        <w:t xml:space="preserve"> 0 do </w:t>
      </w:r>
      <w:r w:rsidRPr="00BA318E">
        <w:rPr>
          <w:spacing w:val="-3"/>
          <w:sz w:val="22"/>
          <w:szCs w:val="22"/>
          <w:lang w:val="sr-Latn-ME"/>
        </w:rPr>
        <w:t>&lt; 1 godine u kliničkoj studiji na pedijatrijskim pacijentima.</w:t>
      </w:r>
      <w:r w:rsidRPr="00BA318E">
        <w:rPr>
          <w:b/>
          <w:spacing w:val="-3"/>
          <w:sz w:val="22"/>
          <w:szCs w:val="22"/>
          <w:lang w:val="sr-Latn-ME"/>
        </w:rPr>
        <w:t xml:space="preserve"> </w:t>
      </w:r>
      <w:r w:rsidRPr="00BA318E">
        <w:rPr>
          <w:spacing w:val="-3"/>
          <w:sz w:val="22"/>
          <w:szCs w:val="22"/>
          <w:lang w:val="sr-Latn-ME"/>
        </w:rPr>
        <w:t xml:space="preserve">Podaci </w:t>
      </w:r>
      <w:r w:rsidRPr="00BA318E">
        <w:rPr>
          <w:sz w:val="22"/>
          <w:szCs w:val="22"/>
          <w:lang w:val="sr-Latn-ME"/>
        </w:rPr>
        <w:t xml:space="preserve">kod prijevremeno rođene djece (gestaciono doba manje od 36 nedjelja) nijesu dostupni. </w:t>
      </w:r>
    </w:p>
    <w:p w14:paraId="1C1E05A4" w14:textId="2F1B3F90" w:rsidR="007A66AA" w:rsidRPr="00BA318E" w:rsidRDefault="0063575D" w:rsidP="007A66AA">
      <w:pPr>
        <w:rPr>
          <w:bCs/>
          <w:iCs/>
          <w:sz w:val="22"/>
          <w:szCs w:val="22"/>
          <w:lang w:val="sr-Latn-ME"/>
        </w:rPr>
      </w:pPr>
      <w:r w:rsidRPr="00BA318E">
        <w:rPr>
          <w:bCs/>
          <w:iCs/>
          <w:sz w:val="22"/>
          <w:szCs w:val="22"/>
          <w:lang w:val="sr-Latn-ME"/>
        </w:rPr>
        <w:t>Smanjenje intraokularnog pritiska kod ispitanika u podgrupi sa primarnim kongenitalnim/infantilnim glaukomom (</w:t>
      </w:r>
      <w:r w:rsidRPr="00BA318E">
        <w:rPr>
          <w:bCs/>
          <w:i/>
          <w:iCs/>
          <w:sz w:val="22"/>
          <w:szCs w:val="22"/>
          <w:lang w:val="sr-Latn-ME"/>
        </w:rPr>
        <w:t>primary congenital glaucoma</w:t>
      </w:r>
      <w:r w:rsidRPr="00BA318E">
        <w:rPr>
          <w:bCs/>
          <w:iCs/>
          <w:sz w:val="22"/>
          <w:szCs w:val="22"/>
          <w:lang w:val="sr-Latn-ME"/>
        </w:rPr>
        <w:t xml:space="preserve"> - PCG podgrupa) bilo je slično u latanoprost i timolol </w:t>
      </w:r>
      <w:r w:rsidRPr="00BA318E">
        <w:rPr>
          <w:bCs/>
          <w:iCs/>
          <w:sz w:val="22"/>
          <w:szCs w:val="22"/>
          <w:lang w:val="sr-Latn-ME"/>
        </w:rPr>
        <w:lastRenderedPageBreak/>
        <w:t>grupi. U non-PCG podgrupi pacijenata (sa npr. juvenilnim glaukomom otvorenog ugla, glaukomom kod pacijanata sa</w:t>
      </w:r>
      <w:r w:rsidR="007A66AA" w:rsidRPr="00BA318E">
        <w:rPr>
          <w:bCs/>
          <w:iCs/>
          <w:sz w:val="22"/>
          <w:szCs w:val="22"/>
          <w:lang w:val="sr-Latn-ME"/>
        </w:rPr>
        <w:t xml:space="preserve"> afakijom) pokazani su slični rezultati kao u PCG podgrupi.</w:t>
      </w:r>
    </w:p>
    <w:p w14:paraId="46CB240B" w14:textId="77777777" w:rsidR="007A66AA" w:rsidRPr="00BA318E" w:rsidRDefault="007A66AA" w:rsidP="007A66AA">
      <w:pPr>
        <w:pStyle w:val="EndnoteText"/>
        <w:ind w:right="48"/>
        <w:jc w:val="both"/>
        <w:rPr>
          <w:rFonts w:ascii="Times New Roman" w:hAnsi="Times New Roman" w:cs="Times New Roman"/>
          <w:bCs/>
          <w:iCs/>
          <w:sz w:val="22"/>
          <w:szCs w:val="22"/>
          <w:lang w:val="sr-Latn-ME"/>
        </w:rPr>
      </w:pPr>
    </w:p>
    <w:p w14:paraId="7A328E10" w14:textId="77777777" w:rsidR="007A66AA" w:rsidRPr="00BA318E" w:rsidRDefault="007A66AA" w:rsidP="007A66AA">
      <w:pPr>
        <w:pStyle w:val="EndnoteText"/>
        <w:ind w:right="48"/>
        <w:jc w:val="both"/>
        <w:rPr>
          <w:rFonts w:ascii="Times New Roman" w:hAnsi="Times New Roman" w:cs="Times New Roman"/>
          <w:bCs/>
          <w:iCs/>
          <w:sz w:val="22"/>
          <w:szCs w:val="22"/>
          <w:lang w:val="sr-Latn-ME"/>
        </w:rPr>
      </w:pPr>
      <w:r w:rsidRPr="00BA318E">
        <w:rPr>
          <w:rFonts w:ascii="Times New Roman" w:hAnsi="Times New Roman" w:cs="Times New Roman"/>
          <w:bCs/>
          <w:iCs/>
          <w:sz w:val="22"/>
          <w:szCs w:val="22"/>
          <w:lang w:val="sr-Latn-ME"/>
        </w:rPr>
        <w:t xml:space="preserve">Efekat smanjenja intraokularnog pritiska primijećen je nakon prve nedjelje terapije (vidjeti tabelu) i održavao se tokom dvanaestonedjeljnog perioda studije, kao i kod odraslih. </w:t>
      </w:r>
    </w:p>
    <w:p w14:paraId="0080F460" w14:textId="77777777" w:rsidR="007A66AA" w:rsidRPr="00BA318E" w:rsidRDefault="007A66AA" w:rsidP="007A66AA">
      <w:pPr>
        <w:pStyle w:val="EndnoteText"/>
        <w:jc w:val="both"/>
        <w:rPr>
          <w:rFonts w:ascii="Times New Roman" w:hAnsi="Times New Roman" w:cs="Times New Roman"/>
          <w:b/>
          <w:sz w:val="22"/>
          <w:szCs w:val="22"/>
          <w:highlight w:val="yellow"/>
          <w:lang w:val="sr-Latn-ME"/>
        </w:rPr>
      </w:pPr>
    </w:p>
    <w:tbl>
      <w:tblPr>
        <w:tblW w:w="9414" w:type="dxa"/>
        <w:tblBorders>
          <w:top w:val="single" w:sz="6" w:space="0" w:color="auto"/>
          <w:bottom w:val="single" w:sz="6" w:space="0" w:color="auto"/>
        </w:tblBorders>
        <w:tblLayout w:type="fixed"/>
        <w:tblCellMar>
          <w:left w:w="57" w:type="dxa"/>
          <w:right w:w="57" w:type="dxa"/>
        </w:tblCellMar>
        <w:tblLook w:val="0000" w:firstRow="0" w:lastRow="0" w:firstColumn="0" w:lastColumn="0" w:noHBand="0" w:noVBand="0"/>
      </w:tblPr>
      <w:tblGrid>
        <w:gridCol w:w="3603"/>
        <w:gridCol w:w="1419"/>
        <w:gridCol w:w="1599"/>
        <w:gridCol w:w="1256"/>
        <w:gridCol w:w="1537"/>
      </w:tblGrid>
      <w:tr w:rsidR="007A66AA" w:rsidRPr="007A44EC" w14:paraId="201A0F0A" w14:textId="77777777" w:rsidTr="00C24791">
        <w:trPr>
          <w:cantSplit/>
          <w:trHeight w:val="210"/>
          <w:tblHeader/>
        </w:trPr>
        <w:tc>
          <w:tcPr>
            <w:tcW w:w="9414" w:type="dxa"/>
            <w:gridSpan w:val="5"/>
            <w:tcBorders>
              <w:top w:val="single" w:sz="6" w:space="0" w:color="auto"/>
              <w:bottom w:val="single" w:sz="6" w:space="0" w:color="auto"/>
            </w:tcBorders>
            <w:shd w:val="clear" w:color="auto" w:fill="auto"/>
          </w:tcPr>
          <w:p w14:paraId="6E2BC463" w14:textId="77777777" w:rsidR="007A66AA" w:rsidRPr="00BA318E" w:rsidRDefault="007A66AA" w:rsidP="00C24791">
            <w:pPr>
              <w:pStyle w:val="TableText"/>
              <w:keepNext/>
              <w:jc w:val="both"/>
              <w:rPr>
                <w:rFonts w:cs="Times New Roman"/>
                <w:b/>
                <w:sz w:val="22"/>
                <w:szCs w:val="22"/>
                <w:lang w:val="sr-Latn-ME"/>
              </w:rPr>
            </w:pPr>
            <w:r w:rsidRPr="00BA318E">
              <w:rPr>
                <w:rFonts w:cs="Times New Roman"/>
                <w:b/>
                <w:sz w:val="22"/>
                <w:szCs w:val="22"/>
                <w:lang w:val="sr-Latn-ME"/>
              </w:rPr>
              <w:t xml:space="preserve">Tabela: </w:t>
            </w:r>
            <w:r w:rsidRPr="00BA318E">
              <w:rPr>
                <w:rFonts w:cs="Times New Roman"/>
                <w:b/>
                <w:bCs/>
                <w:iCs/>
                <w:sz w:val="22"/>
                <w:szCs w:val="22"/>
                <w:lang w:val="sr-Latn-ME"/>
              </w:rPr>
              <w:t xml:space="preserve">Smanjenje intraokularnog pritiska </w:t>
            </w:r>
            <w:r w:rsidRPr="00BA318E">
              <w:rPr>
                <w:rFonts w:cs="Times New Roman"/>
                <w:b/>
                <w:sz w:val="22"/>
                <w:szCs w:val="22"/>
                <w:lang w:val="sr-Latn-ME"/>
              </w:rPr>
              <w:t>(mmHg) 12. nedjelje prema aktivnoj terapijskoj grupi i početnoj dijagnozi</w:t>
            </w:r>
          </w:p>
        </w:tc>
      </w:tr>
      <w:tr w:rsidR="007A66AA" w:rsidRPr="00BA318E" w14:paraId="5D4CD703" w14:textId="77777777" w:rsidTr="00C24791">
        <w:trPr>
          <w:cantSplit/>
          <w:trHeight w:val="210"/>
          <w:tblHeader/>
        </w:trPr>
        <w:tc>
          <w:tcPr>
            <w:tcW w:w="3603" w:type="dxa"/>
            <w:tcBorders>
              <w:top w:val="single" w:sz="6" w:space="0" w:color="auto"/>
              <w:bottom w:val="single" w:sz="6" w:space="0" w:color="auto"/>
            </w:tcBorders>
            <w:shd w:val="clear" w:color="auto" w:fill="auto"/>
          </w:tcPr>
          <w:p w14:paraId="22BFC86E" w14:textId="77777777" w:rsidR="007A66AA" w:rsidRPr="00BA318E" w:rsidRDefault="007A66AA" w:rsidP="00C24791">
            <w:pPr>
              <w:pStyle w:val="TableText"/>
              <w:keepNext/>
              <w:jc w:val="both"/>
              <w:rPr>
                <w:rFonts w:cs="Times New Roman"/>
                <w:b/>
                <w:sz w:val="22"/>
                <w:szCs w:val="22"/>
                <w:lang w:val="sr-Latn-ME"/>
              </w:rPr>
            </w:pPr>
            <w:r w:rsidRPr="00BA318E">
              <w:rPr>
                <w:rFonts w:cs="Times New Roman"/>
                <w:b/>
                <w:sz w:val="22"/>
                <w:szCs w:val="22"/>
                <w:lang w:val="sr-Latn-ME"/>
              </w:rPr>
              <w:br/>
            </w:r>
          </w:p>
        </w:tc>
        <w:tc>
          <w:tcPr>
            <w:tcW w:w="3018" w:type="dxa"/>
            <w:gridSpan w:val="2"/>
            <w:tcBorders>
              <w:top w:val="single" w:sz="6" w:space="0" w:color="auto"/>
              <w:bottom w:val="single" w:sz="6" w:space="0" w:color="auto"/>
              <w:right w:val="single" w:sz="6" w:space="0" w:color="auto"/>
            </w:tcBorders>
            <w:shd w:val="clear" w:color="auto" w:fill="auto"/>
          </w:tcPr>
          <w:p w14:paraId="3278D69D" w14:textId="77777777" w:rsidR="007A66AA" w:rsidRPr="00BA318E" w:rsidRDefault="007A66AA" w:rsidP="00C24791">
            <w:pPr>
              <w:pStyle w:val="TableText"/>
              <w:keepNext/>
              <w:jc w:val="center"/>
              <w:rPr>
                <w:rFonts w:cs="Times New Roman"/>
                <w:b/>
                <w:sz w:val="22"/>
                <w:szCs w:val="22"/>
                <w:lang w:val="sr-Latn-ME"/>
              </w:rPr>
            </w:pPr>
            <w:r w:rsidRPr="00BA318E">
              <w:rPr>
                <w:rFonts w:cs="Times New Roman"/>
                <w:b/>
                <w:sz w:val="22"/>
                <w:szCs w:val="22"/>
                <w:lang w:val="sr-Latn-ME"/>
              </w:rPr>
              <w:t>Latanoprost</w:t>
            </w:r>
            <w:r w:rsidRPr="00BA318E">
              <w:rPr>
                <w:rFonts w:cs="Times New Roman"/>
                <w:b/>
                <w:sz w:val="22"/>
                <w:szCs w:val="22"/>
                <w:lang w:val="sr-Latn-ME"/>
              </w:rPr>
              <w:br/>
              <w:t>N=53</w:t>
            </w:r>
          </w:p>
        </w:tc>
        <w:tc>
          <w:tcPr>
            <w:tcW w:w="2793" w:type="dxa"/>
            <w:gridSpan w:val="2"/>
            <w:tcBorders>
              <w:top w:val="single" w:sz="6" w:space="0" w:color="auto"/>
              <w:left w:val="single" w:sz="6" w:space="0" w:color="auto"/>
              <w:bottom w:val="single" w:sz="6" w:space="0" w:color="auto"/>
            </w:tcBorders>
            <w:shd w:val="clear" w:color="auto" w:fill="auto"/>
          </w:tcPr>
          <w:p w14:paraId="60CE16C8" w14:textId="77777777" w:rsidR="007A66AA" w:rsidRPr="00BA318E" w:rsidRDefault="007A66AA" w:rsidP="00C24791">
            <w:pPr>
              <w:pStyle w:val="TableText"/>
              <w:keepNext/>
              <w:jc w:val="center"/>
              <w:rPr>
                <w:rFonts w:cs="Times New Roman"/>
                <w:b/>
                <w:sz w:val="22"/>
                <w:szCs w:val="22"/>
                <w:lang w:val="sr-Latn-ME"/>
              </w:rPr>
            </w:pPr>
            <w:r w:rsidRPr="00BA318E">
              <w:rPr>
                <w:rFonts w:cs="Times New Roman"/>
                <w:b/>
                <w:sz w:val="22"/>
                <w:szCs w:val="22"/>
                <w:lang w:val="sr-Latn-ME"/>
              </w:rPr>
              <w:t>Timolol</w:t>
            </w:r>
            <w:r w:rsidRPr="00BA318E">
              <w:rPr>
                <w:rFonts w:cs="Times New Roman"/>
                <w:b/>
                <w:sz w:val="22"/>
                <w:szCs w:val="22"/>
                <w:lang w:val="sr-Latn-ME"/>
              </w:rPr>
              <w:br/>
              <w:t>N=54</w:t>
            </w:r>
          </w:p>
        </w:tc>
      </w:tr>
      <w:tr w:rsidR="007A66AA" w:rsidRPr="00BA318E" w14:paraId="2BF6D07C" w14:textId="77777777" w:rsidTr="00C24791">
        <w:trPr>
          <w:cantSplit/>
          <w:trHeight w:val="210"/>
          <w:tblHeader/>
        </w:trPr>
        <w:tc>
          <w:tcPr>
            <w:tcW w:w="3603" w:type="dxa"/>
            <w:tcBorders>
              <w:top w:val="nil"/>
            </w:tcBorders>
            <w:shd w:val="clear" w:color="auto" w:fill="auto"/>
          </w:tcPr>
          <w:p w14:paraId="67E17E8E" w14:textId="77777777" w:rsidR="007A66AA" w:rsidRPr="00BA318E" w:rsidRDefault="007A66AA" w:rsidP="00C24791">
            <w:pPr>
              <w:pStyle w:val="TableText"/>
              <w:keepNext/>
              <w:tabs>
                <w:tab w:val="left" w:pos="272"/>
              </w:tabs>
              <w:jc w:val="both"/>
              <w:rPr>
                <w:rFonts w:cs="Times New Roman"/>
                <w:sz w:val="22"/>
                <w:szCs w:val="22"/>
                <w:lang w:val="sr-Latn-ME"/>
              </w:rPr>
            </w:pPr>
            <w:r w:rsidRPr="00BA318E">
              <w:rPr>
                <w:rFonts w:cs="Times New Roman"/>
                <w:sz w:val="22"/>
                <w:szCs w:val="22"/>
                <w:lang w:val="sr-Latn-ME"/>
              </w:rPr>
              <w:t>Srednja početna vrijednost (SE)</w:t>
            </w:r>
          </w:p>
        </w:tc>
        <w:tc>
          <w:tcPr>
            <w:tcW w:w="3018" w:type="dxa"/>
            <w:gridSpan w:val="2"/>
            <w:tcBorders>
              <w:top w:val="nil"/>
              <w:right w:val="single" w:sz="6" w:space="0" w:color="auto"/>
            </w:tcBorders>
            <w:shd w:val="clear" w:color="auto" w:fill="auto"/>
          </w:tcPr>
          <w:p w14:paraId="50C10013" w14:textId="77777777" w:rsidR="007A66AA" w:rsidRPr="00BA318E" w:rsidRDefault="007A66AA" w:rsidP="00C24791">
            <w:pPr>
              <w:pStyle w:val="TableText"/>
              <w:keepNext/>
              <w:tabs>
                <w:tab w:val="left" w:pos="272"/>
              </w:tabs>
              <w:jc w:val="center"/>
              <w:rPr>
                <w:rFonts w:cs="Times New Roman"/>
                <w:sz w:val="22"/>
                <w:szCs w:val="22"/>
                <w:lang w:val="sr-Latn-ME"/>
              </w:rPr>
            </w:pPr>
            <w:r w:rsidRPr="00BA318E">
              <w:rPr>
                <w:rFonts w:cs="Times New Roman"/>
                <w:sz w:val="22"/>
                <w:szCs w:val="22"/>
                <w:lang w:val="sr-Latn-ME"/>
              </w:rPr>
              <w:t>27,3 (0,75)</w:t>
            </w:r>
          </w:p>
        </w:tc>
        <w:tc>
          <w:tcPr>
            <w:tcW w:w="2793" w:type="dxa"/>
            <w:gridSpan w:val="2"/>
            <w:tcBorders>
              <w:top w:val="nil"/>
              <w:left w:val="single" w:sz="6" w:space="0" w:color="auto"/>
            </w:tcBorders>
            <w:shd w:val="clear" w:color="auto" w:fill="auto"/>
          </w:tcPr>
          <w:p w14:paraId="172CC7B9" w14:textId="77777777" w:rsidR="007A66AA" w:rsidRPr="00BA318E" w:rsidRDefault="007A66AA" w:rsidP="00C24791">
            <w:pPr>
              <w:pStyle w:val="TableText"/>
              <w:keepNext/>
              <w:tabs>
                <w:tab w:val="left" w:pos="272"/>
              </w:tabs>
              <w:jc w:val="center"/>
              <w:rPr>
                <w:rFonts w:cs="Times New Roman"/>
                <w:sz w:val="22"/>
                <w:szCs w:val="22"/>
                <w:lang w:val="sr-Latn-ME"/>
              </w:rPr>
            </w:pPr>
            <w:r w:rsidRPr="00BA318E">
              <w:rPr>
                <w:rFonts w:cs="Times New Roman"/>
                <w:sz w:val="22"/>
                <w:szCs w:val="22"/>
                <w:lang w:val="sr-Latn-ME"/>
              </w:rPr>
              <w:t>27,8 (0,84)</w:t>
            </w:r>
          </w:p>
        </w:tc>
      </w:tr>
      <w:tr w:rsidR="007A66AA" w:rsidRPr="00BA318E" w14:paraId="0FFE24B6" w14:textId="77777777" w:rsidTr="00C24791">
        <w:trPr>
          <w:cantSplit/>
          <w:trHeight w:val="210"/>
          <w:tblHeader/>
        </w:trPr>
        <w:tc>
          <w:tcPr>
            <w:tcW w:w="3603" w:type="dxa"/>
            <w:shd w:val="clear" w:color="auto" w:fill="auto"/>
          </w:tcPr>
          <w:p w14:paraId="36A8FB71" w14:textId="77777777" w:rsidR="007A66AA" w:rsidRPr="00BA318E" w:rsidRDefault="007A66AA" w:rsidP="00C24791">
            <w:pPr>
              <w:pStyle w:val="TableText"/>
              <w:keepNext/>
              <w:tabs>
                <w:tab w:val="left" w:pos="272"/>
              </w:tabs>
              <w:jc w:val="both"/>
              <w:rPr>
                <w:rFonts w:cs="Times New Roman"/>
                <w:sz w:val="22"/>
                <w:szCs w:val="22"/>
                <w:lang w:val="sr-Latn-ME"/>
              </w:rPr>
            </w:pPr>
            <w:r w:rsidRPr="00BA318E">
              <w:rPr>
                <w:rFonts w:cs="Times New Roman"/>
                <w:sz w:val="22"/>
                <w:szCs w:val="22"/>
                <w:lang w:val="sr-Latn-ME"/>
              </w:rPr>
              <w:t>Promjena u 12. nedjelji u odnosu na srednju početnu vrijednost</w:t>
            </w:r>
            <w:r w:rsidRPr="00BA318E">
              <w:rPr>
                <w:rFonts w:cs="Times New Roman"/>
                <w:sz w:val="22"/>
                <w:szCs w:val="22"/>
                <w:vertAlign w:val="superscript"/>
                <w:lang w:val="sr-Latn-ME"/>
              </w:rPr>
              <w:t>†</w:t>
            </w:r>
            <w:r w:rsidRPr="00BA318E">
              <w:rPr>
                <w:rFonts w:cs="Times New Roman"/>
                <w:sz w:val="22"/>
                <w:szCs w:val="22"/>
                <w:lang w:val="sr-Latn-ME"/>
              </w:rPr>
              <w:t>(SE)</w:t>
            </w:r>
          </w:p>
        </w:tc>
        <w:tc>
          <w:tcPr>
            <w:tcW w:w="3018" w:type="dxa"/>
            <w:gridSpan w:val="2"/>
            <w:tcBorders>
              <w:bottom w:val="nil"/>
              <w:right w:val="single" w:sz="6" w:space="0" w:color="auto"/>
            </w:tcBorders>
            <w:shd w:val="clear" w:color="auto" w:fill="auto"/>
          </w:tcPr>
          <w:p w14:paraId="0BC2E217" w14:textId="77777777" w:rsidR="007A66AA" w:rsidRPr="00BA318E" w:rsidRDefault="007A66AA" w:rsidP="00C24791">
            <w:pPr>
              <w:pStyle w:val="TableText"/>
              <w:keepNext/>
              <w:tabs>
                <w:tab w:val="left" w:pos="272"/>
              </w:tabs>
              <w:jc w:val="center"/>
              <w:rPr>
                <w:rFonts w:cs="Times New Roman"/>
                <w:sz w:val="22"/>
                <w:szCs w:val="22"/>
                <w:lang w:val="sr-Latn-ME"/>
              </w:rPr>
            </w:pPr>
            <w:r w:rsidRPr="00BA318E">
              <w:rPr>
                <w:rFonts w:cs="Times New Roman"/>
                <w:sz w:val="22"/>
                <w:szCs w:val="22"/>
                <w:lang w:val="sr-Latn-ME"/>
              </w:rPr>
              <w:t>-7,18 (0,81)</w:t>
            </w:r>
          </w:p>
        </w:tc>
        <w:tc>
          <w:tcPr>
            <w:tcW w:w="2793" w:type="dxa"/>
            <w:gridSpan w:val="2"/>
            <w:tcBorders>
              <w:left w:val="single" w:sz="6" w:space="0" w:color="auto"/>
            </w:tcBorders>
            <w:shd w:val="clear" w:color="auto" w:fill="auto"/>
          </w:tcPr>
          <w:p w14:paraId="4E683D22" w14:textId="77777777" w:rsidR="007A66AA" w:rsidRPr="00BA318E" w:rsidRDefault="007A66AA" w:rsidP="00C24791">
            <w:pPr>
              <w:pStyle w:val="TableText"/>
              <w:keepNext/>
              <w:tabs>
                <w:tab w:val="left" w:pos="272"/>
              </w:tabs>
              <w:jc w:val="center"/>
              <w:rPr>
                <w:rFonts w:cs="Times New Roman"/>
                <w:sz w:val="22"/>
                <w:szCs w:val="22"/>
                <w:lang w:val="sr-Latn-ME"/>
              </w:rPr>
            </w:pPr>
            <w:r w:rsidRPr="00BA318E">
              <w:rPr>
                <w:rFonts w:cs="Times New Roman"/>
                <w:sz w:val="22"/>
                <w:szCs w:val="22"/>
                <w:lang w:val="sr-Latn-ME"/>
              </w:rPr>
              <w:t>-5,72 (0,81)</w:t>
            </w:r>
          </w:p>
        </w:tc>
      </w:tr>
      <w:tr w:rsidR="007A66AA" w:rsidRPr="00BA318E" w14:paraId="03A0D550" w14:textId="77777777" w:rsidTr="00C24791">
        <w:trPr>
          <w:cantSplit/>
          <w:trHeight w:val="210"/>
          <w:tblHeader/>
        </w:trPr>
        <w:tc>
          <w:tcPr>
            <w:tcW w:w="3603" w:type="dxa"/>
            <w:tcBorders>
              <w:top w:val="nil"/>
              <w:bottom w:val="single" w:sz="4" w:space="0" w:color="auto"/>
            </w:tcBorders>
            <w:shd w:val="clear" w:color="auto" w:fill="auto"/>
          </w:tcPr>
          <w:p w14:paraId="23D3080D" w14:textId="77777777" w:rsidR="007A66AA" w:rsidRPr="00BA318E" w:rsidRDefault="007A66AA" w:rsidP="00C24791">
            <w:pPr>
              <w:pStyle w:val="TableText"/>
              <w:keepNext/>
              <w:tabs>
                <w:tab w:val="left" w:pos="272"/>
              </w:tabs>
              <w:jc w:val="both"/>
              <w:rPr>
                <w:rFonts w:cs="Times New Roman"/>
                <w:sz w:val="22"/>
                <w:szCs w:val="22"/>
                <w:lang w:val="sr-Latn-ME"/>
              </w:rPr>
            </w:pPr>
            <w:r w:rsidRPr="00BA318E">
              <w:rPr>
                <w:rFonts w:cs="Times New Roman"/>
                <w:sz w:val="22"/>
                <w:szCs w:val="22"/>
                <w:lang w:val="sr-Latn-ME"/>
              </w:rPr>
              <w:t xml:space="preserve">    </w:t>
            </w:r>
            <w:r w:rsidRPr="00BA318E">
              <w:rPr>
                <w:rFonts w:cs="Times New Roman"/>
                <w:i/>
                <w:sz w:val="22"/>
                <w:szCs w:val="22"/>
                <w:lang w:val="sr-Latn-ME"/>
              </w:rPr>
              <w:t>p</w:t>
            </w:r>
            <w:r w:rsidRPr="00BA318E">
              <w:rPr>
                <w:rFonts w:cs="Times New Roman"/>
                <w:sz w:val="22"/>
                <w:szCs w:val="22"/>
                <w:lang w:val="sr-Latn-ME"/>
              </w:rPr>
              <w:t>-vrijednost u odnosu na timolol</w:t>
            </w:r>
          </w:p>
        </w:tc>
        <w:tc>
          <w:tcPr>
            <w:tcW w:w="5811" w:type="dxa"/>
            <w:gridSpan w:val="4"/>
            <w:tcBorders>
              <w:top w:val="nil"/>
              <w:bottom w:val="single" w:sz="4" w:space="0" w:color="auto"/>
            </w:tcBorders>
            <w:shd w:val="clear" w:color="auto" w:fill="auto"/>
          </w:tcPr>
          <w:p w14:paraId="71E89B75" w14:textId="77777777" w:rsidR="007A66AA" w:rsidRPr="00BA318E" w:rsidRDefault="007A66AA" w:rsidP="00C24791">
            <w:pPr>
              <w:pStyle w:val="TableText"/>
              <w:keepNext/>
              <w:tabs>
                <w:tab w:val="left" w:pos="272"/>
              </w:tabs>
              <w:jc w:val="center"/>
              <w:rPr>
                <w:rFonts w:cs="Times New Roman"/>
                <w:sz w:val="22"/>
                <w:szCs w:val="22"/>
                <w:lang w:val="sr-Latn-ME"/>
              </w:rPr>
            </w:pPr>
            <w:r w:rsidRPr="00BA318E">
              <w:rPr>
                <w:rFonts w:cs="Times New Roman"/>
                <w:sz w:val="22"/>
                <w:szCs w:val="22"/>
                <w:lang w:val="sr-Latn-ME"/>
              </w:rPr>
              <w:t>0.2056</w:t>
            </w:r>
          </w:p>
        </w:tc>
      </w:tr>
      <w:tr w:rsidR="007A66AA" w:rsidRPr="00BA318E" w14:paraId="149318A7" w14:textId="77777777" w:rsidTr="00C24791">
        <w:trPr>
          <w:cantSplit/>
          <w:trHeight w:val="210"/>
          <w:tblHeader/>
        </w:trPr>
        <w:tc>
          <w:tcPr>
            <w:tcW w:w="3603" w:type="dxa"/>
            <w:tcBorders>
              <w:top w:val="single" w:sz="4" w:space="0" w:color="auto"/>
              <w:bottom w:val="single" w:sz="4" w:space="0" w:color="auto"/>
              <w:right w:val="nil"/>
            </w:tcBorders>
            <w:shd w:val="clear" w:color="auto" w:fill="auto"/>
          </w:tcPr>
          <w:p w14:paraId="4C2410A4" w14:textId="77777777" w:rsidR="007A66AA" w:rsidRPr="00BA318E" w:rsidRDefault="007A66AA" w:rsidP="00C24791">
            <w:pPr>
              <w:pStyle w:val="TableText"/>
              <w:keepNext/>
              <w:tabs>
                <w:tab w:val="left" w:pos="272"/>
              </w:tabs>
              <w:jc w:val="both"/>
              <w:rPr>
                <w:rFonts w:cs="Times New Roman"/>
                <w:sz w:val="22"/>
                <w:szCs w:val="22"/>
                <w:lang w:val="sr-Latn-ME"/>
              </w:rPr>
            </w:pPr>
            <w:r w:rsidRPr="00BA318E">
              <w:rPr>
                <w:rFonts w:cs="Times New Roman"/>
                <w:i/>
                <w:sz w:val="22"/>
                <w:szCs w:val="22"/>
                <w:lang w:val="sr-Latn-ME"/>
              </w:rPr>
              <w:br/>
            </w:r>
          </w:p>
        </w:tc>
        <w:tc>
          <w:tcPr>
            <w:tcW w:w="1419" w:type="dxa"/>
            <w:tcBorders>
              <w:top w:val="single" w:sz="4" w:space="0" w:color="auto"/>
              <w:left w:val="nil"/>
              <w:bottom w:val="single" w:sz="4" w:space="0" w:color="auto"/>
              <w:right w:val="nil"/>
            </w:tcBorders>
            <w:shd w:val="clear" w:color="auto" w:fill="auto"/>
          </w:tcPr>
          <w:p w14:paraId="1E9F2E5C" w14:textId="77777777" w:rsidR="007A66AA" w:rsidRPr="00BA318E" w:rsidRDefault="007A66AA" w:rsidP="00C24791">
            <w:pPr>
              <w:pStyle w:val="TableText"/>
              <w:keepNext/>
              <w:tabs>
                <w:tab w:val="left" w:pos="272"/>
              </w:tabs>
              <w:jc w:val="center"/>
              <w:rPr>
                <w:rFonts w:cs="Times New Roman"/>
                <w:b/>
                <w:sz w:val="22"/>
                <w:szCs w:val="22"/>
                <w:lang w:val="sr-Latn-ME"/>
              </w:rPr>
            </w:pPr>
            <w:r w:rsidRPr="00BA318E">
              <w:rPr>
                <w:rFonts w:cs="Times New Roman"/>
                <w:b/>
                <w:sz w:val="22"/>
                <w:szCs w:val="22"/>
                <w:lang w:val="sr-Latn-ME"/>
              </w:rPr>
              <w:t>PCG</w:t>
            </w:r>
            <w:r w:rsidRPr="00BA318E">
              <w:rPr>
                <w:rFonts w:cs="Times New Roman"/>
                <w:b/>
                <w:sz w:val="22"/>
                <w:szCs w:val="22"/>
                <w:lang w:val="sr-Latn-ME"/>
              </w:rPr>
              <w:br/>
              <w:t>N=28</w:t>
            </w:r>
          </w:p>
        </w:tc>
        <w:tc>
          <w:tcPr>
            <w:tcW w:w="1599" w:type="dxa"/>
            <w:tcBorders>
              <w:top w:val="single" w:sz="4" w:space="0" w:color="auto"/>
              <w:left w:val="nil"/>
              <w:bottom w:val="single" w:sz="4" w:space="0" w:color="auto"/>
              <w:right w:val="single" w:sz="4" w:space="0" w:color="auto"/>
            </w:tcBorders>
            <w:shd w:val="clear" w:color="auto" w:fill="auto"/>
          </w:tcPr>
          <w:p w14:paraId="5BC23D89" w14:textId="77777777" w:rsidR="007A66AA" w:rsidRPr="00BA318E" w:rsidRDefault="007A66AA" w:rsidP="00C24791">
            <w:pPr>
              <w:pStyle w:val="TableText"/>
              <w:keepNext/>
              <w:tabs>
                <w:tab w:val="left" w:pos="272"/>
              </w:tabs>
              <w:jc w:val="center"/>
              <w:rPr>
                <w:rFonts w:cs="Times New Roman"/>
                <w:b/>
                <w:sz w:val="22"/>
                <w:szCs w:val="22"/>
                <w:lang w:val="sr-Latn-ME"/>
              </w:rPr>
            </w:pPr>
            <w:r w:rsidRPr="00BA318E">
              <w:rPr>
                <w:rFonts w:cs="Times New Roman"/>
                <w:b/>
                <w:sz w:val="22"/>
                <w:szCs w:val="22"/>
                <w:lang w:val="sr-Latn-ME"/>
              </w:rPr>
              <w:t>Non-PCG</w:t>
            </w:r>
          </w:p>
          <w:p w14:paraId="45BFA0DD" w14:textId="77777777" w:rsidR="007A66AA" w:rsidRPr="00BA318E" w:rsidRDefault="007A66AA" w:rsidP="00C24791">
            <w:pPr>
              <w:pStyle w:val="TableText"/>
              <w:keepNext/>
              <w:tabs>
                <w:tab w:val="left" w:pos="272"/>
              </w:tabs>
              <w:jc w:val="center"/>
              <w:rPr>
                <w:rFonts w:cs="Times New Roman"/>
                <w:b/>
                <w:sz w:val="22"/>
                <w:szCs w:val="22"/>
                <w:lang w:val="sr-Latn-ME"/>
              </w:rPr>
            </w:pPr>
            <w:r w:rsidRPr="00BA318E">
              <w:rPr>
                <w:rFonts w:cs="Times New Roman"/>
                <w:b/>
                <w:sz w:val="22"/>
                <w:szCs w:val="22"/>
                <w:lang w:val="sr-Latn-ME"/>
              </w:rPr>
              <w:t>N=25</w:t>
            </w:r>
          </w:p>
        </w:tc>
        <w:tc>
          <w:tcPr>
            <w:tcW w:w="1256" w:type="dxa"/>
            <w:tcBorders>
              <w:top w:val="single" w:sz="4" w:space="0" w:color="auto"/>
              <w:left w:val="single" w:sz="4" w:space="0" w:color="auto"/>
              <w:bottom w:val="single" w:sz="4" w:space="0" w:color="auto"/>
              <w:right w:val="nil"/>
            </w:tcBorders>
            <w:shd w:val="clear" w:color="auto" w:fill="auto"/>
          </w:tcPr>
          <w:p w14:paraId="638B0DEF" w14:textId="77777777" w:rsidR="007A66AA" w:rsidRPr="00BA318E" w:rsidRDefault="007A66AA" w:rsidP="00C24791">
            <w:pPr>
              <w:pStyle w:val="TableText"/>
              <w:keepNext/>
              <w:tabs>
                <w:tab w:val="left" w:pos="272"/>
              </w:tabs>
              <w:jc w:val="center"/>
              <w:rPr>
                <w:rFonts w:cs="Times New Roman"/>
                <w:b/>
                <w:sz w:val="22"/>
                <w:szCs w:val="22"/>
                <w:lang w:val="sr-Latn-ME"/>
              </w:rPr>
            </w:pPr>
            <w:r w:rsidRPr="00BA318E">
              <w:rPr>
                <w:rFonts w:cs="Times New Roman"/>
                <w:b/>
                <w:sz w:val="22"/>
                <w:szCs w:val="22"/>
                <w:lang w:val="sr-Latn-ME"/>
              </w:rPr>
              <w:t>PCG</w:t>
            </w:r>
          </w:p>
          <w:p w14:paraId="68A266E2" w14:textId="77777777" w:rsidR="007A66AA" w:rsidRPr="00BA318E" w:rsidRDefault="007A66AA" w:rsidP="00C24791">
            <w:pPr>
              <w:pStyle w:val="TableText"/>
              <w:keepNext/>
              <w:tabs>
                <w:tab w:val="left" w:pos="272"/>
              </w:tabs>
              <w:jc w:val="center"/>
              <w:rPr>
                <w:rFonts w:cs="Times New Roman"/>
                <w:sz w:val="22"/>
                <w:szCs w:val="22"/>
                <w:lang w:val="sr-Latn-ME"/>
              </w:rPr>
            </w:pPr>
            <w:r w:rsidRPr="00BA318E">
              <w:rPr>
                <w:rFonts w:cs="Times New Roman"/>
                <w:b/>
                <w:sz w:val="22"/>
                <w:szCs w:val="22"/>
                <w:lang w:val="sr-Latn-ME"/>
              </w:rPr>
              <w:t>N=26</w:t>
            </w:r>
          </w:p>
        </w:tc>
        <w:tc>
          <w:tcPr>
            <w:tcW w:w="1537" w:type="dxa"/>
            <w:tcBorders>
              <w:top w:val="single" w:sz="4" w:space="0" w:color="auto"/>
              <w:left w:val="nil"/>
              <w:bottom w:val="single" w:sz="4" w:space="0" w:color="auto"/>
            </w:tcBorders>
            <w:shd w:val="clear" w:color="auto" w:fill="auto"/>
          </w:tcPr>
          <w:p w14:paraId="3951DCDF" w14:textId="77777777" w:rsidR="007A66AA" w:rsidRPr="00BA318E" w:rsidRDefault="007A66AA" w:rsidP="00C24791">
            <w:pPr>
              <w:pStyle w:val="TableText"/>
              <w:keepNext/>
              <w:tabs>
                <w:tab w:val="left" w:pos="272"/>
              </w:tabs>
              <w:jc w:val="center"/>
              <w:rPr>
                <w:rFonts w:cs="Times New Roman"/>
                <w:sz w:val="22"/>
                <w:szCs w:val="22"/>
                <w:lang w:val="sr-Latn-ME"/>
              </w:rPr>
            </w:pPr>
            <w:r w:rsidRPr="00BA318E">
              <w:rPr>
                <w:rFonts w:cs="Times New Roman"/>
                <w:b/>
                <w:sz w:val="22"/>
                <w:szCs w:val="22"/>
                <w:lang w:val="sr-Latn-ME"/>
              </w:rPr>
              <w:t>Non-PCG</w:t>
            </w:r>
            <w:r w:rsidRPr="00BA318E">
              <w:rPr>
                <w:rFonts w:cs="Times New Roman"/>
                <w:b/>
                <w:sz w:val="22"/>
                <w:szCs w:val="22"/>
                <w:lang w:val="sr-Latn-ME"/>
              </w:rPr>
              <w:br/>
              <w:t>N=28</w:t>
            </w:r>
          </w:p>
        </w:tc>
      </w:tr>
      <w:tr w:rsidR="007A66AA" w:rsidRPr="00BA318E" w14:paraId="13F77BA6" w14:textId="77777777" w:rsidTr="00C24791">
        <w:trPr>
          <w:cantSplit/>
          <w:trHeight w:val="210"/>
          <w:tblHeader/>
        </w:trPr>
        <w:tc>
          <w:tcPr>
            <w:tcW w:w="3603" w:type="dxa"/>
            <w:tcBorders>
              <w:top w:val="single" w:sz="4" w:space="0" w:color="auto"/>
              <w:bottom w:val="nil"/>
            </w:tcBorders>
            <w:shd w:val="clear" w:color="auto" w:fill="auto"/>
          </w:tcPr>
          <w:p w14:paraId="6A2576A3" w14:textId="77777777" w:rsidR="007A66AA" w:rsidRPr="00BA318E" w:rsidRDefault="007A66AA" w:rsidP="00C24791">
            <w:pPr>
              <w:pStyle w:val="TableText"/>
              <w:keepNext/>
              <w:tabs>
                <w:tab w:val="left" w:pos="272"/>
              </w:tabs>
              <w:jc w:val="both"/>
              <w:rPr>
                <w:rFonts w:cs="Times New Roman"/>
                <w:sz w:val="22"/>
                <w:szCs w:val="22"/>
                <w:lang w:val="sr-Latn-ME"/>
              </w:rPr>
            </w:pPr>
            <w:r w:rsidRPr="00BA318E">
              <w:rPr>
                <w:rFonts w:cs="Times New Roman"/>
                <w:sz w:val="22"/>
                <w:szCs w:val="22"/>
                <w:lang w:val="sr-Latn-ME"/>
              </w:rPr>
              <w:t>Srednja početna vrijednost (SE)</w:t>
            </w:r>
          </w:p>
        </w:tc>
        <w:tc>
          <w:tcPr>
            <w:tcW w:w="1419" w:type="dxa"/>
            <w:tcBorders>
              <w:top w:val="single" w:sz="4" w:space="0" w:color="auto"/>
              <w:bottom w:val="nil"/>
              <w:right w:val="single" w:sz="4" w:space="0" w:color="auto"/>
            </w:tcBorders>
            <w:shd w:val="clear" w:color="auto" w:fill="auto"/>
          </w:tcPr>
          <w:p w14:paraId="3A453F5B" w14:textId="77777777" w:rsidR="007A66AA" w:rsidRPr="00BA318E" w:rsidRDefault="007A66AA" w:rsidP="00C24791">
            <w:pPr>
              <w:pStyle w:val="TableText"/>
              <w:keepNext/>
              <w:tabs>
                <w:tab w:val="left" w:pos="272"/>
              </w:tabs>
              <w:jc w:val="center"/>
              <w:rPr>
                <w:rFonts w:cs="Times New Roman"/>
                <w:i/>
                <w:sz w:val="22"/>
                <w:szCs w:val="22"/>
                <w:lang w:val="sr-Latn-ME"/>
              </w:rPr>
            </w:pPr>
            <w:r w:rsidRPr="00BA318E">
              <w:rPr>
                <w:rFonts w:cs="Times New Roman"/>
                <w:sz w:val="22"/>
                <w:szCs w:val="22"/>
                <w:lang w:val="sr-Latn-ME"/>
              </w:rPr>
              <w:t>26,5 (0,72)</w:t>
            </w:r>
          </w:p>
        </w:tc>
        <w:tc>
          <w:tcPr>
            <w:tcW w:w="1599" w:type="dxa"/>
            <w:tcBorders>
              <w:top w:val="single" w:sz="4" w:space="0" w:color="auto"/>
              <w:left w:val="single" w:sz="4" w:space="0" w:color="auto"/>
              <w:bottom w:val="nil"/>
              <w:right w:val="single" w:sz="4" w:space="0" w:color="auto"/>
            </w:tcBorders>
            <w:shd w:val="clear" w:color="auto" w:fill="auto"/>
          </w:tcPr>
          <w:p w14:paraId="0D9C4E5E" w14:textId="77777777" w:rsidR="007A66AA" w:rsidRPr="00BA318E" w:rsidRDefault="007A66AA" w:rsidP="00C24791">
            <w:pPr>
              <w:pStyle w:val="TableText"/>
              <w:keepNext/>
              <w:tabs>
                <w:tab w:val="left" w:pos="272"/>
              </w:tabs>
              <w:jc w:val="center"/>
              <w:rPr>
                <w:rFonts w:cs="Times New Roman"/>
                <w:i/>
                <w:sz w:val="22"/>
                <w:szCs w:val="22"/>
                <w:lang w:val="sr-Latn-ME"/>
              </w:rPr>
            </w:pPr>
            <w:r w:rsidRPr="00BA318E">
              <w:rPr>
                <w:rFonts w:cs="Times New Roman"/>
                <w:sz w:val="22"/>
                <w:szCs w:val="22"/>
                <w:lang w:val="sr-Latn-ME"/>
              </w:rPr>
              <w:t>28,2 (1,37)</w:t>
            </w:r>
          </w:p>
        </w:tc>
        <w:tc>
          <w:tcPr>
            <w:tcW w:w="1256" w:type="dxa"/>
            <w:tcBorders>
              <w:top w:val="single" w:sz="4" w:space="0" w:color="auto"/>
              <w:left w:val="single" w:sz="4" w:space="0" w:color="auto"/>
              <w:bottom w:val="nil"/>
              <w:right w:val="single" w:sz="4" w:space="0" w:color="auto"/>
            </w:tcBorders>
            <w:shd w:val="clear" w:color="auto" w:fill="auto"/>
          </w:tcPr>
          <w:p w14:paraId="40772A7D" w14:textId="77777777" w:rsidR="007A66AA" w:rsidRPr="00BA318E" w:rsidRDefault="007A66AA" w:rsidP="00C24791">
            <w:pPr>
              <w:pStyle w:val="TableText"/>
              <w:keepNext/>
              <w:tabs>
                <w:tab w:val="left" w:pos="272"/>
              </w:tabs>
              <w:jc w:val="center"/>
              <w:rPr>
                <w:rFonts w:cs="Times New Roman"/>
                <w:sz w:val="22"/>
                <w:szCs w:val="22"/>
                <w:lang w:val="sr-Latn-ME"/>
              </w:rPr>
            </w:pPr>
            <w:r w:rsidRPr="00BA318E">
              <w:rPr>
                <w:rFonts w:cs="Times New Roman"/>
                <w:sz w:val="22"/>
                <w:szCs w:val="22"/>
                <w:lang w:val="sr-Latn-ME"/>
              </w:rPr>
              <w:t>26,3 (0,95)</w:t>
            </w:r>
          </w:p>
        </w:tc>
        <w:tc>
          <w:tcPr>
            <w:tcW w:w="1537" w:type="dxa"/>
            <w:tcBorders>
              <w:top w:val="single" w:sz="4" w:space="0" w:color="auto"/>
              <w:left w:val="single" w:sz="4" w:space="0" w:color="auto"/>
              <w:bottom w:val="nil"/>
            </w:tcBorders>
            <w:shd w:val="clear" w:color="auto" w:fill="auto"/>
          </w:tcPr>
          <w:p w14:paraId="36A5DC0C" w14:textId="77777777" w:rsidR="007A66AA" w:rsidRPr="00BA318E" w:rsidRDefault="007A66AA" w:rsidP="00C24791">
            <w:pPr>
              <w:pStyle w:val="TableText"/>
              <w:keepNext/>
              <w:tabs>
                <w:tab w:val="left" w:pos="272"/>
              </w:tabs>
              <w:jc w:val="center"/>
              <w:rPr>
                <w:rFonts w:cs="Times New Roman"/>
                <w:sz w:val="22"/>
                <w:szCs w:val="22"/>
                <w:lang w:val="sr-Latn-ME"/>
              </w:rPr>
            </w:pPr>
            <w:r w:rsidRPr="00BA318E">
              <w:rPr>
                <w:rFonts w:cs="Times New Roman"/>
                <w:sz w:val="22"/>
                <w:szCs w:val="22"/>
                <w:lang w:val="sr-Latn-ME"/>
              </w:rPr>
              <w:t>29,1 (1,33)</w:t>
            </w:r>
          </w:p>
        </w:tc>
      </w:tr>
      <w:tr w:rsidR="007A66AA" w:rsidRPr="00BA318E" w14:paraId="26E2D0BC" w14:textId="77777777" w:rsidTr="00C24791">
        <w:trPr>
          <w:cantSplit/>
          <w:trHeight w:val="210"/>
          <w:tblHeader/>
        </w:trPr>
        <w:tc>
          <w:tcPr>
            <w:tcW w:w="3603" w:type="dxa"/>
            <w:tcBorders>
              <w:top w:val="nil"/>
              <w:bottom w:val="nil"/>
            </w:tcBorders>
            <w:shd w:val="clear" w:color="auto" w:fill="auto"/>
          </w:tcPr>
          <w:p w14:paraId="184F4721" w14:textId="77777777" w:rsidR="007A66AA" w:rsidRPr="00BA318E" w:rsidRDefault="007A66AA" w:rsidP="00C24791">
            <w:pPr>
              <w:pStyle w:val="TableText"/>
              <w:keepNext/>
              <w:tabs>
                <w:tab w:val="left" w:pos="272"/>
              </w:tabs>
              <w:jc w:val="both"/>
              <w:rPr>
                <w:rFonts w:cs="Times New Roman"/>
                <w:sz w:val="22"/>
                <w:szCs w:val="22"/>
                <w:lang w:val="sr-Latn-ME"/>
              </w:rPr>
            </w:pPr>
            <w:r w:rsidRPr="00BA318E">
              <w:rPr>
                <w:rFonts w:cs="Times New Roman"/>
                <w:sz w:val="22"/>
                <w:szCs w:val="22"/>
                <w:lang w:val="sr-Latn-ME"/>
              </w:rPr>
              <w:t>Promjena u 12. nedjelji u odnosu na srednju početnu vrijednost</w:t>
            </w:r>
            <w:r w:rsidRPr="00BA318E">
              <w:rPr>
                <w:rFonts w:cs="Times New Roman"/>
                <w:sz w:val="22"/>
                <w:szCs w:val="22"/>
                <w:vertAlign w:val="superscript"/>
                <w:lang w:val="sr-Latn-ME"/>
              </w:rPr>
              <w:t>†</w:t>
            </w:r>
            <w:r w:rsidRPr="00BA318E">
              <w:rPr>
                <w:rFonts w:cs="Times New Roman"/>
                <w:sz w:val="22"/>
                <w:szCs w:val="22"/>
                <w:lang w:val="sr-Latn-ME"/>
              </w:rPr>
              <w:t>(SE)</w:t>
            </w:r>
          </w:p>
        </w:tc>
        <w:tc>
          <w:tcPr>
            <w:tcW w:w="1419" w:type="dxa"/>
            <w:tcBorders>
              <w:top w:val="nil"/>
              <w:bottom w:val="nil"/>
              <w:right w:val="single" w:sz="4" w:space="0" w:color="auto"/>
            </w:tcBorders>
            <w:shd w:val="clear" w:color="auto" w:fill="auto"/>
          </w:tcPr>
          <w:p w14:paraId="34687CD4" w14:textId="77777777" w:rsidR="007A66AA" w:rsidRPr="00BA318E" w:rsidRDefault="007A66AA" w:rsidP="00C24791">
            <w:pPr>
              <w:pStyle w:val="TableText"/>
              <w:keepNext/>
              <w:tabs>
                <w:tab w:val="left" w:pos="272"/>
              </w:tabs>
              <w:jc w:val="center"/>
              <w:rPr>
                <w:rFonts w:cs="Times New Roman"/>
                <w:sz w:val="22"/>
                <w:szCs w:val="22"/>
                <w:lang w:val="sr-Latn-ME"/>
              </w:rPr>
            </w:pPr>
            <w:r w:rsidRPr="00BA318E">
              <w:rPr>
                <w:rFonts w:cs="Times New Roman"/>
                <w:sz w:val="22"/>
                <w:szCs w:val="22"/>
                <w:lang w:val="sr-Latn-ME"/>
              </w:rPr>
              <w:t>-5,90 (0,98)</w:t>
            </w:r>
          </w:p>
        </w:tc>
        <w:tc>
          <w:tcPr>
            <w:tcW w:w="1599" w:type="dxa"/>
            <w:tcBorders>
              <w:top w:val="nil"/>
              <w:left w:val="single" w:sz="4" w:space="0" w:color="auto"/>
              <w:bottom w:val="nil"/>
              <w:right w:val="single" w:sz="4" w:space="0" w:color="auto"/>
            </w:tcBorders>
            <w:shd w:val="clear" w:color="auto" w:fill="auto"/>
          </w:tcPr>
          <w:p w14:paraId="2789A191" w14:textId="77777777" w:rsidR="007A66AA" w:rsidRPr="00BA318E" w:rsidRDefault="007A66AA" w:rsidP="00C24791">
            <w:pPr>
              <w:pStyle w:val="TableText"/>
              <w:keepNext/>
              <w:tabs>
                <w:tab w:val="left" w:pos="272"/>
              </w:tabs>
              <w:jc w:val="center"/>
              <w:rPr>
                <w:rFonts w:cs="Times New Roman"/>
                <w:sz w:val="22"/>
                <w:szCs w:val="22"/>
                <w:lang w:val="sr-Latn-ME"/>
              </w:rPr>
            </w:pPr>
            <w:r w:rsidRPr="00BA318E">
              <w:rPr>
                <w:rFonts w:cs="Times New Roman"/>
                <w:sz w:val="22"/>
                <w:szCs w:val="22"/>
                <w:lang w:val="sr-Latn-ME"/>
              </w:rPr>
              <w:t>-8,66 (1,25)</w:t>
            </w:r>
          </w:p>
        </w:tc>
        <w:tc>
          <w:tcPr>
            <w:tcW w:w="1256" w:type="dxa"/>
            <w:tcBorders>
              <w:top w:val="nil"/>
              <w:left w:val="single" w:sz="4" w:space="0" w:color="auto"/>
              <w:bottom w:val="nil"/>
              <w:right w:val="single" w:sz="4" w:space="0" w:color="auto"/>
            </w:tcBorders>
            <w:shd w:val="clear" w:color="auto" w:fill="auto"/>
          </w:tcPr>
          <w:p w14:paraId="6607F544" w14:textId="77777777" w:rsidR="007A66AA" w:rsidRPr="00BA318E" w:rsidRDefault="007A66AA" w:rsidP="00C24791">
            <w:pPr>
              <w:pStyle w:val="TableText"/>
              <w:keepNext/>
              <w:tabs>
                <w:tab w:val="left" w:pos="272"/>
              </w:tabs>
              <w:jc w:val="center"/>
              <w:rPr>
                <w:rFonts w:cs="Times New Roman"/>
                <w:sz w:val="22"/>
                <w:szCs w:val="22"/>
                <w:lang w:val="sr-Latn-ME"/>
              </w:rPr>
            </w:pPr>
            <w:r w:rsidRPr="00BA318E">
              <w:rPr>
                <w:rFonts w:cs="Times New Roman"/>
                <w:sz w:val="22"/>
                <w:szCs w:val="22"/>
                <w:lang w:val="sr-Latn-ME"/>
              </w:rPr>
              <w:t>-5,34 (1,02)</w:t>
            </w:r>
          </w:p>
        </w:tc>
        <w:tc>
          <w:tcPr>
            <w:tcW w:w="1537" w:type="dxa"/>
            <w:tcBorders>
              <w:top w:val="nil"/>
              <w:left w:val="single" w:sz="4" w:space="0" w:color="auto"/>
              <w:bottom w:val="nil"/>
            </w:tcBorders>
            <w:shd w:val="clear" w:color="auto" w:fill="auto"/>
          </w:tcPr>
          <w:p w14:paraId="5A591761" w14:textId="77777777" w:rsidR="007A66AA" w:rsidRPr="00BA318E" w:rsidRDefault="007A66AA" w:rsidP="00C24791">
            <w:pPr>
              <w:pStyle w:val="TableText"/>
              <w:keepNext/>
              <w:tabs>
                <w:tab w:val="left" w:pos="272"/>
              </w:tabs>
              <w:jc w:val="center"/>
              <w:rPr>
                <w:rFonts w:cs="Times New Roman"/>
                <w:sz w:val="22"/>
                <w:szCs w:val="22"/>
                <w:lang w:val="sr-Latn-ME"/>
              </w:rPr>
            </w:pPr>
            <w:r w:rsidRPr="00BA318E">
              <w:rPr>
                <w:rFonts w:cs="Times New Roman"/>
                <w:sz w:val="22"/>
                <w:szCs w:val="22"/>
                <w:lang w:val="sr-Latn-ME"/>
              </w:rPr>
              <w:t>-6,02 (1,18)</w:t>
            </w:r>
          </w:p>
        </w:tc>
      </w:tr>
      <w:tr w:rsidR="007A66AA" w:rsidRPr="00BA318E" w14:paraId="19FABEA9" w14:textId="77777777" w:rsidTr="00C24791">
        <w:trPr>
          <w:cantSplit/>
          <w:trHeight w:val="210"/>
          <w:tblHeader/>
        </w:trPr>
        <w:tc>
          <w:tcPr>
            <w:tcW w:w="3603" w:type="dxa"/>
            <w:tcBorders>
              <w:top w:val="nil"/>
              <w:bottom w:val="single" w:sz="4" w:space="0" w:color="auto"/>
              <w:right w:val="nil"/>
            </w:tcBorders>
            <w:shd w:val="clear" w:color="auto" w:fill="auto"/>
          </w:tcPr>
          <w:p w14:paraId="666E96BC" w14:textId="77777777" w:rsidR="007A66AA" w:rsidRPr="00BA318E" w:rsidRDefault="007A66AA" w:rsidP="00C24791">
            <w:pPr>
              <w:pStyle w:val="TableText"/>
              <w:keepNext/>
              <w:tabs>
                <w:tab w:val="left" w:pos="272"/>
              </w:tabs>
              <w:jc w:val="both"/>
              <w:rPr>
                <w:rFonts w:cs="Times New Roman"/>
                <w:sz w:val="22"/>
                <w:szCs w:val="22"/>
                <w:lang w:val="sr-Latn-ME"/>
              </w:rPr>
            </w:pPr>
            <w:r w:rsidRPr="00BA318E">
              <w:rPr>
                <w:rFonts w:cs="Times New Roman"/>
                <w:sz w:val="22"/>
                <w:szCs w:val="22"/>
                <w:lang w:val="sr-Latn-ME"/>
              </w:rPr>
              <w:t xml:space="preserve">    </w:t>
            </w:r>
            <w:r w:rsidRPr="00BA318E">
              <w:rPr>
                <w:rFonts w:cs="Times New Roman"/>
                <w:i/>
                <w:sz w:val="22"/>
                <w:szCs w:val="22"/>
                <w:lang w:val="sr-Latn-ME"/>
              </w:rPr>
              <w:t>p</w:t>
            </w:r>
            <w:r w:rsidRPr="00BA318E">
              <w:rPr>
                <w:rFonts w:cs="Times New Roman"/>
                <w:sz w:val="22"/>
                <w:szCs w:val="22"/>
                <w:lang w:val="sr-Latn-ME"/>
              </w:rPr>
              <w:t>-vrijednost u odnosu na timolol</w:t>
            </w:r>
          </w:p>
        </w:tc>
        <w:tc>
          <w:tcPr>
            <w:tcW w:w="1419" w:type="dxa"/>
            <w:tcBorders>
              <w:top w:val="nil"/>
              <w:left w:val="nil"/>
              <w:bottom w:val="single" w:sz="4" w:space="0" w:color="auto"/>
              <w:right w:val="single" w:sz="4" w:space="0" w:color="auto"/>
            </w:tcBorders>
            <w:shd w:val="clear" w:color="auto" w:fill="auto"/>
          </w:tcPr>
          <w:p w14:paraId="3B998D5A" w14:textId="77777777" w:rsidR="007A66AA" w:rsidRPr="00BA318E" w:rsidRDefault="007A66AA" w:rsidP="00C24791">
            <w:pPr>
              <w:pStyle w:val="TableText"/>
              <w:keepNext/>
              <w:tabs>
                <w:tab w:val="left" w:pos="272"/>
              </w:tabs>
              <w:jc w:val="center"/>
              <w:rPr>
                <w:rFonts w:cs="Times New Roman"/>
                <w:sz w:val="22"/>
                <w:szCs w:val="22"/>
                <w:lang w:val="sr-Latn-ME"/>
              </w:rPr>
            </w:pPr>
            <w:r w:rsidRPr="00BA318E">
              <w:rPr>
                <w:rFonts w:cs="Times New Roman"/>
                <w:sz w:val="22"/>
                <w:szCs w:val="22"/>
                <w:lang w:val="sr-Latn-ME"/>
              </w:rPr>
              <w:t>0,6957</w:t>
            </w:r>
          </w:p>
        </w:tc>
        <w:tc>
          <w:tcPr>
            <w:tcW w:w="1599" w:type="dxa"/>
            <w:tcBorders>
              <w:top w:val="nil"/>
              <w:left w:val="single" w:sz="4" w:space="0" w:color="auto"/>
              <w:bottom w:val="single" w:sz="4" w:space="0" w:color="auto"/>
              <w:right w:val="single" w:sz="4" w:space="0" w:color="auto"/>
            </w:tcBorders>
            <w:shd w:val="clear" w:color="auto" w:fill="auto"/>
          </w:tcPr>
          <w:p w14:paraId="0CD0947C" w14:textId="77777777" w:rsidR="007A66AA" w:rsidRPr="00BA318E" w:rsidRDefault="007A66AA" w:rsidP="00C24791">
            <w:pPr>
              <w:pStyle w:val="TableText"/>
              <w:keepNext/>
              <w:tabs>
                <w:tab w:val="left" w:pos="272"/>
              </w:tabs>
              <w:jc w:val="center"/>
              <w:rPr>
                <w:rFonts w:cs="Times New Roman"/>
                <w:sz w:val="22"/>
                <w:szCs w:val="22"/>
                <w:lang w:val="sr-Latn-ME"/>
              </w:rPr>
            </w:pPr>
            <w:r w:rsidRPr="00BA318E">
              <w:rPr>
                <w:rFonts w:cs="Times New Roman"/>
                <w:sz w:val="22"/>
                <w:szCs w:val="22"/>
                <w:lang w:val="sr-Latn-ME"/>
              </w:rPr>
              <w:t>0,1317</w:t>
            </w:r>
          </w:p>
        </w:tc>
        <w:tc>
          <w:tcPr>
            <w:tcW w:w="1256" w:type="dxa"/>
            <w:tcBorders>
              <w:top w:val="nil"/>
              <w:left w:val="single" w:sz="4" w:space="0" w:color="auto"/>
              <w:bottom w:val="single" w:sz="4" w:space="0" w:color="auto"/>
              <w:right w:val="nil"/>
            </w:tcBorders>
            <w:shd w:val="clear" w:color="auto" w:fill="auto"/>
          </w:tcPr>
          <w:p w14:paraId="38DD03E8" w14:textId="77777777" w:rsidR="007A66AA" w:rsidRPr="00BA318E" w:rsidRDefault="007A66AA" w:rsidP="00C24791">
            <w:pPr>
              <w:pStyle w:val="TableText"/>
              <w:keepNext/>
              <w:tabs>
                <w:tab w:val="left" w:pos="272"/>
              </w:tabs>
              <w:jc w:val="center"/>
              <w:rPr>
                <w:rFonts w:cs="Times New Roman"/>
                <w:sz w:val="22"/>
                <w:szCs w:val="22"/>
                <w:lang w:val="sr-Latn-ME"/>
              </w:rPr>
            </w:pPr>
          </w:p>
        </w:tc>
        <w:tc>
          <w:tcPr>
            <w:tcW w:w="1537" w:type="dxa"/>
            <w:tcBorders>
              <w:top w:val="nil"/>
              <w:left w:val="nil"/>
              <w:bottom w:val="single" w:sz="4" w:space="0" w:color="auto"/>
            </w:tcBorders>
            <w:shd w:val="clear" w:color="auto" w:fill="auto"/>
          </w:tcPr>
          <w:p w14:paraId="11EBB13A" w14:textId="77777777" w:rsidR="007A66AA" w:rsidRPr="00BA318E" w:rsidRDefault="007A66AA" w:rsidP="00C24791">
            <w:pPr>
              <w:pStyle w:val="TableText"/>
              <w:keepNext/>
              <w:tabs>
                <w:tab w:val="left" w:pos="272"/>
              </w:tabs>
              <w:jc w:val="center"/>
              <w:rPr>
                <w:rFonts w:cs="Times New Roman"/>
                <w:sz w:val="22"/>
                <w:szCs w:val="22"/>
                <w:lang w:val="sr-Latn-ME"/>
              </w:rPr>
            </w:pPr>
          </w:p>
        </w:tc>
      </w:tr>
    </w:tbl>
    <w:p w14:paraId="437122E6" w14:textId="77777777" w:rsidR="007A66AA" w:rsidRPr="00BA318E" w:rsidRDefault="007A66AA" w:rsidP="007A66AA">
      <w:pPr>
        <w:rPr>
          <w:bCs/>
          <w:iCs/>
          <w:sz w:val="22"/>
          <w:szCs w:val="22"/>
          <w:lang w:val="sr-Latn-ME"/>
        </w:rPr>
      </w:pPr>
      <w:r w:rsidRPr="00BA318E">
        <w:rPr>
          <w:bCs/>
          <w:iCs/>
          <w:sz w:val="22"/>
          <w:szCs w:val="22"/>
          <w:lang w:val="sr-Latn-ME"/>
        </w:rPr>
        <w:t>SE: standardna greška.</w:t>
      </w:r>
    </w:p>
    <w:p w14:paraId="6654B2A9" w14:textId="77777777" w:rsidR="007A66AA" w:rsidRPr="00BA318E" w:rsidRDefault="007A66AA" w:rsidP="007A66AA">
      <w:pPr>
        <w:rPr>
          <w:sz w:val="22"/>
          <w:szCs w:val="22"/>
          <w:lang w:val="sr-Latn-ME"/>
        </w:rPr>
      </w:pPr>
      <w:r w:rsidRPr="00BA318E">
        <w:rPr>
          <w:sz w:val="22"/>
          <w:szCs w:val="22"/>
          <w:vertAlign w:val="superscript"/>
          <w:lang w:val="sr-Latn-ME"/>
        </w:rPr>
        <w:t>†</w:t>
      </w:r>
      <w:r w:rsidRPr="00BA318E">
        <w:rPr>
          <w:sz w:val="22"/>
          <w:szCs w:val="22"/>
          <w:lang w:val="sr-Latn-ME"/>
        </w:rPr>
        <w:t>Procjena podešena na osnovu modela analize kovarijanse (ANCOVA).</w:t>
      </w:r>
    </w:p>
    <w:p w14:paraId="5A56E6D1" w14:textId="77777777" w:rsidR="007A66AA" w:rsidRPr="00BA318E" w:rsidRDefault="007A66AA" w:rsidP="007A66AA">
      <w:pPr>
        <w:rPr>
          <w:sz w:val="22"/>
          <w:szCs w:val="22"/>
          <w:lang w:val="sr-Latn-ME"/>
        </w:rPr>
      </w:pPr>
      <w:r w:rsidRPr="00BA318E">
        <w:rPr>
          <w:sz w:val="22"/>
          <w:szCs w:val="22"/>
          <w:lang w:val="sr-Latn-ME"/>
        </w:rPr>
        <w:t>PCG-</w:t>
      </w:r>
      <w:r w:rsidRPr="00BA318E">
        <w:rPr>
          <w:color w:val="000000"/>
          <w:sz w:val="22"/>
          <w:szCs w:val="22"/>
          <w:lang w:val="sr-Latn-ME" w:eastAsia="sr-Latn-ME"/>
        </w:rPr>
        <w:t xml:space="preserve"> </w:t>
      </w:r>
      <w:r w:rsidRPr="00BA318E">
        <w:rPr>
          <w:sz w:val="22"/>
          <w:szCs w:val="22"/>
          <w:lang w:val="sr-Latn-ME"/>
        </w:rPr>
        <w:t xml:space="preserve">primarni kongenitalni glaukom (prema engl. </w:t>
      </w:r>
      <w:r w:rsidRPr="00BA318E">
        <w:rPr>
          <w:i/>
          <w:iCs/>
          <w:sz w:val="22"/>
          <w:szCs w:val="22"/>
          <w:lang w:val="sr-Latn-ME"/>
        </w:rPr>
        <w:t>primary congenital glaucoma)</w:t>
      </w:r>
    </w:p>
    <w:p w14:paraId="535A145D" w14:textId="52E1CF91" w:rsidR="002E37A5" w:rsidRPr="00BA318E" w:rsidRDefault="002E37A5" w:rsidP="0063575D">
      <w:pPr>
        <w:tabs>
          <w:tab w:val="left" w:pos="540"/>
          <w:tab w:val="left" w:pos="569"/>
        </w:tabs>
        <w:rPr>
          <w:b/>
          <w:bCs/>
          <w:sz w:val="22"/>
          <w:szCs w:val="22"/>
          <w:lang w:val="sr-Latn-ME"/>
        </w:rPr>
      </w:pPr>
    </w:p>
    <w:p w14:paraId="535A145E" w14:textId="77777777" w:rsidR="0072020E" w:rsidRPr="00BA318E" w:rsidRDefault="0072020E" w:rsidP="00480FB1">
      <w:pPr>
        <w:tabs>
          <w:tab w:val="left" w:pos="540"/>
          <w:tab w:val="left" w:pos="569"/>
        </w:tabs>
        <w:rPr>
          <w:b/>
          <w:bCs/>
          <w:sz w:val="22"/>
          <w:szCs w:val="22"/>
          <w:lang w:val="sr-Latn-ME"/>
        </w:rPr>
      </w:pPr>
      <w:r w:rsidRPr="00BA318E">
        <w:rPr>
          <w:b/>
          <w:bCs/>
          <w:sz w:val="22"/>
          <w:szCs w:val="22"/>
          <w:lang w:val="sr-Latn-ME"/>
        </w:rPr>
        <w:t xml:space="preserve">5.2. </w:t>
      </w:r>
      <w:r w:rsidR="00480FB1" w:rsidRPr="00BA318E">
        <w:rPr>
          <w:b/>
          <w:bCs/>
          <w:sz w:val="22"/>
          <w:szCs w:val="22"/>
          <w:lang w:val="sr-Latn-ME"/>
        </w:rPr>
        <w:tab/>
      </w:r>
      <w:r w:rsidRPr="00BA318E">
        <w:rPr>
          <w:b/>
          <w:bCs/>
          <w:sz w:val="22"/>
          <w:szCs w:val="22"/>
          <w:lang w:val="sr-Latn-ME"/>
        </w:rPr>
        <w:t>Farmakokinetički podaci</w:t>
      </w:r>
      <w:r w:rsidR="003A7059" w:rsidRPr="00BA318E">
        <w:rPr>
          <w:b/>
          <w:bCs/>
          <w:sz w:val="22"/>
          <w:szCs w:val="22"/>
          <w:lang w:val="sr-Latn-ME"/>
        </w:rPr>
        <w:t xml:space="preserve"> </w:t>
      </w:r>
    </w:p>
    <w:p w14:paraId="535A145F" w14:textId="77777777" w:rsidR="0072020E" w:rsidRPr="00BA318E" w:rsidRDefault="0072020E" w:rsidP="00480FB1">
      <w:pPr>
        <w:tabs>
          <w:tab w:val="left" w:pos="540"/>
          <w:tab w:val="left" w:pos="569"/>
        </w:tabs>
        <w:rPr>
          <w:bCs/>
          <w:sz w:val="22"/>
          <w:szCs w:val="22"/>
          <w:lang w:val="sr-Latn-ME"/>
        </w:rPr>
      </w:pPr>
    </w:p>
    <w:p w14:paraId="6003F072" w14:textId="77777777" w:rsidR="00910D83" w:rsidRPr="00BA318E" w:rsidRDefault="00910D83" w:rsidP="00910D83">
      <w:pPr>
        <w:tabs>
          <w:tab w:val="right" w:pos="8534"/>
        </w:tabs>
        <w:rPr>
          <w:sz w:val="22"/>
          <w:szCs w:val="22"/>
          <w:u w:val="single"/>
          <w:lang w:val="sr-Latn-ME"/>
        </w:rPr>
      </w:pPr>
      <w:r w:rsidRPr="00BA318E">
        <w:rPr>
          <w:sz w:val="22"/>
          <w:szCs w:val="22"/>
          <w:u w:val="single"/>
          <w:lang w:val="sr-Latn-ME"/>
        </w:rPr>
        <w:t>Resorpcija</w:t>
      </w:r>
    </w:p>
    <w:p w14:paraId="122C3895" w14:textId="77777777" w:rsidR="00910D83" w:rsidRPr="00BA318E" w:rsidRDefault="00910D83" w:rsidP="00910D83">
      <w:pPr>
        <w:tabs>
          <w:tab w:val="right" w:pos="8534"/>
        </w:tabs>
        <w:rPr>
          <w:sz w:val="22"/>
          <w:szCs w:val="22"/>
          <w:lang w:val="sr-Latn-ME"/>
        </w:rPr>
      </w:pPr>
      <w:r w:rsidRPr="00BA318E">
        <w:rPr>
          <w:sz w:val="22"/>
          <w:szCs w:val="22"/>
          <w:lang w:val="sr-Latn-ME"/>
        </w:rPr>
        <w:t>Latanoprost (relativna molekulska masa 432,58) je pro-lijek u formi izopropil estra koji sam po sebi nije</w:t>
      </w:r>
      <w:r w:rsidRPr="00BA318E">
        <w:rPr>
          <w:i/>
          <w:sz w:val="22"/>
          <w:szCs w:val="22"/>
          <w:lang w:val="sr-Latn-ME"/>
        </w:rPr>
        <w:t xml:space="preserve"> </w:t>
      </w:r>
      <w:r w:rsidRPr="00BA318E">
        <w:rPr>
          <w:sz w:val="22"/>
          <w:szCs w:val="22"/>
          <w:lang w:val="sr-Latn-ME"/>
        </w:rPr>
        <w:t xml:space="preserve">aktivan, ali poslije hidrolize u kisjelinu latanoprosta, postaje biološki aktivan. </w:t>
      </w:r>
    </w:p>
    <w:p w14:paraId="45836693" w14:textId="77777777" w:rsidR="00910D83" w:rsidRPr="00BA318E" w:rsidRDefault="00910D83" w:rsidP="00910D83">
      <w:pPr>
        <w:tabs>
          <w:tab w:val="right" w:pos="8534"/>
        </w:tabs>
        <w:rPr>
          <w:sz w:val="22"/>
          <w:szCs w:val="22"/>
          <w:lang w:val="sr-Latn-ME"/>
        </w:rPr>
      </w:pPr>
    </w:p>
    <w:p w14:paraId="5D02E2F4" w14:textId="77777777" w:rsidR="00910D83" w:rsidRPr="00BA318E" w:rsidRDefault="00910D83" w:rsidP="00910D83">
      <w:pPr>
        <w:tabs>
          <w:tab w:val="right" w:pos="8534"/>
        </w:tabs>
        <w:rPr>
          <w:sz w:val="22"/>
          <w:szCs w:val="22"/>
          <w:lang w:val="sr-Latn-ME"/>
        </w:rPr>
      </w:pPr>
      <w:r w:rsidRPr="00BA318E">
        <w:rPr>
          <w:sz w:val="22"/>
          <w:szCs w:val="22"/>
          <w:lang w:val="sr-Latn-ME"/>
        </w:rPr>
        <w:t>Pro-lijek se dobro resorbuje kroz rožnjaču i sav lijek koji pređe u očnu vodicu hidrolizuje tokom prolaza kroz rožnjaču.</w:t>
      </w:r>
    </w:p>
    <w:p w14:paraId="52C98467" w14:textId="77777777" w:rsidR="00910D83" w:rsidRPr="00BA318E" w:rsidRDefault="00910D83" w:rsidP="00910D83">
      <w:pPr>
        <w:tabs>
          <w:tab w:val="right" w:pos="8534"/>
        </w:tabs>
        <w:rPr>
          <w:sz w:val="22"/>
          <w:szCs w:val="22"/>
          <w:u w:val="single"/>
          <w:lang w:val="sr-Latn-ME"/>
        </w:rPr>
      </w:pPr>
      <w:r w:rsidRPr="00BA318E">
        <w:rPr>
          <w:sz w:val="22"/>
          <w:szCs w:val="22"/>
          <w:u w:val="single"/>
          <w:lang w:val="sr-Latn-ME"/>
        </w:rPr>
        <w:t>Distribucija</w:t>
      </w:r>
    </w:p>
    <w:p w14:paraId="17E9547D" w14:textId="77777777" w:rsidR="00910D83" w:rsidRPr="00BA318E" w:rsidRDefault="00910D83" w:rsidP="00910D83">
      <w:pPr>
        <w:tabs>
          <w:tab w:val="right" w:pos="8534"/>
        </w:tabs>
        <w:rPr>
          <w:sz w:val="22"/>
          <w:szCs w:val="22"/>
          <w:lang w:val="sr-Latn-ME"/>
        </w:rPr>
      </w:pPr>
      <w:r w:rsidRPr="00BA318E">
        <w:rPr>
          <w:sz w:val="22"/>
          <w:szCs w:val="22"/>
          <w:lang w:val="sr-Latn-ME"/>
        </w:rPr>
        <w:t>Studije na ljudima pokazuju da se makismalna koncentracija lijeka u očnoj vodici postiže za oko dva sata od topikalne primjene latanoprosta. poslije topikalne primjene kod majmuna, latanoprost se raspodjeljuje primarno u prednji segment oka, konjunktive (vežnjače) i očne kapke. Samo neznatne količine lijeka prelaze u zadnji segment oka.</w:t>
      </w:r>
    </w:p>
    <w:p w14:paraId="6D5AF68E" w14:textId="77777777" w:rsidR="00910D83" w:rsidRPr="00BA318E" w:rsidRDefault="00910D83" w:rsidP="00910D83">
      <w:pPr>
        <w:tabs>
          <w:tab w:val="right" w:pos="8534"/>
        </w:tabs>
        <w:rPr>
          <w:sz w:val="22"/>
          <w:szCs w:val="22"/>
          <w:u w:val="single"/>
          <w:lang w:val="sr-Latn-ME"/>
        </w:rPr>
      </w:pPr>
    </w:p>
    <w:p w14:paraId="55B199CC" w14:textId="77777777" w:rsidR="00910D83" w:rsidRPr="00BA318E" w:rsidRDefault="00910D83" w:rsidP="00910D83">
      <w:pPr>
        <w:tabs>
          <w:tab w:val="right" w:pos="8534"/>
        </w:tabs>
        <w:rPr>
          <w:sz w:val="22"/>
          <w:szCs w:val="22"/>
          <w:u w:val="single"/>
          <w:lang w:val="sr-Latn-ME"/>
        </w:rPr>
      </w:pPr>
      <w:r w:rsidRPr="00BA318E">
        <w:rPr>
          <w:sz w:val="22"/>
          <w:szCs w:val="22"/>
          <w:u w:val="single"/>
          <w:lang w:val="sr-Latn-ME"/>
        </w:rPr>
        <w:t>Biotransformacija i eliminacija</w:t>
      </w:r>
    </w:p>
    <w:p w14:paraId="19661CD3" w14:textId="77777777" w:rsidR="00910D83" w:rsidRPr="00BA318E" w:rsidRDefault="00910D83" w:rsidP="00910D83">
      <w:pPr>
        <w:rPr>
          <w:sz w:val="22"/>
          <w:szCs w:val="22"/>
          <w:lang w:val="sr-Latn-ME"/>
        </w:rPr>
      </w:pPr>
      <w:r w:rsidRPr="00BA318E">
        <w:rPr>
          <w:sz w:val="22"/>
          <w:szCs w:val="22"/>
          <w:lang w:val="sr-Latn-ME"/>
        </w:rPr>
        <w:t>Praktično ne dolazi do metabolizma kisjeline latanoprosta u oku. Glavni metabolizam lijeka odvija se u jetri. Poluvrijeme eliminacije lijeka iz plazme iznosi 17 minuta kod ljudi. Glavni metaboliti, 1,2-dinor i 1,2,3,4-tetranor metaboliti, u studijama na životinjama nijesu pokazali bilo kakvu biološku aktivnost ili su ispoljili samo blagu biološku aktivnost. Izlučuju se primarno urinom.</w:t>
      </w:r>
    </w:p>
    <w:p w14:paraId="7E456AB8" w14:textId="77777777" w:rsidR="00A119F0" w:rsidRPr="00BA318E" w:rsidRDefault="00A119F0" w:rsidP="00910D83">
      <w:pPr>
        <w:rPr>
          <w:bCs/>
          <w:i/>
          <w:iCs/>
          <w:sz w:val="22"/>
          <w:szCs w:val="22"/>
          <w:lang w:val="sr-Latn-ME"/>
        </w:rPr>
      </w:pPr>
    </w:p>
    <w:p w14:paraId="169D6D51" w14:textId="77777777" w:rsidR="00A119F0" w:rsidRPr="00BA318E" w:rsidRDefault="00A119F0" w:rsidP="00A119F0">
      <w:pPr>
        <w:rPr>
          <w:bCs/>
          <w:i/>
          <w:iCs/>
          <w:sz w:val="22"/>
          <w:szCs w:val="22"/>
          <w:lang w:val="sr-Latn-ME"/>
        </w:rPr>
      </w:pPr>
      <w:r w:rsidRPr="00BA318E">
        <w:rPr>
          <w:bCs/>
          <w:i/>
          <w:iCs/>
          <w:sz w:val="22"/>
          <w:szCs w:val="22"/>
          <w:lang w:val="sr-Latn-ME"/>
        </w:rPr>
        <w:t>Pedijatrijska populacija</w:t>
      </w:r>
    </w:p>
    <w:p w14:paraId="307771ED" w14:textId="77777777" w:rsidR="00A119F0" w:rsidRPr="00BA318E" w:rsidRDefault="00A119F0" w:rsidP="00A119F0">
      <w:pPr>
        <w:rPr>
          <w:sz w:val="22"/>
          <w:szCs w:val="22"/>
          <w:lang w:val="sr-Latn-ME"/>
        </w:rPr>
      </w:pPr>
    </w:p>
    <w:p w14:paraId="715A5F18" w14:textId="77777777" w:rsidR="00A119F0" w:rsidRPr="00BA318E" w:rsidRDefault="00A119F0" w:rsidP="00A119F0">
      <w:pPr>
        <w:rPr>
          <w:sz w:val="22"/>
          <w:szCs w:val="22"/>
          <w:lang w:val="sr-Latn-ME"/>
        </w:rPr>
      </w:pPr>
      <w:r w:rsidRPr="00BA318E">
        <w:rPr>
          <w:sz w:val="22"/>
          <w:szCs w:val="22"/>
          <w:lang w:val="sr-Latn-ME"/>
        </w:rPr>
        <w:t>Otvorena farmakokinetička studija praćenja koncentracije kisjeline latanoprosta u plazmi sprovedena je na 22 odrasla i 25 pedijatrijskih pacijenata (od rođenja do &lt; 18 godina starosti) sa očnom hipertenzijom i glaukomom. Sve uzrasne grupe su primale latanoprost 0,005%, po jednu kap dnevno u oba oka tokom najmanje 2 nedjelje. Sistemska izloženost kisjelini latanoprosta bila je približno dva puta veća kod pacijenata uzrasta 3 do &lt;12  godina i šest puta veća kod djece uzrasta &lt;3 godine u poređenju sa odraslima, ali je margina bezbjednosti za pojavu sistemskih neželjenih reakcija ostala široka (vidjeti dio 4.9). Medijana vremena za koje se postižu maksimalne koncentracije u plazmi nakon primjene lijeka iznosila je 5 minuta u svim starosnim grupama.  Medijana poluvremena eliminacije iz plazme bila je kratka (&lt;20 minuta), slično kod pedijatrijskih i odraslih pacijenata, i nije dolazilo do akumulacije kisjeline latanoprosta u sistemskoj cirkulaciji u stanju ravnoteže.</w:t>
      </w:r>
    </w:p>
    <w:p w14:paraId="5473229E" w14:textId="77777777" w:rsidR="00910D83" w:rsidRPr="00BA318E" w:rsidRDefault="00910D83" w:rsidP="00480FB1">
      <w:pPr>
        <w:tabs>
          <w:tab w:val="left" w:pos="540"/>
          <w:tab w:val="left" w:pos="569"/>
        </w:tabs>
        <w:rPr>
          <w:bCs/>
          <w:sz w:val="22"/>
          <w:szCs w:val="22"/>
          <w:lang w:val="sr-Latn-ME"/>
        </w:rPr>
      </w:pPr>
    </w:p>
    <w:p w14:paraId="535A1460" w14:textId="77777777" w:rsidR="0072020E" w:rsidRPr="00BA318E" w:rsidRDefault="0072020E" w:rsidP="00480FB1">
      <w:pPr>
        <w:tabs>
          <w:tab w:val="left" w:pos="540"/>
          <w:tab w:val="left" w:pos="569"/>
        </w:tabs>
        <w:rPr>
          <w:b/>
          <w:bCs/>
          <w:sz w:val="22"/>
          <w:szCs w:val="22"/>
          <w:lang w:val="sr-Latn-ME"/>
        </w:rPr>
      </w:pPr>
      <w:r w:rsidRPr="00BA318E">
        <w:rPr>
          <w:b/>
          <w:bCs/>
          <w:sz w:val="22"/>
          <w:szCs w:val="22"/>
          <w:lang w:val="sr-Latn-ME"/>
        </w:rPr>
        <w:lastRenderedPageBreak/>
        <w:t xml:space="preserve">5.3. </w:t>
      </w:r>
      <w:r w:rsidR="00480FB1" w:rsidRPr="00BA318E">
        <w:rPr>
          <w:b/>
          <w:bCs/>
          <w:sz w:val="22"/>
          <w:szCs w:val="22"/>
          <w:lang w:val="sr-Latn-ME"/>
        </w:rPr>
        <w:tab/>
      </w:r>
      <w:r w:rsidRPr="00BA318E">
        <w:rPr>
          <w:b/>
          <w:bCs/>
          <w:sz w:val="22"/>
          <w:szCs w:val="22"/>
          <w:lang w:val="sr-Latn-ME"/>
        </w:rPr>
        <w:t xml:space="preserve">Pretklinički podaci o bezbjednosti </w:t>
      </w:r>
    </w:p>
    <w:p w14:paraId="535A1461" w14:textId="77777777" w:rsidR="00836B35" w:rsidRPr="00BA318E" w:rsidRDefault="00836B35" w:rsidP="00480FB1">
      <w:pPr>
        <w:tabs>
          <w:tab w:val="left" w:pos="540"/>
          <w:tab w:val="left" w:pos="569"/>
        </w:tabs>
        <w:rPr>
          <w:bCs/>
          <w:sz w:val="22"/>
          <w:szCs w:val="22"/>
          <w:lang w:val="sr-Latn-ME"/>
        </w:rPr>
      </w:pPr>
    </w:p>
    <w:p w14:paraId="6AA17212" w14:textId="77777777" w:rsidR="00E810DE" w:rsidRPr="00BA318E" w:rsidRDefault="00E810DE" w:rsidP="00E810DE">
      <w:pPr>
        <w:rPr>
          <w:sz w:val="22"/>
          <w:szCs w:val="22"/>
          <w:lang w:val="sr-Latn-ME"/>
        </w:rPr>
      </w:pPr>
      <w:r w:rsidRPr="00BA318E">
        <w:rPr>
          <w:bCs/>
          <w:sz w:val="22"/>
          <w:szCs w:val="22"/>
          <w:lang w:val="sr-Latn-ME"/>
        </w:rPr>
        <w:t>Toksičnost latanoprosta nakon sistemske i o</w:t>
      </w:r>
      <w:r w:rsidRPr="00BA318E">
        <w:rPr>
          <w:sz w:val="22"/>
          <w:szCs w:val="22"/>
          <w:lang w:val="sr-Latn-ME"/>
        </w:rPr>
        <w:t xml:space="preserve">kularne primjene ispitivana je kod nekoliko životinjskih vrsta. Latanoprost se generalno dobro podnosi sa marginom bezbjednosti između kliničke okularne doze i doze koja dovodi do sistemske toksičnosti od najmanje 1000 puta. Pokazano je da visoke doze latanoprosta, </w:t>
      </w:r>
      <w:r w:rsidRPr="00BA318E">
        <w:rPr>
          <w:spacing w:val="-2"/>
          <w:sz w:val="22"/>
          <w:szCs w:val="22"/>
          <w:lang w:val="sr-Latn-ME"/>
        </w:rPr>
        <w:t>približno</w:t>
      </w:r>
      <w:r w:rsidRPr="00BA318E">
        <w:rPr>
          <w:sz w:val="22"/>
          <w:szCs w:val="22"/>
          <w:lang w:val="sr-Latn-ME"/>
        </w:rPr>
        <w:t xml:space="preserve"> 100 puta veće od terapijske doze po kilogramu tjelesne mase, primijenjene intravenski neanestetisanim majmunima, povećavaju stepen respiracije, vjerovatno refleksno zbog kratkotrajne bronhokonstrikcije. U studijama na životinjama nije utvrđeno da latanoprost posjeduje senzibilišuća svojstva.</w:t>
      </w:r>
      <w:r w:rsidRPr="00BA318E">
        <w:rPr>
          <w:bCs/>
          <w:sz w:val="22"/>
          <w:szCs w:val="22"/>
          <w:lang w:val="sr-Latn-ME"/>
        </w:rPr>
        <w:t xml:space="preserve"> </w:t>
      </w:r>
    </w:p>
    <w:p w14:paraId="4EA21C84" w14:textId="77777777" w:rsidR="00E810DE" w:rsidRPr="00BA318E" w:rsidRDefault="00E810DE" w:rsidP="00E810DE">
      <w:pPr>
        <w:pStyle w:val="BodyTextIndent"/>
        <w:widowControl w:val="0"/>
        <w:ind w:left="0"/>
        <w:rPr>
          <w:szCs w:val="22"/>
          <w:lang w:val="sr-Latn-ME"/>
        </w:rPr>
      </w:pPr>
    </w:p>
    <w:p w14:paraId="3C2CD715" w14:textId="77777777" w:rsidR="00E810DE" w:rsidRPr="00BA318E" w:rsidRDefault="00E810DE" w:rsidP="00E810DE">
      <w:pPr>
        <w:rPr>
          <w:sz w:val="22"/>
          <w:szCs w:val="22"/>
          <w:lang w:val="sr-Latn-ME"/>
        </w:rPr>
      </w:pPr>
      <w:r w:rsidRPr="00BA318E">
        <w:rPr>
          <w:sz w:val="22"/>
          <w:szCs w:val="22"/>
          <w:lang w:val="sr-Latn-ME"/>
        </w:rPr>
        <w:t xml:space="preserve">Kod kunića ili majmuna nijesu uočeni toksični efekti latanoprosta na oko kada se primjeni u dozama do 100 mikrograma/oko/dan (terapijska doza je približno 1,5 mikrograma/oko/dan). Kod majmuna, međutim, pokazano je da latanoprost indukuje povećanu pigmentaciju irisa. </w:t>
      </w:r>
    </w:p>
    <w:p w14:paraId="1F442662" w14:textId="77777777" w:rsidR="00E810DE" w:rsidRPr="00BA318E" w:rsidRDefault="00E810DE" w:rsidP="00E810DE">
      <w:pPr>
        <w:pStyle w:val="BodyTextIndent"/>
        <w:widowControl w:val="0"/>
        <w:ind w:left="0"/>
        <w:rPr>
          <w:szCs w:val="22"/>
          <w:lang w:val="sr-Latn-ME"/>
        </w:rPr>
      </w:pPr>
    </w:p>
    <w:p w14:paraId="14814AB5" w14:textId="77777777" w:rsidR="00E810DE" w:rsidRPr="00BA318E" w:rsidRDefault="00E810DE" w:rsidP="00E810DE">
      <w:pPr>
        <w:pStyle w:val="BodyTextIndent"/>
        <w:widowControl w:val="0"/>
        <w:ind w:left="0"/>
        <w:rPr>
          <w:szCs w:val="22"/>
          <w:lang w:val="sr-Latn-ME"/>
        </w:rPr>
      </w:pPr>
      <w:r w:rsidRPr="00BA318E">
        <w:rPr>
          <w:szCs w:val="22"/>
          <w:lang w:val="sr-Latn-ME"/>
        </w:rPr>
        <w:t>Mehanizam koji dovodi do povećane pigmentacije najverovatnije je stimulacija produkcije melanina u melanocitima irisa, bez uočenih proliferativnih promjena. Promjene u boji irisa mogu da budu trajne.</w:t>
      </w:r>
    </w:p>
    <w:p w14:paraId="3F1BB1B5" w14:textId="77777777" w:rsidR="00E810DE" w:rsidRPr="00BA318E" w:rsidRDefault="00E810DE" w:rsidP="00E810DE">
      <w:pPr>
        <w:pStyle w:val="BodyTextIndent"/>
        <w:widowControl w:val="0"/>
        <w:ind w:left="0"/>
        <w:rPr>
          <w:szCs w:val="22"/>
          <w:lang w:val="sr-Latn-ME"/>
        </w:rPr>
      </w:pPr>
    </w:p>
    <w:p w14:paraId="247D5030" w14:textId="77777777" w:rsidR="00E810DE" w:rsidRPr="00BA318E" w:rsidRDefault="00E810DE" w:rsidP="00E810DE">
      <w:pPr>
        <w:rPr>
          <w:sz w:val="22"/>
          <w:szCs w:val="22"/>
          <w:lang w:val="sr-Latn-ME"/>
        </w:rPr>
      </w:pPr>
      <w:r w:rsidRPr="00BA318E">
        <w:rPr>
          <w:sz w:val="22"/>
          <w:szCs w:val="22"/>
          <w:lang w:val="sr-Latn-ME"/>
        </w:rPr>
        <w:t xml:space="preserve">U ispitivanju hronične toksičnosti na oko, pokazano je da primjena latanoprosta u dozi od </w:t>
      </w:r>
      <w:r w:rsidRPr="00BA318E">
        <w:rPr>
          <w:sz w:val="22"/>
          <w:szCs w:val="22"/>
          <w:lang w:val="sr-Latn-ME"/>
        </w:rPr>
        <w:br/>
        <w:t xml:space="preserve">6 mikrograma/oko/dan indukuje povećanje palpebralne fisure. Ovaj efekat je reverzibilan i javlja se pri dozama većim od onih koje se koriste u kliničkoj praksi. Ovaj efekat nije bio primijećen kod ljudi. </w:t>
      </w:r>
    </w:p>
    <w:p w14:paraId="7679F655" w14:textId="77777777" w:rsidR="00E810DE" w:rsidRPr="00BA318E" w:rsidRDefault="00E810DE" w:rsidP="00E810DE">
      <w:pPr>
        <w:pStyle w:val="BodyTextIndent"/>
        <w:widowControl w:val="0"/>
        <w:ind w:left="0"/>
        <w:rPr>
          <w:szCs w:val="22"/>
          <w:lang w:val="sr-Latn-ME"/>
        </w:rPr>
      </w:pPr>
    </w:p>
    <w:p w14:paraId="3FEC2439" w14:textId="77777777" w:rsidR="00E810DE" w:rsidRPr="00BA318E" w:rsidRDefault="00E810DE" w:rsidP="00E810DE">
      <w:pPr>
        <w:rPr>
          <w:sz w:val="22"/>
          <w:szCs w:val="22"/>
          <w:lang w:val="sr-Latn-ME"/>
        </w:rPr>
      </w:pPr>
      <w:r w:rsidRPr="00BA318E">
        <w:rPr>
          <w:sz w:val="22"/>
          <w:szCs w:val="22"/>
          <w:lang w:val="sr-Latn-ME"/>
        </w:rPr>
        <w:t xml:space="preserve">Latanoprost je ispoljio negativan efekat u testovima reverzne mutacije na bakterijama, genske mutacije kod mišjeg limfoma i u mikronukleusnom testu kod miša. Hromozomskle aberacije su uočene  </w:t>
      </w:r>
      <w:r w:rsidRPr="00BA318E">
        <w:rPr>
          <w:i/>
          <w:sz w:val="22"/>
          <w:szCs w:val="22"/>
          <w:lang w:val="sr-Latn-ME"/>
        </w:rPr>
        <w:t>in vitro</w:t>
      </w:r>
      <w:r w:rsidRPr="00BA318E">
        <w:rPr>
          <w:sz w:val="22"/>
          <w:szCs w:val="22"/>
          <w:lang w:val="sr-Latn-ME"/>
        </w:rPr>
        <w:t xml:space="preserve"> u kulturama humanih limfocita. Slični efekti su uočeni i sa prostaglandinom F</w:t>
      </w:r>
      <w:r w:rsidRPr="00BA318E">
        <w:rPr>
          <w:sz w:val="22"/>
          <w:szCs w:val="22"/>
          <w:vertAlign w:val="subscript"/>
          <w:lang w:val="sr-Latn-ME"/>
        </w:rPr>
        <w:t>2</w:t>
      </w:r>
      <w:r w:rsidRPr="00BA318E">
        <w:rPr>
          <w:sz w:val="22"/>
          <w:szCs w:val="22"/>
          <w:vertAlign w:val="subscript"/>
          <w:lang w:val="sr-Latn-ME"/>
        </w:rPr>
        <w:sym w:font="Symbol" w:char="F061"/>
      </w:r>
      <w:r w:rsidRPr="00BA318E">
        <w:rPr>
          <w:sz w:val="22"/>
          <w:szCs w:val="22"/>
          <w:lang w:val="sr-Latn-ME"/>
        </w:rPr>
        <w:t>, koji se prirodno nalazi u organizmu, što pokazuje da se radi o klasnom efektu</w:t>
      </w:r>
      <w:r w:rsidRPr="00BA318E" w:rsidDel="00261B4B">
        <w:rPr>
          <w:sz w:val="22"/>
          <w:szCs w:val="22"/>
          <w:lang w:val="sr-Latn-ME"/>
        </w:rPr>
        <w:t xml:space="preserve"> </w:t>
      </w:r>
      <w:r w:rsidRPr="00BA318E">
        <w:rPr>
          <w:sz w:val="22"/>
          <w:szCs w:val="22"/>
          <w:lang w:val="sr-Latn-ME"/>
        </w:rPr>
        <w:t xml:space="preserve">prostaglandina. </w:t>
      </w:r>
    </w:p>
    <w:p w14:paraId="61367699" w14:textId="77777777" w:rsidR="00E810DE" w:rsidRPr="00BA318E" w:rsidRDefault="00E810DE" w:rsidP="00E810DE">
      <w:pPr>
        <w:pStyle w:val="BodyTextIndent"/>
        <w:widowControl w:val="0"/>
        <w:ind w:left="0"/>
        <w:rPr>
          <w:szCs w:val="22"/>
          <w:lang w:val="sr-Latn-ME"/>
        </w:rPr>
      </w:pPr>
    </w:p>
    <w:p w14:paraId="0170A7E6" w14:textId="77777777" w:rsidR="00E810DE" w:rsidRPr="00BA318E" w:rsidRDefault="00E810DE" w:rsidP="00E810DE">
      <w:pPr>
        <w:rPr>
          <w:sz w:val="22"/>
          <w:szCs w:val="22"/>
          <w:lang w:val="sr-Latn-ME"/>
        </w:rPr>
      </w:pPr>
      <w:r w:rsidRPr="00BA318E">
        <w:rPr>
          <w:sz w:val="22"/>
          <w:szCs w:val="22"/>
          <w:lang w:val="sr-Latn-ME"/>
        </w:rPr>
        <w:t xml:space="preserve">Dodatne studije mutagenosti na modelu tzv. </w:t>
      </w:r>
      <w:r w:rsidRPr="00BA318E">
        <w:rPr>
          <w:i/>
          <w:sz w:val="22"/>
          <w:szCs w:val="22"/>
          <w:lang w:val="sr-Latn-ME"/>
        </w:rPr>
        <w:t>in vitro/in vivo</w:t>
      </w:r>
      <w:r w:rsidRPr="00BA318E">
        <w:rPr>
          <w:sz w:val="22"/>
          <w:szCs w:val="22"/>
          <w:lang w:val="sr-Latn-ME"/>
        </w:rPr>
        <w:t xml:space="preserve"> nespecifične sinteze DNA (</w:t>
      </w:r>
      <w:r w:rsidRPr="00BA318E">
        <w:rPr>
          <w:i/>
          <w:sz w:val="22"/>
          <w:szCs w:val="22"/>
          <w:lang w:val="sr-Latn-ME"/>
        </w:rPr>
        <w:t>unscheduled DNA synthesis</w:t>
      </w:r>
      <w:r w:rsidRPr="00BA318E">
        <w:rPr>
          <w:sz w:val="22"/>
          <w:szCs w:val="22"/>
          <w:lang w:val="sr-Latn-ME"/>
        </w:rPr>
        <w:t xml:space="preserve">) kod pacova dale su negativne rezultate, što potvrđuje da latanoprost nema mutageni potencijal. Studije kancerogenosti kod miševa i pacova, takođe su dale negativne rezultate. </w:t>
      </w:r>
    </w:p>
    <w:p w14:paraId="59E5CDA3" w14:textId="77777777" w:rsidR="00E810DE" w:rsidRPr="00BA318E" w:rsidRDefault="00E810DE" w:rsidP="00E810DE">
      <w:pPr>
        <w:pStyle w:val="BodyTextIndent"/>
        <w:widowControl w:val="0"/>
        <w:ind w:left="0"/>
        <w:rPr>
          <w:szCs w:val="22"/>
          <w:lang w:val="sr-Latn-ME"/>
        </w:rPr>
      </w:pPr>
    </w:p>
    <w:p w14:paraId="600ED110" w14:textId="77777777" w:rsidR="00E810DE" w:rsidRPr="00BA318E" w:rsidRDefault="00E810DE" w:rsidP="00E810DE">
      <w:pPr>
        <w:pStyle w:val="Header"/>
        <w:tabs>
          <w:tab w:val="left" w:pos="284"/>
        </w:tabs>
        <w:rPr>
          <w:bCs/>
          <w:sz w:val="22"/>
          <w:szCs w:val="22"/>
          <w:lang w:val="sr-Latn-ME"/>
        </w:rPr>
      </w:pPr>
      <w:r w:rsidRPr="00BA318E">
        <w:rPr>
          <w:sz w:val="22"/>
          <w:szCs w:val="22"/>
          <w:lang w:val="sr-Latn-ME"/>
        </w:rPr>
        <w:t xml:space="preserve">U studijama na životinjama nije utvrđeno da latanoprost ima bilo kakav efekat na fertilitet mužjaka i ženki. U ispitivanjima embriotoksičnosti kod pacova nije uočena embriotoksičnost lijeka primijenjenog intravenski u dozama od 5, 50 i 250 mikrograma/kg/dan. Međutim, latanoprost indukuje embrioletalne efekte kod kunića pri dozama od 5 mikrograma/kg/dan i većim. </w:t>
      </w:r>
    </w:p>
    <w:p w14:paraId="337738DE" w14:textId="77777777" w:rsidR="00E810DE" w:rsidRPr="00BA318E" w:rsidRDefault="00E810DE" w:rsidP="00E810DE">
      <w:pPr>
        <w:pStyle w:val="Header"/>
        <w:tabs>
          <w:tab w:val="left" w:pos="284"/>
        </w:tabs>
        <w:rPr>
          <w:sz w:val="22"/>
          <w:szCs w:val="22"/>
          <w:lang w:val="sr-Latn-ME"/>
        </w:rPr>
      </w:pPr>
    </w:p>
    <w:p w14:paraId="7FCD5F42" w14:textId="77777777" w:rsidR="00E810DE" w:rsidRPr="00BA318E" w:rsidRDefault="00E810DE" w:rsidP="00E810DE">
      <w:pPr>
        <w:pStyle w:val="Header"/>
        <w:tabs>
          <w:tab w:val="left" w:pos="284"/>
        </w:tabs>
        <w:rPr>
          <w:bCs/>
          <w:sz w:val="22"/>
          <w:szCs w:val="22"/>
          <w:lang w:val="sr-Latn-ME"/>
        </w:rPr>
      </w:pPr>
      <w:r w:rsidRPr="00BA318E">
        <w:rPr>
          <w:sz w:val="22"/>
          <w:szCs w:val="22"/>
          <w:lang w:val="sr-Latn-ME"/>
        </w:rPr>
        <w:t>Doza od 5 mikrograma/kg/dan (</w:t>
      </w:r>
      <w:r w:rsidRPr="00BA318E">
        <w:rPr>
          <w:spacing w:val="-2"/>
          <w:sz w:val="22"/>
          <w:szCs w:val="22"/>
          <w:lang w:val="sr-Latn-ME"/>
        </w:rPr>
        <w:t>približno</w:t>
      </w:r>
      <w:r w:rsidRPr="00BA318E">
        <w:rPr>
          <w:sz w:val="22"/>
          <w:szCs w:val="22"/>
          <w:lang w:val="sr-Latn-ME"/>
        </w:rPr>
        <w:t xml:space="preserve"> 100 puta veća od kliničke doze) prouzrokuje značajnu embrofetalnu toksičnost koja se karakteriše povećanom incidencom kasne resorpcije i abortusa i smanjenom masom fetusa. </w:t>
      </w:r>
    </w:p>
    <w:p w14:paraId="04CC532D" w14:textId="77777777" w:rsidR="00E810DE" w:rsidRPr="00BA318E" w:rsidRDefault="00E810DE" w:rsidP="00E810DE">
      <w:pPr>
        <w:pStyle w:val="BodyTextIndent"/>
        <w:widowControl w:val="0"/>
        <w:ind w:left="0"/>
        <w:rPr>
          <w:szCs w:val="22"/>
          <w:lang w:val="sr-Latn-ME"/>
        </w:rPr>
      </w:pPr>
    </w:p>
    <w:p w14:paraId="535A1462" w14:textId="2D9FA3EA" w:rsidR="00396DFD" w:rsidRPr="00BA318E" w:rsidRDefault="00E810DE" w:rsidP="00E810DE">
      <w:pPr>
        <w:tabs>
          <w:tab w:val="left" w:pos="540"/>
          <w:tab w:val="left" w:pos="569"/>
        </w:tabs>
        <w:rPr>
          <w:sz w:val="22"/>
          <w:szCs w:val="22"/>
          <w:lang w:val="sr-Latn-ME"/>
        </w:rPr>
      </w:pPr>
      <w:r w:rsidRPr="00BA318E">
        <w:rPr>
          <w:sz w:val="22"/>
          <w:szCs w:val="22"/>
          <w:lang w:val="sr-Latn-ME"/>
        </w:rPr>
        <w:t>Nije utvrđen teratogeni potencijal.</w:t>
      </w:r>
    </w:p>
    <w:p w14:paraId="6D7DEFCD" w14:textId="7D35A6E2" w:rsidR="00E810DE" w:rsidRPr="00BA318E" w:rsidRDefault="00E810DE" w:rsidP="00E810DE">
      <w:pPr>
        <w:tabs>
          <w:tab w:val="left" w:pos="540"/>
          <w:tab w:val="left" w:pos="569"/>
        </w:tabs>
        <w:rPr>
          <w:b/>
          <w:bCs/>
          <w:sz w:val="22"/>
          <w:szCs w:val="22"/>
          <w:lang w:val="sr-Latn-ME"/>
        </w:rPr>
      </w:pPr>
    </w:p>
    <w:p w14:paraId="0E503214" w14:textId="77777777" w:rsidR="005C59BD" w:rsidRPr="00BA318E" w:rsidRDefault="005C59BD" w:rsidP="00E810DE">
      <w:pPr>
        <w:tabs>
          <w:tab w:val="left" w:pos="540"/>
          <w:tab w:val="left" w:pos="569"/>
        </w:tabs>
        <w:rPr>
          <w:b/>
          <w:bCs/>
          <w:sz w:val="22"/>
          <w:szCs w:val="22"/>
          <w:lang w:val="sr-Latn-ME"/>
        </w:rPr>
      </w:pPr>
    </w:p>
    <w:p w14:paraId="535A1463" w14:textId="77777777" w:rsidR="0072020E" w:rsidRPr="00BA318E" w:rsidRDefault="0072020E" w:rsidP="00480FB1">
      <w:pPr>
        <w:tabs>
          <w:tab w:val="left" w:pos="540"/>
          <w:tab w:val="left" w:pos="569"/>
        </w:tabs>
        <w:rPr>
          <w:b/>
          <w:bCs/>
          <w:sz w:val="22"/>
          <w:szCs w:val="22"/>
          <w:lang w:val="sr-Latn-ME"/>
        </w:rPr>
      </w:pPr>
      <w:r w:rsidRPr="00BA318E">
        <w:rPr>
          <w:b/>
          <w:bCs/>
          <w:sz w:val="22"/>
          <w:szCs w:val="22"/>
          <w:lang w:val="sr-Latn-ME"/>
        </w:rPr>
        <w:t xml:space="preserve">6. </w:t>
      </w:r>
      <w:r w:rsidR="00480FB1" w:rsidRPr="00BA318E">
        <w:rPr>
          <w:b/>
          <w:bCs/>
          <w:sz w:val="22"/>
          <w:szCs w:val="22"/>
          <w:lang w:val="sr-Latn-ME"/>
        </w:rPr>
        <w:tab/>
      </w:r>
      <w:r w:rsidRPr="00BA318E">
        <w:rPr>
          <w:b/>
          <w:bCs/>
          <w:sz w:val="22"/>
          <w:szCs w:val="22"/>
          <w:lang w:val="sr-Latn-ME"/>
        </w:rPr>
        <w:t>FARMACEUTSKI PODACI</w:t>
      </w:r>
    </w:p>
    <w:p w14:paraId="535A1464" w14:textId="77777777" w:rsidR="00836B35" w:rsidRPr="00BA318E" w:rsidRDefault="00836B35" w:rsidP="00480FB1">
      <w:pPr>
        <w:tabs>
          <w:tab w:val="left" w:pos="540"/>
          <w:tab w:val="left" w:pos="569"/>
        </w:tabs>
        <w:rPr>
          <w:bCs/>
          <w:sz w:val="22"/>
          <w:szCs w:val="22"/>
          <w:lang w:val="sr-Latn-ME"/>
        </w:rPr>
      </w:pPr>
    </w:p>
    <w:p w14:paraId="535A1465" w14:textId="3411C312" w:rsidR="0072020E" w:rsidRPr="00BA318E" w:rsidRDefault="0072020E" w:rsidP="00B63BE9">
      <w:pPr>
        <w:tabs>
          <w:tab w:val="left" w:pos="540"/>
          <w:tab w:val="left" w:pos="569"/>
        </w:tabs>
        <w:rPr>
          <w:b/>
          <w:bCs/>
          <w:sz w:val="22"/>
          <w:szCs w:val="22"/>
          <w:lang w:val="sr-Latn-ME"/>
        </w:rPr>
      </w:pPr>
      <w:r w:rsidRPr="00BA318E">
        <w:rPr>
          <w:b/>
          <w:bCs/>
          <w:sz w:val="22"/>
          <w:szCs w:val="22"/>
          <w:lang w:val="sr-Latn-ME"/>
        </w:rPr>
        <w:t xml:space="preserve">6.1. </w:t>
      </w:r>
      <w:r w:rsidR="00480FB1" w:rsidRPr="00BA318E">
        <w:rPr>
          <w:b/>
          <w:bCs/>
          <w:sz w:val="22"/>
          <w:szCs w:val="22"/>
          <w:lang w:val="sr-Latn-ME"/>
        </w:rPr>
        <w:tab/>
      </w:r>
      <w:r w:rsidRPr="00BA318E">
        <w:rPr>
          <w:b/>
          <w:bCs/>
          <w:sz w:val="22"/>
          <w:szCs w:val="22"/>
          <w:lang w:val="sr-Latn-ME"/>
        </w:rPr>
        <w:t>Lista pomoćnih supstanci</w:t>
      </w:r>
      <w:r w:rsidR="002E0135" w:rsidRPr="00BA318E">
        <w:rPr>
          <w:b/>
          <w:bCs/>
          <w:sz w:val="22"/>
          <w:szCs w:val="22"/>
          <w:lang w:val="sr-Latn-ME"/>
        </w:rPr>
        <w:t xml:space="preserve"> (ekscipijenasa)</w:t>
      </w:r>
    </w:p>
    <w:p w14:paraId="3A839750" w14:textId="77777777" w:rsidR="00B63BE9" w:rsidRDefault="00B63BE9" w:rsidP="00B63BE9">
      <w:pPr>
        <w:rPr>
          <w:sz w:val="22"/>
          <w:szCs w:val="22"/>
          <w:lang w:val="sr-Latn-ME"/>
        </w:rPr>
      </w:pPr>
    </w:p>
    <w:p w14:paraId="148DB9AA" w14:textId="134433CA" w:rsidR="00BF3B73" w:rsidRPr="00BA318E" w:rsidRDefault="00BF3B73" w:rsidP="00B63BE9">
      <w:pPr>
        <w:rPr>
          <w:sz w:val="22"/>
          <w:szCs w:val="22"/>
          <w:lang w:val="sr-Latn-ME"/>
        </w:rPr>
      </w:pPr>
      <w:r w:rsidRPr="00BA318E">
        <w:rPr>
          <w:sz w:val="22"/>
          <w:szCs w:val="22"/>
          <w:lang w:val="sr-Latn-ME"/>
        </w:rPr>
        <w:t>natrijum hlorid;</w:t>
      </w:r>
    </w:p>
    <w:p w14:paraId="1C185FB0" w14:textId="77777777" w:rsidR="00BF3B73" w:rsidRPr="00BA318E" w:rsidRDefault="00BF3B73" w:rsidP="00B63BE9">
      <w:pPr>
        <w:rPr>
          <w:sz w:val="22"/>
          <w:szCs w:val="22"/>
          <w:lang w:val="sr-Latn-ME"/>
        </w:rPr>
      </w:pPr>
      <w:r w:rsidRPr="00BA318E">
        <w:rPr>
          <w:sz w:val="22"/>
          <w:szCs w:val="22"/>
          <w:lang w:val="sr-Latn-ME"/>
        </w:rPr>
        <w:t>benzalkonijum hlorid, 50% rastvor;</w:t>
      </w:r>
    </w:p>
    <w:p w14:paraId="6E1BADDD" w14:textId="5C32CA70" w:rsidR="00BF3B73" w:rsidRPr="00BA318E" w:rsidRDefault="00BF3B73" w:rsidP="00B63BE9">
      <w:pPr>
        <w:rPr>
          <w:sz w:val="22"/>
          <w:szCs w:val="22"/>
          <w:lang w:val="sr-Latn-ME"/>
        </w:rPr>
      </w:pPr>
      <w:r w:rsidRPr="00BA318E">
        <w:rPr>
          <w:sz w:val="22"/>
          <w:szCs w:val="22"/>
          <w:lang w:val="sr-Latn-ME"/>
        </w:rPr>
        <w:t>natrijum dihidrogen</w:t>
      </w:r>
      <w:r w:rsidR="0084323D" w:rsidRPr="00BA318E">
        <w:rPr>
          <w:sz w:val="22"/>
          <w:szCs w:val="22"/>
          <w:lang w:val="sr-Latn-ME"/>
        </w:rPr>
        <w:t xml:space="preserve"> </w:t>
      </w:r>
      <w:r w:rsidRPr="00BA318E">
        <w:rPr>
          <w:sz w:val="22"/>
          <w:szCs w:val="22"/>
          <w:lang w:val="sr-Latn-ME"/>
        </w:rPr>
        <w:t>fosfat monohidrat;</w:t>
      </w:r>
    </w:p>
    <w:p w14:paraId="36E9E9B4" w14:textId="2289E517" w:rsidR="00BF3B73" w:rsidRPr="00BA318E" w:rsidRDefault="00BF3B73" w:rsidP="00B63BE9">
      <w:pPr>
        <w:pStyle w:val="Header"/>
        <w:tabs>
          <w:tab w:val="clear" w:pos="4320"/>
          <w:tab w:val="clear" w:pos="8640"/>
          <w:tab w:val="left" w:pos="284"/>
        </w:tabs>
        <w:rPr>
          <w:sz w:val="22"/>
          <w:szCs w:val="22"/>
          <w:lang w:val="sr-Latn-ME"/>
        </w:rPr>
      </w:pPr>
      <w:r w:rsidRPr="00BA318E">
        <w:rPr>
          <w:sz w:val="22"/>
          <w:szCs w:val="22"/>
          <w:lang w:val="sr-Latn-ME"/>
        </w:rPr>
        <w:t>natrijum hidrogen</w:t>
      </w:r>
      <w:r w:rsidR="00FF071E" w:rsidRPr="00BA318E">
        <w:rPr>
          <w:sz w:val="22"/>
          <w:szCs w:val="22"/>
          <w:lang w:val="sr-Latn-ME"/>
        </w:rPr>
        <w:t xml:space="preserve"> </w:t>
      </w:r>
      <w:r w:rsidRPr="00BA318E">
        <w:rPr>
          <w:sz w:val="22"/>
          <w:szCs w:val="22"/>
          <w:lang w:val="sr-Latn-ME"/>
        </w:rPr>
        <w:t>fosfat, bezvodni;</w:t>
      </w:r>
    </w:p>
    <w:p w14:paraId="46B75FF4" w14:textId="77777777" w:rsidR="00BF3B73" w:rsidRPr="00BA318E" w:rsidRDefault="00BF3B73" w:rsidP="00B63BE9">
      <w:pPr>
        <w:pStyle w:val="Header"/>
        <w:tabs>
          <w:tab w:val="clear" w:pos="4320"/>
          <w:tab w:val="clear" w:pos="8640"/>
          <w:tab w:val="left" w:pos="284"/>
        </w:tabs>
        <w:rPr>
          <w:sz w:val="22"/>
          <w:szCs w:val="22"/>
          <w:lang w:val="sr-Latn-ME"/>
        </w:rPr>
      </w:pPr>
      <w:r w:rsidRPr="00BA318E">
        <w:rPr>
          <w:sz w:val="22"/>
          <w:szCs w:val="22"/>
          <w:lang w:val="sr-Latn-ME"/>
        </w:rPr>
        <w:t>voda za injekcije.</w:t>
      </w:r>
    </w:p>
    <w:p w14:paraId="2CFE489D" w14:textId="77777777" w:rsidR="00AA6401" w:rsidRPr="00BA318E" w:rsidRDefault="00AA6401" w:rsidP="00B63BE9">
      <w:pPr>
        <w:tabs>
          <w:tab w:val="left" w:pos="540"/>
          <w:tab w:val="left" w:pos="569"/>
        </w:tabs>
        <w:rPr>
          <w:bCs/>
          <w:sz w:val="22"/>
          <w:szCs w:val="22"/>
          <w:lang w:val="sr-Latn-ME"/>
        </w:rPr>
      </w:pPr>
    </w:p>
    <w:p w14:paraId="535A1467" w14:textId="77777777" w:rsidR="0072020E" w:rsidRPr="00BA318E" w:rsidRDefault="0072020E" w:rsidP="00B63BE9">
      <w:pPr>
        <w:tabs>
          <w:tab w:val="left" w:pos="540"/>
          <w:tab w:val="left" w:pos="569"/>
        </w:tabs>
        <w:rPr>
          <w:b/>
          <w:bCs/>
          <w:sz w:val="22"/>
          <w:szCs w:val="22"/>
          <w:lang w:val="sr-Latn-ME"/>
        </w:rPr>
      </w:pPr>
      <w:r w:rsidRPr="00BA318E">
        <w:rPr>
          <w:b/>
          <w:bCs/>
          <w:sz w:val="22"/>
          <w:szCs w:val="22"/>
          <w:lang w:val="sr-Latn-ME"/>
        </w:rPr>
        <w:t xml:space="preserve">6.2. </w:t>
      </w:r>
      <w:r w:rsidR="00480FB1" w:rsidRPr="00BA318E">
        <w:rPr>
          <w:b/>
          <w:bCs/>
          <w:sz w:val="22"/>
          <w:szCs w:val="22"/>
          <w:lang w:val="sr-Latn-ME"/>
        </w:rPr>
        <w:tab/>
      </w:r>
      <w:r w:rsidRPr="00BA318E">
        <w:rPr>
          <w:b/>
          <w:bCs/>
          <w:sz w:val="22"/>
          <w:szCs w:val="22"/>
          <w:lang w:val="sr-Latn-ME"/>
        </w:rPr>
        <w:t>Inkompatibilnost</w:t>
      </w:r>
      <w:r w:rsidR="002846DB" w:rsidRPr="00BA318E">
        <w:rPr>
          <w:b/>
          <w:bCs/>
          <w:sz w:val="22"/>
          <w:szCs w:val="22"/>
          <w:lang w:val="sr-Latn-ME"/>
        </w:rPr>
        <w:t>i</w:t>
      </w:r>
    </w:p>
    <w:p w14:paraId="1FB3E1C1" w14:textId="77777777" w:rsidR="00AA6401" w:rsidRPr="00BA318E" w:rsidRDefault="00AA6401" w:rsidP="00B63BE9">
      <w:pPr>
        <w:tabs>
          <w:tab w:val="left" w:pos="540"/>
          <w:tab w:val="left" w:pos="569"/>
        </w:tabs>
        <w:rPr>
          <w:b/>
          <w:bCs/>
          <w:sz w:val="22"/>
          <w:szCs w:val="22"/>
          <w:lang w:val="sr-Latn-ME"/>
        </w:rPr>
      </w:pPr>
    </w:p>
    <w:p w14:paraId="535A1468" w14:textId="447F3E79" w:rsidR="0072020E" w:rsidRPr="00BA318E" w:rsidRDefault="00AA6401" w:rsidP="00B63BE9">
      <w:pPr>
        <w:tabs>
          <w:tab w:val="left" w:pos="540"/>
          <w:tab w:val="left" w:pos="569"/>
        </w:tabs>
        <w:jc w:val="both"/>
        <w:rPr>
          <w:sz w:val="22"/>
          <w:szCs w:val="22"/>
          <w:lang w:val="sr-Latn-ME"/>
        </w:rPr>
      </w:pPr>
      <w:r w:rsidRPr="00BA318E">
        <w:rPr>
          <w:i/>
          <w:sz w:val="22"/>
          <w:szCs w:val="22"/>
          <w:lang w:val="sr-Latn-ME"/>
        </w:rPr>
        <w:t>In vitro</w:t>
      </w:r>
      <w:r w:rsidRPr="00BA318E">
        <w:rPr>
          <w:sz w:val="22"/>
          <w:szCs w:val="22"/>
          <w:lang w:val="sr-Latn-ME"/>
        </w:rPr>
        <w:t xml:space="preserve"> studije su pokazale da dolazi do precipitacije kada se kapi za oči koje sadrže tiomersal miješaju sa lijekom Xalatan. Ako se upotrebljavaju takvi preparati, kapi za oči treba ukapavati u razmaku od najmanje pet minuta.</w:t>
      </w:r>
    </w:p>
    <w:p w14:paraId="39AA6235" w14:textId="43090FDB" w:rsidR="00AA6401" w:rsidRPr="00BA318E" w:rsidRDefault="0072020E" w:rsidP="00BA40E4">
      <w:pPr>
        <w:tabs>
          <w:tab w:val="left" w:pos="540"/>
          <w:tab w:val="left" w:pos="569"/>
        </w:tabs>
        <w:rPr>
          <w:b/>
          <w:bCs/>
          <w:sz w:val="22"/>
          <w:szCs w:val="22"/>
          <w:lang w:val="sr-Latn-ME"/>
        </w:rPr>
      </w:pPr>
      <w:r w:rsidRPr="00BA318E">
        <w:rPr>
          <w:b/>
          <w:bCs/>
          <w:sz w:val="22"/>
          <w:szCs w:val="22"/>
          <w:lang w:val="sr-Latn-ME"/>
        </w:rPr>
        <w:lastRenderedPageBreak/>
        <w:t>6.3.</w:t>
      </w:r>
      <w:r w:rsidR="00C05DF8" w:rsidRPr="00BA318E">
        <w:rPr>
          <w:b/>
          <w:bCs/>
          <w:sz w:val="22"/>
          <w:szCs w:val="22"/>
          <w:lang w:val="sr-Latn-ME"/>
        </w:rPr>
        <w:t xml:space="preserve"> </w:t>
      </w:r>
      <w:r w:rsidR="00480FB1" w:rsidRPr="00BA318E">
        <w:rPr>
          <w:b/>
          <w:bCs/>
          <w:sz w:val="22"/>
          <w:szCs w:val="22"/>
          <w:lang w:val="sr-Latn-ME"/>
        </w:rPr>
        <w:tab/>
      </w:r>
      <w:r w:rsidRPr="00BA318E">
        <w:rPr>
          <w:b/>
          <w:bCs/>
          <w:sz w:val="22"/>
          <w:szCs w:val="22"/>
          <w:lang w:val="sr-Latn-ME"/>
        </w:rPr>
        <w:t>Rok upotrebe</w:t>
      </w:r>
    </w:p>
    <w:p w14:paraId="5D2BB273" w14:textId="77777777" w:rsidR="00BA40E4" w:rsidRDefault="00BA40E4" w:rsidP="00BA40E4">
      <w:pPr>
        <w:jc w:val="both"/>
        <w:rPr>
          <w:sz w:val="22"/>
          <w:szCs w:val="22"/>
          <w:lang w:val="sr-Latn-ME"/>
        </w:rPr>
      </w:pPr>
    </w:p>
    <w:p w14:paraId="23514E4A" w14:textId="6734519C" w:rsidR="00AA5FA5" w:rsidRPr="00BA318E" w:rsidRDefault="00AA5FA5" w:rsidP="00BA40E4">
      <w:pPr>
        <w:jc w:val="both"/>
        <w:rPr>
          <w:sz w:val="22"/>
          <w:szCs w:val="22"/>
          <w:lang w:val="sr-Latn-ME"/>
        </w:rPr>
      </w:pPr>
      <w:r w:rsidRPr="00BA318E">
        <w:rPr>
          <w:sz w:val="22"/>
          <w:szCs w:val="22"/>
          <w:lang w:val="sr-Latn-ME"/>
        </w:rPr>
        <w:t>Tri (3) godine.</w:t>
      </w:r>
    </w:p>
    <w:p w14:paraId="1EFA2973" w14:textId="77777777" w:rsidR="00BA40E4" w:rsidRDefault="00BA40E4" w:rsidP="00BA40E4">
      <w:pPr>
        <w:jc w:val="both"/>
        <w:rPr>
          <w:sz w:val="22"/>
          <w:szCs w:val="22"/>
          <w:lang w:val="sr-Latn-ME"/>
        </w:rPr>
      </w:pPr>
    </w:p>
    <w:p w14:paraId="013524C9" w14:textId="3B7F555A" w:rsidR="00AA5FA5" w:rsidRPr="00BA318E" w:rsidRDefault="00AA5FA5" w:rsidP="00BA40E4">
      <w:pPr>
        <w:jc w:val="both"/>
        <w:rPr>
          <w:sz w:val="22"/>
          <w:szCs w:val="22"/>
          <w:lang w:val="sr-Latn-ME"/>
        </w:rPr>
      </w:pPr>
      <w:r w:rsidRPr="00BA318E">
        <w:rPr>
          <w:sz w:val="22"/>
          <w:szCs w:val="22"/>
          <w:lang w:val="sr-Latn-ME"/>
        </w:rPr>
        <w:t>Poslije prvog otvaranja bočice sa kapaljkom, lijek je hemijski i fizički stabilan u roku od 28 dana na temperaturi do 25°C, u originalnom pakovanju radi zaštite od svjetlosti.</w:t>
      </w:r>
    </w:p>
    <w:p w14:paraId="058D393E" w14:textId="77777777" w:rsidR="00BA40E4" w:rsidRDefault="00BA40E4" w:rsidP="00BA40E4">
      <w:pPr>
        <w:jc w:val="both"/>
        <w:rPr>
          <w:sz w:val="22"/>
          <w:szCs w:val="22"/>
          <w:lang w:val="sr-Latn-ME"/>
        </w:rPr>
      </w:pPr>
    </w:p>
    <w:p w14:paraId="6ED0D376" w14:textId="00E8FF0D" w:rsidR="00AA5FA5" w:rsidRPr="00BA318E" w:rsidRDefault="00AA5FA5" w:rsidP="00BA40E4">
      <w:pPr>
        <w:jc w:val="both"/>
        <w:rPr>
          <w:sz w:val="22"/>
          <w:szCs w:val="22"/>
          <w:lang w:val="sr-Latn-ME"/>
        </w:rPr>
      </w:pPr>
      <w:r w:rsidRPr="00BA318E">
        <w:rPr>
          <w:sz w:val="22"/>
          <w:szCs w:val="22"/>
          <w:lang w:val="sr-Latn-ME"/>
        </w:rPr>
        <w:t xml:space="preserve">U cilju očuvanja mikrobiološke ispravnosti, rok upotrebe lijeka poslije prvog otvaranja bočice sa kapaljkom ne smije biti duži od 28 dana ukoliko se čuva u originalnom pakovanju. </w:t>
      </w:r>
    </w:p>
    <w:p w14:paraId="5C4D48A8" w14:textId="77777777" w:rsidR="00AA5FA5" w:rsidRPr="00BA318E" w:rsidRDefault="00AA5FA5" w:rsidP="00BA40E4">
      <w:pPr>
        <w:pStyle w:val="Header"/>
        <w:tabs>
          <w:tab w:val="left" w:pos="284"/>
        </w:tabs>
        <w:jc w:val="both"/>
        <w:rPr>
          <w:sz w:val="22"/>
          <w:szCs w:val="22"/>
          <w:lang w:val="sr-Latn-ME"/>
        </w:rPr>
      </w:pPr>
      <w:r w:rsidRPr="00BA318E">
        <w:rPr>
          <w:sz w:val="22"/>
          <w:szCs w:val="22"/>
          <w:lang w:val="sr-Latn-ME"/>
        </w:rPr>
        <w:t>Isključiva odgovornost korisnika su rok upotrebe lijeka i uslovi čuvanja koji su ostvareni prije primjene lijeka.</w:t>
      </w:r>
    </w:p>
    <w:p w14:paraId="4E5604FE" w14:textId="77777777" w:rsidR="00AA5FA5" w:rsidRPr="00BA318E" w:rsidRDefault="00AA5FA5" w:rsidP="00BA40E4">
      <w:pPr>
        <w:pStyle w:val="Header"/>
        <w:tabs>
          <w:tab w:val="left" w:pos="284"/>
        </w:tabs>
        <w:rPr>
          <w:sz w:val="22"/>
          <w:szCs w:val="22"/>
          <w:lang w:val="sr-Latn-ME"/>
        </w:rPr>
      </w:pPr>
    </w:p>
    <w:p w14:paraId="535A146B" w14:textId="77777777" w:rsidR="0072020E" w:rsidRPr="00BA318E" w:rsidRDefault="0072020E" w:rsidP="00BA40E4">
      <w:pPr>
        <w:tabs>
          <w:tab w:val="left" w:pos="540"/>
          <w:tab w:val="left" w:pos="569"/>
        </w:tabs>
        <w:rPr>
          <w:b/>
          <w:bCs/>
          <w:sz w:val="22"/>
          <w:szCs w:val="22"/>
          <w:lang w:val="sr-Latn-ME"/>
        </w:rPr>
      </w:pPr>
      <w:r w:rsidRPr="00BA318E">
        <w:rPr>
          <w:b/>
          <w:bCs/>
          <w:sz w:val="22"/>
          <w:szCs w:val="22"/>
          <w:lang w:val="sr-Latn-ME"/>
        </w:rPr>
        <w:t xml:space="preserve">6.4. </w:t>
      </w:r>
      <w:r w:rsidR="00480FB1" w:rsidRPr="00BA318E">
        <w:rPr>
          <w:b/>
          <w:bCs/>
          <w:sz w:val="22"/>
          <w:szCs w:val="22"/>
          <w:lang w:val="sr-Latn-ME"/>
        </w:rPr>
        <w:tab/>
      </w:r>
      <w:r w:rsidRPr="00BA318E">
        <w:rPr>
          <w:b/>
          <w:bCs/>
          <w:sz w:val="22"/>
          <w:szCs w:val="22"/>
          <w:lang w:val="sr-Latn-ME"/>
        </w:rPr>
        <w:t>Posebne mjere upozorenja pri čuvanju</w:t>
      </w:r>
      <w:r w:rsidR="00F8570A" w:rsidRPr="00BA318E">
        <w:rPr>
          <w:b/>
          <w:bCs/>
          <w:sz w:val="22"/>
          <w:szCs w:val="22"/>
          <w:lang w:val="sr-Latn-ME"/>
        </w:rPr>
        <w:t xml:space="preserve"> lijeka</w:t>
      </w:r>
    </w:p>
    <w:p w14:paraId="12E9A36B" w14:textId="77777777" w:rsidR="00AE272E" w:rsidRPr="00BA318E" w:rsidRDefault="00AE272E" w:rsidP="00BA40E4">
      <w:pPr>
        <w:tabs>
          <w:tab w:val="left" w:pos="540"/>
          <w:tab w:val="left" w:pos="569"/>
        </w:tabs>
        <w:rPr>
          <w:b/>
          <w:bCs/>
          <w:sz w:val="22"/>
          <w:szCs w:val="22"/>
          <w:lang w:val="sr-Latn-ME"/>
        </w:rPr>
      </w:pPr>
    </w:p>
    <w:p w14:paraId="76883416" w14:textId="77777777" w:rsidR="00AE272E" w:rsidRPr="00BA318E" w:rsidRDefault="00AE272E" w:rsidP="00BA40E4">
      <w:pPr>
        <w:jc w:val="both"/>
        <w:rPr>
          <w:sz w:val="22"/>
          <w:szCs w:val="22"/>
          <w:lang w:val="sr-Latn-ME"/>
        </w:rPr>
      </w:pPr>
      <w:r w:rsidRPr="00BA318E">
        <w:rPr>
          <w:sz w:val="22"/>
          <w:szCs w:val="22"/>
          <w:lang w:val="sr-Latn-ME"/>
        </w:rPr>
        <w:t>Neotvorenu bočicu sa kapaljkom čuvati u frižideru (na temperaturi između 2ºC i 8ºC), u originalnom pakovanju radi zaštite od svjetlosti.</w:t>
      </w:r>
    </w:p>
    <w:p w14:paraId="500E191C" w14:textId="77777777" w:rsidR="00BA40E4" w:rsidRDefault="00BA40E4" w:rsidP="00BA40E4">
      <w:pPr>
        <w:jc w:val="both"/>
        <w:rPr>
          <w:sz w:val="22"/>
          <w:szCs w:val="22"/>
          <w:lang w:val="sr-Latn-ME"/>
        </w:rPr>
      </w:pPr>
    </w:p>
    <w:p w14:paraId="62433570" w14:textId="50C5D1CA" w:rsidR="00AE272E" w:rsidRPr="00BA318E" w:rsidRDefault="00604258" w:rsidP="00BA40E4">
      <w:pPr>
        <w:jc w:val="both"/>
        <w:rPr>
          <w:sz w:val="22"/>
          <w:szCs w:val="22"/>
          <w:lang w:val="sr-Latn-ME"/>
        </w:rPr>
      </w:pPr>
      <w:r w:rsidRPr="00BA318E">
        <w:rPr>
          <w:sz w:val="22"/>
          <w:szCs w:val="22"/>
          <w:lang w:val="sr-Latn-ME"/>
        </w:rPr>
        <w:t>Poslije prvog otvaranja bočicu čuvati na temperaturi do 25ºC, u originalnom pakovanju radi zaštite od svjetlosti.</w:t>
      </w:r>
    </w:p>
    <w:p w14:paraId="1D1240E2" w14:textId="77777777" w:rsidR="00604258" w:rsidRPr="00BA318E" w:rsidRDefault="00604258" w:rsidP="00BA40E4">
      <w:pPr>
        <w:jc w:val="both"/>
        <w:rPr>
          <w:sz w:val="22"/>
          <w:szCs w:val="22"/>
          <w:lang w:val="sr-Latn-ME"/>
        </w:rPr>
      </w:pPr>
    </w:p>
    <w:p w14:paraId="4765F6DC" w14:textId="77777777" w:rsidR="00AE272E" w:rsidRPr="00BA318E" w:rsidRDefault="00AE272E" w:rsidP="00BA40E4">
      <w:pPr>
        <w:pStyle w:val="Header"/>
        <w:tabs>
          <w:tab w:val="left" w:pos="284"/>
        </w:tabs>
        <w:jc w:val="both"/>
        <w:rPr>
          <w:sz w:val="22"/>
          <w:szCs w:val="22"/>
          <w:lang w:val="sr-Latn-ME"/>
        </w:rPr>
      </w:pPr>
      <w:r w:rsidRPr="00BA318E">
        <w:rPr>
          <w:sz w:val="22"/>
          <w:szCs w:val="22"/>
          <w:lang w:val="sr-Latn-ME"/>
        </w:rPr>
        <w:t>Za uslove čuvanja poslije prvog otvaranja pogledajte dio 6.3.</w:t>
      </w:r>
    </w:p>
    <w:p w14:paraId="7C029BA2" w14:textId="77777777" w:rsidR="00AE272E" w:rsidRPr="00BA318E" w:rsidRDefault="00AE272E" w:rsidP="00BA40E4">
      <w:pPr>
        <w:tabs>
          <w:tab w:val="left" w:pos="540"/>
          <w:tab w:val="left" w:pos="569"/>
        </w:tabs>
        <w:rPr>
          <w:bCs/>
          <w:sz w:val="22"/>
          <w:szCs w:val="22"/>
          <w:lang w:val="sr-Latn-ME"/>
        </w:rPr>
      </w:pPr>
    </w:p>
    <w:p w14:paraId="535A146D" w14:textId="77777777" w:rsidR="0072020E" w:rsidRPr="00BA318E" w:rsidRDefault="0072020E" w:rsidP="00BA40E4">
      <w:pPr>
        <w:tabs>
          <w:tab w:val="left" w:pos="540"/>
          <w:tab w:val="left" w:pos="569"/>
        </w:tabs>
        <w:rPr>
          <w:b/>
          <w:bCs/>
          <w:sz w:val="22"/>
          <w:szCs w:val="22"/>
          <w:lang w:val="sr-Latn-ME"/>
        </w:rPr>
      </w:pPr>
      <w:r w:rsidRPr="00BA318E">
        <w:rPr>
          <w:b/>
          <w:bCs/>
          <w:sz w:val="22"/>
          <w:szCs w:val="22"/>
          <w:lang w:val="sr-Latn-ME"/>
        </w:rPr>
        <w:t xml:space="preserve">6.5. </w:t>
      </w:r>
      <w:r w:rsidR="00480FB1" w:rsidRPr="00BA318E">
        <w:rPr>
          <w:b/>
          <w:bCs/>
          <w:sz w:val="22"/>
          <w:szCs w:val="22"/>
          <w:lang w:val="sr-Latn-ME"/>
        </w:rPr>
        <w:tab/>
      </w:r>
      <w:r w:rsidR="002846DB" w:rsidRPr="00BA318E">
        <w:rPr>
          <w:b/>
          <w:bCs/>
          <w:sz w:val="22"/>
          <w:szCs w:val="22"/>
          <w:lang w:val="sr-Latn-ME"/>
        </w:rPr>
        <w:t xml:space="preserve">Vrsta i sadržaj </w:t>
      </w:r>
      <w:r w:rsidR="00F8570A" w:rsidRPr="00BA318E">
        <w:rPr>
          <w:b/>
          <w:bCs/>
          <w:sz w:val="22"/>
          <w:szCs w:val="22"/>
          <w:lang w:val="sr-Latn-ME"/>
        </w:rPr>
        <w:t>pakovanja</w:t>
      </w:r>
      <w:r w:rsidR="00C06864" w:rsidRPr="00BA318E">
        <w:rPr>
          <w:b/>
          <w:bCs/>
          <w:sz w:val="22"/>
          <w:szCs w:val="22"/>
          <w:lang w:val="sr-Latn-ME"/>
        </w:rPr>
        <w:t xml:space="preserve"> </w:t>
      </w:r>
    </w:p>
    <w:p w14:paraId="093B2CC4" w14:textId="77777777" w:rsidR="00604258" w:rsidRPr="00BA318E" w:rsidRDefault="00604258" w:rsidP="00BA40E4">
      <w:pPr>
        <w:tabs>
          <w:tab w:val="left" w:pos="540"/>
          <w:tab w:val="left" w:pos="569"/>
        </w:tabs>
        <w:rPr>
          <w:b/>
          <w:bCs/>
          <w:sz w:val="22"/>
          <w:szCs w:val="22"/>
          <w:lang w:val="sr-Latn-ME"/>
        </w:rPr>
      </w:pPr>
    </w:p>
    <w:p w14:paraId="08D837D2" w14:textId="77777777" w:rsidR="00245482" w:rsidRPr="00BA318E" w:rsidRDefault="00245482" w:rsidP="00BA40E4">
      <w:pPr>
        <w:pStyle w:val="BodyTextIndent"/>
        <w:widowControl w:val="0"/>
        <w:ind w:left="0"/>
        <w:rPr>
          <w:szCs w:val="22"/>
          <w:lang w:val="sr-Latn-ME"/>
        </w:rPr>
      </w:pPr>
      <w:r w:rsidRPr="00BA318E">
        <w:rPr>
          <w:szCs w:val="22"/>
          <w:lang w:val="sr-Latn-ME"/>
        </w:rPr>
        <w:t>Unutrašnje pakovanje je bočica sa kapaljkom (prozirna, bijela plastika), zapremine 5 ml, od polietilena niske gustine (LDPE) i zatvaračem sa navojem (bijela plastika) od polietilena visoke gustine (HDPE) i LDPE zaštitnom kapicom (prozirna, bijela plastika).</w:t>
      </w:r>
    </w:p>
    <w:p w14:paraId="120E9E1A" w14:textId="4282B651" w:rsidR="00245482" w:rsidRPr="00BA318E" w:rsidRDefault="00245482" w:rsidP="00BA40E4">
      <w:pPr>
        <w:pStyle w:val="BodyTextIndent"/>
        <w:widowControl w:val="0"/>
        <w:ind w:left="0"/>
        <w:rPr>
          <w:szCs w:val="22"/>
          <w:lang w:val="sr-Latn-ME"/>
        </w:rPr>
      </w:pPr>
      <w:r w:rsidRPr="00BA318E">
        <w:rPr>
          <w:szCs w:val="22"/>
          <w:lang w:val="sr-Latn-ME"/>
        </w:rPr>
        <w:t>Spoljno pakovanje je složiva kartonska kutija koja sadrži jednu bočicu od 2,5 ml rastvora kapi za oči i Uputstvo za lijek.</w:t>
      </w:r>
    </w:p>
    <w:p w14:paraId="535A146E" w14:textId="77777777" w:rsidR="0072020E" w:rsidRPr="00BA318E" w:rsidRDefault="0072020E" w:rsidP="00480FB1">
      <w:pPr>
        <w:tabs>
          <w:tab w:val="left" w:pos="540"/>
          <w:tab w:val="left" w:pos="569"/>
        </w:tabs>
        <w:rPr>
          <w:bCs/>
          <w:sz w:val="22"/>
          <w:szCs w:val="22"/>
          <w:lang w:val="sr-Latn-ME"/>
        </w:rPr>
      </w:pPr>
    </w:p>
    <w:p w14:paraId="535A146F" w14:textId="77777777" w:rsidR="002846DB" w:rsidRPr="00BA318E" w:rsidRDefault="0072020E" w:rsidP="00480FB1">
      <w:pPr>
        <w:tabs>
          <w:tab w:val="left" w:pos="540"/>
          <w:tab w:val="left" w:pos="569"/>
        </w:tabs>
        <w:rPr>
          <w:b/>
          <w:bCs/>
          <w:sz w:val="22"/>
          <w:szCs w:val="22"/>
          <w:lang w:val="sr-Latn-ME"/>
        </w:rPr>
      </w:pPr>
      <w:r w:rsidRPr="00BA318E">
        <w:rPr>
          <w:b/>
          <w:bCs/>
          <w:sz w:val="22"/>
          <w:szCs w:val="22"/>
          <w:lang w:val="sr-Latn-ME"/>
        </w:rPr>
        <w:t xml:space="preserve">6.6. </w:t>
      </w:r>
      <w:r w:rsidR="00480FB1" w:rsidRPr="00BA318E">
        <w:rPr>
          <w:b/>
          <w:bCs/>
          <w:sz w:val="22"/>
          <w:szCs w:val="22"/>
          <w:lang w:val="sr-Latn-ME"/>
        </w:rPr>
        <w:tab/>
      </w:r>
      <w:r w:rsidRPr="00BA318E">
        <w:rPr>
          <w:b/>
          <w:bCs/>
          <w:color w:val="000000"/>
          <w:sz w:val="22"/>
          <w:szCs w:val="22"/>
          <w:lang w:val="sr-Latn-ME"/>
        </w:rPr>
        <w:t>Posebne mjere opreza pri odlaganju materijala koji treba odbaciti nakon primjene lijeka</w:t>
      </w:r>
      <w:r w:rsidRPr="00BA318E">
        <w:rPr>
          <w:b/>
          <w:bCs/>
          <w:sz w:val="22"/>
          <w:szCs w:val="22"/>
          <w:lang w:val="sr-Latn-ME"/>
        </w:rPr>
        <w:t xml:space="preserve"> </w:t>
      </w:r>
      <w:r w:rsidR="00310F03" w:rsidRPr="00BA318E">
        <w:rPr>
          <w:b/>
          <w:bCs/>
          <w:sz w:val="22"/>
          <w:szCs w:val="22"/>
          <w:lang w:val="sr-Latn-ME"/>
        </w:rPr>
        <w:t>(i druga uputs</w:t>
      </w:r>
      <w:r w:rsidR="004109FA" w:rsidRPr="00BA318E">
        <w:rPr>
          <w:b/>
          <w:bCs/>
          <w:sz w:val="22"/>
          <w:szCs w:val="22"/>
          <w:lang w:val="sr-Latn-ME"/>
        </w:rPr>
        <w:t>t</w:t>
      </w:r>
      <w:r w:rsidR="00310F03" w:rsidRPr="00BA318E">
        <w:rPr>
          <w:b/>
          <w:bCs/>
          <w:sz w:val="22"/>
          <w:szCs w:val="22"/>
          <w:lang w:val="sr-Latn-ME"/>
        </w:rPr>
        <w:t xml:space="preserve">va za rukovanje lijekom) </w:t>
      </w:r>
    </w:p>
    <w:p w14:paraId="1599E67A" w14:textId="77777777" w:rsidR="00604258" w:rsidRPr="00BA318E" w:rsidRDefault="00604258" w:rsidP="00065DB9">
      <w:pPr>
        <w:rPr>
          <w:sz w:val="22"/>
          <w:szCs w:val="22"/>
          <w:lang w:val="sr-Latn-ME"/>
        </w:rPr>
      </w:pPr>
    </w:p>
    <w:p w14:paraId="740B605C" w14:textId="74DE7776" w:rsidR="00030AFE" w:rsidRPr="00BA318E" w:rsidRDefault="00030AFE" w:rsidP="00065DB9">
      <w:pPr>
        <w:rPr>
          <w:sz w:val="22"/>
          <w:szCs w:val="22"/>
          <w:lang w:val="sr-Latn-ME"/>
        </w:rPr>
      </w:pPr>
      <w:r w:rsidRPr="00BA318E">
        <w:rPr>
          <w:sz w:val="22"/>
          <w:szCs w:val="22"/>
          <w:lang w:val="sr-Latn-ME"/>
        </w:rPr>
        <w:t>Zaštitnu kapicu treba ukloniti prije upotrebe.</w:t>
      </w:r>
    </w:p>
    <w:p w14:paraId="737CA5CD" w14:textId="49FC3AC0" w:rsidR="00030AFE" w:rsidRPr="00BA318E" w:rsidRDefault="00030AFE" w:rsidP="00065DB9">
      <w:pPr>
        <w:rPr>
          <w:sz w:val="22"/>
          <w:szCs w:val="22"/>
          <w:lang w:val="sr-Latn-ME"/>
        </w:rPr>
      </w:pPr>
      <w:r w:rsidRPr="00BA318E">
        <w:rPr>
          <w:sz w:val="22"/>
          <w:szCs w:val="22"/>
          <w:lang w:val="sr-Latn-ME"/>
        </w:rPr>
        <w:t>Ne treba dodirivati oko, očni kapak, okolna tkiva niti bilo koje druge površine vrhom bočice.</w:t>
      </w:r>
    </w:p>
    <w:p w14:paraId="11A863E0" w14:textId="02F602C2" w:rsidR="00030AFE" w:rsidRPr="00BA318E" w:rsidRDefault="00BA318E" w:rsidP="00480FB1">
      <w:pPr>
        <w:tabs>
          <w:tab w:val="left" w:pos="540"/>
          <w:tab w:val="left" w:pos="569"/>
        </w:tabs>
        <w:rPr>
          <w:bCs/>
          <w:sz w:val="22"/>
          <w:szCs w:val="22"/>
          <w:lang w:val="sr-Latn-ME"/>
        </w:rPr>
      </w:pPr>
      <w:r>
        <w:rPr>
          <w:sz w:val="22"/>
          <w:szCs w:val="22"/>
          <w:lang w:val="sr-Latn-ME"/>
        </w:rPr>
        <w:t>S</w:t>
      </w:r>
      <w:r w:rsidRPr="009F3396">
        <w:rPr>
          <w:sz w:val="22"/>
          <w:szCs w:val="22"/>
          <w:lang w:val="sr-Latn-ME"/>
        </w:rPr>
        <w:t>vu neiskorišćenu količinu lijeka ili otpadnog materijala nakon njegove upotrebe treba ukloniti, u skladu sa važećim propisima.</w:t>
      </w:r>
    </w:p>
    <w:p w14:paraId="5638F75E" w14:textId="2213C22F" w:rsidR="006D4F23" w:rsidRDefault="006D4F23" w:rsidP="00480FB1">
      <w:pPr>
        <w:tabs>
          <w:tab w:val="left" w:pos="540"/>
          <w:tab w:val="left" w:pos="569"/>
        </w:tabs>
        <w:rPr>
          <w:bCs/>
          <w:sz w:val="22"/>
          <w:szCs w:val="22"/>
          <w:lang w:val="sr-Latn-ME"/>
        </w:rPr>
      </w:pPr>
    </w:p>
    <w:p w14:paraId="6B0D425D" w14:textId="77777777" w:rsidR="00BA318E" w:rsidRPr="00BA318E" w:rsidRDefault="00BA318E" w:rsidP="00480FB1">
      <w:pPr>
        <w:tabs>
          <w:tab w:val="left" w:pos="540"/>
          <w:tab w:val="left" w:pos="569"/>
        </w:tabs>
        <w:rPr>
          <w:bCs/>
          <w:sz w:val="22"/>
          <w:szCs w:val="22"/>
          <w:lang w:val="sr-Latn-ME"/>
        </w:rPr>
      </w:pPr>
    </w:p>
    <w:p w14:paraId="535A1472" w14:textId="77777777" w:rsidR="00F8570A" w:rsidRPr="00BA318E" w:rsidRDefault="0072020E" w:rsidP="00480FB1">
      <w:pPr>
        <w:tabs>
          <w:tab w:val="left" w:pos="540"/>
          <w:tab w:val="left" w:pos="569"/>
        </w:tabs>
        <w:rPr>
          <w:b/>
          <w:bCs/>
          <w:sz w:val="22"/>
          <w:szCs w:val="22"/>
          <w:lang w:val="sr-Latn-ME"/>
        </w:rPr>
      </w:pPr>
      <w:r w:rsidRPr="00BA318E">
        <w:rPr>
          <w:b/>
          <w:bCs/>
          <w:sz w:val="22"/>
          <w:szCs w:val="22"/>
          <w:lang w:val="sr-Latn-ME"/>
        </w:rPr>
        <w:t xml:space="preserve">7. </w:t>
      </w:r>
      <w:r w:rsidR="00480FB1" w:rsidRPr="00BA318E">
        <w:rPr>
          <w:b/>
          <w:bCs/>
          <w:sz w:val="22"/>
          <w:szCs w:val="22"/>
          <w:lang w:val="sr-Latn-ME"/>
        </w:rPr>
        <w:tab/>
      </w:r>
      <w:r w:rsidRPr="00BA318E">
        <w:rPr>
          <w:b/>
          <w:bCs/>
          <w:sz w:val="22"/>
          <w:szCs w:val="22"/>
          <w:lang w:val="sr-Latn-ME"/>
        </w:rPr>
        <w:t>NOSILAC DOZVOLE</w:t>
      </w:r>
      <w:r w:rsidR="00483928" w:rsidRPr="00BA318E">
        <w:rPr>
          <w:b/>
          <w:bCs/>
          <w:sz w:val="22"/>
          <w:szCs w:val="22"/>
          <w:lang w:val="sr-Latn-ME"/>
        </w:rPr>
        <w:t xml:space="preserve"> </w:t>
      </w:r>
    </w:p>
    <w:p w14:paraId="535A1473" w14:textId="77777777" w:rsidR="00C61BE0" w:rsidRPr="00BA318E" w:rsidRDefault="00C61BE0" w:rsidP="008E30CB">
      <w:pPr>
        <w:tabs>
          <w:tab w:val="left" w:pos="540"/>
          <w:tab w:val="left" w:pos="569"/>
        </w:tabs>
        <w:ind w:firstLine="720"/>
        <w:rPr>
          <w:bCs/>
          <w:sz w:val="22"/>
          <w:szCs w:val="22"/>
          <w:lang w:val="sr-Latn-ME"/>
        </w:rPr>
      </w:pPr>
    </w:p>
    <w:p w14:paraId="5476FBBC" w14:textId="238D0521" w:rsidR="00604258" w:rsidRPr="00BA318E" w:rsidRDefault="008E30CB" w:rsidP="008E30CB">
      <w:pPr>
        <w:pStyle w:val="Header"/>
        <w:tabs>
          <w:tab w:val="left" w:pos="284"/>
        </w:tabs>
        <w:rPr>
          <w:bCs/>
          <w:sz w:val="22"/>
          <w:szCs w:val="22"/>
          <w:lang w:val="sr-Latn-ME"/>
        </w:rPr>
      </w:pPr>
      <w:r w:rsidRPr="00BA318E">
        <w:rPr>
          <w:bCs/>
          <w:sz w:val="22"/>
          <w:szCs w:val="22"/>
          <w:lang w:val="sr-Latn-ME"/>
        </w:rPr>
        <w:t xml:space="preserve">Evropa Lek Pharma d.o.o. Podgorica </w:t>
      </w:r>
    </w:p>
    <w:p w14:paraId="38F75032" w14:textId="7A8ED464" w:rsidR="008E30CB" w:rsidRPr="00BA318E" w:rsidRDefault="008E30CB" w:rsidP="008E30CB">
      <w:pPr>
        <w:pStyle w:val="Header"/>
        <w:tabs>
          <w:tab w:val="left" w:pos="284"/>
        </w:tabs>
        <w:rPr>
          <w:bCs/>
          <w:sz w:val="22"/>
          <w:szCs w:val="22"/>
          <w:lang w:val="sr-Latn-ME"/>
        </w:rPr>
      </w:pPr>
      <w:r w:rsidRPr="00BA318E">
        <w:rPr>
          <w:bCs/>
          <w:sz w:val="22"/>
          <w:szCs w:val="22"/>
          <w:lang w:val="sr-Latn-ME"/>
        </w:rPr>
        <w:t>Kritskog odreda 4/1, 81000 Podgorica, Crna Gora</w:t>
      </w:r>
    </w:p>
    <w:p w14:paraId="535A1474" w14:textId="487F555F" w:rsidR="00C37FD7" w:rsidRPr="00BA318E" w:rsidRDefault="00C37FD7" w:rsidP="00480FB1">
      <w:pPr>
        <w:tabs>
          <w:tab w:val="left" w:pos="540"/>
          <w:tab w:val="left" w:pos="569"/>
        </w:tabs>
        <w:rPr>
          <w:bCs/>
          <w:sz w:val="22"/>
          <w:szCs w:val="22"/>
          <w:lang w:val="sr-Latn-ME"/>
        </w:rPr>
      </w:pPr>
    </w:p>
    <w:p w14:paraId="57FB09A2" w14:textId="77777777" w:rsidR="005C59BD" w:rsidRPr="00BA318E" w:rsidRDefault="005C59BD" w:rsidP="00480FB1">
      <w:pPr>
        <w:tabs>
          <w:tab w:val="left" w:pos="540"/>
          <w:tab w:val="left" w:pos="569"/>
        </w:tabs>
        <w:rPr>
          <w:bCs/>
          <w:sz w:val="22"/>
          <w:szCs w:val="22"/>
          <w:lang w:val="sr-Latn-ME"/>
        </w:rPr>
      </w:pPr>
    </w:p>
    <w:p w14:paraId="535A1475" w14:textId="77777777" w:rsidR="0072020E" w:rsidRPr="00BA318E" w:rsidRDefault="0072020E" w:rsidP="00480FB1">
      <w:pPr>
        <w:tabs>
          <w:tab w:val="left" w:pos="540"/>
          <w:tab w:val="left" w:pos="569"/>
        </w:tabs>
        <w:rPr>
          <w:b/>
          <w:bCs/>
          <w:sz w:val="22"/>
          <w:szCs w:val="22"/>
          <w:lang w:val="sr-Latn-ME"/>
        </w:rPr>
      </w:pPr>
      <w:r w:rsidRPr="00BA318E">
        <w:rPr>
          <w:b/>
          <w:bCs/>
          <w:sz w:val="22"/>
          <w:szCs w:val="22"/>
          <w:lang w:val="sr-Latn-ME"/>
        </w:rPr>
        <w:t xml:space="preserve">8. </w:t>
      </w:r>
      <w:r w:rsidR="00480FB1" w:rsidRPr="00BA318E">
        <w:rPr>
          <w:b/>
          <w:bCs/>
          <w:sz w:val="22"/>
          <w:szCs w:val="22"/>
          <w:lang w:val="sr-Latn-ME"/>
        </w:rPr>
        <w:tab/>
      </w:r>
      <w:r w:rsidRPr="00BA318E">
        <w:rPr>
          <w:b/>
          <w:bCs/>
          <w:sz w:val="22"/>
          <w:szCs w:val="22"/>
          <w:lang w:val="sr-Latn-ME"/>
        </w:rPr>
        <w:t>BROJ DOZVOLE</w:t>
      </w:r>
      <w:r w:rsidR="008A6D43" w:rsidRPr="00BA318E">
        <w:rPr>
          <w:b/>
          <w:bCs/>
          <w:sz w:val="22"/>
          <w:szCs w:val="22"/>
          <w:lang w:val="sr-Latn-ME"/>
        </w:rPr>
        <w:t xml:space="preserve"> ZA STAVLJANJE LIJEKA U PROMET</w:t>
      </w:r>
    </w:p>
    <w:p w14:paraId="535A1476" w14:textId="77777777" w:rsidR="0072020E" w:rsidRPr="00BA318E" w:rsidRDefault="0072020E" w:rsidP="00480FB1">
      <w:pPr>
        <w:tabs>
          <w:tab w:val="left" w:pos="540"/>
          <w:tab w:val="left" w:pos="569"/>
        </w:tabs>
        <w:rPr>
          <w:bCs/>
          <w:sz w:val="22"/>
          <w:szCs w:val="22"/>
          <w:lang w:val="sr-Latn-ME"/>
        </w:rPr>
      </w:pPr>
    </w:p>
    <w:p w14:paraId="535A1477" w14:textId="4B034A1F" w:rsidR="00F45F77" w:rsidRPr="00BA318E" w:rsidRDefault="00BA318E" w:rsidP="00480FB1">
      <w:pPr>
        <w:tabs>
          <w:tab w:val="left" w:pos="540"/>
          <w:tab w:val="left" w:pos="569"/>
        </w:tabs>
        <w:rPr>
          <w:bCs/>
          <w:sz w:val="22"/>
          <w:szCs w:val="22"/>
          <w:lang w:val="sr-Latn-ME"/>
        </w:rPr>
      </w:pPr>
      <w:r w:rsidRPr="00BA318E">
        <w:rPr>
          <w:bCs/>
          <w:sz w:val="22"/>
          <w:szCs w:val="22"/>
          <w:lang w:val="sr-Latn-ME"/>
        </w:rPr>
        <w:t>2030/24/6462 - 1667</w:t>
      </w:r>
    </w:p>
    <w:p w14:paraId="7BBE87CA" w14:textId="14D23DB8" w:rsidR="005C59BD" w:rsidRDefault="005C59BD" w:rsidP="00480FB1">
      <w:pPr>
        <w:tabs>
          <w:tab w:val="left" w:pos="540"/>
          <w:tab w:val="left" w:pos="569"/>
        </w:tabs>
        <w:rPr>
          <w:bCs/>
          <w:sz w:val="22"/>
          <w:szCs w:val="22"/>
          <w:lang w:val="sr-Latn-ME"/>
        </w:rPr>
      </w:pPr>
    </w:p>
    <w:p w14:paraId="60968439" w14:textId="77777777" w:rsidR="00BA318E" w:rsidRPr="00BA318E" w:rsidRDefault="00BA318E" w:rsidP="00480FB1">
      <w:pPr>
        <w:tabs>
          <w:tab w:val="left" w:pos="540"/>
          <w:tab w:val="left" w:pos="569"/>
        </w:tabs>
        <w:rPr>
          <w:bCs/>
          <w:sz w:val="22"/>
          <w:szCs w:val="22"/>
          <w:lang w:val="sr-Latn-ME"/>
        </w:rPr>
      </w:pPr>
    </w:p>
    <w:p w14:paraId="535A1478" w14:textId="77777777" w:rsidR="0072020E" w:rsidRPr="00BA318E" w:rsidRDefault="0072020E" w:rsidP="00480FB1">
      <w:pPr>
        <w:tabs>
          <w:tab w:val="left" w:pos="540"/>
          <w:tab w:val="left" w:pos="569"/>
        </w:tabs>
        <w:rPr>
          <w:b/>
          <w:bCs/>
          <w:sz w:val="22"/>
          <w:szCs w:val="22"/>
          <w:lang w:val="sr-Latn-ME"/>
        </w:rPr>
      </w:pPr>
      <w:r w:rsidRPr="00BA318E">
        <w:rPr>
          <w:b/>
          <w:bCs/>
          <w:sz w:val="22"/>
          <w:szCs w:val="22"/>
          <w:lang w:val="sr-Latn-ME"/>
        </w:rPr>
        <w:t xml:space="preserve">9. </w:t>
      </w:r>
      <w:r w:rsidR="00480FB1" w:rsidRPr="00BA318E">
        <w:rPr>
          <w:b/>
          <w:bCs/>
          <w:sz w:val="22"/>
          <w:szCs w:val="22"/>
          <w:lang w:val="sr-Latn-ME"/>
        </w:rPr>
        <w:tab/>
      </w:r>
      <w:r w:rsidRPr="00BA318E">
        <w:rPr>
          <w:b/>
          <w:bCs/>
          <w:sz w:val="22"/>
          <w:szCs w:val="22"/>
          <w:lang w:val="sr-Latn-ME"/>
        </w:rPr>
        <w:t xml:space="preserve">DATUM </w:t>
      </w:r>
      <w:r w:rsidR="00C05DF8" w:rsidRPr="00BA318E">
        <w:rPr>
          <w:b/>
          <w:bCs/>
          <w:sz w:val="22"/>
          <w:szCs w:val="22"/>
          <w:lang w:val="sr-Latn-ME"/>
        </w:rPr>
        <w:t xml:space="preserve">PRVE </w:t>
      </w:r>
      <w:r w:rsidR="008A6D43" w:rsidRPr="00BA318E">
        <w:rPr>
          <w:b/>
          <w:bCs/>
          <w:sz w:val="22"/>
          <w:szCs w:val="22"/>
          <w:lang w:val="sr-Latn-ME"/>
        </w:rPr>
        <w:t>DOZVOLE</w:t>
      </w:r>
      <w:r w:rsidR="00C05DF8" w:rsidRPr="00BA318E">
        <w:rPr>
          <w:b/>
          <w:bCs/>
          <w:sz w:val="22"/>
          <w:szCs w:val="22"/>
          <w:lang w:val="sr-Latn-ME"/>
        </w:rPr>
        <w:t>/OBNOVE DOZVOLE</w:t>
      </w:r>
      <w:r w:rsidR="008A6D43" w:rsidRPr="00BA318E">
        <w:rPr>
          <w:b/>
          <w:bCs/>
          <w:sz w:val="22"/>
          <w:szCs w:val="22"/>
          <w:lang w:val="sr-Latn-ME"/>
        </w:rPr>
        <w:t xml:space="preserve"> ZA STAVLJANJE LIJEKA U PROMET</w:t>
      </w:r>
    </w:p>
    <w:p w14:paraId="535A1479" w14:textId="7A6CD6DE" w:rsidR="0072020E" w:rsidRPr="00BA318E" w:rsidRDefault="0072020E" w:rsidP="00480FB1">
      <w:pPr>
        <w:tabs>
          <w:tab w:val="left" w:pos="540"/>
          <w:tab w:val="left" w:pos="569"/>
        </w:tabs>
        <w:rPr>
          <w:bCs/>
          <w:sz w:val="22"/>
          <w:szCs w:val="22"/>
          <w:lang w:val="sr-Latn-ME"/>
        </w:rPr>
      </w:pPr>
    </w:p>
    <w:p w14:paraId="3EBB2A18" w14:textId="130DB167" w:rsidR="00BA40E4" w:rsidRDefault="00BA40E4" w:rsidP="00480FB1">
      <w:pPr>
        <w:tabs>
          <w:tab w:val="left" w:pos="540"/>
          <w:tab w:val="left" w:pos="569"/>
        </w:tabs>
        <w:rPr>
          <w:bCs/>
          <w:sz w:val="22"/>
          <w:szCs w:val="22"/>
          <w:lang w:val="sr-Latn-ME"/>
        </w:rPr>
      </w:pPr>
      <w:r>
        <w:rPr>
          <w:bCs/>
          <w:sz w:val="22"/>
          <w:szCs w:val="22"/>
          <w:lang w:val="sr-Latn-ME"/>
        </w:rPr>
        <w:t>Datum prve dozvole:</w:t>
      </w:r>
      <w:r w:rsidR="00012D52">
        <w:rPr>
          <w:bCs/>
          <w:sz w:val="22"/>
          <w:szCs w:val="22"/>
          <w:lang w:val="sr-Latn-ME"/>
        </w:rPr>
        <w:t xml:space="preserve"> </w:t>
      </w:r>
      <w:r w:rsidR="00012D52" w:rsidRPr="00012D52">
        <w:rPr>
          <w:bCs/>
          <w:sz w:val="22"/>
          <w:szCs w:val="22"/>
          <w:lang w:val="sr-Latn-ME"/>
        </w:rPr>
        <w:t>19.09.2014. godin</w:t>
      </w:r>
      <w:r w:rsidR="00012D52">
        <w:rPr>
          <w:bCs/>
          <w:sz w:val="22"/>
          <w:szCs w:val="22"/>
          <w:lang w:val="sr-Latn-ME"/>
        </w:rPr>
        <w:t>e</w:t>
      </w:r>
    </w:p>
    <w:p w14:paraId="3C7BF571" w14:textId="50F0BE23" w:rsidR="00604258" w:rsidRDefault="00BA40E4" w:rsidP="00480FB1">
      <w:pPr>
        <w:tabs>
          <w:tab w:val="left" w:pos="540"/>
          <w:tab w:val="left" w:pos="569"/>
        </w:tabs>
        <w:rPr>
          <w:bCs/>
          <w:sz w:val="22"/>
          <w:szCs w:val="22"/>
          <w:lang w:val="sr-Latn-ME"/>
        </w:rPr>
      </w:pPr>
      <w:r>
        <w:rPr>
          <w:bCs/>
          <w:sz w:val="22"/>
          <w:szCs w:val="22"/>
          <w:lang w:val="sr-Latn-ME"/>
        </w:rPr>
        <w:t xml:space="preserve">Datum poslednje obnove dozvole: </w:t>
      </w:r>
      <w:r w:rsidR="00BA318E" w:rsidRPr="00BA318E">
        <w:rPr>
          <w:bCs/>
          <w:sz w:val="22"/>
          <w:szCs w:val="22"/>
          <w:lang w:val="sr-Latn-ME"/>
        </w:rPr>
        <w:t>03.12.2024. godine</w:t>
      </w:r>
    </w:p>
    <w:p w14:paraId="5E617571" w14:textId="6E11BBA9" w:rsidR="00BA318E" w:rsidRDefault="00BA318E" w:rsidP="00480FB1">
      <w:pPr>
        <w:tabs>
          <w:tab w:val="left" w:pos="540"/>
          <w:tab w:val="left" w:pos="569"/>
        </w:tabs>
        <w:rPr>
          <w:bCs/>
          <w:sz w:val="22"/>
          <w:szCs w:val="22"/>
          <w:lang w:val="sr-Latn-ME"/>
        </w:rPr>
      </w:pPr>
    </w:p>
    <w:p w14:paraId="77C35AC7" w14:textId="77777777" w:rsidR="00B63BE9" w:rsidRDefault="00B63BE9" w:rsidP="00480FB1">
      <w:pPr>
        <w:tabs>
          <w:tab w:val="left" w:pos="540"/>
          <w:tab w:val="left" w:pos="569"/>
        </w:tabs>
        <w:rPr>
          <w:bCs/>
          <w:sz w:val="22"/>
          <w:szCs w:val="22"/>
          <w:lang w:val="sr-Latn-ME"/>
        </w:rPr>
      </w:pPr>
    </w:p>
    <w:p w14:paraId="535A147B" w14:textId="77777777" w:rsidR="003F6A59" w:rsidRPr="00BA318E" w:rsidRDefault="0072020E" w:rsidP="00C05DF8">
      <w:pPr>
        <w:tabs>
          <w:tab w:val="left" w:pos="540"/>
          <w:tab w:val="left" w:pos="569"/>
        </w:tabs>
        <w:ind w:left="540" w:hanging="540"/>
        <w:rPr>
          <w:bCs/>
          <w:sz w:val="22"/>
          <w:szCs w:val="22"/>
          <w:lang w:val="sr-Latn-ME"/>
        </w:rPr>
      </w:pPr>
      <w:r w:rsidRPr="00BA318E">
        <w:rPr>
          <w:b/>
          <w:bCs/>
          <w:sz w:val="22"/>
          <w:szCs w:val="22"/>
          <w:lang w:val="sr-Latn-ME"/>
        </w:rPr>
        <w:lastRenderedPageBreak/>
        <w:t xml:space="preserve">10. </w:t>
      </w:r>
      <w:r w:rsidR="00480FB1" w:rsidRPr="00BA318E">
        <w:rPr>
          <w:b/>
          <w:bCs/>
          <w:sz w:val="22"/>
          <w:szCs w:val="22"/>
          <w:lang w:val="sr-Latn-ME"/>
        </w:rPr>
        <w:tab/>
      </w:r>
      <w:r w:rsidR="002846DB" w:rsidRPr="00BA318E">
        <w:rPr>
          <w:b/>
          <w:bCs/>
          <w:sz w:val="22"/>
          <w:szCs w:val="22"/>
          <w:lang w:val="sr-Latn-ME"/>
        </w:rPr>
        <w:t>D</w:t>
      </w:r>
      <w:r w:rsidR="00EC2532" w:rsidRPr="00BA318E">
        <w:rPr>
          <w:b/>
          <w:bCs/>
          <w:sz w:val="22"/>
          <w:szCs w:val="22"/>
          <w:lang w:val="sr-Latn-ME"/>
        </w:rPr>
        <w:t xml:space="preserve">ATUM REVIZIJE TEKSTA </w:t>
      </w:r>
    </w:p>
    <w:p w14:paraId="535A147C" w14:textId="2FEC1F8B" w:rsidR="003F6A59" w:rsidRPr="00BA318E" w:rsidRDefault="003F6A59" w:rsidP="00480FB1">
      <w:pPr>
        <w:tabs>
          <w:tab w:val="left" w:pos="540"/>
          <w:tab w:val="left" w:pos="569"/>
        </w:tabs>
        <w:rPr>
          <w:bCs/>
          <w:sz w:val="22"/>
          <w:szCs w:val="22"/>
          <w:lang w:val="sr-Latn-ME"/>
        </w:rPr>
      </w:pPr>
    </w:p>
    <w:p w14:paraId="1082E1C1" w14:textId="315AF1AE" w:rsidR="005C59BD" w:rsidRPr="00BA318E" w:rsidRDefault="00D2478D" w:rsidP="00480FB1">
      <w:pPr>
        <w:tabs>
          <w:tab w:val="left" w:pos="540"/>
          <w:tab w:val="left" w:pos="569"/>
        </w:tabs>
        <w:rPr>
          <w:bCs/>
          <w:sz w:val="22"/>
          <w:szCs w:val="22"/>
          <w:lang w:val="sr-Latn-ME"/>
        </w:rPr>
      </w:pPr>
      <w:r>
        <w:rPr>
          <w:bCs/>
          <w:sz w:val="22"/>
          <w:szCs w:val="22"/>
          <w:lang w:val="sr-Latn-ME"/>
        </w:rPr>
        <w:t>Maj, 2025. godine</w:t>
      </w:r>
      <w:bookmarkStart w:id="0" w:name="_GoBack"/>
      <w:bookmarkEnd w:id="0"/>
    </w:p>
    <w:sectPr w:rsidR="005C59BD" w:rsidRPr="00BA318E"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F162FF" w14:textId="77777777" w:rsidR="00B241EA" w:rsidRDefault="00B241EA">
      <w:r>
        <w:separator/>
      </w:r>
    </w:p>
  </w:endnote>
  <w:endnote w:type="continuationSeparator" w:id="0">
    <w:p w14:paraId="1B7F4EF3" w14:textId="77777777" w:rsidR="00B241EA" w:rsidRDefault="00B24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umanist777">
    <w:altName w:val="Calibri"/>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A148D" w14:textId="13346BF6"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D2478D">
      <w:rPr>
        <w:noProof/>
        <w:sz w:val="22"/>
        <w:szCs w:val="22"/>
      </w:rPr>
      <w:t>11</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D2478D">
      <w:rPr>
        <w:noProof/>
        <w:sz w:val="22"/>
        <w:szCs w:val="22"/>
      </w:rPr>
      <w:t>11</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BFA492" w14:textId="77777777" w:rsidR="00B241EA" w:rsidRDefault="00B241EA">
      <w:r>
        <w:separator/>
      </w:r>
    </w:p>
  </w:footnote>
  <w:footnote w:type="continuationSeparator" w:id="0">
    <w:p w14:paraId="273AB745" w14:textId="77777777" w:rsidR="00B241EA" w:rsidRDefault="00B241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5.5pt;height:13.5pt;visibility:visible;mso-wrap-style:square" o:bullet="t">
        <v:imagedata r:id="rId1" o:title=""/>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4AC4421"/>
    <w:multiLevelType w:val="hybridMultilevel"/>
    <w:tmpl w:val="E07EEA74"/>
    <w:lvl w:ilvl="0" w:tplc="36E4144E">
      <w:numFmt w:val="bullet"/>
      <w:lvlText w:val="-"/>
      <w:lvlJc w:val="left"/>
      <w:pPr>
        <w:tabs>
          <w:tab w:val="num" w:pos="720"/>
        </w:tabs>
        <w:ind w:left="72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0"/>
  </w:num>
  <w:num w:numId="4">
    <w:abstractNumId w:val="9"/>
  </w:num>
  <w:num w:numId="5">
    <w:abstractNumId w:val="5"/>
  </w:num>
  <w:num w:numId="6">
    <w:abstractNumId w:val="1"/>
  </w:num>
  <w:num w:numId="7">
    <w:abstractNumId w:val="8"/>
  </w:num>
  <w:num w:numId="8">
    <w:abstractNumId w:val="4"/>
  </w:num>
  <w:num w:numId="9">
    <w:abstractNumId w:val="7"/>
  </w:num>
  <w:num w:numId="10">
    <w:abstractNumId w:val="11"/>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17E4"/>
    <w:rsid w:val="00012D52"/>
    <w:rsid w:val="000176CA"/>
    <w:rsid w:val="00023D1E"/>
    <w:rsid w:val="00030AFE"/>
    <w:rsid w:val="00033469"/>
    <w:rsid w:val="00036FA0"/>
    <w:rsid w:val="0003793F"/>
    <w:rsid w:val="00045130"/>
    <w:rsid w:val="00057E35"/>
    <w:rsid w:val="00065DB9"/>
    <w:rsid w:val="00075E28"/>
    <w:rsid w:val="00076726"/>
    <w:rsid w:val="00080303"/>
    <w:rsid w:val="00083D02"/>
    <w:rsid w:val="000A3F58"/>
    <w:rsid w:val="000D2343"/>
    <w:rsid w:val="000D3449"/>
    <w:rsid w:val="000D425A"/>
    <w:rsid w:val="000D60CC"/>
    <w:rsid w:val="000E2084"/>
    <w:rsid w:val="000E6F55"/>
    <w:rsid w:val="000F77FA"/>
    <w:rsid w:val="00107BF7"/>
    <w:rsid w:val="00126F53"/>
    <w:rsid w:val="001405AB"/>
    <w:rsid w:val="0014766D"/>
    <w:rsid w:val="001536CC"/>
    <w:rsid w:val="00155962"/>
    <w:rsid w:val="001A3FBA"/>
    <w:rsid w:val="001A5518"/>
    <w:rsid w:val="001B1C6A"/>
    <w:rsid w:val="001C1263"/>
    <w:rsid w:val="001C1417"/>
    <w:rsid w:val="001E390B"/>
    <w:rsid w:val="001F04F9"/>
    <w:rsid w:val="001F42FB"/>
    <w:rsid w:val="001F719A"/>
    <w:rsid w:val="002031B3"/>
    <w:rsid w:val="002101FA"/>
    <w:rsid w:val="00215931"/>
    <w:rsid w:val="00220586"/>
    <w:rsid w:val="00224C91"/>
    <w:rsid w:val="00227BDB"/>
    <w:rsid w:val="00234CB1"/>
    <w:rsid w:val="002352F8"/>
    <w:rsid w:val="00245482"/>
    <w:rsid w:val="002510A5"/>
    <w:rsid w:val="00254A0A"/>
    <w:rsid w:val="00266046"/>
    <w:rsid w:val="00271261"/>
    <w:rsid w:val="002846DB"/>
    <w:rsid w:val="00284CCD"/>
    <w:rsid w:val="0029097D"/>
    <w:rsid w:val="002B3A78"/>
    <w:rsid w:val="002C6637"/>
    <w:rsid w:val="002E0135"/>
    <w:rsid w:val="002E37A5"/>
    <w:rsid w:val="00310F03"/>
    <w:rsid w:val="003247D2"/>
    <w:rsid w:val="003445C1"/>
    <w:rsid w:val="00351C4C"/>
    <w:rsid w:val="00355B61"/>
    <w:rsid w:val="00362686"/>
    <w:rsid w:val="00371510"/>
    <w:rsid w:val="00396DFD"/>
    <w:rsid w:val="003A7059"/>
    <w:rsid w:val="003B7A36"/>
    <w:rsid w:val="003C17AB"/>
    <w:rsid w:val="003C7823"/>
    <w:rsid w:val="003E1DCC"/>
    <w:rsid w:val="003F11A1"/>
    <w:rsid w:val="003F6A59"/>
    <w:rsid w:val="004065C8"/>
    <w:rsid w:val="004109FA"/>
    <w:rsid w:val="00411B4B"/>
    <w:rsid w:val="00415BEE"/>
    <w:rsid w:val="0042366F"/>
    <w:rsid w:val="004254E9"/>
    <w:rsid w:val="00427F85"/>
    <w:rsid w:val="00436F42"/>
    <w:rsid w:val="004378B4"/>
    <w:rsid w:val="00443FA0"/>
    <w:rsid w:val="00451314"/>
    <w:rsid w:val="00452E9D"/>
    <w:rsid w:val="004534C7"/>
    <w:rsid w:val="004671AA"/>
    <w:rsid w:val="00471DF8"/>
    <w:rsid w:val="00480FB1"/>
    <w:rsid w:val="00483928"/>
    <w:rsid w:val="004B29A8"/>
    <w:rsid w:val="004C331F"/>
    <w:rsid w:val="004D6103"/>
    <w:rsid w:val="004E3BCE"/>
    <w:rsid w:val="004E558A"/>
    <w:rsid w:val="004E70AD"/>
    <w:rsid w:val="004F0E97"/>
    <w:rsid w:val="004F17E2"/>
    <w:rsid w:val="00501DD1"/>
    <w:rsid w:val="00515C21"/>
    <w:rsid w:val="005272D6"/>
    <w:rsid w:val="00530BD7"/>
    <w:rsid w:val="0053659C"/>
    <w:rsid w:val="00545CD2"/>
    <w:rsid w:val="005476F3"/>
    <w:rsid w:val="0056625C"/>
    <w:rsid w:val="005676A2"/>
    <w:rsid w:val="00572527"/>
    <w:rsid w:val="00573E40"/>
    <w:rsid w:val="00576348"/>
    <w:rsid w:val="005A0B2E"/>
    <w:rsid w:val="005A23D2"/>
    <w:rsid w:val="005A36CB"/>
    <w:rsid w:val="005B49B8"/>
    <w:rsid w:val="005C0741"/>
    <w:rsid w:val="005C59BD"/>
    <w:rsid w:val="005C5EF4"/>
    <w:rsid w:val="005E2E0B"/>
    <w:rsid w:val="005E67AD"/>
    <w:rsid w:val="005E7A7D"/>
    <w:rsid w:val="00602457"/>
    <w:rsid w:val="00604258"/>
    <w:rsid w:val="0063575D"/>
    <w:rsid w:val="00644FC3"/>
    <w:rsid w:val="00646BD1"/>
    <w:rsid w:val="006561C2"/>
    <w:rsid w:val="00671CB3"/>
    <w:rsid w:val="00674BAF"/>
    <w:rsid w:val="00682200"/>
    <w:rsid w:val="00692BF6"/>
    <w:rsid w:val="006A1351"/>
    <w:rsid w:val="006A1497"/>
    <w:rsid w:val="006B0BD1"/>
    <w:rsid w:val="006B5404"/>
    <w:rsid w:val="006D20A5"/>
    <w:rsid w:val="006D37BF"/>
    <w:rsid w:val="006D4F23"/>
    <w:rsid w:val="00702E22"/>
    <w:rsid w:val="0072020E"/>
    <w:rsid w:val="00754902"/>
    <w:rsid w:val="00786071"/>
    <w:rsid w:val="007A3ECB"/>
    <w:rsid w:val="007A44EC"/>
    <w:rsid w:val="007A66AA"/>
    <w:rsid w:val="007D7BB3"/>
    <w:rsid w:val="007E31E9"/>
    <w:rsid w:val="007F05E3"/>
    <w:rsid w:val="008059CD"/>
    <w:rsid w:val="00824AB9"/>
    <w:rsid w:val="00836B35"/>
    <w:rsid w:val="0084323D"/>
    <w:rsid w:val="00843BDE"/>
    <w:rsid w:val="0087588C"/>
    <w:rsid w:val="0089705C"/>
    <w:rsid w:val="008A0E09"/>
    <w:rsid w:val="008A6D43"/>
    <w:rsid w:val="008B491E"/>
    <w:rsid w:val="008C1A28"/>
    <w:rsid w:val="008C2E98"/>
    <w:rsid w:val="008E30CB"/>
    <w:rsid w:val="008E49BD"/>
    <w:rsid w:val="008E53E9"/>
    <w:rsid w:val="008E5771"/>
    <w:rsid w:val="008F4ACF"/>
    <w:rsid w:val="00900143"/>
    <w:rsid w:val="00910D83"/>
    <w:rsid w:val="009130F0"/>
    <w:rsid w:val="00924166"/>
    <w:rsid w:val="00940B9B"/>
    <w:rsid w:val="00953573"/>
    <w:rsid w:val="0095676E"/>
    <w:rsid w:val="00956983"/>
    <w:rsid w:val="009614D2"/>
    <w:rsid w:val="00963CF0"/>
    <w:rsid w:val="00964BB1"/>
    <w:rsid w:val="009775D9"/>
    <w:rsid w:val="00997175"/>
    <w:rsid w:val="009A1847"/>
    <w:rsid w:val="009A2736"/>
    <w:rsid w:val="009B062A"/>
    <w:rsid w:val="009C4D5A"/>
    <w:rsid w:val="009E7C6F"/>
    <w:rsid w:val="009F1793"/>
    <w:rsid w:val="009F2D23"/>
    <w:rsid w:val="00A01D69"/>
    <w:rsid w:val="00A02335"/>
    <w:rsid w:val="00A119F0"/>
    <w:rsid w:val="00A42E81"/>
    <w:rsid w:val="00A46C9A"/>
    <w:rsid w:val="00A6014E"/>
    <w:rsid w:val="00A619F3"/>
    <w:rsid w:val="00A62A73"/>
    <w:rsid w:val="00A87FF6"/>
    <w:rsid w:val="00AA0A3B"/>
    <w:rsid w:val="00AA2763"/>
    <w:rsid w:val="00AA33B6"/>
    <w:rsid w:val="00AA5FA5"/>
    <w:rsid w:val="00AA6401"/>
    <w:rsid w:val="00AB2843"/>
    <w:rsid w:val="00AB50CA"/>
    <w:rsid w:val="00AB6D64"/>
    <w:rsid w:val="00AC53CE"/>
    <w:rsid w:val="00AD2193"/>
    <w:rsid w:val="00AD366E"/>
    <w:rsid w:val="00AE272E"/>
    <w:rsid w:val="00AF19F4"/>
    <w:rsid w:val="00AF2AC7"/>
    <w:rsid w:val="00AF74CE"/>
    <w:rsid w:val="00B208DB"/>
    <w:rsid w:val="00B23F69"/>
    <w:rsid w:val="00B241EA"/>
    <w:rsid w:val="00B60619"/>
    <w:rsid w:val="00B63BE9"/>
    <w:rsid w:val="00B66A70"/>
    <w:rsid w:val="00B67366"/>
    <w:rsid w:val="00B80EE1"/>
    <w:rsid w:val="00B84135"/>
    <w:rsid w:val="00BA318E"/>
    <w:rsid w:val="00BA40E4"/>
    <w:rsid w:val="00BF3B73"/>
    <w:rsid w:val="00C04D34"/>
    <w:rsid w:val="00C05DF8"/>
    <w:rsid w:val="00C06654"/>
    <w:rsid w:val="00C06864"/>
    <w:rsid w:val="00C10F54"/>
    <w:rsid w:val="00C23D8D"/>
    <w:rsid w:val="00C37AA3"/>
    <w:rsid w:val="00C37FD7"/>
    <w:rsid w:val="00C43419"/>
    <w:rsid w:val="00C44CF3"/>
    <w:rsid w:val="00C61BE0"/>
    <w:rsid w:val="00C6707E"/>
    <w:rsid w:val="00C70B0E"/>
    <w:rsid w:val="00C773CA"/>
    <w:rsid w:val="00C83785"/>
    <w:rsid w:val="00C87FA8"/>
    <w:rsid w:val="00C94C0D"/>
    <w:rsid w:val="00CA1FEB"/>
    <w:rsid w:val="00CD4F85"/>
    <w:rsid w:val="00CD6F02"/>
    <w:rsid w:val="00CE246D"/>
    <w:rsid w:val="00CF07A0"/>
    <w:rsid w:val="00CF3E03"/>
    <w:rsid w:val="00D0082A"/>
    <w:rsid w:val="00D02077"/>
    <w:rsid w:val="00D21455"/>
    <w:rsid w:val="00D2478D"/>
    <w:rsid w:val="00D47634"/>
    <w:rsid w:val="00D709B3"/>
    <w:rsid w:val="00D74CD2"/>
    <w:rsid w:val="00D87654"/>
    <w:rsid w:val="00DA2ED6"/>
    <w:rsid w:val="00DB1D55"/>
    <w:rsid w:val="00DB503B"/>
    <w:rsid w:val="00DB76B8"/>
    <w:rsid w:val="00DC2EA1"/>
    <w:rsid w:val="00DD6AAF"/>
    <w:rsid w:val="00DE3F5C"/>
    <w:rsid w:val="00DF190F"/>
    <w:rsid w:val="00DF1D20"/>
    <w:rsid w:val="00E21324"/>
    <w:rsid w:val="00E246B9"/>
    <w:rsid w:val="00E31FEA"/>
    <w:rsid w:val="00E45169"/>
    <w:rsid w:val="00E47787"/>
    <w:rsid w:val="00E51C30"/>
    <w:rsid w:val="00E609C1"/>
    <w:rsid w:val="00E64180"/>
    <w:rsid w:val="00E7235D"/>
    <w:rsid w:val="00E74AEE"/>
    <w:rsid w:val="00E810DE"/>
    <w:rsid w:val="00E868E5"/>
    <w:rsid w:val="00E9237A"/>
    <w:rsid w:val="00E939FA"/>
    <w:rsid w:val="00EA5765"/>
    <w:rsid w:val="00EC2532"/>
    <w:rsid w:val="00ED7812"/>
    <w:rsid w:val="00EF3B86"/>
    <w:rsid w:val="00EF79FD"/>
    <w:rsid w:val="00F317E9"/>
    <w:rsid w:val="00F34554"/>
    <w:rsid w:val="00F35B68"/>
    <w:rsid w:val="00F364F4"/>
    <w:rsid w:val="00F45F77"/>
    <w:rsid w:val="00F5167F"/>
    <w:rsid w:val="00F52258"/>
    <w:rsid w:val="00F66CEC"/>
    <w:rsid w:val="00F8570A"/>
    <w:rsid w:val="00F91C7B"/>
    <w:rsid w:val="00FB66A8"/>
    <w:rsid w:val="00FC372D"/>
    <w:rsid w:val="00FF071E"/>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5A140F"/>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Header Char1 Char Char,Header Char Char Char Char,Char Char Char Char Char,Char Char1 Char Char,Char Char Char,Char Char1,Header Char1 Char Char Char Char,Header Char Char Char Char Char Char,Header Char1"/>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HeaderChar">
    <w:name w:val="Header Char"/>
    <w:aliases w:val="Header Char Char Char,Header Char1 Char Char Char,Header Char Char Char Char Char,Char Char Char Char Char Char,Char Char1 Char Char Char,Char Char Char Char,Char Char1 Char,Header Char1 Char Char Char Char Char,Header Char1 Char"/>
    <w:basedOn w:val="DefaultParagraphFont"/>
    <w:link w:val="Header"/>
    <w:locked/>
    <w:rsid w:val="009C4D5A"/>
    <w:rPr>
      <w:sz w:val="24"/>
      <w:szCs w:val="24"/>
      <w:lang w:val="en-US" w:eastAsia="en-US"/>
    </w:rPr>
  </w:style>
  <w:style w:type="paragraph" w:styleId="BodyTextIndent">
    <w:name w:val="Body Text Indent"/>
    <w:basedOn w:val="Normal"/>
    <w:link w:val="BodyTextIndentChar"/>
    <w:rsid w:val="00A42E81"/>
    <w:pPr>
      <w:ind w:left="709"/>
      <w:jc w:val="both"/>
    </w:pPr>
    <w:rPr>
      <w:sz w:val="22"/>
      <w:lang w:val="en-GB" w:eastAsia="de-DE"/>
    </w:rPr>
  </w:style>
  <w:style w:type="character" w:customStyle="1" w:styleId="BodyTextIndentChar">
    <w:name w:val="Body Text Indent Char"/>
    <w:basedOn w:val="DefaultParagraphFont"/>
    <w:link w:val="BodyTextIndent"/>
    <w:rsid w:val="00A42E81"/>
    <w:rPr>
      <w:sz w:val="22"/>
      <w:szCs w:val="24"/>
      <w:lang w:val="en-GB" w:eastAsia="de-DE"/>
    </w:rPr>
  </w:style>
  <w:style w:type="paragraph" w:styleId="EndnoteText">
    <w:name w:val="endnote text"/>
    <w:basedOn w:val="Normal"/>
    <w:link w:val="EndnoteTextChar"/>
    <w:rsid w:val="00FC372D"/>
    <w:rPr>
      <w:rFonts w:ascii="Verdana" w:eastAsia="Verdana" w:hAnsi="Verdana" w:cs="Verdana"/>
      <w:sz w:val="15"/>
      <w:szCs w:val="15"/>
      <w:lang w:val="en-GB" w:eastAsia="en-GB"/>
    </w:rPr>
  </w:style>
  <w:style w:type="character" w:customStyle="1" w:styleId="EndnoteTextChar">
    <w:name w:val="Endnote Text Char"/>
    <w:basedOn w:val="DefaultParagraphFont"/>
    <w:link w:val="EndnoteText"/>
    <w:rsid w:val="00FC372D"/>
    <w:rPr>
      <w:rFonts w:ascii="Verdana" w:eastAsia="Verdana" w:hAnsi="Verdana" w:cs="Verdana"/>
      <w:sz w:val="15"/>
      <w:szCs w:val="15"/>
      <w:lang w:val="en-GB" w:eastAsia="en-GB"/>
    </w:rPr>
  </w:style>
  <w:style w:type="paragraph" w:customStyle="1" w:styleId="TableText">
    <w:name w:val="TableText"/>
    <w:link w:val="TableTextChar"/>
    <w:rsid w:val="000017E4"/>
    <w:rPr>
      <w:rFonts w:cs="Arial"/>
      <w:lang w:val="en-US" w:eastAsia="en-US"/>
    </w:rPr>
  </w:style>
  <w:style w:type="character" w:customStyle="1" w:styleId="TableTextChar">
    <w:name w:val="TableText Char"/>
    <w:link w:val="TableText"/>
    <w:locked/>
    <w:rsid w:val="000017E4"/>
    <w:rPr>
      <w:rFonts w:cs="Arial"/>
      <w:lang w:val="en-US" w:eastAsia="en-US"/>
    </w:rPr>
  </w:style>
  <w:style w:type="character" w:customStyle="1" w:styleId="TableText9">
    <w:name w:val="TableText 9"/>
    <w:rsid w:val="000017E4"/>
    <w:rPr>
      <w:rFonts w:ascii="Times New Roman" w:hAnsi="Times New Roman"/>
      <w:sz w:val="18"/>
    </w:rPr>
  </w:style>
  <w:style w:type="paragraph" w:styleId="BodyText2">
    <w:name w:val="Body Text 2"/>
    <w:basedOn w:val="Normal"/>
    <w:link w:val="BodyText2Char"/>
    <w:rsid w:val="0029097D"/>
    <w:pPr>
      <w:tabs>
        <w:tab w:val="left" w:pos="284"/>
      </w:tabs>
      <w:spacing w:after="120" w:line="480" w:lineRule="auto"/>
      <w:jc w:val="both"/>
    </w:pPr>
    <w:rPr>
      <w:rFonts w:ascii="Humanist777" w:hAnsi="Humanist777"/>
    </w:rPr>
  </w:style>
  <w:style w:type="character" w:customStyle="1" w:styleId="BodyText2Char">
    <w:name w:val="Body Text 2 Char"/>
    <w:basedOn w:val="DefaultParagraphFont"/>
    <w:link w:val="BodyText2"/>
    <w:rsid w:val="0029097D"/>
    <w:rPr>
      <w:rFonts w:ascii="Humanist777" w:hAnsi="Humanist777"/>
      <w:sz w:val="24"/>
      <w:szCs w:val="24"/>
      <w:lang w:val="en-US" w:eastAsia="en-US"/>
    </w:rPr>
  </w:style>
  <w:style w:type="paragraph" w:styleId="Revision">
    <w:name w:val="Revision"/>
    <w:hidden/>
    <w:uiPriority w:val="99"/>
    <w:semiHidden/>
    <w:rsid w:val="00065DB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627724">
      <w:bodyDiv w:val="1"/>
      <w:marLeft w:val="0"/>
      <w:marRight w:val="0"/>
      <w:marTop w:val="0"/>
      <w:marBottom w:val="0"/>
      <w:divBdr>
        <w:top w:val="none" w:sz="0" w:space="0" w:color="auto"/>
        <w:left w:val="none" w:sz="0" w:space="0" w:color="auto"/>
        <w:bottom w:val="none" w:sz="0" w:space="0" w:color="auto"/>
        <w:right w:val="none" w:sz="0" w:space="0" w:color="auto"/>
      </w:divBdr>
    </w:div>
    <w:div w:id="1641223530">
      <w:bodyDiv w:val="1"/>
      <w:marLeft w:val="0"/>
      <w:marRight w:val="0"/>
      <w:marTop w:val="0"/>
      <w:marBottom w:val="0"/>
      <w:divBdr>
        <w:top w:val="none" w:sz="0" w:space="0" w:color="auto"/>
        <w:left w:val="none" w:sz="0" w:space="0" w:color="auto"/>
        <w:bottom w:val="none" w:sz="0" w:space="0" w:color="auto"/>
        <w:right w:val="none" w:sz="0" w:space="0" w:color="auto"/>
      </w:divBdr>
    </w:div>
    <w:div w:id="205797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2175F-70A4-432A-ABD1-B50BCFC3C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4160</Words>
  <Characters>23715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27820</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Aleksandra Ljumović</cp:lastModifiedBy>
  <cp:revision>2</cp:revision>
  <cp:lastPrinted>2023-02-09T08:16:00Z</cp:lastPrinted>
  <dcterms:created xsi:type="dcterms:W3CDTF">2025-05-19T07:03:00Z</dcterms:created>
  <dcterms:modified xsi:type="dcterms:W3CDTF">2025-05-19T07:03:00Z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