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0CA02" w14:textId="77777777" w:rsidR="00B55969" w:rsidRPr="00B74B0F" w:rsidRDefault="00B55969" w:rsidP="00F51ACB">
      <w:pPr>
        <w:spacing w:line="240" w:lineRule="auto"/>
        <w:jc w:val="center"/>
        <w:rPr>
          <w:b/>
          <w:szCs w:val="22"/>
          <w:u w:val="single"/>
          <w:lang w:val="sr-Latn-ME"/>
        </w:rPr>
      </w:pPr>
      <w:r w:rsidRPr="00B74B0F">
        <w:rPr>
          <w:b/>
          <w:szCs w:val="22"/>
          <w:u w:val="single"/>
          <w:lang w:val="sr-Latn-ME"/>
        </w:rPr>
        <w:t>SAŽETAK KARAKTERISTIKA LIJEKA</w:t>
      </w:r>
    </w:p>
    <w:p w14:paraId="140743A5" w14:textId="23A942BF" w:rsidR="00812D16" w:rsidRPr="00B74B0F" w:rsidRDefault="00812D16" w:rsidP="00F51ACB">
      <w:pPr>
        <w:spacing w:line="240" w:lineRule="auto"/>
        <w:contextualSpacing/>
        <w:outlineLvl w:val="0"/>
        <w:rPr>
          <w:b/>
          <w:noProof/>
          <w:szCs w:val="22"/>
          <w:lang w:val="sr-Latn-ME"/>
        </w:rPr>
      </w:pPr>
    </w:p>
    <w:p w14:paraId="69798921" w14:textId="77777777" w:rsidR="006F5050" w:rsidRPr="00B74B0F" w:rsidRDefault="006F5050" w:rsidP="00F51ACB">
      <w:pPr>
        <w:spacing w:line="240" w:lineRule="auto"/>
        <w:contextualSpacing/>
        <w:outlineLvl w:val="0"/>
        <w:rPr>
          <w:b/>
          <w:noProof/>
          <w:szCs w:val="22"/>
          <w:lang w:val="sr-Latn-ME"/>
        </w:rPr>
      </w:pPr>
    </w:p>
    <w:p w14:paraId="0B5B73C4" w14:textId="264D281E" w:rsidR="00B55969" w:rsidRPr="00B74B0F" w:rsidRDefault="00906CF8" w:rsidP="0069063B">
      <w:pPr>
        <w:spacing w:line="240" w:lineRule="auto"/>
        <w:jc w:val="both"/>
        <w:rPr>
          <w:rFonts w:eastAsia="SimSun"/>
          <w:color w:val="FF0000"/>
          <w:szCs w:val="22"/>
          <w:lang w:val="sr-Latn-ME"/>
        </w:rPr>
      </w:pPr>
      <w:r w:rsidRPr="00B74B0F">
        <w:rPr>
          <w:noProof/>
          <w:szCs w:val="22"/>
          <w:lang w:val="en-US"/>
        </w:rPr>
        <w:drawing>
          <wp:inline distT="0" distB="0" distL="0" distR="0" wp14:anchorId="37DD6520" wp14:editId="437D3B44">
            <wp:extent cx="197485" cy="17526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48192"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7485" cy="175260"/>
                    </a:xfrm>
                    <a:prstGeom prst="rect">
                      <a:avLst/>
                    </a:prstGeom>
                    <a:noFill/>
                    <a:ln>
                      <a:noFill/>
                    </a:ln>
                  </pic:spPr>
                </pic:pic>
              </a:graphicData>
            </a:graphic>
          </wp:inline>
        </w:drawing>
      </w:r>
      <w:r w:rsidRPr="00B74B0F">
        <w:rPr>
          <w:szCs w:val="22"/>
          <w:lang w:val="sr-Latn-ME"/>
        </w:rPr>
        <w:t xml:space="preserve"> </w:t>
      </w:r>
      <w:r w:rsidR="00683C2E" w:rsidRPr="00B74B0F">
        <w:rPr>
          <w:noProof/>
          <w:szCs w:val="22"/>
          <w:lang w:val="sr-Latn-ME"/>
        </w:rPr>
        <w:t xml:space="preserve"> Ovaj lijek je pod dodatnim praćenjem.</w:t>
      </w:r>
      <w:r w:rsidR="00683C2E" w:rsidRPr="00B74B0F">
        <w:rPr>
          <w:szCs w:val="22"/>
          <w:lang w:val="sr-Latn-ME"/>
        </w:rPr>
        <w:t xml:space="preserve"> </w:t>
      </w:r>
      <w:r w:rsidR="00683C2E" w:rsidRPr="00B74B0F">
        <w:rPr>
          <w:noProof/>
          <w:szCs w:val="22"/>
          <w:lang w:val="sr-Latn-ME"/>
        </w:rPr>
        <w:t>Time se omogućava brzo otkrivanje novih bezbjednosnih informacija. Zdravstveni radnici treba da prijave svaku sumnju na neželjeno dejstvo ovog lijeka.</w:t>
      </w:r>
      <w:r w:rsidR="00683C2E" w:rsidRPr="00B74B0F">
        <w:rPr>
          <w:szCs w:val="22"/>
          <w:lang w:val="sr-Latn-ME"/>
        </w:rPr>
        <w:t xml:space="preserve"> Za način prijavljivanja neželjenih dejstava vidjeti dio 4.8.</w:t>
      </w:r>
    </w:p>
    <w:p w14:paraId="7AB57EE6" w14:textId="77777777" w:rsidR="00033D26" w:rsidRPr="00B74B0F" w:rsidRDefault="00033D26" w:rsidP="0069063B">
      <w:pPr>
        <w:spacing w:line="240" w:lineRule="auto"/>
        <w:contextualSpacing/>
        <w:jc w:val="both"/>
        <w:rPr>
          <w:szCs w:val="22"/>
          <w:lang w:val="sr-Latn-ME"/>
        </w:rPr>
      </w:pPr>
    </w:p>
    <w:p w14:paraId="1FD24062" w14:textId="77777777" w:rsidR="00033D26" w:rsidRPr="00B74B0F" w:rsidRDefault="00033D26" w:rsidP="0069063B">
      <w:pPr>
        <w:spacing w:line="240" w:lineRule="auto"/>
        <w:contextualSpacing/>
        <w:jc w:val="both"/>
        <w:rPr>
          <w:szCs w:val="22"/>
          <w:lang w:val="sr-Latn-ME"/>
        </w:rPr>
      </w:pPr>
    </w:p>
    <w:p w14:paraId="5FFCA8C5" w14:textId="77777777" w:rsidR="00812D16" w:rsidRPr="00B74B0F" w:rsidRDefault="00906CF8" w:rsidP="0069063B">
      <w:pPr>
        <w:keepNext/>
        <w:spacing w:line="240" w:lineRule="auto"/>
        <w:ind w:left="567" w:hanging="567"/>
        <w:contextualSpacing/>
        <w:jc w:val="both"/>
        <w:rPr>
          <w:noProof/>
          <w:color w:val="008000"/>
          <w:szCs w:val="22"/>
          <w:lang w:val="sr-Latn-ME"/>
        </w:rPr>
      </w:pPr>
      <w:r w:rsidRPr="00B74B0F">
        <w:rPr>
          <w:b/>
          <w:szCs w:val="22"/>
          <w:lang w:val="sr-Latn-ME"/>
        </w:rPr>
        <w:t>1.</w:t>
      </w:r>
      <w:r w:rsidRPr="00B74B0F">
        <w:rPr>
          <w:b/>
          <w:szCs w:val="22"/>
          <w:lang w:val="sr-Latn-ME"/>
        </w:rPr>
        <w:tab/>
        <w:t>NAZIV LIJEKA</w:t>
      </w:r>
    </w:p>
    <w:p w14:paraId="7AE37E1B" w14:textId="77777777" w:rsidR="00812D16" w:rsidRPr="00B74B0F" w:rsidRDefault="00812D16" w:rsidP="0069063B">
      <w:pPr>
        <w:keepNext/>
        <w:spacing w:line="240" w:lineRule="auto"/>
        <w:contextualSpacing/>
        <w:jc w:val="both"/>
        <w:rPr>
          <w:iCs/>
          <w:noProof/>
          <w:szCs w:val="22"/>
          <w:lang w:val="sr-Latn-ME"/>
        </w:rPr>
      </w:pPr>
    </w:p>
    <w:p w14:paraId="0469CB45" w14:textId="7908CD7A" w:rsidR="003C75F6" w:rsidRPr="00B74B0F" w:rsidRDefault="0089060C" w:rsidP="0069063B">
      <w:pPr>
        <w:widowControl w:val="0"/>
        <w:spacing w:line="240" w:lineRule="auto"/>
        <w:contextualSpacing/>
        <w:jc w:val="both"/>
        <w:rPr>
          <w:szCs w:val="22"/>
          <w:lang w:val="sr-Latn-ME"/>
        </w:rPr>
      </w:pPr>
      <w:r w:rsidRPr="00B74B0F">
        <w:rPr>
          <w:szCs w:val="22"/>
          <w:lang w:val="sr-Latn-ME"/>
        </w:rPr>
        <w:t xml:space="preserve">RINVOQ </w:t>
      </w:r>
      <w:r w:rsidR="00987055" w:rsidRPr="00B74B0F">
        <w:rPr>
          <w:szCs w:val="22"/>
          <w:lang w:val="sr-Latn-ME"/>
        </w:rPr>
        <w:t xml:space="preserve">15 mg </w:t>
      </w:r>
      <w:r w:rsidR="00CC2B4E" w:rsidRPr="00B74B0F">
        <w:rPr>
          <w:szCs w:val="22"/>
          <w:lang w:val="sr-Latn-ME"/>
        </w:rPr>
        <w:t xml:space="preserve">tableta </w:t>
      </w:r>
      <w:r w:rsidR="00987055" w:rsidRPr="00B74B0F">
        <w:rPr>
          <w:szCs w:val="22"/>
          <w:lang w:val="sr-Latn-ME"/>
        </w:rPr>
        <w:t>s</w:t>
      </w:r>
      <w:r w:rsidR="005A1470" w:rsidRPr="00B74B0F">
        <w:rPr>
          <w:szCs w:val="22"/>
          <w:lang w:val="sr-Latn-ME"/>
        </w:rPr>
        <w:t>a</w:t>
      </w:r>
      <w:r w:rsidR="00987055" w:rsidRPr="00B74B0F">
        <w:rPr>
          <w:szCs w:val="22"/>
          <w:lang w:val="sr-Latn-ME"/>
        </w:rPr>
        <w:t xml:space="preserve"> produ</w:t>
      </w:r>
      <w:r w:rsidR="00B55969" w:rsidRPr="00B74B0F">
        <w:rPr>
          <w:szCs w:val="22"/>
          <w:lang w:val="sr-Latn-ME"/>
        </w:rPr>
        <w:t>ž</w:t>
      </w:r>
      <w:r w:rsidR="00987055" w:rsidRPr="00B74B0F">
        <w:rPr>
          <w:szCs w:val="22"/>
          <w:lang w:val="sr-Latn-ME"/>
        </w:rPr>
        <w:t>enim oslobađanjem</w:t>
      </w:r>
    </w:p>
    <w:p w14:paraId="65670906" w14:textId="6FF02E21" w:rsidR="000072EF" w:rsidRPr="00B74B0F" w:rsidRDefault="000072EF" w:rsidP="0069063B">
      <w:pPr>
        <w:widowControl w:val="0"/>
        <w:spacing w:line="240" w:lineRule="auto"/>
        <w:contextualSpacing/>
        <w:jc w:val="both"/>
        <w:rPr>
          <w:szCs w:val="22"/>
          <w:lang w:val="sr-Latn-ME"/>
        </w:rPr>
      </w:pPr>
      <w:r w:rsidRPr="00B74B0F">
        <w:rPr>
          <w:szCs w:val="22"/>
          <w:lang w:val="sr-Latn-ME"/>
        </w:rPr>
        <w:t>RINVOQ 30 mg tablet</w:t>
      </w:r>
      <w:r w:rsidR="00E30A35" w:rsidRPr="00B74B0F">
        <w:rPr>
          <w:szCs w:val="22"/>
          <w:lang w:val="sr-Latn-ME"/>
        </w:rPr>
        <w:t>a</w:t>
      </w:r>
      <w:r w:rsidRPr="00B74B0F">
        <w:rPr>
          <w:szCs w:val="22"/>
          <w:lang w:val="sr-Latn-ME"/>
        </w:rPr>
        <w:t xml:space="preserve"> s</w:t>
      </w:r>
      <w:r w:rsidR="00E30A35" w:rsidRPr="00B74B0F">
        <w:rPr>
          <w:szCs w:val="22"/>
          <w:lang w:val="sr-Latn-ME"/>
        </w:rPr>
        <w:t>a</w:t>
      </w:r>
      <w:r w:rsidRPr="00B74B0F">
        <w:rPr>
          <w:szCs w:val="22"/>
          <w:lang w:val="sr-Latn-ME"/>
        </w:rPr>
        <w:t xml:space="preserve"> </w:t>
      </w:r>
      <w:r w:rsidR="00E30A35" w:rsidRPr="00B74B0F">
        <w:rPr>
          <w:szCs w:val="22"/>
          <w:lang w:val="sr-Latn-ME"/>
        </w:rPr>
        <w:t>produženim</w:t>
      </w:r>
      <w:r w:rsidRPr="00B74B0F">
        <w:rPr>
          <w:szCs w:val="22"/>
          <w:lang w:val="sr-Latn-ME"/>
        </w:rPr>
        <w:t xml:space="preserve"> oslobađanjem </w:t>
      </w:r>
    </w:p>
    <w:p w14:paraId="1DEC5846" w14:textId="218AF780" w:rsidR="00BD2986" w:rsidRPr="00B74B0F" w:rsidRDefault="000072EF" w:rsidP="0069063B">
      <w:pPr>
        <w:widowControl w:val="0"/>
        <w:spacing w:line="240" w:lineRule="auto"/>
        <w:contextualSpacing/>
        <w:jc w:val="both"/>
        <w:rPr>
          <w:noProof/>
          <w:szCs w:val="22"/>
          <w:lang w:val="sr-Latn-ME"/>
        </w:rPr>
      </w:pPr>
      <w:r w:rsidRPr="00B74B0F">
        <w:rPr>
          <w:szCs w:val="22"/>
          <w:lang w:val="sr-Latn-ME"/>
        </w:rPr>
        <w:t>RINVOQ 45 mg tablet</w:t>
      </w:r>
      <w:r w:rsidR="00E30A35" w:rsidRPr="00B74B0F">
        <w:rPr>
          <w:szCs w:val="22"/>
          <w:lang w:val="sr-Latn-ME"/>
        </w:rPr>
        <w:t>a</w:t>
      </w:r>
      <w:r w:rsidRPr="00B74B0F">
        <w:rPr>
          <w:szCs w:val="22"/>
          <w:lang w:val="sr-Latn-ME"/>
        </w:rPr>
        <w:t xml:space="preserve"> s</w:t>
      </w:r>
      <w:r w:rsidR="00E30A35" w:rsidRPr="00B74B0F">
        <w:rPr>
          <w:szCs w:val="22"/>
          <w:lang w:val="sr-Latn-ME"/>
        </w:rPr>
        <w:t>a</w:t>
      </w:r>
      <w:r w:rsidRPr="00B74B0F">
        <w:rPr>
          <w:szCs w:val="22"/>
          <w:lang w:val="sr-Latn-ME"/>
        </w:rPr>
        <w:t xml:space="preserve"> </w:t>
      </w:r>
      <w:r w:rsidR="00E30A35" w:rsidRPr="00B74B0F">
        <w:rPr>
          <w:szCs w:val="22"/>
          <w:lang w:val="sr-Latn-ME"/>
        </w:rPr>
        <w:t>produženim</w:t>
      </w:r>
      <w:r w:rsidRPr="00B74B0F">
        <w:rPr>
          <w:szCs w:val="22"/>
          <w:lang w:val="sr-Latn-ME"/>
        </w:rPr>
        <w:t xml:space="preserve"> oslobađanjem</w:t>
      </w:r>
    </w:p>
    <w:p w14:paraId="69A7DA79" w14:textId="77777777" w:rsidR="00812D16" w:rsidRPr="00B74B0F" w:rsidRDefault="00812D16" w:rsidP="0069063B">
      <w:pPr>
        <w:spacing w:line="240" w:lineRule="auto"/>
        <w:contextualSpacing/>
        <w:jc w:val="both"/>
        <w:rPr>
          <w:iCs/>
          <w:noProof/>
          <w:szCs w:val="22"/>
          <w:lang w:val="sr-Latn-ME"/>
        </w:rPr>
      </w:pPr>
    </w:p>
    <w:p w14:paraId="67754DF0" w14:textId="415F2136" w:rsidR="00214849" w:rsidRPr="00B74B0F" w:rsidRDefault="00334FB3" w:rsidP="0069063B">
      <w:pPr>
        <w:spacing w:line="240" w:lineRule="auto"/>
        <w:contextualSpacing/>
        <w:jc w:val="both"/>
        <w:rPr>
          <w:iCs/>
          <w:noProof/>
          <w:szCs w:val="22"/>
          <w:lang w:val="sr-Latn-ME"/>
        </w:rPr>
      </w:pPr>
      <w:r w:rsidRPr="00B74B0F">
        <w:rPr>
          <w:iCs/>
          <w:noProof/>
          <w:szCs w:val="22"/>
          <w:lang w:val="sr-Latn-ME"/>
        </w:rPr>
        <w:t xml:space="preserve">INN: </w:t>
      </w:r>
      <w:r w:rsidR="00CC2B4E" w:rsidRPr="00B74B0F">
        <w:rPr>
          <w:iCs/>
          <w:noProof/>
          <w:szCs w:val="22"/>
          <w:lang w:val="sr-Latn-ME"/>
        </w:rPr>
        <w:t>upadacitinib</w:t>
      </w:r>
    </w:p>
    <w:p w14:paraId="32D53764" w14:textId="18D979ED" w:rsidR="00334FB3" w:rsidRPr="00B74B0F" w:rsidRDefault="00334FB3" w:rsidP="0069063B">
      <w:pPr>
        <w:spacing w:line="240" w:lineRule="auto"/>
        <w:contextualSpacing/>
        <w:jc w:val="both"/>
        <w:rPr>
          <w:iCs/>
          <w:noProof/>
          <w:szCs w:val="22"/>
          <w:lang w:val="sr-Latn-ME"/>
        </w:rPr>
      </w:pPr>
    </w:p>
    <w:p w14:paraId="6A2728E6" w14:textId="77777777" w:rsidR="00334FB3" w:rsidRPr="00B74B0F" w:rsidRDefault="00334FB3" w:rsidP="0069063B">
      <w:pPr>
        <w:spacing w:line="240" w:lineRule="auto"/>
        <w:contextualSpacing/>
        <w:jc w:val="both"/>
        <w:rPr>
          <w:iCs/>
          <w:noProof/>
          <w:szCs w:val="22"/>
          <w:lang w:val="sr-Latn-ME"/>
        </w:rPr>
      </w:pPr>
    </w:p>
    <w:p w14:paraId="1A3BE54E" w14:textId="77777777" w:rsidR="00812D16" w:rsidRPr="00B74B0F" w:rsidRDefault="00906CF8" w:rsidP="0069063B">
      <w:pPr>
        <w:keepNext/>
        <w:spacing w:line="240" w:lineRule="auto"/>
        <w:ind w:left="567" w:hanging="567"/>
        <w:contextualSpacing/>
        <w:jc w:val="both"/>
        <w:rPr>
          <w:b/>
          <w:szCs w:val="22"/>
          <w:lang w:val="sr-Latn-ME"/>
        </w:rPr>
      </w:pPr>
      <w:r w:rsidRPr="00B74B0F">
        <w:rPr>
          <w:b/>
          <w:szCs w:val="22"/>
          <w:lang w:val="sr-Latn-ME"/>
        </w:rPr>
        <w:t>2.</w:t>
      </w:r>
      <w:r w:rsidRPr="00B74B0F">
        <w:rPr>
          <w:b/>
          <w:szCs w:val="22"/>
          <w:lang w:val="sr-Latn-ME"/>
        </w:rPr>
        <w:tab/>
        <w:t>KVALITATIVNI I KVANTITATIVNI SASTAV</w:t>
      </w:r>
    </w:p>
    <w:p w14:paraId="00BBEA7A" w14:textId="77777777" w:rsidR="00390E9F" w:rsidRPr="00B74B0F" w:rsidRDefault="00390E9F" w:rsidP="0069063B">
      <w:pPr>
        <w:keepNext/>
        <w:spacing w:line="240" w:lineRule="auto"/>
        <w:ind w:left="567" w:hanging="567"/>
        <w:contextualSpacing/>
        <w:jc w:val="both"/>
        <w:rPr>
          <w:b/>
          <w:szCs w:val="22"/>
          <w:lang w:val="sr-Latn-ME"/>
        </w:rPr>
      </w:pPr>
    </w:p>
    <w:p w14:paraId="428045D4" w14:textId="6B45A152" w:rsidR="00390E9F" w:rsidRPr="00B74B0F" w:rsidRDefault="00390E9F" w:rsidP="0069063B">
      <w:pPr>
        <w:keepNext/>
        <w:spacing w:line="240" w:lineRule="auto"/>
        <w:ind w:left="567" w:hanging="567"/>
        <w:contextualSpacing/>
        <w:jc w:val="both"/>
        <w:rPr>
          <w:noProof/>
          <w:szCs w:val="22"/>
          <w:lang w:val="sr-Latn-ME"/>
        </w:rPr>
      </w:pPr>
      <w:r w:rsidRPr="00B74B0F">
        <w:rPr>
          <w:szCs w:val="22"/>
          <w:lang w:val="sr-Latn-ME"/>
        </w:rPr>
        <w:t xml:space="preserve">RINVOQ 15 mg </w:t>
      </w:r>
      <w:r w:rsidR="00E30A35" w:rsidRPr="00B74B0F">
        <w:rPr>
          <w:szCs w:val="22"/>
          <w:lang w:val="sr-Latn-ME"/>
        </w:rPr>
        <w:t>tableta sa produženim oslobađanjem</w:t>
      </w:r>
    </w:p>
    <w:p w14:paraId="06D89125" w14:textId="77777777" w:rsidR="00812D16" w:rsidRPr="00B74B0F" w:rsidRDefault="00812D16" w:rsidP="0069063B">
      <w:pPr>
        <w:keepNext/>
        <w:spacing w:line="240" w:lineRule="auto"/>
        <w:contextualSpacing/>
        <w:jc w:val="both"/>
        <w:rPr>
          <w:iCs/>
          <w:noProof/>
          <w:szCs w:val="22"/>
          <w:lang w:val="sr-Latn-ME"/>
        </w:rPr>
      </w:pPr>
    </w:p>
    <w:p w14:paraId="3D44E792" w14:textId="7396E522" w:rsidR="00816987" w:rsidRPr="00B74B0F" w:rsidRDefault="00906CF8" w:rsidP="0069063B">
      <w:pPr>
        <w:spacing w:line="240" w:lineRule="auto"/>
        <w:contextualSpacing/>
        <w:jc w:val="both"/>
        <w:rPr>
          <w:szCs w:val="22"/>
          <w:lang w:val="sr-Latn-ME"/>
        </w:rPr>
      </w:pPr>
      <w:r w:rsidRPr="00B74B0F">
        <w:rPr>
          <w:szCs w:val="22"/>
          <w:lang w:val="sr-Latn-ME"/>
        </w:rPr>
        <w:t>Jedna tableta s</w:t>
      </w:r>
      <w:r w:rsidR="005D165F" w:rsidRPr="00B74B0F">
        <w:rPr>
          <w:szCs w:val="22"/>
          <w:lang w:val="sr-Latn-ME"/>
        </w:rPr>
        <w:t>a</w:t>
      </w:r>
      <w:r w:rsidRPr="00B74B0F">
        <w:rPr>
          <w:szCs w:val="22"/>
          <w:lang w:val="sr-Latn-ME"/>
        </w:rPr>
        <w:t xml:space="preserve"> produ</w:t>
      </w:r>
      <w:r w:rsidR="00B55969" w:rsidRPr="00B74B0F">
        <w:rPr>
          <w:szCs w:val="22"/>
          <w:lang w:val="sr-Latn-ME"/>
        </w:rPr>
        <w:t>ž</w:t>
      </w:r>
      <w:r w:rsidRPr="00B74B0F">
        <w:rPr>
          <w:szCs w:val="22"/>
          <w:lang w:val="sr-Latn-ME"/>
        </w:rPr>
        <w:t>enim oslobađanjem sadrži 15 mg upadacitiniba u obliku upadacitinib hemihidrata.</w:t>
      </w:r>
    </w:p>
    <w:p w14:paraId="54254925" w14:textId="77777777" w:rsidR="000E6D72" w:rsidRPr="00B74B0F" w:rsidRDefault="000E6D72" w:rsidP="0069063B">
      <w:pPr>
        <w:spacing w:line="240" w:lineRule="auto"/>
        <w:contextualSpacing/>
        <w:jc w:val="both"/>
        <w:rPr>
          <w:szCs w:val="22"/>
          <w:lang w:val="sr-Latn-ME"/>
        </w:rPr>
      </w:pPr>
    </w:p>
    <w:p w14:paraId="288AECA7" w14:textId="694AACFD" w:rsidR="00655F6D" w:rsidRPr="00B74B0F" w:rsidRDefault="000E6D72" w:rsidP="0069063B">
      <w:pPr>
        <w:spacing w:line="240" w:lineRule="auto"/>
        <w:contextualSpacing/>
        <w:jc w:val="both"/>
        <w:rPr>
          <w:szCs w:val="22"/>
          <w:lang w:val="sr-Latn-ME"/>
        </w:rPr>
      </w:pPr>
      <w:r w:rsidRPr="00B74B0F">
        <w:rPr>
          <w:szCs w:val="22"/>
          <w:lang w:val="sr-Latn-ME"/>
        </w:rPr>
        <w:t xml:space="preserve">RINVOQ 30 mg </w:t>
      </w:r>
      <w:r w:rsidR="00E30A35" w:rsidRPr="00B74B0F">
        <w:rPr>
          <w:szCs w:val="22"/>
          <w:lang w:val="sr-Latn-ME"/>
        </w:rPr>
        <w:t>tableta sa produženim oslobađanjem</w:t>
      </w:r>
    </w:p>
    <w:p w14:paraId="196D3886" w14:textId="77777777" w:rsidR="00655F6D" w:rsidRPr="00B74B0F" w:rsidRDefault="00655F6D" w:rsidP="0069063B">
      <w:pPr>
        <w:spacing w:line="240" w:lineRule="auto"/>
        <w:contextualSpacing/>
        <w:jc w:val="both"/>
        <w:rPr>
          <w:szCs w:val="22"/>
          <w:lang w:val="sr-Latn-ME"/>
        </w:rPr>
      </w:pPr>
    </w:p>
    <w:p w14:paraId="7029E047" w14:textId="70DB5CD2" w:rsidR="00655F6D" w:rsidRPr="00B74B0F" w:rsidRDefault="000E6D72" w:rsidP="0069063B">
      <w:pPr>
        <w:spacing w:line="240" w:lineRule="auto"/>
        <w:contextualSpacing/>
        <w:jc w:val="both"/>
        <w:rPr>
          <w:szCs w:val="22"/>
          <w:lang w:val="sr-Latn-ME"/>
        </w:rPr>
      </w:pPr>
      <w:r w:rsidRPr="00B74B0F">
        <w:rPr>
          <w:szCs w:val="22"/>
          <w:lang w:val="sr-Latn-ME"/>
        </w:rPr>
        <w:t xml:space="preserve">Jedna </w:t>
      </w:r>
      <w:r w:rsidR="00E30A35" w:rsidRPr="00B74B0F">
        <w:rPr>
          <w:szCs w:val="22"/>
          <w:lang w:val="sr-Latn-ME"/>
        </w:rPr>
        <w:t>tableta sa produženim oslobađanjem</w:t>
      </w:r>
      <w:r w:rsidR="00E30A35" w:rsidRPr="00B74B0F" w:rsidDel="00E30A35">
        <w:rPr>
          <w:szCs w:val="22"/>
          <w:lang w:val="sr-Latn-ME"/>
        </w:rPr>
        <w:t xml:space="preserve"> </w:t>
      </w:r>
      <w:r w:rsidRPr="00B74B0F">
        <w:rPr>
          <w:szCs w:val="22"/>
          <w:lang w:val="sr-Latn-ME"/>
        </w:rPr>
        <w:t xml:space="preserve">sadrži 30 mg upadacitiniba u obliku upadacitinib hemihidrata. </w:t>
      </w:r>
    </w:p>
    <w:p w14:paraId="79758357" w14:textId="77777777" w:rsidR="00655F6D" w:rsidRPr="00B74B0F" w:rsidRDefault="00655F6D" w:rsidP="0069063B">
      <w:pPr>
        <w:spacing w:line="240" w:lineRule="auto"/>
        <w:contextualSpacing/>
        <w:jc w:val="both"/>
        <w:rPr>
          <w:szCs w:val="22"/>
          <w:lang w:val="sr-Latn-ME"/>
        </w:rPr>
      </w:pPr>
    </w:p>
    <w:p w14:paraId="1D41DF73" w14:textId="2A84C83F" w:rsidR="00655F6D" w:rsidRPr="00B74B0F" w:rsidRDefault="000E6D72" w:rsidP="0069063B">
      <w:pPr>
        <w:spacing w:line="240" w:lineRule="auto"/>
        <w:contextualSpacing/>
        <w:jc w:val="both"/>
        <w:rPr>
          <w:szCs w:val="22"/>
          <w:lang w:val="sr-Latn-ME"/>
        </w:rPr>
      </w:pPr>
      <w:r w:rsidRPr="00B74B0F">
        <w:rPr>
          <w:szCs w:val="22"/>
          <w:lang w:val="sr-Latn-ME"/>
        </w:rPr>
        <w:t xml:space="preserve">RINVOQ 45 mg </w:t>
      </w:r>
      <w:r w:rsidR="00E30A35" w:rsidRPr="00B74B0F">
        <w:rPr>
          <w:szCs w:val="22"/>
          <w:lang w:val="sr-Latn-ME"/>
        </w:rPr>
        <w:t>tableta sa produženim oslobađanjem</w:t>
      </w:r>
    </w:p>
    <w:p w14:paraId="0271894D" w14:textId="77777777" w:rsidR="00655F6D" w:rsidRPr="00B74B0F" w:rsidRDefault="00655F6D" w:rsidP="0069063B">
      <w:pPr>
        <w:spacing w:line="240" w:lineRule="auto"/>
        <w:contextualSpacing/>
        <w:jc w:val="both"/>
        <w:rPr>
          <w:szCs w:val="22"/>
          <w:lang w:val="sr-Latn-ME"/>
        </w:rPr>
      </w:pPr>
    </w:p>
    <w:p w14:paraId="3E1DFCBD" w14:textId="4302D85A" w:rsidR="000E6D72" w:rsidRPr="00B74B0F" w:rsidRDefault="000E6D72" w:rsidP="0069063B">
      <w:pPr>
        <w:spacing w:line="240" w:lineRule="auto"/>
        <w:contextualSpacing/>
        <w:jc w:val="both"/>
        <w:rPr>
          <w:noProof/>
          <w:szCs w:val="22"/>
          <w:lang w:val="sr-Latn-ME"/>
        </w:rPr>
      </w:pPr>
      <w:r w:rsidRPr="00B74B0F">
        <w:rPr>
          <w:szCs w:val="22"/>
          <w:lang w:val="sr-Latn-ME"/>
        </w:rPr>
        <w:t xml:space="preserve">Jedna </w:t>
      </w:r>
      <w:r w:rsidR="00E30A35" w:rsidRPr="00B74B0F">
        <w:rPr>
          <w:szCs w:val="22"/>
          <w:lang w:val="sr-Latn-ME"/>
        </w:rPr>
        <w:t>tableta sa produženim oslobađanjem</w:t>
      </w:r>
      <w:r w:rsidR="00E30A35" w:rsidRPr="00B74B0F" w:rsidDel="00E30A35">
        <w:rPr>
          <w:szCs w:val="22"/>
          <w:lang w:val="sr-Latn-ME"/>
        </w:rPr>
        <w:t xml:space="preserve"> </w:t>
      </w:r>
      <w:r w:rsidRPr="00B74B0F">
        <w:rPr>
          <w:szCs w:val="22"/>
          <w:lang w:val="sr-Latn-ME"/>
        </w:rPr>
        <w:t>sadrži 45 mg upadacitiniba u obliku upadacitinib hemihidrata</w:t>
      </w:r>
    </w:p>
    <w:p w14:paraId="1774AF8C" w14:textId="77777777" w:rsidR="004216D4" w:rsidRPr="00B74B0F" w:rsidRDefault="004216D4" w:rsidP="0069063B">
      <w:pPr>
        <w:spacing w:line="240" w:lineRule="auto"/>
        <w:contextualSpacing/>
        <w:jc w:val="both"/>
        <w:rPr>
          <w:noProof/>
          <w:szCs w:val="22"/>
          <w:lang w:val="sr-Latn-ME"/>
        </w:rPr>
      </w:pPr>
    </w:p>
    <w:p w14:paraId="7438D468" w14:textId="7703AF1A" w:rsidR="00C96F55" w:rsidRPr="00B74B0F" w:rsidRDefault="00906CF8" w:rsidP="0069063B">
      <w:pPr>
        <w:spacing w:line="240" w:lineRule="auto"/>
        <w:jc w:val="both"/>
        <w:rPr>
          <w:szCs w:val="22"/>
          <w:lang w:val="sr-Latn-ME"/>
        </w:rPr>
      </w:pPr>
      <w:r w:rsidRPr="00B74B0F">
        <w:rPr>
          <w:szCs w:val="22"/>
          <w:lang w:val="sr-Latn-ME"/>
        </w:rPr>
        <w:t xml:space="preserve">Za </w:t>
      </w:r>
      <w:r w:rsidR="00C96F55" w:rsidRPr="00B74B0F">
        <w:rPr>
          <w:szCs w:val="22"/>
          <w:lang w:val="sr-Latn-ME"/>
        </w:rPr>
        <w:t>spisak svih ekscipijenasa, pogledati dio 6.1.</w:t>
      </w:r>
    </w:p>
    <w:p w14:paraId="727F49B9" w14:textId="43399902" w:rsidR="00812D16" w:rsidRPr="00B74B0F" w:rsidRDefault="00812D16" w:rsidP="0069063B">
      <w:pPr>
        <w:spacing w:line="240" w:lineRule="auto"/>
        <w:contextualSpacing/>
        <w:jc w:val="both"/>
        <w:rPr>
          <w:noProof/>
          <w:szCs w:val="22"/>
          <w:lang w:val="sr-Latn-ME"/>
        </w:rPr>
      </w:pPr>
    </w:p>
    <w:p w14:paraId="5AF3AB4D" w14:textId="77777777" w:rsidR="00214849" w:rsidRPr="00B74B0F" w:rsidRDefault="00214849" w:rsidP="0069063B">
      <w:pPr>
        <w:spacing w:line="240" w:lineRule="auto"/>
        <w:contextualSpacing/>
        <w:jc w:val="both"/>
        <w:rPr>
          <w:noProof/>
          <w:szCs w:val="22"/>
          <w:lang w:val="sr-Latn-ME"/>
        </w:rPr>
      </w:pPr>
    </w:p>
    <w:p w14:paraId="50FF88BB" w14:textId="24737BF8" w:rsidR="00812D16" w:rsidRPr="00B74B0F" w:rsidRDefault="00906CF8" w:rsidP="0069063B">
      <w:pPr>
        <w:keepNext/>
        <w:spacing w:line="240" w:lineRule="auto"/>
        <w:ind w:left="567" w:hanging="567"/>
        <w:contextualSpacing/>
        <w:jc w:val="both"/>
        <w:rPr>
          <w:b/>
          <w:szCs w:val="22"/>
          <w:lang w:val="sr-Latn-ME"/>
        </w:rPr>
      </w:pPr>
      <w:r w:rsidRPr="00B74B0F">
        <w:rPr>
          <w:b/>
          <w:szCs w:val="22"/>
          <w:lang w:val="sr-Latn-ME"/>
        </w:rPr>
        <w:t>3.</w:t>
      </w:r>
      <w:r w:rsidRPr="00B74B0F">
        <w:rPr>
          <w:b/>
          <w:szCs w:val="22"/>
          <w:lang w:val="sr-Latn-ME"/>
        </w:rPr>
        <w:tab/>
        <w:t>FARMACEUTSKI OBLIK</w:t>
      </w:r>
    </w:p>
    <w:p w14:paraId="7D679A5A" w14:textId="2EC9075C" w:rsidR="007F6133" w:rsidRPr="00B74B0F" w:rsidRDefault="007F6133" w:rsidP="0069063B">
      <w:pPr>
        <w:keepNext/>
        <w:spacing w:line="240" w:lineRule="auto"/>
        <w:ind w:left="567" w:hanging="567"/>
        <w:contextualSpacing/>
        <w:jc w:val="both"/>
        <w:rPr>
          <w:b/>
          <w:szCs w:val="22"/>
          <w:lang w:val="sr-Latn-ME"/>
        </w:rPr>
      </w:pPr>
    </w:p>
    <w:p w14:paraId="79CF8815" w14:textId="77777777" w:rsidR="007F6133" w:rsidRPr="00B74B0F" w:rsidRDefault="007F6133" w:rsidP="007F6133">
      <w:pPr>
        <w:spacing w:line="240" w:lineRule="auto"/>
        <w:contextualSpacing/>
        <w:jc w:val="both"/>
        <w:rPr>
          <w:noProof/>
          <w:szCs w:val="22"/>
          <w:lang w:val="sr-Latn-ME"/>
        </w:rPr>
      </w:pPr>
      <w:r w:rsidRPr="00B74B0F">
        <w:rPr>
          <w:szCs w:val="22"/>
          <w:lang w:val="sr-Latn-ME"/>
        </w:rPr>
        <w:t>Tableta sa produženim oslobađanjem.</w:t>
      </w:r>
    </w:p>
    <w:p w14:paraId="762D4D04" w14:textId="77777777" w:rsidR="00812D16" w:rsidRPr="00B74B0F" w:rsidRDefault="00812D16" w:rsidP="0069063B">
      <w:pPr>
        <w:keepNext/>
        <w:spacing w:line="240" w:lineRule="auto"/>
        <w:contextualSpacing/>
        <w:jc w:val="both"/>
        <w:rPr>
          <w:noProof/>
          <w:szCs w:val="22"/>
          <w:lang w:val="sr-Latn-ME"/>
        </w:rPr>
      </w:pPr>
    </w:p>
    <w:p w14:paraId="42F07F8D" w14:textId="5F32C8C3" w:rsidR="008B26B1" w:rsidRPr="00B74B0F" w:rsidRDefault="007F6133" w:rsidP="0069063B">
      <w:pPr>
        <w:spacing w:line="240" w:lineRule="auto"/>
        <w:contextualSpacing/>
        <w:jc w:val="both"/>
        <w:rPr>
          <w:noProof/>
          <w:szCs w:val="22"/>
          <w:lang w:val="sr-Latn-ME"/>
        </w:rPr>
      </w:pPr>
      <w:r w:rsidRPr="00B74B0F">
        <w:rPr>
          <w:szCs w:val="22"/>
          <w:lang w:val="sr-Latn-ME"/>
        </w:rPr>
        <w:t>RINVOQ 15 mg,</w:t>
      </w:r>
      <w:r w:rsidR="00E30A35" w:rsidRPr="00B74B0F">
        <w:rPr>
          <w:szCs w:val="22"/>
          <w:lang w:val="sr-Latn-ME"/>
        </w:rPr>
        <w:t xml:space="preserve"> t</w:t>
      </w:r>
      <w:r w:rsidR="00906CF8" w:rsidRPr="00B74B0F">
        <w:rPr>
          <w:szCs w:val="22"/>
          <w:lang w:val="sr-Latn-ME"/>
        </w:rPr>
        <w:t>ableta s</w:t>
      </w:r>
      <w:r w:rsidR="005A1470" w:rsidRPr="00B74B0F">
        <w:rPr>
          <w:szCs w:val="22"/>
          <w:lang w:val="sr-Latn-ME"/>
        </w:rPr>
        <w:t>a</w:t>
      </w:r>
      <w:r w:rsidR="00906CF8" w:rsidRPr="00B74B0F">
        <w:rPr>
          <w:szCs w:val="22"/>
          <w:lang w:val="sr-Latn-ME"/>
        </w:rPr>
        <w:t xml:space="preserve"> produ</w:t>
      </w:r>
      <w:r w:rsidR="00B55969" w:rsidRPr="00B74B0F">
        <w:rPr>
          <w:szCs w:val="22"/>
          <w:lang w:val="sr-Latn-ME"/>
        </w:rPr>
        <w:t>ž</w:t>
      </w:r>
      <w:r w:rsidR="00906CF8" w:rsidRPr="00B74B0F">
        <w:rPr>
          <w:szCs w:val="22"/>
          <w:lang w:val="sr-Latn-ME"/>
        </w:rPr>
        <w:t>enim oslobađanjem.</w:t>
      </w:r>
    </w:p>
    <w:p w14:paraId="1F5A09AF" w14:textId="77777777" w:rsidR="00B57F54" w:rsidRPr="00B74B0F" w:rsidRDefault="00B57F54" w:rsidP="0069063B">
      <w:pPr>
        <w:spacing w:line="240" w:lineRule="auto"/>
        <w:contextualSpacing/>
        <w:jc w:val="both"/>
        <w:rPr>
          <w:noProof/>
          <w:szCs w:val="22"/>
          <w:lang w:val="sr-Latn-ME"/>
        </w:rPr>
      </w:pPr>
    </w:p>
    <w:p w14:paraId="5C3240A9" w14:textId="5759CC84" w:rsidR="00B57F54" w:rsidRPr="00B74B0F" w:rsidRDefault="00906CF8" w:rsidP="0069063B">
      <w:pPr>
        <w:spacing w:line="240" w:lineRule="auto"/>
        <w:contextualSpacing/>
        <w:jc w:val="both"/>
        <w:rPr>
          <w:noProof/>
          <w:szCs w:val="22"/>
          <w:lang w:val="sr-Latn-ME"/>
        </w:rPr>
      </w:pPr>
      <w:r w:rsidRPr="00B74B0F">
        <w:rPr>
          <w:szCs w:val="22"/>
          <w:lang w:val="sr-Latn-ME"/>
        </w:rPr>
        <w:t xml:space="preserve">Ljubičaste, ovalne, bikonveksne </w:t>
      </w:r>
      <w:r w:rsidR="00D921B7" w:rsidRPr="00B74B0F">
        <w:rPr>
          <w:szCs w:val="22"/>
          <w:lang w:val="sr-Latn-ME"/>
        </w:rPr>
        <w:t>tablete sa produženim oslobađanjem</w:t>
      </w:r>
      <w:r w:rsidR="007F6133" w:rsidRPr="00B74B0F">
        <w:rPr>
          <w:szCs w:val="22"/>
          <w:lang w:val="sr-Latn-ME"/>
        </w:rPr>
        <w:t>,</w:t>
      </w:r>
      <w:r w:rsidRPr="00B74B0F">
        <w:rPr>
          <w:szCs w:val="22"/>
          <w:lang w:val="sr-Latn-ME"/>
        </w:rPr>
        <w:t xml:space="preserve"> dimenzija 14 x 8 mm, koje na jednoj strani imaju utisnutu oznaku ‘a15’.</w:t>
      </w:r>
    </w:p>
    <w:p w14:paraId="0EE7752E" w14:textId="77777777" w:rsidR="001C173A" w:rsidRPr="00B74B0F" w:rsidRDefault="001C173A" w:rsidP="0069063B">
      <w:pPr>
        <w:spacing w:line="240" w:lineRule="auto"/>
        <w:contextualSpacing/>
        <w:jc w:val="both"/>
        <w:rPr>
          <w:noProof/>
          <w:szCs w:val="22"/>
          <w:lang w:val="sr-Latn-ME"/>
        </w:rPr>
      </w:pPr>
    </w:p>
    <w:p w14:paraId="3419EAEE" w14:textId="3A4CD966" w:rsidR="00F95C02" w:rsidRPr="00B74B0F" w:rsidRDefault="00F95C02" w:rsidP="0069063B">
      <w:pPr>
        <w:spacing w:line="240" w:lineRule="auto"/>
        <w:contextualSpacing/>
        <w:jc w:val="both"/>
        <w:rPr>
          <w:szCs w:val="22"/>
          <w:lang w:val="sr-Latn-ME"/>
        </w:rPr>
      </w:pPr>
      <w:r w:rsidRPr="00B74B0F">
        <w:rPr>
          <w:szCs w:val="22"/>
          <w:lang w:val="sr-Latn-ME"/>
        </w:rPr>
        <w:t>RINVOQ 30 mg tablet</w:t>
      </w:r>
      <w:r w:rsidR="00E30A35" w:rsidRPr="00B74B0F">
        <w:rPr>
          <w:szCs w:val="22"/>
          <w:lang w:val="sr-Latn-ME"/>
        </w:rPr>
        <w:t>a</w:t>
      </w:r>
      <w:r w:rsidRPr="00B74B0F">
        <w:rPr>
          <w:szCs w:val="22"/>
          <w:lang w:val="sr-Latn-ME"/>
        </w:rPr>
        <w:t xml:space="preserve"> s </w:t>
      </w:r>
      <w:r w:rsidR="0055298C" w:rsidRPr="00B74B0F">
        <w:rPr>
          <w:szCs w:val="22"/>
          <w:lang w:val="sr-Latn-ME"/>
        </w:rPr>
        <w:t>produženim</w:t>
      </w:r>
      <w:r w:rsidRPr="00B74B0F">
        <w:rPr>
          <w:szCs w:val="22"/>
          <w:lang w:val="sr-Latn-ME"/>
        </w:rPr>
        <w:t xml:space="preserve"> oslobađanjem </w:t>
      </w:r>
    </w:p>
    <w:p w14:paraId="274CF197" w14:textId="77777777" w:rsidR="00F95C02" w:rsidRPr="00B74B0F" w:rsidRDefault="00F95C02" w:rsidP="0069063B">
      <w:pPr>
        <w:spacing w:line="240" w:lineRule="auto"/>
        <w:contextualSpacing/>
        <w:jc w:val="both"/>
        <w:rPr>
          <w:szCs w:val="22"/>
          <w:lang w:val="sr-Latn-ME"/>
        </w:rPr>
      </w:pPr>
    </w:p>
    <w:p w14:paraId="3B66ACDA" w14:textId="4780C7B5" w:rsidR="00F95C02" w:rsidRPr="00B74B0F" w:rsidRDefault="00F95C02" w:rsidP="0069063B">
      <w:pPr>
        <w:spacing w:line="240" w:lineRule="auto"/>
        <w:contextualSpacing/>
        <w:jc w:val="both"/>
        <w:rPr>
          <w:szCs w:val="22"/>
          <w:lang w:val="sr-Latn-ME"/>
        </w:rPr>
      </w:pPr>
      <w:r w:rsidRPr="00B74B0F">
        <w:rPr>
          <w:szCs w:val="22"/>
          <w:lang w:val="sr-Latn-ME"/>
        </w:rPr>
        <w:t>Crvene, ovalne, bikonveksne tablete s produ</w:t>
      </w:r>
      <w:r w:rsidR="0055298C" w:rsidRPr="00B74B0F">
        <w:rPr>
          <w:szCs w:val="22"/>
          <w:lang w:val="sr-Latn-ME"/>
        </w:rPr>
        <w:t>ž</w:t>
      </w:r>
      <w:r w:rsidRPr="00B74B0F">
        <w:rPr>
          <w:szCs w:val="22"/>
          <w:lang w:val="sr-Latn-ME"/>
        </w:rPr>
        <w:t>enim oslobađanjem</w:t>
      </w:r>
      <w:r w:rsidR="007F6133" w:rsidRPr="00B74B0F">
        <w:rPr>
          <w:szCs w:val="22"/>
          <w:lang w:val="sr-Latn-ME"/>
        </w:rPr>
        <w:t>,</w:t>
      </w:r>
      <w:r w:rsidRPr="00B74B0F">
        <w:rPr>
          <w:szCs w:val="22"/>
          <w:lang w:val="sr-Latn-ME"/>
        </w:rPr>
        <w:t xml:space="preserve"> dimenzija 14 x 8 mm, koje na jednoj strani imaju utisnutu oznaku „a30”. </w:t>
      </w:r>
    </w:p>
    <w:p w14:paraId="6C641E3F" w14:textId="77777777" w:rsidR="00F95C02" w:rsidRPr="00B74B0F" w:rsidRDefault="00F95C02" w:rsidP="0069063B">
      <w:pPr>
        <w:spacing w:line="240" w:lineRule="auto"/>
        <w:contextualSpacing/>
        <w:jc w:val="both"/>
        <w:rPr>
          <w:szCs w:val="22"/>
          <w:lang w:val="sr-Latn-ME"/>
        </w:rPr>
      </w:pPr>
    </w:p>
    <w:p w14:paraId="332750B2" w14:textId="313D01DC" w:rsidR="00F95C02" w:rsidRPr="00B74B0F" w:rsidRDefault="00F95C02" w:rsidP="0069063B">
      <w:pPr>
        <w:spacing w:line="240" w:lineRule="auto"/>
        <w:contextualSpacing/>
        <w:jc w:val="both"/>
        <w:rPr>
          <w:szCs w:val="22"/>
          <w:lang w:val="sr-Latn-ME"/>
        </w:rPr>
      </w:pPr>
      <w:r w:rsidRPr="00B74B0F">
        <w:rPr>
          <w:szCs w:val="22"/>
          <w:lang w:val="sr-Latn-ME"/>
        </w:rPr>
        <w:t>RINVOQ 45 mg tablet</w:t>
      </w:r>
      <w:r w:rsidR="00E30A35" w:rsidRPr="00B74B0F">
        <w:rPr>
          <w:szCs w:val="22"/>
          <w:lang w:val="sr-Latn-ME"/>
        </w:rPr>
        <w:t>a</w:t>
      </w:r>
      <w:r w:rsidRPr="00B74B0F">
        <w:rPr>
          <w:szCs w:val="22"/>
          <w:lang w:val="sr-Latn-ME"/>
        </w:rPr>
        <w:t xml:space="preserve"> s </w:t>
      </w:r>
      <w:r w:rsidR="0055298C" w:rsidRPr="00B74B0F">
        <w:rPr>
          <w:szCs w:val="22"/>
          <w:lang w:val="sr-Latn-ME"/>
        </w:rPr>
        <w:t>produženim</w:t>
      </w:r>
      <w:r w:rsidRPr="00B74B0F">
        <w:rPr>
          <w:szCs w:val="22"/>
          <w:lang w:val="sr-Latn-ME"/>
        </w:rPr>
        <w:t xml:space="preserve"> oslobađanjem </w:t>
      </w:r>
    </w:p>
    <w:p w14:paraId="128CF39E" w14:textId="77777777" w:rsidR="00F95C02" w:rsidRPr="00B74B0F" w:rsidRDefault="00F95C02" w:rsidP="0069063B">
      <w:pPr>
        <w:spacing w:line="240" w:lineRule="auto"/>
        <w:contextualSpacing/>
        <w:jc w:val="both"/>
        <w:rPr>
          <w:szCs w:val="22"/>
          <w:lang w:val="sr-Latn-ME"/>
        </w:rPr>
      </w:pPr>
    </w:p>
    <w:p w14:paraId="33712DB1" w14:textId="30AEF6BE" w:rsidR="00F95C02" w:rsidRPr="00B74B0F" w:rsidRDefault="00F95C02" w:rsidP="0069063B">
      <w:pPr>
        <w:spacing w:line="240" w:lineRule="auto"/>
        <w:contextualSpacing/>
        <w:jc w:val="both"/>
        <w:rPr>
          <w:szCs w:val="22"/>
          <w:lang w:val="sr-Latn-ME"/>
        </w:rPr>
      </w:pPr>
      <w:r w:rsidRPr="00B74B0F">
        <w:rPr>
          <w:szCs w:val="22"/>
          <w:lang w:val="sr-Latn-ME"/>
        </w:rPr>
        <w:t xml:space="preserve">Žute do prošarano žute, ovalne, bikonveksne tablete s </w:t>
      </w:r>
      <w:r w:rsidR="0055298C" w:rsidRPr="00B74B0F">
        <w:rPr>
          <w:szCs w:val="22"/>
          <w:lang w:val="sr-Latn-ME"/>
        </w:rPr>
        <w:t>produženim</w:t>
      </w:r>
      <w:r w:rsidRPr="00B74B0F">
        <w:rPr>
          <w:szCs w:val="22"/>
          <w:lang w:val="sr-Latn-ME"/>
        </w:rPr>
        <w:t xml:space="preserve"> oslobađanjem</w:t>
      </w:r>
      <w:r w:rsidR="007F6133" w:rsidRPr="00B74B0F">
        <w:rPr>
          <w:szCs w:val="22"/>
          <w:lang w:val="sr-Latn-ME"/>
        </w:rPr>
        <w:t>,</w:t>
      </w:r>
      <w:r w:rsidRPr="00B74B0F">
        <w:rPr>
          <w:szCs w:val="22"/>
          <w:lang w:val="sr-Latn-ME"/>
        </w:rPr>
        <w:t xml:space="preserve"> dimenzija 14 x 8 mm, koje na jednoj strani imaju utisnutu oznaku „a45“.</w:t>
      </w:r>
    </w:p>
    <w:p w14:paraId="24A15E04" w14:textId="77777777" w:rsidR="00F95C02" w:rsidRPr="00B74B0F" w:rsidRDefault="00F95C02" w:rsidP="0069063B">
      <w:pPr>
        <w:spacing w:line="240" w:lineRule="auto"/>
        <w:contextualSpacing/>
        <w:jc w:val="both"/>
        <w:rPr>
          <w:szCs w:val="22"/>
          <w:lang w:val="sr-Latn-ME"/>
        </w:rPr>
      </w:pPr>
    </w:p>
    <w:p w14:paraId="44D026C5" w14:textId="77777777" w:rsidR="00F95C02" w:rsidRPr="00B74B0F" w:rsidRDefault="00F95C02" w:rsidP="0069063B">
      <w:pPr>
        <w:spacing w:line="240" w:lineRule="auto"/>
        <w:contextualSpacing/>
        <w:jc w:val="both"/>
        <w:rPr>
          <w:noProof/>
          <w:szCs w:val="22"/>
          <w:lang w:val="sr-Latn-ME"/>
        </w:rPr>
      </w:pPr>
    </w:p>
    <w:p w14:paraId="60871AC2" w14:textId="77777777" w:rsidR="00971F75" w:rsidRPr="00B74B0F" w:rsidRDefault="00971F75" w:rsidP="0069063B">
      <w:pPr>
        <w:spacing w:line="240" w:lineRule="auto"/>
        <w:contextualSpacing/>
        <w:jc w:val="both"/>
        <w:rPr>
          <w:noProof/>
          <w:szCs w:val="22"/>
          <w:lang w:val="sr-Latn-ME"/>
        </w:rPr>
      </w:pPr>
    </w:p>
    <w:p w14:paraId="3A1A7565" w14:textId="77777777" w:rsidR="00812D16" w:rsidRPr="00B74B0F" w:rsidRDefault="00906CF8" w:rsidP="0069063B">
      <w:pPr>
        <w:keepNext/>
        <w:spacing w:line="240" w:lineRule="auto"/>
        <w:ind w:left="567" w:hanging="567"/>
        <w:contextualSpacing/>
        <w:jc w:val="both"/>
        <w:rPr>
          <w:caps/>
          <w:noProof/>
          <w:szCs w:val="22"/>
          <w:lang w:val="sr-Latn-ME"/>
        </w:rPr>
      </w:pPr>
      <w:r w:rsidRPr="00B74B0F">
        <w:rPr>
          <w:b/>
          <w:caps/>
          <w:szCs w:val="22"/>
          <w:lang w:val="sr-Latn-ME"/>
        </w:rPr>
        <w:lastRenderedPageBreak/>
        <w:t>4.</w:t>
      </w:r>
      <w:r w:rsidRPr="00B74B0F">
        <w:rPr>
          <w:b/>
          <w:caps/>
          <w:szCs w:val="22"/>
          <w:lang w:val="sr-Latn-ME"/>
        </w:rPr>
        <w:tab/>
      </w:r>
      <w:r w:rsidRPr="00B74B0F">
        <w:rPr>
          <w:b/>
          <w:bCs/>
          <w:szCs w:val="22"/>
          <w:lang w:val="sr-Latn-ME"/>
        </w:rPr>
        <w:t>KLINIČKI PODACI</w:t>
      </w:r>
    </w:p>
    <w:p w14:paraId="24167344" w14:textId="77777777" w:rsidR="00812D16" w:rsidRPr="00B74B0F" w:rsidRDefault="00812D16" w:rsidP="0069063B">
      <w:pPr>
        <w:keepNext/>
        <w:spacing w:line="240" w:lineRule="auto"/>
        <w:contextualSpacing/>
        <w:jc w:val="both"/>
        <w:rPr>
          <w:noProof/>
          <w:szCs w:val="22"/>
          <w:lang w:val="sr-Latn-ME"/>
        </w:rPr>
      </w:pPr>
    </w:p>
    <w:p w14:paraId="12F3D9A3" w14:textId="0D70F1C8" w:rsidR="00812D16" w:rsidRPr="00B74B0F" w:rsidRDefault="00906CF8" w:rsidP="0069063B">
      <w:pPr>
        <w:keepNext/>
        <w:spacing w:line="240" w:lineRule="auto"/>
        <w:ind w:left="567" w:hanging="567"/>
        <w:contextualSpacing/>
        <w:jc w:val="both"/>
        <w:outlineLvl w:val="0"/>
        <w:rPr>
          <w:noProof/>
          <w:szCs w:val="22"/>
          <w:lang w:val="sr-Latn-ME"/>
        </w:rPr>
      </w:pPr>
      <w:r w:rsidRPr="00B74B0F">
        <w:rPr>
          <w:b/>
          <w:szCs w:val="22"/>
          <w:lang w:val="sr-Latn-ME"/>
        </w:rPr>
        <w:t>4.1</w:t>
      </w:r>
      <w:r w:rsidRPr="00B74B0F">
        <w:rPr>
          <w:b/>
          <w:szCs w:val="22"/>
          <w:lang w:val="sr-Latn-ME"/>
        </w:rPr>
        <w:tab/>
        <w:t>Terapijske indikacije</w:t>
      </w:r>
    </w:p>
    <w:p w14:paraId="2BC386B6" w14:textId="0713C15F" w:rsidR="00903974" w:rsidRPr="00B74B0F" w:rsidRDefault="00903974" w:rsidP="0069063B">
      <w:pPr>
        <w:keepNext/>
        <w:spacing w:line="240" w:lineRule="auto"/>
        <w:ind w:left="567" w:hanging="567"/>
        <w:contextualSpacing/>
        <w:jc w:val="both"/>
        <w:outlineLvl w:val="0"/>
        <w:rPr>
          <w:noProof/>
          <w:szCs w:val="22"/>
          <w:lang w:val="sr-Latn-ME"/>
        </w:rPr>
      </w:pPr>
    </w:p>
    <w:p w14:paraId="23DC00A2" w14:textId="77777777" w:rsidR="00903974" w:rsidRPr="00B74B0F" w:rsidRDefault="00903974" w:rsidP="0069063B">
      <w:pPr>
        <w:keepNext/>
        <w:spacing w:line="240" w:lineRule="auto"/>
        <w:ind w:left="567" w:hanging="567"/>
        <w:contextualSpacing/>
        <w:jc w:val="both"/>
        <w:outlineLvl w:val="0"/>
        <w:rPr>
          <w:noProof/>
          <w:szCs w:val="22"/>
          <w:u w:val="single"/>
          <w:lang w:val="sr-Latn-ME"/>
        </w:rPr>
      </w:pPr>
      <w:r w:rsidRPr="00B74B0F">
        <w:rPr>
          <w:noProof/>
          <w:szCs w:val="22"/>
          <w:u w:val="single"/>
          <w:lang w:val="sr-Latn-ME"/>
        </w:rPr>
        <w:t xml:space="preserve">Reumatoidni artritis </w:t>
      </w:r>
    </w:p>
    <w:p w14:paraId="05520753" w14:textId="77777777" w:rsidR="00903974" w:rsidRPr="00B74B0F" w:rsidRDefault="00903974" w:rsidP="0069063B">
      <w:pPr>
        <w:keepNext/>
        <w:spacing w:line="240" w:lineRule="auto"/>
        <w:contextualSpacing/>
        <w:jc w:val="both"/>
        <w:outlineLvl w:val="0"/>
        <w:rPr>
          <w:noProof/>
          <w:szCs w:val="22"/>
          <w:lang w:val="sr-Latn-ME"/>
        </w:rPr>
      </w:pPr>
    </w:p>
    <w:p w14:paraId="2FF1037B" w14:textId="3B707892" w:rsidR="00F80BE8" w:rsidRPr="00B74B0F" w:rsidRDefault="00B55969" w:rsidP="0069063B">
      <w:pPr>
        <w:spacing w:line="240" w:lineRule="auto"/>
        <w:contextualSpacing/>
        <w:jc w:val="both"/>
        <w:rPr>
          <w:szCs w:val="22"/>
          <w:lang w:val="sr-Latn-ME"/>
        </w:rPr>
      </w:pPr>
      <w:r w:rsidRPr="00B74B0F">
        <w:rPr>
          <w:szCs w:val="22"/>
          <w:lang w:val="sr-Latn-ME"/>
        </w:rPr>
        <w:t xml:space="preserve">Lijek </w:t>
      </w:r>
      <w:r w:rsidR="0089060C" w:rsidRPr="00B74B0F">
        <w:rPr>
          <w:szCs w:val="22"/>
          <w:lang w:val="sr-Latn-ME"/>
        </w:rPr>
        <w:t xml:space="preserve">RINVOQ </w:t>
      </w:r>
      <w:r w:rsidR="00987055" w:rsidRPr="00B74B0F">
        <w:rPr>
          <w:szCs w:val="22"/>
          <w:lang w:val="sr-Latn-ME"/>
        </w:rPr>
        <w:t>je indi</w:t>
      </w:r>
      <w:r w:rsidR="005F1947" w:rsidRPr="00B74B0F">
        <w:rPr>
          <w:szCs w:val="22"/>
          <w:lang w:val="sr-Latn-ME"/>
        </w:rPr>
        <w:t>kovan</w:t>
      </w:r>
      <w:r w:rsidR="00987055" w:rsidRPr="00B74B0F">
        <w:rPr>
          <w:szCs w:val="22"/>
          <w:lang w:val="sr-Latn-ME"/>
        </w:rPr>
        <w:t xml:space="preserve"> za liječenje umjerenog do teškog oblika aktivnog reumatoidnog artritisa </w:t>
      </w:r>
      <w:r w:rsidRPr="00B74B0F">
        <w:rPr>
          <w:szCs w:val="22"/>
          <w:lang w:val="sr-Latn-ME"/>
        </w:rPr>
        <w:t>kod</w:t>
      </w:r>
      <w:r w:rsidR="00987055" w:rsidRPr="00B74B0F">
        <w:rPr>
          <w:szCs w:val="22"/>
          <w:lang w:val="sr-Latn-ME"/>
        </w:rPr>
        <w:t xml:space="preserve"> odraslih </w:t>
      </w:r>
      <w:r w:rsidR="00BB59FC" w:rsidRPr="00B74B0F">
        <w:rPr>
          <w:szCs w:val="22"/>
          <w:lang w:val="sr-Latn-ME"/>
        </w:rPr>
        <w:t>pacijenata</w:t>
      </w:r>
      <w:r w:rsidR="00987055" w:rsidRPr="00B74B0F">
        <w:rPr>
          <w:szCs w:val="22"/>
          <w:lang w:val="sr-Latn-ME"/>
        </w:rPr>
        <w:t xml:space="preserve"> koji ni</w:t>
      </w:r>
      <w:r w:rsidR="00E41DF6" w:rsidRPr="00B74B0F">
        <w:rPr>
          <w:szCs w:val="22"/>
          <w:lang w:val="sr-Latn-ME"/>
        </w:rPr>
        <w:t>je</w:t>
      </w:r>
      <w:r w:rsidR="00987055" w:rsidRPr="00B74B0F">
        <w:rPr>
          <w:szCs w:val="22"/>
          <w:lang w:val="sr-Latn-ME"/>
        </w:rPr>
        <w:t>su dovoljno dobro odgovorili na jedan ili više antireumatskih ljekova koji modifi</w:t>
      </w:r>
      <w:r w:rsidR="00181F44" w:rsidRPr="00B74B0F">
        <w:rPr>
          <w:szCs w:val="22"/>
          <w:lang w:val="sr-Latn-ME"/>
        </w:rPr>
        <w:t>kuju</w:t>
      </w:r>
      <w:r w:rsidR="00987055" w:rsidRPr="00B74B0F">
        <w:rPr>
          <w:szCs w:val="22"/>
          <w:lang w:val="sr-Latn-ME"/>
        </w:rPr>
        <w:t xml:space="preserve"> t</w:t>
      </w:r>
      <w:r w:rsidRPr="00B74B0F">
        <w:rPr>
          <w:szCs w:val="22"/>
          <w:lang w:val="sr-Latn-ME"/>
        </w:rPr>
        <w:t>o</w:t>
      </w:r>
      <w:r w:rsidR="00987055" w:rsidRPr="00B74B0F">
        <w:rPr>
          <w:szCs w:val="22"/>
          <w:lang w:val="sr-Latn-ME"/>
        </w:rPr>
        <w:t xml:space="preserve">k bolesti (engl. </w:t>
      </w:r>
      <w:r w:rsidR="00987055" w:rsidRPr="00B74B0F">
        <w:rPr>
          <w:i/>
          <w:iCs/>
          <w:szCs w:val="22"/>
          <w:lang w:val="sr-Latn-ME"/>
        </w:rPr>
        <w:t>disease-modifying anti-rheumatic drug</w:t>
      </w:r>
      <w:r w:rsidR="00987055" w:rsidRPr="00B74B0F">
        <w:rPr>
          <w:szCs w:val="22"/>
          <w:lang w:val="sr-Latn-ME"/>
        </w:rPr>
        <w:t xml:space="preserve">, DMARD) ili koji ne podnose takve ljekove. </w:t>
      </w:r>
      <w:r w:rsidRPr="00B74B0F">
        <w:rPr>
          <w:szCs w:val="22"/>
          <w:lang w:val="sr-Latn-ME"/>
        </w:rPr>
        <w:t xml:space="preserve">Lijek </w:t>
      </w:r>
      <w:r w:rsidR="008A068F" w:rsidRPr="00B74B0F">
        <w:rPr>
          <w:szCs w:val="22"/>
          <w:lang w:val="sr-Latn-ME"/>
        </w:rPr>
        <w:t xml:space="preserve">RINVOQ </w:t>
      </w:r>
      <w:r w:rsidR="00987055" w:rsidRPr="00B74B0F">
        <w:rPr>
          <w:szCs w:val="22"/>
          <w:lang w:val="sr-Latn-ME"/>
        </w:rPr>
        <w:t>se može primjenjivati u monoterapiji ili u kombinaciji s metotreksatom.</w:t>
      </w:r>
    </w:p>
    <w:p w14:paraId="4C1F412D" w14:textId="3FCED3C5" w:rsidR="00B57CD8" w:rsidRPr="00B74B0F" w:rsidRDefault="00B57CD8" w:rsidP="0069063B">
      <w:pPr>
        <w:spacing w:line="240" w:lineRule="auto"/>
        <w:contextualSpacing/>
        <w:jc w:val="both"/>
        <w:rPr>
          <w:szCs w:val="22"/>
          <w:lang w:val="sr-Latn-ME"/>
        </w:rPr>
      </w:pPr>
    </w:p>
    <w:p w14:paraId="65575A4B" w14:textId="77777777" w:rsidR="00931DFE" w:rsidRPr="00B74B0F" w:rsidRDefault="00931DFE" w:rsidP="0069063B">
      <w:pPr>
        <w:spacing w:line="240" w:lineRule="auto"/>
        <w:contextualSpacing/>
        <w:jc w:val="both"/>
        <w:rPr>
          <w:szCs w:val="22"/>
          <w:u w:val="single"/>
          <w:lang w:val="sr-Latn-ME"/>
        </w:rPr>
      </w:pPr>
      <w:r w:rsidRPr="00B74B0F">
        <w:rPr>
          <w:szCs w:val="22"/>
          <w:u w:val="single"/>
          <w:lang w:val="sr-Latn-ME"/>
        </w:rPr>
        <w:t>Psorijatični artritis</w:t>
      </w:r>
    </w:p>
    <w:p w14:paraId="632FDA64" w14:textId="77777777" w:rsidR="00931DFE" w:rsidRPr="00B74B0F" w:rsidRDefault="00931DFE" w:rsidP="0069063B">
      <w:pPr>
        <w:spacing w:line="240" w:lineRule="auto"/>
        <w:contextualSpacing/>
        <w:jc w:val="both"/>
        <w:rPr>
          <w:szCs w:val="22"/>
          <w:lang w:val="sr-Latn-ME"/>
        </w:rPr>
      </w:pPr>
    </w:p>
    <w:p w14:paraId="3DDA24CA" w14:textId="64CE40BE" w:rsidR="00931DFE" w:rsidRPr="00B74B0F" w:rsidRDefault="00181F44" w:rsidP="0069063B">
      <w:pPr>
        <w:spacing w:line="240" w:lineRule="auto"/>
        <w:contextualSpacing/>
        <w:jc w:val="both"/>
        <w:rPr>
          <w:szCs w:val="22"/>
          <w:lang w:val="sr-Latn-ME"/>
        </w:rPr>
      </w:pPr>
      <w:r w:rsidRPr="00B74B0F">
        <w:rPr>
          <w:szCs w:val="22"/>
          <w:lang w:val="sr-Latn-ME"/>
        </w:rPr>
        <w:t xml:space="preserve">Lijek </w:t>
      </w:r>
      <w:r w:rsidR="00931DFE" w:rsidRPr="00B74B0F">
        <w:rPr>
          <w:szCs w:val="22"/>
          <w:lang w:val="sr-Latn-ME"/>
        </w:rPr>
        <w:t>Rinvoq je indikovan za liječenje aktivnog psorijatičnog artritisa kod odraslih pacijenata koji ni</w:t>
      </w:r>
      <w:r w:rsidR="00B12CB7" w:rsidRPr="00B74B0F">
        <w:rPr>
          <w:szCs w:val="22"/>
          <w:lang w:val="sr-Latn-ME"/>
        </w:rPr>
        <w:t>je</w:t>
      </w:r>
      <w:r w:rsidR="00931DFE" w:rsidRPr="00B74B0F">
        <w:rPr>
          <w:szCs w:val="22"/>
          <w:lang w:val="sr-Latn-ME"/>
        </w:rPr>
        <w:t>su dovoljno dobro odgovorili na jedan ili više DMARD ili koji ne podnose takve ljekove. Lijek Rinvoq se može primjenjivati u monoterapiji ili u kombinaciji s metotreksatom.</w:t>
      </w:r>
    </w:p>
    <w:p w14:paraId="74C239E3" w14:textId="08F6284A" w:rsidR="00931DFE" w:rsidRPr="00B74B0F" w:rsidRDefault="00931DFE" w:rsidP="0069063B">
      <w:pPr>
        <w:spacing w:line="240" w:lineRule="auto"/>
        <w:contextualSpacing/>
        <w:jc w:val="both"/>
        <w:rPr>
          <w:szCs w:val="22"/>
          <w:lang w:val="sr-Latn-ME"/>
        </w:rPr>
      </w:pPr>
    </w:p>
    <w:p w14:paraId="3251A03E" w14:textId="47785A31" w:rsidR="00542622" w:rsidRPr="00B74B0F" w:rsidRDefault="00542622" w:rsidP="0069063B">
      <w:pPr>
        <w:spacing w:line="240" w:lineRule="auto"/>
        <w:contextualSpacing/>
        <w:jc w:val="both"/>
        <w:rPr>
          <w:szCs w:val="22"/>
          <w:u w:val="single"/>
          <w:lang w:val="sr-Latn-ME"/>
        </w:rPr>
      </w:pPr>
      <w:r w:rsidRPr="00B74B0F">
        <w:rPr>
          <w:szCs w:val="22"/>
          <w:u w:val="single"/>
          <w:lang w:val="sr-Latn-ME"/>
        </w:rPr>
        <w:t xml:space="preserve">Aksijalni spondiloartritis </w:t>
      </w:r>
    </w:p>
    <w:p w14:paraId="6F28DF84" w14:textId="77777777" w:rsidR="00B12CB7" w:rsidRPr="00B74B0F" w:rsidRDefault="00B12CB7" w:rsidP="0069063B">
      <w:pPr>
        <w:spacing w:line="240" w:lineRule="auto"/>
        <w:contextualSpacing/>
        <w:jc w:val="both"/>
        <w:rPr>
          <w:szCs w:val="22"/>
          <w:u w:val="single"/>
          <w:lang w:val="sr-Latn-ME"/>
        </w:rPr>
      </w:pPr>
    </w:p>
    <w:p w14:paraId="23D7B7A8" w14:textId="5C7F0402" w:rsidR="00181F44" w:rsidRPr="00B74B0F" w:rsidRDefault="00542622" w:rsidP="0069063B">
      <w:pPr>
        <w:spacing w:line="240" w:lineRule="auto"/>
        <w:contextualSpacing/>
        <w:jc w:val="both"/>
        <w:rPr>
          <w:i/>
          <w:iCs/>
          <w:szCs w:val="22"/>
          <w:lang w:val="sr-Latn-ME"/>
        </w:rPr>
      </w:pPr>
      <w:r w:rsidRPr="00B74B0F">
        <w:rPr>
          <w:i/>
          <w:iCs/>
          <w:szCs w:val="22"/>
          <w:lang w:val="sr-Latn-ME"/>
        </w:rPr>
        <w:t xml:space="preserve">Neradiografski aksijalni spondiloartritis (nr-axSpA) </w:t>
      </w:r>
    </w:p>
    <w:p w14:paraId="5A33B7DE" w14:textId="495CB339" w:rsidR="00931DFE" w:rsidRPr="00B74B0F" w:rsidRDefault="00181F44" w:rsidP="0069063B">
      <w:pPr>
        <w:spacing w:line="240" w:lineRule="auto"/>
        <w:contextualSpacing/>
        <w:jc w:val="both"/>
        <w:rPr>
          <w:szCs w:val="22"/>
          <w:lang w:val="sr-Latn-ME"/>
        </w:rPr>
      </w:pPr>
      <w:r w:rsidRPr="00B74B0F">
        <w:rPr>
          <w:szCs w:val="22"/>
          <w:lang w:val="sr-Latn-ME"/>
        </w:rPr>
        <w:t xml:space="preserve">Lijek </w:t>
      </w:r>
      <w:r w:rsidR="00542622" w:rsidRPr="00B74B0F">
        <w:rPr>
          <w:szCs w:val="22"/>
          <w:lang w:val="sr-Latn-ME"/>
        </w:rPr>
        <w:t>RINVOQ je indi</w:t>
      </w:r>
      <w:r w:rsidR="00B12CB7" w:rsidRPr="00B74B0F">
        <w:rPr>
          <w:szCs w:val="22"/>
          <w:lang w:val="sr-Latn-ME"/>
        </w:rPr>
        <w:t>kovan</w:t>
      </w:r>
      <w:r w:rsidR="00542622" w:rsidRPr="00B74B0F">
        <w:rPr>
          <w:szCs w:val="22"/>
          <w:lang w:val="sr-Latn-ME"/>
        </w:rPr>
        <w:t xml:space="preserve"> za liječenje aktivnog neradiografskog aksijalnog spondiloartritisa kod odraslih </w:t>
      </w:r>
      <w:r w:rsidR="00181042" w:rsidRPr="00B74B0F">
        <w:rPr>
          <w:szCs w:val="22"/>
          <w:lang w:val="sr-Latn-ME"/>
        </w:rPr>
        <w:t>pacijenata</w:t>
      </w:r>
      <w:r w:rsidR="00542622" w:rsidRPr="00B74B0F">
        <w:rPr>
          <w:szCs w:val="22"/>
          <w:lang w:val="sr-Latn-ME"/>
        </w:rPr>
        <w:t xml:space="preserve"> s</w:t>
      </w:r>
      <w:r w:rsidRPr="00B74B0F">
        <w:rPr>
          <w:szCs w:val="22"/>
          <w:lang w:val="sr-Latn-ME"/>
        </w:rPr>
        <w:t>a</w:t>
      </w:r>
      <w:r w:rsidR="00542622" w:rsidRPr="00B74B0F">
        <w:rPr>
          <w:szCs w:val="22"/>
          <w:lang w:val="sr-Latn-ME"/>
        </w:rPr>
        <w:t xml:space="preserve"> objektivnim </w:t>
      </w:r>
      <w:r w:rsidR="00B12CB7" w:rsidRPr="00B74B0F">
        <w:rPr>
          <w:szCs w:val="22"/>
          <w:lang w:val="sr-Latn-ME"/>
        </w:rPr>
        <w:t xml:space="preserve">znacima </w:t>
      </w:r>
      <w:r w:rsidR="00542622" w:rsidRPr="00B74B0F">
        <w:rPr>
          <w:szCs w:val="22"/>
          <w:lang w:val="sr-Latn-ME"/>
        </w:rPr>
        <w:t>upale koji se manifestuju povišenom vrijednosti C-reaktivnog proteina (CRP) i/ili su potvrđeni snimkom magnetne rezonance (MR), koji ni</w:t>
      </w:r>
      <w:r w:rsidR="00B12CB7" w:rsidRPr="00B74B0F">
        <w:rPr>
          <w:szCs w:val="22"/>
          <w:lang w:val="sr-Latn-ME"/>
        </w:rPr>
        <w:t>je</w:t>
      </w:r>
      <w:r w:rsidR="00542622" w:rsidRPr="00B74B0F">
        <w:rPr>
          <w:szCs w:val="22"/>
          <w:lang w:val="sr-Latn-ME"/>
        </w:rPr>
        <w:t>su dovoljno dobro odgovorili na nesteroidne antiinflamatorne ljekove (NSAIL).</w:t>
      </w:r>
    </w:p>
    <w:p w14:paraId="5610BA7F" w14:textId="77777777" w:rsidR="000854C9" w:rsidRPr="00B74B0F" w:rsidRDefault="000854C9" w:rsidP="0069063B">
      <w:pPr>
        <w:spacing w:line="240" w:lineRule="auto"/>
        <w:contextualSpacing/>
        <w:jc w:val="both"/>
        <w:rPr>
          <w:szCs w:val="22"/>
          <w:lang w:val="sr-Latn-ME"/>
        </w:rPr>
      </w:pPr>
    </w:p>
    <w:p w14:paraId="272B1D72" w14:textId="34F126B9" w:rsidR="003C15AB" w:rsidRPr="00B74B0F" w:rsidRDefault="003C15AB" w:rsidP="0069063B">
      <w:pPr>
        <w:spacing w:line="240" w:lineRule="auto"/>
        <w:contextualSpacing/>
        <w:jc w:val="both"/>
        <w:rPr>
          <w:szCs w:val="22"/>
          <w:u w:val="single"/>
          <w:lang w:val="sr-Latn-ME"/>
        </w:rPr>
      </w:pPr>
      <w:r w:rsidRPr="00B74B0F">
        <w:rPr>
          <w:i/>
          <w:szCs w:val="22"/>
          <w:u w:val="single"/>
          <w:lang w:val="sr-Latn-ME"/>
        </w:rPr>
        <w:t>Ankilozni spondilitis</w:t>
      </w:r>
      <w:r w:rsidR="00542622" w:rsidRPr="00B74B0F">
        <w:rPr>
          <w:i/>
          <w:szCs w:val="22"/>
          <w:u w:val="single"/>
          <w:lang w:val="sr-Latn-ME"/>
        </w:rPr>
        <w:t xml:space="preserve"> </w:t>
      </w:r>
      <w:r w:rsidR="00542622" w:rsidRPr="00B74B0F">
        <w:rPr>
          <w:i/>
          <w:iCs/>
          <w:szCs w:val="22"/>
          <w:u w:val="single"/>
          <w:lang w:val="sr-Latn-ME"/>
        </w:rPr>
        <w:t>(AS, radiografski aksijalni spondiloartritis)</w:t>
      </w:r>
    </w:p>
    <w:p w14:paraId="3C15539D" w14:textId="44CB7843" w:rsidR="003C15AB" w:rsidRPr="00B74B0F" w:rsidRDefault="003C15AB" w:rsidP="0069063B">
      <w:pPr>
        <w:spacing w:line="240" w:lineRule="auto"/>
        <w:contextualSpacing/>
        <w:jc w:val="both"/>
        <w:rPr>
          <w:szCs w:val="22"/>
          <w:lang w:val="sr-Latn-ME"/>
        </w:rPr>
      </w:pPr>
      <w:r w:rsidRPr="00B74B0F">
        <w:rPr>
          <w:szCs w:val="22"/>
          <w:lang w:val="sr-Latn-ME"/>
        </w:rPr>
        <w:t>Lijek RINVOQ je indi</w:t>
      </w:r>
      <w:r w:rsidR="00744DCE" w:rsidRPr="00B74B0F">
        <w:rPr>
          <w:szCs w:val="22"/>
          <w:lang w:val="sr-Latn-ME"/>
        </w:rPr>
        <w:t>kov</w:t>
      </w:r>
      <w:r w:rsidRPr="00B74B0F">
        <w:rPr>
          <w:szCs w:val="22"/>
          <w:lang w:val="sr-Latn-ME"/>
        </w:rPr>
        <w:t xml:space="preserve">an za liječenje aktivnog ankiloznog spondilitisa kod odraslih </w:t>
      </w:r>
      <w:r w:rsidR="00744DCE" w:rsidRPr="00B74B0F">
        <w:rPr>
          <w:szCs w:val="22"/>
          <w:lang w:val="sr-Latn-ME"/>
        </w:rPr>
        <w:t>pacijenata</w:t>
      </w:r>
      <w:r w:rsidRPr="00B74B0F">
        <w:rPr>
          <w:szCs w:val="22"/>
          <w:lang w:val="sr-Latn-ME"/>
        </w:rPr>
        <w:t xml:space="preserve"> koji ni</w:t>
      </w:r>
      <w:r w:rsidR="00B12CB7" w:rsidRPr="00B74B0F">
        <w:rPr>
          <w:szCs w:val="22"/>
          <w:lang w:val="sr-Latn-ME"/>
        </w:rPr>
        <w:t>je</w:t>
      </w:r>
      <w:r w:rsidRPr="00B74B0F">
        <w:rPr>
          <w:szCs w:val="22"/>
          <w:lang w:val="sr-Latn-ME"/>
        </w:rPr>
        <w:t>su dovoljno dobro odgovorili na konvencionalnu terapiju.</w:t>
      </w:r>
    </w:p>
    <w:p w14:paraId="19358687" w14:textId="77777777" w:rsidR="003C15AB" w:rsidRPr="00B74B0F" w:rsidRDefault="003C15AB" w:rsidP="0069063B">
      <w:pPr>
        <w:spacing w:line="240" w:lineRule="auto"/>
        <w:contextualSpacing/>
        <w:jc w:val="both"/>
        <w:rPr>
          <w:szCs w:val="22"/>
          <w:lang w:val="sr-Latn-ME"/>
        </w:rPr>
      </w:pPr>
    </w:p>
    <w:p w14:paraId="420B70C7" w14:textId="77777777" w:rsidR="00B54A40" w:rsidRPr="00B74B0F" w:rsidRDefault="00B54A40" w:rsidP="0069063B">
      <w:pPr>
        <w:widowControl w:val="0"/>
        <w:tabs>
          <w:tab w:val="clear" w:pos="567"/>
        </w:tabs>
        <w:spacing w:line="240" w:lineRule="auto"/>
        <w:jc w:val="both"/>
        <w:rPr>
          <w:noProof/>
          <w:szCs w:val="22"/>
          <w:u w:val="single"/>
          <w:lang w:val="sr-Latn-ME"/>
        </w:rPr>
      </w:pPr>
      <w:r w:rsidRPr="00B74B0F">
        <w:rPr>
          <w:noProof/>
          <w:szCs w:val="22"/>
          <w:u w:val="single"/>
          <w:lang w:val="sr-Latn-ME"/>
        </w:rPr>
        <w:t>Atopijski dermatitis</w:t>
      </w:r>
    </w:p>
    <w:p w14:paraId="4BF24787" w14:textId="77777777" w:rsidR="00B54A40" w:rsidRPr="00B74B0F" w:rsidRDefault="00B54A40" w:rsidP="0069063B">
      <w:pPr>
        <w:widowControl w:val="0"/>
        <w:tabs>
          <w:tab w:val="clear" w:pos="567"/>
        </w:tabs>
        <w:spacing w:line="240" w:lineRule="auto"/>
        <w:jc w:val="both"/>
        <w:rPr>
          <w:noProof/>
          <w:szCs w:val="22"/>
          <w:lang w:val="sr-Latn-ME"/>
        </w:rPr>
      </w:pPr>
    </w:p>
    <w:p w14:paraId="28AED997" w14:textId="5796B2B5" w:rsidR="00B54A40" w:rsidRPr="00B74B0F" w:rsidRDefault="00181F44" w:rsidP="0069063B">
      <w:pPr>
        <w:widowControl w:val="0"/>
        <w:tabs>
          <w:tab w:val="clear" w:pos="567"/>
        </w:tabs>
        <w:spacing w:line="240" w:lineRule="auto"/>
        <w:jc w:val="both"/>
        <w:rPr>
          <w:noProof/>
          <w:szCs w:val="22"/>
          <w:lang w:val="sr-Latn-ME"/>
        </w:rPr>
      </w:pPr>
      <w:r w:rsidRPr="00B74B0F">
        <w:rPr>
          <w:noProof/>
          <w:szCs w:val="22"/>
          <w:lang w:val="sr-Latn-ME"/>
        </w:rPr>
        <w:t xml:space="preserve">Lijek </w:t>
      </w:r>
      <w:r w:rsidR="00B54A40" w:rsidRPr="00B74B0F">
        <w:rPr>
          <w:noProof/>
          <w:szCs w:val="22"/>
          <w:lang w:val="sr-Latn-ME"/>
        </w:rPr>
        <w:t xml:space="preserve">RINVOQ je indikovan za liječenje umjerenog do teškog atopijskog dermatitisa </w:t>
      </w:r>
      <w:r w:rsidR="00B12CB7" w:rsidRPr="00B74B0F">
        <w:rPr>
          <w:noProof/>
          <w:szCs w:val="22"/>
          <w:lang w:val="sr-Latn-ME"/>
        </w:rPr>
        <w:t>kod</w:t>
      </w:r>
      <w:r w:rsidR="00B54A40" w:rsidRPr="00B74B0F">
        <w:rPr>
          <w:noProof/>
          <w:szCs w:val="22"/>
          <w:lang w:val="sr-Latn-ME"/>
        </w:rPr>
        <w:t xml:space="preserve"> odraslih i adolescenata </w:t>
      </w:r>
      <w:r w:rsidRPr="00B74B0F">
        <w:rPr>
          <w:noProof/>
          <w:szCs w:val="22"/>
          <w:lang w:val="sr-Latn-ME"/>
        </w:rPr>
        <w:t>uzrasta</w:t>
      </w:r>
      <w:r w:rsidR="00B54A40" w:rsidRPr="00B74B0F">
        <w:rPr>
          <w:noProof/>
          <w:szCs w:val="22"/>
          <w:lang w:val="sr-Latn-ME"/>
        </w:rPr>
        <w:t xml:space="preserve"> od 12 i više godina koji su kandidati za sistemsku terapiju.</w:t>
      </w:r>
    </w:p>
    <w:p w14:paraId="56DE3DA3" w14:textId="77777777" w:rsidR="00B54A40" w:rsidRPr="00B74B0F" w:rsidRDefault="00B54A40" w:rsidP="0069063B">
      <w:pPr>
        <w:widowControl w:val="0"/>
        <w:tabs>
          <w:tab w:val="clear" w:pos="567"/>
        </w:tabs>
        <w:spacing w:line="240" w:lineRule="auto"/>
        <w:jc w:val="both"/>
        <w:rPr>
          <w:szCs w:val="22"/>
          <w:u w:val="single"/>
          <w:lang w:val="sr-Latn-ME"/>
        </w:rPr>
      </w:pPr>
    </w:p>
    <w:p w14:paraId="26EF7081" w14:textId="77777777" w:rsidR="00B54A40" w:rsidRPr="00B74B0F" w:rsidRDefault="00B54A40" w:rsidP="0069063B">
      <w:pPr>
        <w:widowControl w:val="0"/>
        <w:tabs>
          <w:tab w:val="clear" w:pos="567"/>
        </w:tabs>
        <w:spacing w:line="240" w:lineRule="auto"/>
        <w:jc w:val="both"/>
        <w:rPr>
          <w:szCs w:val="22"/>
          <w:u w:val="single"/>
          <w:lang w:val="sr-Latn-ME"/>
        </w:rPr>
      </w:pPr>
      <w:r w:rsidRPr="00B74B0F">
        <w:rPr>
          <w:szCs w:val="22"/>
          <w:u w:val="single"/>
          <w:lang w:val="sr-Latn-ME"/>
        </w:rPr>
        <w:t>Ulcerozni kolitis</w:t>
      </w:r>
    </w:p>
    <w:p w14:paraId="4ABBD9FB" w14:textId="77777777" w:rsidR="00B54A40" w:rsidRPr="00B74B0F" w:rsidRDefault="00B54A40" w:rsidP="0069063B">
      <w:pPr>
        <w:widowControl w:val="0"/>
        <w:tabs>
          <w:tab w:val="clear" w:pos="567"/>
        </w:tabs>
        <w:spacing w:line="240" w:lineRule="auto"/>
        <w:jc w:val="both"/>
        <w:rPr>
          <w:szCs w:val="22"/>
          <w:lang w:val="sr-Latn-ME"/>
        </w:rPr>
      </w:pPr>
    </w:p>
    <w:p w14:paraId="23A65936" w14:textId="5962993C" w:rsidR="00B54A40" w:rsidRPr="00B74B0F" w:rsidRDefault="00181F44" w:rsidP="0069063B">
      <w:pPr>
        <w:widowControl w:val="0"/>
        <w:tabs>
          <w:tab w:val="clear" w:pos="567"/>
        </w:tabs>
        <w:spacing w:line="240" w:lineRule="auto"/>
        <w:jc w:val="both"/>
        <w:rPr>
          <w:szCs w:val="22"/>
          <w:lang w:val="sr-Latn-ME"/>
        </w:rPr>
      </w:pPr>
      <w:r w:rsidRPr="00B74B0F">
        <w:rPr>
          <w:szCs w:val="22"/>
          <w:lang w:val="sr-Latn-ME"/>
        </w:rPr>
        <w:t xml:space="preserve">Lijek </w:t>
      </w:r>
      <w:r w:rsidR="00B54A40" w:rsidRPr="00B74B0F">
        <w:rPr>
          <w:szCs w:val="22"/>
          <w:lang w:val="sr-Latn-ME"/>
        </w:rPr>
        <w:t>RINVOQ je indi</w:t>
      </w:r>
      <w:r w:rsidR="00B12CB7" w:rsidRPr="00B74B0F">
        <w:rPr>
          <w:szCs w:val="22"/>
          <w:lang w:val="sr-Latn-ME"/>
        </w:rPr>
        <w:t>kovan</w:t>
      </w:r>
      <w:r w:rsidR="00B54A40" w:rsidRPr="00B74B0F">
        <w:rPr>
          <w:szCs w:val="22"/>
          <w:lang w:val="sr-Latn-ME"/>
        </w:rPr>
        <w:t xml:space="preserve"> za liječenje odraslih </w:t>
      </w:r>
      <w:r w:rsidR="00181042" w:rsidRPr="00B74B0F">
        <w:rPr>
          <w:szCs w:val="22"/>
          <w:lang w:val="sr-Latn-ME"/>
        </w:rPr>
        <w:t>pacijenata</w:t>
      </w:r>
      <w:r w:rsidR="00B54A40" w:rsidRPr="00B74B0F">
        <w:rPr>
          <w:szCs w:val="22"/>
          <w:lang w:val="sr-Latn-ME"/>
        </w:rPr>
        <w:t xml:space="preserve"> s</w:t>
      </w:r>
      <w:r w:rsidRPr="00B74B0F">
        <w:rPr>
          <w:szCs w:val="22"/>
          <w:lang w:val="sr-Latn-ME"/>
        </w:rPr>
        <w:t>a</w:t>
      </w:r>
      <w:r w:rsidR="00B54A40" w:rsidRPr="00B74B0F">
        <w:rPr>
          <w:szCs w:val="22"/>
          <w:lang w:val="sr-Latn-ME"/>
        </w:rPr>
        <w:t xml:space="preserve"> umjereno do teško aktivnim ulceroznim kolitisom koji su imali neodgovarajući odgovor, gubitak odgovora ili nepodnošljivost konvencionalnog liječenja ili biološkog lijeka.</w:t>
      </w:r>
    </w:p>
    <w:p w14:paraId="7CF269CF" w14:textId="5B911EA8" w:rsidR="00931DFE" w:rsidRPr="00B74B0F" w:rsidRDefault="00931DFE" w:rsidP="0069063B">
      <w:pPr>
        <w:spacing w:line="240" w:lineRule="auto"/>
        <w:contextualSpacing/>
        <w:jc w:val="both"/>
        <w:rPr>
          <w:szCs w:val="22"/>
          <w:lang w:val="sr-Latn-ME"/>
        </w:rPr>
      </w:pPr>
    </w:p>
    <w:p w14:paraId="1DD41FCE" w14:textId="77777777" w:rsidR="002C7CC5" w:rsidRPr="00B74B0F" w:rsidRDefault="002C7CC5" w:rsidP="00A30C3C">
      <w:pPr>
        <w:widowControl w:val="0"/>
        <w:tabs>
          <w:tab w:val="clear" w:pos="567"/>
        </w:tabs>
        <w:spacing w:line="240" w:lineRule="auto"/>
        <w:jc w:val="both"/>
        <w:rPr>
          <w:noProof/>
          <w:szCs w:val="22"/>
          <w:u w:val="single"/>
          <w:lang w:val="sr-Latn-ME"/>
        </w:rPr>
      </w:pPr>
      <w:r w:rsidRPr="00B74B0F">
        <w:rPr>
          <w:noProof/>
          <w:szCs w:val="22"/>
          <w:u w:val="single"/>
          <w:lang w:val="sr-Latn-ME"/>
        </w:rPr>
        <w:t>Crohnova bolest</w:t>
      </w:r>
    </w:p>
    <w:p w14:paraId="6DD4D768" w14:textId="77777777" w:rsidR="002C7CC5" w:rsidRPr="00B74B0F" w:rsidRDefault="002C7CC5" w:rsidP="00A30C3C">
      <w:pPr>
        <w:widowControl w:val="0"/>
        <w:tabs>
          <w:tab w:val="clear" w:pos="567"/>
        </w:tabs>
        <w:spacing w:line="240" w:lineRule="auto"/>
        <w:jc w:val="both"/>
        <w:rPr>
          <w:noProof/>
          <w:szCs w:val="22"/>
          <w:lang w:val="sr-Latn-ME"/>
        </w:rPr>
      </w:pPr>
    </w:p>
    <w:p w14:paraId="1958AC1E" w14:textId="3C43D0ED" w:rsidR="002C7CC5" w:rsidRPr="00B74B0F" w:rsidRDefault="00181F44" w:rsidP="00A30C3C">
      <w:pPr>
        <w:widowControl w:val="0"/>
        <w:tabs>
          <w:tab w:val="clear" w:pos="567"/>
        </w:tabs>
        <w:spacing w:line="240" w:lineRule="auto"/>
        <w:jc w:val="both"/>
        <w:rPr>
          <w:noProof/>
          <w:szCs w:val="22"/>
          <w:lang w:val="sr-Latn-ME"/>
        </w:rPr>
      </w:pPr>
      <w:r w:rsidRPr="00B74B0F">
        <w:rPr>
          <w:noProof/>
          <w:szCs w:val="22"/>
          <w:lang w:val="sr-Latn-ME"/>
        </w:rPr>
        <w:t xml:space="preserve">Lijek </w:t>
      </w:r>
      <w:r w:rsidR="002C7CC5" w:rsidRPr="00B74B0F">
        <w:rPr>
          <w:noProof/>
          <w:szCs w:val="22"/>
          <w:lang w:val="sr-Latn-ME"/>
        </w:rPr>
        <w:t>RINVOQ je indi</w:t>
      </w:r>
      <w:r w:rsidR="0069063B" w:rsidRPr="00B74B0F">
        <w:rPr>
          <w:noProof/>
          <w:szCs w:val="22"/>
          <w:lang w:val="sr-Latn-ME"/>
        </w:rPr>
        <w:t>kov</w:t>
      </w:r>
      <w:r w:rsidR="002C7CC5" w:rsidRPr="00B74B0F">
        <w:rPr>
          <w:noProof/>
          <w:szCs w:val="22"/>
          <w:lang w:val="sr-Latn-ME"/>
        </w:rPr>
        <w:t xml:space="preserve">an za liječenje odraslih </w:t>
      </w:r>
      <w:r w:rsidR="0025211A" w:rsidRPr="00B74B0F">
        <w:rPr>
          <w:noProof/>
          <w:szCs w:val="22"/>
          <w:lang w:val="sr-Latn-ME"/>
        </w:rPr>
        <w:t>pacijenata</w:t>
      </w:r>
      <w:r w:rsidR="002C7CC5" w:rsidRPr="00B74B0F">
        <w:rPr>
          <w:noProof/>
          <w:szCs w:val="22"/>
          <w:lang w:val="sr-Latn-ME"/>
        </w:rPr>
        <w:t xml:space="preserve"> s</w:t>
      </w:r>
      <w:r w:rsidRPr="00B74B0F">
        <w:rPr>
          <w:noProof/>
          <w:szCs w:val="22"/>
          <w:lang w:val="sr-Latn-ME"/>
        </w:rPr>
        <w:t>a</w:t>
      </w:r>
      <w:r w:rsidR="002C7CC5" w:rsidRPr="00B74B0F">
        <w:rPr>
          <w:noProof/>
          <w:szCs w:val="22"/>
          <w:lang w:val="sr-Latn-ME"/>
        </w:rPr>
        <w:t xml:space="preserve"> umjereno do teško aktivnom Crohnovom bolešću koji su imali neadekvatan odgovor, gubitak odgovora ili nepodnošljivost konvencionalnog liječenja ili biološkog lijeka.</w:t>
      </w:r>
    </w:p>
    <w:p w14:paraId="69520A64" w14:textId="77777777" w:rsidR="001D7EB3" w:rsidRPr="00B74B0F" w:rsidRDefault="001D7EB3">
      <w:pPr>
        <w:spacing w:line="240" w:lineRule="auto"/>
        <w:contextualSpacing/>
        <w:jc w:val="both"/>
        <w:rPr>
          <w:szCs w:val="22"/>
          <w:lang w:val="sr-Latn-ME"/>
        </w:rPr>
      </w:pPr>
    </w:p>
    <w:p w14:paraId="66143DBA" w14:textId="77777777" w:rsidR="00812D16" w:rsidRPr="00B74B0F" w:rsidRDefault="00906CF8">
      <w:pPr>
        <w:keepNext/>
        <w:spacing w:line="240" w:lineRule="auto"/>
        <w:ind w:left="567" w:hanging="567"/>
        <w:contextualSpacing/>
        <w:jc w:val="both"/>
        <w:outlineLvl w:val="0"/>
        <w:rPr>
          <w:noProof/>
          <w:szCs w:val="22"/>
          <w:lang w:val="sr-Latn-ME"/>
        </w:rPr>
      </w:pPr>
      <w:r w:rsidRPr="00B74B0F">
        <w:rPr>
          <w:b/>
          <w:szCs w:val="22"/>
          <w:lang w:val="sr-Latn-ME"/>
        </w:rPr>
        <w:t>4.2</w:t>
      </w:r>
      <w:r w:rsidRPr="00B74B0F">
        <w:rPr>
          <w:b/>
          <w:szCs w:val="22"/>
          <w:lang w:val="sr-Latn-ME"/>
        </w:rPr>
        <w:tab/>
        <w:t>Doziranje i način primjene</w:t>
      </w:r>
    </w:p>
    <w:p w14:paraId="3190F55E" w14:textId="77777777" w:rsidR="007334AD" w:rsidRPr="00B74B0F" w:rsidRDefault="007334AD">
      <w:pPr>
        <w:keepNext/>
        <w:spacing w:line="240" w:lineRule="auto"/>
        <w:contextualSpacing/>
        <w:jc w:val="both"/>
        <w:outlineLvl w:val="0"/>
        <w:rPr>
          <w:noProof/>
          <w:szCs w:val="22"/>
          <w:lang w:val="sr-Latn-ME"/>
        </w:rPr>
      </w:pPr>
    </w:p>
    <w:p w14:paraId="2D318E52" w14:textId="248D03C2" w:rsidR="00994B12" w:rsidRPr="00B74B0F" w:rsidRDefault="00906CF8">
      <w:pPr>
        <w:spacing w:line="240" w:lineRule="auto"/>
        <w:contextualSpacing/>
        <w:jc w:val="both"/>
        <w:outlineLvl w:val="0"/>
        <w:rPr>
          <w:szCs w:val="22"/>
          <w:lang w:val="sr-Latn-ME"/>
        </w:rPr>
      </w:pPr>
      <w:r w:rsidRPr="00B74B0F">
        <w:rPr>
          <w:szCs w:val="22"/>
          <w:lang w:val="sr-Latn-ME"/>
        </w:rPr>
        <w:t>Liječenje</w:t>
      </w:r>
      <w:r w:rsidR="00B55969" w:rsidRPr="00B74B0F">
        <w:rPr>
          <w:szCs w:val="22"/>
          <w:lang w:val="sr-Latn-ME"/>
        </w:rPr>
        <w:t xml:space="preserve"> </w:t>
      </w:r>
      <w:r w:rsidR="002D5D01" w:rsidRPr="00B74B0F">
        <w:rPr>
          <w:szCs w:val="22"/>
          <w:lang w:val="sr-Latn-ME"/>
        </w:rPr>
        <w:t>upadacitini</w:t>
      </w:r>
      <w:r w:rsidR="00B55969" w:rsidRPr="00B74B0F">
        <w:rPr>
          <w:szCs w:val="22"/>
          <w:lang w:val="sr-Latn-ME"/>
        </w:rPr>
        <w:t>b</w:t>
      </w:r>
      <w:r w:rsidR="00E41DF6" w:rsidRPr="00B74B0F">
        <w:rPr>
          <w:szCs w:val="22"/>
          <w:lang w:val="sr-Latn-ME"/>
        </w:rPr>
        <w:t>om</w:t>
      </w:r>
      <w:r w:rsidRPr="00B74B0F">
        <w:rPr>
          <w:szCs w:val="22"/>
          <w:lang w:val="sr-Latn-ME"/>
        </w:rPr>
        <w:t xml:space="preserve"> moraju započeti i </w:t>
      </w:r>
      <w:r w:rsidR="00B228C6" w:rsidRPr="00B74B0F">
        <w:rPr>
          <w:szCs w:val="22"/>
          <w:lang w:val="sr-Latn-ME"/>
        </w:rPr>
        <w:t>nadgledati</w:t>
      </w:r>
      <w:r w:rsidRPr="00B74B0F">
        <w:rPr>
          <w:szCs w:val="22"/>
          <w:lang w:val="sr-Latn-ME"/>
        </w:rPr>
        <w:t xml:space="preserve"> l</w:t>
      </w:r>
      <w:r w:rsidR="00B55969" w:rsidRPr="00B74B0F">
        <w:rPr>
          <w:szCs w:val="22"/>
          <w:lang w:val="sr-Latn-ME"/>
        </w:rPr>
        <w:t>j</w:t>
      </w:r>
      <w:r w:rsidR="00B228C6" w:rsidRPr="00B74B0F">
        <w:rPr>
          <w:szCs w:val="22"/>
          <w:lang w:val="sr-Latn-ME"/>
        </w:rPr>
        <w:t>e</w:t>
      </w:r>
      <w:r w:rsidR="00B55969" w:rsidRPr="00B74B0F">
        <w:rPr>
          <w:szCs w:val="22"/>
          <w:lang w:val="sr-Latn-ME"/>
        </w:rPr>
        <w:t>kari</w:t>
      </w:r>
      <w:r w:rsidRPr="00B74B0F">
        <w:rPr>
          <w:szCs w:val="22"/>
          <w:lang w:val="sr-Latn-ME"/>
        </w:rPr>
        <w:t xml:space="preserve"> s</w:t>
      </w:r>
      <w:r w:rsidR="005F1947" w:rsidRPr="00B74B0F">
        <w:rPr>
          <w:szCs w:val="22"/>
          <w:lang w:val="sr-Latn-ME"/>
        </w:rPr>
        <w:t>a</w:t>
      </w:r>
      <w:r w:rsidRPr="00B74B0F">
        <w:rPr>
          <w:szCs w:val="22"/>
          <w:lang w:val="sr-Latn-ME"/>
        </w:rPr>
        <w:t xml:space="preserve"> iskustvom u dijagnosti</w:t>
      </w:r>
      <w:r w:rsidR="00244314" w:rsidRPr="00B74B0F">
        <w:rPr>
          <w:szCs w:val="22"/>
          <w:lang w:val="sr-Latn-ME"/>
        </w:rPr>
        <w:t xml:space="preserve">kovanju </w:t>
      </w:r>
      <w:r w:rsidRPr="00B74B0F">
        <w:rPr>
          <w:szCs w:val="22"/>
          <w:lang w:val="sr-Latn-ME"/>
        </w:rPr>
        <w:t>i</w:t>
      </w:r>
      <w:r w:rsidR="00181F44" w:rsidRPr="00B74B0F">
        <w:rPr>
          <w:szCs w:val="22"/>
          <w:lang w:val="sr-Latn-ME"/>
        </w:rPr>
        <w:t xml:space="preserve"> liječenje</w:t>
      </w:r>
      <w:r w:rsidRPr="00B74B0F">
        <w:rPr>
          <w:szCs w:val="22"/>
          <w:lang w:val="sr-Latn-ME"/>
        </w:rPr>
        <w:t xml:space="preserve"> </w:t>
      </w:r>
      <w:r w:rsidR="00994B12" w:rsidRPr="00B74B0F">
        <w:rPr>
          <w:szCs w:val="22"/>
          <w:lang w:val="sr-Latn-ME"/>
        </w:rPr>
        <w:t>stanja za koja je indikovan upadacitinib.</w:t>
      </w:r>
    </w:p>
    <w:p w14:paraId="2CAB7CA8" w14:textId="77777777" w:rsidR="00812D16" w:rsidRPr="00B74B0F" w:rsidRDefault="00812D16">
      <w:pPr>
        <w:spacing w:line="240" w:lineRule="auto"/>
        <w:contextualSpacing/>
        <w:jc w:val="both"/>
        <w:rPr>
          <w:szCs w:val="22"/>
          <w:lang w:val="sr-Latn-ME"/>
        </w:rPr>
      </w:pPr>
    </w:p>
    <w:p w14:paraId="49D9F2F3" w14:textId="77777777" w:rsidR="003B714C" w:rsidRPr="00B74B0F" w:rsidRDefault="00906CF8">
      <w:pPr>
        <w:keepNext/>
        <w:spacing w:line="240" w:lineRule="auto"/>
        <w:contextualSpacing/>
        <w:jc w:val="both"/>
        <w:rPr>
          <w:szCs w:val="22"/>
          <w:u w:val="single"/>
          <w:lang w:val="sr-Latn-ME"/>
        </w:rPr>
      </w:pPr>
      <w:r w:rsidRPr="00B74B0F">
        <w:rPr>
          <w:szCs w:val="22"/>
          <w:u w:val="single"/>
          <w:lang w:val="sr-Latn-ME"/>
        </w:rPr>
        <w:t>Doziranje</w:t>
      </w:r>
    </w:p>
    <w:p w14:paraId="494A3DC7" w14:textId="691B73F4" w:rsidR="00EC7BCA" w:rsidRPr="00B74B0F" w:rsidRDefault="00EC7BCA">
      <w:pPr>
        <w:keepNext/>
        <w:spacing w:line="240" w:lineRule="auto"/>
        <w:contextualSpacing/>
        <w:jc w:val="both"/>
        <w:rPr>
          <w:i/>
          <w:szCs w:val="22"/>
          <w:lang w:val="sr-Latn-ME"/>
        </w:rPr>
      </w:pPr>
    </w:p>
    <w:p w14:paraId="5D3C44CF" w14:textId="2E004A47" w:rsidR="00542622" w:rsidRPr="00B74B0F" w:rsidRDefault="00542622">
      <w:pPr>
        <w:keepNext/>
        <w:spacing w:line="240" w:lineRule="auto"/>
        <w:contextualSpacing/>
        <w:jc w:val="both"/>
        <w:rPr>
          <w:iCs/>
          <w:szCs w:val="22"/>
          <w:u w:val="single"/>
          <w:lang w:val="sr-Latn-ME"/>
        </w:rPr>
      </w:pPr>
      <w:r w:rsidRPr="00B74B0F">
        <w:rPr>
          <w:iCs/>
          <w:szCs w:val="22"/>
          <w:u w:val="single"/>
          <w:lang w:val="sr-Latn-ME"/>
        </w:rPr>
        <w:t xml:space="preserve">Reumatoidni artritis, psorijatični artritis </w:t>
      </w:r>
      <w:r w:rsidR="00D469F5" w:rsidRPr="00B74B0F">
        <w:rPr>
          <w:iCs/>
          <w:szCs w:val="22"/>
          <w:u w:val="single"/>
          <w:lang w:val="sr-Latn-ME"/>
        </w:rPr>
        <w:t xml:space="preserve">i aksijalni spondiloartritis </w:t>
      </w:r>
    </w:p>
    <w:p w14:paraId="4030CB8B" w14:textId="739BD2BF" w:rsidR="000B035F" w:rsidRPr="00B74B0F" w:rsidRDefault="00906CF8">
      <w:pPr>
        <w:pStyle w:val="BulletText1"/>
        <w:numPr>
          <w:ilvl w:val="0"/>
          <w:numId w:val="0"/>
        </w:numPr>
        <w:contextualSpacing/>
        <w:jc w:val="both"/>
        <w:rPr>
          <w:szCs w:val="22"/>
          <w:lang w:val="sr-Latn-ME"/>
        </w:rPr>
      </w:pPr>
      <w:r w:rsidRPr="00B74B0F">
        <w:rPr>
          <w:szCs w:val="22"/>
          <w:lang w:val="sr-Latn-ME"/>
        </w:rPr>
        <w:t xml:space="preserve">Preporučena doza </w:t>
      </w:r>
      <w:r w:rsidR="002D5D01" w:rsidRPr="00B74B0F">
        <w:rPr>
          <w:szCs w:val="22"/>
          <w:lang w:val="sr-Latn-ME"/>
        </w:rPr>
        <w:t>upadacitinib</w:t>
      </w:r>
      <w:r w:rsidR="00181F44" w:rsidRPr="00B74B0F">
        <w:rPr>
          <w:szCs w:val="22"/>
          <w:lang w:val="sr-Latn-ME"/>
        </w:rPr>
        <w:t>a</w:t>
      </w:r>
      <w:r w:rsidRPr="00B74B0F">
        <w:rPr>
          <w:szCs w:val="22"/>
          <w:lang w:val="sr-Latn-ME"/>
        </w:rPr>
        <w:t xml:space="preserve"> je 15 mg jedn</w:t>
      </w:r>
      <w:r w:rsidR="00441195" w:rsidRPr="00B74B0F">
        <w:rPr>
          <w:szCs w:val="22"/>
          <w:lang w:val="sr-Latn-ME"/>
        </w:rPr>
        <w:t>om dnevno</w:t>
      </w:r>
      <w:r w:rsidRPr="00B74B0F">
        <w:rPr>
          <w:szCs w:val="22"/>
          <w:lang w:val="sr-Latn-ME"/>
        </w:rPr>
        <w:t>.</w:t>
      </w:r>
    </w:p>
    <w:p w14:paraId="6C146D3E" w14:textId="66AFD0C4" w:rsidR="001448CC" w:rsidRPr="00B74B0F" w:rsidRDefault="001448CC">
      <w:pPr>
        <w:pStyle w:val="BulletText1"/>
        <w:numPr>
          <w:ilvl w:val="0"/>
          <w:numId w:val="0"/>
        </w:numPr>
        <w:contextualSpacing/>
        <w:jc w:val="both"/>
        <w:rPr>
          <w:szCs w:val="22"/>
          <w:lang w:val="sr-Latn-ME"/>
        </w:rPr>
      </w:pPr>
    </w:p>
    <w:p w14:paraId="1369C4BD" w14:textId="7AAA34ED" w:rsidR="001448CC" w:rsidRPr="00B74B0F" w:rsidRDefault="001448CC">
      <w:pPr>
        <w:tabs>
          <w:tab w:val="clear" w:pos="567"/>
        </w:tabs>
        <w:spacing w:line="240" w:lineRule="auto"/>
        <w:contextualSpacing/>
        <w:jc w:val="both"/>
        <w:rPr>
          <w:color w:val="000000"/>
          <w:szCs w:val="22"/>
          <w:lang w:val="sr-Latn-ME"/>
        </w:rPr>
      </w:pPr>
      <w:r w:rsidRPr="00B74B0F">
        <w:rPr>
          <w:color w:val="000000"/>
          <w:szCs w:val="22"/>
          <w:lang w:val="sr-Latn-ME"/>
        </w:rPr>
        <w:lastRenderedPageBreak/>
        <w:t xml:space="preserve">Kod </w:t>
      </w:r>
      <w:r w:rsidR="00FA4F65" w:rsidRPr="00B74B0F">
        <w:rPr>
          <w:color w:val="000000"/>
          <w:szCs w:val="22"/>
          <w:lang w:val="sr-Latn-ME"/>
        </w:rPr>
        <w:t>pacijenat</w:t>
      </w:r>
      <w:r w:rsidRPr="00B74B0F">
        <w:rPr>
          <w:color w:val="000000"/>
          <w:szCs w:val="22"/>
          <w:lang w:val="sr-Latn-ME"/>
        </w:rPr>
        <w:t>a s</w:t>
      </w:r>
      <w:r w:rsidR="00FA4F65" w:rsidRPr="00B74B0F">
        <w:rPr>
          <w:color w:val="000000"/>
          <w:szCs w:val="22"/>
          <w:lang w:val="sr-Latn-ME"/>
        </w:rPr>
        <w:t>a</w:t>
      </w:r>
      <w:r w:rsidRPr="00B74B0F">
        <w:rPr>
          <w:color w:val="000000"/>
          <w:szCs w:val="22"/>
          <w:lang w:val="sr-Latn-ME"/>
        </w:rPr>
        <w:t xml:space="preserve"> </w:t>
      </w:r>
      <w:r w:rsidR="00542622" w:rsidRPr="00B74B0F">
        <w:rPr>
          <w:color w:val="000000"/>
          <w:szCs w:val="22"/>
          <w:lang w:val="sr-Latn-ME"/>
        </w:rPr>
        <w:t xml:space="preserve">aksijalnim spondiloartritisom </w:t>
      </w:r>
      <w:r w:rsidRPr="00B74B0F">
        <w:rPr>
          <w:color w:val="000000"/>
          <w:szCs w:val="22"/>
          <w:lang w:val="sr-Latn-ME"/>
        </w:rPr>
        <w:t xml:space="preserve">koji ne ostvare nikakav klinički odgovor nakon 16 </w:t>
      </w:r>
      <w:r w:rsidR="0093136D" w:rsidRPr="00B74B0F">
        <w:rPr>
          <w:color w:val="000000"/>
          <w:szCs w:val="22"/>
          <w:lang w:val="sr-Latn-ME"/>
        </w:rPr>
        <w:t>ned</w:t>
      </w:r>
      <w:r w:rsidR="00EC7239" w:rsidRPr="00B74B0F">
        <w:rPr>
          <w:color w:val="000000"/>
          <w:szCs w:val="22"/>
          <w:lang w:val="sr-Latn-ME"/>
        </w:rPr>
        <w:t>j</w:t>
      </w:r>
      <w:r w:rsidR="0093136D" w:rsidRPr="00B74B0F">
        <w:rPr>
          <w:color w:val="000000"/>
          <w:szCs w:val="22"/>
          <w:lang w:val="sr-Latn-ME"/>
        </w:rPr>
        <w:t>elj</w:t>
      </w:r>
      <w:r w:rsidRPr="00B74B0F">
        <w:rPr>
          <w:color w:val="000000"/>
          <w:szCs w:val="22"/>
          <w:lang w:val="sr-Latn-ME"/>
        </w:rPr>
        <w:t xml:space="preserve">a liječenja potrebno je razmotriti prekid liječenja. Nekim </w:t>
      </w:r>
      <w:r w:rsidR="00383C38" w:rsidRPr="00B74B0F">
        <w:rPr>
          <w:color w:val="000000"/>
          <w:szCs w:val="22"/>
          <w:lang w:val="sr-Latn-ME"/>
        </w:rPr>
        <w:t>pacijentim</w:t>
      </w:r>
      <w:r w:rsidRPr="00B74B0F">
        <w:rPr>
          <w:color w:val="000000"/>
          <w:szCs w:val="22"/>
          <w:lang w:val="sr-Latn-ME"/>
        </w:rPr>
        <w:t>a sa incijalnim parcijalnim odgovorom se stanje naknadno može poboljšati s</w:t>
      </w:r>
      <w:r w:rsidR="00E655B4" w:rsidRPr="00B74B0F">
        <w:rPr>
          <w:color w:val="000000"/>
          <w:szCs w:val="22"/>
          <w:lang w:val="sr-Latn-ME"/>
        </w:rPr>
        <w:t>a</w:t>
      </w:r>
      <w:r w:rsidRPr="00B74B0F">
        <w:rPr>
          <w:color w:val="000000"/>
          <w:szCs w:val="22"/>
          <w:lang w:val="sr-Latn-ME"/>
        </w:rPr>
        <w:t xml:space="preserve"> nastavkom liječenja nakon 16 </w:t>
      </w:r>
      <w:r w:rsidR="00E655B4" w:rsidRPr="00B74B0F">
        <w:rPr>
          <w:color w:val="000000"/>
          <w:szCs w:val="22"/>
          <w:lang w:val="sr-Latn-ME"/>
        </w:rPr>
        <w:t>ned</w:t>
      </w:r>
      <w:r w:rsidR="00EC7239" w:rsidRPr="00B74B0F">
        <w:rPr>
          <w:color w:val="000000"/>
          <w:szCs w:val="22"/>
          <w:lang w:val="sr-Latn-ME"/>
        </w:rPr>
        <w:t>j</w:t>
      </w:r>
      <w:r w:rsidR="00E655B4" w:rsidRPr="00B74B0F">
        <w:rPr>
          <w:color w:val="000000"/>
          <w:szCs w:val="22"/>
          <w:lang w:val="sr-Latn-ME"/>
        </w:rPr>
        <w:t>elja</w:t>
      </w:r>
      <w:r w:rsidRPr="00B74B0F">
        <w:rPr>
          <w:color w:val="000000"/>
          <w:szCs w:val="22"/>
          <w:lang w:val="sr-Latn-ME"/>
        </w:rPr>
        <w:t>.</w:t>
      </w:r>
    </w:p>
    <w:p w14:paraId="01E8E91E" w14:textId="5F43C551" w:rsidR="001448CC" w:rsidRPr="00B74B0F" w:rsidRDefault="001448CC">
      <w:pPr>
        <w:pStyle w:val="BulletText1"/>
        <w:numPr>
          <w:ilvl w:val="0"/>
          <w:numId w:val="0"/>
        </w:numPr>
        <w:contextualSpacing/>
        <w:jc w:val="both"/>
        <w:rPr>
          <w:szCs w:val="22"/>
          <w:lang w:val="sr-Latn-ME"/>
        </w:rPr>
      </w:pPr>
    </w:p>
    <w:p w14:paraId="6EBD0E9B" w14:textId="77777777" w:rsidR="00B54A40" w:rsidRPr="00B74B0F" w:rsidRDefault="00B54A40">
      <w:pPr>
        <w:keepNext/>
        <w:keepLines/>
        <w:tabs>
          <w:tab w:val="clear" w:pos="567"/>
        </w:tabs>
        <w:autoSpaceDE w:val="0"/>
        <w:autoSpaceDN w:val="0"/>
        <w:adjustRightInd w:val="0"/>
        <w:spacing w:line="240" w:lineRule="auto"/>
        <w:jc w:val="both"/>
        <w:rPr>
          <w:iCs/>
          <w:noProof/>
          <w:szCs w:val="22"/>
          <w:u w:val="single"/>
          <w:lang w:val="sr-Latn-ME"/>
        </w:rPr>
      </w:pPr>
      <w:r w:rsidRPr="00B74B0F">
        <w:rPr>
          <w:iCs/>
          <w:noProof/>
          <w:szCs w:val="22"/>
          <w:u w:val="single"/>
          <w:lang w:val="sr-Latn-ME"/>
        </w:rPr>
        <w:t>Atopijski dermatitis</w:t>
      </w:r>
    </w:p>
    <w:p w14:paraId="52FDD5FF" w14:textId="5177C75B" w:rsidR="00B54A40" w:rsidRPr="002B0F89" w:rsidRDefault="00B54A40">
      <w:pPr>
        <w:widowControl w:val="0"/>
        <w:tabs>
          <w:tab w:val="clear" w:pos="567"/>
        </w:tabs>
        <w:spacing w:line="240" w:lineRule="auto"/>
        <w:jc w:val="both"/>
        <w:rPr>
          <w:iCs/>
          <w:noProof/>
          <w:szCs w:val="22"/>
          <w:u w:val="single"/>
          <w:lang w:val="sr-Latn-ME"/>
        </w:rPr>
      </w:pPr>
    </w:p>
    <w:p w14:paraId="6F0784A8" w14:textId="669AD4DC" w:rsidR="00B54A40" w:rsidRPr="00B74B0F" w:rsidRDefault="00B54A40">
      <w:pPr>
        <w:widowControl w:val="0"/>
        <w:tabs>
          <w:tab w:val="clear" w:pos="567"/>
        </w:tabs>
        <w:spacing w:line="240" w:lineRule="auto"/>
        <w:jc w:val="both"/>
        <w:rPr>
          <w:noProof/>
          <w:szCs w:val="22"/>
          <w:lang w:val="sr-Latn-ME"/>
        </w:rPr>
      </w:pPr>
      <w:r w:rsidRPr="00B74B0F">
        <w:rPr>
          <w:noProof/>
          <w:szCs w:val="22"/>
          <w:lang w:val="sr-Latn-ME"/>
        </w:rPr>
        <w:t>Preporučena doza upadacitiniba je 15 mg ili 30 mg jedanput na dan</w:t>
      </w:r>
      <w:r w:rsidR="008A5A17">
        <w:rPr>
          <w:noProof/>
          <w:szCs w:val="22"/>
          <w:lang w:val="sr-Latn-ME"/>
        </w:rPr>
        <w:t>,</w:t>
      </w:r>
      <w:r w:rsidRPr="00B74B0F">
        <w:rPr>
          <w:noProof/>
          <w:szCs w:val="22"/>
          <w:lang w:val="sr-Latn-ME"/>
        </w:rPr>
        <w:t xml:space="preserve"> na </w:t>
      </w:r>
      <w:r w:rsidR="00181F44" w:rsidRPr="00B74B0F">
        <w:rPr>
          <w:noProof/>
          <w:szCs w:val="22"/>
          <w:lang w:val="sr-Latn-ME"/>
        </w:rPr>
        <w:t>osnovu</w:t>
      </w:r>
      <w:r w:rsidRPr="00B74B0F">
        <w:rPr>
          <w:noProof/>
          <w:szCs w:val="22"/>
          <w:lang w:val="sr-Latn-ME"/>
        </w:rPr>
        <w:t xml:space="preserve"> kliničke slike </w:t>
      </w:r>
      <w:r w:rsidR="00EC7239" w:rsidRPr="00B74B0F">
        <w:rPr>
          <w:noProof/>
          <w:szCs w:val="22"/>
          <w:lang w:val="sr-Latn-ME"/>
        </w:rPr>
        <w:t xml:space="preserve">za svakog </w:t>
      </w:r>
      <w:r w:rsidR="00401C22" w:rsidRPr="00B74B0F">
        <w:rPr>
          <w:noProof/>
          <w:szCs w:val="22"/>
          <w:lang w:val="sr-Latn-ME"/>
        </w:rPr>
        <w:t>pacijenta</w:t>
      </w:r>
      <w:r w:rsidRPr="00B74B0F">
        <w:rPr>
          <w:noProof/>
          <w:szCs w:val="22"/>
          <w:lang w:val="sr-Latn-ME"/>
        </w:rPr>
        <w:t>.</w:t>
      </w:r>
    </w:p>
    <w:p w14:paraId="0E7905E3" w14:textId="77777777" w:rsidR="00B54A40" w:rsidRPr="00B74B0F" w:rsidRDefault="00B54A40">
      <w:pPr>
        <w:widowControl w:val="0"/>
        <w:tabs>
          <w:tab w:val="clear" w:pos="567"/>
        </w:tabs>
        <w:spacing w:line="240" w:lineRule="auto"/>
        <w:jc w:val="both"/>
        <w:rPr>
          <w:noProof/>
          <w:szCs w:val="22"/>
          <w:lang w:val="sr-Latn-ME"/>
        </w:rPr>
      </w:pPr>
    </w:p>
    <w:p w14:paraId="5F4D9ECA" w14:textId="15452945" w:rsidR="006528EC" w:rsidRPr="00B74B0F" w:rsidRDefault="006528EC" w:rsidP="005502DD">
      <w:pPr>
        <w:numPr>
          <w:ilvl w:val="0"/>
          <w:numId w:val="47"/>
        </w:numPr>
        <w:spacing w:line="240" w:lineRule="auto"/>
        <w:jc w:val="both"/>
        <w:rPr>
          <w:noProof/>
          <w:szCs w:val="22"/>
          <w:lang w:val="sr-Latn-ME"/>
        </w:rPr>
      </w:pPr>
      <w:r w:rsidRPr="00B74B0F">
        <w:rPr>
          <w:noProof/>
          <w:szCs w:val="22"/>
          <w:lang w:val="sr-Latn-ME"/>
        </w:rPr>
        <w:t>Doza od 15 mg preporučuje se pacijentima sa većim rizikom od venske tromboembolije</w:t>
      </w:r>
      <w:r w:rsidR="00181F44" w:rsidRPr="00B74B0F">
        <w:rPr>
          <w:noProof/>
          <w:szCs w:val="22"/>
          <w:lang w:val="sr-Latn-ME"/>
        </w:rPr>
        <w:t xml:space="preserve"> (VTE)</w:t>
      </w:r>
      <w:r w:rsidRPr="00B74B0F">
        <w:rPr>
          <w:noProof/>
          <w:szCs w:val="22"/>
          <w:lang w:val="sr-Latn-ME"/>
        </w:rPr>
        <w:t xml:space="preserve">, </w:t>
      </w:r>
      <w:r w:rsidR="00181F44" w:rsidRPr="00B74B0F">
        <w:rPr>
          <w:noProof/>
          <w:szCs w:val="22"/>
          <w:lang w:val="sr-Latn-ME"/>
        </w:rPr>
        <w:t xml:space="preserve">velikih kardiovaskularnih neželjenih događaja (engl. </w:t>
      </w:r>
      <w:r w:rsidR="00181F44" w:rsidRPr="00B74B0F">
        <w:rPr>
          <w:i/>
          <w:noProof/>
          <w:szCs w:val="22"/>
          <w:lang w:val="sr-Latn-ME"/>
        </w:rPr>
        <w:t>major adverse cardiovascular event</w:t>
      </w:r>
      <w:r w:rsidR="00181F44" w:rsidRPr="00B74B0F">
        <w:rPr>
          <w:noProof/>
          <w:szCs w:val="22"/>
          <w:lang w:val="sr-Latn-ME"/>
        </w:rPr>
        <w:t>, MACE)</w:t>
      </w:r>
      <w:r w:rsidRPr="00B74B0F">
        <w:rPr>
          <w:noProof/>
          <w:szCs w:val="22"/>
          <w:lang w:val="sr-Latn-ME"/>
        </w:rPr>
        <w:t xml:space="preserve"> i malignitet</w:t>
      </w:r>
      <w:r w:rsidR="00181F44" w:rsidRPr="00B74B0F">
        <w:rPr>
          <w:noProof/>
          <w:szCs w:val="22"/>
          <w:lang w:val="sr-Latn-ME"/>
        </w:rPr>
        <w:t>a</w:t>
      </w:r>
      <w:r w:rsidRPr="00B74B0F">
        <w:rPr>
          <w:noProof/>
          <w:szCs w:val="22"/>
          <w:lang w:val="sr-Latn-ME"/>
        </w:rPr>
        <w:t xml:space="preserve"> (vidjeti dio 4.4). </w:t>
      </w:r>
    </w:p>
    <w:p w14:paraId="53E39BD2" w14:textId="67B33B53" w:rsidR="00B54A40" w:rsidRDefault="00B54A40">
      <w:pPr>
        <w:numPr>
          <w:ilvl w:val="0"/>
          <w:numId w:val="47"/>
        </w:numPr>
        <w:spacing w:line="240" w:lineRule="auto"/>
        <w:jc w:val="both"/>
        <w:rPr>
          <w:noProof/>
          <w:szCs w:val="22"/>
          <w:lang w:val="sr-Latn-ME"/>
        </w:rPr>
      </w:pPr>
      <w:r w:rsidRPr="00B74B0F">
        <w:rPr>
          <w:noProof/>
          <w:szCs w:val="22"/>
          <w:lang w:val="sr-Latn-ME"/>
        </w:rPr>
        <w:t xml:space="preserve">Doza od 30 mg jedanput na dan može biti prikladna za </w:t>
      </w:r>
      <w:r w:rsidR="00401C22" w:rsidRPr="00B74B0F">
        <w:rPr>
          <w:noProof/>
          <w:szCs w:val="22"/>
          <w:lang w:val="sr-Latn-ME"/>
        </w:rPr>
        <w:t>pacijente</w:t>
      </w:r>
      <w:r w:rsidRPr="00B74B0F">
        <w:rPr>
          <w:noProof/>
          <w:szCs w:val="22"/>
          <w:lang w:val="sr-Latn-ME"/>
        </w:rPr>
        <w:t xml:space="preserve"> s</w:t>
      </w:r>
      <w:r w:rsidR="00181F44" w:rsidRPr="00B74B0F">
        <w:rPr>
          <w:noProof/>
          <w:szCs w:val="22"/>
          <w:lang w:val="sr-Latn-ME"/>
        </w:rPr>
        <w:t>a</w:t>
      </w:r>
      <w:r w:rsidRPr="00B74B0F">
        <w:rPr>
          <w:noProof/>
          <w:szCs w:val="22"/>
          <w:lang w:val="sr-Latn-ME"/>
        </w:rPr>
        <w:t xml:space="preserve"> visokim opterećenjem bolešću (engl. </w:t>
      </w:r>
      <w:r w:rsidRPr="00B74B0F">
        <w:rPr>
          <w:i/>
          <w:noProof/>
          <w:szCs w:val="22"/>
          <w:lang w:val="sr-Latn-ME"/>
        </w:rPr>
        <w:t>disease burden</w:t>
      </w:r>
      <w:r w:rsidRPr="00B74B0F">
        <w:rPr>
          <w:noProof/>
          <w:szCs w:val="22"/>
          <w:lang w:val="sr-Latn-ME"/>
        </w:rPr>
        <w:t>)</w:t>
      </w:r>
      <w:r w:rsidR="006528EC" w:rsidRPr="00B74B0F">
        <w:rPr>
          <w:noProof/>
          <w:szCs w:val="22"/>
          <w:lang w:val="sr-Latn-ME"/>
        </w:rPr>
        <w:t xml:space="preserve">, kod kojih ne postoji </w:t>
      </w:r>
      <w:r w:rsidR="00181F44" w:rsidRPr="00B74B0F">
        <w:rPr>
          <w:noProof/>
          <w:szCs w:val="22"/>
          <w:lang w:val="sr-Latn-ME"/>
        </w:rPr>
        <w:t>povećani</w:t>
      </w:r>
      <w:r w:rsidR="006528EC" w:rsidRPr="00B74B0F">
        <w:rPr>
          <w:noProof/>
          <w:szCs w:val="22"/>
          <w:lang w:val="sr-Latn-ME"/>
        </w:rPr>
        <w:t xml:space="preserve"> stepen rizika za vensku tromboemboliju, </w:t>
      </w:r>
      <w:r w:rsidR="00181F44" w:rsidRPr="00B74B0F">
        <w:rPr>
          <w:noProof/>
          <w:szCs w:val="22"/>
          <w:lang w:val="sr-Latn-ME"/>
        </w:rPr>
        <w:t>MACE</w:t>
      </w:r>
      <w:r w:rsidR="006528EC" w:rsidRPr="00B74B0F">
        <w:rPr>
          <w:noProof/>
          <w:szCs w:val="22"/>
          <w:lang w:val="sr-Latn-ME"/>
        </w:rPr>
        <w:t xml:space="preserve"> ili malignitet</w:t>
      </w:r>
      <w:r w:rsidR="00181F44" w:rsidRPr="00B74B0F">
        <w:rPr>
          <w:noProof/>
          <w:szCs w:val="22"/>
          <w:lang w:val="sr-Latn-ME"/>
        </w:rPr>
        <w:t>e</w:t>
      </w:r>
      <w:r w:rsidR="006528EC" w:rsidRPr="00B74B0F">
        <w:rPr>
          <w:noProof/>
          <w:szCs w:val="22"/>
          <w:lang w:val="sr-Latn-ME"/>
        </w:rPr>
        <w:t xml:space="preserve"> (vidjeti dio 4.4) ili kod pacijenata sa neadekvatnim odgovorom na liječenje dozom od 15 mg jednom dnevno</w:t>
      </w:r>
      <w:r w:rsidRPr="00B74B0F">
        <w:rPr>
          <w:noProof/>
          <w:szCs w:val="22"/>
          <w:lang w:val="sr-Latn-ME"/>
        </w:rPr>
        <w:t xml:space="preserve">. </w:t>
      </w:r>
    </w:p>
    <w:p w14:paraId="4803906F" w14:textId="0DEC2AFE" w:rsidR="00FC5734" w:rsidRPr="000B21BD" w:rsidRDefault="00FC5734" w:rsidP="00FC5734">
      <w:pPr>
        <w:numPr>
          <w:ilvl w:val="0"/>
          <w:numId w:val="47"/>
        </w:numPr>
        <w:spacing w:line="240" w:lineRule="auto"/>
        <w:jc w:val="both"/>
        <w:rPr>
          <w:noProof/>
          <w:szCs w:val="22"/>
          <w:lang w:val="es-ES"/>
        </w:rPr>
      </w:pPr>
      <w:r>
        <w:rPr>
          <w:noProof/>
          <w:szCs w:val="22"/>
          <w:lang w:val="es-ES"/>
        </w:rPr>
        <w:t>Za adolescente (</w:t>
      </w:r>
      <w:r w:rsidR="008A5A17">
        <w:rPr>
          <w:noProof/>
          <w:szCs w:val="22"/>
          <w:lang w:val="es-ES"/>
        </w:rPr>
        <w:t xml:space="preserve">uzrasta </w:t>
      </w:r>
      <w:r>
        <w:rPr>
          <w:noProof/>
          <w:szCs w:val="22"/>
          <w:lang w:val="es-ES"/>
        </w:rPr>
        <w:t xml:space="preserve">od 12 do 17 godina) tjelesne </w:t>
      </w:r>
      <w:r w:rsidR="008A5A17">
        <w:rPr>
          <w:noProof/>
          <w:szCs w:val="22"/>
          <w:lang w:val="es-ES"/>
        </w:rPr>
        <w:t xml:space="preserve">mase </w:t>
      </w:r>
      <w:r>
        <w:rPr>
          <w:noProof/>
          <w:szCs w:val="22"/>
          <w:lang w:val="es-ES"/>
        </w:rPr>
        <w:t xml:space="preserve">od najmanje 30 kg, preporučena doza je 15 mg. Ako </w:t>
      </w:r>
      <w:r w:rsidR="008A5A17">
        <w:rPr>
          <w:noProof/>
          <w:szCs w:val="22"/>
          <w:lang w:val="es-ES"/>
        </w:rPr>
        <w:t xml:space="preserve">pacijent </w:t>
      </w:r>
      <w:r>
        <w:rPr>
          <w:noProof/>
          <w:szCs w:val="22"/>
          <w:lang w:val="es-ES"/>
        </w:rPr>
        <w:t>nema adekvatan odgovor na liječenje dozom od 15 mg jedanput na dan, doza se može povećati na 30 mg jedanput na dan.</w:t>
      </w:r>
    </w:p>
    <w:p w14:paraId="1DB43B8C" w14:textId="7C4662FA" w:rsidR="00B54A40" w:rsidRPr="00B74B0F" w:rsidRDefault="00B54A40">
      <w:pPr>
        <w:numPr>
          <w:ilvl w:val="0"/>
          <w:numId w:val="47"/>
        </w:numPr>
        <w:spacing w:line="240" w:lineRule="auto"/>
        <w:jc w:val="both"/>
        <w:rPr>
          <w:noProof/>
          <w:szCs w:val="22"/>
          <w:lang w:val="sr-Latn-ME"/>
        </w:rPr>
      </w:pPr>
      <w:r w:rsidRPr="00B74B0F">
        <w:rPr>
          <w:noProof/>
          <w:szCs w:val="22"/>
          <w:lang w:val="sr-Latn-ME"/>
        </w:rPr>
        <w:t xml:space="preserve">Treba </w:t>
      </w:r>
      <w:r w:rsidR="00181F44" w:rsidRPr="00B74B0F">
        <w:rPr>
          <w:noProof/>
          <w:szCs w:val="22"/>
          <w:lang w:val="sr-Latn-ME"/>
        </w:rPr>
        <w:t>primijeniti</w:t>
      </w:r>
      <w:r w:rsidRPr="00B74B0F">
        <w:rPr>
          <w:noProof/>
          <w:szCs w:val="22"/>
          <w:lang w:val="sr-Latn-ME"/>
        </w:rPr>
        <w:t xml:space="preserve"> najnižu </w:t>
      </w:r>
      <w:r w:rsidR="00EC7239" w:rsidRPr="00B74B0F">
        <w:rPr>
          <w:noProof/>
          <w:szCs w:val="22"/>
          <w:lang w:val="sr-Latn-ME"/>
        </w:rPr>
        <w:t xml:space="preserve">efikasnu </w:t>
      </w:r>
      <w:r w:rsidRPr="00B74B0F">
        <w:rPr>
          <w:noProof/>
          <w:szCs w:val="22"/>
          <w:lang w:val="sr-Latn-ME"/>
        </w:rPr>
        <w:t>dozu</w:t>
      </w:r>
      <w:r w:rsidR="00181F44" w:rsidRPr="00B74B0F">
        <w:rPr>
          <w:noProof/>
          <w:szCs w:val="22"/>
          <w:lang w:val="sr-Latn-ME"/>
        </w:rPr>
        <w:t xml:space="preserve"> za</w:t>
      </w:r>
      <w:r w:rsidRPr="00B74B0F">
        <w:rPr>
          <w:noProof/>
          <w:szCs w:val="22"/>
          <w:lang w:val="sr-Latn-ME"/>
        </w:rPr>
        <w:t xml:space="preserve"> održavanj</w:t>
      </w:r>
      <w:r w:rsidR="00181F44" w:rsidRPr="00B74B0F">
        <w:rPr>
          <w:noProof/>
          <w:szCs w:val="22"/>
          <w:lang w:val="sr-Latn-ME"/>
        </w:rPr>
        <w:t>e odgovora</w:t>
      </w:r>
      <w:r w:rsidRPr="00B74B0F">
        <w:rPr>
          <w:noProof/>
          <w:szCs w:val="22"/>
          <w:lang w:val="sr-Latn-ME"/>
        </w:rPr>
        <w:t xml:space="preserve">. </w:t>
      </w:r>
    </w:p>
    <w:p w14:paraId="265D2368" w14:textId="77777777" w:rsidR="00B54A40" w:rsidRPr="00B74B0F" w:rsidRDefault="00B54A40">
      <w:pPr>
        <w:tabs>
          <w:tab w:val="clear" w:pos="567"/>
        </w:tabs>
        <w:spacing w:line="240" w:lineRule="auto"/>
        <w:jc w:val="both"/>
        <w:rPr>
          <w:noProof/>
          <w:szCs w:val="22"/>
          <w:lang w:val="sr-Latn-ME"/>
        </w:rPr>
      </w:pPr>
    </w:p>
    <w:p w14:paraId="5E241370" w14:textId="33501DD6" w:rsidR="00B54A40" w:rsidRPr="00B74B0F" w:rsidRDefault="00B54A40">
      <w:pPr>
        <w:tabs>
          <w:tab w:val="clear" w:pos="567"/>
        </w:tabs>
        <w:spacing w:line="240" w:lineRule="auto"/>
        <w:jc w:val="both"/>
        <w:rPr>
          <w:noProof/>
          <w:szCs w:val="22"/>
          <w:lang w:val="sr-Latn-ME"/>
        </w:rPr>
      </w:pPr>
      <w:r w:rsidRPr="00B74B0F">
        <w:rPr>
          <w:noProof/>
          <w:szCs w:val="22"/>
          <w:lang w:val="sr-Latn-ME"/>
        </w:rPr>
        <w:t xml:space="preserve">Za </w:t>
      </w:r>
      <w:r w:rsidR="00FA5493" w:rsidRPr="00B74B0F">
        <w:rPr>
          <w:noProof/>
          <w:szCs w:val="22"/>
          <w:lang w:val="sr-Latn-ME"/>
        </w:rPr>
        <w:t>pacijente</w:t>
      </w:r>
      <w:r w:rsidRPr="00B74B0F">
        <w:rPr>
          <w:noProof/>
          <w:szCs w:val="22"/>
          <w:lang w:val="sr-Latn-ME"/>
        </w:rPr>
        <w:t xml:space="preserve"> </w:t>
      </w:r>
      <w:r w:rsidR="00EC7239" w:rsidRPr="00B74B0F">
        <w:rPr>
          <w:noProof/>
          <w:szCs w:val="22"/>
          <w:lang w:val="sr-Latn-ME"/>
        </w:rPr>
        <w:t>starosti</w:t>
      </w:r>
      <w:r w:rsidRPr="00B74B0F">
        <w:rPr>
          <w:noProof/>
          <w:szCs w:val="22"/>
          <w:lang w:val="sr-Latn-ME"/>
        </w:rPr>
        <w:t xml:space="preserve"> od 65 godina</w:t>
      </w:r>
      <w:r w:rsidR="00181F44" w:rsidRPr="00B74B0F">
        <w:rPr>
          <w:noProof/>
          <w:szCs w:val="22"/>
          <w:lang w:val="sr-Latn-ME"/>
        </w:rPr>
        <w:t xml:space="preserve"> i </w:t>
      </w:r>
      <w:r w:rsidR="005502DD" w:rsidRPr="00B74B0F">
        <w:rPr>
          <w:noProof/>
          <w:szCs w:val="22"/>
          <w:lang w:val="sr-Latn-ME"/>
        </w:rPr>
        <w:t>starije</w:t>
      </w:r>
      <w:r w:rsidRPr="00B74B0F">
        <w:rPr>
          <w:noProof/>
          <w:szCs w:val="22"/>
          <w:lang w:val="sr-Latn-ME"/>
        </w:rPr>
        <w:t>, preporučena doza je 15 mg jedanput na dan</w:t>
      </w:r>
      <w:r w:rsidR="006528EC" w:rsidRPr="00B74B0F">
        <w:rPr>
          <w:noProof/>
          <w:szCs w:val="22"/>
          <w:lang w:val="sr-Latn-ME"/>
        </w:rPr>
        <w:t xml:space="preserve"> (vidjeti dio 4.4)</w:t>
      </w:r>
      <w:r w:rsidRPr="00B74B0F">
        <w:rPr>
          <w:noProof/>
          <w:szCs w:val="22"/>
          <w:lang w:val="sr-Latn-ME"/>
        </w:rPr>
        <w:t>.</w:t>
      </w:r>
    </w:p>
    <w:p w14:paraId="71EA710A" w14:textId="755982C3" w:rsidR="00B54A40" w:rsidRPr="00B74B0F" w:rsidRDefault="00B54A40">
      <w:pPr>
        <w:tabs>
          <w:tab w:val="clear" w:pos="567"/>
        </w:tabs>
        <w:spacing w:line="240" w:lineRule="auto"/>
        <w:jc w:val="both"/>
        <w:rPr>
          <w:noProof/>
          <w:szCs w:val="22"/>
          <w:lang w:val="sr-Latn-ME"/>
        </w:rPr>
      </w:pPr>
    </w:p>
    <w:p w14:paraId="49FF9228" w14:textId="5103AA28" w:rsidR="00B54A40" w:rsidRPr="00B74B0F" w:rsidRDefault="00EC7239">
      <w:pPr>
        <w:tabs>
          <w:tab w:val="clear" w:pos="567"/>
        </w:tabs>
        <w:spacing w:line="240" w:lineRule="auto"/>
        <w:jc w:val="both"/>
        <w:rPr>
          <w:i/>
          <w:iCs/>
          <w:noProof/>
          <w:szCs w:val="22"/>
          <w:lang w:val="sr-Latn-ME"/>
        </w:rPr>
      </w:pPr>
      <w:r w:rsidRPr="00B74B0F">
        <w:rPr>
          <w:i/>
          <w:iCs/>
          <w:noProof/>
          <w:szCs w:val="22"/>
          <w:lang w:val="sr-Latn-ME"/>
        </w:rPr>
        <w:t xml:space="preserve">Istovremene </w:t>
      </w:r>
      <w:r w:rsidR="00B54A40" w:rsidRPr="00B74B0F">
        <w:rPr>
          <w:i/>
          <w:iCs/>
          <w:noProof/>
          <w:szCs w:val="22"/>
          <w:lang w:val="sr-Latn-ME"/>
        </w:rPr>
        <w:t>topikalne terapije</w:t>
      </w:r>
    </w:p>
    <w:p w14:paraId="6C96D661" w14:textId="50103948" w:rsidR="00B54A40" w:rsidRPr="00B74B0F" w:rsidRDefault="00B54A40">
      <w:pPr>
        <w:autoSpaceDE w:val="0"/>
        <w:autoSpaceDN w:val="0"/>
        <w:adjustRightInd w:val="0"/>
        <w:spacing w:line="240" w:lineRule="auto"/>
        <w:jc w:val="both"/>
        <w:rPr>
          <w:noProof/>
          <w:szCs w:val="22"/>
          <w:lang w:val="sr-Latn-ME"/>
        </w:rPr>
      </w:pPr>
      <w:r w:rsidRPr="00B74B0F">
        <w:rPr>
          <w:noProof/>
          <w:szCs w:val="22"/>
          <w:lang w:val="sr-Latn-ME"/>
        </w:rPr>
        <w:t>Upadacitinib se može uzimati s</w:t>
      </w:r>
      <w:r w:rsidR="005502DD" w:rsidRPr="00B74B0F">
        <w:rPr>
          <w:noProof/>
          <w:szCs w:val="22"/>
          <w:lang w:val="sr-Latn-ME"/>
        </w:rPr>
        <w:t>a</w:t>
      </w:r>
      <w:r w:rsidRPr="00B74B0F">
        <w:rPr>
          <w:noProof/>
          <w:szCs w:val="22"/>
          <w:lang w:val="sr-Latn-ME"/>
        </w:rPr>
        <w:t xml:space="preserve"> topikalnim kortikosteroidima ili bez njih. Topikalni inhibitori kalcineurina mogu se koristiti za osjetljiva područja kao što su lice, vrat te intertriginozno i genitalno područje.</w:t>
      </w:r>
    </w:p>
    <w:p w14:paraId="71AB3CDF" w14:textId="77777777" w:rsidR="00B54A40" w:rsidRPr="00B74B0F" w:rsidRDefault="00B54A40">
      <w:pPr>
        <w:autoSpaceDE w:val="0"/>
        <w:autoSpaceDN w:val="0"/>
        <w:adjustRightInd w:val="0"/>
        <w:spacing w:line="240" w:lineRule="auto"/>
        <w:jc w:val="both"/>
        <w:rPr>
          <w:i/>
          <w:noProof/>
          <w:szCs w:val="22"/>
          <w:lang w:val="sr-Latn-ME"/>
        </w:rPr>
      </w:pPr>
    </w:p>
    <w:p w14:paraId="514B3E1B" w14:textId="49A68891" w:rsidR="00B54A40" w:rsidRPr="00B74B0F" w:rsidRDefault="00EC7239">
      <w:pPr>
        <w:autoSpaceDE w:val="0"/>
        <w:autoSpaceDN w:val="0"/>
        <w:adjustRightInd w:val="0"/>
        <w:spacing w:line="240" w:lineRule="auto"/>
        <w:jc w:val="both"/>
        <w:rPr>
          <w:noProof/>
          <w:color w:val="1A1A1A"/>
          <w:szCs w:val="22"/>
          <w:lang w:val="sr-Latn-ME"/>
        </w:rPr>
      </w:pPr>
      <w:r w:rsidRPr="00B74B0F">
        <w:rPr>
          <w:noProof/>
          <w:color w:val="1A1A1A"/>
          <w:szCs w:val="22"/>
          <w:lang w:val="sr-Latn-ME"/>
        </w:rPr>
        <w:t>Kod</w:t>
      </w:r>
      <w:r w:rsidR="00B54A40" w:rsidRPr="00B74B0F">
        <w:rPr>
          <w:noProof/>
          <w:color w:val="1A1A1A"/>
          <w:szCs w:val="22"/>
          <w:lang w:val="sr-Latn-ME"/>
        </w:rPr>
        <w:t xml:space="preserve"> </w:t>
      </w:r>
      <w:r w:rsidR="00181042" w:rsidRPr="00B74B0F">
        <w:rPr>
          <w:noProof/>
          <w:color w:val="1A1A1A"/>
          <w:szCs w:val="22"/>
          <w:lang w:val="sr-Latn-ME"/>
        </w:rPr>
        <w:t>pacijenata</w:t>
      </w:r>
      <w:r w:rsidR="00B54A40" w:rsidRPr="00B74B0F">
        <w:rPr>
          <w:noProof/>
          <w:color w:val="1A1A1A"/>
          <w:szCs w:val="22"/>
          <w:lang w:val="sr-Latn-ME"/>
        </w:rPr>
        <w:t xml:space="preserve"> </w:t>
      </w:r>
      <w:r w:rsidRPr="00B74B0F">
        <w:rPr>
          <w:noProof/>
          <w:color w:val="1A1A1A"/>
          <w:szCs w:val="22"/>
          <w:lang w:val="sr-Latn-ME"/>
        </w:rPr>
        <w:t>kod</w:t>
      </w:r>
      <w:r w:rsidR="00B54A40" w:rsidRPr="00B74B0F">
        <w:rPr>
          <w:noProof/>
          <w:color w:val="1A1A1A"/>
          <w:szCs w:val="22"/>
          <w:lang w:val="sr-Latn-ME"/>
        </w:rPr>
        <w:t xml:space="preserve"> kojih se ne utvrdi korist terapije nakon 12 </w:t>
      </w:r>
      <w:r w:rsidRPr="00B74B0F">
        <w:rPr>
          <w:noProof/>
          <w:color w:val="1A1A1A"/>
          <w:szCs w:val="22"/>
          <w:lang w:val="sr-Latn-ME"/>
        </w:rPr>
        <w:t xml:space="preserve">nedjelja </w:t>
      </w:r>
      <w:r w:rsidR="00B54A40" w:rsidRPr="00B74B0F">
        <w:rPr>
          <w:noProof/>
          <w:color w:val="1A1A1A"/>
          <w:szCs w:val="22"/>
          <w:lang w:val="sr-Latn-ME"/>
        </w:rPr>
        <w:t>liječenja, potrebno je razmotriti prekid liječenja upadacitinibom.</w:t>
      </w:r>
    </w:p>
    <w:p w14:paraId="28D9823D" w14:textId="77777777" w:rsidR="00EC7239" w:rsidRPr="00B74B0F" w:rsidRDefault="00EC7239">
      <w:pPr>
        <w:tabs>
          <w:tab w:val="clear" w:pos="567"/>
        </w:tabs>
        <w:autoSpaceDE w:val="0"/>
        <w:autoSpaceDN w:val="0"/>
        <w:adjustRightInd w:val="0"/>
        <w:spacing w:line="240" w:lineRule="auto"/>
        <w:jc w:val="both"/>
        <w:rPr>
          <w:i/>
          <w:iCs/>
          <w:szCs w:val="22"/>
          <w:u w:val="single"/>
          <w:lang w:val="sr-Latn-ME"/>
        </w:rPr>
      </w:pPr>
    </w:p>
    <w:p w14:paraId="18006FDF" w14:textId="77777777" w:rsidR="00B54A40" w:rsidRPr="00B74B0F" w:rsidRDefault="00B54A40">
      <w:pPr>
        <w:tabs>
          <w:tab w:val="clear" w:pos="567"/>
        </w:tabs>
        <w:autoSpaceDE w:val="0"/>
        <w:autoSpaceDN w:val="0"/>
        <w:adjustRightInd w:val="0"/>
        <w:spacing w:line="240" w:lineRule="auto"/>
        <w:jc w:val="both"/>
        <w:rPr>
          <w:i/>
          <w:iCs/>
          <w:szCs w:val="22"/>
          <w:u w:val="single"/>
          <w:lang w:val="sr-Latn-ME"/>
        </w:rPr>
      </w:pPr>
      <w:r w:rsidRPr="00B74B0F">
        <w:rPr>
          <w:i/>
          <w:iCs/>
          <w:szCs w:val="22"/>
          <w:u w:val="single"/>
          <w:lang w:val="sr-Latn-ME"/>
        </w:rPr>
        <w:t>Ulcerozni kolitis</w:t>
      </w:r>
    </w:p>
    <w:p w14:paraId="63D08438" w14:textId="77777777" w:rsidR="00B54A40" w:rsidRPr="00B74B0F" w:rsidRDefault="00B54A40">
      <w:pPr>
        <w:tabs>
          <w:tab w:val="clear" w:pos="567"/>
        </w:tabs>
        <w:spacing w:line="240" w:lineRule="auto"/>
        <w:jc w:val="both"/>
        <w:rPr>
          <w:i/>
          <w:szCs w:val="22"/>
          <w:u w:val="single"/>
          <w:lang w:val="sr-Latn-ME"/>
        </w:rPr>
      </w:pPr>
    </w:p>
    <w:p w14:paraId="516D39C0" w14:textId="77777777" w:rsidR="00B54A40" w:rsidRPr="00B74B0F" w:rsidRDefault="00B54A40">
      <w:pPr>
        <w:tabs>
          <w:tab w:val="clear" w:pos="567"/>
        </w:tabs>
        <w:spacing w:line="240" w:lineRule="auto"/>
        <w:jc w:val="both"/>
        <w:rPr>
          <w:i/>
          <w:szCs w:val="22"/>
          <w:lang w:val="sr-Latn-ME"/>
        </w:rPr>
      </w:pPr>
      <w:r w:rsidRPr="00B74B0F">
        <w:rPr>
          <w:i/>
          <w:szCs w:val="22"/>
          <w:lang w:val="sr-Latn-ME"/>
        </w:rPr>
        <w:t>Indukcija</w:t>
      </w:r>
    </w:p>
    <w:p w14:paraId="664D59AF" w14:textId="4482A72C" w:rsidR="00B54A40" w:rsidRPr="00B74B0F" w:rsidRDefault="00B54A40">
      <w:pPr>
        <w:tabs>
          <w:tab w:val="clear" w:pos="567"/>
        </w:tabs>
        <w:spacing w:line="240" w:lineRule="auto"/>
        <w:jc w:val="both"/>
        <w:rPr>
          <w:szCs w:val="22"/>
          <w:lang w:val="sr-Latn-ME"/>
        </w:rPr>
      </w:pPr>
      <w:r w:rsidRPr="00B74B0F">
        <w:rPr>
          <w:szCs w:val="22"/>
          <w:lang w:val="sr-Latn-ME"/>
        </w:rPr>
        <w:t xml:space="preserve">Preporučena indukcijska doza upadacitiniba je 45 mg jedanput na dan </w:t>
      </w:r>
      <w:r w:rsidR="00181042" w:rsidRPr="00B74B0F">
        <w:rPr>
          <w:szCs w:val="22"/>
          <w:lang w:val="sr-Latn-ME"/>
        </w:rPr>
        <w:t>tokom</w:t>
      </w:r>
      <w:r w:rsidRPr="00B74B0F">
        <w:rPr>
          <w:szCs w:val="22"/>
          <w:lang w:val="sr-Latn-ME"/>
        </w:rPr>
        <w:t xml:space="preserve"> 8 </w:t>
      </w:r>
      <w:r w:rsidR="00EC7239" w:rsidRPr="00B74B0F">
        <w:rPr>
          <w:szCs w:val="22"/>
          <w:lang w:val="sr-Latn-ME"/>
        </w:rPr>
        <w:t>nedjelja</w:t>
      </w:r>
      <w:r w:rsidRPr="00B74B0F">
        <w:rPr>
          <w:szCs w:val="22"/>
          <w:lang w:val="sr-Latn-ME"/>
        </w:rPr>
        <w:t xml:space="preserve">. Za </w:t>
      </w:r>
      <w:r w:rsidR="00181042" w:rsidRPr="00B74B0F">
        <w:rPr>
          <w:szCs w:val="22"/>
          <w:lang w:val="sr-Latn-ME"/>
        </w:rPr>
        <w:t>pacijent</w:t>
      </w:r>
      <w:r w:rsidRPr="00B74B0F">
        <w:rPr>
          <w:szCs w:val="22"/>
          <w:lang w:val="sr-Latn-ME"/>
        </w:rPr>
        <w:t>e koji ne postignu odgovarajuću terapijsku korist do 8. </w:t>
      </w:r>
      <w:r w:rsidR="00FA5493" w:rsidRPr="00B74B0F">
        <w:rPr>
          <w:szCs w:val="22"/>
          <w:lang w:val="sr-Latn-ME"/>
        </w:rPr>
        <w:t>ned</w:t>
      </w:r>
      <w:r w:rsidR="00EC7239" w:rsidRPr="00B74B0F">
        <w:rPr>
          <w:szCs w:val="22"/>
          <w:lang w:val="sr-Latn-ME"/>
        </w:rPr>
        <w:t>j</w:t>
      </w:r>
      <w:r w:rsidR="00FA5493" w:rsidRPr="00B74B0F">
        <w:rPr>
          <w:szCs w:val="22"/>
          <w:lang w:val="sr-Latn-ME"/>
        </w:rPr>
        <w:t>elj</w:t>
      </w:r>
      <w:r w:rsidR="005502DD" w:rsidRPr="00B74B0F">
        <w:rPr>
          <w:szCs w:val="22"/>
          <w:lang w:val="sr-Latn-ME"/>
        </w:rPr>
        <w:t>e</w:t>
      </w:r>
      <w:r w:rsidRPr="00B74B0F">
        <w:rPr>
          <w:szCs w:val="22"/>
          <w:lang w:val="sr-Latn-ME"/>
        </w:rPr>
        <w:t>, upadacitinib u dozi od 45 mg jedanput na dan može se nastaviti primjenjivati dodatnih 8 </w:t>
      </w:r>
      <w:r w:rsidR="00FA5493" w:rsidRPr="00B74B0F">
        <w:rPr>
          <w:szCs w:val="22"/>
          <w:lang w:val="sr-Latn-ME"/>
        </w:rPr>
        <w:t>ned</w:t>
      </w:r>
      <w:r w:rsidR="00EC7239" w:rsidRPr="00B74B0F">
        <w:rPr>
          <w:szCs w:val="22"/>
          <w:lang w:val="sr-Latn-ME"/>
        </w:rPr>
        <w:t>j</w:t>
      </w:r>
      <w:r w:rsidR="00FA5493" w:rsidRPr="00B74B0F">
        <w:rPr>
          <w:szCs w:val="22"/>
          <w:lang w:val="sr-Latn-ME"/>
        </w:rPr>
        <w:t xml:space="preserve">elja </w:t>
      </w:r>
      <w:r w:rsidRPr="00B74B0F">
        <w:rPr>
          <w:szCs w:val="22"/>
          <w:lang w:val="sr-Latn-ME"/>
        </w:rPr>
        <w:t xml:space="preserve">(vidjeti djelove 4.8 i 5.1). </w:t>
      </w:r>
      <w:r w:rsidR="00EC7239" w:rsidRPr="00B74B0F">
        <w:rPr>
          <w:szCs w:val="22"/>
          <w:lang w:val="sr-Latn-ME"/>
        </w:rPr>
        <w:t>Kod</w:t>
      </w:r>
      <w:r w:rsidRPr="00B74B0F">
        <w:rPr>
          <w:szCs w:val="22"/>
          <w:lang w:val="sr-Latn-ME"/>
        </w:rPr>
        <w:t xml:space="preserve"> bilo kojeg </w:t>
      </w:r>
      <w:r w:rsidR="00FA5493" w:rsidRPr="00B74B0F">
        <w:rPr>
          <w:szCs w:val="22"/>
          <w:lang w:val="sr-Latn-ME"/>
        </w:rPr>
        <w:t>pacijenta</w:t>
      </w:r>
      <w:r w:rsidRPr="00B74B0F">
        <w:rPr>
          <w:szCs w:val="22"/>
          <w:lang w:val="sr-Latn-ME"/>
        </w:rPr>
        <w:t xml:space="preserve"> kod kojeg se ne utvrdi terapijska korist do 16. </w:t>
      </w:r>
      <w:r w:rsidR="00FA5493" w:rsidRPr="00B74B0F">
        <w:rPr>
          <w:szCs w:val="22"/>
          <w:lang w:val="sr-Latn-ME"/>
        </w:rPr>
        <w:t>ned</w:t>
      </w:r>
      <w:r w:rsidR="00EC7239" w:rsidRPr="00B74B0F">
        <w:rPr>
          <w:szCs w:val="22"/>
          <w:lang w:val="sr-Latn-ME"/>
        </w:rPr>
        <w:t>j</w:t>
      </w:r>
      <w:r w:rsidR="00FA5493" w:rsidRPr="00B74B0F">
        <w:rPr>
          <w:szCs w:val="22"/>
          <w:lang w:val="sr-Latn-ME"/>
        </w:rPr>
        <w:t>elj</w:t>
      </w:r>
      <w:r w:rsidR="005502DD" w:rsidRPr="00B74B0F">
        <w:rPr>
          <w:szCs w:val="22"/>
          <w:lang w:val="sr-Latn-ME"/>
        </w:rPr>
        <w:t>e</w:t>
      </w:r>
      <w:r w:rsidRPr="00B74B0F">
        <w:rPr>
          <w:szCs w:val="22"/>
          <w:lang w:val="sr-Latn-ME"/>
        </w:rPr>
        <w:t xml:space="preserve"> liječenja, treba prekinuti liječenje upadacitinibom.</w:t>
      </w:r>
    </w:p>
    <w:p w14:paraId="40766DBC" w14:textId="77777777" w:rsidR="00B54A40" w:rsidRPr="00B74B0F" w:rsidRDefault="00B54A40">
      <w:pPr>
        <w:tabs>
          <w:tab w:val="clear" w:pos="567"/>
        </w:tabs>
        <w:spacing w:line="240" w:lineRule="auto"/>
        <w:jc w:val="both"/>
        <w:rPr>
          <w:i/>
          <w:szCs w:val="22"/>
          <w:lang w:val="sr-Latn-ME"/>
        </w:rPr>
      </w:pPr>
    </w:p>
    <w:p w14:paraId="1A5C9300" w14:textId="77777777" w:rsidR="00B54A40" w:rsidRPr="00B74B0F" w:rsidRDefault="00B54A40">
      <w:pPr>
        <w:tabs>
          <w:tab w:val="clear" w:pos="567"/>
        </w:tabs>
        <w:spacing w:line="240" w:lineRule="auto"/>
        <w:jc w:val="both"/>
        <w:rPr>
          <w:i/>
          <w:szCs w:val="22"/>
          <w:lang w:val="sr-Latn-ME"/>
        </w:rPr>
      </w:pPr>
      <w:r w:rsidRPr="00B74B0F">
        <w:rPr>
          <w:i/>
          <w:szCs w:val="22"/>
          <w:lang w:val="sr-Latn-ME"/>
        </w:rPr>
        <w:t>Održavanje</w:t>
      </w:r>
    </w:p>
    <w:p w14:paraId="6C802856" w14:textId="35AC1661" w:rsidR="00B54A40" w:rsidRPr="00B74B0F" w:rsidRDefault="00B54A40">
      <w:pPr>
        <w:tabs>
          <w:tab w:val="clear" w:pos="567"/>
        </w:tabs>
        <w:spacing w:line="240" w:lineRule="auto"/>
        <w:jc w:val="both"/>
        <w:rPr>
          <w:szCs w:val="22"/>
          <w:lang w:val="sr-Latn-ME"/>
        </w:rPr>
      </w:pPr>
      <w:r w:rsidRPr="00B74B0F">
        <w:rPr>
          <w:szCs w:val="22"/>
          <w:lang w:val="sr-Latn-ME"/>
        </w:rPr>
        <w:t xml:space="preserve">Preporučena doza održavanja upadacitiniba je 15 mg ili 30 mg jedanput na dan na temelju individualnog prikaza </w:t>
      </w:r>
      <w:r w:rsidR="00181042" w:rsidRPr="00B74B0F">
        <w:rPr>
          <w:szCs w:val="22"/>
          <w:lang w:val="sr-Latn-ME"/>
        </w:rPr>
        <w:t>pacijenata</w:t>
      </w:r>
      <w:r w:rsidRPr="00B74B0F">
        <w:rPr>
          <w:szCs w:val="22"/>
          <w:lang w:val="sr-Latn-ME"/>
        </w:rPr>
        <w:t>:</w:t>
      </w:r>
    </w:p>
    <w:p w14:paraId="403D0536" w14:textId="2CA07F4D" w:rsidR="005F0943" w:rsidRPr="00B74B0F" w:rsidRDefault="005F0943">
      <w:pPr>
        <w:numPr>
          <w:ilvl w:val="0"/>
          <w:numId w:val="48"/>
        </w:numPr>
        <w:tabs>
          <w:tab w:val="clear" w:pos="567"/>
        </w:tabs>
        <w:spacing w:line="240" w:lineRule="auto"/>
        <w:ind w:left="1134" w:hanging="567"/>
        <w:jc w:val="both"/>
        <w:rPr>
          <w:noProof/>
          <w:szCs w:val="22"/>
          <w:lang w:val="sr-Latn-ME"/>
        </w:rPr>
      </w:pPr>
      <w:r w:rsidRPr="00B74B0F">
        <w:rPr>
          <w:noProof/>
          <w:szCs w:val="22"/>
          <w:lang w:val="sr-Latn-ME"/>
        </w:rPr>
        <w:t xml:space="preserve">Doza od 15 mg preporučuje se pacijentima sa većim rizikom od venske tromboembolije, </w:t>
      </w:r>
      <w:r w:rsidR="005502DD" w:rsidRPr="00B74B0F">
        <w:rPr>
          <w:noProof/>
          <w:szCs w:val="22"/>
          <w:lang w:val="sr-Latn-ME"/>
        </w:rPr>
        <w:t xml:space="preserve"> velikih kardiovaskularnih neželjenih događaja (engl. </w:t>
      </w:r>
      <w:r w:rsidR="005502DD" w:rsidRPr="00B74B0F">
        <w:rPr>
          <w:i/>
          <w:noProof/>
          <w:szCs w:val="22"/>
          <w:lang w:val="sr-Latn-ME"/>
        </w:rPr>
        <w:t>major adverse cardiovascular event</w:t>
      </w:r>
      <w:r w:rsidR="005502DD" w:rsidRPr="00B74B0F">
        <w:rPr>
          <w:noProof/>
          <w:szCs w:val="22"/>
          <w:lang w:val="sr-Latn-ME"/>
        </w:rPr>
        <w:t>, MACE)</w:t>
      </w:r>
      <w:r w:rsidRPr="00B74B0F">
        <w:rPr>
          <w:noProof/>
          <w:szCs w:val="22"/>
          <w:lang w:val="sr-Latn-ME"/>
        </w:rPr>
        <w:t xml:space="preserve"> i malignitet</w:t>
      </w:r>
      <w:r w:rsidR="005502DD" w:rsidRPr="00B74B0F">
        <w:rPr>
          <w:noProof/>
          <w:szCs w:val="22"/>
          <w:lang w:val="sr-Latn-ME"/>
        </w:rPr>
        <w:t>a</w:t>
      </w:r>
      <w:r w:rsidRPr="00B74B0F">
        <w:rPr>
          <w:noProof/>
          <w:szCs w:val="22"/>
          <w:lang w:val="sr-Latn-ME"/>
        </w:rPr>
        <w:t xml:space="preserve"> (vidjeti dio 4.4). </w:t>
      </w:r>
    </w:p>
    <w:p w14:paraId="0B985412" w14:textId="43056279" w:rsidR="00B54A40" w:rsidRPr="00B74B0F" w:rsidRDefault="00B54A40">
      <w:pPr>
        <w:numPr>
          <w:ilvl w:val="0"/>
          <w:numId w:val="48"/>
        </w:numPr>
        <w:spacing w:line="240" w:lineRule="auto"/>
        <w:ind w:left="1134" w:hanging="567"/>
        <w:contextualSpacing/>
        <w:jc w:val="both"/>
        <w:rPr>
          <w:rFonts w:eastAsia="Calibri"/>
          <w:szCs w:val="22"/>
          <w:lang w:val="sr-Latn-ME"/>
        </w:rPr>
      </w:pPr>
      <w:r w:rsidRPr="00B74B0F">
        <w:rPr>
          <w:rFonts w:eastAsia="Calibri"/>
          <w:szCs w:val="22"/>
          <w:lang w:val="sr-Latn-ME"/>
        </w:rPr>
        <w:t xml:space="preserve">Doza od 30 mg jedanput na dan može biti prikladna za neke </w:t>
      </w:r>
      <w:r w:rsidR="00181042" w:rsidRPr="00B74B0F">
        <w:rPr>
          <w:rFonts w:eastAsia="Calibri"/>
          <w:szCs w:val="22"/>
          <w:lang w:val="sr-Latn-ME"/>
        </w:rPr>
        <w:t>pacijent</w:t>
      </w:r>
      <w:r w:rsidRPr="00B74B0F">
        <w:rPr>
          <w:rFonts w:eastAsia="Calibri"/>
          <w:szCs w:val="22"/>
          <w:lang w:val="sr-Latn-ME"/>
        </w:rPr>
        <w:t xml:space="preserve">e poput onih s velikim opterećenjem bolešću (engl. </w:t>
      </w:r>
      <w:r w:rsidRPr="00B74B0F">
        <w:rPr>
          <w:rFonts w:eastAsia="Calibri"/>
          <w:i/>
          <w:iCs/>
          <w:szCs w:val="22"/>
          <w:lang w:val="sr-Latn-ME"/>
        </w:rPr>
        <w:t>disease burden</w:t>
      </w:r>
      <w:r w:rsidRPr="00B74B0F">
        <w:rPr>
          <w:rFonts w:eastAsia="Calibri"/>
          <w:szCs w:val="22"/>
          <w:lang w:val="sr-Latn-ME"/>
        </w:rPr>
        <w:t>) ili kojima je potrebno indukcijsko liječenje od 16 </w:t>
      </w:r>
      <w:r w:rsidR="00FA5493" w:rsidRPr="00B74B0F">
        <w:rPr>
          <w:rFonts w:eastAsia="Calibri"/>
          <w:szCs w:val="22"/>
          <w:lang w:val="sr-Latn-ME"/>
        </w:rPr>
        <w:t>ned</w:t>
      </w:r>
      <w:r w:rsidR="00EC7239" w:rsidRPr="00B74B0F">
        <w:rPr>
          <w:rFonts w:eastAsia="Calibri"/>
          <w:szCs w:val="22"/>
          <w:lang w:val="sr-Latn-ME"/>
        </w:rPr>
        <w:t>j</w:t>
      </w:r>
      <w:r w:rsidR="00FA5493" w:rsidRPr="00B74B0F">
        <w:rPr>
          <w:rFonts w:eastAsia="Calibri"/>
          <w:szCs w:val="22"/>
          <w:lang w:val="sr-Latn-ME"/>
        </w:rPr>
        <w:t>elja</w:t>
      </w:r>
      <w:r w:rsidR="00544AC4" w:rsidRPr="00B74B0F">
        <w:rPr>
          <w:rFonts w:eastAsia="Calibri"/>
          <w:szCs w:val="22"/>
          <w:lang w:val="sr-Latn-ME"/>
        </w:rPr>
        <w:t>, a koji nemaju povećan rizik od venske t</w:t>
      </w:r>
      <w:r w:rsidR="005F0943" w:rsidRPr="00B74B0F">
        <w:rPr>
          <w:rFonts w:eastAsia="Calibri"/>
          <w:szCs w:val="22"/>
          <w:lang w:val="sr-Latn-ME"/>
        </w:rPr>
        <w:t xml:space="preserve">romboembolije, </w:t>
      </w:r>
      <w:r w:rsidR="005502DD" w:rsidRPr="00B74B0F">
        <w:rPr>
          <w:noProof/>
          <w:szCs w:val="22"/>
          <w:lang w:val="sr-Latn-ME"/>
        </w:rPr>
        <w:t xml:space="preserve">velikih kardiovaskularnih neželjenih događaja (engl. </w:t>
      </w:r>
      <w:r w:rsidR="005502DD" w:rsidRPr="00B74B0F">
        <w:rPr>
          <w:i/>
          <w:noProof/>
          <w:szCs w:val="22"/>
          <w:lang w:val="sr-Latn-ME"/>
        </w:rPr>
        <w:t>major adverse cardiovascular event</w:t>
      </w:r>
      <w:r w:rsidR="005502DD" w:rsidRPr="00B74B0F">
        <w:rPr>
          <w:noProof/>
          <w:szCs w:val="22"/>
          <w:lang w:val="sr-Latn-ME"/>
        </w:rPr>
        <w:t xml:space="preserve">, MACE) </w:t>
      </w:r>
      <w:r w:rsidR="005F0943" w:rsidRPr="00B74B0F">
        <w:rPr>
          <w:rFonts w:eastAsia="Calibri"/>
          <w:szCs w:val="22"/>
          <w:lang w:val="sr-Latn-ME"/>
        </w:rPr>
        <w:t>i malignitet</w:t>
      </w:r>
      <w:r w:rsidR="005502DD" w:rsidRPr="00B74B0F">
        <w:rPr>
          <w:rFonts w:eastAsia="Calibri"/>
          <w:szCs w:val="22"/>
          <w:lang w:val="sr-Latn-ME"/>
        </w:rPr>
        <w:t>a</w:t>
      </w:r>
      <w:r w:rsidR="005F0943" w:rsidRPr="00B74B0F">
        <w:rPr>
          <w:rFonts w:eastAsia="Calibri"/>
          <w:szCs w:val="22"/>
          <w:lang w:val="sr-Latn-ME"/>
        </w:rPr>
        <w:t xml:space="preserve"> (vidjeti dio 4.4) ili kod pacijenata koji nijesu imali adekvatan terapijski benefit sa dozom od 15 mg jednom dnevno</w:t>
      </w:r>
      <w:r w:rsidRPr="00B74B0F">
        <w:rPr>
          <w:rFonts w:eastAsia="Calibri"/>
          <w:szCs w:val="22"/>
          <w:lang w:val="sr-Latn-ME"/>
        </w:rPr>
        <w:t>.</w:t>
      </w:r>
    </w:p>
    <w:p w14:paraId="7613E55D" w14:textId="4537054C" w:rsidR="00B54A40" w:rsidRPr="00B74B0F" w:rsidRDefault="00B54A40">
      <w:pPr>
        <w:numPr>
          <w:ilvl w:val="0"/>
          <w:numId w:val="48"/>
        </w:numPr>
        <w:spacing w:line="240" w:lineRule="auto"/>
        <w:ind w:left="1134" w:hanging="567"/>
        <w:contextualSpacing/>
        <w:jc w:val="both"/>
        <w:rPr>
          <w:rFonts w:eastAsia="Calibri"/>
          <w:szCs w:val="22"/>
          <w:lang w:val="sr-Latn-ME"/>
        </w:rPr>
      </w:pPr>
      <w:r w:rsidRPr="00B74B0F">
        <w:rPr>
          <w:rFonts w:eastAsia="Calibri"/>
          <w:szCs w:val="22"/>
          <w:lang w:val="sr-Latn-ME"/>
        </w:rPr>
        <w:t xml:space="preserve">Treba </w:t>
      </w:r>
      <w:r w:rsidR="005502DD" w:rsidRPr="00B74B0F">
        <w:rPr>
          <w:rFonts w:eastAsia="Calibri"/>
          <w:szCs w:val="22"/>
          <w:lang w:val="sr-Latn-ME"/>
        </w:rPr>
        <w:t xml:space="preserve">primijeniti </w:t>
      </w:r>
      <w:r w:rsidRPr="00B74B0F">
        <w:rPr>
          <w:rFonts w:eastAsia="Calibri"/>
          <w:szCs w:val="22"/>
          <w:lang w:val="sr-Latn-ME"/>
        </w:rPr>
        <w:t xml:space="preserve">najnižu </w:t>
      </w:r>
      <w:r w:rsidR="00EC7239" w:rsidRPr="00B74B0F">
        <w:rPr>
          <w:rFonts w:eastAsia="Calibri"/>
          <w:szCs w:val="22"/>
          <w:lang w:val="sr-Latn-ME"/>
        </w:rPr>
        <w:t xml:space="preserve">efikasnu </w:t>
      </w:r>
      <w:r w:rsidRPr="00B74B0F">
        <w:rPr>
          <w:rFonts w:eastAsia="Calibri"/>
          <w:szCs w:val="22"/>
          <w:lang w:val="sr-Latn-ME"/>
        </w:rPr>
        <w:t xml:space="preserve">dozu </w:t>
      </w:r>
      <w:r w:rsidR="005502DD" w:rsidRPr="00B74B0F">
        <w:rPr>
          <w:rFonts w:eastAsia="Calibri"/>
          <w:szCs w:val="22"/>
          <w:lang w:val="sr-Latn-ME"/>
        </w:rPr>
        <w:t xml:space="preserve">za </w:t>
      </w:r>
      <w:r w:rsidRPr="00B74B0F">
        <w:rPr>
          <w:rFonts w:eastAsia="Calibri"/>
          <w:noProof/>
          <w:szCs w:val="22"/>
          <w:lang w:val="sr-Latn-ME"/>
        </w:rPr>
        <w:t>održavanj</w:t>
      </w:r>
      <w:r w:rsidR="005502DD" w:rsidRPr="00B74B0F">
        <w:rPr>
          <w:rFonts w:eastAsia="Calibri"/>
          <w:noProof/>
          <w:szCs w:val="22"/>
          <w:lang w:val="sr-Latn-ME"/>
        </w:rPr>
        <w:t>e odgovora</w:t>
      </w:r>
      <w:r w:rsidRPr="00B74B0F">
        <w:rPr>
          <w:rFonts w:eastAsia="Calibri"/>
          <w:szCs w:val="22"/>
          <w:lang w:val="sr-Latn-ME"/>
        </w:rPr>
        <w:t>.</w:t>
      </w:r>
    </w:p>
    <w:p w14:paraId="74530F9A" w14:textId="77777777" w:rsidR="00B54A40" w:rsidRPr="00B74B0F" w:rsidRDefault="00B54A40">
      <w:pPr>
        <w:tabs>
          <w:tab w:val="clear" w:pos="567"/>
        </w:tabs>
        <w:spacing w:line="240" w:lineRule="auto"/>
        <w:jc w:val="both"/>
        <w:rPr>
          <w:szCs w:val="22"/>
          <w:lang w:val="sr-Latn-ME"/>
        </w:rPr>
      </w:pPr>
    </w:p>
    <w:p w14:paraId="318A79A9" w14:textId="6AD31E7B" w:rsidR="00B54A40" w:rsidRPr="00B74B0F" w:rsidRDefault="00B54A40">
      <w:pPr>
        <w:tabs>
          <w:tab w:val="clear" w:pos="567"/>
        </w:tabs>
        <w:spacing w:line="240" w:lineRule="auto"/>
        <w:jc w:val="both"/>
        <w:rPr>
          <w:rFonts w:eastAsia="Calibri"/>
          <w:szCs w:val="22"/>
          <w:lang w:val="sr-Latn-ME"/>
        </w:rPr>
      </w:pPr>
      <w:r w:rsidRPr="00B74B0F">
        <w:rPr>
          <w:rFonts w:eastAsia="Calibri"/>
          <w:szCs w:val="22"/>
          <w:lang w:val="sr-Latn-ME"/>
        </w:rPr>
        <w:t xml:space="preserve">Za </w:t>
      </w:r>
      <w:r w:rsidR="00FA5493" w:rsidRPr="00B74B0F">
        <w:rPr>
          <w:rFonts w:eastAsia="Calibri"/>
          <w:szCs w:val="22"/>
          <w:lang w:val="sr-Latn-ME"/>
        </w:rPr>
        <w:t>pacijente</w:t>
      </w:r>
      <w:r w:rsidRPr="00B74B0F">
        <w:rPr>
          <w:rFonts w:eastAsia="Calibri"/>
          <w:szCs w:val="22"/>
          <w:lang w:val="sr-Latn-ME"/>
        </w:rPr>
        <w:t xml:space="preserve"> </w:t>
      </w:r>
      <w:r w:rsidR="00EC7239" w:rsidRPr="00B74B0F">
        <w:rPr>
          <w:rFonts w:eastAsia="Calibri"/>
          <w:szCs w:val="22"/>
          <w:lang w:val="sr-Latn-ME"/>
        </w:rPr>
        <w:t xml:space="preserve">starosti </w:t>
      </w:r>
      <w:r w:rsidRPr="00B74B0F">
        <w:rPr>
          <w:rFonts w:eastAsia="Calibri"/>
          <w:szCs w:val="22"/>
          <w:lang w:val="sr-Latn-ME"/>
        </w:rPr>
        <w:t>od 65 godina</w:t>
      </w:r>
      <w:r w:rsidR="005502DD" w:rsidRPr="00B74B0F">
        <w:rPr>
          <w:rFonts w:eastAsia="Calibri"/>
          <w:szCs w:val="22"/>
          <w:lang w:val="sr-Latn-ME"/>
        </w:rPr>
        <w:t xml:space="preserve"> i starije</w:t>
      </w:r>
      <w:r w:rsidRPr="00B74B0F">
        <w:rPr>
          <w:rFonts w:eastAsia="Calibri"/>
          <w:szCs w:val="22"/>
          <w:lang w:val="sr-Latn-ME"/>
        </w:rPr>
        <w:t>, preporučena doza je 15 mg jedanput na dan</w:t>
      </w:r>
      <w:r w:rsidR="005F0943" w:rsidRPr="00B74B0F">
        <w:rPr>
          <w:rFonts w:eastAsia="Calibri"/>
          <w:szCs w:val="22"/>
          <w:lang w:val="sr-Latn-ME"/>
        </w:rPr>
        <w:t xml:space="preserve"> (vidjeti dio 4.4)</w:t>
      </w:r>
      <w:r w:rsidRPr="00B74B0F">
        <w:rPr>
          <w:rFonts w:eastAsia="Calibri"/>
          <w:szCs w:val="22"/>
          <w:lang w:val="sr-Latn-ME"/>
        </w:rPr>
        <w:t xml:space="preserve">. </w:t>
      </w:r>
    </w:p>
    <w:p w14:paraId="286A25D5" w14:textId="77777777" w:rsidR="00B54A40" w:rsidRPr="00B74B0F" w:rsidRDefault="00B54A40">
      <w:pPr>
        <w:tabs>
          <w:tab w:val="clear" w:pos="567"/>
        </w:tabs>
        <w:spacing w:line="240" w:lineRule="auto"/>
        <w:jc w:val="both"/>
        <w:rPr>
          <w:szCs w:val="22"/>
          <w:lang w:val="sr-Latn-ME"/>
        </w:rPr>
      </w:pPr>
    </w:p>
    <w:p w14:paraId="0B3A2344" w14:textId="5C736A5D" w:rsidR="00B54A40" w:rsidRPr="00B74B0F" w:rsidRDefault="00FA5493">
      <w:pPr>
        <w:tabs>
          <w:tab w:val="clear" w:pos="567"/>
        </w:tabs>
        <w:autoSpaceDE w:val="0"/>
        <w:autoSpaceDN w:val="0"/>
        <w:adjustRightInd w:val="0"/>
        <w:spacing w:line="240" w:lineRule="auto"/>
        <w:jc w:val="both"/>
        <w:rPr>
          <w:szCs w:val="22"/>
          <w:lang w:val="sr-Latn-ME"/>
        </w:rPr>
      </w:pPr>
      <w:r w:rsidRPr="00B74B0F">
        <w:rPr>
          <w:szCs w:val="22"/>
          <w:lang w:val="sr-Latn-ME"/>
        </w:rPr>
        <w:lastRenderedPageBreak/>
        <w:t>Kod pacijenata</w:t>
      </w:r>
      <w:r w:rsidR="00B54A40" w:rsidRPr="00B74B0F">
        <w:rPr>
          <w:szCs w:val="22"/>
          <w:lang w:val="sr-Latn-ME"/>
        </w:rPr>
        <w:t xml:space="preserve"> koji su odgovorili na liječenje upadacitinibom, primjena kortikosteroida može se smanjiti i/ili prekinuti u skladu sa standardnim liječenjem.</w:t>
      </w:r>
    </w:p>
    <w:p w14:paraId="506794BC" w14:textId="77777777" w:rsidR="00B54A40" w:rsidRPr="00B74B0F" w:rsidRDefault="00B54A40">
      <w:pPr>
        <w:tabs>
          <w:tab w:val="clear" w:pos="567"/>
        </w:tabs>
        <w:autoSpaceDE w:val="0"/>
        <w:autoSpaceDN w:val="0"/>
        <w:adjustRightInd w:val="0"/>
        <w:spacing w:line="240" w:lineRule="auto"/>
        <w:jc w:val="both"/>
        <w:rPr>
          <w:szCs w:val="22"/>
          <w:lang w:val="sr-Latn-ME"/>
        </w:rPr>
      </w:pPr>
    </w:p>
    <w:p w14:paraId="40BFFD37" w14:textId="77777777" w:rsidR="00BD2E63" w:rsidRPr="00B74B0F" w:rsidRDefault="00BD2E63" w:rsidP="00A30C3C">
      <w:pPr>
        <w:keepNext/>
        <w:widowControl w:val="0"/>
        <w:tabs>
          <w:tab w:val="clear" w:pos="567"/>
        </w:tabs>
        <w:spacing w:line="240" w:lineRule="auto"/>
        <w:jc w:val="both"/>
        <w:rPr>
          <w:i/>
          <w:noProof/>
          <w:szCs w:val="22"/>
          <w:u w:val="single"/>
          <w:lang w:val="sr-Latn-ME"/>
        </w:rPr>
      </w:pPr>
      <w:r w:rsidRPr="00B74B0F">
        <w:rPr>
          <w:i/>
          <w:noProof/>
          <w:szCs w:val="22"/>
          <w:u w:val="single"/>
          <w:lang w:val="sr-Latn-ME"/>
        </w:rPr>
        <w:t>Crohnova bolest</w:t>
      </w:r>
    </w:p>
    <w:p w14:paraId="20621068" w14:textId="77777777" w:rsidR="00BD2E63" w:rsidRPr="00B74B0F" w:rsidRDefault="00BD2E63" w:rsidP="00A30C3C">
      <w:pPr>
        <w:keepNext/>
        <w:tabs>
          <w:tab w:val="clear" w:pos="567"/>
        </w:tabs>
        <w:spacing w:line="240" w:lineRule="auto"/>
        <w:jc w:val="both"/>
        <w:rPr>
          <w:noProof/>
          <w:szCs w:val="22"/>
          <w:lang w:val="sr-Latn-ME"/>
        </w:rPr>
      </w:pPr>
    </w:p>
    <w:p w14:paraId="6D1C2F0F" w14:textId="77777777" w:rsidR="00BD2E63" w:rsidRPr="00B74B0F" w:rsidRDefault="00BD2E63" w:rsidP="00A30C3C">
      <w:pPr>
        <w:keepNext/>
        <w:tabs>
          <w:tab w:val="clear" w:pos="567"/>
        </w:tabs>
        <w:spacing w:line="240" w:lineRule="auto"/>
        <w:jc w:val="both"/>
        <w:rPr>
          <w:i/>
          <w:noProof/>
          <w:szCs w:val="22"/>
          <w:lang w:val="sr-Latn-ME"/>
        </w:rPr>
      </w:pPr>
      <w:r w:rsidRPr="00B74B0F">
        <w:rPr>
          <w:i/>
          <w:noProof/>
          <w:szCs w:val="22"/>
          <w:lang w:val="sr-Latn-ME"/>
        </w:rPr>
        <w:t>Indukcija</w:t>
      </w:r>
    </w:p>
    <w:p w14:paraId="6D464503" w14:textId="0DA4F204" w:rsidR="00BD2E63" w:rsidRPr="00B74B0F" w:rsidRDefault="00BD2E63">
      <w:pPr>
        <w:tabs>
          <w:tab w:val="clear" w:pos="567"/>
        </w:tabs>
        <w:spacing w:line="240" w:lineRule="auto"/>
        <w:jc w:val="both"/>
        <w:rPr>
          <w:noProof/>
          <w:szCs w:val="22"/>
          <w:lang w:val="sr-Latn-ME"/>
        </w:rPr>
      </w:pPr>
      <w:r w:rsidRPr="00B74B0F">
        <w:rPr>
          <w:noProof/>
          <w:szCs w:val="22"/>
          <w:lang w:val="sr-Latn-ME"/>
        </w:rPr>
        <w:t xml:space="preserve">Preporučena indukcijska doza upadacitiniba je 45 mg jedanput na dan tokom 12 sedmica. Za </w:t>
      </w:r>
      <w:r w:rsidR="005E12B4" w:rsidRPr="00B74B0F">
        <w:rPr>
          <w:noProof/>
          <w:szCs w:val="22"/>
          <w:lang w:val="sr-Latn-ME"/>
        </w:rPr>
        <w:t xml:space="preserve">pacijente </w:t>
      </w:r>
      <w:r w:rsidRPr="00B74B0F">
        <w:rPr>
          <w:noProof/>
          <w:szCs w:val="22"/>
          <w:lang w:val="sr-Latn-ME"/>
        </w:rPr>
        <w:t>koji nakon početne 12</w:t>
      </w:r>
      <w:r w:rsidRPr="00B74B0F">
        <w:rPr>
          <w:noProof/>
          <w:szCs w:val="22"/>
          <w:lang w:val="sr-Latn-ME"/>
        </w:rPr>
        <w:noBreakHyphen/>
        <w:t xml:space="preserve">sedmične indukcije ne postignu odgovarajuću terapijsku korist, može se razmotriti produženo indukcijsko liječenje tokom dodatnih 12 sedmica, uz primjenu doze od 30 mg jedanput na dan. Ako kod tih </w:t>
      </w:r>
      <w:r w:rsidR="00094B01" w:rsidRPr="00B74B0F">
        <w:rPr>
          <w:noProof/>
          <w:szCs w:val="22"/>
          <w:lang w:val="sr-Latn-ME"/>
        </w:rPr>
        <w:t>pacijenata</w:t>
      </w:r>
      <w:r w:rsidRPr="00B74B0F">
        <w:rPr>
          <w:noProof/>
          <w:szCs w:val="22"/>
          <w:lang w:val="sr-Latn-ME"/>
        </w:rPr>
        <w:t xml:space="preserve"> nema dokaza terapijske koristi ni nakon 24 sedmice liječenja, primjenu upadacitiniba treba prekinuti.</w:t>
      </w:r>
    </w:p>
    <w:p w14:paraId="3BD279F4" w14:textId="77777777" w:rsidR="00BD2E63" w:rsidRPr="00B74B0F" w:rsidRDefault="00BD2E63" w:rsidP="00A30C3C">
      <w:pPr>
        <w:tabs>
          <w:tab w:val="clear" w:pos="567"/>
        </w:tabs>
        <w:spacing w:line="240" w:lineRule="auto"/>
        <w:jc w:val="both"/>
        <w:rPr>
          <w:i/>
          <w:noProof/>
          <w:szCs w:val="22"/>
          <w:lang w:val="sr-Latn-ME"/>
        </w:rPr>
      </w:pPr>
    </w:p>
    <w:p w14:paraId="149D54D8" w14:textId="77777777" w:rsidR="00BD2E63" w:rsidRPr="00B74B0F" w:rsidRDefault="00BD2E63" w:rsidP="00A30C3C">
      <w:pPr>
        <w:keepNext/>
        <w:tabs>
          <w:tab w:val="clear" w:pos="567"/>
        </w:tabs>
        <w:spacing w:line="240" w:lineRule="auto"/>
        <w:jc w:val="both"/>
        <w:rPr>
          <w:i/>
          <w:noProof/>
          <w:szCs w:val="22"/>
          <w:lang w:val="sr-Latn-ME"/>
        </w:rPr>
      </w:pPr>
      <w:r w:rsidRPr="00B74B0F">
        <w:rPr>
          <w:i/>
          <w:noProof/>
          <w:szCs w:val="22"/>
          <w:lang w:val="sr-Latn-ME"/>
        </w:rPr>
        <w:t>Održavanje</w:t>
      </w:r>
    </w:p>
    <w:p w14:paraId="72CC95B8" w14:textId="321A26E5" w:rsidR="00BD2E63" w:rsidRPr="00B74B0F" w:rsidRDefault="00BD2E63" w:rsidP="00A30C3C">
      <w:pPr>
        <w:tabs>
          <w:tab w:val="clear" w:pos="567"/>
        </w:tabs>
        <w:spacing w:line="240" w:lineRule="auto"/>
        <w:jc w:val="both"/>
        <w:rPr>
          <w:rFonts w:eastAsia="Calibri"/>
          <w:szCs w:val="22"/>
          <w:lang w:val="sr-Latn-ME"/>
        </w:rPr>
      </w:pPr>
      <w:r w:rsidRPr="00B74B0F">
        <w:rPr>
          <w:rFonts w:eastAsia="Calibri"/>
          <w:noProof/>
          <w:szCs w:val="22"/>
          <w:lang w:val="sr-Latn-ME"/>
        </w:rPr>
        <w:t xml:space="preserve">Preporučena doza održavanja upadacitiniba je 15 mg ili 30 mg jedanput na dan </w:t>
      </w:r>
      <w:r w:rsidRPr="00B74B0F">
        <w:rPr>
          <w:noProof/>
          <w:szCs w:val="22"/>
          <w:lang w:val="sr-Latn-ME"/>
        </w:rPr>
        <w:t xml:space="preserve">na osnovu  individualnog prikaza </w:t>
      </w:r>
      <w:r w:rsidR="00094B01" w:rsidRPr="00B74B0F">
        <w:rPr>
          <w:noProof/>
          <w:szCs w:val="22"/>
          <w:lang w:val="sr-Latn-ME"/>
        </w:rPr>
        <w:t>pacijenta</w:t>
      </w:r>
      <w:r w:rsidRPr="00B74B0F">
        <w:rPr>
          <w:noProof/>
          <w:szCs w:val="22"/>
          <w:lang w:val="sr-Latn-ME"/>
        </w:rPr>
        <w:t>:</w:t>
      </w:r>
    </w:p>
    <w:p w14:paraId="2D9896FA" w14:textId="4C02B773" w:rsidR="00BD2E63" w:rsidRPr="00B74B0F" w:rsidRDefault="00BD2E63" w:rsidP="00A30C3C">
      <w:pPr>
        <w:numPr>
          <w:ilvl w:val="0"/>
          <w:numId w:val="48"/>
        </w:numPr>
        <w:tabs>
          <w:tab w:val="clear" w:pos="567"/>
        </w:tabs>
        <w:spacing w:line="240" w:lineRule="auto"/>
        <w:ind w:left="1134" w:hanging="567"/>
        <w:contextualSpacing/>
        <w:jc w:val="both"/>
        <w:rPr>
          <w:rFonts w:eastAsia="Calibri"/>
          <w:szCs w:val="22"/>
          <w:lang w:val="sr-Latn-ME"/>
        </w:rPr>
      </w:pPr>
      <w:r w:rsidRPr="00B74B0F">
        <w:rPr>
          <w:rFonts w:eastAsia="Calibri"/>
          <w:szCs w:val="22"/>
          <w:lang w:val="sr-Latn-ME"/>
        </w:rPr>
        <w:t xml:space="preserve">Doza od 15 mg preporučena je kod </w:t>
      </w:r>
      <w:r w:rsidR="00AB77FD" w:rsidRPr="00B74B0F">
        <w:rPr>
          <w:rFonts w:eastAsia="Calibri"/>
          <w:szCs w:val="22"/>
          <w:lang w:val="sr-Latn-ME"/>
        </w:rPr>
        <w:t xml:space="preserve">pacijenata </w:t>
      </w:r>
      <w:r w:rsidRPr="00B74B0F">
        <w:rPr>
          <w:rFonts w:eastAsia="Calibri"/>
          <w:szCs w:val="22"/>
          <w:lang w:val="sr-Latn-ME"/>
        </w:rPr>
        <w:t xml:space="preserve">s povećanim rizikom od VTE, MACE i </w:t>
      </w:r>
      <w:r w:rsidR="005502DD" w:rsidRPr="00B74B0F">
        <w:rPr>
          <w:rFonts w:eastAsia="Calibri"/>
          <w:szCs w:val="22"/>
          <w:lang w:val="sr-Latn-ME"/>
        </w:rPr>
        <w:t>maligniteta</w:t>
      </w:r>
      <w:r w:rsidRPr="00B74B0F">
        <w:rPr>
          <w:rFonts w:eastAsia="Calibri"/>
          <w:szCs w:val="22"/>
          <w:lang w:val="sr-Latn-ME"/>
        </w:rPr>
        <w:t xml:space="preserve"> (vidjeti dio 4.4).</w:t>
      </w:r>
    </w:p>
    <w:p w14:paraId="51E4B449" w14:textId="31AE9891" w:rsidR="00BD2E63" w:rsidRPr="00B74B0F" w:rsidRDefault="00BD2E63" w:rsidP="00A30C3C">
      <w:pPr>
        <w:numPr>
          <w:ilvl w:val="0"/>
          <w:numId w:val="48"/>
        </w:numPr>
        <w:tabs>
          <w:tab w:val="clear" w:pos="567"/>
        </w:tabs>
        <w:spacing w:line="240" w:lineRule="auto"/>
        <w:ind w:left="1134" w:hanging="567"/>
        <w:contextualSpacing/>
        <w:jc w:val="both"/>
        <w:rPr>
          <w:rFonts w:eastAsia="Calibri"/>
          <w:noProof/>
          <w:szCs w:val="22"/>
          <w:lang w:val="sr-Latn-ME"/>
        </w:rPr>
      </w:pPr>
      <w:r w:rsidRPr="00B74B0F">
        <w:rPr>
          <w:rFonts w:eastAsia="Calibri"/>
          <w:noProof/>
          <w:szCs w:val="22"/>
          <w:lang w:val="sr-Latn-ME"/>
        </w:rPr>
        <w:t xml:space="preserve">Doza od 30 mg jedanput na dan može biti prikladna za </w:t>
      </w:r>
      <w:r w:rsidR="00683A69" w:rsidRPr="00B74B0F">
        <w:rPr>
          <w:rFonts w:eastAsia="Calibri"/>
          <w:noProof/>
          <w:szCs w:val="22"/>
          <w:lang w:val="sr-Latn-ME"/>
        </w:rPr>
        <w:t>pacijente</w:t>
      </w:r>
      <w:r w:rsidRPr="00B74B0F">
        <w:rPr>
          <w:rFonts w:eastAsia="Calibri"/>
          <w:noProof/>
          <w:szCs w:val="22"/>
          <w:lang w:val="sr-Latn-ME"/>
        </w:rPr>
        <w:t xml:space="preserve"> s</w:t>
      </w:r>
      <w:r w:rsidR="005502DD" w:rsidRPr="00B74B0F">
        <w:rPr>
          <w:rFonts w:eastAsia="Calibri"/>
          <w:noProof/>
          <w:szCs w:val="22"/>
          <w:lang w:val="sr-Latn-ME"/>
        </w:rPr>
        <w:t>a</w:t>
      </w:r>
      <w:r w:rsidRPr="00B74B0F">
        <w:rPr>
          <w:rFonts w:eastAsia="Calibri"/>
          <w:noProof/>
          <w:szCs w:val="22"/>
          <w:lang w:val="sr-Latn-ME"/>
        </w:rPr>
        <w:t xml:space="preserve"> velikim opterećenjem bolešću</w:t>
      </w:r>
      <w:r w:rsidRPr="00B74B0F">
        <w:rPr>
          <w:rFonts w:eastAsia="Calibri"/>
          <w:szCs w:val="22"/>
          <w:lang w:val="sr-Latn-ME"/>
        </w:rPr>
        <w:t xml:space="preserve"> kod kojih nije povećan rizik od VTE, MACE i </w:t>
      </w:r>
      <w:r w:rsidR="005502DD" w:rsidRPr="00B74B0F">
        <w:rPr>
          <w:rFonts w:eastAsia="Calibri"/>
          <w:szCs w:val="22"/>
          <w:lang w:val="sr-Latn-ME"/>
        </w:rPr>
        <w:t xml:space="preserve">maligniteta </w:t>
      </w:r>
      <w:r w:rsidRPr="00B74B0F">
        <w:rPr>
          <w:rFonts w:eastAsia="Calibri"/>
          <w:szCs w:val="22"/>
          <w:lang w:val="sr-Latn-ME"/>
        </w:rPr>
        <w:t xml:space="preserve">(vidjeti dio 4.4) ili </w:t>
      </w:r>
      <w:r w:rsidRPr="00B74B0F">
        <w:rPr>
          <w:rFonts w:eastAsia="Calibri"/>
          <w:noProof/>
          <w:szCs w:val="22"/>
          <w:lang w:val="sr-Latn-ME"/>
        </w:rPr>
        <w:t xml:space="preserve">za </w:t>
      </w:r>
      <w:r w:rsidR="004D668A" w:rsidRPr="00B74B0F">
        <w:rPr>
          <w:rFonts w:eastAsia="Calibri"/>
          <w:noProof/>
          <w:szCs w:val="22"/>
          <w:lang w:val="sr-Latn-ME"/>
        </w:rPr>
        <w:t>pacijent</w:t>
      </w:r>
      <w:r w:rsidRPr="00B74B0F">
        <w:rPr>
          <w:rFonts w:eastAsia="Calibri"/>
          <w:noProof/>
          <w:szCs w:val="22"/>
          <w:lang w:val="sr-Latn-ME"/>
        </w:rPr>
        <w:t xml:space="preserve">e </w:t>
      </w:r>
      <w:r w:rsidR="00AB77FD" w:rsidRPr="00B74B0F">
        <w:rPr>
          <w:rFonts w:eastAsia="Calibri"/>
          <w:noProof/>
          <w:szCs w:val="22"/>
          <w:lang w:val="sr-Latn-ME"/>
        </w:rPr>
        <w:t>kod</w:t>
      </w:r>
      <w:r w:rsidRPr="00B74B0F">
        <w:rPr>
          <w:rFonts w:eastAsia="Calibri"/>
          <w:noProof/>
          <w:szCs w:val="22"/>
          <w:lang w:val="sr-Latn-ME"/>
        </w:rPr>
        <w:t xml:space="preserve"> kojih se uz primjenu doze od 15 mg jedanput na dan ne pokaže odgovarajuća terapijska korist.</w:t>
      </w:r>
    </w:p>
    <w:p w14:paraId="4DE52897" w14:textId="121FC853" w:rsidR="00BD2E63" w:rsidRPr="00B74B0F" w:rsidRDefault="00BD2E63" w:rsidP="00A30C3C">
      <w:pPr>
        <w:numPr>
          <w:ilvl w:val="0"/>
          <w:numId w:val="48"/>
        </w:numPr>
        <w:tabs>
          <w:tab w:val="clear" w:pos="567"/>
        </w:tabs>
        <w:spacing w:line="240" w:lineRule="auto"/>
        <w:ind w:left="1134" w:hanging="567"/>
        <w:contextualSpacing/>
        <w:jc w:val="both"/>
        <w:rPr>
          <w:rFonts w:eastAsia="Calibri"/>
          <w:noProof/>
          <w:szCs w:val="22"/>
          <w:lang w:val="sr-Latn-ME"/>
        </w:rPr>
      </w:pPr>
      <w:r w:rsidRPr="00B74B0F">
        <w:rPr>
          <w:rFonts w:eastAsia="Calibri"/>
          <w:noProof/>
          <w:szCs w:val="22"/>
          <w:lang w:val="sr-Latn-ME"/>
        </w:rPr>
        <w:t xml:space="preserve">Treba </w:t>
      </w:r>
      <w:r w:rsidRPr="00B74B0F">
        <w:rPr>
          <w:rFonts w:eastAsia="Calibri"/>
          <w:szCs w:val="22"/>
          <w:lang w:val="sr-Latn-ME"/>
        </w:rPr>
        <w:t xml:space="preserve">primijeniti </w:t>
      </w:r>
      <w:r w:rsidRPr="00B74B0F">
        <w:rPr>
          <w:rFonts w:eastAsia="Calibri"/>
          <w:noProof/>
          <w:szCs w:val="22"/>
          <w:lang w:val="sr-Latn-ME"/>
        </w:rPr>
        <w:t xml:space="preserve">najnižu </w:t>
      </w:r>
      <w:r w:rsidR="00AB77FD" w:rsidRPr="00B74B0F">
        <w:rPr>
          <w:rFonts w:eastAsia="Calibri"/>
          <w:noProof/>
          <w:szCs w:val="22"/>
          <w:lang w:val="sr-Latn-ME"/>
        </w:rPr>
        <w:t xml:space="preserve">efikasnu </w:t>
      </w:r>
      <w:r w:rsidRPr="00B74B0F">
        <w:rPr>
          <w:rFonts w:eastAsia="Calibri"/>
          <w:noProof/>
          <w:szCs w:val="22"/>
          <w:lang w:val="sr-Latn-ME"/>
        </w:rPr>
        <w:t>dozu z</w:t>
      </w:r>
      <w:r w:rsidRPr="00B74B0F">
        <w:rPr>
          <w:rFonts w:eastAsia="Calibri"/>
          <w:szCs w:val="22"/>
          <w:lang w:val="sr-Latn-ME"/>
        </w:rPr>
        <w:t>a održavanje odgovora</w:t>
      </w:r>
      <w:r w:rsidRPr="00B74B0F">
        <w:rPr>
          <w:rFonts w:eastAsia="Calibri"/>
          <w:noProof/>
          <w:szCs w:val="22"/>
          <w:lang w:val="sr-Latn-ME"/>
        </w:rPr>
        <w:t>.</w:t>
      </w:r>
    </w:p>
    <w:p w14:paraId="6B52FB0D" w14:textId="77777777" w:rsidR="00BD2E63" w:rsidRPr="00B74B0F" w:rsidRDefault="00BD2E63" w:rsidP="00A30C3C">
      <w:pPr>
        <w:tabs>
          <w:tab w:val="clear" w:pos="567"/>
          <w:tab w:val="left" w:pos="708"/>
        </w:tabs>
        <w:spacing w:line="240" w:lineRule="auto"/>
        <w:jc w:val="both"/>
        <w:rPr>
          <w:rFonts w:eastAsia="Calibri"/>
          <w:noProof/>
          <w:szCs w:val="22"/>
          <w:lang w:val="sr-Latn-ME"/>
        </w:rPr>
      </w:pPr>
    </w:p>
    <w:p w14:paraId="69760586" w14:textId="32C8A34E" w:rsidR="00BD2E63" w:rsidRPr="00B74B0F" w:rsidRDefault="00BD2E63" w:rsidP="00A30C3C">
      <w:pPr>
        <w:tabs>
          <w:tab w:val="clear" w:pos="567"/>
          <w:tab w:val="left" w:pos="708"/>
        </w:tabs>
        <w:spacing w:line="240" w:lineRule="auto"/>
        <w:jc w:val="both"/>
        <w:rPr>
          <w:rFonts w:eastAsia="Calibri"/>
          <w:noProof/>
          <w:szCs w:val="22"/>
          <w:lang w:val="sr-Latn-ME"/>
        </w:rPr>
      </w:pPr>
      <w:r w:rsidRPr="00B74B0F">
        <w:rPr>
          <w:rFonts w:eastAsia="Calibri"/>
          <w:noProof/>
          <w:szCs w:val="22"/>
          <w:lang w:val="sr-Latn-ME"/>
        </w:rPr>
        <w:t xml:space="preserve">Za </w:t>
      </w:r>
      <w:r w:rsidR="004D668A" w:rsidRPr="00B74B0F">
        <w:rPr>
          <w:rFonts w:eastAsia="Calibri"/>
          <w:noProof/>
          <w:szCs w:val="22"/>
          <w:lang w:val="sr-Latn-ME"/>
        </w:rPr>
        <w:t>pacijent</w:t>
      </w:r>
      <w:r w:rsidRPr="00B74B0F">
        <w:rPr>
          <w:rFonts w:eastAsia="Calibri"/>
          <w:noProof/>
          <w:szCs w:val="22"/>
          <w:lang w:val="sr-Latn-ME"/>
        </w:rPr>
        <w:t>e starosti od 65 </w:t>
      </w:r>
      <w:r w:rsidRPr="00B74B0F">
        <w:rPr>
          <w:rFonts w:eastAsia="Calibri"/>
          <w:szCs w:val="22"/>
          <w:lang w:val="sr-Latn-ME"/>
        </w:rPr>
        <w:t>godina i starije</w:t>
      </w:r>
      <w:r w:rsidRPr="00B74B0F">
        <w:rPr>
          <w:rFonts w:eastAsia="Calibri"/>
          <w:noProof/>
          <w:szCs w:val="22"/>
          <w:lang w:val="sr-Latn-ME"/>
        </w:rPr>
        <w:t xml:space="preserve">, preporučena doza održavanja je 15 mg jedanput na </w:t>
      </w:r>
      <w:r w:rsidRPr="00B74B0F">
        <w:rPr>
          <w:rFonts w:eastAsia="Calibri"/>
          <w:szCs w:val="22"/>
          <w:lang w:val="sr-Latn-ME"/>
        </w:rPr>
        <w:t>dan (vidjeti dio 4.4).</w:t>
      </w:r>
    </w:p>
    <w:p w14:paraId="6FBEE3C8" w14:textId="77777777" w:rsidR="00BD2E63" w:rsidRPr="00B74B0F" w:rsidRDefault="00BD2E63" w:rsidP="00A30C3C">
      <w:pPr>
        <w:tabs>
          <w:tab w:val="clear" w:pos="567"/>
        </w:tabs>
        <w:spacing w:line="240" w:lineRule="auto"/>
        <w:jc w:val="both"/>
        <w:rPr>
          <w:noProof/>
          <w:szCs w:val="22"/>
          <w:lang w:val="sr-Latn-ME"/>
        </w:rPr>
      </w:pPr>
    </w:p>
    <w:p w14:paraId="09356466" w14:textId="6854C85E" w:rsidR="00BD2E63" w:rsidRPr="00B74B0F" w:rsidRDefault="00BD2E63" w:rsidP="00A30C3C">
      <w:pPr>
        <w:tabs>
          <w:tab w:val="clear" w:pos="567"/>
          <w:tab w:val="left" w:pos="708"/>
        </w:tabs>
        <w:autoSpaceDE w:val="0"/>
        <w:autoSpaceDN w:val="0"/>
        <w:adjustRightInd w:val="0"/>
        <w:spacing w:line="240" w:lineRule="auto"/>
        <w:jc w:val="both"/>
        <w:rPr>
          <w:rFonts w:eastAsia="Calibri"/>
          <w:noProof/>
          <w:szCs w:val="22"/>
          <w:lang w:val="sr-Latn-ME"/>
        </w:rPr>
      </w:pPr>
      <w:r w:rsidRPr="00B74B0F">
        <w:rPr>
          <w:rFonts w:eastAsia="Calibri"/>
          <w:noProof/>
          <w:szCs w:val="22"/>
          <w:lang w:val="sr-Latn-ME"/>
        </w:rPr>
        <w:t xml:space="preserve">Kod  </w:t>
      </w:r>
      <w:r w:rsidR="00AB77FD" w:rsidRPr="00B74B0F">
        <w:rPr>
          <w:rFonts w:eastAsia="Calibri"/>
          <w:noProof/>
          <w:szCs w:val="22"/>
          <w:lang w:val="sr-Latn-ME"/>
        </w:rPr>
        <w:t xml:space="preserve">pacijenata </w:t>
      </w:r>
      <w:r w:rsidRPr="00B74B0F">
        <w:rPr>
          <w:noProof/>
          <w:szCs w:val="22"/>
          <w:lang w:val="sr-Latn-ME"/>
        </w:rPr>
        <w:t xml:space="preserve">koji su odgovorili </w:t>
      </w:r>
      <w:r w:rsidRPr="00B74B0F">
        <w:rPr>
          <w:rFonts w:eastAsia="Calibri"/>
          <w:noProof/>
          <w:szCs w:val="22"/>
          <w:lang w:val="sr-Latn-ME"/>
        </w:rPr>
        <w:t>na liječenje upadacitinibom, primjena kortikosteroida može se smanjiti i/ili prekinuti u skladu sa standardnim liječenjem.</w:t>
      </w:r>
    </w:p>
    <w:p w14:paraId="037F21D1" w14:textId="77777777" w:rsidR="00BD2E63" w:rsidRPr="00B74B0F" w:rsidRDefault="00BD2E63">
      <w:pPr>
        <w:tabs>
          <w:tab w:val="clear" w:pos="567"/>
        </w:tabs>
        <w:autoSpaceDE w:val="0"/>
        <w:autoSpaceDN w:val="0"/>
        <w:adjustRightInd w:val="0"/>
        <w:spacing w:line="240" w:lineRule="auto"/>
        <w:jc w:val="both"/>
        <w:rPr>
          <w:szCs w:val="22"/>
          <w:lang w:val="sr-Latn-ME"/>
        </w:rPr>
      </w:pPr>
    </w:p>
    <w:p w14:paraId="30C1D082" w14:textId="77777777" w:rsidR="00B54A40" w:rsidRPr="00B74B0F" w:rsidRDefault="00B54A40">
      <w:pPr>
        <w:tabs>
          <w:tab w:val="clear" w:pos="567"/>
        </w:tabs>
        <w:autoSpaceDE w:val="0"/>
        <w:autoSpaceDN w:val="0"/>
        <w:adjustRightInd w:val="0"/>
        <w:spacing w:line="240" w:lineRule="auto"/>
        <w:jc w:val="both"/>
        <w:rPr>
          <w:szCs w:val="22"/>
          <w:u w:val="single"/>
          <w:lang w:val="sr-Latn-ME"/>
        </w:rPr>
      </w:pPr>
      <w:r w:rsidRPr="00B74B0F">
        <w:rPr>
          <w:szCs w:val="22"/>
          <w:u w:val="single"/>
          <w:lang w:val="sr-Latn-ME"/>
        </w:rPr>
        <w:t>Interakcije</w:t>
      </w:r>
    </w:p>
    <w:p w14:paraId="1668C766" w14:textId="77777777" w:rsidR="00B54A40" w:rsidRPr="00B74B0F" w:rsidRDefault="00B54A40">
      <w:pPr>
        <w:tabs>
          <w:tab w:val="clear" w:pos="567"/>
        </w:tabs>
        <w:autoSpaceDE w:val="0"/>
        <w:autoSpaceDN w:val="0"/>
        <w:adjustRightInd w:val="0"/>
        <w:spacing w:line="240" w:lineRule="auto"/>
        <w:jc w:val="both"/>
        <w:rPr>
          <w:szCs w:val="22"/>
          <w:u w:val="single"/>
          <w:lang w:val="sr-Latn-ME"/>
        </w:rPr>
      </w:pPr>
    </w:p>
    <w:p w14:paraId="4CB6420F" w14:textId="1797A6CA" w:rsidR="00B54A40" w:rsidRPr="00B74B0F" w:rsidRDefault="00B54A40">
      <w:pPr>
        <w:tabs>
          <w:tab w:val="clear" w:pos="567"/>
        </w:tabs>
        <w:autoSpaceDE w:val="0"/>
        <w:autoSpaceDN w:val="0"/>
        <w:adjustRightInd w:val="0"/>
        <w:spacing w:line="240" w:lineRule="auto"/>
        <w:jc w:val="both"/>
        <w:rPr>
          <w:szCs w:val="22"/>
          <w:lang w:val="sr-Latn-ME"/>
        </w:rPr>
      </w:pPr>
      <w:r w:rsidRPr="00B74B0F">
        <w:rPr>
          <w:szCs w:val="22"/>
          <w:lang w:val="sr-Latn-ME"/>
        </w:rPr>
        <w:t xml:space="preserve">Za </w:t>
      </w:r>
      <w:r w:rsidR="00181042" w:rsidRPr="00B74B0F">
        <w:rPr>
          <w:szCs w:val="22"/>
          <w:lang w:val="sr-Latn-ME"/>
        </w:rPr>
        <w:t>pacijent</w:t>
      </w:r>
      <w:r w:rsidRPr="00B74B0F">
        <w:rPr>
          <w:szCs w:val="22"/>
          <w:lang w:val="sr-Latn-ME"/>
        </w:rPr>
        <w:t xml:space="preserve">e s ulceroznim kolitisom </w:t>
      </w:r>
      <w:r w:rsidR="00C36DBE" w:rsidRPr="00B74B0F">
        <w:rPr>
          <w:szCs w:val="22"/>
          <w:lang w:val="sr-Latn-ME"/>
        </w:rPr>
        <w:t xml:space="preserve">i </w:t>
      </w:r>
      <w:r w:rsidR="00AB77FD" w:rsidRPr="00B74B0F">
        <w:rPr>
          <w:szCs w:val="22"/>
          <w:lang w:val="sr-Latn-ME"/>
        </w:rPr>
        <w:t>K</w:t>
      </w:r>
      <w:r w:rsidR="00C36DBE" w:rsidRPr="00B74B0F">
        <w:rPr>
          <w:szCs w:val="22"/>
          <w:lang w:val="sr-Latn-ME"/>
        </w:rPr>
        <w:t>ronovom bolešću</w:t>
      </w:r>
      <w:r w:rsidR="00AB6363" w:rsidRPr="00B74B0F">
        <w:rPr>
          <w:szCs w:val="22"/>
          <w:lang w:val="sr-Latn-ME"/>
        </w:rPr>
        <w:t xml:space="preserve"> </w:t>
      </w:r>
      <w:r w:rsidRPr="00B74B0F">
        <w:rPr>
          <w:szCs w:val="22"/>
          <w:lang w:val="sr-Latn-ME"/>
        </w:rPr>
        <w:t>koji primaju jake inhibitore cito</w:t>
      </w:r>
      <w:r w:rsidR="00EC7239" w:rsidRPr="00B74B0F">
        <w:rPr>
          <w:szCs w:val="22"/>
          <w:lang w:val="sr-Latn-ME"/>
        </w:rPr>
        <w:t>h</w:t>
      </w:r>
      <w:r w:rsidRPr="00B74B0F">
        <w:rPr>
          <w:szCs w:val="22"/>
          <w:lang w:val="sr-Latn-ME"/>
        </w:rPr>
        <w:t>roma P450 (CYP) 3A4 (npr. ketokonazol, klaritromicin), preporučena indukcijska doza je 30 mg jedanput na dan, a preporučena doza održavanja je 15 mg jedanput na dan (vidjeti dio 4.5).</w:t>
      </w:r>
    </w:p>
    <w:p w14:paraId="07112786" w14:textId="77777777" w:rsidR="00B54A40" w:rsidRPr="00B74B0F" w:rsidRDefault="00B54A40">
      <w:pPr>
        <w:autoSpaceDE w:val="0"/>
        <w:autoSpaceDN w:val="0"/>
        <w:adjustRightInd w:val="0"/>
        <w:spacing w:line="240" w:lineRule="auto"/>
        <w:jc w:val="both"/>
        <w:rPr>
          <w:i/>
          <w:noProof/>
          <w:szCs w:val="22"/>
          <w:lang w:val="sr-Latn-ME"/>
        </w:rPr>
      </w:pPr>
    </w:p>
    <w:p w14:paraId="3825ECA3" w14:textId="77777777" w:rsidR="00B54A40" w:rsidRPr="00B74B0F" w:rsidRDefault="00B54A40">
      <w:pPr>
        <w:keepNext/>
        <w:autoSpaceDE w:val="0"/>
        <w:autoSpaceDN w:val="0"/>
        <w:adjustRightInd w:val="0"/>
        <w:spacing w:line="240" w:lineRule="auto"/>
        <w:jc w:val="both"/>
        <w:rPr>
          <w:noProof/>
          <w:szCs w:val="22"/>
          <w:u w:val="single"/>
          <w:lang w:val="sr-Latn-ME"/>
        </w:rPr>
      </w:pPr>
      <w:r w:rsidRPr="00B74B0F">
        <w:rPr>
          <w:noProof/>
          <w:szCs w:val="22"/>
          <w:u w:val="single"/>
          <w:lang w:val="sr-Latn-ME"/>
        </w:rPr>
        <w:t xml:space="preserve">Početak primjene </w:t>
      </w:r>
    </w:p>
    <w:p w14:paraId="21F40275" w14:textId="77777777" w:rsidR="00B54A40" w:rsidRPr="00B74B0F" w:rsidRDefault="00B54A40">
      <w:pPr>
        <w:keepNext/>
        <w:autoSpaceDE w:val="0"/>
        <w:autoSpaceDN w:val="0"/>
        <w:adjustRightInd w:val="0"/>
        <w:spacing w:line="240" w:lineRule="auto"/>
        <w:jc w:val="both"/>
        <w:rPr>
          <w:iCs/>
          <w:noProof/>
          <w:szCs w:val="22"/>
          <w:u w:val="single"/>
          <w:lang w:val="sr-Latn-ME"/>
        </w:rPr>
      </w:pPr>
    </w:p>
    <w:p w14:paraId="641D059B" w14:textId="717C7FEE" w:rsidR="00543219" w:rsidRPr="00B74B0F" w:rsidRDefault="00543219">
      <w:pPr>
        <w:autoSpaceDE w:val="0"/>
        <w:autoSpaceDN w:val="0"/>
        <w:adjustRightInd w:val="0"/>
        <w:spacing w:line="240" w:lineRule="auto"/>
        <w:contextualSpacing/>
        <w:jc w:val="both"/>
        <w:rPr>
          <w:szCs w:val="22"/>
          <w:lang w:val="sr-Latn-ME"/>
        </w:rPr>
      </w:pPr>
      <w:r w:rsidRPr="00B74B0F">
        <w:rPr>
          <w:szCs w:val="22"/>
          <w:lang w:val="sr-Latn-ME"/>
        </w:rPr>
        <w:t xml:space="preserve">Liječenje se ne smije započeti kod pacijenata sa apsolutnim brojem limfocita (ABL) </w:t>
      </w:r>
      <w:r w:rsidR="005502DD" w:rsidRPr="00B74B0F">
        <w:rPr>
          <w:szCs w:val="22"/>
          <w:lang w:val="sr-Latn-ME"/>
        </w:rPr>
        <w:t>&lt; 0,5 x 10</w:t>
      </w:r>
      <w:r w:rsidR="005502DD" w:rsidRPr="00B74B0F">
        <w:rPr>
          <w:szCs w:val="22"/>
          <w:vertAlign w:val="superscript"/>
          <w:lang w:val="sr-Latn-ME"/>
        </w:rPr>
        <w:t>9</w:t>
      </w:r>
      <w:r w:rsidR="005502DD" w:rsidRPr="00B74B0F">
        <w:rPr>
          <w:szCs w:val="22"/>
          <w:lang w:val="sr-Latn-ME"/>
        </w:rPr>
        <w:t xml:space="preserve"> </w:t>
      </w:r>
      <w:r w:rsidRPr="00B74B0F">
        <w:rPr>
          <w:szCs w:val="22"/>
          <w:lang w:val="sr-Latn-ME"/>
        </w:rPr>
        <w:t>ćelija/</w:t>
      </w:r>
      <w:r w:rsidR="005502DD" w:rsidRPr="00B74B0F">
        <w:rPr>
          <w:szCs w:val="22"/>
          <w:lang w:val="sr-Latn-ME"/>
        </w:rPr>
        <w:t>l</w:t>
      </w:r>
      <w:r w:rsidRPr="00B74B0F">
        <w:rPr>
          <w:szCs w:val="22"/>
          <w:lang w:val="sr-Latn-ME"/>
        </w:rPr>
        <w:t>, apsolutnim brojem neutrofila (ABN) &lt; 1</w:t>
      </w:r>
      <w:r w:rsidR="005502DD" w:rsidRPr="00B74B0F">
        <w:rPr>
          <w:szCs w:val="22"/>
          <w:vertAlign w:val="superscript"/>
          <w:lang w:val="sr-Latn-ME"/>
        </w:rPr>
        <w:t xml:space="preserve"> </w:t>
      </w:r>
      <w:r w:rsidR="005502DD" w:rsidRPr="00B74B0F">
        <w:rPr>
          <w:szCs w:val="22"/>
          <w:lang w:val="sr-Latn-ME"/>
        </w:rPr>
        <w:t>x 10</w:t>
      </w:r>
      <w:r w:rsidR="005502DD" w:rsidRPr="00B74B0F">
        <w:rPr>
          <w:szCs w:val="22"/>
          <w:vertAlign w:val="superscript"/>
          <w:lang w:val="sr-Latn-ME"/>
        </w:rPr>
        <w:t>9</w:t>
      </w:r>
      <w:r w:rsidR="005502DD" w:rsidRPr="00B74B0F">
        <w:rPr>
          <w:szCs w:val="22"/>
          <w:lang w:val="sr-Latn-ME"/>
        </w:rPr>
        <w:t xml:space="preserve"> ćelija/l</w:t>
      </w:r>
      <w:r w:rsidRPr="00B74B0F">
        <w:rPr>
          <w:szCs w:val="22"/>
          <w:lang w:val="sr-Latn-ME"/>
        </w:rPr>
        <w:t xml:space="preserve"> ili vrijednošću hemoglobina (Hb) &lt; 8 g/dl (vidjeti djelove 4.4 i 4.8).</w:t>
      </w:r>
    </w:p>
    <w:p w14:paraId="3FEAF9BE" w14:textId="77777777" w:rsidR="00B54A40" w:rsidRPr="00B74B0F" w:rsidRDefault="00B54A40">
      <w:pPr>
        <w:autoSpaceDE w:val="0"/>
        <w:autoSpaceDN w:val="0"/>
        <w:adjustRightInd w:val="0"/>
        <w:spacing w:line="240" w:lineRule="auto"/>
        <w:contextualSpacing/>
        <w:jc w:val="both"/>
        <w:rPr>
          <w:noProof/>
          <w:szCs w:val="22"/>
          <w:lang w:val="sr-Latn-ME"/>
        </w:rPr>
      </w:pPr>
    </w:p>
    <w:p w14:paraId="347BB941" w14:textId="77777777" w:rsidR="00B54A40" w:rsidRPr="00B74B0F" w:rsidRDefault="00B54A40">
      <w:pPr>
        <w:keepNext/>
        <w:autoSpaceDE w:val="0"/>
        <w:autoSpaceDN w:val="0"/>
        <w:adjustRightInd w:val="0"/>
        <w:spacing w:line="240" w:lineRule="auto"/>
        <w:contextualSpacing/>
        <w:jc w:val="both"/>
        <w:rPr>
          <w:bCs/>
          <w:noProof/>
          <w:szCs w:val="22"/>
          <w:u w:val="single"/>
          <w:lang w:val="sr-Latn-ME"/>
        </w:rPr>
      </w:pPr>
      <w:r w:rsidRPr="00B74B0F">
        <w:rPr>
          <w:bCs/>
          <w:noProof/>
          <w:szCs w:val="22"/>
          <w:u w:val="single"/>
          <w:lang w:val="sr-Latn-ME"/>
        </w:rPr>
        <w:t>Privremeni prekid liječenja</w:t>
      </w:r>
    </w:p>
    <w:p w14:paraId="097EB42E" w14:textId="77777777" w:rsidR="00B54A40" w:rsidRPr="00B74B0F" w:rsidRDefault="00B54A40">
      <w:pPr>
        <w:keepNext/>
        <w:autoSpaceDE w:val="0"/>
        <w:autoSpaceDN w:val="0"/>
        <w:adjustRightInd w:val="0"/>
        <w:spacing w:line="240" w:lineRule="auto"/>
        <w:contextualSpacing/>
        <w:jc w:val="both"/>
        <w:rPr>
          <w:noProof/>
          <w:szCs w:val="22"/>
          <w:lang w:val="sr-Latn-ME"/>
        </w:rPr>
      </w:pPr>
    </w:p>
    <w:p w14:paraId="5CD2F9B6" w14:textId="5E1458E6" w:rsidR="00B54A40" w:rsidRPr="00B74B0F" w:rsidRDefault="00B54A40">
      <w:pPr>
        <w:autoSpaceDE w:val="0"/>
        <w:autoSpaceDN w:val="0"/>
        <w:adjustRightInd w:val="0"/>
        <w:spacing w:line="240" w:lineRule="auto"/>
        <w:contextualSpacing/>
        <w:jc w:val="both"/>
        <w:rPr>
          <w:bCs/>
          <w:noProof/>
          <w:szCs w:val="22"/>
          <w:lang w:val="sr-Latn-ME"/>
        </w:rPr>
      </w:pPr>
      <w:r w:rsidRPr="00B74B0F">
        <w:rPr>
          <w:noProof/>
          <w:szCs w:val="22"/>
          <w:lang w:val="sr-Latn-ME"/>
        </w:rPr>
        <w:t xml:space="preserve">Ako se </w:t>
      </w:r>
      <w:r w:rsidR="00EC7239" w:rsidRPr="00B74B0F">
        <w:rPr>
          <w:noProof/>
          <w:szCs w:val="22"/>
          <w:lang w:val="sr-Latn-ME"/>
        </w:rPr>
        <w:t>kod</w:t>
      </w:r>
      <w:r w:rsidRPr="00B74B0F">
        <w:rPr>
          <w:noProof/>
          <w:szCs w:val="22"/>
          <w:lang w:val="sr-Latn-ME"/>
        </w:rPr>
        <w:t xml:space="preserve"> </w:t>
      </w:r>
      <w:r w:rsidR="00FA5493" w:rsidRPr="00B74B0F">
        <w:rPr>
          <w:noProof/>
          <w:szCs w:val="22"/>
          <w:lang w:val="sr-Latn-ME"/>
        </w:rPr>
        <w:t>pacijenata</w:t>
      </w:r>
      <w:r w:rsidRPr="00B74B0F">
        <w:rPr>
          <w:noProof/>
          <w:szCs w:val="22"/>
          <w:lang w:val="sr-Latn-ME"/>
        </w:rPr>
        <w:t xml:space="preserve"> razvije ozbiljna infekcija, liječenje treba privremeno prekinuti dok se ona ne stavi pod kontrolu.</w:t>
      </w:r>
    </w:p>
    <w:p w14:paraId="24C2B361" w14:textId="77777777" w:rsidR="00B54A40" w:rsidRPr="00B74B0F" w:rsidRDefault="00B54A40">
      <w:pPr>
        <w:autoSpaceDE w:val="0"/>
        <w:autoSpaceDN w:val="0"/>
        <w:adjustRightInd w:val="0"/>
        <w:spacing w:line="240" w:lineRule="auto"/>
        <w:contextualSpacing/>
        <w:jc w:val="both"/>
        <w:rPr>
          <w:bCs/>
          <w:noProof/>
          <w:szCs w:val="22"/>
          <w:lang w:val="sr-Latn-ME"/>
        </w:rPr>
      </w:pPr>
    </w:p>
    <w:p w14:paraId="5C68582B" w14:textId="1ADC9159" w:rsidR="00B54A40" w:rsidRPr="00B74B0F" w:rsidRDefault="00B54A40">
      <w:pPr>
        <w:autoSpaceDE w:val="0"/>
        <w:autoSpaceDN w:val="0"/>
        <w:adjustRightInd w:val="0"/>
        <w:spacing w:line="240" w:lineRule="auto"/>
        <w:contextualSpacing/>
        <w:jc w:val="both"/>
        <w:rPr>
          <w:noProof/>
          <w:szCs w:val="22"/>
          <w:lang w:val="sr-Latn-ME"/>
        </w:rPr>
      </w:pPr>
      <w:r w:rsidRPr="00B74B0F">
        <w:rPr>
          <w:noProof/>
          <w:szCs w:val="22"/>
          <w:lang w:val="sr-Latn-ME"/>
        </w:rPr>
        <w:t>Možda će biti potreban privremeni prekid primjene lijeka radi zbrinjavanja odstupanja laboratorijskih parametara, kako je opisano u Tab</w:t>
      </w:r>
      <w:r w:rsidR="00FA5493" w:rsidRPr="00B74B0F">
        <w:rPr>
          <w:noProof/>
          <w:szCs w:val="22"/>
          <w:lang w:val="sr-Latn-ME"/>
        </w:rPr>
        <w:t>eli</w:t>
      </w:r>
      <w:r w:rsidRPr="00B74B0F">
        <w:rPr>
          <w:noProof/>
          <w:szCs w:val="22"/>
          <w:lang w:val="sr-Latn-ME"/>
        </w:rPr>
        <w:t> 1.</w:t>
      </w:r>
    </w:p>
    <w:p w14:paraId="45F58EB7" w14:textId="77777777" w:rsidR="001448CC" w:rsidRPr="00B74B0F" w:rsidRDefault="001448CC">
      <w:pPr>
        <w:pStyle w:val="BulletText1"/>
        <w:numPr>
          <w:ilvl w:val="0"/>
          <w:numId w:val="0"/>
        </w:numPr>
        <w:contextualSpacing/>
        <w:jc w:val="both"/>
        <w:rPr>
          <w:szCs w:val="22"/>
          <w:lang w:val="sr-Latn-ME"/>
        </w:rPr>
      </w:pPr>
    </w:p>
    <w:p w14:paraId="2AFD5B94" w14:textId="77777777" w:rsidR="00FF0DFD" w:rsidRPr="00B74B0F" w:rsidRDefault="00FF0DFD">
      <w:pPr>
        <w:pStyle w:val="BulletText1"/>
        <w:numPr>
          <w:ilvl w:val="0"/>
          <w:numId w:val="0"/>
        </w:numPr>
        <w:contextualSpacing/>
        <w:jc w:val="both"/>
        <w:rPr>
          <w:szCs w:val="22"/>
          <w:lang w:val="sr-Latn-ME"/>
        </w:rPr>
      </w:pPr>
    </w:p>
    <w:p w14:paraId="18D8C351" w14:textId="77777777" w:rsidR="00FD7362" w:rsidRPr="00B74B0F" w:rsidRDefault="00FD7362">
      <w:pPr>
        <w:autoSpaceDE w:val="0"/>
        <w:autoSpaceDN w:val="0"/>
        <w:adjustRightInd w:val="0"/>
        <w:spacing w:line="240" w:lineRule="auto"/>
        <w:contextualSpacing/>
        <w:jc w:val="both"/>
        <w:rPr>
          <w:bCs/>
          <w:szCs w:val="22"/>
          <w:lang w:val="sr-Latn-ME"/>
        </w:rPr>
      </w:pPr>
    </w:p>
    <w:p w14:paraId="4EC9CB33" w14:textId="1DD8D662" w:rsidR="00C24D03" w:rsidRPr="00B74B0F" w:rsidRDefault="00906CF8">
      <w:pPr>
        <w:keepNext/>
        <w:shd w:val="clear" w:color="auto" w:fill="FFFFFF"/>
        <w:spacing w:line="240" w:lineRule="auto"/>
        <w:contextualSpacing/>
        <w:jc w:val="both"/>
        <w:rPr>
          <w:szCs w:val="22"/>
          <w:lang w:val="sr-Latn-ME"/>
        </w:rPr>
      </w:pPr>
      <w:r w:rsidRPr="00B74B0F">
        <w:rPr>
          <w:b/>
          <w:szCs w:val="22"/>
          <w:lang w:val="sr-Latn-ME"/>
        </w:rPr>
        <w:lastRenderedPageBreak/>
        <w:t>Tab</w:t>
      </w:r>
      <w:r w:rsidR="00B55969" w:rsidRPr="00B74B0F">
        <w:rPr>
          <w:b/>
          <w:szCs w:val="22"/>
          <w:lang w:val="sr-Latn-ME"/>
        </w:rPr>
        <w:t>ela</w:t>
      </w:r>
      <w:r w:rsidRPr="00B74B0F">
        <w:rPr>
          <w:b/>
          <w:szCs w:val="22"/>
          <w:lang w:val="sr-Latn-ME"/>
        </w:rPr>
        <w:t> 1: Laboratorijsk</w:t>
      </w:r>
      <w:r w:rsidR="00F6536A" w:rsidRPr="00B74B0F">
        <w:rPr>
          <w:b/>
          <w:szCs w:val="22"/>
          <w:lang w:val="sr-Latn-ME"/>
        </w:rPr>
        <w:t>i parametri</w:t>
      </w:r>
      <w:r w:rsidRPr="00B74B0F">
        <w:rPr>
          <w:b/>
          <w:szCs w:val="22"/>
          <w:lang w:val="sr-Latn-ME"/>
        </w:rPr>
        <w:t xml:space="preserve"> i smjernice za praćenje</w:t>
      </w:r>
    </w:p>
    <w:p w14:paraId="2E853606" w14:textId="77777777" w:rsidR="00E95A8C" w:rsidRPr="00B74B0F" w:rsidRDefault="00E95A8C">
      <w:pPr>
        <w:keepNext/>
        <w:shd w:val="clear" w:color="auto" w:fill="FFFFFF"/>
        <w:spacing w:line="240" w:lineRule="auto"/>
        <w:contextualSpacing/>
        <w:jc w:val="both"/>
        <w:rPr>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3850"/>
        <w:gridCol w:w="2335"/>
      </w:tblGrid>
      <w:tr w:rsidR="00A92B82" w:rsidRPr="00B74B0F" w14:paraId="57F9C847" w14:textId="77777777" w:rsidTr="00E14E8A">
        <w:trPr>
          <w:cantSplit/>
          <w:trHeight w:val="252"/>
          <w:jc w:val="center"/>
        </w:trPr>
        <w:tc>
          <w:tcPr>
            <w:tcW w:w="2943" w:type="dxa"/>
            <w:shd w:val="clear" w:color="auto" w:fill="auto"/>
            <w:vAlign w:val="bottom"/>
          </w:tcPr>
          <w:p w14:paraId="47765D7E" w14:textId="77777777" w:rsidR="00A92B82" w:rsidRPr="00B74B0F" w:rsidRDefault="00A92B82">
            <w:pPr>
              <w:keepNext/>
              <w:spacing w:line="240" w:lineRule="auto"/>
              <w:contextualSpacing/>
              <w:jc w:val="both"/>
              <w:rPr>
                <w:szCs w:val="22"/>
                <w:lang w:val="sr-Latn-ME"/>
              </w:rPr>
            </w:pPr>
            <w:r w:rsidRPr="00B74B0F">
              <w:rPr>
                <w:b/>
                <w:bCs/>
                <w:szCs w:val="22"/>
                <w:lang w:val="sr-Latn-ME"/>
              </w:rPr>
              <w:t>Laboratorijsk</w:t>
            </w:r>
            <w:r w:rsidR="00F6536A" w:rsidRPr="00B74B0F">
              <w:rPr>
                <w:b/>
                <w:bCs/>
                <w:szCs w:val="22"/>
                <w:lang w:val="sr-Latn-ME"/>
              </w:rPr>
              <w:t>i parametar</w:t>
            </w:r>
          </w:p>
        </w:tc>
        <w:tc>
          <w:tcPr>
            <w:tcW w:w="3969" w:type="dxa"/>
            <w:shd w:val="clear" w:color="auto" w:fill="auto"/>
            <w:vAlign w:val="bottom"/>
          </w:tcPr>
          <w:p w14:paraId="22ED9865" w14:textId="3B6A7B8B" w:rsidR="00A92B82" w:rsidRPr="00B74B0F" w:rsidRDefault="00A92B82">
            <w:pPr>
              <w:keepNext/>
              <w:spacing w:line="240" w:lineRule="auto"/>
              <w:contextualSpacing/>
              <w:jc w:val="both"/>
              <w:rPr>
                <w:szCs w:val="22"/>
                <w:lang w:val="sr-Latn-ME"/>
              </w:rPr>
            </w:pPr>
            <w:r w:rsidRPr="00B74B0F">
              <w:rPr>
                <w:b/>
                <w:bCs/>
                <w:szCs w:val="22"/>
                <w:lang w:val="sr-Latn-ME"/>
              </w:rPr>
              <w:t>Mjera</w:t>
            </w:r>
            <w:r w:rsidR="00F6536A" w:rsidRPr="00B74B0F">
              <w:rPr>
                <w:b/>
                <w:bCs/>
                <w:szCs w:val="22"/>
                <w:lang w:val="sr-Latn-ME"/>
              </w:rPr>
              <w:t xml:space="preserve"> koju treba p</w:t>
            </w:r>
            <w:r w:rsidR="00B55969" w:rsidRPr="00B74B0F">
              <w:rPr>
                <w:b/>
                <w:bCs/>
                <w:szCs w:val="22"/>
                <w:lang w:val="sr-Latn-ME"/>
              </w:rPr>
              <w:t>re</w:t>
            </w:r>
            <w:r w:rsidR="00F6536A" w:rsidRPr="00B74B0F">
              <w:rPr>
                <w:b/>
                <w:bCs/>
                <w:szCs w:val="22"/>
                <w:lang w:val="sr-Latn-ME"/>
              </w:rPr>
              <w:t>duzeti</w:t>
            </w:r>
          </w:p>
        </w:tc>
        <w:tc>
          <w:tcPr>
            <w:tcW w:w="2375" w:type="dxa"/>
          </w:tcPr>
          <w:p w14:paraId="0FFC2A91" w14:textId="77777777" w:rsidR="00A92B82" w:rsidRPr="00B74B0F" w:rsidRDefault="00A92B82">
            <w:pPr>
              <w:keepNext/>
              <w:spacing w:line="240" w:lineRule="auto"/>
              <w:contextualSpacing/>
              <w:jc w:val="both"/>
              <w:rPr>
                <w:b/>
                <w:bCs/>
                <w:szCs w:val="22"/>
                <w:lang w:val="sr-Latn-ME"/>
              </w:rPr>
            </w:pPr>
            <w:r w:rsidRPr="00B74B0F">
              <w:rPr>
                <w:b/>
                <w:szCs w:val="22"/>
                <w:lang w:val="sr-Latn-ME"/>
              </w:rPr>
              <w:t>Smjernice za praćenje</w:t>
            </w:r>
          </w:p>
        </w:tc>
      </w:tr>
      <w:tr w:rsidR="00037E28" w:rsidRPr="00B74B0F" w14:paraId="7FBBB45A" w14:textId="77777777" w:rsidTr="00E14E8A">
        <w:trPr>
          <w:cantSplit/>
          <w:trHeight w:val="1259"/>
          <w:jc w:val="center"/>
        </w:trPr>
        <w:tc>
          <w:tcPr>
            <w:tcW w:w="2943" w:type="dxa"/>
            <w:shd w:val="clear" w:color="auto" w:fill="auto"/>
            <w:vAlign w:val="center"/>
          </w:tcPr>
          <w:p w14:paraId="24853033" w14:textId="77777777" w:rsidR="00037E28" w:rsidRPr="00B74B0F" w:rsidRDefault="00037E28">
            <w:pPr>
              <w:keepNext/>
              <w:spacing w:line="240" w:lineRule="auto"/>
              <w:contextualSpacing/>
              <w:jc w:val="both"/>
              <w:rPr>
                <w:szCs w:val="22"/>
                <w:lang w:val="sr-Latn-ME"/>
              </w:rPr>
            </w:pPr>
            <w:r w:rsidRPr="00B74B0F">
              <w:rPr>
                <w:szCs w:val="22"/>
                <w:lang w:val="sr-Latn-ME"/>
              </w:rPr>
              <w:t>Apsolutni broj neutrofila (ABN)</w:t>
            </w:r>
          </w:p>
        </w:tc>
        <w:tc>
          <w:tcPr>
            <w:tcW w:w="3969" w:type="dxa"/>
            <w:shd w:val="clear" w:color="auto" w:fill="auto"/>
            <w:vAlign w:val="center"/>
          </w:tcPr>
          <w:p w14:paraId="2496D74A" w14:textId="17993BB2" w:rsidR="00037E28" w:rsidRPr="00B74B0F" w:rsidRDefault="00037E28" w:rsidP="00AC77D7">
            <w:pPr>
              <w:keepNext/>
              <w:spacing w:line="240" w:lineRule="auto"/>
              <w:contextualSpacing/>
              <w:jc w:val="both"/>
              <w:rPr>
                <w:szCs w:val="22"/>
                <w:lang w:val="sr-Latn-ME"/>
              </w:rPr>
            </w:pPr>
            <w:r w:rsidRPr="00B74B0F">
              <w:rPr>
                <w:szCs w:val="22"/>
                <w:lang w:val="sr-Latn-ME"/>
              </w:rPr>
              <w:t>Liječenje treba privremeno prekinuti ako je ABN &lt;</w:t>
            </w:r>
            <w:r w:rsidR="005502DD" w:rsidRPr="00B74B0F">
              <w:rPr>
                <w:szCs w:val="22"/>
                <w:lang w:val="sr-Latn-ME"/>
              </w:rPr>
              <w:t> 1</w:t>
            </w:r>
            <w:r w:rsidR="005502DD" w:rsidRPr="00B74B0F">
              <w:rPr>
                <w:szCs w:val="22"/>
                <w:vertAlign w:val="superscript"/>
                <w:lang w:val="sr-Latn-ME"/>
              </w:rPr>
              <w:t xml:space="preserve"> </w:t>
            </w:r>
            <w:r w:rsidR="005502DD" w:rsidRPr="00B74B0F">
              <w:rPr>
                <w:szCs w:val="22"/>
                <w:lang w:val="sr-Latn-ME"/>
              </w:rPr>
              <w:t>x 10</w:t>
            </w:r>
            <w:r w:rsidR="005502DD" w:rsidRPr="00B74B0F">
              <w:rPr>
                <w:szCs w:val="22"/>
                <w:vertAlign w:val="superscript"/>
                <w:lang w:val="sr-Latn-ME"/>
              </w:rPr>
              <w:t>9</w:t>
            </w:r>
            <w:r w:rsidR="005502DD" w:rsidRPr="00B74B0F">
              <w:rPr>
                <w:szCs w:val="22"/>
                <w:lang w:val="sr-Latn-ME"/>
              </w:rPr>
              <w:t xml:space="preserve"> ćelija/l</w:t>
            </w:r>
            <w:r w:rsidRPr="00B74B0F">
              <w:rPr>
                <w:szCs w:val="22"/>
                <w:lang w:val="sr-Latn-ME"/>
              </w:rPr>
              <w:t>, a može se ponovo započeti kad se ABN vrati iznad te vrijednosti</w:t>
            </w:r>
          </w:p>
        </w:tc>
        <w:tc>
          <w:tcPr>
            <w:tcW w:w="2375" w:type="dxa"/>
            <w:vMerge w:val="restart"/>
          </w:tcPr>
          <w:p w14:paraId="3F53728B" w14:textId="6C93E5D7" w:rsidR="00EF228F" w:rsidRPr="00B74B0F" w:rsidRDefault="00AC77D7">
            <w:pPr>
              <w:keepNext/>
              <w:tabs>
                <w:tab w:val="left" w:pos="241"/>
              </w:tabs>
              <w:spacing w:line="240" w:lineRule="auto"/>
              <w:contextualSpacing/>
              <w:jc w:val="both"/>
              <w:rPr>
                <w:noProof/>
                <w:szCs w:val="22"/>
                <w:lang w:val="sr-Latn-ME"/>
              </w:rPr>
            </w:pPr>
            <w:r w:rsidRPr="00B74B0F">
              <w:rPr>
                <w:noProof/>
                <w:szCs w:val="22"/>
                <w:lang w:val="sr-Latn-ME"/>
              </w:rPr>
              <w:t>Pro</w:t>
            </w:r>
            <w:r w:rsidR="00EF228F" w:rsidRPr="00B74B0F">
              <w:rPr>
                <w:noProof/>
                <w:szCs w:val="22"/>
                <w:lang w:val="sr-Latn-ME"/>
              </w:rPr>
              <w:t>cijeniti na početku liječenja, a zatim ne kasnije od 12 ned</w:t>
            </w:r>
            <w:r w:rsidR="00C1271D" w:rsidRPr="00B74B0F">
              <w:rPr>
                <w:noProof/>
                <w:szCs w:val="22"/>
                <w:lang w:val="sr-Latn-ME"/>
              </w:rPr>
              <w:t>j</w:t>
            </w:r>
            <w:r w:rsidR="00EF228F" w:rsidRPr="00B74B0F">
              <w:rPr>
                <w:noProof/>
                <w:szCs w:val="22"/>
                <w:lang w:val="sr-Latn-ME"/>
              </w:rPr>
              <w:t xml:space="preserve">elja nakon početka liječenja. Nakon toga </w:t>
            </w:r>
            <w:r w:rsidRPr="00B74B0F">
              <w:rPr>
                <w:noProof/>
                <w:szCs w:val="22"/>
                <w:lang w:val="sr-Latn-ME"/>
              </w:rPr>
              <w:t>pro</w:t>
            </w:r>
            <w:r w:rsidR="00EF228F" w:rsidRPr="00B74B0F">
              <w:rPr>
                <w:noProof/>
                <w:szCs w:val="22"/>
                <w:lang w:val="sr-Latn-ME"/>
              </w:rPr>
              <w:t xml:space="preserve">ocijeniti u skladu sa zahtjevima liječenja za svakog </w:t>
            </w:r>
            <w:r w:rsidR="00181042" w:rsidRPr="00B74B0F">
              <w:rPr>
                <w:noProof/>
                <w:szCs w:val="22"/>
                <w:lang w:val="sr-Latn-ME"/>
              </w:rPr>
              <w:t>pacijenata</w:t>
            </w:r>
            <w:r w:rsidR="00EF228F" w:rsidRPr="00B74B0F">
              <w:rPr>
                <w:noProof/>
                <w:szCs w:val="22"/>
                <w:lang w:val="sr-Latn-ME"/>
              </w:rPr>
              <w:t>.</w:t>
            </w:r>
          </w:p>
          <w:p w14:paraId="49CE05A7" w14:textId="7759953C" w:rsidR="00EF228F" w:rsidRPr="00B74B0F" w:rsidRDefault="00EF228F">
            <w:pPr>
              <w:keepNext/>
              <w:spacing w:line="240" w:lineRule="auto"/>
              <w:contextualSpacing/>
              <w:jc w:val="both"/>
              <w:rPr>
                <w:szCs w:val="22"/>
                <w:lang w:val="sr-Latn-ME"/>
              </w:rPr>
            </w:pPr>
          </w:p>
        </w:tc>
      </w:tr>
      <w:tr w:rsidR="00037E28" w:rsidRPr="00B74B0F" w14:paraId="0A1B7FDB" w14:textId="77777777" w:rsidTr="00E14E8A">
        <w:trPr>
          <w:cantSplit/>
          <w:trHeight w:val="1259"/>
          <w:jc w:val="center"/>
        </w:trPr>
        <w:tc>
          <w:tcPr>
            <w:tcW w:w="2943" w:type="dxa"/>
            <w:shd w:val="clear" w:color="auto" w:fill="auto"/>
            <w:vAlign w:val="center"/>
          </w:tcPr>
          <w:p w14:paraId="5F02D4FC" w14:textId="77777777" w:rsidR="00037E28" w:rsidRPr="00B74B0F" w:rsidRDefault="00037E28">
            <w:pPr>
              <w:keepNext/>
              <w:spacing w:line="240" w:lineRule="auto"/>
              <w:contextualSpacing/>
              <w:jc w:val="both"/>
              <w:rPr>
                <w:szCs w:val="22"/>
                <w:lang w:val="sr-Latn-ME"/>
              </w:rPr>
            </w:pPr>
            <w:r w:rsidRPr="00B74B0F">
              <w:rPr>
                <w:szCs w:val="22"/>
                <w:lang w:val="sr-Latn-ME"/>
              </w:rPr>
              <w:t>Apsolutni broj limfocita (ABL)</w:t>
            </w:r>
          </w:p>
        </w:tc>
        <w:tc>
          <w:tcPr>
            <w:tcW w:w="3969" w:type="dxa"/>
            <w:shd w:val="clear" w:color="auto" w:fill="auto"/>
            <w:vAlign w:val="center"/>
          </w:tcPr>
          <w:p w14:paraId="0AB19DCB" w14:textId="36CF7C18" w:rsidR="00037E28" w:rsidRPr="00B74B0F" w:rsidRDefault="00037E28">
            <w:pPr>
              <w:keepNext/>
              <w:spacing w:line="240" w:lineRule="auto"/>
              <w:contextualSpacing/>
              <w:jc w:val="both"/>
              <w:rPr>
                <w:szCs w:val="22"/>
                <w:lang w:val="sr-Latn-ME"/>
              </w:rPr>
            </w:pPr>
            <w:r w:rsidRPr="00B74B0F">
              <w:rPr>
                <w:szCs w:val="22"/>
                <w:lang w:val="sr-Latn-ME"/>
              </w:rPr>
              <w:t>Liječenje treba privremeno prekinuti ako je ABL &lt; </w:t>
            </w:r>
            <w:r w:rsidR="00AC77D7" w:rsidRPr="00B74B0F">
              <w:rPr>
                <w:szCs w:val="22"/>
                <w:lang w:val="sr-Latn-ME"/>
              </w:rPr>
              <w:t>0,5  x 10</w:t>
            </w:r>
            <w:r w:rsidR="00AC77D7" w:rsidRPr="00B74B0F">
              <w:rPr>
                <w:szCs w:val="22"/>
                <w:vertAlign w:val="superscript"/>
                <w:lang w:val="sr-Latn-ME"/>
              </w:rPr>
              <w:t>9</w:t>
            </w:r>
            <w:r w:rsidR="00AC77D7" w:rsidRPr="00B74B0F">
              <w:rPr>
                <w:szCs w:val="22"/>
                <w:lang w:val="sr-Latn-ME"/>
              </w:rPr>
              <w:t xml:space="preserve"> ćelija/l</w:t>
            </w:r>
            <w:r w:rsidRPr="00B74B0F">
              <w:rPr>
                <w:szCs w:val="22"/>
                <w:lang w:val="sr-Latn-ME"/>
              </w:rPr>
              <w:t>, a može se pono</w:t>
            </w:r>
            <w:r w:rsidR="00B55969" w:rsidRPr="00B74B0F">
              <w:rPr>
                <w:szCs w:val="22"/>
                <w:lang w:val="sr-Latn-ME"/>
              </w:rPr>
              <w:t>v</w:t>
            </w:r>
            <w:r w:rsidRPr="00B74B0F">
              <w:rPr>
                <w:szCs w:val="22"/>
                <w:lang w:val="sr-Latn-ME"/>
              </w:rPr>
              <w:t>o započeti kad se ABL vrati iznad te vrijednosti</w:t>
            </w:r>
          </w:p>
        </w:tc>
        <w:tc>
          <w:tcPr>
            <w:tcW w:w="2375" w:type="dxa"/>
            <w:vMerge/>
          </w:tcPr>
          <w:p w14:paraId="5AFF2AD8" w14:textId="77777777" w:rsidR="00037E28" w:rsidRPr="00B74B0F" w:rsidRDefault="00037E28">
            <w:pPr>
              <w:keepNext/>
              <w:spacing w:line="240" w:lineRule="auto"/>
              <w:contextualSpacing/>
              <w:jc w:val="both"/>
              <w:rPr>
                <w:szCs w:val="22"/>
                <w:lang w:val="sr-Latn-ME"/>
              </w:rPr>
            </w:pPr>
          </w:p>
        </w:tc>
      </w:tr>
      <w:tr w:rsidR="00037E28" w:rsidRPr="00B74B0F" w14:paraId="32D73380" w14:textId="77777777" w:rsidTr="00E14E8A">
        <w:trPr>
          <w:cantSplit/>
          <w:trHeight w:val="1272"/>
          <w:jc w:val="center"/>
        </w:trPr>
        <w:tc>
          <w:tcPr>
            <w:tcW w:w="2943" w:type="dxa"/>
            <w:shd w:val="clear" w:color="auto" w:fill="auto"/>
            <w:vAlign w:val="center"/>
          </w:tcPr>
          <w:p w14:paraId="5C04B0CD" w14:textId="77777777" w:rsidR="00037E28" w:rsidRPr="00B74B0F" w:rsidRDefault="00037E28">
            <w:pPr>
              <w:keepNext/>
              <w:spacing w:line="240" w:lineRule="auto"/>
              <w:contextualSpacing/>
              <w:jc w:val="both"/>
              <w:rPr>
                <w:szCs w:val="22"/>
                <w:lang w:val="sr-Latn-ME"/>
              </w:rPr>
            </w:pPr>
            <w:r w:rsidRPr="00B74B0F">
              <w:rPr>
                <w:szCs w:val="22"/>
                <w:lang w:val="sr-Latn-ME"/>
              </w:rPr>
              <w:t>Hemoglobin (Hb)</w:t>
            </w:r>
          </w:p>
        </w:tc>
        <w:tc>
          <w:tcPr>
            <w:tcW w:w="3969" w:type="dxa"/>
            <w:shd w:val="clear" w:color="auto" w:fill="auto"/>
            <w:vAlign w:val="center"/>
          </w:tcPr>
          <w:p w14:paraId="3AFF83D0" w14:textId="50884113" w:rsidR="00037E28" w:rsidRPr="00B74B0F" w:rsidRDefault="00037E28">
            <w:pPr>
              <w:keepNext/>
              <w:spacing w:line="240" w:lineRule="auto"/>
              <w:contextualSpacing/>
              <w:jc w:val="both"/>
              <w:rPr>
                <w:szCs w:val="22"/>
                <w:lang w:val="sr-Latn-ME"/>
              </w:rPr>
            </w:pPr>
            <w:r w:rsidRPr="00B74B0F">
              <w:rPr>
                <w:szCs w:val="22"/>
                <w:lang w:val="sr-Latn-ME"/>
              </w:rPr>
              <w:t>Liječenje treba privremeno prekinuti ako je Hb &lt; 8 g/dl, a može se ponovo započeti kad se Hb vrati iznad te vrijednosti</w:t>
            </w:r>
          </w:p>
        </w:tc>
        <w:tc>
          <w:tcPr>
            <w:tcW w:w="2375" w:type="dxa"/>
            <w:vMerge/>
          </w:tcPr>
          <w:p w14:paraId="77708625" w14:textId="77777777" w:rsidR="00037E28" w:rsidRPr="00B74B0F" w:rsidRDefault="00037E28">
            <w:pPr>
              <w:keepNext/>
              <w:spacing w:line="240" w:lineRule="auto"/>
              <w:contextualSpacing/>
              <w:jc w:val="both"/>
              <w:rPr>
                <w:szCs w:val="22"/>
                <w:lang w:val="sr-Latn-ME"/>
              </w:rPr>
            </w:pPr>
          </w:p>
        </w:tc>
      </w:tr>
      <w:tr w:rsidR="00037E28" w:rsidRPr="00B74B0F" w14:paraId="1D23155A" w14:textId="77777777" w:rsidTr="00E14E8A">
        <w:trPr>
          <w:cantSplit/>
          <w:trHeight w:val="1272"/>
          <w:jc w:val="center"/>
        </w:trPr>
        <w:tc>
          <w:tcPr>
            <w:tcW w:w="2943" w:type="dxa"/>
            <w:shd w:val="clear" w:color="auto" w:fill="auto"/>
            <w:vAlign w:val="center"/>
          </w:tcPr>
          <w:p w14:paraId="04DF8B4C" w14:textId="2DD3A5A9" w:rsidR="00037E28" w:rsidRPr="00B74B0F" w:rsidRDefault="00B55969">
            <w:pPr>
              <w:keepNext/>
              <w:spacing w:line="240" w:lineRule="auto"/>
              <w:contextualSpacing/>
              <w:jc w:val="both"/>
              <w:rPr>
                <w:szCs w:val="22"/>
                <w:lang w:val="sr-Latn-ME"/>
              </w:rPr>
            </w:pPr>
            <w:r w:rsidRPr="00B74B0F">
              <w:rPr>
                <w:szCs w:val="22"/>
                <w:lang w:val="sr-Latn-ME"/>
              </w:rPr>
              <w:t>T</w:t>
            </w:r>
            <w:r w:rsidR="00037E28" w:rsidRPr="00B74B0F">
              <w:rPr>
                <w:szCs w:val="22"/>
                <w:lang w:val="sr-Latn-ME"/>
              </w:rPr>
              <w:t>ransaminaze</w:t>
            </w:r>
            <w:r w:rsidRPr="00B74B0F">
              <w:rPr>
                <w:szCs w:val="22"/>
                <w:lang w:val="sr-Latn-ME"/>
              </w:rPr>
              <w:t xml:space="preserve"> jetre</w:t>
            </w:r>
          </w:p>
        </w:tc>
        <w:tc>
          <w:tcPr>
            <w:tcW w:w="3969" w:type="dxa"/>
            <w:shd w:val="clear" w:color="auto" w:fill="auto"/>
            <w:vAlign w:val="center"/>
          </w:tcPr>
          <w:p w14:paraId="0EEF9544" w14:textId="77777777" w:rsidR="00037E28" w:rsidRPr="00B74B0F" w:rsidRDefault="00037E28">
            <w:pPr>
              <w:keepNext/>
              <w:autoSpaceDE w:val="0"/>
              <w:autoSpaceDN w:val="0"/>
              <w:adjustRightInd w:val="0"/>
              <w:spacing w:line="240" w:lineRule="auto"/>
              <w:contextualSpacing/>
              <w:jc w:val="both"/>
              <w:rPr>
                <w:szCs w:val="22"/>
                <w:lang w:val="sr-Latn-ME"/>
              </w:rPr>
            </w:pPr>
            <w:r w:rsidRPr="00B74B0F">
              <w:rPr>
                <w:szCs w:val="22"/>
                <w:lang w:val="sr-Latn-ME"/>
              </w:rPr>
              <w:t>Liječenje treba privremeno prekinuti ako se sumnja na oštećenje jetre uzrokovano lijekom</w:t>
            </w:r>
          </w:p>
        </w:tc>
        <w:tc>
          <w:tcPr>
            <w:tcW w:w="2375" w:type="dxa"/>
          </w:tcPr>
          <w:p w14:paraId="183DFD17" w14:textId="50D87531" w:rsidR="00037E28" w:rsidRPr="00B74B0F" w:rsidRDefault="00AC77D7">
            <w:pPr>
              <w:keepNext/>
              <w:spacing w:line="240" w:lineRule="auto"/>
              <w:contextualSpacing/>
              <w:jc w:val="both"/>
              <w:rPr>
                <w:szCs w:val="22"/>
                <w:lang w:val="sr-Latn-ME"/>
              </w:rPr>
            </w:pPr>
            <w:r w:rsidRPr="00B74B0F">
              <w:rPr>
                <w:noProof/>
                <w:szCs w:val="22"/>
                <w:lang w:val="sr-Latn-ME"/>
              </w:rPr>
              <w:t>Pro</w:t>
            </w:r>
            <w:r w:rsidR="00EF228F" w:rsidRPr="00B74B0F">
              <w:rPr>
                <w:noProof/>
                <w:szCs w:val="22"/>
                <w:lang w:val="sr-Latn-ME"/>
              </w:rPr>
              <w:t>cijeniti na početku liječenja, a zatim u skladu s</w:t>
            </w:r>
            <w:r w:rsidRPr="00B74B0F">
              <w:rPr>
                <w:noProof/>
                <w:szCs w:val="22"/>
                <w:lang w:val="sr-Latn-ME"/>
              </w:rPr>
              <w:t>a</w:t>
            </w:r>
            <w:r w:rsidR="00EF228F" w:rsidRPr="00B74B0F">
              <w:rPr>
                <w:noProof/>
                <w:szCs w:val="22"/>
                <w:lang w:val="sr-Latn-ME"/>
              </w:rPr>
              <w:t xml:space="preserve"> rutinskim zahtjevima liječenja pacijenata.</w:t>
            </w:r>
          </w:p>
        </w:tc>
      </w:tr>
      <w:tr w:rsidR="006C534F" w:rsidRPr="00B74B0F" w14:paraId="02B44EB3" w14:textId="77777777" w:rsidTr="00E14E8A">
        <w:trPr>
          <w:cantSplit/>
          <w:trHeight w:val="1272"/>
          <w:jc w:val="center"/>
        </w:trPr>
        <w:tc>
          <w:tcPr>
            <w:tcW w:w="2943" w:type="dxa"/>
            <w:shd w:val="clear" w:color="auto" w:fill="auto"/>
            <w:vAlign w:val="center"/>
          </w:tcPr>
          <w:p w14:paraId="65F6E7CC" w14:textId="77777777" w:rsidR="006C534F" w:rsidRPr="00B74B0F" w:rsidRDefault="006C534F">
            <w:pPr>
              <w:keepNext/>
              <w:spacing w:line="240" w:lineRule="auto"/>
              <w:contextualSpacing/>
              <w:jc w:val="both"/>
              <w:rPr>
                <w:szCs w:val="22"/>
                <w:lang w:val="sr-Latn-ME"/>
              </w:rPr>
            </w:pPr>
            <w:r w:rsidRPr="00B74B0F">
              <w:rPr>
                <w:szCs w:val="22"/>
                <w:lang w:val="sr-Latn-ME"/>
              </w:rPr>
              <w:t>Lipidi</w:t>
            </w:r>
          </w:p>
        </w:tc>
        <w:tc>
          <w:tcPr>
            <w:tcW w:w="3969" w:type="dxa"/>
            <w:shd w:val="clear" w:color="auto" w:fill="auto"/>
            <w:vAlign w:val="center"/>
          </w:tcPr>
          <w:p w14:paraId="4C276F99" w14:textId="205648D8" w:rsidR="006C534F" w:rsidRPr="00B74B0F" w:rsidRDefault="00A27E52">
            <w:pPr>
              <w:keepNext/>
              <w:autoSpaceDE w:val="0"/>
              <w:autoSpaceDN w:val="0"/>
              <w:adjustRightInd w:val="0"/>
              <w:spacing w:line="240" w:lineRule="auto"/>
              <w:contextualSpacing/>
              <w:jc w:val="both"/>
              <w:rPr>
                <w:szCs w:val="22"/>
                <w:lang w:val="sr-Latn-ME"/>
              </w:rPr>
            </w:pPr>
            <w:r w:rsidRPr="00B74B0F">
              <w:rPr>
                <w:szCs w:val="22"/>
                <w:lang w:val="sr-Latn-ME"/>
              </w:rPr>
              <w:t>Pacijent</w:t>
            </w:r>
            <w:r w:rsidR="006C534F" w:rsidRPr="00B74B0F">
              <w:rPr>
                <w:szCs w:val="22"/>
                <w:lang w:val="sr-Latn-ME"/>
              </w:rPr>
              <w:t>e treba liječiti u skladu s</w:t>
            </w:r>
            <w:r w:rsidR="00192D2F" w:rsidRPr="00B74B0F">
              <w:rPr>
                <w:szCs w:val="22"/>
                <w:lang w:val="sr-Latn-ME"/>
              </w:rPr>
              <w:t>a</w:t>
            </w:r>
            <w:r w:rsidR="006C534F" w:rsidRPr="00B74B0F">
              <w:rPr>
                <w:szCs w:val="22"/>
                <w:lang w:val="sr-Latn-ME"/>
              </w:rPr>
              <w:t xml:space="preserve"> međunarodnim kliničkim smjernicama za hiperlipidemiju</w:t>
            </w:r>
          </w:p>
        </w:tc>
        <w:tc>
          <w:tcPr>
            <w:tcW w:w="2375" w:type="dxa"/>
          </w:tcPr>
          <w:p w14:paraId="1FF12F67" w14:textId="048EC9D2" w:rsidR="006C534F" w:rsidRPr="00B74B0F" w:rsidRDefault="00AC77D7">
            <w:pPr>
              <w:keepNext/>
              <w:autoSpaceDE w:val="0"/>
              <w:autoSpaceDN w:val="0"/>
              <w:adjustRightInd w:val="0"/>
              <w:spacing w:line="240" w:lineRule="auto"/>
              <w:contextualSpacing/>
              <w:jc w:val="both"/>
              <w:rPr>
                <w:szCs w:val="22"/>
                <w:lang w:val="sr-Latn-ME"/>
              </w:rPr>
            </w:pPr>
            <w:r w:rsidRPr="00B74B0F">
              <w:rPr>
                <w:szCs w:val="22"/>
                <w:lang w:val="sr-Latn-ME"/>
              </w:rPr>
              <w:t>Pro</w:t>
            </w:r>
            <w:r w:rsidR="006D1308" w:rsidRPr="00B74B0F">
              <w:rPr>
                <w:szCs w:val="22"/>
                <w:lang w:val="sr-Latn-ME"/>
              </w:rPr>
              <w:t>cijeniti</w:t>
            </w:r>
            <w:r w:rsidRPr="00B74B0F">
              <w:rPr>
                <w:szCs w:val="22"/>
                <w:lang w:val="sr-Latn-ME"/>
              </w:rPr>
              <w:t xml:space="preserve"> </w:t>
            </w:r>
            <w:r w:rsidR="006C534F" w:rsidRPr="00B74B0F">
              <w:rPr>
                <w:szCs w:val="22"/>
                <w:lang w:val="sr-Latn-ME"/>
              </w:rPr>
              <w:t>12 </w:t>
            </w:r>
            <w:r w:rsidR="0097062C" w:rsidRPr="00B74B0F">
              <w:rPr>
                <w:szCs w:val="22"/>
                <w:lang w:val="sr-Latn-ME"/>
              </w:rPr>
              <w:t>ned</w:t>
            </w:r>
            <w:r w:rsidR="003A3852" w:rsidRPr="00B74B0F">
              <w:rPr>
                <w:szCs w:val="22"/>
                <w:lang w:val="sr-Latn-ME"/>
              </w:rPr>
              <w:t>j</w:t>
            </w:r>
            <w:r w:rsidR="0097062C" w:rsidRPr="00B74B0F">
              <w:rPr>
                <w:szCs w:val="22"/>
                <w:lang w:val="sr-Latn-ME"/>
              </w:rPr>
              <w:t>elja</w:t>
            </w:r>
            <w:r w:rsidR="006C534F" w:rsidRPr="00B74B0F">
              <w:rPr>
                <w:szCs w:val="22"/>
                <w:lang w:val="sr-Latn-ME"/>
              </w:rPr>
              <w:t xml:space="preserve"> nakon početka liječenja</w:t>
            </w:r>
            <w:r w:rsidR="006F1BB3" w:rsidRPr="00B74B0F">
              <w:rPr>
                <w:szCs w:val="22"/>
                <w:lang w:val="sr-Latn-ME"/>
              </w:rPr>
              <w:t xml:space="preserve"> i nakon toga</w:t>
            </w:r>
            <w:r w:rsidR="006C534F" w:rsidRPr="00B74B0F">
              <w:rPr>
                <w:szCs w:val="22"/>
                <w:lang w:val="sr-Latn-ME"/>
              </w:rPr>
              <w:t xml:space="preserve"> u skladu s</w:t>
            </w:r>
            <w:r w:rsidRPr="00B74B0F">
              <w:rPr>
                <w:szCs w:val="22"/>
                <w:lang w:val="sr-Latn-ME"/>
              </w:rPr>
              <w:t>a</w:t>
            </w:r>
            <w:r w:rsidR="006C534F" w:rsidRPr="00B74B0F">
              <w:rPr>
                <w:szCs w:val="22"/>
                <w:lang w:val="sr-Latn-ME"/>
              </w:rPr>
              <w:t xml:space="preserve"> međunarodnim kliničkim smjernicama za hiperlipidemiju</w:t>
            </w:r>
          </w:p>
        </w:tc>
      </w:tr>
    </w:tbl>
    <w:p w14:paraId="5A3BD90E" w14:textId="77777777" w:rsidR="00F30F79" w:rsidRPr="00B74B0F" w:rsidRDefault="00F30F79">
      <w:pPr>
        <w:autoSpaceDE w:val="0"/>
        <w:autoSpaceDN w:val="0"/>
        <w:adjustRightInd w:val="0"/>
        <w:spacing w:line="240" w:lineRule="auto"/>
        <w:contextualSpacing/>
        <w:jc w:val="both"/>
        <w:rPr>
          <w:szCs w:val="22"/>
          <w:lang w:val="sr-Latn-ME"/>
        </w:rPr>
      </w:pPr>
    </w:p>
    <w:p w14:paraId="4502D87D" w14:textId="77777777" w:rsidR="002D5D01" w:rsidRPr="00B74B0F" w:rsidRDefault="002D5D01">
      <w:pPr>
        <w:keepNext/>
        <w:autoSpaceDE w:val="0"/>
        <w:autoSpaceDN w:val="0"/>
        <w:adjustRightInd w:val="0"/>
        <w:spacing w:line="240" w:lineRule="auto"/>
        <w:contextualSpacing/>
        <w:jc w:val="both"/>
        <w:rPr>
          <w:szCs w:val="22"/>
          <w:u w:val="single"/>
          <w:lang w:val="sr-Latn-ME"/>
        </w:rPr>
      </w:pPr>
      <w:r w:rsidRPr="00B74B0F">
        <w:rPr>
          <w:szCs w:val="22"/>
          <w:u w:val="single"/>
          <w:lang w:val="sr-Latn-ME"/>
        </w:rPr>
        <w:t>Posebne populacije</w:t>
      </w:r>
    </w:p>
    <w:p w14:paraId="1937FB32" w14:textId="77777777" w:rsidR="002D5D01" w:rsidRPr="00B74B0F" w:rsidRDefault="002D5D01">
      <w:pPr>
        <w:keepNext/>
        <w:autoSpaceDE w:val="0"/>
        <w:autoSpaceDN w:val="0"/>
        <w:adjustRightInd w:val="0"/>
        <w:spacing w:line="240" w:lineRule="auto"/>
        <w:contextualSpacing/>
        <w:jc w:val="both"/>
        <w:rPr>
          <w:szCs w:val="22"/>
          <w:lang w:val="sr-Latn-ME"/>
        </w:rPr>
      </w:pPr>
    </w:p>
    <w:p w14:paraId="13AC6118" w14:textId="77777777" w:rsidR="002D5D01" w:rsidRPr="00B74B0F" w:rsidRDefault="002D5D01">
      <w:pPr>
        <w:keepNext/>
        <w:spacing w:line="240" w:lineRule="auto"/>
        <w:contextualSpacing/>
        <w:jc w:val="both"/>
        <w:rPr>
          <w:i/>
          <w:szCs w:val="22"/>
          <w:lang w:val="sr-Latn-ME"/>
        </w:rPr>
      </w:pPr>
      <w:r w:rsidRPr="00B74B0F">
        <w:rPr>
          <w:i/>
          <w:szCs w:val="22"/>
          <w:lang w:val="sr-Latn-ME"/>
        </w:rPr>
        <w:t>Starije osobe</w:t>
      </w:r>
    </w:p>
    <w:p w14:paraId="57158479" w14:textId="63CAC9C2" w:rsidR="002D5D01" w:rsidRPr="00B74B0F" w:rsidRDefault="002D5D01">
      <w:pPr>
        <w:keepNext/>
        <w:spacing w:line="240" w:lineRule="auto"/>
        <w:contextualSpacing/>
        <w:jc w:val="both"/>
        <w:rPr>
          <w:i/>
          <w:szCs w:val="22"/>
          <w:lang w:val="sr-Latn-ME"/>
        </w:rPr>
      </w:pPr>
    </w:p>
    <w:p w14:paraId="01A09890" w14:textId="77777777" w:rsidR="00542622" w:rsidRPr="00B74B0F" w:rsidRDefault="00542622">
      <w:pPr>
        <w:keepNext/>
        <w:spacing w:line="240" w:lineRule="auto"/>
        <w:contextualSpacing/>
        <w:jc w:val="both"/>
        <w:rPr>
          <w:i/>
          <w:iCs/>
          <w:szCs w:val="22"/>
          <w:lang w:val="sr-Latn-ME"/>
        </w:rPr>
      </w:pPr>
      <w:r w:rsidRPr="00B74B0F">
        <w:rPr>
          <w:i/>
          <w:iCs/>
          <w:szCs w:val="22"/>
          <w:lang w:val="sr-Latn-ME"/>
        </w:rPr>
        <w:t xml:space="preserve">Reumatoidni artritis, psorijatični artritis, aksijalni spondiloartritis </w:t>
      </w:r>
    </w:p>
    <w:p w14:paraId="75AB10C8" w14:textId="04809B3C" w:rsidR="00542622" w:rsidRPr="00B74B0F" w:rsidRDefault="00542622">
      <w:pPr>
        <w:keepNext/>
        <w:spacing w:line="240" w:lineRule="auto"/>
        <w:contextualSpacing/>
        <w:jc w:val="both"/>
        <w:rPr>
          <w:iCs/>
          <w:szCs w:val="22"/>
          <w:lang w:val="sr-Latn-ME"/>
        </w:rPr>
      </w:pPr>
      <w:r w:rsidRPr="00B74B0F">
        <w:rPr>
          <w:iCs/>
          <w:szCs w:val="22"/>
          <w:lang w:val="sr-Latn-ME"/>
        </w:rPr>
        <w:t>Podaci o primjeni kod pacijenata starosti od 75 i više godina su ograničeni.</w:t>
      </w:r>
    </w:p>
    <w:p w14:paraId="26D2256E" w14:textId="695702DE" w:rsidR="00EF228F" w:rsidRPr="00B74B0F" w:rsidRDefault="00EF228F">
      <w:pPr>
        <w:autoSpaceDE w:val="0"/>
        <w:autoSpaceDN w:val="0"/>
        <w:adjustRightInd w:val="0"/>
        <w:spacing w:line="240" w:lineRule="auto"/>
        <w:contextualSpacing/>
        <w:jc w:val="both"/>
        <w:rPr>
          <w:szCs w:val="22"/>
          <w:lang w:val="sr-Latn-ME"/>
        </w:rPr>
      </w:pPr>
    </w:p>
    <w:p w14:paraId="47158FA5" w14:textId="0FF0E01B" w:rsidR="00542622" w:rsidRPr="00B74B0F" w:rsidRDefault="00542622">
      <w:pPr>
        <w:autoSpaceDE w:val="0"/>
        <w:autoSpaceDN w:val="0"/>
        <w:adjustRightInd w:val="0"/>
        <w:spacing w:line="240" w:lineRule="auto"/>
        <w:contextualSpacing/>
        <w:jc w:val="both"/>
        <w:rPr>
          <w:i/>
          <w:szCs w:val="22"/>
          <w:lang w:val="sr-Latn-ME"/>
        </w:rPr>
      </w:pPr>
      <w:r w:rsidRPr="00B74B0F">
        <w:rPr>
          <w:i/>
          <w:szCs w:val="22"/>
          <w:lang w:val="sr-Latn-ME"/>
        </w:rPr>
        <w:t xml:space="preserve">Atopijski dermatitis </w:t>
      </w:r>
    </w:p>
    <w:p w14:paraId="4CD4F603" w14:textId="4DA3565B" w:rsidR="00542622" w:rsidRPr="00B74B0F" w:rsidRDefault="00542622">
      <w:pPr>
        <w:autoSpaceDE w:val="0"/>
        <w:autoSpaceDN w:val="0"/>
        <w:adjustRightInd w:val="0"/>
        <w:spacing w:line="240" w:lineRule="auto"/>
        <w:contextualSpacing/>
        <w:jc w:val="both"/>
        <w:rPr>
          <w:szCs w:val="22"/>
          <w:lang w:val="sr-Latn-ME"/>
        </w:rPr>
      </w:pPr>
      <w:r w:rsidRPr="00B74B0F">
        <w:rPr>
          <w:szCs w:val="22"/>
          <w:lang w:val="sr-Latn-ME"/>
        </w:rPr>
        <w:t xml:space="preserve">Za atopijski dermatitis ne preporučuju se doze veće od 15 mg jedanput na dan kod pacijenata starosti od 65 i više godina (vidjeti dio 4.8).  </w:t>
      </w:r>
    </w:p>
    <w:p w14:paraId="1EB4991B" w14:textId="2A88E022" w:rsidR="00543219" w:rsidRPr="00B74B0F" w:rsidRDefault="00543219">
      <w:pPr>
        <w:autoSpaceDE w:val="0"/>
        <w:autoSpaceDN w:val="0"/>
        <w:adjustRightInd w:val="0"/>
        <w:spacing w:line="240" w:lineRule="auto"/>
        <w:contextualSpacing/>
        <w:jc w:val="both"/>
        <w:rPr>
          <w:szCs w:val="22"/>
          <w:lang w:val="sr-Latn-ME"/>
        </w:rPr>
      </w:pPr>
    </w:p>
    <w:p w14:paraId="14F8A2DF" w14:textId="7104269D" w:rsidR="00543219" w:rsidRPr="00B74B0F" w:rsidRDefault="00543219">
      <w:pPr>
        <w:keepNext/>
        <w:keepLines/>
        <w:tabs>
          <w:tab w:val="clear" w:pos="567"/>
        </w:tabs>
        <w:spacing w:line="240" w:lineRule="auto"/>
        <w:jc w:val="both"/>
        <w:rPr>
          <w:i/>
          <w:iCs/>
          <w:szCs w:val="22"/>
          <w:lang w:val="sr-Latn-ME"/>
        </w:rPr>
      </w:pPr>
      <w:r w:rsidRPr="00B74B0F">
        <w:rPr>
          <w:i/>
          <w:iCs/>
          <w:szCs w:val="22"/>
          <w:lang w:val="sr-Latn-ME"/>
        </w:rPr>
        <w:t>Ulcerozni kolitis</w:t>
      </w:r>
      <w:r w:rsidR="00405BEA" w:rsidRPr="00B74B0F">
        <w:rPr>
          <w:i/>
          <w:iCs/>
          <w:szCs w:val="22"/>
          <w:lang w:val="sr-Latn-ME"/>
        </w:rPr>
        <w:t xml:space="preserve"> i Chronova bolest</w:t>
      </w:r>
    </w:p>
    <w:p w14:paraId="600B37AA" w14:textId="74E1430B" w:rsidR="00543219" w:rsidRPr="00B74B0F" w:rsidRDefault="00543219">
      <w:pPr>
        <w:keepNext/>
        <w:keepLines/>
        <w:tabs>
          <w:tab w:val="clear" w:pos="567"/>
        </w:tabs>
        <w:spacing w:line="240" w:lineRule="auto"/>
        <w:jc w:val="both"/>
        <w:rPr>
          <w:szCs w:val="22"/>
          <w:lang w:val="sr-Latn-ME"/>
        </w:rPr>
      </w:pPr>
      <w:r w:rsidRPr="00B74B0F">
        <w:rPr>
          <w:szCs w:val="22"/>
          <w:lang w:val="sr-Latn-ME"/>
        </w:rPr>
        <w:t>Za ulcerozni kolitis</w:t>
      </w:r>
      <w:r w:rsidR="00405BEA" w:rsidRPr="00B74B0F">
        <w:rPr>
          <w:szCs w:val="22"/>
          <w:lang w:val="sr-Latn-ME"/>
        </w:rPr>
        <w:t xml:space="preserve"> i </w:t>
      </w:r>
      <w:r w:rsidR="00AB77FD" w:rsidRPr="00B74B0F">
        <w:rPr>
          <w:szCs w:val="22"/>
          <w:lang w:val="sr-Latn-ME"/>
        </w:rPr>
        <w:t>K</w:t>
      </w:r>
      <w:r w:rsidR="00405BEA" w:rsidRPr="00B74B0F">
        <w:rPr>
          <w:szCs w:val="22"/>
          <w:lang w:val="sr-Latn-ME"/>
        </w:rPr>
        <w:t>ronovu bolest</w:t>
      </w:r>
      <w:r w:rsidRPr="00B74B0F">
        <w:rPr>
          <w:szCs w:val="22"/>
          <w:lang w:val="sr-Latn-ME"/>
        </w:rPr>
        <w:t xml:space="preserve">, doze veće od 15 mg jedanput na dan za terapiju održavanja ne preporučuju se </w:t>
      </w:r>
      <w:r w:rsidR="00C1271D" w:rsidRPr="00B74B0F">
        <w:rPr>
          <w:szCs w:val="22"/>
          <w:lang w:val="sr-Latn-ME"/>
        </w:rPr>
        <w:t>kod</w:t>
      </w:r>
      <w:r w:rsidRPr="00B74B0F">
        <w:rPr>
          <w:szCs w:val="22"/>
          <w:lang w:val="sr-Latn-ME"/>
        </w:rPr>
        <w:t xml:space="preserve"> </w:t>
      </w:r>
      <w:r w:rsidR="00181042" w:rsidRPr="00B74B0F">
        <w:rPr>
          <w:szCs w:val="22"/>
          <w:lang w:val="sr-Latn-ME"/>
        </w:rPr>
        <w:t>pacijenata</w:t>
      </w:r>
      <w:r w:rsidRPr="00B74B0F">
        <w:rPr>
          <w:szCs w:val="22"/>
          <w:lang w:val="sr-Latn-ME"/>
        </w:rPr>
        <w:t xml:space="preserve"> </w:t>
      </w:r>
      <w:r w:rsidR="00C1271D" w:rsidRPr="00B74B0F">
        <w:rPr>
          <w:szCs w:val="22"/>
          <w:lang w:val="sr-Latn-ME"/>
        </w:rPr>
        <w:t>starosti</w:t>
      </w:r>
      <w:r w:rsidRPr="00B74B0F">
        <w:rPr>
          <w:szCs w:val="22"/>
          <w:lang w:val="sr-Latn-ME"/>
        </w:rPr>
        <w:t xml:space="preserve"> od 65 i više godina (vidjeti dio 4.8). </w:t>
      </w:r>
      <w:r w:rsidR="00C1271D" w:rsidRPr="00B74B0F">
        <w:rPr>
          <w:szCs w:val="22"/>
          <w:lang w:val="sr-Latn-ME"/>
        </w:rPr>
        <w:t xml:space="preserve">Bezbjednost </w:t>
      </w:r>
      <w:r w:rsidRPr="00B74B0F">
        <w:rPr>
          <w:szCs w:val="22"/>
          <w:lang w:val="sr-Latn-ME"/>
        </w:rPr>
        <w:t xml:space="preserve">i </w:t>
      </w:r>
      <w:r w:rsidR="00C1271D" w:rsidRPr="00B74B0F">
        <w:rPr>
          <w:szCs w:val="22"/>
          <w:lang w:val="sr-Latn-ME"/>
        </w:rPr>
        <w:t>efikasnost</w:t>
      </w:r>
      <w:r w:rsidRPr="00B74B0F">
        <w:rPr>
          <w:szCs w:val="22"/>
          <w:lang w:val="sr-Latn-ME"/>
        </w:rPr>
        <w:t xml:space="preserve"> upadacitiniba </w:t>
      </w:r>
      <w:r w:rsidR="00C1271D" w:rsidRPr="00B74B0F">
        <w:rPr>
          <w:szCs w:val="22"/>
          <w:lang w:val="sr-Latn-ME"/>
        </w:rPr>
        <w:t>kod</w:t>
      </w:r>
      <w:r w:rsidRPr="00B74B0F">
        <w:rPr>
          <w:szCs w:val="22"/>
          <w:lang w:val="sr-Latn-ME"/>
        </w:rPr>
        <w:t xml:space="preserve"> </w:t>
      </w:r>
      <w:r w:rsidR="00181042" w:rsidRPr="00B74B0F">
        <w:rPr>
          <w:szCs w:val="22"/>
          <w:lang w:val="sr-Latn-ME"/>
        </w:rPr>
        <w:t>pacijenata</w:t>
      </w:r>
      <w:r w:rsidRPr="00B74B0F">
        <w:rPr>
          <w:szCs w:val="22"/>
          <w:lang w:val="sr-Latn-ME"/>
        </w:rPr>
        <w:t xml:space="preserve"> </w:t>
      </w:r>
      <w:r w:rsidR="00C1271D" w:rsidRPr="00B74B0F">
        <w:rPr>
          <w:szCs w:val="22"/>
          <w:lang w:val="sr-Latn-ME"/>
        </w:rPr>
        <w:t>starosti</w:t>
      </w:r>
      <w:r w:rsidRPr="00B74B0F">
        <w:rPr>
          <w:szCs w:val="22"/>
          <w:lang w:val="sr-Latn-ME"/>
        </w:rPr>
        <w:t xml:space="preserve"> od 75 i više godina ni</w:t>
      </w:r>
      <w:r w:rsidR="00C1271D" w:rsidRPr="00B74B0F">
        <w:rPr>
          <w:szCs w:val="22"/>
          <w:lang w:val="sr-Latn-ME"/>
        </w:rPr>
        <w:t>je</w:t>
      </w:r>
      <w:r w:rsidRPr="00B74B0F">
        <w:rPr>
          <w:szCs w:val="22"/>
          <w:lang w:val="sr-Latn-ME"/>
        </w:rPr>
        <w:t>su još ustanovljene.</w:t>
      </w:r>
    </w:p>
    <w:p w14:paraId="4F012005" w14:textId="77777777" w:rsidR="002D5D01" w:rsidRPr="00B74B0F" w:rsidRDefault="002D5D01">
      <w:pPr>
        <w:autoSpaceDE w:val="0"/>
        <w:autoSpaceDN w:val="0"/>
        <w:adjustRightInd w:val="0"/>
        <w:spacing w:line="240" w:lineRule="auto"/>
        <w:contextualSpacing/>
        <w:jc w:val="both"/>
        <w:rPr>
          <w:szCs w:val="22"/>
          <w:lang w:val="sr-Latn-ME"/>
        </w:rPr>
      </w:pPr>
    </w:p>
    <w:p w14:paraId="79363CF3" w14:textId="77777777" w:rsidR="000B035F" w:rsidRPr="00B74B0F" w:rsidRDefault="00906CF8">
      <w:pPr>
        <w:keepNext/>
        <w:spacing w:line="240" w:lineRule="auto"/>
        <w:contextualSpacing/>
        <w:jc w:val="both"/>
        <w:rPr>
          <w:i/>
          <w:szCs w:val="22"/>
          <w:lang w:val="sr-Latn-ME"/>
        </w:rPr>
      </w:pPr>
      <w:r w:rsidRPr="00B74B0F">
        <w:rPr>
          <w:i/>
          <w:szCs w:val="22"/>
          <w:lang w:val="sr-Latn-ME"/>
        </w:rPr>
        <w:t>Oštećenje funkcije bubrega</w:t>
      </w:r>
    </w:p>
    <w:p w14:paraId="30CD2E04" w14:textId="77777777" w:rsidR="00F8311E" w:rsidRPr="00B74B0F" w:rsidRDefault="00F8311E">
      <w:pPr>
        <w:keepNext/>
        <w:spacing w:line="240" w:lineRule="auto"/>
        <w:contextualSpacing/>
        <w:jc w:val="both"/>
        <w:rPr>
          <w:szCs w:val="22"/>
          <w:lang w:val="sr-Latn-ME"/>
        </w:rPr>
      </w:pPr>
    </w:p>
    <w:p w14:paraId="4A6B0D1E" w14:textId="00D60153" w:rsidR="00FA1018" w:rsidRPr="00B74B0F" w:rsidRDefault="00906CF8">
      <w:pPr>
        <w:pStyle w:val="PIHeading2"/>
        <w:keepNext w:val="0"/>
        <w:keepLines w:val="0"/>
        <w:shd w:val="clear" w:color="auto" w:fill="FFFFFF" w:themeFill="background1"/>
        <w:spacing w:before="0" w:after="0"/>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 xml:space="preserve">Nije potrebno prilagođavati dozu </w:t>
      </w:r>
      <w:r w:rsidR="00B55969" w:rsidRPr="00B74B0F">
        <w:rPr>
          <w:rFonts w:ascii="Times New Roman" w:hAnsi="Times New Roman"/>
          <w:b w:val="0"/>
          <w:sz w:val="22"/>
          <w:szCs w:val="22"/>
          <w:lang w:val="sr-Latn-ME"/>
        </w:rPr>
        <w:t>kod</w:t>
      </w:r>
      <w:r w:rsidRPr="00B74B0F">
        <w:rPr>
          <w:rFonts w:ascii="Times New Roman" w:hAnsi="Times New Roman"/>
          <w:b w:val="0"/>
          <w:sz w:val="22"/>
          <w:szCs w:val="22"/>
          <w:lang w:val="sr-Latn-ME"/>
        </w:rPr>
        <w:t xml:space="preserve"> </w:t>
      </w:r>
      <w:r w:rsidR="00BB59FC" w:rsidRPr="00B74B0F">
        <w:rPr>
          <w:rFonts w:ascii="Times New Roman" w:hAnsi="Times New Roman"/>
          <w:b w:val="0"/>
          <w:sz w:val="22"/>
          <w:szCs w:val="22"/>
          <w:lang w:val="sr-Latn-ME"/>
        </w:rPr>
        <w:t>pacijenata</w:t>
      </w:r>
      <w:r w:rsidRPr="00B74B0F">
        <w:rPr>
          <w:rFonts w:ascii="Times New Roman" w:hAnsi="Times New Roman"/>
          <w:b w:val="0"/>
          <w:sz w:val="22"/>
          <w:szCs w:val="22"/>
          <w:lang w:val="sr-Latn-ME"/>
        </w:rPr>
        <w:t xml:space="preserve"> s</w:t>
      </w:r>
      <w:r w:rsidR="00BB59FC" w:rsidRPr="00B74B0F">
        <w:rPr>
          <w:rFonts w:ascii="Times New Roman" w:hAnsi="Times New Roman"/>
          <w:b w:val="0"/>
          <w:sz w:val="22"/>
          <w:szCs w:val="22"/>
          <w:lang w:val="sr-Latn-ME"/>
        </w:rPr>
        <w:t>a</w:t>
      </w:r>
      <w:r w:rsidRPr="00B74B0F">
        <w:rPr>
          <w:rFonts w:ascii="Times New Roman" w:hAnsi="Times New Roman"/>
          <w:b w:val="0"/>
          <w:sz w:val="22"/>
          <w:szCs w:val="22"/>
          <w:lang w:val="sr-Latn-ME"/>
        </w:rPr>
        <w:t xml:space="preserve"> blagim </w:t>
      </w:r>
      <w:r w:rsidR="00BC1AA5" w:rsidRPr="00B74B0F">
        <w:rPr>
          <w:rFonts w:ascii="Times New Roman" w:hAnsi="Times New Roman"/>
          <w:b w:val="0"/>
          <w:sz w:val="22"/>
          <w:szCs w:val="22"/>
          <w:lang w:val="sr-Latn-ME"/>
        </w:rPr>
        <w:t xml:space="preserve">ili </w:t>
      </w:r>
      <w:r w:rsidRPr="00B74B0F">
        <w:rPr>
          <w:rFonts w:ascii="Times New Roman" w:hAnsi="Times New Roman"/>
          <w:b w:val="0"/>
          <w:sz w:val="22"/>
          <w:szCs w:val="22"/>
          <w:lang w:val="sr-Latn-ME"/>
        </w:rPr>
        <w:t>umjerenim oštećenjem</w:t>
      </w:r>
      <w:r w:rsidR="00B55969" w:rsidRPr="00B74B0F">
        <w:rPr>
          <w:rFonts w:ascii="Times New Roman" w:hAnsi="Times New Roman"/>
          <w:b w:val="0"/>
          <w:sz w:val="22"/>
          <w:szCs w:val="22"/>
          <w:lang w:val="sr-Latn-ME"/>
        </w:rPr>
        <w:t xml:space="preserve"> funkcije</w:t>
      </w:r>
      <w:r w:rsidRPr="00B74B0F">
        <w:rPr>
          <w:rFonts w:ascii="Times New Roman" w:hAnsi="Times New Roman"/>
          <w:b w:val="0"/>
          <w:sz w:val="22"/>
          <w:szCs w:val="22"/>
          <w:lang w:val="sr-Latn-ME"/>
        </w:rPr>
        <w:t xml:space="preserve"> bubre</w:t>
      </w:r>
      <w:r w:rsidR="00B55969" w:rsidRPr="00B74B0F">
        <w:rPr>
          <w:rFonts w:ascii="Times New Roman" w:hAnsi="Times New Roman"/>
          <w:b w:val="0"/>
          <w:sz w:val="22"/>
          <w:szCs w:val="22"/>
          <w:lang w:val="sr-Latn-ME"/>
        </w:rPr>
        <w:t>ga</w:t>
      </w:r>
      <w:r w:rsidRPr="00B74B0F">
        <w:rPr>
          <w:rFonts w:ascii="Times New Roman" w:hAnsi="Times New Roman"/>
          <w:b w:val="0"/>
          <w:sz w:val="22"/>
          <w:szCs w:val="22"/>
          <w:lang w:val="sr-Latn-ME"/>
        </w:rPr>
        <w:t xml:space="preserve">. </w:t>
      </w:r>
      <w:r w:rsidR="00BC1AA5" w:rsidRPr="00B74B0F">
        <w:rPr>
          <w:rFonts w:ascii="Times New Roman" w:hAnsi="Times New Roman"/>
          <w:b w:val="0"/>
          <w:sz w:val="22"/>
          <w:szCs w:val="22"/>
          <w:lang w:val="sr-Latn-ME"/>
        </w:rPr>
        <w:t>Podaci o primjeni</w:t>
      </w:r>
      <w:r w:rsidR="006B2AFA" w:rsidRPr="00B74B0F">
        <w:rPr>
          <w:rFonts w:ascii="Times New Roman" w:hAnsi="Times New Roman"/>
          <w:b w:val="0"/>
          <w:sz w:val="22"/>
          <w:szCs w:val="22"/>
          <w:lang w:val="sr-Latn-ME"/>
        </w:rPr>
        <w:t xml:space="preserve"> </w:t>
      </w:r>
      <w:r w:rsidR="00AB079A" w:rsidRPr="00B74B0F">
        <w:rPr>
          <w:rFonts w:ascii="Times New Roman" w:hAnsi="Times New Roman"/>
          <w:b w:val="0"/>
          <w:sz w:val="22"/>
          <w:szCs w:val="22"/>
          <w:lang w:val="sr-Latn-ME"/>
        </w:rPr>
        <w:t xml:space="preserve">upadacitiniba </w:t>
      </w:r>
      <w:r w:rsidR="006B2AFA" w:rsidRPr="00B74B0F">
        <w:rPr>
          <w:rFonts w:ascii="Times New Roman" w:hAnsi="Times New Roman"/>
          <w:b w:val="0"/>
          <w:sz w:val="22"/>
          <w:szCs w:val="22"/>
          <w:lang w:val="sr-Latn-ME"/>
        </w:rPr>
        <w:t>kod</w:t>
      </w:r>
      <w:r w:rsidR="00BC1AA5" w:rsidRPr="00B74B0F">
        <w:rPr>
          <w:rFonts w:ascii="Times New Roman" w:hAnsi="Times New Roman"/>
          <w:b w:val="0"/>
          <w:sz w:val="22"/>
          <w:szCs w:val="22"/>
          <w:lang w:val="sr-Latn-ME"/>
        </w:rPr>
        <w:t xml:space="preserve"> osoba s</w:t>
      </w:r>
      <w:r w:rsidR="00BB59FC" w:rsidRPr="00B74B0F">
        <w:rPr>
          <w:rFonts w:ascii="Times New Roman" w:hAnsi="Times New Roman"/>
          <w:b w:val="0"/>
          <w:sz w:val="22"/>
          <w:szCs w:val="22"/>
          <w:lang w:val="sr-Latn-ME"/>
        </w:rPr>
        <w:t>a</w:t>
      </w:r>
      <w:r w:rsidR="00BC1AA5" w:rsidRPr="00B74B0F">
        <w:rPr>
          <w:rFonts w:ascii="Times New Roman" w:hAnsi="Times New Roman"/>
          <w:b w:val="0"/>
          <w:sz w:val="22"/>
          <w:szCs w:val="22"/>
          <w:lang w:val="sr-Latn-ME"/>
        </w:rPr>
        <w:t xml:space="preserve"> teškim oštećenjem</w:t>
      </w:r>
      <w:r w:rsidR="006B2AFA" w:rsidRPr="00B74B0F">
        <w:rPr>
          <w:rFonts w:ascii="Times New Roman" w:hAnsi="Times New Roman"/>
          <w:b w:val="0"/>
          <w:sz w:val="22"/>
          <w:szCs w:val="22"/>
          <w:lang w:val="sr-Latn-ME"/>
        </w:rPr>
        <w:t xml:space="preserve"> funkcije</w:t>
      </w:r>
      <w:r w:rsidR="00BC1AA5" w:rsidRPr="00B74B0F">
        <w:rPr>
          <w:rFonts w:ascii="Times New Roman" w:hAnsi="Times New Roman"/>
          <w:b w:val="0"/>
          <w:sz w:val="22"/>
          <w:szCs w:val="22"/>
          <w:lang w:val="sr-Latn-ME"/>
        </w:rPr>
        <w:t xml:space="preserve"> bubre</w:t>
      </w:r>
      <w:r w:rsidR="006B2AFA" w:rsidRPr="00B74B0F">
        <w:rPr>
          <w:rFonts w:ascii="Times New Roman" w:hAnsi="Times New Roman"/>
          <w:b w:val="0"/>
          <w:sz w:val="22"/>
          <w:szCs w:val="22"/>
          <w:lang w:val="sr-Latn-ME"/>
        </w:rPr>
        <w:t>ga</w:t>
      </w:r>
      <w:r w:rsidR="00BC1AA5" w:rsidRPr="00B74B0F">
        <w:rPr>
          <w:rFonts w:ascii="Times New Roman" w:hAnsi="Times New Roman"/>
          <w:b w:val="0"/>
          <w:sz w:val="22"/>
          <w:szCs w:val="22"/>
          <w:lang w:val="sr-Latn-ME"/>
        </w:rPr>
        <w:t xml:space="preserve"> su ograničeni (vidjeti dio 5.2).</w:t>
      </w:r>
      <w:r w:rsidR="006F1BB3" w:rsidRPr="00B74B0F">
        <w:rPr>
          <w:rFonts w:ascii="Times New Roman" w:hAnsi="Times New Roman"/>
          <w:b w:val="0"/>
          <w:sz w:val="22"/>
          <w:szCs w:val="22"/>
          <w:lang w:val="sr-Latn-ME"/>
        </w:rPr>
        <w:t xml:space="preserve"> </w:t>
      </w:r>
      <w:r w:rsidR="004D3A85" w:rsidRPr="00B74B0F">
        <w:rPr>
          <w:rFonts w:ascii="Times New Roman" w:hAnsi="Times New Roman"/>
          <w:b w:val="0"/>
          <w:sz w:val="22"/>
          <w:szCs w:val="22"/>
          <w:lang w:val="sr-Latn-ME"/>
        </w:rPr>
        <w:t>U</w:t>
      </w:r>
      <w:r w:rsidR="00BC1AA5" w:rsidRPr="00B74B0F">
        <w:rPr>
          <w:rFonts w:ascii="Times New Roman" w:hAnsi="Times New Roman"/>
          <w:b w:val="0"/>
          <w:sz w:val="22"/>
          <w:szCs w:val="22"/>
          <w:lang w:val="sr-Latn-ME"/>
        </w:rPr>
        <w:t>padacitinib treba</w:t>
      </w:r>
      <w:r w:rsidR="006F1BB3" w:rsidRPr="00B74B0F">
        <w:rPr>
          <w:rFonts w:ascii="Times New Roman" w:hAnsi="Times New Roman"/>
          <w:b w:val="0"/>
          <w:sz w:val="22"/>
          <w:szCs w:val="22"/>
          <w:lang w:val="sr-Latn-ME"/>
        </w:rPr>
        <w:t xml:space="preserve"> primjenjivati </w:t>
      </w:r>
      <w:r w:rsidR="004D3A85" w:rsidRPr="00B74B0F">
        <w:rPr>
          <w:rFonts w:ascii="Times New Roman" w:hAnsi="Times New Roman"/>
          <w:b w:val="0"/>
          <w:sz w:val="22"/>
          <w:szCs w:val="22"/>
          <w:lang w:val="sr-Latn-ME"/>
        </w:rPr>
        <w:t>sa</w:t>
      </w:r>
      <w:r w:rsidR="00BC1AA5" w:rsidRPr="00B74B0F">
        <w:rPr>
          <w:rFonts w:ascii="Times New Roman" w:hAnsi="Times New Roman"/>
          <w:b w:val="0"/>
          <w:sz w:val="22"/>
          <w:szCs w:val="22"/>
          <w:lang w:val="sr-Latn-ME"/>
        </w:rPr>
        <w:t xml:space="preserve"> oprez</w:t>
      </w:r>
      <w:r w:rsidR="004D3A85" w:rsidRPr="00B74B0F">
        <w:rPr>
          <w:rFonts w:ascii="Times New Roman" w:hAnsi="Times New Roman"/>
          <w:b w:val="0"/>
          <w:sz w:val="22"/>
          <w:szCs w:val="22"/>
          <w:lang w:val="sr-Latn-ME"/>
        </w:rPr>
        <w:t>om</w:t>
      </w:r>
      <w:r w:rsidR="00BC1AA5" w:rsidRPr="00B74B0F">
        <w:rPr>
          <w:rFonts w:ascii="Times New Roman" w:hAnsi="Times New Roman"/>
          <w:b w:val="0"/>
          <w:sz w:val="22"/>
          <w:szCs w:val="22"/>
          <w:lang w:val="sr-Latn-ME"/>
        </w:rPr>
        <w:t xml:space="preserve"> </w:t>
      </w:r>
      <w:r w:rsidR="006B2AFA" w:rsidRPr="00B74B0F">
        <w:rPr>
          <w:rFonts w:ascii="Times New Roman" w:hAnsi="Times New Roman"/>
          <w:b w:val="0"/>
          <w:sz w:val="22"/>
          <w:szCs w:val="22"/>
          <w:lang w:val="sr-Latn-ME"/>
        </w:rPr>
        <w:t>kod</w:t>
      </w:r>
      <w:r w:rsidR="00BC1AA5" w:rsidRPr="00B74B0F">
        <w:rPr>
          <w:rFonts w:ascii="Times New Roman" w:hAnsi="Times New Roman"/>
          <w:b w:val="0"/>
          <w:sz w:val="22"/>
          <w:szCs w:val="22"/>
          <w:lang w:val="sr-Latn-ME"/>
        </w:rPr>
        <w:t xml:space="preserve"> </w:t>
      </w:r>
      <w:r w:rsidR="00BB59FC" w:rsidRPr="00B74B0F">
        <w:rPr>
          <w:rFonts w:ascii="Times New Roman" w:hAnsi="Times New Roman"/>
          <w:b w:val="0"/>
          <w:sz w:val="22"/>
          <w:szCs w:val="22"/>
          <w:lang w:val="sr-Latn-ME"/>
        </w:rPr>
        <w:t>pacijenata</w:t>
      </w:r>
      <w:r w:rsidRPr="00B74B0F">
        <w:rPr>
          <w:rFonts w:ascii="Times New Roman" w:hAnsi="Times New Roman"/>
          <w:b w:val="0"/>
          <w:sz w:val="22"/>
          <w:szCs w:val="22"/>
          <w:lang w:val="sr-Latn-ME"/>
        </w:rPr>
        <w:t xml:space="preserve"> s</w:t>
      </w:r>
      <w:r w:rsidR="00BB59FC" w:rsidRPr="00B74B0F">
        <w:rPr>
          <w:rFonts w:ascii="Times New Roman" w:hAnsi="Times New Roman"/>
          <w:b w:val="0"/>
          <w:sz w:val="22"/>
          <w:szCs w:val="22"/>
          <w:lang w:val="sr-Latn-ME"/>
        </w:rPr>
        <w:t>a</w:t>
      </w:r>
      <w:r w:rsidRPr="00B74B0F">
        <w:rPr>
          <w:rFonts w:ascii="Times New Roman" w:hAnsi="Times New Roman"/>
          <w:b w:val="0"/>
          <w:sz w:val="22"/>
          <w:szCs w:val="22"/>
          <w:lang w:val="sr-Latn-ME"/>
        </w:rPr>
        <w:t xml:space="preserve"> teškim oštećenjem</w:t>
      </w:r>
      <w:r w:rsidR="006B2AFA" w:rsidRPr="00B74B0F">
        <w:rPr>
          <w:rFonts w:ascii="Times New Roman" w:hAnsi="Times New Roman"/>
          <w:b w:val="0"/>
          <w:sz w:val="22"/>
          <w:szCs w:val="22"/>
          <w:lang w:val="sr-Latn-ME"/>
        </w:rPr>
        <w:t xml:space="preserve"> funkcije</w:t>
      </w:r>
      <w:r w:rsidRPr="00B74B0F">
        <w:rPr>
          <w:rFonts w:ascii="Times New Roman" w:hAnsi="Times New Roman"/>
          <w:b w:val="0"/>
          <w:sz w:val="22"/>
          <w:szCs w:val="22"/>
          <w:lang w:val="sr-Latn-ME"/>
        </w:rPr>
        <w:t xml:space="preserve"> bubre</w:t>
      </w:r>
      <w:r w:rsidR="006B2AFA" w:rsidRPr="00B74B0F">
        <w:rPr>
          <w:rFonts w:ascii="Times New Roman" w:hAnsi="Times New Roman"/>
          <w:b w:val="0"/>
          <w:sz w:val="22"/>
          <w:szCs w:val="22"/>
          <w:lang w:val="sr-Latn-ME"/>
        </w:rPr>
        <w:t>ga</w:t>
      </w:r>
      <w:r w:rsidR="00AC77D7" w:rsidRPr="00B74B0F">
        <w:rPr>
          <w:rFonts w:ascii="Times New Roman" w:hAnsi="Times New Roman"/>
          <w:b w:val="0"/>
          <w:sz w:val="22"/>
          <w:szCs w:val="22"/>
          <w:lang w:val="sr-Latn-ME"/>
        </w:rPr>
        <w:t xml:space="preserve"> kao što je opisano u Tabeli 2</w:t>
      </w:r>
      <w:r w:rsidRPr="00B74B0F">
        <w:rPr>
          <w:rFonts w:ascii="Times New Roman" w:hAnsi="Times New Roman"/>
          <w:b w:val="0"/>
          <w:sz w:val="22"/>
          <w:szCs w:val="22"/>
          <w:lang w:val="sr-Latn-ME"/>
        </w:rPr>
        <w:t>.</w:t>
      </w:r>
      <w:r w:rsidR="006F1BB3" w:rsidRPr="00B74B0F">
        <w:rPr>
          <w:rFonts w:ascii="Times New Roman" w:hAnsi="Times New Roman"/>
          <w:sz w:val="22"/>
          <w:szCs w:val="22"/>
          <w:lang w:val="sr-Latn-ME"/>
        </w:rPr>
        <w:t xml:space="preserve"> </w:t>
      </w:r>
      <w:r w:rsidR="006F1BB3" w:rsidRPr="00B74B0F">
        <w:rPr>
          <w:rFonts w:ascii="Times New Roman" w:hAnsi="Times New Roman"/>
          <w:b w:val="0"/>
          <w:sz w:val="22"/>
          <w:szCs w:val="22"/>
          <w:lang w:val="sr-Latn-ME"/>
        </w:rPr>
        <w:t>Primjena upadacitinib</w:t>
      </w:r>
      <w:r w:rsidR="00AC77D7" w:rsidRPr="00B74B0F">
        <w:rPr>
          <w:rFonts w:ascii="Times New Roman" w:hAnsi="Times New Roman"/>
          <w:b w:val="0"/>
          <w:sz w:val="22"/>
          <w:szCs w:val="22"/>
          <w:lang w:val="sr-Latn-ME"/>
        </w:rPr>
        <w:t>a</w:t>
      </w:r>
      <w:r w:rsidR="006F1BB3" w:rsidRPr="00B74B0F">
        <w:rPr>
          <w:rFonts w:ascii="Times New Roman" w:hAnsi="Times New Roman"/>
          <w:b w:val="0"/>
          <w:sz w:val="22"/>
          <w:szCs w:val="22"/>
          <w:lang w:val="sr-Latn-ME"/>
        </w:rPr>
        <w:t xml:space="preserve"> se nije ispitivala kod osoba u za</w:t>
      </w:r>
      <w:r w:rsidR="0072723F" w:rsidRPr="00B74B0F">
        <w:rPr>
          <w:rFonts w:ascii="Times New Roman" w:hAnsi="Times New Roman"/>
          <w:b w:val="0"/>
          <w:sz w:val="22"/>
          <w:szCs w:val="22"/>
          <w:lang w:val="sr-Latn-ME"/>
        </w:rPr>
        <w:t>vršnom</w:t>
      </w:r>
      <w:r w:rsidR="006F1BB3" w:rsidRPr="00B74B0F">
        <w:rPr>
          <w:rFonts w:ascii="Times New Roman" w:hAnsi="Times New Roman"/>
          <w:b w:val="0"/>
          <w:sz w:val="22"/>
          <w:szCs w:val="22"/>
          <w:lang w:val="sr-Latn-ME"/>
        </w:rPr>
        <w:t xml:space="preserve"> stadiju</w:t>
      </w:r>
      <w:r w:rsidR="0072723F" w:rsidRPr="00B74B0F">
        <w:rPr>
          <w:rFonts w:ascii="Times New Roman" w:hAnsi="Times New Roman"/>
          <w:b w:val="0"/>
          <w:sz w:val="22"/>
          <w:szCs w:val="22"/>
          <w:lang w:val="sr-Latn-ME"/>
        </w:rPr>
        <w:t>mu</w:t>
      </w:r>
      <w:r w:rsidR="006F1BB3" w:rsidRPr="00B74B0F">
        <w:rPr>
          <w:rFonts w:ascii="Times New Roman" w:hAnsi="Times New Roman"/>
          <w:b w:val="0"/>
          <w:sz w:val="22"/>
          <w:szCs w:val="22"/>
          <w:lang w:val="sr-Latn-ME"/>
        </w:rPr>
        <w:t xml:space="preserve"> bubrežne bolesti</w:t>
      </w:r>
      <w:r w:rsidR="00542622" w:rsidRPr="00B74B0F">
        <w:rPr>
          <w:rFonts w:ascii="Times New Roman" w:hAnsi="Times New Roman"/>
          <w:b w:val="0"/>
          <w:sz w:val="22"/>
          <w:szCs w:val="22"/>
          <w:lang w:val="sr-Latn-ME"/>
        </w:rPr>
        <w:t xml:space="preserve"> i zbog toga se ne preporučuje za primjenu kod tih pacijenata.</w:t>
      </w:r>
    </w:p>
    <w:p w14:paraId="2E8279E9" w14:textId="01FFCF8D" w:rsidR="00613719" w:rsidRPr="00B74B0F" w:rsidRDefault="00613719">
      <w:pPr>
        <w:pStyle w:val="PIHeading2"/>
        <w:keepNext w:val="0"/>
        <w:keepLines w:val="0"/>
        <w:shd w:val="clear" w:color="auto" w:fill="FFFFFF" w:themeFill="background1"/>
        <w:spacing w:before="0" w:after="0"/>
        <w:contextualSpacing/>
        <w:jc w:val="both"/>
        <w:rPr>
          <w:rFonts w:ascii="Times New Roman" w:hAnsi="Times New Roman"/>
          <w:b w:val="0"/>
          <w:sz w:val="22"/>
          <w:szCs w:val="22"/>
          <w:lang w:val="sr-Latn-ME"/>
        </w:rPr>
      </w:pPr>
    </w:p>
    <w:p w14:paraId="25770A96" w14:textId="77777777" w:rsidR="00831AD3" w:rsidRPr="00B74B0F" w:rsidRDefault="00831AD3">
      <w:pPr>
        <w:pStyle w:val="PIHeading2"/>
        <w:keepNext w:val="0"/>
        <w:keepLines w:val="0"/>
        <w:shd w:val="clear" w:color="auto" w:fill="FFFFFF" w:themeFill="background1"/>
        <w:spacing w:before="0" w:after="0"/>
        <w:contextualSpacing/>
        <w:jc w:val="both"/>
        <w:rPr>
          <w:rFonts w:ascii="Times New Roman" w:hAnsi="Times New Roman"/>
          <w:b w:val="0"/>
          <w:sz w:val="22"/>
          <w:szCs w:val="22"/>
          <w:lang w:val="sr-Latn-ME"/>
        </w:rPr>
      </w:pPr>
    </w:p>
    <w:p w14:paraId="0B7F1A65" w14:textId="77777777" w:rsidR="00831AD3" w:rsidRPr="00B74B0F" w:rsidRDefault="00831AD3">
      <w:pPr>
        <w:pStyle w:val="PIHeading2"/>
        <w:keepNext w:val="0"/>
        <w:keepLines w:val="0"/>
        <w:shd w:val="clear" w:color="auto" w:fill="FFFFFF" w:themeFill="background1"/>
        <w:spacing w:before="0" w:after="0"/>
        <w:contextualSpacing/>
        <w:jc w:val="both"/>
        <w:rPr>
          <w:rFonts w:ascii="Times New Roman" w:hAnsi="Times New Roman"/>
          <w:b w:val="0"/>
          <w:sz w:val="22"/>
          <w:szCs w:val="22"/>
          <w:lang w:val="sr-Latn-ME"/>
        </w:rPr>
      </w:pPr>
    </w:p>
    <w:p w14:paraId="11F6A33B" w14:textId="77777777" w:rsidR="00831AD3" w:rsidRPr="00B74B0F" w:rsidRDefault="00831AD3">
      <w:pPr>
        <w:pStyle w:val="PIHeading2"/>
        <w:keepNext w:val="0"/>
        <w:keepLines w:val="0"/>
        <w:shd w:val="clear" w:color="auto" w:fill="FFFFFF" w:themeFill="background1"/>
        <w:spacing w:before="0" w:after="0"/>
        <w:contextualSpacing/>
        <w:jc w:val="both"/>
        <w:rPr>
          <w:rFonts w:ascii="Times New Roman" w:hAnsi="Times New Roman"/>
          <w:b w:val="0"/>
          <w:sz w:val="22"/>
          <w:szCs w:val="22"/>
          <w:lang w:val="sr-Latn-ME"/>
        </w:rPr>
      </w:pPr>
    </w:p>
    <w:p w14:paraId="4DCA036D" w14:textId="55B8147B" w:rsidR="00613719" w:rsidRPr="00B74B0F" w:rsidRDefault="00613719">
      <w:pPr>
        <w:pStyle w:val="PIHeading2"/>
        <w:keepNext w:val="0"/>
        <w:keepLines w:val="0"/>
        <w:shd w:val="clear" w:color="auto" w:fill="FFFFFF" w:themeFill="background1"/>
        <w:spacing w:before="0" w:after="0"/>
        <w:contextualSpacing/>
        <w:jc w:val="both"/>
        <w:rPr>
          <w:rFonts w:ascii="Times New Roman" w:hAnsi="Times New Roman"/>
          <w:b w:val="0"/>
          <w:sz w:val="22"/>
          <w:szCs w:val="22"/>
          <w:vertAlign w:val="superscript"/>
          <w:lang w:val="sr-Latn-ME"/>
        </w:rPr>
      </w:pPr>
      <w:r w:rsidRPr="00B74B0F">
        <w:rPr>
          <w:rFonts w:ascii="Times New Roman" w:hAnsi="Times New Roman"/>
          <w:b w:val="0"/>
          <w:sz w:val="22"/>
          <w:szCs w:val="22"/>
          <w:lang w:val="sr-Latn-ME"/>
        </w:rPr>
        <w:lastRenderedPageBreak/>
        <w:t>Tabela 2: Preporučena doza kod teškog oštećenja funkcije bubrega</w:t>
      </w:r>
      <w:r w:rsidRPr="00B74B0F">
        <w:rPr>
          <w:rFonts w:ascii="Times New Roman" w:hAnsi="Times New Roman"/>
          <w:b w:val="0"/>
          <w:sz w:val="22"/>
          <w:szCs w:val="22"/>
          <w:vertAlign w:val="superscript"/>
          <w:lang w:val="sr-Latn-ME"/>
        </w:rPr>
        <w:t>a</w:t>
      </w:r>
    </w:p>
    <w:p w14:paraId="4A328F5C" w14:textId="24123AEF" w:rsidR="00613719" w:rsidRPr="00B74B0F" w:rsidRDefault="00613719">
      <w:pPr>
        <w:pStyle w:val="PIHeading2"/>
        <w:keepNext w:val="0"/>
        <w:keepLines w:val="0"/>
        <w:shd w:val="clear" w:color="auto" w:fill="FFFFFF" w:themeFill="background1"/>
        <w:spacing w:before="0" w:after="0"/>
        <w:contextualSpacing/>
        <w:jc w:val="both"/>
        <w:rPr>
          <w:rFonts w:ascii="Times New Roman" w:hAnsi="Times New Roman"/>
          <w:b w:val="0"/>
          <w:sz w:val="22"/>
          <w:szCs w:val="22"/>
          <w:vertAlign w:val="superscript"/>
          <w:lang w:val="sr-Latn-ME"/>
        </w:rPr>
      </w:pPr>
    </w:p>
    <w:tbl>
      <w:tblPr>
        <w:tblStyle w:val="TablegridAgencyblack1"/>
        <w:tblW w:w="0" w:type="auto"/>
        <w:shd w:val="clear" w:color="auto" w:fill="FFFFFF" w:themeFill="background1"/>
        <w:tblLook w:val="04A0" w:firstRow="1" w:lastRow="0" w:firstColumn="1" w:lastColumn="0" w:noHBand="0" w:noVBand="1"/>
      </w:tblPr>
      <w:tblGrid>
        <w:gridCol w:w="4530"/>
        <w:gridCol w:w="2836"/>
        <w:gridCol w:w="1695"/>
      </w:tblGrid>
      <w:tr w:rsidR="00613719" w:rsidRPr="00B74B0F" w14:paraId="1DF7ABF1" w14:textId="77777777" w:rsidTr="00BE568C">
        <w:trPr>
          <w:cnfStyle w:val="100000000000" w:firstRow="1" w:lastRow="0" w:firstColumn="0" w:lastColumn="0" w:oddVBand="0" w:evenVBand="0" w:oddHBand="0" w:evenHBand="0" w:firstRowFirstColumn="0" w:firstRowLastColumn="0" w:lastRowFirstColumn="0" w:lastRowLastColumn="0"/>
          <w:tblHeader w:val="0"/>
        </w:trPr>
        <w:tc>
          <w:tcPr>
            <w:tcW w:w="4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186A1B8C" w14:textId="12C03106" w:rsidR="00613719" w:rsidRPr="00B74B0F" w:rsidRDefault="00613719">
            <w:pPr>
              <w:pStyle w:val="PIHeading2"/>
              <w:keepNext w:val="0"/>
              <w:keepLines w:val="0"/>
              <w:spacing w:before="0" w:after="0"/>
              <w:contextualSpacing/>
              <w:jc w:val="both"/>
              <w:rPr>
                <w:rFonts w:ascii="Times New Roman" w:hAnsi="Times New Roman"/>
                <w:b/>
                <w:sz w:val="22"/>
                <w:szCs w:val="22"/>
                <w:lang w:val="sr-Latn-ME"/>
              </w:rPr>
            </w:pPr>
            <w:r w:rsidRPr="00B74B0F">
              <w:rPr>
                <w:rFonts w:ascii="Times New Roman" w:hAnsi="Times New Roman"/>
                <w:sz w:val="22"/>
                <w:szCs w:val="22"/>
                <w:lang w:val="sr-Latn-ME"/>
              </w:rPr>
              <w:t>Terapijska indikacija</w:t>
            </w:r>
          </w:p>
        </w:tc>
        <w:tc>
          <w:tcPr>
            <w:tcW w:w="453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FFF" w:themeFill="background1"/>
          </w:tcPr>
          <w:p w14:paraId="39AF87C0" w14:textId="6270374D" w:rsidR="00613719" w:rsidRPr="00B74B0F" w:rsidRDefault="00613719">
            <w:pPr>
              <w:pStyle w:val="PIHeading2"/>
              <w:keepNext w:val="0"/>
              <w:keepLines w:val="0"/>
              <w:spacing w:before="0" w:after="0"/>
              <w:contextualSpacing/>
              <w:jc w:val="both"/>
              <w:rPr>
                <w:rFonts w:ascii="Times New Roman" w:hAnsi="Times New Roman"/>
                <w:b/>
                <w:sz w:val="22"/>
                <w:szCs w:val="22"/>
                <w:lang w:val="sr-Latn-ME"/>
              </w:rPr>
            </w:pPr>
            <w:r w:rsidRPr="00B74B0F">
              <w:rPr>
                <w:rFonts w:ascii="Times New Roman" w:hAnsi="Times New Roman"/>
                <w:sz w:val="22"/>
                <w:szCs w:val="22"/>
                <w:lang w:val="sr-Latn-ME"/>
              </w:rPr>
              <w:t>Preporučena doza jednom dnevno</w:t>
            </w:r>
          </w:p>
        </w:tc>
      </w:tr>
      <w:tr w:rsidR="00613719" w:rsidRPr="00B74B0F" w14:paraId="531C2C33" w14:textId="77777777" w:rsidTr="00BE568C">
        <w:trPr>
          <w:trHeight w:val="697"/>
        </w:trPr>
        <w:tc>
          <w:tcPr>
            <w:tcW w:w="4530" w:type="dxa"/>
            <w:shd w:val="clear" w:color="auto" w:fill="FFFFFF" w:themeFill="background1"/>
          </w:tcPr>
          <w:p w14:paraId="4CE457EC" w14:textId="77777777" w:rsidR="00613719" w:rsidRPr="00B74B0F" w:rsidRDefault="00613719">
            <w:pPr>
              <w:pStyle w:val="PIHeading2"/>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Reumatoidni artritis, psorijatični artritis, aksijalni</w:t>
            </w:r>
          </w:p>
          <w:p w14:paraId="418BF233" w14:textId="6F0DD498" w:rsidR="00613719" w:rsidRPr="00B74B0F" w:rsidRDefault="00613719">
            <w:pPr>
              <w:pStyle w:val="PIHeading2"/>
              <w:keepNext w:val="0"/>
              <w:keepLines w:val="0"/>
              <w:spacing w:before="0" w:after="0"/>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spondiloartritis, atopijski dermatitis</w:t>
            </w:r>
          </w:p>
        </w:tc>
        <w:tc>
          <w:tcPr>
            <w:tcW w:w="4531" w:type="dxa"/>
            <w:gridSpan w:val="2"/>
            <w:shd w:val="clear" w:color="auto" w:fill="FFFFFF" w:themeFill="background1"/>
          </w:tcPr>
          <w:p w14:paraId="5D57DFA6" w14:textId="77777777" w:rsidR="00613719" w:rsidRPr="00B74B0F" w:rsidRDefault="00613719">
            <w:pPr>
              <w:pStyle w:val="PIHeading2"/>
              <w:keepNext w:val="0"/>
              <w:keepLines w:val="0"/>
              <w:spacing w:before="0" w:after="0"/>
              <w:contextualSpacing/>
              <w:jc w:val="both"/>
              <w:rPr>
                <w:rFonts w:ascii="Times New Roman" w:hAnsi="Times New Roman"/>
                <w:b w:val="0"/>
                <w:sz w:val="22"/>
                <w:szCs w:val="22"/>
                <w:lang w:val="sr-Latn-ME"/>
              </w:rPr>
            </w:pPr>
          </w:p>
          <w:p w14:paraId="30D76A77" w14:textId="0D73E6E3" w:rsidR="00613719" w:rsidRPr="00B74B0F" w:rsidRDefault="00613719">
            <w:pPr>
              <w:pStyle w:val="PIHeading2"/>
              <w:keepNext w:val="0"/>
              <w:keepLines w:val="0"/>
              <w:spacing w:before="0" w:after="0"/>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15 mg</w:t>
            </w:r>
          </w:p>
        </w:tc>
      </w:tr>
      <w:tr w:rsidR="00613719" w:rsidRPr="00B74B0F" w14:paraId="6F85E3C5" w14:textId="77777777" w:rsidTr="00BE568C">
        <w:tc>
          <w:tcPr>
            <w:tcW w:w="4530" w:type="dxa"/>
            <w:shd w:val="clear" w:color="auto" w:fill="FFFFFF" w:themeFill="background1"/>
          </w:tcPr>
          <w:p w14:paraId="7AD8799D" w14:textId="2CFD783D" w:rsidR="00613719" w:rsidRPr="00B74B0F" w:rsidRDefault="00613719">
            <w:pPr>
              <w:pStyle w:val="PIHeading2"/>
              <w:keepNext w:val="0"/>
              <w:keepLines w:val="0"/>
              <w:spacing w:before="0" w:after="0"/>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Ulcerozni kolitis</w:t>
            </w:r>
            <w:r w:rsidR="00CC5ACD" w:rsidRPr="00B74B0F">
              <w:rPr>
                <w:rFonts w:ascii="Times New Roman" w:hAnsi="Times New Roman"/>
                <w:b w:val="0"/>
                <w:sz w:val="22"/>
                <w:szCs w:val="22"/>
                <w:lang w:val="sr-Latn-ME"/>
              </w:rPr>
              <w:t xml:space="preserve">, </w:t>
            </w:r>
            <w:r w:rsidR="00AB77FD" w:rsidRPr="00B74B0F">
              <w:rPr>
                <w:rFonts w:ascii="Times New Roman" w:hAnsi="Times New Roman"/>
                <w:b w:val="0"/>
                <w:sz w:val="22"/>
                <w:szCs w:val="22"/>
                <w:lang w:val="sr-Latn-ME"/>
              </w:rPr>
              <w:t>K</w:t>
            </w:r>
            <w:r w:rsidR="00CC5ACD" w:rsidRPr="00B74B0F">
              <w:rPr>
                <w:rFonts w:ascii="Times New Roman" w:hAnsi="Times New Roman"/>
                <w:b w:val="0"/>
                <w:sz w:val="22"/>
                <w:szCs w:val="22"/>
                <w:lang w:val="sr-Latn-ME"/>
              </w:rPr>
              <w:t>ronova bolest</w:t>
            </w:r>
          </w:p>
        </w:tc>
        <w:tc>
          <w:tcPr>
            <w:tcW w:w="4531" w:type="dxa"/>
            <w:gridSpan w:val="2"/>
            <w:shd w:val="clear" w:color="auto" w:fill="FFFFFF" w:themeFill="background1"/>
          </w:tcPr>
          <w:p w14:paraId="5C14FDC3" w14:textId="77777777" w:rsidR="00613719" w:rsidRPr="00B74B0F" w:rsidRDefault="00613719">
            <w:pPr>
              <w:pStyle w:val="PIHeading2"/>
              <w:keepNext w:val="0"/>
              <w:keepLines w:val="0"/>
              <w:spacing w:before="0" w:after="0"/>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Indukcija: 30 mg</w:t>
            </w:r>
          </w:p>
          <w:p w14:paraId="5DBE7B1D" w14:textId="15018150" w:rsidR="00613719" w:rsidRPr="00B74B0F" w:rsidRDefault="00613719">
            <w:pPr>
              <w:pStyle w:val="PIHeading2"/>
              <w:keepNext w:val="0"/>
              <w:keepLines w:val="0"/>
              <w:spacing w:before="0" w:after="0"/>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Održavanje: 15</w:t>
            </w:r>
            <w:r w:rsidR="00CC7FBF" w:rsidRPr="00B74B0F">
              <w:rPr>
                <w:rFonts w:ascii="Times New Roman" w:hAnsi="Times New Roman"/>
                <w:b w:val="0"/>
                <w:sz w:val="22"/>
                <w:szCs w:val="22"/>
                <w:lang w:val="sr-Latn-ME"/>
              </w:rPr>
              <w:t xml:space="preserve"> </w:t>
            </w:r>
            <w:r w:rsidRPr="00B74B0F">
              <w:rPr>
                <w:rFonts w:ascii="Times New Roman" w:hAnsi="Times New Roman"/>
                <w:b w:val="0"/>
                <w:sz w:val="22"/>
                <w:szCs w:val="22"/>
                <w:lang w:val="sr-Latn-ME"/>
              </w:rPr>
              <w:t>mg</w:t>
            </w:r>
          </w:p>
        </w:tc>
      </w:tr>
      <w:tr w:rsidR="00613719" w:rsidRPr="00B74B0F" w14:paraId="478D68C8" w14:textId="77777777" w:rsidTr="00A30C3C">
        <w:tc>
          <w:tcPr>
            <w:tcW w:w="7366" w:type="dxa"/>
            <w:gridSpan w:val="2"/>
            <w:tcBorders>
              <w:right w:val="single" w:sz="4" w:space="0" w:color="FFFFFF" w:themeColor="background1"/>
            </w:tcBorders>
            <w:shd w:val="clear" w:color="auto" w:fill="FFFFFF" w:themeFill="background1"/>
          </w:tcPr>
          <w:p w14:paraId="7E7FED68" w14:textId="12FA80A6" w:rsidR="00613719" w:rsidRPr="00B74B0F" w:rsidRDefault="00AC77D7">
            <w:pPr>
              <w:pStyle w:val="PIHeading2"/>
              <w:keepNext w:val="0"/>
              <w:keepLines w:val="0"/>
              <w:spacing w:before="0" w:after="0"/>
              <w:ind w:right="-2096"/>
              <w:contextualSpacing/>
              <w:jc w:val="both"/>
              <w:rPr>
                <w:rFonts w:ascii="Times New Roman" w:hAnsi="Times New Roman"/>
                <w:b w:val="0"/>
                <w:sz w:val="22"/>
                <w:szCs w:val="22"/>
                <w:lang w:val="sr-Latn-ME"/>
              </w:rPr>
            </w:pPr>
            <w:r w:rsidRPr="00B74B0F">
              <w:rPr>
                <w:rFonts w:ascii="Times New Roman" w:hAnsi="Times New Roman"/>
                <w:b w:val="0"/>
                <w:sz w:val="22"/>
                <w:szCs w:val="22"/>
                <w:vertAlign w:val="superscript"/>
                <w:lang w:val="sr-Latn-ME"/>
              </w:rPr>
              <w:t>a</w:t>
            </w:r>
            <w:r w:rsidRPr="00B74B0F">
              <w:rPr>
                <w:rFonts w:ascii="Times New Roman" w:hAnsi="Times New Roman"/>
                <w:b w:val="0"/>
                <w:sz w:val="22"/>
                <w:szCs w:val="22"/>
                <w:lang w:val="sr-Latn-ME"/>
              </w:rPr>
              <w:t xml:space="preserve"> p</w:t>
            </w:r>
            <w:r w:rsidR="00CC7FBF" w:rsidRPr="00B74B0F">
              <w:rPr>
                <w:rFonts w:ascii="Times New Roman" w:hAnsi="Times New Roman"/>
                <w:b w:val="0"/>
                <w:sz w:val="22"/>
                <w:szCs w:val="22"/>
                <w:lang w:val="sr-Latn-ME"/>
              </w:rPr>
              <w:t xml:space="preserve">rocijenjena brzina glomerularne filtracije (eGFR) 15 </w:t>
            </w:r>
            <w:r w:rsidRPr="00B74B0F">
              <w:rPr>
                <w:rFonts w:ascii="Times New Roman" w:hAnsi="Times New Roman"/>
                <w:b w:val="0"/>
                <w:sz w:val="22"/>
                <w:szCs w:val="22"/>
                <w:lang w:val="sr-Latn-ME"/>
              </w:rPr>
              <w:t xml:space="preserve">do </w:t>
            </w:r>
            <w:r w:rsidR="00CC7FBF" w:rsidRPr="00B74B0F">
              <w:rPr>
                <w:rFonts w:ascii="Times New Roman" w:hAnsi="Times New Roman"/>
                <w:b w:val="0"/>
                <w:sz w:val="22"/>
                <w:szCs w:val="22"/>
                <w:lang w:val="sr-Latn-ME"/>
              </w:rPr>
              <w:t>&lt; 30 ml/min/1,73 m</w:t>
            </w:r>
            <w:r w:rsidR="00CC7FBF" w:rsidRPr="00B74B0F">
              <w:rPr>
                <w:rFonts w:ascii="Times New Roman" w:hAnsi="Times New Roman"/>
                <w:b w:val="0"/>
                <w:sz w:val="22"/>
                <w:szCs w:val="22"/>
                <w:vertAlign w:val="superscript"/>
                <w:lang w:val="sr-Latn-ME"/>
              </w:rPr>
              <w:t>2</w:t>
            </w:r>
          </w:p>
        </w:tc>
        <w:tc>
          <w:tcPr>
            <w:tcW w:w="1695" w:type="dxa"/>
            <w:tcBorders>
              <w:left w:val="single" w:sz="4" w:space="0" w:color="FFFFFF" w:themeColor="background1"/>
            </w:tcBorders>
            <w:shd w:val="clear" w:color="auto" w:fill="FFFFFF" w:themeFill="background1"/>
          </w:tcPr>
          <w:p w14:paraId="0CC39DE7" w14:textId="77777777" w:rsidR="00613719" w:rsidRPr="00B74B0F" w:rsidRDefault="00613719">
            <w:pPr>
              <w:pStyle w:val="PIHeading2"/>
              <w:keepNext w:val="0"/>
              <w:keepLines w:val="0"/>
              <w:spacing w:before="0" w:after="0"/>
              <w:contextualSpacing/>
              <w:jc w:val="both"/>
              <w:rPr>
                <w:rFonts w:ascii="Times New Roman" w:hAnsi="Times New Roman"/>
                <w:b w:val="0"/>
                <w:sz w:val="22"/>
                <w:szCs w:val="22"/>
                <w:lang w:val="sr-Latn-ME"/>
              </w:rPr>
            </w:pPr>
          </w:p>
        </w:tc>
      </w:tr>
    </w:tbl>
    <w:p w14:paraId="780EFD02" w14:textId="1C798E35" w:rsidR="00613719" w:rsidRPr="00B74B0F" w:rsidRDefault="00613719">
      <w:pPr>
        <w:pStyle w:val="PIHeading2"/>
        <w:keepNext w:val="0"/>
        <w:keepLines w:val="0"/>
        <w:shd w:val="clear" w:color="auto" w:fill="FFFFFF" w:themeFill="background1"/>
        <w:spacing w:before="0" w:after="0"/>
        <w:contextualSpacing/>
        <w:jc w:val="both"/>
        <w:rPr>
          <w:rFonts w:ascii="Times New Roman" w:hAnsi="Times New Roman"/>
          <w:b w:val="0"/>
          <w:sz w:val="22"/>
          <w:szCs w:val="22"/>
          <w:lang w:val="sr-Latn-ME"/>
        </w:rPr>
      </w:pPr>
    </w:p>
    <w:p w14:paraId="2FFDD0DF" w14:textId="305C55A1" w:rsidR="000B035F" w:rsidRPr="00B74B0F" w:rsidRDefault="00906CF8">
      <w:pPr>
        <w:keepNext/>
        <w:spacing w:line="240" w:lineRule="auto"/>
        <w:contextualSpacing/>
        <w:jc w:val="both"/>
        <w:rPr>
          <w:i/>
          <w:szCs w:val="22"/>
          <w:lang w:val="sr-Latn-ME"/>
        </w:rPr>
      </w:pPr>
      <w:r w:rsidRPr="00B74B0F">
        <w:rPr>
          <w:i/>
          <w:szCs w:val="22"/>
          <w:lang w:val="sr-Latn-ME"/>
        </w:rPr>
        <w:t>Oštećenje funkcije jetre</w:t>
      </w:r>
    </w:p>
    <w:p w14:paraId="3742D5D3" w14:textId="77777777" w:rsidR="00F8311E" w:rsidRPr="00B74B0F" w:rsidRDefault="00F8311E">
      <w:pPr>
        <w:keepNext/>
        <w:spacing w:line="240" w:lineRule="auto"/>
        <w:contextualSpacing/>
        <w:jc w:val="both"/>
        <w:rPr>
          <w:i/>
          <w:szCs w:val="22"/>
          <w:lang w:val="sr-Latn-ME"/>
        </w:rPr>
      </w:pPr>
    </w:p>
    <w:p w14:paraId="1A11DF30" w14:textId="2F262008" w:rsidR="000C2234" w:rsidRPr="00B74B0F" w:rsidRDefault="00906CF8">
      <w:pPr>
        <w:pStyle w:val="PIHeading2"/>
        <w:keepNext w:val="0"/>
        <w:keepLines w:val="0"/>
        <w:shd w:val="clear" w:color="auto" w:fill="FFFFFF" w:themeFill="background1"/>
        <w:spacing w:before="0" w:after="0"/>
        <w:contextualSpacing/>
        <w:jc w:val="both"/>
        <w:rPr>
          <w:rFonts w:ascii="Times New Roman" w:hAnsi="Times New Roman"/>
          <w:b w:val="0"/>
          <w:sz w:val="22"/>
          <w:szCs w:val="22"/>
          <w:lang w:val="sr-Latn-ME"/>
        </w:rPr>
      </w:pPr>
      <w:r w:rsidRPr="00B74B0F">
        <w:rPr>
          <w:rFonts w:ascii="Times New Roman" w:hAnsi="Times New Roman"/>
          <w:b w:val="0"/>
          <w:sz w:val="22"/>
          <w:szCs w:val="22"/>
          <w:lang w:val="sr-Latn-ME"/>
        </w:rPr>
        <w:t xml:space="preserve">Nije potrebno prilagođavati dozu </w:t>
      </w:r>
      <w:r w:rsidR="006B2AFA" w:rsidRPr="00B74B0F">
        <w:rPr>
          <w:rFonts w:ascii="Times New Roman" w:hAnsi="Times New Roman"/>
          <w:b w:val="0"/>
          <w:sz w:val="22"/>
          <w:szCs w:val="22"/>
          <w:lang w:val="sr-Latn-ME"/>
        </w:rPr>
        <w:t>kod</w:t>
      </w:r>
      <w:r w:rsidRPr="00B74B0F">
        <w:rPr>
          <w:rFonts w:ascii="Times New Roman" w:hAnsi="Times New Roman"/>
          <w:b w:val="0"/>
          <w:sz w:val="22"/>
          <w:szCs w:val="22"/>
          <w:lang w:val="sr-Latn-ME"/>
        </w:rPr>
        <w:t xml:space="preserve"> </w:t>
      </w:r>
      <w:r w:rsidR="00BB59FC" w:rsidRPr="00B74B0F">
        <w:rPr>
          <w:rFonts w:ascii="Times New Roman" w:hAnsi="Times New Roman"/>
          <w:b w:val="0"/>
          <w:sz w:val="22"/>
          <w:szCs w:val="22"/>
          <w:lang w:val="sr-Latn-ME"/>
        </w:rPr>
        <w:t>pacijenata</w:t>
      </w:r>
      <w:r w:rsidRPr="00B74B0F">
        <w:rPr>
          <w:rFonts w:ascii="Times New Roman" w:hAnsi="Times New Roman"/>
          <w:b w:val="0"/>
          <w:sz w:val="22"/>
          <w:szCs w:val="22"/>
          <w:lang w:val="sr-Latn-ME"/>
        </w:rPr>
        <w:t xml:space="preserve"> s</w:t>
      </w:r>
      <w:r w:rsidR="00BB59FC" w:rsidRPr="00B74B0F">
        <w:rPr>
          <w:rFonts w:ascii="Times New Roman" w:hAnsi="Times New Roman"/>
          <w:b w:val="0"/>
          <w:sz w:val="22"/>
          <w:szCs w:val="22"/>
          <w:lang w:val="sr-Latn-ME"/>
        </w:rPr>
        <w:t>a</w:t>
      </w:r>
      <w:r w:rsidRPr="00B74B0F">
        <w:rPr>
          <w:rFonts w:ascii="Times New Roman" w:hAnsi="Times New Roman"/>
          <w:b w:val="0"/>
          <w:sz w:val="22"/>
          <w:szCs w:val="22"/>
          <w:lang w:val="sr-Latn-ME"/>
        </w:rPr>
        <w:t xml:space="preserve"> blagim (Child Pugh stadij</w:t>
      </w:r>
      <w:r w:rsidR="000742E2" w:rsidRPr="00B74B0F">
        <w:rPr>
          <w:rFonts w:ascii="Times New Roman" w:hAnsi="Times New Roman"/>
          <w:b w:val="0"/>
          <w:sz w:val="22"/>
          <w:szCs w:val="22"/>
          <w:lang w:val="sr-Latn-ME"/>
        </w:rPr>
        <w:t>um</w:t>
      </w:r>
      <w:r w:rsidRPr="00B74B0F">
        <w:rPr>
          <w:rFonts w:ascii="Times New Roman" w:hAnsi="Times New Roman"/>
          <w:b w:val="0"/>
          <w:sz w:val="22"/>
          <w:szCs w:val="22"/>
          <w:lang w:val="sr-Latn-ME"/>
        </w:rPr>
        <w:t> A) ili umjerenim (Child Pugh stadij</w:t>
      </w:r>
      <w:r w:rsidR="000742E2" w:rsidRPr="00B74B0F">
        <w:rPr>
          <w:rFonts w:ascii="Times New Roman" w:hAnsi="Times New Roman"/>
          <w:b w:val="0"/>
          <w:sz w:val="22"/>
          <w:szCs w:val="22"/>
          <w:lang w:val="sr-Latn-ME"/>
        </w:rPr>
        <w:t>um</w:t>
      </w:r>
      <w:r w:rsidRPr="00B74B0F">
        <w:rPr>
          <w:rFonts w:ascii="Times New Roman" w:hAnsi="Times New Roman"/>
          <w:b w:val="0"/>
          <w:sz w:val="22"/>
          <w:szCs w:val="22"/>
          <w:lang w:val="sr-Latn-ME"/>
        </w:rPr>
        <w:t> B) oštećenjem</w:t>
      </w:r>
      <w:r w:rsidR="006B2AFA" w:rsidRPr="00B74B0F">
        <w:rPr>
          <w:rFonts w:ascii="Times New Roman" w:hAnsi="Times New Roman"/>
          <w:b w:val="0"/>
          <w:sz w:val="22"/>
          <w:szCs w:val="22"/>
          <w:lang w:val="sr-Latn-ME"/>
        </w:rPr>
        <w:t xml:space="preserve"> funkcije</w:t>
      </w:r>
      <w:r w:rsidRPr="00B74B0F">
        <w:rPr>
          <w:rFonts w:ascii="Times New Roman" w:hAnsi="Times New Roman"/>
          <w:b w:val="0"/>
          <w:sz w:val="22"/>
          <w:szCs w:val="22"/>
          <w:lang w:val="sr-Latn-ME"/>
        </w:rPr>
        <w:t xml:space="preserve"> jetre</w:t>
      </w:r>
      <w:r w:rsidR="00E925D1" w:rsidRPr="00B74B0F">
        <w:rPr>
          <w:rFonts w:ascii="Times New Roman" w:hAnsi="Times New Roman"/>
          <w:b w:val="0"/>
          <w:sz w:val="22"/>
          <w:szCs w:val="22"/>
          <w:lang w:val="sr-Latn-ME"/>
        </w:rPr>
        <w:t xml:space="preserve"> (vidjeti dio 5.2)</w:t>
      </w:r>
      <w:r w:rsidRPr="00B74B0F">
        <w:rPr>
          <w:rFonts w:ascii="Times New Roman" w:hAnsi="Times New Roman"/>
          <w:b w:val="0"/>
          <w:sz w:val="22"/>
          <w:szCs w:val="22"/>
          <w:lang w:val="sr-Latn-ME"/>
        </w:rPr>
        <w:t xml:space="preserve">. </w:t>
      </w:r>
      <w:r w:rsidR="00AC77D7" w:rsidRPr="00B74B0F">
        <w:rPr>
          <w:rFonts w:ascii="Times New Roman" w:hAnsi="Times New Roman"/>
          <w:b w:val="0"/>
          <w:sz w:val="22"/>
          <w:szCs w:val="22"/>
          <w:lang w:val="sr-Latn-ME"/>
        </w:rPr>
        <w:t>U</w:t>
      </w:r>
      <w:r w:rsidR="00E925D1" w:rsidRPr="00B74B0F">
        <w:rPr>
          <w:rFonts w:ascii="Times New Roman" w:hAnsi="Times New Roman"/>
          <w:b w:val="0"/>
          <w:sz w:val="22"/>
          <w:szCs w:val="22"/>
          <w:lang w:val="sr-Latn-ME"/>
        </w:rPr>
        <w:t>padacitinib se ne smije primjenjivati</w:t>
      </w:r>
      <w:r w:rsidRPr="00B74B0F">
        <w:rPr>
          <w:rFonts w:ascii="Times New Roman" w:hAnsi="Times New Roman"/>
          <w:b w:val="0"/>
          <w:sz w:val="22"/>
          <w:szCs w:val="22"/>
          <w:lang w:val="sr-Latn-ME"/>
        </w:rPr>
        <w:t xml:space="preserve"> </w:t>
      </w:r>
      <w:r w:rsidR="006B2AFA" w:rsidRPr="00B74B0F">
        <w:rPr>
          <w:rFonts w:ascii="Times New Roman" w:hAnsi="Times New Roman"/>
          <w:b w:val="0"/>
          <w:sz w:val="22"/>
          <w:szCs w:val="22"/>
          <w:lang w:val="sr-Latn-ME"/>
        </w:rPr>
        <w:t>kod</w:t>
      </w:r>
      <w:r w:rsidRPr="00B74B0F">
        <w:rPr>
          <w:rFonts w:ascii="Times New Roman" w:hAnsi="Times New Roman"/>
          <w:b w:val="0"/>
          <w:sz w:val="22"/>
          <w:szCs w:val="22"/>
          <w:lang w:val="sr-Latn-ME"/>
        </w:rPr>
        <w:t xml:space="preserve"> </w:t>
      </w:r>
      <w:r w:rsidR="00BB59FC" w:rsidRPr="00B74B0F">
        <w:rPr>
          <w:rFonts w:ascii="Times New Roman" w:hAnsi="Times New Roman"/>
          <w:b w:val="0"/>
          <w:sz w:val="22"/>
          <w:szCs w:val="22"/>
          <w:lang w:val="sr-Latn-ME"/>
        </w:rPr>
        <w:t>pacijenata</w:t>
      </w:r>
      <w:r w:rsidRPr="00B74B0F">
        <w:rPr>
          <w:rFonts w:ascii="Times New Roman" w:hAnsi="Times New Roman"/>
          <w:b w:val="0"/>
          <w:sz w:val="22"/>
          <w:szCs w:val="22"/>
          <w:lang w:val="sr-Latn-ME"/>
        </w:rPr>
        <w:t xml:space="preserve"> s</w:t>
      </w:r>
      <w:r w:rsidR="00BB59FC" w:rsidRPr="00B74B0F">
        <w:rPr>
          <w:rFonts w:ascii="Times New Roman" w:hAnsi="Times New Roman"/>
          <w:b w:val="0"/>
          <w:sz w:val="22"/>
          <w:szCs w:val="22"/>
          <w:lang w:val="sr-Latn-ME"/>
        </w:rPr>
        <w:t>a</w:t>
      </w:r>
      <w:r w:rsidRPr="00B74B0F">
        <w:rPr>
          <w:rFonts w:ascii="Times New Roman" w:hAnsi="Times New Roman"/>
          <w:b w:val="0"/>
          <w:sz w:val="22"/>
          <w:szCs w:val="22"/>
          <w:lang w:val="sr-Latn-ME"/>
        </w:rPr>
        <w:t xml:space="preserve"> teškim </w:t>
      </w:r>
      <w:r w:rsidR="007A76F8" w:rsidRPr="00B74B0F">
        <w:rPr>
          <w:rFonts w:ascii="Times New Roman" w:hAnsi="Times New Roman"/>
          <w:b w:val="0"/>
          <w:sz w:val="22"/>
          <w:szCs w:val="22"/>
          <w:lang w:val="sr-Latn-ME"/>
        </w:rPr>
        <w:t>(Child Pugh stadij</w:t>
      </w:r>
      <w:r w:rsidR="000742E2" w:rsidRPr="00B74B0F">
        <w:rPr>
          <w:rFonts w:ascii="Times New Roman" w:hAnsi="Times New Roman"/>
          <w:b w:val="0"/>
          <w:sz w:val="22"/>
          <w:szCs w:val="22"/>
          <w:lang w:val="sr-Latn-ME"/>
        </w:rPr>
        <w:t>um</w:t>
      </w:r>
      <w:r w:rsidR="007A76F8" w:rsidRPr="00B74B0F">
        <w:rPr>
          <w:rFonts w:ascii="Times New Roman" w:hAnsi="Times New Roman"/>
          <w:b w:val="0"/>
          <w:sz w:val="22"/>
          <w:szCs w:val="22"/>
          <w:lang w:val="sr-Latn-ME"/>
        </w:rPr>
        <w:t xml:space="preserve"> C) </w:t>
      </w:r>
      <w:r w:rsidRPr="00B74B0F">
        <w:rPr>
          <w:rFonts w:ascii="Times New Roman" w:hAnsi="Times New Roman"/>
          <w:b w:val="0"/>
          <w:sz w:val="22"/>
          <w:szCs w:val="22"/>
          <w:lang w:val="sr-Latn-ME"/>
        </w:rPr>
        <w:t>oštećenjem</w:t>
      </w:r>
      <w:r w:rsidR="006B2AFA" w:rsidRPr="00B74B0F">
        <w:rPr>
          <w:rFonts w:ascii="Times New Roman" w:hAnsi="Times New Roman"/>
          <w:b w:val="0"/>
          <w:sz w:val="22"/>
          <w:szCs w:val="22"/>
          <w:lang w:val="sr-Latn-ME"/>
        </w:rPr>
        <w:t xml:space="preserve"> funkcije</w:t>
      </w:r>
      <w:r w:rsidRPr="00B74B0F">
        <w:rPr>
          <w:rFonts w:ascii="Times New Roman" w:hAnsi="Times New Roman"/>
          <w:b w:val="0"/>
          <w:sz w:val="22"/>
          <w:szCs w:val="22"/>
          <w:lang w:val="sr-Latn-ME"/>
        </w:rPr>
        <w:t xml:space="preserve"> jetre (vidjeti dio </w:t>
      </w:r>
      <w:r w:rsidR="00E925D1" w:rsidRPr="00B74B0F">
        <w:rPr>
          <w:rFonts w:ascii="Times New Roman" w:hAnsi="Times New Roman"/>
          <w:b w:val="0"/>
          <w:sz w:val="22"/>
          <w:szCs w:val="22"/>
          <w:lang w:val="sr-Latn-ME"/>
        </w:rPr>
        <w:t>4.3</w:t>
      </w:r>
      <w:r w:rsidRPr="00B74B0F">
        <w:rPr>
          <w:rFonts w:ascii="Times New Roman" w:hAnsi="Times New Roman"/>
          <w:b w:val="0"/>
          <w:sz w:val="22"/>
          <w:szCs w:val="22"/>
          <w:lang w:val="sr-Latn-ME"/>
        </w:rPr>
        <w:t>).</w:t>
      </w:r>
    </w:p>
    <w:p w14:paraId="3AABFE9E" w14:textId="77777777" w:rsidR="006F48F7" w:rsidRPr="00B74B0F" w:rsidRDefault="006F48F7">
      <w:pPr>
        <w:spacing w:line="240" w:lineRule="auto"/>
        <w:contextualSpacing/>
        <w:jc w:val="both"/>
        <w:rPr>
          <w:szCs w:val="22"/>
          <w:lang w:val="sr-Latn-ME"/>
        </w:rPr>
      </w:pPr>
    </w:p>
    <w:p w14:paraId="7353C67E" w14:textId="70A605A0" w:rsidR="006F48F7"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Pedijatrijska populacija</w:t>
      </w:r>
    </w:p>
    <w:p w14:paraId="2C32C57C" w14:textId="77777777" w:rsidR="00954B9D" w:rsidRPr="00B74B0F" w:rsidRDefault="00954B9D">
      <w:pPr>
        <w:keepNext/>
        <w:autoSpaceDE w:val="0"/>
        <w:autoSpaceDN w:val="0"/>
        <w:adjustRightInd w:val="0"/>
        <w:spacing w:line="240" w:lineRule="auto"/>
        <w:contextualSpacing/>
        <w:jc w:val="both"/>
        <w:rPr>
          <w:i/>
          <w:szCs w:val="22"/>
          <w:lang w:val="sr-Latn-ME"/>
        </w:rPr>
      </w:pPr>
    </w:p>
    <w:p w14:paraId="2C901A4A" w14:textId="44F60D3E" w:rsidR="00954B9D" w:rsidRPr="00B74B0F" w:rsidRDefault="000742E2">
      <w:pPr>
        <w:keepNext/>
        <w:autoSpaceDE w:val="0"/>
        <w:autoSpaceDN w:val="0"/>
        <w:adjustRightInd w:val="0"/>
        <w:spacing w:line="240" w:lineRule="auto"/>
        <w:contextualSpacing/>
        <w:jc w:val="both"/>
        <w:rPr>
          <w:iCs/>
          <w:szCs w:val="22"/>
          <w:lang w:val="sr-Latn-ME"/>
        </w:rPr>
      </w:pPr>
      <w:r w:rsidRPr="00B74B0F">
        <w:rPr>
          <w:iCs/>
          <w:szCs w:val="22"/>
          <w:lang w:val="sr-Latn-ME"/>
        </w:rPr>
        <w:t xml:space="preserve">Bezbjednost </w:t>
      </w:r>
      <w:r w:rsidR="00954B9D" w:rsidRPr="00B74B0F">
        <w:rPr>
          <w:iCs/>
          <w:szCs w:val="22"/>
          <w:lang w:val="sr-Latn-ME"/>
        </w:rPr>
        <w:t>i efikasnost lijeka RINVOQ nije</w:t>
      </w:r>
      <w:r w:rsidRPr="00B74B0F">
        <w:rPr>
          <w:iCs/>
          <w:szCs w:val="22"/>
          <w:lang w:val="sr-Latn-ME"/>
        </w:rPr>
        <w:t>su</w:t>
      </w:r>
      <w:r w:rsidR="00954B9D" w:rsidRPr="00B74B0F">
        <w:rPr>
          <w:iCs/>
          <w:szCs w:val="22"/>
          <w:lang w:val="sr-Latn-ME"/>
        </w:rPr>
        <w:t xml:space="preserve"> ustanovljen</w:t>
      </w:r>
      <w:r w:rsidRPr="00B74B0F">
        <w:rPr>
          <w:iCs/>
          <w:szCs w:val="22"/>
          <w:lang w:val="sr-Latn-ME"/>
        </w:rPr>
        <w:t>e</w:t>
      </w:r>
      <w:r w:rsidR="00954B9D" w:rsidRPr="00B74B0F">
        <w:rPr>
          <w:iCs/>
          <w:szCs w:val="22"/>
          <w:lang w:val="sr-Latn-ME"/>
        </w:rPr>
        <w:t xml:space="preserve"> kod djece s</w:t>
      </w:r>
      <w:r w:rsidR="00AC77D7" w:rsidRPr="00B74B0F">
        <w:rPr>
          <w:iCs/>
          <w:szCs w:val="22"/>
          <w:lang w:val="sr-Latn-ME"/>
        </w:rPr>
        <w:t>a</w:t>
      </w:r>
      <w:r w:rsidR="00954B9D" w:rsidRPr="00B74B0F">
        <w:rPr>
          <w:iCs/>
          <w:szCs w:val="22"/>
          <w:lang w:val="sr-Latn-ME"/>
        </w:rPr>
        <w:t xml:space="preserve"> atopijskim dermatitisom mlađe od 12 godina.</w:t>
      </w:r>
      <w:r w:rsidRPr="00B74B0F">
        <w:rPr>
          <w:iCs/>
          <w:szCs w:val="22"/>
          <w:lang w:val="sr-Latn-ME"/>
        </w:rPr>
        <w:t xml:space="preserve"> </w:t>
      </w:r>
      <w:r w:rsidR="00954B9D" w:rsidRPr="00B74B0F">
        <w:rPr>
          <w:iCs/>
          <w:szCs w:val="22"/>
          <w:lang w:val="sr-Latn-ME"/>
        </w:rPr>
        <w:t xml:space="preserve">Nema dostupnih podataka. Nema dostupnih kliničkih podataka o izloženosti kod adolescenata tjelesne težine &lt; 40 kg (vidjeti dio 5.2). </w:t>
      </w:r>
    </w:p>
    <w:p w14:paraId="2E66DF9D" w14:textId="77777777" w:rsidR="00AC77D7" w:rsidRPr="00B74B0F" w:rsidRDefault="00AC77D7">
      <w:pPr>
        <w:keepNext/>
        <w:autoSpaceDE w:val="0"/>
        <w:autoSpaceDN w:val="0"/>
        <w:adjustRightInd w:val="0"/>
        <w:spacing w:line="240" w:lineRule="auto"/>
        <w:contextualSpacing/>
        <w:jc w:val="both"/>
        <w:rPr>
          <w:iCs/>
          <w:szCs w:val="22"/>
          <w:lang w:val="sr-Latn-ME"/>
        </w:rPr>
      </w:pPr>
    </w:p>
    <w:p w14:paraId="6FF2BA78" w14:textId="0A7517B3" w:rsidR="006F48F7" w:rsidRPr="00B74B0F" w:rsidRDefault="000742E2">
      <w:pPr>
        <w:keepNext/>
        <w:autoSpaceDE w:val="0"/>
        <w:autoSpaceDN w:val="0"/>
        <w:adjustRightInd w:val="0"/>
        <w:spacing w:line="240" w:lineRule="auto"/>
        <w:contextualSpacing/>
        <w:jc w:val="both"/>
        <w:rPr>
          <w:iCs/>
          <w:szCs w:val="22"/>
          <w:lang w:val="sr-Latn-ME"/>
        </w:rPr>
      </w:pPr>
      <w:r w:rsidRPr="00B74B0F">
        <w:rPr>
          <w:iCs/>
          <w:szCs w:val="22"/>
          <w:lang w:val="sr-Latn-ME"/>
        </w:rPr>
        <w:t xml:space="preserve">Bezbjednost </w:t>
      </w:r>
      <w:r w:rsidR="00954B9D" w:rsidRPr="00B74B0F">
        <w:rPr>
          <w:iCs/>
          <w:szCs w:val="22"/>
          <w:lang w:val="sr-Latn-ME"/>
        </w:rPr>
        <w:t>i efikasnost lijeka RINVOQ kod djece i adolescenata s</w:t>
      </w:r>
      <w:r w:rsidR="00AC77D7" w:rsidRPr="00B74B0F">
        <w:rPr>
          <w:iCs/>
          <w:szCs w:val="22"/>
          <w:lang w:val="sr-Latn-ME"/>
        </w:rPr>
        <w:t>a</w:t>
      </w:r>
      <w:r w:rsidR="00954B9D" w:rsidRPr="00B74B0F">
        <w:rPr>
          <w:iCs/>
          <w:szCs w:val="22"/>
          <w:lang w:val="sr-Latn-ME"/>
        </w:rPr>
        <w:t xml:space="preserve"> reumatoidnim artritisom, psorijatičnim artritisom</w:t>
      </w:r>
      <w:r w:rsidR="0004574E" w:rsidRPr="00B74B0F">
        <w:rPr>
          <w:iCs/>
          <w:szCs w:val="22"/>
          <w:lang w:val="sr-Latn-ME"/>
        </w:rPr>
        <w:t xml:space="preserve">, </w:t>
      </w:r>
      <w:r w:rsidR="00954B9D" w:rsidRPr="00B74B0F">
        <w:rPr>
          <w:iCs/>
          <w:szCs w:val="22"/>
          <w:lang w:val="sr-Latn-ME"/>
        </w:rPr>
        <w:t>aksijalnim spondiloartritisom</w:t>
      </w:r>
      <w:r w:rsidR="00FF596E" w:rsidRPr="00B74B0F">
        <w:rPr>
          <w:iCs/>
          <w:szCs w:val="22"/>
          <w:lang w:val="sr-Latn-ME"/>
        </w:rPr>
        <w:t xml:space="preserve">, </w:t>
      </w:r>
      <w:r w:rsidR="00497E7F" w:rsidRPr="00B74B0F">
        <w:rPr>
          <w:iCs/>
          <w:szCs w:val="22"/>
          <w:lang w:val="sr-Latn-ME"/>
        </w:rPr>
        <w:t>ulceroznim kolitisom</w:t>
      </w:r>
      <w:r w:rsidR="00FF596E" w:rsidRPr="00B74B0F">
        <w:rPr>
          <w:iCs/>
          <w:szCs w:val="22"/>
          <w:lang w:val="sr-Latn-ME"/>
        </w:rPr>
        <w:t xml:space="preserve"> i </w:t>
      </w:r>
      <w:r w:rsidR="00AB77FD" w:rsidRPr="00B74B0F">
        <w:rPr>
          <w:iCs/>
          <w:szCs w:val="22"/>
          <w:lang w:val="sr-Latn-ME"/>
        </w:rPr>
        <w:t>K</w:t>
      </w:r>
      <w:r w:rsidR="00FF596E" w:rsidRPr="00B74B0F">
        <w:rPr>
          <w:iCs/>
          <w:szCs w:val="22"/>
          <w:lang w:val="sr-Latn-ME"/>
        </w:rPr>
        <w:t>ronovom bolešću</w:t>
      </w:r>
      <w:r w:rsidR="00497E7F" w:rsidRPr="00B74B0F">
        <w:rPr>
          <w:iCs/>
          <w:szCs w:val="22"/>
          <w:lang w:val="sr-Latn-ME"/>
        </w:rPr>
        <w:t xml:space="preserve"> </w:t>
      </w:r>
      <w:r w:rsidR="00AC77D7" w:rsidRPr="00B74B0F">
        <w:rPr>
          <w:iCs/>
          <w:szCs w:val="22"/>
          <w:lang w:val="sr-Latn-ME"/>
        </w:rPr>
        <w:t xml:space="preserve">uzrasta </w:t>
      </w:r>
      <w:r w:rsidR="00954B9D" w:rsidRPr="00B74B0F">
        <w:rPr>
          <w:iCs/>
          <w:szCs w:val="22"/>
          <w:lang w:val="sr-Latn-ME"/>
        </w:rPr>
        <w:t>od 0 do manje od 18 godina još uvijek nije ustanovljena. Nema dostupnih podataka.</w:t>
      </w:r>
    </w:p>
    <w:p w14:paraId="6B9AB39D" w14:textId="77777777" w:rsidR="00D449FE" w:rsidRPr="00B74B0F" w:rsidRDefault="00D449FE">
      <w:pPr>
        <w:spacing w:line="240" w:lineRule="auto"/>
        <w:contextualSpacing/>
        <w:jc w:val="both"/>
        <w:rPr>
          <w:szCs w:val="22"/>
          <w:lang w:val="sr-Latn-ME"/>
        </w:rPr>
      </w:pPr>
    </w:p>
    <w:p w14:paraId="28E99129" w14:textId="77777777" w:rsidR="00816987" w:rsidRPr="00B74B0F" w:rsidRDefault="00906CF8">
      <w:pPr>
        <w:keepNext/>
        <w:spacing w:line="240" w:lineRule="auto"/>
        <w:contextualSpacing/>
        <w:jc w:val="both"/>
        <w:rPr>
          <w:szCs w:val="22"/>
          <w:u w:val="single"/>
          <w:lang w:val="sr-Latn-ME"/>
        </w:rPr>
      </w:pPr>
      <w:r w:rsidRPr="00B74B0F">
        <w:rPr>
          <w:szCs w:val="22"/>
          <w:u w:val="single"/>
          <w:lang w:val="sr-Latn-ME"/>
        </w:rPr>
        <w:t>Način primjene</w:t>
      </w:r>
    </w:p>
    <w:p w14:paraId="2372A6F1" w14:textId="77777777" w:rsidR="007F63E9" w:rsidRPr="00B74B0F" w:rsidRDefault="007F63E9">
      <w:pPr>
        <w:keepNext/>
        <w:spacing w:line="240" w:lineRule="auto"/>
        <w:contextualSpacing/>
        <w:jc w:val="both"/>
        <w:rPr>
          <w:i/>
          <w:szCs w:val="22"/>
          <w:lang w:val="sr-Latn-ME"/>
        </w:rPr>
      </w:pPr>
    </w:p>
    <w:p w14:paraId="007B2540" w14:textId="0E72FA7E" w:rsidR="00286BF0" w:rsidRPr="00B74B0F" w:rsidRDefault="006B2AFA">
      <w:pPr>
        <w:autoSpaceDE w:val="0"/>
        <w:autoSpaceDN w:val="0"/>
        <w:adjustRightInd w:val="0"/>
        <w:spacing w:line="240" w:lineRule="auto"/>
        <w:contextualSpacing/>
        <w:jc w:val="both"/>
        <w:rPr>
          <w:szCs w:val="22"/>
          <w:lang w:val="sr-Latn-ME"/>
        </w:rPr>
      </w:pPr>
      <w:r w:rsidRPr="00B74B0F">
        <w:rPr>
          <w:szCs w:val="22"/>
          <w:lang w:val="sr-Latn-ME"/>
        </w:rPr>
        <w:t xml:space="preserve">Lijek </w:t>
      </w:r>
      <w:r w:rsidR="00E925D1" w:rsidRPr="00B74B0F">
        <w:rPr>
          <w:szCs w:val="22"/>
          <w:lang w:val="sr-Latn-ME"/>
        </w:rPr>
        <w:t xml:space="preserve">RINVOQ </w:t>
      </w:r>
      <w:r w:rsidR="00987055" w:rsidRPr="00B74B0F">
        <w:rPr>
          <w:szCs w:val="22"/>
          <w:lang w:val="sr-Latn-ME"/>
        </w:rPr>
        <w:t xml:space="preserve">se </w:t>
      </w:r>
      <w:r w:rsidR="00C32A6D" w:rsidRPr="00B74B0F">
        <w:rPr>
          <w:szCs w:val="22"/>
          <w:lang w:val="sr-Latn-ME"/>
        </w:rPr>
        <w:t>uzima</w:t>
      </w:r>
      <w:r w:rsidR="00987055" w:rsidRPr="00B74B0F">
        <w:rPr>
          <w:szCs w:val="22"/>
          <w:lang w:val="sr-Latn-ME"/>
        </w:rPr>
        <w:t xml:space="preserve"> peroralno jed</w:t>
      </w:r>
      <w:r w:rsidR="00244A93" w:rsidRPr="00B74B0F">
        <w:rPr>
          <w:szCs w:val="22"/>
          <w:lang w:val="sr-Latn-ME"/>
        </w:rPr>
        <w:t>nom dnevno</w:t>
      </w:r>
      <w:r w:rsidR="00987055" w:rsidRPr="00B74B0F">
        <w:rPr>
          <w:szCs w:val="22"/>
          <w:lang w:val="sr-Latn-ME"/>
        </w:rPr>
        <w:t xml:space="preserve">, </w:t>
      </w:r>
      <w:r w:rsidR="00C32A6D" w:rsidRPr="00B74B0F">
        <w:rPr>
          <w:szCs w:val="22"/>
          <w:lang w:val="sr-Latn-ME"/>
        </w:rPr>
        <w:t>s</w:t>
      </w:r>
      <w:r w:rsidR="006F1BB3" w:rsidRPr="00B74B0F">
        <w:rPr>
          <w:szCs w:val="22"/>
          <w:lang w:val="sr-Latn-ME"/>
        </w:rPr>
        <w:t>a</w:t>
      </w:r>
      <w:r w:rsidR="00987055" w:rsidRPr="00B74B0F">
        <w:rPr>
          <w:szCs w:val="22"/>
          <w:lang w:val="sr-Latn-ME"/>
        </w:rPr>
        <w:t xml:space="preserve"> hran</w:t>
      </w:r>
      <w:r w:rsidR="00C32A6D" w:rsidRPr="00B74B0F">
        <w:rPr>
          <w:szCs w:val="22"/>
          <w:lang w:val="sr-Latn-ME"/>
        </w:rPr>
        <w:t>om</w:t>
      </w:r>
      <w:r w:rsidR="00987055" w:rsidRPr="00B74B0F">
        <w:rPr>
          <w:szCs w:val="22"/>
          <w:lang w:val="sr-Latn-ME"/>
        </w:rPr>
        <w:t xml:space="preserve"> ili bez nje, a može se uzeti u bilo koje doba dana. Tablete treba progutati cijele i ne smiju se lomiti, drobiti </w:t>
      </w:r>
      <w:r w:rsidRPr="00B74B0F">
        <w:rPr>
          <w:szCs w:val="22"/>
          <w:lang w:val="sr-Latn-ME"/>
        </w:rPr>
        <w:t>ili</w:t>
      </w:r>
      <w:r w:rsidR="00987055" w:rsidRPr="00B74B0F">
        <w:rPr>
          <w:szCs w:val="22"/>
          <w:lang w:val="sr-Latn-ME"/>
        </w:rPr>
        <w:t xml:space="preserve"> žvakati</w:t>
      </w:r>
      <w:r w:rsidR="0004574E" w:rsidRPr="00B74B0F">
        <w:rPr>
          <w:szCs w:val="22"/>
          <w:lang w:val="sr-Latn-ME"/>
        </w:rPr>
        <w:t>, kako bi se osiguralo da je cijela doza primijenjena</w:t>
      </w:r>
      <w:r w:rsidR="00987055" w:rsidRPr="00B74B0F">
        <w:rPr>
          <w:szCs w:val="22"/>
          <w:lang w:val="sr-Latn-ME"/>
        </w:rPr>
        <w:t>.</w:t>
      </w:r>
    </w:p>
    <w:p w14:paraId="0F50B67C" w14:textId="13A22881" w:rsidR="00286BF0" w:rsidRPr="00B74B0F" w:rsidRDefault="00286BF0">
      <w:pPr>
        <w:autoSpaceDE w:val="0"/>
        <w:autoSpaceDN w:val="0"/>
        <w:adjustRightInd w:val="0"/>
        <w:spacing w:line="240" w:lineRule="auto"/>
        <w:contextualSpacing/>
        <w:jc w:val="both"/>
        <w:rPr>
          <w:szCs w:val="22"/>
          <w:lang w:val="sr-Latn-ME"/>
        </w:rPr>
      </w:pPr>
    </w:p>
    <w:p w14:paraId="2675694C" w14:textId="635EDA61" w:rsidR="00812D16" w:rsidRPr="00B74B0F" w:rsidRDefault="00906CF8">
      <w:pPr>
        <w:keepNext/>
        <w:spacing w:line="240" w:lineRule="auto"/>
        <w:ind w:left="567" w:hanging="567"/>
        <w:contextualSpacing/>
        <w:jc w:val="both"/>
        <w:rPr>
          <w:szCs w:val="22"/>
          <w:lang w:val="sr-Latn-ME"/>
        </w:rPr>
      </w:pPr>
      <w:r w:rsidRPr="00B74B0F">
        <w:rPr>
          <w:b/>
          <w:szCs w:val="22"/>
          <w:lang w:val="sr-Latn-ME"/>
        </w:rPr>
        <w:t>4.3</w:t>
      </w:r>
      <w:r w:rsidRPr="00B74B0F">
        <w:rPr>
          <w:b/>
          <w:szCs w:val="22"/>
          <w:lang w:val="sr-Latn-ME"/>
        </w:rPr>
        <w:tab/>
        <w:t>Kontraindikacije</w:t>
      </w:r>
    </w:p>
    <w:p w14:paraId="01555B12" w14:textId="25968924" w:rsidR="00812D16" w:rsidRPr="00B74B0F" w:rsidRDefault="00812D16">
      <w:pPr>
        <w:keepNext/>
        <w:spacing w:line="240" w:lineRule="auto"/>
        <w:contextualSpacing/>
        <w:jc w:val="both"/>
        <w:rPr>
          <w:szCs w:val="22"/>
          <w:lang w:val="sr-Latn-ME"/>
        </w:rPr>
      </w:pPr>
    </w:p>
    <w:p w14:paraId="42938430" w14:textId="23BF897C" w:rsidR="002F6F10" w:rsidRPr="00B74B0F" w:rsidRDefault="00906CF8">
      <w:pPr>
        <w:pStyle w:val="ListParagraph"/>
        <w:keepNext/>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 xml:space="preserve">Preosjetljivost na </w:t>
      </w:r>
      <w:r w:rsidR="006B2AFA" w:rsidRPr="00B74B0F">
        <w:rPr>
          <w:rFonts w:ascii="Times New Roman" w:hAnsi="Times New Roman"/>
          <w:lang w:val="sr-Latn-ME"/>
        </w:rPr>
        <w:t>aktivnu supstancu</w:t>
      </w:r>
      <w:r w:rsidRPr="00B74B0F">
        <w:rPr>
          <w:rFonts w:ascii="Times New Roman" w:hAnsi="Times New Roman"/>
          <w:lang w:val="sr-Latn-ME"/>
        </w:rPr>
        <w:t xml:space="preserve"> ili </w:t>
      </w:r>
      <w:r w:rsidR="00AC77D7" w:rsidRPr="00B74B0F">
        <w:rPr>
          <w:rFonts w:ascii="Times New Roman" w:hAnsi="Times New Roman"/>
          <w:lang w:val="sr-Latn-ME"/>
        </w:rPr>
        <w:t xml:space="preserve">na </w:t>
      </w:r>
      <w:r w:rsidRPr="00B74B0F">
        <w:rPr>
          <w:rFonts w:ascii="Times New Roman" w:hAnsi="Times New Roman"/>
          <w:lang w:val="sr-Latn-ME"/>
        </w:rPr>
        <w:t xml:space="preserve">neku od pomoćnih </w:t>
      </w:r>
      <w:r w:rsidR="006B2AFA" w:rsidRPr="00B74B0F">
        <w:rPr>
          <w:rFonts w:ascii="Times New Roman" w:hAnsi="Times New Roman"/>
          <w:lang w:val="sr-Latn-ME"/>
        </w:rPr>
        <w:t>supstanci</w:t>
      </w:r>
      <w:r w:rsidRPr="00B74B0F">
        <w:rPr>
          <w:rFonts w:ascii="Times New Roman" w:hAnsi="Times New Roman"/>
          <w:lang w:val="sr-Latn-ME"/>
        </w:rPr>
        <w:t xml:space="preserve"> navedenih u dijelu 6.1.</w:t>
      </w:r>
    </w:p>
    <w:p w14:paraId="304301F0" w14:textId="48A148D0" w:rsidR="0029320C" w:rsidRPr="00B74B0F" w:rsidRDefault="002D7FC5">
      <w:pPr>
        <w:pStyle w:val="ListParagraph"/>
        <w:keepNext/>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Aktivna tuberkuloza (TBC) ili aktivne ozbiljne infekcije (vidjeti dio 4.4).</w:t>
      </w:r>
    </w:p>
    <w:p w14:paraId="15AE2F61" w14:textId="6426D710" w:rsidR="00E925D1" w:rsidRPr="00B74B0F" w:rsidRDefault="00E925D1">
      <w:pPr>
        <w:pStyle w:val="ListParagraph"/>
        <w:keepNext/>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Teško oštećenje</w:t>
      </w:r>
      <w:r w:rsidR="006B2AFA" w:rsidRPr="00B74B0F">
        <w:rPr>
          <w:rFonts w:ascii="Times New Roman" w:hAnsi="Times New Roman"/>
          <w:lang w:val="sr-Latn-ME"/>
        </w:rPr>
        <w:t xml:space="preserve"> funkcije</w:t>
      </w:r>
      <w:r w:rsidRPr="00B74B0F">
        <w:rPr>
          <w:rFonts w:ascii="Times New Roman" w:hAnsi="Times New Roman"/>
          <w:lang w:val="sr-Latn-ME"/>
        </w:rPr>
        <w:t xml:space="preserve"> jetre (vidjeti dio 4.2).</w:t>
      </w:r>
    </w:p>
    <w:p w14:paraId="565C51E3" w14:textId="5531732D" w:rsidR="00DA2A87" w:rsidRPr="00B74B0F" w:rsidRDefault="00DA2A87">
      <w:pPr>
        <w:pStyle w:val="ListParagraph"/>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Trudnoća (vidjeti dio 4.6).</w:t>
      </w:r>
    </w:p>
    <w:p w14:paraId="3AA78B37" w14:textId="572D0EF2" w:rsidR="00120A13" w:rsidRPr="00B74B0F" w:rsidRDefault="00120A13" w:rsidP="00A30C3C">
      <w:pPr>
        <w:spacing w:line="240" w:lineRule="auto"/>
        <w:jc w:val="both"/>
        <w:rPr>
          <w:szCs w:val="22"/>
          <w:lang w:val="sr-Latn-ME"/>
        </w:rPr>
      </w:pPr>
    </w:p>
    <w:p w14:paraId="7A72FB49" w14:textId="166DA4B0" w:rsidR="0007392F" w:rsidRPr="00B74B0F" w:rsidRDefault="00AC77D7" w:rsidP="00A30C3C">
      <w:pPr>
        <w:keepNext/>
        <w:spacing w:line="240" w:lineRule="auto"/>
        <w:ind w:left="567" w:hanging="567"/>
        <w:contextualSpacing/>
        <w:jc w:val="both"/>
        <w:rPr>
          <w:i/>
          <w:iCs/>
          <w:szCs w:val="22"/>
          <w:lang w:val="sr-Latn-ME"/>
        </w:rPr>
      </w:pPr>
      <w:r w:rsidRPr="00B74B0F">
        <w:rPr>
          <w:noProof/>
          <w:szCs w:val="22"/>
          <w:lang w:val="en-US"/>
        </w:rPr>
        <mc:AlternateContent>
          <mc:Choice Requires="wps">
            <w:drawing>
              <wp:anchor distT="45720" distB="45720" distL="114300" distR="114300" simplePos="0" relativeHeight="251662336" behindDoc="0" locked="0" layoutInCell="1" allowOverlap="1" wp14:anchorId="73C23DBC" wp14:editId="42A6A2AB">
                <wp:simplePos x="0" y="0"/>
                <wp:positionH relativeFrom="margin">
                  <wp:posOffset>-7109</wp:posOffset>
                </wp:positionH>
                <wp:positionV relativeFrom="page">
                  <wp:posOffset>7440881</wp:posOffset>
                </wp:positionV>
                <wp:extent cx="5676900" cy="19164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916430"/>
                        </a:xfrm>
                        <a:prstGeom prst="rect">
                          <a:avLst/>
                        </a:prstGeom>
                        <a:solidFill>
                          <a:srgbClr val="FFFFFF"/>
                        </a:solidFill>
                        <a:ln w="9525">
                          <a:solidFill>
                            <a:srgbClr val="000000"/>
                          </a:solidFill>
                          <a:miter lim="800000"/>
                          <a:headEnd/>
                          <a:tailEnd/>
                        </a:ln>
                      </wps:spPr>
                      <wps:txbx>
                        <w:txbxContent>
                          <w:p w14:paraId="6CC96D2B" w14:textId="6100745D" w:rsidR="00254E74" w:rsidRDefault="00254E74" w:rsidP="00A346B3">
                            <w:r>
                              <w:t>Upadacitinib se smije primjenjivati samo ako nijesu dostupne prikladne alternativne terapije za liječenje pacijenata:</w:t>
                            </w:r>
                          </w:p>
                          <w:p w14:paraId="066DF3F9" w14:textId="77777777" w:rsidR="00254E74" w:rsidRDefault="00254E74" w:rsidP="00A346B3">
                            <w:r>
                              <w:t>-</w:t>
                            </w:r>
                            <w:r>
                              <w:tab/>
                              <w:t>starosti od 65 godina i više</w:t>
                            </w:r>
                          </w:p>
                          <w:p w14:paraId="433559EB" w14:textId="2B0258EF" w:rsidR="00254E74" w:rsidRDefault="00254E74" w:rsidP="00A346B3">
                            <w:r>
                              <w:t>-</w:t>
                            </w:r>
                            <w:r>
                              <w:tab/>
                              <w:t>pacijenti sa aterosklerotskom kardiovaskularnom bolešću u anamnezi ili sa drugim kardiovaskularnim faktorima rizika (kao što su sadašnji ili bivši dugogodišnji pušači);</w:t>
                            </w:r>
                          </w:p>
                          <w:p w14:paraId="17ABD522" w14:textId="70C76AA1" w:rsidR="00254E74" w:rsidRDefault="00254E74" w:rsidP="00A346B3">
                            <w:r>
                              <w:t>-</w:t>
                            </w:r>
                            <w:r>
                              <w:tab/>
                              <w:t>pacijenti s faktorima rizika od maligniteta (npr. sadašnje maligno oboljenje ili maligno oboljenje u anamnezi)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C23DBC" id="_x0000_t202" coordsize="21600,21600" o:spt="202" path="m,l,21600r21600,l21600,xe">
                <v:stroke joinstyle="miter"/>
                <v:path gradientshapeok="t" o:connecttype="rect"/>
              </v:shapetype>
              <v:shape id="Text Box 2" o:spid="_x0000_s1026" type="#_x0000_t202" style="position:absolute;left:0;text-align:left;margin-left:-.55pt;margin-top:585.9pt;width:447pt;height:150.9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">
                <v:textbox style="mso-fit-shape-to-text:t">
                  <w:txbxContent>
                    <w:p w14:paraId="6CC96D2B" w14:textId="6100745D" w:rsidR="00254E74" w:rsidRDefault="00254E74" w:rsidP="00A346B3">
                      <w:r>
                        <w:t>Upadacitinib se smije primjenjivati samo ako nijesu dostupne prikladne alternativne terapije za liječenje pacijenata:</w:t>
                      </w:r>
                    </w:p>
                    <w:p w14:paraId="066DF3F9" w14:textId="77777777" w:rsidR="00254E74" w:rsidRDefault="00254E74" w:rsidP="00A346B3">
                      <w:r>
                        <w:t>-</w:t>
                      </w:r>
                      <w:r>
                        <w:tab/>
                        <w:t>starosti od 65 godina i više</w:t>
                      </w:r>
                    </w:p>
                    <w:p w14:paraId="433559EB" w14:textId="2B0258EF" w:rsidR="00254E74" w:rsidRDefault="00254E74" w:rsidP="00A346B3">
                      <w:r>
                        <w:t>-</w:t>
                      </w:r>
                      <w:r>
                        <w:tab/>
                        <w:t>pacijenti sa aterosklerotskom kardiovaskularnom bolešću u anamnezi ili sa drugim kardiovaskularnim faktorima rizika (kao što su sadašnji ili bivši dugogodišnji pušači);</w:t>
                      </w:r>
                    </w:p>
                    <w:p w14:paraId="17ABD522" w14:textId="70C76AA1" w:rsidR="00254E74" w:rsidRDefault="00254E74" w:rsidP="00A346B3">
                      <w:r>
                        <w:t>-</w:t>
                      </w:r>
                      <w:r>
                        <w:tab/>
                        <w:t>pacijenti s faktorima rizika od maligniteta (npr. sadašnje maligno oboljenje ili maligno oboljenje u anamnezi)</w:t>
                      </w:r>
                    </w:p>
                  </w:txbxContent>
                </v:textbox>
                <w10:wrap type="square" anchorx="margin" anchory="page"/>
              </v:shape>
            </w:pict>
          </mc:Fallback>
        </mc:AlternateContent>
      </w:r>
      <w:r w:rsidR="00906CF8" w:rsidRPr="00B74B0F">
        <w:rPr>
          <w:b/>
          <w:szCs w:val="22"/>
          <w:lang w:val="sr-Latn-ME"/>
        </w:rPr>
        <w:t>4.4</w:t>
      </w:r>
      <w:r w:rsidR="00906CF8" w:rsidRPr="00B74B0F">
        <w:rPr>
          <w:b/>
          <w:szCs w:val="22"/>
          <w:lang w:val="sr-Latn-ME"/>
        </w:rPr>
        <w:tab/>
        <w:t>Posebna upozorenja i mjere opreza pri</w:t>
      </w:r>
      <w:r w:rsidR="005A1470" w:rsidRPr="00B74B0F">
        <w:rPr>
          <w:b/>
          <w:szCs w:val="22"/>
          <w:lang w:val="sr-Latn-ME"/>
        </w:rPr>
        <w:t xml:space="preserve"> upotrebi lijeka</w:t>
      </w:r>
    </w:p>
    <w:p w14:paraId="1E445678" w14:textId="77777777" w:rsidR="00AC77D7" w:rsidRPr="00B74B0F" w:rsidRDefault="00AC77D7">
      <w:pPr>
        <w:tabs>
          <w:tab w:val="clear" w:pos="567"/>
        </w:tabs>
        <w:spacing w:line="240" w:lineRule="auto"/>
        <w:jc w:val="both"/>
        <w:rPr>
          <w:i/>
          <w:iCs/>
          <w:szCs w:val="22"/>
          <w:lang w:val="sr-Latn-ME"/>
        </w:rPr>
      </w:pPr>
    </w:p>
    <w:p w14:paraId="36FD215C" w14:textId="77777777" w:rsidR="00AC77D7" w:rsidRPr="00B74B0F" w:rsidRDefault="00AC77D7">
      <w:pPr>
        <w:tabs>
          <w:tab w:val="clear" w:pos="567"/>
        </w:tabs>
        <w:spacing w:line="240" w:lineRule="auto"/>
        <w:jc w:val="both"/>
        <w:rPr>
          <w:iCs/>
          <w:szCs w:val="22"/>
          <w:u w:val="single"/>
          <w:lang w:val="sr-Latn-ME"/>
        </w:rPr>
      </w:pPr>
      <w:r w:rsidRPr="00B74B0F">
        <w:rPr>
          <w:iCs/>
          <w:szCs w:val="22"/>
          <w:u w:val="single"/>
          <w:lang w:val="sr-Latn-ME"/>
        </w:rPr>
        <w:t>Primjena kod pacijenata starosti od 65 godina i više</w:t>
      </w:r>
    </w:p>
    <w:p w14:paraId="220471B7" w14:textId="0753C144" w:rsidR="0007392F" w:rsidRPr="00B74B0F" w:rsidRDefault="0007392F">
      <w:pPr>
        <w:tabs>
          <w:tab w:val="clear" w:pos="567"/>
        </w:tabs>
        <w:spacing w:line="240" w:lineRule="auto"/>
        <w:jc w:val="both"/>
        <w:rPr>
          <w:i/>
          <w:iCs/>
          <w:szCs w:val="22"/>
          <w:lang w:val="sr-Latn-ME"/>
        </w:rPr>
      </w:pPr>
    </w:p>
    <w:p w14:paraId="1F8B465C" w14:textId="7016F560" w:rsidR="0007392F" w:rsidRPr="00B74B0F" w:rsidRDefault="0007392F">
      <w:pPr>
        <w:tabs>
          <w:tab w:val="clear" w:pos="567"/>
        </w:tabs>
        <w:autoSpaceDE w:val="0"/>
        <w:autoSpaceDN w:val="0"/>
        <w:adjustRightInd w:val="0"/>
        <w:spacing w:line="240" w:lineRule="auto"/>
        <w:contextualSpacing/>
        <w:jc w:val="both"/>
        <w:rPr>
          <w:rFonts w:eastAsia="Malgun Gothic"/>
          <w:szCs w:val="22"/>
          <w:lang w:val="sr-Latn-ME"/>
        </w:rPr>
      </w:pPr>
      <w:r w:rsidRPr="00B74B0F">
        <w:rPr>
          <w:rFonts w:eastAsia="Malgun Gothic"/>
          <w:szCs w:val="22"/>
          <w:lang w:val="sr-Latn-ME"/>
        </w:rPr>
        <w:t xml:space="preserve">Uzimajući u obzir povećan rizik od MACE, maligniteta, ozbiljnih infekcija i smrtnosti od svih uzroka kod pacijenata starosti od 65 i više godina, kao što je uočeno u velikom randomizovanom ispitivanju tofacitiniba (drugog inhibitora Janus kinaze (JAK)), upadacitinib se smije primjenjivati kod tih pacijenata samo ako nijesu dostupne prikladne </w:t>
      </w:r>
      <w:r w:rsidR="00183AB0" w:rsidRPr="00B74B0F">
        <w:rPr>
          <w:rFonts w:eastAsia="Malgun Gothic"/>
          <w:szCs w:val="22"/>
          <w:lang w:val="sr-Latn-ME"/>
        </w:rPr>
        <w:t>alternativne</w:t>
      </w:r>
      <w:r w:rsidRPr="00B74B0F">
        <w:rPr>
          <w:rFonts w:eastAsia="Malgun Gothic"/>
          <w:szCs w:val="22"/>
          <w:lang w:val="sr-Latn-ME"/>
        </w:rPr>
        <w:t xml:space="preserve"> terapije za liječenje pacijenata.</w:t>
      </w:r>
    </w:p>
    <w:p w14:paraId="5E64FFB4" w14:textId="6EFA3777" w:rsidR="00BD00B6" w:rsidRPr="00B74B0F" w:rsidRDefault="0007392F">
      <w:pPr>
        <w:keepNext/>
        <w:spacing w:line="240" w:lineRule="auto"/>
        <w:contextualSpacing/>
        <w:jc w:val="both"/>
        <w:rPr>
          <w:rFonts w:eastAsia="Malgun Gothic"/>
          <w:szCs w:val="22"/>
          <w:lang w:val="sr-Latn-ME"/>
        </w:rPr>
      </w:pPr>
      <w:r w:rsidRPr="00B74B0F">
        <w:rPr>
          <w:rFonts w:eastAsia="Malgun Gothic"/>
          <w:szCs w:val="22"/>
          <w:lang w:val="sr-Latn-ME"/>
        </w:rPr>
        <w:lastRenderedPageBreak/>
        <w:t>Kod pacijenata starosti od 65 godina i više postoji povećan rizik od neželjenih dejstava sa upadacitinibom u dozi od 30 mg jednom dnevno. Posljedično, preporučena doza za dugotrajnu primjenu u toj populaciji pacijenata je 15 mg jednom (vidjeti djelove 4.2 i 4.8)</w:t>
      </w:r>
    </w:p>
    <w:p w14:paraId="102EC173" w14:textId="77777777" w:rsidR="0007392F" w:rsidRPr="00B74B0F" w:rsidRDefault="0007392F">
      <w:pPr>
        <w:keepNext/>
        <w:spacing w:line="240" w:lineRule="auto"/>
        <w:contextualSpacing/>
        <w:jc w:val="both"/>
        <w:rPr>
          <w:szCs w:val="22"/>
          <w:lang w:val="sr-Latn-ME"/>
        </w:rPr>
      </w:pPr>
    </w:p>
    <w:p w14:paraId="005C69CE" w14:textId="39F21AAE" w:rsidR="006D7127" w:rsidRPr="00B74B0F" w:rsidRDefault="006D7127">
      <w:pPr>
        <w:keepNext/>
        <w:tabs>
          <w:tab w:val="clear" w:pos="567"/>
        </w:tabs>
        <w:autoSpaceDE w:val="0"/>
        <w:autoSpaceDN w:val="0"/>
        <w:adjustRightInd w:val="0"/>
        <w:spacing w:line="240" w:lineRule="auto"/>
        <w:contextualSpacing/>
        <w:jc w:val="both"/>
        <w:rPr>
          <w:rFonts w:eastAsia="SimSun"/>
          <w:szCs w:val="22"/>
          <w:u w:val="single"/>
          <w:lang w:val="sr-Latn-ME"/>
        </w:rPr>
      </w:pPr>
      <w:r w:rsidRPr="00B74B0F">
        <w:rPr>
          <w:szCs w:val="22"/>
          <w:u w:val="single"/>
          <w:lang w:val="sr-Latn-ME"/>
        </w:rPr>
        <w:t>Imunosupresivni ljekovi</w:t>
      </w:r>
    </w:p>
    <w:p w14:paraId="7453B9B5" w14:textId="11E68B55" w:rsidR="006D7127" w:rsidRPr="00B74B0F" w:rsidRDefault="006D7127">
      <w:pPr>
        <w:keepNext/>
        <w:tabs>
          <w:tab w:val="clear" w:pos="567"/>
        </w:tabs>
        <w:autoSpaceDE w:val="0"/>
        <w:autoSpaceDN w:val="0"/>
        <w:adjustRightInd w:val="0"/>
        <w:spacing w:line="240" w:lineRule="auto"/>
        <w:contextualSpacing/>
        <w:jc w:val="both"/>
        <w:rPr>
          <w:rFonts w:eastAsia="SimSun"/>
          <w:szCs w:val="22"/>
          <w:lang w:val="sr-Latn-ME"/>
        </w:rPr>
      </w:pPr>
    </w:p>
    <w:p w14:paraId="4B084599" w14:textId="3BD066A0" w:rsidR="006D7127" w:rsidRPr="00B74B0F" w:rsidRDefault="006D7127">
      <w:pPr>
        <w:pStyle w:val="Default"/>
        <w:contextualSpacing/>
        <w:jc w:val="both"/>
        <w:rPr>
          <w:sz w:val="22"/>
          <w:szCs w:val="22"/>
          <w:u w:val="single"/>
          <w:lang w:val="sr-Latn-ME"/>
        </w:rPr>
      </w:pPr>
      <w:r w:rsidRPr="00B74B0F">
        <w:rPr>
          <w:sz w:val="22"/>
          <w:szCs w:val="22"/>
          <w:lang w:val="sr-Latn-ME"/>
        </w:rPr>
        <w:t>Primjena u kombinaciji s</w:t>
      </w:r>
      <w:r w:rsidR="00BB59FC" w:rsidRPr="00B74B0F">
        <w:rPr>
          <w:sz w:val="22"/>
          <w:szCs w:val="22"/>
          <w:lang w:val="sr-Latn-ME"/>
        </w:rPr>
        <w:t>a</w:t>
      </w:r>
      <w:r w:rsidRPr="00B74B0F">
        <w:rPr>
          <w:sz w:val="22"/>
          <w:szCs w:val="22"/>
          <w:lang w:val="sr-Latn-ME"/>
        </w:rPr>
        <w:t xml:space="preserve"> drugim snažnim imunosupresivima, kao što su azatioprin, </w:t>
      </w:r>
      <w:r w:rsidR="00A039B7" w:rsidRPr="00B74B0F">
        <w:rPr>
          <w:sz w:val="22"/>
          <w:szCs w:val="22"/>
          <w:lang w:val="sr-Latn-ME"/>
        </w:rPr>
        <w:t xml:space="preserve">6-merkaptopurin </w:t>
      </w:r>
      <w:r w:rsidRPr="00B74B0F">
        <w:rPr>
          <w:sz w:val="22"/>
          <w:szCs w:val="22"/>
          <w:lang w:val="sr-Latn-ME"/>
        </w:rPr>
        <w:t xml:space="preserve">ciklosporin, takrolimus i biološki DMARD ili drugi inhibitori Janus kinaze (JAK), nije se </w:t>
      </w:r>
      <w:r w:rsidR="00183AB0" w:rsidRPr="00B74B0F">
        <w:rPr>
          <w:sz w:val="22"/>
          <w:szCs w:val="22"/>
          <w:lang w:val="sr-Latn-ME"/>
        </w:rPr>
        <w:t>pr</w:t>
      </w:r>
      <w:r w:rsidRPr="00B74B0F">
        <w:rPr>
          <w:sz w:val="22"/>
          <w:szCs w:val="22"/>
          <w:lang w:val="sr-Latn-ME"/>
        </w:rPr>
        <w:t>ocjenjivala u kliničkim ispitivanjima i ne preporučuje se jer se ne može isključiti rizik od aditivne imunosupresije.</w:t>
      </w:r>
    </w:p>
    <w:p w14:paraId="1762D594" w14:textId="1EDAFD24" w:rsidR="006D7127" w:rsidRPr="00B74B0F" w:rsidRDefault="006D7127">
      <w:pPr>
        <w:pStyle w:val="Default"/>
        <w:contextualSpacing/>
        <w:jc w:val="both"/>
        <w:rPr>
          <w:sz w:val="22"/>
          <w:szCs w:val="22"/>
          <w:u w:val="single"/>
          <w:lang w:val="sr-Latn-ME"/>
        </w:rPr>
      </w:pPr>
    </w:p>
    <w:p w14:paraId="45A83DD2" w14:textId="77777777" w:rsidR="006E3AFA" w:rsidRPr="00B74B0F" w:rsidRDefault="00906CF8">
      <w:pPr>
        <w:pStyle w:val="Default"/>
        <w:keepNext/>
        <w:contextualSpacing/>
        <w:jc w:val="both"/>
        <w:rPr>
          <w:sz w:val="22"/>
          <w:szCs w:val="22"/>
          <w:u w:val="single"/>
          <w:lang w:val="sr-Latn-ME"/>
        </w:rPr>
      </w:pPr>
      <w:r w:rsidRPr="00B74B0F">
        <w:rPr>
          <w:sz w:val="22"/>
          <w:szCs w:val="22"/>
          <w:u w:val="single"/>
          <w:lang w:val="sr-Latn-ME"/>
        </w:rPr>
        <w:t>Ozbiljne infekcije</w:t>
      </w:r>
    </w:p>
    <w:p w14:paraId="62587DD3" w14:textId="77777777" w:rsidR="00D076E5" w:rsidRPr="00B74B0F" w:rsidRDefault="00D076E5">
      <w:pPr>
        <w:pStyle w:val="Default"/>
        <w:keepNext/>
        <w:contextualSpacing/>
        <w:jc w:val="both"/>
        <w:rPr>
          <w:sz w:val="22"/>
          <w:szCs w:val="22"/>
          <w:u w:val="single"/>
          <w:lang w:val="sr-Latn-ME"/>
        </w:rPr>
      </w:pPr>
    </w:p>
    <w:p w14:paraId="64BA7AD9" w14:textId="37FBFBF7" w:rsidR="001D4E26" w:rsidRPr="00B74B0F" w:rsidRDefault="006B2AFA">
      <w:pPr>
        <w:spacing w:line="240" w:lineRule="auto"/>
        <w:contextualSpacing/>
        <w:jc w:val="both"/>
        <w:rPr>
          <w:szCs w:val="22"/>
          <w:lang w:val="sr-Latn-ME"/>
        </w:rPr>
      </w:pPr>
      <w:r w:rsidRPr="00B74B0F">
        <w:rPr>
          <w:szCs w:val="22"/>
          <w:lang w:val="sr-Latn-ME"/>
        </w:rPr>
        <w:t>Kod</w:t>
      </w:r>
      <w:r w:rsidR="00906CF8" w:rsidRPr="00B74B0F">
        <w:rPr>
          <w:szCs w:val="22"/>
          <w:lang w:val="sr-Latn-ME"/>
        </w:rPr>
        <w:t xml:space="preserve"> </w:t>
      </w:r>
      <w:r w:rsidR="00BB59FC" w:rsidRPr="00B74B0F">
        <w:rPr>
          <w:szCs w:val="22"/>
          <w:lang w:val="sr-Latn-ME"/>
        </w:rPr>
        <w:t>pacijenata</w:t>
      </w:r>
      <w:r w:rsidR="00906CF8" w:rsidRPr="00B74B0F">
        <w:rPr>
          <w:szCs w:val="22"/>
          <w:lang w:val="sr-Latn-ME"/>
        </w:rPr>
        <w:t xml:space="preserve"> koji su primali</w:t>
      </w:r>
      <w:r w:rsidRPr="00B74B0F">
        <w:rPr>
          <w:szCs w:val="22"/>
          <w:lang w:val="sr-Latn-ME"/>
        </w:rPr>
        <w:t xml:space="preserve"> </w:t>
      </w:r>
      <w:r w:rsidR="00906CF8" w:rsidRPr="00B74B0F">
        <w:rPr>
          <w:szCs w:val="22"/>
          <w:lang w:val="sr-Latn-ME"/>
        </w:rPr>
        <w:t>upadacitinib prijavljene su ozbiljne infekcije</w:t>
      </w:r>
      <w:r w:rsidR="003374EB" w:rsidRPr="00B74B0F">
        <w:rPr>
          <w:szCs w:val="22"/>
          <w:lang w:val="sr-Latn-ME"/>
        </w:rPr>
        <w:t xml:space="preserve"> </w:t>
      </w:r>
      <w:r w:rsidR="00244A93" w:rsidRPr="00B74B0F">
        <w:rPr>
          <w:szCs w:val="22"/>
          <w:lang w:val="sr-Latn-ME"/>
        </w:rPr>
        <w:t>koje su ponekad imale</w:t>
      </w:r>
      <w:r w:rsidR="00906CF8" w:rsidRPr="00B74B0F">
        <w:rPr>
          <w:szCs w:val="22"/>
          <w:lang w:val="sr-Latn-ME"/>
        </w:rPr>
        <w:t xml:space="preserve"> smrtni ishod. Najčešće ozbiljne infekcije prijavljene kod primjene</w:t>
      </w:r>
      <w:r w:rsidRPr="00B74B0F">
        <w:rPr>
          <w:szCs w:val="22"/>
          <w:lang w:val="sr-Latn-ME"/>
        </w:rPr>
        <w:t xml:space="preserve"> </w:t>
      </w:r>
      <w:r w:rsidR="00906CF8" w:rsidRPr="00B74B0F">
        <w:rPr>
          <w:szCs w:val="22"/>
          <w:lang w:val="sr-Latn-ME"/>
        </w:rPr>
        <w:t>upadacitinib</w:t>
      </w:r>
      <w:r w:rsidR="00244A93" w:rsidRPr="00B74B0F">
        <w:rPr>
          <w:szCs w:val="22"/>
          <w:lang w:val="sr-Latn-ME"/>
        </w:rPr>
        <w:t>a</w:t>
      </w:r>
      <w:r w:rsidR="003374EB" w:rsidRPr="00B74B0F">
        <w:rPr>
          <w:szCs w:val="22"/>
          <w:lang w:val="sr-Latn-ME"/>
        </w:rPr>
        <w:t xml:space="preserve"> </w:t>
      </w:r>
      <w:r w:rsidR="00906CF8" w:rsidRPr="00B74B0F">
        <w:rPr>
          <w:szCs w:val="22"/>
          <w:lang w:val="sr-Latn-ME"/>
        </w:rPr>
        <w:t>uključival</w:t>
      </w:r>
      <w:r w:rsidR="00DE5252" w:rsidRPr="00B74B0F">
        <w:rPr>
          <w:szCs w:val="22"/>
          <w:lang w:val="sr-Latn-ME"/>
        </w:rPr>
        <w:t>e</w:t>
      </w:r>
      <w:r w:rsidR="00906CF8" w:rsidRPr="00B74B0F">
        <w:rPr>
          <w:szCs w:val="22"/>
          <w:lang w:val="sr-Latn-ME"/>
        </w:rPr>
        <w:t xml:space="preserve"> </w:t>
      </w:r>
      <w:r w:rsidR="00244A93" w:rsidRPr="00B74B0F">
        <w:rPr>
          <w:szCs w:val="22"/>
          <w:lang w:val="sr-Latn-ME"/>
        </w:rPr>
        <w:t xml:space="preserve">su </w:t>
      </w:r>
      <w:r w:rsidR="00906CF8" w:rsidRPr="00B74B0F">
        <w:rPr>
          <w:szCs w:val="22"/>
          <w:lang w:val="sr-Latn-ME"/>
        </w:rPr>
        <w:t xml:space="preserve">pneumoniju i celulitis (vidjeti dio 4.8). </w:t>
      </w:r>
      <w:r w:rsidRPr="00B74B0F">
        <w:rPr>
          <w:szCs w:val="22"/>
          <w:lang w:val="sr-Latn-ME"/>
        </w:rPr>
        <w:t>Kod</w:t>
      </w:r>
      <w:r w:rsidR="00E925D1" w:rsidRPr="00B74B0F">
        <w:rPr>
          <w:szCs w:val="22"/>
          <w:lang w:val="sr-Latn-ME"/>
        </w:rPr>
        <w:t xml:space="preserve"> </w:t>
      </w:r>
      <w:r w:rsidR="00BB59FC" w:rsidRPr="00B74B0F">
        <w:rPr>
          <w:szCs w:val="22"/>
          <w:lang w:val="sr-Latn-ME"/>
        </w:rPr>
        <w:t>pacijenata</w:t>
      </w:r>
      <w:r w:rsidR="00E925D1" w:rsidRPr="00B74B0F">
        <w:rPr>
          <w:szCs w:val="22"/>
          <w:lang w:val="sr-Latn-ME"/>
        </w:rPr>
        <w:t xml:space="preserve"> koji su primali</w:t>
      </w:r>
      <w:r w:rsidRPr="00B74B0F">
        <w:rPr>
          <w:szCs w:val="22"/>
          <w:lang w:val="sr-Latn-ME"/>
        </w:rPr>
        <w:t xml:space="preserve"> </w:t>
      </w:r>
      <w:r w:rsidR="00E925D1" w:rsidRPr="00B74B0F">
        <w:rPr>
          <w:szCs w:val="22"/>
          <w:lang w:val="sr-Latn-ME"/>
        </w:rPr>
        <w:t>upadacitinib prijavljeni su slučajevi bakterijskog meningitisa</w:t>
      </w:r>
      <w:r w:rsidR="00A346B3" w:rsidRPr="00B74B0F">
        <w:rPr>
          <w:szCs w:val="22"/>
          <w:lang w:val="sr-Latn-ME"/>
        </w:rPr>
        <w:t xml:space="preserve"> i sepse</w:t>
      </w:r>
      <w:r w:rsidR="00E925D1" w:rsidRPr="00B74B0F">
        <w:rPr>
          <w:szCs w:val="22"/>
          <w:lang w:val="sr-Latn-ME"/>
        </w:rPr>
        <w:t xml:space="preserve">. </w:t>
      </w:r>
      <w:r w:rsidR="00906CF8" w:rsidRPr="00B74B0F">
        <w:rPr>
          <w:szCs w:val="22"/>
          <w:lang w:val="sr-Latn-ME"/>
        </w:rPr>
        <w:t>Od oportunističkih infekcija kod primjene</w:t>
      </w:r>
      <w:r w:rsidRPr="00B74B0F">
        <w:rPr>
          <w:szCs w:val="22"/>
          <w:lang w:val="sr-Latn-ME"/>
        </w:rPr>
        <w:t xml:space="preserve"> </w:t>
      </w:r>
      <w:r w:rsidR="00906CF8" w:rsidRPr="00B74B0F">
        <w:rPr>
          <w:szCs w:val="22"/>
          <w:lang w:val="sr-Latn-ME"/>
        </w:rPr>
        <w:t>upadacitinib</w:t>
      </w:r>
      <w:r w:rsidR="00244A93" w:rsidRPr="00B74B0F">
        <w:rPr>
          <w:szCs w:val="22"/>
          <w:lang w:val="sr-Latn-ME"/>
        </w:rPr>
        <w:t>a</w:t>
      </w:r>
      <w:r w:rsidRPr="00B74B0F">
        <w:rPr>
          <w:szCs w:val="22"/>
          <w:lang w:val="sr-Latn-ME"/>
        </w:rPr>
        <w:t>,</w:t>
      </w:r>
      <w:r w:rsidR="00906CF8" w:rsidRPr="00B74B0F">
        <w:rPr>
          <w:szCs w:val="22"/>
          <w:lang w:val="sr-Latn-ME"/>
        </w:rPr>
        <w:t xml:space="preserve"> prijavljene</w:t>
      </w:r>
      <w:r w:rsidRPr="00B74B0F">
        <w:rPr>
          <w:szCs w:val="22"/>
          <w:lang w:val="sr-Latn-ME"/>
        </w:rPr>
        <w:t xml:space="preserve"> su:</w:t>
      </w:r>
      <w:r w:rsidR="00906CF8" w:rsidRPr="00B74B0F">
        <w:rPr>
          <w:szCs w:val="22"/>
          <w:lang w:val="sr-Latn-ME"/>
        </w:rPr>
        <w:t xml:space="preserve"> tuberkuloza, herpes zoster koji zahva</w:t>
      </w:r>
      <w:r w:rsidR="00D13BE7" w:rsidRPr="00B74B0F">
        <w:rPr>
          <w:szCs w:val="22"/>
          <w:lang w:val="sr-Latn-ME"/>
        </w:rPr>
        <w:t>t</w:t>
      </w:r>
      <w:r w:rsidR="00906CF8" w:rsidRPr="00B74B0F">
        <w:rPr>
          <w:szCs w:val="22"/>
          <w:lang w:val="sr-Latn-ME"/>
        </w:rPr>
        <w:t xml:space="preserve">a više dermatoma, kandidijaza usne </w:t>
      </w:r>
      <w:r w:rsidR="00244A93" w:rsidRPr="00B74B0F">
        <w:rPr>
          <w:szCs w:val="22"/>
          <w:lang w:val="sr-Latn-ME"/>
        </w:rPr>
        <w:t>duplje</w:t>
      </w:r>
      <w:r w:rsidR="00906CF8" w:rsidRPr="00B74B0F">
        <w:rPr>
          <w:szCs w:val="22"/>
          <w:lang w:val="sr-Latn-ME"/>
        </w:rPr>
        <w:t xml:space="preserve">/jednjaka </w:t>
      </w:r>
      <w:r w:rsidRPr="00B74B0F">
        <w:rPr>
          <w:szCs w:val="22"/>
          <w:lang w:val="sr-Latn-ME"/>
        </w:rPr>
        <w:t>i</w:t>
      </w:r>
      <w:r w:rsidR="00906CF8" w:rsidRPr="00B74B0F">
        <w:rPr>
          <w:szCs w:val="22"/>
          <w:lang w:val="sr-Latn-ME"/>
        </w:rPr>
        <w:t xml:space="preserve"> kriptokokoza.</w:t>
      </w:r>
    </w:p>
    <w:p w14:paraId="58FE164F" w14:textId="77777777" w:rsidR="00183AB0" w:rsidRPr="00B74B0F" w:rsidRDefault="00183AB0">
      <w:pPr>
        <w:spacing w:line="240" w:lineRule="auto"/>
        <w:contextualSpacing/>
        <w:jc w:val="both"/>
        <w:rPr>
          <w:szCs w:val="22"/>
          <w:lang w:val="sr-Latn-ME"/>
        </w:rPr>
      </w:pPr>
    </w:p>
    <w:p w14:paraId="6107B29E" w14:textId="2AF043B3" w:rsidR="00FC5E31" w:rsidRPr="00B74B0F" w:rsidRDefault="00D634B5">
      <w:pPr>
        <w:spacing w:line="240" w:lineRule="auto"/>
        <w:contextualSpacing/>
        <w:jc w:val="both"/>
        <w:rPr>
          <w:szCs w:val="22"/>
          <w:lang w:val="sr-Latn-ME"/>
        </w:rPr>
      </w:pPr>
      <w:r w:rsidRPr="00B74B0F">
        <w:rPr>
          <w:szCs w:val="22"/>
          <w:lang w:val="sr-Latn-ME"/>
        </w:rPr>
        <w:t>Liječenje</w:t>
      </w:r>
      <w:r w:rsidR="006B2AFA" w:rsidRPr="00B74B0F">
        <w:rPr>
          <w:szCs w:val="22"/>
          <w:lang w:val="sr-Latn-ME"/>
        </w:rPr>
        <w:t xml:space="preserve"> </w:t>
      </w:r>
      <w:r w:rsidRPr="00B74B0F">
        <w:rPr>
          <w:szCs w:val="22"/>
          <w:lang w:val="sr-Latn-ME"/>
        </w:rPr>
        <w:t>upadacitinib</w:t>
      </w:r>
      <w:r w:rsidR="00244A93" w:rsidRPr="00B74B0F">
        <w:rPr>
          <w:szCs w:val="22"/>
          <w:lang w:val="sr-Latn-ME"/>
        </w:rPr>
        <w:t>om</w:t>
      </w:r>
      <w:r w:rsidR="006B2AFA" w:rsidRPr="00B74B0F">
        <w:rPr>
          <w:szCs w:val="22"/>
          <w:lang w:val="sr-Latn-ME"/>
        </w:rPr>
        <w:t xml:space="preserve"> se</w:t>
      </w:r>
      <w:r w:rsidRPr="00B74B0F">
        <w:rPr>
          <w:szCs w:val="22"/>
          <w:lang w:val="sr-Latn-ME"/>
        </w:rPr>
        <w:t xml:space="preserve"> ne smije započeti </w:t>
      </w:r>
      <w:r w:rsidR="006B2AFA"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s</w:t>
      </w:r>
      <w:r w:rsidR="00BB59FC" w:rsidRPr="00B74B0F">
        <w:rPr>
          <w:szCs w:val="22"/>
          <w:lang w:val="sr-Latn-ME"/>
        </w:rPr>
        <w:t>a</w:t>
      </w:r>
      <w:r w:rsidRPr="00B74B0F">
        <w:rPr>
          <w:szCs w:val="22"/>
          <w:lang w:val="sr-Latn-ME"/>
        </w:rPr>
        <w:t xml:space="preserve"> aktivnom ozbiljnom infekcijom, uključujući lokaliz</w:t>
      </w:r>
      <w:r w:rsidR="0004574E" w:rsidRPr="00B74B0F">
        <w:rPr>
          <w:szCs w:val="22"/>
          <w:lang w:val="sr-Latn-ME"/>
        </w:rPr>
        <w:t>ovane</w:t>
      </w:r>
      <w:r w:rsidRPr="00B74B0F">
        <w:rPr>
          <w:szCs w:val="22"/>
          <w:lang w:val="sr-Latn-ME"/>
        </w:rPr>
        <w:t xml:space="preserve"> infekcije.</w:t>
      </w:r>
    </w:p>
    <w:p w14:paraId="7F5C44CA" w14:textId="77777777" w:rsidR="00FC5E31" w:rsidRPr="00B74B0F" w:rsidRDefault="00FC5E31">
      <w:pPr>
        <w:spacing w:line="240" w:lineRule="auto"/>
        <w:contextualSpacing/>
        <w:jc w:val="both"/>
        <w:rPr>
          <w:szCs w:val="22"/>
          <w:lang w:val="sr-Latn-ME"/>
        </w:rPr>
      </w:pPr>
    </w:p>
    <w:p w14:paraId="11C80115" w14:textId="26E2DBE0" w:rsidR="000F1526" w:rsidRPr="00B74B0F" w:rsidRDefault="00906CF8">
      <w:pPr>
        <w:spacing w:line="240" w:lineRule="auto"/>
        <w:contextualSpacing/>
        <w:jc w:val="both"/>
        <w:rPr>
          <w:szCs w:val="22"/>
          <w:lang w:val="sr-Latn-ME"/>
        </w:rPr>
      </w:pPr>
      <w:r w:rsidRPr="00B74B0F">
        <w:rPr>
          <w:szCs w:val="22"/>
          <w:lang w:val="sr-Latn-ME"/>
        </w:rPr>
        <w:t>Prije početka liječenja</w:t>
      </w:r>
      <w:r w:rsidR="006B2AFA" w:rsidRPr="00B74B0F">
        <w:rPr>
          <w:szCs w:val="22"/>
          <w:lang w:val="sr-Latn-ME"/>
        </w:rPr>
        <w:t xml:space="preserve"> </w:t>
      </w:r>
      <w:r w:rsidRPr="00B74B0F">
        <w:rPr>
          <w:szCs w:val="22"/>
          <w:lang w:val="sr-Latn-ME"/>
        </w:rPr>
        <w:t>upadacitinib</w:t>
      </w:r>
      <w:r w:rsidR="00244A93" w:rsidRPr="00B74B0F">
        <w:rPr>
          <w:szCs w:val="22"/>
          <w:lang w:val="sr-Latn-ME"/>
        </w:rPr>
        <w:t>om</w:t>
      </w:r>
      <w:r w:rsidRPr="00B74B0F">
        <w:rPr>
          <w:szCs w:val="22"/>
          <w:lang w:val="sr-Latn-ME"/>
        </w:rPr>
        <w:t xml:space="preserve"> potrebno je razmotriti rizike i koristi liječenja </w:t>
      </w:r>
      <w:r w:rsidR="006B2AFA"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w:t>
      </w:r>
    </w:p>
    <w:p w14:paraId="40DE344F" w14:textId="77777777" w:rsidR="00D076E5" w:rsidRPr="00B74B0F" w:rsidRDefault="00D076E5">
      <w:pPr>
        <w:spacing w:line="240" w:lineRule="auto"/>
        <w:contextualSpacing/>
        <w:jc w:val="both"/>
        <w:rPr>
          <w:szCs w:val="22"/>
          <w:lang w:val="sr-Latn-ME"/>
        </w:rPr>
      </w:pPr>
    </w:p>
    <w:p w14:paraId="27897E96" w14:textId="0BB273E6" w:rsidR="000F1526" w:rsidRPr="00B74B0F" w:rsidRDefault="00906CF8">
      <w:pPr>
        <w:numPr>
          <w:ilvl w:val="0"/>
          <w:numId w:val="37"/>
        </w:numPr>
        <w:tabs>
          <w:tab w:val="clear" w:pos="567"/>
        </w:tabs>
        <w:spacing w:line="240" w:lineRule="auto"/>
        <w:contextualSpacing/>
        <w:jc w:val="both"/>
        <w:rPr>
          <w:szCs w:val="22"/>
          <w:lang w:val="sr-Latn-ME"/>
        </w:rPr>
      </w:pPr>
      <w:r w:rsidRPr="00B74B0F">
        <w:rPr>
          <w:szCs w:val="22"/>
          <w:lang w:val="sr-Latn-ME"/>
        </w:rPr>
        <w:t xml:space="preserve">koji imaju </w:t>
      </w:r>
      <w:r w:rsidR="006B2AFA" w:rsidRPr="00B74B0F">
        <w:rPr>
          <w:szCs w:val="22"/>
          <w:lang w:val="sr-Latn-ME"/>
        </w:rPr>
        <w:t>h</w:t>
      </w:r>
      <w:r w:rsidRPr="00B74B0F">
        <w:rPr>
          <w:szCs w:val="22"/>
          <w:lang w:val="sr-Latn-ME"/>
        </w:rPr>
        <w:t>roničnu ili rekurentnu infekciju</w:t>
      </w:r>
    </w:p>
    <w:p w14:paraId="60CA09B2" w14:textId="77777777" w:rsidR="000F1526" w:rsidRPr="00B74B0F" w:rsidRDefault="00906CF8">
      <w:pPr>
        <w:numPr>
          <w:ilvl w:val="0"/>
          <w:numId w:val="37"/>
        </w:numPr>
        <w:tabs>
          <w:tab w:val="clear" w:pos="567"/>
        </w:tabs>
        <w:spacing w:line="240" w:lineRule="auto"/>
        <w:contextualSpacing/>
        <w:jc w:val="both"/>
        <w:rPr>
          <w:szCs w:val="22"/>
          <w:lang w:val="sr-Latn-ME"/>
        </w:rPr>
      </w:pPr>
      <w:r w:rsidRPr="00B74B0F">
        <w:rPr>
          <w:szCs w:val="22"/>
          <w:lang w:val="sr-Latn-ME"/>
        </w:rPr>
        <w:t>koji su bili izloženi tuberkulozi</w:t>
      </w:r>
    </w:p>
    <w:p w14:paraId="41E2DD43" w14:textId="77777777" w:rsidR="000F1526" w:rsidRPr="00B74B0F" w:rsidRDefault="00906CF8">
      <w:pPr>
        <w:numPr>
          <w:ilvl w:val="0"/>
          <w:numId w:val="37"/>
        </w:numPr>
        <w:tabs>
          <w:tab w:val="clear" w:pos="567"/>
        </w:tabs>
        <w:spacing w:line="240" w:lineRule="auto"/>
        <w:contextualSpacing/>
        <w:jc w:val="both"/>
        <w:rPr>
          <w:szCs w:val="22"/>
          <w:lang w:val="sr-Latn-ME"/>
        </w:rPr>
      </w:pPr>
      <w:r w:rsidRPr="00B74B0F">
        <w:rPr>
          <w:szCs w:val="22"/>
          <w:lang w:val="sr-Latn-ME"/>
        </w:rPr>
        <w:t>koji imaju ozbiljnu ili oportunističku infekciju u anamnezi</w:t>
      </w:r>
    </w:p>
    <w:p w14:paraId="374F26E3" w14:textId="0B77CF92" w:rsidR="000F1526" w:rsidRPr="00B74B0F" w:rsidRDefault="00906CF8">
      <w:pPr>
        <w:numPr>
          <w:ilvl w:val="0"/>
          <w:numId w:val="37"/>
        </w:numPr>
        <w:tabs>
          <w:tab w:val="clear" w:pos="567"/>
        </w:tabs>
        <w:spacing w:line="240" w:lineRule="auto"/>
        <w:contextualSpacing/>
        <w:jc w:val="both"/>
        <w:rPr>
          <w:szCs w:val="22"/>
          <w:lang w:val="sr-Latn-ME"/>
        </w:rPr>
      </w:pPr>
      <w:r w:rsidRPr="00B74B0F">
        <w:rPr>
          <w:szCs w:val="22"/>
          <w:lang w:val="sr-Latn-ME"/>
        </w:rPr>
        <w:t xml:space="preserve">koji su živjeli </w:t>
      </w:r>
      <w:r w:rsidR="000F5A61" w:rsidRPr="00B74B0F">
        <w:rPr>
          <w:szCs w:val="22"/>
          <w:lang w:val="sr-Latn-ME"/>
        </w:rPr>
        <w:t xml:space="preserve">ili putovali </w:t>
      </w:r>
      <w:r w:rsidRPr="00B74B0F">
        <w:rPr>
          <w:szCs w:val="22"/>
          <w:lang w:val="sr-Latn-ME"/>
        </w:rPr>
        <w:t>u područj</w:t>
      </w:r>
      <w:r w:rsidR="000F5A61" w:rsidRPr="00B74B0F">
        <w:rPr>
          <w:szCs w:val="22"/>
          <w:lang w:val="sr-Latn-ME"/>
        </w:rPr>
        <w:t>im</w:t>
      </w:r>
      <w:r w:rsidRPr="00B74B0F">
        <w:rPr>
          <w:szCs w:val="22"/>
          <w:lang w:val="sr-Latn-ME"/>
        </w:rPr>
        <w:t xml:space="preserve">a gdje su tuberkuloza ili mikoza endemske bolesti </w:t>
      </w:r>
      <w:r w:rsidR="00D13BE7" w:rsidRPr="00B74B0F">
        <w:rPr>
          <w:szCs w:val="22"/>
          <w:lang w:val="sr-Latn-ME"/>
        </w:rPr>
        <w:t>ili</w:t>
      </w:r>
    </w:p>
    <w:p w14:paraId="72939A3E" w14:textId="6CB8BB29" w:rsidR="000F1526" w:rsidRPr="00B74B0F" w:rsidRDefault="00906CF8">
      <w:pPr>
        <w:numPr>
          <w:ilvl w:val="0"/>
          <w:numId w:val="37"/>
        </w:numPr>
        <w:tabs>
          <w:tab w:val="clear" w:pos="567"/>
        </w:tabs>
        <w:spacing w:line="240" w:lineRule="auto"/>
        <w:contextualSpacing/>
        <w:jc w:val="both"/>
        <w:rPr>
          <w:szCs w:val="22"/>
          <w:lang w:val="sr-Latn-ME"/>
        </w:rPr>
      </w:pPr>
      <w:r w:rsidRPr="00B74B0F">
        <w:rPr>
          <w:szCs w:val="22"/>
          <w:lang w:val="sr-Latn-ME"/>
        </w:rPr>
        <w:t>koji imaju p</w:t>
      </w:r>
      <w:r w:rsidR="00D13BE7" w:rsidRPr="00B74B0F">
        <w:rPr>
          <w:szCs w:val="22"/>
          <w:lang w:val="sr-Latn-ME"/>
        </w:rPr>
        <w:t>rateća</w:t>
      </w:r>
      <w:r w:rsidRPr="00B74B0F">
        <w:rPr>
          <w:szCs w:val="22"/>
          <w:lang w:val="sr-Latn-ME"/>
        </w:rPr>
        <w:t xml:space="preserve"> stanja koja ih mogu učiniti podložnijim</w:t>
      </w:r>
      <w:r w:rsidR="00D13BE7" w:rsidRPr="00B74B0F">
        <w:rPr>
          <w:szCs w:val="22"/>
          <w:lang w:val="sr-Latn-ME"/>
        </w:rPr>
        <w:t xml:space="preserve"> za</w:t>
      </w:r>
      <w:r w:rsidRPr="00B74B0F">
        <w:rPr>
          <w:szCs w:val="22"/>
          <w:lang w:val="sr-Latn-ME"/>
        </w:rPr>
        <w:t xml:space="preserve"> razvoj infekcije</w:t>
      </w:r>
    </w:p>
    <w:p w14:paraId="05F11753" w14:textId="77777777" w:rsidR="006E176E" w:rsidRPr="00B74B0F" w:rsidRDefault="006E176E">
      <w:pPr>
        <w:tabs>
          <w:tab w:val="clear" w:pos="567"/>
        </w:tabs>
        <w:spacing w:line="240" w:lineRule="auto"/>
        <w:ind w:left="567"/>
        <w:contextualSpacing/>
        <w:jc w:val="both"/>
        <w:rPr>
          <w:szCs w:val="22"/>
          <w:lang w:val="sr-Latn-ME"/>
        </w:rPr>
      </w:pPr>
    </w:p>
    <w:p w14:paraId="15E4BC8B" w14:textId="5E620570" w:rsidR="006E3AFA" w:rsidRPr="00B74B0F" w:rsidRDefault="00BB59FC">
      <w:pPr>
        <w:pStyle w:val="Default"/>
        <w:contextualSpacing/>
        <w:jc w:val="both"/>
        <w:rPr>
          <w:sz w:val="22"/>
          <w:szCs w:val="22"/>
          <w:lang w:val="sr-Latn-ME"/>
        </w:rPr>
      </w:pPr>
      <w:r w:rsidRPr="00B74B0F">
        <w:rPr>
          <w:sz w:val="22"/>
          <w:szCs w:val="22"/>
          <w:lang w:val="sr-Latn-ME"/>
        </w:rPr>
        <w:t>Pacijent</w:t>
      </w:r>
      <w:r w:rsidR="00906CF8" w:rsidRPr="00B74B0F">
        <w:rPr>
          <w:sz w:val="22"/>
          <w:szCs w:val="22"/>
          <w:lang w:val="sr-Latn-ME"/>
        </w:rPr>
        <w:t xml:space="preserve">e treba pažljivo </w:t>
      </w:r>
      <w:r w:rsidR="006B2AFA" w:rsidRPr="00B74B0F">
        <w:rPr>
          <w:sz w:val="22"/>
          <w:szCs w:val="22"/>
          <w:lang w:val="sr-Latn-ME"/>
        </w:rPr>
        <w:t>pratiti</w:t>
      </w:r>
      <w:r w:rsidR="00906CF8" w:rsidRPr="00B74B0F">
        <w:rPr>
          <w:sz w:val="22"/>
          <w:szCs w:val="22"/>
          <w:lang w:val="sr-Latn-ME"/>
        </w:rPr>
        <w:t xml:space="preserve"> zbog mogućeg razvoja znakova i simptoma infekcije</w:t>
      </w:r>
      <w:r w:rsidR="00D13BE7" w:rsidRPr="00B74B0F">
        <w:rPr>
          <w:sz w:val="22"/>
          <w:szCs w:val="22"/>
          <w:lang w:val="sr-Latn-ME"/>
        </w:rPr>
        <w:t xml:space="preserve"> za vrijeme i nakon liječenja upadacitinib</w:t>
      </w:r>
      <w:r w:rsidR="00244A93" w:rsidRPr="00B74B0F">
        <w:rPr>
          <w:sz w:val="22"/>
          <w:szCs w:val="22"/>
          <w:lang w:val="sr-Latn-ME"/>
        </w:rPr>
        <w:t>om</w:t>
      </w:r>
      <w:r w:rsidR="00906CF8" w:rsidRPr="00B74B0F">
        <w:rPr>
          <w:sz w:val="22"/>
          <w:szCs w:val="22"/>
          <w:lang w:val="sr-Latn-ME"/>
        </w:rPr>
        <w:t xml:space="preserve">. Ako se </w:t>
      </w:r>
      <w:r w:rsidR="006B2AFA" w:rsidRPr="00B74B0F">
        <w:rPr>
          <w:sz w:val="22"/>
          <w:szCs w:val="22"/>
          <w:lang w:val="sr-Latn-ME"/>
        </w:rPr>
        <w:t>kod</w:t>
      </w:r>
      <w:r w:rsidR="00906CF8" w:rsidRPr="00B74B0F">
        <w:rPr>
          <w:sz w:val="22"/>
          <w:szCs w:val="22"/>
          <w:lang w:val="sr-Latn-ME"/>
        </w:rPr>
        <w:t xml:space="preserve"> </w:t>
      </w:r>
      <w:r w:rsidRPr="00B74B0F">
        <w:rPr>
          <w:sz w:val="22"/>
          <w:szCs w:val="22"/>
          <w:lang w:val="sr-Latn-ME"/>
        </w:rPr>
        <w:t>pacijenata</w:t>
      </w:r>
      <w:r w:rsidR="00906CF8" w:rsidRPr="00B74B0F">
        <w:rPr>
          <w:sz w:val="22"/>
          <w:szCs w:val="22"/>
          <w:lang w:val="sr-Latn-ME"/>
        </w:rPr>
        <w:t xml:space="preserve"> razvije ozbiljna ili oportunistička infekcija, liječenje</w:t>
      </w:r>
      <w:r w:rsidR="006B2AFA" w:rsidRPr="00B74B0F">
        <w:rPr>
          <w:sz w:val="22"/>
          <w:szCs w:val="22"/>
          <w:lang w:val="sr-Latn-ME"/>
        </w:rPr>
        <w:t xml:space="preserve"> sa </w:t>
      </w:r>
      <w:r w:rsidR="00906CF8" w:rsidRPr="00B74B0F">
        <w:rPr>
          <w:sz w:val="22"/>
          <w:szCs w:val="22"/>
          <w:lang w:val="sr-Latn-ME"/>
        </w:rPr>
        <w:t>upadacitinib</w:t>
      </w:r>
      <w:r w:rsidR="00244A93" w:rsidRPr="00B74B0F">
        <w:rPr>
          <w:sz w:val="22"/>
          <w:szCs w:val="22"/>
          <w:lang w:val="sr-Latn-ME"/>
        </w:rPr>
        <w:t>om</w:t>
      </w:r>
      <w:r w:rsidR="00906CF8" w:rsidRPr="00B74B0F">
        <w:rPr>
          <w:sz w:val="22"/>
          <w:szCs w:val="22"/>
          <w:lang w:val="sr-Latn-ME"/>
        </w:rPr>
        <w:t xml:space="preserve"> treba </w:t>
      </w:r>
      <w:r w:rsidR="0004574E" w:rsidRPr="00B74B0F">
        <w:rPr>
          <w:sz w:val="22"/>
          <w:szCs w:val="22"/>
          <w:lang w:val="sr-Latn-ME"/>
        </w:rPr>
        <w:t xml:space="preserve">privremeno </w:t>
      </w:r>
      <w:r w:rsidR="00906CF8" w:rsidRPr="00B74B0F">
        <w:rPr>
          <w:sz w:val="22"/>
          <w:szCs w:val="22"/>
          <w:lang w:val="sr-Latn-ME"/>
        </w:rPr>
        <w:t xml:space="preserve">prekinuti. </w:t>
      </w:r>
      <w:r w:rsidRPr="00B74B0F">
        <w:rPr>
          <w:sz w:val="22"/>
          <w:szCs w:val="22"/>
          <w:lang w:val="sr-Latn-ME"/>
        </w:rPr>
        <w:t>Pacijen</w:t>
      </w:r>
      <w:r w:rsidR="00277ECF" w:rsidRPr="00B74B0F">
        <w:rPr>
          <w:sz w:val="22"/>
          <w:szCs w:val="22"/>
          <w:lang w:val="sr-Latn-ME"/>
        </w:rPr>
        <w:t>te</w:t>
      </w:r>
      <w:r w:rsidR="00906CF8" w:rsidRPr="00B74B0F">
        <w:rPr>
          <w:sz w:val="22"/>
          <w:szCs w:val="22"/>
          <w:lang w:val="sr-Latn-ME"/>
        </w:rPr>
        <w:t xml:space="preserve"> </w:t>
      </w:r>
      <w:r w:rsidR="006B2AFA" w:rsidRPr="00B74B0F">
        <w:rPr>
          <w:sz w:val="22"/>
          <w:szCs w:val="22"/>
          <w:lang w:val="sr-Latn-ME"/>
        </w:rPr>
        <w:t>kod</w:t>
      </w:r>
      <w:r w:rsidR="00906CF8" w:rsidRPr="00B74B0F">
        <w:rPr>
          <w:sz w:val="22"/>
          <w:szCs w:val="22"/>
          <w:lang w:val="sr-Latn-ME"/>
        </w:rPr>
        <w:t xml:space="preserve"> koj</w:t>
      </w:r>
      <w:r w:rsidR="00277ECF" w:rsidRPr="00B74B0F">
        <w:rPr>
          <w:sz w:val="22"/>
          <w:szCs w:val="22"/>
          <w:lang w:val="sr-Latn-ME"/>
        </w:rPr>
        <w:t>ih</w:t>
      </w:r>
      <w:r w:rsidR="00906CF8" w:rsidRPr="00B74B0F">
        <w:rPr>
          <w:sz w:val="22"/>
          <w:szCs w:val="22"/>
          <w:lang w:val="sr-Latn-ME"/>
        </w:rPr>
        <w:t xml:space="preserve"> se t</w:t>
      </w:r>
      <w:r w:rsidR="006B2AFA" w:rsidRPr="00B74B0F">
        <w:rPr>
          <w:sz w:val="22"/>
          <w:szCs w:val="22"/>
          <w:lang w:val="sr-Latn-ME"/>
        </w:rPr>
        <w:t>okom</w:t>
      </w:r>
      <w:r w:rsidR="00906CF8" w:rsidRPr="00B74B0F">
        <w:rPr>
          <w:sz w:val="22"/>
          <w:szCs w:val="22"/>
          <w:lang w:val="sr-Latn-ME"/>
        </w:rPr>
        <w:t xml:space="preserve"> liječenja</w:t>
      </w:r>
      <w:r w:rsidR="006B2AFA" w:rsidRPr="00B74B0F">
        <w:rPr>
          <w:sz w:val="22"/>
          <w:szCs w:val="22"/>
          <w:lang w:val="sr-Latn-ME"/>
        </w:rPr>
        <w:t xml:space="preserve"> </w:t>
      </w:r>
      <w:r w:rsidR="00906CF8" w:rsidRPr="00B74B0F">
        <w:rPr>
          <w:sz w:val="22"/>
          <w:szCs w:val="22"/>
          <w:lang w:val="sr-Latn-ME"/>
        </w:rPr>
        <w:t>upadacitinib</w:t>
      </w:r>
      <w:r w:rsidR="00244A93" w:rsidRPr="00B74B0F">
        <w:rPr>
          <w:sz w:val="22"/>
          <w:szCs w:val="22"/>
          <w:lang w:val="sr-Latn-ME"/>
        </w:rPr>
        <w:t>om</w:t>
      </w:r>
      <w:r w:rsidR="00906CF8" w:rsidRPr="00B74B0F">
        <w:rPr>
          <w:sz w:val="22"/>
          <w:szCs w:val="22"/>
          <w:lang w:val="sr-Latn-ME"/>
        </w:rPr>
        <w:t xml:space="preserve"> razvije nova infekcija treba odmah podvrgnuti </w:t>
      </w:r>
      <w:r w:rsidR="004B4BE8" w:rsidRPr="00B74B0F">
        <w:rPr>
          <w:sz w:val="22"/>
          <w:szCs w:val="22"/>
          <w:lang w:val="sr-Latn-ME"/>
        </w:rPr>
        <w:t>kompletnim</w:t>
      </w:r>
      <w:r w:rsidR="00906CF8" w:rsidRPr="00B74B0F">
        <w:rPr>
          <w:sz w:val="22"/>
          <w:szCs w:val="22"/>
          <w:lang w:val="sr-Latn-ME"/>
        </w:rPr>
        <w:t xml:space="preserve"> dijagnostičk</w:t>
      </w:r>
      <w:r w:rsidR="000F5A61" w:rsidRPr="00B74B0F">
        <w:rPr>
          <w:sz w:val="22"/>
          <w:szCs w:val="22"/>
          <w:lang w:val="sr-Latn-ME"/>
        </w:rPr>
        <w:t xml:space="preserve">im </w:t>
      </w:r>
      <w:r w:rsidR="00012342" w:rsidRPr="00B74B0F">
        <w:rPr>
          <w:sz w:val="22"/>
          <w:szCs w:val="22"/>
          <w:lang w:val="sr-Latn-ME"/>
        </w:rPr>
        <w:t xml:space="preserve">procedurama </w:t>
      </w:r>
      <w:r w:rsidR="00975274" w:rsidRPr="00B74B0F">
        <w:rPr>
          <w:sz w:val="22"/>
          <w:szCs w:val="22"/>
          <w:lang w:val="sr-Latn-ME"/>
        </w:rPr>
        <w:t>koje su odgovarajuće</w:t>
      </w:r>
      <w:r w:rsidR="00906CF8" w:rsidRPr="00B74B0F">
        <w:rPr>
          <w:sz w:val="22"/>
          <w:szCs w:val="22"/>
          <w:lang w:val="sr-Latn-ME"/>
        </w:rPr>
        <w:t xml:space="preserve"> za imunokompromit</w:t>
      </w:r>
      <w:r w:rsidR="00975274" w:rsidRPr="00B74B0F">
        <w:rPr>
          <w:sz w:val="22"/>
          <w:szCs w:val="22"/>
          <w:lang w:val="sr-Latn-ME"/>
        </w:rPr>
        <w:t>ovanog</w:t>
      </w:r>
      <w:r w:rsidR="00906CF8" w:rsidRPr="00B74B0F">
        <w:rPr>
          <w:sz w:val="22"/>
          <w:szCs w:val="22"/>
          <w:lang w:val="sr-Latn-ME"/>
        </w:rPr>
        <w:t xml:space="preserve"> </w:t>
      </w:r>
      <w:r w:rsidRPr="00B74B0F">
        <w:rPr>
          <w:sz w:val="22"/>
          <w:szCs w:val="22"/>
          <w:lang w:val="sr-Latn-ME"/>
        </w:rPr>
        <w:t>pacijenata</w:t>
      </w:r>
      <w:r w:rsidR="004B4BE8" w:rsidRPr="00B74B0F">
        <w:rPr>
          <w:sz w:val="22"/>
          <w:szCs w:val="22"/>
          <w:lang w:val="sr-Latn-ME"/>
        </w:rPr>
        <w:t>; t</w:t>
      </w:r>
      <w:r w:rsidR="000F5A61" w:rsidRPr="00B74B0F">
        <w:rPr>
          <w:sz w:val="22"/>
          <w:szCs w:val="22"/>
          <w:lang w:val="sr-Latn-ME"/>
        </w:rPr>
        <w:t>reba</w:t>
      </w:r>
      <w:r w:rsidR="00906CF8" w:rsidRPr="00B74B0F">
        <w:rPr>
          <w:sz w:val="22"/>
          <w:szCs w:val="22"/>
          <w:lang w:val="sr-Latn-ME"/>
        </w:rPr>
        <w:t xml:space="preserve"> uvesti odgovarajuću antimikrobnu terapiju i pažljivo </w:t>
      </w:r>
      <w:r w:rsidR="006B2AFA" w:rsidRPr="00B74B0F">
        <w:rPr>
          <w:sz w:val="22"/>
          <w:szCs w:val="22"/>
          <w:lang w:val="sr-Latn-ME"/>
        </w:rPr>
        <w:t>pratiti</w:t>
      </w:r>
      <w:r w:rsidR="00906CF8" w:rsidRPr="00B74B0F">
        <w:rPr>
          <w:sz w:val="22"/>
          <w:szCs w:val="22"/>
          <w:lang w:val="sr-Latn-ME"/>
        </w:rPr>
        <w:t xml:space="preserve"> </w:t>
      </w:r>
      <w:r w:rsidRPr="00B74B0F">
        <w:rPr>
          <w:sz w:val="22"/>
          <w:szCs w:val="22"/>
          <w:lang w:val="sr-Latn-ME"/>
        </w:rPr>
        <w:t>pacijenta</w:t>
      </w:r>
      <w:r w:rsidR="00906CF8" w:rsidRPr="00B74B0F">
        <w:rPr>
          <w:sz w:val="22"/>
          <w:szCs w:val="22"/>
          <w:lang w:val="sr-Latn-ME"/>
        </w:rPr>
        <w:t>, a ako ne odgovori na antimikrobnu terapiju, liječenje</w:t>
      </w:r>
      <w:r w:rsidR="006B2AFA" w:rsidRPr="00B74B0F">
        <w:rPr>
          <w:sz w:val="22"/>
          <w:szCs w:val="22"/>
          <w:lang w:val="sr-Latn-ME"/>
        </w:rPr>
        <w:t xml:space="preserve"> </w:t>
      </w:r>
      <w:r w:rsidR="00906CF8" w:rsidRPr="00B74B0F">
        <w:rPr>
          <w:sz w:val="22"/>
          <w:szCs w:val="22"/>
          <w:lang w:val="sr-Latn-ME"/>
        </w:rPr>
        <w:t>upadacitinib</w:t>
      </w:r>
      <w:r w:rsidR="00244A93" w:rsidRPr="00B74B0F">
        <w:rPr>
          <w:sz w:val="22"/>
          <w:szCs w:val="22"/>
          <w:lang w:val="sr-Latn-ME"/>
        </w:rPr>
        <w:t>om</w:t>
      </w:r>
      <w:r w:rsidR="00906CF8" w:rsidRPr="00B74B0F">
        <w:rPr>
          <w:sz w:val="22"/>
          <w:szCs w:val="22"/>
          <w:lang w:val="sr-Latn-ME"/>
        </w:rPr>
        <w:t xml:space="preserve"> treba </w:t>
      </w:r>
      <w:r w:rsidR="0004574E" w:rsidRPr="00B74B0F">
        <w:rPr>
          <w:sz w:val="22"/>
          <w:szCs w:val="22"/>
          <w:lang w:val="sr-Latn-ME"/>
        </w:rPr>
        <w:t xml:space="preserve">privremeno </w:t>
      </w:r>
      <w:r w:rsidR="00906CF8" w:rsidRPr="00B74B0F">
        <w:rPr>
          <w:sz w:val="22"/>
          <w:szCs w:val="22"/>
          <w:lang w:val="sr-Latn-ME"/>
        </w:rPr>
        <w:t>prekinuti. Liječenje</w:t>
      </w:r>
      <w:r w:rsidR="006B2AFA" w:rsidRPr="00B74B0F">
        <w:rPr>
          <w:sz w:val="22"/>
          <w:szCs w:val="22"/>
          <w:lang w:val="sr-Latn-ME"/>
        </w:rPr>
        <w:t xml:space="preserve"> </w:t>
      </w:r>
      <w:r w:rsidR="00906CF8" w:rsidRPr="00B74B0F">
        <w:rPr>
          <w:sz w:val="22"/>
          <w:szCs w:val="22"/>
          <w:lang w:val="sr-Latn-ME"/>
        </w:rPr>
        <w:t>upadacitinib</w:t>
      </w:r>
      <w:r w:rsidR="00244A93" w:rsidRPr="00B74B0F">
        <w:rPr>
          <w:sz w:val="22"/>
          <w:szCs w:val="22"/>
          <w:lang w:val="sr-Latn-ME"/>
        </w:rPr>
        <w:t>om</w:t>
      </w:r>
      <w:r w:rsidR="00975274" w:rsidRPr="00B74B0F">
        <w:rPr>
          <w:sz w:val="22"/>
          <w:szCs w:val="22"/>
          <w:lang w:val="sr-Latn-ME"/>
        </w:rPr>
        <w:t xml:space="preserve"> se</w:t>
      </w:r>
      <w:r w:rsidR="00906CF8" w:rsidRPr="00B74B0F">
        <w:rPr>
          <w:sz w:val="22"/>
          <w:szCs w:val="22"/>
          <w:lang w:val="sr-Latn-ME"/>
        </w:rPr>
        <w:t xml:space="preserve"> može nastaviti nakon što se infekcija stavi pod kontrolu.</w:t>
      </w:r>
    </w:p>
    <w:p w14:paraId="0321E822" w14:textId="77777777" w:rsidR="00C1755B" w:rsidRPr="00B74B0F" w:rsidRDefault="00C1755B">
      <w:pPr>
        <w:pStyle w:val="Default"/>
        <w:contextualSpacing/>
        <w:jc w:val="both"/>
        <w:rPr>
          <w:sz w:val="22"/>
          <w:szCs w:val="22"/>
          <w:lang w:val="sr-Latn-ME"/>
        </w:rPr>
      </w:pPr>
    </w:p>
    <w:p w14:paraId="451EEA74" w14:textId="44FDE09E" w:rsidR="004136F6" w:rsidRPr="00B74B0F" w:rsidRDefault="004136F6">
      <w:pPr>
        <w:pStyle w:val="Default"/>
        <w:contextualSpacing/>
        <w:jc w:val="both"/>
        <w:rPr>
          <w:sz w:val="22"/>
          <w:szCs w:val="22"/>
          <w:lang w:val="sr-Latn-ME"/>
        </w:rPr>
      </w:pPr>
      <w:r w:rsidRPr="00B74B0F">
        <w:rPr>
          <w:sz w:val="22"/>
          <w:szCs w:val="22"/>
          <w:lang w:val="sr-Latn-ME"/>
        </w:rPr>
        <w:t>Veća stopa ozbiljnih infekcija primijećena je sa upadacitinibom u dozi od 30 mg u poređenju sa upadacitinibom u dozi o</w:t>
      </w:r>
      <w:r w:rsidR="00183AB0" w:rsidRPr="00B74B0F">
        <w:rPr>
          <w:sz w:val="22"/>
          <w:szCs w:val="22"/>
          <w:lang w:val="sr-Latn-ME"/>
        </w:rPr>
        <w:t>d</w:t>
      </w:r>
      <w:r w:rsidRPr="00B74B0F">
        <w:rPr>
          <w:sz w:val="22"/>
          <w:szCs w:val="22"/>
          <w:lang w:val="sr-Latn-ME"/>
        </w:rPr>
        <w:t xml:space="preserve"> 15 mg.</w:t>
      </w:r>
    </w:p>
    <w:p w14:paraId="1BB5247A" w14:textId="77777777" w:rsidR="00183AB0" w:rsidRPr="00B74B0F" w:rsidRDefault="00183AB0">
      <w:pPr>
        <w:pStyle w:val="Default"/>
        <w:contextualSpacing/>
        <w:jc w:val="both"/>
        <w:rPr>
          <w:sz w:val="22"/>
          <w:szCs w:val="22"/>
          <w:lang w:val="sr-Latn-ME"/>
        </w:rPr>
      </w:pPr>
    </w:p>
    <w:p w14:paraId="46D30657" w14:textId="204E2C09" w:rsidR="00C1755B" w:rsidRPr="00B74B0F" w:rsidRDefault="00975274">
      <w:pPr>
        <w:pStyle w:val="Default"/>
        <w:contextualSpacing/>
        <w:jc w:val="both"/>
        <w:rPr>
          <w:sz w:val="22"/>
          <w:szCs w:val="22"/>
          <w:lang w:val="sr-Latn-ME"/>
        </w:rPr>
      </w:pPr>
      <w:r w:rsidRPr="00B74B0F">
        <w:rPr>
          <w:sz w:val="22"/>
          <w:szCs w:val="22"/>
          <w:lang w:val="sr-Latn-ME"/>
        </w:rPr>
        <w:t>Kako je veća učestalost infekcija</w:t>
      </w:r>
      <w:r w:rsidR="00C1755B" w:rsidRPr="00B74B0F">
        <w:rPr>
          <w:sz w:val="22"/>
          <w:szCs w:val="22"/>
          <w:lang w:val="sr-Latn-ME"/>
        </w:rPr>
        <w:t xml:space="preserve"> </w:t>
      </w:r>
      <w:r w:rsidR="006B2AFA" w:rsidRPr="00B74B0F">
        <w:rPr>
          <w:sz w:val="22"/>
          <w:szCs w:val="22"/>
          <w:lang w:val="sr-Latn-ME"/>
        </w:rPr>
        <w:t>kod</w:t>
      </w:r>
      <w:r w:rsidR="00C1755B" w:rsidRPr="00B74B0F">
        <w:rPr>
          <w:sz w:val="22"/>
          <w:szCs w:val="22"/>
          <w:lang w:val="sr-Latn-ME"/>
        </w:rPr>
        <w:t xml:space="preserve"> starijih osoba </w:t>
      </w:r>
      <w:r w:rsidR="00183AB0" w:rsidRPr="00B74B0F">
        <w:rPr>
          <w:sz w:val="22"/>
          <w:szCs w:val="22"/>
          <w:lang w:val="sr-Latn-ME"/>
        </w:rPr>
        <w:t>i generalno</w:t>
      </w:r>
      <w:r w:rsidR="004136F6" w:rsidRPr="00B74B0F">
        <w:rPr>
          <w:sz w:val="22"/>
          <w:szCs w:val="22"/>
          <w:lang w:val="sr-Latn-ME"/>
        </w:rPr>
        <w:t xml:space="preserve"> populaciji dijabetičara</w:t>
      </w:r>
      <w:r w:rsidR="00C1755B" w:rsidRPr="00B74B0F">
        <w:rPr>
          <w:sz w:val="22"/>
          <w:szCs w:val="22"/>
          <w:lang w:val="sr-Latn-ME"/>
        </w:rPr>
        <w:t>,</w:t>
      </w:r>
      <w:r w:rsidRPr="00B74B0F">
        <w:rPr>
          <w:sz w:val="22"/>
          <w:szCs w:val="22"/>
          <w:lang w:val="sr-Latn-ME"/>
        </w:rPr>
        <w:t xml:space="preserve"> </w:t>
      </w:r>
      <w:r w:rsidR="00C1755B" w:rsidRPr="00B74B0F">
        <w:rPr>
          <w:sz w:val="22"/>
          <w:szCs w:val="22"/>
          <w:lang w:val="sr-Latn-ME"/>
        </w:rPr>
        <w:t>potreban je oprez</w:t>
      </w:r>
      <w:r w:rsidR="006B2AFA" w:rsidRPr="00B74B0F">
        <w:rPr>
          <w:sz w:val="22"/>
          <w:szCs w:val="22"/>
          <w:lang w:val="sr-Latn-ME"/>
        </w:rPr>
        <w:t xml:space="preserve"> kod liječenja </w:t>
      </w:r>
      <w:r w:rsidR="00217E20" w:rsidRPr="00B74B0F">
        <w:rPr>
          <w:sz w:val="22"/>
          <w:szCs w:val="22"/>
          <w:lang w:val="sr-Latn-ME"/>
        </w:rPr>
        <w:t>ovih</w:t>
      </w:r>
      <w:r w:rsidR="006B2AFA" w:rsidRPr="00B74B0F">
        <w:rPr>
          <w:sz w:val="22"/>
          <w:szCs w:val="22"/>
          <w:lang w:val="sr-Latn-ME"/>
        </w:rPr>
        <w:t xml:space="preserve"> populacij</w:t>
      </w:r>
      <w:r w:rsidR="00217E20" w:rsidRPr="00B74B0F">
        <w:rPr>
          <w:sz w:val="22"/>
          <w:szCs w:val="22"/>
          <w:lang w:val="sr-Latn-ME"/>
        </w:rPr>
        <w:t>a</w:t>
      </w:r>
      <w:r w:rsidR="00C1755B" w:rsidRPr="00B74B0F">
        <w:rPr>
          <w:sz w:val="22"/>
          <w:szCs w:val="22"/>
          <w:lang w:val="sr-Latn-ME"/>
        </w:rPr>
        <w:t>.</w:t>
      </w:r>
      <w:r w:rsidR="00217E20" w:rsidRPr="00B74B0F">
        <w:rPr>
          <w:sz w:val="22"/>
          <w:szCs w:val="22"/>
          <w:lang w:val="sr-Latn-ME"/>
        </w:rPr>
        <w:t xml:space="preserve"> Kod pacijenata starosti 65 godina</w:t>
      </w:r>
      <w:r w:rsidR="00183AB0" w:rsidRPr="00B74B0F">
        <w:rPr>
          <w:sz w:val="22"/>
          <w:szCs w:val="22"/>
          <w:lang w:val="sr-Latn-ME"/>
        </w:rPr>
        <w:t xml:space="preserve"> i više</w:t>
      </w:r>
      <w:r w:rsidR="00217E20" w:rsidRPr="00B74B0F">
        <w:rPr>
          <w:sz w:val="22"/>
          <w:szCs w:val="22"/>
          <w:lang w:val="sr-Latn-ME"/>
        </w:rPr>
        <w:t xml:space="preserve">, upadacitinib se smije primjenjivati samo ako nijesu dostupne prikladne </w:t>
      </w:r>
      <w:r w:rsidR="00183AB0" w:rsidRPr="00B74B0F">
        <w:rPr>
          <w:sz w:val="22"/>
          <w:szCs w:val="22"/>
          <w:lang w:val="sr-Latn-ME"/>
        </w:rPr>
        <w:t>alternativne</w:t>
      </w:r>
      <w:r w:rsidR="00217E20" w:rsidRPr="00B74B0F">
        <w:rPr>
          <w:sz w:val="22"/>
          <w:szCs w:val="22"/>
          <w:lang w:val="sr-Latn-ME"/>
        </w:rPr>
        <w:t xml:space="preserve"> terapije za liječenje pacijenata (vidjeti dio 4.2).</w:t>
      </w:r>
    </w:p>
    <w:p w14:paraId="28A714F8" w14:textId="77777777" w:rsidR="00EE15EA" w:rsidRPr="00B74B0F" w:rsidRDefault="00EE15EA">
      <w:pPr>
        <w:pStyle w:val="Default"/>
        <w:contextualSpacing/>
        <w:jc w:val="both"/>
        <w:rPr>
          <w:sz w:val="22"/>
          <w:szCs w:val="22"/>
          <w:lang w:val="sr-Latn-ME"/>
        </w:rPr>
      </w:pPr>
    </w:p>
    <w:p w14:paraId="2CDC4503" w14:textId="77777777" w:rsidR="006E3AFA" w:rsidRPr="00B74B0F" w:rsidRDefault="00906CF8">
      <w:pPr>
        <w:pStyle w:val="Default"/>
        <w:keepNext/>
        <w:contextualSpacing/>
        <w:jc w:val="both"/>
        <w:rPr>
          <w:i/>
          <w:sz w:val="22"/>
          <w:szCs w:val="22"/>
          <w:lang w:val="sr-Latn-ME"/>
        </w:rPr>
      </w:pPr>
      <w:r w:rsidRPr="00B74B0F">
        <w:rPr>
          <w:i/>
          <w:sz w:val="22"/>
          <w:szCs w:val="22"/>
          <w:lang w:val="sr-Latn-ME"/>
        </w:rPr>
        <w:t xml:space="preserve">Tuberkuloza </w:t>
      </w:r>
    </w:p>
    <w:p w14:paraId="1950528B" w14:textId="77777777" w:rsidR="00023246" w:rsidRPr="00B74B0F" w:rsidRDefault="00023246">
      <w:pPr>
        <w:pStyle w:val="Default"/>
        <w:keepNext/>
        <w:contextualSpacing/>
        <w:jc w:val="both"/>
        <w:rPr>
          <w:i/>
          <w:sz w:val="22"/>
          <w:szCs w:val="22"/>
          <w:lang w:val="sr-Latn-ME"/>
        </w:rPr>
      </w:pPr>
    </w:p>
    <w:p w14:paraId="397B58CB" w14:textId="3B0AC77B" w:rsidR="000F1526" w:rsidRPr="00B74B0F" w:rsidRDefault="00906CF8">
      <w:pPr>
        <w:spacing w:line="240" w:lineRule="auto"/>
        <w:contextualSpacing/>
        <w:jc w:val="both"/>
        <w:rPr>
          <w:szCs w:val="22"/>
          <w:lang w:val="sr-Latn-ME"/>
        </w:rPr>
      </w:pPr>
      <w:r w:rsidRPr="00B74B0F">
        <w:rPr>
          <w:szCs w:val="22"/>
          <w:lang w:val="sr-Latn-ME"/>
        </w:rPr>
        <w:t>Prije početka liječenja</w:t>
      </w:r>
      <w:r w:rsidR="006B2AFA" w:rsidRPr="00B74B0F">
        <w:rPr>
          <w:szCs w:val="22"/>
          <w:lang w:val="sr-Latn-ME"/>
        </w:rPr>
        <w:t xml:space="preserve"> </w:t>
      </w:r>
      <w:r w:rsidRPr="00B74B0F">
        <w:rPr>
          <w:szCs w:val="22"/>
          <w:lang w:val="sr-Latn-ME"/>
        </w:rPr>
        <w:t>upadacitinib</w:t>
      </w:r>
      <w:r w:rsidR="00244A93" w:rsidRPr="00B74B0F">
        <w:rPr>
          <w:szCs w:val="22"/>
          <w:lang w:val="sr-Latn-ME"/>
        </w:rPr>
        <w:t>om</w:t>
      </w:r>
      <w:r w:rsidRPr="00B74B0F">
        <w:rPr>
          <w:szCs w:val="22"/>
          <w:lang w:val="sr-Latn-ME"/>
        </w:rPr>
        <w:t xml:space="preserve"> </w:t>
      </w:r>
      <w:r w:rsidR="006B2AFA"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treba </w:t>
      </w:r>
      <w:r w:rsidR="00B200EA" w:rsidRPr="00B74B0F">
        <w:rPr>
          <w:szCs w:val="22"/>
          <w:lang w:val="sr-Latn-ME"/>
        </w:rPr>
        <w:t>uraditi test</w:t>
      </w:r>
      <w:r w:rsidRPr="00B74B0F">
        <w:rPr>
          <w:szCs w:val="22"/>
          <w:lang w:val="sr-Latn-ME"/>
        </w:rPr>
        <w:t xml:space="preserve"> na tuberkulozu (TBC). </w:t>
      </w:r>
      <w:r w:rsidR="00183AB0" w:rsidRPr="00B74B0F">
        <w:rPr>
          <w:szCs w:val="22"/>
          <w:lang w:val="sr-Latn-ME"/>
        </w:rPr>
        <w:t>U</w:t>
      </w:r>
      <w:r w:rsidRPr="00B74B0F">
        <w:rPr>
          <w:szCs w:val="22"/>
          <w:lang w:val="sr-Latn-ME"/>
        </w:rPr>
        <w:t xml:space="preserve">padacitinib se ne smije davati </w:t>
      </w:r>
      <w:r w:rsidR="00BB59FC" w:rsidRPr="00B74B0F">
        <w:rPr>
          <w:szCs w:val="22"/>
          <w:lang w:val="sr-Latn-ME"/>
        </w:rPr>
        <w:t>pacijentim</w:t>
      </w:r>
      <w:r w:rsidRPr="00B74B0F">
        <w:rPr>
          <w:szCs w:val="22"/>
          <w:lang w:val="sr-Latn-ME"/>
        </w:rPr>
        <w:t>a s</w:t>
      </w:r>
      <w:r w:rsidR="00BB59FC" w:rsidRPr="00B74B0F">
        <w:rPr>
          <w:szCs w:val="22"/>
          <w:lang w:val="sr-Latn-ME"/>
        </w:rPr>
        <w:t>a</w:t>
      </w:r>
      <w:r w:rsidRPr="00B74B0F">
        <w:rPr>
          <w:szCs w:val="22"/>
          <w:lang w:val="sr-Latn-ME"/>
        </w:rPr>
        <w:t xml:space="preserve"> aktiv</w:t>
      </w:r>
      <w:r w:rsidR="00B200EA" w:rsidRPr="00B74B0F">
        <w:rPr>
          <w:szCs w:val="22"/>
          <w:lang w:val="sr-Latn-ME"/>
        </w:rPr>
        <w:t>nom tuberkulozom</w:t>
      </w:r>
      <w:r w:rsidR="00C1755B" w:rsidRPr="00B74B0F">
        <w:rPr>
          <w:szCs w:val="22"/>
          <w:lang w:val="sr-Latn-ME"/>
        </w:rPr>
        <w:t xml:space="preserve"> (vidjeti dio 4.3)</w:t>
      </w:r>
      <w:r w:rsidRPr="00B74B0F">
        <w:rPr>
          <w:szCs w:val="22"/>
          <w:lang w:val="sr-Latn-ME"/>
        </w:rPr>
        <w:t xml:space="preserve">. </w:t>
      </w:r>
      <w:r w:rsidR="006B2AFA"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s</w:t>
      </w:r>
      <w:r w:rsidR="00BB59FC" w:rsidRPr="00B74B0F">
        <w:rPr>
          <w:szCs w:val="22"/>
          <w:lang w:val="sr-Latn-ME"/>
        </w:rPr>
        <w:t>a</w:t>
      </w:r>
      <w:r w:rsidRPr="00B74B0F">
        <w:rPr>
          <w:szCs w:val="22"/>
          <w:lang w:val="sr-Latn-ME"/>
        </w:rPr>
        <w:t xml:space="preserve"> prethodno neliječen</w:t>
      </w:r>
      <w:r w:rsidR="00B200EA" w:rsidRPr="00B74B0F">
        <w:rPr>
          <w:szCs w:val="22"/>
          <w:lang w:val="sr-Latn-ME"/>
        </w:rPr>
        <w:t>o</w:t>
      </w:r>
      <w:r w:rsidRPr="00B74B0F">
        <w:rPr>
          <w:szCs w:val="22"/>
          <w:lang w:val="sr-Latn-ME"/>
        </w:rPr>
        <w:t>m latentn</w:t>
      </w:r>
      <w:r w:rsidR="00B200EA" w:rsidRPr="00B74B0F">
        <w:rPr>
          <w:szCs w:val="22"/>
          <w:lang w:val="sr-Latn-ME"/>
        </w:rPr>
        <w:t>om</w:t>
      </w:r>
      <w:r w:rsidRPr="00B74B0F">
        <w:rPr>
          <w:szCs w:val="22"/>
          <w:lang w:val="sr-Latn-ME"/>
        </w:rPr>
        <w:t xml:space="preserve"> </w:t>
      </w:r>
      <w:r w:rsidR="00B200EA" w:rsidRPr="00B74B0F">
        <w:rPr>
          <w:szCs w:val="22"/>
          <w:lang w:val="sr-Latn-ME"/>
        </w:rPr>
        <w:t>tuberkulozom</w:t>
      </w:r>
      <w:r w:rsidR="00C1755B" w:rsidRPr="00B74B0F">
        <w:rPr>
          <w:szCs w:val="22"/>
          <w:lang w:val="sr-Latn-ME"/>
        </w:rPr>
        <w:t xml:space="preserve"> ili faktorima rizika za infekciju</w:t>
      </w:r>
      <w:r w:rsidR="00B200EA" w:rsidRPr="00B74B0F">
        <w:rPr>
          <w:szCs w:val="22"/>
          <w:lang w:val="sr-Latn-ME"/>
        </w:rPr>
        <w:t xml:space="preserve"> </w:t>
      </w:r>
      <w:r w:rsidR="00C1755B" w:rsidRPr="00B74B0F">
        <w:rPr>
          <w:szCs w:val="22"/>
          <w:lang w:val="sr-Latn-ME"/>
        </w:rPr>
        <w:t>TBC</w:t>
      </w:r>
      <w:r w:rsidR="00A44552" w:rsidRPr="00B74B0F">
        <w:rPr>
          <w:szCs w:val="22"/>
          <w:lang w:val="sr-Latn-ME"/>
        </w:rPr>
        <w:t>,</w:t>
      </w:r>
      <w:r w:rsidRPr="00B74B0F">
        <w:rPr>
          <w:szCs w:val="22"/>
          <w:lang w:val="sr-Latn-ME"/>
        </w:rPr>
        <w:t xml:space="preserve"> </w:t>
      </w:r>
      <w:r w:rsidR="00A44552" w:rsidRPr="00B74B0F">
        <w:rPr>
          <w:szCs w:val="22"/>
          <w:lang w:val="sr-Latn-ME"/>
        </w:rPr>
        <w:t>treba</w:t>
      </w:r>
      <w:r w:rsidRPr="00B74B0F">
        <w:rPr>
          <w:szCs w:val="22"/>
          <w:lang w:val="sr-Latn-ME"/>
        </w:rPr>
        <w:t xml:space="preserve"> razmotriti</w:t>
      </w:r>
      <w:r w:rsidR="00A44552" w:rsidRPr="00B74B0F">
        <w:rPr>
          <w:szCs w:val="22"/>
          <w:lang w:val="sr-Latn-ME"/>
        </w:rPr>
        <w:t xml:space="preserve"> primjenu</w:t>
      </w:r>
      <w:r w:rsidRPr="00B74B0F">
        <w:rPr>
          <w:szCs w:val="22"/>
          <w:lang w:val="sr-Latn-ME"/>
        </w:rPr>
        <w:t xml:space="preserve"> antituberkulozn</w:t>
      </w:r>
      <w:r w:rsidR="00A44552" w:rsidRPr="00B74B0F">
        <w:rPr>
          <w:szCs w:val="22"/>
          <w:lang w:val="sr-Latn-ME"/>
        </w:rPr>
        <w:t>e</w:t>
      </w:r>
      <w:r w:rsidRPr="00B74B0F">
        <w:rPr>
          <w:szCs w:val="22"/>
          <w:lang w:val="sr-Latn-ME"/>
        </w:rPr>
        <w:t xml:space="preserve"> terapij</w:t>
      </w:r>
      <w:r w:rsidR="00A44552" w:rsidRPr="00B74B0F">
        <w:rPr>
          <w:szCs w:val="22"/>
          <w:lang w:val="sr-Latn-ME"/>
        </w:rPr>
        <w:t>e</w:t>
      </w:r>
      <w:r w:rsidRPr="00B74B0F">
        <w:rPr>
          <w:szCs w:val="22"/>
          <w:lang w:val="sr-Latn-ME"/>
        </w:rPr>
        <w:t xml:space="preserve"> prije početka liječenja</w:t>
      </w:r>
      <w:r w:rsidR="006B2AFA" w:rsidRPr="00B74B0F">
        <w:rPr>
          <w:szCs w:val="22"/>
          <w:lang w:val="sr-Latn-ME"/>
        </w:rPr>
        <w:t xml:space="preserve"> </w:t>
      </w:r>
      <w:r w:rsidRPr="00B74B0F">
        <w:rPr>
          <w:szCs w:val="22"/>
          <w:lang w:val="sr-Latn-ME"/>
        </w:rPr>
        <w:t>upadacitinib</w:t>
      </w:r>
      <w:r w:rsidR="00244A93" w:rsidRPr="00B74B0F">
        <w:rPr>
          <w:szCs w:val="22"/>
          <w:lang w:val="sr-Latn-ME"/>
        </w:rPr>
        <w:t>om</w:t>
      </w:r>
      <w:r w:rsidRPr="00B74B0F">
        <w:rPr>
          <w:szCs w:val="22"/>
          <w:lang w:val="sr-Latn-ME"/>
        </w:rPr>
        <w:t>.</w:t>
      </w:r>
    </w:p>
    <w:p w14:paraId="4C0A235C" w14:textId="77777777" w:rsidR="00023246" w:rsidRPr="00B74B0F" w:rsidRDefault="00023246">
      <w:pPr>
        <w:spacing w:line="240" w:lineRule="auto"/>
        <w:contextualSpacing/>
        <w:jc w:val="both"/>
        <w:rPr>
          <w:szCs w:val="22"/>
          <w:lang w:val="sr-Latn-ME"/>
        </w:rPr>
      </w:pPr>
    </w:p>
    <w:p w14:paraId="3BFB626E" w14:textId="6ADD36CC" w:rsidR="000F1526" w:rsidRPr="00B74B0F" w:rsidRDefault="00906CF8">
      <w:pPr>
        <w:spacing w:line="240" w:lineRule="auto"/>
        <w:contextualSpacing/>
        <w:jc w:val="both"/>
        <w:rPr>
          <w:szCs w:val="22"/>
          <w:lang w:val="sr-Latn-ME"/>
        </w:rPr>
      </w:pPr>
      <w:r w:rsidRPr="00B74B0F">
        <w:rPr>
          <w:szCs w:val="22"/>
          <w:lang w:val="sr-Latn-ME"/>
        </w:rPr>
        <w:t xml:space="preserve">Za pomoć pri donošenju odluke </w:t>
      </w:r>
      <w:r w:rsidR="006B2AFA" w:rsidRPr="00B74B0F">
        <w:rPr>
          <w:szCs w:val="22"/>
          <w:lang w:val="sr-Latn-ME"/>
        </w:rPr>
        <w:t>da</w:t>
      </w:r>
      <w:r w:rsidRPr="00B74B0F">
        <w:rPr>
          <w:szCs w:val="22"/>
          <w:lang w:val="sr-Latn-ME"/>
        </w:rPr>
        <w:t xml:space="preserve"> li</w:t>
      </w:r>
      <w:r w:rsidR="006B2AFA" w:rsidRPr="00B74B0F">
        <w:rPr>
          <w:szCs w:val="22"/>
          <w:lang w:val="sr-Latn-ME"/>
        </w:rPr>
        <w:t xml:space="preserve"> je</w:t>
      </w:r>
      <w:r w:rsidRPr="00B74B0F">
        <w:rPr>
          <w:szCs w:val="22"/>
          <w:lang w:val="sr-Latn-ME"/>
        </w:rPr>
        <w:t xml:space="preserve"> antituberkulozna terapija </w:t>
      </w:r>
      <w:r w:rsidR="00A44552" w:rsidRPr="00B74B0F">
        <w:rPr>
          <w:szCs w:val="22"/>
          <w:lang w:val="sr-Latn-ME"/>
        </w:rPr>
        <w:t>odgovarajuća</w:t>
      </w:r>
      <w:r w:rsidRPr="00B74B0F">
        <w:rPr>
          <w:szCs w:val="22"/>
          <w:lang w:val="sr-Latn-ME"/>
        </w:rPr>
        <w:t xml:space="preserve"> za određenog </w:t>
      </w:r>
      <w:r w:rsidR="00BB59FC" w:rsidRPr="00B74B0F">
        <w:rPr>
          <w:szCs w:val="22"/>
          <w:lang w:val="sr-Latn-ME"/>
        </w:rPr>
        <w:t>pacijenata</w:t>
      </w:r>
      <w:r w:rsidR="00A44552" w:rsidRPr="00B74B0F">
        <w:rPr>
          <w:szCs w:val="22"/>
          <w:lang w:val="sr-Latn-ME"/>
        </w:rPr>
        <w:t>,</w:t>
      </w:r>
      <w:r w:rsidRPr="00B74B0F">
        <w:rPr>
          <w:szCs w:val="22"/>
          <w:lang w:val="sr-Latn-ME"/>
        </w:rPr>
        <w:t xml:space="preserve"> preporučuje se </w:t>
      </w:r>
      <w:r w:rsidR="000F5A61" w:rsidRPr="00B74B0F">
        <w:rPr>
          <w:szCs w:val="22"/>
          <w:lang w:val="sr-Latn-ME"/>
        </w:rPr>
        <w:t>kon</w:t>
      </w:r>
      <w:r w:rsidR="006B2AFA" w:rsidRPr="00B74B0F">
        <w:rPr>
          <w:szCs w:val="22"/>
          <w:lang w:val="sr-Latn-ME"/>
        </w:rPr>
        <w:t>sultovati</w:t>
      </w:r>
      <w:r w:rsidRPr="00B74B0F">
        <w:rPr>
          <w:szCs w:val="22"/>
          <w:lang w:val="sr-Latn-ME"/>
        </w:rPr>
        <w:t xml:space="preserve"> l</w:t>
      </w:r>
      <w:r w:rsidR="006B2AFA" w:rsidRPr="00B74B0F">
        <w:rPr>
          <w:szCs w:val="22"/>
          <w:lang w:val="sr-Latn-ME"/>
        </w:rPr>
        <w:t>jekara</w:t>
      </w:r>
      <w:r w:rsidRPr="00B74B0F">
        <w:rPr>
          <w:szCs w:val="22"/>
          <w:lang w:val="sr-Latn-ME"/>
        </w:rPr>
        <w:t xml:space="preserve"> </w:t>
      </w:r>
      <w:r w:rsidR="000F5A61" w:rsidRPr="00B74B0F">
        <w:rPr>
          <w:szCs w:val="22"/>
          <w:lang w:val="sr-Latn-ME"/>
        </w:rPr>
        <w:t xml:space="preserve">koji je stručnjak </w:t>
      </w:r>
      <w:r w:rsidRPr="00B74B0F">
        <w:rPr>
          <w:szCs w:val="22"/>
          <w:lang w:val="sr-Latn-ME"/>
        </w:rPr>
        <w:t>za liječenje TBC</w:t>
      </w:r>
      <w:r w:rsidRPr="00B74B0F">
        <w:rPr>
          <w:szCs w:val="22"/>
          <w:lang w:val="sr-Latn-ME"/>
        </w:rPr>
        <w:noBreakHyphen/>
        <w:t>a.</w:t>
      </w:r>
    </w:p>
    <w:p w14:paraId="35FBDFEB" w14:textId="77777777" w:rsidR="00023246" w:rsidRPr="00B74B0F" w:rsidRDefault="00023246">
      <w:pPr>
        <w:spacing w:line="240" w:lineRule="auto"/>
        <w:contextualSpacing/>
        <w:jc w:val="both"/>
        <w:rPr>
          <w:szCs w:val="22"/>
          <w:lang w:val="sr-Latn-ME"/>
        </w:rPr>
      </w:pPr>
    </w:p>
    <w:p w14:paraId="1AC9F890" w14:textId="4975FB24" w:rsidR="006E3AFA" w:rsidRPr="00B74B0F" w:rsidRDefault="00BB59FC">
      <w:pPr>
        <w:pStyle w:val="Default"/>
        <w:contextualSpacing/>
        <w:jc w:val="both"/>
        <w:rPr>
          <w:sz w:val="22"/>
          <w:szCs w:val="22"/>
          <w:lang w:val="sr-Latn-ME"/>
        </w:rPr>
      </w:pPr>
      <w:r w:rsidRPr="00B74B0F">
        <w:rPr>
          <w:sz w:val="22"/>
          <w:szCs w:val="22"/>
          <w:lang w:val="sr-Latn-ME"/>
        </w:rPr>
        <w:lastRenderedPageBreak/>
        <w:t>Pacijent</w:t>
      </w:r>
      <w:r w:rsidR="00906CF8" w:rsidRPr="00B74B0F">
        <w:rPr>
          <w:sz w:val="22"/>
          <w:szCs w:val="22"/>
          <w:lang w:val="sr-Latn-ME"/>
        </w:rPr>
        <w:t xml:space="preserve">e treba </w:t>
      </w:r>
      <w:r w:rsidR="006B2AFA" w:rsidRPr="00B74B0F">
        <w:rPr>
          <w:sz w:val="22"/>
          <w:szCs w:val="22"/>
          <w:lang w:val="sr-Latn-ME"/>
        </w:rPr>
        <w:t>pratiti</w:t>
      </w:r>
      <w:r w:rsidR="00906CF8" w:rsidRPr="00B74B0F">
        <w:rPr>
          <w:sz w:val="22"/>
          <w:szCs w:val="22"/>
          <w:lang w:val="sr-Latn-ME"/>
        </w:rPr>
        <w:t xml:space="preserve"> zbog mogućeg razvoja znakova i simptoma TBC</w:t>
      </w:r>
      <w:r w:rsidR="00906CF8" w:rsidRPr="00B74B0F">
        <w:rPr>
          <w:sz w:val="22"/>
          <w:szCs w:val="22"/>
          <w:lang w:val="sr-Latn-ME"/>
        </w:rPr>
        <w:noBreakHyphen/>
        <w:t xml:space="preserve">a, uključujući i </w:t>
      </w:r>
      <w:r w:rsidR="000C502B" w:rsidRPr="00B74B0F">
        <w:rPr>
          <w:sz w:val="22"/>
          <w:szCs w:val="22"/>
          <w:lang w:val="sr-Latn-ME"/>
        </w:rPr>
        <w:t>pacijent</w:t>
      </w:r>
      <w:r w:rsidR="00906CF8" w:rsidRPr="00B74B0F">
        <w:rPr>
          <w:sz w:val="22"/>
          <w:szCs w:val="22"/>
          <w:lang w:val="sr-Latn-ME"/>
        </w:rPr>
        <w:t>e koji su prije početka liječenja imali n</w:t>
      </w:r>
      <w:r w:rsidR="000F5A61" w:rsidRPr="00B74B0F">
        <w:rPr>
          <w:sz w:val="22"/>
          <w:szCs w:val="22"/>
          <w:lang w:val="sr-Latn-ME"/>
        </w:rPr>
        <w:t>egativan nalaz testa na latentni</w:t>
      </w:r>
      <w:r w:rsidR="00906CF8" w:rsidRPr="00B74B0F">
        <w:rPr>
          <w:sz w:val="22"/>
          <w:szCs w:val="22"/>
          <w:lang w:val="sr-Latn-ME"/>
        </w:rPr>
        <w:t xml:space="preserve"> TBC.</w:t>
      </w:r>
    </w:p>
    <w:p w14:paraId="51517D02" w14:textId="77777777" w:rsidR="00742B27" w:rsidRPr="00B74B0F" w:rsidRDefault="00742B27">
      <w:pPr>
        <w:pStyle w:val="Default"/>
        <w:contextualSpacing/>
        <w:jc w:val="both"/>
        <w:rPr>
          <w:sz w:val="22"/>
          <w:szCs w:val="22"/>
          <w:lang w:val="sr-Latn-ME"/>
        </w:rPr>
      </w:pPr>
    </w:p>
    <w:p w14:paraId="3E35A79E" w14:textId="77777777" w:rsidR="000F1526" w:rsidRPr="00B74B0F" w:rsidRDefault="000F5A61">
      <w:pPr>
        <w:keepNext/>
        <w:shd w:val="clear" w:color="auto" w:fill="FFFFFF"/>
        <w:spacing w:line="240" w:lineRule="auto"/>
        <w:contextualSpacing/>
        <w:jc w:val="both"/>
        <w:rPr>
          <w:szCs w:val="22"/>
          <w:u w:val="single"/>
          <w:lang w:val="sr-Latn-ME"/>
        </w:rPr>
      </w:pPr>
      <w:r w:rsidRPr="00B74B0F">
        <w:rPr>
          <w:szCs w:val="22"/>
          <w:u w:val="single"/>
          <w:lang w:val="sr-Latn-ME"/>
        </w:rPr>
        <w:t>Re</w:t>
      </w:r>
      <w:r w:rsidR="00906CF8" w:rsidRPr="00B74B0F">
        <w:rPr>
          <w:szCs w:val="22"/>
          <w:u w:val="single"/>
          <w:lang w:val="sr-Latn-ME"/>
        </w:rPr>
        <w:t xml:space="preserve">aktivacija virusa </w:t>
      </w:r>
    </w:p>
    <w:p w14:paraId="2B6C35D6" w14:textId="77777777" w:rsidR="000F1526" w:rsidRPr="00B74B0F" w:rsidRDefault="000F1526">
      <w:pPr>
        <w:keepNext/>
        <w:shd w:val="clear" w:color="auto" w:fill="FFFFFF"/>
        <w:spacing w:line="240" w:lineRule="auto"/>
        <w:contextualSpacing/>
        <w:jc w:val="both"/>
        <w:rPr>
          <w:szCs w:val="22"/>
          <w:lang w:val="sr-Latn-ME"/>
        </w:rPr>
      </w:pPr>
    </w:p>
    <w:p w14:paraId="715A199F" w14:textId="15FBDD9A" w:rsidR="0050465F" w:rsidRPr="00B74B0F" w:rsidRDefault="0050465F">
      <w:pPr>
        <w:shd w:val="clear" w:color="auto" w:fill="FFFFFF"/>
        <w:spacing w:line="240" w:lineRule="auto"/>
        <w:contextualSpacing/>
        <w:jc w:val="both"/>
        <w:rPr>
          <w:szCs w:val="22"/>
          <w:lang w:val="sr-Latn-ME"/>
        </w:rPr>
      </w:pPr>
      <w:r w:rsidRPr="00B74B0F">
        <w:rPr>
          <w:szCs w:val="22"/>
          <w:lang w:val="sr-Latn-ME"/>
        </w:rPr>
        <w:t>U kliničkim ispitivanjima</w:t>
      </w:r>
      <w:r w:rsidR="00A44552" w:rsidRPr="00B74B0F">
        <w:rPr>
          <w:szCs w:val="22"/>
          <w:lang w:val="sr-Latn-ME"/>
        </w:rPr>
        <w:t xml:space="preserve"> je</w:t>
      </w:r>
      <w:r w:rsidRPr="00B74B0F">
        <w:rPr>
          <w:szCs w:val="22"/>
          <w:lang w:val="sr-Latn-ME"/>
        </w:rPr>
        <w:t xml:space="preserve"> prijavljena </w:t>
      </w:r>
      <w:r w:rsidR="000F5A61" w:rsidRPr="00B74B0F">
        <w:rPr>
          <w:szCs w:val="22"/>
          <w:lang w:val="sr-Latn-ME"/>
        </w:rPr>
        <w:t>rea</w:t>
      </w:r>
      <w:r w:rsidRPr="00B74B0F">
        <w:rPr>
          <w:szCs w:val="22"/>
          <w:lang w:val="sr-Latn-ME"/>
        </w:rPr>
        <w:t>ktivacija</w:t>
      </w:r>
      <w:r w:rsidR="000F5A61" w:rsidRPr="00B74B0F">
        <w:rPr>
          <w:szCs w:val="22"/>
          <w:lang w:val="sr-Latn-ME"/>
        </w:rPr>
        <w:t xml:space="preserve"> virusa, uključujući slučajeve re</w:t>
      </w:r>
      <w:r w:rsidRPr="00B74B0F">
        <w:rPr>
          <w:szCs w:val="22"/>
          <w:lang w:val="sr-Latn-ME"/>
        </w:rPr>
        <w:t xml:space="preserve">aktivacije virusa herpesa (npr. herpes zoster) (vidjeti dio 4.8). </w:t>
      </w:r>
      <w:r w:rsidR="00DC2E9E" w:rsidRPr="00B74B0F">
        <w:rPr>
          <w:szCs w:val="22"/>
          <w:lang w:val="sr-Latn-ME"/>
        </w:rPr>
        <w:t xml:space="preserve">Čini se da je rizik od pojave herpes zoster virusa veći kod pacijenata u Japanu koji su tretirani upadacitinibom. </w:t>
      </w:r>
      <w:r w:rsidRPr="00B74B0F">
        <w:rPr>
          <w:szCs w:val="22"/>
          <w:lang w:val="sr-Latn-ME"/>
        </w:rPr>
        <w:t xml:space="preserve">Ako se </w:t>
      </w:r>
      <w:r w:rsidR="00504B0E"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razvije he</w:t>
      </w:r>
      <w:r w:rsidR="004466C8" w:rsidRPr="00B74B0F">
        <w:rPr>
          <w:szCs w:val="22"/>
          <w:lang w:val="sr-Latn-ME"/>
        </w:rPr>
        <w:t xml:space="preserve">rpes zoster, </w:t>
      </w:r>
      <w:r w:rsidR="00A44552" w:rsidRPr="00B74B0F">
        <w:rPr>
          <w:szCs w:val="22"/>
          <w:lang w:val="sr-Latn-ME"/>
        </w:rPr>
        <w:t>treba</w:t>
      </w:r>
      <w:r w:rsidR="004466C8" w:rsidRPr="00B74B0F">
        <w:rPr>
          <w:szCs w:val="22"/>
          <w:lang w:val="sr-Latn-ME"/>
        </w:rPr>
        <w:t xml:space="preserve"> razmot</w:t>
      </w:r>
      <w:r w:rsidRPr="00B74B0F">
        <w:rPr>
          <w:szCs w:val="22"/>
          <w:lang w:val="sr-Latn-ME"/>
        </w:rPr>
        <w:t xml:space="preserve">riti </w:t>
      </w:r>
      <w:r w:rsidR="00F01216" w:rsidRPr="00B74B0F">
        <w:rPr>
          <w:szCs w:val="22"/>
          <w:lang w:val="sr-Latn-ME"/>
        </w:rPr>
        <w:t xml:space="preserve">privremeni </w:t>
      </w:r>
      <w:r w:rsidRPr="00B74B0F">
        <w:rPr>
          <w:szCs w:val="22"/>
          <w:lang w:val="sr-Latn-ME"/>
        </w:rPr>
        <w:t>prekid liječenja</w:t>
      </w:r>
      <w:r w:rsidR="00504B0E" w:rsidRPr="00B74B0F">
        <w:rPr>
          <w:szCs w:val="22"/>
          <w:lang w:val="sr-Latn-ME"/>
        </w:rPr>
        <w:t xml:space="preserve"> </w:t>
      </w:r>
      <w:r w:rsidRPr="00B74B0F">
        <w:rPr>
          <w:szCs w:val="22"/>
          <w:lang w:val="sr-Latn-ME"/>
        </w:rPr>
        <w:t>upadacitinib</w:t>
      </w:r>
      <w:r w:rsidR="00244A93" w:rsidRPr="00B74B0F">
        <w:rPr>
          <w:szCs w:val="22"/>
          <w:lang w:val="sr-Latn-ME"/>
        </w:rPr>
        <w:t>om</w:t>
      </w:r>
      <w:r w:rsidRPr="00B74B0F">
        <w:rPr>
          <w:szCs w:val="22"/>
          <w:lang w:val="sr-Latn-ME"/>
        </w:rPr>
        <w:t xml:space="preserve"> dok se epizoda ne povuče.</w:t>
      </w:r>
    </w:p>
    <w:p w14:paraId="2895E286" w14:textId="77777777" w:rsidR="000F1526" w:rsidRPr="00B74B0F" w:rsidRDefault="000F1526">
      <w:pPr>
        <w:autoSpaceDE w:val="0"/>
        <w:autoSpaceDN w:val="0"/>
        <w:adjustRightInd w:val="0"/>
        <w:spacing w:line="240" w:lineRule="auto"/>
        <w:contextualSpacing/>
        <w:jc w:val="both"/>
        <w:rPr>
          <w:szCs w:val="22"/>
          <w:lang w:val="sr-Latn-ME"/>
        </w:rPr>
      </w:pPr>
    </w:p>
    <w:p w14:paraId="191FE89A" w14:textId="2D7C757E" w:rsidR="000F1526" w:rsidRPr="00B74B0F" w:rsidRDefault="00906CF8">
      <w:pPr>
        <w:autoSpaceDE w:val="0"/>
        <w:autoSpaceDN w:val="0"/>
        <w:adjustRightInd w:val="0"/>
        <w:spacing w:line="240" w:lineRule="auto"/>
        <w:contextualSpacing/>
        <w:jc w:val="both"/>
        <w:rPr>
          <w:rFonts w:eastAsia="SimSun"/>
          <w:szCs w:val="22"/>
          <w:lang w:val="sr-Latn-ME"/>
        </w:rPr>
      </w:pPr>
      <w:r w:rsidRPr="00B74B0F">
        <w:rPr>
          <w:szCs w:val="22"/>
          <w:lang w:val="sr-Latn-ME"/>
        </w:rPr>
        <w:t xml:space="preserve">Prije i </w:t>
      </w:r>
      <w:r w:rsidR="00E94703" w:rsidRPr="00B74B0F">
        <w:rPr>
          <w:szCs w:val="22"/>
          <w:lang w:val="sr-Latn-ME"/>
        </w:rPr>
        <w:t>tokom</w:t>
      </w:r>
      <w:r w:rsidRPr="00B74B0F">
        <w:rPr>
          <w:szCs w:val="22"/>
          <w:lang w:val="sr-Latn-ME"/>
        </w:rPr>
        <w:t xml:space="preserve"> liječenja</w:t>
      </w:r>
      <w:r w:rsidR="009A3D0B" w:rsidRPr="00B74B0F">
        <w:rPr>
          <w:szCs w:val="22"/>
          <w:lang w:val="sr-Latn-ME"/>
        </w:rPr>
        <w:t xml:space="preserve"> </w:t>
      </w:r>
      <w:r w:rsidRPr="00B74B0F">
        <w:rPr>
          <w:szCs w:val="22"/>
          <w:lang w:val="sr-Latn-ME"/>
        </w:rPr>
        <w:t>upadacitinib</w:t>
      </w:r>
      <w:r w:rsidR="00244A93" w:rsidRPr="00B74B0F">
        <w:rPr>
          <w:szCs w:val="22"/>
          <w:lang w:val="sr-Latn-ME"/>
        </w:rPr>
        <w:t>om</w:t>
      </w:r>
      <w:r w:rsidRPr="00B74B0F">
        <w:rPr>
          <w:szCs w:val="22"/>
          <w:lang w:val="sr-Latn-ME"/>
        </w:rPr>
        <w:t xml:space="preserve"> </w:t>
      </w:r>
      <w:r w:rsidR="00A44552" w:rsidRPr="00B74B0F">
        <w:rPr>
          <w:szCs w:val="22"/>
          <w:lang w:val="sr-Latn-ME"/>
        </w:rPr>
        <w:t xml:space="preserve">treba </w:t>
      </w:r>
      <w:r w:rsidR="00C66FA7" w:rsidRPr="00B74B0F">
        <w:rPr>
          <w:szCs w:val="22"/>
          <w:lang w:val="sr-Latn-ME"/>
        </w:rPr>
        <w:t>s</w:t>
      </w:r>
      <w:r w:rsidR="0031243B" w:rsidRPr="00B74B0F">
        <w:rPr>
          <w:szCs w:val="22"/>
          <w:lang w:val="sr-Latn-ME"/>
        </w:rPr>
        <w:t>provesti skrining</w:t>
      </w:r>
      <w:r w:rsidRPr="00B74B0F">
        <w:rPr>
          <w:szCs w:val="22"/>
          <w:lang w:val="sr-Latn-ME"/>
        </w:rPr>
        <w:t xml:space="preserve"> na virusni hepatitis i </w:t>
      </w:r>
      <w:r w:rsidR="009A3D0B" w:rsidRPr="00B74B0F">
        <w:rPr>
          <w:szCs w:val="22"/>
          <w:lang w:val="sr-Latn-ME"/>
        </w:rPr>
        <w:t>pratiti</w:t>
      </w:r>
      <w:r w:rsidRPr="00B74B0F">
        <w:rPr>
          <w:szCs w:val="22"/>
          <w:lang w:val="sr-Latn-ME"/>
        </w:rPr>
        <w:t xml:space="preserve"> </w:t>
      </w:r>
      <w:r w:rsidR="00F90E18" w:rsidRPr="00B74B0F">
        <w:rPr>
          <w:szCs w:val="22"/>
          <w:lang w:val="sr-Latn-ME"/>
        </w:rPr>
        <w:t>pacijente</w:t>
      </w:r>
      <w:r w:rsidRPr="00B74B0F">
        <w:rPr>
          <w:szCs w:val="22"/>
          <w:lang w:val="sr-Latn-ME"/>
        </w:rPr>
        <w:t xml:space="preserve"> zbog moguće </w:t>
      </w:r>
      <w:r w:rsidR="000F5A61" w:rsidRPr="00B74B0F">
        <w:rPr>
          <w:szCs w:val="22"/>
          <w:lang w:val="sr-Latn-ME"/>
        </w:rPr>
        <w:t>rea</w:t>
      </w:r>
      <w:r w:rsidRPr="00B74B0F">
        <w:rPr>
          <w:szCs w:val="22"/>
          <w:lang w:val="sr-Latn-ME"/>
        </w:rPr>
        <w:t xml:space="preserve">ktivacije virusa. </w:t>
      </w:r>
      <w:r w:rsidR="00B27953" w:rsidRPr="00B74B0F">
        <w:rPr>
          <w:szCs w:val="22"/>
          <w:lang w:val="sr-Latn-ME"/>
        </w:rPr>
        <w:t>Pacijenti</w:t>
      </w:r>
      <w:r w:rsidRPr="00B74B0F">
        <w:rPr>
          <w:szCs w:val="22"/>
          <w:lang w:val="sr-Latn-ME"/>
        </w:rPr>
        <w:t xml:space="preserve"> koji su bili pozitivni na </w:t>
      </w:r>
      <w:r w:rsidR="009A3D0B" w:rsidRPr="00B74B0F">
        <w:rPr>
          <w:szCs w:val="22"/>
          <w:lang w:val="sr-Latn-ME"/>
        </w:rPr>
        <w:t>antitijela</w:t>
      </w:r>
      <w:r w:rsidRPr="00B74B0F">
        <w:rPr>
          <w:szCs w:val="22"/>
          <w:lang w:val="sr-Latn-ME"/>
        </w:rPr>
        <w:t xml:space="preserve"> na virus hepatitisa C i na RNK virusa hepatitisa C</w:t>
      </w:r>
      <w:r w:rsidR="00323E5A" w:rsidRPr="00B74B0F">
        <w:rPr>
          <w:szCs w:val="22"/>
          <w:lang w:val="sr-Latn-ME"/>
        </w:rPr>
        <w:t>,</w:t>
      </w:r>
      <w:r w:rsidRPr="00B74B0F">
        <w:rPr>
          <w:szCs w:val="22"/>
          <w:lang w:val="sr-Latn-ME"/>
        </w:rPr>
        <w:t xml:space="preserve"> ni</w:t>
      </w:r>
      <w:r w:rsidR="00244A93" w:rsidRPr="00B74B0F">
        <w:rPr>
          <w:szCs w:val="22"/>
          <w:lang w:val="sr-Latn-ME"/>
        </w:rPr>
        <w:t>je</w:t>
      </w:r>
      <w:r w:rsidRPr="00B74B0F">
        <w:rPr>
          <w:szCs w:val="22"/>
          <w:lang w:val="sr-Latn-ME"/>
        </w:rPr>
        <w:t xml:space="preserve">su </w:t>
      </w:r>
      <w:r w:rsidR="000F5A61" w:rsidRPr="00B74B0F">
        <w:rPr>
          <w:szCs w:val="22"/>
          <w:lang w:val="sr-Latn-ME"/>
        </w:rPr>
        <w:t>bili uključeni u klinička ispitivanj</w:t>
      </w:r>
      <w:r w:rsidRPr="00B74B0F">
        <w:rPr>
          <w:szCs w:val="22"/>
          <w:lang w:val="sr-Latn-ME"/>
        </w:rPr>
        <w:t xml:space="preserve">a. </w:t>
      </w:r>
      <w:r w:rsidR="00B27953" w:rsidRPr="00B74B0F">
        <w:rPr>
          <w:szCs w:val="22"/>
          <w:lang w:val="sr-Latn-ME"/>
        </w:rPr>
        <w:t>Pacijenti</w:t>
      </w:r>
      <w:r w:rsidRPr="00B74B0F">
        <w:rPr>
          <w:szCs w:val="22"/>
          <w:lang w:val="sr-Latn-ME"/>
        </w:rPr>
        <w:t xml:space="preserve"> koji su bili pozitivni na površinski antigen virusa hepatitisa B ili na DNK virusa hepatitisa B</w:t>
      </w:r>
      <w:r w:rsidR="00323E5A" w:rsidRPr="00B74B0F">
        <w:rPr>
          <w:szCs w:val="22"/>
          <w:lang w:val="sr-Latn-ME"/>
        </w:rPr>
        <w:t>,</w:t>
      </w:r>
      <w:r w:rsidRPr="00B74B0F">
        <w:rPr>
          <w:szCs w:val="22"/>
          <w:lang w:val="sr-Latn-ME"/>
        </w:rPr>
        <w:t xml:space="preserve"> ni</w:t>
      </w:r>
      <w:r w:rsidR="00244A93" w:rsidRPr="00B74B0F">
        <w:rPr>
          <w:szCs w:val="22"/>
          <w:lang w:val="sr-Latn-ME"/>
        </w:rPr>
        <w:t>je</w:t>
      </w:r>
      <w:r w:rsidRPr="00B74B0F">
        <w:rPr>
          <w:szCs w:val="22"/>
          <w:lang w:val="sr-Latn-ME"/>
        </w:rPr>
        <w:t xml:space="preserve">su </w:t>
      </w:r>
      <w:r w:rsidR="000F5A61" w:rsidRPr="00B74B0F">
        <w:rPr>
          <w:szCs w:val="22"/>
          <w:lang w:val="sr-Latn-ME"/>
        </w:rPr>
        <w:t>bili uključeni u klinička ispitivanja</w:t>
      </w:r>
      <w:r w:rsidRPr="00B74B0F">
        <w:rPr>
          <w:szCs w:val="22"/>
          <w:lang w:val="sr-Latn-ME"/>
        </w:rPr>
        <w:t xml:space="preserve">. Ako se </w:t>
      </w:r>
      <w:r w:rsidR="009A3D0B" w:rsidRPr="00B74B0F">
        <w:rPr>
          <w:szCs w:val="22"/>
          <w:lang w:val="sr-Latn-ME"/>
        </w:rPr>
        <w:t>za vrijeme</w:t>
      </w:r>
      <w:r w:rsidRPr="00B74B0F">
        <w:rPr>
          <w:szCs w:val="22"/>
          <w:lang w:val="sr-Latn-ME"/>
        </w:rPr>
        <w:t xml:space="preserve"> liječenja upadacitinib</w:t>
      </w:r>
      <w:r w:rsidR="00244A93" w:rsidRPr="00B74B0F">
        <w:rPr>
          <w:szCs w:val="22"/>
          <w:lang w:val="sr-Latn-ME"/>
        </w:rPr>
        <w:t>om</w:t>
      </w:r>
      <w:r w:rsidRPr="00B74B0F">
        <w:rPr>
          <w:szCs w:val="22"/>
          <w:lang w:val="sr-Latn-ME"/>
        </w:rPr>
        <w:t xml:space="preserve"> utvrdi prisu</w:t>
      </w:r>
      <w:r w:rsidR="009A3D0B" w:rsidRPr="00B74B0F">
        <w:rPr>
          <w:szCs w:val="22"/>
          <w:lang w:val="sr-Latn-ME"/>
        </w:rPr>
        <w:t>stvo</w:t>
      </w:r>
      <w:r w:rsidRPr="00B74B0F">
        <w:rPr>
          <w:szCs w:val="22"/>
          <w:lang w:val="sr-Latn-ME"/>
        </w:rPr>
        <w:t xml:space="preserve"> DNK virusa hepatitisa B, treba se </w:t>
      </w:r>
      <w:r w:rsidR="009A3D0B" w:rsidRPr="00B74B0F">
        <w:rPr>
          <w:szCs w:val="22"/>
          <w:lang w:val="sr-Latn-ME"/>
        </w:rPr>
        <w:t>posa</w:t>
      </w:r>
      <w:r w:rsidRPr="00B74B0F">
        <w:rPr>
          <w:szCs w:val="22"/>
          <w:lang w:val="sr-Latn-ME"/>
        </w:rPr>
        <w:t>vjetovati sa specijalistom za</w:t>
      </w:r>
      <w:r w:rsidR="009A3D0B" w:rsidRPr="00B74B0F">
        <w:rPr>
          <w:szCs w:val="22"/>
          <w:lang w:val="sr-Latn-ME"/>
        </w:rPr>
        <w:t xml:space="preserve"> bole</w:t>
      </w:r>
      <w:r w:rsidR="00323E5A" w:rsidRPr="00B74B0F">
        <w:rPr>
          <w:szCs w:val="22"/>
          <w:lang w:val="sr-Latn-ME"/>
        </w:rPr>
        <w:t>s</w:t>
      </w:r>
      <w:r w:rsidR="009A3D0B" w:rsidRPr="00B74B0F">
        <w:rPr>
          <w:szCs w:val="22"/>
          <w:lang w:val="sr-Latn-ME"/>
        </w:rPr>
        <w:t>ti</w:t>
      </w:r>
      <w:r w:rsidRPr="00B74B0F">
        <w:rPr>
          <w:szCs w:val="22"/>
          <w:lang w:val="sr-Latn-ME"/>
        </w:rPr>
        <w:t xml:space="preserve"> jetre.</w:t>
      </w:r>
    </w:p>
    <w:p w14:paraId="782B1F14" w14:textId="77777777" w:rsidR="000F1526" w:rsidRPr="00B74B0F" w:rsidRDefault="000F1526">
      <w:pPr>
        <w:pStyle w:val="Default"/>
        <w:contextualSpacing/>
        <w:jc w:val="both"/>
        <w:rPr>
          <w:sz w:val="22"/>
          <w:szCs w:val="22"/>
          <w:u w:val="single"/>
          <w:lang w:val="sr-Latn-ME"/>
        </w:rPr>
      </w:pPr>
    </w:p>
    <w:p w14:paraId="295438E1" w14:textId="6A2E844D" w:rsidR="000F1526" w:rsidRPr="00B74B0F" w:rsidRDefault="009A3D0B">
      <w:pPr>
        <w:keepNext/>
        <w:shd w:val="clear" w:color="auto" w:fill="FFFFFF"/>
        <w:spacing w:line="240" w:lineRule="auto"/>
        <w:contextualSpacing/>
        <w:jc w:val="both"/>
        <w:rPr>
          <w:szCs w:val="22"/>
          <w:u w:val="single"/>
          <w:lang w:val="sr-Latn-ME"/>
        </w:rPr>
      </w:pPr>
      <w:r w:rsidRPr="00B74B0F">
        <w:rPr>
          <w:szCs w:val="22"/>
          <w:u w:val="single"/>
          <w:lang w:val="sr-Latn-ME"/>
        </w:rPr>
        <w:t>Vakcin</w:t>
      </w:r>
      <w:r w:rsidR="009F64A4" w:rsidRPr="00B74B0F">
        <w:rPr>
          <w:szCs w:val="22"/>
          <w:u w:val="single"/>
          <w:lang w:val="sr-Latn-ME"/>
        </w:rPr>
        <w:t>acija</w:t>
      </w:r>
    </w:p>
    <w:p w14:paraId="1F16D7E6" w14:textId="77777777" w:rsidR="000F1526" w:rsidRPr="00B74B0F" w:rsidRDefault="000F1526">
      <w:pPr>
        <w:keepNext/>
        <w:shd w:val="clear" w:color="auto" w:fill="FFFFFF"/>
        <w:spacing w:line="240" w:lineRule="auto"/>
        <w:contextualSpacing/>
        <w:jc w:val="both"/>
        <w:rPr>
          <w:szCs w:val="22"/>
          <w:lang w:val="sr-Latn-ME"/>
        </w:rPr>
      </w:pPr>
    </w:p>
    <w:p w14:paraId="4A6542F5" w14:textId="3387B7BB" w:rsidR="000F1526" w:rsidRPr="00B74B0F" w:rsidRDefault="00906CF8">
      <w:pPr>
        <w:pStyle w:val="Default"/>
        <w:contextualSpacing/>
        <w:jc w:val="both"/>
        <w:rPr>
          <w:sz w:val="22"/>
          <w:szCs w:val="22"/>
          <w:lang w:val="sr-Latn-ME"/>
        </w:rPr>
      </w:pPr>
      <w:r w:rsidRPr="00B74B0F">
        <w:rPr>
          <w:sz w:val="22"/>
          <w:szCs w:val="22"/>
          <w:lang w:val="sr-Latn-ME"/>
        </w:rPr>
        <w:t xml:space="preserve">Nema dostupnih podataka o odgovoru na </w:t>
      </w:r>
      <w:r w:rsidR="009A3D0B" w:rsidRPr="00B74B0F">
        <w:rPr>
          <w:sz w:val="22"/>
          <w:szCs w:val="22"/>
          <w:lang w:val="sr-Latn-ME"/>
        </w:rPr>
        <w:t>va</w:t>
      </w:r>
      <w:r w:rsidR="002C5E75" w:rsidRPr="00B74B0F">
        <w:rPr>
          <w:sz w:val="22"/>
          <w:szCs w:val="22"/>
          <w:lang w:val="sr-Latn-ME"/>
        </w:rPr>
        <w:t>k</w:t>
      </w:r>
      <w:r w:rsidR="009A3D0B" w:rsidRPr="00B74B0F">
        <w:rPr>
          <w:sz w:val="22"/>
          <w:szCs w:val="22"/>
          <w:lang w:val="sr-Latn-ME"/>
        </w:rPr>
        <w:t>cin</w:t>
      </w:r>
      <w:r w:rsidR="009F64A4" w:rsidRPr="00B74B0F">
        <w:rPr>
          <w:sz w:val="22"/>
          <w:szCs w:val="22"/>
          <w:lang w:val="sr-Latn-ME"/>
        </w:rPr>
        <w:t>aciju</w:t>
      </w:r>
      <w:r w:rsidRPr="00B74B0F">
        <w:rPr>
          <w:sz w:val="22"/>
          <w:szCs w:val="22"/>
          <w:lang w:val="sr-Latn-ME"/>
        </w:rPr>
        <w:t xml:space="preserve"> živim </w:t>
      </w:r>
      <w:r w:rsidR="009A3D0B" w:rsidRPr="00B74B0F">
        <w:rPr>
          <w:sz w:val="22"/>
          <w:szCs w:val="22"/>
          <w:lang w:val="sr-Latn-ME"/>
        </w:rPr>
        <w:t>vakcinam</w:t>
      </w:r>
      <w:r w:rsidRPr="00B74B0F">
        <w:rPr>
          <w:sz w:val="22"/>
          <w:szCs w:val="22"/>
          <w:lang w:val="sr-Latn-ME"/>
        </w:rPr>
        <w:t xml:space="preserve">a </w:t>
      </w:r>
      <w:r w:rsidR="009A3D0B" w:rsidRPr="00B74B0F">
        <w:rPr>
          <w:sz w:val="22"/>
          <w:szCs w:val="22"/>
          <w:lang w:val="sr-Latn-ME"/>
        </w:rPr>
        <w:t>kod</w:t>
      </w:r>
      <w:r w:rsidRPr="00B74B0F">
        <w:rPr>
          <w:sz w:val="22"/>
          <w:szCs w:val="22"/>
          <w:lang w:val="sr-Latn-ME"/>
        </w:rPr>
        <w:t xml:space="preserve"> </w:t>
      </w:r>
      <w:r w:rsidR="00BB59FC" w:rsidRPr="00B74B0F">
        <w:rPr>
          <w:sz w:val="22"/>
          <w:szCs w:val="22"/>
          <w:lang w:val="sr-Latn-ME"/>
        </w:rPr>
        <w:t>pacijenata</w:t>
      </w:r>
      <w:r w:rsidRPr="00B74B0F">
        <w:rPr>
          <w:sz w:val="22"/>
          <w:szCs w:val="22"/>
          <w:lang w:val="sr-Latn-ME"/>
        </w:rPr>
        <w:t xml:space="preserve"> koji uzimaju</w:t>
      </w:r>
      <w:r w:rsidR="00183AB0" w:rsidRPr="00B74B0F">
        <w:rPr>
          <w:sz w:val="22"/>
          <w:szCs w:val="22"/>
          <w:lang w:val="sr-Latn-ME"/>
        </w:rPr>
        <w:t xml:space="preserve"> </w:t>
      </w:r>
      <w:r w:rsidRPr="00B74B0F">
        <w:rPr>
          <w:sz w:val="22"/>
          <w:szCs w:val="22"/>
          <w:lang w:val="sr-Latn-ME"/>
        </w:rPr>
        <w:t>upadacitinib. Ne preporučuje se primjena živih, atenui</w:t>
      </w:r>
      <w:r w:rsidR="00244A93" w:rsidRPr="00B74B0F">
        <w:rPr>
          <w:sz w:val="22"/>
          <w:szCs w:val="22"/>
          <w:lang w:val="sr-Latn-ME"/>
        </w:rPr>
        <w:t>sanih</w:t>
      </w:r>
      <w:r w:rsidRPr="00B74B0F">
        <w:rPr>
          <w:sz w:val="22"/>
          <w:szCs w:val="22"/>
          <w:lang w:val="sr-Latn-ME"/>
        </w:rPr>
        <w:t xml:space="preserve"> </w:t>
      </w:r>
      <w:r w:rsidR="009A3D0B" w:rsidRPr="00B74B0F">
        <w:rPr>
          <w:sz w:val="22"/>
          <w:szCs w:val="22"/>
          <w:lang w:val="sr-Latn-ME"/>
        </w:rPr>
        <w:t>vakcina</w:t>
      </w:r>
      <w:r w:rsidRPr="00B74B0F">
        <w:rPr>
          <w:sz w:val="22"/>
          <w:szCs w:val="22"/>
          <w:lang w:val="sr-Latn-ME"/>
        </w:rPr>
        <w:t xml:space="preserve"> </w:t>
      </w:r>
      <w:r w:rsidR="009A3D0B" w:rsidRPr="00B74B0F">
        <w:rPr>
          <w:sz w:val="22"/>
          <w:szCs w:val="22"/>
          <w:lang w:val="sr-Latn-ME"/>
        </w:rPr>
        <w:t>za vrijeme</w:t>
      </w:r>
      <w:r w:rsidRPr="00B74B0F">
        <w:rPr>
          <w:sz w:val="22"/>
          <w:szCs w:val="22"/>
          <w:lang w:val="sr-Latn-ME"/>
        </w:rPr>
        <w:t xml:space="preserve"> ili neposredno prije liječenja</w:t>
      </w:r>
      <w:r w:rsidR="009A3D0B" w:rsidRPr="00B74B0F">
        <w:rPr>
          <w:sz w:val="22"/>
          <w:szCs w:val="22"/>
          <w:lang w:val="sr-Latn-ME"/>
        </w:rPr>
        <w:t xml:space="preserve"> </w:t>
      </w:r>
      <w:r w:rsidRPr="00B74B0F">
        <w:rPr>
          <w:sz w:val="22"/>
          <w:szCs w:val="22"/>
          <w:lang w:val="sr-Latn-ME"/>
        </w:rPr>
        <w:t>upadacitinib</w:t>
      </w:r>
      <w:r w:rsidR="00244A93" w:rsidRPr="00B74B0F">
        <w:rPr>
          <w:sz w:val="22"/>
          <w:szCs w:val="22"/>
          <w:lang w:val="sr-Latn-ME"/>
        </w:rPr>
        <w:t>om</w:t>
      </w:r>
      <w:r w:rsidRPr="00B74B0F">
        <w:rPr>
          <w:sz w:val="22"/>
          <w:szCs w:val="22"/>
          <w:lang w:val="sr-Latn-ME"/>
        </w:rPr>
        <w:t xml:space="preserve">. Preporučuje se da </w:t>
      </w:r>
      <w:r w:rsidR="006B670F" w:rsidRPr="00B74B0F">
        <w:rPr>
          <w:sz w:val="22"/>
          <w:szCs w:val="22"/>
          <w:lang w:val="sr-Latn-ME"/>
        </w:rPr>
        <w:t>p</w:t>
      </w:r>
      <w:r w:rsidR="00B27953" w:rsidRPr="00B74B0F">
        <w:rPr>
          <w:sz w:val="22"/>
          <w:szCs w:val="22"/>
          <w:lang w:val="sr-Latn-ME"/>
        </w:rPr>
        <w:t>acijenti</w:t>
      </w:r>
      <w:r w:rsidR="009F64A4" w:rsidRPr="00B74B0F">
        <w:rPr>
          <w:sz w:val="22"/>
          <w:szCs w:val="22"/>
          <w:lang w:val="sr-Latn-ME"/>
        </w:rPr>
        <w:t xml:space="preserve"> prije početka liječenja upadacitinib</w:t>
      </w:r>
      <w:r w:rsidR="006B670F" w:rsidRPr="00B74B0F">
        <w:rPr>
          <w:sz w:val="22"/>
          <w:szCs w:val="22"/>
          <w:lang w:val="sr-Latn-ME"/>
        </w:rPr>
        <w:t>om</w:t>
      </w:r>
      <w:r w:rsidR="009F64A4" w:rsidRPr="00B74B0F">
        <w:rPr>
          <w:sz w:val="22"/>
          <w:szCs w:val="22"/>
          <w:lang w:val="sr-Latn-ME"/>
        </w:rPr>
        <w:t>,</w:t>
      </w:r>
      <w:r w:rsidRPr="00B74B0F">
        <w:rPr>
          <w:sz w:val="22"/>
          <w:szCs w:val="22"/>
          <w:lang w:val="sr-Latn-ME"/>
        </w:rPr>
        <w:t xml:space="preserve"> prime sv</w:t>
      </w:r>
      <w:r w:rsidR="009A3D0B" w:rsidRPr="00B74B0F">
        <w:rPr>
          <w:sz w:val="22"/>
          <w:szCs w:val="22"/>
          <w:lang w:val="sr-Latn-ME"/>
        </w:rPr>
        <w:t>e</w:t>
      </w:r>
      <w:r w:rsidRPr="00B74B0F">
        <w:rPr>
          <w:sz w:val="22"/>
          <w:szCs w:val="22"/>
          <w:lang w:val="sr-Latn-ME"/>
        </w:rPr>
        <w:t xml:space="preserve"> potrebn</w:t>
      </w:r>
      <w:r w:rsidR="009A3D0B" w:rsidRPr="00B74B0F">
        <w:rPr>
          <w:sz w:val="22"/>
          <w:szCs w:val="22"/>
          <w:lang w:val="sr-Latn-ME"/>
        </w:rPr>
        <w:t>e</w:t>
      </w:r>
      <w:r w:rsidRPr="00B74B0F">
        <w:rPr>
          <w:sz w:val="22"/>
          <w:szCs w:val="22"/>
          <w:lang w:val="sr-Latn-ME"/>
        </w:rPr>
        <w:t xml:space="preserve"> </w:t>
      </w:r>
      <w:r w:rsidR="009A3D0B" w:rsidRPr="00B74B0F">
        <w:rPr>
          <w:sz w:val="22"/>
          <w:szCs w:val="22"/>
          <w:lang w:val="sr-Latn-ME"/>
        </w:rPr>
        <w:t>vakcine</w:t>
      </w:r>
      <w:r w:rsidRPr="00B74B0F">
        <w:rPr>
          <w:sz w:val="22"/>
          <w:szCs w:val="22"/>
          <w:lang w:val="sr-Latn-ME"/>
        </w:rPr>
        <w:t xml:space="preserve"> u skladu s</w:t>
      </w:r>
      <w:r w:rsidR="00012342" w:rsidRPr="00B74B0F">
        <w:rPr>
          <w:sz w:val="22"/>
          <w:szCs w:val="22"/>
          <w:lang w:val="sr-Latn-ME"/>
        </w:rPr>
        <w:t>a</w:t>
      </w:r>
      <w:r w:rsidRPr="00B74B0F">
        <w:rPr>
          <w:sz w:val="22"/>
          <w:szCs w:val="22"/>
          <w:lang w:val="sr-Latn-ME"/>
        </w:rPr>
        <w:t xml:space="preserve"> važećim smjernicama za </w:t>
      </w:r>
      <w:r w:rsidR="009A3D0B" w:rsidRPr="00B74B0F">
        <w:rPr>
          <w:sz w:val="22"/>
          <w:szCs w:val="22"/>
          <w:lang w:val="sr-Latn-ME"/>
        </w:rPr>
        <w:t>vakcin</w:t>
      </w:r>
      <w:r w:rsidR="00297F72" w:rsidRPr="00B74B0F">
        <w:rPr>
          <w:sz w:val="22"/>
          <w:szCs w:val="22"/>
          <w:lang w:val="sr-Latn-ME"/>
        </w:rPr>
        <w:t>aciju</w:t>
      </w:r>
      <w:r w:rsidRPr="00B74B0F">
        <w:rPr>
          <w:sz w:val="22"/>
          <w:szCs w:val="22"/>
          <w:lang w:val="sr-Latn-ME"/>
        </w:rPr>
        <w:t>, uključujući profilaktičk</w:t>
      </w:r>
      <w:r w:rsidR="00297F72" w:rsidRPr="00B74B0F">
        <w:rPr>
          <w:sz w:val="22"/>
          <w:szCs w:val="22"/>
          <w:lang w:val="sr-Latn-ME"/>
        </w:rPr>
        <w:t>u</w:t>
      </w:r>
      <w:r w:rsidR="009A3D0B" w:rsidRPr="00B74B0F">
        <w:rPr>
          <w:sz w:val="22"/>
          <w:szCs w:val="22"/>
          <w:lang w:val="sr-Latn-ME"/>
        </w:rPr>
        <w:t xml:space="preserve"> vakcin</w:t>
      </w:r>
      <w:r w:rsidR="00297F72" w:rsidRPr="00B74B0F">
        <w:rPr>
          <w:sz w:val="22"/>
          <w:szCs w:val="22"/>
          <w:lang w:val="sr-Latn-ME"/>
        </w:rPr>
        <w:t>aciju</w:t>
      </w:r>
      <w:r w:rsidRPr="00B74B0F">
        <w:rPr>
          <w:sz w:val="22"/>
          <w:szCs w:val="22"/>
          <w:lang w:val="sr-Latn-ME"/>
        </w:rPr>
        <w:t xml:space="preserve"> protiv herpes zostera.</w:t>
      </w:r>
      <w:r w:rsidR="00F85C78" w:rsidRPr="00B74B0F">
        <w:rPr>
          <w:sz w:val="22"/>
          <w:szCs w:val="22"/>
          <w:lang w:val="sr-Latn-ME"/>
        </w:rPr>
        <w:t xml:space="preserve"> </w:t>
      </w:r>
      <w:r w:rsidR="00F85C78" w:rsidRPr="00B74B0F">
        <w:rPr>
          <w:noProof/>
          <w:sz w:val="22"/>
          <w:szCs w:val="22"/>
          <w:lang w:val="sr-Latn-ME" w:eastAsia="hr-HR"/>
        </w:rPr>
        <w:t xml:space="preserve">(vidjeti dio 5.1 za podatke o </w:t>
      </w:r>
      <w:r w:rsidR="008F5106" w:rsidRPr="00B74B0F">
        <w:rPr>
          <w:noProof/>
          <w:sz w:val="22"/>
          <w:szCs w:val="22"/>
          <w:lang w:val="sr-Latn-ME" w:eastAsia="hr-HR"/>
        </w:rPr>
        <w:t xml:space="preserve"> </w:t>
      </w:r>
      <w:r w:rsidR="00653475" w:rsidRPr="00B74B0F">
        <w:rPr>
          <w:noProof/>
          <w:sz w:val="22"/>
          <w:szCs w:val="22"/>
          <w:lang w:val="sr-Latn-ME" w:eastAsia="hr-HR"/>
        </w:rPr>
        <w:t>rekombinantnoj adjuvantnoj glikoprotein E vakcini protiv herpes zostera</w:t>
      </w:r>
      <w:r w:rsidR="008F5106" w:rsidRPr="00B74B0F">
        <w:rPr>
          <w:noProof/>
          <w:sz w:val="22"/>
          <w:szCs w:val="22"/>
          <w:lang w:val="sr-Latn-ME" w:eastAsia="hr-HR"/>
        </w:rPr>
        <w:t xml:space="preserve"> i</w:t>
      </w:r>
      <w:r w:rsidR="00F85C78" w:rsidRPr="00B74B0F">
        <w:rPr>
          <w:noProof/>
          <w:sz w:val="22"/>
          <w:szCs w:val="22"/>
          <w:lang w:val="sr-Latn-ME" w:eastAsia="hr-HR"/>
        </w:rPr>
        <w:t xml:space="preserve"> </w:t>
      </w:r>
      <w:r w:rsidR="008F5106" w:rsidRPr="00B74B0F">
        <w:rPr>
          <w:noProof/>
          <w:sz w:val="22"/>
          <w:szCs w:val="22"/>
          <w:lang w:val="sr-Latn-ME" w:eastAsia="hr-HR"/>
        </w:rPr>
        <w:t xml:space="preserve">inaktiviranoj pneumokoknoj polisaharidnoj konjugovanoj </w:t>
      </w:r>
      <w:r w:rsidR="001604BA" w:rsidRPr="00B74B0F">
        <w:rPr>
          <w:noProof/>
          <w:sz w:val="22"/>
          <w:szCs w:val="22"/>
          <w:lang w:val="sr-Latn-ME" w:eastAsia="hr-HR"/>
        </w:rPr>
        <w:t xml:space="preserve">vakcini </w:t>
      </w:r>
      <w:r w:rsidR="00F85C78" w:rsidRPr="00B74B0F">
        <w:rPr>
          <w:noProof/>
          <w:sz w:val="22"/>
          <w:szCs w:val="22"/>
          <w:lang w:val="sr-Latn-ME" w:eastAsia="hr-HR"/>
        </w:rPr>
        <w:t>(13-</w:t>
      </w:r>
      <w:r w:rsidR="008F5106" w:rsidRPr="00B74B0F">
        <w:rPr>
          <w:noProof/>
          <w:sz w:val="22"/>
          <w:szCs w:val="22"/>
          <w:lang w:val="sr-Latn-ME" w:eastAsia="hr-HR"/>
        </w:rPr>
        <w:t>valentna</w:t>
      </w:r>
      <w:r w:rsidR="00F85C78" w:rsidRPr="00B74B0F">
        <w:rPr>
          <w:noProof/>
          <w:sz w:val="22"/>
          <w:szCs w:val="22"/>
          <w:lang w:val="sr-Latn-ME" w:eastAsia="hr-HR"/>
        </w:rPr>
        <w:t xml:space="preserve">, </w:t>
      </w:r>
      <w:r w:rsidR="008F5106" w:rsidRPr="00B74B0F">
        <w:rPr>
          <w:noProof/>
          <w:sz w:val="22"/>
          <w:szCs w:val="22"/>
          <w:lang w:val="sr-Latn-ME" w:eastAsia="hr-HR"/>
        </w:rPr>
        <w:t>adsorbovana</w:t>
      </w:r>
      <w:r w:rsidR="00F85C78" w:rsidRPr="00B74B0F">
        <w:rPr>
          <w:noProof/>
          <w:sz w:val="22"/>
          <w:szCs w:val="22"/>
          <w:lang w:val="sr-Latn-ME" w:eastAsia="hr-HR"/>
        </w:rPr>
        <w:t xml:space="preserve">) i </w:t>
      </w:r>
      <w:r w:rsidR="008F5106" w:rsidRPr="00B74B0F">
        <w:rPr>
          <w:noProof/>
          <w:sz w:val="22"/>
          <w:szCs w:val="22"/>
          <w:lang w:val="sr-Latn-ME" w:eastAsia="hr-HR"/>
        </w:rPr>
        <w:t>istovremen</w:t>
      </w:r>
      <w:r w:rsidR="001604BA" w:rsidRPr="00B74B0F">
        <w:rPr>
          <w:noProof/>
          <w:sz w:val="22"/>
          <w:szCs w:val="22"/>
          <w:lang w:val="sr-Latn-ME" w:eastAsia="hr-HR"/>
        </w:rPr>
        <w:t>oj</w:t>
      </w:r>
      <w:r w:rsidR="008F5106" w:rsidRPr="00B74B0F">
        <w:rPr>
          <w:noProof/>
          <w:sz w:val="22"/>
          <w:szCs w:val="22"/>
          <w:lang w:val="sr-Latn-ME" w:eastAsia="hr-HR"/>
        </w:rPr>
        <w:t xml:space="preserve"> upotreb</w:t>
      </w:r>
      <w:r w:rsidR="001604BA" w:rsidRPr="00B74B0F">
        <w:rPr>
          <w:noProof/>
          <w:sz w:val="22"/>
          <w:szCs w:val="22"/>
          <w:lang w:val="sr-Latn-ME" w:eastAsia="hr-HR"/>
        </w:rPr>
        <w:t>i</w:t>
      </w:r>
      <w:r w:rsidR="008F5106" w:rsidRPr="00B74B0F">
        <w:rPr>
          <w:noProof/>
          <w:sz w:val="22"/>
          <w:szCs w:val="22"/>
          <w:lang w:val="sr-Latn-ME" w:eastAsia="hr-HR"/>
        </w:rPr>
        <w:t xml:space="preserve"> sa upadacitinibom</w:t>
      </w:r>
      <w:r w:rsidR="00F85C78" w:rsidRPr="00B74B0F">
        <w:rPr>
          <w:noProof/>
          <w:sz w:val="22"/>
          <w:szCs w:val="22"/>
          <w:lang w:val="sr-Latn-ME" w:eastAsia="hr-HR"/>
        </w:rPr>
        <w:t>).</w:t>
      </w:r>
    </w:p>
    <w:p w14:paraId="29C697E2" w14:textId="77777777" w:rsidR="000F1526" w:rsidRPr="00B74B0F" w:rsidRDefault="000F1526">
      <w:pPr>
        <w:pStyle w:val="Default"/>
        <w:contextualSpacing/>
        <w:jc w:val="both"/>
        <w:rPr>
          <w:sz w:val="22"/>
          <w:szCs w:val="22"/>
          <w:u w:val="single"/>
          <w:lang w:val="sr-Latn-ME"/>
        </w:rPr>
      </w:pPr>
    </w:p>
    <w:p w14:paraId="42BD7BA3" w14:textId="5DC88EF0" w:rsidR="00C52279" w:rsidRPr="00B74B0F" w:rsidRDefault="009A3D0B">
      <w:pPr>
        <w:keepNext/>
        <w:shd w:val="clear" w:color="auto" w:fill="FFFFFF"/>
        <w:spacing w:line="240" w:lineRule="auto"/>
        <w:contextualSpacing/>
        <w:jc w:val="both"/>
        <w:rPr>
          <w:szCs w:val="22"/>
          <w:u w:val="single"/>
          <w:lang w:val="sr-Latn-ME"/>
        </w:rPr>
      </w:pPr>
      <w:r w:rsidRPr="00B74B0F">
        <w:rPr>
          <w:szCs w:val="22"/>
          <w:u w:val="single"/>
          <w:lang w:val="sr-Latn-ME"/>
        </w:rPr>
        <w:t>Malign</w:t>
      </w:r>
      <w:r w:rsidR="00297F72" w:rsidRPr="00B74B0F">
        <w:rPr>
          <w:szCs w:val="22"/>
          <w:u w:val="single"/>
          <w:lang w:val="sr-Latn-ME"/>
        </w:rPr>
        <w:t>e</w:t>
      </w:r>
      <w:r w:rsidR="00906CF8" w:rsidRPr="00B74B0F">
        <w:rPr>
          <w:szCs w:val="22"/>
          <w:u w:val="single"/>
          <w:lang w:val="sr-Latn-ME"/>
        </w:rPr>
        <w:t xml:space="preserve"> bolest</w:t>
      </w:r>
      <w:r w:rsidR="00297F72" w:rsidRPr="00B74B0F">
        <w:rPr>
          <w:szCs w:val="22"/>
          <w:u w:val="single"/>
          <w:lang w:val="sr-Latn-ME"/>
        </w:rPr>
        <w:t>i</w:t>
      </w:r>
    </w:p>
    <w:p w14:paraId="7A3D0171" w14:textId="77777777" w:rsidR="00C52279" w:rsidRPr="00B74B0F" w:rsidRDefault="00C52279">
      <w:pPr>
        <w:keepNext/>
        <w:shd w:val="clear" w:color="auto" w:fill="FFFFFF"/>
        <w:spacing w:line="240" w:lineRule="auto"/>
        <w:contextualSpacing/>
        <w:jc w:val="both"/>
        <w:rPr>
          <w:szCs w:val="22"/>
          <w:lang w:val="sr-Latn-ME"/>
        </w:rPr>
      </w:pPr>
    </w:p>
    <w:p w14:paraId="3775CD23" w14:textId="18143F54" w:rsidR="00183AB0" w:rsidRPr="00B74B0F" w:rsidRDefault="00DC1E18">
      <w:pPr>
        <w:pStyle w:val="CommentText"/>
        <w:spacing w:line="240" w:lineRule="auto"/>
        <w:contextualSpacing/>
        <w:jc w:val="both"/>
        <w:rPr>
          <w:sz w:val="22"/>
          <w:szCs w:val="22"/>
          <w:lang w:val="sr-Latn-ME"/>
        </w:rPr>
      </w:pPr>
      <w:r w:rsidRPr="00B74B0F">
        <w:rPr>
          <w:sz w:val="22"/>
          <w:szCs w:val="22"/>
          <w:lang w:val="sr-Latn-ME"/>
        </w:rPr>
        <w:t>Kod pacijenata koji su primali inhibitore Janus kinaze (JAK), uključujući upadacitinib, prijavljeni su limfom i druga maligna oboljenja.</w:t>
      </w:r>
      <w:r w:rsidR="00733CFF" w:rsidRPr="00B74B0F">
        <w:rPr>
          <w:sz w:val="22"/>
          <w:szCs w:val="22"/>
          <w:lang w:val="sr-Latn-ME"/>
        </w:rPr>
        <w:t xml:space="preserve"> </w:t>
      </w:r>
    </w:p>
    <w:p w14:paraId="5BCE3E13" w14:textId="77777777" w:rsidR="005C649D" w:rsidRPr="00B74B0F" w:rsidRDefault="005C649D">
      <w:pPr>
        <w:pStyle w:val="CommentText"/>
        <w:spacing w:line="240" w:lineRule="auto"/>
        <w:contextualSpacing/>
        <w:jc w:val="both"/>
        <w:rPr>
          <w:sz w:val="22"/>
          <w:szCs w:val="22"/>
          <w:lang w:val="sr-Latn-ME"/>
        </w:rPr>
      </w:pPr>
    </w:p>
    <w:p w14:paraId="45284232" w14:textId="1EDBB05B" w:rsidR="00E874E4" w:rsidRPr="00B74B0F" w:rsidRDefault="00733CFF">
      <w:pPr>
        <w:pStyle w:val="CommentText"/>
        <w:spacing w:line="240" w:lineRule="auto"/>
        <w:contextualSpacing/>
        <w:jc w:val="both"/>
        <w:rPr>
          <w:sz w:val="22"/>
          <w:szCs w:val="22"/>
          <w:lang w:val="sr-Latn-ME"/>
        </w:rPr>
      </w:pPr>
      <w:r w:rsidRPr="00B74B0F">
        <w:rPr>
          <w:sz w:val="22"/>
          <w:szCs w:val="22"/>
          <w:lang w:val="sr-Latn-ME"/>
        </w:rPr>
        <w:t>U velikom randomizovanom, aktivno kontrolisanom ispitivanju tofacitiniba (drugog JAK inhibitora) kod pacijenata sa reumatoidnim artritisom starosti od 50 godina i više s</w:t>
      </w:r>
      <w:r w:rsidR="00183AB0" w:rsidRPr="00B74B0F">
        <w:rPr>
          <w:sz w:val="22"/>
          <w:szCs w:val="22"/>
          <w:lang w:val="sr-Latn-ME"/>
        </w:rPr>
        <w:t>a</w:t>
      </w:r>
      <w:r w:rsidRPr="00B74B0F">
        <w:rPr>
          <w:sz w:val="22"/>
          <w:szCs w:val="22"/>
          <w:lang w:val="sr-Latn-ME"/>
        </w:rPr>
        <w:t xml:space="preserve"> najmanje jednim dodatnim faktorom kardiovaskularnog rizika, veća stopa malignih oboljenja, posebno karcinoma pluća, limfoma i nemelanomskog karcinoma kože (engl. </w:t>
      </w:r>
      <w:r w:rsidRPr="00B74B0F">
        <w:rPr>
          <w:i/>
          <w:sz w:val="22"/>
          <w:szCs w:val="22"/>
          <w:lang w:val="sr-Latn-ME"/>
        </w:rPr>
        <w:t>non-melanoma skin cancer</w:t>
      </w:r>
      <w:r w:rsidRPr="00B74B0F">
        <w:rPr>
          <w:sz w:val="22"/>
          <w:szCs w:val="22"/>
          <w:lang w:val="sr-Latn-ME"/>
        </w:rPr>
        <w:t>, NMSC) primijećena je s</w:t>
      </w:r>
      <w:r w:rsidR="00183AB0" w:rsidRPr="00B74B0F">
        <w:rPr>
          <w:sz w:val="22"/>
          <w:szCs w:val="22"/>
          <w:lang w:val="sr-Latn-ME"/>
        </w:rPr>
        <w:t>a</w:t>
      </w:r>
      <w:r w:rsidRPr="00B74B0F">
        <w:rPr>
          <w:sz w:val="22"/>
          <w:szCs w:val="22"/>
          <w:lang w:val="sr-Latn-ME"/>
        </w:rPr>
        <w:t xml:space="preserve"> tofacitinibom u poređenju sa inhibitorima faktora nekroze tumora (engl. </w:t>
      </w:r>
      <w:r w:rsidRPr="00B74B0F">
        <w:rPr>
          <w:i/>
          <w:sz w:val="22"/>
          <w:szCs w:val="22"/>
          <w:lang w:val="sr-Latn-ME"/>
        </w:rPr>
        <w:t>tumour necrosis factor</w:t>
      </w:r>
      <w:r w:rsidRPr="00B74B0F">
        <w:rPr>
          <w:sz w:val="22"/>
          <w:szCs w:val="22"/>
          <w:lang w:val="sr-Latn-ME"/>
        </w:rPr>
        <w:t xml:space="preserve">, TNF).  </w:t>
      </w:r>
    </w:p>
    <w:p w14:paraId="5BA848F1" w14:textId="77777777" w:rsidR="00E874E4" w:rsidRPr="00B74B0F" w:rsidRDefault="00E874E4">
      <w:pPr>
        <w:pStyle w:val="CommentText"/>
        <w:spacing w:line="240" w:lineRule="auto"/>
        <w:contextualSpacing/>
        <w:jc w:val="both"/>
        <w:rPr>
          <w:sz w:val="22"/>
          <w:szCs w:val="22"/>
          <w:lang w:val="sr-Latn-ME"/>
        </w:rPr>
      </w:pPr>
    </w:p>
    <w:p w14:paraId="116D351A" w14:textId="2CF710D6" w:rsidR="003403B0" w:rsidRPr="00B74B0F" w:rsidRDefault="00E874E4">
      <w:pPr>
        <w:pStyle w:val="CommentText"/>
        <w:spacing w:line="240" w:lineRule="auto"/>
        <w:contextualSpacing/>
        <w:jc w:val="both"/>
        <w:rPr>
          <w:sz w:val="22"/>
          <w:szCs w:val="22"/>
          <w:lang w:val="sr-Latn-ME"/>
        </w:rPr>
      </w:pPr>
      <w:r w:rsidRPr="00B74B0F">
        <w:rPr>
          <w:sz w:val="22"/>
          <w:szCs w:val="22"/>
          <w:lang w:val="sr-Latn-ME"/>
        </w:rPr>
        <w:t>Veća stopa malignih oboljenja primijećena je s</w:t>
      </w:r>
      <w:r w:rsidR="004D42A6" w:rsidRPr="00B74B0F">
        <w:rPr>
          <w:sz w:val="22"/>
          <w:szCs w:val="22"/>
          <w:lang w:val="sr-Latn-ME"/>
        </w:rPr>
        <w:t>a</w:t>
      </w:r>
      <w:r w:rsidRPr="00B74B0F">
        <w:rPr>
          <w:sz w:val="22"/>
          <w:szCs w:val="22"/>
          <w:lang w:val="sr-Latn-ME"/>
        </w:rPr>
        <w:t xml:space="preserve"> upadacitinibom u dozi od 30 mg u poređenju sa upadacitinibom u dozi od 15 mg.</w:t>
      </w:r>
    </w:p>
    <w:p w14:paraId="259AF366" w14:textId="77777777" w:rsidR="00C52279" w:rsidRPr="00B74B0F" w:rsidRDefault="00C52279">
      <w:pPr>
        <w:spacing w:line="240" w:lineRule="auto"/>
        <w:contextualSpacing/>
        <w:jc w:val="both"/>
        <w:rPr>
          <w:szCs w:val="22"/>
          <w:lang w:val="sr-Latn-ME"/>
        </w:rPr>
      </w:pPr>
    </w:p>
    <w:p w14:paraId="64108519" w14:textId="4B79C5E6" w:rsidR="003D01F9" w:rsidRPr="00B74B0F" w:rsidRDefault="00E874E4">
      <w:pPr>
        <w:spacing w:line="240" w:lineRule="auto"/>
        <w:contextualSpacing/>
        <w:jc w:val="both"/>
        <w:rPr>
          <w:szCs w:val="22"/>
          <w:lang w:val="sr-Latn-ME"/>
        </w:rPr>
      </w:pPr>
      <w:r w:rsidRPr="00B74B0F">
        <w:rPr>
          <w:szCs w:val="22"/>
          <w:lang w:val="sr-Latn-ME"/>
        </w:rPr>
        <w:t>Kod pacijenata starosti od 65 godina i starijih, pacijenata koji su sadašnji ili bivši dugogodišnji pušači ili s</w:t>
      </w:r>
      <w:r w:rsidR="004D42A6" w:rsidRPr="00B74B0F">
        <w:rPr>
          <w:szCs w:val="22"/>
          <w:lang w:val="sr-Latn-ME"/>
        </w:rPr>
        <w:t>a</w:t>
      </w:r>
      <w:r w:rsidRPr="00B74B0F">
        <w:rPr>
          <w:szCs w:val="22"/>
          <w:lang w:val="sr-Latn-ME"/>
        </w:rPr>
        <w:t xml:space="preserve"> drugim faktorima rizika od maligniteta (npr. sadašnje maligno oboljenje ili </w:t>
      </w:r>
      <w:r w:rsidR="003D01F9" w:rsidRPr="00B74B0F">
        <w:rPr>
          <w:szCs w:val="22"/>
          <w:lang w:val="sr-Latn-ME"/>
        </w:rPr>
        <w:t xml:space="preserve">maligno oboljenje u anamnezi), upadacitinib se smije koristiti samo ako nijesu dostupne prikladne </w:t>
      </w:r>
      <w:r w:rsidR="004D42A6" w:rsidRPr="00B74B0F">
        <w:rPr>
          <w:szCs w:val="22"/>
          <w:lang w:val="sr-Latn-ME"/>
        </w:rPr>
        <w:t>alternativne</w:t>
      </w:r>
      <w:r w:rsidR="003D01F9" w:rsidRPr="00B74B0F">
        <w:rPr>
          <w:szCs w:val="22"/>
          <w:lang w:val="sr-Latn-ME"/>
        </w:rPr>
        <w:t xml:space="preserve"> terapije za liječenje pacijenta.</w:t>
      </w:r>
    </w:p>
    <w:p w14:paraId="57E585FF" w14:textId="77777777" w:rsidR="00023246" w:rsidRPr="00B74B0F" w:rsidRDefault="00023246">
      <w:pPr>
        <w:spacing w:line="240" w:lineRule="auto"/>
        <w:contextualSpacing/>
        <w:jc w:val="both"/>
        <w:rPr>
          <w:szCs w:val="22"/>
          <w:lang w:val="sr-Latn-ME"/>
        </w:rPr>
      </w:pPr>
    </w:p>
    <w:p w14:paraId="1B526227" w14:textId="306E90A2" w:rsidR="00C52279" w:rsidRPr="00B74B0F" w:rsidRDefault="00906CF8">
      <w:pPr>
        <w:keepNext/>
        <w:spacing w:line="240" w:lineRule="auto"/>
        <w:contextualSpacing/>
        <w:jc w:val="both"/>
        <w:rPr>
          <w:i/>
          <w:szCs w:val="22"/>
          <w:lang w:val="sr-Latn-ME"/>
        </w:rPr>
      </w:pPr>
      <w:r w:rsidRPr="00B74B0F">
        <w:rPr>
          <w:i/>
          <w:szCs w:val="22"/>
          <w:lang w:val="sr-Latn-ME"/>
        </w:rPr>
        <w:t xml:space="preserve">Nemelanomski </w:t>
      </w:r>
      <w:r w:rsidR="00092E28" w:rsidRPr="00B74B0F">
        <w:rPr>
          <w:i/>
          <w:szCs w:val="22"/>
          <w:lang w:val="sr-Latn-ME"/>
        </w:rPr>
        <w:t>karcinom</w:t>
      </w:r>
      <w:r w:rsidRPr="00B74B0F">
        <w:rPr>
          <w:i/>
          <w:szCs w:val="22"/>
          <w:lang w:val="sr-Latn-ME"/>
        </w:rPr>
        <w:t xml:space="preserve"> kože</w:t>
      </w:r>
    </w:p>
    <w:p w14:paraId="428C35D4" w14:textId="77777777" w:rsidR="00023246" w:rsidRPr="00B74B0F" w:rsidRDefault="00023246">
      <w:pPr>
        <w:keepNext/>
        <w:spacing w:line="240" w:lineRule="auto"/>
        <w:contextualSpacing/>
        <w:jc w:val="both"/>
        <w:rPr>
          <w:i/>
          <w:szCs w:val="22"/>
          <w:lang w:val="sr-Latn-ME"/>
        </w:rPr>
      </w:pPr>
    </w:p>
    <w:p w14:paraId="17F9E0AE" w14:textId="19A9E9AB" w:rsidR="00C52279" w:rsidRPr="00B74B0F" w:rsidRDefault="009A3D0B">
      <w:pPr>
        <w:shd w:val="clear" w:color="auto" w:fill="FFFFFF"/>
        <w:spacing w:line="240" w:lineRule="auto"/>
        <w:contextualSpacing/>
        <w:jc w:val="both"/>
        <w:rPr>
          <w:szCs w:val="22"/>
          <w:lang w:val="sr-Latn-ME"/>
        </w:rPr>
      </w:pPr>
      <w:r w:rsidRPr="00B74B0F">
        <w:rPr>
          <w:szCs w:val="22"/>
          <w:lang w:val="sr-Latn-ME"/>
        </w:rPr>
        <w:t>Kod</w:t>
      </w:r>
      <w:r w:rsidR="00906CF8" w:rsidRPr="00B74B0F">
        <w:rPr>
          <w:szCs w:val="22"/>
          <w:lang w:val="sr-Latn-ME"/>
        </w:rPr>
        <w:t xml:space="preserve"> </w:t>
      </w:r>
      <w:r w:rsidR="00BB59FC" w:rsidRPr="00B74B0F">
        <w:rPr>
          <w:szCs w:val="22"/>
          <w:lang w:val="sr-Latn-ME"/>
        </w:rPr>
        <w:t>pacijenata</w:t>
      </w:r>
      <w:r w:rsidR="00906CF8" w:rsidRPr="00B74B0F">
        <w:rPr>
          <w:szCs w:val="22"/>
          <w:lang w:val="sr-Latn-ME"/>
        </w:rPr>
        <w:t xml:space="preserve"> liječenih</w:t>
      </w:r>
      <w:r w:rsidRPr="00B74B0F">
        <w:rPr>
          <w:szCs w:val="22"/>
          <w:lang w:val="sr-Latn-ME"/>
        </w:rPr>
        <w:t xml:space="preserve"> </w:t>
      </w:r>
      <w:r w:rsidR="00906CF8" w:rsidRPr="00B74B0F">
        <w:rPr>
          <w:szCs w:val="22"/>
          <w:lang w:val="sr-Latn-ME"/>
        </w:rPr>
        <w:t>upadacitinib</w:t>
      </w:r>
      <w:r w:rsidR="006B670F" w:rsidRPr="00B74B0F">
        <w:rPr>
          <w:szCs w:val="22"/>
          <w:lang w:val="sr-Latn-ME"/>
        </w:rPr>
        <w:t>om</w:t>
      </w:r>
      <w:r w:rsidR="00906CF8" w:rsidRPr="00B74B0F">
        <w:rPr>
          <w:szCs w:val="22"/>
          <w:lang w:val="sr-Latn-ME"/>
        </w:rPr>
        <w:t xml:space="preserve"> prijavljen je nemelanomski </w:t>
      </w:r>
      <w:r w:rsidR="00574473" w:rsidRPr="00B74B0F">
        <w:rPr>
          <w:szCs w:val="22"/>
          <w:lang w:val="sr-Latn-ME"/>
        </w:rPr>
        <w:t>karcinom</w:t>
      </w:r>
      <w:r w:rsidR="00906CF8" w:rsidRPr="00B74B0F">
        <w:rPr>
          <w:szCs w:val="22"/>
          <w:lang w:val="sr-Latn-ME"/>
        </w:rPr>
        <w:t xml:space="preserve"> kože</w:t>
      </w:r>
      <w:r w:rsidR="003D01F9" w:rsidRPr="00B74B0F">
        <w:rPr>
          <w:szCs w:val="22"/>
          <w:lang w:val="sr-Latn-ME"/>
        </w:rPr>
        <w:t xml:space="preserve"> (NMSC) (vidjeti dio 4.8)</w:t>
      </w:r>
      <w:r w:rsidR="00BB0767" w:rsidRPr="00B74B0F">
        <w:rPr>
          <w:szCs w:val="22"/>
          <w:lang w:val="sr-Latn-ME"/>
        </w:rPr>
        <w:t>.</w:t>
      </w:r>
      <w:r w:rsidR="003D01F9" w:rsidRPr="00B74B0F">
        <w:rPr>
          <w:szCs w:val="22"/>
          <w:lang w:val="sr-Latn-ME"/>
        </w:rPr>
        <w:t xml:space="preserve"> Veća stopa NMSC primijećena je s</w:t>
      </w:r>
      <w:r w:rsidR="004D42A6" w:rsidRPr="00B74B0F">
        <w:rPr>
          <w:szCs w:val="22"/>
          <w:lang w:val="sr-Latn-ME"/>
        </w:rPr>
        <w:t>a</w:t>
      </w:r>
      <w:r w:rsidR="003D01F9" w:rsidRPr="00B74B0F">
        <w:rPr>
          <w:szCs w:val="22"/>
          <w:lang w:val="sr-Latn-ME"/>
        </w:rPr>
        <w:t xml:space="preserve"> upadacitinibom u dozi od 30 mg u poređenju sa upadacitinibom u dozi od 15 mg. </w:t>
      </w:r>
      <w:r w:rsidR="00BB0767" w:rsidRPr="00B74B0F">
        <w:rPr>
          <w:szCs w:val="22"/>
          <w:lang w:val="sr-Latn-ME"/>
        </w:rPr>
        <w:t xml:space="preserve"> </w:t>
      </w:r>
      <w:r w:rsidR="00906CF8" w:rsidRPr="00B74B0F">
        <w:rPr>
          <w:szCs w:val="22"/>
          <w:lang w:val="sr-Latn-ME"/>
        </w:rPr>
        <w:t xml:space="preserve">Preporučuje se povremeno </w:t>
      </w:r>
      <w:r w:rsidR="00BB0767" w:rsidRPr="00B74B0F">
        <w:rPr>
          <w:szCs w:val="22"/>
          <w:lang w:val="sr-Latn-ME"/>
        </w:rPr>
        <w:t>uraditi</w:t>
      </w:r>
      <w:r w:rsidR="00906CF8" w:rsidRPr="00B74B0F">
        <w:rPr>
          <w:szCs w:val="22"/>
          <w:lang w:val="sr-Latn-ME"/>
        </w:rPr>
        <w:t xml:space="preserve"> pregled</w:t>
      </w:r>
      <w:r w:rsidRPr="00B74B0F">
        <w:rPr>
          <w:szCs w:val="22"/>
          <w:lang w:val="sr-Latn-ME"/>
        </w:rPr>
        <w:t xml:space="preserve"> kože</w:t>
      </w:r>
      <w:r w:rsidR="00906CF8" w:rsidRPr="00B74B0F">
        <w:rPr>
          <w:szCs w:val="22"/>
          <w:lang w:val="sr-Latn-ME"/>
        </w:rPr>
        <w:t xml:space="preserve"> </w:t>
      </w:r>
      <w:r w:rsidRPr="00B74B0F">
        <w:rPr>
          <w:szCs w:val="22"/>
          <w:lang w:val="sr-Latn-ME"/>
        </w:rPr>
        <w:t>kod</w:t>
      </w:r>
      <w:r w:rsidR="004D42A6" w:rsidRPr="00B74B0F">
        <w:rPr>
          <w:szCs w:val="22"/>
          <w:lang w:val="sr-Latn-ME"/>
        </w:rPr>
        <w:t xml:space="preserve"> svih pacijenata, a naročito kod</w:t>
      </w:r>
      <w:r w:rsidR="00906CF8" w:rsidRPr="00B74B0F">
        <w:rPr>
          <w:szCs w:val="22"/>
          <w:lang w:val="sr-Latn-ME"/>
        </w:rPr>
        <w:t xml:space="preserve"> </w:t>
      </w:r>
      <w:r w:rsidR="00BB59FC" w:rsidRPr="00B74B0F">
        <w:rPr>
          <w:szCs w:val="22"/>
          <w:lang w:val="sr-Latn-ME"/>
        </w:rPr>
        <w:t>pacijenata</w:t>
      </w:r>
      <w:r w:rsidR="00906CF8" w:rsidRPr="00B74B0F">
        <w:rPr>
          <w:szCs w:val="22"/>
          <w:lang w:val="sr-Latn-ME"/>
        </w:rPr>
        <w:t xml:space="preserve"> s</w:t>
      </w:r>
      <w:r w:rsidR="005A1470" w:rsidRPr="00B74B0F">
        <w:rPr>
          <w:szCs w:val="22"/>
          <w:lang w:val="sr-Latn-ME"/>
        </w:rPr>
        <w:t>a</w:t>
      </w:r>
      <w:r w:rsidR="00906CF8" w:rsidRPr="00B74B0F">
        <w:rPr>
          <w:szCs w:val="22"/>
          <w:lang w:val="sr-Latn-ME"/>
        </w:rPr>
        <w:t xml:space="preserve"> povećanim rizikom od </w:t>
      </w:r>
      <w:r w:rsidR="00092E28" w:rsidRPr="00B74B0F">
        <w:rPr>
          <w:szCs w:val="22"/>
          <w:lang w:val="sr-Latn-ME"/>
        </w:rPr>
        <w:t>karcinom</w:t>
      </w:r>
      <w:r w:rsidR="00906CF8" w:rsidRPr="00B74B0F">
        <w:rPr>
          <w:szCs w:val="22"/>
          <w:lang w:val="sr-Latn-ME"/>
        </w:rPr>
        <w:t>a kože.</w:t>
      </w:r>
    </w:p>
    <w:p w14:paraId="682D44CE" w14:textId="77777777" w:rsidR="009922FB" w:rsidRPr="00B74B0F" w:rsidRDefault="009922FB">
      <w:pPr>
        <w:shd w:val="clear" w:color="auto" w:fill="FFFFFF"/>
        <w:spacing w:line="240" w:lineRule="auto"/>
        <w:contextualSpacing/>
        <w:jc w:val="both"/>
        <w:rPr>
          <w:szCs w:val="22"/>
          <w:lang w:val="sr-Latn-ME"/>
        </w:rPr>
      </w:pPr>
    </w:p>
    <w:p w14:paraId="2BB58B9F" w14:textId="77777777" w:rsidR="00C52279" w:rsidRPr="00B74B0F" w:rsidRDefault="00906CF8">
      <w:pPr>
        <w:keepNext/>
        <w:shd w:val="clear" w:color="auto" w:fill="FFFFFF"/>
        <w:spacing w:line="240" w:lineRule="auto"/>
        <w:contextualSpacing/>
        <w:jc w:val="both"/>
        <w:rPr>
          <w:szCs w:val="22"/>
          <w:u w:val="single"/>
          <w:lang w:val="sr-Latn-ME"/>
        </w:rPr>
      </w:pPr>
      <w:r w:rsidRPr="00B74B0F">
        <w:rPr>
          <w:szCs w:val="22"/>
          <w:u w:val="single"/>
          <w:lang w:val="sr-Latn-ME"/>
        </w:rPr>
        <w:t xml:space="preserve">Odstupanja </w:t>
      </w:r>
      <w:r w:rsidR="00770CF7" w:rsidRPr="00B74B0F">
        <w:rPr>
          <w:szCs w:val="22"/>
          <w:u w:val="single"/>
          <w:lang w:val="sr-Latn-ME"/>
        </w:rPr>
        <w:t xml:space="preserve">vrijednosti </w:t>
      </w:r>
      <w:r w:rsidRPr="00B74B0F">
        <w:rPr>
          <w:szCs w:val="22"/>
          <w:u w:val="single"/>
          <w:lang w:val="sr-Latn-ME"/>
        </w:rPr>
        <w:t xml:space="preserve">hematoloških </w:t>
      </w:r>
      <w:r w:rsidR="00770CF7" w:rsidRPr="00B74B0F">
        <w:rPr>
          <w:szCs w:val="22"/>
          <w:u w:val="single"/>
          <w:lang w:val="sr-Latn-ME"/>
        </w:rPr>
        <w:t>parametara</w:t>
      </w:r>
    </w:p>
    <w:p w14:paraId="6EBA251B" w14:textId="77777777" w:rsidR="00427218" w:rsidRPr="00B74B0F" w:rsidRDefault="00427218">
      <w:pPr>
        <w:keepNext/>
        <w:shd w:val="clear" w:color="auto" w:fill="FFFFFF"/>
        <w:spacing w:line="240" w:lineRule="auto"/>
        <w:contextualSpacing/>
        <w:jc w:val="both"/>
        <w:rPr>
          <w:szCs w:val="22"/>
          <w:u w:val="single"/>
          <w:lang w:val="sr-Latn-ME"/>
        </w:rPr>
      </w:pPr>
    </w:p>
    <w:p w14:paraId="762E6E8C" w14:textId="289B7F5B" w:rsidR="00427218" w:rsidRPr="00B74B0F" w:rsidRDefault="00427218">
      <w:pPr>
        <w:shd w:val="clear" w:color="auto" w:fill="FFFFFF"/>
        <w:spacing w:line="240" w:lineRule="auto"/>
        <w:contextualSpacing/>
        <w:jc w:val="both"/>
        <w:rPr>
          <w:szCs w:val="22"/>
          <w:lang w:val="sr-Latn-ME"/>
        </w:rPr>
      </w:pPr>
      <w:r w:rsidRPr="00B74B0F">
        <w:rPr>
          <w:szCs w:val="22"/>
          <w:lang w:val="sr-Latn-ME"/>
        </w:rPr>
        <w:t>Apsolutni broj neutrofila (ABN) &lt; 1 x 10</w:t>
      </w:r>
      <w:r w:rsidRPr="00B74B0F">
        <w:rPr>
          <w:szCs w:val="22"/>
          <w:vertAlign w:val="superscript"/>
          <w:lang w:val="sr-Latn-ME"/>
        </w:rPr>
        <w:t>9</w:t>
      </w:r>
      <w:r w:rsidRPr="00B74B0F">
        <w:rPr>
          <w:szCs w:val="22"/>
          <w:lang w:val="sr-Latn-ME"/>
        </w:rPr>
        <w:t> </w:t>
      </w:r>
      <w:r w:rsidR="009A3D0B" w:rsidRPr="00B74B0F">
        <w:rPr>
          <w:szCs w:val="22"/>
          <w:lang w:val="sr-Latn-ME"/>
        </w:rPr>
        <w:t>ćelija</w:t>
      </w:r>
      <w:r w:rsidRPr="00B74B0F">
        <w:rPr>
          <w:szCs w:val="22"/>
          <w:lang w:val="sr-Latn-ME"/>
        </w:rPr>
        <w:t>/l, apsolutni broj limfocita (ABL) &lt; 0,5 x 10</w:t>
      </w:r>
      <w:r w:rsidRPr="00B74B0F">
        <w:rPr>
          <w:szCs w:val="22"/>
          <w:vertAlign w:val="superscript"/>
          <w:lang w:val="sr-Latn-ME"/>
        </w:rPr>
        <w:t>9 </w:t>
      </w:r>
      <w:r w:rsidR="009A3D0B" w:rsidRPr="00B74B0F">
        <w:rPr>
          <w:szCs w:val="22"/>
          <w:lang w:val="sr-Latn-ME"/>
        </w:rPr>
        <w:t>ćelij</w:t>
      </w:r>
      <w:r w:rsidRPr="00B74B0F">
        <w:rPr>
          <w:szCs w:val="22"/>
          <w:lang w:val="sr-Latn-ME"/>
        </w:rPr>
        <w:t xml:space="preserve">a/l i </w:t>
      </w:r>
      <w:r w:rsidR="009A3D0B" w:rsidRPr="00B74B0F">
        <w:rPr>
          <w:szCs w:val="22"/>
          <w:lang w:val="sr-Latn-ME"/>
        </w:rPr>
        <w:t>vrij</w:t>
      </w:r>
      <w:r w:rsidR="007A61FD" w:rsidRPr="00B74B0F">
        <w:rPr>
          <w:szCs w:val="22"/>
          <w:lang w:val="sr-Latn-ME"/>
        </w:rPr>
        <w:t>e</w:t>
      </w:r>
      <w:r w:rsidR="009A3D0B" w:rsidRPr="00B74B0F">
        <w:rPr>
          <w:szCs w:val="22"/>
          <w:lang w:val="sr-Latn-ME"/>
        </w:rPr>
        <w:t>dnosti</w:t>
      </w:r>
      <w:r w:rsidRPr="00B74B0F">
        <w:rPr>
          <w:szCs w:val="22"/>
          <w:lang w:val="sr-Latn-ME"/>
        </w:rPr>
        <w:t xml:space="preserve"> hemoglobina &lt; 8 g/dl </w:t>
      </w:r>
      <w:r w:rsidR="007A61FD" w:rsidRPr="00B74B0F">
        <w:rPr>
          <w:szCs w:val="22"/>
          <w:lang w:val="sr-Latn-ME"/>
        </w:rPr>
        <w:t xml:space="preserve">su </w:t>
      </w:r>
      <w:r w:rsidRPr="00B74B0F">
        <w:rPr>
          <w:szCs w:val="22"/>
          <w:lang w:val="sr-Latn-ME"/>
        </w:rPr>
        <w:t xml:space="preserve">prijavljeni </w:t>
      </w:r>
      <w:r w:rsidR="007A61FD" w:rsidRPr="00B74B0F">
        <w:rPr>
          <w:szCs w:val="22"/>
          <w:lang w:val="sr-Latn-ME"/>
        </w:rPr>
        <w:t>kod</w:t>
      </w:r>
      <w:r w:rsidRPr="00B74B0F">
        <w:rPr>
          <w:szCs w:val="22"/>
          <w:lang w:val="sr-Latn-ME"/>
        </w:rPr>
        <w:t xml:space="preserve"> ≤ 1% </w:t>
      </w:r>
      <w:r w:rsidR="00BB59FC" w:rsidRPr="00B74B0F">
        <w:rPr>
          <w:szCs w:val="22"/>
          <w:lang w:val="sr-Latn-ME"/>
        </w:rPr>
        <w:t>pacijenata</w:t>
      </w:r>
      <w:r w:rsidRPr="00B74B0F">
        <w:rPr>
          <w:szCs w:val="22"/>
          <w:lang w:val="sr-Latn-ME"/>
        </w:rPr>
        <w:t xml:space="preserve"> u kliničkim ispitivanjima</w:t>
      </w:r>
      <w:r w:rsidR="00C1755B" w:rsidRPr="00B74B0F">
        <w:rPr>
          <w:szCs w:val="22"/>
          <w:lang w:val="sr-Latn-ME"/>
        </w:rPr>
        <w:t xml:space="preserve"> (vidjeti </w:t>
      </w:r>
      <w:r w:rsidR="00C1755B" w:rsidRPr="00B74B0F">
        <w:rPr>
          <w:szCs w:val="22"/>
          <w:lang w:val="sr-Latn-ME"/>
        </w:rPr>
        <w:lastRenderedPageBreak/>
        <w:t>dio 4.8)</w:t>
      </w:r>
      <w:r w:rsidRPr="00B74B0F">
        <w:rPr>
          <w:szCs w:val="22"/>
          <w:lang w:val="sr-Latn-ME"/>
        </w:rPr>
        <w:t xml:space="preserve">. Liječenje se ne smije započeti ili se mora privremeno prekinuti </w:t>
      </w:r>
      <w:r w:rsidR="009A3D0B"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w:t>
      </w:r>
      <w:r w:rsidR="009A3D0B" w:rsidRPr="00B74B0F">
        <w:rPr>
          <w:szCs w:val="22"/>
          <w:lang w:val="sr-Latn-ME"/>
        </w:rPr>
        <w:t>kod</w:t>
      </w:r>
      <w:r w:rsidRPr="00B74B0F">
        <w:rPr>
          <w:szCs w:val="22"/>
          <w:lang w:val="sr-Latn-ME"/>
        </w:rPr>
        <w:t xml:space="preserve"> kojih se </w:t>
      </w:r>
      <w:r w:rsidR="007A61FD" w:rsidRPr="00B74B0F">
        <w:rPr>
          <w:szCs w:val="22"/>
          <w:lang w:val="sr-Latn-ME"/>
        </w:rPr>
        <w:t>za vrijeme</w:t>
      </w:r>
      <w:r w:rsidRPr="00B74B0F">
        <w:rPr>
          <w:szCs w:val="22"/>
          <w:lang w:val="sr-Latn-ME"/>
        </w:rPr>
        <w:t xml:space="preserve"> rutinsk</w:t>
      </w:r>
      <w:r w:rsidR="006D0CB3" w:rsidRPr="00B74B0F">
        <w:rPr>
          <w:szCs w:val="22"/>
          <w:lang w:val="sr-Latn-ME"/>
        </w:rPr>
        <w:t>ih postupaka u sklopu</w:t>
      </w:r>
      <w:r w:rsidR="00770CF7" w:rsidRPr="00B74B0F">
        <w:rPr>
          <w:szCs w:val="22"/>
          <w:lang w:val="sr-Latn-ME"/>
        </w:rPr>
        <w:t xml:space="preserve"> </w:t>
      </w:r>
      <w:r w:rsidR="006D0CB3" w:rsidRPr="00B74B0F">
        <w:rPr>
          <w:szCs w:val="22"/>
          <w:lang w:val="sr-Latn-ME"/>
        </w:rPr>
        <w:t>liječenja</w:t>
      </w:r>
      <w:r w:rsidR="00770CF7" w:rsidRPr="00B74B0F">
        <w:rPr>
          <w:szCs w:val="22"/>
          <w:lang w:val="sr-Latn-ME"/>
        </w:rPr>
        <w:t xml:space="preserve"> </w:t>
      </w:r>
      <w:r w:rsidRPr="00B74B0F">
        <w:rPr>
          <w:szCs w:val="22"/>
          <w:lang w:val="sr-Latn-ME"/>
        </w:rPr>
        <w:t>utvrdi ABN &lt; 1 x 10</w:t>
      </w:r>
      <w:r w:rsidRPr="00B74B0F">
        <w:rPr>
          <w:szCs w:val="22"/>
          <w:vertAlign w:val="superscript"/>
          <w:lang w:val="sr-Latn-ME"/>
        </w:rPr>
        <w:t>9</w:t>
      </w:r>
      <w:r w:rsidRPr="00B74B0F">
        <w:rPr>
          <w:szCs w:val="22"/>
          <w:lang w:val="sr-Latn-ME"/>
        </w:rPr>
        <w:t> </w:t>
      </w:r>
      <w:r w:rsidR="009A3D0B" w:rsidRPr="00B74B0F">
        <w:rPr>
          <w:szCs w:val="22"/>
          <w:lang w:val="sr-Latn-ME"/>
        </w:rPr>
        <w:t>ćelija</w:t>
      </w:r>
      <w:r w:rsidRPr="00B74B0F">
        <w:rPr>
          <w:szCs w:val="22"/>
          <w:lang w:val="sr-Latn-ME"/>
        </w:rPr>
        <w:t>/l, ABL &lt; 0,5 x 10</w:t>
      </w:r>
      <w:r w:rsidRPr="00B74B0F">
        <w:rPr>
          <w:szCs w:val="22"/>
          <w:vertAlign w:val="superscript"/>
          <w:lang w:val="sr-Latn-ME"/>
        </w:rPr>
        <w:t>9</w:t>
      </w:r>
      <w:r w:rsidRPr="00B74B0F">
        <w:rPr>
          <w:szCs w:val="22"/>
          <w:lang w:val="sr-Latn-ME"/>
        </w:rPr>
        <w:t> </w:t>
      </w:r>
      <w:r w:rsidR="009A3D0B" w:rsidRPr="00B74B0F">
        <w:rPr>
          <w:szCs w:val="22"/>
          <w:lang w:val="sr-Latn-ME"/>
        </w:rPr>
        <w:t>ćelija</w:t>
      </w:r>
      <w:r w:rsidRPr="00B74B0F">
        <w:rPr>
          <w:szCs w:val="22"/>
          <w:lang w:val="sr-Latn-ME"/>
        </w:rPr>
        <w:t xml:space="preserve">/l ili </w:t>
      </w:r>
      <w:r w:rsidR="009A3D0B" w:rsidRPr="00B74B0F">
        <w:rPr>
          <w:szCs w:val="22"/>
          <w:lang w:val="sr-Latn-ME"/>
        </w:rPr>
        <w:t>vrijednosti</w:t>
      </w:r>
      <w:r w:rsidRPr="00B74B0F">
        <w:rPr>
          <w:szCs w:val="22"/>
          <w:lang w:val="sr-Latn-ME"/>
        </w:rPr>
        <w:t xml:space="preserve"> hemoglobina &lt; 8 g/dl (vidjeti dio 4.2).</w:t>
      </w:r>
    </w:p>
    <w:p w14:paraId="7071999A" w14:textId="645E142F" w:rsidR="00AC5283" w:rsidRPr="00B74B0F" w:rsidRDefault="00AC5283">
      <w:pPr>
        <w:shd w:val="clear" w:color="auto" w:fill="FFFFFF"/>
        <w:spacing w:line="240" w:lineRule="auto"/>
        <w:contextualSpacing/>
        <w:jc w:val="both"/>
        <w:rPr>
          <w:szCs w:val="22"/>
          <w:lang w:val="sr-Latn-ME"/>
        </w:rPr>
      </w:pPr>
    </w:p>
    <w:p w14:paraId="08394611" w14:textId="2A8117A0" w:rsidR="00AC5283" w:rsidRPr="00B74B0F" w:rsidRDefault="008157A2">
      <w:pPr>
        <w:shd w:val="clear" w:color="auto" w:fill="FFFFFF"/>
        <w:spacing w:line="240" w:lineRule="auto"/>
        <w:contextualSpacing/>
        <w:jc w:val="both"/>
        <w:rPr>
          <w:szCs w:val="22"/>
          <w:u w:val="single"/>
          <w:lang w:val="sr-Latn-ME"/>
        </w:rPr>
      </w:pPr>
      <w:r w:rsidRPr="00B74B0F">
        <w:rPr>
          <w:noProof/>
          <w:szCs w:val="22"/>
          <w:u w:val="single"/>
          <w:lang w:val="sr-Latn-ME"/>
        </w:rPr>
        <w:t xml:space="preserve">Gastrointestinalne perforacije </w:t>
      </w:r>
    </w:p>
    <w:p w14:paraId="7A0AACB1" w14:textId="77777777" w:rsidR="00A66F55" w:rsidRPr="00B74B0F" w:rsidRDefault="00A66F55">
      <w:pPr>
        <w:shd w:val="clear" w:color="auto" w:fill="FFFFFF"/>
        <w:spacing w:line="240" w:lineRule="auto"/>
        <w:contextualSpacing/>
        <w:jc w:val="both"/>
        <w:rPr>
          <w:szCs w:val="22"/>
          <w:u w:val="single"/>
          <w:lang w:val="sr-Latn-ME"/>
        </w:rPr>
      </w:pPr>
    </w:p>
    <w:p w14:paraId="0567C49F" w14:textId="16D776DE" w:rsidR="004D42A6" w:rsidRPr="00B74B0F" w:rsidRDefault="00E80361">
      <w:pPr>
        <w:shd w:val="clear" w:color="auto" w:fill="FFFFFF"/>
        <w:spacing w:line="240" w:lineRule="auto"/>
        <w:contextualSpacing/>
        <w:jc w:val="both"/>
        <w:rPr>
          <w:szCs w:val="22"/>
          <w:lang w:val="sr-Latn-ME"/>
        </w:rPr>
      </w:pPr>
      <w:r w:rsidRPr="00B74B0F">
        <w:rPr>
          <w:szCs w:val="22"/>
          <w:lang w:val="sr-Latn-ME"/>
        </w:rPr>
        <w:t xml:space="preserve">Zabilježeni su slučajevi divertikulitisa </w:t>
      </w:r>
      <w:r w:rsidR="004D42A6" w:rsidRPr="00B74B0F">
        <w:rPr>
          <w:szCs w:val="22"/>
          <w:lang w:val="sr-Latn-ME"/>
        </w:rPr>
        <w:t xml:space="preserve">i gastrointestinalnih perforacija </w:t>
      </w:r>
      <w:r w:rsidRPr="00B74B0F">
        <w:rPr>
          <w:szCs w:val="22"/>
          <w:lang w:val="sr-Latn-ME"/>
        </w:rPr>
        <w:t xml:space="preserve">u kliničkim ispitivanjima </w:t>
      </w:r>
      <w:r w:rsidR="004D42A6" w:rsidRPr="00B74B0F">
        <w:rPr>
          <w:szCs w:val="22"/>
          <w:lang w:val="sr-Latn-ME"/>
        </w:rPr>
        <w:t xml:space="preserve">i   </w:t>
      </w:r>
      <w:r w:rsidRPr="00B74B0F">
        <w:rPr>
          <w:szCs w:val="22"/>
          <w:lang w:val="sr-Latn-ME"/>
        </w:rPr>
        <w:t xml:space="preserve">nakon stavljanja lijeka u  promet. </w:t>
      </w:r>
    </w:p>
    <w:p w14:paraId="76972494" w14:textId="6544E60A" w:rsidR="00CA7EB5" w:rsidRPr="00B74B0F" w:rsidRDefault="00E80361">
      <w:pPr>
        <w:shd w:val="clear" w:color="auto" w:fill="FFFFFF"/>
        <w:spacing w:line="240" w:lineRule="auto"/>
        <w:contextualSpacing/>
        <w:jc w:val="both"/>
        <w:rPr>
          <w:szCs w:val="22"/>
          <w:lang w:val="sr-Latn-ME"/>
        </w:rPr>
      </w:pPr>
      <w:r w:rsidRPr="00B74B0F">
        <w:rPr>
          <w:szCs w:val="22"/>
          <w:lang w:val="sr-Latn-ME"/>
        </w:rPr>
        <w:t xml:space="preserve">Upadacitinib treba oprezno primjenjivati kod </w:t>
      </w:r>
      <w:r w:rsidR="00181042" w:rsidRPr="00B74B0F">
        <w:rPr>
          <w:szCs w:val="22"/>
          <w:lang w:val="sr-Latn-ME"/>
        </w:rPr>
        <w:t>pacijenata</w:t>
      </w:r>
      <w:r w:rsidRPr="00B74B0F">
        <w:rPr>
          <w:szCs w:val="22"/>
          <w:lang w:val="sr-Latn-ME"/>
        </w:rPr>
        <w:t xml:space="preserve"> s</w:t>
      </w:r>
      <w:r w:rsidR="004D42A6" w:rsidRPr="00B74B0F">
        <w:rPr>
          <w:noProof/>
          <w:szCs w:val="22"/>
          <w:lang w:val="sr-Latn-ME"/>
        </w:rPr>
        <w:t xml:space="preserve">a </w:t>
      </w:r>
      <w:r w:rsidR="00260376" w:rsidRPr="00B74B0F">
        <w:rPr>
          <w:noProof/>
          <w:szCs w:val="22"/>
          <w:lang w:val="sr-Latn-ME"/>
        </w:rPr>
        <w:t xml:space="preserve">mogućim rizikom </w:t>
      </w:r>
      <w:r w:rsidR="00260376" w:rsidRPr="00B74B0F">
        <w:rPr>
          <w:szCs w:val="22"/>
          <w:lang w:val="sr-Latn-ME"/>
        </w:rPr>
        <w:t>od</w:t>
      </w:r>
      <w:r w:rsidR="00260376" w:rsidRPr="00B74B0F">
        <w:rPr>
          <w:noProof/>
          <w:szCs w:val="22"/>
          <w:lang w:val="sr-Latn-ME"/>
        </w:rPr>
        <w:t xml:space="preserve"> gastrointestinalne perforacije (npr. </w:t>
      </w:r>
      <w:r w:rsidR="00191AC8" w:rsidRPr="00B74B0F">
        <w:rPr>
          <w:noProof/>
          <w:szCs w:val="22"/>
          <w:lang w:val="sr-Latn-ME"/>
        </w:rPr>
        <w:t>pacijen</w:t>
      </w:r>
      <w:r w:rsidR="00AB77FD" w:rsidRPr="00B74B0F">
        <w:rPr>
          <w:noProof/>
          <w:szCs w:val="22"/>
          <w:lang w:val="sr-Latn-ME"/>
        </w:rPr>
        <w:t>t</w:t>
      </w:r>
      <w:r w:rsidR="00191AC8" w:rsidRPr="00B74B0F">
        <w:rPr>
          <w:noProof/>
          <w:szCs w:val="22"/>
          <w:lang w:val="sr-Latn-ME"/>
        </w:rPr>
        <w:t xml:space="preserve">i </w:t>
      </w:r>
      <w:r w:rsidR="00260376" w:rsidRPr="00B74B0F">
        <w:rPr>
          <w:noProof/>
          <w:szCs w:val="22"/>
          <w:lang w:val="sr-Latn-ME"/>
        </w:rPr>
        <w:t>s</w:t>
      </w:r>
      <w:r w:rsidR="004D42A6" w:rsidRPr="00B74B0F">
        <w:rPr>
          <w:noProof/>
          <w:szCs w:val="22"/>
          <w:lang w:val="sr-Latn-ME"/>
        </w:rPr>
        <w:t>a</w:t>
      </w:r>
      <w:r w:rsidR="00260376" w:rsidRPr="00B74B0F">
        <w:rPr>
          <w:noProof/>
          <w:szCs w:val="22"/>
          <w:lang w:val="sr-Latn-ME"/>
        </w:rPr>
        <w:t xml:space="preserve"> divertikularnom bolešću, divertikulitisom u anamnezi ili </w:t>
      </w:r>
      <w:r w:rsidR="00AB77FD" w:rsidRPr="00B74B0F">
        <w:rPr>
          <w:noProof/>
          <w:szCs w:val="22"/>
          <w:lang w:val="sr-Latn-ME"/>
        </w:rPr>
        <w:t xml:space="preserve">pacijenti </w:t>
      </w:r>
      <w:r w:rsidR="00260376" w:rsidRPr="00B74B0F">
        <w:rPr>
          <w:noProof/>
          <w:szCs w:val="22"/>
          <w:lang w:val="sr-Latn-ME"/>
        </w:rPr>
        <w:t xml:space="preserve">koji uzimaju nesteroidne antiinflamatorne lijekove (NSAIL), kortikosteroide ili opioide). Kod </w:t>
      </w:r>
      <w:r w:rsidR="008A0023" w:rsidRPr="00B74B0F">
        <w:rPr>
          <w:noProof/>
          <w:szCs w:val="22"/>
          <w:lang w:val="sr-Latn-ME"/>
        </w:rPr>
        <w:t xml:space="preserve">pacijenata </w:t>
      </w:r>
      <w:r w:rsidR="00260376" w:rsidRPr="00B74B0F">
        <w:rPr>
          <w:noProof/>
          <w:szCs w:val="22"/>
          <w:lang w:val="sr-Latn-ME"/>
        </w:rPr>
        <w:t>s</w:t>
      </w:r>
      <w:r w:rsidR="004D42A6" w:rsidRPr="00B74B0F">
        <w:rPr>
          <w:noProof/>
          <w:szCs w:val="22"/>
          <w:lang w:val="sr-Latn-ME"/>
        </w:rPr>
        <w:t>a</w:t>
      </w:r>
      <w:r w:rsidR="00260376" w:rsidRPr="00B74B0F">
        <w:rPr>
          <w:noProof/>
          <w:szCs w:val="22"/>
          <w:lang w:val="sr-Latn-ME"/>
        </w:rPr>
        <w:t xml:space="preserve"> aktivnom </w:t>
      </w:r>
      <w:r w:rsidR="00AB77FD" w:rsidRPr="00B74B0F">
        <w:rPr>
          <w:noProof/>
          <w:szCs w:val="22"/>
          <w:lang w:val="sr-Latn-ME"/>
        </w:rPr>
        <w:t>K</w:t>
      </w:r>
      <w:r w:rsidR="00260376" w:rsidRPr="00B74B0F">
        <w:rPr>
          <w:noProof/>
          <w:szCs w:val="22"/>
          <w:lang w:val="sr-Latn-ME"/>
        </w:rPr>
        <w:t>r</w:t>
      </w:r>
      <w:r w:rsidR="00AB77FD" w:rsidRPr="00B74B0F">
        <w:rPr>
          <w:noProof/>
          <w:szCs w:val="22"/>
          <w:lang w:val="sr-Latn-ME"/>
        </w:rPr>
        <w:t>o</w:t>
      </w:r>
      <w:r w:rsidR="00260376" w:rsidRPr="00B74B0F">
        <w:rPr>
          <w:noProof/>
          <w:szCs w:val="22"/>
          <w:lang w:val="sr-Latn-ME"/>
        </w:rPr>
        <w:t xml:space="preserve">novom bolešću povećan je rizik od nastanka perforacije crijeva. </w:t>
      </w:r>
      <w:r w:rsidR="00181042" w:rsidRPr="00B74B0F">
        <w:rPr>
          <w:szCs w:val="22"/>
          <w:lang w:val="sr-Latn-ME"/>
        </w:rPr>
        <w:t>Pacijent</w:t>
      </w:r>
      <w:r w:rsidRPr="00B74B0F">
        <w:rPr>
          <w:szCs w:val="22"/>
          <w:lang w:val="sr-Latn-ME"/>
        </w:rPr>
        <w:t>e  kod kojih se pojave novi abdominalni zna</w:t>
      </w:r>
      <w:r w:rsidR="00A66F55" w:rsidRPr="00B74B0F">
        <w:rPr>
          <w:szCs w:val="22"/>
          <w:lang w:val="sr-Latn-ME"/>
        </w:rPr>
        <w:t xml:space="preserve">ci </w:t>
      </w:r>
      <w:r w:rsidR="002A76C6" w:rsidRPr="00B74B0F">
        <w:rPr>
          <w:szCs w:val="22"/>
          <w:lang w:val="sr-Latn-ME"/>
        </w:rPr>
        <w:t>i simptomi potrebno je hitno pregledati radi rane identifikacije divertikulitisa</w:t>
      </w:r>
      <w:r w:rsidR="009D34C0" w:rsidRPr="00B74B0F">
        <w:rPr>
          <w:szCs w:val="22"/>
          <w:lang w:val="sr-Latn-ME"/>
        </w:rPr>
        <w:t xml:space="preserve"> ili gastrointestinalne perforacije. </w:t>
      </w:r>
    </w:p>
    <w:p w14:paraId="6E53E6DE" w14:textId="77777777" w:rsidR="00C52279" w:rsidRPr="00B74B0F" w:rsidRDefault="00C52279">
      <w:pPr>
        <w:shd w:val="clear" w:color="auto" w:fill="FFFFFF"/>
        <w:spacing w:line="240" w:lineRule="auto"/>
        <w:contextualSpacing/>
        <w:jc w:val="both"/>
        <w:rPr>
          <w:szCs w:val="22"/>
          <w:lang w:val="sr-Latn-ME"/>
        </w:rPr>
      </w:pPr>
    </w:p>
    <w:p w14:paraId="6DBD25B3" w14:textId="1F39F4D0" w:rsidR="007B0971" w:rsidRPr="00B74B0F" w:rsidRDefault="004D42A6">
      <w:pPr>
        <w:keepNext/>
        <w:shd w:val="clear" w:color="auto" w:fill="FFFFFF"/>
        <w:spacing w:line="240" w:lineRule="auto"/>
        <w:contextualSpacing/>
        <w:jc w:val="both"/>
        <w:rPr>
          <w:szCs w:val="22"/>
          <w:u w:val="single"/>
          <w:lang w:val="sr-Latn-ME"/>
        </w:rPr>
      </w:pPr>
      <w:r w:rsidRPr="00B74B0F">
        <w:rPr>
          <w:szCs w:val="22"/>
          <w:u w:val="single"/>
          <w:lang w:val="sr-Latn-ME"/>
        </w:rPr>
        <w:t>Veliki kardiovaskularni neželjeni događaji</w:t>
      </w:r>
    </w:p>
    <w:p w14:paraId="0C5C2C8E" w14:textId="77777777" w:rsidR="007B0971" w:rsidRPr="00B74B0F" w:rsidRDefault="007B0971">
      <w:pPr>
        <w:keepNext/>
        <w:shd w:val="clear" w:color="auto" w:fill="FFFFFF"/>
        <w:spacing w:line="240" w:lineRule="auto"/>
        <w:contextualSpacing/>
        <w:jc w:val="both"/>
        <w:rPr>
          <w:szCs w:val="22"/>
          <w:lang w:val="sr-Latn-ME"/>
        </w:rPr>
      </w:pPr>
    </w:p>
    <w:p w14:paraId="32C496AD" w14:textId="0A31B72B" w:rsidR="004D42A6" w:rsidRPr="00B74B0F" w:rsidRDefault="004D42A6">
      <w:pPr>
        <w:shd w:val="clear" w:color="auto" w:fill="FFFFFF"/>
        <w:spacing w:line="240" w:lineRule="auto"/>
        <w:contextualSpacing/>
        <w:jc w:val="both"/>
        <w:rPr>
          <w:szCs w:val="22"/>
          <w:lang w:val="sr-Latn-ME"/>
        </w:rPr>
      </w:pPr>
      <w:r w:rsidRPr="00B74B0F">
        <w:rPr>
          <w:szCs w:val="22"/>
          <w:lang w:val="sr-Latn-ME"/>
        </w:rPr>
        <w:t>U kliničkim ispitivanjima upadacitiniba primijećeni su slučajevi MACE</w:t>
      </w:r>
      <w:r w:rsidR="007B0971" w:rsidRPr="00B74B0F">
        <w:rPr>
          <w:szCs w:val="22"/>
          <w:lang w:val="sr-Latn-ME"/>
        </w:rPr>
        <w:t xml:space="preserve">. </w:t>
      </w:r>
    </w:p>
    <w:p w14:paraId="262E9486" w14:textId="77777777" w:rsidR="004D42A6" w:rsidRPr="00B74B0F" w:rsidRDefault="004D42A6">
      <w:pPr>
        <w:shd w:val="clear" w:color="auto" w:fill="FFFFFF"/>
        <w:spacing w:line="240" w:lineRule="auto"/>
        <w:contextualSpacing/>
        <w:jc w:val="both"/>
        <w:rPr>
          <w:szCs w:val="22"/>
          <w:lang w:val="sr-Latn-ME"/>
        </w:rPr>
      </w:pPr>
    </w:p>
    <w:p w14:paraId="084B549D" w14:textId="6B2C706A" w:rsidR="00DB1EA0" w:rsidRPr="00B74B0F" w:rsidRDefault="00B35DA5">
      <w:pPr>
        <w:shd w:val="clear" w:color="auto" w:fill="FFFFFF"/>
        <w:spacing w:line="240" w:lineRule="auto"/>
        <w:contextualSpacing/>
        <w:jc w:val="both"/>
        <w:rPr>
          <w:szCs w:val="22"/>
          <w:lang w:val="sr-Latn-ME"/>
        </w:rPr>
      </w:pPr>
      <w:r w:rsidRPr="00B74B0F">
        <w:rPr>
          <w:szCs w:val="22"/>
          <w:lang w:val="sr-Latn-ME"/>
        </w:rPr>
        <w:t xml:space="preserve">U velikom randomizovanom, aktivno kontrolisanom ispitivanju tofacitiniba (drugog JAK inhibitora) kod pacijenata sa reumatoidnim artritisom starosti od 50 godina i više s najmanje jednim dodatnim faktorom kardiovaskularnog rizika, veća stopa rizika od velikih kardiovaskularnih štetnih događaja (MACE), definisanih kao kardiovaskularna smrt, infarkt miokarda bez smrtnog ishoda i moždani udar bez smrtnog ishoda, </w:t>
      </w:r>
      <w:r w:rsidR="00DB1EA0" w:rsidRPr="00B74B0F">
        <w:rPr>
          <w:szCs w:val="22"/>
          <w:lang w:val="sr-Latn-ME"/>
        </w:rPr>
        <w:t>primijećena je s</w:t>
      </w:r>
      <w:r w:rsidR="004D42A6" w:rsidRPr="00B74B0F">
        <w:rPr>
          <w:szCs w:val="22"/>
          <w:lang w:val="sr-Latn-ME"/>
        </w:rPr>
        <w:t>a</w:t>
      </w:r>
      <w:r w:rsidR="00DB1EA0" w:rsidRPr="00B74B0F">
        <w:rPr>
          <w:szCs w:val="22"/>
          <w:lang w:val="sr-Latn-ME"/>
        </w:rPr>
        <w:t xml:space="preserve"> tofacitinibom u poređenju sa TNF inhibitorima. </w:t>
      </w:r>
    </w:p>
    <w:p w14:paraId="6C7D67E9" w14:textId="77777777" w:rsidR="00DB1EA0" w:rsidRPr="00B74B0F" w:rsidRDefault="00DB1EA0">
      <w:pPr>
        <w:shd w:val="clear" w:color="auto" w:fill="FFFFFF"/>
        <w:spacing w:line="240" w:lineRule="auto"/>
        <w:contextualSpacing/>
        <w:jc w:val="both"/>
        <w:rPr>
          <w:szCs w:val="22"/>
          <w:lang w:val="sr-Latn-ME"/>
        </w:rPr>
      </w:pPr>
    </w:p>
    <w:p w14:paraId="4726060C" w14:textId="423C36C0" w:rsidR="007B0971" w:rsidRPr="00B74B0F" w:rsidRDefault="00DB1EA0">
      <w:pPr>
        <w:shd w:val="clear" w:color="auto" w:fill="FFFFFF"/>
        <w:spacing w:line="240" w:lineRule="auto"/>
        <w:contextualSpacing/>
        <w:jc w:val="both"/>
        <w:rPr>
          <w:szCs w:val="22"/>
          <w:lang w:val="sr-Latn-ME"/>
        </w:rPr>
      </w:pPr>
      <w:r w:rsidRPr="00B74B0F">
        <w:rPr>
          <w:szCs w:val="22"/>
          <w:lang w:val="sr-Latn-ME"/>
        </w:rPr>
        <w:t>Stoga, kod pacijenata starosti od 65 godina i starijih, pacijenata koji su sadašnji ili bivši dugogodišnji pušači, te pacijenata sa aterosklerotsk</w:t>
      </w:r>
      <w:r w:rsidR="004D42A6" w:rsidRPr="00B74B0F">
        <w:rPr>
          <w:szCs w:val="22"/>
          <w:lang w:val="sr-Latn-ME"/>
        </w:rPr>
        <w:t>im</w:t>
      </w:r>
      <w:r w:rsidRPr="00B74B0F">
        <w:rPr>
          <w:szCs w:val="22"/>
          <w:lang w:val="sr-Latn-ME"/>
        </w:rPr>
        <w:t xml:space="preserve"> kardiovaskularn</w:t>
      </w:r>
      <w:r w:rsidR="004D42A6" w:rsidRPr="00B74B0F">
        <w:rPr>
          <w:szCs w:val="22"/>
          <w:lang w:val="sr-Latn-ME"/>
        </w:rPr>
        <w:t>im</w:t>
      </w:r>
      <w:r w:rsidRPr="00B74B0F">
        <w:rPr>
          <w:szCs w:val="22"/>
          <w:lang w:val="sr-Latn-ME"/>
        </w:rPr>
        <w:t xml:space="preserve"> oboljenj</w:t>
      </w:r>
      <w:r w:rsidR="004D42A6" w:rsidRPr="00B74B0F">
        <w:rPr>
          <w:szCs w:val="22"/>
          <w:lang w:val="sr-Latn-ME"/>
        </w:rPr>
        <w:t>ima u anamnezi</w:t>
      </w:r>
      <w:r w:rsidRPr="00B74B0F">
        <w:rPr>
          <w:szCs w:val="22"/>
          <w:lang w:val="sr-Latn-ME"/>
        </w:rPr>
        <w:t xml:space="preserve"> ili sa drugim kardiovaskularnim faktorima rizika, upadacitinib se smije primjenjivati samo ako nijesu dostupne prikladne </w:t>
      </w:r>
      <w:r w:rsidR="004D42A6" w:rsidRPr="00B74B0F">
        <w:rPr>
          <w:szCs w:val="22"/>
          <w:lang w:val="sr-Latn-ME"/>
        </w:rPr>
        <w:t>alternativne</w:t>
      </w:r>
      <w:r w:rsidRPr="00B74B0F">
        <w:rPr>
          <w:szCs w:val="22"/>
          <w:lang w:val="sr-Latn-ME"/>
        </w:rPr>
        <w:t xml:space="preserve"> terapije za liječenje pacijenata. </w:t>
      </w:r>
    </w:p>
    <w:p w14:paraId="6327ABD9" w14:textId="77777777" w:rsidR="007B0971" w:rsidRPr="00B74B0F" w:rsidRDefault="007B0971">
      <w:pPr>
        <w:keepNext/>
        <w:shd w:val="clear" w:color="auto" w:fill="FFFFFF"/>
        <w:spacing w:line="240" w:lineRule="auto"/>
        <w:contextualSpacing/>
        <w:jc w:val="both"/>
        <w:rPr>
          <w:szCs w:val="22"/>
          <w:u w:val="single"/>
          <w:lang w:val="sr-Latn-ME"/>
        </w:rPr>
      </w:pPr>
    </w:p>
    <w:p w14:paraId="23CCD626" w14:textId="24581B9A" w:rsidR="008052F9" w:rsidRPr="00B74B0F" w:rsidRDefault="00906CF8">
      <w:pPr>
        <w:keepNext/>
        <w:shd w:val="clear" w:color="auto" w:fill="FFFFFF"/>
        <w:spacing w:line="240" w:lineRule="auto"/>
        <w:contextualSpacing/>
        <w:jc w:val="both"/>
        <w:rPr>
          <w:szCs w:val="22"/>
          <w:u w:val="single"/>
          <w:lang w:val="sr-Latn-ME"/>
        </w:rPr>
      </w:pPr>
      <w:r w:rsidRPr="00B74B0F">
        <w:rPr>
          <w:szCs w:val="22"/>
          <w:u w:val="single"/>
          <w:lang w:val="sr-Latn-ME"/>
        </w:rPr>
        <w:t xml:space="preserve">Lipidi </w:t>
      </w:r>
    </w:p>
    <w:p w14:paraId="04404141" w14:textId="77777777" w:rsidR="008052F9" w:rsidRPr="00B74B0F" w:rsidRDefault="008052F9">
      <w:pPr>
        <w:keepNext/>
        <w:shd w:val="clear" w:color="auto" w:fill="FFFFFF"/>
        <w:spacing w:line="240" w:lineRule="auto"/>
        <w:contextualSpacing/>
        <w:jc w:val="both"/>
        <w:rPr>
          <w:b/>
          <w:szCs w:val="22"/>
          <w:lang w:val="sr-Latn-ME"/>
        </w:rPr>
      </w:pPr>
    </w:p>
    <w:p w14:paraId="30141F19" w14:textId="7C884B9C" w:rsidR="00E97048" w:rsidRPr="00B74B0F" w:rsidRDefault="00906CF8">
      <w:pPr>
        <w:tabs>
          <w:tab w:val="clear" w:pos="567"/>
        </w:tabs>
        <w:autoSpaceDE w:val="0"/>
        <w:autoSpaceDN w:val="0"/>
        <w:adjustRightInd w:val="0"/>
        <w:spacing w:line="240" w:lineRule="auto"/>
        <w:contextualSpacing/>
        <w:jc w:val="both"/>
        <w:rPr>
          <w:szCs w:val="22"/>
          <w:lang w:val="sr-Latn-ME"/>
        </w:rPr>
      </w:pPr>
      <w:r w:rsidRPr="00B74B0F">
        <w:rPr>
          <w:szCs w:val="22"/>
          <w:lang w:val="sr-Latn-ME"/>
        </w:rPr>
        <w:t>Liječenje</w:t>
      </w:r>
      <w:r w:rsidR="009A3D0B" w:rsidRPr="00B74B0F">
        <w:rPr>
          <w:szCs w:val="22"/>
          <w:lang w:val="sr-Latn-ME"/>
        </w:rPr>
        <w:t xml:space="preserve"> </w:t>
      </w:r>
      <w:r w:rsidRPr="00B74B0F">
        <w:rPr>
          <w:szCs w:val="22"/>
          <w:lang w:val="sr-Latn-ME"/>
        </w:rPr>
        <w:t>upadacitinib</w:t>
      </w:r>
      <w:r w:rsidR="006B670F" w:rsidRPr="00B74B0F">
        <w:rPr>
          <w:szCs w:val="22"/>
          <w:lang w:val="sr-Latn-ME"/>
        </w:rPr>
        <w:t>om</w:t>
      </w:r>
      <w:r w:rsidRPr="00B74B0F">
        <w:rPr>
          <w:szCs w:val="22"/>
          <w:lang w:val="sr-Latn-ME"/>
        </w:rPr>
        <w:t xml:space="preserve"> bilo je povezano s</w:t>
      </w:r>
      <w:r w:rsidR="00BB59FC" w:rsidRPr="00B74B0F">
        <w:rPr>
          <w:szCs w:val="22"/>
          <w:lang w:val="sr-Latn-ME"/>
        </w:rPr>
        <w:t>a</w:t>
      </w:r>
      <w:r w:rsidRPr="00B74B0F">
        <w:rPr>
          <w:szCs w:val="22"/>
          <w:lang w:val="sr-Latn-ME"/>
        </w:rPr>
        <w:t xml:space="preserve"> povišenim vrijednostima lipidnih parametara,</w:t>
      </w:r>
      <w:r w:rsidR="004D42A6" w:rsidRPr="00B74B0F">
        <w:rPr>
          <w:szCs w:val="22"/>
          <w:lang w:val="sr-Latn-ME"/>
        </w:rPr>
        <w:t xml:space="preserve"> zavisno od doze</w:t>
      </w:r>
      <w:r w:rsidRPr="00B74B0F">
        <w:rPr>
          <w:szCs w:val="22"/>
          <w:lang w:val="sr-Latn-ME"/>
        </w:rPr>
        <w:t xml:space="preserve"> uključujući ukupni </w:t>
      </w:r>
      <w:r w:rsidR="009A3D0B" w:rsidRPr="00B74B0F">
        <w:rPr>
          <w:szCs w:val="22"/>
          <w:lang w:val="sr-Latn-ME"/>
        </w:rPr>
        <w:t>h</w:t>
      </w:r>
      <w:r w:rsidRPr="00B74B0F">
        <w:rPr>
          <w:szCs w:val="22"/>
          <w:lang w:val="sr-Latn-ME"/>
        </w:rPr>
        <w:t xml:space="preserve">olesterol, </w:t>
      </w:r>
      <w:r w:rsidR="009A3D0B" w:rsidRPr="00B74B0F">
        <w:rPr>
          <w:szCs w:val="22"/>
          <w:lang w:val="sr-Latn-ME"/>
        </w:rPr>
        <w:t>h</w:t>
      </w:r>
      <w:r w:rsidRPr="00B74B0F">
        <w:rPr>
          <w:szCs w:val="22"/>
          <w:lang w:val="sr-Latn-ME"/>
        </w:rPr>
        <w:t>olesterol lipoproteina male gust</w:t>
      </w:r>
      <w:r w:rsidR="006B670F" w:rsidRPr="00B74B0F">
        <w:rPr>
          <w:szCs w:val="22"/>
          <w:lang w:val="sr-Latn-ME"/>
        </w:rPr>
        <w:t>ine</w:t>
      </w:r>
      <w:r w:rsidRPr="00B74B0F">
        <w:rPr>
          <w:szCs w:val="22"/>
          <w:lang w:val="sr-Latn-ME"/>
        </w:rPr>
        <w:t xml:space="preserve"> (LDL) i </w:t>
      </w:r>
      <w:r w:rsidR="009A3D0B" w:rsidRPr="00B74B0F">
        <w:rPr>
          <w:szCs w:val="22"/>
          <w:lang w:val="sr-Latn-ME"/>
        </w:rPr>
        <w:t>h</w:t>
      </w:r>
      <w:r w:rsidRPr="00B74B0F">
        <w:rPr>
          <w:szCs w:val="22"/>
          <w:lang w:val="sr-Latn-ME"/>
        </w:rPr>
        <w:t>olesterol lipoproteina velike gust</w:t>
      </w:r>
      <w:r w:rsidR="006B670F" w:rsidRPr="00B74B0F">
        <w:rPr>
          <w:szCs w:val="22"/>
          <w:lang w:val="sr-Latn-ME"/>
        </w:rPr>
        <w:t>ine</w:t>
      </w:r>
      <w:r w:rsidRPr="00B74B0F">
        <w:rPr>
          <w:szCs w:val="22"/>
          <w:lang w:val="sr-Latn-ME"/>
        </w:rPr>
        <w:t xml:space="preserve"> (HDL) (vidjeti dio 4.8).</w:t>
      </w:r>
      <w:r w:rsidR="00A66F55" w:rsidRPr="00B74B0F">
        <w:rPr>
          <w:szCs w:val="22"/>
          <w:lang w:val="sr-Latn-ME"/>
        </w:rPr>
        <w:t xml:space="preserve"> </w:t>
      </w:r>
      <w:r w:rsidR="00302B51" w:rsidRPr="00B74B0F">
        <w:rPr>
          <w:szCs w:val="22"/>
          <w:lang w:val="sr-Latn-ME"/>
        </w:rPr>
        <w:t>T</w:t>
      </w:r>
      <w:r w:rsidRPr="00B74B0F">
        <w:rPr>
          <w:szCs w:val="22"/>
          <w:lang w:val="sr-Latn-ME"/>
        </w:rPr>
        <w:t>erapija statinima snizila je povišene vrijednosti LDL</w:t>
      </w:r>
      <w:r w:rsidRPr="00B74B0F">
        <w:rPr>
          <w:szCs w:val="22"/>
          <w:lang w:val="sr-Latn-ME"/>
        </w:rPr>
        <w:noBreakHyphen/>
      </w:r>
      <w:r w:rsidR="009A3D0B" w:rsidRPr="00B74B0F">
        <w:rPr>
          <w:szCs w:val="22"/>
          <w:lang w:val="sr-Latn-ME"/>
        </w:rPr>
        <w:t>h</w:t>
      </w:r>
      <w:r w:rsidRPr="00B74B0F">
        <w:rPr>
          <w:szCs w:val="22"/>
          <w:lang w:val="sr-Latn-ME"/>
        </w:rPr>
        <w:t xml:space="preserve">olesterola na </w:t>
      </w:r>
      <w:r w:rsidR="009A3D0B" w:rsidRPr="00B74B0F">
        <w:rPr>
          <w:szCs w:val="22"/>
          <w:lang w:val="sr-Latn-ME"/>
        </w:rPr>
        <w:t>vrijednosti</w:t>
      </w:r>
      <w:r w:rsidRPr="00B74B0F">
        <w:rPr>
          <w:szCs w:val="22"/>
          <w:lang w:val="sr-Latn-ME"/>
        </w:rPr>
        <w:t xml:space="preserve"> </w:t>
      </w:r>
      <w:r w:rsidR="00770CF7" w:rsidRPr="00B74B0F">
        <w:rPr>
          <w:szCs w:val="22"/>
          <w:lang w:val="sr-Latn-ME"/>
        </w:rPr>
        <w:t>zabilježene</w:t>
      </w:r>
      <w:r w:rsidRPr="00B74B0F">
        <w:rPr>
          <w:szCs w:val="22"/>
          <w:lang w:val="sr-Latn-ME"/>
        </w:rPr>
        <w:t xml:space="preserve"> prije početka liječenja</w:t>
      </w:r>
      <w:r w:rsidR="00302B51" w:rsidRPr="00B74B0F">
        <w:rPr>
          <w:szCs w:val="22"/>
          <w:lang w:val="sr-Latn-ME"/>
        </w:rPr>
        <w:t>, iako su dokazi ograničeni.</w:t>
      </w:r>
      <w:r w:rsidRPr="00B74B0F">
        <w:rPr>
          <w:szCs w:val="22"/>
          <w:lang w:val="sr-Latn-ME"/>
        </w:rPr>
        <w:t xml:space="preserve"> </w:t>
      </w:r>
      <w:r w:rsidR="006B670F" w:rsidRPr="00B74B0F">
        <w:rPr>
          <w:szCs w:val="22"/>
          <w:lang w:val="sr-Latn-ME"/>
        </w:rPr>
        <w:t xml:space="preserve">Efekat </w:t>
      </w:r>
      <w:r w:rsidR="00302B51" w:rsidRPr="00B74B0F">
        <w:rPr>
          <w:szCs w:val="22"/>
          <w:lang w:val="sr-Latn-ME"/>
        </w:rPr>
        <w:t>ovog povišenja</w:t>
      </w:r>
      <w:r w:rsidRPr="00B74B0F">
        <w:rPr>
          <w:szCs w:val="22"/>
          <w:lang w:val="sr-Latn-ME"/>
        </w:rPr>
        <w:t xml:space="preserve"> vrijednosti lipidnih parametara na</w:t>
      </w:r>
      <w:r w:rsidR="00302B51" w:rsidRPr="00B74B0F">
        <w:rPr>
          <w:szCs w:val="22"/>
          <w:lang w:val="sr-Latn-ME"/>
        </w:rPr>
        <w:t xml:space="preserve"> </w:t>
      </w:r>
      <w:r w:rsidRPr="00B74B0F">
        <w:rPr>
          <w:szCs w:val="22"/>
          <w:lang w:val="sr-Latn-ME"/>
        </w:rPr>
        <w:t>kardiovaskularni</w:t>
      </w:r>
      <w:r w:rsidR="00302B51" w:rsidRPr="00B74B0F">
        <w:rPr>
          <w:szCs w:val="22"/>
          <w:lang w:val="sr-Latn-ME"/>
        </w:rPr>
        <w:t xml:space="preserve"> morbiditet i mortalitet </w:t>
      </w:r>
      <w:r w:rsidRPr="00B74B0F">
        <w:rPr>
          <w:szCs w:val="22"/>
          <w:lang w:val="sr-Latn-ME"/>
        </w:rPr>
        <w:t>još</w:t>
      </w:r>
      <w:r w:rsidR="00A66F55" w:rsidRPr="00B74B0F">
        <w:rPr>
          <w:szCs w:val="22"/>
          <w:lang w:val="sr-Latn-ME"/>
        </w:rPr>
        <w:t xml:space="preserve"> </w:t>
      </w:r>
      <w:r w:rsidRPr="00B74B0F">
        <w:rPr>
          <w:szCs w:val="22"/>
          <w:lang w:val="sr-Latn-ME"/>
        </w:rPr>
        <w:t xml:space="preserve">nije utvrđen </w:t>
      </w:r>
      <w:r w:rsidR="00C1755B" w:rsidRPr="00B74B0F">
        <w:rPr>
          <w:szCs w:val="22"/>
          <w:lang w:val="sr-Latn-ME"/>
        </w:rPr>
        <w:t>(</w:t>
      </w:r>
      <w:r w:rsidRPr="00B74B0F">
        <w:rPr>
          <w:szCs w:val="22"/>
          <w:lang w:val="sr-Latn-ME"/>
        </w:rPr>
        <w:t>vidjeti dio 4.2</w:t>
      </w:r>
      <w:r w:rsidR="00302B51" w:rsidRPr="00B74B0F">
        <w:rPr>
          <w:szCs w:val="22"/>
          <w:lang w:val="sr-Latn-ME"/>
        </w:rPr>
        <w:t xml:space="preserve"> smjernice za praćenje</w:t>
      </w:r>
      <w:r w:rsidR="00C1755B" w:rsidRPr="00B74B0F">
        <w:rPr>
          <w:szCs w:val="22"/>
          <w:lang w:val="sr-Latn-ME"/>
        </w:rPr>
        <w:t>)</w:t>
      </w:r>
      <w:r w:rsidRPr="00B74B0F">
        <w:rPr>
          <w:szCs w:val="22"/>
          <w:lang w:val="sr-Latn-ME"/>
        </w:rPr>
        <w:t>.</w:t>
      </w:r>
    </w:p>
    <w:p w14:paraId="0EF9DCAC" w14:textId="77777777" w:rsidR="00394CBC" w:rsidRPr="00B74B0F" w:rsidRDefault="00394CBC">
      <w:pPr>
        <w:tabs>
          <w:tab w:val="clear" w:pos="567"/>
        </w:tabs>
        <w:autoSpaceDE w:val="0"/>
        <w:autoSpaceDN w:val="0"/>
        <w:adjustRightInd w:val="0"/>
        <w:spacing w:line="240" w:lineRule="auto"/>
        <w:contextualSpacing/>
        <w:jc w:val="both"/>
        <w:rPr>
          <w:szCs w:val="22"/>
          <w:lang w:val="sr-Latn-ME"/>
        </w:rPr>
      </w:pPr>
    </w:p>
    <w:p w14:paraId="22937D1D" w14:textId="56F2EC1D" w:rsidR="00394CBC" w:rsidRPr="00B74B0F" w:rsidRDefault="00906CF8">
      <w:pPr>
        <w:keepNext/>
        <w:shd w:val="clear" w:color="auto" w:fill="FFFFFF"/>
        <w:spacing w:line="240" w:lineRule="auto"/>
        <w:contextualSpacing/>
        <w:jc w:val="both"/>
        <w:rPr>
          <w:szCs w:val="22"/>
          <w:u w:val="single"/>
          <w:lang w:val="sr-Latn-ME"/>
        </w:rPr>
      </w:pPr>
      <w:r w:rsidRPr="00B74B0F">
        <w:rPr>
          <w:szCs w:val="22"/>
          <w:u w:val="single"/>
          <w:lang w:val="sr-Latn-ME"/>
        </w:rPr>
        <w:t>Pov</w:t>
      </w:r>
      <w:r w:rsidR="006E79C7" w:rsidRPr="00B74B0F">
        <w:rPr>
          <w:szCs w:val="22"/>
          <w:u w:val="single"/>
          <w:lang w:val="sr-Latn-ME"/>
        </w:rPr>
        <w:t xml:space="preserve">išene </w:t>
      </w:r>
      <w:r w:rsidR="00A178F4" w:rsidRPr="00B74B0F">
        <w:rPr>
          <w:szCs w:val="22"/>
          <w:u w:val="single"/>
          <w:lang w:val="sr-Latn-ME"/>
        </w:rPr>
        <w:t xml:space="preserve">vrijednosti </w:t>
      </w:r>
      <w:r w:rsidR="006E79C7" w:rsidRPr="00B74B0F">
        <w:rPr>
          <w:szCs w:val="22"/>
          <w:u w:val="single"/>
          <w:lang w:val="sr-Latn-ME"/>
        </w:rPr>
        <w:t>transaminaze</w:t>
      </w:r>
      <w:r w:rsidRPr="00B74B0F">
        <w:rPr>
          <w:szCs w:val="22"/>
          <w:u w:val="single"/>
          <w:lang w:val="sr-Latn-ME"/>
        </w:rPr>
        <w:t xml:space="preserve"> jetre</w:t>
      </w:r>
    </w:p>
    <w:p w14:paraId="0F339815" w14:textId="77777777" w:rsidR="00394CBC" w:rsidRPr="00B74B0F" w:rsidRDefault="00394CBC">
      <w:pPr>
        <w:keepNext/>
        <w:shd w:val="clear" w:color="auto" w:fill="FFFFFF"/>
        <w:spacing w:line="240" w:lineRule="auto"/>
        <w:contextualSpacing/>
        <w:jc w:val="both"/>
        <w:rPr>
          <w:szCs w:val="22"/>
          <w:lang w:val="sr-Latn-ME"/>
        </w:rPr>
      </w:pPr>
    </w:p>
    <w:p w14:paraId="3795380F" w14:textId="5B972D16" w:rsidR="00394CBC" w:rsidRPr="00B74B0F" w:rsidRDefault="00906CF8">
      <w:pPr>
        <w:autoSpaceDE w:val="0"/>
        <w:autoSpaceDN w:val="0"/>
        <w:adjustRightInd w:val="0"/>
        <w:spacing w:line="240" w:lineRule="auto"/>
        <w:contextualSpacing/>
        <w:jc w:val="both"/>
        <w:rPr>
          <w:rFonts w:eastAsia="SimSun"/>
          <w:szCs w:val="22"/>
          <w:lang w:val="sr-Latn-ME"/>
        </w:rPr>
      </w:pPr>
      <w:r w:rsidRPr="00B74B0F">
        <w:rPr>
          <w:szCs w:val="22"/>
          <w:lang w:val="sr-Latn-ME"/>
        </w:rPr>
        <w:t>Liječenje</w:t>
      </w:r>
      <w:r w:rsidR="009A3D0B" w:rsidRPr="00B74B0F">
        <w:rPr>
          <w:szCs w:val="22"/>
          <w:lang w:val="sr-Latn-ME"/>
        </w:rPr>
        <w:t xml:space="preserve"> </w:t>
      </w:r>
      <w:r w:rsidRPr="00B74B0F">
        <w:rPr>
          <w:szCs w:val="22"/>
          <w:lang w:val="sr-Latn-ME"/>
        </w:rPr>
        <w:t>upadacitinib</w:t>
      </w:r>
      <w:r w:rsidR="006B670F" w:rsidRPr="00B74B0F">
        <w:rPr>
          <w:szCs w:val="22"/>
          <w:lang w:val="sr-Latn-ME"/>
        </w:rPr>
        <w:t>om</w:t>
      </w:r>
      <w:r w:rsidR="009A3D0B" w:rsidRPr="00B74B0F">
        <w:rPr>
          <w:szCs w:val="22"/>
          <w:lang w:val="sr-Latn-ME"/>
        </w:rPr>
        <w:t xml:space="preserve"> je</w:t>
      </w:r>
      <w:r w:rsidRPr="00B74B0F">
        <w:rPr>
          <w:szCs w:val="22"/>
          <w:lang w:val="sr-Latn-ME"/>
        </w:rPr>
        <w:t xml:space="preserve"> bilo povezano</w:t>
      </w:r>
      <w:r w:rsidR="006E79C7" w:rsidRPr="00B74B0F">
        <w:rPr>
          <w:szCs w:val="22"/>
          <w:lang w:val="sr-Latn-ME"/>
        </w:rPr>
        <w:t xml:space="preserve"> </w:t>
      </w:r>
      <w:r w:rsidRPr="00B74B0F">
        <w:rPr>
          <w:szCs w:val="22"/>
          <w:lang w:val="sr-Latn-ME"/>
        </w:rPr>
        <w:t>s</w:t>
      </w:r>
      <w:r w:rsidR="00BB59FC" w:rsidRPr="00B74B0F">
        <w:rPr>
          <w:szCs w:val="22"/>
          <w:lang w:val="sr-Latn-ME"/>
        </w:rPr>
        <w:t>a</w:t>
      </w:r>
      <w:r w:rsidRPr="00B74B0F">
        <w:rPr>
          <w:szCs w:val="22"/>
          <w:lang w:val="sr-Latn-ME"/>
        </w:rPr>
        <w:t xml:space="preserve"> poveća</w:t>
      </w:r>
      <w:r w:rsidR="006E79C7" w:rsidRPr="00B74B0F">
        <w:rPr>
          <w:szCs w:val="22"/>
          <w:lang w:val="sr-Latn-ME"/>
        </w:rPr>
        <w:t>nom učestalošću</w:t>
      </w:r>
      <w:r w:rsidRPr="00B74B0F">
        <w:rPr>
          <w:szCs w:val="22"/>
          <w:lang w:val="sr-Latn-ME"/>
        </w:rPr>
        <w:t xml:space="preserve"> po</w:t>
      </w:r>
      <w:r w:rsidR="006E79C7" w:rsidRPr="00B74B0F">
        <w:rPr>
          <w:szCs w:val="22"/>
          <w:lang w:val="sr-Latn-ME"/>
        </w:rPr>
        <w:t>rasta</w:t>
      </w:r>
      <w:r w:rsidRPr="00B74B0F">
        <w:rPr>
          <w:szCs w:val="22"/>
          <w:lang w:val="sr-Latn-ME"/>
        </w:rPr>
        <w:t xml:space="preserve"> enzima</w:t>
      </w:r>
      <w:r w:rsidR="009A3D0B" w:rsidRPr="00B74B0F">
        <w:rPr>
          <w:szCs w:val="22"/>
          <w:lang w:val="sr-Latn-ME"/>
        </w:rPr>
        <w:t xml:space="preserve"> jetre</w:t>
      </w:r>
      <w:r w:rsidRPr="00B74B0F">
        <w:rPr>
          <w:szCs w:val="22"/>
          <w:lang w:val="sr-Latn-ME"/>
        </w:rPr>
        <w:t xml:space="preserve"> u </w:t>
      </w:r>
      <w:r w:rsidR="009A3D0B" w:rsidRPr="00B74B0F">
        <w:rPr>
          <w:szCs w:val="22"/>
          <w:lang w:val="sr-Latn-ME"/>
        </w:rPr>
        <w:t>poređenju</w:t>
      </w:r>
      <w:r w:rsidRPr="00B74B0F">
        <w:rPr>
          <w:szCs w:val="22"/>
          <w:lang w:val="sr-Latn-ME"/>
        </w:rPr>
        <w:t xml:space="preserve"> s</w:t>
      </w:r>
      <w:r w:rsidR="009A3D0B" w:rsidRPr="00B74B0F">
        <w:rPr>
          <w:szCs w:val="22"/>
          <w:lang w:val="sr-Latn-ME"/>
        </w:rPr>
        <w:t>a</w:t>
      </w:r>
      <w:r w:rsidRPr="00B74B0F">
        <w:rPr>
          <w:szCs w:val="22"/>
          <w:lang w:val="sr-Latn-ME"/>
        </w:rPr>
        <w:t xml:space="preserve"> placebom.</w:t>
      </w:r>
    </w:p>
    <w:p w14:paraId="72947B8D" w14:textId="51A99695" w:rsidR="00394CBC"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Vrijednosti</w:t>
      </w:r>
      <w:r w:rsidR="009A3D0B" w:rsidRPr="00B74B0F">
        <w:rPr>
          <w:szCs w:val="22"/>
          <w:lang w:val="sr-Latn-ME"/>
        </w:rPr>
        <w:t xml:space="preserve"> enzima</w:t>
      </w:r>
      <w:r w:rsidRPr="00B74B0F">
        <w:rPr>
          <w:szCs w:val="22"/>
          <w:lang w:val="sr-Latn-ME"/>
        </w:rPr>
        <w:t xml:space="preserve"> je</w:t>
      </w:r>
      <w:r w:rsidR="009A3D0B" w:rsidRPr="00B74B0F">
        <w:rPr>
          <w:szCs w:val="22"/>
          <w:lang w:val="sr-Latn-ME"/>
        </w:rPr>
        <w:t xml:space="preserve">tre </w:t>
      </w:r>
      <w:r w:rsidRPr="00B74B0F">
        <w:rPr>
          <w:szCs w:val="22"/>
          <w:lang w:val="sr-Latn-ME"/>
        </w:rPr>
        <w:t xml:space="preserve">treba utvrditi na početku liječenja, a zatim u skladu s rutinskim </w:t>
      </w:r>
      <w:r w:rsidR="006D0CB3" w:rsidRPr="00B74B0F">
        <w:rPr>
          <w:szCs w:val="22"/>
          <w:lang w:val="sr-Latn-ME"/>
        </w:rPr>
        <w:t xml:space="preserve">postupcima u </w:t>
      </w:r>
      <w:r w:rsidR="000434D6" w:rsidRPr="00B74B0F">
        <w:rPr>
          <w:szCs w:val="22"/>
          <w:lang w:val="sr-Latn-ME"/>
        </w:rPr>
        <w:t>toku</w:t>
      </w:r>
      <w:r w:rsidR="00A66F55" w:rsidRPr="00B74B0F">
        <w:rPr>
          <w:szCs w:val="22"/>
          <w:lang w:val="sr-Latn-ME"/>
        </w:rPr>
        <w:t xml:space="preserve"> </w:t>
      </w:r>
      <w:r w:rsidR="006D0CB3" w:rsidRPr="00B74B0F">
        <w:rPr>
          <w:szCs w:val="22"/>
          <w:lang w:val="sr-Latn-ME"/>
        </w:rPr>
        <w:t>liječenja</w:t>
      </w:r>
      <w:r w:rsidRPr="00B74B0F">
        <w:rPr>
          <w:szCs w:val="22"/>
          <w:lang w:val="sr-Latn-ME"/>
        </w:rPr>
        <w:t>. Preporučuje se odmah istražiti uzrok pov</w:t>
      </w:r>
      <w:r w:rsidR="000434D6" w:rsidRPr="00B74B0F">
        <w:rPr>
          <w:szCs w:val="22"/>
          <w:lang w:val="sr-Latn-ME"/>
        </w:rPr>
        <w:t>išenih</w:t>
      </w:r>
      <w:r w:rsidRPr="00B74B0F">
        <w:rPr>
          <w:szCs w:val="22"/>
          <w:lang w:val="sr-Latn-ME"/>
        </w:rPr>
        <w:t xml:space="preserve"> </w:t>
      </w:r>
      <w:r w:rsidR="00764597" w:rsidRPr="00B74B0F">
        <w:rPr>
          <w:szCs w:val="22"/>
          <w:lang w:val="sr-Latn-ME"/>
        </w:rPr>
        <w:t xml:space="preserve">enzima </w:t>
      </w:r>
      <w:r w:rsidRPr="00B74B0F">
        <w:rPr>
          <w:szCs w:val="22"/>
          <w:lang w:val="sr-Latn-ME"/>
        </w:rPr>
        <w:t xml:space="preserve">jetre kako bi se utvrdili </w:t>
      </w:r>
      <w:r w:rsidR="000434D6" w:rsidRPr="00B74B0F">
        <w:rPr>
          <w:szCs w:val="22"/>
          <w:lang w:val="sr-Latn-ME"/>
        </w:rPr>
        <w:t>potencijalni</w:t>
      </w:r>
      <w:r w:rsidRPr="00B74B0F">
        <w:rPr>
          <w:szCs w:val="22"/>
          <w:lang w:val="sr-Latn-ME"/>
        </w:rPr>
        <w:t xml:space="preserve"> slučajevi oštećenja jetre</w:t>
      </w:r>
      <w:r w:rsidR="000434D6" w:rsidRPr="00B74B0F">
        <w:rPr>
          <w:szCs w:val="22"/>
          <w:lang w:val="sr-Latn-ME"/>
        </w:rPr>
        <w:t xml:space="preserve"> izazvani</w:t>
      </w:r>
      <w:r w:rsidRPr="00B74B0F">
        <w:rPr>
          <w:szCs w:val="22"/>
          <w:lang w:val="sr-Latn-ME"/>
        </w:rPr>
        <w:t xml:space="preserve"> lijekom.</w:t>
      </w:r>
    </w:p>
    <w:p w14:paraId="4554C3D6" w14:textId="77777777" w:rsidR="00394CBC" w:rsidRPr="00B74B0F" w:rsidRDefault="00394CBC">
      <w:pPr>
        <w:autoSpaceDE w:val="0"/>
        <w:autoSpaceDN w:val="0"/>
        <w:adjustRightInd w:val="0"/>
        <w:spacing w:line="240" w:lineRule="auto"/>
        <w:contextualSpacing/>
        <w:jc w:val="both"/>
        <w:rPr>
          <w:rFonts w:eastAsia="SimSun"/>
          <w:szCs w:val="22"/>
          <w:lang w:val="sr-Latn-ME"/>
        </w:rPr>
      </w:pPr>
    </w:p>
    <w:p w14:paraId="5FE9CD12" w14:textId="6A7777F2" w:rsidR="00394CBC" w:rsidRPr="00B74B0F" w:rsidRDefault="00906CF8">
      <w:pPr>
        <w:shd w:val="clear" w:color="auto" w:fill="FFFFFF"/>
        <w:spacing w:line="240" w:lineRule="auto"/>
        <w:contextualSpacing/>
        <w:jc w:val="both"/>
        <w:rPr>
          <w:szCs w:val="22"/>
          <w:lang w:val="sr-Latn-ME"/>
        </w:rPr>
      </w:pPr>
      <w:r w:rsidRPr="00B74B0F">
        <w:rPr>
          <w:szCs w:val="22"/>
          <w:lang w:val="sr-Latn-ME"/>
        </w:rPr>
        <w:t>Ako se</w:t>
      </w:r>
      <w:r w:rsidR="000434D6" w:rsidRPr="00B74B0F">
        <w:rPr>
          <w:szCs w:val="22"/>
          <w:lang w:val="sr-Latn-ME"/>
        </w:rPr>
        <w:t xml:space="preserve"> kod </w:t>
      </w:r>
      <w:r w:rsidR="00BB59FC" w:rsidRPr="00B74B0F">
        <w:rPr>
          <w:szCs w:val="22"/>
          <w:lang w:val="sr-Latn-ME"/>
        </w:rPr>
        <w:t>pacijenata</w:t>
      </w:r>
      <w:r w:rsidR="000434D6" w:rsidRPr="00B74B0F">
        <w:rPr>
          <w:szCs w:val="22"/>
          <w:lang w:val="sr-Latn-ME"/>
        </w:rPr>
        <w:t xml:space="preserve"> prim</w:t>
      </w:r>
      <w:r w:rsidR="00A66F55" w:rsidRPr="00B74B0F">
        <w:rPr>
          <w:szCs w:val="22"/>
          <w:lang w:val="sr-Latn-ME"/>
        </w:rPr>
        <w:t>i</w:t>
      </w:r>
      <w:r w:rsidR="000434D6" w:rsidRPr="00B74B0F">
        <w:rPr>
          <w:szCs w:val="22"/>
          <w:lang w:val="sr-Latn-ME"/>
        </w:rPr>
        <w:t>jeti porast ALT-a ili AST-a</w:t>
      </w:r>
      <w:r w:rsidRPr="00B74B0F">
        <w:rPr>
          <w:szCs w:val="22"/>
          <w:lang w:val="sr-Latn-ME"/>
        </w:rPr>
        <w:t xml:space="preserve"> </w:t>
      </w:r>
      <w:r w:rsidR="000434D6" w:rsidRPr="00B74B0F">
        <w:rPr>
          <w:szCs w:val="22"/>
          <w:lang w:val="sr-Latn-ME"/>
        </w:rPr>
        <w:t>za vrijeme</w:t>
      </w:r>
      <w:r w:rsidRPr="00B74B0F">
        <w:rPr>
          <w:szCs w:val="22"/>
          <w:lang w:val="sr-Latn-ME"/>
        </w:rPr>
        <w:t xml:space="preserve"> </w:t>
      </w:r>
      <w:r w:rsidR="006D0CB3" w:rsidRPr="00B74B0F">
        <w:rPr>
          <w:szCs w:val="22"/>
          <w:lang w:val="sr-Latn-ME"/>
        </w:rPr>
        <w:t xml:space="preserve">rutinskih postupaka u </w:t>
      </w:r>
      <w:r w:rsidR="000434D6" w:rsidRPr="00B74B0F">
        <w:rPr>
          <w:szCs w:val="22"/>
          <w:lang w:val="sr-Latn-ME"/>
        </w:rPr>
        <w:t>toku</w:t>
      </w:r>
      <w:r w:rsidR="006D0CB3" w:rsidRPr="00B74B0F">
        <w:rPr>
          <w:szCs w:val="22"/>
          <w:lang w:val="sr-Latn-ME"/>
        </w:rPr>
        <w:t xml:space="preserve"> liječenja </w:t>
      </w:r>
      <w:r w:rsidRPr="00B74B0F">
        <w:rPr>
          <w:szCs w:val="22"/>
          <w:lang w:val="sr-Latn-ME"/>
        </w:rPr>
        <w:t xml:space="preserve">i posumnja na oštećenje jetre uzrokovano lijekom, </w:t>
      </w:r>
      <w:r w:rsidR="000434D6" w:rsidRPr="00B74B0F">
        <w:rPr>
          <w:szCs w:val="22"/>
          <w:lang w:val="sr-Latn-ME"/>
        </w:rPr>
        <w:t xml:space="preserve">liječenje </w:t>
      </w:r>
      <w:r w:rsidRPr="00B74B0F">
        <w:rPr>
          <w:szCs w:val="22"/>
          <w:lang w:val="sr-Latn-ME"/>
        </w:rPr>
        <w:t>upadacitinib</w:t>
      </w:r>
      <w:r w:rsidR="006B670F" w:rsidRPr="00B74B0F">
        <w:rPr>
          <w:szCs w:val="22"/>
          <w:lang w:val="sr-Latn-ME"/>
        </w:rPr>
        <w:t>om</w:t>
      </w:r>
      <w:r w:rsidRPr="00B74B0F">
        <w:rPr>
          <w:szCs w:val="22"/>
          <w:lang w:val="sr-Latn-ME"/>
        </w:rPr>
        <w:t xml:space="preserve"> treba prekinuti dok se ta dijagnoza ne isključi.</w:t>
      </w:r>
    </w:p>
    <w:p w14:paraId="276D0DB2" w14:textId="77777777" w:rsidR="00207C3C" w:rsidRPr="00B74B0F" w:rsidRDefault="00207C3C">
      <w:pPr>
        <w:tabs>
          <w:tab w:val="clear" w:pos="567"/>
        </w:tabs>
        <w:autoSpaceDE w:val="0"/>
        <w:autoSpaceDN w:val="0"/>
        <w:adjustRightInd w:val="0"/>
        <w:spacing w:line="240" w:lineRule="auto"/>
        <w:contextualSpacing/>
        <w:jc w:val="both"/>
        <w:rPr>
          <w:rFonts w:eastAsia="SimSun"/>
          <w:szCs w:val="22"/>
          <w:lang w:val="sr-Latn-ME"/>
        </w:rPr>
      </w:pPr>
    </w:p>
    <w:p w14:paraId="1DB33D8F" w14:textId="77777777" w:rsidR="003E579B" w:rsidRPr="00B74B0F" w:rsidRDefault="004B5E6F">
      <w:pPr>
        <w:pStyle w:val="Default"/>
        <w:keepNext/>
        <w:contextualSpacing/>
        <w:jc w:val="both"/>
        <w:rPr>
          <w:sz w:val="22"/>
          <w:szCs w:val="22"/>
          <w:u w:val="single"/>
          <w:lang w:val="sr-Latn-ME"/>
        </w:rPr>
      </w:pPr>
      <w:r w:rsidRPr="00B74B0F">
        <w:rPr>
          <w:sz w:val="22"/>
          <w:szCs w:val="22"/>
          <w:u w:val="single"/>
          <w:lang w:val="sr-Latn-ME"/>
        </w:rPr>
        <w:t>Venska tromboembolija</w:t>
      </w:r>
    </w:p>
    <w:p w14:paraId="004D4CE7" w14:textId="77777777" w:rsidR="00CC14D5" w:rsidRPr="00B74B0F" w:rsidRDefault="00CC14D5">
      <w:pPr>
        <w:pStyle w:val="Default"/>
        <w:keepNext/>
        <w:contextualSpacing/>
        <w:jc w:val="both"/>
        <w:rPr>
          <w:sz w:val="22"/>
          <w:szCs w:val="22"/>
          <w:lang w:val="sr-Latn-ME"/>
        </w:rPr>
      </w:pPr>
    </w:p>
    <w:p w14:paraId="27C4661C" w14:textId="18FF075F"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r w:rsidRPr="00B74B0F">
        <w:rPr>
          <w:szCs w:val="22"/>
          <w:lang w:val="sr-Latn-ME"/>
        </w:rPr>
        <w:t>U kliničkim ispitivanjima upadacitiniba, primijećeni su slučajevi duboke venske tromboze (DVT) i plućne embolije (PE).</w:t>
      </w:r>
    </w:p>
    <w:p w14:paraId="0ACA7FB7" w14:textId="3BF6106A"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p>
    <w:p w14:paraId="4CC18FE2" w14:textId="7E9E8F79"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r w:rsidRPr="00B74B0F">
        <w:rPr>
          <w:szCs w:val="22"/>
          <w:lang w:val="sr-Latn-ME"/>
        </w:rPr>
        <w:lastRenderedPageBreak/>
        <w:t>U velikom randomiziranom, aktivno kontrolisanom ispitivanju tofacitiniba (drugog JAK inhibitora) kod pacijenata sa reumatoidnim artritisom starosti od 50 i više godina sa najmanje jednim dodatnim faktorom</w:t>
      </w:r>
    </w:p>
    <w:p w14:paraId="38B9BF66" w14:textId="1B0B5178"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r w:rsidRPr="00B74B0F">
        <w:rPr>
          <w:szCs w:val="22"/>
          <w:lang w:val="sr-Latn-ME"/>
        </w:rPr>
        <w:t>kardiovaskularnog rizika, viša stopa VTE-a zavisna od doze, uključujući DVT i PE, primijećena je sa</w:t>
      </w:r>
    </w:p>
    <w:p w14:paraId="48F06DEB" w14:textId="18603AD2"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r w:rsidRPr="00B74B0F">
        <w:rPr>
          <w:szCs w:val="22"/>
          <w:lang w:val="sr-Latn-ME"/>
        </w:rPr>
        <w:t>tofacitinibom u poređenju sa TNF inhibitorima.</w:t>
      </w:r>
    </w:p>
    <w:p w14:paraId="3EBD5A3D" w14:textId="77777777"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p>
    <w:p w14:paraId="345E61AA" w14:textId="52047314"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r w:rsidRPr="00B74B0F">
        <w:rPr>
          <w:szCs w:val="22"/>
          <w:lang w:val="sr-Latn-ME"/>
        </w:rPr>
        <w:t>Kod pacijenata sa faktorima rizika od kardiovaskularnih ili malignih bolesti (vidjeti dio 4.4 „Veliki kardiovaskularni neželjeni događaji” i „Maligniteti”) upadacitinib se smije koristiti samo ako</w:t>
      </w:r>
    </w:p>
    <w:p w14:paraId="69E08B25" w14:textId="25A4BCED" w:rsidR="00820355" w:rsidRPr="00B74B0F" w:rsidRDefault="00820355" w:rsidP="00820355">
      <w:pPr>
        <w:tabs>
          <w:tab w:val="clear" w:pos="567"/>
        </w:tabs>
        <w:autoSpaceDE w:val="0"/>
        <w:autoSpaceDN w:val="0"/>
        <w:adjustRightInd w:val="0"/>
        <w:spacing w:line="240" w:lineRule="auto"/>
        <w:contextualSpacing/>
        <w:jc w:val="both"/>
        <w:rPr>
          <w:szCs w:val="22"/>
          <w:lang w:val="sr-Latn-ME"/>
        </w:rPr>
      </w:pPr>
      <w:r w:rsidRPr="00B74B0F">
        <w:rPr>
          <w:szCs w:val="22"/>
          <w:lang w:val="sr-Latn-ME"/>
        </w:rPr>
        <w:t>nijesu dostupne prikladne alternativne terapije za liječenje pacijenata.</w:t>
      </w:r>
    </w:p>
    <w:p w14:paraId="145528C9" w14:textId="77777777" w:rsidR="00820355" w:rsidRPr="00B74B0F" w:rsidRDefault="00820355">
      <w:pPr>
        <w:tabs>
          <w:tab w:val="clear" w:pos="567"/>
        </w:tabs>
        <w:autoSpaceDE w:val="0"/>
        <w:autoSpaceDN w:val="0"/>
        <w:adjustRightInd w:val="0"/>
        <w:spacing w:line="240" w:lineRule="auto"/>
        <w:contextualSpacing/>
        <w:jc w:val="both"/>
        <w:rPr>
          <w:szCs w:val="22"/>
          <w:lang w:val="sr-Latn-ME"/>
        </w:rPr>
      </w:pPr>
    </w:p>
    <w:p w14:paraId="2638E89E" w14:textId="6E477722" w:rsidR="00820355" w:rsidRPr="00B74B0F" w:rsidRDefault="00820355" w:rsidP="00585915">
      <w:pPr>
        <w:tabs>
          <w:tab w:val="clear" w:pos="567"/>
        </w:tabs>
        <w:autoSpaceDE w:val="0"/>
        <w:autoSpaceDN w:val="0"/>
        <w:adjustRightInd w:val="0"/>
        <w:spacing w:line="240" w:lineRule="auto"/>
        <w:contextualSpacing/>
        <w:jc w:val="both"/>
        <w:rPr>
          <w:szCs w:val="22"/>
          <w:lang w:val="sr-Latn-ME"/>
        </w:rPr>
      </w:pPr>
      <w:r w:rsidRPr="00B74B0F">
        <w:rPr>
          <w:szCs w:val="22"/>
          <w:lang w:val="sr-Latn-ME"/>
        </w:rPr>
        <w:t>Upadacitinib treba primjenjivati sa oprezom kod pacijenata sa poznatim faktorima rizika za VTE, izuzev</w:t>
      </w:r>
    </w:p>
    <w:p w14:paraId="0E7B77C1" w14:textId="64314018" w:rsidR="00820355" w:rsidRPr="00B74B0F" w:rsidRDefault="00820355" w:rsidP="002602C0">
      <w:pPr>
        <w:tabs>
          <w:tab w:val="clear" w:pos="567"/>
        </w:tabs>
        <w:autoSpaceDE w:val="0"/>
        <w:autoSpaceDN w:val="0"/>
        <w:adjustRightInd w:val="0"/>
        <w:spacing w:line="240" w:lineRule="auto"/>
        <w:contextualSpacing/>
        <w:jc w:val="both"/>
        <w:rPr>
          <w:szCs w:val="22"/>
          <w:lang w:val="sr-Latn-ME"/>
        </w:rPr>
      </w:pPr>
      <w:r w:rsidRPr="00B74B0F">
        <w:rPr>
          <w:szCs w:val="22"/>
          <w:lang w:val="sr-Latn-ME"/>
        </w:rPr>
        <w:t>faktora rizika za kardiovaskularne bolesti ili malignitete. Faktori rizika za VTE, izuzev faktora rizika za kardiovaskularne bolesti ili malignitete, uključuju prethodne VTE događaje, pacijente koji su podvrgnuti većem hirurškom zahvatu, imobilizaciju, korištenje kombinovanih hormonskih kontraceptiva ili hormonske supstitucione terapije i nasljedni poremećaj koagulacije. Tokom liječenja upadacitinibom, pacijente je potrebno povremeno ponovno procijeniti radi procjene promjena u riziku od VTE. Potrebno je odmah procijeniti pacijente sa znakovima i simptomima VTE te prekinuti primjenu upadacitiniba kod pacijenata sa sumnjom na VTE, bez obzira na dozu.</w:t>
      </w:r>
      <w:r w:rsidRPr="00B74B0F" w:rsidDel="00820355">
        <w:rPr>
          <w:szCs w:val="22"/>
          <w:lang w:val="sr-Latn-ME"/>
        </w:rPr>
        <w:t xml:space="preserve"> </w:t>
      </w:r>
    </w:p>
    <w:p w14:paraId="1A1FFA43" w14:textId="1C080F59" w:rsidR="003D384E" w:rsidRPr="00B74B0F" w:rsidRDefault="003D384E">
      <w:pPr>
        <w:tabs>
          <w:tab w:val="clear" w:pos="567"/>
        </w:tabs>
        <w:autoSpaceDE w:val="0"/>
        <w:autoSpaceDN w:val="0"/>
        <w:adjustRightInd w:val="0"/>
        <w:spacing w:line="240" w:lineRule="auto"/>
        <w:contextualSpacing/>
        <w:jc w:val="both"/>
        <w:rPr>
          <w:rFonts w:eastAsia="Malgun Gothic"/>
          <w:szCs w:val="22"/>
          <w:lang w:val="sr-Latn-ME"/>
        </w:rPr>
      </w:pPr>
    </w:p>
    <w:p w14:paraId="7C419C80" w14:textId="20103C07" w:rsidR="003D384E" w:rsidRPr="00B74B0F" w:rsidRDefault="003D384E">
      <w:pPr>
        <w:tabs>
          <w:tab w:val="clear" w:pos="567"/>
        </w:tabs>
        <w:autoSpaceDE w:val="0"/>
        <w:autoSpaceDN w:val="0"/>
        <w:adjustRightInd w:val="0"/>
        <w:spacing w:line="240" w:lineRule="auto"/>
        <w:contextualSpacing/>
        <w:jc w:val="both"/>
        <w:rPr>
          <w:rFonts w:eastAsia="Malgun Gothic"/>
          <w:szCs w:val="22"/>
          <w:u w:val="single"/>
          <w:lang w:val="sr-Latn-ME"/>
        </w:rPr>
      </w:pPr>
      <w:r w:rsidRPr="00B74B0F">
        <w:rPr>
          <w:rFonts w:eastAsia="Malgun Gothic"/>
          <w:szCs w:val="22"/>
          <w:u w:val="single"/>
          <w:lang w:val="sr-Latn-ME"/>
        </w:rPr>
        <w:t>Reakcije preosjetljivosti</w:t>
      </w:r>
    </w:p>
    <w:p w14:paraId="18739F88" w14:textId="29DB88CC" w:rsidR="003D384E" w:rsidRPr="00B74B0F" w:rsidRDefault="003D384E">
      <w:pPr>
        <w:tabs>
          <w:tab w:val="clear" w:pos="567"/>
        </w:tabs>
        <w:autoSpaceDE w:val="0"/>
        <w:autoSpaceDN w:val="0"/>
        <w:adjustRightInd w:val="0"/>
        <w:spacing w:line="240" w:lineRule="auto"/>
        <w:contextualSpacing/>
        <w:jc w:val="both"/>
        <w:rPr>
          <w:rFonts w:eastAsia="Malgun Gothic"/>
          <w:szCs w:val="22"/>
          <w:u w:val="single"/>
          <w:lang w:val="sr-Latn-ME"/>
        </w:rPr>
      </w:pPr>
    </w:p>
    <w:p w14:paraId="1A310FEF" w14:textId="14FC1370" w:rsidR="003D384E" w:rsidRPr="00B74B0F" w:rsidRDefault="000A3AC2">
      <w:pPr>
        <w:tabs>
          <w:tab w:val="clear" w:pos="567"/>
        </w:tabs>
        <w:autoSpaceDE w:val="0"/>
        <w:autoSpaceDN w:val="0"/>
        <w:adjustRightInd w:val="0"/>
        <w:spacing w:line="240" w:lineRule="auto"/>
        <w:contextualSpacing/>
        <w:jc w:val="both"/>
        <w:rPr>
          <w:rFonts w:eastAsia="Malgun Gothic"/>
          <w:szCs w:val="22"/>
          <w:lang w:val="sr-Latn-ME"/>
        </w:rPr>
      </w:pPr>
      <w:r w:rsidRPr="00B74B0F">
        <w:rPr>
          <w:rFonts w:eastAsia="Malgun Gothic"/>
          <w:szCs w:val="22"/>
          <w:lang w:val="sr-Latn-ME"/>
        </w:rPr>
        <w:t xml:space="preserve">Kod pacijenata koji su primali upadacitinib prijavljene su ozbiljne neželjene reakcije preosjetljivosti poput anafilaksije i angiedema. </w:t>
      </w:r>
      <w:r w:rsidR="003D384E" w:rsidRPr="00B74B0F">
        <w:rPr>
          <w:rFonts w:eastAsia="Malgun Gothic"/>
          <w:szCs w:val="22"/>
          <w:lang w:val="sr-Latn-ME"/>
        </w:rPr>
        <w:t>Ako se pojavi klinički značajna reakcija preosjetljivosti, prekinite liječenje upadacitinibom i uvedite odgovarajuću terapiju. (vidjeti djelove 4.3 i 4.8).</w:t>
      </w:r>
    </w:p>
    <w:p w14:paraId="258261D1" w14:textId="26976F15" w:rsidR="00EE536F" w:rsidRPr="00B74B0F" w:rsidRDefault="00EE536F">
      <w:pPr>
        <w:tabs>
          <w:tab w:val="clear" w:pos="567"/>
        </w:tabs>
        <w:autoSpaceDE w:val="0"/>
        <w:autoSpaceDN w:val="0"/>
        <w:adjustRightInd w:val="0"/>
        <w:spacing w:line="240" w:lineRule="auto"/>
        <w:contextualSpacing/>
        <w:jc w:val="both"/>
        <w:rPr>
          <w:rFonts w:eastAsia="Malgun Gothic"/>
          <w:szCs w:val="22"/>
          <w:lang w:val="sr-Latn-ME"/>
        </w:rPr>
      </w:pPr>
    </w:p>
    <w:p w14:paraId="337B0D90" w14:textId="77777777" w:rsidR="00EE536F" w:rsidRPr="00B74B0F" w:rsidRDefault="00EE536F">
      <w:pPr>
        <w:tabs>
          <w:tab w:val="clear" w:pos="567"/>
        </w:tabs>
        <w:autoSpaceDE w:val="0"/>
        <w:autoSpaceDN w:val="0"/>
        <w:adjustRightInd w:val="0"/>
        <w:spacing w:line="240" w:lineRule="auto"/>
        <w:contextualSpacing/>
        <w:jc w:val="both"/>
        <w:rPr>
          <w:rFonts w:eastAsia="Malgun Gothic"/>
          <w:szCs w:val="22"/>
          <w:u w:val="single"/>
          <w:lang w:val="sr-Latn-ME"/>
        </w:rPr>
      </w:pPr>
      <w:r w:rsidRPr="00B74B0F">
        <w:rPr>
          <w:rFonts w:eastAsia="Malgun Gothic"/>
          <w:szCs w:val="22"/>
          <w:u w:val="single"/>
          <w:lang w:val="sr-Latn-ME"/>
        </w:rPr>
        <w:t xml:space="preserve">Hipoglikemija kod pacijenata liječenih od dijabetesa </w:t>
      </w:r>
    </w:p>
    <w:p w14:paraId="294AB5D7" w14:textId="77777777" w:rsidR="00EE536F" w:rsidRPr="00B74B0F" w:rsidRDefault="00EE536F">
      <w:pPr>
        <w:tabs>
          <w:tab w:val="clear" w:pos="567"/>
        </w:tabs>
        <w:autoSpaceDE w:val="0"/>
        <w:autoSpaceDN w:val="0"/>
        <w:adjustRightInd w:val="0"/>
        <w:spacing w:line="240" w:lineRule="auto"/>
        <w:contextualSpacing/>
        <w:jc w:val="both"/>
        <w:rPr>
          <w:rFonts w:eastAsia="Malgun Gothic"/>
          <w:szCs w:val="22"/>
          <w:lang w:val="sr-Latn-ME"/>
        </w:rPr>
      </w:pPr>
    </w:p>
    <w:p w14:paraId="01DD1BDA" w14:textId="23A3F4E6" w:rsidR="00812D16" w:rsidRDefault="00EE536F" w:rsidP="00831AD3">
      <w:pPr>
        <w:tabs>
          <w:tab w:val="clear" w:pos="567"/>
        </w:tabs>
        <w:autoSpaceDE w:val="0"/>
        <w:autoSpaceDN w:val="0"/>
        <w:adjustRightInd w:val="0"/>
        <w:spacing w:line="240" w:lineRule="auto"/>
        <w:contextualSpacing/>
        <w:jc w:val="both"/>
        <w:rPr>
          <w:rFonts w:eastAsia="Malgun Gothic"/>
          <w:szCs w:val="22"/>
          <w:lang w:val="sr-Latn-ME"/>
        </w:rPr>
      </w:pPr>
      <w:r w:rsidRPr="00B74B0F">
        <w:rPr>
          <w:rFonts w:eastAsia="Malgun Gothic"/>
          <w:szCs w:val="22"/>
          <w:lang w:val="sr-Latn-ME"/>
        </w:rPr>
        <w:t>Nakon početka korišćenja JAK inhibitora, uključujući upadacitinib, kod pacijenata koji su primali ljekove za dijabetes zabilježena je hipoglikemija. Može biti potrebno prilagođavanje doze ljekova za dijabetes u slučaju pojave hipoglikemije.</w:t>
      </w:r>
    </w:p>
    <w:p w14:paraId="57972ACC" w14:textId="77777777" w:rsidR="00FC5734" w:rsidRDefault="00FC5734" w:rsidP="00831AD3">
      <w:pPr>
        <w:tabs>
          <w:tab w:val="clear" w:pos="567"/>
        </w:tabs>
        <w:autoSpaceDE w:val="0"/>
        <w:autoSpaceDN w:val="0"/>
        <w:adjustRightInd w:val="0"/>
        <w:spacing w:line="240" w:lineRule="auto"/>
        <w:contextualSpacing/>
        <w:jc w:val="both"/>
        <w:rPr>
          <w:rFonts w:eastAsia="Malgun Gothic"/>
          <w:szCs w:val="22"/>
          <w:lang w:val="sr-Latn-ME"/>
        </w:rPr>
      </w:pPr>
    </w:p>
    <w:p w14:paraId="49964A40" w14:textId="77777777" w:rsidR="00FC5734" w:rsidRPr="000B21BD" w:rsidRDefault="00FC5734" w:rsidP="00FC5734">
      <w:pPr>
        <w:tabs>
          <w:tab w:val="clear" w:pos="567"/>
        </w:tabs>
        <w:autoSpaceDE w:val="0"/>
        <w:autoSpaceDN w:val="0"/>
        <w:adjustRightInd w:val="0"/>
        <w:spacing w:line="240" w:lineRule="auto"/>
        <w:contextualSpacing/>
        <w:jc w:val="both"/>
        <w:rPr>
          <w:rFonts w:eastAsia="Malgun Gothic"/>
          <w:szCs w:val="22"/>
          <w:u w:val="single"/>
          <w:lang w:val="sr-Latn-ME"/>
        </w:rPr>
      </w:pPr>
      <w:r w:rsidRPr="000B21BD">
        <w:rPr>
          <w:rFonts w:eastAsia="Malgun Gothic"/>
          <w:szCs w:val="22"/>
          <w:u w:val="single"/>
          <w:lang w:val="sr-Latn-ME"/>
        </w:rPr>
        <w:t>Ostatak lijeka u stolici</w:t>
      </w:r>
    </w:p>
    <w:p w14:paraId="4DB2714E" w14:textId="7BE0606C" w:rsidR="00FC5734" w:rsidRPr="00FC5734" w:rsidRDefault="00FC5734" w:rsidP="00FC5734">
      <w:pPr>
        <w:tabs>
          <w:tab w:val="clear" w:pos="567"/>
        </w:tabs>
        <w:autoSpaceDE w:val="0"/>
        <w:autoSpaceDN w:val="0"/>
        <w:adjustRightInd w:val="0"/>
        <w:spacing w:line="240" w:lineRule="auto"/>
        <w:contextualSpacing/>
        <w:jc w:val="both"/>
        <w:rPr>
          <w:rFonts w:eastAsia="Malgun Gothic"/>
          <w:szCs w:val="22"/>
          <w:lang w:val="sr-Latn-ME"/>
        </w:rPr>
      </w:pPr>
      <w:r w:rsidRPr="000B21BD">
        <w:rPr>
          <w:rFonts w:eastAsia="Malgun Gothic"/>
          <w:szCs w:val="22"/>
          <w:lang w:val="sr-Latn-ME"/>
        </w:rPr>
        <w:t xml:space="preserve">Kod pacijenata koji su uzimali upadacitinib pojavili su se izvještaji o ostacima lijeka u stolici ili iz stome. Većina izvještaja opisuje anatomska (npr. ileostomija, kolostomija, resekcija crijeva) ili funkcionalna gastrointestinalna stanja sa skraćenim gastrointestinalnim tranzitnim vremenom. Pacijente treba uputiti da </w:t>
      </w:r>
      <w:r w:rsidR="00402F02">
        <w:rPr>
          <w:rFonts w:eastAsia="Malgun Gothic"/>
          <w:szCs w:val="22"/>
          <w:lang w:val="sr-Latn-ME"/>
        </w:rPr>
        <w:t>se obrate</w:t>
      </w:r>
      <w:r w:rsidR="00402F02" w:rsidRPr="000B21BD">
        <w:rPr>
          <w:rFonts w:eastAsia="Malgun Gothic"/>
          <w:szCs w:val="22"/>
          <w:lang w:val="sr-Latn-ME"/>
        </w:rPr>
        <w:t xml:space="preserve"> </w:t>
      </w:r>
      <w:r w:rsidRPr="000B21BD">
        <w:rPr>
          <w:rFonts w:eastAsia="Malgun Gothic"/>
          <w:szCs w:val="22"/>
          <w:lang w:val="sr-Latn-ME"/>
        </w:rPr>
        <w:t>svo</w:t>
      </w:r>
      <w:r w:rsidR="00402F02">
        <w:rPr>
          <w:rFonts w:eastAsia="Malgun Gothic"/>
          <w:szCs w:val="22"/>
          <w:lang w:val="sr-Latn-ME"/>
        </w:rPr>
        <w:t>m</w:t>
      </w:r>
      <w:r w:rsidRPr="000B21BD">
        <w:rPr>
          <w:rFonts w:eastAsia="Malgun Gothic"/>
          <w:szCs w:val="22"/>
          <w:lang w:val="sr-Latn-ME"/>
        </w:rPr>
        <w:t xml:space="preserve"> ljekar</w:t>
      </w:r>
      <w:r w:rsidR="00402F02">
        <w:rPr>
          <w:rFonts w:eastAsia="Malgun Gothic"/>
          <w:szCs w:val="22"/>
          <w:lang w:val="sr-Latn-ME"/>
        </w:rPr>
        <w:t>u</w:t>
      </w:r>
      <w:r w:rsidRPr="000B21BD">
        <w:rPr>
          <w:rFonts w:eastAsia="Malgun Gothic"/>
          <w:szCs w:val="22"/>
          <w:lang w:val="sr-Latn-ME"/>
        </w:rPr>
        <w:t xml:space="preserve"> ako se stalno primjećuju ostaci lijeka. Pacijente treba klinički pratiti i razmotriti alternativno liječenje ako postoji neadekvatan terapijski odgovor</w:t>
      </w:r>
    </w:p>
    <w:p w14:paraId="3B897064" w14:textId="77777777" w:rsidR="00DC1E18" w:rsidRPr="00B74B0F" w:rsidRDefault="00DC1E18">
      <w:pPr>
        <w:spacing w:line="240" w:lineRule="auto"/>
        <w:contextualSpacing/>
        <w:jc w:val="both"/>
        <w:outlineLvl w:val="0"/>
        <w:rPr>
          <w:szCs w:val="22"/>
          <w:lang w:val="sr-Latn-ME"/>
        </w:rPr>
      </w:pPr>
    </w:p>
    <w:p w14:paraId="1A823CCF" w14:textId="3909AB70"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4.5</w:t>
      </w:r>
      <w:r w:rsidRPr="00B74B0F">
        <w:rPr>
          <w:b/>
          <w:szCs w:val="22"/>
          <w:lang w:val="sr-Latn-ME"/>
        </w:rPr>
        <w:tab/>
        <w:t>Interakcije s</w:t>
      </w:r>
      <w:r w:rsidR="00BB59FC" w:rsidRPr="00B74B0F">
        <w:rPr>
          <w:b/>
          <w:szCs w:val="22"/>
          <w:lang w:val="sr-Latn-ME"/>
        </w:rPr>
        <w:t>a</w:t>
      </w:r>
      <w:r w:rsidRPr="00B74B0F">
        <w:rPr>
          <w:b/>
          <w:szCs w:val="22"/>
          <w:lang w:val="sr-Latn-ME"/>
        </w:rPr>
        <w:t xml:space="preserve"> drugim l</w:t>
      </w:r>
      <w:r w:rsidR="00092E28" w:rsidRPr="00B74B0F">
        <w:rPr>
          <w:b/>
          <w:szCs w:val="22"/>
          <w:lang w:val="sr-Latn-ME"/>
        </w:rPr>
        <w:t>j</w:t>
      </w:r>
      <w:r w:rsidRPr="00B74B0F">
        <w:rPr>
          <w:b/>
          <w:szCs w:val="22"/>
          <w:lang w:val="sr-Latn-ME"/>
        </w:rPr>
        <w:t>ekovima i drug</w:t>
      </w:r>
      <w:r w:rsidR="005A1470" w:rsidRPr="00B74B0F">
        <w:rPr>
          <w:b/>
          <w:szCs w:val="22"/>
          <w:lang w:val="sr-Latn-ME"/>
        </w:rPr>
        <w:t>e vrste</w:t>
      </w:r>
      <w:r w:rsidRPr="00B74B0F">
        <w:rPr>
          <w:b/>
          <w:szCs w:val="22"/>
          <w:lang w:val="sr-Latn-ME"/>
        </w:rPr>
        <w:t xml:space="preserve"> interakcija</w:t>
      </w:r>
    </w:p>
    <w:p w14:paraId="1163970A" w14:textId="77777777" w:rsidR="008F76FF" w:rsidRPr="00B74B0F" w:rsidRDefault="008F76FF">
      <w:pPr>
        <w:pStyle w:val="BulletText1"/>
        <w:keepNext/>
        <w:numPr>
          <w:ilvl w:val="0"/>
          <w:numId w:val="0"/>
        </w:numPr>
        <w:contextualSpacing/>
        <w:jc w:val="both"/>
        <w:rPr>
          <w:i/>
          <w:szCs w:val="22"/>
          <w:lang w:val="sr-Latn-ME"/>
        </w:rPr>
      </w:pPr>
    </w:p>
    <w:p w14:paraId="34A609D7" w14:textId="3099E4EF" w:rsidR="008F76FF" w:rsidRPr="00B74B0F" w:rsidRDefault="00906CF8">
      <w:pPr>
        <w:pStyle w:val="BulletText1"/>
        <w:keepNext/>
        <w:numPr>
          <w:ilvl w:val="0"/>
          <w:numId w:val="0"/>
        </w:numPr>
        <w:contextualSpacing/>
        <w:jc w:val="both"/>
        <w:rPr>
          <w:szCs w:val="22"/>
          <w:u w:val="single"/>
          <w:lang w:val="sr-Latn-ME"/>
        </w:rPr>
      </w:pPr>
      <w:r w:rsidRPr="00B74B0F">
        <w:rPr>
          <w:szCs w:val="22"/>
          <w:u w:val="single"/>
          <w:lang w:val="sr-Latn-ME"/>
        </w:rPr>
        <w:t>Potencijal drugih ljekova da ut</w:t>
      </w:r>
      <w:r w:rsidR="00764597" w:rsidRPr="00B74B0F">
        <w:rPr>
          <w:szCs w:val="22"/>
          <w:u w:val="single"/>
          <w:lang w:val="sr-Latn-ME"/>
        </w:rPr>
        <w:t>i</w:t>
      </w:r>
      <w:r w:rsidRPr="00B74B0F">
        <w:rPr>
          <w:szCs w:val="22"/>
          <w:u w:val="single"/>
          <w:lang w:val="sr-Latn-ME"/>
        </w:rPr>
        <w:t>ču na farmakokinetiku</w:t>
      </w:r>
      <w:r w:rsidR="00764597" w:rsidRPr="00B74B0F">
        <w:rPr>
          <w:szCs w:val="22"/>
          <w:u w:val="single"/>
          <w:lang w:val="sr-Latn-ME"/>
        </w:rPr>
        <w:t xml:space="preserve"> </w:t>
      </w:r>
      <w:r w:rsidRPr="00B74B0F">
        <w:rPr>
          <w:szCs w:val="22"/>
          <w:u w:val="single"/>
          <w:lang w:val="sr-Latn-ME"/>
        </w:rPr>
        <w:t>upadacitinib</w:t>
      </w:r>
      <w:r w:rsidR="00820355" w:rsidRPr="00B74B0F">
        <w:rPr>
          <w:szCs w:val="22"/>
          <w:u w:val="single"/>
          <w:lang w:val="sr-Latn-ME"/>
        </w:rPr>
        <w:t>a</w:t>
      </w:r>
    </w:p>
    <w:p w14:paraId="60D44137" w14:textId="77777777" w:rsidR="008F76FF" w:rsidRPr="00B74B0F" w:rsidRDefault="008F76FF">
      <w:pPr>
        <w:pStyle w:val="Default"/>
        <w:keepNext/>
        <w:contextualSpacing/>
        <w:jc w:val="both"/>
        <w:rPr>
          <w:sz w:val="22"/>
          <w:szCs w:val="22"/>
          <w:lang w:val="sr-Latn-ME"/>
        </w:rPr>
      </w:pPr>
    </w:p>
    <w:p w14:paraId="49D6B917" w14:textId="1477D11E" w:rsidR="00EA262C" w:rsidRPr="00B74B0F" w:rsidRDefault="00820355">
      <w:pPr>
        <w:pStyle w:val="BulletText1"/>
        <w:numPr>
          <w:ilvl w:val="0"/>
          <w:numId w:val="0"/>
        </w:numPr>
        <w:contextualSpacing/>
        <w:jc w:val="both"/>
        <w:rPr>
          <w:szCs w:val="22"/>
          <w:lang w:val="sr-Latn-ME"/>
        </w:rPr>
      </w:pPr>
      <w:r w:rsidRPr="00B74B0F">
        <w:rPr>
          <w:szCs w:val="22"/>
          <w:lang w:val="sr-Latn-ME"/>
        </w:rPr>
        <w:t>U</w:t>
      </w:r>
      <w:r w:rsidR="00906CF8" w:rsidRPr="00B74B0F">
        <w:rPr>
          <w:szCs w:val="22"/>
          <w:lang w:val="sr-Latn-ME"/>
        </w:rPr>
        <w:t>padacitinib se prvenstveno metaboli</w:t>
      </w:r>
      <w:r w:rsidR="00092E28" w:rsidRPr="00B74B0F">
        <w:rPr>
          <w:szCs w:val="22"/>
          <w:lang w:val="sr-Latn-ME"/>
        </w:rPr>
        <w:t>še</w:t>
      </w:r>
      <w:r w:rsidR="00906CF8" w:rsidRPr="00B74B0F">
        <w:rPr>
          <w:szCs w:val="22"/>
          <w:lang w:val="sr-Latn-ME"/>
        </w:rPr>
        <w:t xml:space="preserve"> putem enzima CYP3A4. </w:t>
      </w:r>
      <w:r w:rsidR="00B80CE3" w:rsidRPr="00B74B0F">
        <w:rPr>
          <w:szCs w:val="22"/>
          <w:lang w:val="sr-Latn-ME"/>
        </w:rPr>
        <w:t>Zbog toga</w:t>
      </w:r>
      <w:r w:rsidR="00906CF8" w:rsidRPr="00B74B0F">
        <w:rPr>
          <w:szCs w:val="22"/>
          <w:lang w:val="sr-Latn-ME"/>
        </w:rPr>
        <w:t xml:space="preserve"> ljekovi koji snažno inhibi</w:t>
      </w:r>
      <w:r w:rsidRPr="00B74B0F">
        <w:rPr>
          <w:szCs w:val="22"/>
          <w:lang w:val="sr-Latn-ME"/>
        </w:rPr>
        <w:t>raju</w:t>
      </w:r>
      <w:r w:rsidR="00906CF8" w:rsidRPr="00B74B0F">
        <w:rPr>
          <w:szCs w:val="22"/>
          <w:lang w:val="sr-Latn-ME"/>
        </w:rPr>
        <w:t xml:space="preserve"> ili indu</w:t>
      </w:r>
      <w:r w:rsidR="00AE269A" w:rsidRPr="00B74B0F">
        <w:rPr>
          <w:szCs w:val="22"/>
          <w:lang w:val="sr-Latn-ME"/>
        </w:rPr>
        <w:t>kuju</w:t>
      </w:r>
      <w:r w:rsidR="00906CF8" w:rsidRPr="00B74B0F">
        <w:rPr>
          <w:szCs w:val="22"/>
          <w:lang w:val="sr-Latn-ME"/>
        </w:rPr>
        <w:t xml:space="preserve"> CYP3A4 mogu ut</w:t>
      </w:r>
      <w:r w:rsidR="00B80CE3" w:rsidRPr="00B74B0F">
        <w:rPr>
          <w:szCs w:val="22"/>
          <w:lang w:val="sr-Latn-ME"/>
        </w:rPr>
        <w:t>i</w:t>
      </w:r>
      <w:r w:rsidR="00906CF8" w:rsidRPr="00B74B0F">
        <w:rPr>
          <w:szCs w:val="22"/>
          <w:lang w:val="sr-Latn-ME"/>
        </w:rPr>
        <w:t>cati na plazmatsku izloženost upadacitinibu.</w:t>
      </w:r>
    </w:p>
    <w:p w14:paraId="4D878697" w14:textId="77777777" w:rsidR="000C2741" w:rsidRPr="00B74B0F" w:rsidRDefault="000C2741">
      <w:pPr>
        <w:pStyle w:val="BulletText1"/>
        <w:numPr>
          <w:ilvl w:val="0"/>
          <w:numId w:val="0"/>
        </w:numPr>
        <w:contextualSpacing/>
        <w:jc w:val="both"/>
        <w:rPr>
          <w:szCs w:val="22"/>
          <w:lang w:val="sr-Latn-ME"/>
        </w:rPr>
      </w:pPr>
    </w:p>
    <w:p w14:paraId="63432386" w14:textId="729C38F0" w:rsidR="0055607F" w:rsidRPr="00B74B0F" w:rsidRDefault="0006252E">
      <w:pPr>
        <w:pStyle w:val="BulletText1"/>
        <w:keepNext/>
        <w:numPr>
          <w:ilvl w:val="0"/>
          <w:numId w:val="0"/>
        </w:numPr>
        <w:contextualSpacing/>
        <w:jc w:val="both"/>
        <w:rPr>
          <w:i/>
          <w:szCs w:val="22"/>
          <w:lang w:val="sr-Latn-ME"/>
        </w:rPr>
      </w:pPr>
      <w:r w:rsidRPr="00B74B0F">
        <w:rPr>
          <w:i/>
          <w:szCs w:val="22"/>
          <w:lang w:val="sr-Latn-ME"/>
        </w:rPr>
        <w:t>Ist</w:t>
      </w:r>
      <w:r w:rsidR="00B80CE3" w:rsidRPr="00B74B0F">
        <w:rPr>
          <w:i/>
          <w:szCs w:val="22"/>
          <w:lang w:val="sr-Latn-ME"/>
        </w:rPr>
        <w:t>ovremena</w:t>
      </w:r>
      <w:r w:rsidRPr="00B74B0F">
        <w:rPr>
          <w:i/>
          <w:szCs w:val="22"/>
          <w:lang w:val="sr-Latn-ME"/>
        </w:rPr>
        <w:t xml:space="preserve"> primjena s</w:t>
      </w:r>
      <w:r w:rsidR="00FB4C5A" w:rsidRPr="00B74B0F">
        <w:rPr>
          <w:i/>
          <w:szCs w:val="22"/>
          <w:lang w:val="sr-Latn-ME"/>
        </w:rPr>
        <w:t>a</w:t>
      </w:r>
      <w:r w:rsidRPr="00B74B0F">
        <w:rPr>
          <w:i/>
          <w:szCs w:val="22"/>
          <w:lang w:val="sr-Latn-ME"/>
        </w:rPr>
        <w:t xml:space="preserve"> inhibitorima CYP3A4</w:t>
      </w:r>
    </w:p>
    <w:p w14:paraId="6E415648" w14:textId="77777777" w:rsidR="00092E28" w:rsidRPr="00B74B0F" w:rsidRDefault="00092E28">
      <w:pPr>
        <w:pStyle w:val="BulletText1"/>
        <w:keepNext/>
        <w:numPr>
          <w:ilvl w:val="0"/>
          <w:numId w:val="0"/>
        </w:numPr>
        <w:contextualSpacing/>
        <w:jc w:val="both"/>
        <w:rPr>
          <w:i/>
          <w:szCs w:val="22"/>
          <w:lang w:val="sr-Latn-ME"/>
        </w:rPr>
      </w:pPr>
    </w:p>
    <w:p w14:paraId="7B8681D0" w14:textId="670140D0" w:rsidR="00FB0837" w:rsidRPr="00B74B0F" w:rsidRDefault="00906CF8">
      <w:pPr>
        <w:spacing w:line="240" w:lineRule="auto"/>
        <w:contextualSpacing/>
        <w:jc w:val="both"/>
        <w:rPr>
          <w:szCs w:val="22"/>
          <w:lang w:val="sr-Latn-ME"/>
        </w:rPr>
      </w:pPr>
      <w:r w:rsidRPr="00B74B0F">
        <w:rPr>
          <w:szCs w:val="22"/>
          <w:lang w:val="sr-Latn-ME"/>
        </w:rPr>
        <w:t>Izloženost</w:t>
      </w:r>
      <w:r w:rsidR="00B80CE3" w:rsidRPr="00B74B0F">
        <w:rPr>
          <w:szCs w:val="22"/>
          <w:lang w:val="sr-Latn-ME"/>
        </w:rPr>
        <w:t xml:space="preserve"> </w:t>
      </w:r>
      <w:r w:rsidRPr="00B74B0F">
        <w:rPr>
          <w:szCs w:val="22"/>
          <w:lang w:val="sr-Latn-ME"/>
        </w:rPr>
        <w:t>upadacitinib</w:t>
      </w:r>
      <w:r w:rsidR="00820355" w:rsidRPr="00B74B0F">
        <w:rPr>
          <w:szCs w:val="22"/>
          <w:lang w:val="sr-Latn-ME"/>
        </w:rPr>
        <w:t>u</w:t>
      </w:r>
      <w:r w:rsidR="00DE13B3" w:rsidRPr="00B74B0F">
        <w:rPr>
          <w:szCs w:val="22"/>
          <w:lang w:val="sr-Latn-ME"/>
        </w:rPr>
        <w:t xml:space="preserve"> se</w:t>
      </w:r>
      <w:r w:rsidRPr="00B74B0F">
        <w:rPr>
          <w:szCs w:val="22"/>
          <w:lang w:val="sr-Latn-ME"/>
        </w:rPr>
        <w:t xml:space="preserve"> povećava kod isto</w:t>
      </w:r>
      <w:r w:rsidR="00B80CE3" w:rsidRPr="00B74B0F">
        <w:rPr>
          <w:szCs w:val="22"/>
          <w:lang w:val="sr-Latn-ME"/>
        </w:rPr>
        <w:t>vremene</w:t>
      </w:r>
      <w:r w:rsidRPr="00B74B0F">
        <w:rPr>
          <w:szCs w:val="22"/>
          <w:lang w:val="sr-Latn-ME"/>
        </w:rPr>
        <w:t xml:space="preserve"> primjene snažnih inhibitora CYP3A4 (kao što su ketokonazol, itrakonazol, posakonazol, vorikonazol</w:t>
      </w:r>
      <w:r w:rsidR="00704628" w:rsidRPr="00B74B0F">
        <w:rPr>
          <w:szCs w:val="22"/>
          <w:lang w:val="sr-Latn-ME"/>
        </w:rPr>
        <w:t xml:space="preserve">, </w:t>
      </w:r>
      <w:r w:rsidRPr="00B74B0F">
        <w:rPr>
          <w:szCs w:val="22"/>
          <w:lang w:val="sr-Latn-ME"/>
        </w:rPr>
        <w:t>klaritromicin</w:t>
      </w:r>
      <w:r w:rsidR="00704628" w:rsidRPr="00B74B0F">
        <w:rPr>
          <w:szCs w:val="22"/>
          <w:lang w:val="sr-Latn-ME"/>
        </w:rPr>
        <w:t xml:space="preserve"> i grej</w:t>
      </w:r>
      <w:r w:rsidR="00221574" w:rsidRPr="00B74B0F">
        <w:rPr>
          <w:szCs w:val="22"/>
          <w:lang w:val="sr-Latn-ME"/>
        </w:rPr>
        <w:t>p</w:t>
      </w:r>
      <w:r w:rsidR="00704628" w:rsidRPr="00B74B0F">
        <w:rPr>
          <w:szCs w:val="22"/>
          <w:lang w:val="sr-Latn-ME"/>
        </w:rPr>
        <w:t>frut</w:t>
      </w:r>
      <w:r w:rsidRPr="00B74B0F">
        <w:rPr>
          <w:szCs w:val="22"/>
          <w:lang w:val="sr-Latn-ME"/>
        </w:rPr>
        <w:t>). U kliničkom ispitivanju</w:t>
      </w:r>
      <w:r w:rsidR="00DE13B3" w:rsidRPr="00B74B0F">
        <w:rPr>
          <w:szCs w:val="22"/>
          <w:lang w:val="sr-Latn-ME"/>
        </w:rPr>
        <w:t xml:space="preserve"> je</w:t>
      </w:r>
      <w:r w:rsidRPr="00B74B0F">
        <w:rPr>
          <w:szCs w:val="22"/>
          <w:lang w:val="sr-Latn-ME"/>
        </w:rPr>
        <w:t xml:space="preserve"> ist</w:t>
      </w:r>
      <w:r w:rsidR="00B80CE3" w:rsidRPr="00B74B0F">
        <w:rPr>
          <w:szCs w:val="22"/>
          <w:lang w:val="sr-Latn-ME"/>
        </w:rPr>
        <w:t>ovremena</w:t>
      </w:r>
      <w:r w:rsidRPr="00B74B0F">
        <w:rPr>
          <w:szCs w:val="22"/>
          <w:lang w:val="sr-Latn-ME"/>
        </w:rPr>
        <w:t xml:space="preserve"> primjena</w:t>
      </w:r>
      <w:r w:rsidR="00B80CE3" w:rsidRPr="00B74B0F">
        <w:rPr>
          <w:szCs w:val="22"/>
          <w:lang w:val="sr-Latn-ME"/>
        </w:rPr>
        <w:t xml:space="preserve"> </w:t>
      </w:r>
      <w:r w:rsidRPr="00B74B0F">
        <w:rPr>
          <w:szCs w:val="22"/>
          <w:lang w:val="sr-Latn-ME"/>
        </w:rPr>
        <w:t>upadacitinib</w:t>
      </w:r>
      <w:r w:rsidR="00820355" w:rsidRPr="00B74B0F">
        <w:rPr>
          <w:szCs w:val="22"/>
          <w:lang w:val="sr-Latn-ME"/>
        </w:rPr>
        <w:t>a</w:t>
      </w:r>
      <w:r w:rsidRPr="00B74B0F">
        <w:rPr>
          <w:szCs w:val="22"/>
          <w:lang w:val="sr-Latn-ME"/>
        </w:rPr>
        <w:t xml:space="preserve"> i ketokonazola povećala C</w:t>
      </w:r>
      <w:r w:rsidRPr="00B74B0F">
        <w:rPr>
          <w:szCs w:val="22"/>
          <w:vertAlign w:val="subscript"/>
          <w:lang w:val="sr-Latn-ME"/>
        </w:rPr>
        <w:t>max</w:t>
      </w:r>
      <w:r w:rsidRPr="00B74B0F">
        <w:rPr>
          <w:szCs w:val="22"/>
          <w:lang w:val="sr-Latn-ME"/>
        </w:rPr>
        <w:t xml:space="preserve"> upadacitinib</w:t>
      </w:r>
      <w:r w:rsidR="00AE269A" w:rsidRPr="00B74B0F">
        <w:rPr>
          <w:szCs w:val="22"/>
          <w:lang w:val="sr-Latn-ME"/>
        </w:rPr>
        <w:t>a</w:t>
      </w:r>
      <w:r w:rsidRPr="00B74B0F">
        <w:rPr>
          <w:szCs w:val="22"/>
          <w:lang w:val="sr-Latn-ME"/>
        </w:rPr>
        <w:t xml:space="preserve"> za 70%, a njegov </w:t>
      </w:r>
      <w:r w:rsidR="00012342" w:rsidRPr="00B74B0F">
        <w:rPr>
          <w:szCs w:val="22"/>
          <w:lang w:val="sr-Latn-ME"/>
        </w:rPr>
        <w:t>PIK</w:t>
      </w:r>
      <w:r w:rsidR="007A3F3F" w:rsidRPr="00B74B0F">
        <w:rPr>
          <w:szCs w:val="22"/>
          <w:lang w:val="sr-Latn-ME"/>
        </w:rPr>
        <w:t xml:space="preserve"> </w:t>
      </w:r>
      <w:r w:rsidR="00012342" w:rsidRPr="00B74B0F">
        <w:rPr>
          <w:szCs w:val="22"/>
          <w:lang w:val="sr-Latn-ME"/>
        </w:rPr>
        <w:t xml:space="preserve"> </w:t>
      </w:r>
      <w:r w:rsidRPr="00B74B0F">
        <w:rPr>
          <w:szCs w:val="22"/>
          <w:lang w:val="sr-Latn-ME"/>
        </w:rPr>
        <w:t xml:space="preserve">za 75%. </w:t>
      </w:r>
      <w:r w:rsidR="00AE269A" w:rsidRPr="00B74B0F">
        <w:rPr>
          <w:szCs w:val="22"/>
          <w:lang w:val="sr-Latn-ME"/>
        </w:rPr>
        <w:t>U</w:t>
      </w:r>
      <w:r w:rsidR="00221574" w:rsidRPr="00B74B0F">
        <w:rPr>
          <w:szCs w:val="22"/>
          <w:lang w:val="sr-Latn-ME"/>
        </w:rPr>
        <w:t>p</w:t>
      </w:r>
      <w:r w:rsidRPr="00B74B0F">
        <w:rPr>
          <w:szCs w:val="22"/>
          <w:lang w:val="sr-Latn-ME"/>
        </w:rPr>
        <w:t>adacitinib</w:t>
      </w:r>
      <w:r w:rsidR="00820355" w:rsidRPr="00B74B0F">
        <w:rPr>
          <w:szCs w:val="22"/>
          <w:lang w:val="sr-Latn-ME"/>
        </w:rPr>
        <w:t xml:space="preserve"> 15 mg jedanput na dan</w:t>
      </w:r>
      <w:r w:rsidRPr="00B74B0F">
        <w:rPr>
          <w:szCs w:val="22"/>
          <w:lang w:val="sr-Latn-ME"/>
        </w:rPr>
        <w:t xml:space="preserve"> treba primjenjivati </w:t>
      </w:r>
      <w:r w:rsidR="00DE13B3" w:rsidRPr="00B74B0F">
        <w:rPr>
          <w:szCs w:val="22"/>
          <w:lang w:val="sr-Latn-ME"/>
        </w:rPr>
        <w:t>sa</w:t>
      </w:r>
      <w:r w:rsidRPr="00B74B0F">
        <w:rPr>
          <w:szCs w:val="22"/>
          <w:lang w:val="sr-Latn-ME"/>
        </w:rPr>
        <w:t xml:space="preserve"> oprez</w:t>
      </w:r>
      <w:r w:rsidR="00DE13B3" w:rsidRPr="00B74B0F">
        <w:rPr>
          <w:szCs w:val="22"/>
          <w:lang w:val="sr-Latn-ME"/>
        </w:rPr>
        <w:t>om</w:t>
      </w:r>
      <w:r w:rsidRPr="00B74B0F">
        <w:rPr>
          <w:szCs w:val="22"/>
          <w:lang w:val="sr-Latn-ME"/>
        </w:rPr>
        <w:t xml:space="preserve"> </w:t>
      </w:r>
      <w:r w:rsidR="00B80CE3"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w:t>
      </w:r>
      <w:r w:rsidR="00770CF7" w:rsidRPr="00B74B0F">
        <w:rPr>
          <w:szCs w:val="22"/>
          <w:lang w:val="sr-Latn-ME"/>
        </w:rPr>
        <w:t xml:space="preserve">koji primaju </w:t>
      </w:r>
      <w:r w:rsidR="00B80CE3" w:rsidRPr="00B74B0F">
        <w:rPr>
          <w:szCs w:val="22"/>
          <w:lang w:val="sr-Latn-ME"/>
        </w:rPr>
        <w:t>h</w:t>
      </w:r>
      <w:r w:rsidR="00770CF7" w:rsidRPr="00B74B0F">
        <w:rPr>
          <w:szCs w:val="22"/>
          <w:lang w:val="sr-Latn-ME"/>
        </w:rPr>
        <w:t>roničnu terapiju</w:t>
      </w:r>
      <w:r w:rsidR="00DE13B3" w:rsidRPr="00B74B0F">
        <w:rPr>
          <w:szCs w:val="22"/>
          <w:lang w:val="sr-Latn-ME"/>
        </w:rPr>
        <w:t xml:space="preserve"> sa</w:t>
      </w:r>
      <w:r w:rsidRPr="00B74B0F">
        <w:rPr>
          <w:szCs w:val="22"/>
          <w:lang w:val="sr-Latn-ME"/>
        </w:rPr>
        <w:t xml:space="preserve"> snažnim inhibitorima CYP3A4. </w:t>
      </w:r>
      <w:r w:rsidR="00FB0837" w:rsidRPr="00B74B0F">
        <w:rPr>
          <w:noProof/>
          <w:szCs w:val="22"/>
          <w:lang w:val="sr-Latn-ME"/>
        </w:rPr>
        <w:t xml:space="preserve">Upadacitinib u dozi od 30 mg jedanput na dan ne preporučuje se </w:t>
      </w:r>
      <w:r w:rsidR="00181042" w:rsidRPr="00B74B0F">
        <w:rPr>
          <w:noProof/>
          <w:szCs w:val="22"/>
          <w:lang w:val="sr-Latn-ME"/>
        </w:rPr>
        <w:t>pacijenti</w:t>
      </w:r>
      <w:r w:rsidR="00FB0837" w:rsidRPr="00B74B0F">
        <w:rPr>
          <w:noProof/>
          <w:szCs w:val="22"/>
          <w:lang w:val="sr-Latn-ME"/>
        </w:rPr>
        <w:t xml:space="preserve">ma </w:t>
      </w:r>
      <w:r w:rsidR="00FB0837" w:rsidRPr="00B74B0F">
        <w:rPr>
          <w:szCs w:val="22"/>
          <w:lang w:val="sr-Latn-ME"/>
        </w:rPr>
        <w:t>s</w:t>
      </w:r>
      <w:r w:rsidR="00447B76" w:rsidRPr="00B74B0F">
        <w:rPr>
          <w:szCs w:val="22"/>
          <w:lang w:val="sr-Latn-ME"/>
        </w:rPr>
        <w:t>a</w:t>
      </w:r>
      <w:r w:rsidR="00FB0837" w:rsidRPr="00B74B0F">
        <w:rPr>
          <w:szCs w:val="22"/>
          <w:lang w:val="sr-Latn-ME"/>
        </w:rPr>
        <w:t xml:space="preserve"> atopijskim dermatitisom </w:t>
      </w:r>
      <w:r w:rsidR="00FB0837" w:rsidRPr="00B74B0F">
        <w:rPr>
          <w:noProof/>
          <w:szCs w:val="22"/>
          <w:lang w:val="sr-Latn-ME"/>
        </w:rPr>
        <w:t xml:space="preserve">koji primaju </w:t>
      </w:r>
      <w:r w:rsidR="009B0C64" w:rsidRPr="00B74B0F">
        <w:rPr>
          <w:noProof/>
          <w:szCs w:val="22"/>
          <w:lang w:val="sr-Latn-ME"/>
        </w:rPr>
        <w:t>h</w:t>
      </w:r>
      <w:r w:rsidR="00FB0837" w:rsidRPr="00B74B0F">
        <w:rPr>
          <w:noProof/>
          <w:szCs w:val="22"/>
          <w:lang w:val="sr-Latn-ME"/>
        </w:rPr>
        <w:t xml:space="preserve">ronično liječenje jakim inhibitorima CYP3A4. </w:t>
      </w:r>
      <w:r w:rsidR="00FB0837" w:rsidRPr="00B74B0F">
        <w:rPr>
          <w:szCs w:val="22"/>
          <w:lang w:val="sr-Latn-ME"/>
        </w:rPr>
        <w:t xml:space="preserve">Za pacijente s ulceroznim kolitisom </w:t>
      </w:r>
      <w:r w:rsidR="00E43C1A" w:rsidRPr="00B74B0F">
        <w:rPr>
          <w:szCs w:val="22"/>
          <w:lang w:val="sr-Latn-ME"/>
        </w:rPr>
        <w:t xml:space="preserve">i </w:t>
      </w:r>
      <w:r w:rsidR="00AB77FD" w:rsidRPr="00B74B0F">
        <w:rPr>
          <w:szCs w:val="22"/>
          <w:lang w:val="sr-Latn-ME"/>
        </w:rPr>
        <w:t>K</w:t>
      </w:r>
      <w:r w:rsidR="00E43C1A" w:rsidRPr="00B74B0F">
        <w:rPr>
          <w:szCs w:val="22"/>
          <w:lang w:val="sr-Latn-ME"/>
        </w:rPr>
        <w:t xml:space="preserve">ronovom bolešću </w:t>
      </w:r>
      <w:r w:rsidR="00FB0837" w:rsidRPr="00B74B0F">
        <w:rPr>
          <w:szCs w:val="22"/>
          <w:lang w:val="sr-Latn-ME"/>
        </w:rPr>
        <w:t>koji primaju jake inhibitore CYP3A4, preporučena indukcijska doza je 30 mg jedanput na dan, a preporučena doza održavanja je 15 mg jedanput na dan (vidjeti dio 4.2).</w:t>
      </w:r>
      <w:r w:rsidR="00FB0837" w:rsidRPr="00B74B0F">
        <w:rPr>
          <w:rStyle w:val="LogoportDoNotTranslate"/>
          <w:szCs w:val="22"/>
          <w:lang w:val="sr-Latn-ME"/>
        </w:rPr>
        <w:t xml:space="preserve"> </w:t>
      </w:r>
      <w:r w:rsidR="00FB0837" w:rsidRPr="00B74B0F">
        <w:rPr>
          <w:noProof/>
          <w:szCs w:val="22"/>
          <w:lang w:val="sr-Latn-ME"/>
        </w:rPr>
        <w:t>Kod dugo</w:t>
      </w:r>
      <w:r w:rsidR="009B0C64" w:rsidRPr="00B74B0F">
        <w:rPr>
          <w:noProof/>
          <w:szCs w:val="22"/>
          <w:lang w:val="sr-Latn-ME"/>
        </w:rPr>
        <w:t>trajne</w:t>
      </w:r>
      <w:r w:rsidR="00FB0837" w:rsidRPr="00B74B0F">
        <w:rPr>
          <w:noProof/>
          <w:szCs w:val="22"/>
          <w:lang w:val="sr-Latn-ME"/>
        </w:rPr>
        <w:t xml:space="preserve"> primjene potrebno </w:t>
      </w:r>
      <w:r w:rsidR="009B0C64" w:rsidRPr="00B74B0F">
        <w:rPr>
          <w:noProof/>
          <w:szCs w:val="22"/>
          <w:lang w:val="sr-Latn-ME"/>
        </w:rPr>
        <w:t xml:space="preserve">je </w:t>
      </w:r>
      <w:r w:rsidR="00FB0837" w:rsidRPr="00B74B0F">
        <w:rPr>
          <w:noProof/>
          <w:szCs w:val="22"/>
          <w:lang w:val="sr-Latn-ME"/>
        </w:rPr>
        <w:t xml:space="preserve">razmotriti zamjenu snažnih inhibitora CYP3A4 drugim </w:t>
      </w:r>
      <w:r w:rsidR="00181042" w:rsidRPr="00B74B0F">
        <w:rPr>
          <w:noProof/>
          <w:szCs w:val="22"/>
          <w:lang w:val="sr-Latn-ME"/>
        </w:rPr>
        <w:t>ljekovima</w:t>
      </w:r>
      <w:r w:rsidR="00FB0837" w:rsidRPr="00B74B0F">
        <w:rPr>
          <w:noProof/>
          <w:szCs w:val="22"/>
          <w:lang w:val="sr-Latn-ME"/>
        </w:rPr>
        <w:t xml:space="preserve">. </w:t>
      </w:r>
      <w:r w:rsidR="00FB0837" w:rsidRPr="00B74B0F">
        <w:rPr>
          <w:szCs w:val="22"/>
          <w:lang w:val="sr-Latn-ME"/>
        </w:rPr>
        <w:t>Tokom liječenja upadacitinibom potrebno je izbjegavati hranu i pića koja sadrže grejp.</w:t>
      </w:r>
    </w:p>
    <w:p w14:paraId="0BC12682" w14:textId="77777777" w:rsidR="00CF5BEA" w:rsidRPr="00B74B0F" w:rsidRDefault="00CF5BEA">
      <w:pPr>
        <w:pStyle w:val="BulletText1"/>
        <w:keepNext/>
        <w:numPr>
          <w:ilvl w:val="0"/>
          <w:numId w:val="0"/>
        </w:numPr>
        <w:contextualSpacing/>
        <w:jc w:val="both"/>
        <w:rPr>
          <w:i/>
          <w:szCs w:val="22"/>
          <w:lang w:val="sr-Latn-ME"/>
        </w:rPr>
      </w:pPr>
    </w:p>
    <w:p w14:paraId="3D6C7916" w14:textId="090C434A" w:rsidR="0055607F" w:rsidRPr="00B74B0F" w:rsidRDefault="0006252E">
      <w:pPr>
        <w:pStyle w:val="BulletText1"/>
        <w:keepNext/>
        <w:numPr>
          <w:ilvl w:val="0"/>
          <w:numId w:val="0"/>
        </w:numPr>
        <w:contextualSpacing/>
        <w:jc w:val="both"/>
        <w:rPr>
          <w:i/>
          <w:szCs w:val="22"/>
          <w:lang w:val="sr-Latn-ME"/>
        </w:rPr>
      </w:pPr>
      <w:r w:rsidRPr="00B74B0F">
        <w:rPr>
          <w:i/>
          <w:szCs w:val="22"/>
          <w:lang w:val="sr-Latn-ME"/>
        </w:rPr>
        <w:t>Isto</w:t>
      </w:r>
      <w:r w:rsidR="00B80CE3" w:rsidRPr="00B74B0F">
        <w:rPr>
          <w:i/>
          <w:szCs w:val="22"/>
          <w:lang w:val="sr-Latn-ME"/>
        </w:rPr>
        <w:t>vremena</w:t>
      </w:r>
      <w:r w:rsidRPr="00B74B0F">
        <w:rPr>
          <w:i/>
          <w:szCs w:val="22"/>
          <w:lang w:val="sr-Latn-ME"/>
        </w:rPr>
        <w:t xml:space="preserve"> primjena s</w:t>
      </w:r>
      <w:r w:rsidR="005A1470" w:rsidRPr="00B74B0F">
        <w:rPr>
          <w:i/>
          <w:szCs w:val="22"/>
          <w:lang w:val="sr-Latn-ME"/>
        </w:rPr>
        <w:t>a</w:t>
      </w:r>
      <w:r w:rsidRPr="00B74B0F">
        <w:rPr>
          <w:i/>
          <w:szCs w:val="22"/>
          <w:lang w:val="sr-Latn-ME"/>
        </w:rPr>
        <w:t xml:space="preserve"> induktorima CYP3A4</w:t>
      </w:r>
    </w:p>
    <w:p w14:paraId="37799EEB" w14:textId="77777777" w:rsidR="00F51ACB" w:rsidRPr="00B74B0F" w:rsidRDefault="00F51ACB">
      <w:pPr>
        <w:pStyle w:val="BulletText1"/>
        <w:keepNext/>
        <w:numPr>
          <w:ilvl w:val="0"/>
          <w:numId w:val="0"/>
        </w:numPr>
        <w:contextualSpacing/>
        <w:jc w:val="both"/>
        <w:rPr>
          <w:i/>
          <w:szCs w:val="22"/>
          <w:lang w:val="sr-Latn-ME"/>
        </w:rPr>
      </w:pPr>
    </w:p>
    <w:p w14:paraId="056E19A3" w14:textId="5857373E" w:rsidR="000C2741" w:rsidRPr="00B74B0F" w:rsidRDefault="00906CF8">
      <w:pPr>
        <w:pStyle w:val="BulletText1"/>
        <w:numPr>
          <w:ilvl w:val="0"/>
          <w:numId w:val="0"/>
        </w:numPr>
        <w:contextualSpacing/>
        <w:jc w:val="both"/>
        <w:rPr>
          <w:szCs w:val="22"/>
          <w:lang w:val="sr-Latn-ME"/>
        </w:rPr>
      </w:pPr>
      <w:r w:rsidRPr="00B74B0F">
        <w:rPr>
          <w:szCs w:val="22"/>
          <w:lang w:val="sr-Latn-ME"/>
        </w:rPr>
        <w:t>Izloženost</w:t>
      </w:r>
      <w:r w:rsidR="00B80CE3" w:rsidRPr="00B74B0F">
        <w:rPr>
          <w:szCs w:val="22"/>
          <w:lang w:val="sr-Latn-ME"/>
        </w:rPr>
        <w:t xml:space="preserve"> </w:t>
      </w:r>
      <w:r w:rsidRPr="00B74B0F">
        <w:rPr>
          <w:szCs w:val="22"/>
          <w:lang w:val="sr-Latn-ME"/>
        </w:rPr>
        <w:t>upadacitinib</w:t>
      </w:r>
      <w:r w:rsidR="00AE269A" w:rsidRPr="00B74B0F">
        <w:rPr>
          <w:szCs w:val="22"/>
          <w:lang w:val="sr-Latn-ME"/>
        </w:rPr>
        <w:t>u</w:t>
      </w:r>
      <w:r w:rsidR="00DE13B3" w:rsidRPr="00B74B0F">
        <w:rPr>
          <w:szCs w:val="22"/>
          <w:lang w:val="sr-Latn-ME"/>
        </w:rPr>
        <w:t xml:space="preserve"> se</w:t>
      </w:r>
      <w:r w:rsidRPr="00B74B0F">
        <w:rPr>
          <w:szCs w:val="22"/>
          <w:lang w:val="sr-Latn-ME"/>
        </w:rPr>
        <w:t xml:space="preserve"> smanjuje kod isto</w:t>
      </w:r>
      <w:r w:rsidR="00B80CE3" w:rsidRPr="00B74B0F">
        <w:rPr>
          <w:szCs w:val="22"/>
          <w:lang w:val="sr-Latn-ME"/>
        </w:rPr>
        <w:t>vremene</w:t>
      </w:r>
      <w:r w:rsidRPr="00B74B0F">
        <w:rPr>
          <w:szCs w:val="22"/>
          <w:lang w:val="sr-Latn-ME"/>
        </w:rPr>
        <w:t xml:space="preserve"> primjene snažnih induktora CYP3A4 (kao što su rifampi</w:t>
      </w:r>
      <w:r w:rsidR="00DE13B3" w:rsidRPr="00B74B0F">
        <w:rPr>
          <w:szCs w:val="22"/>
          <w:lang w:val="sr-Latn-ME"/>
        </w:rPr>
        <w:t>cin</w:t>
      </w:r>
      <w:r w:rsidRPr="00B74B0F">
        <w:rPr>
          <w:szCs w:val="22"/>
          <w:lang w:val="sr-Latn-ME"/>
        </w:rPr>
        <w:t xml:space="preserve"> i fenitoin), što može dovesti do smanjenog terapijskog </w:t>
      </w:r>
      <w:r w:rsidR="00B80CE3" w:rsidRPr="00B74B0F">
        <w:rPr>
          <w:szCs w:val="22"/>
          <w:lang w:val="sr-Latn-ME"/>
        </w:rPr>
        <w:t xml:space="preserve">efekta </w:t>
      </w:r>
      <w:r w:rsidRPr="00B74B0F">
        <w:rPr>
          <w:szCs w:val="22"/>
          <w:lang w:val="sr-Latn-ME"/>
        </w:rPr>
        <w:t>upadacitinib</w:t>
      </w:r>
      <w:r w:rsidR="00AE269A" w:rsidRPr="00B74B0F">
        <w:rPr>
          <w:szCs w:val="22"/>
          <w:lang w:val="sr-Latn-ME"/>
        </w:rPr>
        <w:t>a</w:t>
      </w:r>
      <w:r w:rsidRPr="00B74B0F">
        <w:rPr>
          <w:szCs w:val="22"/>
          <w:lang w:val="sr-Latn-ME"/>
        </w:rPr>
        <w:t>. U kliničkom ispitivanju</w:t>
      </w:r>
      <w:r w:rsidR="00B80CE3" w:rsidRPr="00B74B0F">
        <w:rPr>
          <w:szCs w:val="22"/>
          <w:lang w:val="sr-Latn-ME"/>
        </w:rPr>
        <w:t xml:space="preserve"> je</w:t>
      </w:r>
      <w:r w:rsidRPr="00B74B0F">
        <w:rPr>
          <w:szCs w:val="22"/>
          <w:lang w:val="sr-Latn-ME"/>
        </w:rPr>
        <w:t xml:space="preserve"> </w:t>
      </w:r>
      <w:r w:rsidR="00DE13B3" w:rsidRPr="00B74B0F">
        <w:rPr>
          <w:szCs w:val="22"/>
          <w:lang w:val="sr-Latn-ME"/>
        </w:rPr>
        <w:t xml:space="preserve">istovremena </w:t>
      </w:r>
      <w:r w:rsidRPr="00B74B0F">
        <w:rPr>
          <w:szCs w:val="22"/>
          <w:lang w:val="sr-Latn-ME"/>
        </w:rPr>
        <w:t>primjena</w:t>
      </w:r>
      <w:r w:rsidR="00B80CE3" w:rsidRPr="00B74B0F">
        <w:rPr>
          <w:szCs w:val="22"/>
          <w:lang w:val="sr-Latn-ME"/>
        </w:rPr>
        <w:t xml:space="preserve"> </w:t>
      </w:r>
      <w:r w:rsidRPr="00B74B0F">
        <w:rPr>
          <w:szCs w:val="22"/>
          <w:lang w:val="sr-Latn-ME"/>
        </w:rPr>
        <w:t>upadacitinib</w:t>
      </w:r>
      <w:r w:rsidR="00AE269A" w:rsidRPr="00B74B0F">
        <w:rPr>
          <w:szCs w:val="22"/>
          <w:lang w:val="sr-Latn-ME"/>
        </w:rPr>
        <w:t>a</w:t>
      </w:r>
      <w:r w:rsidR="00DE13B3" w:rsidRPr="00B74B0F">
        <w:rPr>
          <w:szCs w:val="22"/>
          <w:lang w:val="sr-Latn-ME"/>
        </w:rPr>
        <w:t>,</w:t>
      </w:r>
      <w:r w:rsidRPr="00B74B0F">
        <w:rPr>
          <w:szCs w:val="22"/>
          <w:lang w:val="sr-Latn-ME"/>
        </w:rPr>
        <w:t xml:space="preserve"> nakon više</w:t>
      </w:r>
      <w:r w:rsidR="00770CF7" w:rsidRPr="00B74B0F">
        <w:rPr>
          <w:szCs w:val="22"/>
          <w:lang w:val="sr-Latn-ME"/>
        </w:rPr>
        <w:t>strukih</w:t>
      </w:r>
      <w:r w:rsidRPr="00B74B0F">
        <w:rPr>
          <w:szCs w:val="22"/>
          <w:lang w:val="sr-Latn-ME"/>
        </w:rPr>
        <w:t xml:space="preserve"> doza rifampicina (snažnog induktora CYP3A)</w:t>
      </w:r>
      <w:r w:rsidR="00DE13B3" w:rsidRPr="00B74B0F">
        <w:rPr>
          <w:szCs w:val="22"/>
          <w:lang w:val="sr-Latn-ME"/>
        </w:rPr>
        <w:t>,</w:t>
      </w:r>
      <w:r w:rsidRPr="00B74B0F">
        <w:rPr>
          <w:szCs w:val="22"/>
          <w:lang w:val="sr-Latn-ME"/>
        </w:rPr>
        <w:t xml:space="preserve"> smanjila C</w:t>
      </w:r>
      <w:r w:rsidRPr="00B74B0F">
        <w:rPr>
          <w:szCs w:val="22"/>
          <w:vertAlign w:val="subscript"/>
          <w:lang w:val="sr-Latn-ME"/>
        </w:rPr>
        <w:t>max</w:t>
      </w:r>
      <w:r w:rsidRPr="00B74B0F">
        <w:rPr>
          <w:szCs w:val="22"/>
          <w:lang w:val="sr-Latn-ME"/>
        </w:rPr>
        <w:t xml:space="preserve"> upadacitini</w:t>
      </w:r>
      <w:r w:rsidR="00DE13B3" w:rsidRPr="00B74B0F">
        <w:rPr>
          <w:szCs w:val="22"/>
          <w:lang w:val="sr-Latn-ME"/>
        </w:rPr>
        <w:t>b</w:t>
      </w:r>
      <w:r w:rsidRPr="00B74B0F">
        <w:rPr>
          <w:szCs w:val="22"/>
          <w:lang w:val="sr-Latn-ME"/>
        </w:rPr>
        <w:t xml:space="preserve">a za približno </w:t>
      </w:r>
      <w:r w:rsidR="00221574" w:rsidRPr="00B74B0F">
        <w:rPr>
          <w:szCs w:val="22"/>
          <w:lang w:val="sr-Latn-ME"/>
        </w:rPr>
        <w:t>5</w:t>
      </w:r>
      <w:r w:rsidR="00FB0837" w:rsidRPr="00B74B0F">
        <w:rPr>
          <w:szCs w:val="22"/>
          <w:lang w:val="sr-Latn-ME"/>
        </w:rPr>
        <w:t>0</w:t>
      </w:r>
      <w:r w:rsidRPr="00B74B0F">
        <w:rPr>
          <w:szCs w:val="22"/>
          <w:lang w:val="sr-Latn-ME"/>
        </w:rPr>
        <w:t>%, a njegov</w:t>
      </w:r>
      <w:r w:rsidR="008570A0" w:rsidRPr="00B74B0F">
        <w:rPr>
          <w:szCs w:val="22"/>
          <w:lang w:val="sr-Latn-ME"/>
        </w:rPr>
        <w:t xml:space="preserve"> PIK</w:t>
      </w:r>
      <w:r w:rsidRPr="00B74B0F">
        <w:rPr>
          <w:szCs w:val="22"/>
          <w:lang w:val="sr-Latn-ME"/>
        </w:rPr>
        <w:t xml:space="preserve"> za približno </w:t>
      </w:r>
      <w:r w:rsidR="00221574" w:rsidRPr="00B74B0F">
        <w:rPr>
          <w:szCs w:val="22"/>
          <w:lang w:val="sr-Latn-ME"/>
        </w:rPr>
        <w:t xml:space="preserve">60 </w:t>
      </w:r>
      <w:r w:rsidRPr="00B74B0F">
        <w:rPr>
          <w:szCs w:val="22"/>
          <w:lang w:val="sr-Latn-ME"/>
        </w:rPr>
        <w:t>%. Ako se</w:t>
      </w:r>
      <w:r w:rsidR="00B80CE3" w:rsidRPr="00B74B0F">
        <w:rPr>
          <w:szCs w:val="22"/>
          <w:lang w:val="sr-Latn-ME"/>
        </w:rPr>
        <w:t xml:space="preserve"> </w:t>
      </w:r>
      <w:r w:rsidRPr="00B74B0F">
        <w:rPr>
          <w:szCs w:val="22"/>
          <w:lang w:val="sr-Latn-ME"/>
        </w:rPr>
        <w:t>upadacitinib primjenjuje isto</w:t>
      </w:r>
      <w:r w:rsidR="00B80CE3" w:rsidRPr="00B74B0F">
        <w:rPr>
          <w:szCs w:val="22"/>
          <w:lang w:val="sr-Latn-ME"/>
        </w:rPr>
        <w:t>vremeno</w:t>
      </w:r>
      <w:r w:rsidRPr="00B74B0F">
        <w:rPr>
          <w:szCs w:val="22"/>
          <w:lang w:val="sr-Latn-ME"/>
        </w:rPr>
        <w:t xml:space="preserve"> sa snažnim induktorima CYP3A4, </w:t>
      </w:r>
      <w:r w:rsidR="00BB59FC" w:rsidRPr="00B74B0F">
        <w:rPr>
          <w:szCs w:val="22"/>
          <w:lang w:val="sr-Latn-ME"/>
        </w:rPr>
        <w:t>pacijent</w:t>
      </w:r>
      <w:r w:rsidRPr="00B74B0F">
        <w:rPr>
          <w:szCs w:val="22"/>
          <w:lang w:val="sr-Latn-ME"/>
        </w:rPr>
        <w:t xml:space="preserve">e treba </w:t>
      </w:r>
      <w:r w:rsidR="00DE13B3" w:rsidRPr="00B74B0F">
        <w:rPr>
          <w:szCs w:val="22"/>
          <w:lang w:val="sr-Latn-ME"/>
        </w:rPr>
        <w:t>pratiti</w:t>
      </w:r>
      <w:r w:rsidRPr="00B74B0F">
        <w:rPr>
          <w:szCs w:val="22"/>
          <w:lang w:val="sr-Latn-ME"/>
        </w:rPr>
        <w:t xml:space="preserve"> zbog mogućih promjena u aktivnosti bolesti.</w:t>
      </w:r>
    </w:p>
    <w:p w14:paraId="6BDA311E" w14:textId="77777777" w:rsidR="00E8410F" w:rsidRPr="00B74B0F" w:rsidRDefault="00E8410F">
      <w:pPr>
        <w:spacing w:line="240" w:lineRule="auto"/>
        <w:contextualSpacing/>
        <w:jc w:val="both"/>
        <w:rPr>
          <w:szCs w:val="22"/>
          <w:lang w:val="sr-Latn-ME"/>
        </w:rPr>
      </w:pPr>
    </w:p>
    <w:p w14:paraId="2C9B40DD" w14:textId="77213049" w:rsidR="00565D94" w:rsidRPr="00B74B0F" w:rsidRDefault="00565D94">
      <w:pPr>
        <w:spacing w:line="240" w:lineRule="auto"/>
        <w:contextualSpacing/>
        <w:jc w:val="both"/>
        <w:rPr>
          <w:szCs w:val="22"/>
          <w:lang w:val="sr-Latn-ME"/>
        </w:rPr>
      </w:pPr>
      <w:r w:rsidRPr="00B74B0F">
        <w:rPr>
          <w:szCs w:val="22"/>
          <w:lang w:val="sr-Latn-ME"/>
        </w:rPr>
        <w:t>Metotreksat i ljekovi koji mijenjaju pH (npr. antacidi ili inhibitori protonske pumpe) ne ut</w:t>
      </w:r>
      <w:r w:rsidR="00B80CE3" w:rsidRPr="00B74B0F">
        <w:rPr>
          <w:szCs w:val="22"/>
          <w:lang w:val="sr-Latn-ME"/>
        </w:rPr>
        <w:t>i</w:t>
      </w:r>
      <w:r w:rsidRPr="00B74B0F">
        <w:rPr>
          <w:szCs w:val="22"/>
          <w:lang w:val="sr-Latn-ME"/>
        </w:rPr>
        <w:t>ču na plazmatsku izloženost</w:t>
      </w:r>
      <w:r w:rsidR="00B80CE3" w:rsidRPr="00B74B0F">
        <w:rPr>
          <w:szCs w:val="22"/>
          <w:lang w:val="sr-Latn-ME"/>
        </w:rPr>
        <w:t xml:space="preserve"> </w:t>
      </w:r>
      <w:r w:rsidRPr="00B74B0F">
        <w:rPr>
          <w:szCs w:val="22"/>
          <w:lang w:val="sr-Latn-ME"/>
        </w:rPr>
        <w:t>upadacitinib</w:t>
      </w:r>
      <w:r w:rsidR="00AE269A" w:rsidRPr="00B74B0F">
        <w:rPr>
          <w:szCs w:val="22"/>
          <w:lang w:val="sr-Latn-ME"/>
        </w:rPr>
        <w:t>u</w:t>
      </w:r>
      <w:r w:rsidRPr="00B74B0F">
        <w:rPr>
          <w:szCs w:val="22"/>
          <w:lang w:val="sr-Latn-ME"/>
        </w:rPr>
        <w:t xml:space="preserve">. </w:t>
      </w:r>
    </w:p>
    <w:p w14:paraId="5B142697" w14:textId="77777777" w:rsidR="00147641" w:rsidRPr="00B74B0F" w:rsidRDefault="00147641">
      <w:pPr>
        <w:autoSpaceDE w:val="0"/>
        <w:autoSpaceDN w:val="0"/>
        <w:adjustRightInd w:val="0"/>
        <w:spacing w:line="240" w:lineRule="auto"/>
        <w:contextualSpacing/>
        <w:jc w:val="both"/>
        <w:rPr>
          <w:szCs w:val="22"/>
          <w:lang w:val="sr-Latn-ME"/>
        </w:rPr>
      </w:pPr>
    </w:p>
    <w:p w14:paraId="2F19538F" w14:textId="567E530B" w:rsidR="008F76FF" w:rsidRPr="00B74B0F" w:rsidRDefault="00906CF8">
      <w:pPr>
        <w:pStyle w:val="BulletText1"/>
        <w:keepNext/>
        <w:numPr>
          <w:ilvl w:val="0"/>
          <w:numId w:val="0"/>
        </w:numPr>
        <w:contextualSpacing/>
        <w:jc w:val="both"/>
        <w:rPr>
          <w:szCs w:val="22"/>
          <w:u w:val="single"/>
          <w:lang w:val="sr-Latn-ME"/>
        </w:rPr>
      </w:pPr>
      <w:r w:rsidRPr="00B74B0F">
        <w:rPr>
          <w:szCs w:val="22"/>
          <w:u w:val="single"/>
          <w:lang w:val="sr-Latn-ME"/>
        </w:rPr>
        <w:t>Potencijal</w:t>
      </w:r>
      <w:r w:rsidR="00B80CE3" w:rsidRPr="00B74B0F">
        <w:rPr>
          <w:szCs w:val="22"/>
          <w:u w:val="single"/>
          <w:lang w:val="sr-Latn-ME"/>
        </w:rPr>
        <w:t xml:space="preserve"> </w:t>
      </w:r>
      <w:r w:rsidRPr="00B74B0F">
        <w:rPr>
          <w:szCs w:val="22"/>
          <w:u w:val="single"/>
          <w:lang w:val="sr-Latn-ME"/>
        </w:rPr>
        <w:t>upadacitinib</w:t>
      </w:r>
      <w:r w:rsidR="00AE269A" w:rsidRPr="00B74B0F">
        <w:rPr>
          <w:szCs w:val="22"/>
          <w:u w:val="single"/>
          <w:lang w:val="sr-Latn-ME"/>
        </w:rPr>
        <w:t>a</w:t>
      </w:r>
      <w:r w:rsidRPr="00B74B0F">
        <w:rPr>
          <w:szCs w:val="22"/>
          <w:u w:val="single"/>
          <w:lang w:val="sr-Latn-ME"/>
        </w:rPr>
        <w:t xml:space="preserve"> da ut</w:t>
      </w:r>
      <w:r w:rsidR="00B80CE3" w:rsidRPr="00B74B0F">
        <w:rPr>
          <w:szCs w:val="22"/>
          <w:u w:val="single"/>
          <w:lang w:val="sr-Latn-ME"/>
        </w:rPr>
        <w:t>i</w:t>
      </w:r>
      <w:r w:rsidRPr="00B74B0F">
        <w:rPr>
          <w:szCs w:val="22"/>
          <w:u w:val="single"/>
          <w:lang w:val="sr-Latn-ME"/>
        </w:rPr>
        <w:t>če na farmakokinetiku drugih ljekova</w:t>
      </w:r>
    </w:p>
    <w:p w14:paraId="79A77395" w14:textId="77777777" w:rsidR="00812D16" w:rsidRPr="00B74B0F" w:rsidRDefault="00812D16">
      <w:pPr>
        <w:keepNext/>
        <w:spacing w:line="240" w:lineRule="auto"/>
        <w:contextualSpacing/>
        <w:jc w:val="both"/>
        <w:rPr>
          <w:szCs w:val="22"/>
          <w:lang w:val="sr-Latn-ME"/>
        </w:rPr>
      </w:pPr>
    </w:p>
    <w:p w14:paraId="280A04C8" w14:textId="5315051D" w:rsidR="00F938EF" w:rsidRPr="00B74B0F" w:rsidRDefault="00F938EF">
      <w:pPr>
        <w:spacing w:line="240" w:lineRule="auto"/>
        <w:contextualSpacing/>
        <w:jc w:val="both"/>
        <w:rPr>
          <w:szCs w:val="22"/>
          <w:lang w:val="sr-Latn-ME"/>
        </w:rPr>
      </w:pPr>
      <w:r w:rsidRPr="00B74B0F">
        <w:rPr>
          <w:szCs w:val="22"/>
          <w:lang w:val="sr-Latn-ME"/>
        </w:rPr>
        <w:t xml:space="preserve">Primjena </w:t>
      </w:r>
      <w:r w:rsidR="00AE269A" w:rsidRPr="00B74B0F">
        <w:rPr>
          <w:szCs w:val="22"/>
          <w:lang w:val="sr-Latn-ME"/>
        </w:rPr>
        <w:t xml:space="preserve">ponovljenih </w:t>
      </w:r>
      <w:r w:rsidRPr="00B74B0F">
        <w:rPr>
          <w:szCs w:val="22"/>
          <w:lang w:val="sr-Latn-ME"/>
        </w:rPr>
        <w:t>doza</w:t>
      </w:r>
      <w:r w:rsidR="00B80CE3" w:rsidRPr="00B74B0F">
        <w:rPr>
          <w:szCs w:val="22"/>
          <w:lang w:val="sr-Latn-ME"/>
        </w:rPr>
        <w:t xml:space="preserve"> </w:t>
      </w:r>
      <w:r w:rsidRPr="00B74B0F">
        <w:rPr>
          <w:szCs w:val="22"/>
          <w:lang w:val="sr-Latn-ME"/>
        </w:rPr>
        <w:t>upadacitinib</w:t>
      </w:r>
      <w:r w:rsidR="00012342" w:rsidRPr="00B74B0F">
        <w:rPr>
          <w:szCs w:val="22"/>
          <w:lang w:val="sr-Latn-ME"/>
        </w:rPr>
        <w:t>a</w:t>
      </w:r>
      <w:r w:rsidRPr="00B74B0F">
        <w:rPr>
          <w:szCs w:val="22"/>
          <w:lang w:val="sr-Latn-ME"/>
        </w:rPr>
        <w:t xml:space="preserve"> od 30 mg </w:t>
      </w:r>
      <w:r w:rsidR="00D24433" w:rsidRPr="00B74B0F">
        <w:rPr>
          <w:szCs w:val="22"/>
          <w:lang w:val="sr-Latn-ME"/>
        </w:rPr>
        <w:t xml:space="preserve">ili 45 mg </w:t>
      </w:r>
      <w:r w:rsidRPr="00B74B0F">
        <w:rPr>
          <w:szCs w:val="22"/>
          <w:lang w:val="sr-Latn-ME"/>
        </w:rPr>
        <w:t>jed</w:t>
      </w:r>
      <w:r w:rsidR="00AE269A" w:rsidRPr="00B74B0F">
        <w:rPr>
          <w:szCs w:val="22"/>
          <w:lang w:val="sr-Latn-ME"/>
        </w:rPr>
        <w:t xml:space="preserve">nom dnevno </w:t>
      </w:r>
      <w:r w:rsidR="00B80CE3" w:rsidRPr="00B74B0F">
        <w:rPr>
          <w:szCs w:val="22"/>
          <w:lang w:val="sr-Latn-ME"/>
        </w:rPr>
        <w:t>kod</w:t>
      </w:r>
      <w:r w:rsidRPr="00B74B0F">
        <w:rPr>
          <w:szCs w:val="22"/>
          <w:lang w:val="sr-Latn-ME"/>
        </w:rPr>
        <w:t xml:space="preserve"> zdravih ispitanika</w:t>
      </w:r>
      <w:r w:rsidR="00DE13B3" w:rsidRPr="00B74B0F">
        <w:rPr>
          <w:szCs w:val="22"/>
          <w:lang w:val="sr-Latn-ME"/>
        </w:rPr>
        <w:t xml:space="preserve"> je</w:t>
      </w:r>
      <w:r w:rsidRPr="00B74B0F">
        <w:rPr>
          <w:szCs w:val="22"/>
          <w:lang w:val="sr-Latn-ME"/>
        </w:rPr>
        <w:t xml:space="preserve"> imala ograničen ut</w:t>
      </w:r>
      <w:r w:rsidR="00B80CE3" w:rsidRPr="00B74B0F">
        <w:rPr>
          <w:szCs w:val="22"/>
          <w:lang w:val="sr-Latn-ME"/>
        </w:rPr>
        <w:t>i</w:t>
      </w:r>
      <w:r w:rsidRPr="00B74B0F">
        <w:rPr>
          <w:szCs w:val="22"/>
          <w:lang w:val="sr-Latn-ME"/>
        </w:rPr>
        <w:t>caj na plazmatsku izloženost midazolamu</w:t>
      </w:r>
      <w:r w:rsidR="005E1788" w:rsidRPr="00B74B0F">
        <w:rPr>
          <w:szCs w:val="22"/>
          <w:lang w:val="sr-Latn-ME"/>
        </w:rPr>
        <w:t>, osjetljivom supstratu za CYP3A</w:t>
      </w:r>
      <w:r w:rsidRPr="00B74B0F">
        <w:rPr>
          <w:szCs w:val="22"/>
          <w:lang w:val="sr-Latn-ME"/>
        </w:rPr>
        <w:t xml:space="preserve"> (smanjenje </w:t>
      </w:r>
      <w:r w:rsidR="00012342" w:rsidRPr="00B74B0F">
        <w:rPr>
          <w:szCs w:val="22"/>
          <w:lang w:val="sr-Latn-ME"/>
        </w:rPr>
        <w:t>PIK</w:t>
      </w:r>
      <w:r w:rsidRPr="00B74B0F">
        <w:rPr>
          <w:szCs w:val="22"/>
          <w:lang w:val="sr-Latn-ME"/>
        </w:rPr>
        <w:noBreakHyphen/>
        <w:t>a i C</w:t>
      </w:r>
      <w:r w:rsidRPr="00B74B0F">
        <w:rPr>
          <w:szCs w:val="22"/>
          <w:vertAlign w:val="subscript"/>
          <w:lang w:val="sr-Latn-ME"/>
        </w:rPr>
        <w:t>max</w:t>
      </w:r>
      <w:r w:rsidRPr="00B74B0F">
        <w:rPr>
          <w:szCs w:val="22"/>
          <w:lang w:val="sr-Latn-ME"/>
        </w:rPr>
        <w:t xml:space="preserve"> midazolama za </w:t>
      </w:r>
      <w:r w:rsidR="000D759E" w:rsidRPr="00B74B0F">
        <w:rPr>
          <w:szCs w:val="22"/>
          <w:lang w:val="sr-Latn-ME"/>
        </w:rPr>
        <w:t>24-</w:t>
      </w:r>
      <w:r w:rsidRPr="00B74B0F">
        <w:rPr>
          <w:szCs w:val="22"/>
          <w:lang w:val="sr-Latn-ME"/>
        </w:rPr>
        <w:t>26%), što pokazuje da</w:t>
      </w:r>
      <w:r w:rsidR="00B80CE3" w:rsidRPr="00B74B0F">
        <w:rPr>
          <w:szCs w:val="22"/>
          <w:lang w:val="sr-Latn-ME"/>
        </w:rPr>
        <w:t xml:space="preserve"> lijek</w:t>
      </w:r>
      <w:r w:rsidRPr="00B74B0F">
        <w:rPr>
          <w:szCs w:val="22"/>
          <w:lang w:val="sr-Latn-ME"/>
        </w:rPr>
        <w:t xml:space="preserve"> upadacitinib u dozi od 30 mg jed</w:t>
      </w:r>
      <w:r w:rsidR="00AE269A" w:rsidRPr="00B74B0F">
        <w:rPr>
          <w:szCs w:val="22"/>
          <w:lang w:val="sr-Latn-ME"/>
        </w:rPr>
        <w:t xml:space="preserve">nom dnevno </w:t>
      </w:r>
      <w:r w:rsidRPr="00B74B0F">
        <w:rPr>
          <w:szCs w:val="22"/>
          <w:lang w:val="sr-Latn-ME"/>
        </w:rPr>
        <w:t>može imati slab indukc</w:t>
      </w:r>
      <w:r w:rsidR="00AE269A" w:rsidRPr="00B74B0F">
        <w:rPr>
          <w:szCs w:val="22"/>
          <w:lang w:val="sr-Latn-ME"/>
        </w:rPr>
        <w:t>ioni</w:t>
      </w:r>
      <w:r w:rsidRPr="00B74B0F">
        <w:rPr>
          <w:szCs w:val="22"/>
          <w:lang w:val="sr-Latn-ME"/>
        </w:rPr>
        <w:t xml:space="preserve"> </w:t>
      </w:r>
      <w:r w:rsidR="00B80CE3" w:rsidRPr="00B74B0F">
        <w:rPr>
          <w:szCs w:val="22"/>
          <w:lang w:val="sr-Latn-ME"/>
        </w:rPr>
        <w:t>efekat</w:t>
      </w:r>
      <w:r w:rsidRPr="00B74B0F">
        <w:rPr>
          <w:szCs w:val="22"/>
          <w:lang w:val="sr-Latn-ME"/>
        </w:rPr>
        <w:t xml:space="preserve"> na CYP3A. U kliničk</w:t>
      </w:r>
      <w:r w:rsidR="005E1788" w:rsidRPr="00B74B0F">
        <w:rPr>
          <w:szCs w:val="22"/>
          <w:lang w:val="sr-Latn-ME"/>
        </w:rPr>
        <w:t>o</w:t>
      </w:r>
      <w:r w:rsidRPr="00B74B0F">
        <w:rPr>
          <w:szCs w:val="22"/>
          <w:lang w:val="sr-Latn-ME"/>
        </w:rPr>
        <w:t>m ispitivanj</w:t>
      </w:r>
      <w:r w:rsidR="005E1788" w:rsidRPr="00B74B0F">
        <w:rPr>
          <w:szCs w:val="22"/>
          <w:lang w:val="sr-Latn-ME"/>
        </w:rPr>
        <w:t>u</w:t>
      </w:r>
      <w:r w:rsidR="00B80CE3" w:rsidRPr="00B74B0F">
        <w:rPr>
          <w:szCs w:val="22"/>
          <w:lang w:val="sr-Latn-ME"/>
        </w:rPr>
        <w:t xml:space="preserve"> su se</w:t>
      </w:r>
      <w:r w:rsidRPr="00B74B0F">
        <w:rPr>
          <w:szCs w:val="22"/>
          <w:lang w:val="sr-Latn-ME"/>
        </w:rPr>
        <w:t xml:space="preserve"> nakon primjene </w:t>
      </w:r>
      <w:r w:rsidR="00AE269A" w:rsidRPr="00B74B0F">
        <w:rPr>
          <w:szCs w:val="22"/>
          <w:lang w:val="sr-Latn-ME"/>
        </w:rPr>
        <w:t xml:space="preserve">ponovljenih </w:t>
      </w:r>
      <w:r w:rsidRPr="00B74B0F">
        <w:rPr>
          <w:szCs w:val="22"/>
          <w:lang w:val="sr-Latn-ME"/>
        </w:rPr>
        <w:t>doza</w:t>
      </w:r>
      <w:r w:rsidR="00B80CE3" w:rsidRPr="00B74B0F">
        <w:rPr>
          <w:szCs w:val="22"/>
          <w:lang w:val="sr-Latn-ME"/>
        </w:rPr>
        <w:t xml:space="preserve"> </w:t>
      </w:r>
      <w:r w:rsidRPr="00B74B0F">
        <w:rPr>
          <w:szCs w:val="22"/>
          <w:lang w:val="sr-Latn-ME"/>
        </w:rPr>
        <w:t>upadacitinib</w:t>
      </w:r>
      <w:r w:rsidR="00AE269A" w:rsidRPr="00B74B0F">
        <w:rPr>
          <w:szCs w:val="22"/>
          <w:lang w:val="sr-Latn-ME"/>
        </w:rPr>
        <w:t>a</w:t>
      </w:r>
      <w:r w:rsidRPr="00B74B0F">
        <w:rPr>
          <w:szCs w:val="22"/>
          <w:lang w:val="sr-Latn-ME"/>
        </w:rPr>
        <w:t xml:space="preserve"> od 30 mg</w:t>
      </w:r>
      <w:r w:rsidR="00DB6F6D" w:rsidRPr="00B74B0F">
        <w:rPr>
          <w:szCs w:val="22"/>
          <w:lang w:val="sr-Latn-ME"/>
        </w:rPr>
        <w:t xml:space="preserve"> ili 45 mg</w:t>
      </w:r>
      <w:r w:rsidRPr="00B74B0F">
        <w:rPr>
          <w:szCs w:val="22"/>
          <w:lang w:val="sr-Latn-ME"/>
        </w:rPr>
        <w:t xml:space="preserve"> jed</w:t>
      </w:r>
      <w:r w:rsidR="00AE269A" w:rsidRPr="00B74B0F">
        <w:rPr>
          <w:szCs w:val="22"/>
          <w:lang w:val="sr-Latn-ME"/>
        </w:rPr>
        <w:t xml:space="preserve">nom dnevno </w:t>
      </w:r>
      <w:r w:rsidR="00B80CE3" w:rsidRPr="00B74B0F">
        <w:rPr>
          <w:szCs w:val="22"/>
          <w:lang w:val="sr-Latn-ME"/>
        </w:rPr>
        <w:t>kod</w:t>
      </w:r>
      <w:r w:rsidRPr="00B74B0F">
        <w:rPr>
          <w:szCs w:val="22"/>
          <w:lang w:val="sr-Latn-ME"/>
        </w:rPr>
        <w:t xml:space="preserve"> zdravih ispitanika vrijednosti </w:t>
      </w:r>
      <w:r w:rsidR="00012342" w:rsidRPr="00B74B0F">
        <w:rPr>
          <w:szCs w:val="22"/>
          <w:lang w:val="sr-Latn-ME"/>
        </w:rPr>
        <w:t>PIK</w:t>
      </w:r>
      <w:r w:rsidRPr="00B74B0F">
        <w:rPr>
          <w:szCs w:val="22"/>
          <w:lang w:val="sr-Latn-ME"/>
        </w:rPr>
        <w:noBreakHyphen/>
        <w:t>a</w:t>
      </w:r>
      <w:r w:rsidR="00B80CE3" w:rsidRPr="00B74B0F">
        <w:rPr>
          <w:szCs w:val="22"/>
          <w:lang w:val="sr-Latn-ME"/>
        </w:rPr>
        <w:t xml:space="preserve"> </w:t>
      </w:r>
      <w:r w:rsidRPr="00B74B0F">
        <w:rPr>
          <w:szCs w:val="22"/>
          <w:lang w:val="sr-Latn-ME"/>
        </w:rPr>
        <w:t>rosuvastatina i atorvastatina smanjile za 33% odnosno 23%, dok se C</w:t>
      </w:r>
      <w:r w:rsidRPr="00B74B0F">
        <w:rPr>
          <w:szCs w:val="22"/>
          <w:vertAlign w:val="subscript"/>
          <w:lang w:val="sr-Latn-ME"/>
        </w:rPr>
        <w:t>max</w:t>
      </w:r>
      <w:r w:rsidR="00B80CE3" w:rsidRPr="00B74B0F">
        <w:rPr>
          <w:szCs w:val="22"/>
          <w:vertAlign w:val="subscript"/>
          <w:lang w:val="sr-Latn-ME"/>
        </w:rPr>
        <w:t xml:space="preserve"> </w:t>
      </w:r>
      <w:r w:rsidRPr="00B74B0F">
        <w:rPr>
          <w:szCs w:val="22"/>
          <w:lang w:val="sr-Latn-ME"/>
        </w:rPr>
        <w:t xml:space="preserve"> rosuvastati</w:t>
      </w:r>
      <w:r w:rsidR="00B80CE3" w:rsidRPr="00B74B0F">
        <w:rPr>
          <w:szCs w:val="22"/>
          <w:lang w:val="sr-Latn-ME"/>
        </w:rPr>
        <w:t>n</w:t>
      </w:r>
      <w:r w:rsidR="00AE269A" w:rsidRPr="00B74B0F">
        <w:rPr>
          <w:szCs w:val="22"/>
          <w:lang w:val="sr-Latn-ME"/>
        </w:rPr>
        <w:t>a</w:t>
      </w:r>
      <w:r w:rsidRPr="00B74B0F">
        <w:rPr>
          <w:szCs w:val="22"/>
          <w:lang w:val="sr-Latn-ME"/>
        </w:rPr>
        <w:t xml:space="preserve"> smanjio za 23%. </w:t>
      </w:r>
      <w:r w:rsidR="00BB0D95" w:rsidRPr="00B74B0F">
        <w:rPr>
          <w:szCs w:val="22"/>
          <w:lang w:val="sr-Latn-ME"/>
        </w:rPr>
        <w:t>U</w:t>
      </w:r>
      <w:r w:rsidRPr="00B74B0F">
        <w:rPr>
          <w:szCs w:val="22"/>
          <w:lang w:val="sr-Latn-ME"/>
        </w:rPr>
        <w:t>padacitinib nije značajno ut</w:t>
      </w:r>
      <w:r w:rsidR="00DE13B3" w:rsidRPr="00B74B0F">
        <w:rPr>
          <w:szCs w:val="22"/>
          <w:lang w:val="sr-Latn-ME"/>
        </w:rPr>
        <w:t>i</w:t>
      </w:r>
      <w:r w:rsidRPr="00B74B0F">
        <w:rPr>
          <w:szCs w:val="22"/>
          <w:lang w:val="sr-Latn-ME"/>
        </w:rPr>
        <w:t>cao na C</w:t>
      </w:r>
      <w:r w:rsidRPr="00B74B0F">
        <w:rPr>
          <w:szCs w:val="22"/>
          <w:vertAlign w:val="subscript"/>
          <w:lang w:val="sr-Latn-ME"/>
        </w:rPr>
        <w:t>max</w:t>
      </w:r>
      <w:r w:rsidR="005E1788" w:rsidRPr="00B74B0F">
        <w:rPr>
          <w:szCs w:val="22"/>
          <w:lang w:val="sr-Latn-ME"/>
        </w:rPr>
        <w:t xml:space="preserve"> atorvastatin</w:t>
      </w:r>
      <w:r w:rsidR="00BB0D95" w:rsidRPr="00B74B0F">
        <w:rPr>
          <w:szCs w:val="22"/>
          <w:lang w:val="sr-Latn-ME"/>
        </w:rPr>
        <w:t>A</w:t>
      </w:r>
      <w:r w:rsidRPr="00B74B0F">
        <w:rPr>
          <w:szCs w:val="22"/>
          <w:lang w:val="sr-Latn-ME"/>
        </w:rPr>
        <w:t xml:space="preserve"> kao ni na plazmatsku izloženost orto</w:t>
      </w:r>
      <w:r w:rsidRPr="00B74B0F">
        <w:rPr>
          <w:szCs w:val="22"/>
          <w:lang w:val="sr-Latn-ME"/>
        </w:rPr>
        <w:noBreakHyphen/>
        <w:t xml:space="preserve">hidroksiatorvastatinu (glavnom aktivnom metabolitu atorvastatina). </w:t>
      </w:r>
      <w:r w:rsidR="00487957" w:rsidRPr="00B74B0F">
        <w:rPr>
          <w:szCs w:val="22"/>
          <w:lang w:val="sr-Latn-ME"/>
        </w:rPr>
        <w:t>Primjena višestrukih doza upadacitinib</w:t>
      </w:r>
      <w:r w:rsidR="00BB0D95" w:rsidRPr="00B74B0F">
        <w:rPr>
          <w:szCs w:val="22"/>
          <w:lang w:val="sr-Latn-ME"/>
        </w:rPr>
        <w:t>a</w:t>
      </w:r>
      <w:r w:rsidR="00487957" w:rsidRPr="00B74B0F">
        <w:rPr>
          <w:szCs w:val="22"/>
          <w:lang w:val="sr-Latn-ME"/>
        </w:rPr>
        <w:t xml:space="preserve"> od 45 mg jedanput na dan kod zdravih ispitanika dovela je do ograničenog povećanja </w:t>
      </w:r>
      <w:r w:rsidR="002611FF" w:rsidRPr="00B74B0F">
        <w:rPr>
          <w:szCs w:val="22"/>
          <w:lang w:val="sr-Latn-ME"/>
        </w:rPr>
        <w:t>PIK</w:t>
      </w:r>
      <w:r w:rsidR="00487957" w:rsidRPr="00B74B0F">
        <w:rPr>
          <w:szCs w:val="22"/>
          <w:lang w:val="sr-Latn-ME"/>
        </w:rPr>
        <w:t>-a i C</w:t>
      </w:r>
      <w:r w:rsidR="00487957" w:rsidRPr="00B74B0F">
        <w:rPr>
          <w:szCs w:val="22"/>
          <w:vertAlign w:val="subscript"/>
          <w:lang w:val="sr-Latn-ME"/>
        </w:rPr>
        <w:t>max</w:t>
      </w:r>
      <w:r w:rsidR="00487957" w:rsidRPr="00B74B0F">
        <w:rPr>
          <w:szCs w:val="22"/>
          <w:lang w:val="sr-Latn-ME"/>
        </w:rPr>
        <w:t xml:space="preserve"> dekstrometorfana (osjetljivog supstrata CYP2D6) za 30% odnosno 35%, što ukazuje da lijek upadacitinib od 45 mg jedanput na dan ima slab inhibi</w:t>
      </w:r>
      <w:r w:rsidR="000D759E" w:rsidRPr="00B74B0F">
        <w:rPr>
          <w:szCs w:val="22"/>
          <w:lang w:val="sr-Latn-ME"/>
        </w:rPr>
        <w:t>torni</w:t>
      </w:r>
      <w:r w:rsidR="00487957" w:rsidRPr="00B74B0F">
        <w:rPr>
          <w:szCs w:val="22"/>
          <w:lang w:val="sr-Latn-ME"/>
        </w:rPr>
        <w:t xml:space="preserve"> </w:t>
      </w:r>
      <w:r w:rsidR="000D759E" w:rsidRPr="00B74B0F">
        <w:rPr>
          <w:szCs w:val="22"/>
          <w:lang w:val="sr-Latn-ME"/>
        </w:rPr>
        <w:t>efekat</w:t>
      </w:r>
      <w:r w:rsidR="00487957" w:rsidRPr="00B74B0F">
        <w:rPr>
          <w:szCs w:val="22"/>
          <w:lang w:val="sr-Latn-ME"/>
        </w:rPr>
        <w:t xml:space="preserve"> na CYP2D6.</w:t>
      </w:r>
      <w:r w:rsidR="006D740D" w:rsidRPr="00B74B0F">
        <w:rPr>
          <w:szCs w:val="22"/>
          <w:lang w:val="sr-Latn-ME"/>
        </w:rPr>
        <w:t xml:space="preserve"> </w:t>
      </w:r>
      <w:r w:rsidRPr="00B74B0F">
        <w:rPr>
          <w:szCs w:val="22"/>
          <w:lang w:val="sr-Latn-ME"/>
        </w:rPr>
        <w:t>Ne preporučuje se prilagođavati dozu supstrat</w:t>
      </w:r>
      <w:r w:rsidR="005E1788" w:rsidRPr="00B74B0F">
        <w:rPr>
          <w:szCs w:val="22"/>
          <w:lang w:val="sr-Latn-ME"/>
        </w:rPr>
        <w:t>a CYP3A</w:t>
      </w:r>
      <w:r w:rsidR="00270AC9" w:rsidRPr="00B74B0F">
        <w:rPr>
          <w:szCs w:val="22"/>
          <w:lang w:val="sr-Latn-ME"/>
        </w:rPr>
        <w:t>, supstrata CYP2D</w:t>
      </w:r>
      <w:r w:rsidR="00B97C6A" w:rsidRPr="00B74B0F">
        <w:rPr>
          <w:szCs w:val="22"/>
          <w:lang w:val="sr-Latn-ME"/>
        </w:rPr>
        <w:t xml:space="preserve">, </w:t>
      </w:r>
      <w:r w:rsidR="005E1788" w:rsidRPr="00B74B0F">
        <w:rPr>
          <w:szCs w:val="22"/>
          <w:lang w:val="sr-Latn-ME"/>
        </w:rPr>
        <w:t xml:space="preserve">dozu </w:t>
      </w:r>
      <w:r w:rsidRPr="00B74B0F">
        <w:rPr>
          <w:szCs w:val="22"/>
          <w:lang w:val="sr-Latn-ME"/>
        </w:rPr>
        <w:t>rosuvastatina ili atorvastatina kada se ti ljekovi primjenjuju isto</w:t>
      </w:r>
      <w:r w:rsidR="00B62F67" w:rsidRPr="00B74B0F">
        <w:rPr>
          <w:szCs w:val="22"/>
          <w:lang w:val="sr-Latn-ME"/>
        </w:rPr>
        <w:t>vremeno sa</w:t>
      </w:r>
      <w:r w:rsidRPr="00B74B0F">
        <w:rPr>
          <w:szCs w:val="22"/>
          <w:lang w:val="sr-Latn-ME"/>
        </w:rPr>
        <w:t xml:space="preserve"> upadacitinib</w:t>
      </w:r>
      <w:r w:rsidR="00C10A3F" w:rsidRPr="00B74B0F">
        <w:rPr>
          <w:szCs w:val="22"/>
          <w:lang w:val="sr-Latn-ME"/>
        </w:rPr>
        <w:t>om</w:t>
      </w:r>
      <w:r w:rsidRPr="00B74B0F">
        <w:rPr>
          <w:szCs w:val="22"/>
          <w:lang w:val="sr-Latn-ME"/>
        </w:rPr>
        <w:t>.</w:t>
      </w:r>
    </w:p>
    <w:p w14:paraId="236624A1" w14:textId="77777777" w:rsidR="00F938EF" w:rsidRPr="00B74B0F" w:rsidRDefault="00F938EF">
      <w:pPr>
        <w:spacing w:line="240" w:lineRule="auto"/>
        <w:contextualSpacing/>
        <w:jc w:val="both"/>
        <w:rPr>
          <w:szCs w:val="22"/>
          <w:lang w:val="sr-Latn-ME"/>
        </w:rPr>
      </w:pPr>
    </w:p>
    <w:p w14:paraId="20980244" w14:textId="4B3168B8" w:rsidR="00D13EE4" w:rsidRPr="00B74B0F" w:rsidRDefault="00B62F67">
      <w:pPr>
        <w:spacing w:line="240" w:lineRule="auto"/>
        <w:contextualSpacing/>
        <w:jc w:val="both"/>
        <w:rPr>
          <w:szCs w:val="22"/>
          <w:lang w:val="sr-Latn-ME"/>
        </w:rPr>
      </w:pPr>
      <w:r w:rsidRPr="00B74B0F">
        <w:rPr>
          <w:szCs w:val="22"/>
          <w:lang w:val="sr-Latn-ME"/>
        </w:rPr>
        <w:t>Lijek u</w:t>
      </w:r>
      <w:r w:rsidR="00906CF8" w:rsidRPr="00B74B0F">
        <w:rPr>
          <w:szCs w:val="22"/>
          <w:lang w:val="sr-Latn-ME"/>
        </w:rPr>
        <w:t>padacitinib nema značaj</w:t>
      </w:r>
      <w:r w:rsidRPr="00B74B0F">
        <w:rPr>
          <w:szCs w:val="22"/>
          <w:lang w:val="sr-Latn-ME"/>
        </w:rPr>
        <w:t>an</w:t>
      </w:r>
      <w:r w:rsidR="00906CF8" w:rsidRPr="00B74B0F">
        <w:rPr>
          <w:szCs w:val="22"/>
          <w:lang w:val="sr-Latn-ME"/>
        </w:rPr>
        <w:t xml:space="preserve"> </w:t>
      </w:r>
      <w:r w:rsidRPr="00B74B0F">
        <w:rPr>
          <w:szCs w:val="22"/>
          <w:lang w:val="sr-Latn-ME"/>
        </w:rPr>
        <w:t>efekat</w:t>
      </w:r>
      <w:r w:rsidR="00906CF8" w:rsidRPr="00B74B0F">
        <w:rPr>
          <w:szCs w:val="22"/>
          <w:lang w:val="sr-Latn-ME"/>
        </w:rPr>
        <w:t xml:space="preserve"> na plazmatsku izloženost etinilestradiolu, levonorgestrelu, metotreksatu </w:t>
      </w:r>
      <w:r w:rsidR="007E7DCF" w:rsidRPr="00B74B0F">
        <w:rPr>
          <w:szCs w:val="22"/>
          <w:lang w:val="sr-Latn-ME"/>
        </w:rPr>
        <w:t>ili</w:t>
      </w:r>
      <w:r w:rsidR="00906CF8" w:rsidRPr="00B74B0F">
        <w:rPr>
          <w:szCs w:val="22"/>
          <w:lang w:val="sr-Latn-ME"/>
        </w:rPr>
        <w:t xml:space="preserve"> ljekovima koji su supstrati za metabolizam putem CYP1A2, CYP2B6, CYP2C9, CYP2C19.</w:t>
      </w:r>
    </w:p>
    <w:p w14:paraId="029BB303" w14:textId="77777777" w:rsidR="00D13EE4" w:rsidRPr="00B74B0F" w:rsidRDefault="00D13EE4">
      <w:pPr>
        <w:spacing w:line="240" w:lineRule="auto"/>
        <w:contextualSpacing/>
        <w:jc w:val="both"/>
        <w:rPr>
          <w:szCs w:val="22"/>
          <w:lang w:val="sr-Latn-ME"/>
        </w:rPr>
      </w:pPr>
    </w:p>
    <w:p w14:paraId="2A2F386F" w14:textId="77777777"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4.6</w:t>
      </w:r>
      <w:r w:rsidRPr="00B74B0F">
        <w:rPr>
          <w:b/>
          <w:szCs w:val="22"/>
          <w:lang w:val="sr-Latn-ME"/>
        </w:rPr>
        <w:tab/>
      </w:r>
      <w:r w:rsidRPr="00B74B0F">
        <w:rPr>
          <w:b/>
          <w:bCs/>
          <w:szCs w:val="22"/>
          <w:lang w:val="sr-Latn-ME"/>
        </w:rPr>
        <w:t>Plodnost, trudnoća i dojenje</w:t>
      </w:r>
    </w:p>
    <w:p w14:paraId="7094B298" w14:textId="77777777" w:rsidR="00812D16" w:rsidRPr="00B74B0F" w:rsidRDefault="00812D16">
      <w:pPr>
        <w:keepNext/>
        <w:spacing w:line="240" w:lineRule="auto"/>
        <w:contextualSpacing/>
        <w:jc w:val="both"/>
        <w:rPr>
          <w:szCs w:val="22"/>
          <w:lang w:val="sr-Latn-ME"/>
        </w:rPr>
      </w:pPr>
    </w:p>
    <w:p w14:paraId="7F954E1A" w14:textId="77777777" w:rsidR="00BB0D95" w:rsidRPr="00B74B0F" w:rsidRDefault="00BB0D95" w:rsidP="00BB0D95">
      <w:pPr>
        <w:keepNext/>
        <w:autoSpaceDE w:val="0"/>
        <w:autoSpaceDN w:val="0"/>
        <w:spacing w:line="240" w:lineRule="auto"/>
        <w:contextualSpacing/>
        <w:jc w:val="both"/>
        <w:rPr>
          <w:szCs w:val="22"/>
          <w:u w:val="single"/>
          <w:lang w:val="sr-Latn-ME"/>
        </w:rPr>
      </w:pPr>
      <w:r w:rsidRPr="00B74B0F">
        <w:rPr>
          <w:szCs w:val="22"/>
          <w:u w:val="single"/>
          <w:lang w:val="sr-Latn-ME"/>
        </w:rPr>
        <w:t>Plodnost</w:t>
      </w:r>
    </w:p>
    <w:p w14:paraId="1DE231E9" w14:textId="77777777" w:rsidR="00BB0D95" w:rsidRPr="00B74B0F" w:rsidRDefault="00BB0D95" w:rsidP="00BB0D95">
      <w:pPr>
        <w:keepNext/>
        <w:autoSpaceDE w:val="0"/>
        <w:autoSpaceDN w:val="0"/>
        <w:spacing w:line="240" w:lineRule="auto"/>
        <w:contextualSpacing/>
        <w:jc w:val="both"/>
        <w:rPr>
          <w:szCs w:val="22"/>
          <w:lang w:val="sr-Latn-ME"/>
        </w:rPr>
      </w:pPr>
    </w:p>
    <w:p w14:paraId="09A171DE" w14:textId="07B4960E" w:rsidR="00BB0D95" w:rsidRPr="00B74B0F" w:rsidRDefault="00BB0D95" w:rsidP="00BB0D95">
      <w:pPr>
        <w:spacing w:line="240" w:lineRule="auto"/>
        <w:contextualSpacing/>
        <w:jc w:val="both"/>
        <w:rPr>
          <w:szCs w:val="22"/>
          <w:lang w:val="sr-Latn-ME"/>
        </w:rPr>
      </w:pPr>
      <w:r w:rsidRPr="00B74B0F">
        <w:rPr>
          <w:szCs w:val="22"/>
          <w:lang w:val="sr-Latn-ME"/>
        </w:rPr>
        <w:t>Nije se proocjenjivao uticaj lijeka upadacitinib na plodnost ljudi. Ispitivanja na životinjama ne ukazuju na uticaj na plodnost (vidjeti dio 5.3).</w:t>
      </w:r>
    </w:p>
    <w:p w14:paraId="344BD5AF" w14:textId="77777777" w:rsidR="00BB0D95" w:rsidRPr="00B74B0F" w:rsidRDefault="00BB0D95" w:rsidP="00BB0D95">
      <w:pPr>
        <w:spacing w:line="240" w:lineRule="auto"/>
        <w:contextualSpacing/>
        <w:jc w:val="both"/>
        <w:rPr>
          <w:szCs w:val="22"/>
          <w:lang w:val="sr-Latn-ME"/>
        </w:rPr>
      </w:pPr>
    </w:p>
    <w:p w14:paraId="139471E0" w14:textId="58973779" w:rsidR="00F36332" w:rsidRPr="00B74B0F" w:rsidRDefault="00F36332">
      <w:pPr>
        <w:keepNext/>
        <w:spacing w:line="240" w:lineRule="auto"/>
        <w:contextualSpacing/>
        <w:jc w:val="both"/>
        <w:rPr>
          <w:szCs w:val="22"/>
          <w:u w:val="single"/>
          <w:lang w:val="sr-Latn-ME"/>
        </w:rPr>
      </w:pPr>
      <w:r w:rsidRPr="00B74B0F">
        <w:rPr>
          <w:szCs w:val="22"/>
          <w:u w:val="single"/>
          <w:lang w:val="sr-Latn-ME"/>
        </w:rPr>
        <w:t xml:space="preserve">Žene </w:t>
      </w:r>
      <w:r w:rsidR="00BB59FC" w:rsidRPr="00B74B0F">
        <w:rPr>
          <w:szCs w:val="22"/>
          <w:u w:val="single"/>
          <w:lang w:val="sr-Latn-ME"/>
        </w:rPr>
        <w:t xml:space="preserve">u </w:t>
      </w:r>
      <w:r w:rsidRPr="00B74B0F">
        <w:rPr>
          <w:szCs w:val="22"/>
          <w:u w:val="single"/>
          <w:lang w:val="sr-Latn-ME"/>
        </w:rPr>
        <w:t>reproduktivn</w:t>
      </w:r>
      <w:r w:rsidR="00BB59FC" w:rsidRPr="00B74B0F">
        <w:rPr>
          <w:szCs w:val="22"/>
          <w:u w:val="single"/>
          <w:lang w:val="sr-Latn-ME"/>
        </w:rPr>
        <w:t>om periodu</w:t>
      </w:r>
    </w:p>
    <w:p w14:paraId="40E14D35" w14:textId="77777777" w:rsidR="00F36332" w:rsidRPr="00B74B0F" w:rsidRDefault="00F36332">
      <w:pPr>
        <w:keepNext/>
        <w:spacing w:line="240" w:lineRule="auto"/>
        <w:contextualSpacing/>
        <w:jc w:val="both"/>
        <w:rPr>
          <w:szCs w:val="22"/>
          <w:lang w:val="sr-Latn-ME"/>
        </w:rPr>
      </w:pPr>
    </w:p>
    <w:p w14:paraId="1E5BB1E3" w14:textId="24F9F47B" w:rsidR="00F36332" w:rsidRPr="00B74B0F" w:rsidRDefault="00F36332">
      <w:pPr>
        <w:spacing w:line="240" w:lineRule="auto"/>
        <w:contextualSpacing/>
        <w:jc w:val="both"/>
        <w:rPr>
          <w:szCs w:val="22"/>
          <w:lang w:val="sr-Latn-ME"/>
        </w:rPr>
      </w:pPr>
      <w:r w:rsidRPr="00B74B0F">
        <w:rPr>
          <w:szCs w:val="22"/>
          <w:lang w:val="sr-Latn-ME"/>
        </w:rPr>
        <w:t>Žen</w:t>
      </w:r>
      <w:r w:rsidR="000909B0" w:rsidRPr="00B74B0F">
        <w:rPr>
          <w:szCs w:val="22"/>
          <w:lang w:val="sr-Latn-ME"/>
        </w:rPr>
        <w:t>e</w:t>
      </w:r>
      <w:r w:rsidRPr="00B74B0F">
        <w:rPr>
          <w:szCs w:val="22"/>
          <w:lang w:val="sr-Latn-ME"/>
        </w:rPr>
        <w:t xml:space="preserve"> </w:t>
      </w:r>
      <w:r w:rsidR="00BB59FC" w:rsidRPr="00B74B0F">
        <w:rPr>
          <w:szCs w:val="22"/>
          <w:lang w:val="sr-Latn-ME"/>
        </w:rPr>
        <w:t xml:space="preserve">u </w:t>
      </w:r>
      <w:r w:rsidRPr="00B74B0F">
        <w:rPr>
          <w:szCs w:val="22"/>
          <w:lang w:val="sr-Latn-ME"/>
        </w:rPr>
        <w:t>reproduktivn</w:t>
      </w:r>
      <w:r w:rsidR="00BB59FC" w:rsidRPr="00B74B0F">
        <w:rPr>
          <w:szCs w:val="22"/>
          <w:lang w:val="sr-Latn-ME"/>
        </w:rPr>
        <w:t>om periodu</w:t>
      </w:r>
      <w:r w:rsidRPr="00B74B0F">
        <w:rPr>
          <w:szCs w:val="22"/>
          <w:lang w:val="sr-Latn-ME"/>
        </w:rPr>
        <w:t xml:space="preserve"> </w:t>
      </w:r>
      <w:r w:rsidR="00BB59FC" w:rsidRPr="00B74B0F">
        <w:rPr>
          <w:szCs w:val="22"/>
          <w:lang w:val="sr-Latn-ME"/>
        </w:rPr>
        <w:t>t</w:t>
      </w:r>
      <w:r w:rsidRPr="00B74B0F">
        <w:rPr>
          <w:szCs w:val="22"/>
          <w:lang w:val="sr-Latn-ME"/>
        </w:rPr>
        <w:t xml:space="preserve">reba </w:t>
      </w:r>
      <w:r w:rsidR="007E7DCF" w:rsidRPr="00B74B0F">
        <w:rPr>
          <w:szCs w:val="22"/>
          <w:lang w:val="sr-Latn-ME"/>
        </w:rPr>
        <w:t>savjetovati</w:t>
      </w:r>
      <w:r w:rsidRPr="00B74B0F">
        <w:rPr>
          <w:szCs w:val="22"/>
          <w:lang w:val="sr-Latn-ME"/>
        </w:rPr>
        <w:t xml:space="preserve"> da koriste </w:t>
      </w:r>
      <w:r w:rsidR="00B62F67" w:rsidRPr="00B74B0F">
        <w:rPr>
          <w:szCs w:val="22"/>
          <w:lang w:val="sr-Latn-ME"/>
        </w:rPr>
        <w:t>efikasnu</w:t>
      </w:r>
      <w:r w:rsidRPr="00B74B0F">
        <w:rPr>
          <w:szCs w:val="22"/>
          <w:lang w:val="sr-Latn-ME"/>
        </w:rPr>
        <w:t xml:space="preserve"> metodu kontracepcije </w:t>
      </w:r>
      <w:r w:rsidR="00B62F67" w:rsidRPr="00B74B0F">
        <w:rPr>
          <w:szCs w:val="22"/>
          <w:lang w:val="sr-Latn-ME"/>
        </w:rPr>
        <w:t>za vrijeme</w:t>
      </w:r>
      <w:r w:rsidRPr="00B74B0F">
        <w:rPr>
          <w:szCs w:val="22"/>
          <w:lang w:val="sr-Latn-ME"/>
        </w:rPr>
        <w:t xml:space="preserve"> liječenja i još 4 </w:t>
      </w:r>
      <w:r w:rsidR="00B10681" w:rsidRPr="00B74B0F">
        <w:rPr>
          <w:szCs w:val="22"/>
          <w:lang w:val="sr-Latn-ME"/>
        </w:rPr>
        <w:t>n</w:t>
      </w:r>
      <w:r w:rsidR="008806F8" w:rsidRPr="00B74B0F">
        <w:rPr>
          <w:szCs w:val="22"/>
          <w:lang w:val="sr-Latn-ME"/>
        </w:rPr>
        <w:t>ed</w:t>
      </w:r>
      <w:r w:rsidR="00AE269A" w:rsidRPr="00B74B0F">
        <w:rPr>
          <w:szCs w:val="22"/>
          <w:lang w:val="sr-Latn-ME"/>
        </w:rPr>
        <w:t>j</w:t>
      </w:r>
      <w:r w:rsidR="008806F8" w:rsidRPr="00B74B0F">
        <w:rPr>
          <w:szCs w:val="22"/>
          <w:lang w:val="sr-Latn-ME"/>
        </w:rPr>
        <w:t>elje</w:t>
      </w:r>
      <w:r w:rsidRPr="00B74B0F">
        <w:rPr>
          <w:szCs w:val="22"/>
          <w:lang w:val="sr-Latn-ME"/>
        </w:rPr>
        <w:t xml:space="preserve"> nakon posl</w:t>
      </w:r>
      <w:r w:rsidR="00AE269A" w:rsidRPr="00B74B0F">
        <w:rPr>
          <w:szCs w:val="22"/>
          <w:lang w:val="sr-Latn-ME"/>
        </w:rPr>
        <w:t>j</w:t>
      </w:r>
      <w:r w:rsidRPr="00B74B0F">
        <w:rPr>
          <w:szCs w:val="22"/>
          <w:lang w:val="sr-Latn-ME"/>
        </w:rPr>
        <w:t>ednje doze</w:t>
      </w:r>
      <w:r w:rsidR="00B62F67" w:rsidRPr="00B74B0F">
        <w:rPr>
          <w:szCs w:val="22"/>
          <w:lang w:val="sr-Latn-ME"/>
        </w:rPr>
        <w:t xml:space="preserve"> lijeka</w:t>
      </w:r>
      <w:r w:rsidRPr="00B74B0F">
        <w:rPr>
          <w:szCs w:val="22"/>
          <w:lang w:val="sr-Latn-ME"/>
        </w:rPr>
        <w:t xml:space="preserve"> upadacitinib.</w:t>
      </w:r>
      <w:r w:rsidR="000D759E" w:rsidRPr="00B74B0F">
        <w:rPr>
          <w:szCs w:val="22"/>
          <w:lang w:val="sr-Latn-ME"/>
        </w:rPr>
        <w:t xml:space="preserve"> Djevojčice i/ili njihove roditelje/staratelje treba obavijestiti o potrebi javljanja izabranom ljekaru ako pacijentkinja dobije prvu menstruaciju tokom uzimanja upadacitiniba.</w:t>
      </w:r>
    </w:p>
    <w:p w14:paraId="3EC41DD1" w14:textId="77777777" w:rsidR="00F36332" w:rsidRPr="00B74B0F" w:rsidRDefault="00F36332">
      <w:pPr>
        <w:spacing w:line="240" w:lineRule="auto"/>
        <w:contextualSpacing/>
        <w:jc w:val="both"/>
        <w:rPr>
          <w:szCs w:val="22"/>
          <w:lang w:val="sr-Latn-ME"/>
        </w:rPr>
      </w:pPr>
    </w:p>
    <w:p w14:paraId="04B8B84A" w14:textId="77777777" w:rsidR="00DA2044" w:rsidRPr="00B74B0F" w:rsidRDefault="00906CF8">
      <w:pPr>
        <w:keepNext/>
        <w:spacing w:line="240" w:lineRule="auto"/>
        <w:contextualSpacing/>
        <w:jc w:val="both"/>
        <w:rPr>
          <w:szCs w:val="22"/>
          <w:u w:val="single"/>
          <w:lang w:val="sr-Latn-ME"/>
        </w:rPr>
      </w:pPr>
      <w:r w:rsidRPr="00B74B0F">
        <w:rPr>
          <w:szCs w:val="22"/>
          <w:u w:val="single"/>
          <w:lang w:val="sr-Latn-ME"/>
        </w:rPr>
        <w:t>Trudnoća</w:t>
      </w:r>
    </w:p>
    <w:p w14:paraId="3D82AECC" w14:textId="77777777" w:rsidR="00DA2044" w:rsidRPr="00B74B0F" w:rsidRDefault="00DA2044">
      <w:pPr>
        <w:keepNext/>
        <w:spacing w:line="240" w:lineRule="auto"/>
        <w:contextualSpacing/>
        <w:jc w:val="both"/>
        <w:rPr>
          <w:szCs w:val="22"/>
          <w:lang w:val="sr-Latn-ME"/>
        </w:rPr>
      </w:pPr>
    </w:p>
    <w:p w14:paraId="59789FA0" w14:textId="1532144B" w:rsidR="00DA2044" w:rsidRPr="00B74B0F" w:rsidRDefault="00F36332">
      <w:pPr>
        <w:autoSpaceDE w:val="0"/>
        <w:autoSpaceDN w:val="0"/>
        <w:spacing w:line="240" w:lineRule="auto"/>
        <w:contextualSpacing/>
        <w:jc w:val="both"/>
        <w:rPr>
          <w:szCs w:val="22"/>
          <w:lang w:val="sr-Latn-ME"/>
        </w:rPr>
      </w:pPr>
      <w:r w:rsidRPr="00B74B0F">
        <w:rPr>
          <w:szCs w:val="22"/>
          <w:lang w:val="sr-Latn-ME"/>
        </w:rPr>
        <w:t>Nema podataka ili</w:t>
      </w:r>
      <w:r w:rsidR="00B10681" w:rsidRPr="00B74B0F">
        <w:rPr>
          <w:szCs w:val="22"/>
          <w:lang w:val="sr-Latn-ME"/>
        </w:rPr>
        <w:t xml:space="preserve"> su </w:t>
      </w:r>
      <w:r w:rsidRPr="00B74B0F">
        <w:rPr>
          <w:szCs w:val="22"/>
          <w:lang w:val="sr-Latn-ME"/>
        </w:rPr>
        <w:t>p</w:t>
      </w:r>
      <w:r w:rsidR="00906CF8" w:rsidRPr="00B74B0F">
        <w:rPr>
          <w:szCs w:val="22"/>
          <w:lang w:val="sr-Latn-ME"/>
        </w:rPr>
        <w:t>odaci o primjeni</w:t>
      </w:r>
      <w:r w:rsidR="00B62F67" w:rsidRPr="00B74B0F">
        <w:rPr>
          <w:szCs w:val="22"/>
          <w:lang w:val="sr-Latn-ME"/>
        </w:rPr>
        <w:t xml:space="preserve"> </w:t>
      </w:r>
      <w:r w:rsidR="00906CF8" w:rsidRPr="00B74B0F">
        <w:rPr>
          <w:szCs w:val="22"/>
          <w:lang w:val="sr-Latn-ME"/>
        </w:rPr>
        <w:t>upadacitinib</w:t>
      </w:r>
      <w:r w:rsidR="00AE269A" w:rsidRPr="00B74B0F">
        <w:rPr>
          <w:szCs w:val="22"/>
          <w:lang w:val="sr-Latn-ME"/>
        </w:rPr>
        <w:t>a</w:t>
      </w:r>
      <w:r w:rsidR="00906CF8" w:rsidRPr="00B74B0F">
        <w:rPr>
          <w:szCs w:val="22"/>
          <w:lang w:val="sr-Latn-ME"/>
        </w:rPr>
        <w:t xml:space="preserve"> </w:t>
      </w:r>
      <w:r w:rsidR="00B62F67" w:rsidRPr="00B74B0F">
        <w:rPr>
          <w:szCs w:val="22"/>
          <w:lang w:val="sr-Latn-ME"/>
        </w:rPr>
        <w:t>kod</w:t>
      </w:r>
      <w:r w:rsidR="00906CF8" w:rsidRPr="00B74B0F">
        <w:rPr>
          <w:szCs w:val="22"/>
          <w:lang w:val="sr-Latn-ME"/>
        </w:rPr>
        <w:t xml:space="preserve"> trudnica</w:t>
      </w:r>
      <w:r w:rsidR="00B10681" w:rsidRPr="00B74B0F">
        <w:rPr>
          <w:szCs w:val="22"/>
          <w:lang w:val="sr-Latn-ME"/>
        </w:rPr>
        <w:t xml:space="preserve"> ograničeni</w:t>
      </w:r>
      <w:r w:rsidR="00906CF8" w:rsidRPr="00B74B0F">
        <w:rPr>
          <w:szCs w:val="22"/>
          <w:lang w:val="sr-Latn-ME"/>
        </w:rPr>
        <w:t xml:space="preserve">. Ispitivanja na životinjama </w:t>
      </w:r>
      <w:r w:rsidR="00B62F67" w:rsidRPr="00B74B0F">
        <w:rPr>
          <w:szCs w:val="22"/>
          <w:lang w:val="sr-Latn-ME"/>
        </w:rPr>
        <w:t>po</w:t>
      </w:r>
      <w:r w:rsidR="00906CF8" w:rsidRPr="00B74B0F">
        <w:rPr>
          <w:szCs w:val="22"/>
          <w:lang w:val="sr-Latn-ME"/>
        </w:rPr>
        <w:t xml:space="preserve">kazala su reproduktivnu toksičnost (vidjeti dio 5.3). </w:t>
      </w:r>
      <w:r w:rsidR="00B62F67" w:rsidRPr="00B74B0F">
        <w:rPr>
          <w:szCs w:val="22"/>
          <w:lang w:val="sr-Latn-ME"/>
        </w:rPr>
        <w:t>Lijek u</w:t>
      </w:r>
      <w:r w:rsidR="00906CF8" w:rsidRPr="00B74B0F">
        <w:rPr>
          <w:szCs w:val="22"/>
          <w:lang w:val="sr-Latn-ME"/>
        </w:rPr>
        <w:t xml:space="preserve">padacitinib je bio teratogen </w:t>
      </w:r>
      <w:r w:rsidR="00B62F67" w:rsidRPr="00B74B0F">
        <w:rPr>
          <w:szCs w:val="22"/>
          <w:lang w:val="sr-Latn-ME"/>
        </w:rPr>
        <w:t>kod</w:t>
      </w:r>
      <w:r w:rsidR="00906CF8" w:rsidRPr="00B74B0F">
        <w:rPr>
          <w:szCs w:val="22"/>
          <w:lang w:val="sr-Latn-ME"/>
        </w:rPr>
        <w:t xml:space="preserve"> </w:t>
      </w:r>
      <w:r w:rsidR="00AE269A" w:rsidRPr="00B74B0F">
        <w:rPr>
          <w:szCs w:val="22"/>
          <w:lang w:val="sr-Latn-ME"/>
        </w:rPr>
        <w:t xml:space="preserve">pacova </w:t>
      </w:r>
      <w:r w:rsidR="00906CF8" w:rsidRPr="00B74B0F">
        <w:rPr>
          <w:szCs w:val="22"/>
          <w:lang w:val="sr-Latn-ME"/>
        </w:rPr>
        <w:t xml:space="preserve">i kunića, </w:t>
      </w:r>
      <w:r w:rsidR="00B62F67" w:rsidRPr="00B74B0F">
        <w:rPr>
          <w:szCs w:val="22"/>
          <w:lang w:val="sr-Latn-ME"/>
        </w:rPr>
        <w:t xml:space="preserve">sa </w:t>
      </w:r>
      <w:r w:rsidR="005A1470" w:rsidRPr="00B74B0F">
        <w:rPr>
          <w:szCs w:val="22"/>
          <w:lang w:val="sr-Latn-ME"/>
        </w:rPr>
        <w:t>uticajem</w:t>
      </w:r>
      <w:r w:rsidR="00906CF8" w:rsidRPr="00B74B0F">
        <w:rPr>
          <w:szCs w:val="22"/>
          <w:lang w:val="sr-Latn-ME"/>
        </w:rPr>
        <w:t xml:space="preserve"> na kosti ploda </w:t>
      </w:r>
      <w:r w:rsidR="003818FD" w:rsidRPr="00B74B0F">
        <w:rPr>
          <w:szCs w:val="22"/>
          <w:lang w:val="sr-Latn-ME"/>
        </w:rPr>
        <w:t xml:space="preserve">kod </w:t>
      </w:r>
      <w:r w:rsidR="00AE269A" w:rsidRPr="00B74B0F">
        <w:rPr>
          <w:szCs w:val="22"/>
          <w:lang w:val="sr-Latn-ME"/>
        </w:rPr>
        <w:t xml:space="preserve">pacova </w:t>
      </w:r>
      <w:r w:rsidR="00906CF8" w:rsidRPr="00B74B0F">
        <w:rPr>
          <w:szCs w:val="22"/>
          <w:lang w:val="sr-Latn-ME"/>
        </w:rPr>
        <w:t>i na srce ploda</w:t>
      </w:r>
      <w:r w:rsidR="003818FD" w:rsidRPr="00B74B0F">
        <w:rPr>
          <w:szCs w:val="22"/>
          <w:lang w:val="sr-Latn-ME"/>
        </w:rPr>
        <w:t xml:space="preserve"> kod</w:t>
      </w:r>
      <w:r w:rsidR="00906CF8" w:rsidRPr="00B74B0F">
        <w:rPr>
          <w:szCs w:val="22"/>
          <w:lang w:val="sr-Latn-ME"/>
        </w:rPr>
        <w:t xml:space="preserve"> kunića </w:t>
      </w:r>
      <w:r w:rsidR="000D759E" w:rsidRPr="00B74B0F">
        <w:rPr>
          <w:szCs w:val="22"/>
          <w:lang w:val="sr-Latn-ME"/>
        </w:rPr>
        <w:t>pri</w:t>
      </w:r>
      <w:r w:rsidR="00906CF8" w:rsidRPr="00B74B0F">
        <w:rPr>
          <w:szCs w:val="22"/>
          <w:lang w:val="sr-Latn-ME"/>
        </w:rPr>
        <w:t xml:space="preserve"> izlaganja lijeku </w:t>
      </w:r>
      <w:r w:rsidR="00906CF8" w:rsidRPr="00B74B0F">
        <w:rPr>
          <w:i/>
          <w:iCs/>
          <w:szCs w:val="22"/>
          <w:lang w:val="sr-Latn-ME"/>
        </w:rPr>
        <w:t>in utero</w:t>
      </w:r>
      <w:r w:rsidR="00906CF8" w:rsidRPr="00B74B0F">
        <w:rPr>
          <w:szCs w:val="22"/>
          <w:lang w:val="sr-Latn-ME"/>
        </w:rPr>
        <w:t>.</w:t>
      </w:r>
    </w:p>
    <w:p w14:paraId="03909CF6" w14:textId="77777777" w:rsidR="00DA2044" w:rsidRPr="00B74B0F" w:rsidRDefault="00DA2044">
      <w:pPr>
        <w:autoSpaceDE w:val="0"/>
        <w:autoSpaceDN w:val="0"/>
        <w:spacing w:line="240" w:lineRule="auto"/>
        <w:contextualSpacing/>
        <w:jc w:val="both"/>
        <w:rPr>
          <w:szCs w:val="22"/>
          <w:lang w:val="sr-Latn-ME"/>
        </w:rPr>
      </w:pPr>
    </w:p>
    <w:p w14:paraId="5DE2490E" w14:textId="5E7587EB" w:rsidR="004956B2" w:rsidRPr="00B74B0F" w:rsidRDefault="00BB0D95">
      <w:pPr>
        <w:spacing w:line="240" w:lineRule="auto"/>
        <w:contextualSpacing/>
        <w:jc w:val="both"/>
        <w:rPr>
          <w:szCs w:val="22"/>
          <w:lang w:val="sr-Latn-ME"/>
        </w:rPr>
      </w:pPr>
      <w:r w:rsidRPr="00B74B0F">
        <w:rPr>
          <w:szCs w:val="22"/>
          <w:lang w:val="sr-Latn-ME"/>
        </w:rPr>
        <w:t>U</w:t>
      </w:r>
      <w:r w:rsidR="007751B0" w:rsidRPr="00B74B0F">
        <w:rPr>
          <w:szCs w:val="22"/>
          <w:lang w:val="sr-Latn-ME"/>
        </w:rPr>
        <w:t>padacitinib je kontraindi</w:t>
      </w:r>
      <w:r w:rsidR="00B10681" w:rsidRPr="00B74B0F">
        <w:rPr>
          <w:szCs w:val="22"/>
          <w:lang w:val="sr-Latn-ME"/>
        </w:rPr>
        <w:t>kovan</w:t>
      </w:r>
      <w:r w:rsidR="007751B0" w:rsidRPr="00B74B0F">
        <w:rPr>
          <w:szCs w:val="22"/>
          <w:lang w:val="sr-Latn-ME"/>
        </w:rPr>
        <w:t xml:space="preserve"> </w:t>
      </w:r>
      <w:r w:rsidR="00B62F67" w:rsidRPr="00B74B0F">
        <w:rPr>
          <w:szCs w:val="22"/>
          <w:lang w:val="sr-Latn-ME"/>
        </w:rPr>
        <w:t>za vrijeme</w:t>
      </w:r>
      <w:r w:rsidR="003818FD" w:rsidRPr="00B74B0F">
        <w:rPr>
          <w:szCs w:val="22"/>
          <w:lang w:val="sr-Latn-ME"/>
        </w:rPr>
        <w:t xml:space="preserve"> trudnoće</w:t>
      </w:r>
      <w:r w:rsidR="007751B0" w:rsidRPr="00B74B0F">
        <w:rPr>
          <w:szCs w:val="22"/>
          <w:lang w:val="sr-Latn-ME"/>
        </w:rPr>
        <w:t xml:space="preserve"> (vidjeti dio 4.3).</w:t>
      </w:r>
    </w:p>
    <w:p w14:paraId="4D19870F" w14:textId="77777777" w:rsidR="00B26247" w:rsidRPr="00B74B0F" w:rsidRDefault="00B26247">
      <w:pPr>
        <w:spacing w:line="240" w:lineRule="auto"/>
        <w:contextualSpacing/>
        <w:jc w:val="both"/>
        <w:rPr>
          <w:szCs w:val="22"/>
          <w:lang w:val="sr-Latn-ME"/>
        </w:rPr>
      </w:pPr>
    </w:p>
    <w:p w14:paraId="675F36A5" w14:textId="4AB49F3B" w:rsidR="00DA2044" w:rsidRPr="00B74B0F" w:rsidRDefault="00906CF8">
      <w:pPr>
        <w:spacing w:line="240" w:lineRule="auto"/>
        <w:contextualSpacing/>
        <w:jc w:val="both"/>
        <w:rPr>
          <w:szCs w:val="22"/>
          <w:lang w:val="sr-Latn-ME"/>
        </w:rPr>
      </w:pPr>
      <w:r w:rsidRPr="00B74B0F">
        <w:rPr>
          <w:szCs w:val="22"/>
          <w:lang w:val="sr-Latn-ME"/>
        </w:rPr>
        <w:t xml:space="preserve">Ako </w:t>
      </w:r>
      <w:r w:rsidR="005A1470" w:rsidRPr="00B74B0F">
        <w:rPr>
          <w:szCs w:val="22"/>
          <w:lang w:val="sr-Latn-ME"/>
        </w:rPr>
        <w:t>pacijentkinj</w:t>
      </w:r>
      <w:r w:rsidRPr="00B74B0F">
        <w:rPr>
          <w:szCs w:val="22"/>
          <w:lang w:val="sr-Latn-ME"/>
        </w:rPr>
        <w:t>a zatrudni dok uzima</w:t>
      </w:r>
      <w:r w:rsidR="00B62F67" w:rsidRPr="00B74B0F">
        <w:rPr>
          <w:szCs w:val="22"/>
          <w:lang w:val="sr-Latn-ME"/>
        </w:rPr>
        <w:t xml:space="preserve"> </w:t>
      </w:r>
      <w:r w:rsidR="00BB0D95" w:rsidRPr="00B74B0F">
        <w:rPr>
          <w:szCs w:val="22"/>
          <w:lang w:val="sr-Latn-ME"/>
        </w:rPr>
        <w:t>u</w:t>
      </w:r>
      <w:r w:rsidRPr="00B74B0F">
        <w:rPr>
          <w:szCs w:val="22"/>
          <w:lang w:val="sr-Latn-ME"/>
        </w:rPr>
        <w:t>padacitinib, roditelje treba upozoriti na mogući rizik za plod.</w:t>
      </w:r>
    </w:p>
    <w:p w14:paraId="4AC03CDF" w14:textId="77777777" w:rsidR="00DA2044" w:rsidRPr="00B74B0F" w:rsidRDefault="00DA2044">
      <w:pPr>
        <w:spacing w:line="240" w:lineRule="auto"/>
        <w:contextualSpacing/>
        <w:jc w:val="both"/>
        <w:rPr>
          <w:szCs w:val="22"/>
          <w:lang w:val="sr-Latn-ME"/>
        </w:rPr>
      </w:pPr>
    </w:p>
    <w:p w14:paraId="4BEC0430" w14:textId="77777777" w:rsidR="00DA2044" w:rsidRPr="00B74B0F" w:rsidRDefault="00906CF8">
      <w:pPr>
        <w:keepNext/>
        <w:autoSpaceDE w:val="0"/>
        <w:autoSpaceDN w:val="0"/>
        <w:spacing w:line="240" w:lineRule="auto"/>
        <w:contextualSpacing/>
        <w:jc w:val="both"/>
        <w:rPr>
          <w:szCs w:val="22"/>
          <w:u w:val="single"/>
          <w:lang w:val="sr-Latn-ME"/>
        </w:rPr>
      </w:pPr>
      <w:r w:rsidRPr="00B74B0F">
        <w:rPr>
          <w:szCs w:val="22"/>
          <w:u w:val="single"/>
          <w:lang w:val="sr-Latn-ME"/>
        </w:rPr>
        <w:lastRenderedPageBreak/>
        <w:t>Dojenje</w:t>
      </w:r>
    </w:p>
    <w:p w14:paraId="386982B9" w14:textId="77777777" w:rsidR="00DA2044" w:rsidRPr="00B74B0F" w:rsidRDefault="00DA2044">
      <w:pPr>
        <w:keepNext/>
        <w:autoSpaceDE w:val="0"/>
        <w:autoSpaceDN w:val="0"/>
        <w:spacing w:line="240" w:lineRule="auto"/>
        <w:contextualSpacing/>
        <w:jc w:val="both"/>
        <w:rPr>
          <w:szCs w:val="22"/>
          <w:u w:val="single"/>
          <w:lang w:val="sr-Latn-ME"/>
        </w:rPr>
      </w:pPr>
    </w:p>
    <w:p w14:paraId="42C8D284" w14:textId="0E4D7793" w:rsidR="00DA2044" w:rsidRPr="00B74B0F" w:rsidRDefault="00906CF8">
      <w:pPr>
        <w:autoSpaceDE w:val="0"/>
        <w:autoSpaceDN w:val="0"/>
        <w:spacing w:line="240" w:lineRule="auto"/>
        <w:contextualSpacing/>
        <w:jc w:val="both"/>
        <w:rPr>
          <w:szCs w:val="22"/>
          <w:lang w:val="sr-Latn-ME"/>
        </w:rPr>
      </w:pPr>
      <w:r w:rsidRPr="00B74B0F">
        <w:rPr>
          <w:szCs w:val="22"/>
          <w:lang w:val="sr-Latn-ME"/>
        </w:rPr>
        <w:t>Nije poznato izlučuju li se</w:t>
      </w:r>
      <w:r w:rsidR="00AE269A" w:rsidRPr="00B74B0F">
        <w:rPr>
          <w:szCs w:val="22"/>
          <w:lang w:val="sr-Latn-ME"/>
        </w:rPr>
        <w:t xml:space="preserve"> </w:t>
      </w:r>
      <w:r w:rsidRPr="00B74B0F">
        <w:rPr>
          <w:szCs w:val="22"/>
          <w:lang w:val="sr-Latn-ME"/>
        </w:rPr>
        <w:t>upadacitinib</w:t>
      </w:r>
      <w:r w:rsidR="007E7DCF" w:rsidRPr="00B74B0F">
        <w:rPr>
          <w:szCs w:val="22"/>
          <w:lang w:val="sr-Latn-ME"/>
        </w:rPr>
        <w:t>/</w:t>
      </w:r>
      <w:r w:rsidRPr="00B74B0F">
        <w:rPr>
          <w:szCs w:val="22"/>
          <w:lang w:val="sr-Latn-ME"/>
        </w:rPr>
        <w:t>njegovi</w:t>
      </w:r>
      <w:r w:rsidR="00F02B61" w:rsidRPr="00B74B0F">
        <w:rPr>
          <w:szCs w:val="22"/>
          <w:lang w:val="sr-Latn-ME"/>
        </w:rPr>
        <w:t xml:space="preserve"> </w:t>
      </w:r>
      <w:r w:rsidRPr="00B74B0F">
        <w:rPr>
          <w:szCs w:val="22"/>
          <w:lang w:val="sr-Latn-ME"/>
        </w:rPr>
        <w:t>metaboliti u majčino mlijeko. Dostupni farmakodinamički</w:t>
      </w:r>
      <w:r w:rsidR="007E7DCF" w:rsidRPr="00B74B0F">
        <w:rPr>
          <w:szCs w:val="22"/>
          <w:lang w:val="sr-Latn-ME"/>
        </w:rPr>
        <w:t>/</w:t>
      </w:r>
      <w:r w:rsidRPr="00B74B0F">
        <w:rPr>
          <w:szCs w:val="22"/>
          <w:lang w:val="sr-Latn-ME"/>
        </w:rPr>
        <w:t xml:space="preserve">toksikološki podaci prikupljeni </w:t>
      </w:r>
      <w:r w:rsidR="00B62F67" w:rsidRPr="00B74B0F">
        <w:rPr>
          <w:szCs w:val="22"/>
          <w:lang w:val="sr-Latn-ME"/>
        </w:rPr>
        <w:t>kod</w:t>
      </w:r>
      <w:r w:rsidRPr="00B74B0F">
        <w:rPr>
          <w:szCs w:val="22"/>
          <w:lang w:val="sr-Latn-ME"/>
        </w:rPr>
        <w:t xml:space="preserve"> životinja</w:t>
      </w:r>
      <w:r w:rsidR="007E7DCF" w:rsidRPr="00B74B0F">
        <w:rPr>
          <w:szCs w:val="22"/>
          <w:lang w:val="sr-Latn-ME"/>
        </w:rPr>
        <w:t xml:space="preserve"> su</w:t>
      </w:r>
      <w:r w:rsidRPr="00B74B0F">
        <w:rPr>
          <w:szCs w:val="22"/>
          <w:lang w:val="sr-Latn-ME"/>
        </w:rPr>
        <w:t xml:space="preserve"> pokazali da se upadacitinib izlučuje u mlijeko (vidjeti dio 5.3).</w:t>
      </w:r>
    </w:p>
    <w:p w14:paraId="2BD5B8AA" w14:textId="77777777" w:rsidR="001F541C" w:rsidRPr="00B74B0F" w:rsidRDefault="001F541C">
      <w:pPr>
        <w:autoSpaceDE w:val="0"/>
        <w:autoSpaceDN w:val="0"/>
        <w:spacing w:line="240" w:lineRule="auto"/>
        <w:contextualSpacing/>
        <w:jc w:val="both"/>
        <w:rPr>
          <w:szCs w:val="22"/>
          <w:lang w:val="sr-Latn-ME"/>
        </w:rPr>
      </w:pPr>
    </w:p>
    <w:p w14:paraId="5AE97EEE" w14:textId="272A57D5" w:rsidR="00BB0D95" w:rsidRPr="00B74B0F" w:rsidRDefault="00906CF8">
      <w:pPr>
        <w:spacing w:line="240" w:lineRule="auto"/>
        <w:contextualSpacing/>
        <w:jc w:val="both"/>
        <w:rPr>
          <w:szCs w:val="22"/>
          <w:lang w:val="sr-Latn-ME"/>
        </w:rPr>
      </w:pPr>
      <w:r w:rsidRPr="00B74B0F">
        <w:rPr>
          <w:szCs w:val="22"/>
          <w:lang w:val="sr-Latn-ME"/>
        </w:rPr>
        <w:t>Ne može se isključiti rizik za novorođen</w:t>
      </w:r>
      <w:r w:rsidR="00B10681" w:rsidRPr="00B74B0F">
        <w:rPr>
          <w:szCs w:val="22"/>
          <w:lang w:val="sr-Latn-ME"/>
        </w:rPr>
        <w:t>če</w:t>
      </w:r>
      <w:r w:rsidRPr="00B74B0F">
        <w:rPr>
          <w:szCs w:val="22"/>
          <w:lang w:val="sr-Latn-ME"/>
        </w:rPr>
        <w:t>/</w:t>
      </w:r>
      <w:r w:rsidR="00B10681" w:rsidRPr="00B74B0F">
        <w:rPr>
          <w:szCs w:val="22"/>
          <w:lang w:val="sr-Latn-ME"/>
        </w:rPr>
        <w:t>o</w:t>
      </w:r>
      <w:r w:rsidRPr="00B74B0F">
        <w:rPr>
          <w:szCs w:val="22"/>
          <w:lang w:val="sr-Latn-ME"/>
        </w:rPr>
        <w:t>dojč</w:t>
      </w:r>
      <w:r w:rsidR="00B10681" w:rsidRPr="00B74B0F">
        <w:rPr>
          <w:szCs w:val="22"/>
          <w:lang w:val="sr-Latn-ME"/>
        </w:rPr>
        <w:t>e</w:t>
      </w:r>
      <w:r w:rsidRPr="00B74B0F">
        <w:rPr>
          <w:szCs w:val="22"/>
          <w:lang w:val="sr-Latn-ME"/>
        </w:rPr>
        <w:t xml:space="preserve">. </w:t>
      </w:r>
    </w:p>
    <w:p w14:paraId="1C20F36F" w14:textId="4F56F9E3" w:rsidR="00DA2044" w:rsidRPr="00B74B0F" w:rsidRDefault="00BB0D95">
      <w:pPr>
        <w:spacing w:line="240" w:lineRule="auto"/>
        <w:contextualSpacing/>
        <w:jc w:val="both"/>
        <w:rPr>
          <w:szCs w:val="22"/>
          <w:lang w:val="sr-Latn-ME"/>
        </w:rPr>
      </w:pPr>
      <w:r w:rsidRPr="00B74B0F">
        <w:rPr>
          <w:szCs w:val="22"/>
          <w:lang w:val="sr-Latn-ME"/>
        </w:rPr>
        <w:t>U</w:t>
      </w:r>
      <w:r w:rsidR="00906CF8" w:rsidRPr="00B74B0F">
        <w:rPr>
          <w:szCs w:val="22"/>
          <w:lang w:val="sr-Latn-ME"/>
        </w:rPr>
        <w:t xml:space="preserve">padacitinib </w:t>
      </w:r>
      <w:r w:rsidR="00AE269A" w:rsidRPr="00B74B0F">
        <w:rPr>
          <w:szCs w:val="22"/>
          <w:lang w:val="sr-Latn-ME"/>
        </w:rPr>
        <w:t>se ne smije</w:t>
      </w:r>
      <w:r w:rsidR="00906CF8" w:rsidRPr="00B74B0F">
        <w:rPr>
          <w:szCs w:val="22"/>
          <w:lang w:val="sr-Latn-ME"/>
        </w:rPr>
        <w:t xml:space="preserve"> primjenjivati </w:t>
      </w:r>
      <w:r w:rsidR="00B62F67" w:rsidRPr="00B74B0F">
        <w:rPr>
          <w:szCs w:val="22"/>
          <w:lang w:val="sr-Latn-ME"/>
        </w:rPr>
        <w:t>za vrijeme</w:t>
      </w:r>
      <w:r w:rsidR="00906CF8" w:rsidRPr="00B74B0F">
        <w:rPr>
          <w:szCs w:val="22"/>
          <w:lang w:val="sr-Latn-ME"/>
        </w:rPr>
        <w:t xml:space="preserve"> dojenja. </w:t>
      </w:r>
      <w:r w:rsidR="00B10681" w:rsidRPr="00B74B0F">
        <w:rPr>
          <w:szCs w:val="22"/>
          <w:lang w:val="sr-Latn-ME"/>
        </w:rPr>
        <w:t>Potrebno je odlučiti da li prekinuti dojenje ili</w:t>
      </w:r>
      <w:r w:rsidR="007E7DCF" w:rsidRPr="00B74B0F">
        <w:rPr>
          <w:szCs w:val="22"/>
          <w:lang w:val="sr-Latn-ME"/>
        </w:rPr>
        <w:t xml:space="preserve"> </w:t>
      </w:r>
      <w:r w:rsidR="00B62F67" w:rsidRPr="00B74B0F">
        <w:rPr>
          <w:szCs w:val="22"/>
          <w:lang w:val="sr-Latn-ME"/>
        </w:rPr>
        <w:t>prekinuti</w:t>
      </w:r>
      <w:r w:rsidR="00906CF8" w:rsidRPr="00B74B0F">
        <w:rPr>
          <w:szCs w:val="22"/>
          <w:lang w:val="sr-Latn-ME"/>
        </w:rPr>
        <w:t xml:space="preserve"> liječenje</w:t>
      </w:r>
      <w:r w:rsidR="00B62F67" w:rsidRPr="00B74B0F">
        <w:rPr>
          <w:szCs w:val="22"/>
          <w:lang w:val="sr-Latn-ME"/>
        </w:rPr>
        <w:t xml:space="preserve"> </w:t>
      </w:r>
      <w:r w:rsidR="00906CF8" w:rsidRPr="00B74B0F">
        <w:rPr>
          <w:szCs w:val="22"/>
          <w:lang w:val="sr-Latn-ME"/>
        </w:rPr>
        <w:t>upadacitinib</w:t>
      </w:r>
      <w:r w:rsidR="00B10681" w:rsidRPr="00B74B0F">
        <w:rPr>
          <w:szCs w:val="22"/>
          <w:lang w:val="sr-Latn-ME"/>
        </w:rPr>
        <w:t>om uzimajući u obzir korist dojenja za dijete i korist liječenja za ženu.</w:t>
      </w:r>
    </w:p>
    <w:p w14:paraId="021AE23F" w14:textId="57E68136" w:rsidR="00812D16" w:rsidRPr="00B74B0F" w:rsidRDefault="00812D16">
      <w:pPr>
        <w:spacing w:line="240" w:lineRule="auto"/>
        <w:contextualSpacing/>
        <w:jc w:val="both"/>
        <w:rPr>
          <w:i/>
          <w:szCs w:val="22"/>
          <w:lang w:val="sr-Latn-ME"/>
        </w:rPr>
      </w:pPr>
    </w:p>
    <w:p w14:paraId="5C662A35" w14:textId="6F1D6179"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4.7</w:t>
      </w:r>
      <w:r w:rsidRPr="00B74B0F">
        <w:rPr>
          <w:b/>
          <w:szCs w:val="22"/>
          <w:lang w:val="sr-Latn-ME"/>
        </w:rPr>
        <w:tab/>
        <w:t>Ut</w:t>
      </w:r>
      <w:r w:rsidR="00B62F67" w:rsidRPr="00B74B0F">
        <w:rPr>
          <w:b/>
          <w:szCs w:val="22"/>
          <w:lang w:val="sr-Latn-ME"/>
        </w:rPr>
        <w:t>i</w:t>
      </w:r>
      <w:r w:rsidRPr="00B74B0F">
        <w:rPr>
          <w:b/>
          <w:szCs w:val="22"/>
          <w:lang w:val="sr-Latn-ME"/>
        </w:rPr>
        <w:t xml:space="preserve">caj na sposobnost upravljanja vozilima i </w:t>
      </w:r>
      <w:r w:rsidR="00334FB3" w:rsidRPr="00B74B0F">
        <w:rPr>
          <w:b/>
          <w:szCs w:val="22"/>
          <w:lang w:val="sr-Latn-ME"/>
        </w:rPr>
        <w:t xml:space="preserve">rukovanje </w:t>
      </w:r>
      <w:r w:rsidR="00B62F67" w:rsidRPr="00B74B0F">
        <w:rPr>
          <w:b/>
          <w:szCs w:val="22"/>
          <w:lang w:val="sr-Latn-ME"/>
        </w:rPr>
        <w:t>mašinama</w:t>
      </w:r>
    </w:p>
    <w:p w14:paraId="566E0A3F" w14:textId="77777777" w:rsidR="00812D16" w:rsidRPr="00B74B0F" w:rsidRDefault="00812D16">
      <w:pPr>
        <w:keepNext/>
        <w:spacing w:line="240" w:lineRule="auto"/>
        <w:contextualSpacing/>
        <w:jc w:val="both"/>
        <w:rPr>
          <w:szCs w:val="22"/>
          <w:lang w:val="sr-Latn-ME"/>
        </w:rPr>
      </w:pPr>
    </w:p>
    <w:p w14:paraId="568BFF4F" w14:textId="50A970DE" w:rsidR="00221B2B" w:rsidRPr="00B74B0F" w:rsidRDefault="00BB0D95" w:rsidP="002B0F89">
      <w:pPr>
        <w:spacing w:line="240" w:lineRule="auto"/>
        <w:contextualSpacing/>
        <w:jc w:val="both"/>
        <w:rPr>
          <w:b/>
          <w:szCs w:val="22"/>
          <w:lang w:val="sr-Latn-ME"/>
        </w:rPr>
      </w:pPr>
      <w:r w:rsidRPr="00B74B0F">
        <w:rPr>
          <w:szCs w:val="22"/>
          <w:lang w:val="sr-Latn-ME"/>
        </w:rPr>
        <w:t>U</w:t>
      </w:r>
      <w:r w:rsidR="009B4C29" w:rsidRPr="00B74B0F">
        <w:rPr>
          <w:szCs w:val="22"/>
          <w:lang w:val="sr-Latn-ME"/>
        </w:rPr>
        <w:t xml:space="preserve">padacitinib </w:t>
      </w:r>
      <w:r w:rsidR="00D40D98" w:rsidRPr="00B74B0F">
        <w:rPr>
          <w:szCs w:val="22"/>
          <w:lang w:val="sr-Latn-ME"/>
        </w:rPr>
        <w:t xml:space="preserve">može </w:t>
      </w:r>
      <w:r w:rsidR="008A5A17">
        <w:rPr>
          <w:szCs w:val="22"/>
          <w:lang w:val="sr-Latn-ME"/>
        </w:rPr>
        <w:t xml:space="preserve">imati </w:t>
      </w:r>
      <w:r w:rsidR="00D40D98" w:rsidRPr="00B74B0F">
        <w:rPr>
          <w:szCs w:val="22"/>
          <w:lang w:val="sr-Latn-ME"/>
        </w:rPr>
        <w:t>mal</w:t>
      </w:r>
      <w:r w:rsidR="008A5A17">
        <w:rPr>
          <w:szCs w:val="22"/>
          <w:lang w:val="sr-Latn-ME"/>
        </w:rPr>
        <w:t>i</w:t>
      </w:r>
      <w:r w:rsidR="00D40D98" w:rsidRPr="00B74B0F">
        <w:rPr>
          <w:szCs w:val="22"/>
          <w:lang w:val="sr-Latn-ME"/>
        </w:rPr>
        <w:t xml:space="preserve"> utica</w:t>
      </w:r>
      <w:r w:rsidR="008A5A17">
        <w:rPr>
          <w:szCs w:val="22"/>
          <w:lang w:val="sr-Latn-ME"/>
        </w:rPr>
        <w:t>j</w:t>
      </w:r>
      <w:r w:rsidR="009B4C29" w:rsidRPr="00B74B0F">
        <w:rPr>
          <w:szCs w:val="22"/>
          <w:lang w:val="sr-Latn-ME"/>
        </w:rPr>
        <w:t xml:space="preserve"> na sposobnost upravljanja vozilima i rada sa </w:t>
      </w:r>
      <w:r w:rsidR="00B62F67" w:rsidRPr="00B74B0F">
        <w:rPr>
          <w:szCs w:val="22"/>
          <w:lang w:val="sr-Latn-ME"/>
        </w:rPr>
        <w:t>mašinama</w:t>
      </w:r>
      <w:r w:rsidR="00D40D98" w:rsidRPr="00B74B0F">
        <w:rPr>
          <w:szCs w:val="22"/>
          <w:lang w:val="sr-Latn-ME"/>
        </w:rPr>
        <w:t xml:space="preserve"> jer se za vrijeme liječenja lijekom Rinvoq mogu pojaviti omaglica i vrtoglavica (vidjeti dio 4.8).</w:t>
      </w:r>
    </w:p>
    <w:p w14:paraId="53CE4D2B" w14:textId="77777777" w:rsidR="0000676C" w:rsidRPr="00B74B0F" w:rsidRDefault="0000676C">
      <w:pPr>
        <w:spacing w:line="240" w:lineRule="auto"/>
        <w:contextualSpacing/>
        <w:jc w:val="both"/>
        <w:rPr>
          <w:szCs w:val="22"/>
          <w:lang w:val="sr-Latn-ME"/>
        </w:rPr>
      </w:pPr>
    </w:p>
    <w:p w14:paraId="2C7351CD" w14:textId="18173D71"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4.8</w:t>
      </w:r>
      <w:r w:rsidRPr="00B74B0F">
        <w:rPr>
          <w:b/>
          <w:szCs w:val="22"/>
          <w:lang w:val="sr-Latn-ME"/>
        </w:rPr>
        <w:tab/>
        <w:t>N</w:t>
      </w:r>
      <w:r w:rsidR="00BB59FC" w:rsidRPr="00B74B0F">
        <w:rPr>
          <w:b/>
          <w:szCs w:val="22"/>
          <w:lang w:val="sr-Latn-ME"/>
        </w:rPr>
        <w:t>eželjena dejstva</w:t>
      </w:r>
    </w:p>
    <w:p w14:paraId="5ECD91A6" w14:textId="77777777" w:rsidR="007B1E31" w:rsidRPr="00B74B0F" w:rsidRDefault="007B1E31">
      <w:pPr>
        <w:keepNext/>
        <w:autoSpaceDE w:val="0"/>
        <w:autoSpaceDN w:val="0"/>
        <w:adjustRightInd w:val="0"/>
        <w:spacing w:line="240" w:lineRule="auto"/>
        <w:contextualSpacing/>
        <w:jc w:val="both"/>
        <w:rPr>
          <w:szCs w:val="22"/>
          <w:lang w:val="sr-Latn-ME"/>
        </w:rPr>
      </w:pPr>
    </w:p>
    <w:p w14:paraId="64E00C0F" w14:textId="334DB80B" w:rsidR="008F68D6" w:rsidRPr="00B74B0F" w:rsidRDefault="00906CF8">
      <w:pPr>
        <w:keepNext/>
        <w:autoSpaceDE w:val="0"/>
        <w:autoSpaceDN w:val="0"/>
        <w:adjustRightInd w:val="0"/>
        <w:spacing w:line="240" w:lineRule="auto"/>
        <w:contextualSpacing/>
        <w:jc w:val="both"/>
        <w:rPr>
          <w:szCs w:val="22"/>
          <w:u w:val="single"/>
          <w:lang w:val="sr-Latn-ME"/>
        </w:rPr>
      </w:pPr>
      <w:r w:rsidRPr="00B74B0F">
        <w:rPr>
          <w:szCs w:val="22"/>
          <w:u w:val="single"/>
          <w:lang w:val="sr-Latn-ME"/>
        </w:rPr>
        <w:t xml:space="preserve">Sažetak </w:t>
      </w:r>
      <w:r w:rsidR="005A1470" w:rsidRPr="00B74B0F">
        <w:rPr>
          <w:szCs w:val="22"/>
          <w:u w:val="single"/>
          <w:lang w:val="sr-Latn-ME"/>
        </w:rPr>
        <w:t>bezbjednosnog</w:t>
      </w:r>
      <w:r w:rsidRPr="00B74B0F">
        <w:rPr>
          <w:szCs w:val="22"/>
          <w:u w:val="single"/>
          <w:lang w:val="sr-Latn-ME"/>
        </w:rPr>
        <w:t xml:space="preserve"> profila</w:t>
      </w:r>
    </w:p>
    <w:p w14:paraId="479A4567" w14:textId="713DA8DE" w:rsidR="007B1E31" w:rsidRPr="00B74B0F" w:rsidRDefault="007B1E31">
      <w:pPr>
        <w:keepNext/>
        <w:autoSpaceDE w:val="0"/>
        <w:autoSpaceDN w:val="0"/>
        <w:adjustRightInd w:val="0"/>
        <w:spacing w:line="240" w:lineRule="auto"/>
        <w:contextualSpacing/>
        <w:jc w:val="both"/>
        <w:rPr>
          <w:szCs w:val="22"/>
          <w:u w:val="single"/>
          <w:lang w:val="sr-Latn-ME"/>
        </w:rPr>
      </w:pPr>
    </w:p>
    <w:p w14:paraId="62EF8BBA" w14:textId="77E34CB9" w:rsidR="007B1E31" w:rsidRPr="00B74B0F" w:rsidRDefault="007B1E31">
      <w:pPr>
        <w:tabs>
          <w:tab w:val="clear" w:pos="567"/>
        </w:tabs>
        <w:autoSpaceDE w:val="0"/>
        <w:autoSpaceDN w:val="0"/>
        <w:adjustRightInd w:val="0"/>
        <w:spacing w:line="240" w:lineRule="auto"/>
        <w:contextualSpacing/>
        <w:jc w:val="both"/>
        <w:rPr>
          <w:rFonts w:eastAsia="SimSun"/>
          <w:noProof/>
          <w:szCs w:val="22"/>
          <w:lang w:val="sr-Latn-ME"/>
        </w:rPr>
      </w:pPr>
      <w:r w:rsidRPr="00B74B0F">
        <w:rPr>
          <w:noProof/>
          <w:szCs w:val="22"/>
          <w:lang w:val="sr-Latn-ME"/>
        </w:rPr>
        <w:t xml:space="preserve">U placebom kontrolisanim kliničkim ispitivanjima za reumatoidni artritis, psorijatični artritis i </w:t>
      </w:r>
      <w:r w:rsidR="003B31BE" w:rsidRPr="00B74B0F">
        <w:rPr>
          <w:noProof/>
          <w:szCs w:val="22"/>
          <w:lang w:val="sr-Latn-ME"/>
        </w:rPr>
        <w:t>aksijalni spondiloartritis</w:t>
      </w:r>
      <w:r w:rsidRPr="00B74B0F">
        <w:rPr>
          <w:noProof/>
          <w:szCs w:val="22"/>
          <w:lang w:val="sr-Latn-ME"/>
        </w:rPr>
        <w:t xml:space="preserve"> najčešće prijavljen</w:t>
      </w:r>
      <w:r w:rsidR="00F02B61" w:rsidRPr="00B74B0F">
        <w:rPr>
          <w:noProof/>
          <w:szCs w:val="22"/>
          <w:lang w:val="sr-Latn-ME"/>
        </w:rPr>
        <w:t>a</w:t>
      </w:r>
      <w:r w:rsidRPr="00B74B0F">
        <w:rPr>
          <w:noProof/>
          <w:szCs w:val="22"/>
          <w:lang w:val="sr-Latn-ME"/>
        </w:rPr>
        <w:t xml:space="preserve"> </w:t>
      </w:r>
      <w:r w:rsidR="00F02B61" w:rsidRPr="00B74B0F">
        <w:rPr>
          <w:noProof/>
          <w:szCs w:val="22"/>
          <w:lang w:val="sr-Latn-ME"/>
        </w:rPr>
        <w:t xml:space="preserve">neželjena dejstva </w:t>
      </w:r>
      <w:r w:rsidRPr="00B74B0F">
        <w:rPr>
          <w:noProof/>
          <w:szCs w:val="22"/>
          <w:lang w:val="sr-Latn-ME"/>
        </w:rPr>
        <w:t xml:space="preserve">(≥ 2% </w:t>
      </w:r>
      <w:r w:rsidR="00181042" w:rsidRPr="00B74B0F">
        <w:rPr>
          <w:noProof/>
          <w:szCs w:val="22"/>
          <w:lang w:val="sr-Latn-ME"/>
        </w:rPr>
        <w:t>pacijenata</w:t>
      </w:r>
      <w:r w:rsidRPr="00B74B0F">
        <w:rPr>
          <w:noProof/>
          <w:szCs w:val="22"/>
          <w:lang w:val="sr-Latn-ME"/>
        </w:rPr>
        <w:t xml:space="preserve"> u barem jednoj od indikacija s</w:t>
      </w:r>
      <w:r w:rsidR="00BB0D95" w:rsidRPr="00B74B0F">
        <w:rPr>
          <w:noProof/>
          <w:szCs w:val="22"/>
          <w:lang w:val="sr-Latn-ME"/>
        </w:rPr>
        <w:t>a</w:t>
      </w:r>
      <w:r w:rsidRPr="00B74B0F">
        <w:rPr>
          <w:noProof/>
          <w:szCs w:val="22"/>
          <w:lang w:val="sr-Latn-ME"/>
        </w:rPr>
        <w:t xml:space="preserve"> najvećom stopom među navedenim indikacijama) s</w:t>
      </w:r>
      <w:r w:rsidR="00BB0D95" w:rsidRPr="00B74B0F">
        <w:rPr>
          <w:noProof/>
          <w:szCs w:val="22"/>
          <w:lang w:val="sr-Latn-ME"/>
        </w:rPr>
        <w:t>a</w:t>
      </w:r>
      <w:r w:rsidRPr="00B74B0F">
        <w:rPr>
          <w:noProof/>
          <w:szCs w:val="22"/>
          <w:lang w:val="sr-Latn-ME"/>
        </w:rPr>
        <w:t xml:space="preserve"> </w:t>
      </w:r>
      <w:r w:rsidRPr="00B74B0F">
        <w:rPr>
          <w:rFonts w:eastAsia="SimSun"/>
          <w:noProof/>
          <w:szCs w:val="22"/>
          <w:lang w:val="sr-Latn-ME"/>
        </w:rPr>
        <w:t>upadacitinibom od 15 mg</w:t>
      </w:r>
      <w:r w:rsidRPr="00B74B0F">
        <w:rPr>
          <w:noProof/>
          <w:szCs w:val="22"/>
          <w:lang w:val="sr-Latn-ME"/>
        </w:rPr>
        <w:t xml:space="preserve"> bile su infekcije gornjih disajnih puteva </w:t>
      </w:r>
      <w:r w:rsidRPr="00B74B0F">
        <w:rPr>
          <w:noProof/>
          <w:color w:val="000000"/>
          <w:szCs w:val="22"/>
          <w:lang w:val="sr-Latn-ME"/>
        </w:rPr>
        <w:t xml:space="preserve">(19,5%), povišene vrijednosti kreatin fosfokinaze (engl. </w:t>
      </w:r>
      <w:r w:rsidRPr="00B74B0F">
        <w:rPr>
          <w:i/>
          <w:iCs/>
          <w:noProof/>
          <w:color w:val="000000"/>
          <w:szCs w:val="22"/>
          <w:lang w:val="sr-Latn-ME"/>
        </w:rPr>
        <w:t>creatine phosphokinase</w:t>
      </w:r>
      <w:r w:rsidRPr="00B74B0F">
        <w:rPr>
          <w:noProof/>
          <w:color w:val="000000"/>
          <w:szCs w:val="22"/>
          <w:lang w:val="sr-Latn-ME"/>
        </w:rPr>
        <w:t xml:space="preserve">, CPK) u krvi (8,6%), povišene vrijednosti alanin transaminaze (4,3%), bronhitis (3,9%), mučnina (3,5%), </w:t>
      </w:r>
      <w:r w:rsidRPr="00B74B0F">
        <w:rPr>
          <w:color w:val="000000"/>
          <w:szCs w:val="22"/>
          <w:lang w:val="sr-Latn-ME"/>
        </w:rPr>
        <w:t xml:space="preserve">neutropenija (2,8%), </w:t>
      </w:r>
      <w:r w:rsidRPr="00B74B0F">
        <w:rPr>
          <w:noProof/>
          <w:color w:val="000000"/>
          <w:szCs w:val="22"/>
          <w:lang w:val="sr-Latn-ME"/>
        </w:rPr>
        <w:t>kašalj (2,2%), povišene vrijednosti aspartat transaminaze (2,2%) i hiper</w:t>
      </w:r>
      <w:r w:rsidR="00F02B61" w:rsidRPr="00B74B0F">
        <w:rPr>
          <w:noProof/>
          <w:color w:val="000000"/>
          <w:szCs w:val="22"/>
          <w:lang w:val="sr-Latn-ME"/>
        </w:rPr>
        <w:t>h</w:t>
      </w:r>
      <w:r w:rsidRPr="00B74B0F">
        <w:rPr>
          <w:noProof/>
          <w:color w:val="000000"/>
          <w:szCs w:val="22"/>
          <w:lang w:val="sr-Latn-ME"/>
        </w:rPr>
        <w:t>olesterolemija (2,2%).</w:t>
      </w:r>
    </w:p>
    <w:p w14:paraId="1AD04C0B" w14:textId="77777777" w:rsidR="007B1E31" w:rsidRPr="00B74B0F" w:rsidRDefault="007B1E31">
      <w:pPr>
        <w:keepNext/>
        <w:autoSpaceDE w:val="0"/>
        <w:autoSpaceDN w:val="0"/>
        <w:adjustRightInd w:val="0"/>
        <w:spacing w:line="240" w:lineRule="auto"/>
        <w:contextualSpacing/>
        <w:jc w:val="both"/>
        <w:rPr>
          <w:noProof/>
          <w:color w:val="000000"/>
          <w:szCs w:val="22"/>
          <w:lang w:val="sr-Latn-ME"/>
        </w:rPr>
      </w:pPr>
    </w:p>
    <w:p w14:paraId="440203EF" w14:textId="5D29738D" w:rsidR="007B1E31" w:rsidRPr="00B74B0F" w:rsidRDefault="007B1E31">
      <w:pPr>
        <w:autoSpaceDE w:val="0"/>
        <w:autoSpaceDN w:val="0"/>
        <w:adjustRightInd w:val="0"/>
        <w:spacing w:line="240" w:lineRule="auto"/>
        <w:jc w:val="both"/>
        <w:rPr>
          <w:noProof/>
          <w:szCs w:val="22"/>
          <w:lang w:val="sr-Latn-ME"/>
        </w:rPr>
      </w:pPr>
      <w:r w:rsidRPr="00B74B0F">
        <w:rPr>
          <w:noProof/>
          <w:color w:val="000000"/>
          <w:szCs w:val="22"/>
          <w:lang w:val="sr-Latn-ME"/>
        </w:rPr>
        <w:t>U placebom kontroli</w:t>
      </w:r>
      <w:r w:rsidR="001F541C" w:rsidRPr="00B74B0F">
        <w:rPr>
          <w:noProof/>
          <w:color w:val="000000"/>
          <w:szCs w:val="22"/>
          <w:lang w:val="sr-Latn-ME"/>
        </w:rPr>
        <w:t>s</w:t>
      </w:r>
      <w:r w:rsidRPr="00B74B0F">
        <w:rPr>
          <w:noProof/>
          <w:color w:val="000000"/>
          <w:szCs w:val="22"/>
          <w:lang w:val="sr-Latn-ME"/>
        </w:rPr>
        <w:t>anim kliničkim ispitivanjima atopijskog dermatitisa, najčešće prijavljen</w:t>
      </w:r>
      <w:r w:rsidR="00F02B61" w:rsidRPr="00B74B0F">
        <w:rPr>
          <w:noProof/>
          <w:color w:val="000000"/>
          <w:szCs w:val="22"/>
          <w:lang w:val="sr-Latn-ME"/>
        </w:rPr>
        <w:t>a neželjena dejstva</w:t>
      </w:r>
      <w:r w:rsidRPr="00B74B0F">
        <w:rPr>
          <w:noProof/>
          <w:color w:val="000000"/>
          <w:szCs w:val="22"/>
          <w:lang w:val="sr-Latn-ME"/>
        </w:rPr>
        <w:t xml:space="preserve"> </w:t>
      </w:r>
      <w:r w:rsidRPr="00B74B0F">
        <w:rPr>
          <w:noProof/>
          <w:szCs w:val="22"/>
          <w:lang w:val="sr-Latn-ME"/>
        </w:rPr>
        <w:t xml:space="preserve">(≥ 2% </w:t>
      </w:r>
      <w:r w:rsidR="00851BE6" w:rsidRPr="00B74B0F">
        <w:rPr>
          <w:noProof/>
          <w:szCs w:val="22"/>
          <w:lang w:val="sr-Latn-ME"/>
        </w:rPr>
        <w:t>pacijenata</w:t>
      </w:r>
      <w:r w:rsidRPr="00B74B0F">
        <w:rPr>
          <w:noProof/>
          <w:szCs w:val="22"/>
          <w:lang w:val="sr-Latn-ME"/>
        </w:rPr>
        <w:t>) s</w:t>
      </w:r>
      <w:r w:rsidR="00BB0D95" w:rsidRPr="00B74B0F">
        <w:rPr>
          <w:noProof/>
          <w:szCs w:val="22"/>
          <w:lang w:val="sr-Latn-ME"/>
        </w:rPr>
        <w:t>a</w:t>
      </w:r>
      <w:r w:rsidRPr="00B74B0F">
        <w:rPr>
          <w:noProof/>
          <w:szCs w:val="22"/>
          <w:lang w:val="sr-Latn-ME"/>
        </w:rPr>
        <w:t xml:space="preserve"> </w:t>
      </w:r>
      <w:r w:rsidRPr="00B74B0F">
        <w:rPr>
          <w:noProof/>
          <w:color w:val="000000"/>
          <w:szCs w:val="22"/>
          <w:lang w:val="sr-Latn-ME"/>
        </w:rPr>
        <w:t>upadacitinibom u dozi od 15 mg ili 30 mg bile su infekcija gornjih di</w:t>
      </w:r>
      <w:r w:rsidR="00F02B61" w:rsidRPr="00B74B0F">
        <w:rPr>
          <w:noProof/>
          <w:color w:val="000000"/>
          <w:szCs w:val="22"/>
          <w:lang w:val="sr-Latn-ME"/>
        </w:rPr>
        <w:t xml:space="preserve">sajnih </w:t>
      </w:r>
      <w:r w:rsidRPr="00B74B0F">
        <w:rPr>
          <w:noProof/>
          <w:color w:val="000000"/>
          <w:szCs w:val="22"/>
          <w:lang w:val="sr-Latn-ME"/>
        </w:rPr>
        <w:t>put</w:t>
      </w:r>
      <w:r w:rsidR="00F02B61" w:rsidRPr="00B74B0F">
        <w:rPr>
          <w:noProof/>
          <w:color w:val="000000"/>
          <w:szCs w:val="22"/>
          <w:lang w:val="sr-Latn-ME"/>
        </w:rPr>
        <w:t>e</w:t>
      </w:r>
      <w:r w:rsidRPr="00B74B0F">
        <w:rPr>
          <w:noProof/>
          <w:color w:val="000000"/>
          <w:szCs w:val="22"/>
          <w:lang w:val="sr-Latn-ME"/>
        </w:rPr>
        <w:t>va (25,4%), akne (15,1%), herpes simpleks (8,4%), glavobolja (6,3%), povišene vrijednosti CPK-a (5,5%), kašalj (3,2%), folikulitis (3,2%), bol u abdomenu (2,9%), mučnina (2,7%), neutropenija (2,3%), pireksija (2,1%) i grip (2,1%).</w:t>
      </w:r>
    </w:p>
    <w:p w14:paraId="3293C3B3" w14:textId="77777777" w:rsidR="007B1E31" w:rsidRPr="00B74B0F" w:rsidRDefault="007B1E31">
      <w:pPr>
        <w:tabs>
          <w:tab w:val="clear" w:pos="567"/>
        </w:tabs>
        <w:autoSpaceDE w:val="0"/>
        <w:autoSpaceDN w:val="0"/>
        <w:adjustRightInd w:val="0"/>
        <w:spacing w:line="240" w:lineRule="auto"/>
        <w:contextualSpacing/>
        <w:jc w:val="both"/>
        <w:rPr>
          <w:noProof/>
          <w:color w:val="000000"/>
          <w:szCs w:val="22"/>
          <w:lang w:val="sr-Latn-ME"/>
        </w:rPr>
      </w:pPr>
    </w:p>
    <w:p w14:paraId="69C782F7" w14:textId="73E32249" w:rsidR="007B1E31" w:rsidRPr="00B74B0F" w:rsidRDefault="007B1E31">
      <w:pPr>
        <w:tabs>
          <w:tab w:val="clear" w:pos="567"/>
        </w:tabs>
        <w:spacing w:line="240" w:lineRule="auto"/>
        <w:jc w:val="both"/>
        <w:rPr>
          <w:szCs w:val="22"/>
          <w:lang w:val="sr-Latn-ME"/>
        </w:rPr>
      </w:pPr>
      <w:r w:rsidRPr="00B74B0F">
        <w:rPr>
          <w:szCs w:val="22"/>
          <w:lang w:val="sr-Latn-ME"/>
        </w:rPr>
        <w:t>U placebom kontroli</w:t>
      </w:r>
      <w:r w:rsidR="001F541C" w:rsidRPr="00B74B0F">
        <w:rPr>
          <w:szCs w:val="22"/>
          <w:lang w:val="sr-Latn-ME"/>
        </w:rPr>
        <w:t>s</w:t>
      </w:r>
      <w:r w:rsidRPr="00B74B0F">
        <w:rPr>
          <w:szCs w:val="22"/>
          <w:lang w:val="sr-Latn-ME"/>
        </w:rPr>
        <w:t>anim kliničkim ispitivanjima indukcij</w:t>
      </w:r>
      <w:r w:rsidR="005E5D01" w:rsidRPr="00B74B0F">
        <w:rPr>
          <w:szCs w:val="22"/>
          <w:lang w:val="sr-Latn-ME"/>
        </w:rPr>
        <w:t>skog liječenja</w:t>
      </w:r>
      <w:r w:rsidRPr="00B74B0F">
        <w:rPr>
          <w:szCs w:val="22"/>
          <w:lang w:val="sr-Latn-ME"/>
        </w:rPr>
        <w:t xml:space="preserve"> i </w:t>
      </w:r>
      <w:r w:rsidR="005E5D01" w:rsidRPr="00B74B0F">
        <w:rPr>
          <w:szCs w:val="22"/>
          <w:lang w:val="sr-Latn-ME"/>
        </w:rPr>
        <w:t xml:space="preserve">terapije </w:t>
      </w:r>
      <w:r w:rsidRPr="00B74B0F">
        <w:rPr>
          <w:szCs w:val="22"/>
          <w:lang w:val="sr-Latn-ME"/>
        </w:rPr>
        <w:t>održavanja kod ulceroznog kolitisa</w:t>
      </w:r>
      <w:r w:rsidR="005E5D01" w:rsidRPr="00B74B0F">
        <w:rPr>
          <w:szCs w:val="22"/>
          <w:lang w:val="sr-Latn-ME"/>
        </w:rPr>
        <w:t xml:space="preserve"> i </w:t>
      </w:r>
      <w:r w:rsidR="00AB77FD" w:rsidRPr="00B74B0F">
        <w:rPr>
          <w:szCs w:val="22"/>
          <w:lang w:val="sr-Latn-ME"/>
        </w:rPr>
        <w:t>K</w:t>
      </w:r>
      <w:r w:rsidR="005E5D01" w:rsidRPr="00B74B0F">
        <w:rPr>
          <w:szCs w:val="22"/>
          <w:lang w:val="sr-Latn-ME"/>
        </w:rPr>
        <w:t>ronove bolesti</w:t>
      </w:r>
      <w:r w:rsidRPr="00B74B0F">
        <w:rPr>
          <w:szCs w:val="22"/>
          <w:lang w:val="sr-Latn-ME"/>
        </w:rPr>
        <w:t>, najčešće prijavljivan</w:t>
      </w:r>
      <w:r w:rsidR="00F02B61" w:rsidRPr="00B74B0F">
        <w:rPr>
          <w:szCs w:val="22"/>
          <w:lang w:val="sr-Latn-ME"/>
        </w:rPr>
        <w:t>a neželjena dejstva</w:t>
      </w:r>
      <w:r w:rsidRPr="00B74B0F">
        <w:rPr>
          <w:szCs w:val="22"/>
          <w:lang w:val="sr-Latn-ME"/>
        </w:rPr>
        <w:t xml:space="preserve"> (≥ 3% </w:t>
      </w:r>
      <w:r w:rsidR="00181042" w:rsidRPr="00B74B0F">
        <w:rPr>
          <w:szCs w:val="22"/>
          <w:lang w:val="sr-Latn-ME"/>
        </w:rPr>
        <w:t>pacijenata</w:t>
      </w:r>
      <w:r w:rsidRPr="00B74B0F">
        <w:rPr>
          <w:szCs w:val="22"/>
          <w:lang w:val="sr-Latn-ME"/>
        </w:rPr>
        <w:t>) s</w:t>
      </w:r>
      <w:r w:rsidR="00BB0D95" w:rsidRPr="00B74B0F">
        <w:rPr>
          <w:szCs w:val="22"/>
          <w:lang w:val="sr-Latn-ME"/>
        </w:rPr>
        <w:t>a</w:t>
      </w:r>
      <w:r w:rsidRPr="00B74B0F">
        <w:rPr>
          <w:szCs w:val="22"/>
          <w:lang w:val="sr-Latn-ME"/>
        </w:rPr>
        <w:t xml:space="preserve"> upadacitinibom u dozi od 45 mg, 30 mg ili 15 mg bile su infekcije gornjih di</w:t>
      </w:r>
      <w:r w:rsidR="00F02B61" w:rsidRPr="00B74B0F">
        <w:rPr>
          <w:szCs w:val="22"/>
          <w:lang w:val="sr-Latn-ME"/>
        </w:rPr>
        <w:t>sajnih</w:t>
      </w:r>
      <w:r w:rsidRPr="00B74B0F">
        <w:rPr>
          <w:szCs w:val="22"/>
          <w:lang w:val="sr-Latn-ME"/>
        </w:rPr>
        <w:t xml:space="preserve"> put</w:t>
      </w:r>
      <w:r w:rsidR="00F02B61" w:rsidRPr="00B74B0F">
        <w:rPr>
          <w:szCs w:val="22"/>
          <w:lang w:val="sr-Latn-ME"/>
        </w:rPr>
        <w:t>e</w:t>
      </w:r>
      <w:r w:rsidRPr="00B74B0F">
        <w:rPr>
          <w:szCs w:val="22"/>
          <w:lang w:val="sr-Latn-ME"/>
        </w:rPr>
        <w:t xml:space="preserve">va (19,9%), </w:t>
      </w:r>
      <w:r w:rsidR="005F2DBC" w:rsidRPr="00B74B0F">
        <w:rPr>
          <w:szCs w:val="22"/>
          <w:lang w:val="sr-Latn-ME"/>
        </w:rPr>
        <w:t xml:space="preserve">pireksija (8,7 %), </w:t>
      </w:r>
      <w:r w:rsidRPr="00B74B0F">
        <w:rPr>
          <w:szCs w:val="22"/>
          <w:lang w:val="sr-Latn-ME"/>
        </w:rPr>
        <w:t xml:space="preserve">povišen CPK u krvi (7,6%), </w:t>
      </w:r>
      <w:r w:rsidR="00E1359A" w:rsidRPr="00B74B0F">
        <w:rPr>
          <w:noProof/>
          <w:szCs w:val="22"/>
          <w:lang w:val="sr-Latn-ME"/>
        </w:rPr>
        <w:t xml:space="preserve">anemija (7,4%), glavobolja (6,6%), </w:t>
      </w:r>
      <w:r w:rsidR="00E1359A" w:rsidRPr="00B74B0F">
        <w:rPr>
          <w:szCs w:val="22"/>
          <w:lang w:val="sr-Latn-ME"/>
        </w:rPr>
        <w:t xml:space="preserve"> </w:t>
      </w:r>
      <w:r w:rsidRPr="00B74B0F">
        <w:rPr>
          <w:szCs w:val="22"/>
          <w:lang w:val="sr-Latn-ME"/>
        </w:rPr>
        <w:t>akne (6,3%),</w:t>
      </w:r>
      <w:r w:rsidR="008634BE" w:rsidRPr="00B74B0F">
        <w:rPr>
          <w:szCs w:val="22"/>
          <w:lang w:val="sr-Latn-ME"/>
        </w:rPr>
        <w:t xml:space="preserve"> herpes zoster</w:t>
      </w:r>
      <w:r w:rsidR="00170DD9" w:rsidRPr="00B74B0F">
        <w:rPr>
          <w:szCs w:val="22"/>
          <w:lang w:val="sr-Latn-ME"/>
        </w:rPr>
        <w:t xml:space="preserve"> (6,1 %),</w:t>
      </w:r>
      <w:r w:rsidRPr="00B74B0F">
        <w:rPr>
          <w:szCs w:val="22"/>
          <w:lang w:val="sr-Latn-ME"/>
        </w:rPr>
        <w:t xml:space="preserve"> neutropenija (6,0%), osip (5,2%), </w:t>
      </w:r>
      <w:r w:rsidR="00585364" w:rsidRPr="00B74B0F">
        <w:rPr>
          <w:noProof/>
          <w:szCs w:val="22"/>
          <w:lang w:val="sr-Latn-ME"/>
        </w:rPr>
        <w:t>pneumonija (4,1%),</w:t>
      </w:r>
      <w:r w:rsidRPr="00B74B0F">
        <w:rPr>
          <w:szCs w:val="22"/>
          <w:lang w:val="sr-Latn-ME"/>
        </w:rPr>
        <w:t xml:space="preserve"> hiper</w:t>
      </w:r>
      <w:r w:rsidR="00F02B61" w:rsidRPr="00B74B0F">
        <w:rPr>
          <w:szCs w:val="22"/>
          <w:lang w:val="sr-Latn-ME"/>
        </w:rPr>
        <w:t>h</w:t>
      </w:r>
      <w:r w:rsidRPr="00B74B0F">
        <w:rPr>
          <w:szCs w:val="22"/>
          <w:lang w:val="sr-Latn-ME"/>
        </w:rPr>
        <w:t xml:space="preserve">olesterolemija (4,0%), </w:t>
      </w:r>
      <w:r w:rsidR="00DD3555" w:rsidRPr="00B74B0F">
        <w:rPr>
          <w:noProof/>
          <w:szCs w:val="22"/>
          <w:lang w:val="sr-Latn-ME"/>
        </w:rPr>
        <w:t xml:space="preserve">bronhitis (3,9%), povišena aspartat transaminaza (3,9%), umor (3,9%), folikulitis (3,6%), povišena alanin transaminaza (3,5%), </w:t>
      </w:r>
      <w:r w:rsidRPr="00B74B0F">
        <w:rPr>
          <w:szCs w:val="22"/>
          <w:lang w:val="sr-Latn-ME"/>
        </w:rPr>
        <w:t xml:space="preserve"> herpes simpleks (3,2%) i </w:t>
      </w:r>
      <w:r w:rsidR="00BB0D95" w:rsidRPr="00B74B0F">
        <w:rPr>
          <w:szCs w:val="22"/>
          <w:lang w:val="sr-Latn-ME"/>
        </w:rPr>
        <w:t xml:space="preserve">grip </w:t>
      </w:r>
      <w:r w:rsidRPr="00B74B0F">
        <w:rPr>
          <w:szCs w:val="22"/>
          <w:lang w:val="sr-Latn-ME"/>
        </w:rPr>
        <w:t>(3,2%).</w:t>
      </w:r>
    </w:p>
    <w:p w14:paraId="7FA78398" w14:textId="77777777" w:rsidR="006E2CF1" w:rsidRPr="00B74B0F" w:rsidRDefault="006E2CF1">
      <w:pPr>
        <w:tabs>
          <w:tab w:val="clear" w:pos="567"/>
        </w:tabs>
        <w:autoSpaceDE w:val="0"/>
        <w:autoSpaceDN w:val="0"/>
        <w:adjustRightInd w:val="0"/>
        <w:spacing w:line="240" w:lineRule="auto"/>
        <w:contextualSpacing/>
        <w:jc w:val="both"/>
        <w:rPr>
          <w:color w:val="000000"/>
          <w:szCs w:val="22"/>
          <w:lang w:val="sr-Latn-ME"/>
        </w:rPr>
      </w:pPr>
    </w:p>
    <w:p w14:paraId="1370AFD0" w14:textId="0605DF41" w:rsidR="000C1B71" w:rsidRPr="00B74B0F" w:rsidRDefault="000C1B71" w:rsidP="00A30C3C">
      <w:pPr>
        <w:tabs>
          <w:tab w:val="clear" w:pos="567"/>
        </w:tabs>
        <w:spacing w:line="240" w:lineRule="auto"/>
        <w:jc w:val="both"/>
        <w:rPr>
          <w:noProof/>
          <w:szCs w:val="22"/>
          <w:lang w:val="sr-Latn-ME"/>
        </w:rPr>
      </w:pPr>
      <w:r w:rsidRPr="00B74B0F">
        <w:rPr>
          <w:noProof/>
          <w:szCs w:val="22"/>
          <w:lang w:val="sr-Latn-ME"/>
        </w:rPr>
        <w:t>Najčešć</w:t>
      </w:r>
      <w:r w:rsidR="00B520DB" w:rsidRPr="00B74B0F">
        <w:rPr>
          <w:noProof/>
          <w:szCs w:val="22"/>
          <w:lang w:val="sr-Latn-ME"/>
        </w:rPr>
        <w:t>a</w:t>
      </w:r>
      <w:r w:rsidRPr="00B74B0F">
        <w:rPr>
          <w:noProof/>
          <w:szCs w:val="22"/>
          <w:lang w:val="sr-Latn-ME"/>
        </w:rPr>
        <w:t xml:space="preserve"> ozbiljn</w:t>
      </w:r>
      <w:r w:rsidR="00B520DB" w:rsidRPr="00B74B0F">
        <w:rPr>
          <w:noProof/>
          <w:szCs w:val="22"/>
          <w:lang w:val="sr-Latn-ME"/>
        </w:rPr>
        <w:t>a</w:t>
      </w:r>
      <w:r w:rsidRPr="00B74B0F">
        <w:rPr>
          <w:noProof/>
          <w:szCs w:val="22"/>
          <w:lang w:val="sr-Latn-ME"/>
        </w:rPr>
        <w:t xml:space="preserve"> </w:t>
      </w:r>
      <w:r w:rsidR="00B520DB" w:rsidRPr="00B74B0F">
        <w:rPr>
          <w:noProof/>
          <w:szCs w:val="22"/>
          <w:lang w:val="sr-Latn-ME"/>
        </w:rPr>
        <w:t xml:space="preserve">neželjena dejstva </w:t>
      </w:r>
      <w:r w:rsidRPr="00B74B0F">
        <w:rPr>
          <w:noProof/>
          <w:szCs w:val="22"/>
          <w:lang w:val="sr-Latn-ME"/>
        </w:rPr>
        <w:t>bil</w:t>
      </w:r>
      <w:r w:rsidR="00B520DB" w:rsidRPr="00B74B0F">
        <w:rPr>
          <w:noProof/>
          <w:szCs w:val="22"/>
          <w:lang w:val="sr-Latn-ME"/>
        </w:rPr>
        <w:t>a</w:t>
      </w:r>
      <w:r w:rsidRPr="00B74B0F">
        <w:rPr>
          <w:noProof/>
          <w:szCs w:val="22"/>
          <w:lang w:val="sr-Latn-ME"/>
        </w:rPr>
        <w:t xml:space="preserve"> su ozbiljne infekcije (vidjeti dio 4.4).</w:t>
      </w:r>
    </w:p>
    <w:p w14:paraId="65158059" w14:textId="77777777" w:rsidR="000C1B71" w:rsidRPr="00B74B0F" w:rsidRDefault="000C1B71" w:rsidP="00A30C3C">
      <w:pPr>
        <w:tabs>
          <w:tab w:val="clear" w:pos="567"/>
        </w:tabs>
        <w:spacing w:line="240" w:lineRule="auto"/>
        <w:jc w:val="both"/>
        <w:rPr>
          <w:noProof/>
          <w:szCs w:val="22"/>
          <w:lang w:val="sr-Latn-ME"/>
        </w:rPr>
      </w:pPr>
    </w:p>
    <w:p w14:paraId="04E9C29B" w14:textId="395BDB18" w:rsidR="000C1B71" w:rsidRPr="00B74B0F" w:rsidRDefault="00B520DB" w:rsidP="00A30C3C">
      <w:pPr>
        <w:tabs>
          <w:tab w:val="clear" w:pos="567"/>
        </w:tabs>
        <w:spacing w:line="240" w:lineRule="auto"/>
        <w:jc w:val="both"/>
        <w:rPr>
          <w:noProof/>
          <w:szCs w:val="22"/>
          <w:lang w:val="sr-Latn-ME"/>
        </w:rPr>
      </w:pPr>
      <w:r w:rsidRPr="00B74B0F">
        <w:rPr>
          <w:noProof/>
          <w:szCs w:val="22"/>
          <w:lang w:val="sr-Latn-ME"/>
        </w:rPr>
        <w:t xml:space="preserve">Bezbjednosni </w:t>
      </w:r>
      <w:r w:rsidR="000C1B71" w:rsidRPr="00B74B0F">
        <w:rPr>
          <w:noProof/>
          <w:szCs w:val="22"/>
          <w:lang w:val="sr-Latn-ME"/>
        </w:rPr>
        <w:t xml:space="preserve">profil upadacitiniba pri dugotrajnom liječenju bio je u velikoj mjeri sličan </w:t>
      </w:r>
      <w:r w:rsidRPr="00B74B0F">
        <w:rPr>
          <w:noProof/>
          <w:szCs w:val="22"/>
          <w:lang w:val="sr-Latn-ME"/>
        </w:rPr>
        <w:t xml:space="preserve">bezbjednosnom </w:t>
      </w:r>
      <w:r w:rsidR="000C1B71" w:rsidRPr="00B74B0F">
        <w:rPr>
          <w:noProof/>
          <w:szCs w:val="22"/>
          <w:lang w:val="sr-Latn-ME"/>
        </w:rPr>
        <w:t>profilu uočenom tokom placebo</w:t>
      </w:r>
      <w:r w:rsidRPr="00B74B0F">
        <w:rPr>
          <w:noProof/>
          <w:szCs w:val="22"/>
          <w:lang w:val="sr-Latn-ME"/>
        </w:rPr>
        <w:t>m</w:t>
      </w:r>
      <w:r w:rsidR="000C1B71" w:rsidRPr="00B74B0F">
        <w:rPr>
          <w:noProof/>
          <w:szCs w:val="22"/>
          <w:lang w:val="sr-Latn-ME"/>
        </w:rPr>
        <w:t xml:space="preserve"> kontrolisanog perioda u svim indikacijama.</w:t>
      </w:r>
    </w:p>
    <w:p w14:paraId="0FFE3F85" w14:textId="77777777" w:rsidR="000C1B71" w:rsidRPr="00B74B0F" w:rsidRDefault="000C1B71">
      <w:pPr>
        <w:tabs>
          <w:tab w:val="clear" w:pos="567"/>
        </w:tabs>
        <w:autoSpaceDE w:val="0"/>
        <w:autoSpaceDN w:val="0"/>
        <w:adjustRightInd w:val="0"/>
        <w:spacing w:line="240" w:lineRule="auto"/>
        <w:contextualSpacing/>
        <w:jc w:val="both"/>
        <w:rPr>
          <w:color w:val="000000"/>
          <w:szCs w:val="22"/>
          <w:lang w:val="sr-Latn-ME"/>
        </w:rPr>
      </w:pPr>
    </w:p>
    <w:p w14:paraId="58704A44" w14:textId="2CB31594" w:rsidR="006E2CF1" w:rsidRPr="00B74B0F" w:rsidRDefault="00906CF8">
      <w:pPr>
        <w:keepNext/>
        <w:autoSpaceDE w:val="0"/>
        <w:autoSpaceDN w:val="0"/>
        <w:adjustRightInd w:val="0"/>
        <w:spacing w:line="240" w:lineRule="auto"/>
        <w:contextualSpacing/>
        <w:jc w:val="both"/>
        <w:rPr>
          <w:szCs w:val="22"/>
          <w:u w:val="single"/>
          <w:lang w:val="sr-Latn-ME"/>
        </w:rPr>
      </w:pPr>
      <w:r w:rsidRPr="00B74B0F">
        <w:rPr>
          <w:szCs w:val="22"/>
          <w:u w:val="single"/>
          <w:lang w:val="sr-Latn-ME"/>
        </w:rPr>
        <w:t>Tab</w:t>
      </w:r>
      <w:r w:rsidR="00BF4B80" w:rsidRPr="00B74B0F">
        <w:rPr>
          <w:szCs w:val="22"/>
          <w:u w:val="single"/>
          <w:lang w:val="sr-Latn-ME"/>
        </w:rPr>
        <w:t>elarni</w:t>
      </w:r>
      <w:r w:rsidRPr="00B74B0F">
        <w:rPr>
          <w:szCs w:val="22"/>
          <w:u w:val="single"/>
          <w:lang w:val="sr-Latn-ME"/>
        </w:rPr>
        <w:t xml:space="preserve"> prikaz n</w:t>
      </w:r>
      <w:r w:rsidR="00BB59FC" w:rsidRPr="00B74B0F">
        <w:rPr>
          <w:szCs w:val="22"/>
          <w:u w:val="single"/>
          <w:lang w:val="sr-Latn-ME"/>
        </w:rPr>
        <w:t>eželjenih dejstava</w:t>
      </w:r>
    </w:p>
    <w:p w14:paraId="66DDE9D8" w14:textId="77777777" w:rsidR="006E2CF1" w:rsidRPr="00B74B0F" w:rsidRDefault="006E2CF1">
      <w:pPr>
        <w:keepNext/>
        <w:tabs>
          <w:tab w:val="clear" w:pos="567"/>
        </w:tabs>
        <w:autoSpaceDE w:val="0"/>
        <w:autoSpaceDN w:val="0"/>
        <w:adjustRightInd w:val="0"/>
        <w:spacing w:line="240" w:lineRule="auto"/>
        <w:contextualSpacing/>
        <w:jc w:val="both"/>
        <w:rPr>
          <w:szCs w:val="22"/>
          <w:lang w:val="sr-Latn-ME"/>
        </w:rPr>
      </w:pPr>
    </w:p>
    <w:p w14:paraId="48A01090" w14:textId="2AE5C56E" w:rsidR="0016594B" w:rsidRPr="00B74B0F" w:rsidRDefault="00736D1C" w:rsidP="00827491">
      <w:pPr>
        <w:keepNext/>
        <w:autoSpaceDE w:val="0"/>
        <w:autoSpaceDN w:val="0"/>
        <w:adjustRightInd w:val="0"/>
        <w:spacing w:line="240" w:lineRule="auto"/>
        <w:contextualSpacing/>
        <w:jc w:val="both"/>
        <w:rPr>
          <w:szCs w:val="22"/>
          <w:lang w:val="sr-Latn-ME"/>
        </w:rPr>
      </w:pPr>
      <w:r w:rsidRPr="00B74B0F">
        <w:rPr>
          <w:szCs w:val="22"/>
          <w:lang w:val="sr-Latn-ME"/>
        </w:rPr>
        <w:t>Sljedeći popis neželjenih dejst</w:t>
      </w:r>
      <w:r w:rsidR="00FF17E8" w:rsidRPr="00B74B0F">
        <w:rPr>
          <w:szCs w:val="22"/>
          <w:lang w:val="sr-Latn-ME"/>
        </w:rPr>
        <w:t xml:space="preserve">ava </w:t>
      </w:r>
      <w:r w:rsidRPr="00B74B0F">
        <w:rPr>
          <w:szCs w:val="22"/>
          <w:lang w:val="sr-Latn-ME"/>
        </w:rPr>
        <w:t xml:space="preserve">zasniva se na iskustvu iz kliničkih ispitivanja. Učestalost </w:t>
      </w:r>
      <w:r w:rsidR="00F02B61" w:rsidRPr="00B74B0F">
        <w:rPr>
          <w:szCs w:val="22"/>
          <w:lang w:val="sr-Latn-ME"/>
        </w:rPr>
        <w:t xml:space="preserve">neželjenih dejstava </w:t>
      </w:r>
      <w:r w:rsidRPr="00B74B0F">
        <w:rPr>
          <w:szCs w:val="22"/>
          <w:lang w:val="sr-Latn-ME"/>
        </w:rPr>
        <w:t>navedenih u nastavku definisana je kako slijedi: v</w:t>
      </w:r>
      <w:r w:rsidR="001C7C5E" w:rsidRPr="00B74B0F">
        <w:rPr>
          <w:szCs w:val="22"/>
          <w:lang w:val="sr-Latn-ME"/>
        </w:rPr>
        <w:t>eoma</w:t>
      </w:r>
      <w:r w:rsidRPr="00B74B0F">
        <w:rPr>
          <w:szCs w:val="22"/>
          <w:lang w:val="sr-Latn-ME"/>
        </w:rPr>
        <w:t xml:space="preserve"> često (≥ 1/10); često (≥ 1 /100 i &lt; 1/10); </w:t>
      </w:r>
      <w:r w:rsidR="00F02B61" w:rsidRPr="00B74B0F">
        <w:rPr>
          <w:szCs w:val="22"/>
          <w:lang w:val="sr-Latn-ME"/>
        </w:rPr>
        <w:t>povremeno</w:t>
      </w:r>
      <w:r w:rsidRPr="00B74B0F">
        <w:rPr>
          <w:szCs w:val="22"/>
          <w:lang w:val="sr-Latn-ME"/>
        </w:rPr>
        <w:t xml:space="preserve"> (≥ 1/1000 i &lt; 1/100). Učestalosti u </w:t>
      </w:r>
      <w:r w:rsidR="00F02B61" w:rsidRPr="00B74B0F">
        <w:rPr>
          <w:szCs w:val="22"/>
          <w:lang w:val="sr-Latn-ME"/>
        </w:rPr>
        <w:t>T</w:t>
      </w:r>
      <w:r w:rsidRPr="00B74B0F">
        <w:rPr>
          <w:szCs w:val="22"/>
          <w:lang w:val="sr-Latn-ME"/>
        </w:rPr>
        <w:t>abeli 3 se zasniva</w:t>
      </w:r>
      <w:r w:rsidR="001C7C5E" w:rsidRPr="00B74B0F">
        <w:rPr>
          <w:szCs w:val="22"/>
          <w:lang w:val="sr-Latn-ME"/>
        </w:rPr>
        <w:t>ju</w:t>
      </w:r>
      <w:r w:rsidRPr="00B74B0F">
        <w:rPr>
          <w:szCs w:val="22"/>
          <w:lang w:val="sr-Latn-ME"/>
        </w:rPr>
        <w:t xml:space="preserve"> na višoj stopi učestalosti za </w:t>
      </w:r>
      <w:r w:rsidR="00F02B61" w:rsidRPr="00B74B0F">
        <w:rPr>
          <w:szCs w:val="22"/>
          <w:lang w:val="sr-Latn-ME"/>
        </w:rPr>
        <w:t xml:space="preserve">neželjena dejstva </w:t>
      </w:r>
      <w:r w:rsidRPr="00B74B0F">
        <w:rPr>
          <w:szCs w:val="22"/>
          <w:lang w:val="sr-Latn-ME"/>
        </w:rPr>
        <w:t>zabilježen</w:t>
      </w:r>
      <w:r w:rsidR="00F02B61" w:rsidRPr="00B74B0F">
        <w:rPr>
          <w:szCs w:val="22"/>
          <w:lang w:val="sr-Latn-ME"/>
        </w:rPr>
        <w:t>a</w:t>
      </w:r>
      <w:r w:rsidRPr="00B74B0F">
        <w:rPr>
          <w:szCs w:val="22"/>
          <w:lang w:val="sr-Latn-ME"/>
        </w:rPr>
        <w:t xml:space="preserve"> s</w:t>
      </w:r>
      <w:r w:rsidR="001C7C5E" w:rsidRPr="00B74B0F">
        <w:rPr>
          <w:szCs w:val="22"/>
          <w:lang w:val="sr-Latn-ME"/>
        </w:rPr>
        <w:t>a</w:t>
      </w:r>
      <w:r w:rsidRPr="00B74B0F">
        <w:rPr>
          <w:szCs w:val="22"/>
          <w:lang w:val="sr-Latn-ME"/>
        </w:rPr>
        <w:t xml:space="preserve"> lijekom RINVOQ </w:t>
      </w:r>
      <w:r w:rsidR="001C7C5E" w:rsidRPr="00B74B0F">
        <w:rPr>
          <w:szCs w:val="22"/>
          <w:lang w:val="sr-Latn-ME"/>
        </w:rPr>
        <w:t xml:space="preserve">u </w:t>
      </w:r>
      <w:r w:rsidRPr="00B74B0F">
        <w:rPr>
          <w:szCs w:val="22"/>
          <w:lang w:val="sr-Latn-ME"/>
        </w:rPr>
        <w:t>kliničkim ispitivanjima reumatološke bolesti (15 mg), atopijskog dermatitisa (15 mg i 30 mg)  ulceroznog kolitisa (15 mg, 30 mg i 45 mg</w:t>
      </w:r>
      <w:r w:rsidR="00F02B61" w:rsidRPr="00B74B0F">
        <w:rPr>
          <w:szCs w:val="22"/>
          <w:lang w:val="sr-Latn-ME"/>
        </w:rPr>
        <w:t>)</w:t>
      </w:r>
      <w:r w:rsidR="00B520DB" w:rsidRPr="00B74B0F">
        <w:rPr>
          <w:szCs w:val="22"/>
          <w:lang w:val="sr-Latn-ME"/>
        </w:rPr>
        <w:t xml:space="preserve"> </w:t>
      </w:r>
      <w:r w:rsidR="00AB5D9E" w:rsidRPr="00B74B0F">
        <w:rPr>
          <w:szCs w:val="22"/>
          <w:lang w:val="sr-Latn-ME"/>
        </w:rPr>
        <w:t xml:space="preserve">ili </w:t>
      </w:r>
      <w:r w:rsidR="00B520DB" w:rsidRPr="00B74B0F">
        <w:rPr>
          <w:szCs w:val="22"/>
          <w:lang w:val="sr-Latn-ME"/>
        </w:rPr>
        <w:t>K</w:t>
      </w:r>
      <w:r w:rsidR="00831AD3" w:rsidRPr="00B74B0F">
        <w:rPr>
          <w:szCs w:val="22"/>
          <w:lang w:val="sr-Latn-ME"/>
        </w:rPr>
        <w:t>ronove</w:t>
      </w:r>
      <w:r w:rsidR="00827491" w:rsidRPr="00B74B0F">
        <w:rPr>
          <w:szCs w:val="22"/>
          <w:lang w:val="sr-Latn-ME"/>
        </w:rPr>
        <w:t xml:space="preserve"> </w:t>
      </w:r>
      <w:r w:rsidR="00AB5D9E" w:rsidRPr="00B74B0F">
        <w:rPr>
          <w:szCs w:val="22"/>
          <w:lang w:val="sr-Latn-ME"/>
        </w:rPr>
        <w:lastRenderedPageBreak/>
        <w:t>bolesti</w:t>
      </w:r>
      <w:r w:rsidR="006B161D" w:rsidRPr="00B74B0F">
        <w:rPr>
          <w:szCs w:val="22"/>
          <w:lang w:val="sr-Latn-ME"/>
        </w:rPr>
        <w:t xml:space="preserve"> (15 mg, 30 mg i 45 mg)</w:t>
      </w:r>
      <w:r w:rsidRPr="00B74B0F">
        <w:rPr>
          <w:szCs w:val="22"/>
          <w:lang w:val="sr-Latn-ME"/>
        </w:rPr>
        <w:t>. Ako su uočene značajne razlike u učestalosti između indikacija, to je navedeno u bilješkama ispod tabele.</w:t>
      </w:r>
    </w:p>
    <w:p w14:paraId="69275590" w14:textId="77777777" w:rsidR="00E05A01" w:rsidRDefault="00E05A01" w:rsidP="00E05A01">
      <w:pPr>
        <w:keepNext/>
        <w:autoSpaceDE w:val="0"/>
        <w:autoSpaceDN w:val="0"/>
        <w:adjustRightInd w:val="0"/>
        <w:spacing w:line="240" w:lineRule="auto"/>
        <w:contextualSpacing/>
        <w:jc w:val="both"/>
        <w:rPr>
          <w:b/>
          <w:szCs w:val="22"/>
          <w:lang w:val="sr-Latn-ME"/>
        </w:rPr>
      </w:pPr>
    </w:p>
    <w:p w14:paraId="4D6721A6" w14:textId="085CBF66" w:rsidR="00E05A01" w:rsidRPr="00B74B0F" w:rsidRDefault="00E05A01" w:rsidP="00E05A01">
      <w:pPr>
        <w:keepNext/>
        <w:autoSpaceDE w:val="0"/>
        <w:autoSpaceDN w:val="0"/>
        <w:adjustRightInd w:val="0"/>
        <w:spacing w:line="240" w:lineRule="auto"/>
        <w:contextualSpacing/>
        <w:jc w:val="both"/>
        <w:rPr>
          <w:b/>
          <w:szCs w:val="22"/>
          <w:lang w:val="sr-Latn-ME"/>
        </w:rPr>
      </w:pPr>
      <w:r w:rsidRPr="00B74B0F">
        <w:rPr>
          <w:b/>
          <w:szCs w:val="22"/>
          <w:lang w:val="sr-Latn-ME"/>
        </w:rPr>
        <w:t>Tabela 3: Neželjena dejstva</w:t>
      </w:r>
    </w:p>
    <w:tbl>
      <w:tblPr>
        <w:tblpPr w:leftFromText="180" w:rightFromText="180" w:vertAnchor="page" w:horzAnchor="margin" w:tblpY="25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
        <w:gridCol w:w="1993"/>
        <w:gridCol w:w="2626"/>
        <w:gridCol w:w="2182"/>
      </w:tblGrid>
      <w:tr w:rsidR="00084A62" w:rsidRPr="00B74B0F" w14:paraId="649E556E" w14:textId="77777777" w:rsidTr="00084A62">
        <w:trPr>
          <w:cantSplit/>
        </w:trPr>
        <w:tc>
          <w:tcPr>
            <w:tcW w:w="1247" w:type="pct"/>
            <w:shd w:val="clear" w:color="auto" w:fill="auto"/>
            <w:vAlign w:val="bottom"/>
          </w:tcPr>
          <w:p w14:paraId="10C68740" w14:textId="77777777" w:rsidR="00084A62" w:rsidRPr="00B74B0F" w:rsidRDefault="00084A62" w:rsidP="00084A62">
            <w:pPr>
              <w:keepNext/>
              <w:autoSpaceDE w:val="0"/>
              <w:autoSpaceDN w:val="0"/>
              <w:adjustRightInd w:val="0"/>
              <w:spacing w:line="240" w:lineRule="auto"/>
              <w:contextualSpacing/>
              <w:jc w:val="both"/>
              <w:rPr>
                <w:b/>
                <w:szCs w:val="22"/>
                <w:lang w:val="sr-Latn-ME"/>
              </w:rPr>
            </w:pPr>
            <w:r w:rsidRPr="00B74B0F">
              <w:rPr>
                <w:b/>
                <w:szCs w:val="22"/>
                <w:lang w:val="sr-Latn-ME"/>
              </w:rPr>
              <w:t>Sistem organa</w:t>
            </w:r>
          </w:p>
        </w:tc>
        <w:tc>
          <w:tcPr>
            <w:tcW w:w="1100" w:type="pct"/>
            <w:shd w:val="clear" w:color="auto" w:fill="auto"/>
            <w:vAlign w:val="bottom"/>
          </w:tcPr>
          <w:p w14:paraId="2B3F6084" w14:textId="77777777" w:rsidR="00084A62" w:rsidRPr="00B74B0F" w:rsidRDefault="00084A62" w:rsidP="00084A62">
            <w:pPr>
              <w:keepNext/>
              <w:autoSpaceDE w:val="0"/>
              <w:autoSpaceDN w:val="0"/>
              <w:adjustRightInd w:val="0"/>
              <w:spacing w:line="240" w:lineRule="auto"/>
              <w:contextualSpacing/>
              <w:jc w:val="both"/>
              <w:rPr>
                <w:b/>
                <w:szCs w:val="22"/>
                <w:lang w:val="sr-Latn-ME"/>
              </w:rPr>
            </w:pPr>
            <w:r w:rsidRPr="00B74B0F">
              <w:rPr>
                <w:b/>
                <w:szCs w:val="22"/>
                <w:lang w:val="sr-Latn-ME"/>
              </w:rPr>
              <w:t>Veoma često</w:t>
            </w:r>
          </w:p>
        </w:tc>
        <w:tc>
          <w:tcPr>
            <w:tcW w:w="1449" w:type="pct"/>
            <w:vAlign w:val="bottom"/>
          </w:tcPr>
          <w:p w14:paraId="39667F9F" w14:textId="77777777" w:rsidR="00084A62" w:rsidRPr="00B74B0F" w:rsidRDefault="00084A62" w:rsidP="00084A62">
            <w:pPr>
              <w:keepNext/>
              <w:autoSpaceDE w:val="0"/>
              <w:autoSpaceDN w:val="0"/>
              <w:adjustRightInd w:val="0"/>
              <w:spacing w:line="240" w:lineRule="auto"/>
              <w:contextualSpacing/>
              <w:jc w:val="both"/>
              <w:rPr>
                <w:b/>
                <w:szCs w:val="22"/>
                <w:lang w:val="sr-Latn-ME"/>
              </w:rPr>
            </w:pPr>
            <w:r w:rsidRPr="00B74B0F">
              <w:rPr>
                <w:b/>
                <w:szCs w:val="22"/>
                <w:lang w:val="sr-Latn-ME"/>
              </w:rPr>
              <w:t>Često</w:t>
            </w:r>
          </w:p>
        </w:tc>
        <w:tc>
          <w:tcPr>
            <w:tcW w:w="1204" w:type="pct"/>
            <w:shd w:val="clear" w:color="auto" w:fill="auto"/>
            <w:vAlign w:val="bottom"/>
          </w:tcPr>
          <w:p w14:paraId="2C3ABE2B" w14:textId="77777777" w:rsidR="00084A62" w:rsidRPr="00B74B0F" w:rsidRDefault="00084A62" w:rsidP="00084A62">
            <w:pPr>
              <w:keepNext/>
              <w:autoSpaceDE w:val="0"/>
              <w:autoSpaceDN w:val="0"/>
              <w:adjustRightInd w:val="0"/>
              <w:spacing w:line="240" w:lineRule="auto"/>
              <w:contextualSpacing/>
              <w:jc w:val="both"/>
              <w:rPr>
                <w:b/>
                <w:szCs w:val="22"/>
                <w:lang w:val="sr-Latn-ME"/>
              </w:rPr>
            </w:pPr>
            <w:r w:rsidRPr="00B74B0F">
              <w:rPr>
                <w:b/>
                <w:szCs w:val="22"/>
                <w:lang w:val="sr-Latn-ME"/>
              </w:rPr>
              <w:t>Povremeno</w:t>
            </w:r>
          </w:p>
        </w:tc>
      </w:tr>
      <w:tr w:rsidR="00084A62" w:rsidRPr="00B74B0F" w14:paraId="384ED795" w14:textId="77777777" w:rsidTr="00084A62">
        <w:trPr>
          <w:cantSplit/>
        </w:trPr>
        <w:tc>
          <w:tcPr>
            <w:tcW w:w="1247" w:type="pct"/>
            <w:shd w:val="clear" w:color="auto" w:fill="auto"/>
          </w:tcPr>
          <w:p w14:paraId="294046B0"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Infekcije i infestacije</w:t>
            </w:r>
          </w:p>
        </w:tc>
        <w:tc>
          <w:tcPr>
            <w:tcW w:w="1100" w:type="pct"/>
            <w:shd w:val="clear" w:color="auto" w:fill="auto"/>
          </w:tcPr>
          <w:p w14:paraId="21E48CBB"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infekcije gornjih disajnih puteva</w:t>
            </w:r>
            <w:r w:rsidRPr="00B74B0F">
              <w:rPr>
                <w:szCs w:val="22"/>
                <w:vertAlign w:val="superscript"/>
                <w:lang w:val="sr-Latn-ME"/>
              </w:rPr>
              <w:t>a</w:t>
            </w:r>
            <w:r w:rsidRPr="00B74B0F">
              <w:rPr>
                <w:szCs w:val="22"/>
                <w:lang w:val="sr-Latn-ME"/>
              </w:rPr>
              <w:t xml:space="preserve"> </w:t>
            </w:r>
          </w:p>
        </w:tc>
        <w:tc>
          <w:tcPr>
            <w:tcW w:w="1449" w:type="pct"/>
          </w:tcPr>
          <w:p w14:paraId="57F79DA6"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Bronhitis</w:t>
            </w:r>
            <w:r w:rsidRPr="00B74B0F">
              <w:rPr>
                <w:szCs w:val="22"/>
                <w:vertAlign w:val="superscript"/>
                <w:lang w:val="sr-Latn-ME"/>
              </w:rPr>
              <w:t>a,b</w:t>
            </w:r>
          </w:p>
          <w:p w14:paraId="5167E097"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herpes zoster</w:t>
            </w:r>
            <w:r w:rsidRPr="00B74B0F">
              <w:rPr>
                <w:szCs w:val="22"/>
                <w:vertAlign w:val="superscript"/>
                <w:lang w:val="sr-Latn-ME"/>
              </w:rPr>
              <w:t>a</w:t>
            </w:r>
          </w:p>
          <w:p w14:paraId="191FE14A" w14:textId="77777777" w:rsidR="00084A62" w:rsidRPr="00B74B0F" w:rsidRDefault="00084A62" w:rsidP="002B0F89">
            <w:pPr>
              <w:keepNext/>
              <w:autoSpaceDE w:val="0"/>
              <w:autoSpaceDN w:val="0"/>
              <w:adjustRightInd w:val="0"/>
              <w:spacing w:line="240" w:lineRule="auto"/>
              <w:contextualSpacing/>
              <w:rPr>
                <w:szCs w:val="22"/>
                <w:vertAlign w:val="superscript"/>
                <w:lang w:val="sr-Latn-ME"/>
              </w:rPr>
            </w:pPr>
            <w:r w:rsidRPr="00B74B0F">
              <w:rPr>
                <w:szCs w:val="22"/>
                <w:lang w:val="sr-Latn-ME"/>
              </w:rPr>
              <w:t>herpes simpleks</w:t>
            </w:r>
            <w:r w:rsidRPr="00B74B0F">
              <w:rPr>
                <w:szCs w:val="22"/>
                <w:vertAlign w:val="superscript"/>
                <w:lang w:val="sr-Latn-ME"/>
              </w:rPr>
              <w:t>a</w:t>
            </w:r>
          </w:p>
          <w:p w14:paraId="7712A4F4"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folikulitis</w:t>
            </w:r>
          </w:p>
          <w:p w14:paraId="214F1303"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grip</w:t>
            </w:r>
          </w:p>
          <w:p w14:paraId="719922FE"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infekcija urinarnog trakta</w:t>
            </w:r>
          </w:p>
          <w:p w14:paraId="1AE0605D"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pneumonija</w:t>
            </w:r>
            <w:r w:rsidRPr="00B74B0F">
              <w:rPr>
                <w:szCs w:val="22"/>
                <w:vertAlign w:val="superscript"/>
                <w:lang w:val="sr-Latn-ME"/>
              </w:rPr>
              <w:t>a,h</w:t>
            </w:r>
          </w:p>
        </w:tc>
        <w:tc>
          <w:tcPr>
            <w:tcW w:w="1204" w:type="pct"/>
            <w:shd w:val="clear" w:color="auto" w:fill="auto"/>
          </w:tcPr>
          <w:p w14:paraId="2CDD8D74" w14:textId="77777777" w:rsidR="00084A62" w:rsidRPr="00B74B0F" w:rsidRDefault="00084A62" w:rsidP="002B0F89">
            <w:pPr>
              <w:keepNext/>
              <w:autoSpaceDE w:val="0"/>
              <w:autoSpaceDN w:val="0"/>
              <w:adjustRightInd w:val="0"/>
              <w:spacing w:line="240" w:lineRule="auto"/>
              <w:contextualSpacing/>
              <w:rPr>
                <w:szCs w:val="22"/>
                <w:lang w:val="sr-Latn-ME"/>
              </w:rPr>
            </w:pPr>
          </w:p>
          <w:p w14:paraId="4A88616C"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oralna kandidijaza</w:t>
            </w:r>
          </w:p>
          <w:p w14:paraId="6D0E549B"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divertikulitis</w:t>
            </w:r>
          </w:p>
          <w:p w14:paraId="59D0BF7C" w14:textId="77777777" w:rsidR="00084A62" w:rsidRPr="00B74B0F" w:rsidRDefault="00084A62" w:rsidP="00A43F15">
            <w:pPr>
              <w:rPr>
                <w:szCs w:val="22"/>
                <w:lang w:val="sr-Latn-ME"/>
              </w:rPr>
            </w:pPr>
            <w:r w:rsidRPr="00B74B0F">
              <w:rPr>
                <w:szCs w:val="22"/>
                <w:lang w:val="sr-Latn-ME"/>
              </w:rPr>
              <w:t>sepsa</w:t>
            </w:r>
          </w:p>
        </w:tc>
      </w:tr>
      <w:tr w:rsidR="00084A62" w:rsidRPr="00B74B0F" w14:paraId="2A1CE08D" w14:textId="77777777" w:rsidTr="00084A62">
        <w:trPr>
          <w:cantSplit/>
        </w:trPr>
        <w:tc>
          <w:tcPr>
            <w:tcW w:w="1247" w:type="pct"/>
            <w:shd w:val="clear" w:color="auto" w:fill="auto"/>
          </w:tcPr>
          <w:p w14:paraId="43B1394F"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Benigne, maligne i nespecifične neoplazme (uključujući ciste i polipe)</w:t>
            </w:r>
          </w:p>
        </w:tc>
        <w:tc>
          <w:tcPr>
            <w:tcW w:w="1100" w:type="pct"/>
            <w:shd w:val="clear" w:color="auto" w:fill="auto"/>
          </w:tcPr>
          <w:p w14:paraId="00F05ECD"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20717C72"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nemelanomski rak kože</w:t>
            </w:r>
            <w:r w:rsidRPr="00B74B0F">
              <w:rPr>
                <w:szCs w:val="22"/>
                <w:vertAlign w:val="superscript"/>
                <w:lang w:val="sr-Latn-ME"/>
              </w:rPr>
              <w:t>f</w:t>
            </w:r>
          </w:p>
        </w:tc>
        <w:tc>
          <w:tcPr>
            <w:tcW w:w="1204" w:type="pct"/>
            <w:shd w:val="clear" w:color="auto" w:fill="auto"/>
          </w:tcPr>
          <w:p w14:paraId="3CBFEE11"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227613EA" w14:textId="77777777" w:rsidTr="00084A62">
        <w:trPr>
          <w:cantSplit/>
        </w:trPr>
        <w:tc>
          <w:tcPr>
            <w:tcW w:w="1247" w:type="pct"/>
            <w:shd w:val="clear" w:color="auto" w:fill="auto"/>
          </w:tcPr>
          <w:p w14:paraId="30DF3F44"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 xml:space="preserve">Poremećaji krvi i limfnog sistema </w:t>
            </w:r>
          </w:p>
        </w:tc>
        <w:tc>
          <w:tcPr>
            <w:tcW w:w="1100" w:type="pct"/>
            <w:shd w:val="clear" w:color="auto" w:fill="auto"/>
          </w:tcPr>
          <w:p w14:paraId="7F8AD676"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0C526701"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anemija</w:t>
            </w:r>
            <w:r w:rsidRPr="00B74B0F">
              <w:rPr>
                <w:szCs w:val="22"/>
                <w:vertAlign w:val="superscript"/>
                <w:lang w:val="sr-Latn-ME"/>
              </w:rPr>
              <w:t>a</w:t>
            </w:r>
          </w:p>
          <w:p w14:paraId="504647D6"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neutropenija</w:t>
            </w:r>
            <w:r w:rsidRPr="00B74B0F">
              <w:rPr>
                <w:szCs w:val="22"/>
                <w:vertAlign w:val="superscript"/>
                <w:lang w:val="sr-Latn-ME"/>
              </w:rPr>
              <w:t>a</w:t>
            </w:r>
          </w:p>
          <w:p w14:paraId="333EB89B"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 xml:space="preserve">limfopenija </w:t>
            </w:r>
          </w:p>
        </w:tc>
        <w:tc>
          <w:tcPr>
            <w:tcW w:w="1204" w:type="pct"/>
            <w:shd w:val="clear" w:color="auto" w:fill="auto"/>
          </w:tcPr>
          <w:p w14:paraId="083CE050"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7A973F7F" w14:textId="77777777" w:rsidTr="00084A62">
        <w:trPr>
          <w:cantSplit/>
        </w:trPr>
        <w:tc>
          <w:tcPr>
            <w:tcW w:w="1247" w:type="pct"/>
            <w:shd w:val="clear" w:color="auto" w:fill="auto"/>
          </w:tcPr>
          <w:p w14:paraId="26E6A9FD"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Poremećaji imunog sistema</w:t>
            </w:r>
            <w:r w:rsidRPr="00B74B0F" w:rsidDel="001C7C5E">
              <w:rPr>
                <w:szCs w:val="22"/>
                <w:lang w:val="sr-Latn-ME"/>
              </w:rPr>
              <w:t xml:space="preserve"> </w:t>
            </w:r>
          </w:p>
        </w:tc>
        <w:tc>
          <w:tcPr>
            <w:tcW w:w="1100" w:type="pct"/>
            <w:shd w:val="clear" w:color="auto" w:fill="auto"/>
          </w:tcPr>
          <w:p w14:paraId="7A14084D"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6D8F776B"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urtikarija</w:t>
            </w:r>
            <w:r w:rsidRPr="00B74B0F">
              <w:rPr>
                <w:szCs w:val="22"/>
                <w:vertAlign w:val="superscript"/>
                <w:lang w:val="sr-Latn-ME"/>
              </w:rPr>
              <w:t>c,g</w:t>
            </w:r>
            <w:r w:rsidRPr="00B74B0F" w:rsidDel="001C7C5E">
              <w:rPr>
                <w:szCs w:val="22"/>
                <w:lang w:val="sr-Latn-ME"/>
              </w:rPr>
              <w:t xml:space="preserve"> </w:t>
            </w:r>
          </w:p>
        </w:tc>
        <w:tc>
          <w:tcPr>
            <w:tcW w:w="1204" w:type="pct"/>
            <w:shd w:val="clear" w:color="auto" w:fill="auto"/>
          </w:tcPr>
          <w:p w14:paraId="33E5310B"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ozbiljne reakcije preosjetljivosti</w:t>
            </w:r>
            <w:r w:rsidRPr="00B74B0F">
              <w:rPr>
                <w:szCs w:val="22"/>
                <w:vertAlign w:val="superscript"/>
                <w:lang w:val="sr-Latn-ME"/>
              </w:rPr>
              <w:t xml:space="preserve"> a,e</w:t>
            </w:r>
          </w:p>
        </w:tc>
      </w:tr>
      <w:tr w:rsidR="00084A62" w:rsidRPr="00B74B0F" w14:paraId="71C7D926" w14:textId="77777777" w:rsidTr="00084A62">
        <w:trPr>
          <w:cantSplit/>
        </w:trPr>
        <w:tc>
          <w:tcPr>
            <w:tcW w:w="1247" w:type="pct"/>
            <w:shd w:val="clear" w:color="auto" w:fill="auto"/>
          </w:tcPr>
          <w:p w14:paraId="176BD670"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Poremećaji metabolizma i ishrane</w:t>
            </w:r>
          </w:p>
        </w:tc>
        <w:tc>
          <w:tcPr>
            <w:tcW w:w="1100" w:type="pct"/>
            <w:shd w:val="clear" w:color="auto" w:fill="auto"/>
          </w:tcPr>
          <w:p w14:paraId="1F0E3E5D"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007B27B1"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hiperholesterolemija</w:t>
            </w:r>
            <w:r w:rsidRPr="00B74B0F">
              <w:rPr>
                <w:szCs w:val="22"/>
                <w:vertAlign w:val="superscript"/>
                <w:lang w:val="sr-Latn-ME"/>
              </w:rPr>
              <w:t>a,b</w:t>
            </w:r>
          </w:p>
          <w:p w14:paraId="0FAE63BB"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 xml:space="preserve">hiperlipidemija </w:t>
            </w:r>
            <w:r w:rsidRPr="00B74B0F">
              <w:rPr>
                <w:szCs w:val="22"/>
                <w:vertAlign w:val="superscript"/>
                <w:lang w:val="sr-Latn-ME"/>
              </w:rPr>
              <w:t>a,b</w:t>
            </w:r>
          </w:p>
        </w:tc>
        <w:tc>
          <w:tcPr>
            <w:tcW w:w="1204" w:type="pct"/>
            <w:shd w:val="clear" w:color="auto" w:fill="auto"/>
          </w:tcPr>
          <w:p w14:paraId="3034B9C7"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hipertrigliceridemija</w:t>
            </w:r>
          </w:p>
        </w:tc>
      </w:tr>
      <w:tr w:rsidR="00084A62" w:rsidRPr="00B74B0F" w14:paraId="119574BF" w14:textId="77777777" w:rsidTr="00084A62">
        <w:trPr>
          <w:cantSplit/>
        </w:trPr>
        <w:tc>
          <w:tcPr>
            <w:tcW w:w="1247" w:type="pct"/>
            <w:shd w:val="clear" w:color="auto" w:fill="auto"/>
          </w:tcPr>
          <w:p w14:paraId="1AE284CD" w14:textId="77777777" w:rsidR="00084A62" w:rsidRPr="00B74B0F" w:rsidRDefault="00084A62" w:rsidP="00A43F15">
            <w:pPr>
              <w:keepNext/>
              <w:autoSpaceDE w:val="0"/>
              <w:autoSpaceDN w:val="0"/>
              <w:adjustRightInd w:val="0"/>
              <w:spacing w:line="240" w:lineRule="auto"/>
              <w:contextualSpacing/>
              <w:rPr>
                <w:szCs w:val="22"/>
                <w:lang w:val="sr-Latn-ME"/>
              </w:rPr>
            </w:pPr>
            <w:r w:rsidRPr="00B74B0F">
              <w:rPr>
                <w:lang w:val="sr-Latn-ME"/>
              </w:rPr>
              <w:t>Poremećaj nervnog sistema</w:t>
            </w:r>
          </w:p>
          <w:p w14:paraId="7F0D5D3F"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100" w:type="pct"/>
            <w:shd w:val="clear" w:color="auto" w:fill="auto"/>
          </w:tcPr>
          <w:p w14:paraId="3EBF439B"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4A9165C1" w14:textId="77777777" w:rsidR="00084A62" w:rsidRPr="00B74B0F" w:rsidRDefault="00084A62" w:rsidP="00A43F15">
            <w:pPr>
              <w:keepNext/>
              <w:autoSpaceDE w:val="0"/>
              <w:autoSpaceDN w:val="0"/>
              <w:adjustRightInd w:val="0"/>
              <w:spacing w:line="240" w:lineRule="auto"/>
              <w:contextualSpacing/>
              <w:rPr>
                <w:vertAlign w:val="superscript"/>
                <w:lang w:val="sr-Latn-ME"/>
              </w:rPr>
            </w:pPr>
            <w:r w:rsidRPr="00B74B0F">
              <w:rPr>
                <w:lang w:val="sr-Latn-ME"/>
              </w:rPr>
              <w:t>glavobolja</w:t>
            </w:r>
            <w:r w:rsidRPr="00B74B0F">
              <w:rPr>
                <w:vertAlign w:val="superscript"/>
                <w:lang w:val="sr-Latn-ME"/>
              </w:rPr>
              <w:t>a</w:t>
            </w:r>
          </w:p>
          <w:p w14:paraId="46F96BCA"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lang w:val="sr-Latn-ME"/>
              </w:rPr>
              <w:t>omaglica</w:t>
            </w:r>
          </w:p>
        </w:tc>
        <w:tc>
          <w:tcPr>
            <w:tcW w:w="1204" w:type="pct"/>
            <w:shd w:val="clear" w:color="auto" w:fill="auto"/>
          </w:tcPr>
          <w:p w14:paraId="69A8F394"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05FC95E2" w14:textId="77777777" w:rsidTr="00084A62">
        <w:trPr>
          <w:cantSplit/>
        </w:trPr>
        <w:tc>
          <w:tcPr>
            <w:tcW w:w="1247" w:type="pct"/>
            <w:shd w:val="clear" w:color="auto" w:fill="auto"/>
          </w:tcPr>
          <w:p w14:paraId="2DAC8028"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rFonts w:asciiTheme="majorBidi" w:hAnsiTheme="majorBidi" w:cstheme="majorBidi"/>
                <w:lang w:val="sr-Latn-ME"/>
              </w:rPr>
              <w:t>Poremećaji uha i lavirinta</w:t>
            </w:r>
          </w:p>
        </w:tc>
        <w:tc>
          <w:tcPr>
            <w:tcW w:w="1100" w:type="pct"/>
            <w:shd w:val="clear" w:color="auto" w:fill="auto"/>
          </w:tcPr>
          <w:p w14:paraId="4DBD3DEC"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6FFD53D5"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rFonts w:asciiTheme="majorBidi" w:hAnsiTheme="majorBidi" w:cstheme="majorBidi"/>
                <w:lang w:val="sr-Latn-ME"/>
              </w:rPr>
              <w:t>vrtoglavica</w:t>
            </w:r>
            <w:r w:rsidRPr="00B74B0F">
              <w:rPr>
                <w:rFonts w:asciiTheme="majorBidi" w:hAnsiTheme="majorBidi" w:cstheme="majorBidi"/>
                <w:vertAlign w:val="superscript"/>
                <w:lang w:val="sr-Latn-ME"/>
              </w:rPr>
              <w:t>a</w:t>
            </w:r>
          </w:p>
        </w:tc>
        <w:tc>
          <w:tcPr>
            <w:tcW w:w="1204" w:type="pct"/>
            <w:shd w:val="clear" w:color="auto" w:fill="auto"/>
          </w:tcPr>
          <w:p w14:paraId="64860F0F"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369DA18A" w14:textId="77777777" w:rsidTr="00084A62">
        <w:trPr>
          <w:cantSplit/>
        </w:trPr>
        <w:tc>
          <w:tcPr>
            <w:tcW w:w="1247" w:type="pct"/>
            <w:shd w:val="clear" w:color="auto" w:fill="auto"/>
          </w:tcPr>
          <w:p w14:paraId="460EB400"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Poremećaji respiratornog sistema, grudnog koša i medijastinuma</w:t>
            </w:r>
          </w:p>
        </w:tc>
        <w:tc>
          <w:tcPr>
            <w:tcW w:w="1100" w:type="pct"/>
            <w:shd w:val="clear" w:color="auto" w:fill="auto"/>
          </w:tcPr>
          <w:p w14:paraId="3D1C46FB"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00DBE301"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kašalj</w:t>
            </w:r>
          </w:p>
        </w:tc>
        <w:tc>
          <w:tcPr>
            <w:tcW w:w="1204" w:type="pct"/>
            <w:shd w:val="clear" w:color="auto" w:fill="auto"/>
          </w:tcPr>
          <w:p w14:paraId="0EA04C59"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443080EF" w14:textId="77777777" w:rsidTr="00084A62">
        <w:trPr>
          <w:cantSplit/>
        </w:trPr>
        <w:tc>
          <w:tcPr>
            <w:tcW w:w="1247" w:type="pct"/>
            <w:shd w:val="clear" w:color="auto" w:fill="auto"/>
          </w:tcPr>
          <w:p w14:paraId="584AFABE"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Poremećaji gastrointestinalnog trakta</w:t>
            </w:r>
          </w:p>
        </w:tc>
        <w:tc>
          <w:tcPr>
            <w:tcW w:w="1100" w:type="pct"/>
            <w:shd w:val="clear" w:color="auto" w:fill="auto"/>
          </w:tcPr>
          <w:p w14:paraId="4F8237D2"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51A4433D"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bol u abdomenu</w:t>
            </w:r>
            <w:r w:rsidRPr="00B74B0F">
              <w:rPr>
                <w:szCs w:val="22"/>
                <w:vertAlign w:val="superscript"/>
                <w:lang w:val="sr-Latn-ME"/>
              </w:rPr>
              <w:t>a,d</w:t>
            </w:r>
            <w:r w:rsidRPr="00B74B0F">
              <w:rPr>
                <w:szCs w:val="22"/>
                <w:lang w:val="sr-Latn-ME"/>
              </w:rPr>
              <w:t xml:space="preserve"> </w:t>
            </w:r>
          </w:p>
          <w:p w14:paraId="25B44DBC"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mučnina</w:t>
            </w:r>
          </w:p>
          <w:p w14:paraId="1116DF38"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204" w:type="pct"/>
            <w:shd w:val="clear" w:color="auto" w:fill="auto"/>
          </w:tcPr>
          <w:p w14:paraId="357E2A7B"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gastroitestinalna perforacija</w:t>
            </w:r>
            <w:r w:rsidRPr="00B74B0F">
              <w:rPr>
                <w:rFonts w:eastAsia="Verdana"/>
                <w:color w:val="000000"/>
                <w:szCs w:val="22"/>
                <w:vertAlign w:val="superscript"/>
                <w:lang w:val="sr-Latn-ME" w:eastAsia="pl-PL"/>
              </w:rPr>
              <w:t>i</w:t>
            </w:r>
          </w:p>
        </w:tc>
      </w:tr>
      <w:tr w:rsidR="00084A62" w:rsidRPr="00B74B0F" w14:paraId="7A5B5B8F" w14:textId="77777777" w:rsidTr="00084A62">
        <w:trPr>
          <w:cantSplit/>
        </w:trPr>
        <w:tc>
          <w:tcPr>
            <w:tcW w:w="1247" w:type="pct"/>
            <w:shd w:val="clear" w:color="auto" w:fill="auto"/>
          </w:tcPr>
          <w:p w14:paraId="13CF18E9"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Poremećaji kože i potkožnog tkiva</w:t>
            </w:r>
          </w:p>
        </w:tc>
        <w:tc>
          <w:tcPr>
            <w:tcW w:w="1100" w:type="pct"/>
            <w:shd w:val="clear" w:color="auto" w:fill="auto"/>
          </w:tcPr>
          <w:p w14:paraId="0AFB4C15" w14:textId="77777777" w:rsidR="00084A62" w:rsidRPr="00B74B0F" w:rsidRDefault="00084A62" w:rsidP="002B0F89">
            <w:pPr>
              <w:keepNext/>
              <w:autoSpaceDE w:val="0"/>
              <w:autoSpaceDN w:val="0"/>
              <w:adjustRightInd w:val="0"/>
              <w:spacing w:line="240" w:lineRule="auto"/>
              <w:contextualSpacing/>
              <w:rPr>
                <w:noProof/>
                <w:szCs w:val="22"/>
                <w:lang w:val="sr-Latn-ME"/>
              </w:rPr>
            </w:pPr>
            <w:r w:rsidRPr="00B74B0F">
              <w:rPr>
                <w:szCs w:val="22"/>
                <w:lang w:val="sr-Latn-ME"/>
              </w:rPr>
              <w:t>akne</w:t>
            </w:r>
            <w:r w:rsidRPr="00B74B0F">
              <w:rPr>
                <w:noProof/>
                <w:szCs w:val="22"/>
                <w:vertAlign w:val="superscript"/>
                <w:lang w:val="sr-Latn-ME"/>
              </w:rPr>
              <w:t xml:space="preserve"> a,c</w:t>
            </w:r>
            <w:r w:rsidRPr="00B74B0F">
              <w:rPr>
                <w:szCs w:val="22"/>
                <w:vertAlign w:val="superscript"/>
                <w:lang w:val="sr-Latn-ME"/>
              </w:rPr>
              <w:t>,d,g</w:t>
            </w:r>
          </w:p>
          <w:p w14:paraId="65A28643"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 xml:space="preserve"> </w:t>
            </w:r>
          </w:p>
        </w:tc>
        <w:tc>
          <w:tcPr>
            <w:tcW w:w="1449" w:type="pct"/>
          </w:tcPr>
          <w:p w14:paraId="2705A0DE"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osip</w:t>
            </w:r>
            <w:r w:rsidRPr="00B74B0F">
              <w:rPr>
                <w:szCs w:val="22"/>
                <w:vertAlign w:val="superscript"/>
                <w:lang w:val="sr-Latn-ME"/>
              </w:rPr>
              <w:t>a</w:t>
            </w:r>
          </w:p>
        </w:tc>
        <w:tc>
          <w:tcPr>
            <w:tcW w:w="1204" w:type="pct"/>
            <w:shd w:val="clear" w:color="auto" w:fill="auto"/>
          </w:tcPr>
          <w:p w14:paraId="1DF9270A"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138D4783" w14:textId="77777777" w:rsidTr="00084A62">
        <w:trPr>
          <w:cantSplit/>
        </w:trPr>
        <w:tc>
          <w:tcPr>
            <w:tcW w:w="1247" w:type="pct"/>
            <w:shd w:val="clear" w:color="auto" w:fill="auto"/>
          </w:tcPr>
          <w:p w14:paraId="1DD46E3E"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Opšti poremećaji i reakcije na mjestu primjene</w:t>
            </w:r>
          </w:p>
        </w:tc>
        <w:tc>
          <w:tcPr>
            <w:tcW w:w="1100" w:type="pct"/>
            <w:shd w:val="clear" w:color="auto" w:fill="auto"/>
          </w:tcPr>
          <w:p w14:paraId="79960C93"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0C6D4B42"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umor</w:t>
            </w:r>
          </w:p>
          <w:p w14:paraId="57ECCD29"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pireksija</w:t>
            </w:r>
          </w:p>
        </w:tc>
        <w:tc>
          <w:tcPr>
            <w:tcW w:w="1204" w:type="pct"/>
            <w:shd w:val="clear" w:color="auto" w:fill="auto"/>
          </w:tcPr>
          <w:p w14:paraId="328781DA"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328C3FA2" w14:textId="77777777" w:rsidTr="00084A62">
        <w:trPr>
          <w:cantSplit/>
        </w:trPr>
        <w:tc>
          <w:tcPr>
            <w:tcW w:w="1247" w:type="pct"/>
            <w:shd w:val="clear" w:color="auto" w:fill="auto"/>
          </w:tcPr>
          <w:p w14:paraId="2DFD32B9"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Analize</w:t>
            </w:r>
          </w:p>
          <w:p w14:paraId="658FBDA5" w14:textId="77777777" w:rsidR="00084A62" w:rsidRPr="00B74B0F" w:rsidRDefault="00084A62" w:rsidP="002B0F89">
            <w:pPr>
              <w:rPr>
                <w:szCs w:val="22"/>
                <w:lang w:val="sr-Latn-ME"/>
              </w:rPr>
            </w:pPr>
          </w:p>
          <w:p w14:paraId="566B45FF" w14:textId="77777777" w:rsidR="00084A62" w:rsidRPr="00B74B0F" w:rsidRDefault="00084A62" w:rsidP="002B0F89">
            <w:pPr>
              <w:rPr>
                <w:szCs w:val="22"/>
                <w:lang w:val="sr-Latn-ME"/>
              </w:rPr>
            </w:pPr>
          </w:p>
          <w:p w14:paraId="6C69266B" w14:textId="77777777" w:rsidR="00084A62" w:rsidRPr="00B74B0F" w:rsidRDefault="00084A62" w:rsidP="002B0F89">
            <w:pPr>
              <w:rPr>
                <w:szCs w:val="22"/>
                <w:lang w:val="sr-Latn-ME"/>
              </w:rPr>
            </w:pPr>
          </w:p>
          <w:p w14:paraId="18F3CE76" w14:textId="77777777" w:rsidR="00084A62" w:rsidRPr="00B74B0F" w:rsidRDefault="00084A62" w:rsidP="002B0F89">
            <w:pPr>
              <w:rPr>
                <w:szCs w:val="22"/>
                <w:lang w:val="sr-Latn-ME"/>
              </w:rPr>
            </w:pPr>
          </w:p>
          <w:p w14:paraId="5C443472" w14:textId="77777777" w:rsidR="00084A62" w:rsidRPr="00B74B0F" w:rsidRDefault="00084A62" w:rsidP="002B0F89">
            <w:pPr>
              <w:rPr>
                <w:szCs w:val="22"/>
                <w:lang w:val="sr-Latn-ME"/>
              </w:rPr>
            </w:pPr>
          </w:p>
        </w:tc>
        <w:tc>
          <w:tcPr>
            <w:tcW w:w="1100" w:type="pct"/>
            <w:shd w:val="clear" w:color="auto" w:fill="auto"/>
          </w:tcPr>
          <w:p w14:paraId="3F9CE05E" w14:textId="77777777" w:rsidR="00084A62" w:rsidRPr="00B74B0F" w:rsidRDefault="00084A62" w:rsidP="002B0F89">
            <w:pPr>
              <w:keepNext/>
              <w:autoSpaceDE w:val="0"/>
              <w:autoSpaceDN w:val="0"/>
              <w:adjustRightInd w:val="0"/>
              <w:spacing w:line="240" w:lineRule="auto"/>
              <w:contextualSpacing/>
              <w:rPr>
                <w:szCs w:val="22"/>
                <w:lang w:val="sr-Latn-ME"/>
              </w:rPr>
            </w:pPr>
          </w:p>
        </w:tc>
        <w:tc>
          <w:tcPr>
            <w:tcW w:w="1449" w:type="pct"/>
          </w:tcPr>
          <w:p w14:paraId="00583FA8"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 xml:space="preserve">povišene vrijednosti kreatin fosfokinaze u krvi </w:t>
            </w:r>
          </w:p>
          <w:p w14:paraId="548ECAC6" w14:textId="1C2FE8DE"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povišene vrijednosti ALT</w:t>
            </w:r>
            <w:r w:rsidRPr="00B74B0F">
              <w:rPr>
                <w:szCs w:val="22"/>
                <w:lang w:val="sr-Latn-ME"/>
              </w:rPr>
              <w:noBreakHyphen/>
              <w:t>a</w:t>
            </w:r>
            <w:r w:rsidRPr="00B74B0F">
              <w:rPr>
                <w:noProof/>
                <w:szCs w:val="22"/>
                <w:vertAlign w:val="superscript"/>
                <w:lang w:val="sr-Latn-ME"/>
              </w:rPr>
              <w:t>b</w:t>
            </w:r>
          </w:p>
          <w:p w14:paraId="0505F75C"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povišene vrijednosti AST</w:t>
            </w:r>
            <w:r w:rsidRPr="00B74B0F">
              <w:rPr>
                <w:szCs w:val="22"/>
                <w:lang w:val="sr-Latn-ME"/>
              </w:rPr>
              <w:noBreakHyphen/>
              <w:t>a</w:t>
            </w:r>
            <w:r w:rsidRPr="00B74B0F">
              <w:rPr>
                <w:noProof/>
                <w:szCs w:val="22"/>
                <w:vertAlign w:val="superscript"/>
                <w:lang w:val="sr-Latn-ME"/>
              </w:rPr>
              <w:t>b</w:t>
            </w:r>
          </w:p>
          <w:p w14:paraId="50EF35B9" w14:textId="77777777" w:rsidR="00084A62" w:rsidRPr="00B74B0F" w:rsidRDefault="00084A62" w:rsidP="002B0F89">
            <w:pPr>
              <w:keepNext/>
              <w:autoSpaceDE w:val="0"/>
              <w:autoSpaceDN w:val="0"/>
              <w:adjustRightInd w:val="0"/>
              <w:spacing w:line="240" w:lineRule="auto"/>
              <w:contextualSpacing/>
              <w:rPr>
                <w:szCs w:val="22"/>
                <w:lang w:val="sr-Latn-ME"/>
              </w:rPr>
            </w:pPr>
            <w:r w:rsidRPr="00B74B0F">
              <w:rPr>
                <w:szCs w:val="22"/>
                <w:lang w:val="sr-Latn-ME"/>
              </w:rPr>
              <w:t>povećanje tjelesne mase</w:t>
            </w:r>
            <w:r w:rsidRPr="00B74B0F">
              <w:rPr>
                <w:szCs w:val="22"/>
                <w:vertAlign w:val="superscript"/>
                <w:lang w:val="sr-Latn-ME"/>
              </w:rPr>
              <w:t>g</w:t>
            </w:r>
          </w:p>
        </w:tc>
        <w:tc>
          <w:tcPr>
            <w:tcW w:w="1204" w:type="pct"/>
            <w:shd w:val="clear" w:color="auto" w:fill="auto"/>
          </w:tcPr>
          <w:p w14:paraId="03ECE7FB" w14:textId="77777777" w:rsidR="00084A62" w:rsidRPr="00B74B0F" w:rsidRDefault="00084A62" w:rsidP="002B0F89">
            <w:pPr>
              <w:keepNext/>
              <w:autoSpaceDE w:val="0"/>
              <w:autoSpaceDN w:val="0"/>
              <w:adjustRightInd w:val="0"/>
              <w:spacing w:line="240" w:lineRule="auto"/>
              <w:contextualSpacing/>
              <w:rPr>
                <w:szCs w:val="22"/>
                <w:lang w:val="sr-Latn-ME"/>
              </w:rPr>
            </w:pPr>
          </w:p>
        </w:tc>
      </w:tr>
      <w:tr w:rsidR="00084A62" w:rsidRPr="00B74B0F" w14:paraId="3671E37F" w14:textId="77777777" w:rsidTr="00084A62">
        <w:trPr>
          <w:cantSplit/>
        </w:trPr>
        <w:tc>
          <w:tcPr>
            <w:tcW w:w="5000" w:type="pct"/>
            <w:gridSpan w:val="4"/>
            <w:shd w:val="clear" w:color="auto" w:fill="auto"/>
          </w:tcPr>
          <w:p w14:paraId="4971ED36" w14:textId="77777777" w:rsidR="00084A62" w:rsidRPr="00B74B0F" w:rsidRDefault="00084A62" w:rsidP="00084A62">
            <w:pPr>
              <w:keepNext/>
              <w:tabs>
                <w:tab w:val="clear" w:pos="567"/>
              </w:tabs>
              <w:autoSpaceDE w:val="0"/>
              <w:autoSpaceDN w:val="0"/>
              <w:adjustRightInd w:val="0"/>
              <w:spacing w:line="240" w:lineRule="auto"/>
              <w:ind w:left="142" w:hanging="142"/>
              <w:contextualSpacing/>
              <w:jc w:val="both"/>
              <w:rPr>
                <w:noProof/>
                <w:szCs w:val="22"/>
                <w:lang w:val="sr-Latn-ME"/>
              </w:rPr>
            </w:pPr>
            <w:r w:rsidRPr="00B74B0F">
              <w:rPr>
                <w:noProof/>
                <w:szCs w:val="22"/>
                <w:vertAlign w:val="superscript"/>
                <w:lang w:val="sr-Latn-ME"/>
              </w:rPr>
              <w:t>a</w:t>
            </w:r>
            <w:r w:rsidRPr="00B74B0F">
              <w:rPr>
                <w:noProof/>
                <w:szCs w:val="22"/>
                <w:lang w:val="sr-Latn-ME"/>
              </w:rPr>
              <w:t xml:space="preserve"> Navedeno kao grupni pojam</w:t>
            </w:r>
          </w:p>
          <w:p w14:paraId="32A615C6" w14:textId="77777777" w:rsidR="00084A62" w:rsidRPr="00B74B0F" w:rsidRDefault="00084A62" w:rsidP="00084A62">
            <w:pPr>
              <w:keepNext/>
              <w:tabs>
                <w:tab w:val="clear" w:pos="567"/>
              </w:tabs>
              <w:autoSpaceDE w:val="0"/>
              <w:autoSpaceDN w:val="0"/>
              <w:adjustRightInd w:val="0"/>
              <w:spacing w:line="240" w:lineRule="auto"/>
              <w:ind w:left="142" w:hanging="142"/>
              <w:contextualSpacing/>
              <w:jc w:val="both"/>
              <w:rPr>
                <w:noProof/>
                <w:szCs w:val="22"/>
                <w:lang w:val="sr-Latn-ME"/>
              </w:rPr>
            </w:pPr>
            <w:r w:rsidRPr="00B74B0F">
              <w:rPr>
                <w:noProof/>
                <w:szCs w:val="22"/>
                <w:vertAlign w:val="superscript"/>
                <w:lang w:val="sr-Latn-ME"/>
              </w:rPr>
              <w:t>b</w:t>
            </w:r>
            <w:r w:rsidRPr="00B74B0F">
              <w:rPr>
                <w:noProof/>
                <w:szCs w:val="22"/>
                <w:lang w:val="sr-Latn-ME"/>
              </w:rPr>
              <w:t xml:space="preserve"> U ispitivanjima atopijskog dermatitisa, učestalost bronhitisa, hiperholesterolemije, </w:t>
            </w:r>
            <w:r w:rsidRPr="00B74B0F">
              <w:rPr>
                <w:szCs w:val="22"/>
                <w:lang w:val="sr-Latn-ME"/>
              </w:rPr>
              <w:t xml:space="preserve">hiperlipidemija, </w:t>
            </w:r>
            <w:r w:rsidRPr="00B74B0F">
              <w:rPr>
                <w:noProof/>
                <w:szCs w:val="22"/>
                <w:lang w:val="sr-Latn-ME"/>
              </w:rPr>
              <w:t>povišenih vrijednosti ALT</w:t>
            </w:r>
            <w:r w:rsidRPr="00B74B0F">
              <w:rPr>
                <w:noProof/>
                <w:szCs w:val="22"/>
                <w:lang w:val="sr-Latn-ME"/>
              </w:rPr>
              <w:noBreakHyphen/>
              <w:t>a i povišenih vrijednosti AST</w:t>
            </w:r>
            <w:r w:rsidRPr="00B74B0F">
              <w:rPr>
                <w:noProof/>
                <w:szCs w:val="22"/>
                <w:lang w:val="sr-Latn-ME"/>
              </w:rPr>
              <w:noBreakHyphen/>
              <w:t>a bila je povremena.</w:t>
            </w:r>
          </w:p>
          <w:p w14:paraId="289E08A6" w14:textId="77777777" w:rsidR="00084A62" w:rsidRPr="00B74B0F" w:rsidRDefault="00084A62" w:rsidP="00084A62">
            <w:pPr>
              <w:keepNext/>
              <w:tabs>
                <w:tab w:val="clear" w:pos="567"/>
              </w:tabs>
              <w:autoSpaceDE w:val="0"/>
              <w:autoSpaceDN w:val="0"/>
              <w:adjustRightInd w:val="0"/>
              <w:spacing w:line="240" w:lineRule="auto"/>
              <w:ind w:left="142" w:hanging="142"/>
              <w:contextualSpacing/>
              <w:jc w:val="both"/>
              <w:rPr>
                <w:noProof/>
                <w:szCs w:val="22"/>
                <w:lang w:val="sr-Latn-ME"/>
              </w:rPr>
            </w:pPr>
            <w:r w:rsidRPr="00B74B0F">
              <w:rPr>
                <w:noProof/>
                <w:szCs w:val="22"/>
                <w:vertAlign w:val="superscript"/>
                <w:lang w:val="sr-Latn-ME"/>
              </w:rPr>
              <w:t>c</w:t>
            </w:r>
            <w:r w:rsidRPr="00B74B0F">
              <w:rPr>
                <w:noProof/>
                <w:szCs w:val="22"/>
                <w:lang w:val="sr-Latn-ME"/>
              </w:rPr>
              <w:t xml:space="preserve"> U ispitivanjima reumatološke bolesti, učestalost akni bila je česta, a učestalost urtikarije povremena.</w:t>
            </w:r>
          </w:p>
          <w:p w14:paraId="51BE993A" w14:textId="77777777" w:rsidR="00084A62" w:rsidRPr="00B74B0F" w:rsidRDefault="00084A62" w:rsidP="00084A62">
            <w:pPr>
              <w:keepNext/>
              <w:autoSpaceDE w:val="0"/>
              <w:autoSpaceDN w:val="0"/>
              <w:adjustRightInd w:val="0"/>
              <w:spacing w:line="240" w:lineRule="auto"/>
              <w:contextualSpacing/>
              <w:jc w:val="both"/>
              <w:rPr>
                <w:szCs w:val="22"/>
                <w:lang w:val="sr-Latn-ME"/>
              </w:rPr>
            </w:pPr>
            <w:r w:rsidRPr="00B74B0F">
              <w:rPr>
                <w:szCs w:val="22"/>
                <w:vertAlign w:val="superscript"/>
                <w:lang w:val="sr-Latn-ME"/>
              </w:rPr>
              <w:t xml:space="preserve">d </w:t>
            </w:r>
            <w:r w:rsidRPr="00B74B0F">
              <w:rPr>
                <w:szCs w:val="22"/>
                <w:lang w:val="sr-Latn-ME"/>
              </w:rPr>
              <w:t>U ispitivanjima ulceroznog kolitisa, učestalost akni je bila česta; bol u abdomenu bila je manje česta za upadacitinib nego za placebo.</w:t>
            </w:r>
          </w:p>
          <w:p w14:paraId="18092681" w14:textId="77777777" w:rsidR="00084A62" w:rsidRPr="00B74B0F" w:rsidRDefault="00084A62" w:rsidP="00084A62">
            <w:pPr>
              <w:keepNext/>
              <w:autoSpaceDE w:val="0"/>
              <w:autoSpaceDN w:val="0"/>
              <w:adjustRightInd w:val="0"/>
              <w:spacing w:line="240" w:lineRule="auto"/>
              <w:contextualSpacing/>
              <w:jc w:val="both"/>
              <w:rPr>
                <w:szCs w:val="22"/>
                <w:lang w:val="sr-Latn-ME"/>
              </w:rPr>
            </w:pPr>
            <w:r w:rsidRPr="00B74B0F">
              <w:rPr>
                <w:szCs w:val="22"/>
                <w:vertAlign w:val="superscript"/>
                <w:lang w:val="sr-Latn-ME"/>
              </w:rPr>
              <w:t>e</w:t>
            </w:r>
            <w:r w:rsidRPr="00B74B0F">
              <w:rPr>
                <w:szCs w:val="22"/>
                <w:lang w:val="sr-Latn-ME"/>
              </w:rPr>
              <w:t xml:space="preserve"> Ozbiljne reakcije preosjetljivosti uključujući anafilaktičku reakciju i angioedem.</w:t>
            </w:r>
          </w:p>
          <w:p w14:paraId="3216F3F0" w14:textId="77777777" w:rsidR="00084A62" w:rsidRPr="00B74B0F" w:rsidRDefault="00084A62" w:rsidP="00084A62">
            <w:pPr>
              <w:keepNext/>
              <w:autoSpaceDE w:val="0"/>
              <w:autoSpaceDN w:val="0"/>
              <w:adjustRightInd w:val="0"/>
              <w:spacing w:line="240" w:lineRule="auto"/>
              <w:contextualSpacing/>
              <w:jc w:val="both"/>
              <w:rPr>
                <w:szCs w:val="22"/>
                <w:lang w:val="sr-Latn-ME"/>
              </w:rPr>
            </w:pPr>
            <w:r w:rsidRPr="00B74B0F">
              <w:rPr>
                <w:szCs w:val="22"/>
                <w:vertAlign w:val="superscript"/>
                <w:lang w:val="sr-Latn-ME"/>
              </w:rPr>
              <w:lastRenderedPageBreak/>
              <w:t>f</w:t>
            </w:r>
            <w:r w:rsidRPr="00B74B0F">
              <w:rPr>
                <w:szCs w:val="22"/>
                <w:lang w:val="sr-Latn-ME"/>
              </w:rPr>
              <w:t xml:space="preserve"> Većina događaja prijavljena je kao karcinom bazalnih ćelija i karcinom skvamoznih ćelija</w:t>
            </w:r>
          </w:p>
          <w:p w14:paraId="35990632" w14:textId="77777777" w:rsidR="00084A62" w:rsidRPr="00B74B0F" w:rsidRDefault="00084A62" w:rsidP="00084A62">
            <w:pPr>
              <w:keepNext/>
              <w:autoSpaceDE w:val="0"/>
              <w:autoSpaceDN w:val="0"/>
              <w:adjustRightInd w:val="0"/>
              <w:spacing w:line="240" w:lineRule="auto"/>
              <w:contextualSpacing/>
              <w:jc w:val="both"/>
              <w:rPr>
                <w:szCs w:val="22"/>
                <w:lang w:val="sr-Latn-ME"/>
              </w:rPr>
            </w:pPr>
            <w:r w:rsidRPr="00B74B0F">
              <w:rPr>
                <w:szCs w:val="22"/>
                <w:lang w:val="sr-Latn-ME"/>
              </w:rPr>
              <w:t>kože</w:t>
            </w:r>
          </w:p>
          <w:p w14:paraId="4A8F74FE" w14:textId="77777777" w:rsidR="00084A62" w:rsidRPr="00B74B0F" w:rsidRDefault="00084A62" w:rsidP="00084A62">
            <w:pPr>
              <w:jc w:val="both"/>
              <w:rPr>
                <w:szCs w:val="22"/>
                <w:lang w:val="sr-Latn-ME"/>
              </w:rPr>
            </w:pPr>
            <w:r w:rsidRPr="00B74B0F">
              <w:rPr>
                <w:szCs w:val="22"/>
                <w:vertAlign w:val="superscript"/>
                <w:lang w:val="sr-Latn-ME"/>
              </w:rPr>
              <w:t>g</w:t>
            </w:r>
            <w:r w:rsidRPr="00B74B0F">
              <w:rPr>
                <w:szCs w:val="22"/>
                <w:lang w:val="sr-Latn-ME"/>
              </w:rPr>
              <w:t xml:space="preserve"> U Kronovoj bolesti učestalost akni je bila česta, a učestalost urtikarije i povećanja tjelesne težine povremena.</w:t>
            </w:r>
          </w:p>
          <w:p w14:paraId="7C882364" w14:textId="77777777" w:rsidR="00084A62" w:rsidRPr="00B74B0F" w:rsidRDefault="00084A62" w:rsidP="00084A62">
            <w:pPr>
              <w:jc w:val="both"/>
              <w:rPr>
                <w:szCs w:val="22"/>
                <w:lang w:val="sr-Latn-ME"/>
              </w:rPr>
            </w:pPr>
            <w:r w:rsidRPr="00B74B0F">
              <w:rPr>
                <w:szCs w:val="22"/>
                <w:vertAlign w:val="superscript"/>
                <w:lang w:val="sr-Latn-ME"/>
              </w:rPr>
              <w:t xml:space="preserve">h </w:t>
            </w:r>
            <w:r w:rsidRPr="00B74B0F">
              <w:rPr>
                <w:szCs w:val="22"/>
                <w:lang w:val="sr-Latn-ME"/>
              </w:rPr>
              <w:t>Pneumonija je bila česta u Kronovoj bolesti, a povremena u drugim indikacijama.</w:t>
            </w:r>
          </w:p>
          <w:p w14:paraId="0DC29B7B" w14:textId="77777777" w:rsidR="00084A62" w:rsidRPr="00B74B0F" w:rsidRDefault="00084A62" w:rsidP="00084A62">
            <w:pPr>
              <w:keepNext/>
              <w:autoSpaceDE w:val="0"/>
              <w:autoSpaceDN w:val="0"/>
              <w:adjustRightInd w:val="0"/>
              <w:spacing w:line="240" w:lineRule="auto"/>
              <w:contextualSpacing/>
              <w:jc w:val="both"/>
              <w:rPr>
                <w:szCs w:val="22"/>
                <w:lang w:val="sr-Latn-ME"/>
              </w:rPr>
            </w:pPr>
            <w:r w:rsidRPr="00B74B0F">
              <w:rPr>
                <w:szCs w:val="22"/>
                <w:vertAlign w:val="superscript"/>
                <w:lang w:val="sr-Latn-ME"/>
              </w:rPr>
              <w:t>i</w:t>
            </w:r>
            <w:r w:rsidRPr="00B74B0F">
              <w:rPr>
                <w:szCs w:val="22"/>
                <w:lang w:val="sr-Latn-ME"/>
              </w:rPr>
              <w:t>Učestalost se zasniva na kliničkim ispitivanjima Kronove bolesti.</w:t>
            </w:r>
          </w:p>
          <w:p w14:paraId="7DD383BD" w14:textId="77777777" w:rsidR="00084A62" w:rsidRPr="00B74B0F" w:rsidRDefault="00084A62" w:rsidP="00084A62">
            <w:pPr>
              <w:keepNext/>
              <w:autoSpaceDE w:val="0"/>
              <w:autoSpaceDN w:val="0"/>
              <w:adjustRightInd w:val="0"/>
              <w:spacing w:line="240" w:lineRule="auto"/>
              <w:contextualSpacing/>
              <w:jc w:val="both"/>
              <w:rPr>
                <w:szCs w:val="22"/>
                <w:lang w:val="sr-Latn-ME"/>
              </w:rPr>
            </w:pPr>
          </w:p>
        </w:tc>
      </w:tr>
    </w:tbl>
    <w:p w14:paraId="6AAF246E" w14:textId="0F5BE5A5" w:rsidR="00206A8D" w:rsidRPr="00B74B0F" w:rsidRDefault="00206A8D">
      <w:pPr>
        <w:tabs>
          <w:tab w:val="clear" w:pos="567"/>
        </w:tabs>
        <w:spacing w:line="240" w:lineRule="auto"/>
        <w:rPr>
          <w:b/>
          <w:szCs w:val="22"/>
          <w:lang w:val="sr-Latn-ME"/>
        </w:rPr>
      </w:pPr>
    </w:p>
    <w:p w14:paraId="6CFF8F6B" w14:textId="5072B88D" w:rsidR="00FC3598" w:rsidRPr="00B74B0F" w:rsidRDefault="00906CF8">
      <w:pPr>
        <w:keepNext/>
        <w:autoSpaceDE w:val="0"/>
        <w:autoSpaceDN w:val="0"/>
        <w:adjustRightInd w:val="0"/>
        <w:spacing w:line="240" w:lineRule="auto"/>
        <w:contextualSpacing/>
        <w:jc w:val="both"/>
        <w:rPr>
          <w:szCs w:val="22"/>
          <w:u w:val="single"/>
          <w:lang w:val="sr-Latn-ME"/>
        </w:rPr>
      </w:pPr>
      <w:r w:rsidRPr="00B74B0F">
        <w:rPr>
          <w:szCs w:val="22"/>
          <w:u w:val="single"/>
          <w:lang w:val="sr-Latn-ME"/>
        </w:rPr>
        <w:t>Opis odabranih n</w:t>
      </w:r>
      <w:r w:rsidR="00BB59FC" w:rsidRPr="00B74B0F">
        <w:rPr>
          <w:szCs w:val="22"/>
          <w:u w:val="single"/>
          <w:lang w:val="sr-Latn-ME"/>
        </w:rPr>
        <w:t>eželjenih dejstava</w:t>
      </w:r>
    </w:p>
    <w:p w14:paraId="5C1EC6B2" w14:textId="77777777" w:rsidR="00D34B34" w:rsidRPr="00B74B0F" w:rsidRDefault="00D34B34">
      <w:pPr>
        <w:keepNext/>
        <w:autoSpaceDE w:val="0"/>
        <w:autoSpaceDN w:val="0"/>
        <w:adjustRightInd w:val="0"/>
        <w:spacing w:line="240" w:lineRule="auto"/>
        <w:contextualSpacing/>
        <w:jc w:val="both"/>
        <w:rPr>
          <w:szCs w:val="22"/>
          <w:u w:val="single"/>
          <w:lang w:val="sr-Latn-ME"/>
        </w:rPr>
      </w:pPr>
    </w:p>
    <w:p w14:paraId="76C5BC3C" w14:textId="77777777" w:rsidR="00D34B34" w:rsidRPr="00B74B0F" w:rsidRDefault="00D34B34">
      <w:pPr>
        <w:keepNext/>
        <w:autoSpaceDE w:val="0"/>
        <w:autoSpaceDN w:val="0"/>
        <w:adjustRightInd w:val="0"/>
        <w:spacing w:line="240" w:lineRule="auto"/>
        <w:contextualSpacing/>
        <w:jc w:val="both"/>
        <w:rPr>
          <w:i/>
          <w:iCs/>
          <w:szCs w:val="22"/>
          <w:u w:val="single"/>
          <w:lang w:val="sr-Latn-ME"/>
        </w:rPr>
      </w:pPr>
      <w:r w:rsidRPr="00B74B0F">
        <w:rPr>
          <w:i/>
          <w:iCs/>
          <w:szCs w:val="22"/>
          <w:u w:val="single"/>
          <w:lang w:val="sr-Latn-ME"/>
        </w:rPr>
        <w:t>Reumatoidni artritis</w:t>
      </w:r>
    </w:p>
    <w:p w14:paraId="232DF0E9" w14:textId="77777777" w:rsidR="007C6E97" w:rsidRPr="00B74B0F" w:rsidRDefault="007C6E97">
      <w:pPr>
        <w:keepNext/>
        <w:autoSpaceDE w:val="0"/>
        <w:autoSpaceDN w:val="0"/>
        <w:adjustRightInd w:val="0"/>
        <w:spacing w:line="240" w:lineRule="auto"/>
        <w:contextualSpacing/>
        <w:jc w:val="both"/>
        <w:rPr>
          <w:szCs w:val="22"/>
          <w:u w:val="single"/>
          <w:lang w:val="sr-Latn-ME"/>
        </w:rPr>
      </w:pPr>
    </w:p>
    <w:p w14:paraId="347FE9FF" w14:textId="77777777" w:rsidR="00C471F6"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Infekcije</w:t>
      </w:r>
    </w:p>
    <w:p w14:paraId="2A409CD3" w14:textId="77777777" w:rsidR="003748F7" w:rsidRPr="00B74B0F" w:rsidRDefault="003748F7">
      <w:pPr>
        <w:keepNext/>
        <w:autoSpaceDE w:val="0"/>
        <w:autoSpaceDN w:val="0"/>
        <w:adjustRightInd w:val="0"/>
        <w:spacing w:line="240" w:lineRule="auto"/>
        <w:contextualSpacing/>
        <w:jc w:val="both"/>
        <w:rPr>
          <w:i/>
          <w:szCs w:val="22"/>
          <w:lang w:val="sr-Latn-ME"/>
        </w:rPr>
      </w:pPr>
    </w:p>
    <w:p w14:paraId="0BCD258B" w14:textId="06C4B5EB" w:rsidR="00C471F6"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U placeb</w:t>
      </w:r>
      <w:r w:rsidR="00BF4B80" w:rsidRPr="00B74B0F">
        <w:rPr>
          <w:szCs w:val="22"/>
          <w:lang w:val="sr-Latn-ME"/>
        </w:rPr>
        <w:t>o</w:t>
      </w:r>
      <w:r w:rsidR="00CF173C" w:rsidRPr="00B74B0F">
        <w:rPr>
          <w:szCs w:val="22"/>
          <w:lang w:val="sr-Latn-ME"/>
        </w:rPr>
        <w:t>m</w:t>
      </w:r>
      <w:r w:rsidRPr="00B74B0F">
        <w:rPr>
          <w:szCs w:val="22"/>
          <w:lang w:val="sr-Latn-ME"/>
        </w:rPr>
        <w:t xml:space="preserve"> kontrol</w:t>
      </w:r>
      <w:r w:rsidR="00BF4B80" w:rsidRPr="00B74B0F">
        <w:rPr>
          <w:szCs w:val="22"/>
          <w:lang w:val="sr-Latn-ME"/>
        </w:rPr>
        <w:t>isa</w:t>
      </w:r>
      <w:r w:rsidRPr="00B74B0F">
        <w:rPr>
          <w:szCs w:val="22"/>
          <w:lang w:val="sr-Latn-ME"/>
        </w:rPr>
        <w:t xml:space="preserve">nim kliničkim ispitivanjima u kojima su </w:t>
      </w:r>
      <w:r w:rsidR="00BB59FC" w:rsidRPr="00B74B0F">
        <w:rPr>
          <w:szCs w:val="22"/>
          <w:lang w:val="sr-Latn-ME"/>
        </w:rPr>
        <w:t>pacijenti</w:t>
      </w:r>
      <w:r w:rsidRPr="00B74B0F">
        <w:rPr>
          <w:szCs w:val="22"/>
          <w:lang w:val="sr-Latn-ME"/>
        </w:rPr>
        <w:t xml:space="preserve"> primali DMARD kao osnovnu terapiju</w:t>
      </w:r>
      <w:r w:rsidR="00A36FDE" w:rsidRPr="00B74B0F">
        <w:rPr>
          <w:szCs w:val="22"/>
          <w:lang w:val="sr-Latn-ME"/>
        </w:rPr>
        <w:t>,</w:t>
      </w:r>
      <w:r w:rsidRPr="00B74B0F">
        <w:rPr>
          <w:szCs w:val="22"/>
          <w:lang w:val="sr-Latn-ME"/>
        </w:rPr>
        <w:t xml:space="preserve"> učestalost infekcija t</w:t>
      </w:r>
      <w:r w:rsidR="006036E0" w:rsidRPr="00B74B0F">
        <w:rPr>
          <w:szCs w:val="22"/>
          <w:lang w:val="sr-Latn-ME"/>
        </w:rPr>
        <w:t>o</w:t>
      </w:r>
      <w:r w:rsidRPr="00B74B0F">
        <w:rPr>
          <w:szCs w:val="22"/>
          <w:lang w:val="sr-Latn-ME"/>
        </w:rPr>
        <w:t>kom 12/14 </w:t>
      </w:r>
      <w:r w:rsidR="00FD278C" w:rsidRPr="00B74B0F">
        <w:rPr>
          <w:szCs w:val="22"/>
          <w:lang w:val="sr-Latn-ME"/>
        </w:rPr>
        <w:t>n</w:t>
      </w:r>
      <w:r w:rsidR="008806F8" w:rsidRPr="00B74B0F">
        <w:rPr>
          <w:szCs w:val="22"/>
          <w:lang w:val="sr-Latn-ME"/>
        </w:rPr>
        <w:t>ed</w:t>
      </w:r>
      <w:r w:rsidR="00FD278C" w:rsidRPr="00B74B0F">
        <w:rPr>
          <w:szCs w:val="22"/>
          <w:lang w:val="sr-Latn-ME"/>
        </w:rPr>
        <w:t>j</w:t>
      </w:r>
      <w:r w:rsidR="008806F8" w:rsidRPr="00B74B0F">
        <w:rPr>
          <w:szCs w:val="22"/>
          <w:lang w:val="sr-Latn-ME"/>
        </w:rPr>
        <w:t>elja</w:t>
      </w:r>
      <w:r w:rsidRPr="00B74B0F">
        <w:rPr>
          <w:szCs w:val="22"/>
          <w:lang w:val="sr-Latn-ME"/>
        </w:rPr>
        <w:t xml:space="preserve"> iznosila je 27,4% u </w:t>
      </w:r>
      <w:r w:rsidR="006036E0" w:rsidRPr="00B74B0F">
        <w:rPr>
          <w:szCs w:val="22"/>
          <w:lang w:val="sr-Latn-ME"/>
        </w:rPr>
        <w:t>grupi</w:t>
      </w:r>
      <w:r w:rsidRPr="00B74B0F">
        <w:rPr>
          <w:szCs w:val="22"/>
          <w:lang w:val="sr-Latn-ME"/>
        </w:rPr>
        <w:t xml:space="preserve"> liječenoj</w:t>
      </w:r>
      <w:r w:rsidR="006036E0" w:rsidRPr="00B74B0F">
        <w:rPr>
          <w:szCs w:val="22"/>
          <w:lang w:val="sr-Latn-ME"/>
        </w:rPr>
        <w:t xml:space="preserve">  </w:t>
      </w:r>
      <w:r w:rsidRPr="00B74B0F">
        <w:rPr>
          <w:szCs w:val="22"/>
          <w:lang w:val="sr-Latn-ME"/>
        </w:rPr>
        <w:t>upadacitinib</w:t>
      </w:r>
      <w:r w:rsidR="000113FC" w:rsidRPr="00B74B0F">
        <w:rPr>
          <w:szCs w:val="22"/>
          <w:lang w:val="sr-Latn-ME"/>
        </w:rPr>
        <w:t>om</w:t>
      </w:r>
      <w:r w:rsidRPr="00B74B0F">
        <w:rPr>
          <w:szCs w:val="22"/>
          <w:lang w:val="sr-Latn-ME"/>
        </w:rPr>
        <w:t xml:space="preserve"> u dozi od 15 mg </w:t>
      </w:r>
      <w:r w:rsidR="00462558" w:rsidRPr="00B74B0F">
        <w:rPr>
          <w:szCs w:val="22"/>
          <w:lang w:val="sr-Latn-ME"/>
        </w:rPr>
        <w:t>i</w:t>
      </w:r>
      <w:r w:rsidRPr="00B74B0F">
        <w:rPr>
          <w:szCs w:val="22"/>
          <w:lang w:val="sr-Latn-ME"/>
        </w:rPr>
        <w:t xml:space="preserve"> 20,9% u </w:t>
      </w:r>
      <w:r w:rsidR="006036E0" w:rsidRPr="00B74B0F">
        <w:rPr>
          <w:szCs w:val="22"/>
          <w:lang w:val="sr-Latn-ME"/>
        </w:rPr>
        <w:t>grupi</w:t>
      </w:r>
      <w:r w:rsidRPr="00B74B0F">
        <w:rPr>
          <w:szCs w:val="22"/>
          <w:lang w:val="sr-Latn-ME"/>
        </w:rPr>
        <w:t xml:space="preserve"> koja je primala placebo. U ispitivanjima kontroli</w:t>
      </w:r>
      <w:r w:rsidR="006036E0" w:rsidRPr="00B74B0F">
        <w:rPr>
          <w:szCs w:val="22"/>
          <w:lang w:val="sr-Latn-ME"/>
        </w:rPr>
        <w:t>sanim</w:t>
      </w:r>
      <w:r w:rsidRPr="00B74B0F">
        <w:rPr>
          <w:szCs w:val="22"/>
          <w:lang w:val="sr-Latn-ME"/>
        </w:rPr>
        <w:t xml:space="preserve"> metotreksatom (MTX) učestalost infekcija t</w:t>
      </w:r>
      <w:r w:rsidR="006036E0" w:rsidRPr="00B74B0F">
        <w:rPr>
          <w:szCs w:val="22"/>
          <w:lang w:val="sr-Latn-ME"/>
        </w:rPr>
        <w:t>okom</w:t>
      </w:r>
      <w:r w:rsidRPr="00B74B0F">
        <w:rPr>
          <w:szCs w:val="22"/>
          <w:lang w:val="sr-Latn-ME"/>
        </w:rPr>
        <w:t xml:space="preserve"> 12/14 </w:t>
      </w:r>
      <w:r w:rsidR="00FD278C" w:rsidRPr="00B74B0F">
        <w:rPr>
          <w:szCs w:val="22"/>
          <w:lang w:val="sr-Latn-ME"/>
        </w:rPr>
        <w:t>n</w:t>
      </w:r>
      <w:r w:rsidR="008806F8" w:rsidRPr="00B74B0F">
        <w:rPr>
          <w:szCs w:val="22"/>
          <w:lang w:val="sr-Latn-ME"/>
        </w:rPr>
        <w:t>ed</w:t>
      </w:r>
      <w:r w:rsidR="00FD278C" w:rsidRPr="00B74B0F">
        <w:rPr>
          <w:szCs w:val="22"/>
          <w:lang w:val="sr-Latn-ME"/>
        </w:rPr>
        <w:t>j</w:t>
      </w:r>
      <w:r w:rsidR="008806F8" w:rsidRPr="00B74B0F">
        <w:rPr>
          <w:szCs w:val="22"/>
          <w:lang w:val="sr-Latn-ME"/>
        </w:rPr>
        <w:t>elja</w:t>
      </w:r>
      <w:r w:rsidRPr="00B74B0F">
        <w:rPr>
          <w:szCs w:val="22"/>
          <w:lang w:val="sr-Latn-ME"/>
        </w:rPr>
        <w:t xml:space="preserve"> iznosila je 19,5% u </w:t>
      </w:r>
      <w:r w:rsidR="006036E0" w:rsidRPr="00B74B0F">
        <w:rPr>
          <w:szCs w:val="22"/>
          <w:lang w:val="sr-Latn-ME"/>
        </w:rPr>
        <w:t>grupi</w:t>
      </w:r>
      <w:r w:rsidRPr="00B74B0F">
        <w:rPr>
          <w:szCs w:val="22"/>
          <w:lang w:val="sr-Latn-ME"/>
        </w:rPr>
        <w:t xml:space="preserve"> koja je primala monoterapiju</w:t>
      </w:r>
      <w:r w:rsidR="006036E0" w:rsidRPr="00B74B0F">
        <w:rPr>
          <w:szCs w:val="22"/>
          <w:lang w:val="sr-Latn-ME"/>
        </w:rPr>
        <w:t xml:space="preserve"> sa lijekom</w:t>
      </w:r>
      <w:r w:rsidRPr="00B74B0F">
        <w:rPr>
          <w:szCs w:val="22"/>
          <w:lang w:val="sr-Latn-ME"/>
        </w:rPr>
        <w:t xml:space="preserve"> upadacitinib u dozi od 15 mg </w:t>
      </w:r>
      <w:r w:rsidR="00462558" w:rsidRPr="00B74B0F">
        <w:rPr>
          <w:szCs w:val="22"/>
          <w:lang w:val="sr-Latn-ME"/>
        </w:rPr>
        <w:t>prema</w:t>
      </w:r>
      <w:r w:rsidRPr="00B74B0F">
        <w:rPr>
          <w:szCs w:val="22"/>
          <w:lang w:val="sr-Latn-ME"/>
        </w:rPr>
        <w:t xml:space="preserve"> 24,0% u </w:t>
      </w:r>
      <w:r w:rsidR="006036E0" w:rsidRPr="00B74B0F">
        <w:rPr>
          <w:szCs w:val="22"/>
          <w:lang w:val="sr-Latn-ME"/>
        </w:rPr>
        <w:t>grupi</w:t>
      </w:r>
      <w:r w:rsidRPr="00B74B0F">
        <w:rPr>
          <w:szCs w:val="22"/>
          <w:lang w:val="sr-Latn-ME"/>
        </w:rPr>
        <w:t xml:space="preserve"> koja je primala MTX. Ukupna dugoročna stopa infekcija </w:t>
      </w:r>
      <w:r w:rsidR="006036E0"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liječenih</w:t>
      </w:r>
      <w:r w:rsidR="006036E0" w:rsidRPr="00B74B0F">
        <w:rPr>
          <w:szCs w:val="22"/>
          <w:lang w:val="sr-Latn-ME"/>
        </w:rPr>
        <w:t xml:space="preserve"> </w:t>
      </w:r>
      <w:r w:rsidRPr="00B74B0F">
        <w:rPr>
          <w:szCs w:val="22"/>
          <w:lang w:val="sr-Latn-ME"/>
        </w:rPr>
        <w:t>upadacitinib</w:t>
      </w:r>
      <w:r w:rsidR="000113FC" w:rsidRPr="00B74B0F">
        <w:rPr>
          <w:szCs w:val="22"/>
          <w:lang w:val="sr-Latn-ME"/>
        </w:rPr>
        <w:t>om</w:t>
      </w:r>
      <w:r w:rsidRPr="00B74B0F">
        <w:rPr>
          <w:szCs w:val="22"/>
          <w:lang w:val="sr-Latn-ME"/>
        </w:rPr>
        <w:t xml:space="preserve"> u dozi od 15 mg u svih pet kliničkih ispitivanja faze 3 (2630 </w:t>
      </w:r>
      <w:r w:rsidR="00BB59FC" w:rsidRPr="00B74B0F">
        <w:rPr>
          <w:szCs w:val="22"/>
          <w:lang w:val="sr-Latn-ME"/>
        </w:rPr>
        <w:t>pacijenata</w:t>
      </w:r>
      <w:r w:rsidRPr="00B74B0F">
        <w:rPr>
          <w:szCs w:val="22"/>
          <w:lang w:val="sr-Latn-ME"/>
        </w:rPr>
        <w:t>) iznosila je 93,7 događaja na 100 </w:t>
      </w:r>
      <w:r w:rsidR="00F6540B" w:rsidRPr="00B74B0F">
        <w:rPr>
          <w:szCs w:val="22"/>
          <w:lang w:val="sr-Latn-ME"/>
        </w:rPr>
        <w:t>pacijen</w:t>
      </w:r>
      <w:r w:rsidR="003B2943" w:rsidRPr="00B74B0F">
        <w:rPr>
          <w:szCs w:val="22"/>
          <w:lang w:val="sr-Latn-ME"/>
        </w:rPr>
        <w:t>t</w:t>
      </w:r>
      <w:r w:rsidRPr="00B74B0F">
        <w:rPr>
          <w:szCs w:val="22"/>
          <w:lang w:val="sr-Latn-ME"/>
        </w:rPr>
        <w:noBreakHyphen/>
        <w:t>godina.</w:t>
      </w:r>
    </w:p>
    <w:p w14:paraId="582605A2" w14:textId="77777777" w:rsidR="00C471F6" w:rsidRPr="00B74B0F" w:rsidRDefault="00C471F6">
      <w:pPr>
        <w:autoSpaceDE w:val="0"/>
        <w:autoSpaceDN w:val="0"/>
        <w:adjustRightInd w:val="0"/>
        <w:spacing w:line="240" w:lineRule="auto"/>
        <w:contextualSpacing/>
        <w:jc w:val="both"/>
        <w:rPr>
          <w:szCs w:val="22"/>
          <w:lang w:val="sr-Latn-ME"/>
        </w:rPr>
      </w:pPr>
    </w:p>
    <w:p w14:paraId="45B30446" w14:textId="4EB6D0FD" w:rsidR="002C0968"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U placebo</w:t>
      </w:r>
      <w:r w:rsidR="00CF173C" w:rsidRPr="00B74B0F">
        <w:rPr>
          <w:szCs w:val="22"/>
          <w:lang w:val="sr-Latn-ME"/>
        </w:rPr>
        <w:t>m</w:t>
      </w:r>
      <w:r w:rsidRPr="00B74B0F">
        <w:rPr>
          <w:szCs w:val="22"/>
          <w:lang w:val="sr-Latn-ME"/>
        </w:rPr>
        <w:t xml:space="preserve"> kontroli</w:t>
      </w:r>
      <w:r w:rsidR="006036E0" w:rsidRPr="00B74B0F">
        <w:rPr>
          <w:szCs w:val="22"/>
          <w:lang w:val="sr-Latn-ME"/>
        </w:rPr>
        <w:t>s</w:t>
      </w:r>
      <w:r w:rsidRPr="00B74B0F">
        <w:rPr>
          <w:szCs w:val="22"/>
          <w:lang w:val="sr-Latn-ME"/>
        </w:rPr>
        <w:t xml:space="preserve">anim kliničkim ispitivanjima u kojima su </w:t>
      </w:r>
      <w:r w:rsidR="007073FE" w:rsidRPr="00B74B0F">
        <w:rPr>
          <w:szCs w:val="22"/>
          <w:lang w:val="sr-Latn-ME"/>
        </w:rPr>
        <w:t>p</w:t>
      </w:r>
      <w:r w:rsidR="00B27953" w:rsidRPr="00B74B0F">
        <w:rPr>
          <w:szCs w:val="22"/>
          <w:lang w:val="sr-Latn-ME"/>
        </w:rPr>
        <w:t>acijenti</w:t>
      </w:r>
      <w:r w:rsidRPr="00B74B0F">
        <w:rPr>
          <w:szCs w:val="22"/>
          <w:lang w:val="sr-Latn-ME"/>
        </w:rPr>
        <w:t xml:space="preserve"> primali DMARD kao osnovnu terapiju</w:t>
      </w:r>
      <w:r w:rsidR="006036E0" w:rsidRPr="00B74B0F">
        <w:rPr>
          <w:szCs w:val="22"/>
          <w:lang w:val="sr-Latn-ME"/>
        </w:rPr>
        <w:t>,</w:t>
      </w:r>
      <w:r w:rsidRPr="00B74B0F">
        <w:rPr>
          <w:szCs w:val="22"/>
          <w:lang w:val="sr-Latn-ME"/>
        </w:rPr>
        <w:t xml:space="preserve"> učestalost ozbiljnih infekcija t</w:t>
      </w:r>
      <w:r w:rsidR="006036E0" w:rsidRPr="00B74B0F">
        <w:rPr>
          <w:szCs w:val="22"/>
          <w:lang w:val="sr-Latn-ME"/>
        </w:rPr>
        <w:t>okom</w:t>
      </w:r>
      <w:r w:rsidRPr="00B74B0F">
        <w:rPr>
          <w:szCs w:val="22"/>
          <w:lang w:val="sr-Latn-ME"/>
        </w:rPr>
        <w:t xml:space="preserve"> 12/14 </w:t>
      </w:r>
      <w:r w:rsidR="00FD278C" w:rsidRPr="00B74B0F">
        <w:rPr>
          <w:szCs w:val="22"/>
          <w:lang w:val="sr-Latn-ME"/>
        </w:rPr>
        <w:t>n</w:t>
      </w:r>
      <w:r w:rsidR="008806F8" w:rsidRPr="00B74B0F">
        <w:rPr>
          <w:szCs w:val="22"/>
          <w:lang w:val="sr-Latn-ME"/>
        </w:rPr>
        <w:t>ed</w:t>
      </w:r>
      <w:r w:rsidR="00FD278C" w:rsidRPr="00B74B0F">
        <w:rPr>
          <w:szCs w:val="22"/>
          <w:lang w:val="sr-Latn-ME"/>
        </w:rPr>
        <w:t>j</w:t>
      </w:r>
      <w:r w:rsidR="008806F8" w:rsidRPr="00B74B0F">
        <w:rPr>
          <w:szCs w:val="22"/>
          <w:lang w:val="sr-Latn-ME"/>
        </w:rPr>
        <w:t>elja</w:t>
      </w:r>
      <w:r w:rsidRPr="00B74B0F">
        <w:rPr>
          <w:szCs w:val="22"/>
          <w:lang w:val="sr-Latn-ME"/>
        </w:rPr>
        <w:t xml:space="preserve"> iznosila je 1,2% u </w:t>
      </w:r>
      <w:r w:rsidR="006036E0" w:rsidRPr="00B74B0F">
        <w:rPr>
          <w:szCs w:val="22"/>
          <w:lang w:val="sr-Latn-ME"/>
        </w:rPr>
        <w:t>grupi</w:t>
      </w:r>
      <w:r w:rsidRPr="00B74B0F">
        <w:rPr>
          <w:szCs w:val="22"/>
          <w:lang w:val="sr-Latn-ME"/>
        </w:rPr>
        <w:t xml:space="preserve"> liječenoj upadacitinib</w:t>
      </w:r>
      <w:r w:rsidR="000113FC" w:rsidRPr="00B74B0F">
        <w:rPr>
          <w:szCs w:val="22"/>
          <w:lang w:val="sr-Latn-ME"/>
        </w:rPr>
        <w:t>om</w:t>
      </w:r>
      <w:r w:rsidRPr="00B74B0F">
        <w:rPr>
          <w:szCs w:val="22"/>
          <w:lang w:val="sr-Latn-ME"/>
        </w:rPr>
        <w:t xml:space="preserve"> u dozi od 15 mg </w:t>
      </w:r>
      <w:r w:rsidR="00462558" w:rsidRPr="00B74B0F">
        <w:rPr>
          <w:szCs w:val="22"/>
          <w:lang w:val="sr-Latn-ME"/>
        </w:rPr>
        <w:t>i</w:t>
      </w:r>
      <w:r w:rsidRPr="00B74B0F">
        <w:rPr>
          <w:szCs w:val="22"/>
          <w:lang w:val="sr-Latn-ME"/>
        </w:rPr>
        <w:t xml:space="preserve"> 0,6% u </w:t>
      </w:r>
      <w:r w:rsidR="006036E0" w:rsidRPr="00B74B0F">
        <w:rPr>
          <w:szCs w:val="22"/>
          <w:lang w:val="sr-Latn-ME"/>
        </w:rPr>
        <w:t>grupi</w:t>
      </w:r>
      <w:r w:rsidRPr="00B74B0F">
        <w:rPr>
          <w:szCs w:val="22"/>
          <w:lang w:val="sr-Latn-ME"/>
        </w:rPr>
        <w:t xml:space="preserve"> koja je primala placebo. U MTX</w:t>
      </w:r>
      <w:r w:rsidRPr="00B74B0F">
        <w:rPr>
          <w:szCs w:val="22"/>
          <w:lang w:val="sr-Latn-ME"/>
        </w:rPr>
        <w:noBreakHyphen/>
        <w:t>om kontroli</w:t>
      </w:r>
      <w:r w:rsidR="006036E0" w:rsidRPr="00B74B0F">
        <w:rPr>
          <w:szCs w:val="22"/>
          <w:lang w:val="sr-Latn-ME"/>
        </w:rPr>
        <w:t>s</w:t>
      </w:r>
      <w:r w:rsidRPr="00B74B0F">
        <w:rPr>
          <w:szCs w:val="22"/>
          <w:lang w:val="sr-Latn-ME"/>
        </w:rPr>
        <w:t>anim ispitivanjima učestalost ozbiljnih infekcija t</w:t>
      </w:r>
      <w:r w:rsidR="006036E0" w:rsidRPr="00B74B0F">
        <w:rPr>
          <w:szCs w:val="22"/>
          <w:lang w:val="sr-Latn-ME"/>
        </w:rPr>
        <w:t>okom</w:t>
      </w:r>
      <w:r w:rsidRPr="00B74B0F">
        <w:rPr>
          <w:szCs w:val="22"/>
          <w:lang w:val="sr-Latn-ME"/>
        </w:rPr>
        <w:t xml:space="preserve"> 12/14 </w:t>
      </w:r>
      <w:r w:rsidR="003409E3" w:rsidRPr="00B74B0F">
        <w:rPr>
          <w:szCs w:val="22"/>
          <w:lang w:val="sr-Latn-ME"/>
        </w:rPr>
        <w:t>n</w:t>
      </w:r>
      <w:r w:rsidR="008806F8" w:rsidRPr="00B74B0F">
        <w:rPr>
          <w:szCs w:val="22"/>
          <w:lang w:val="sr-Latn-ME"/>
        </w:rPr>
        <w:t>ed</w:t>
      </w:r>
      <w:r w:rsidR="003409E3" w:rsidRPr="00B74B0F">
        <w:rPr>
          <w:szCs w:val="22"/>
          <w:lang w:val="sr-Latn-ME"/>
        </w:rPr>
        <w:t>j</w:t>
      </w:r>
      <w:r w:rsidR="008806F8" w:rsidRPr="00B74B0F">
        <w:rPr>
          <w:szCs w:val="22"/>
          <w:lang w:val="sr-Latn-ME"/>
        </w:rPr>
        <w:t>elja</w:t>
      </w:r>
      <w:r w:rsidRPr="00B74B0F">
        <w:rPr>
          <w:szCs w:val="22"/>
          <w:lang w:val="sr-Latn-ME"/>
        </w:rPr>
        <w:t xml:space="preserve"> iznosila je 0,6% u </w:t>
      </w:r>
      <w:r w:rsidR="00462558" w:rsidRPr="00B74B0F">
        <w:rPr>
          <w:szCs w:val="22"/>
          <w:lang w:val="sr-Latn-ME"/>
        </w:rPr>
        <w:t>g</w:t>
      </w:r>
      <w:r w:rsidR="006036E0" w:rsidRPr="00B74B0F">
        <w:rPr>
          <w:szCs w:val="22"/>
          <w:lang w:val="sr-Latn-ME"/>
        </w:rPr>
        <w:t>rupi</w:t>
      </w:r>
      <w:r w:rsidRPr="00B74B0F">
        <w:rPr>
          <w:szCs w:val="22"/>
          <w:lang w:val="sr-Latn-ME"/>
        </w:rPr>
        <w:t xml:space="preserve"> koja je primala monoterapiju</w:t>
      </w:r>
      <w:r w:rsidR="006036E0" w:rsidRPr="00B74B0F">
        <w:rPr>
          <w:szCs w:val="22"/>
          <w:lang w:val="sr-Latn-ME"/>
        </w:rPr>
        <w:t xml:space="preserve"> s</w:t>
      </w:r>
      <w:r w:rsidRPr="00B74B0F">
        <w:rPr>
          <w:szCs w:val="22"/>
          <w:lang w:val="sr-Latn-ME"/>
        </w:rPr>
        <w:t>upadacitinib</w:t>
      </w:r>
      <w:r w:rsidR="00585915" w:rsidRPr="00B74B0F">
        <w:rPr>
          <w:szCs w:val="22"/>
          <w:lang w:val="sr-Latn-ME"/>
        </w:rPr>
        <w:t>om</w:t>
      </w:r>
      <w:r w:rsidRPr="00B74B0F">
        <w:rPr>
          <w:szCs w:val="22"/>
          <w:lang w:val="sr-Latn-ME"/>
        </w:rPr>
        <w:t xml:space="preserve"> u dozi od 15 mg </w:t>
      </w:r>
      <w:r w:rsidR="00462558" w:rsidRPr="00B74B0F">
        <w:rPr>
          <w:szCs w:val="22"/>
          <w:lang w:val="sr-Latn-ME"/>
        </w:rPr>
        <w:t>i</w:t>
      </w:r>
      <w:r w:rsidRPr="00B74B0F">
        <w:rPr>
          <w:szCs w:val="22"/>
          <w:lang w:val="sr-Latn-ME"/>
        </w:rPr>
        <w:t xml:space="preserve"> 0,4% u </w:t>
      </w:r>
      <w:r w:rsidR="00462558" w:rsidRPr="00B74B0F">
        <w:rPr>
          <w:szCs w:val="22"/>
          <w:lang w:val="sr-Latn-ME"/>
        </w:rPr>
        <w:t>g</w:t>
      </w:r>
      <w:r w:rsidR="006036E0" w:rsidRPr="00B74B0F">
        <w:rPr>
          <w:szCs w:val="22"/>
          <w:lang w:val="sr-Latn-ME"/>
        </w:rPr>
        <w:t>rupi</w:t>
      </w:r>
      <w:r w:rsidRPr="00B74B0F">
        <w:rPr>
          <w:szCs w:val="22"/>
          <w:lang w:val="sr-Latn-ME"/>
        </w:rPr>
        <w:t xml:space="preserve"> koja je primala MTX. Ukupna dugoročna stopa ozbiljnih infekcija </w:t>
      </w:r>
      <w:r w:rsidR="006036E0"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liječenih</w:t>
      </w:r>
      <w:r w:rsidR="006036E0" w:rsidRPr="00B74B0F">
        <w:rPr>
          <w:szCs w:val="22"/>
          <w:lang w:val="sr-Latn-ME"/>
        </w:rPr>
        <w:t xml:space="preserve"> </w:t>
      </w:r>
      <w:r w:rsidRPr="00B74B0F">
        <w:rPr>
          <w:szCs w:val="22"/>
          <w:lang w:val="sr-Latn-ME"/>
        </w:rPr>
        <w:t>upadacitinib</w:t>
      </w:r>
      <w:r w:rsidR="000113FC" w:rsidRPr="00B74B0F">
        <w:rPr>
          <w:szCs w:val="22"/>
          <w:lang w:val="sr-Latn-ME"/>
        </w:rPr>
        <w:t>om</w:t>
      </w:r>
      <w:r w:rsidRPr="00B74B0F">
        <w:rPr>
          <w:szCs w:val="22"/>
          <w:lang w:val="sr-Latn-ME"/>
        </w:rPr>
        <w:t xml:space="preserve"> u dozi od 15 mg u svih pet kliničkih ispitivanja faze 3 iznosila je 3,8 događaja na 100 </w:t>
      </w:r>
      <w:r w:rsidR="007073FE" w:rsidRPr="00B74B0F">
        <w:rPr>
          <w:szCs w:val="22"/>
          <w:lang w:val="sr-Latn-ME"/>
        </w:rPr>
        <w:t>pacijent</w:t>
      </w:r>
      <w:r w:rsidRPr="00B74B0F">
        <w:rPr>
          <w:szCs w:val="22"/>
          <w:lang w:val="sr-Latn-ME"/>
        </w:rPr>
        <w:noBreakHyphen/>
        <w:t xml:space="preserve">godina. Najčešća ozbiljna infekcija bila je pneumonija. Stopa ozbiljnih infekcija ostala je stabilna </w:t>
      </w:r>
      <w:r w:rsidR="006036E0" w:rsidRPr="00B74B0F">
        <w:rPr>
          <w:szCs w:val="22"/>
          <w:lang w:val="sr-Latn-ME"/>
        </w:rPr>
        <w:t>za vrijeme</w:t>
      </w:r>
      <w:r w:rsidRPr="00B74B0F">
        <w:rPr>
          <w:szCs w:val="22"/>
          <w:lang w:val="sr-Latn-ME"/>
        </w:rPr>
        <w:t xml:space="preserve"> dugotrajnog izlaganja lijeku.</w:t>
      </w:r>
    </w:p>
    <w:p w14:paraId="1628EC8F" w14:textId="77777777" w:rsidR="00CC70B8" w:rsidRPr="00B74B0F" w:rsidRDefault="00CC70B8">
      <w:pPr>
        <w:autoSpaceDE w:val="0"/>
        <w:autoSpaceDN w:val="0"/>
        <w:adjustRightInd w:val="0"/>
        <w:spacing w:line="240" w:lineRule="auto"/>
        <w:contextualSpacing/>
        <w:jc w:val="both"/>
        <w:rPr>
          <w:i/>
          <w:szCs w:val="22"/>
          <w:lang w:val="sr-Latn-ME"/>
        </w:rPr>
      </w:pPr>
    </w:p>
    <w:p w14:paraId="3983FC3A" w14:textId="7508E978" w:rsidR="003748F7"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Oportunističke infekcije (</w:t>
      </w:r>
      <w:r w:rsidR="002522ED" w:rsidRPr="00B74B0F">
        <w:rPr>
          <w:i/>
          <w:szCs w:val="22"/>
          <w:lang w:val="sr-Latn-ME"/>
        </w:rPr>
        <w:t>osim</w:t>
      </w:r>
      <w:r w:rsidRPr="00B74B0F">
        <w:rPr>
          <w:i/>
          <w:szCs w:val="22"/>
          <w:lang w:val="sr-Latn-ME"/>
        </w:rPr>
        <w:t xml:space="preserve"> tuberkuloze)</w:t>
      </w:r>
    </w:p>
    <w:p w14:paraId="71F18E5C" w14:textId="77777777" w:rsidR="006036E0" w:rsidRPr="00B74B0F" w:rsidRDefault="006036E0">
      <w:pPr>
        <w:keepNext/>
        <w:autoSpaceDE w:val="0"/>
        <w:autoSpaceDN w:val="0"/>
        <w:adjustRightInd w:val="0"/>
        <w:spacing w:line="240" w:lineRule="auto"/>
        <w:contextualSpacing/>
        <w:jc w:val="both"/>
        <w:rPr>
          <w:i/>
          <w:szCs w:val="22"/>
          <w:lang w:val="sr-Latn-ME"/>
        </w:rPr>
      </w:pPr>
    </w:p>
    <w:p w14:paraId="3E5D4629" w14:textId="7B18B93F" w:rsidR="00D60CCE"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U placebo</w:t>
      </w:r>
      <w:r w:rsidR="00F40A2C" w:rsidRPr="00B74B0F">
        <w:rPr>
          <w:szCs w:val="22"/>
          <w:lang w:val="sr-Latn-ME"/>
        </w:rPr>
        <w:t>m</w:t>
      </w:r>
      <w:r w:rsidRPr="00B74B0F">
        <w:rPr>
          <w:szCs w:val="22"/>
          <w:lang w:val="sr-Latn-ME"/>
        </w:rPr>
        <w:t xml:space="preserve"> kontroli</w:t>
      </w:r>
      <w:r w:rsidR="006036E0" w:rsidRPr="00B74B0F">
        <w:rPr>
          <w:szCs w:val="22"/>
          <w:lang w:val="sr-Latn-ME"/>
        </w:rPr>
        <w:t>s</w:t>
      </w:r>
      <w:r w:rsidRPr="00B74B0F">
        <w:rPr>
          <w:szCs w:val="22"/>
          <w:lang w:val="sr-Latn-ME"/>
        </w:rPr>
        <w:t xml:space="preserve">anim kliničkim ispitivanjima u kojima su </w:t>
      </w:r>
      <w:r w:rsidR="003B1F43" w:rsidRPr="00B74B0F">
        <w:rPr>
          <w:szCs w:val="22"/>
          <w:lang w:val="sr-Latn-ME"/>
        </w:rPr>
        <w:t>pacijent</w:t>
      </w:r>
      <w:r w:rsidRPr="00B74B0F">
        <w:rPr>
          <w:szCs w:val="22"/>
          <w:lang w:val="sr-Latn-ME"/>
        </w:rPr>
        <w:t>i primali DMARD kao osnovnu terapiju</w:t>
      </w:r>
      <w:r w:rsidR="006036E0" w:rsidRPr="00B74B0F">
        <w:rPr>
          <w:szCs w:val="22"/>
          <w:lang w:val="sr-Latn-ME"/>
        </w:rPr>
        <w:t>,</w:t>
      </w:r>
      <w:r w:rsidRPr="00B74B0F">
        <w:rPr>
          <w:szCs w:val="22"/>
          <w:lang w:val="sr-Latn-ME"/>
        </w:rPr>
        <w:t xml:space="preserve"> učestalost oportunističkih infekcija t</w:t>
      </w:r>
      <w:r w:rsidR="006036E0" w:rsidRPr="00B74B0F">
        <w:rPr>
          <w:szCs w:val="22"/>
          <w:lang w:val="sr-Latn-ME"/>
        </w:rPr>
        <w:t>okom</w:t>
      </w:r>
      <w:r w:rsidRPr="00B74B0F">
        <w:rPr>
          <w:szCs w:val="22"/>
          <w:lang w:val="sr-Latn-ME"/>
        </w:rPr>
        <w:t xml:space="preserve"> 12/14 </w:t>
      </w:r>
      <w:r w:rsidR="00464B6E" w:rsidRPr="00B74B0F">
        <w:rPr>
          <w:szCs w:val="22"/>
          <w:lang w:val="sr-Latn-ME"/>
        </w:rPr>
        <w:t>n</w:t>
      </w:r>
      <w:r w:rsidR="008806F8" w:rsidRPr="00B74B0F">
        <w:rPr>
          <w:szCs w:val="22"/>
          <w:lang w:val="sr-Latn-ME"/>
        </w:rPr>
        <w:t>ed</w:t>
      </w:r>
      <w:r w:rsidR="00464B6E" w:rsidRPr="00B74B0F">
        <w:rPr>
          <w:szCs w:val="22"/>
          <w:lang w:val="sr-Latn-ME"/>
        </w:rPr>
        <w:t>j</w:t>
      </w:r>
      <w:r w:rsidR="008806F8" w:rsidRPr="00B74B0F">
        <w:rPr>
          <w:szCs w:val="22"/>
          <w:lang w:val="sr-Latn-ME"/>
        </w:rPr>
        <w:t>elja</w:t>
      </w:r>
      <w:r w:rsidRPr="00B74B0F">
        <w:rPr>
          <w:szCs w:val="22"/>
          <w:lang w:val="sr-Latn-ME"/>
        </w:rPr>
        <w:t xml:space="preserve"> iznosila je 0,5% u </w:t>
      </w:r>
      <w:r w:rsidR="006036E0" w:rsidRPr="00B74B0F">
        <w:rPr>
          <w:szCs w:val="22"/>
          <w:lang w:val="sr-Latn-ME"/>
        </w:rPr>
        <w:t>grupi</w:t>
      </w:r>
      <w:r w:rsidRPr="00B74B0F">
        <w:rPr>
          <w:szCs w:val="22"/>
          <w:lang w:val="sr-Latn-ME"/>
        </w:rPr>
        <w:t xml:space="preserve"> liječenoj</w:t>
      </w:r>
      <w:r w:rsidR="006036E0" w:rsidRPr="00B74B0F">
        <w:rPr>
          <w:szCs w:val="22"/>
          <w:lang w:val="sr-Latn-ME"/>
        </w:rPr>
        <w:t xml:space="preserve"> </w:t>
      </w:r>
      <w:r w:rsidRPr="00B74B0F">
        <w:rPr>
          <w:szCs w:val="22"/>
          <w:lang w:val="sr-Latn-ME"/>
        </w:rPr>
        <w:t>upadacitinib</w:t>
      </w:r>
      <w:r w:rsidR="000113FC" w:rsidRPr="00B74B0F">
        <w:rPr>
          <w:szCs w:val="22"/>
          <w:lang w:val="sr-Latn-ME"/>
        </w:rPr>
        <w:t>om</w:t>
      </w:r>
      <w:r w:rsidRPr="00B74B0F">
        <w:rPr>
          <w:szCs w:val="22"/>
          <w:lang w:val="sr-Latn-ME"/>
        </w:rPr>
        <w:t xml:space="preserve"> u dozi od 15 mg </w:t>
      </w:r>
      <w:r w:rsidR="00462558" w:rsidRPr="00B74B0F">
        <w:rPr>
          <w:szCs w:val="22"/>
          <w:lang w:val="sr-Latn-ME"/>
        </w:rPr>
        <w:t>i</w:t>
      </w:r>
      <w:r w:rsidRPr="00B74B0F">
        <w:rPr>
          <w:szCs w:val="22"/>
          <w:lang w:val="sr-Latn-ME"/>
        </w:rPr>
        <w:t xml:space="preserve"> 0,3% u </w:t>
      </w:r>
      <w:r w:rsidR="006036E0" w:rsidRPr="00B74B0F">
        <w:rPr>
          <w:szCs w:val="22"/>
          <w:lang w:val="sr-Latn-ME"/>
        </w:rPr>
        <w:t>grupi</w:t>
      </w:r>
      <w:r w:rsidRPr="00B74B0F">
        <w:rPr>
          <w:szCs w:val="22"/>
          <w:lang w:val="sr-Latn-ME"/>
        </w:rPr>
        <w:t xml:space="preserve"> koja je primala placebo. U MTX</w:t>
      </w:r>
      <w:r w:rsidRPr="00B74B0F">
        <w:rPr>
          <w:szCs w:val="22"/>
          <w:lang w:val="sr-Latn-ME"/>
        </w:rPr>
        <w:noBreakHyphen/>
        <w:t>om kontroli</w:t>
      </w:r>
      <w:r w:rsidR="006036E0" w:rsidRPr="00B74B0F">
        <w:rPr>
          <w:szCs w:val="22"/>
          <w:lang w:val="sr-Latn-ME"/>
        </w:rPr>
        <w:t>s</w:t>
      </w:r>
      <w:r w:rsidRPr="00B74B0F">
        <w:rPr>
          <w:szCs w:val="22"/>
          <w:lang w:val="sr-Latn-ME"/>
        </w:rPr>
        <w:t>anim ispitivanjima nije zabilježen nijedan slučaj oportunističke infekcije t</w:t>
      </w:r>
      <w:r w:rsidR="006036E0" w:rsidRPr="00B74B0F">
        <w:rPr>
          <w:szCs w:val="22"/>
          <w:lang w:val="sr-Latn-ME"/>
        </w:rPr>
        <w:t>o</w:t>
      </w:r>
      <w:r w:rsidRPr="00B74B0F">
        <w:rPr>
          <w:szCs w:val="22"/>
          <w:lang w:val="sr-Latn-ME"/>
        </w:rPr>
        <w:t>kom 12/14 </w:t>
      </w:r>
      <w:r w:rsidR="0025741E" w:rsidRPr="00B74B0F">
        <w:rPr>
          <w:szCs w:val="22"/>
          <w:lang w:val="sr-Latn-ME"/>
        </w:rPr>
        <w:t>n</w:t>
      </w:r>
      <w:r w:rsidR="008806F8" w:rsidRPr="00B74B0F">
        <w:rPr>
          <w:szCs w:val="22"/>
          <w:lang w:val="sr-Latn-ME"/>
        </w:rPr>
        <w:t>ed</w:t>
      </w:r>
      <w:r w:rsidR="0025741E" w:rsidRPr="00B74B0F">
        <w:rPr>
          <w:szCs w:val="22"/>
          <w:lang w:val="sr-Latn-ME"/>
        </w:rPr>
        <w:t>j</w:t>
      </w:r>
      <w:r w:rsidR="008806F8" w:rsidRPr="00B74B0F">
        <w:rPr>
          <w:szCs w:val="22"/>
          <w:lang w:val="sr-Latn-ME"/>
        </w:rPr>
        <w:t>elja</w:t>
      </w:r>
      <w:r w:rsidRPr="00B74B0F">
        <w:rPr>
          <w:szCs w:val="22"/>
          <w:lang w:val="sr-Latn-ME"/>
        </w:rPr>
        <w:t xml:space="preserve"> u </w:t>
      </w:r>
      <w:r w:rsidR="006036E0" w:rsidRPr="00B74B0F">
        <w:rPr>
          <w:szCs w:val="22"/>
          <w:lang w:val="sr-Latn-ME"/>
        </w:rPr>
        <w:t>grupi</w:t>
      </w:r>
      <w:r w:rsidRPr="00B74B0F">
        <w:rPr>
          <w:szCs w:val="22"/>
          <w:lang w:val="sr-Latn-ME"/>
        </w:rPr>
        <w:t xml:space="preserve"> koja je primala monoterapiju upadacitinib</w:t>
      </w:r>
      <w:r w:rsidR="00585915" w:rsidRPr="00B74B0F">
        <w:rPr>
          <w:szCs w:val="22"/>
          <w:lang w:val="sr-Latn-ME"/>
        </w:rPr>
        <w:t>om</w:t>
      </w:r>
      <w:r w:rsidRPr="00B74B0F">
        <w:rPr>
          <w:szCs w:val="22"/>
          <w:lang w:val="sr-Latn-ME"/>
        </w:rPr>
        <w:t xml:space="preserve"> u dozi od 15 mg, dok je u onoj koja je primala MTX učestalost oportunističkih infekcija iznosila 0,2%. Ukupna dugoročna stopa oportunističkih infekcija </w:t>
      </w:r>
      <w:r w:rsidR="006036E0"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liječenih</w:t>
      </w:r>
      <w:r w:rsidR="006036E0" w:rsidRPr="00B74B0F">
        <w:rPr>
          <w:szCs w:val="22"/>
          <w:lang w:val="sr-Latn-ME"/>
        </w:rPr>
        <w:t xml:space="preserve"> </w:t>
      </w:r>
      <w:r w:rsidRPr="00B74B0F">
        <w:rPr>
          <w:szCs w:val="22"/>
          <w:lang w:val="sr-Latn-ME"/>
        </w:rPr>
        <w:t>upadacitinib</w:t>
      </w:r>
      <w:r w:rsidR="000113FC" w:rsidRPr="00B74B0F">
        <w:rPr>
          <w:szCs w:val="22"/>
          <w:lang w:val="sr-Latn-ME"/>
        </w:rPr>
        <w:t>om</w:t>
      </w:r>
      <w:r w:rsidRPr="00B74B0F">
        <w:rPr>
          <w:szCs w:val="22"/>
          <w:lang w:val="sr-Latn-ME"/>
        </w:rPr>
        <w:t xml:space="preserve"> u dozi od 15 mg u svih pet kliničkih ispitivanja faze 3 iznosila je 0,6 događaja na 100 </w:t>
      </w:r>
      <w:r w:rsidR="00B10681" w:rsidRPr="00B74B0F">
        <w:rPr>
          <w:szCs w:val="22"/>
          <w:lang w:val="sr-Latn-ME"/>
        </w:rPr>
        <w:t>pacijent</w:t>
      </w:r>
      <w:r w:rsidRPr="00B74B0F">
        <w:rPr>
          <w:szCs w:val="22"/>
          <w:lang w:val="sr-Latn-ME"/>
        </w:rPr>
        <w:noBreakHyphen/>
        <w:t>godina.</w:t>
      </w:r>
    </w:p>
    <w:p w14:paraId="7BD1E5EA" w14:textId="77777777" w:rsidR="00585915" w:rsidRPr="00B74B0F" w:rsidRDefault="00585915">
      <w:pPr>
        <w:autoSpaceDE w:val="0"/>
        <w:autoSpaceDN w:val="0"/>
        <w:adjustRightInd w:val="0"/>
        <w:spacing w:line="240" w:lineRule="auto"/>
        <w:contextualSpacing/>
        <w:jc w:val="both"/>
        <w:rPr>
          <w:szCs w:val="22"/>
          <w:lang w:val="sr-Latn-ME"/>
        </w:rPr>
      </w:pPr>
    </w:p>
    <w:p w14:paraId="0434A741" w14:textId="47EE0D67" w:rsidR="00A10398" w:rsidRPr="00B74B0F" w:rsidRDefault="00A10398">
      <w:pPr>
        <w:autoSpaceDE w:val="0"/>
        <w:autoSpaceDN w:val="0"/>
        <w:adjustRightInd w:val="0"/>
        <w:spacing w:line="240" w:lineRule="auto"/>
        <w:contextualSpacing/>
        <w:jc w:val="both"/>
        <w:rPr>
          <w:noProof/>
          <w:szCs w:val="22"/>
          <w:lang w:val="sr-Latn-ME"/>
        </w:rPr>
      </w:pPr>
      <w:r w:rsidRPr="00B74B0F">
        <w:rPr>
          <w:noProof/>
          <w:szCs w:val="22"/>
          <w:lang w:val="sr-Latn-ME"/>
        </w:rPr>
        <w:t xml:space="preserve">Dugoročna stopa herpes zostera </w:t>
      </w:r>
      <w:r w:rsidR="00601F5D" w:rsidRPr="00B74B0F">
        <w:rPr>
          <w:noProof/>
          <w:szCs w:val="22"/>
          <w:lang w:val="sr-Latn-ME"/>
        </w:rPr>
        <w:t>kod</w:t>
      </w:r>
      <w:r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liječenih upadacitinibom u dozi od 15 mg u svih pet kliničkih ispitivanja faze 3 iznosila je 3,7 događaja na 100 </w:t>
      </w:r>
      <w:r w:rsidR="00181042" w:rsidRPr="00B74B0F">
        <w:rPr>
          <w:noProof/>
          <w:szCs w:val="22"/>
          <w:lang w:val="sr-Latn-ME"/>
        </w:rPr>
        <w:t>pacijent</w:t>
      </w:r>
      <w:r w:rsidRPr="00B74B0F">
        <w:rPr>
          <w:noProof/>
          <w:szCs w:val="22"/>
          <w:lang w:val="sr-Latn-ME"/>
        </w:rPr>
        <w:t>‑godina. Herpes zoster je u većini slučajeva zahva</w:t>
      </w:r>
      <w:r w:rsidR="00601F5D" w:rsidRPr="00B74B0F">
        <w:rPr>
          <w:noProof/>
          <w:szCs w:val="22"/>
          <w:lang w:val="sr-Latn-ME"/>
        </w:rPr>
        <w:t>t</w:t>
      </w:r>
      <w:r w:rsidRPr="00B74B0F">
        <w:rPr>
          <w:noProof/>
          <w:szCs w:val="22"/>
          <w:lang w:val="sr-Latn-ME"/>
        </w:rPr>
        <w:t>ao samo jedan dermatom i nije bio ozbiljan.</w:t>
      </w:r>
    </w:p>
    <w:p w14:paraId="1AC7C4FC" w14:textId="77777777" w:rsidR="00A10398" w:rsidRPr="00B74B0F" w:rsidRDefault="00A10398">
      <w:pPr>
        <w:autoSpaceDE w:val="0"/>
        <w:autoSpaceDN w:val="0"/>
        <w:adjustRightInd w:val="0"/>
        <w:spacing w:line="240" w:lineRule="auto"/>
        <w:contextualSpacing/>
        <w:jc w:val="both"/>
        <w:rPr>
          <w:i/>
          <w:szCs w:val="22"/>
          <w:lang w:val="sr-Latn-ME"/>
        </w:rPr>
      </w:pPr>
    </w:p>
    <w:p w14:paraId="4D40816A" w14:textId="49C5DB71" w:rsidR="003748F7"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Povišen</w:t>
      </w:r>
      <w:r w:rsidR="00320878" w:rsidRPr="00B74B0F">
        <w:rPr>
          <w:i/>
          <w:szCs w:val="22"/>
          <w:lang w:val="sr-Latn-ME"/>
        </w:rPr>
        <w:t>e</w:t>
      </w:r>
      <w:r w:rsidRPr="00B74B0F">
        <w:rPr>
          <w:i/>
          <w:szCs w:val="22"/>
          <w:lang w:val="sr-Latn-ME"/>
        </w:rPr>
        <w:t xml:space="preserve"> </w:t>
      </w:r>
      <w:r w:rsidR="00200C2C" w:rsidRPr="00B74B0F">
        <w:rPr>
          <w:i/>
          <w:szCs w:val="22"/>
          <w:lang w:val="sr-Latn-ME"/>
        </w:rPr>
        <w:t xml:space="preserve">vrijednosti </w:t>
      </w:r>
      <w:r w:rsidRPr="00B74B0F">
        <w:rPr>
          <w:i/>
          <w:szCs w:val="22"/>
          <w:lang w:val="sr-Latn-ME"/>
        </w:rPr>
        <w:t>transaminaz</w:t>
      </w:r>
      <w:r w:rsidR="00320878" w:rsidRPr="00B74B0F">
        <w:rPr>
          <w:i/>
          <w:szCs w:val="22"/>
          <w:lang w:val="sr-Latn-ME"/>
        </w:rPr>
        <w:t>e jetre</w:t>
      </w:r>
    </w:p>
    <w:p w14:paraId="2CCF87E4" w14:textId="77777777" w:rsidR="006036E0" w:rsidRPr="00B74B0F" w:rsidRDefault="006036E0">
      <w:pPr>
        <w:keepNext/>
        <w:autoSpaceDE w:val="0"/>
        <w:autoSpaceDN w:val="0"/>
        <w:adjustRightInd w:val="0"/>
        <w:spacing w:line="240" w:lineRule="auto"/>
        <w:contextualSpacing/>
        <w:jc w:val="both"/>
        <w:rPr>
          <w:i/>
          <w:szCs w:val="22"/>
          <w:lang w:val="sr-Latn-ME"/>
        </w:rPr>
      </w:pPr>
    </w:p>
    <w:p w14:paraId="3EB18FD5" w14:textId="7E879A3F" w:rsidR="00575CF0"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U placebo</w:t>
      </w:r>
      <w:r w:rsidR="000957EE" w:rsidRPr="00B74B0F">
        <w:rPr>
          <w:szCs w:val="22"/>
          <w:lang w:val="sr-Latn-ME"/>
        </w:rPr>
        <w:t>m</w:t>
      </w:r>
      <w:r w:rsidRPr="00B74B0F">
        <w:rPr>
          <w:szCs w:val="22"/>
          <w:lang w:val="sr-Latn-ME"/>
        </w:rPr>
        <w:t xml:space="preserve"> kontroli</w:t>
      </w:r>
      <w:r w:rsidR="006036E0" w:rsidRPr="00B74B0F">
        <w:rPr>
          <w:szCs w:val="22"/>
          <w:lang w:val="sr-Latn-ME"/>
        </w:rPr>
        <w:t>s</w:t>
      </w:r>
      <w:r w:rsidRPr="00B74B0F">
        <w:rPr>
          <w:szCs w:val="22"/>
          <w:lang w:val="sr-Latn-ME"/>
        </w:rPr>
        <w:t>anim ispitivanjima primjene uz osnovnu terapiju DMA</w:t>
      </w:r>
      <w:r w:rsidR="00585915" w:rsidRPr="00B74B0F">
        <w:rPr>
          <w:szCs w:val="22"/>
          <w:lang w:val="sr-Latn-ME"/>
        </w:rPr>
        <w:t>RD</w:t>
      </w:r>
      <w:r w:rsidRPr="00B74B0F">
        <w:rPr>
          <w:szCs w:val="22"/>
          <w:lang w:val="sr-Latn-ME"/>
        </w:rPr>
        <w:t xml:space="preserve"> u trajanju do 12/14 </w:t>
      </w:r>
      <w:r w:rsidR="00572924" w:rsidRPr="00B74B0F">
        <w:rPr>
          <w:szCs w:val="22"/>
          <w:lang w:val="sr-Latn-ME"/>
        </w:rPr>
        <w:t>n</w:t>
      </w:r>
      <w:r w:rsidR="008806F8" w:rsidRPr="00B74B0F">
        <w:rPr>
          <w:szCs w:val="22"/>
          <w:lang w:val="sr-Latn-ME"/>
        </w:rPr>
        <w:t>ed</w:t>
      </w:r>
      <w:r w:rsidR="00572924" w:rsidRPr="00B74B0F">
        <w:rPr>
          <w:szCs w:val="22"/>
          <w:lang w:val="sr-Latn-ME"/>
        </w:rPr>
        <w:t>j</w:t>
      </w:r>
      <w:r w:rsidR="008806F8" w:rsidRPr="00B74B0F">
        <w:rPr>
          <w:szCs w:val="22"/>
          <w:lang w:val="sr-Latn-ME"/>
        </w:rPr>
        <w:t>elja</w:t>
      </w:r>
      <w:r w:rsidRPr="00B74B0F">
        <w:rPr>
          <w:szCs w:val="22"/>
          <w:lang w:val="sr-Latn-ME"/>
        </w:rPr>
        <w:t xml:space="preserve"> povišenj</w:t>
      </w:r>
      <w:r w:rsidR="006036E0" w:rsidRPr="00B74B0F">
        <w:rPr>
          <w:szCs w:val="22"/>
          <w:lang w:val="sr-Latn-ME"/>
        </w:rPr>
        <w:t>e</w:t>
      </w:r>
      <w:r w:rsidRPr="00B74B0F">
        <w:rPr>
          <w:szCs w:val="22"/>
          <w:lang w:val="sr-Latn-ME"/>
        </w:rPr>
        <w:t xml:space="preserve"> vrijednosti alanin transaminaze (ALT) i aspartat transaminaze (AST) ≥ 3 x iznad gornje granice normale (GGN) pri najmanje jednom mjerenju </w:t>
      </w:r>
      <w:r w:rsidR="00320878" w:rsidRPr="00B74B0F">
        <w:rPr>
          <w:szCs w:val="22"/>
          <w:lang w:val="sr-Latn-ME"/>
        </w:rPr>
        <w:t>prim</w:t>
      </w:r>
      <w:r w:rsidR="00572924" w:rsidRPr="00B74B0F">
        <w:rPr>
          <w:szCs w:val="22"/>
          <w:lang w:val="sr-Latn-ME"/>
        </w:rPr>
        <w:t>i</w:t>
      </w:r>
      <w:r w:rsidR="00320878" w:rsidRPr="00B74B0F">
        <w:rPr>
          <w:szCs w:val="22"/>
          <w:lang w:val="sr-Latn-ME"/>
        </w:rPr>
        <w:t>jećena</w:t>
      </w:r>
      <w:r w:rsidRPr="00B74B0F">
        <w:rPr>
          <w:szCs w:val="22"/>
          <w:lang w:val="sr-Latn-ME"/>
        </w:rPr>
        <w:t xml:space="preserve"> su </w:t>
      </w:r>
      <w:r w:rsidR="006036E0" w:rsidRPr="00B74B0F">
        <w:rPr>
          <w:szCs w:val="22"/>
          <w:lang w:val="sr-Latn-ME"/>
        </w:rPr>
        <w:t>kod</w:t>
      </w:r>
      <w:r w:rsidRPr="00B74B0F">
        <w:rPr>
          <w:szCs w:val="22"/>
          <w:lang w:val="sr-Latn-ME"/>
        </w:rPr>
        <w:t xml:space="preserve"> 2,1%</w:t>
      </w:r>
      <w:r w:rsidR="00320878" w:rsidRPr="00B74B0F">
        <w:rPr>
          <w:szCs w:val="22"/>
          <w:lang w:val="sr-Latn-ME"/>
        </w:rPr>
        <w:t>,</w:t>
      </w:r>
      <w:r w:rsidRPr="00B74B0F">
        <w:rPr>
          <w:szCs w:val="22"/>
          <w:lang w:val="sr-Latn-ME"/>
        </w:rPr>
        <w:t xml:space="preserve"> odnosno 1,5% </w:t>
      </w:r>
      <w:r w:rsidR="00BB59FC" w:rsidRPr="00B74B0F">
        <w:rPr>
          <w:szCs w:val="22"/>
          <w:lang w:val="sr-Latn-ME"/>
        </w:rPr>
        <w:t>pacijenata</w:t>
      </w:r>
      <w:r w:rsidRPr="00B74B0F">
        <w:rPr>
          <w:szCs w:val="22"/>
          <w:lang w:val="sr-Latn-ME"/>
        </w:rPr>
        <w:t xml:space="preserve"> liječenih</w:t>
      </w:r>
      <w:r w:rsidR="006036E0" w:rsidRPr="00B74B0F">
        <w:rPr>
          <w:szCs w:val="22"/>
          <w:lang w:val="sr-Latn-ME"/>
        </w:rPr>
        <w:t xml:space="preserve"> </w:t>
      </w:r>
      <w:r w:rsidRPr="00B74B0F">
        <w:rPr>
          <w:szCs w:val="22"/>
          <w:lang w:val="sr-Latn-ME"/>
        </w:rPr>
        <w:t>upadacitinib</w:t>
      </w:r>
      <w:r w:rsidR="005767EC" w:rsidRPr="00B74B0F">
        <w:rPr>
          <w:szCs w:val="22"/>
          <w:lang w:val="sr-Latn-ME"/>
        </w:rPr>
        <w:t>om</w:t>
      </w:r>
      <w:r w:rsidRPr="00B74B0F">
        <w:rPr>
          <w:szCs w:val="22"/>
          <w:lang w:val="sr-Latn-ME"/>
        </w:rPr>
        <w:t xml:space="preserve"> u dozi od 15 mg u </w:t>
      </w:r>
      <w:r w:rsidR="006036E0" w:rsidRPr="00B74B0F">
        <w:rPr>
          <w:szCs w:val="22"/>
          <w:lang w:val="sr-Latn-ME"/>
        </w:rPr>
        <w:t>poređenju sa</w:t>
      </w:r>
      <w:r w:rsidRPr="00B74B0F">
        <w:rPr>
          <w:szCs w:val="22"/>
          <w:lang w:val="sr-Latn-ME"/>
        </w:rPr>
        <w:t xml:space="preserve"> 1,5% odnosno 0,7% </w:t>
      </w:r>
      <w:r w:rsidR="00BB59FC" w:rsidRPr="00B74B0F">
        <w:rPr>
          <w:szCs w:val="22"/>
          <w:lang w:val="sr-Latn-ME"/>
        </w:rPr>
        <w:t>pacijenata</w:t>
      </w:r>
      <w:r w:rsidRPr="00B74B0F">
        <w:rPr>
          <w:szCs w:val="22"/>
          <w:lang w:val="sr-Latn-ME"/>
        </w:rPr>
        <w:t xml:space="preserve"> koji su primali placebo. Pov</w:t>
      </w:r>
      <w:r w:rsidR="00320878" w:rsidRPr="00B74B0F">
        <w:rPr>
          <w:szCs w:val="22"/>
          <w:lang w:val="sr-Latn-ME"/>
        </w:rPr>
        <w:t>ećanje</w:t>
      </w:r>
      <w:r w:rsidRPr="00B74B0F">
        <w:rPr>
          <w:szCs w:val="22"/>
          <w:lang w:val="sr-Latn-ME"/>
        </w:rPr>
        <w:t xml:space="preserve"> vrijednosti transaminaza</w:t>
      </w:r>
      <w:r w:rsidR="00320878" w:rsidRPr="00B74B0F">
        <w:rPr>
          <w:szCs w:val="22"/>
          <w:lang w:val="sr-Latn-ME"/>
        </w:rPr>
        <w:t xml:space="preserve"> jetre</w:t>
      </w:r>
      <w:r w:rsidRPr="00B74B0F">
        <w:rPr>
          <w:szCs w:val="22"/>
          <w:lang w:val="sr-Latn-ME"/>
        </w:rPr>
        <w:t xml:space="preserve"> u većini slučajeva</w:t>
      </w:r>
      <w:r w:rsidR="006036E0" w:rsidRPr="00B74B0F">
        <w:rPr>
          <w:szCs w:val="22"/>
          <w:lang w:val="sr-Latn-ME"/>
        </w:rPr>
        <w:t xml:space="preserve"> su</w:t>
      </w:r>
      <w:r w:rsidRPr="00B74B0F">
        <w:rPr>
          <w:szCs w:val="22"/>
          <w:lang w:val="sr-Latn-ME"/>
        </w:rPr>
        <w:t xml:space="preserve"> bila asimptomatsk</w:t>
      </w:r>
      <w:r w:rsidR="002522ED" w:rsidRPr="00B74B0F">
        <w:rPr>
          <w:szCs w:val="22"/>
          <w:lang w:val="sr-Latn-ME"/>
        </w:rPr>
        <w:t>a</w:t>
      </w:r>
      <w:r w:rsidRPr="00B74B0F">
        <w:rPr>
          <w:szCs w:val="22"/>
          <w:lang w:val="sr-Latn-ME"/>
        </w:rPr>
        <w:t xml:space="preserve"> i prolazn</w:t>
      </w:r>
      <w:r w:rsidR="002522ED" w:rsidRPr="00B74B0F">
        <w:rPr>
          <w:szCs w:val="22"/>
          <w:lang w:val="sr-Latn-ME"/>
        </w:rPr>
        <w:t>a</w:t>
      </w:r>
      <w:r w:rsidRPr="00B74B0F">
        <w:rPr>
          <w:szCs w:val="22"/>
          <w:lang w:val="sr-Latn-ME"/>
        </w:rPr>
        <w:t>.</w:t>
      </w:r>
    </w:p>
    <w:p w14:paraId="3CE7AD6E" w14:textId="77777777" w:rsidR="00575CF0" w:rsidRPr="00B74B0F" w:rsidRDefault="00575CF0">
      <w:pPr>
        <w:autoSpaceDE w:val="0"/>
        <w:autoSpaceDN w:val="0"/>
        <w:adjustRightInd w:val="0"/>
        <w:spacing w:line="240" w:lineRule="auto"/>
        <w:contextualSpacing/>
        <w:jc w:val="both"/>
        <w:rPr>
          <w:szCs w:val="22"/>
          <w:lang w:val="sr-Latn-ME"/>
        </w:rPr>
      </w:pPr>
    </w:p>
    <w:p w14:paraId="1EF520A4" w14:textId="1006D233" w:rsidR="00575CF0"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U MTX</w:t>
      </w:r>
      <w:r w:rsidRPr="00B74B0F">
        <w:rPr>
          <w:szCs w:val="22"/>
          <w:lang w:val="sr-Latn-ME"/>
        </w:rPr>
        <w:noBreakHyphen/>
        <w:t>om kontroli</w:t>
      </w:r>
      <w:r w:rsidR="006036E0" w:rsidRPr="00B74B0F">
        <w:rPr>
          <w:szCs w:val="22"/>
          <w:lang w:val="sr-Latn-ME"/>
        </w:rPr>
        <w:t>s</w:t>
      </w:r>
      <w:r w:rsidRPr="00B74B0F">
        <w:rPr>
          <w:szCs w:val="22"/>
          <w:lang w:val="sr-Latn-ME"/>
        </w:rPr>
        <w:t>anim ispitivanjima u trajanju do 12/14 </w:t>
      </w:r>
      <w:r w:rsidR="00572924" w:rsidRPr="00B74B0F">
        <w:rPr>
          <w:szCs w:val="22"/>
          <w:lang w:val="sr-Latn-ME"/>
        </w:rPr>
        <w:t>n</w:t>
      </w:r>
      <w:r w:rsidR="008806F8" w:rsidRPr="00B74B0F">
        <w:rPr>
          <w:szCs w:val="22"/>
          <w:lang w:val="sr-Latn-ME"/>
        </w:rPr>
        <w:t>ed</w:t>
      </w:r>
      <w:r w:rsidR="00572924" w:rsidRPr="00B74B0F">
        <w:rPr>
          <w:szCs w:val="22"/>
          <w:lang w:val="sr-Latn-ME"/>
        </w:rPr>
        <w:t>j</w:t>
      </w:r>
      <w:r w:rsidR="008806F8" w:rsidRPr="00B74B0F">
        <w:rPr>
          <w:szCs w:val="22"/>
          <w:lang w:val="sr-Latn-ME"/>
        </w:rPr>
        <w:t>elja</w:t>
      </w:r>
      <w:r w:rsidRPr="00B74B0F">
        <w:rPr>
          <w:szCs w:val="22"/>
          <w:lang w:val="sr-Latn-ME"/>
        </w:rPr>
        <w:t>, pov</w:t>
      </w:r>
      <w:r w:rsidR="00320878" w:rsidRPr="00B74B0F">
        <w:rPr>
          <w:szCs w:val="22"/>
          <w:lang w:val="sr-Latn-ME"/>
        </w:rPr>
        <w:t>ećanje</w:t>
      </w:r>
      <w:r w:rsidRPr="00B74B0F">
        <w:rPr>
          <w:szCs w:val="22"/>
          <w:lang w:val="sr-Latn-ME"/>
        </w:rPr>
        <w:t xml:space="preserve"> vrijednosti ALT</w:t>
      </w:r>
      <w:r w:rsidRPr="00B74B0F">
        <w:rPr>
          <w:szCs w:val="22"/>
          <w:lang w:val="sr-Latn-ME"/>
        </w:rPr>
        <w:noBreakHyphen/>
        <w:t>a i AST</w:t>
      </w:r>
      <w:r w:rsidRPr="00B74B0F">
        <w:rPr>
          <w:szCs w:val="22"/>
          <w:lang w:val="sr-Latn-ME"/>
        </w:rPr>
        <w:noBreakHyphen/>
        <w:t>a ≥ 3 x GGN pri najmanje jednom mjerenju</w:t>
      </w:r>
      <w:r w:rsidR="00320878" w:rsidRPr="00B74B0F">
        <w:rPr>
          <w:szCs w:val="22"/>
          <w:lang w:val="sr-Latn-ME"/>
        </w:rPr>
        <w:t xml:space="preserve"> su</w:t>
      </w:r>
      <w:r w:rsidRPr="00B74B0F">
        <w:rPr>
          <w:szCs w:val="22"/>
          <w:lang w:val="sr-Latn-ME"/>
        </w:rPr>
        <w:t xml:space="preserve"> </w:t>
      </w:r>
      <w:r w:rsidR="006036E0" w:rsidRPr="00B74B0F">
        <w:rPr>
          <w:szCs w:val="22"/>
          <w:lang w:val="sr-Latn-ME"/>
        </w:rPr>
        <w:t>za</w:t>
      </w:r>
      <w:r w:rsidRPr="00B74B0F">
        <w:rPr>
          <w:szCs w:val="22"/>
          <w:lang w:val="sr-Latn-ME"/>
        </w:rPr>
        <w:t xml:space="preserve">pažena </w:t>
      </w:r>
      <w:r w:rsidR="006036E0" w:rsidRPr="00B74B0F">
        <w:rPr>
          <w:szCs w:val="22"/>
          <w:lang w:val="sr-Latn-ME"/>
        </w:rPr>
        <w:t>kod</w:t>
      </w:r>
      <w:r w:rsidRPr="00B74B0F">
        <w:rPr>
          <w:szCs w:val="22"/>
          <w:lang w:val="sr-Latn-ME"/>
        </w:rPr>
        <w:t xml:space="preserve"> 0,8% odnosno 0,4% </w:t>
      </w:r>
      <w:r w:rsidR="00BB59FC" w:rsidRPr="00B74B0F">
        <w:rPr>
          <w:szCs w:val="22"/>
          <w:lang w:val="sr-Latn-ME"/>
        </w:rPr>
        <w:t>pacijenata</w:t>
      </w:r>
      <w:r w:rsidRPr="00B74B0F">
        <w:rPr>
          <w:szCs w:val="22"/>
          <w:lang w:val="sr-Latn-ME"/>
        </w:rPr>
        <w:t xml:space="preserve"> </w:t>
      </w:r>
      <w:r w:rsidRPr="00B74B0F">
        <w:rPr>
          <w:szCs w:val="22"/>
          <w:lang w:val="sr-Latn-ME"/>
        </w:rPr>
        <w:lastRenderedPageBreak/>
        <w:t>liječenih</w:t>
      </w:r>
      <w:r w:rsidR="006036E0" w:rsidRPr="00B74B0F">
        <w:rPr>
          <w:szCs w:val="22"/>
          <w:lang w:val="sr-Latn-ME"/>
        </w:rPr>
        <w:t xml:space="preserve"> </w:t>
      </w:r>
      <w:r w:rsidRPr="00B74B0F">
        <w:rPr>
          <w:szCs w:val="22"/>
          <w:lang w:val="sr-Latn-ME"/>
        </w:rPr>
        <w:t>upadacitinib</w:t>
      </w:r>
      <w:r w:rsidR="005767EC" w:rsidRPr="00B74B0F">
        <w:rPr>
          <w:szCs w:val="22"/>
          <w:lang w:val="sr-Latn-ME"/>
        </w:rPr>
        <w:t>om</w:t>
      </w:r>
      <w:r w:rsidRPr="00B74B0F">
        <w:rPr>
          <w:szCs w:val="22"/>
          <w:lang w:val="sr-Latn-ME"/>
        </w:rPr>
        <w:t xml:space="preserve"> u dozi od 15 mg, u </w:t>
      </w:r>
      <w:r w:rsidR="006036E0" w:rsidRPr="00B74B0F">
        <w:rPr>
          <w:szCs w:val="22"/>
          <w:lang w:val="sr-Latn-ME"/>
        </w:rPr>
        <w:t>poređenju</w:t>
      </w:r>
      <w:r w:rsidRPr="00B74B0F">
        <w:rPr>
          <w:szCs w:val="22"/>
          <w:lang w:val="sr-Latn-ME"/>
        </w:rPr>
        <w:t xml:space="preserve"> s</w:t>
      </w:r>
      <w:r w:rsidR="006036E0" w:rsidRPr="00B74B0F">
        <w:rPr>
          <w:szCs w:val="22"/>
          <w:lang w:val="sr-Latn-ME"/>
        </w:rPr>
        <w:t>a</w:t>
      </w:r>
      <w:r w:rsidRPr="00B74B0F">
        <w:rPr>
          <w:szCs w:val="22"/>
          <w:lang w:val="sr-Latn-ME"/>
        </w:rPr>
        <w:t xml:space="preserve"> 1,9% odnosno 0,9% </w:t>
      </w:r>
      <w:r w:rsidR="00BB59FC" w:rsidRPr="00B74B0F">
        <w:rPr>
          <w:szCs w:val="22"/>
          <w:lang w:val="sr-Latn-ME"/>
        </w:rPr>
        <w:t>pacijenata</w:t>
      </w:r>
      <w:r w:rsidRPr="00B74B0F">
        <w:rPr>
          <w:szCs w:val="22"/>
          <w:lang w:val="sr-Latn-ME"/>
        </w:rPr>
        <w:t xml:space="preserve"> koji su primali MTX.</w:t>
      </w:r>
    </w:p>
    <w:p w14:paraId="3CF1F896" w14:textId="77777777" w:rsidR="00575CF0" w:rsidRPr="00B74B0F" w:rsidRDefault="00575CF0">
      <w:pPr>
        <w:autoSpaceDE w:val="0"/>
        <w:autoSpaceDN w:val="0"/>
        <w:adjustRightInd w:val="0"/>
        <w:spacing w:line="240" w:lineRule="auto"/>
        <w:contextualSpacing/>
        <w:jc w:val="both"/>
        <w:rPr>
          <w:szCs w:val="22"/>
          <w:lang w:val="sr-Latn-ME"/>
        </w:rPr>
      </w:pPr>
    </w:p>
    <w:p w14:paraId="29DA777F" w14:textId="6CB428CE" w:rsidR="00575CF0"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 xml:space="preserve">Obrazac i </w:t>
      </w:r>
      <w:r w:rsidR="006036E0" w:rsidRPr="00B74B0F">
        <w:rPr>
          <w:szCs w:val="22"/>
          <w:lang w:val="sr-Latn-ME"/>
        </w:rPr>
        <w:t>učestalost</w:t>
      </w:r>
      <w:r w:rsidRPr="00B74B0F">
        <w:rPr>
          <w:szCs w:val="22"/>
          <w:lang w:val="sr-Latn-ME"/>
        </w:rPr>
        <w:t xml:space="preserve"> pov</w:t>
      </w:r>
      <w:r w:rsidR="00A1675E" w:rsidRPr="00B74B0F">
        <w:rPr>
          <w:szCs w:val="22"/>
          <w:lang w:val="sr-Latn-ME"/>
        </w:rPr>
        <w:t>ećanja</w:t>
      </w:r>
      <w:r w:rsidRPr="00B74B0F">
        <w:rPr>
          <w:szCs w:val="22"/>
          <w:lang w:val="sr-Latn-ME"/>
        </w:rPr>
        <w:t xml:space="preserve"> vrijednosti ALT</w:t>
      </w:r>
      <w:r w:rsidRPr="00B74B0F">
        <w:rPr>
          <w:szCs w:val="22"/>
          <w:lang w:val="sr-Latn-ME"/>
        </w:rPr>
        <w:noBreakHyphen/>
        <w:t>a/AST</w:t>
      </w:r>
      <w:r w:rsidRPr="00B74B0F">
        <w:rPr>
          <w:szCs w:val="22"/>
          <w:lang w:val="sr-Latn-ME"/>
        </w:rPr>
        <w:noBreakHyphen/>
        <w:t>a ostali su stabilni t</w:t>
      </w:r>
      <w:r w:rsidR="00A1675E" w:rsidRPr="00B74B0F">
        <w:rPr>
          <w:szCs w:val="22"/>
          <w:lang w:val="sr-Latn-ME"/>
        </w:rPr>
        <w:t>okom</w:t>
      </w:r>
      <w:r w:rsidRPr="00B74B0F">
        <w:rPr>
          <w:szCs w:val="22"/>
          <w:lang w:val="sr-Latn-ME"/>
        </w:rPr>
        <w:t xml:space="preserve"> vremena, uključujući i dugoročne produžetke ispitivanja.</w:t>
      </w:r>
    </w:p>
    <w:p w14:paraId="3D271748" w14:textId="77777777" w:rsidR="00D04496" w:rsidRPr="00B74B0F" w:rsidRDefault="00D04496">
      <w:pPr>
        <w:autoSpaceDE w:val="0"/>
        <w:autoSpaceDN w:val="0"/>
        <w:adjustRightInd w:val="0"/>
        <w:spacing w:line="240" w:lineRule="auto"/>
        <w:contextualSpacing/>
        <w:jc w:val="both"/>
        <w:rPr>
          <w:i/>
          <w:szCs w:val="22"/>
          <w:lang w:val="sr-Latn-ME"/>
        </w:rPr>
      </w:pPr>
    </w:p>
    <w:p w14:paraId="7D8D6F78" w14:textId="5A755ECA" w:rsidR="003748F7"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Povišen</w:t>
      </w:r>
      <w:r w:rsidR="00AB7C35" w:rsidRPr="00B74B0F">
        <w:rPr>
          <w:i/>
          <w:szCs w:val="22"/>
          <w:lang w:val="sr-Latn-ME"/>
        </w:rPr>
        <w:t>e</w:t>
      </w:r>
      <w:r w:rsidRPr="00B74B0F">
        <w:rPr>
          <w:i/>
          <w:szCs w:val="22"/>
          <w:lang w:val="sr-Latn-ME"/>
        </w:rPr>
        <w:t xml:space="preserve"> vrijednosti lipida</w:t>
      </w:r>
    </w:p>
    <w:p w14:paraId="7EE44BD0" w14:textId="77777777" w:rsidR="006036E0" w:rsidRPr="00B74B0F" w:rsidRDefault="006036E0">
      <w:pPr>
        <w:keepNext/>
        <w:autoSpaceDE w:val="0"/>
        <w:autoSpaceDN w:val="0"/>
        <w:adjustRightInd w:val="0"/>
        <w:spacing w:line="240" w:lineRule="auto"/>
        <w:contextualSpacing/>
        <w:jc w:val="both"/>
        <w:rPr>
          <w:i/>
          <w:szCs w:val="22"/>
          <w:lang w:val="sr-Latn-ME"/>
        </w:rPr>
      </w:pPr>
    </w:p>
    <w:p w14:paraId="35FA4D13" w14:textId="70BAA466" w:rsidR="003A03A9" w:rsidRPr="00B74B0F" w:rsidRDefault="00394FD2">
      <w:pPr>
        <w:pStyle w:val="NormalWeb"/>
        <w:spacing w:line="240" w:lineRule="auto"/>
        <w:contextualSpacing/>
        <w:jc w:val="both"/>
        <w:rPr>
          <w:sz w:val="22"/>
          <w:szCs w:val="22"/>
          <w:lang w:val="sr-Latn-ME"/>
        </w:rPr>
      </w:pPr>
      <w:r w:rsidRPr="00B74B0F">
        <w:rPr>
          <w:sz w:val="22"/>
          <w:szCs w:val="22"/>
          <w:lang w:val="sr-Latn-ME"/>
        </w:rPr>
        <w:t>Liječenje</w:t>
      </w:r>
      <w:r w:rsidR="00A1675E" w:rsidRPr="00B74B0F">
        <w:rPr>
          <w:sz w:val="22"/>
          <w:szCs w:val="22"/>
          <w:lang w:val="sr-Latn-ME"/>
        </w:rPr>
        <w:t xml:space="preserve"> lijekom</w:t>
      </w:r>
      <w:r w:rsidRPr="00B74B0F">
        <w:rPr>
          <w:sz w:val="22"/>
          <w:szCs w:val="22"/>
          <w:lang w:val="sr-Latn-ME"/>
        </w:rPr>
        <w:t xml:space="preserve"> upadacitinib u dozi od 15 mg</w:t>
      </w:r>
      <w:r w:rsidR="00AB7C35" w:rsidRPr="00B74B0F">
        <w:rPr>
          <w:sz w:val="22"/>
          <w:szCs w:val="22"/>
          <w:lang w:val="sr-Latn-ME"/>
        </w:rPr>
        <w:t xml:space="preserve"> je</w:t>
      </w:r>
      <w:r w:rsidRPr="00B74B0F">
        <w:rPr>
          <w:sz w:val="22"/>
          <w:szCs w:val="22"/>
          <w:lang w:val="sr-Latn-ME"/>
        </w:rPr>
        <w:t xml:space="preserve"> bilo povezano s</w:t>
      </w:r>
      <w:r w:rsidR="00A1675E" w:rsidRPr="00B74B0F">
        <w:rPr>
          <w:sz w:val="22"/>
          <w:szCs w:val="22"/>
          <w:lang w:val="sr-Latn-ME"/>
        </w:rPr>
        <w:t>a</w:t>
      </w:r>
      <w:r w:rsidRPr="00B74B0F">
        <w:rPr>
          <w:sz w:val="22"/>
          <w:szCs w:val="22"/>
          <w:lang w:val="sr-Latn-ME"/>
        </w:rPr>
        <w:t xml:space="preserve"> </w:t>
      </w:r>
      <w:r w:rsidR="003B1F43" w:rsidRPr="00B74B0F">
        <w:rPr>
          <w:sz w:val="22"/>
          <w:szCs w:val="22"/>
          <w:lang w:val="sr-Latn-ME"/>
        </w:rPr>
        <w:t>d</w:t>
      </w:r>
      <w:r w:rsidRPr="00B74B0F">
        <w:rPr>
          <w:sz w:val="22"/>
          <w:szCs w:val="22"/>
          <w:lang w:val="sr-Latn-ME"/>
        </w:rPr>
        <w:t>oz</w:t>
      </w:r>
      <w:r w:rsidR="003B1F43" w:rsidRPr="00B74B0F">
        <w:rPr>
          <w:sz w:val="22"/>
          <w:szCs w:val="22"/>
          <w:lang w:val="sr-Latn-ME"/>
        </w:rPr>
        <w:t>no zavisnim</w:t>
      </w:r>
      <w:r w:rsidRPr="00B74B0F">
        <w:rPr>
          <w:sz w:val="22"/>
          <w:szCs w:val="22"/>
          <w:lang w:val="sr-Latn-ME"/>
        </w:rPr>
        <w:t xml:space="preserve"> pov</w:t>
      </w:r>
      <w:r w:rsidR="00AB7C35" w:rsidRPr="00B74B0F">
        <w:rPr>
          <w:sz w:val="22"/>
          <w:szCs w:val="22"/>
          <w:lang w:val="sr-Latn-ME"/>
        </w:rPr>
        <w:t>ećanjem</w:t>
      </w:r>
      <w:r w:rsidRPr="00B74B0F">
        <w:rPr>
          <w:sz w:val="22"/>
          <w:szCs w:val="22"/>
          <w:lang w:val="sr-Latn-ME"/>
        </w:rPr>
        <w:t xml:space="preserve"> vrijednosti lipidnih parametara, uključujući</w:t>
      </w:r>
      <w:r w:rsidR="00AB7C35" w:rsidRPr="00B74B0F">
        <w:rPr>
          <w:sz w:val="22"/>
          <w:szCs w:val="22"/>
          <w:lang w:val="sr-Latn-ME"/>
        </w:rPr>
        <w:t>:</w:t>
      </w:r>
      <w:r w:rsidRPr="00B74B0F">
        <w:rPr>
          <w:sz w:val="22"/>
          <w:szCs w:val="22"/>
          <w:lang w:val="sr-Latn-ME"/>
        </w:rPr>
        <w:t xml:space="preserve"> ukupni </w:t>
      </w:r>
      <w:r w:rsidR="00A1675E" w:rsidRPr="00B74B0F">
        <w:rPr>
          <w:sz w:val="22"/>
          <w:szCs w:val="22"/>
          <w:lang w:val="sr-Latn-ME"/>
        </w:rPr>
        <w:t>h</w:t>
      </w:r>
      <w:r w:rsidRPr="00B74B0F">
        <w:rPr>
          <w:sz w:val="22"/>
          <w:szCs w:val="22"/>
          <w:lang w:val="sr-Latn-ME"/>
        </w:rPr>
        <w:t>olesterol, trigliceride, LDL</w:t>
      </w:r>
      <w:r w:rsidRPr="00B74B0F">
        <w:rPr>
          <w:sz w:val="22"/>
          <w:szCs w:val="22"/>
          <w:lang w:val="sr-Latn-ME"/>
        </w:rPr>
        <w:noBreakHyphen/>
      </w:r>
      <w:r w:rsidR="00A1675E" w:rsidRPr="00B74B0F">
        <w:rPr>
          <w:sz w:val="22"/>
          <w:szCs w:val="22"/>
          <w:lang w:val="sr-Latn-ME"/>
        </w:rPr>
        <w:t>h</w:t>
      </w:r>
      <w:r w:rsidRPr="00B74B0F">
        <w:rPr>
          <w:sz w:val="22"/>
          <w:szCs w:val="22"/>
          <w:lang w:val="sr-Latn-ME"/>
        </w:rPr>
        <w:t>olesterol i HDL</w:t>
      </w:r>
      <w:r w:rsidRPr="00B74B0F">
        <w:rPr>
          <w:sz w:val="22"/>
          <w:szCs w:val="22"/>
          <w:lang w:val="sr-Latn-ME"/>
        </w:rPr>
        <w:noBreakHyphen/>
      </w:r>
      <w:r w:rsidR="00A1675E" w:rsidRPr="00B74B0F">
        <w:rPr>
          <w:sz w:val="22"/>
          <w:szCs w:val="22"/>
          <w:lang w:val="sr-Latn-ME"/>
        </w:rPr>
        <w:t>h</w:t>
      </w:r>
      <w:r w:rsidRPr="00B74B0F">
        <w:rPr>
          <w:sz w:val="22"/>
          <w:szCs w:val="22"/>
          <w:lang w:val="sr-Latn-ME"/>
        </w:rPr>
        <w:t xml:space="preserve">olesterol. Nije bilo promjena u </w:t>
      </w:r>
      <w:r w:rsidR="0085291E" w:rsidRPr="00B74B0F">
        <w:rPr>
          <w:sz w:val="22"/>
          <w:szCs w:val="22"/>
          <w:lang w:val="sr-Latn-ME"/>
        </w:rPr>
        <w:t>odnos</w:t>
      </w:r>
      <w:r w:rsidRPr="00B74B0F">
        <w:rPr>
          <w:sz w:val="22"/>
          <w:szCs w:val="22"/>
          <w:lang w:val="sr-Latn-ME"/>
        </w:rPr>
        <w:t>u LDL/HDL</w:t>
      </w:r>
      <w:r w:rsidR="002522ED" w:rsidRPr="00B74B0F">
        <w:rPr>
          <w:sz w:val="22"/>
          <w:szCs w:val="22"/>
          <w:lang w:val="sr-Latn-ME"/>
        </w:rPr>
        <w:t xml:space="preserve"> </w:t>
      </w:r>
      <w:r w:rsidR="00A1675E" w:rsidRPr="00B74B0F">
        <w:rPr>
          <w:sz w:val="22"/>
          <w:szCs w:val="22"/>
          <w:lang w:val="sr-Latn-ME"/>
        </w:rPr>
        <w:t>h</w:t>
      </w:r>
      <w:r w:rsidR="002522ED" w:rsidRPr="00B74B0F">
        <w:rPr>
          <w:sz w:val="22"/>
          <w:szCs w:val="22"/>
          <w:lang w:val="sr-Latn-ME"/>
        </w:rPr>
        <w:t>olesterola</w:t>
      </w:r>
      <w:r w:rsidRPr="00B74B0F">
        <w:rPr>
          <w:sz w:val="22"/>
          <w:szCs w:val="22"/>
          <w:lang w:val="sr-Latn-ME"/>
        </w:rPr>
        <w:t>. Povišen</w:t>
      </w:r>
      <w:r w:rsidR="00AB7C35" w:rsidRPr="00B74B0F">
        <w:rPr>
          <w:sz w:val="22"/>
          <w:szCs w:val="22"/>
          <w:lang w:val="sr-Latn-ME"/>
        </w:rPr>
        <w:t>e vrijednosti</w:t>
      </w:r>
      <w:r w:rsidRPr="00B74B0F">
        <w:rPr>
          <w:sz w:val="22"/>
          <w:szCs w:val="22"/>
          <w:lang w:val="sr-Latn-ME"/>
        </w:rPr>
        <w:t xml:space="preserve"> su </w:t>
      </w:r>
      <w:r w:rsidR="00A1675E" w:rsidRPr="00B74B0F">
        <w:rPr>
          <w:sz w:val="22"/>
          <w:szCs w:val="22"/>
          <w:lang w:val="sr-Latn-ME"/>
        </w:rPr>
        <w:t>za</w:t>
      </w:r>
      <w:r w:rsidRPr="00B74B0F">
        <w:rPr>
          <w:sz w:val="22"/>
          <w:szCs w:val="22"/>
          <w:lang w:val="sr-Latn-ME"/>
        </w:rPr>
        <w:t>pažen</w:t>
      </w:r>
      <w:r w:rsidR="00AB7C35" w:rsidRPr="00B74B0F">
        <w:rPr>
          <w:sz w:val="22"/>
          <w:szCs w:val="22"/>
          <w:lang w:val="sr-Latn-ME"/>
        </w:rPr>
        <w:t>e</w:t>
      </w:r>
      <w:r w:rsidRPr="00B74B0F">
        <w:rPr>
          <w:sz w:val="22"/>
          <w:szCs w:val="22"/>
          <w:lang w:val="sr-Latn-ME"/>
        </w:rPr>
        <w:t xml:space="preserve"> nakon 2 </w:t>
      </w:r>
      <w:r w:rsidRPr="00B74B0F">
        <w:rPr>
          <w:sz w:val="22"/>
          <w:szCs w:val="22"/>
          <w:lang w:val="sr-Latn-ME"/>
        </w:rPr>
        <w:noBreakHyphen/>
        <w:t> 4 </w:t>
      </w:r>
      <w:r w:rsidR="00B10681" w:rsidRPr="00B74B0F">
        <w:rPr>
          <w:sz w:val="22"/>
          <w:szCs w:val="22"/>
          <w:lang w:val="sr-Latn-ME"/>
        </w:rPr>
        <w:t>n</w:t>
      </w:r>
      <w:r w:rsidR="008806F8" w:rsidRPr="00B74B0F">
        <w:rPr>
          <w:sz w:val="22"/>
          <w:szCs w:val="22"/>
          <w:lang w:val="sr-Latn-ME"/>
        </w:rPr>
        <w:t>ed</w:t>
      </w:r>
      <w:r w:rsidR="000E7C4F" w:rsidRPr="00B74B0F">
        <w:rPr>
          <w:sz w:val="22"/>
          <w:szCs w:val="22"/>
          <w:lang w:val="sr-Latn-ME"/>
        </w:rPr>
        <w:t>j</w:t>
      </w:r>
      <w:r w:rsidR="008806F8" w:rsidRPr="00B74B0F">
        <w:rPr>
          <w:sz w:val="22"/>
          <w:szCs w:val="22"/>
          <w:lang w:val="sr-Latn-ME"/>
        </w:rPr>
        <w:t>elje</w:t>
      </w:r>
      <w:r w:rsidRPr="00B74B0F">
        <w:rPr>
          <w:sz w:val="22"/>
          <w:szCs w:val="22"/>
          <w:lang w:val="sr-Latn-ME"/>
        </w:rPr>
        <w:t xml:space="preserve"> liječenja i ostala su stabilna t</w:t>
      </w:r>
      <w:r w:rsidR="00A1675E" w:rsidRPr="00B74B0F">
        <w:rPr>
          <w:sz w:val="22"/>
          <w:szCs w:val="22"/>
          <w:lang w:val="sr-Latn-ME"/>
        </w:rPr>
        <w:t>o</w:t>
      </w:r>
      <w:r w:rsidRPr="00B74B0F">
        <w:rPr>
          <w:sz w:val="22"/>
          <w:szCs w:val="22"/>
          <w:lang w:val="sr-Latn-ME"/>
        </w:rPr>
        <w:t>kom dugoročn</w:t>
      </w:r>
      <w:r w:rsidR="00AB7C35" w:rsidRPr="00B74B0F">
        <w:rPr>
          <w:sz w:val="22"/>
          <w:szCs w:val="22"/>
          <w:lang w:val="sr-Latn-ME"/>
        </w:rPr>
        <w:t>og liječenja</w:t>
      </w:r>
      <w:r w:rsidRPr="00B74B0F">
        <w:rPr>
          <w:sz w:val="22"/>
          <w:szCs w:val="22"/>
          <w:lang w:val="sr-Latn-ME"/>
        </w:rPr>
        <w:t xml:space="preserve">. Među </w:t>
      </w:r>
      <w:r w:rsidR="003B1F43" w:rsidRPr="00B74B0F">
        <w:rPr>
          <w:sz w:val="22"/>
          <w:szCs w:val="22"/>
          <w:lang w:val="sr-Latn-ME"/>
        </w:rPr>
        <w:t>pacijentim</w:t>
      </w:r>
      <w:r w:rsidRPr="00B74B0F">
        <w:rPr>
          <w:sz w:val="22"/>
          <w:szCs w:val="22"/>
          <w:lang w:val="sr-Latn-ME"/>
        </w:rPr>
        <w:t>a u kontroli</w:t>
      </w:r>
      <w:r w:rsidR="00A1675E" w:rsidRPr="00B74B0F">
        <w:rPr>
          <w:sz w:val="22"/>
          <w:szCs w:val="22"/>
          <w:lang w:val="sr-Latn-ME"/>
        </w:rPr>
        <w:t>s</w:t>
      </w:r>
      <w:r w:rsidRPr="00B74B0F">
        <w:rPr>
          <w:sz w:val="22"/>
          <w:szCs w:val="22"/>
          <w:lang w:val="sr-Latn-ME"/>
        </w:rPr>
        <w:t>anim ispitivanjima ko</w:t>
      </w:r>
      <w:r w:rsidR="00AB7C35" w:rsidRPr="00B74B0F">
        <w:rPr>
          <w:sz w:val="22"/>
          <w:szCs w:val="22"/>
          <w:lang w:val="sr-Latn-ME"/>
        </w:rPr>
        <w:t>d kojih</w:t>
      </w:r>
      <w:r w:rsidRPr="00B74B0F">
        <w:rPr>
          <w:sz w:val="22"/>
          <w:szCs w:val="22"/>
          <w:lang w:val="sr-Latn-ME"/>
        </w:rPr>
        <w:t xml:space="preserve"> su početne vrijednosti bile ispod specificiranih graničnih vrijednosti, </w:t>
      </w:r>
      <w:r w:rsidR="002522ED" w:rsidRPr="00B74B0F">
        <w:rPr>
          <w:sz w:val="22"/>
          <w:szCs w:val="22"/>
          <w:lang w:val="sr-Latn-ME"/>
        </w:rPr>
        <w:t xml:space="preserve">udio </w:t>
      </w:r>
      <w:r w:rsidR="00BB59FC" w:rsidRPr="00B74B0F">
        <w:rPr>
          <w:sz w:val="22"/>
          <w:szCs w:val="22"/>
          <w:lang w:val="sr-Latn-ME"/>
        </w:rPr>
        <w:t>pacijenata</w:t>
      </w:r>
      <w:r w:rsidR="002522ED" w:rsidRPr="00B74B0F">
        <w:rPr>
          <w:sz w:val="22"/>
          <w:szCs w:val="22"/>
          <w:lang w:val="sr-Latn-ME"/>
        </w:rPr>
        <w:t xml:space="preserve"> kod kojih je </w:t>
      </w:r>
      <w:r w:rsidR="00A1675E" w:rsidRPr="00B74B0F">
        <w:rPr>
          <w:sz w:val="22"/>
          <w:szCs w:val="22"/>
          <w:lang w:val="sr-Latn-ME"/>
        </w:rPr>
        <w:t>za</w:t>
      </w:r>
      <w:r w:rsidR="002522ED" w:rsidRPr="00B74B0F">
        <w:rPr>
          <w:sz w:val="22"/>
          <w:szCs w:val="22"/>
          <w:lang w:val="sr-Latn-ME"/>
        </w:rPr>
        <w:t>pažen porast</w:t>
      </w:r>
      <w:r w:rsidRPr="00B74B0F">
        <w:rPr>
          <w:sz w:val="22"/>
          <w:szCs w:val="22"/>
          <w:lang w:val="sr-Latn-ME"/>
        </w:rPr>
        <w:t xml:space="preserve"> iznad specificiranih graničnih vrijednosti pri najmanje jednom mjerenju t</w:t>
      </w:r>
      <w:r w:rsidR="00A1675E" w:rsidRPr="00B74B0F">
        <w:rPr>
          <w:sz w:val="22"/>
          <w:szCs w:val="22"/>
          <w:lang w:val="sr-Latn-ME"/>
        </w:rPr>
        <w:t>o</w:t>
      </w:r>
      <w:r w:rsidRPr="00B74B0F">
        <w:rPr>
          <w:sz w:val="22"/>
          <w:szCs w:val="22"/>
          <w:lang w:val="sr-Latn-ME"/>
        </w:rPr>
        <w:t>kom 12/14 </w:t>
      </w:r>
      <w:r w:rsidR="00B10681" w:rsidRPr="00B74B0F">
        <w:rPr>
          <w:sz w:val="22"/>
          <w:szCs w:val="22"/>
          <w:lang w:val="sr-Latn-ME"/>
        </w:rPr>
        <w:t>ned</w:t>
      </w:r>
      <w:r w:rsidR="000E7C4F" w:rsidRPr="00B74B0F">
        <w:rPr>
          <w:sz w:val="22"/>
          <w:szCs w:val="22"/>
          <w:lang w:val="sr-Latn-ME"/>
        </w:rPr>
        <w:t>j</w:t>
      </w:r>
      <w:r w:rsidR="00B10681" w:rsidRPr="00B74B0F">
        <w:rPr>
          <w:sz w:val="22"/>
          <w:szCs w:val="22"/>
          <w:lang w:val="sr-Latn-ME"/>
        </w:rPr>
        <w:t>elj</w:t>
      </w:r>
      <w:r w:rsidR="00A1675E" w:rsidRPr="00B74B0F">
        <w:rPr>
          <w:sz w:val="22"/>
          <w:szCs w:val="22"/>
          <w:lang w:val="sr-Latn-ME"/>
        </w:rPr>
        <w:t>a</w:t>
      </w:r>
      <w:r w:rsidRPr="00B74B0F">
        <w:rPr>
          <w:sz w:val="22"/>
          <w:szCs w:val="22"/>
          <w:lang w:val="sr-Latn-ME"/>
        </w:rPr>
        <w:t xml:space="preserve"> (uključujući izol</w:t>
      </w:r>
      <w:r w:rsidR="00B10681" w:rsidRPr="00B74B0F">
        <w:rPr>
          <w:sz w:val="22"/>
          <w:szCs w:val="22"/>
          <w:lang w:val="sr-Latn-ME"/>
        </w:rPr>
        <w:t>ova</w:t>
      </w:r>
      <w:r w:rsidRPr="00B74B0F">
        <w:rPr>
          <w:sz w:val="22"/>
          <w:szCs w:val="22"/>
          <w:lang w:val="sr-Latn-ME"/>
        </w:rPr>
        <w:t xml:space="preserve">ne slučajeve povišenih vrijednosti) </w:t>
      </w:r>
      <w:r w:rsidR="0022105B" w:rsidRPr="00B74B0F">
        <w:rPr>
          <w:sz w:val="22"/>
          <w:szCs w:val="22"/>
          <w:lang w:val="sr-Latn-ME"/>
        </w:rPr>
        <w:t>bio je sl</w:t>
      </w:r>
      <w:r w:rsidR="000E7C4F" w:rsidRPr="00B74B0F">
        <w:rPr>
          <w:sz w:val="22"/>
          <w:szCs w:val="22"/>
          <w:lang w:val="sr-Latn-ME"/>
        </w:rPr>
        <w:t>j</w:t>
      </w:r>
      <w:r w:rsidR="0022105B" w:rsidRPr="00B74B0F">
        <w:rPr>
          <w:sz w:val="22"/>
          <w:szCs w:val="22"/>
          <w:lang w:val="sr-Latn-ME"/>
        </w:rPr>
        <w:t>edeći</w:t>
      </w:r>
      <w:r w:rsidRPr="00B74B0F">
        <w:rPr>
          <w:sz w:val="22"/>
          <w:szCs w:val="22"/>
          <w:lang w:val="sr-Latn-ME"/>
        </w:rPr>
        <w:t>:</w:t>
      </w:r>
    </w:p>
    <w:p w14:paraId="5E6B9CC1" w14:textId="77777777" w:rsidR="00D04496" w:rsidRPr="00B74B0F" w:rsidRDefault="00D04496">
      <w:pPr>
        <w:pStyle w:val="NormalWeb"/>
        <w:spacing w:line="240" w:lineRule="auto"/>
        <w:contextualSpacing/>
        <w:jc w:val="both"/>
        <w:rPr>
          <w:sz w:val="22"/>
          <w:szCs w:val="22"/>
          <w:lang w:val="sr-Latn-ME"/>
        </w:rPr>
      </w:pPr>
    </w:p>
    <w:p w14:paraId="6169838F" w14:textId="4E5C7C5E" w:rsidR="004F3140" w:rsidRPr="00B74B0F" w:rsidRDefault="004F3140">
      <w:pPr>
        <w:pStyle w:val="ListParagraph"/>
        <w:keepNext/>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 xml:space="preserve">ukupan </w:t>
      </w:r>
      <w:r w:rsidR="00A1675E" w:rsidRPr="00B74B0F">
        <w:rPr>
          <w:rFonts w:ascii="Times New Roman" w:hAnsi="Times New Roman"/>
          <w:lang w:val="sr-Latn-ME"/>
        </w:rPr>
        <w:t>h</w:t>
      </w:r>
      <w:r w:rsidRPr="00B74B0F">
        <w:rPr>
          <w:rFonts w:ascii="Times New Roman" w:hAnsi="Times New Roman"/>
          <w:lang w:val="sr-Latn-ME"/>
        </w:rPr>
        <w:t>olesterol ≥ 5,17 mmol/l (200 mg/dl): 62% u</w:t>
      </w:r>
      <w:r w:rsidR="0022105B" w:rsidRPr="00B74B0F">
        <w:rPr>
          <w:rFonts w:ascii="Times New Roman" w:hAnsi="Times New Roman"/>
          <w:lang w:val="sr-Latn-ME"/>
        </w:rPr>
        <w:t xml:space="preserve"> </w:t>
      </w:r>
      <w:r w:rsidR="00A1675E" w:rsidRPr="00B74B0F">
        <w:rPr>
          <w:rFonts w:ascii="Times New Roman" w:hAnsi="Times New Roman"/>
          <w:lang w:val="sr-Latn-ME"/>
        </w:rPr>
        <w:t>grupi</w:t>
      </w:r>
      <w:r w:rsidR="0022105B" w:rsidRPr="00B74B0F">
        <w:rPr>
          <w:rFonts w:ascii="Times New Roman" w:hAnsi="Times New Roman"/>
          <w:lang w:val="sr-Latn-ME"/>
        </w:rPr>
        <w:t xml:space="preserve"> koja je primala</w:t>
      </w:r>
      <w:r w:rsidR="00A1675E" w:rsidRPr="00B74B0F">
        <w:rPr>
          <w:rFonts w:ascii="Times New Roman" w:hAnsi="Times New Roman"/>
          <w:lang w:val="sr-Latn-ME"/>
        </w:rPr>
        <w:t xml:space="preserve"> lijek</w:t>
      </w:r>
      <w:r w:rsidR="0022105B" w:rsidRPr="00B74B0F">
        <w:rPr>
          <w:rFonts w:ascii="Times New Roman" w:hAnsi="Times New Roman"/>
          <w:lang w:val="sr-Latn-ME"/>
        </w:rPr>
        <w:t xml:space="preserve"> </w:t>
      </w:r>
      <w:r w:rsidRPr="00B74B0F">
        <w:rPr>
          <w:rFonts w:ascii="Times New Roman" w:hAnsi="Times New Roman"/>
          <w:lang w:val="sr-Latn-ME"/>
        </w:rPr>
        <w:t xml:space="preserve">upadacitinib u dozi od 15 mg </w:t>
      </w:r>
      <w:r w:rsidR="00A1675E" w:rsidRPr="00B74B0F">
        <w:rPr>
          <w:rFonts w:ascii="Times New Roman" w:hAnsi="Times New Roman"/>
          <w:lang w:val="sr-Latn-ME"/>
        </w:rPr>
        <w:t>u odnosu na</w:t>
      </w:r>
      <w:r w:rsidRPr="00B74B0F">
        <w:rPr>
          <w:rFonts w:ascii="Times New Roman" w:hAnsi="Times New Roman"/>
          <w:lang w:val="sr-Latn-ME"/>
        </w:rPr>
        <w:t xml:space="preserve"> 31% </w:t>
      </w:r>
      <w:r w:rsidR="0022105B" w:rsidRPr="00B74B0F">
        <w:rPr>
          <w:rFonts w:ascii="Times New Roman" w:hAnsi="Times New Roman"/>
          <w:lang w:val="sr-Latn-ME"/>
        </w:rPr>
        <w:t xml:space="preserve">u </w:t>
      </w:r>
      <w:r w:rsidR="00A1675E" w:rsidRPr="00B74B0F">
        <w:rPr>
          <w:rFonts w:ascii="Times New Roman" w:hAnsi="Times New Roman"/>
          <w:lang w:val="sr-Latn-ME"/>
        </w:rPr>
        <w:t>grupi</w:t>
      </w:r>
      <w:r w:rsidR="0022105B" w:rsidRPr="00B74B0F">
        <w:rPr>
          <w:rFonts w:ascii="Times New Roman" w:hAnsi="Times New Roman"/>
          <w:lang w:val="sr-Latn-ME"/>
        </w:rPr>
        <w:t xml:space="preserve"> koja je primala </w:t>
      </w:r>
      <w:r w:rsidRPr="00B74B0F">
        <w:rPr>
          <w:rFonts w:ascii="Times New Roman" w:hAnsi="Times New Roman"/>
          <w:lang w:val="sr-Latn-ME"/>
        </w:rPr>
        <w:t xml:space="preserve">placebo </w:t>
      </w:r>
    </w:p>
    <w:p w14:paraId="27E8F0EC" w14:textId="23586B67" w:rsidR="004F3140" w:rsidRPr="00B74B0F" w:rsidRDefault="004F3140">
      <w:pPr>
        <w:pStyle w:val="ListParagraph"/>
        <w:keepNext/>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LDL</w:t>
      </w:r>
      <w:r w:rsidRPr="00B74B0F">
        <w:rPr>
          <w:rFonts w:ascii="Times New Roman" w:hAnsi="Times New Roman"/>
          <w:lang w:val="sr-Latn-ME"/>
        </w:rPr>
        <w:noBreakHyphen/>
      </w:r>
      <w:r w:rsidR="00A1675E" w:rsidRPr="00B74B0F">
        <w:rPr>
          <w:rFonts w:ascii="Times New Roman" w:hAnsi="Times New Roman"/>
          <w:lang w:val="sr-Latn-ME"/>
        </w:rPr>
        <w:t>h</w:t>
      </w:r>
      <w:r w:rsidRPr="00B74B0F">
        <w:rPr>
          <w:rFonts w:ascii="Times New Roman" w:hAnsi="Times New Roman"/>
          <w:lang w:val="sr-Latn-ME"/>
        </w:rPr>
        <w:t xml:space="preserve">olesterol ≥ 3,36 mmol/l (130 mg/dl): 42% </w:t>
      </w:r>
      <w:r w:rsidR="0022105B" w:rsidRPr="00B74B0F">
        <w:rPr>
          <w:rFonts w:ascii="Times New Roman" w:hAnsi="Times New Roman"/>
          <w:lang w:val="sr-Latn-ME"/>
        </w:rPr>
        <w:t xml:space="preserve">u </w:t>
      </w:r>
      <w:r w:rsidR="00A1675E" w:rsidRPr="00B74B0F">
        <w:rPr>
          <w:rFonts w:ascii="Times New Roman" w:hAnsi="Times New Roman"/>
          <w:lang w:val="sr-Latn-ME"/>
        </w:rPr>
        <w:t>grupi</w:t>
      </w:r>
      <w:r w:rsidR="0022105B" w:rsidRPr="00B74B0F">
        <w:rPr>
          <w:rFonts w:ascii="Times New Roman" w:hAnsi="Times New Roman"/>
          <w:lang w:val="sr-Latn-ME"/>
        </w:rPr>
        <w:t xml:space="preserve"> koja je primala</w:t>
      </w:r>
      <w:r w:rsidR="00A1675E" w:rsidRPr="00B74B0F">
        <w:rPr>
          <w:rFonts w:ascii="Times New Roman" w:hAnsi="Times New Roman"/>
          <w:lang w:val="sr-Latn-ME"/>
        </w:rPr>
        <w:t xml:space="preserve"> lijek</w:t>
      </w:r>
      <w:r w:rsidR="0022105B" w:rsidRPr="00B74B0F">
        <w:rPr>
          <w:rFonts w:ascii="Times New Roman" w:hAnsi="Times New Roman"/>
          <w:lang w:val="sr-Latn-ME"/>
        </w:rPr>
        <w:t xml:space="preserve"> </w:t>
      </w:r>
      <w:r w:rsidRPr="00B74B0F">
        <w:rPr>
          <w:rFonts w:ascii="Times New Roman" w:hAnsi="Times New Roman"/>
          <w:lang w:val="sr-Latn-ME"/>
        </w:rPr>
        <w:t xml:space="preserve">upadacitinib u dozi od 15 mg </w:t>
      </w:r>
      <w:r w:rsidR="00A1675E" w:rsidRPr="00B74B0F">
        <w:rPr>
          <w:rFonts w:ascii="Times New Roman" w:hAnsi="Times New Roman"/>
          <w:lang w:val="sr-Latn-ME"/>
        </w:rPr>
        <w:t>u odnosu na</w:t>
      </w:r>
      <w:r w:rsidRPr="00B74B0F">
        <w:rPr>
          <w:rFonts w:ascii="Times New Roman" w:hAnsi="Times New Roman"/>
          <w:lang w:val="sr-Latn-ME"/>
        </w:rPr>
        <w:t xml:space="preserve"> 19% </w:t>
      </w:r>
      <w:r w:rsidR="0022105B" w:rsidRPr="00B74B0F">
        <w:rPr>
          <w:rFonts w:ascii="Times New Roman" w:hAnsi="Times New Roman"/>
          <w:lang w:val="sr-Latn-ME"/>
        </w:rPr>
        <w:t xml:space="preserve">u </w:t>
      </w:r>
      <w:r w:rsidR="00A1675E" w:rsidRPr="00B74B0F">
        <w:rPr>
          <w:rFonts w:ascii="Times New Roman" w:hAnsi="Times New Roman"/>
          <w:lang w:val="sr-Latn-ME"/>
        </w:rPr>
        <w:t>grupi</w:t>
      </w:r>
      <w:r w:rsidR="0022105B" w:rsidRPr="00B74B0F">
        <w:rPr>
          <w:rFonts w:ascii="Times New Roman" w:hAnsi="Times New Roman"/>
          <w:lang w:val="sr-Latn-ME"/>
        </w:rPr>
        <w:t xml:space="preserve"> koja je primala </w:t>
      </w:r>
      <w:r w:rsidRPr="00B74B0F">
        <w:rPr>
          <w:rFonts w:ascii="Times New Roman" w:hAnsi="Times New Roman"/>
          <w:lang w:val="sr-Latn-ME"/>
        </w:rPr>
        <w:t xml:space="preserve">placebo </w:t>
      </w:r>
    </w:p>
    <w:p w14:paraId="2E6F5DC2" w14:textId="0500649C" w:rsidR="004F3140" w:rsidRPr="00B74B0F" w:rsidRDefault="004F3140">
      <w:pPr>
        <w:pStyle w:val="ListParagraph"/>
        <w:keepNext/>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HDL</w:t>
      </w:r>
      <w:r w:rsidRPr="00B74B0F">
        <w:rPr>
          <w:rFonts w:ascii="Times New Roman" w:hAnsi="Times New Roman"/>
          <w:lang w:val="sr-Latn-ME"/>
        </w:rPr>
        <w:noBreakHyphen/>
      </w:r>
      <w:r w:rsidR="00A1675E" w:rsidRPr="00B74B0F">
        <w:rPr>
          <w:rFonts w:ascii="Times New Roman" w:hAnsi="Times New Roman"/>
          <w:lang w:val="sr-Latn-ME"/>
        </w:rPr>
        <w:t>h</w:t>
      </w:r>
      <w:r w:rsidRPr="00B74B0F">
        <w:rPr>
          <w:rFonts w:ascii="Times New Roman" w:hAnsi="Times New Roman"/>
          <w:lang w:val="sr-Latn-ME"/>
        </w:rPr>
        <w:t xml:space="preserve">olesterol ≥ 1,03 mmol/l (40 mg/dl): 89% </w:t>
      </w:r>
      <w:r w:rsidR="0022105B" w:rsidRPr="00B74B0F">
        <w:rPr>
          <w:rFonts w:ascii="Times New Roman" w:hAnsi="Times New Roman"/>
          <w:lang w:val="sr-Latn-ME"/>
        </w:rPr>
        <w:t xml:space="preserve">u </w:t>
      </w:r>
      <w:r w:rsidR="00A1675E" w:rsidRPr="00B74B0F">
        <w:rPr>
          <w:rFonts w:ascii="Times New Roman" w:hAnsi="Times New Roman"/>
          <w:lang w:val="sr-Latn-ME"/>
        </w:rPr>
        <w:t>grupi</w:t>
      </w:r>
      <w:r w:rsidR="0022105B" w:rsidRPr="00B74B0F">
        <w:rPr>
          <w:rFonts w:ascii="Times New Roman" w:hAnsi="Times New Roman"/>
          <w:lang w:val="sr-Latn-ME"/>
        </w:rPr>
        <w:t xml:space="preserve"> koja je primala</w:t>
      </w:r>
      <w:r w:rsidR="00A1675E" w:rsidRPr="00B74B0F">
        <w:rPr>
          <w:rFonts w:ascii="Times New Roman" w:hAnsi="Times New Roman"/>
          <w:lang w:val="sr-Latn-ME"/>
        </w:rPr>
        <w:t xml:space="preserve"> lijek</w:t>
      </w:r>
      <w:r w:rsidR="0022105B" w:rsidRPr="00B74B0F">
        <w:rPr>
          <w:rFonts w:ascii="Times New Roman" w:hAnsi="Times New Roman"/>
          <w:lang w:val="sr-Latn-ME"/>
        </w:rPr>
        <w:t xml:space="preserve"> </w:t>
      </w:r>
      <w:r w:rsidRPr="00B74B0F">
        <w:rPr>
          <w:rFonts w:ascii="Times New Roman" w:hAnsi="Times New Roman"/>
          <w:lang w:val="sr-Latn-ME"/>
        </w:rPr>
        <w:t xml:space="preserve">upadacitinib u dozi od 15 mg </w:t>
      </w:r>
      <w:r w:rsidR="00A1675E" w:rsidRPr="00B74B0F">
        <w:rPr>
          <w:rFonts w:ascii="Times New Roman" w:hAnsi="Times New Roman"/>
          <w:lang w:val="sr-Latn-ME"/>
        </w:rPr>
        <w:t>u odnosu na</w:t>
      </w:r>
      <w:r w:rsidRPr="00B74B0F">
        <w:rPr>
          <w:rFonts w:ascii="Times New Roman" w:hAnsi="Times New Roman"/>
          <w:lang w:val="sr-Latn-ME"/>
        </w:rPr>
        <w:t xml:space="preserve"> 61% u</w:t>
      </w:r>
      <w:r w:rsidR="00AB7C35" w:rsidRPr="00B74B0F">
        <w:rPr>
          <w:rFonts w:ascii="Times New Roman" w:hAnsi="Times New Roman"/>
          <w:lang w:val="sr-Latn-ME"/>
        </w:rPr>
        <w:t xml:space="preserve"> grupi koja je primala</w:t>
      </w:r>
      <w:r w:rsidRPr="00B74B0F">
        <w:rPr>
          <w:rFonts w:ascii="Times New Roman" w:hAnsi="Times New Roman"/>
          <w:lang w:val="sr-Latn-ME"/>
        </w:rPr>
        <w:t xml:space="preserve"> placebo </w:t>
      </w:r>
    </w:p>
    <w:p w14:paraId="016CB505" w14:textId="7B206E70" w:rsidR="004F3140" w:rsidRPr="00B74B0F" w:rsidRDefault="004F3140">
      <w:pPr>
        <w:pStyle w:val="ListParagraph"/>
        <w:keepNext/>
        <w:numPr>
          <w:ilvl w:val="0"/>
          <w:numId w:val="38"/>
        </w:numPr>
        <w:spacing w:after="0" w:line="240" w:lineRule="auto"/>
        <w:jc w:val="both"/>
        <w:rPr>
          <w:rFonts w:ascii="Times New Roman" w:hAnsi="Times New Roman"/>
          <w:lang w:val="sr-Latn-ME"/>
        </w:rPr>
      </w:pPr>
      <w:r w:rsidRPr="00B74B0F">
        <w:rPr>
          <w:rFonts w:ascii="Times New Roman" w:hAnsi="Times New Roman"/>
          <w:lang w:val="sr-Latn-ME"/>
        </w:rPr>
        <w:t xml:space="preserve">Trigliceridi ≥ 2,26 mmol/l (200 mg/dl): 25% </w:t>
      </w:r>
      <w:r w:rsidR="0022105B" w:rsidRPr="00B74B0F">
        <w:rPr>
          <w:rFonts w:ascii="Times New Roman" w:hAnsi="Times New Roman"/>
          <w:lang w:val="sr-Latn-ME"/>
        </w:rPr>
        <w:t xml:space="preserve">u </w:t>
      </w:r>
      <w:r w:rsidR="00AB7C35" w:rsidRPr="00B74B0F">
        <w:rPr>
          <w:rFonts w:ascii="Times New Roman" w:hAnsi="Times New Roman"/>
          <w:lang w:val="sr-Latn-ME"/>
        </w:rPr>
        <w:t>g</w:t>
      </w:r>
      <w:r w:rsidR="00A1675E" w:rsidRPr="00B74B0F">
        <w:rPr>
          <w:rFonts w:ascii="Times New Roman" w:hAnsi="Times New Roman"/>
          <w:lang w:val="sr-Latn-ME"/>
        </w:rPr>
        <w:t>rupi</w:t>
      </w:r>
      <w:r w:rsidR="0022105B" w:rsidRPr="00B74B0F">
        <w:rPr>
          <w:rFonts w:ascii="Times New Roman" w:hAnsi="Times New Roman"/>
          <w:lang w:val="sr-Latn-ME"/>
        </w:rPr>
        <w:t xml:space="preserve"> koja je primala</w:t>
      </w:r>
      <w:r w:rsidR="00A1675E" w:rsidRPr="00B74B0F">
        <w:rPr>
          <w:rFonts w:ascii="Times New Roman" w:hAnsi="Times New Roman"/>
          <w:lang w:val="sr-Latn-ME"/>
        </w:rPr>
        <w:t xml:space="preserve"> lijek</w:t>
      </w:r>
      <w:r w:rsidR="0022105B" w:rsidRPr="00B74B0F">
        <w:rPr>
          <w:rFonts w:ascii="Times New Roman" w:hAnsi="Times New Roman"/>
          <w:lang w:val="sr-Latn-ME"/>
        </w:rPr>
        <w:t xml:space="preserve"> </w:t>
      </w:r>
      <w:r w:rsidRPr="00B74B0F">
        <w:rPr>
          <w:rFonts w:ascii="Times New Roman" w:hAnsi="Times New Roman"/>
          <w:lang w:val="sr-Latn-ME"/>
        </w:rPr>
        <w:t xml:space="preserve">upadacitinib u dozi od 15 mg </w:t>
      </w:r>
      <w:r w:rsidR="00A1675E" w:rsidRPr="00B74B0F">
        <w:rPr>
          <w:rFonts w:ascii="Times New Roman" w:hAnsi="Times New Roman"/>
          <w:lang w:val="sr-Latn-ME"/>
        </w:rPr>
        <w:t>u odnosu na</w:t>
      </w:r>
      <w:r w:rsidRPr="00B74B0F">
        <w:rPr>
          <w:rFonts w:ascii="Times New Roman" w:hAnsi="Times New Roman"/>
          <w:lang w:val="sr-Latn-ME"/>
        </w:rPr>
        <w:t xml:space="preserve"> 15% </w:t>
      </w:r>
      <w:r w:rsidR="0022105B" w:rsidRPr="00B74B0F">
        <w:rPr>
          <w:rFonts w:ascii="Times New Roman" w:hAnsi="Times New Roman"/>
          <w:lang w:val="sr-Latn-ME"/>
        </w:rPr>
        <w:t xml:space="preserve">u </w:t>
      </w:r>
      <w:r w:rsidR="00A1675E" w:rsidRPr="00B74B0F">
        <w:rPr>
          <w:rFonts w:ascii="Times New Roman" w:hAnsi="Times New Roman"/>
          <w:lang w:val="sr-Latn-ME"/>
        </w:rPr>
        <w:t>grupi</w:t>
      </w:r>
      <w:r w:rsidR="0022105B" w:rsidRPr="00B74B0F">
        <w:rPr>
          <w:rFonts w:ascii="Times New Roman" w:hAnsi="Times New Roman"/>
          <w:lang w:val="sr-Latn-ME"/>
        </w:rPr>
        <w:t xml:space="preserve"> koja je primala </w:t>
      </w:r>
      <w:r w:rsidRPr="00B74B0F">
        <w:rPr>
          <w:rFonts w:ascii="Times New Roman" w:hAnsi="Times New Roman"/>
          <w:lang w:val="sr-Latn-ME"/>
        </w:rPr>
        <w:t>placebo</w:t>
      </w:r>
    </w:p>
    <w:p w14:paraId="4269369D" w14:textId="77777777" w:rsidR="004F3140" w:rsidRPr="00B74B0F" w:rsidRDefault="004F3140">
      <w:pPr>
        <w:autoSpaceDE w:val="0"/>
        <w:autoSpaceDN w:val="0"/>
        <w:adjustRightInd w:val="0"/>
        <w:spacing w:line="240" w:lineRule="auto"/>
        <w:contextualSpacing/>
        <w:jc w:val="both"/>
        <w:rPr>
          <w:szCs w:val="22"/>
          <w:lang w:val="sr-Latn-ME"/>
        </w:rPr>
      </w:pPr>
    </w:p>
    <w:p w14:paraId="59610EE9" w14:textId="77777777" w:rsidR="00D04496"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Kreatin fosfokinaza</w:t>
      </w:r>
    </w:p>
    <w:p w14:paraId="7B85D8D5" w14:textId="77777777" w:rsidR="003748F7" w:rsidRPr="00B74B0F" w:rsidRDefault="003748F7">
      <w:pPr>
        <w:keepNext/>
        <w:autoSpaceDE w:val="0"/>
        <w:autoSpaceDN w:val="0"/>
        <w:adjustRightInd w:val="0"/>
        <w:spacing w:line="240" w:lineRule="auto"/>
        <w:contextualSpacing/>
        <w:jc w:val="both"/>
        <w:rPr>
          <w:i/>
          <w:szCs w:val="22"/>
          <w:lang w:val="sr-Latn-ME"/>
        </w:rPr>
      </w:pPr>
    </w:p>
    <w:p w14:paraId="58DC5B90" w14:textId="26BA3BC7" w:rsidR="00215B25" w:rsidRPr="00B74B0F" w:rsidRDefault="00906CF8">
      <w:pPr>
        <w:autoSpaceDE w:val="0"/>
        <w:autoSpaceDN w:val="0"/>
        <w:adjustRightInd w:val="0"/>
        <w:spacing w:line="240" w:lineRule="auto"/>
        <w:contextualSpacing/>
        <w:jc w:val="both"/>
        <w:rPr>
          <w:i/>
          <w:szCs w:val="22"/>
          <w:lang w:val="sr-Latn-ME"/>
        </w:rPr>
      </w:pPr>
      <w:r w:rsidRPr="00B74B0F">
        <w:rPr>
          <w:szCs w:val="22"/>
          <w:lang w:val="sr-Latn-ME"/>
        </w:rPr>
        <w:t>U placebom kontroli</w:t>
      </w:r>
      <w:r w:rsidR="00A1675E" w:rsidRPr="00B74B0F">
        <w:rPr>
          <w:szCs w:val="22"/>
          <w:lang w:val="sr-Latn-ME"/>
        </w:rPr>
        <w:t>s</w:t>
      </w:r>
      <w:r w:rsidRPr="00B74B0F">
        <w:rPr>
          <w:szCs w:val="22"/>
          <w:lang w:val="sr-Latn-ME"/>
        </w:rPr>
        <w:t>anim ispitivanjima primjene uz osnovnu terapiju DMARD u trajanju do 12/14 </w:t>
      </w:r>
      <w:r w:rsidR="00810FE0" w:rsidRPr="00B74B0F">
        <w:rPr>
          <w:szCs w:val="22"/>
          <w:lang w:val="sr-Latn-ME"/>
        </w:rPr>
        <w:t>n</w:t>
      </w:r>
      <w:r w:rsidR="008806F8" w:rsidRPr="00B74B0F">
        <w:rPr>
          <w:szCs w:val="22"/>
          <w:lang w:val="sr-Latn-ME"/>
        </w:rPr>
        <w:t>ed</w:t>
      </w:r>
      <w:r w:rsidR="00810FE0" w:rsidRPr="00B74B0F">
        <w:rPr>
          <w:szCs w:val="22"/>
          <w:lang w:val="sr-Latn-ME"/>
        </w:rPr>
        <w:t>j</w:t>
      </w:r>
      <w:r w:rsidR="008806F8" w:rsidRPr="00B74B0F">
        <w:rPr>
          <w:szCs w:val="22"/>
          <w:lang w:val="sr-Latn-ME"/>
        </w:rPr>
        <w:t>elja</w:t>
      </w:r>
      <w:r w:rsidRPr="00B74B0F">
        <w:rPr>
          <w:szCs w:val="22"/>
          <w:lang w:val="sr-Latn-ME"/>
        </w:rPr>
        <w:t xml:space="preserve"> </w:t>
      </w:r>
      <w:r w:rsidR="00A1675E" w:rsidRPr="00B74B0F">
        <w:rPr>
          <w:szCs w:val="22"/>
          <w:lang w:val="sr-Latn-ME"/>
        </w:rPr>
        <w:t>za</w:t>
      </w:r>
      <w:r w:rsidRPr="00B74B0F">
        <w:rPr>
          <w:szCs w:val="22"/>
          <w:lang w:val="sr-Latn-ME"/>
        </w:rPr>
        <w:t>pažena su pov</w:t>
      </w:r>
      <w:r w:rsidR="00AB7C35" w:rsidRPr="00B74B0F">
        <w:rPr>
          <w:szCs w:val="22"/>
          <w:lang w:val="sr-Latn-ME"/>
        </w:rPr>
        <w:t>ećanja</w:t>
      </w:r>
      <w:r w:rsidRPr="00B74B0F">
        <w:rPr>
          <w:szCs w:val="22"/>
          <w:lang w:val="sr-Latn-ME"/>
        </w:rPr>
        <w:t xml:space="preserve"> vrijednosti kreatin fosfokinaze (engl. </w:t>
      </w:r>
      <w:r w:rsidRPr="00B74B0F">
        <w:rPr>
          <w:i/>
          <w:iCs/>
          <w:szCs w:val="22"/>
          <w:lang w:val="sr-Latn-ME"/>
        </w:rPr>
        <w:t>creatine phosphokinase</w:t>
      </w:r>
      <w:r w:rsidRPr="00B74B0F">
        <w:rPr>
          <w:szCs w:val="22"/>
          <w:lang w:val="sr-Latn-ME"/>
        </w:rPr>
        <w:t>, CPK). T</w:t>
      </w:r>
      <w:r w:rsidR="00A1675E" w:rsidRPr="00B74B0F">
        <w:rPr>
          <w:szCs w:val="22"/>
          <w:lang w:val="sr-Latn-ME"/>
        </w:rPr>
        <w:t>o</w:t>
      </w:r>
      <w:r w:rsidRPr="00B74B0F">
        <w:rPr>
          <w:szCs w:val="22"/>
          <w:lang w:val="sr-Latn-ME"/>
        </w:rPr>
        <w:t>kom 12/14 </w:t>
      </w:r>
      <w:r w:rsidR="00810FE0" w:rsidRPr="00B74B0F">
        <w:rPr>
          <w:szCs w:val="22"/>
          <w:lang w:val="sr-Latn-ME"/>
        </w:rPr>
        <w:t>n</w:t>
      </w:r>
      <w:r w:rsidR="008806F8" w:rsidRPr="00B74B0F">
        <w:rPr>
          <w:szCs w:val="22"/>
          <w:lang w:val="sr-Latn-ME"/>
        </w:rPr>
        <w:t>ed</w:t>
      </w:r>
      <w:r w:rsidR="00810FE0" w:rsidRPr="00B74B0F">
        <w:rPr>
          <w:szCs w:val="22"/>
          <w:lang w:val="sr-Latn-ME"/>
        </w:rPr>
        <w:t>j</w:t>
      </w:r>
      <w:r w:rsidR="008806F8" w:rsidRPr="00B74B0F">
        <w:rPr>
          <w:szCs w:val="22"/>
          <w:lang w:val="sr-Latn-ME"/>
        </w:rPr>
        <w:t>elja</w:t>
      </w:r>
      <w:r w:rsidRPr="00B74B0F">
        <w:rPr>
          <w:szCs w:val="22"/>
          <w:lang w:val="sr-Latn-ME"/>
        </w:rPr>
        <w:t xml:space="preserve"> povišenja vrijednosti CPK &gt; 5 x iznad gornje granice normale (GGN) prijavljena su </w:t>
      </w:r>
      <w:r w:rsidR="00A1675E" w:rsidRPr="00B74B0F">
        <w:rPr>
          <w:szCs w:val="22"/>
          <w:lang w:val="sr-Latn-ME"/>
        </w:rPr>
        <w:t>kod</w:t>
      </w:r>
      <w:r w:rsidRPr="00B74B0F">
        <w:rPr>
          <w:szCs w:val="22"/>
          <w:lang w:val="sr-Latn-ME"/>
        </w:rPr>
        <w:t xml:space="preserve"> 1,0% </w:t>
      </w:r>
      <w:r w:rsidR="00BB59FC" w:rsidRPr="00B74B0F">
        <w:rPr>
          <w:szCs w:val="22"/>
          <w:lang w:val="sr-Latn-ME"/>
        </w:rPr>
        <w:t>pacijenata</w:t>
      </w:r>
      <w:r w:rsidRPr="00B74B0F">
        <w:rPr>
          <w:szCs w:val="22"/>
          <w:lang w:val="sr-Latn-ME"/>
        </w:rPr>
        <w:t xml:space="preserve"> liječenih</w:t>
      </w:r>
      <w:r w:rsidR="00A1675E" w:rsidRPr="00B74B0F">
        <w:rPr>
          <w:szCs w:val="22"/>
          <w:lang w:val="sr-Latn-ME"/>
        </w:rPr>
        <w:t xml:space="preserve"> </w:t>
      </w:r>
      <w:r w:rsidRPr="00B74B0F">
        <w:rPr>
          <w:szCs w:val="22"/>
          <w:lang w:val="sr-Latn-ME"/>
        </w:rPr>
        <w:t>upadacitinib</w:t>
      </w:r>
      <w:r w:rsidR="005767EC" w:rsidRPr="00B74B0F">
        <w:rPr>
          <w:szCs w:val="22"/>
          <w:lang w:val="sr-Latn-ME"/>
        </w:rPr>
        <w:t>om</w:t>
      </w:r>
      <w:r w:rsidRPr="00B74B0F">
        <w:rPr>
          <w:szCs w:val="22"/>
          <w:lang w:val="sr-Latn-ME"/>
        </w:rPr>
        <w:t xml:space="preserve"> u dozi od 15 mg </w:t>
      </w:r>
      <w:r w:rsidR="00AB7C35" w:rsidRPr="00B74B0F">
        <w:rPr>
          <w:szCs w:val="22"/>
          <w:lang w:val="sr-Latn-ME"/>
        </w:rPr>
        <w:t>i</w:t>
      </w:r>
      <w:r w:rsidRPr="00B74B0F">
        <w:rPr>
          <w:szCs w:val="22"/>
          <w:lang w:val="sr-Latn-ME"/>
        </w:rPr>
        <w:t xml:space="preserve"> 0,3% onih koji su primali placebo. U većini slučajeva</w:t>
      </w:r>
      <w:r w:rsidR="00A1675E" w:rsidRPr="00B74B0F">
        <w:rPr>
          <w:szCs w:val="22"/>
          <w:lang w:val="sr-Latn-ME"/>
        </w:rPr>
        <w:t xml:space="preserve"> su</w:t>
      </w:r>
      <w:r w:rsidRPr="00B74B0F">
        <w:rPr>
          <w:szCs w:val="22"/>
          <w:lang w:val="sr-Latn-ME"/>
        </w:rPr>
        <w:t xml:space="preserve"> pov</w:t>
      </w:r>
      <w:r w:rsidR="00AB7C35" w:rsidRPr="00B74B0F">
        <w:rPr>
          <w:szCs w:val="22"/>
          <w:lang w:val="sr-Latn-ME"/>
        </w:rPr>
        <w:t>ećanja</w:t>
      </w:r>
      <w:r w:rsidRPr="00B74B0F">
        <w:rPr>
          <w:szCs w:val="22"/>
          <w:lang w:val="sr-Latn-ME"/>
        </w:rPr>
        <w:t xml:space="preserve"> vrijednosti &gt; 5 x GGN bila prolazne prirode i ni</w:t>
      </w:r>
      <w:r w:rsidR="000502D4" w:rsidRPr="00B74B0F">
        <w:rPr>
          <w:szCs w:val="22"/>
          <w:lang w:val="sr-Latn-ME"/>
        </w:rPr>
        <w:t>je</w:t>
      </w:r>
      <w:r w:rsidRPr="00B74B0F">
        <w:rPr>
          <w:szCs w:val="22"/>
          <w:lang w:val="sr-Latn-ME"/>
        </w:rPr>
        <w:t>su zahtijevala prekid liječenja. Srednje vrijednosti CPK</w:t>
      </w:r>
      <w:r w:rsidR="00551941" w:rsidRPr="00B74B0F">
        <w:rPr>
          <w:szCs w:val="22"/>
          <w:lang w:val="sr-Latn-ME"/>
        </w:rPr>
        <w:t xml:space="preserve"> </w:t>
      </w:r>
      <w:r w:rsidRPr="00B74B0F">
        <w:rPr>
          <w:szCs w:val="22"/>
          <w:lang w:val="sr-Latn-ME"/>
        </w:rPr>
        <w:t>rasle su do</w:t>
      </w:r>
      <w:r w:rsidR="00A1675E" w:rsidRPr="00B74B0F">
        <w:rPr>
          <w:szCs w:val="22"/>
          <w:lang w:val="sr-Latn-ME"/>
        </w:rPr>
        <w:t xml:space="preserve"> </w:t>
      </w:r>
      <w:r w:rsidRPr="00B74B0F">
        <w:rPr>
          <w:szCs w:val="22"/>
          <w:lang w:val="sr-Latn-ME"/>
        </w:rPr>
        <w:t>4</w:t>
      </w:r>
      <w:r w:rsidR="000502D4" w:rsidRPr="00B74B0F">
        <w:rPr>
          <w:szCs w:val="22"/>
          <w:lang w:val="sr-Latn-ME"/>
        </w:rPr>
        <w:t>.</w:t>
      </w:r>
      <w:r w:rsidR="00551941" w:rsidRPr="00B74B0F">
        <w:rPr>
          <w:szCs w:val="22"/>
          <w:lang w:val="sr-Latn-ME"/>
        </w:rPr>
        <w:t xml:space="preserve"> </w:t>
      </w:r>
      <w:r w:rsidR="000502D4" w:rsidRPr="00B74B0F">
        <w:rPr>
          <w:szCs w:val="22"/>
          <w:lang w:val="sr-Latn-ME"/>
        </w:rPr>
        <w:t>nedjelje</w:t>
      </w:r>
      <w:r w:rsidRPr="00B74B0F">
        <w:rPr>
          <w:szCs w:val="22"/>
          <w:lang w:val="sr-Latn-ME"/>
        </w:rPr>
        <w:t>, uz srednju vrijednost porasta od 60 </w:t>
      </w:r>
      <w:r w:rsidR="00AB7C35" w:rsidRPr="00B74B0F">
        <w:rPr>
          <w:szCs w:val="22"/>
          <w:lang w:val="sr-Latn-ME"/>
        </w:rPr>
        <w:t>U</w:t>
      </w:r>
      <w:r w:rsidRPr="00B74B0F">
        <w:rPr>
          <w:szCs w:val="22"/>
          <w:lang w:val="sr-Latn-ME"/>
        </w:rPr>
        <w:t xml:space="preserve">/l </w:t>
      </w:r>
      <w:r w:rsidR="0043406E" w:rsidRPr="00B74B0F">
        <w:rPr>
          <w:szCs w:val="22"/>
          <w:lang w:val="sr-Latn-ME"/>
        </w:rPr>
        <w:t>u</w:t>
      </w:r>
      <w:r w:rsidRPr="00B74B0F">
        <w:rPr>
          <w:szCs w:val="22"/>
          <w:lang w:val="sr-Latn-ME"/>
        </w:rPr>
        <w:t xml:space="preserve"> 12</w:t>
      </w:r>
      <w:r w:rsidR="000502D4" w:rsidRPr="00B74B0F">
        <w:rPr>
          <w:szCs w:val="22"/>
          <w:lang w:val="sr-Latn-ME"/>
        </w:rPr>
        <w:t>.</w:t>
      </w:r>
      <w:r w:rsidR="00551941" w:rsidRPr="00B74B0F">
        <w:rPr>
          <w:szCs w:val="22"/>
          <w:lang w:val="sr-Latn-ME"/>
        </w:rPr>
        <w:t xml:space="preserve"> </w:t>
      </w:r>
      <w:r w:rsidR="000502D4" w:rsidRPr="00B74B0F">
        <w:rPr>
          <w:szCs w:val="22"/>
          <w:lang w:val="sr-Latn-ME"/>
        </w:rPr>
        <w:t>nedjelji</w:t>
      </w:r>
      <w:r w:rsidR="00AB7C35" w:rsidRPr="00B74B0F">
        <w:rPr>
          <w:szCs w:val="22"/>
          <w:lang w:val="sr-Latn-ME"/>
        </w:rPr>
        <w:t xml:space="preserve"> i onda su ostale stabilne</w:t>
      </w:r>
      <w:r w:rsidRPr="00B74B0F">
        <w:rPr>
          <w:szCs w:val="22"/>
          <w:lang w:val="sr-Latn-ME"/>
        </w:rPr>
        <w:t xml:space="preserve"> na pov</w:t>
      </w:r>
      <w:r w:rsidR="00066B52" w:rsidRPr="00B74B0F">
        <w:rPr>
          <w:szCs w:val="22"/>
          <w:lang w:val="sr-Latn-ME"/>
        </w:rPr>
        <w:t>ećanoj</w:t>
      </w:r>
      <w:r w:rsidRPr="00B74B0F">
        <w:rPr>
          <w:szCs w:val="22"/>
          <w:lang w:val="sr-Latn-ME"/>
        </w:rPr>
        <w:t xml:space="preserve"> vrijednosti, čak i uz dugoročno liječenje.</w:t>
      </w:r>
    </w:p>
    <w:p w14:paraId="18B18AA4" w14:textId="77777777" w:rsidR="00D04496" w:rsidRPr="00B74B0F" w:rsidRDefault="00D04496">
      <w:pPr>
        <w:autoSpaceDE w:val="0"/>
        <w:autoSpaceDN w:val="0"/>
        <w:adjustRightInd w:val="0"/>
        <w:spacing w:line="240" w:lineRule="auto"/>
        <w:contextualSpacing/>
        <w:jc w:val="both"/>
        <w:rPr>
          <w:i/>
          <w:szCs w:val="22"/>
          <w:lang w:val="sr-Latn-ME"/>
        </w:rPr>
      </w:pPr>
    </w:p>
    <w:p w14:paraId="6F310FD0" w14:textId="6EE025EE" w:rsidR="003748F7"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Neutropenija</w:t>
      </w:r>
    </w:p>
    <w:p w14:paraId="281C069C" w14:textId="77777777" w:rsidR="006036E0" w:rsidRPr="00B74B0F" w:rsidRDefault="006036E0">
      <w:pPr>
        <w:keepNext/>
        <w:autoSpaceDE w:val="0"/>
        <w:autoSpaceDN w:val="0"/>
        <w:adjustRightInd w:val="0"/>
        <w:spacing w:line="240" w:lineRule="auto"/>
        <w:contextualSpacing/>
        <w:jc w:val="both"/>
        <w:rPr>
          <w:i/>
          <w:szCs w:val="22"/>
          <w:lang w:val="sr-Latn-ME"/>
        </w:rPr>
      </w:pPr>
    </w:p>
    <w:p w14:paraId="483889EF" w14:textId="1F14CA61" w:rsidR="00215B25"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U placebom kontroli</w:t>
      </w:r>
      <w:r w:rsidR="00A1675E" w:rsidRPr="00B74B0F">
        <w:rPr>
          <w:szCs w:val="22"/>
          <w:lang w:val="sr-Latn-ME"/>
        </w:rPr>
        <w:t>s</w:t>
      </w:r>
      <w:r w:rsidRPr="00B74B0F">
        <w:rPr>
          <w:szCs w:val="22"/>
          <w:lang w:val="sr-Latn-ME"/>
        </w:rPr>
        <w:t>anim ispitivanjima primjene uz osnovnu terapiju DMARD u trajanju do 12/14 </w:t>
      </w:r>
      <w:r w:rsidR="00810FE0" w:rsidRPr="00B74B0F">
        <w:rPr>
          <w:szCs w:val="22"/>
          <w:lang w:val="sr-Latn-ME"/>
        </w:rPr>
        <w:t>n</w:t>
      </w:r>
      <w:r w:rsidR="008806F8" w:rsidRPr="00B74B0F">
        <w:rPr>
          <w:szCs w:val="22"/>
          <w:lang w:val="sr-Latn-ME"/>
        </w:rPr>
        <w:t>ed</w:t>
      </w:r>
      <w:r w:rsidR="00810FE0" w:rsidRPr="00B74B0F">
        <w:rPr>
          <w:szCs w:val="22"/>
          <w:lang w:val="sr-Latn-ME"/>
        </w:rPr>
        <w:t>j</w:t>
      </w:r>
      <w:r w:rsidR="008806F8" w:rsidRPr="00B74B0F">
        <w:rPr>
          <w:szCs w:val="22"/>
          <w:lang w:val="sr-Latn-ME"/>
        </w:rPr>
        <w:t>elja</w:t>
      </w:r>
      <w:r w:rsidRPr="00B74B0F">
        <w:rPr>
          <w:szCs w:val="22"/>
          <w:lang w:val="sr-Latn-ME"/>
        </w:rPr>
        <w:t xml:space="preserve">, pad broja neutrofila ispod </w:t>
      </w:r>
      <w:r w:rsidR="00551941" w:rsidRPr="00B74B0F">
        <w:rPr>
          <w:szCs w:val="22"/>
          <w:lang w:val="sr-Latn-ME"/>
        </w:rPr>
        <w:t>1 x 10</w:t>
      </w:r>
      <w:r w:rsidR="00551941" w:rsidRPr="00B74B0F">
        <w:rPr>
          <w:szCs w:val="22"/>
          <w:vertAlign w:val="superscript"/>
          <w:lang w:val="sr-Latn-ME"/>
        </w:rPr>
        <w:t>9</w:t>
      </w:r>
      <w:r w:rsidR="00551941" w:rsidRPr="00B74B0F" w:rsidDel="00551941">
        <w:rPr>
          <w:szCs w:val="22"/>
          <w:vertAlign w:val="superscript"/>
          <w:lang w:val="sr-Latn-ME"/>
        </w:rPr>
        <w:t xml:space="preserve"> </w:t>
      </w:r>
      <w:r w:rsidRPr="00B74B0F">
        <w:rPr>
          <w:szCs w:val="22"/>
          <w:lang w:val="sr-Latn-ME"/>
        </w:rPr>
        <w:t> </w:t>
      </w:r>
      <w:r w:rsidR="00A1675E" w:rsidRPr="00B74B0F">
        <w:rPr>
          <w:szCs w:val="22"/>
          <w:lang w:val="sr-Latn-ME"/>
        </w:rPr>
        <w:t>ćelija</w:t>
      </w:r>
      <w:r w:rsidRPr="00B74B0F">
        <w:rPr>
          <w:szCs w:val="22"/>
          <w:lang w:val="sr-Latn-ME"/>
        </w:rPr>
        <w:t>/</w:t>
      </w:r>
      <w:r w:rsidR="00551941" w:rsidRPr="00B74B0F">
        <w:rPr>
          <w:szCs w:val="22"/>
          <w:lang w:val="sr-Latn-ME"/>
        </w:rPr>
        <w:t>l</w:t>
      </w:r>
      <w:r w:rsidRPr="00B74B0F">
        <w:rPr>
          <w:szCs w:val="22"/>
          <w:lang w:val="sr-Latn-ME"/>
        </w:rPr>
        <w:t xml:space="preserve"> pri najmanje jednom mjerenju zabilježen je </w:t>
      </w:r>
      <w:r w:rsidR="00A1675E" w:rsidRPr="00B74B0F">
        <w:rPr>
          <w:szCs w:val="22"/>
          <w:lang w:val="sr-Latn-ME"/>
        </w:rPr>
        <w:t>kod</w:t>
      </w:r>
      <w:r w:rsidRPr="00B74B0F">
        <w:rPr>
          <w:szCs w:val="22"/>
          <w:lang w:val="sr-Latn-ME"/>
        </w:rPr>
        <w:t xml:space="preserve"> 1,1% </w:t>
      </w:r>
      <w:r w:rsidR="00BB59FC" w:rsidRPr="00B74B0F">
        <w:rPr>
          <w:szCs w:val="22"/>
          <w:lang w:val="sr-Latn-ME"/>
        </w:rPr>
        <w:t>pacijenata</w:t>
      </w:r>
      <w:r w:rsidRPr="00B74B0F">
        <w:rPr>
          <w:szCs w:val="22"/>
          <w:lang w:val="sr-Latn-ME"/>
        </w:rPr>
        <w:t xml:space="preserve"> liječenih</w:t>
      </w:r>
      <w:r w:rsidR="00A1675E" w:rsidRPr="00B74B0F">
        <w:rPr>
          <w:szCs w:val="22"/>
          <w:lang w:val="sr-Latn-ME"/>
        </w:rPr>
        <w:t xml:space="preserve"> </w:t>
      </w:r>
      <w:r w:rsidRPr="00B74B0F">
        <w:rPr>
          <w:szCs w:val="22"/>
          <w:lang w:val="sr-Latn-ME"/>
        </w:rPr>
        <w:t>upadacitinib</w:t>
      </w:r>
      <w:r w:rsidR="005767EC" w:rsidRPr="00B74B0F">
        <w:rPr>
          <w:szCs w:val="22"/>
          <w:lang w:val="sr-Latn-ME"/>
        </w:rPr>
        <w:t>om</w:t>
      </w:r>
      <w:r w:rsidRPr="00B74B0F">
        <w:rPr>
          <w:szCs w:val="22"/>
          <w:lang w:val="sr-Latn-ME"/>
        </w:rPr>
        <w:t xml:space="preserve"> u dozi od 15 mg </w:t>
      </w:r>
      <w:r w:rsidR="00066B52" w:rsidRPr="00B74B0F">
        <w:rPr>
          <w:szCs w:val="22"/>
          <w:lang w:val="sr-Latn-ME"/>
        </w:rPr>
        <w:t xml:space="preserve">i </w:t>
      </w:r>
      <w:r w:rsidRPr="00B74B0F">
        <w:rPr>
          <w:szCs w:val="22"/>
          <w:lang w:val="sr-Latn-ME"/>
        </w:rPr>
        <w:t xml:space="preserve"> &lt; 0,1% onih koji su primali placebo. U kliničkim ispitivanjima</w:t>
      </w:r>
      <w:r w:rsidR="00A1675E" w:rsidRPr="00B74B0F">
        <w:rPr>
          <w:szCs w:val="22"/>
          <w:lang w:val="sr-Latn-ME"/>
        </w:rPr>
        <w:t xml:space="preserve"> se</w:t>
      </w:r>
      <w:r w:rsidRPr="00B74B0F">
        <w:rPr>
          <w:szCs w:val="22"/>
          <w:lang w:val="sr-Latn-ME"/>
        </w:rPr>
        <w:t xml:space="preserve"> liječenje prekidalo kada je ABN bio &lt; </w:t>
      </w:r>
      <w:r w:rsidR="00551941" w:rsidRPr="00B74B0F">
        <w:rPr>
          <w:szCs w:val="22"/>
          <w:lang w:val="sr-Latn-ME"/>
        </w:rPr>
        <w:t>1 x 10</w:t>
      </w:r>
      <w:r w:rsidR="00551941" w:rsidRPr="00B74B0F">
        <w:rPr>
          <w:szCs w:val="22"/>
          <w:vertAlign w:val="superscript"/>
          <w:lang w:val="sr-Latn-ME"/>
        </w:rPr>
        <w:t>9</w:t>
      </w:r>
      <w:r w:rsidR="00551941" w:rsidRPr="00B74B0F" w:rsidDel="00551941">
        <w:rPr>
          <w:szCs w:val="22"/>
          <w:vertAlign w:val="superscript"/>
          <w:lang w:val="sr-Latn-ME"/>
        </w:rPr>
        <w:t xml:space="preserve"> </w:t>
      </w:r>
      <w:r w:rsidR="00551941" w:rsidRPr="00B74B0F">
        <w:rPr>
          <w:szCs w:val="22"/>
          <w:lang w:val="sr-Latn-ME"/>
        </w:rPr>
        <w:t> ćelija/l</w:t>
      </w:r>
      <w:r w:rsidRPr="00B74B0F">
        <w:rPr>
          <w:szCs w:val="22"/>
          <w:lang w:val="sr-Latn-ME"/>
        </w:rPr>
        <w:t xml:space="preserve"> (vidjeti dio 4.2). Srednje vrijednosti </w:t>
      </w:r>
      <w:r w:rsidR="0043406E" w:rsidRPr="00B74B0F">
        <w:rPr>
          <w:szCs w:val="22"/>
          <w:lang w:val="sr-Latn-ME"/>
        </w:rPr>
        <w:t xml:space="preserve">broja </w:t>
      </w:r>
      <w:r w:rsidRPr="00B74B0F">
        <w:rPr>
          <w:szCs w:val="22"/>
          <w:lang w:val="sr-Latn-ME"/>
        </w:rPr>
        <w:t xml:space="preserve">neutrofila opadale su </w:t>
      </w:r>
      <w:r w:rsidR="00A1675E" w:rsidRPr="00B74B0F">
        <w:rPr>
          <w:szCs w:val="22"/>
          <w:lang w:val="sr-Latn-ME"/>
        </w:rPr>
        <w:t>u periodu od</w:t>
      </w:r>
      <w:r w:rsidRPr="00B74B0F">
        <w:rPr>
          <w:szCs w:val="22"/>
          <w:lang w:val="sr-Latn-ME"/>
        </w:rPr>
        <w:t xml:space="preserve"> 4 </w:t>
      </w:r>
      <w:r w:rsidRPr="00B74B0F">
        <w:rPr>
          <w:szCs w:val="22"/>
          <w:lang w:val="sr-Latn-ME"/>
        </w:rPr>
        <w:noBreakHyphen/>
        <w:t> 8 </w:t>
      </w:r>
      <w:r w:rsidR="00B10681" w:rsidRPr="00B74B0F">
        <w:rPr>
          <w:szCs w:val="22"/>
          <w:lang w:val="sr-Latn-ME"/>
        </w:rPr>
        <w:t>n</w:t>
      </w:r>
      <w:r w:rsidR="008806F8" w:rsidRPr="00B74B0F">
        <w:rPr>
          <w:szCs w:val="22"/>
          <w:lang w:val="sr-Latn-ME"/>
        </w:rPr>
        <w:t>ed</w:t>
      </w:r>
      <w:r w:rsidR="00810FE0" w:rsidRPr="00B74B0F">
        <w:rPr>
          <w:szCs w:val="22"/>
          <w:lang w:val="sr-Latn-ME"/>
        </w:rPr>
        <w:t>j</w:t>
      </w:r>
      <w:r w:rsidR="008806F8" w:rsidRPr="00B74B0F">
        <w:rPr>
          <w:szCs w:val="22"/>
          <w:lang w:val="sr-Latn-ME"/>
        </w:rPr>
        <w:t>elja</w:t>
      </w:r>
      <w:r w:rsidRPr="00B74B0F">
        <w:rPr>
          <w:szCs w:val="22"/>
          <w:lang w:val="sr-Latn-ME"/>
        </w:rPr>
        <w:t xml:space="preserve">. </w:t>
      </w:r>
      <w:r w:rsidR="00A1675E" w:rsidRPr="00B74B0F">
        <w:rPr>
          <w:szCs w:val="22"/>
          <w:lang w:val="sr-Latn-ME"/>
        </w:rPr>
        <w:t>Zatim</w:t>
      </w:r>
      <w:r w:rsidRPr="00B74B0F">
        <w:rPr>
          <w:szCs w:val="22"/>
          <w:lang w:val="sr-Latn-ME"/>
        </w:rPr>
        <w:t xml:space="preserve"> se broj neutrofila t</w:t>
      </w:r>
      <w:r w:rsidR="00A1675E" w:rsidRPr="00B74B0F">
        <w:rPr>
          <w:szCs w:val="22"/>
          <w:lang w:val="sr-Latn-ME"/>
        </w:rPr>
        <w:t>o</w:t>
      </w:r>
      <w:r w:rsidRPr="00B74B0F">
        <w:rPr>
          <w:szCs w:val="22"/>
          <w:lang w:val="sr-Latn-ME"/>
        </w:rPr>
        <w:t xml:space="preserve">kom vremena stabilno zadržavao na </w:t>
      </w:r>
      <w:r w:rsidR="00A1675E" w:rsidRPr="00B74B0F">
        <w:rPr>
          <w:szCs w:val="22"/>
          <w:lang w:val="sr-Latn-ME"/>
        </w:rPr>
        <w:t>vrijednostima</w:t>
      </w:r>
      <w:r w:rsidRPr="00B74B0F">
        <w:rPr>
          <w:szCs w:val="22"/>
          <w:lang w:val="sr-Latn-ME"/>
        </w:rPr>
        <w:t xml:space="preserve"> niž</w:t>
      </w:r>
      <w:r w:rsidR="00A1675E" w:rsidRPr="00B74B0F">
        <w:rPr>
          <w:szCs w:val="22"/>
          <w:lang w:val="sr-Latn-ME"/>
        </w:rPr>
        <w:t>im</w:t>
      </w:r>
      <w:r w:rsidRPr="00B74B0F">
        <w:rPr>
          <w:szCs w:val="22"/>
          <w:lang w:val="sr-Latn-ME"/>
        </w:rPr>
        <w:t xml:space="preserve"> od početne, čak i uz dugoročno liječenje.</w:t>
      </w:r>
    </w:p>
    <w:p w14:paraId="7BCEE2E5" w14:textId="4AE370A3" w:rsidR="0088406F" w:rsidRPr="00B74B0F" w:rsidRDefault="0088406F">
      <w:pPr>
        <w:autoSpaceDE w:val="0"/>
        <w:autoSpaceDN w:val="0"/>
        <w:adjustRightInd w:val="0"/>
        <w:spacing w:line="240" w:lineRule="auto"/>
        <w:contextualSpacing/>
        <w:jc w:val="both"/>
        <w:rPr>
          <w:szCs w:val="22"/>
          <w:lang w:val="sr-Latn-ME"/>
        </w:rPr>
      </w:pPr>
    </w:p>
    <w:p w14:paraId="6829D133" w14:textId="77777777" w:rsidR="0088406F" w:rsidRPr="00B74B0F" w:rsidRDefault="0088406F">
      <w:pPr>
        <w:autoSpaceDE w:val="0"/>
        <w:autoSpaceDN w:val="0"/>
        <w:adjustRightInd w:val="0"/>
        <w:spacing w:line="240" w:lineRule="auto"/>
        <w:contextualSpacing/>
        <w:jc w:val="both"/>
        <w:rPr>
          <w:i/>
          <w:iCs/>
          <w:szCs w:val="22"/>
          <w:u w:val="single"/>
          <w:lang w:val="sr-Latn-ME"/>
        </w:rPr>
      </w:pPr>
      <w:r w:rsidRPr="00B74B0F">
        <w:rPr>
          <w:i/>
          <w:iCs/>
          <w:szCs w:val="22"/>
          <w:u w:val="single"/>
          <w:lang w:val="sr-Latn-ME"/>
        </w:rPr>
        <w:t>Psorijatični artritis</w:t>
      </w:r>
    </w:p>
    <w:p w14:paraId="274B9062" w14:textId="77777777" w:rsidR="0088406F" w:rsidRPr="00B74B0F" w:rsidRDefault="0088406F">
      <w:pPr>
        <w:autoSpaceDE w:val="0"/>
        <w:autoSpaceDN w:val="0"/>
        <w:adjustRightInd w:val="0"/>
        <w:spacing w:line="240" w:lineRule="auto"/>
        <w:contextualSpacing/>
        <w:jc w:val="both"/>
        <w:rPr>
          <w:szCs w:val="22"/>
          <w:lang w:val="sr-Latn-ME"/>
        </w:rPr>
      </w:pPr>
    </w:p>
    <w:p w14:paraId="1B5295AB" w14:textId="068757BF" w:rsidR="0088406F" w:rsidRPr="00B74B0F" w:rsidRDefault="0088406F">
      <w:pPr>
        <w:autoSpaceDE w:val="0"/>
        <w:autoSpaceDN w:val="0"/>
        <w:adjustRightInd w:val="0"/>
        <w:spacing w:line="240" w:lineRule="auto"/>
        <w:contextualSpacing/>
        <w:jc w:val="both"/>
        <w:rPr>
          <w:szCs w:val="22"/>
          <w:lang w:val="sr-Latn-ME"/>
        </w:rPr>
      </w:pPr>
      <w:r w:rsidRPr="00B74B0F">
        <w:rPr>
          <w:szCs w:val="22"/>
          <w:lang w:val="sr-Latn-ME"/>
        </w:rPr>
        <w:t>Sveukupno, bezbjedonosni profil kod pacijenata sa aktivnim psorijatičnim artritisom liječenih upadacitinibom u dozi od 15 mg bio je u skladu sa bezbjedonosnim profilom prim</w:t>
      </w:r>
      <w:r w:rsidR="00D05D38" w:rsidRPr="00B74B0F">
        <w:rPr>
          <w:szCs w:val="22"/>
          <w:lang w:val="sr-Latn-ME"/>
        </w:rPr>
        <w:t>i</w:t>
      </w:r>
      <w:r w:rsidRPr="00B74B0F">
        <w:rPr>
          <w:szCs w:val="22"/>
          <w:lang w:val="sr-Latn-ME"/>
        </w:rPr>
        <w:t xml:space="preserve">jećenim kod pacijenata sa reumatoidnim artritisom. Viša stopa ozbiljnih infekcija (2,6 događaja na 100 pacijent-godina i 1,3 događaja na 100 pacijent-godina) i povišene vrijednosti jetrenih transaminaza (stope od 1,4% odnosno 0,4% za povećanje vrijednosti ALT-a stepena 3 i više) primijećeni su kod pacijenata liječenih upadacitinibom u kombinaciji sa terapijom MTX-om u poređenju sa pacijentima liječenim sa monoterapijom. </w:t>
      </w:r>
    </w:p>
    <w:p w14:paraId="050A6089" w14:textId="7A261147" w:rsidR="0042692B" w:rsidRPr="00B74B0F" w:rsidRDefault="0042692B">
      <w:pPr>
        <w:autoSpaceDE w:val="0"/>
        <w:autoSpaceDN w:val="0"/>
        <w:adjustRightInd w:val="0"/>
        <w:spacing w:line="240" w:lineRule="auto"/>
        <w:contextualSpacing/>
        <w:jc w:val="both"/>
        <w:rPr>
          <w:szCs w:val="22"/>
          <w:lang w:val="sr-Latn-ME"/>
        </w:rPr>
      </w:pPr>
    </w:p>
    <w:p w14:paraId="3EAB38BE" w14:textId="5491EA58" w:rsidR="0042692B" w:rsidRPr="00B74B0F" w:rsidRDefault="005368A0">
      <w:pPr>
        <w:autoSpaceDE w:val="0"/>
        <w:autoSpaceDN w:val="0"/>
        <w:adjustRightInd w:val="0"/>
        <w:spacing w:line="240" w:lineRule="auto"/>
        <w:contextualSpacing/>
        <w:jc w:val="both"/>
        <w:rPr>
          <w:i/>
          <w:iCs/>
          <w:szCs w:val="22"/>
          <w:u w:val="single"/>
          <w:lang w:val="sr-Latn-ME"/>
        </w:rPr>
      </w:pPr>
      <w:r w:rsidRPr="00B74B0F">
        <w:rPr>
          <w:i/>
          <w:iCs/>
          <w:szCs w:val="22"/>
          <w:u w:val="single"/>
          <w:lang w:val="sr-Latn-ME"/>
        </w:rPr>
        <w:t xml:space="preserve">Aksijalni spondiloartritis </w:t>
      </w:r>
    </w:p>
    <w:p w14:paraId="7CD81432" w14:textId="77777777" w:rsidR="00551941" w:rsidRPr="00B74B0F" w:rsidRDefault="00551941">
      <w:pPr>
        <w:autoSpaceDE w:val="0"/>
        <w:autoSpaceDN w:val="0"/>
        <w:adjustRightInd w:val="0"/>
        <w:spacing w:line="240" w:lineRule="auto"/>
        <w:contextualSpacing/>
        <w:jc w:val="both"/>
        <w:rPr>
          <w:szCs w:val="22"/>
          <w:lang w:val="sr-Latn-ME"/>
        </w:rPr>
      </w:pPr>
    </w:p>
    <w:p w14:paraId="10C6A1F9" w14:textId="113DFD73" w:rsidR="00812AD4" w:rsidRPr="00B74B0F" w:rsidRDefault="0042692B">
      <w:pPr>
        <w:autoSpaceDE w:val="0"/>
        <w:autoSpaceDN w:val="0"/>
        <w:adjustRightInd w:val="0"/>
        <w:spacing w:line="240" w:lineRule="auto"/>
        <w:contextualSpacing/>
        <w:jc w:val="both"/>
        <w:rPr>
          <w:szCs w:val="22"/>
          <w:lang w:val="sr-Latn-ME"/>
        </w:rPr>
      </w:pPr>
      <w:r w:rsidRPr="00B74B0F">
        <w:rPr>
          <w:szCs w:val="22"/>
          <w:lang w:val="sr-Latn-ME"/>
        </w:rPr>
        <w:lastRenderedPageBreak/>
        <w:t xml:space="preserve">Sveukupno, bezbjedonosni profil zapažen kod pacijenata sa aktivnim </w:t>
      </w:r>
      <w:r w:rsidR="005368A0" w:rsidRPr="00B74B0F">
        <w:rPr>
          <w:szCs w:val="22"/>
          <w:lang w:val="sr-Latn-ME"/>
        </w:rPr>
        <w:t xml:space="preserve">aksijalnim spondiloartritisom </w:t>
      </w:r>
      <w:r w:rsidRPr="00B74B0F">
        <w:rPr>
          <w:szCs w:val="22"/>
          <w:lang w:val="sr-Latn-ME"/>
        </w:rPr>
        <w:t xml:space="preserve">liječenih upadacitinibom u dozi od 15 mg bio je u skladu sa bezbjedonosnim profilom zapaženim kod </w:t>
      </w:r>
      <w:r w:rsidR="00F92A12" w:rsidRPr="00B74B0F">
        <w:rPr>
          <w:szCs w:val="22"/>
          <w:lang w:val="sr-Latn-ME"/>
        </w:rPr>
        <w:t>pacijenat</w:t>
      </w:r>
      <w:r w:rsidRPr="00B74B0F">
        <w:rPr>
          <w:szCs w:val="22"/>
          <w:lang w:val="sr-Latn-ME"/>
        </w:rPr>
        <w:t>a s</w:t>
      </w:r>
      <w:r w:rsidR="00F92A12" w:rsidRPr="00B74B0F">
        <w:rPr>
          <w:szCs w:val="22"/>
          <w:lang w:val="sr-Latn-ME"/>
        </w:rPr>
        <w:t>a</w:t>
      </w:r>
      <w:r w:rsidRPr="00B74B0F">
        <w:rPr>
          <w:szCs w:val="22"/>
          <w:lang w:val="sr-Latn-ME"/>
        </w:rPr>
        <w:t xml:space="preserve"> reumatoidnim artritisom. Ni</w:t>
      </w:r>
      <w:r w:rsidR="00D05D38" w:rsidRPr="00B74B0F">
        <w:rPr>
          <w:szCs w:val="22"/>
          <w:lang w:val="sr-Latn-ME"/>
        </w:rPr>
        <w:t>je</w:t>
      </w:r>
      <w:r w:rsidRPr="00B74B0F">
        <w:rPr>
          <w:szCs w:val="22"/>
          <w:lang w:val="sr-Latn-ME"/>
        </w:rPr>
        <w:t xml:space="preserve">su utvrđene nove činjenice vezane uz </w:t>
      </w:r>
      <w:r w:rsidR="00F92A12" w:rsidRPr="00B74B0F">
        <w:rPr>
          <w:szCs w:val="22"/>
          <w:lang w:val="sr-Latn-ME"/>
        </w:rPr>
        <w:t>b</w:t>
      </w:r>
      <w:r w:rsidR="001418C9" w:rsidRPr="00B74B0F">
        <w:rPr>
          <w:szCs w:val="22"/>
          <w:lang w:val="sr-Latn-ME"/>
        </w:rPr>
        <w:t>e</w:t>
      </w:r>
      <w:r w:rsidR="00F92A12" w:rsidRPr="00B74B0F">
        <w:rPr>
          <w:szCs w:val="22"/>
          <w:lang w:val="sr-Latn-ME"/>
        </w:rPr>
        <w:t xml:space="preserve">zbjednost </w:t>
      </w:r>
      <w:r w:rsidRPr="00B74B0F">
        <w:rPr>
          <w:szCs w:val="22"/>
          <w:lang w:val="sr-Latn-ME"/>
        </w:rPr>
        <w:t>primjene.</w:t>
      </w:r>
    </w:p>
    <w:p w14:paraId="669C37C7" w14:textId="77777777" w:rsidR="00D05D38" w:rsidRPr="00B74B0F" w:rsidRDefault="00D05D38">
      <w:pPr>
        <w:autoSpaceDE w:val="0"/>
        <w:autoSpaceDN w:val="0"/>
        <w:adjustRightInd w:val="0"/>
        <w:spacing w:line="240" w:lineRule="auto"/>
        <w:contextualSpacing/>
        <w:jc w:val="both"/>
        <w:rPr>
          <w:szCs w:val="22"/>
          <w:lang w:val="sr-Latn-ME"/>
        </w:rPr>
      </w:pPr>
    </w:p>
    <w:p w14:paraId="3F5EF6B4" w14:textId="77777777" w:rsidR="00812AD4" w:rsidRPr="00B74B0F" w:rsidRDefault="00812AD4">
      <w:pPr>
        <w:autoSpaceDE w:val="0"/>
        <w:autoSpaceDN w:val="0"/>
        <w:adjustRightInd w:val="0"/>
        <w:spacing w:line="240" w:lineRule="auto"/>
        <w:jc w:val="both"/>
        <w:rPr>
          <w:i/>
          <w:iCs/>
          <w:noProof/>
          <w:szCs w:val="22"/>
          <w:u w:val="single"/>
          <w:lang w:val="sr-Latn-ME"/>
        </w:rPr>
      </w:pPr>
      <w:r w:rsidRPr="00B74B0F">
        <w:rPr>
          <w:i/>
          <w:iCs/>
          <w:noProof/>
          <w:szCs w:val="22"/>
          <w:u w:val="single"/>
          <w:lang w:val="sr-Latn-ME"/>
        </w:rPr>
        <w:t>Atopijski dermatitis</w:t>
      </w:r>
    </w:p>
    <w:p w14:paraId="392B3248" w14:textId="77777777" w:rsidR="00812AD4" w:rsidRPr="00B74B0F" w:rsidRDefault="00812AD4">
      <w:pPr>
        <w:autoSpaceDE w:val="0"/>
        <w:autoSpaceDN w:val="0"/>
        <w:adjustRightInd w:val="0"/>
        <w:spacing w:line="240" w:lineRule="auto"/>
        <w:jc w:val="both"/>
        <w:rPr>
          <w:noProof/>
          <w:szCs w:val="22"/>
          <w:lang w:val="sr-Latn-ME"/>
        </w:rPr>
      </w:pPr>
    </w:p>
    <w:p w14:paraId="4934B44B" w14:textId="77777777" w:rsidR="00812AD4" w:rsidRPr="00B74B0F" w:rsidRDefault="00812AD4">
      <w:pPr>
        <w:autoSpaceDE w:val="0"/>
        <w:autoSpaceDN w:val="0"/>
        <w:adjustRightInd w:val="0"/>
        <w:spacing w:line="240" w:lineRule="auto"/>
        <w:jc w:val="both"/>
        <w:rPr>
          <w:i/>
          <w:noProof/>
          <w:szCs w:val="22"/>
          <w:lang w:val="sr-Latn-ME"/>
        </w:rPr>
      </w:pPr>
      <w:r w:rsidRPr="00B74B0F">
        <w:rPr>
          <w:i/>
          <w:noProof/>
          <w:szCs w:val="22"/>
          <w:lang w:val="sr-Latn-ME"/>
        </w:rPr>
        <w:t>Infekcije</w:t>
      </w:r>
    </w:p>
    <w:p w14:paraId="05F58DAC" w14:textId="77777777" w:rsidR="00812AD4" w:rsidRPr="00B74B0F" w:rsidRDefault="00812AD4">
      <w:pPr>
        <w:autoSpaceDE w:val="0"/>
        <w:autoSpaceDN w:val="0"/>
        <w:adjustRightInd w:val="0"/>
        <w:spacing w:line="240" w:lineRule="auto"/>
        <w:jc w:val="both"/>
        <w:rPr>
          <w:i/>
          <w:noProof/>
          <w:szCs w:val="22"/>
          <w:lang w:val="sr-Latn-ME"/>
        </w:rPr>
      </w:pPr>
    </w:p>
    <w:p w14:paraId="3848AC98" w14:textId="1230EE0F" w:rsidR="00812AD4" w:rsidRPr="00B74B0F" w:rsidRDefault="00812AD4">
      <w:pPr>
        <w:autoSpaceDE w:val="0"/>
        <w:autoSpaceDN w:val="0"/>
        <w:adjustRightInd w:val="0"/>
        <w:spacing w:line="240" w:lineRule="auto"/>
        <w:jc w:val="both"/>
        <w:rPr>
          <w:noProof/>
          <w:szCs w:val="22"/>
          <w:lang w:val="sr-Latn-ME"/>
        </w:rPr>
      </w:pPr>
      <w:bookmarkStart w:id="0" w:name="_Hlk65411811"/>
      <w:r w:rsidRPr="00B74B0F">
        <w:rPr>
          <w:noProof/>
          <w:szCs w:val="22"/>
          <w:lang w:val="sr-Latn-ME"/>
        </w:rPr>
        <w:t xml:space="preserve">U placebom kontrolisanom </w:t>
      </w:r>
      <w:r w:rsidR="000B3BD0" w:rsidRPr="00B74B0F">
        <w:rPr>
          <w:noProof/>
          <w:szCs w:val="22"/>
          <w:lang w:val="sr-Latn-ME"/>
        </w:rPr>
        <w:t>periodu</w:t>
      </w:r>
      <w:r w:rsidRPr="00B74B0F">
        <w:rPr>
          <w:noProof/>
          <w:szCs w:val="22"/>
          <w:lang w:val="sr-Latn-ME"/>
        </w:rPr>
        <w:t xml:space="preserve"> kliničkih ispitivanja, učestalost infekcija tokom 16 ned</w:t>
      </w:r>
      <w:r w:rsidR="003F707D" w:rsidRPr="00B74B0F">
        <w:rPr>
          <w:noProof/>
          <w:szCs w:val="22"/>
          <w:lang w:val="sr-Latn-ME"/>
        </w:rPr>
        <w:t>j</w:t>
      </w:r>
      <w:r w:rsidRPr="00B74B0F">
        <w:rPr>
          <w:noProof/>
          <w:szCs w:val="22"/>
          <w:lang w:val="sr-Latn-ME"/>
        </w:rPr>
        <w:t xml:space="preserve">elja iznosila je 39% i 43% u </w:t>
      </w:r>
      <w:r w:rsidR="00181042" w:rsidRPr="00B74B0F">
        <w:rPr>
          <w:noProof/>
          <w:szCs w:val="22"/>
          <w:lang w:val="sr-Latn-ME"/>
        </w:rPr>
        <w:t>grupa</w:t>
      </w:r>
      <w:r w:rsidRPr="00B74B0F">
        <w:rPr>
          <w:noProof/>
          <w:szCs w:val="22"/>
          <w:lang w:val="sr-Latn-ME"/>
        </w:rPr>
        <w:t>ma liječenim upadacitinibom u dozi od 15 mg i 30 mg te 30% u </w:t>
      </w:r>
      <w:r w:rsidR="00D05D38" w:rsidRPr="00B74B0F">
        <w:rPr>
          <w:noProof/>
          <w:szCs w:val="22"/>
          <w:lang w:val="sr-Latn-ME"/>
        </w:rPr>
        <w:t xml:space="preserve">grupi </w:t>
      </w:r>
      <w:r w:rsidRPr="00B74B0F">
        <w:rPr>
          <w:noProof/>
          <w:szCs w:val="22"/>
          <w:lang w:val="sr-Latn-ME"/>
        </w:rPr>
        <w:t xml:space="preserve">koja je primala placebo. Dugoročna stopa infekcija za </w:t>
      </w:r>
      <w:r w:rsidR="0033035F" w:rsidRPr="00B74B0F">
        <w:rPr>
          <w:noProof/>
          <w:szCs w:val="22"/>
          <w:lang w:val="sr-Latn-ME"/>
        </w:rPr>
        <w:t>grupe</w:t>
      </w:r>
      <w:r w:rsidRPr="00B74B0F">
        <w:rPr>
          <w:noProof/>
          <w:szCs w:val="22"/>
          <w:lang w:val="sr-Latn-ME"/>
        </w:rPr>
        <w:t xml:space="preserve"> liječene upadacitinibom u dozi od 15 mg i 30 mg iznosila je 98,5, odnosno 109,6 događaja na 100 </w:t>
      </w:r>
      <w:r w:rsidR="00181042" w:rsidRPr="00B74B0F">
        <w:rPr>
          <w:noProof/>
          <w:szCs w:val="22"/>
          <w:lang w:val="sr-Latn-ME"/>
        </w:rPr>
        <w:t>pacijent</w:t>
      </w:r>
      <w:r w:rsidRPr="00B74B0F">
        <w:rPr>
          <w:noProof/>
          <w:szCs w:val="22"/>
          <w:lang w:val="sr-Latn-ME"/>
        </w:rPr>
        <w:noBreakHyphen/>
        <w:t>godina.</w:t>
      </w:r>
    </w:p>
    <w:p w14:paraId="57120408" w14:textId="77777777" w:rsidR="00812AD4" w:rsidRPr="00B74B0F" w:rsidRDefault="00812AD4">
      <w:pPr>
        <w:autoSpaceDE w:val="0"/>
        <w:autoSpaceDN w:val="0"/>
        <w:adjustRightInd w:val="0"/>
        <w:spacing w:line="240" w:lineRule="auto"/>
        <w:jc w:val="both"/>
        <w:rPr>
          <w:noProof/>
          <w:szCs w:val="22"/>
          <w:lang w:val="sr-Latn-ME"/>
        </w:rPr>
      </w:pPr>
    </w:p>
    <w:p w14:paraId="69318550" w14:textId="63A14497" w:rsidR="00812AD4" w:rsidRPr="00B74B0F" w:rsidRDefault="00812AD4">
      <w:pPr>
        <w:autoSpaceDE w:val="0"/>
        <w:autoSpaceDN w:val="0"/>
        <w:adjustRightInd w:val="0"/>
        <w:spacing w:line="240" w:lineRule="auto"/>
        <w:jc w:val="both"/>
        <w:rPr>
          <w:noProof/>
          <w:szCs w:val="22"/>
          <w:lang w:val="sr-Latn-ME"/>
        </w:rPr>
      </w:pPr>
      <w:r w:rsidRPr="00B74B0F">
        <w:rPr>
          <w:noProof/>
          <w:szCs w:val="22"/>
          <w:lang w:val="sr-Latn-ME"/>
        </w:rPr>
        <w:t>U placebom kontroli</w:t>
      </w:r>
      <w:r w:rsidR="00E60CDF" w:rsidRPr="00B74B0F">
        <w:rPr>
          <w:noProof/>
          <w:szCs w:val="22"/>
          <w:lang w:val="sr-Latn-ME"/>
        </w:rPr>
        <w:t>s</w:t>
      </w:r>
      <w:r w:rsidRPr="00B74B0F">
        <w:rPr>
          <w:noProof/>
          <w:szCs w:val="22"/>
          <w:lang w:val="sr-Latn-ME"/>
        </w:rPr>
        <w:t>anim kliničkim ispitivanjima, učestalost ozbiljnih infekcija t</w:t>
      </w:r>
      <w:r w:rsidR="0033035F" w:rsidRPr="00B74B0F">
        <w:rPr>
          <w:noProof/>
          <w:szCs w:val="22"/>
          <w:lang w:val="sr-Latn-ME"/>
        </w:rPr>
        <w:t>okom</w:t>
      </w:r>
      <w:r w:rsidRPr="00B74B0F">
        <w:rPr>
          <w:noProof/>
          <w:szCs w:val="22"/>
          <w:lang w:val="sr-Latn-ME"/>
        </w:rPr>
        <w:t xml:space="preserve"> 16 </w:t>
      </w:r>
      <w:r w:rsidR="0033035F" w:rsidRPr="00B74B0F">
        <w:rPr>
          <w:noProof/>
          <w:szCs w:val="22"/>
          <w:lang w:val="sr-Latn-ME"/>
        </w:rPr>
        <w:t>ned</w:t>
      </w:r>
      <w:r w:rsidR="003F707D" w:rsidRPr="00B74B0F">
        <w:rPr>
          <w:noProof/>
          <w:szCs w:val="22"/>
          <w:lang w:val="sr-Latn-ME"/>
        </w:rPr>
        <w:t>j</w:t>
      </w:r>
      <w:r w:rsidR="0033035F" w:rsidRPr="00B74B0F">
        <w:rPr>
          <w:noProof/>
          <w:szCs w:val="22"/>
          <w:lang w:val="sr-Latn-ME"/>
        </w:rPr>
        <w:t>elja</w:t>
      </w:r>
      <w:r w:rsidRPr="00B74B0F">
        <w:rPr>
          <w:noProof/>
          <w:szCs w:val="22"/>
          <w:lang w:val="sr-Latn-ME"/>
        </w:rPr>
        <w:t xml:space="preserve"> iznosila je 0,8% i 0,4% u </w:t>
      </w:r>
      <w:r w:rsidR="00181042" w:rsidRPr="00B74B0F">
        <w:rPr>
          <w:noProof/>
          <w:szCs w:val="22"/>
          <w:lang w:val="sr-Latn-ME"/>
        </w:rPr>
        <w:t>grupa</w:t>
      </w:r>
      <w:r w:rsidRPr="00B74B0F">
        <w:rPr>
          <w:noProof/>
          <w:szCs w:val="22"/>
          <w:lang w:val="sr-Latn-ME"/>
        </w:rPr>
        <w:t>ma liječenim upadacitinibom u dozi od 15 mg i 30 mg te 0,6% u </w:t>
      </w:r>
      <w:r w:rsidR="00E60CDF" w:rsidRPr="00B74B0F">
        <w:rPr>
          <w:noProof/>
          <w:szCs w:val="22"/>
          <w:lang w:val="sr-Latn-ME"/>
        </w:rPr>
        <w:t xml:space="preserve">grupi </w:t>
      </w:r>
      <w:r w:rsidRPr="00B74B0F">
        <w:rPr>
          <w:noProof/>
          <w:szCs w:val="22"/>
          <w:lang w:val="sr-Latn-ME"/>
        </w:rPr>
        <w:t>koja je primala placebo. Dugoročna stopa ozbiljnih infekcija za</w:t>
      </w:r>
      <w:r w:rsidR="0033035F" w:rsidRPr="00B74B0F">
        <w:rPr>
          <w:noProof/>
          <w:szCs w:val="22"/>
          <w:lang w:val="sr-Latn-ME"/>
        </w:rPr>
        <w:t xml:space="preserve"> grupe </w:t>
      </w:r>
      <w:r w:rsidRPr="00B74B0F">
        <w:rPr>
          <w:noProof/>
          <w:szCs w:val="22"/>
          <w:lang w:val="sr-Latn-ME"/>
        </w:rPr>
        <w:t>liječene upadacitinibom u dozi od 15 mg i 30 mg iznosila je 2,3, odnosno 2,8 događaja na 100 </w:t>
      </w:r>
      <w:r w:rsidR="00181042" w:rsidRPr="00B74B0F">
        <w:rPr>
          <w:noProof/>
          <w:szCs w:val="22"/>
          <w:lang w:val="sr-Latn-ME"/>
        </w:rPr>
        <w:t>pacijent</w:t>
      </w:r>
      <w:r w:rsidRPr="00B74B0F">
        <w:rPr>
          <w:noProof/>
          <w:szCs w:val="22"/>
          <w:lang w:val="sr-Latn-ME"/>
        </w:rPr>
        <w:t xml:space="preserve">-godina. </w:t>
      </w:r>
    </w:p>
    <w:bookmarkEnd w:id="0"/>
    <w:p w14:paraId="2BD4492C" w14:textId="77777777" w:rsidR="00812AD4" w:rsidRPr="00B74B0F" w:rsidRDefault="00812AD4">
      <w:pPr>
        <w:autoSpaceDE w:val="0"/>
        <w:autoSpaceDN w:val="0"/>
        <w:adjustRightInd w:val="0"/>
        <w:spacing w:line="240" w:lineRule="auto"/>
        <w:jc w:val="both"/>
        <w:rPr>
          <w:i/>
          <w:noProof/>
          <w:szCs w:val="22"/>
          <w:lang w:val="sr-Latn-ME"/>
        </w:rPr>
      </w:pPr>
    </w:p>
    <w:p w14:paraId="0A07E12C" w14:textId="77777777" w:rsidR="00812AD4" w:rsidRPr="00B74B0F" w:rsidRDefault="00812AD4">
      <w:pPr>
        <w:keepNext/>
        <w:autoSpaceDE w:val="0"/>
        <w:autoSpaceDN w:val="0"/>
        <w:adjustRightInd w:val="0"/>
        <w:spacing w:line="240" w:lineRule="auto"/>
        <w:jc w:val="both"/>
        <w:rPr>
          <w:i/>
          <w:noProof/>
          <w:szCs w:val="22"/>
          <w:lang w:val="sr-Latn-ME"/>
        </w:rPr>
      </w:pPr>
      <w:bookmarkStart w:id="1" w:name="_Hlk66191525"/>
      <w:r w:rsidRPr="00B74B0F">
        <w:rPr>
          <w:i/>
          <w:noProof/>
          <w:szCs w:val="22"/>
          <w:lang w:val="sr-Latn-ME"/>
        </w:rPr>
        <w:t>Oportunističke infekcije (osim tuberkuloze)</w:t>
      </w:r>
    </w:p>
    <w:p w14:paraId="6B5613B2" w14:textId="77777777" w:rsidR="00812AD4" w:rsidRPr="00B74B0F" w:rsidRDefault="00812AD4">
      <w:pPr>
        <w:keepNext/>
        <w:autoSpaceDE w:val="0"/>
        <w:autoSpaceDN w:val="0"/>
        <w:adjustRightInd w:val="0"/>
        <w:spacing w:line="240" w:lineRule="auto"/>
        <w:jc w:val="both"/>
        <w:rPr>
          <w:i/>
          <w:noProof/>
          <w:szCs w:val="22"/>
          <w:lang w:val="sr-Latn-ME"/>
        </w:rPr>
      </w:pPr>
    </w:p>
    <w:p w14:paraId="603E9523" w14:textId="6AABD324" w:rsidR="00812AD4" w:rsidRPr="00B74B0F" w:rsidRDefault="00812AD4">
      <w:pPr>
        <w:keepNext/>
        <w:autoSpaceDE w:val="0"/>
        <w:autoSpaceDN w:val="0"/>
        <w:adjustRightInd w:val="0"/>
        <w:spacing w:line="240" w:lineRule="auto"/>
        <w:jc w:val="both"/>
        <w:rPr>
          <w:noProof/>
          <w:szCs w:val="22"/>
          <w:lang w:val="sr-Latn-ME"/>
        </w:rPr>
      </w:pPr>
      <w:bookmarkStart w:id="2" w:name="_Hlk65411851"/>
      <w:r w:rsidRPr="00B74B0F">
        <w:rPr>
          <w:noProof/>
          <w:szCs w:val="22"/>
          <w:lang w:val="sr-Latn-ME"/>
        </w:rPr>
        <w:t>U placebom kontroli</w:t>
      </w:r>
      <w:r w:rsidR="00E60CDF" w:rsidRPr="00B74B0F">
        <w:rPr>
          <w:noProof/>
          <w:szCs w:val="22"/>
          <w:lang w:val="sr-Latn-ME"/>
        </w:rPr>
        <w:t>s</w:t>
      </w:r>
      <w:r w:rsidRPr="00B74B0F">
        <w:rPr>
          <w:noProof/>
          <w:szCs w:val="22"/>
          <w:lang w:val="sr-Latn-ME"/>
        </w:rPr>
        <w:t xml:space="preserve">anom </w:t>
      </w:r>
      <w:r w:rsidR="000B3BD0" w:rsidRPr="00B74B0F">
        <w:rPr>
          <w:noProof/>
          <w:szCs w:val="22"/>
          <w:lang w:val="sr-Latn-ME"/>
        </w:rPr>
        <w:t>periodu</w:t>
      </w:r>
      <w:r w:rsidRPr="00B74B0F">
        <w:rPr>
          <w:noProof/>
          <w:szCs w:val="22"/>
          <w:lang w:val="sr-Latn-ME"/>
        </w:rPr>
        <w:t xml:space="preserve"> kliničkih ispitivanja, sve zabilježene oportunističke infekcije (isključujući TBC i herpes zoster) bile su herpetični ekcem. Učestalost herpetičnog ekcema </w:t>
      </w:r>
      <w:r w:rsidR="00181042" w:rsidRPr="00B74B0F">
        <w:rPr>
          <w:noProof/>
          <w:szCs w:val="22"/>
          <w:lang w:val="sr-Latn-ME"/>
        </w:rPr>
        <w:t>tokom</w:t>
      </w:r>
      <w:r w:rsidRPr="00B74B0F">
        <w:rPr>
          <w:noProof/>
          <w:szCs w:val="22"/>
          <w:lang w:val="sr-Latn-ME"/>
        </w:rPr>
        <w:t xml:space="preserve"> 16 </w:t>
      </w:r>
      <w:r w:rsidR="00E60CDF" w:rsidRPr="00B74B0F">
        <w:rPr>
          <w:noProof/>
          <w:szCs w:val="22"/>
          <w:lang w:val="sr-Latn-ME"/>
        </w:rPr>
        <w:t xml:space="preserve">nedjelja </w:t>
      </w:r>
      <w:r w:rsidRPr="00B74B0F">
        <w:rPr>
          <w:noProof/>
          <w:szCs w:val="22"/>
          <w:lang w:val="sr-Latn-ME"/>
        </w:rPr>
        <w:t xml:space="preserve">iznosila je 0,7% i 0,8% u </w:t>
      </w:r>
      <w:r w:rsidR="00181042" w:rsidRPr="00B74B0F">
        <w:rPr>
          <w:noProof/>
          <w:szCs w:val="22"/>
          <w:lang w:val="sr-Latn-ME"/>
        </w:rPr>
        <w:t>grupa</w:t>
      </w:r>
      <w:r w:rsidRPr="00B74B0F">
        <w:rPr>
          <w:noProof/>
          <w:szCs w:val="22"/>
          <w:lang w:val="sr-Latn-ME"/>
        </w:rPr>
        <w:t xml:space="preserve">ma liječenim upadacitinibom u dozi od 15 mg i 30 mg te 0,4% u </w:t>
      </w:r>
      <w:r w:rsidR="00E60CDF" w:rsidRPr="00B74B0F">
        <w:rPr>
          <w:noProof/>
          <w:szCs w:val="22"/>
          <w:lang w:val="sr-Latn-ME"/>
        </w:rPr>
        <w:t xml:space="preserve">grupi </w:t>
      </w:r>
      <w:r w:rsidRPr="00B74B0F">
        <w:rPr>
          <w:noProof/>
          <w:szCs w:val="22"/>
          <w:lang w:val="sr-Latn-ME"/>
        </w:rPr>
        <w:t xml:space="preserve">koja je primala placebo. Dugoročna stopa herpetičnog ekcema za </w:t>
      </w:r>
      <w:r w:rsidR="00E60CDF" w:rsidRPr="00B74B0F">
        <w:rPr>
          <w:noProof/>
          <w:szCs w:val="22"/>
          <w:lang w:val="sr-Latn-ME"/>
        </w:rPr>
        <w:t xml:space="preserve">grupe </w:t>
      </w:r>
      <w:r w:rsidRPr="00B74B0F">
        <w:rPr>
          <w:noProof/>
          <w:szCs w:val="22"/>
          <w:lang w:val="sr-Latn-ME"/>
        </w:rPr>
        <w:t>liječene upadacitinibom u dozi od 15 mg i 30 mg iznosila je 1,6, odnosno 1,8 događaja na 100 </w:t>
      </w:r>
      <w:r w:rsidR="00181042" w:rsidRPr="00B74B0F">
        <w:rPr>
          <w:noProof/>
          <w:szCs w:val="22"/>
          <w:lang w:val="sr-Latn-ME"/>
        </w:rPr>
        <w:t>pacijent</w:t>
      </w:r>
      <w:r w:rsidRPr="00B74B0F">
        <w:rPr>
          <w:noProof/>
          <w:szCs w:val="22"/>
          <w:lang w:val="sr-Latn-ME"/>
        </w:rPr>
        <w:noBreakHyphen/>
        <w:t>godina. Zabilježen je jedan slučaj kandidijaze jednjaka s</w:t>
      </w:r>
      <w:r w:rsidR="000B3BD0" w:rsidRPr="00B74B0F">
        <w:rPr>
          <w:noProof/>
          <w:szCs w:val="22"/>
          <w:lang w:val="sr-Latn-ME"/>
        </w:rPr>
        <w:t>a</w:t>
      </w:r>
      <w:r w:rsidRPr="00B74B0F">
        <w:rPr>
          <w:noProof/>
          <w:szCs w:val="22"/>
          <w:lang w:val="sr-Latn-ME"/>
        </w:rPr>
        <w:t xml:space="preserve"> upadacitinibom u dozi od 30 mg.</w:t>
      </w:r>
    </w:p>
    <w:bookmarkEnd w:id="1"/>
    <w:p w14:paraId="5BEC5B1F" w14:textId="77777777" w:rsidR="00812AD4" w:rsidRPr="00B74B0F" w:rsidRDefault="00812AD4">
      <w:pPr>
        <w:keepNext/>
        <w:autoSpaceDE w:val="0"/>
        <w:autoSpaceDN w:val="0"/>
        <w:adjustRightInd w:val="0"/>
        <w:spacing w:line="240" w:lineRule="auto"/>
        <w:jc w:val="both"/>
        <w:rPr>
          <w:noProof/>
          <w:szCs w:val="22"/>
          <w:lang w:val="sr-Latn-ME"/>
        </w:rPr>
      </w:pPr>
    </w:p>
    <w:p w14:paraId="15709453" w14:textId="473F0247" w:rsidR="00812AD4" w:rsidRPr="00B74B0F" w:rsidRDefault="00812AD4">
      <w:pPr>
        <w:autoSpaceDE w:val="0"/>
        <w:autoSpaceDN w:val="0"/>
        <w:adjustRightInd w:val="0"/>
        <w:spacing w:line="240" w:lineRule="auto"/>
        <w:jc w:val="both"/>
        <w:rPr>
          <w:noProof/>
          <w:szCs w:val="22"/>
          <w:lang w:val="sr-Latn-ME"/>
        </w:rPr>
      </w:pPr>
      <w:r w:rsidRPr="00B74B0F">
        <w:rPr>
          <w:noProof/>
          <w:szCs w:val="22"/>
          <w:lang w:val="sr-Latn-ME"/>
        </w:rPr>
        <w:t xml:space="preserve">Dugoročna stopa herpes zostera za </w:t>
      </w:r>
      <w:r w:rsidR="00E60CDF" w:rsidRPr="00B74B0F">
        <w:rPr>
          <w:noProof/>
          <w:szCs w:val="22"/>
          <w:lang w:val="sr-Latn-ME"/>
        </w:rPr>
        <w:t xml:space="preserve">grupe </w:t>
      </w:r>
      <w:r w:rsidRPr="00B74B0F">
        <w:rPr>
          <w:noProof/>
          <w:szCs w:val="22"/>
          <w:lang w:val="sr-Latn-ME"/>
        </w:rPr>
        <w:t>liječene upadacitinibom u dozi od 15 mg i 30 mg iznosila je 3,5, odnosno 5,2 događaja na 100 </w:t>
      </w:r>
      <w:r w:rsidR="00181042" w:rsidRPr="00B74B0F">
        <w:rPr>
          <w:noProof/>
          <w:szCs w:val="22"/>
          <w:lang w:val="sr-Latn-ME"/>
        </w:rPr>
        <w:t>pacijent</w:t>
      </w:r>
      <w:r w:rsidRPr="00B74B0F">
        <w:rPr>
          <w:noProof/>
          <w:szCs w:val="22"/>
          <w:lang w:val="sr-Latn-ME"/>
        </w:rPr>
        <w:noBreakHyphen/>
        <w:t>godina. Herpes zoster je u većini slučajeva zahva</w:t>
      </w:r>
      <w:r w:rsidR="00E60CDF" w:rsidRPr="00B74B0F">
        <w:rPr>
          <w:noProof/>
          <w:szCs w:val="22"/>
          <w:lang w:val="sr-Latn-ME"/>
        </w:rPr>
        <w:t>t</w:t>
      </w:r>
      <w:r w:rsidRPr="00B74B0F">
        <w:rPr>
          <w:noProof/>
          <w:szCs w:val="22"/>
          <w:lang w:val="sr-Latn-ME"/>
        </w:rPr>
        <w:t>ao samo jedan dermatom i nije bio ozbiljan.</w:t>
      </w:r>
    </w:p>
    <w:p w14:paraId="1AF6E263" w14:textId="77777777" w:rsidR="00812AD4" w:rsidRPr="00B74B0F" w:rsidRDefault="00812AD4">
      <w:pPr>
        <w:autoSpaceDE w:val="0"/>
        <w:autoSpaceDN w:val="0"/>
        <w:adjustRightInd w:val="0"/>
        <w:spacing w:line="240" w:lineRule="auto"/>
        <w:jc w:val="both"/>
        <w:rPr>
          <w:noProof/>
          <w:szCs w:val="22"/>
          <w:lang w:val="sr-Latn-ME"/>
        </w:rPr>
      </w:pPr>
    </w:p>
    <w:p w14:paraId="0C57A637" w14:textId="77777777" w:rsidR="00812AD4" w:rsidRPr="00B74B0F" w:rsidRDefault="00812AD4">
      <w:pPr>
        <w:autoSpaceDE w:val="0"/>
        <w:autoSpaceDN w:val="0"/>
        <w:adjustRightInd w:val="0"/>
        <w:spacing w:line="240" w:lineRule="auto"/>
        <w:jc w:val="both"/>
        <w:rPr>
          <w:i/>
          <w:noProof/>
          <w:szCs w:val="22"/>
          <w:lang w:val="sr-Latn-ME"/>
        </w:rPr>
      </w:pPr>
      <w:bookmarkStart w:id="3" w:name="_Hlk65335055"/>
      <w:r w:rsidRPr="00B74B0F">
        <w:rPr>
          <w:i/>
          <w:noProof/>
          <w:szCs w:val="22"/>
          <w:lang w:val="sr-Latn-ME"/>
        </w:rPr>
        <w:t>Laboratorijska odstupanja</w:t>
      </w:r>
    </w:p>
    <w:p w14:paraId="199052F1" w14:textId="77777777" w:rsidR="00812AD4" w:rsidRPr="00B74B0F" w:rsidRDefault="00812AD4">
      <w:pPr>
        <w:autoSpaceDE w:val="0"/>
        <w:autoSpaceDN w:val="0"/>
        <w:adjustRightInd w:val="0"/>
        <w:spacing w:line="240" w:lineRule="auto"/>
        <w:jc w:val="both"/>
        <w:rPr>
          <w:i/>
          <w:noProof/>
          <w:szCs w:val="22"/>
          <w:lang w:val="sr-Latn-ME"/>
        </w:rPr>
      </w:pPr>
    </w:p>
    <w:p w14:paraId="50CA9B8D" w14:textId="5CCFF2F4" w:rsidR="00812AD4" w:rsidRPr="00B74B0F" w:rsidRDefault="00812AD4">
      <w:pPr>
        <w:autoSpaceDE w:val="0"/>
        <w:autoSpaceDN w:val="0"/>
        <w:adjustRightInd w:val="0"/>
        <w:spacing w:line="240" w:lineRule="auto"/>
        <w:jc w:val="both"/>
        <w:rPr>
          <w:noProof/>
          <w:szCs w:val="22"/>
          <w:lang w:val="sr-Latn-ME"/>
        </w:rPr>
      </w:pPr>
      <w:r w:rsidRPr="00B74B0F">
        <w:rPr>
          <w:iCs/>
          <w:noProof/>
          <w:szCs w:val="22"/>
          <w:lang w:val="sr-Latn-ME"/>
        </w:rPr>
        <w:t>Pov</w:t>
      </w:r>
      <w:r w:rsidR="00E60CDF" w:rsidRPr="00B74B0F">
        <w:rPr>
          <w:iCs/>
          <w:noProof/>
          <w:szCs w:val="22"/>
          <w:lang w:val="sr-Latn-ME"/>
        </w:rPr>
        <w:t>ećanje</w:t>
      </w:r>
      <w:r w:rsidRPr="00B74B0F">
        <w:rPr>
          <w:iCs/>
          <w:noProof/>
          <w:szCs w:val="22"/>
          <w:lang w:val="sr-Latn-ME"/>
        </w:rPr>
        <w:t xml:space="preserve"> vrijednosti ALT</w:t>
      </w:r>
      <w:r w:rsidRPr="00B74B0F">
        <w:rPr>
          <w:iCs/>
          <w:noProof/>
          <w:szCs w:val="22"/>
          <w:lang w:val="sr-Latn-ME"/>
        </w:rPr>
        <w:noBreakHyphen/>
        <w:t>a i/ili pov</w:t>
      </w:r>
      <w:r w:rsidR="00E60CDF" w:rsidRPr="00B74B0F">
        <w:rPr>
          <w:iCs/>
          <w:noProof/>
          <w:szCs w:val="22"/>
          <w:lang w:val="sr-Latn-ME"/>
        </w:rPr>
        <w:t>ećanje</w:t>
      </w:r>
      <w:r w:rsidRPr="00B74B0F">
        <w:rPr>
          <w:iCs/>
          <w:noProof/>
          <w:szCs w:val="22"/>
          <w:lang w:val="sr-Latn-ME"/>
        </w:rPr>
        <w:t xml:space="preserve"> vrijednosti AST</w:t>
      </w:r>
      <w:r w:rsidRPr="00B74B0F">
        <w:rPr>
          <w:iCs/>
          <w:noProof/>
          <w:szCs w:val="22"/>
          <w:lang w:val="sr-Latn-ME"/>
        </w:rPr>
        <w:noBreakHyphen/>
        <w:t xml:space="preserve">a (≥ 3 x GGN) </w:t>
      </w:r>
      <w:r w:rsidR="00E60CDF" w:rsidRPr="00B74B0F">
        <w:rPr>
          <w:iCs/>
          <w:noProof/>
          <w:szCs w:val="22"/>
          <w:lang w:val="sr-Latn-ME"/>
        </w:rPr>
        <w:t xml:space="preserve">zavisna </w:t>
      </w:r>
      <w:r w:rsidRPr="00B74B0F">
        <w:rPr>
          <w:iCs/>
          <w:noProof/>
          <w:szCs w:val="22"/>
          <w:lang w:val="sr-Latn-ME"/>
        </w:rPr>
        <w:t>o</w:t>
      </w:r>
      <w:r w:rsidR="00E60CDF" w:rsidRPr="00B74B0F">
        <w:rPr>
          <w:iCs/>
          <w:noProof/>
          <w:szCs w:val="22"/>
          <w:lang w:val="sr-Latn-ME"/>
        </w:rPr>
        <w:t>d</w:t>
      </w:r>
      <w:r w:rsidRPr="00B74B0F">
        <w:rPr>
          <w:iCs/>
          <w:noProof/>
          <w:szCs w:val="22"/>
          <w:lang w:val="sr-Latn-ME"/>
        </w:rPr>
        <w:t xml:space="preserve"> doz</w:t>
      </w:r>
      <w:r w:rsidR="00E60CDF" w:rsidRPr="00B74B0F">
        <w:rPr>
          <w:iCs/>
          <w:noProof/>
          <w:szCs w:val="22"/>
          <w:lang w:val="sr-Latn-ME"/>
        </w:rPr>
        <w:t>e</w:t>
      </w:r>
      <w:r w:rsidRPr="00B74B0F">
        <w:rPr>
          <w:iCs/>
          <w:noProof/>
          <w:szCs w:val="22"/>
          <w:lang w:val="sr-Latn-ME"/>
        </w:rPr>
        <w:t>, lipidni parametri, vrijednosti CPK-a (&gt; 5 x GGN) i neutropenija (ABN &lt; </w:t>
      </w:r>
      <w:r w:rsidRPr="00B74B0F">
        <w:rPr>
          <w:noProof/>
          <w:szCs w:val="22"/>
          <w:lang w:val="sr-Latn-ME"/>
        </w:rPr>
        <w:t>1 x 10</w:t>
      </w:r>
      <w:r w:rsidRPr="00B74B0F">
        <w:rPr>
          <w:noProof/>
          <w:szCs w:val="22"/>
          <w:vertAlign w:val="superscript"/>
          <w:lang w:val="sr-Latn-ME"/>
        </w:rPr>
        <w:t>9</w:t>
      </w:r>
      <w:r w:rsidRPr="00B74B0F">
        <w:rPr>
          <w:iCs/>
          <w:noProof/>
          <w:szCs w:val="22"/>
          <w:lang w:val="sr-Latn-ME"/>
        </w:rPr>
        <w:t> </w:t>
      </w:r>
      <w:r w:rsidR="000B3BD0" w:rsidRPr="00B74B0F">
        <w:rPr>
          <w:iCs/>
          <w:noProof/>
          <w:szCs w:val="22"/>
          <w:lang w:val="sr-Latn-ME"/>
        </w:rPr>
        <w:t>ćelija</w:t>
      </w:r>
      <w:r w:rsidRPr="00B74B0F">
        <w:rPr>
          <w:iCs/>
          <w:noProof/>
          <w:szCs w:val="22"/>
          <w:lang w:val="sr-Latn-ME"/>
        </w:rPr>
        <w:t>/l) povezane s liječenjem upadacitinibom bile su slične onima uočenim u kliničkim ispitivanjima reumatološke bolesti.</w:t>
      </w:r>
      <w:r w:rsidRPr="00B74B0F">
        <w:rPr>
          <w:noProof/>
          <w:szCs w:val="22"/>
          <w:lang w:val="sr-Latn-ME"/>
        </w:rPr>
        <w:t xml:space="preserve"> </w:t>
      </w:r>
    </w:p>
    <w:p w14:paraId="07BE4C50" w14:textId="77777777" w:rsidR="00812AD4" w:rsidRPr="00B74B0F" w:rsidRDefault="00812AD4">
      <w:pPr>
        <w:autoSpaceDE w:val="0"/>
        <w:autoSpaceDN w:val="0"/>
        <w:adjustRightInd w:val="0"/>
        <w:spacing w:line="240" w:lineRule="auto"/>
        <w:jc w:val="both"/>
        <w:rPr>
          <w:noProof/>
          <w:szCs w:val="22"/>
          <w:lang w:val="sr-Latn-ME"/>
        </w:rPr>
      </w:pPr>
    </w:p>
    <w:p w14:paraId="2A82559B" w14:textId="0A41277C" w:rsidR="00812AD4" w:rsidRPr="00B74B0F" w:rsidRDefault="00E60CDF">
      <w:pPr>
        <w:autoSpaceDE w:val="0"/>
        <w:autoSpaceDN w:val="0"/>
        <w:adjustRightInd w:val="0"/>
        <w:spacing w:line="240" w:lineRule="auto"/>
        <w:jc w:val="both"/>
        <w:rPr>
          <w:noProof/>
          <w:szCs w:val="22"/>
          <w:lang w:val="sr-Latn-ME"/>
        </w:rPr>
      </w:pPr>
      <w:r w:rsidRPr="00B74B0F">
        <w:rPr>
          <w:noProof/>
          <w:szCs w:val="22"/>
          <w:lang w:val="sr-Latn-ME"/>
        </w:rPr>
        <w:t>Primijećeno je malo povećanje</w:t>
      </w:r>
      <w:r w:rsidR="00812AD4" w:rsidRPr="00B74B0F">
        <w:rPr>
          <w:noProof/>
          <w:szCs w:val="22"/>
          <w:lang w:val="sr-Latn-ME"/>
        </w:rPr>
        <w:t xml:space="preserve"> LDL‑</w:t>
      </w:r>
      <w:r w:rsidRPr="00B74B0F">
        <w:rPr>
          <w:noProof/>
          <w:szCs w:val="22"/>
          <w:lang w:val="sr-Latn-ME"/>
        </w:rPr>
        <w:t>h</w:t>
      </w:r>
      <w:r w:rsidR="00812AD4" w:rsidRPr="00B74B0F">
        <w:rPr>
          <w:noProof/>
          <w:szCs w:val="22"/>
          <w:lang w:val="sr-Latn-ME"/>
        </w:rPr>
        <w:t>olesterola nakon 16. </w:t>
      </w:r>
      <w:r w:rsidRPr="00B74B0F">
        <w:rPr>
          <w:noProof/>
          <w:szCs w:val="22"/>
          <w:lang w:val="sr-Latn-ME"/>
        </w:rPr>
        <w:t>nedjelje</w:t>
      </w:r>
      <w:r w:rsidR="00812AD4" w:rsidRPr="00B74B0F">
        <w:rPr>
          <w:noProof/>
          <w:szCs w:val="22"/>
          <w:lang w:val="sr-Latn-ME"/>
        </w:rPr>
        <w:t xml:space="preserve"> u ispitivanjima atopijskog dermatitisa.</w:t>
      </w:r>
    </w:p>
    <w:p w14:paraId="651AEC27" w14:textId="77777777" w:rsidR="00812AD4" w:rsidRPr="00B74B0F" w:rsidRDefault="00812AD4">
      <w:pPr>
        <w:autoSpaceDE w:val="0"/>
        <w:autoSpaceDN w:val="0"/>
        <w:adjustRightInd w:val="0"/>
        <w:spacing w:line="240" w:lineRule="auto"/>
        <w:jc w:val="both"/>
        <w:rPr>
          <w:noProof/>
          <w:szCs w:val="22"/>
          <w:lang w:val="sr-Latn-ME"/>
        </w:rPr>
      </w:pPr>
    </w:p>
    <w:p w14:paraId="54E293FF" w14:textId="77777777" w:rsidR="00812AD4" w:rsidRPr="00B74B0F" w:rsidRDefault="00812AD4">
      <w:pPr>
        <w:tabs>
          <w:tab w:val="clear" w:pos="567"/>
        </w:tabs>
        <w:autoSpaceDE w:val="0"/>
        <w:autoSpaceDN w:val="0"/>
        <w:adjustRightInd w:val="0"/>
        <w:spacing w:line="240" w:lineRule="auto"/>
        <w:jc w:val="both"/>
        <w:rPr>
          <w:i/>
          <w:szCs w:val="22"/>
          <w:u w:val="single"/>
          <w:lang w:val="sr-Latn-ME"/>
        </w:rPr>
      </w:pPr>
      <w:r w:rsidRPr="00B74B0F">
        <w:rPr>
          <w:i/>
          <w:iCs/>
          <w:szCs w:val="22"/>
          <w:u w:val="single"/>
          <w:lang w:val="sr-Latn-ME"/>
        </w:rPr>
        <w:t>Ulcerozni kolitis</w:t>
      </w:r>
    </w:p>
    <w:p w14:paraId="135472D5" w14:textId="77777777" w:rsidR="00812AD4" w:rsidRPr="00B74B0F" w:rsidRDefault="00812AD4">
      <w:pPr>
        <w:tabs>
          <w:tab w:val="clear" w:pos="567"/>
        </w:tabs>
        <w:autoSpaceDE w:val="0"/>
        <w:autoSpaceDN w:val="0"/>
        <w:adjustRightInd w:val="0"/>
        <w:spacing w:line="240" w:lineRule="auto"/>
        <w:jc w:val="both"/>
        <w:rPr>
          <w:i/>
          <w:szCs w:val="22"/>
          <w:lang w:val="sr-Latn-ME"/>
        </w:rPr>
      </w:pPr>
    </w:p>
    <w:p w14:paraId="29C61D03" w14:textId="22035B34" w:rsidR="00812AD4" w:rsidRPr="00B74B0F" w:rsidRDefault="00812AD4">
      <w:pPr>
        <w:tabs>
          <w:tab w:val="clear" w:pos="567"/>
        </w:tabs>
        <w:autoSpaceDE w:val="0"/>
        <w:autoSpaceDN w:val="0"/>
        <w:adjustRightInd w:val="0"/>
        <w:spacing w:line="240" w:lineRule="auto"/>
        <w:jc w:val="both"/>
        <w:rPr>
          <w:szCs w:val="22"/>
          <w:lang w:val="sr-Latn-ME"/>
        </w:rPr>
      </w:pPr>
      <w:r w:rsidRPr="00B74B0F">
        <w:rPr>
          <w:szCs w:val="22"/>
          <w:lang w:val="sr-Latn-ME"/>
        </w:rPr>
        <w:t xml:space="preserve">Ukupni sigurnosni profil uočen </w:t>
      </w:r>
      <w:r w:rsidR="00E60CDF" w:rsidRPr="00B74B0F">
        <w:rPr>
          <w:szCs w:val="22"/>
          <w:lang w:val="sr-Latn-ME"/>
        </w:rPr>
        <w:t>kod</w:t>
      </w:r>
      <w:r w:rsidRPr="00B74B0F">
        <w:rPr>
          <w:szCs w:val="22"/>
          <w:lang w:val="sr-Latn-ME"/>
        </w:rPr>
        <w:t xml:space="preserve"> </w:t>
      </w:r>
      <w:r w:rsidR="00181042" w:rsidRPr="00B74B0F">
        <w:rPr>
          <w:szCs w:val="22"/>
          <w:lang w:val="sr-Latn-ME"/>
        </w:rPr>
        <w:t>pacijenata</w:t>
      </w:r>
      <w:r w:rsidRPr="00B74B0F">
        <w:rPr>
          <w:szCs w:val="22"/>
          <w:lang w:val="sr-Latn-ME"/>
        </w:rPr>
        <w:t xml:space="preserve"> s</w:t>
      </w:r>
      <w:r w:rsidR="000B3BD0" w:rsidRPr="00B74B0F">
        <w:rPr>
          <w:szCs w:val="22"/>
          <w:lang w:val="sr-Latn-ME"/>
        </w:rPr>
        <w:t>a</w:t>
      </w:r>
      <w:r w:rsidRPr="00B74B0F">
        <w:rPr>
          <w:szCs w:val="22"/>
          <w:lang w:val="sr-Latn-ME"/>
        </w:rPr>
        <w:t xml:space="preserve"> ulceroznim kolitisom je bio u skladu s onim uočenim </w:t>
      </w:r>
      <w:r w:rsidR="00E60CDF" w:rsidRPr="00B74B0F">
        <w:rPr>
          <w:szCs w:val="22"/>
          <w:lang w:val="sr-Latn-ME"/>
        </w:rPr>
        <w:t>kod</w:t>
      </w:r>
      <w:r w:rsidRPr="00B74B0F">
        <w:rPr>
          <w:szCs w:val="22"/>
          <w:lang w:val="sr-Latn-ME"/>
        </w:rPr>
        <w:t> </w:t>
      </w:r>
      <w:r w:rsidR="00181042" w:rsidRPr="00B74B0F">
        <w:rPr>
          <w:szCs w:val="22"/>
          <w:lang w:val="sr-Latn-ME"/>
        </w:rPr>
        <w:t>pacijenata</w:t>
      </w:r>
      <w:r w:rsidRPr="00B74B0F">
        <w:rPr>
          <w:szCs w:val="22"/>
          <w:lang w:val="sr-Latn-ME"/>
        </w:rPr>
        <w:t xml:space="preserve"> s</w:t>
      </w:r>
      <w:r w:rsidR="000B3BD0" w:rsidRPr="00B74B0F">
        <w:rPr>
          <w:szCs w:val="22"/>
          <w:lang w:val="sr-Latn-ME"/>
        </w:rPr>
        <w:t>a</w:t>
      </w:r>
      <w:r w:rsidRPr="00B74B0F">
        <w:rPr>
          <w:szCs w:val="22"/>
          <w:lang w:val="sr-Latn-ME"/>
        </w:rPr>
        <w:t xml:space="preserve"> reumatoidnim artritisom.</w:t>
      </w:r>
    </w:p>
    <w:p w14:paraId="3053C871" w14:textId="77777777" w:rsidR="00812AD4" w:rsidRPr="00B74B0F" w:rsidRDefault="00812AD4">
      <w:pPr>
        <w:tabs>
          <w:tab w:val="clear" w:pos="567"/>
        </w:tabs>
        <w:autoSpaceDE w:val="0"/>
        <w:autoSpaceDN w:val="0"/>
        <w:adjustRightInd w:val="0"/>
        <w:spacing w:line="240" w:lineRule="auto"/>
        <w:jc w:val="both"/>
        <w:rPr>
          <w:szCs w:val="22"/>
          <w:lang w:val="sr-Latn-ME"/>
        </w:rPr>
      </w:pPr>
    </w:p>
    <w:p w14:paraId="65A7C66B" w14:textId="636F5171" w:rsidR="00812AD4" w:rsidRPr="00B74B0F" w:rsidRDefault="00812AD4">
      <w:pPr>
        <w:tabs>
          <w:tab w:val="clear" w:pos="567"/>
        </w:tabs>
        <w:autoSpaceDE w:val="0"/>
        <w:autoSpaceDN w:val="0"/>
        <w:adjustRightInd w:val="0"/>
        <w:spacing w:line="240" w:lineRule="auto"/>
        <w:jc w:val="both"/>
        <w:rPr>
          <w:szCs w:val="22"/>
          <w:lang w:val="sr-Latn-ME"/>
        </w:rPr>
      </w:pPr>
      <w:r w:rsidRPr="00B74B0F">
        <w:rPr>
          <w:szCs w:val="22"/>
          <w:lang w:val="sr-Latn-ME"/>
        </w:rPr>
        <w:t xml:space="preserve">Viša stopa herpes zostera uočena je u </w:t>
      </w:r>
      <w:r w:rsidR="00E60CDF" w:rsidRPr="00B74B0F">
        <w:rPr>
          <w:szCs w:val="22"/>
          <w:lang w:val="sr-Latn-ME"/>
        </w:rPr>
        <w:t>periodu</w:t>
      </w:r>
      <w:r w:rsidRPr="00B74B0F">
        <w:rPr>
          <w:szCs w:val="22"/>
          <w:lang w:val="sr-Latn-ME"/>
        </w:rPr>
        <w:t xml:space="preserve"> indukcijskog liječenja od 16 </w:t>
      </w:r>
      <w:r w:rsidR="00E60CDF" w:rsidRPr="00B74B0F">
        <w:rPr>
          <w:szCs w:val="22"/>
          <w:lang w:val="sr-Latn-ME"/>
        </w:rPr>
        <w:t>nedjelja naspram 8 nedjelja.</w:t>
      </w:r>
    </w:p>
    <w:p w14:paraId="3D9F33D8" w14:textId="77777777" w:rsidR="00E60CDF" w:rsidRPr="00B74B0F" w:rsidRDefault="00E60CDF">
      <w:pPr>
        <w:tabs>
          <w:tab w:val="clear" w:pos="567"/>
        </w:tabs>
        <w:autoSpaceDE w:val="0"/>
        <w:autoSpaceDN w:val="0"/>
        <w:adjustRightInd w:val="0"/>
        <w:spacing w:line="240" w:lineRule="auto"/>
        <w:jc w:val="both"/>
        <w:rPr>
          <w:i/>
          <w:szCs w:val="22"/>
          <w:lang w:val="sr-Latn-ME"/>
        </w:rPr>
      </w:pPr>
    </w:p>
    <w:p w14:paraId="7073F4BF" w14:textId="54DC42AB" w:rsidR="00812AD4" w:rsidRPr="00B74B0F" w:rsidRDefault="00812AD4">
      <w:pPr>
        <w:tabs>
          <w:tab w:val="clear" w:pos="567"/>
        </w:tabs>
        <w:autoSpaceDE w:val="0"/>
        <w:autoSpaceDN w:val="0"/>
        <w:adjustRightInd w:val="0"/>
        <w:spacing w:line="240" w:lineRule="auto"/>
        <w:jc w:val="both"/>
        <w:rPr>
          <w:i/>
          <w:szCs w:val="22"/>
          <w:lang w:val="sr-Latn-ME"/>
        </w:rPr>
      </w:pPr>
      <w:r w:rsidRPr="00B74B0F">
        <w:rPr>
          <w:i/>
          <w:szCs w:val="22"/>
          <w:lang w:val="sr-Latn-ME"/>
        </w:rPr>
        <w:t>Infekcije</w:t>
      </w:r>
    </w:p>
    <w:p w14:paraId="20F686D8" w14:textId="77777777" w:rsidR="00CA11F7" w:rsidRPr="00B74B0F" w:rsidRDefault="00CA11F7">
      <w:pPr>
        <w:tabs>
          <w:tab w:val="clear" w:pos="567"/>
        </w:tabs>
        <w:autoSpaceDE w:val="0"/>
        <w:autoSpaceDN w:val="0"/>
        <w:adjustRightInd w:val="0"/>
        <w:spacing w:line="240" w:lineRule="auto"/>
        <w:jc w:val="both"/>
        <w:rPr>
          <w:i/>
          <w:szCs w:val="22"/>
          <w:lang w:val="sr-Latn-ME"/>
        </w:rPr>
      </w:pPr>
    </w:p>
    <w:p w14:paraId="2B814996" w14:textId="30A8638B" w:rsidR="00812AD4" w:rsidRPr="00B74B0F" w:rsidRDefault="00812AD4">
      <w:pPr>
        <w:tabs>
          <w:tab w:val="clear" w:pos="567"/>
        </w:tabs>
        <w:spacing w:line="240" w:lineRule="auto"/>
        <w:jc w:val="both"/>
        <w:rPr>
          <w:rFonts w:eastAsia="Calibri"/>
          <w:szCs w:val="22"/>
          <w:lang w:val="sr-Latn-ME"/>
        </w:rPr>
      </w:pPr>
      <w:r w:rsidRPr="00B74B0F">
        <w:rPr>
          <w:rFonts w:eastAsia="Calibri"/>
          <w:szCs w:val="22"/>
          <w:lang w:val="sr-Latn-ME"/>
        </w:rPr>
        <w:t>U placebom kontroli</w:t>
      </w:r>
      <w:r w:rsidR="00E60CDF" w:rsidRPr="00B74B0F">
        <w:rPr>
          <w:rFonts w:eastAsia="Calibri"/>
          <w:szCs w:val="22"/>
          <w:lang w:val="sr-Latn-ME"/>
        </w:rPr>
        <w:t>s</w:t>
      </w:r>
      <w:r w:rsidRPr="00B74B0F">
        <w:rPr>
          <w:rFonts w:eastAsia="Calibri"/>
          <w:szCs w:val="22"/>
          <w:lang w:val="sr-Latn-ME"/>
        </w:rPr>
        <w:t xml:space="preserve">anim ispitivanjima indukcije, učestalost infekcije </w:t>
      </w:r>
      <w:r w:rsidR="00181042" w:rsidRPr="00B74B0F">
        <w:rPr>
          <w:rFonts w:eastAsia="Calibri"/>
          <w:szCs w:val="22"/>
          <w:lang w:val="sr-Latn-ME"/>
        </w:rPr>
        <w:t>tokom</w:t>
      </w:r>
      <w:r w:rsidRPr="00B74B0F">
        <w:rPr>
          <w:rFonts w:eastAsia="Calibri"/>
          <w:szCs w:val="22"/>
          <w:lang w:val="sr-Latn-ME"/>
        </w:rPr>
        <w:t xml:space="preserve"> 8 </w:t>
      </w:r>
      <w:r w:rsidR="00E60CDF" w:rsidRPr="00B74B0F">
        <w:rPr>
          <w:rFonts w:eastAsia="Calibri"/>
          <w:szCs w:val="22"/>
          <w:lang w:val="sr-Latn-ME"/>
        </w:rPr>
        <w:t xml:space="preserve">nedjelja </w:t>
      </w:r>
      <w:r w:rsidRPr="00B74B0F">
        <w:rPr>
          <w:rFonts w:eastAsia="Calibri"/>
          <w:szCs w:val="22"/>
          <w:lang w:val="sr-Latn-ME"/>
        </w:rPr>
        <w:t xml:space="preserve">u </w:t>
      </w:r>
      <w:r w:rsidR="00E60CDF" w:rsidRPr="00B74B0F">
        <w:rPr>
          <w:rFonts w:eastAsia="Calibri"/>
          <w:szCs w:val="22"/>
          <w:lang w:val="sr-Latn-ME"/>
        </w:rPr>
        <w:t xml:space="preserve">grupi </w:t>
      </w:r>
      <w:r w:rsidRPr="00B74B0F">
        <w:rPr>
          <w:rFonts w:eastAsia="Calibri"/>
          <w:szCs w:val="22"/>
          <w:lang w:val="sr-Latn-ME"/>
        </w:rPr>
        <w:t xml:space="preserve">koja je primala upadacitinib od 45 mg u </w:t>
      </w:r>
      <w:r w:rsidR="00181042" w:rsidRPr="00B74B0F">
        <w:rPr>
          <w:rFonts w:eastAsia="Calibri"/>
          <w:szCs w:val="22"/>
          <w:lang w:val="sr-Latn-ME"/>
        </w:rPr>
        <w:t>poređenju</w:t>
      </w:r>
      <w:r w:rsidRPr="00B74B0F">
        <w:rPr>
          <w:rFonts w:eastAsia="Calibri"/>
          <w:szCs w:val="22"/>
          <w:lang w:val="sr-Latn-ME"/>
        </w:rPr>
        <w:t xml:space="preserve"> sa </w:t>
      </w:r>
      <w:r w:rsidR="00E60CDF" w:rsidRPr="00B74B0F">
        <w:rPr>
          <w:rFonts w:eastAsia="Calibri"/>
          <w:szCs w:val="22"/>
          <w:lang w:val="sr-Latn-ME"/>
        </w:rPr>
        <w:t xml:space="preserve">grupom </w:t>
      </w:r>
      <w:r w:rsidRPr="00B74B0F">
        <w:rPr>
          <w:rFonts w:eastAsia="Calibri"/>
          <w:szCs w:val="22"/>
          <w:lang w:val="sr-Latn-ME"/>
        </w:rPr>
        <w:t>koja je primala placebo bila je 20,7% odnosno 17,5%. U placebom kontroli</w:t>
      </w:r>
      <w:r w:rsidR="00E60CDF" w:rsidRPr="00B74B0F">
        <w:rPr>
          <w:rFonts w:eastAsia="Calibri"/>
          <w:szCs w:val="22"/>
          <w:lang w:val="sr-Latn-ME"/>
        </w:rPr>
        <w:t>s</w:t>
      </w:r>
      <w:r w:rsidRPr="00B74B0F">
        <w:rPr>
          <w:rFonts w:eastAsia="Calibri"/>
          <w:szCs w:val="22"/>
          <w:lang w:val="sr-Latn-ME"/>
        </w:rPr>
        <w:t xml:space="preserve">anom ispitivanju održavanja, učestalost infekcije </w:t>
      </w:r>
      <w:r w:rsidR="00181042" w:rsidRPr="00B74B0F">
        <w:rPr>
          <w:rFonts w:eastAsia="Calibri"/>
          <w:szCs w:val="22"/>
          <w:lang w:val="sr-Latn-ME"/>
        </w:rPr>
        <w:t>tokom</w:t>
      </w:r>
      <w:r w:rsidRPr="00B74B0F">
        <w:rPr>
          <w:rFonts w:eastAsia="Calibri"/>
          <w:szCs w:val="22"/>
          <w:lang w:val="sr-Latn-ME"/>
        </w:rPr>
        <w:t xml:space="preserve"> 52 </w:t>
      </w:r>
      <w:r w:rsidR="00E60CDF" w:rsidRPr="00B74B0F">
        <w:rPr>
          <w:rFonts w:eastAsia="Calibri"/>
          <w:szCs w:val="22"/>
          <w:lang w:val="sr-Latn-ME"/>
        </w:rPr>
        <w:t>nedjelje</w:t>
      </w:r>
      <w:r w:rsidRPr="00B74B0F">
        <w:rPr>
          <w:rFonts w:eastAsia="Calibri"/>
          <w:szCs w:val="22"/>
          <w:lang w:val="sr-Latn-ME"/>
        </w:rPr>
        <w:t xml:space="preserve"> u </w:t>
      </w:r>
      <w:r w:rsidR="00181042" w:rsidRPr="00B74B0F">
        <w:rPr>
          <w:rFonts w:eastAsia="Calibri"/>
          <w:szCs w:val="22"/>
          <w:lang w:val="sr-Latn-ME"/>
        </w:rPr>
        <w:t>grupa</w:t>
      </w:r>
      <w:r w:rsidRPr="00B74B0F">
        <w:rPr>
          <w:rFonts w:eastAsia="Calibri"/>
          <w:szCs w:val="22"/>
          <w:lang w:val="sr-Latn-ME"/>
        </w:rPr>
        <w:t>ma koje su primale upadacitinib od 15 mg i 30 mg bila je 38,4% odnosno 40,6%, u </w:t>
      </w:r>
      <w:r w:rsidR="00181042" w:rsidRPr="00B74B0F">
        <w:rPr>
          <w:rFonts w:eastAsia="Calibri"/>
          <w:szCs w:val="22"/>
          <w:lang w:val="sr-Latn-ME"/>
        </w:rPr>
        <w:t>poređenju</w:t>
      </w:r>
      <w:r w:rsidRPr="00B74B0F">
        <w:rPr>
          <w:rFonts w:eastAsia="Calibri"/>
          <w:szCs w:val="22"/>
          <w:lang w:val="sr-Latn-ME"/>
        </w:rPr>
        <w:t xml:space="preserve"> sa 37,6% u </w:t>
      </w:r>
      <w:r w:rsidR="00E60CDF" w:rsidRPr="00B74B0F">
        <w:rPr>
          <w:rFonts w:eastAsia="Calibri"/>
          <w:szCs w:val="22"/>
          <w:lang w:val="sr-Latn-ME"/>
        </w:rPr>
        <w:t xml:space="preserve">grupi </w:t>
      </w:r>
      <w:r w:rsidRPr="00B74B0F">
        <w:rPr>
          <w:rFonts w:eastAsia="Calibri"/>
          <w:szCs w:val="22"/>
          <w:lang w:val="sr-Latn-ME"/>
        </w:rPr>
        <w:t>koja je primala placebo. Dugotrajna stopa infekcija za upadacitinib 15 mg i 30 mg bila je 73,8 odnosno 82,6 događaja na 100 </w:t>
      </w:r>
      <w:r w:rsidR="00181042" w:rsidRPr="00B74B0F">
        <w:rPr>
          <w:rFonts w:eastAsia="Calibri"/>
          <w:szCs w:val="22"/>
          <w:lang w:val="sr-Latn-ME"/>
        </w:rPr>
        <w:t>pacijent</w:t>
      </w:r>
      <w:r w:rsidRPr="00B74B0F">
        <w:rPr>
          <w:rFonts w:eastAsia="Calibri"/>
          <w:szCs w:val="22"/>
          <w:lang w:val="sr-Latn-ME"/>
        </w:rPr>
        <w:t>-godina.</w:t>
      </w:r>
    </w:p>
    <w:p w14:paraId="19F0BF42" w14:textId="77777777" w:rsidR="00812AD4" w:rsidRPr="00B74B0F" w:rsidRDefault="00812AD4">
      <w:pPr>
        <w:tabs>
          <w:tab w:val="clear" w:pos="567"/>
        </w:tabs>
        <w:spacing w:line="240" w:lineRule="auto"/>
        <w:jc w:val="both"/>
        <w:rPr>
          <w:rFonts w:eastAsia="Calibri"/>
          <w:szCs w:val="22"/>
          <w:lang w:val="sr-Latn-ME"/>
        </w:rPr>
      </w:pPr>
    </w:p>
    <w:p w14:paraId="43E6108E" w14:textId="475E4C77" w:rsidR="00812AD4" w:rsidRPr="00B74B0F" w:rsidRDefault="00812AD4">
      <w:pPr>
        <w:tabs>
          <w:tab w:val="clear" w:pos="567"/>
        </w:tabs>
        <w:spacing w:line="240" w:lineRule="auto"/>
        <w:jc w:val="both"/>
        <w:rPr>
          <w:rFonts w:eastAsia="Calibri"/>
          <w:szCs w:val="22"/>
          <w:lang w:val="sr-Latn-ME"/>
        </w:rPr>
      </w:pPr>
      <w:r w:rsidRPr="00B74B0F">
        <w:rPr>
          <w:rFonts w:eastAsia="Calibri"/>
          <w:szCs w:val="22"/>
          <w:lang w:val="sr-Latn-ME"/>
        </w:rPr>
        <w:lastRenderedPageBreak/>
        <w:t>U placebom kontroli</w:t>
      </w:r>
      <w:r w:rsidR="00E60CDF" w:rsidRPr="00B74B0F">
        <w:rPr>
          <w:rFonts w:eastAsia="Calibri"/>
          <w:szCs w:val="22"/>
          <w:lang w:val="sr-Latn-ME"/>
        </w:rPr>
        <w:t>s</w:t>
      </w:r>
      <w:r w:rsidRPr="00B74B0F">
        <w:rPr>
          <w:rFonts w:eastAsia="Calibri"/>
          <w:szCs w:val="22"/>
          <w:lang w:val="sr-Latn-ME"/>
        </w:rPr>
        <w:t xml:space="preserve">anim ispitivanjima indukcije, učestalost ozbiljne infekcije </w:t>
      </w:r>
      <w:r w:rsidR="00181042" w:rsidRPr="00B74B0F">
        <w:rPr>
          <w:rFonts w:eastAsia="Calibri"/>
          <w:szCs w:val="22"/>
          <w:lang w:val="sr-Latn-ME"/>
        </w:rPr>
        <w:t>tokom</w:t>
      </w:r>
      <w:r w:rsidRPr="00B74B0F">
        <w:rPr>
          <w:rFonts w:eastAsia="Calibri"/>
          <w:szCs w:val="22"/>
          <w:lang w:val="sr-Latn-ME"/>
        </w:rPr>
        <w:t xml:space="preserve"> 8 </w:t>
      </w:r>
      <w:r w:rsidR="00E60CDF" w:rsidRPr="00B74B0F">
        <w:rPr>
          <w:rFonts w:eastAsia="Calibri"/>
          <w:szCs w:val="22"/>
          <w:lang w:val="sr-Latn-ME"/>
        </w:rPr>
        <w:t xml:space="preserve">nedjelja </w:t>
      </w:r>
      <w:r w:rsidRPr="00B74B0F">
        <w:rPr>
          <w:rFonts w:eastAsia="Calibri"/>
          <w:szCs w:val="22"/>
          <w:lang w:val="sr-Latn-ME"/>
        </w:rPr>
        <w:t xml:space="preserve">kako u </w:t>
      </w:r>
      <w:r w:rsidR="00E60CDF" w:rsidRPr="00B74B0F">
        <w:rPr>
          <w:rFonts w:eastAsia="Calibri"/>
          <w:szCs w:val="22"/>
          <w:lang w:val="sr-Latn-ME"/>
        </w:rPr>
        <w:t xml:space="preserve">grupi </w:t>
      </w:r>
      <w:r w:rsidRPr="00B74B0F">
        <w:rPr>
          <w:rFonts w:eastAsia="Calibri"/>
          <w:szCs w:val="22"/>
          <w:lang w:val="sr-Latn-ME"/>
        </w:rPr>
        <w:t xml:space="preserve">koja je primala upadacitinib od 45 mg tako i u </w:t>
      </w:r>
      <w:r w:rsidR="009D5D19" w:rsidRPr="00B74B0F">
        <w:rPr>
          <w:rFonts w:eastAsia="Calibri"/>
          <w:szCs w:val="22"/>
          <w:lang w:val="sr-Latn-ME"/>
        </w:rPr>
        <w:t xml:space="preserve">grupi </w:t>
      </w:r>
      <w:r w:rsidRPr="00B74B0F">
        <w:rPr>
          <w:rFonts w:eastAsia="Calibri"/>
          <w:szCs w:val="22"/>
          <w:lang w:val="sr-Latn-ME"/>
        </w:rPr>
        <w:t>koja je primala placebo bila je 1,3%. Ni</w:t>
      </w:r>
      <w:r w:rsidR="009D5D19" w:rsidRPr="00B74B0F">
        <w:rPr>
          <w:rFonts w:eastAsia="Calibri"/>
          <w:szCs w:val="22"/>
          <w:lang w:val="sr-Latn-ME"/>
        </w:rPr>
        <w:t>je</w:t>
      </w:r>
      <w:r w:rsidRPr="00B74B0F">
        <w:rPr>
          <w:rFonts w:eastAsia="Calibri"/>
          <w:szCs w:val="22"/>
          <w:lang w:val="sr-Latn-ME"/>
        </w:rPr>
        <w:t xml:space="preserve">su uočene dodatne ozbiljne infekcije </w:t>
      </w:r>
      <w:r w:rsidR="00181042" w:rsidRPr="00B74B0F">
        <w:rPr>
          <w:rFonts w:eastAsia="Calibri"/>
          <w:szCs w:val="22"/>
          <w:lang w:val="sr-Latn-ME"/>
        </w:rPr>
        <w:t>tokom</w:t>
      </w:r>
      <w:r w:rsidRPr="00B74B0F">
        <w:rPr>
          <w:rFonts w:eastAsia="Calibri"/>
          <w:szCs w:val="22"/>
          <w:lang w:val="sr-Latn-ME"/>
        </w:rPr>
        <w:t xml:space="preserve"> 8-</w:t>
      </w:r>
      <w:r w:rsidR="009D5D19" w:rsidRPr="00B74B0F">
        <w:rPr>
          <w:rFonts w:eastAsia="Calibri"/>
          <w:szCs w:val="22"/>
          <w:lang w:val="sr-Latn-ME"/>
        </w:rPr>
        <w:t xml:space="preserve">nedjeljnog </w:t>
      </w:r>
      <w:r w:rsidRPr="00B74B0F">
        <w:rPr>
          <w:rFonts w:eastAsia="Calibri"/>
          <w:szCs w:val="22"/>
          <w:lang w:val="sr-Latn-ME"/>
        </w:rPr>
        <w:t>produženog liječenja upadacitinibom od 45 mg. U placebom kontroli</w:t>
      </w:r>
      <w:r w:rsidR="009D5D19" w:rsidRPr="00B74B0F">
        <w:rPr>
          <w:rFonts w:eastAsia="Calibri"/>
          <w:szCs w:val="22"/>
          <w:lang w:val="sr-Latn-ME"/>
        </w:rPr>
        <w:t>s</w:t>
      </w:r>
      <w:r w:rsidRPr="00B74B0F">
        <w:rPr>
          <w:rFonts w:eastAsia="Calibri"/>
          <w:szCs w:val="22"/>
          <w:lang w:val="sr-Latn-ME"/>
        </w:rPr>
        <w:t xml:space="preserve">anom ispitivanju održavanja, učestalost ozbiljne infekcije </w:t>
      </w:r>
      <w:r w:rsidR="00181042" w:rsidRPr="00B74B0F">
        <w:rPr>
          <w:rFonts w:eastAsia="Calibri"/>
          <w:szCs w:val="22"/>
          <w:lang w:val="sr-Latn-ME"/>
        </w:rPr>
        <w:t>tokom</w:t>
      </w:r>
      <w:r w:rsidRPr="00B74B0F">
        <w:rPr>
          <w:rFonts w:eastAsia="Calibri"/>
          <w:szCs w:val="22"/>
          <w:lang w:val="sr-Latn-ME"/>
        </w:rPr>
        <w:t xml:space="preserve"> 52 </w:t>
      </w:r>
      <w:r w:rsidR="009D5D19" w:rsidRPr="00B74B0F">
        <w:rPr>
          <w:rFonts w:eastAsia="Calibri"/>
          <w:szCs w:val="22"/>
          <w:lang w:val="sr-Latn-ME"/>
        </w:rPr>
        <w:t xml:space="preserve">nedjelje </w:t>
      </w:r>
      <w:r w:rsidRPr="00B74B0F">
        <w:rPr>
          <w:rFonts w:eastAsia="Calibri"/>
          <w:szCs w:val="22"/>
          <w:lang w:val="sr-Latn-ME"/>
        </w:rPr>
        <w:t xml:space="preserve">u </w:t>
      </w:r>
      <w:r w:rsidR="00181042" w:rsidRPr="00B74B0F">
        <w:rPr>
          <w:rFonts w:eastAsia="Calibri"/>
          <w:szCs w:val="22"/>
          <w:lang w:val="sr-Latn-ME"/>
        </w:rPr>
        <w:t>grupa</w:t>
      </w:r>
      <w:r w:rsidRPr="00B74B0F">
        <w:rPr>
          <w:rFonts w:eastAsia="Calibri"/>
          <w:szCs w:val="22"/>
          <w:lang w:val="sr-Latn-ME"/>
        </w:rPr>
        <w:t xml:space="preserve">ma koje su primale upadacitinib od 15 mg i 30 mg bila je 3,2% odnosno 2,4%, u </w:t>
      </w:r>
      <w:r w:rsidR="00181042" w:rsidRPr="00B74B0F">
        <w:rPr>
          <w:rFonts w:eastAsia="Calibri"/>
          <w:szCs w:val="22"/>
          <w:lang w:val="sr-Latn-ME"/>
        </w:rPr>
        <w:t>poređenju</w:t>
      </w:r>
      <w:r w:rsidRPr="00B74B0F">
        <w:rPr>
          <w:rFonts w:eastAsia="Calibri"/>
          <w:szCs w:val="22"/>
          <w:lang w:val="sr-Latn-ME"/>
        </w:rPr>
        <w:t xml:space="preserve"> s 3,3% u </w:t>
      </w:r>
      <w:r w:rsidR="009D5D19" w:rsidRPr="00B74B0F">
        <w:rPr>
          <w:rFonts w:eastAsia="Calibri"/>
          <w:szCs w:val="22"/>
          <w:lang w:val="sr-Latn-ME"/>
        </w:rPr>
        <w:t xml:space="preserve">grupi </w:t>
      </w:r>
      <w:r w:rsidRPr="00B74B0F">
        <w:rPr>
          <w:rFonts w:eastAsia="Calibri"/>
          <w:szCs w:val="22"/>
          <w:lang w:val="sr-Latn-ME"/>
        </w:rPr>
        <w:t xml:space="preserve">koja je primala placebo. Dugotrajna stopa ozbiljnih infekcija za </w:t>
      </w:r>
      <w:r w:rsidR="009D5D19" w:rsidRPr="00B74B0F">
        <w:rPr>
          <w:rFonts w:eastAsia="Calibri"/>
          <w:szCs w:val="22"/>
          <w:lang w:val="sr-Latn-ME"/>
        </w:rPr>
        <w:t xml:space="preserve">grupe </w:t>
      </w:r>
      <w:r w:rsidRPr="00B74B0F">
        <w:rPr>
          <w:rFonts w:eastAsia="Calibri"/>
          <w:szCs w:val="22"/>
          <w:lang w:val="sr-Latn-ME"/>
        </w:rPr>
        <w:t>upadacitiniba 15 mg i 30 mg bila je 4,1 odnosno 3,9 događaja na 100 </w:t>
      </w:r>
      <w:r w:rsidR="00181042" w:rsidRPr="00B74B0F">
        <w:rPr>
          <w:rFonts w:eastAsia="Calibri"/>
          <w:szCs w:val="22"/>
          <w:lang w:val="sr-Latn-ME"/>
        </w:rPr>
        <w:t>pacijent</w:t>
      </w:r>
      <w:r w:rsidRPr="00B74B0F">
        <w:rPr>
          <w:rFonts w:eastAsia="Calibri"/>
          <w:szCs w:val="22"/>
          <w:lang w:val="sr-Latn-ME"/>
        </w:rPr>
        <w:t>-godina. Najčešće prijavljivana ozbiljna infekcija u fazi indukcije i održavanja bila je COVID</w:t>
      </w:r>
      <w:r w:rsidRPr="00B74B0F">
        <w:rPr>
          <w:rFonts w:eastAsia="Calibri"/>
          <w:szCs w:val="22"/>
          <w:lang w:val="sr-Latn-ME"/>
        </w:rPr>
        <w:noBreakHyphen/>
        <w:t>19 upala pluća.</w:t>
      </w:r>
    </w:p>
    <w:p w14:paraId="6C15FFA9" w14:textId="77777777" w:rsidR="00812AD4" w:rsidRPr="00B74B0F" w:rsidRDefault="00812AD4">
      <w:pPr>
        <w:tabs>
          <w:tab w:val="clear" w:pos="567"/>
        </w:tabs>
        <w:autoSpaceDE w:val="0"/>
        <w:autoSpaceDN w:val="0"/>
        <w:adjustRightInd w:val="0"/>
        <w:spacing w:line="240" w:lineRule="auto"/>
        <w:jc w:val="both"/>
        <w:rPr>
          <w:szCs w:val="22"/>
          <w:lang w:val="sr-Latn-ME"/>
        </w:rPr>
      </w:pPr>
    </w:p>
    <w:p w14:paraId="22FDDBB3" w14:textId="4E7FDF2A" w:rsidR="00812AD4" w:rsidRPr="00B74B0F" w:rsidRDefault="00812AD4">
      <w:pPr>
        <w:keepNext/>
        <w:tabs>
          <w:tab w:val="clear" w:pos="567"/>
        </w:tabs>
        <w:autoSpaceDE w:val="0"/>
        <w:autoSpaceDN w:val="0"/>
        <w:adjustRightInd w:val="0"/>
        <w:spacing w:line="240" w:lineRule="auto"/>
        <w:jc w:val="both"/>
        <w:rPr>
          <w:i/>
          <w:szCs w:val="22"/>
          <w:lang w:val="sr-Latn-ME"/>
        </w:rPr>
      </w:pPr>
      <w:r w:rsidRPr="00B74B0F">
        <w:rPr>
          <w:i/>
          <w:szCs w:val="22"/>
          <w:lang w:val="sr-Latn-ME"/>
        </w:rPr>
        <w:t>Oportunističke infekcije (isključujući tuberkulozu)</w:t>
      </w:r>
    </w:p>
    <w:p w14:paraId="1AA11AD6" w14:textId="77777777" w:rsidR="00132358" w:rsidRPr="00B74B0F" w:rsidRDefault="00132358">
      <w:pPr>
        <w:keepNext/>
        <w:tabs>
          <w:tab w:val="clear" w:pos="567"/>
        </w:tabs>
        <w:autoSpaceDE w:val="0"/>
        <w:autoSpaceDN w:val="0"/>
        <w:adjustRightInd w:val="0"/>
        <w:spacing w:line="240" w:lineRule="auto"/>
        <w:jc w:val="both"/>
        <w:rPr>
          <w:i/>
          <w:szCs w:val="22"/>
          <w:lang w:val="sr-Latn-ME"/>
        </w:rPr>
      </w:pPr>
    </w:p>
    <w:p w14:paraId="7FE22BAE" w14:textId="5DA5D4BB" w:rsidR="00812AD4" w:rsidRPr="00B74B0F" w:rsidRDefault="00812AD4">
      <w:pPr>
        <w:tabs>
          <w:tab w:val="clear" w:pos="567"/>
        </w:tabs>
        <w:spacing w:line="240" w:lineRule="auto"/>
        <w:jc w:val="both"/>
        <w:rPr>
          <w:rFonts w:eastAsia="Calibri"/>
          <w:szCs w:val="22"/>
          <w:lang w:val="sr-Latn-ME"/>
        </w:rPr>
      </w:pPr>
      <w:r w:rsidRPr="00B74B0F">
        <w:rPr>
          <w:rFonts w:eastAsia="Calibri"/>
          <w:szCs w:val="22"/>
          <w:lang w:val="sr-Latn-ME"/>
        </w:rPr>
        <w:t>U placebom kontroli</w:t>
      </w:r>
      <w:r w:rsidR="009D5D19" w:rsidRPr="00B74B0F">
        <w:rPr>
          <w:rFonts w:eastAsia="Calibri"/>
          <w:szCs w:val="22"/>
          <w:lang w:val="sr-Latn-ME"/>
        </w:rPr>
        <w:t>s</w:t>
      </w:r>
      <w:r w:rsidRPr="00B74B0F">
        <w:rPr>
          <w:rFonts w:eastAsia="Calibri"/>
          <w:szCs w:val="22"/>
          <w:lang w:val="sr-Latn-ME"/>
        </w:rPr>
        <w:t xml:space="preserve">anim ispitivanjima indukcije </w:t>
      </w:r>
      <w:r w:rsidR="00181042" w:rsidRPr="00B74B0F">
        <w:rPr>
          <w:rFonts w:eastAsia="Calibri"/>
          <w:szCs w:val="22"/>
          <w:lang w:val="sr-Latn-ME"/>
        </w:rPr>
        <w:t>tokom</w:t>
      </w:r>
      <w:r w:rsidRPr="00B74B0F">
        <w:rPr>
          <w:rFonts w:eastAsia="Calibri"/>
          <w:szCs w:val="22"/>
          <w:lang w:val="sr-Latn-ME"/>
        </w:rPr>
        <w:t xml:space="preserve"> 8 </w:t>
      </w:r>
      <w:r w:rsidR="009D5D19" w:rsidRPr="00B74B0F">
        <w:rPr>
          <w:rFonts w:eastAsia="Calibri"/>
          <w:szCs w:val="22"/>
          <w:lang w:val="sr-Latn-ME"/>
        </w:rPr>
        <w:t>nedjelj</w:t>
      </w:r>
      <w:r w:rsidRPr="00B74B0F">
        <w:rPr>
          <w:rFonts w:eastAsia="Calibri"/>
          <w:szCs w:val="22"/>
          <w:lang w:val="sr-Latn-ME"/>
        </w:rPr>
        <w:t xml:space="preserve">a, učestalost oportunističke infekcije (isključujući tuberkulozu i herpes zoster) u </w:t>
      </w:r>
      <w:r w:rsidR="009D5D19" w:rsidRPr="00B74B0F">
        <w:rPr>
          <w:rFonts w:eastAsia="Calibri"/>
          <w:szCs w:val="22"/>
          <w:lang w:val="sr-Latn-ME"/>
        </w:rPr>
        <w:t xml:space="preserve">grupi </w:t>
      </w:r>
      <w:r w:rsidRPr="00B74B0F">
        <w:rPr>
          <w:rFonts w:eastAsia="Calibri"/>
          <w:szCs w:val="22"/>
          <w:lang w:val="sr-Latn-ME"/>
        </w:rPr>
        <w:t xml:space="preserve">koja je primala upadacitinib od 45 mg bila je 0,4%, a 0,3% u </w:t>
      </w:r>
      <w:r w:rsidR="009D5D19" w:rsidRPr="00B74B0F">
        <w:rPr>
          <w:rFonts w:eastAsia="Calibri"/>
          <w:szCs w:val="22"/>
          <w:lang w:val="sr-Latn-ME"/>
        </w:rPr>
        <w:t xml:space="preserve">grupi </w:t>
      </w:r>
      <w:r w:rsidRPr="00B74B0F">
        <w:rPr>
          <w:rFonts w:eastAsia="Calibri"/>
          <w:szCs w:val="22"/>
          <w:lang w:val="sr-Latn-ME"/>
        </w:rPr>
        <w:t>koja je primala placebo. Ni</w:t>
      </w:r>
      <w:r w:rsidR="009D5D19" w:rsidRPr="00B74B0F">
        <w:rPr>
          <w:rFonts w:eastAsia="Calibri"/>
          <w:szCs w:val="22"/>
          <w:lang w:val="sr-Latn-ME"/>
        </w:rPr>
        <w:t>je</w:t>
      </w:r>
      <w:r w:rsidRPr="00B74B0F">
        <w:rPr>
          <w:rFonts w:eastAsia="Calibri"/>
          <w:szCs w:val="22"/>
          <w:lang w:val="sr-Latn-ME"/>
        </w:rPr>
        <w:t xml:space="preserve">su uočene dodatne oportunističke infekcije (isključujući tuberkulozu i herpes zoster) </w:t>
      </w:r>
      <w:r w:rsidR="00181042" w:rsidRPr="00B74B0F">
        <w:rPr>
          <w:rFonts w:eastAsia="Calibri"/>
          <w:szCs w:val="22"/>
          <w:lang w:val="sr-Latn-ME"/>
        </w:rPr>
        <w:t>tokom</w:t>
      </w:r>
      <w:r w:rsidRPr="00B74B0F">
        <w:rPr>
          <w:rFonts w:eastAsia="Calibri"/>
          <w:szCs w:val="22"/>
          <w:lang w:val="sr-Latn-ME"/>
        </w:rPr>
        <w:t xml:space="preserve"> 8-</w:t>
      </w:r>
      <w:r w:rsidR="009D5D19" w:rsidRPr="00B74B0F">
        <w:rPr>
          <w:rFonts w:eastAsia="Calibri"/>
          <w:szCs w:val="22"/>
          <w:lang w:val="sr-Latn-ME"/>
        </w:rPr>
        <w:t xml:space="preserve">nedjeljnog </w:t>
      </w:r>
      <w:r w:rsidRPr="00B74B0F">
        <w:rPr>
          <w:rFonts w:eastAsia="Calibri"/>
          <w:szCs w:val="22"/>
          <w:lang w:val="sr-Latn-ME"/>
        </w:rPr>
        <w:t>produženog liječenja upadacitinibom od 45 mg. U placebom kontroli</w:t>
      </w:r>
      <w:r w:rsidR="009D5D19" w:rsidRPr="00B74B0F">
        <w:rPr>
          <w:rFonts w:eastAsia="Calibri"/>
          <w:szCs w:val="22"/>
          <w:lang w:val="sr-Latn-ME"/>
        </w:rPr>
        <w:t>s</w:t>
      </w:r>
      <w:r w:rsidRPr="00B74B0F">
        <w:rPr>
          <w:rFonts w:eastAsia="Calibri"/>
          <w:szCs w:val="22"/>
          <w:lang w:val="sr-Latn-ME"/>
        </w:rPr>
        <w:t xml:space="preserve">anom ispitivanju održavanja </w:t>
      </w:r>
      <w:r w:rsidR="00181042" w:rsidRPr="00B74B0F">
        <w:rPr>
          <w:rFonts w:eastAsia="Calibri"/>
          <w:szCs w:val="22"/>
          <w:lang w:val="sr-Latn-ME"/>
        </w:rPr>
        <w:t>tokom</w:t>
      </w:r>
      <w:r w:rsidRPr="00B74B0F">
        <w:rPr>
          <w:rFonts w:eastAsia="Calibri"/>
          <w:szCs w:val="22"/>
          <w:lang w:val="sr-Latn-ME"/>
        </w:rPr>
        <w:t xml:space="preserve"> 52 </w:t>
      </w:r>
      <w:r w:rsidR="009D5D19" w:rsidRPr="00B74B0F">
        <w:rPr>
          <w:rFonts w:eastAsia="Calibri"/>
          <w:szCs w:val="22"/>
          <w:lang w:val="sr-Latn-ME"/>
        </w:rPr>
        <w:t>nedjelj</w:t>
      </w:r>
      <w:r w:rsidRPr="00B74B0F">
        <w:rPr>
          <w:rFonts w:eastAsia="Calibri"/>
          <w:szCs w:val="22"/>
          <w:lang w:val="sr-Latn-ME"/>
        </w:rPr>
        <w:t xml:space="preserve">a, učestalost oportunističke infekcije (isključujući tuberkulozu i herpes zoster) u </w:t>
      </w:r>
      <w:r w:rsidR="00181042" w:rsidRPr="00B74B0F">
        <w:rPr>
          <w:rFonts w:eastAsia="Calibri"/>
          <w:szCs w:val="22"/>
          <w:lang w:val="sr-Latn-ME"/>
        </w:rPr>
        <w:t>grupa</w:t>
      </w:r>
      <w:r w:rsidRPr="00B74B0F">
        <w:rPr>
          <w:rFonts w:eastAsia="Calibri"/>
          <w:szCs w:val="22"/>
          <w:lang w:val="sr-Latn-ME"/>
        </w:rPr>
        <w:t xml:space="preserve">ma koje su primale upadacitinib od 15 mg i 30 mg bila je 0,8% odnosno 0,4%, u </w:t>
      </w:r>
      <w:r w:rsidR="00181042" w:rsidRPr="00B74B0F">
        <w:rPr>
          <w:rFonts w:eastAsia="Calibri"/>
          <w:szCs w:val="22"/>
          <w:lang w:val="sr-Latn-ME"/>
        </w:rPr>
        <w:t>poređenju</w:t>
      </w:r>
      <w:r w:rsidRPr="00B74B0F">
        <w:rPr>
          <w:rFonts w:eastAsia="Calibri"/>
          <w:szCs w:val="22"/>
          <w:lang w:val="sr-Latn-ME"/>
        </w:rPr>
        <w:t xml:space="preserve"> s</w:t>
      </w:r>
      <w:r w:rsidR="000B3BD0" w:rsidRPr="00B74B0F">
        <w:rPr>
          <w:rFonts w:eastAsia="Calibri"/>
          <w:szCs w:val="22"/>
          <w:lang w:val="sr-Latn-ME"/>
        </w:rPr>
        <w:t>a</w:t>
      </w:r>
      <w:r w:rsidRPr="00B74B0F">
        <w:rPr>
          <w:rFonts w:eastAsia="Calibri"/>
          <w:szCs w:val="22"/>
          <w:lang w:val="sr-Latn-ME"/>
        </w:rPr>
        <w:t xml:space="preserve"> 0,8% u </w:t>
      </w:r>
      <w:r w:rsidR="009D5D19" w:rsidRPr="00B74B0F">
        <w:rPr>
          <w:rFonts w:eastAsia="Calibri"/>
          <w:szCs w:val="22"/>
          <w:lang w:val="sr-Latn-ME"/>
        </w:rPr>
        <w:t xml:space="preserve">grupi </w:t>
      </w:r>
      <w:r w:rsidRPr="00B74B0F">
        <w:rPr>
          <w:rFonts w:eastAsia="Calibri"/>
          <w:szCs w:val="22"/>
          <w:lang w:val="sr-Latn-ME"/>
        </w:rPr>
        <w:t xml:space="preserve">koja je primala placebo. Dugotrajna stopa oportunističkih infekcija (isključujući tuberkulozu i herpes zoster) za </w:t>
      </w:r>
      <w:r w:rsidR="009D5D19" w:rsidRPr="00B74B0F">
        <w:rPr>
          <w:rFonts w:eastAsia="Calibri"/>
          <w:szCs w:val="22"/>
          <w:lang w:val="sr-Latn-ME"/>
        </w:rPr>
        <w:t xml:space="preserve">grupe </w:t>
      </w:r>
      <w:r w:rsidRPr="00B74B0F">
        <w:rPr>
          <w:rFonts w:eastAsia="Calibri"/>
          <w:szCs w:val="22"/>
          <w:lang w:val="sr-Latn-ME"/>
        </w:rPr>
        <w:t>upadacitinib 15 mg i 30 mg bila je 0,6 odnosno 0,3 događaja na 100 </w:t>
      </w:r>
      <w:r w:rsidR="00181042" w:rsidRPr="00B74B0F">
        <w:rPr>
          <w:rFonts w:eastAsia="Calibri"/>
          <w:szCs w:val="22"/>
          <w:lang w:val="sr-Latn-ME"/>
        </w:rPr>
        <w:t>pacijent</w:t>
      </w:r>
      <w:r w:rsidRPr="00B74B0F">
        <w:rPr>
          <w:rFonts w:eastAsia="Calibri"/>
          <w:szCs w:val="22"/>
          <w:lang w:val="sr-Latn-ME"/>
        </w:rPr>
        <w:t>-godina.</w:t>
      </w:r>
    </w:p>
    <w:p w14:paraId="22B2A142" w14:textId="77777777" w:rsidR="00812AD4" w:rsidRPr="00B74B0F" w:rsidRDefault="00812AD4">
      <w:pPr>
        <w:tabs>
          <w:tab w:val="clear" w:pos="567"/>
        </w:tabs>
        <w:spacing w:line="240" w:lineRule="auto"/>
        <w:jc w:val="both"/>
        <w:rPr>
          <w:rFonts w:eastAsia="Calibri"/>
          <w:szCs w:val="22"/>
          <w:lang w:val="sr-Latn-ME"/>
        </w:rPr>
      </w:pPr>
    </w:p>
    <w:p w14:paraId="39E11BF2" w14:textId="72A4E8C0" w:rsidR="00812AD4" w:rsidRPr="00B74B0F" w:rsidRDefault="00812AD4">
      <w:pPr>
        <w:tabs>
          <w:tab w:val="clear" w:pos="567"/>
        </w:tabs>
        <w:spacing w:line="240" w:lineRule="auto"/>
        <w:jc w:val="both"/>
        <w:rPr>
          <w:szCs w:val="22"/>
          <w:lang w:val="sr-Latn-ME"/>
        </w:rPr>
      </w:pPr>
      <w:r w:rsidRPr="00B74B0F">
        <w:rPr>
          <w:szCs w:val="22"/>
          <w:lang w:val="sr-Latn-ME"/>
        </w:rPr>
        <w:t>U placebom kontroli</w:t>
      </w:r>
      <w:r w:rsidR="009D5D19" w:rsidRPr="00B74B0F">
        <w:rPr>
          <w:szCs w:val="22"/>
          <w:lang w:val="sr-Latn-ME"/>
        </w:rPr>
        <w:t>s</w:t>
      </w:r>
      <w:r w:rsidRPr="00B74B0F">
        <w:rPr>
          <w:szCs w:val="22"/>
          <w:lang w:val="sr-Latn-ME"/>
        </w:rPr>
        <w:t xml:space="preserve">anim ispitivanjima indukcije </w:t>
      </w:r>
      <w:r w:rsidR="00181042" w:rsidRPr="00B74B0F">
        <w:rPr>
          <w:szCs w:val="22"/>
          <w:lang w:val="sr-Latn-ME"/>
        </w:rPr>
        <w:t>tokom</w:t>
      </w:r>
      <w:r w:rsidRPr="00B74B0F">
        <w:rPr>
          <w:szCs w:val="22"/>
          <w:lang w:val="sr-Latn-ME"/>
        </w:rPr>
        <w:t xml:space="preserve"> 8 </w:t>
      </w:r>
      <w:r w:rsidR="009D5D19" w:rsidRPr="00B74B0F">
        <w:rPr>
          <w:szCs w:val="22"/>
          <w:lang w:val="sr-Latn-ME"/>
        </w:rPr>
        <w:t>nedjelja</w:t>
      </w:r>
      <w:r w:rsidRPr="00B74B0F">
        <w:rPr>
          <w:szCs w:val="22"/>
          <w:lang w:val="sr-Latn-ME"/>
        </w:rPr>
        <w:t xml:space="preserve">, učestalost herpes zostera u </w:t>
      </w:r>
      <w:r w:rsidR="009D5D19" w:rsidRPr="00B74B0F">
        <w:rPr>
          <w:szCs w:val="22"/>
          <w:lang w:val="sr-Latn-ME"/>
        </w:rPr>
        <w:t xml:space="preserve">grupi </w:t>
      </w:r>
      <w:r w:rsidRPr="00B74B0F">
        <w:rPr>
          <w:szCs w:val="22"/>
          <w:lang w:val="sr-Latn-ME"/>
        </w:rPr>
        <w:t xml:space="preserve">koja je primala upadacitinib od 45 mg bila je 0,6%, a 0% u </w:t>
      </w:r>
      <w:r w:rsidR="009D5D19" w:rsidRPr="00B74B0F">
        <w:rPr>
          <w:szCs w:val="22"/>
          <w:lang w:val="sr-Latn-ME"/>
        </w:rPr>
        <w:t xml:space="preserve">grupi </w:t>
      </w:r>
      <w:r w:rsidRPr="00B74B0F">
        <w:rPr>
          <w:szCs w:val="22"/>
          <w:lang w:val="sr-Latn-ME"/>
        </w:rPr>
        <w:t xml:space="preserve">koja je primala placebo. Učestalost herpes zostera bila je 3,9% </w:t>
      </w:r>
      <w:r w:rsidR="00181042" w:rsidRPr="00B74B0F">
        <w:rPr>
          <w:szCs w:val="22"/>
          <w:lang w:val="sr-Latn-ME"/>
        </w:rPr>
        <w:t>tokom</w:t>
      </w:r>
      <w:r w:rsidRPr="00B74B0F">
        <w:rPr>
          <w:szCs w:val="22"/>
          <w:lang w:val="sr-Latn-ME"/>
        </w:rPr>
        <w:t xml:space="preserve"> 16-</w:t>
      </w:r>
      <w:r w:rsidR="009D5D19" w:rsidRPr="00B74B0F">
        <w:rPr>
          <w:szCs w:val="22"/>
          <w:lang w:val="sr-Latn-ME"/>
        </w:rPr>
        <w:t xml:space="preserve">nedjeljnog </w:t>
      </w:r>
      <w:r w:rsidRPr="00B74B0F">
        <w:rPr>
          <w:szCs w:val="22"/>
          <w:lang w:val="sr-Latn-ME"/>
        </w:rPr>
        <w:t>liječenja upadacitinibom od 45 mg. U placebom kontroli</w:t>
      </w:r>
      <w:r w:rsidR="009D5D19" w:rsidRPr="00B74B0F">
        <w:rPr>
          <w:szCs w:val="22"/>
          <w:lang w:val="sr-Latn-ME"/>
        </w:rPr>
        <w:t>s</w:t>
      </w:r>
      <w:r w:rsidRPr="00B74B0F">
        <w:rPr>
          <w:szCs w:val="22"/>
          <w:lang w:val="sr-Latn-ME"/>
        </w:rPr>
        <w:t xml:space="preserve">anom ispitivanju održavanja </w:t>
      </w:r>
      <w:r w:rsidR="00181042" w:rsidRPr="00B74B0F">
        <w:rPr>
          <w:szCs w:val="22"/>
          <w:lang w:val="sr-Latn-ME"/>
        </w:rPr>
        <w:t>tokom</w:t>
      </w:r>
      <w:r w:rsidRPr="00B74B0F">
        <w:rPr>
          <w:szCs w:val="22"/>
          <w:lang w:val="sr-Latn-ME"/>
        </w:rPr>
        <w:t xml:space="preserve"> 52 </w:t>
      </w:r>
      <w:r w:rsidR="009D5D19" w:rsidRPr="00B74B0F">
        <w:rPr>
          <w:szCs w:val="22"/>
          <w:lang w:val="sr-Latn-ME"/>
        </w:rPr>
        <w:t>nedjelje</w:t>
      </w:r>
      <w:r w:rsidRPr="00B74B0F">
        <w:rPr>
          <w:szCs w:val="22"/>
          <w:lang w:val="sr-Latn-ME"/>
        </w:rPr>
        <w:t xml:space="preserve">, učestalost herpes zostera u </w:t>
      </w:r>
      <w:r w:rsidR="00181042" w:rsidRPr="00B74B0F">
        <w:rPr>
          <w:szCs w:val="22"/>
          <w:lang w:val="sr-Latn-ME"/>
        </w:rPr>
        <w:t>grupa</w:t>
      </w:r>
      <w:r w:rsidRPr="00B74B0F">
        <w:rPr>
          <w:szCs w:val="22"/>
          <w:lang w:val="sr-Latn-ME"/>
        </w:rPr>
        <w:t xml:space="preserve">ma koje su primale upadacitinib od 15 mg i 30 mg bila je 4,4% odnosno 4,0%, u </w:t>
      </w:r>
      <w:r w:rsidR="00181042" w:rsidRPr="00B74B0F">
        <w:rPr>
          <w:szCs w:val="22"/>
          <w:lang w:val="sr-Latn-ME"/>
        </w:rPr>
        <w:t>poređenju</w:t>
      </w:r>
      <w:r w:rsidRPr="00B74B0F">
        <w:rPr>
          <w:szCs w:val="22"/>
          <w:lang w:val="sr-Latn-ME"/>
        </w:rPr>
        <w:t xml:space="preserve"> sa 0% u </w:t>
      </w:r>
      <w:r w:rsidR="009D5D19" w:rsidRPr="00B74B0F">
        <w:rPr>
          <w:szCs w:val="22"/>
          <w:lang w:val="sr-Latn-ME"/>
        </w:rPr>
        <w:t xml:space="preserve">grupi </w:t>
      </w:r>
      <w:r w:rsidRPr="00B74B0F">
        <w:rPr>
          <w:szCs w:val="22"/>
          <w:lang w:val="sr-Latn-ME"/>
        </w:rPr>
        <w:t xml:space="preserve">koja je primala placebo. Dugotrajna stopa herpes zostera za </w:t>
      </w:r>
      <w:r w:rsidR="009D5D19" w:rsidRPr="00B74B0F">
        <w:rPr>
          <w:szCs w:val="22"/>
          <w:lang w:val="sr-Latn-ME"/>
        </w:rPr>
        <w:t xml:space="preserve">grupe </w:t>
      </w:r>
      <w:r w:rsidRPr="00B74B0F">
        <w:rPr>
          <w:szCs w:val="22"/>
          <w:lang w:val="sr-Latn-ME"/>
        </w:rPr>
        <w:t>upadacitinib 15 mg i 30 mg bila je 5,7 odnosno 6,3 događaja na 100 </w:t>
      </w:r>
      <w:r w:rsidR="00181042" w:rsidRPr="00B74B0F">
        <w:rPr>
          <w:szCs w:val="22"/>
          <w:lang w:val="sr-Latn-ME"/>
        </w:rPr>
        <w:t>pacijent</w:t>
      </w:r>
      <w:r w:rsidRPr="00B74B0F">
        <w:rPr>
          <w:szCs w:val="22"/>
          <w:lang w:val="sr-Latn-ME"/>
        </w:rPr>
        <w:t>-godina.</w:t>
      </w:r>
    </w:p>
    <w:p w14:paraId="0BF9EAE2" w14:textId="77777777" w:rsidR="00812AD4" w:rsidRPr="00B74B0F" w:rsidRDefault="00812AD4">
      <w:pPr>
        <w:tabs>
          <w:tab w:val="clear" w:pos="567"/>
        </w:tabs>
        <w:autoSpaceDE w:val="0"/>
        <w:autoSpaceDN w:val="0"/>
        <w:adjustRightInd w:val="0"/>
        <w:spacing w:line="240" w:lineRule="auto"/>
        <w:jc w:val="both"/>
        <w:rPr>
          <w:szCs w:val="22"/>
          <w:lang w:val="sr-Latn-ME"/>
        </w:rPr>
      </w:pPr>
    </w:p>
    <w:p w14:paraId="0DB49D06" w14:textId="0F8902BF" w:rsidR="00812AD4" w:rsidRPr="00B74B0F" w:rsidRDefault="00812AD4">
      <w:pPr>
        <w:tabs>
          <w:tab w:val="clear" w:pos="567"/>
        </w:tabs>
        <w:autoSpaceDE w:val="0"/>
        <w:autoSpaceDN w:val="0"/>
        <w:adjustRightInd w:val="0"/>
        <w:spacing w:line="240" w:lineRule="auto"/>
        <w:jc w:val="both"/>
        <w:rPr>
          <w:i/>
          <w:szCs w:val="22"/>
          <w:lang w:val="sr-Latn-ME"/>
        </w:rPr>
      </w:pPr>
      <w:r w:rsidRPr="00B74B0F">
        <w:rPr>
          <w:i/>
          <w:szCs w:val="22"/>
          <w:lang w:val="sr-Latn-ME"/>
        </w:rPr>
        <w:t>Laboratorijska odstupanja</w:t>
      </w:r>
    </w:p>
    <w:p w14:paraId="163B1C60" w14:textId="77777777" w:rsidR="00654240" w:rsidRPr="00B74B0F" w:rsidRDefault="00654240">
      <w:pPr>
        <w:tabs>
          <w:tab w:val="clear" w:pos="567"/>
        </w:tabs>
        <w:autoSpaceDE w:val="0"/>
        <w:autoSpaceDN w:val="0"/>
        <w:adjustRightInd w:val="0"/>
        <w:spacing w:line="240" w:lineRule="auto"/>
        <w:jc w:val="both"/>
        <w:rPr>
          <w:i/>
          <w:szCs w:val="22"/>
          <w:lang w:val="sr-Latn-ME"/>
        </w:rPr>
      </w:pPr>
    </w:p>
    <w:p w14:paraId="64F89624" w14:textId="46FF8A5C" w:rsidR="00812AD4" w:rsidRPr="00B74B0F" w:rsidRDefault="00812AD4">
      <w:pPr>
        <w:tabs>
          <w:tab w:val="clear" w:pos="567"/>
        </w:tabs>
        <w:autoSpaceDE w:val="0"/>
        <w:autoSpaceDN w:val="0"/>
        <w:adjustRightInd w:val="0"/>
        <w:spacing w:line="240" w:lineRule="auto"/>
        <w:jc w:val="both"/>
        <w:rPr>
          <w:szCs w:val="22"/>
          <w:lang w:val="sr-Latn-ME"/>
        </w:rPr>
      </w:pPr>
      <w:r w:rsidRPr="00B74B0F">
        <w:rPr>
          <w:szCs w:val="22"/>
          <w:lang w:val="sr-Latn-ME"/>
        </w:rPr>
        <w:t>U kliničkim ispitivanjima indukcije i održavanja, laboratorijske promjene povećanja ALT-a i/ili povećanja AST-a (≥ 3 x GGN), vrijednosti CPK (&gt; 5 x GGN) i neutropenije (ABN &lt; 1 x 10</w:t>
      </w:r>
      <w:r w:rsidRPr="00B74B0F">
        <w:rPr>
          <w:szCs w:val="22"/>
          <w:vertAlign w:val="superscript"/>
          <w:lang w:val="sr-Latn-ME"/>
        </w:rPr>
        <w:t>9</w:t>
      </w:r>
      <w:r w:rsidRPr="00B74B0F">
        <w:rPr>
          <w:szCs w:val="22"/>
          <w:lang w:val="sr-Latn-ME"/>
        </w:rPr>
        <w:t xml:space="preserve"> </w:t>
      </w:r>
      <w:r w:rsidR="000B3BD0" w:rsidRPr="00B74B0F">
        <w:rPr>
          <w:szCs w:val="22"/>
          <w:lang w:val="sr-Latn-ME"/>
        </w:rPr>
        <w:t>ćelija</w:t>
      </w:r>
      <w:r w:rsidRPr="00B74B0F">
        <w:rPr>
          <w:szCs w:val="22"/>
          <w:lang w:val="sr-Latn-ME"/>
        </w:rPr>
        <w:t>/l) povezane s</w:t>
      </w:r>
      <w:r w:rsidR="000B3BD0" w:rsidRPr="00B74B0F">
        <w:rPr>
          <w:szCs w:val="22"/>
          <w:lang w:val="sr-Latn-ME"/>
        </w:rPr>
        <w:t>a</w:t>
      </w:r>
      <w:r w:rsidRPr="00B74B0F">
        <w:rPr>
          <w:szCs w:val="22"/>
          <w:lang w:val="sr-Latn-ME"/>
        </w:rPr>
        <w:t xml:space="preserve"> liječenjem upadacitinibom su bile slične onome što je uočeno u kliničkim ispitivanjima reumatološke bolesti i atopijskog dermatitisa. Uočene su promjene </w:t>
      </w:r>
      <w:r w:rsidR="00DC40AE" w:rsidRPr="00B74B0F">
        <w:rPr>
          <w:szCs w:val="22"/>
          <w:lang w:val="sr-Latn-ME"/>
        </w:rPr>
        <w:t xml:space="preserve">zavisne </w:t>
      </w:r>
      <w:r w:rsidRPr="00B74B0F">
        <w:rPr>
          <w:szCs w:val="22"/>
          <w:lang w:val="sr-Latn-ME"/>
        </w:rPr>
        <w:t>o</w:t>
      </w:r>
      <w:r w:rsidR="00DC40AE" w:rsidRPr="00B74B0F">
        <w:rPr>
          <w:szCs w:val="22"/>
          <w:lang w:val="sr-Latn-ME"/>
        </w:rPr>
        <w:t>d</w:t>
      </w:r>
      <w:r w:rsidRPr="00B74B0F">
        <w:rPr>
          <w:szCs w:val="22"/>
          <w:lang w:val="sr-Latn-ME"/>
        </w:rPr>
        <w:t xml:space="preserve"> doz</w:t>
      </w:r>
      <w:r w:rsidR="00DC40AE" w:rsidRPr="00B74B0F">
        <w:rPr>
          <w:szCs w:val="22"/>
          <w:lang w:val="sr-Latn-ME"/>
        </w:rPr>
        <w:t>e</w:t>
      </w:r>
      <w:r w:rsidRPr="00B74B0F">
        <w:rPr>
          <w:szCs w:val="22"/>
          <w:lang w:val="sr-Latn-ME"/>
        </w:rPr>
        <w:t xml:space="preserve"> za te laboratorijske parametre povezane s</w:t>
      </w:r>
      <w:r w:rsidR="000B3BD0" w:rsidRPr="00B74B0F">
        <w:rPr>
          <w:szCs w:val="22"/>
          <w:lang w:val="sr-Latn-ME"/>
        </w:rPr>
        <w:t>a</w:t>
      </w:r>
      <w:r w:rsidRPr="00B74B0F">
        <w:rPr>
          <w:szCs w:val="22"/>
          <w:lang w:val="sr-Latn-ME"/>
        </w:rPr>
        <w:t xml:space="preserve"> liječenjem upadacitinibom od 15 mg i 30 mg.</w:t>
      </w:r>
    </w:p>
    <w:p w14:paraId="2FA4CE4D" w14:textId="77777777" w:rsidR="00812AD4" w:rsidRPr="00B74B0F" w:rsidRDefault="00812AD4">
      <w:pPr>
        <w:tabs>
          <w:tab w:val="clear" w:pos="567"/>
        </w:tabs>
        <w:autoSpaceDE w:val="0"/>
        <w:autoSpaceDN w:val="0"/>
        <w:adjustRightInd w:val="0"/>
        <w:spacing w:line="240" w:lineRule="auto"/>
        <w:jc w:val="both"/>
        <w:rPr>
          <w:szCs w:val="22"/>
          <w:lang w:val="sr-Latn-ME"/>
        </w:rPr>
      </w:pPr>
    </w:p>
    <w:p w14:paraId="608B370A" w14:textId="3C19174E" w:rsidR="00812AD4" w:rsidRPr="00B74B0F" w:rsidRDefault="00812AD4">
      <w:pPr>
        <w:keepNext/>
        <w:tabs>
          <w:tab w:val="clear" w:pos="567"/>
        </w:tabs>
        <w:autoSpaceDE w:val="0"/>
        <w:autoSpaceDN w:val="0"/>
        <w:adjustRightInd w:val="0"/>
        <w:spacing w:line="240" w:lineRule="auto"/>
        <w:jc w:val="both"/>
        <w:rPr>
          <w:szCs w:val="22"/>
          <w:lang w:val="sr-Latn-ME"/>
        </w:rPr>
      </w:pPr>
      <w:r w:rsidRPr="00B74B0F">
        <w:rPr>
          <w:szCs w:val="22"/>
          <w:lang w:val="sr-Latn-ME"/>
        </w:rPr>
        <w:t>U placebom kontroli</w:t>
      </w:r>
      <w:r w:rsidR="00DC40AE" w:rsidRPr="00B74B0F">
        <w:rPr>
          <w:szCs w:val="22"/>
          <w:lang w:val="sr-Latn-ME"/>
        </w:rPr>
        <w:t>s</w:t>
      </w:r>
      <w:r w:rsidRPr="00B74B0F">
        <w:rPr>
          <w:szCs w:val="22"/>
          <w:lang w:val="sr-Latn-ME"/>
        </w:rPr>
        <w:t xml:space="preserve">anim ispitivanjima indukcije u trajanju </w:t>
      </w:r>
      <w:r w:rsidR="00DC40AE" w:rsidRPr="00B74B0F">
        <w:rPr>
          <w:szCs w:val="22"/>
          <w:lang w:val="sr-Latn-ME"/>
        </w:rPr>
        <w:t>d</w:t>
      </w:r>
      <w:r w:rsidR="00072768" w:rsidRPr="00B74B0F">
        <w:rPr>
          <w:szCs w:val="22"/>
          <w:lang w:val="sr-Latn-ME"/>
        </w:rPr>
        <w:t>o</w:t>
      </w:r>
      <w:r w:rsidRPr="00B74B0F">
        <w:rPr>
          <w:szCs w:val="22"/>
          <w:lang w:val="sr-Latn-ME"/>
        </w:rPr>
        <w:t xml:space="preserve"> 8 </w:t>
      </w:r>
      <w:r w:rsidR="00DC40AE" w:rsidRPr="00B74B0F">
        <w:rPr>
          <w:szCs w:val="22"/>
          <w:lang w:val="sr-Latn-ME"/>
        </w:rPr>
        <w:t>nedjelja</w:t>
      </w:r>
      <w:r w:rsidRPr="00B74B0F">
        <w:rPr>
          <w:szCs w:val="22"/>
          <w:lang w:val="sr-Latn-ME"/>
        </w:rPr>
        <w:t>, smanjenje broja limfocita ispod 0,5 x 10</w:t>
      </w:r>
      <w:r w:rsidRPr="00B74B0F">
        <w:rPr>
          <w:szCs w:val="22"/>
          <w:vertAlign w:val="superscript"/>
          <w:lang w:val="sr-Latn-ME"/>
        </w:rPr>
        <w:t>9</w:t>
      </w:r>
      <w:r w:rsidRPr="00B74B0F">
        <w:rPr>
          <w:szCs w:val="22"/>
          <w:lang w:val="sr-Latn-ME"/>
        </w:rPr>
        <w:t xml:space="preserve"> </w:t>
      </w:r>
      <w:r w:rsidR="00072768" w:rsidRPr="00B74B0F">
        <w:rPr>
          <w:szCs w:val="22"/>
          <w:lang w:val="sr-Latn-ME"/>
        </w:rPr>
        <w:t>ćelija</w:t>
      </w:r>
      <w:r w:rsidRPr="00B74B0F">
        <w:rPr>
          <w:szCs w:val="22"/>
          <w:lang w:val="sr-Latn-ME"/>
        </w:rPr>
        <w:t xml:space="preserve">/l u najmanje jednom mjerenju dogodilo se </w:t>
      </w:r>
      <w:r w:rsidR="00072768" w:rsidRPr="00B74B0F">
        <w:rPr>
          <w:szCs w:val="22"/>
          <w:lang w:val="sr-Latn-ME"/>
        </w:rPr>
        <w:t>kod</w:t>
      </w:r>
      <w:r w:rsidRPr="00B74B0F">
        <w:rPr>
          <w:szCs w:val="22"/>
          <w:lang w:val="sr-Latn-ME"/>
        </w:rPr>
        <w:t xml:space="preserve"> 2,0% odnosno 0,8% </w:t>
      </w:r>
      <w:r w:rsidR="00181042" w:rsidRPr="00B74B0F">
        <w:rPr>
          <w:szCs w:val="22"/>
          <w:lang w:val="sr-Latn-ME"/>
        </w:rPr>
        <w:t>pacijenata</w:t>
      </w:r>
      <w:r w:rsidRPr="00B74B0F">
        <w:rPr>
          <w:szCs w:val="22"/>
          <w:lang w:val="sr-Latn-ME"/>
        </w:rPr>
        <w:t xml:space="preserve"> u </w:t>
      </w:r>
      <w:r w:rsidR="00181042" w:rsidRPr="00B74B0F">
        <w:rPr>
          <w:szCs w:val="22"/>
          <w:lang w:val="sr-Latn-ME"/>
        </w:rPr>
        <w:t>grupa</w:t>
      </w:r>
      <w:r w:rsidRPr="00B74B0F">
        <w:rPr>
          <w:szCs w:val="22"/>
          <w:lang w:val="sr-Latn-ME"/>
        </w:rPr>
        <w:t>ma koje su primale upadacitinib od 45 mg i placebo. U placebom kontroli</w:t>
      </w:r>
      <w:r w:rsidR="00DC40AE" w:rsidRPr="00B74B0F">
        <w:rPr>
          <w:szCs w:val="22"/>
          <w:lang w:val="sr-Latn-ME"/>
        </w:rPr>
        <w:t>s</w:t>
      </w:r>
      <w:r w:rsidRPr="00B74B0F">
        <w:rPr>
          <w:szCs w:val="22"/>
          <w:lang w:val="sr-Latn-ME"/>
        </w:rPr>
        <w:t xml:space="preserve">anom ispitivanju održavanja u trajanju </w:t>
      </w:r>
      <w:r w:rsidR="00DC40AE" w:rsidRPr="00B74B0F">
        <w:rPr>
          <w:szCs w:val="22"/>
          <w:lang w:val="sr-Latn-ME"/>
        </w:rPr>
        <w:t>od</w:t>
      </w:r>
      <w:r w:rsidRPr="00B74B0F">
        <w:rPr>
          <w:szCs w:val="22"/>
          <w:lang w:val="sr-Latn-ME"/>
        </w:rPr>
        <w:t xml:space="preserve"> 52 </w:t>
      </w:r>
      <w:r w:rsidR="00DC40AE" w:rsidRPr="00B74B0F">
        <w:rPr>
          <w:szCs w:val="22"/>
          <w:lang w:val="sr-Latn-ME"/>
        </w:rPr>
        <w:t>nedjelje</w:t>
      </w:r>
      <w:r w:rsidRPr="00B74B0F">
        <w:rPr>
          <w:szCs w:val="22"/>
          <w:lang w:val="sr-Latn-ME"/>
        </w:rPr>
        <w:t>, smanjenje broja limfocita ispod 0,5 x 10</w:t>
      </w:r>
      <w:r w:rsidRPr="00B74B0F">
        <w:rPr>
          <w:szCs w:val="22"/>
          <w:vertAlign w:val="superscript"/>
          <w:lang w:val="sr-Latn-ME"/>
        </w:rPr>
        <w:t>9</w:t>
      </w:r>
      <w:r w:rsidRPr="00B74B0F">
        <w:rPr>
          <w:szCs w:val="22"/>
          <w:lang w:val="sr-Latn-ME"/>
        </w:rPr>
        <w:t xml:space="preserve"> </w:t>
      </w:r>
      <w:r w:rsidR="00072768" w:rsidRPr="00B74B0F">
        <w:rPr>
          <w:szCs w:val="22"/>
          <w:lang w:val="sr-Latn-ME"/>
        </w:rPr>
        <w:t>ćelija</w:t>
      </w:r>
      <w:r w:rsidRPr="00B74B0F">
        <w:rPr>
          <w:szCs w:val="22"/>
          <w:lang w:val="sr-Latn-ME"/>
        </w:rPr>
        <w:t xml:space="preserve">/l u najmanje jednom mjerenju dogodilo se u 1,6%, 0,8% odnosno 0,8% </w:t>
      </w:r>
      <w:r w:rsidR="00181042" w:rsidRPr="00B74B0F">
        <w:rPr>
          <w:szCs w:val="22"/>
          <w:lang w:val="sr-Latn-ME"/>
        </w:rPr>
        <w:t>pacijenata</w:t>
      </w:r>
      <w:r w:rsidRPr="00B74B0F">
        <w:rPr>
          <w:szCs w:val="22"/>
          <w:lang w:val="sr-Latn-ME"/>
        </w:rPr>
        <w:t xml:space="preserve"> u </w:t>
      </w:r>
      <w:r w:rsidR="00181042" w:rsidRPr="00B74B0F">
        <w:rPr>
          <w:szCs w:val="22"/>
          <w:lang w:val="sr-Latn-ME"/>
        </w:rPr>
        <w:t>grupa</w:t>
      </w:r>
      <w:r w:rsidRPr="00B74B0F">
        <w:rPr>
          <w:szCs w:val="22"/>
          <w:lang w:val="sr-Latn-ME"/>
        </w:rPr>
        <w:t>ma koje su primale upadacitinib od 15 mg, 30 mg i placebo. U kliničkim ispitivanjima, liječenje je prekinuto kao odgovor na ABL &lt; 0,5 x 10</w:t>
      </w:r>
      <w:r w:rsidRPr="00B74B0F">
        <w:rPr>
          <w:szCs w:val="22"/>
          <w:vertAlign w:val="superscript"/>
          <w:lang w:val="sr-Latn-ME"/>
        </w:rPr>
        <w:t>9</w:t>
      </w:r>
      <w:r w:rsidRPr="00B74B0F">
        <w:rPr>
          <w:szCs w:val="22"/>
          <w:lang w:val="sr-Latn-ME"/>
        </w:rPr>
        <w:t xml:space="preserve"> </w:t>
      </w:r>
      <w:r w:rsidR="00072768" w:rsidRPr="00B74B0F">
        <w:rPr>
          <w:szCs w:val="22"/>
          <w:lang w:val="sr-Latn-ME"/>
        </w:rPr>
        <w:t>ćelija</w:t>
      </w:r>
      <w:r w:rsidRPr="00B74B0F">
        <w:rPr>
          <w:szCs w:val="22"/>
          <w:lang w:val="sr-Latn-ME"/>
        </w:rPr>
        <w:t xml:space="preserve">/l (vidjeti dio 4.2). </w:t>
      </w:r>
      <w:r w:rsidR="00181042" w:rsidRPr="00B74B0F">
        <w:rPr>
          <w:szCs w:val="22"/>
          <w:lang w:val="sr-Latn-ME"/>
        </w:rPr>
        <w:t>Tokom</w:t>
      </w:r>
      <w:r w:rsidRPr="00B74B0F">
        <w:rPr>
          <w:szCs w:val="22"/>
          <w:lang w:val="sr-Latn-ME"/>
        </w:rPr>
        <w:t xml:space="preserve"> liječenja upadacitinibom ni</w:t>
      </w:r>
      <w:r w:rsidR="00DC40AE" w:rsidRPr="00B74B0F">
        <w:rPr>
          <w:szCs w:val="22"/>
          <w:lang w:val="sr-Latn-ME"/>
        </w:rPr>
        <w:t>je</w:t>
      </w:r>
      <w:r w:rsidRPr="00B74B0F">
        <w:rPr>
          <w:szCs w:val="22"/>
          <w:lang w:val="sr-Latn-ME"/>
        </w:rPr>
        <w:t>su uočene značajne promjene srednje vrijednosti broja limfocita.</w:t>
      </w:r>
    </w:p>
    <w:p w14:paraId="57CB5705" w14:textId="77777777" w:rsidR="00812AD4" w:rsidRPr="00B74B0F" w:rsidRDefault="00812AD4">
      <w:pPr>
        <w:tabs>
          <w:tab w:val="clear" w:pos="567"/>
        </w:tabs>
        <w:autoSpaceDE w:val="0"/>
        <w:autoSpaceDN w:val="0"/>
        <w:adjustRightInd w:val="0"/>
        <w:spacing w:line="240" w:lineRule="auto"/>
        <w:jc w:val="both"/>
        <w:rPr>
          <w:szCs w:val="22"/>
          <w:lang w:val="sr-Latn-ME"/>
        </w:rPr>
      </w:pPr>
    </w:p>
    <w:p w14:paraId="2ED6333C" w14:textId="377A9785" w:rsidR="00812AD4" w:rsidRPr="00B74B0F" w:rsidRDefault="00812AD4">
      <w:pPr>
        <w:tabs>
          <w:tab w:val="clear" w:pos="567"/>
        </w:tabs>
        <w:autoSpaceDE w:val="0"/>
        <w:autoSpaceDN w:val="0"/>
        <w:adjustRightInd w:val="0"/>
        <w:spacing w:line="240" w:lineRule="auto"/>
        <w:jc w:val="both"/>
        <w:rPr>
          <w:szCs w:val="22"/>
          <w:lang w:val="sr-Latn-ME"/>
        </w:rPr>
      </w:pPr>
      <w:r w:rsidRPr="00B74B0F">
        <w:rPr>
          <w:szCs w:val="22"/>
          <w:lang w:val="sr-Latn-ME"/>
        </w:rPr>
        <w:t xml:space="preserve">Povišeni parametri lipida </w:t>
      </w:r>
      <w:r w:rsidR="00DC40AE" w:rsidRPr="00B74B0F">
        <w:rPr>
          <w:szCs w:val="22"/>
          <w:lang w:val="sr-Latn-ME"/>
        </w:rPr>
        <w:t>primijećeni</w:t>
      </w:r>
      <w:r w:rsidRPr="00B74B0F">
        <w:rPr>
          <w:szCs w:val="22"/>
          <w:lang w:val="sr-Latn-ME"/>
        </w:rPr>
        <w:t xml:space="preserve"> nakon 8 </w:t>
      </w:r>
      <w:r w:rsidR="00DC40AE" w:rsidRPr="00B74B0F">
        <w:rPr>
          <w:szCs w:val="22"/>
          <w:lang w:val="sr-Latn-ME"/>
        </w:rPr>
        <w:t xml:space="preserve">nedjelja </w:t>
      </w:r>
      <w:r w:rsidRPr="00B74B0F">
        <w:rPr>
          <w:szCs w:val="22"/>
          <w:lang w:val="sr-Latn-ME"/>
        </w:rPr>
        <w:t xml:space="preserve">liječenja upadacitinibom u dozi od 45 mg su ostali stabilni uz dugotrajno liječenje upadacitinibom od 15 mg i 30 mg. Među </w:t>
      </w:r>
      <w:r w:rsidR="00181042" w:rsidRPr="00B74B0F">
        <w:rPr>
          <w:szCs w:val="22"/>
          <w:lang w:val="sr-Latn-ME"/>
        </w:rPr>
        <w:t>pacijenti</w:t>
      </w:r>
      <w:r w:rsidRPr="00B74B0F">
        <w:rPr>
          <w:szCs w:val="22"/>
          <w:lang w:val="sr-Latn-ME"/>
        </w:rPr>
        <w:t>ma u placebom kontroli</w:t>
      </w:r>
      <w:r w:rsidR="00DC40AE" w:rsidRPr="00B74B0F">
        <w:rPr>
          <w:szCs w:val="22"/>
          <w:lang w:val="sr-Latn-ME"/>
        </w:rPr>
        <w:t>s</w:t>
      </w:r>
      <w:r w:rsidRPr="00B74B0F">
        <w:rPr>
          <w:szCs w:val="22"/>
          <w:lang w:val="sr-Latn-ME"/>
        </w:rPr>
        <w:t xml:space="preserve">anim ispitivanjima indukcije s početnim vrijednostima ispod navedenih granica, </w:t>
      </w:r>
      <w:r w:rsidR="00DC40AE" w:rsidRPr="00B74B0F">
        <w:rPr>
          <w:szCs w:val="22"/>
          <w:lang w:val="sr-Latn-ME"/>
        </w:rPr>
        <w:t xml:space="preserve">primijećene </w:t>
      </w:r>
      <w:r w:rsidRPr="00B74B0F">
        <w:rPr>
          <w:szCs w:val="22"/>
          <w:lang w:val="sr-Latn-ME"/>
        </w:rPr>
        <w:t xml:space="preserve">su sljedeće učestalosti </w:t>
      </w:r>
      <w:r w:rsidR="00181042" w:rsidRPr="00B74B0F">
        <w:rPr>
          <w:szCs w:val="22"/>
          <w:lang w:val="sr-Latn-ME"/>
        </w:rPr>
        <w:t>pacijenata</w:t>
      </w:r>
      <w:r w:rsidRPr="00B74B0F">
        <w:rPr>
          <w:szCs w:val="22"/>
          <w:lang w:val="sr-Latn-ME"/>
        </w:rPr>
        <w:t xml:space="preserve"> koji su se pomaknuli iznad navedenih granica najmanje jednom </w:t>
      </w:r>
      <w:r w:rsidR="00181042" w:rsidRPr="00B74B0F">
        <w:rPr>
          <w:szCs w:val="22"/>
          <w:lang w:val="sr-Latn-ME"/>
        </w:rPr>
        <w:t>tokom</w:t>
      </w:r>
      <w:r w:rsidRPr="00B74B0F">
        <w:rPr>
          <w:szCs w:val="22"/>
          <w:lang w:val="sr-Latn-ME"/>
        </w:rPr>
        <w:t xml:space="preserve"> 8 </w:t>
      </w:r>
      <w:r w:rsidR="000B541A" w:rsidRPr="00B74B0F">
        <w:rPr>
          <w:szCs w:val="22"/>
          <w:lang w:val="sr-Latn-ME"/>
        </w:rPr>
        <w:t xml:space="preserve">nedjelja </w:t>
      </w:r>
      <w:r w:rsidRPr="00B74B0F">
        <w:rPr>
          <w:szCs w:val="22"/>
          <w:lang w:val="sr-Latn-ME"/>
        </w:rPr>
        <w:t>(uključujući izol</w:t>
      </w:r>
      <w:r w:rsidR="000B541A" w:rsidRPr="00B74B0F">
        <w:rPr>
          <w:szCs w:val="22"/>
          <w:lang w:val="sr-Latn-ME"/>
        </w:rPr>
        <w:t>ov</w:t>
      </w:r>
      <w:r w:rsidRPr="00B74B0F">
        <w:rPr>
          <w:szCs w:val="22"/>
          <w:lang w:val="sr-Latn-ME"/>
        </w:rPr>
        <w:t>ane slučajeve povišenih vrijednosti):</w:t>
      </w:r>
    </w:p>
    <w:p w14:paraId="6A784528" w14:textId="77777777" w:rsidR="00812AD4" w:rsidRPr="00B74B0F" w:rsidRDefault="00812AD4">
      <w:pPr>
        <w:tabs>
          <w:tab w:val="clear" w:pos="567"/>
        </w:tabs>
        <w:spacing w:line="240" w:lineRule="auto"/>
        <w:jc w:val="both"/>
        <w:rPr>
          <w:szCs w:val="22"/>
          <w:lang w:val="sr-Latn-ME"/>
        </w:rPr>
      </w:pPr>
    </w:p>
    <w:p w14:paraId="230210DC" w14:textId="50B0364E" w:rsidR="00812AD4" w:rsidRPr="00B74B0F" w:rsidRDefault="00812AD4">
      <w:pPr>
        <w:keepNext/>
        <w:numPr>
          <w:ilvl w:val="0"/>
          <w:numId w:val="38"/>
        </w:numPr>
        <w:spacing w:line="240" w:lineRule="auto"/>
        <w:contextualSpacing/>
        <w:jc w:val="both"/>
        <w:rPr>
          <w:rFonts w:eastAsia="Calibri"/>
          <w:szCs w:val="22"/>
          <w:lang w:val="sr-Latn-ME"/>
        </w:rPr>
      </w:pPr>
      <w:r w:rsidRPr="00B74B0F">
        <w:rPr>
          <w:rFonts w:eastAsia="Calibri"/>
          <w:szCs w:val="22"/>
          <w:lang w:val="sr-Latn-ME"/>
        </w:rPr>
        <w:lastRenderedPageBreak/>
        <w:t xml:space="preserve">Ukupan </w:t>
      </w:r>
      <w:r w:rsidR="000B541A" w:rsidRPr="00B74B0F">
        <w:rPr>
          <w:rFonts w:eastAsia="Calibri"/>
          <w:szCs w:val="22"/>
          <w:lang w:val="sr-Latn-ME"/>
        </w:rPr>
        <w:t>h</w:t>
      </w:r>
      <w:r w:rsidRPr="00B74B0F">
        <w:rPr>
          <w:rFonts w:eastAsia="Calibri"/>
          <w:szCs w:val="22"/>
          <w:lang w:val="sr-Latn-ME"/>
        </w:rPr>
        <w:t xml:space="preserve">olesterol ≥ 5,17 mmol/l (200 mg/dl): 49% naspram 11%, u </w:t>
      </w:r>
      <w:r w:rsidR="000B541A" w:rsidRPr="00B74B0F">
        <w:rPr>
          <w:rFonts w:eastAsia="Calibri"/>
          <w:szCs w:val="22"/>
          <w:lang w:val="sr-Latn-ME"/>
        </w:rPr>
        <w:t xml:space="preserve">grupi </w:t>
      </w:r>
      <w:r w:rsidRPr="00B74B0F">
        <w:rPr>
          <w:rFonts w:eastAsia="Calibri"/>
          <w:szCs w:val="22"/>
          <w:lang w:val="sr-Latn-ME"/>
        </w:rPr>
        <w:t xml:space="preserve">upadacitinib 45 mg odnosno u </w:t>
      </w:r>
      <w:r w:rsidR="000B541A" w:rsidRPr="00B74B0F">
        <w:rPr>
          <w:rFonts w:eastAsia="Calibri"/>
          <w:szCs w:val="22"/>
          <w:lang w:val="sr-Latn-ME"/>
        </w:rPr>
        <w:t xml:space="preserve">grupi </w:t>
      </w:r>
      <w:r w:rsidRPr="00B74B0F">
        <w:rPr>
          <w:rFonts w:eastAsia="Calibri"/>
          <w:szCs w:val="22"/>
          <w:lang w:val="sr-Latn-ME"/>
        </w:rPr>
        <w:t>koja je primala placebo</w:t>
      </w:r>
    </w:p>
    <w:p w14:paraId="214D8F08" w14:textId="0409E752" w:rsidR="00812AD4" w:rsidRPr="00B74B0F" w:rsidRDefault="00812AD4">
      <w:pPr>
        <w:keepNext/>
        <w:numPr>
          <w:ilvl w:val="0"/>
          <w:numId w:val="38"/>
        </w:numPr>
        <w:spacing w:line="240" w:lineRule="auto"/>
        <w:contextualSpacing/>
        <w:jc w:val="both"/>
        <w:rPr>
          <w:rFonts w:eastAsia="Calibri"/>
          <w:szCs w:val="22"/>
          <w:lang w:val="sr-Latn-ME"/>
        </w:rPr>
      </w:pPr>
      <w:r w:rsidRPr="00B74B0F">
        <w:rPr>
          <w:rFonts w:eastAsia="Calibri"/>
          <w:szCs w:val="22"/>
          <w:lang w:val="sr-Latn-ME"/>
        </w:rPr>
        <w:t>LDL-</w:t>
      </w:r>
      <w:r w:rsidR="000B541A" w:rsidRPr="00B74B0F">
        <w:rPr>
          <w:rFonts w:eastAsia="Calibri"/>
          <w:szCs w:val="22"/>
          <w:lang w:val="sr-Latn-ME"/>
        </w:rPr>
        <w:t>h</w:t>
      </w:r>
      <w:r w:rsidRPr="00B74B0F">
        <w:rPr>
          <w:rFonts w:eastAsia="Calibri"/>
          <w:szCs w:val="22"/>
          <w:lang w:val="sr-Latn-ME"/>
        </w:rPr>
        <w:t xml:space="preserve">olesterol ≥ 3,36 mmol/l (130 mg/dl): 27% naspram 9%, u </w:t>
      </w:r>
      <w:r w:rsidR="000B541A" w:rsidRPr="00B74B0F">
        <w:rPr>
          <w:rFonts w:eastAsia="Calibri"/>
          <w:szCs w:val="22"/>
          <w:lang w:val="sr-Latn-ME"/>
        </w:rPr>
        <w:t>grupi</w:t>
      </w:r>
      <w:r w:rsidRPr="00B74B0F">
        <w:rPr>
          <w:rFonts w:eastAsia="Calibri"/>
          <w:szCs w:val="22"/>
          <w:lang w:val="sr-Latn-ME"/>
        </w:rPr>
        <w:t xml:space="preserve"> upadacitinib 45 mg odnosno u </w:t>
      </w:r>
      <w:r w:rsidR="000B541A" w:rsidRPr="00B74B0F">
        <w:rPr>
          <w:rFonts w:eastAsia="Calibri"/>
          <w:szCs w:val="22"/>
          <w:lang w:val="sr-Latn-ME"/>
        </w:rPr>
        <w:t xml:space="preserve">grupi </w:t>
      </w:r>
      <w:r w:rsidRPr="00B74B0F">
        <w:rPr>
          <w:rFonts w:eastAsia="Calibri"/>
          <w:szCs w:val="22"/>
          <w:lang w:val="sr-Latn-ME"/>
        </w:rPr>
        <w:t>koja je primala placebo</w:t>
      </w:r>
    </w:p>
    <w:p w14:paraId="3774E7D8" w14:textId="22D1EFC3" w:rsidR="00812AD4" w:rsidRPr="00B74B0F" w:rsidRDefault="00812AD4">
      <w:pPr>
        <w:keepNext/>
        <w:numPr>
          <w:ilvl w:val="0"/>
          <w:numId w:val="38"/>
        </w:numPr>
        <w:spacing w:line="240" w:lineRule="auto"/>
        <w:contextualSpacing/>
        <w:jc w:val="both"/>
        <w:rPr>
          <w:rFonts w:eastAsia="Calibri"/>
          <w:szCs w:val="22"/>
          <w:lang w:val="sr-Latn-ME"/>
        </w:rPr>
      </w:pPr>
      <w:r w:rsidRPr="00B74B0F">
        <w:rPr>
          <w:rFonts w:eastAsia="Calibri"/>
          <w:szCs w:val="22"/>
          <w:lang w:val="sr-Latn-ME"/>
        </w:rPr>
        <w:t>HDL-</w:t>
      </w:r>
      <w:r w:rsidR="000B541A" w:rsidRPr="00B74B0F">
        <w:rPr>
          <w:rFonts w:eastAsia="Calibri"/>
          <w:szCs w:val="22"/>
          <w:lang w:val="sr-Latn-ME"/>
        </w:rPr>
        <w:t>h</w:t>
      </w:r>
      <w:r w:rsidRPr="00B74B0F">
        <w:rPr>
          <w:rFonts w:eastAsia="Calibri"/>
          <w:szCs w:val="22"/>
          <w:lang w:val="sr-Latn-ME"/>
        </w:rPr>
        <w:t xml:space="preserve">olesterol ≥ 1,03 mmol/l (40 mg/dl): 79% naspram 36%, u </w:t>
      </w:r>
      <w:r w:rsidR="000B541A" w:rsidRPr="00B74B0F">
        <w:rPr>
          <w:rFonts w:eastAsia="Calibri"/>
          <w:szCs w:val="22"/>
          <w:lang w:val="sr-Latn-ME"/>
        </w:rPr>
        <w:t>grupi</w:t>
      </w:r>
      <w:r w:rsidRPr="00B74B0F">
        <w:rPr>
          <w:rFonts w:eastAsia="Calibri"/>
          <w:szCs w:val="22"/>
          <w:lang w:val="sr-Latn-ME"/>
        </w:rPr>
        <w:t xml:space="preserve"> upadacitinib 45 mg odnosno u </w:t>
      </w:r>
      <w:r w:rsidR="000B541A" w:rsidRPr="00B74B0F">
        <w:rPr>
          <w:rFonts w:eastAsia="Calibri"/>
          <w:szCs w:val="22"/>
          <w:lang w:val="sr-Latn-ME"/>
        </w:rPr>
        <w:t>grupi</w:t>
      </w:r>
      <w:r w:rsidRPr="00B74B0F">
        <w:rPr>
          <w:rFonts w:eastAsia="Calibri"/>
          <w:szCs w:val="22"/>
          <w:lang w:val="sr-Latn-ME"/>
        </w:rPr>
        <w:t xml:space="preserve"> koja je primala placebo</w:t>
      </w:r>
    </w:p>
    <w:p w14:paraId="729035CE" w14:textId="43CC1E05" w:rsidR="00BF6CA0" w:rsidRPr="00B74B0F" w:rsidRDefault="00812AD4">
      <w:pPr>
        <w:keepNext/>
        <w:numPr>
          <w:ilvl w:val="0"/>
          <w:numId w:val="38"/>
        </w:numPr>
        <w:spacing w:line="240" w:lineRule="auto"/>
        <w:contextualSpacing/>
        <w:jc w:val="both"/>
        <w:rPr>
          <w:rFonts w:eastAsia="Calibri"/>
          <w:szCs w:val="22"/>
          <w:lang w:val="sr-Latn-ME"/>
        </w:rPr>
      </w:pPr>
      <w:r w:rsidRPr="00B74B0F">
        <w:rPr>
          <w:rFonts w:eastAsia="Calibri"/>
          <w:szCs w:val="22"/>
          <w:lang w:val="sr-Latn-ME"/>
        </w:rPr>
        <w:t xml:space="preserve">Trigliceridi ≥ 2,26 mmol/l (200 mg/dl): 6% naspram 4% u </w:t>
      </w:r>
      <w:r w:rsidR="000B541A" w:rsidRPr="00B74B0F">
        <w:rPr>
          <w:rFonts w:eastAsia="Calibri"/>
          <w:szCs w:val="22"/>
          <w:lang w:val="sr-Latn-ME"/>
        </w:rPr>
        <w:t xml:space="preserve">grupi </w:t>
      </w:r>
      <w:r w:rsidRPr="00B74B0F">
        <w:rPr>
          <w:rFonts w:eastAsia="Calibri"/>
          <w:szCs w:val="22"/>
          <w:lang w:val="sr-Latn-ME"/>
        </w:rPr>
        <w:t xml:space="preserve">upadacitinib 45 mg odnosno u </w:t>
      </w:r>
      <w:r w:rsidR="000B541A" w:rsidRPr="00B74B0F">
        <w:rPr>
          <w:rFonts w:eastAsia="Calibri"/>
          <w:szCs w:val="22"/>
          <w:lang w:val="sr-Latn-ME"/>
        </w:rPr>
        <w:t xml:space="preserve">grupi </w:t>
      </w:r>
      <w:r w:rsidRPr="00B74B0F">
        <w:rPr>
          <w:rFonts w:eastAsia="Calibri"/>
          <w:szCs w:val="22"/>
          <w:lang w:val="sr-Latn-ME"/>
        </w:rPr>
        <w:t>koja je primala placebo</w:t>
      </w:r>
    </w:p>
    <w:p w14:paraId="624469B7" w14:textId="77777777" w:rsidR="00812AD4" w:rsidRPr="00B74B0F" w:rsidRDefault="00812AD4">
      <w:pPr>
        <w:tabs>
          <w:tab w:val="clear" w:pos="567"/>
        </w:tabs>
        <w:autoSpaceDE w:val="0"/>
        <w:autoSpaceDN w:val="0"/>
        <w:adjustRightInd w:val="0"/>
        <w:spacing w:line="240" w:lineRule="auto"/>
        <w:jc w:val="both"/>
        <w:rPr>
          <w:szCs w:val="22"/>
          <w:u w:val="single"/>
          <w:lang w:val="sr-Latn-ME"/>
        </w:rPr>
      </w:pPr>
    </w:p>
    <w:p w14:paraId="1F94AC3D" w14:textId="77777777" w:rsidR="00BF6CA0" w:rsidRPr="00B74B0F" w:rsidRDefault="00BF6CA0" w:rsidP="00A30C3C">
      <w:pPr>
        <w:pStyle w:val="Default"/>
        <w:keepNext/>
        <w:jc w:val="both"/>
        <w:rPr>
          <w:i/>
          <w:sz w:val="22"/>
          <w:szCs w:val="22"/>
          <w:u w:val="single"/>
          <w:lang w:val="sr-Latn-ME"/>
        </w:rPr>
      </w:pPr>
      <w:r w:rsidRPr="00B74B0F">
        <w:rPr>
          <w:i/>
          <w:sz w:val="22"/>
          <w:szCs w:val="22"/>
          <w:u w:val="single"/>
          <w:lang w:val="sr-Latn-ME"/>
        </w:rPr>
        <w:t>Crohnova bolest</w:t>
      </w:r>
    </w:p>
    <w:p w14:paraId="25A05DD4" w14:textId="77777777" w:rsidR="00BF6CA0" w:rsidRPr="00B74B0F" w:rsidRDefault="00BF6CA0">
      <w:pPr>
        <w:pStyle w:val="Default"/>
        <w:keepNext/>
        <w:jc w:val="both"/>
        <w:rPr>
          <w:i/>
          <w:sz w:val="22"/>
          <w:szCs w:val="22"/>
          <w:u w:val="single"/>
          <w:lang w:val="sr-Latn-ME"/>
        </w:rPr>
      </w:pPr>
    </w:p>
    <w:p w14:paraId="143C544D" w14:textId="73E31B24" w:rsidR="00BF6CA0" w:rsidRPr="00B74B0F" w:rsidRDefault="00BF6CA0">
      <w:pPr>
        <w:autoSpaceDE w:val="0"/>
        <w:autoSpaceDN w:val="0"/>
        <w:adjustRightInd w:val="0"/>
        <w:spacing w:line="240" w:lineRule="auto"/>
        <w:jc w:val="both"/>
        <w:rPr>
          <w:szCs w:val="22"/>
          <w:lang w:val="sr-Latn-ME"/>
        </w:rPr>
      </w:pPr>
      <w:r w:rsidRPr="00B74B0F">
        <w:rPr>
          <w:szCs w:val="22"/>
          <w:lang w:val="sr-Latn-ME"/>
        </w:rPr>
        <w:t>Sve u svemu, sigurnosni profil prim</w:t>
      </w:r>
      <w:r w:rsidR="00B520DB" w:rsidRPr="00B74B0F">
        <w:rPr>
          <w:szCs w:val="22"/>
          <w:lang w:val="sr-Latn-ME"/>
        </w:rPr>
        <w:t>i</w:t>
      </w:r>
      <w:r w:rsidRPr="00B74B0F">
        <w:rPr>
          <w:szCs w:val="22"/>
          <w:lang w:val="sr-Latn-ME"/>
        </w:rPr>
        <w:t>jećen kod pacijenata s</w:t>
      </w:r>
      <w:r w:rsidR="00072768" w:rsidRPr="00B74B0F">
        <w:rPr>
          <w:szCs w:val="22"/>
          <w:lang w:val="sr-Latn-ME"/>
        </w:rPr>
        <w:t>a</w:t>
      </w:r>
      <w:r w:rsidRPr="00B74B0F">
        <w:rPr>
          <w:szCs w:val="22"/>
          <w:lang w:val="sr-Latn-ME"/>
        </w:rPr>
        <w:t xml:space="preserve"> </w:t>
      </w:r>
      <w:r w:rsidR="00B520DB" w:rsidRPr="00B74B0F">
        <w:rPr>
          <w:szCs w:val="22"/>
          <w:lang w:val="sr-Latn-ME"/>
        </w:rPr>
        <w:t>Kr</w:t>
      </w:r>
      <w:r w:rsidRPr="00B74B0F">
        <w:rPr>
          <w:szCs w:val="22"/>
          <w:lang w:val="sr-Latn-ME"/>
        </w:rPr>
        <w:t>onovom bolešću liječenih upadacitinibom bio je u skladu sa poznatim sigurnosnim profilom upadacitiniba.</w:t>
      </w:r>
    </w:p>
    <w:p w14:paraId="697ACFFB" w14:textId="77777777" w:rsidR="00BF6CA0" w:rsidRPr="00B74B0F" w:rsidRDefault="00BF6CA0">
      <w:pPr>
        <w:autoSpaceDE w:val="0"/>
        <w:autoSpaceDN w:val="0"/>
        <w:adjustRightInd w:val="0"/>
        <w:spacing w:line="240" w:lineRule="auto"/>
        <w:jc w:val="both"/>
        <w:rPr>
          <w:szCs w:val="22"/>
          <w:lang w:val="sr-Latn-ME"/>
        </w:rPr>
      </w:pPr>
    </w:p>
    <w:p w14:paraId="2789D15D" w14:textId="77777777" w:rsidR="00BF6CA0" w:rsidRPr="00B74B0F" w:rsidRDefault="00BF6CA0">
      <w:pPr>
        <w:tabs>
          <w:tab w:val="left" w:pos="5827"/>
        </w:tabs>
        <w:autoSpaceDE w:val="0"/>
        <w:autoSpaceDN w:val="0"/>
        <w:adjustRightInd w:val="0"/>
        <w:spacing w:line="240" w:lineRule="auto"/>
        <w:jc w:val="both"/>
        <w:rPr>
          <w:i/>
          <w:iCs/>
          <w:szCs w:val="22"/>
          <w:lang w:val="sr-Latn-ME"/>
        </w:rPr>
      </w:pPr>
      <w:r w:rsidRPr="00B74B0F">
        <w:rPr>
          <w:i/>
          <w:iCs/>
          <w:szCs w:val="22"/>
          <w:lang w:val="sr-Latn-ME"/>
        </w:rPr>
        <w:t>Ozbiljne infekcije</w:t>
      </w:r>
    </w:p>
    <w:p w14:paraId="6D3195F4" w14:textId="77777777" w:rsidR="00BF6CA0" w:rsidRPr="00B74B0F" w:rsidRDefault="00BF6CA0">
      <w:pPr>
        <w:autoSpaceDE w:val="0"/>
        <w:autoSpaceDN w:val="0"/>
        <w:adjustRightInd w:val="0"/>
        <w:spacing w:line="240" w:lineRule="auto"/>
        <w:jc w:val="both"/>
        <w:rPr>
          <w:szCs w:val="22"/>
          <w:lang w:val="sr-Latn-ME"/>
        </w:rPr>
      </w:pPr>
    </w:p>
    <w:p w14:paraId="2252A22F" w14:textId="6A95284A" w:rsidR="00BF6CA0" w:rsidRPr="00B74B0F" w:rsidRDefault="00BF6CA0">
      <w:pPr>
        <w:autoSpaceDE w:val="0"/>
        <w:autoSpaceDN w:val="0"/>
        <w:adjustRightInd w:val="0"/>
        <w:spacing w:line="240" w:lineRule="auto"/>
        <w:contextualSpacing/>
        <w:jc w:val="both"/>
        <w:rPr>
          <w:noProof/>
          <w:szCs w:val="22"/>
          <w:lang w:val="sr-Latn-ME"/>
        </w:rPr>
      </w:pPr>
      <w:r w:rsidRPr="00B74B0F">
        <w:rPr>
          <w:szCs w:val="22"/>
          <w:lang w:val="sr-Latn-ME"/>
        </w:rPr>
        <w:t>U placebom kontrolisanim ispitivanjima indukcijskog liječenja, učestalost ozbiljnih infekcija tokom 12 sedmica iznosila je 1,9% u grupi liječenoj upadacitinibom u dozi od 45 mg, a 1,7% u grupi koja je primala placebo. U placebom kontrolisanom ispitivanju terapije održavanja, učestalost ozbiljnih infekcija tokom 52 sedmice iznosila je 3,2% odnosno 5,7% u grupama liječenim upadacitinibom u dozi od 15 mg odnosno 30 mg, a 4,5% u grupi koja je primala placebo. Kod</w:t>
      </w:r>
      <w:r w:rsidRPr="00B74B0F">
        <w:rPr>
          <w:noProof/>
          <w:szCs w:val="22"/>
          <w:lang w:val="sr-Latn-ME"/>
        </w:rPr>
        <w:t xml:space="preserve"> </w:t>
      </w:r>
      <w:r w:rsidR="005376D8" w:rsidRPr="00B74B0F">
        <w:rPr>
          <w:noProof/>
          <w:szCs w:val="22"/>
          <w:lang w:val="sr-Latn-ME"/>
        </w:rPr>
        <w:t>pacijenata</w:t>
      </w:r>
      <w:r w:rsidRPr="00B74B0F">
        <w:rPr>
          <w:noProof/>
          <w:szCs w:val="22"/>
          <w:lang w:val="sr-Latn-ME"/>
        </w:rPr>
        <w:t xml:space="preserve"> s</w:t>
      </w:r>
      <w:r w:rsidR="00072768" w:rsidRPr="00B74B0F">
        <w:rPr>
          <w:noProof/>
          <w:szCs w:val="22"/>
          <w:lang w:val="sr-Latn-ME"/>
        </w:rPr>
        <w:t>a</w:t>
      </w:r>
      <w:r w:rsidRPr="00B74B0F">
        <w:rPr>
          <w:noProof/>
          <w:szCs w:val="22"/>
          <w:lang w:val="sr-Latn-ME"/>
        </w:rPr>
        <w:t xml:space="preserve"> odgovorom na indukcijsko liječenje upadacitinibom u dozi od 45 mg,</w:t>
      </w:r>
      <w:r w:rsidRPr="00B74B0F">
        <w:rPr>
          <w:szCs w:val="22"/>
          <w:lang w:val="sr-Latn-ME"/>
        </w:rPr>
        <w:t xml:space="preserve"> d</w:t>
      </w:r>
      <w:r w:rsidRPr="00B74B0F">
        <w:rPr>
          <w:noProof/>
          <w:szCs w:val="22"/>
          <w:lang w:val="sr-Latn-ME"/>
        </w:rPr>
        <w:t>ugoročna stopa ozbiljnih infekcija u grupama liječenim upadacitinibom u dozi od 15 mg odnosno 30 mg iznosila je 5,1 odnosno 7,3 događaja na 100 </w:t>
      </w:r>
      <w:r w:rsidR="00B520DB" w:rsidRPr="00B74B0F">
        <w:rPr>
          <w:noProof/>
          <w:szCs w:val="22"/>
          <w:lang w:val="sr-Latn-ME"/>
        </w:rPr>
        <w:t>pacijent</w:t>
      </w:r>
      <w:r w:rsidRPr="00B74B0F">
        <w:rPr>
          <w:noProof/>
          <w:szCs w:val="22"/>
          <w:lang w:val="sr-Latn-ME"/>
        </w:rPr>
        <w:noBreakHyphen/>
        <w:t>godina. Najčešće prijavljene ozbiljne infekcije u ispitivanjima indukcijskog liječenja i terapije održavanja bile su gastrointestinalne infekcije.</w:t>
      </w:r>
    </w:p>
    <w:p w14:paraId="5724B852" w14:textId="77777777" w:rsidR="00BF6CA0" w:rsidRPr="00B74B0F" w:rsidRDefault="00BF6CA0">
      <w:pPr>
        <w:autoSpaceDE w:val="0"/>
        <w:autoSpaceDN w:val="0"/>
        <w:adjustRightInd w:val="0"/>
        <w:spacing w:line="240" w:lineRule="auto"/>
        <w:contextualSpacing/>
        <w:jc w:val="both"/>
        <w:rPr>
          <w:noProof/>
          <w:szCs w:val="22"/>
          <w:lang w:val="sr-Latn-ME"/>
        </w:rPr>
      </w:pPr>
    </w:p>
    <w:p w14:paraId="36BFF410" w14:textId="77777777" w:rsidR="00BF6CA0" w:rsidRPr="00B74B0F" w:rsidRDefault="00BF6CA0">
      <w:pPr>
        <w:autoSpaceDE w:val="0"/>
        <w:autoSpaceDN w:val="0"/>
        <w:adjustRightInd w:val="0"/>
        <w:spacing w:line="240" w:lineRule="auto"/>
        <w:contextualSpacing/>
        <w:jc w:val="both"/>
        <w:rPr>
          <w:i/>
          <w:szCs w:val="22"/>
          <w:lang w:val="sr-Latn-ME"/>
        </w:rPr>
      </w:pPr>
      <w:r w:rsidRPr="00B74B0F">
        <w:rPr>
          <w:i/>
          <w:szCs w:val="22"/>
          <w:lang w:val="sr-Latn-ME"/>
        </w:rPr>
        <w:t>Gastrointestinalne perforacije</w:t>
      </w:r>
    </w:p>
    <w:p w14:paraId="7D02CE38" w14:textId="77777777" w:rsidR="00BF6CA0" w:rsidRPr="00B74B0F" w:rsidRDefault="00BF6CA0">
      <w:pPr>
        <w:autoSpaceDE w:val="0"/>
        <w:autoSpaceDN w:val="0"/>
        <w:adjustRightInd w:val="0"/>
        <w:spacing w:line="240" w:lineRule="auto"/>
        <w:contextualSpacing/>
        <w:jc w:val="both"/>
        <w:rPr>
          <w:noProof/>
          <w:szCs w:val="22"/>
          <w:lang w:val="sr-Latn-ME"/>
        </w:rPr>
      </w:pPr>
    </w:p>
    <w:p w14:paraId="6FAE3453" w14:textId="77F86A61" w:rsidR="00BF6CA0" w:rsidRPr="00B74B0F" w:rsidRDefault="00BF6CA0">
      <w:pPr>
        <w:autoSpaceDE w:val="0"/>
        <w:autoSpaceDN w:val="0"/>
        <w:adjustRightInd w:val="0"/>
        <w:spacing w:line="240" w:lineRule="auto"/>
        <w:contextualSpacing/>
        <w:jc w:val="both"/>
        <w:rPr>
          <w:noProof/>
          <w:szCs w:val="22"/>
          <w:lang w:val="sr-Latn-ME"/>
        </w:rPr>
      </w:pPr>
      <w:r w:rsidRPr="00B74B0F">
        <w:rPr>
          <w:noProof/>
          <w:szCs w:val="22"/>
          <w:lang w:val="sr-Latn-ME"/>
        </w:rPr>
        <w:t xml:space="preserve">Tokom placebom kontrolisanog perioda u indukcijskim kliničkim ispitivanjima faze 3, gastrointestinalna perforacija prijavljena je kod 1 </w:t>
      </w:r>
      <w:r w:rsidR="00B520DB" w:rsidRPr="00B74B0F">
        <w:rPr>
          <w:noProof/>
          <w:szCs w:val="22"/>
          <w:lang w:val="sr-Latn-ME"/>
        </w:rPr>
        <w:t xml:space="preserve">pacijenta </w:t>
      </w:r>
      <w:r w:rsidRPr="00B74B0F">
        <w:rPr>
          <w:noProof/>
          <w:szCs w:val="22"/>
          <w:lang w:val="sr-Latn-ME"/>
        </w:rPr>
        <w:t xml:space="preserve">(0,1%) liječenog upadacitinibom u dozi od 45 mg i ni kod jednog </w:t>
      </w:r>
      <w:r w:rsidR="00B520DB" w:rsidRPr="00B74B0F">
        <w:rPr>
          <w:noProof/>
          <w:szCs w:val="22"/>
          <w:lang w:val="sr-Latn-ME"/>
        </w:rPr>
        <w:t xml:space="preserve">pacijenta </w:t>
      </w:r>
      <w:r w:rsidRPr="00B74B0F">
        <w:rPr>
          <w:noProof/>
          <w:szCs w:val="22"/>
          <w:lang w:val="sr-Latn-ME"/>
        </w:rPr>
        <w:t xml:space="preserve">na placebu tokom 12 sedmica. Kod svih </w:t>
      </w:r>
      <w:r w:rsidR="00B520DB" w:rsidRPr="00B74B0F">
        <w:rPr>
          <w:noProof/>
          <w:szCs w:val="22"/>
          <w:lang w:val="sr-Latn-ME"/>
        </w:rPr>
        <w:t xml:space="preserve">pacijenata </w:t>
      </w:r>
      <w:r w:rsidRPr="00B74B0F">
        <w:rPr>
          <w:noProof/>
          <w:szCs w:val="22"/>
          <w:lang w:val="sr-Latn-ME"/>
        </w:rPr>
        <w:t xml:space="preserve">liječenih upadacitinibom u dozi od 45 mg (n=938) tokom indukcijskih ispitivanja, gastrointestinalna perforacija prijavljena je kod 4 </w:t>
      </w:r>
      <w:r w:rsidR="00B520DB" w:rsidRPr="00B74B0F">
        <w:rPr>
          <w:noProof/>
          <w:szCs w:val="22"/>
          <w:lang w:val="sr-Latn-ME"/>
        </w:rPr>
        <w:t xml:space="preserve">pacijenta </w:t>
      </w:r>
      <w:r w:rsidRPr="00B74B0F">
        <w:rPr>
          <w:noProof/>
          <w:szCs w:val="22"/>
          <w:lang w:val="sr-Latn-ME"/>
        </w:rPr>
        <w:t>(0,4%).</w:t>
      </w:r>
    </w:p>
    <w:p w14:paraId="091A4945" w14:textId="77777777" w:rsidR="00BF6CA0" w:rsidRPr="00B74B0F" w:rsidRDefault="00BF6CA0">
      <w:pPr>
        <w:autoSpaceDE w:val="0"/>
        <w:autoSpaceDN w:val="0"/>
        <w:adjustRightInd w:val="0"/>
        <w:spacing w:line="240" w:lineRule="auto"/>
        <w:contextualSpacing/>
        <w:jc w:val="both"/>
        <w:rPr>
          <w:noProof/>
          <w:szCs w:val="22"/>
          <w:lang w:val="sr-Latn-ME"/>
        </w:rPr>
      </w:pPr>
    </w:p>
    <w:p w14:paraId="50798BF2" w14:textId="34D7388B" w:rsidR="00BF6CA0" w:rsidRPr="00B74B0F" w:rsidRDefault="00BF6CA0">
      <w:pPr>
        <w:autoSpaceDE w:val="0"/>
        <w:autoSpaceDN w:val="0"/>
        <w:adjustRightInd w:val="0"/>
        <w:spacing w:line="240" w:lineRule="auto"/>
        <w:contextualSpacing/>
        <w:jc w:val="both"/>
        <w:rPr>
          <w:noProof/>
          <w:szCs w:val="22"/>
          <w:lang w:val="sr-Latn-ME"/>
        </w:rPr>
      </w:pPr>
      <w:r w:rsidRPr="00B74B0F">
        <w:rPr>
          <w:noProof/>
          <w:szCs w:val="22"/>
          <w:lang w:val="sr-Latn-ME"/>
        </w:rPr>
        <w:t xml:space="preserve">U dugotrajnom placebom kontrolisanom periodu, gastrointestinalna perforacija prijavljena je kod 1 </w:t>
      </w:r>
      <w:r w:rsidR="00302FDF" w:rsidRPr="00B74B0F">
        <w:rPr>
          <w:noProof/>
          <w:szCs w:val="22"/>
          <w:lang w:val="sr-Latn-ME"/>
        </w:rPr>
        <w:t>pacijenta</w:t>
      </w:r>
      <w:r w:rsidRPr="00B74B0F">
        <w:rPr>
          <w:noProof/>
          <w:szCs w:val="22"/>
          <w:lang w:val="sr-Latn-ME"/>
        </w:rPr>
        <w:t xml:space="preserve"> koji je primao placebo (0,7 na 100 </w:t>
      </w:r>
      <w:r w:rsidR="00B520DB" w:rsidRPr="00B74B0F">
        <w:rPr>
          <w:noProof/>
          <w:szCs w:val="22"/>
          <w:lang w:val="sr-Latn-ME"/>
        </w:rPr>
        <w:t>pacijent</w:t>
      </w:r>
      <w:r w:rsidRPr="00B74B0F">
        <w:rPr>
          <w:noProof/>
          <w:szCs w:val="22"/>
          <w:lang w:val="sr-Latn-ME"/>
        </w:rPr>
        <w:t xml:space="preserve">-godina), kod 1 </w:t>
      </w:r>
      <w:r w:rsidR="00F46B41" w:rsidRPr="00B74B0F">
        <w:rPr>
          <w:noProof/>
          <w:szCs w:val="22"/>
          <w:lang w:val="sr-Latn-ME"/>
        </w:rPr>
        <w:t>pacijenta</w:t>
      </w:r>
      <w:r w:rsidRPr="00B74B0F">
        <w:rPr>
          <w:noProof/>
          <w:szCs w:val="22"/>
          <w:lang w:val="sr-Latn-ME"/>
        </w:rPr>
        <w:t xml:space="preserve"> koji je primao </w:t>
      </w:r>
      <w:r w:rsidRPr="00B74B0F">
        <w:rPr>
          <w:szCs w:val="22"/>
          <w:lang w:val="sr-Latn-ME"/>
        </w:rPr>
        <w:t xml:space="preserve">upadacitinib </w:t>
      </w:r>
      <w:r w:rsidRPr="00B74B0F">
        <w:rPr>
          <w:noProof/>
          <w:szCs w:val="22"/>
          <w:lang w:val="sr-Latn-ME"/>
        </w:rPr>
        <w:t xml:space="preserve">u dozi </w:t>
      </w:r>
      <w:r w:rsidRPr="00B74B0F">
        <w:rPr>
          <w:szCs w:val="22"/>
          <w:lang w:val="sr-Latn-ME"/>
        </w:rPr>
        <w:t>od 15</w:t>
      </w:r>
      <w:r w:rsidRPr="00B74B0F">
        <w:rPr>
          <w:noProof/>
          <w:szCs w:val="22"/>
          <w:lang w:val="sr-Latn-ME"/>
        </w:rPr>
        <w:t xml:space="preserve"> mg (0,4 na 100 </w:t>
      </w:r>
      <w:r w:rsidR="00B520DB" w:rsidRPr="00B74B0F">
        <w:rPr>
          <w:noProof/>
          <w:szCs w:val="22"/>
          <w:lang w:val="sr-Latn-ME"/>
        </w:rPr>
        <w:t>pacijent</w:t>
      </w:r>
      <w:r w:rsidRPr="00B74B0F">
        <w:rPr>
          <w:noProof/>
          <w:szCs w:val="22"/>
          <w:lang w:val="sr-Latn-ME"/>
        </w:rPr>
        <w:t xml:space="preserve">-godina) i kod 1 </w:t>
      </w:r>
      <w:r w:rsidR="00B520DB" w:rsidRPr="00B74B0F">
        <w:rPr>
          <w:noProof/>
          <w:szCs w:val="22"/>
          <w:lang w:val="sr-Latn-ME"/>
        </w:rPr>
        <w:t xml:space="preserve">pacijenta </w:t>
      </w:r>
      <w:r w:rsidRPr="00B74B0F">
        <w:rPr>
          <w:noProof/>
          <w:szCs w:val="22"/>
          <w:lang w:val="sr-Latn-ME"/>
        </w:rPr>
        <w:t xml:space="preserve">koji je primao upadacitinib u dozi od 30 mg (0,4 na 100 </w:t>
      </w:r>
      <w:r w:rsidR="00B520DB" w:rsidRPr="00B74B0F">
        <w:rPr>
          <w:noProof/>
          <w:szCs w:val="22"/>
          <w:lang w:val="sr-Latn-ME"/>
        </w:rPr>
        <w:t>pacijent</w:t>
      </w:r>
      <w:r w:rsidRPr="00B74B0F">
        <w:rPr>
          <w:noProof/>
          <w:szCs w:val="22"/>
          <w:lang w:val="sr-Latn-ME"/>
        </w:rPr>
        <w:t xml:space="preserve">-godina). Kod svih </w:t>
      </w:r>
      <w:r w:rsidR="00B520DB" w:rsidRPr="00B74B0F">
        <w:rPr>
          <w:noProof/>
          <w:szCs w:val="22"/>
          <w:lang w:val="sr-Latn-ME"/>
        </w:rPr>
        <w:t xml:space="preserve">pacijenata </w:t>
      </w:r>
      <w:r w:rsidRPr="00B74B0F">
        <w:rPr>
          <w:noProof/>
          <w:szCs w:val="22"/>
          <w:lang w:val="sr-Latn-ME"/>
        </w:rPr>
        <w:t xml:space="preserve">liječenih </w:t>
      </w:r>
      <w:r w:rsidRPr="00B74B0F">
        <w:rPr>
          <w:szCs w:val="22"/>
          <w:lang w:val="sr-Latn-ME"/>
        </w:rPr>
        <w:t xml:space="preserve">upadacitinibom </w:t>
      </w:r>
      <w:r w:rsidRPr="00B74B0F">
        <w:rPr>
          <w:noProof/>
          <w:szCs w:val="22"/>
          <w:lang w:val="sr-Latn-ME"/>
        </w:rPr>
        <w:t xml:space="preserve">za hitno ublažavanje simptoma (engl. </w:t>
      </w:r>
      <w:r w:rsidRPr="00B74B0F">
        <w:rPr>
          <w:i/>
          <w:noProof/>
          <w:szCs w:val="22"/>
          <w:lang w:val="sr-Latn-ME"/>
        </w:rPr>
        <w:t>rescue</w:t>
      </w:r>
      <w:r w:rsidRPr="00B74B0F">
        <w:rPr>
          <w:noProof/>
          <w:szCs w:val="22"/>
          <w:lang w:val="sr-Latn-ME"/>
        </w:rPr>
        <w:t xml:space="preserve">) u dozi od 30 mg (n=336), gastrointestinalna perforacija prijavljena je kod 3 </w:t>
      </w:r>
      <w:r w:rsidR="00B520DB" w:rsidRPr="00B74B0F">
        <w:rPr>
          <w:noProof/>
          <w:szCs w:val="22"/>
          <w:lang w:val="sr-Latn-ME"/>
        </w:rPr>
        <w:t xml:space="preserve">pacijenta </w:t>
      </w:r>
      <w:r w:rsidRPr="00B74B0F">
        <w:rPr>
          <w:noProof/>
          <w:szCs w:val="22"/>
          <w:lang w:val="sr-Latn-ME"/>
        </w:rPr>
        <w:t xml:space="preserve">(0,8 na 100 </w:t>
      </w:r>
      <w:r w:rsidR="002872D4" w:rsidRPr="00B74B0F">
        <w:rPr>
          <w:noProof/>
          <w:szCs w:val="22"/>
          <w:lang w:val="sr-Latn-ME"/>
        </w:rPr>
        <w:t>pacijent</w:t>
      </w:r>
      <w:r w:rsidRPr="00B74B0F">
        <w:rPr>
          <w:noProof/>
          <w:szCs w:val="22"/>
          <w:lang w:val="sr-Latn-ME"/>
        </w:rPr>
        <w:t>-godina) tokom dugotrajnog liječenja.</w:t>
      </w:r>
    </w:p>
    <w:p w14:paraId="61FA9F60" w14:textId="77777777" w:rsidR="00BF6CA0" w:rsidRPr="00B74B0F" w:rsidRDefault="00BF6CA0" w:rsidP="00A30C3C">
      <w:pPr>
        <w:pStyle w:val="gtcbodytext"/>
        <w:keepNext/>
        <w:spacing w:before="0"/>
        <w:jc w:val="both"/>
        <w:rPr>
          <w:i/>
          <w:iCs/>
          <w:sz w:val="22"/>
          <w:szCs w:val="22"/>
          <w:lang w:val="sr-Latn-ME"/>
        </w:rPr>
      </w:pPr>
    </w:p>
    <w:p w14:paraId="66C10542" w14:textId="77777777" w:rsidR="00BF6CA0" w:rsidRPr="00B74B0F" w:rsidRDefault="00BF6CA0" w:rsidP="00A30C3C">
      <w:pPr>
        <w:keepNext/>
        <w:autoSpaceDE w:val="0"/>
        <w:autoSpaceDN w:val="0"/>
        <w:adjustRightInd w:val="0"/>
        <w:spacing w:line="240" w:lineRule="auto"/>
        <w:jc w:val="both"/>
        <w:rPr>
          <w:i/>
          <w:szCs w:val="22"/>
          <w:lang w:val="sr-Latn-ME"/>
        </w:rPr>
      </w:pPr>
      <w:r w:rsidRPr="00B74B0F">
        <w:rPr>
          <w:i/>
          <w:szCs w:val="22"/>
          <w:lang w:val="sr-Latn-ME"/>
        </w:rPr>
        <w:t>Laboratorijska odstupanja</w:t>
      </w:r>
    </w:p>
    <w:p w14:paraId="15F39796" w14:textId="77777777" w:rsidR="00BF6CA0" w:rsidRPr="00B74B0F" w:rsidRDefault="00BF6CA0" w:rsidP="00A30C3C">
      <w:pPr>
        <w:keepNext/>
        <w:tabs>
          <w:tab w:val="clear" w:pos="567"/>
        </w:tabs>
        <w:autoSpaceDE w:val="0"/>
        <w:autoSpaceDN w:val="0"/>
        <w:adjustRightInd w:val="0"/>
        <w:spacing w:line="240" w:lineRule="auto"/>
        <w:jc w:val="both"/>
        <w:rPr>
          <w:noProof/>
          <w:szCs w:val="22"/>
          <w:lang w:val="sr-Latn-ME"/>
        </w:rPr>
      </w:pPr>
    </w:p>
    <w:p w14:paraId="3D0B0A78" w14:textId="3FA1043D" w:rsidR="00BF6CA0" w:rsidRPr="00B74B0F" w:rsidRDefault="00BF6CA0" w:rsidP="00A30C3C">
      <w:pPr>
        <w:tabs>
          <w:tab w:val="clear" w:pos="567"/>
        </w:tabs>
        <w:autoSpaceDE w:val="0"/>
        <w:autoSpaceDN w:val="0"/>
        <w:adjustRightInd w:val="0"/>
        <w:spacing w:line="240" w:lineRule="auto"/>
        <w:jc w:val="both"/>
        <w:rPr>
          <w:noProof/>
          <w:szCs w:val="22"/>
          <w:lang w:val="sr-Latn-ME"/>
        </w:rPr>
      </w:pPr>
      <w:r w:rsidRPr="00B74B0F">
        <w:rPr>
          <w:noProof/>
          <w:szCs w:val="22"/>
          <w:lang w:val="sr-Latn-ME"/>
        </w:rPr>
        <w:t>U kliničkim ispitivanjima indukcijskog liječenja i terapije održavanja, promjene laboratorijskih vrijednosti povezane s</w:t>
      </w:r>
      <w:r w:rsidR="00072768" w:rsidRPr="00B74B0F">
        <w:rPr>
          <w:noProof/>
          <w:szCs w:val="22"/>
          <w:lang w:val="sr-Latn-ME"/>
        </w:rPr>
        <w:t>a</w:t>
      </w:r>
      <w:r w:rsidRPr="00B74B0F">
        <w:rPr>
          <w:noProof/>
          <w:szCs w:val="22"/>
          <w:lang w:val="sr-Latn-ME"/>
        </w:rPr>
        <w:t xml:space="preserve"> liječenjem upadacitinibom, odnosno povećanje ALT-a i/ili povećanje AST-a (≥ 3 x GGN), vrijednosti CPK</w:t>
      </w:r>
      <w:r w:rsidRPr="00B74B0F">
        <w:rPr>
          <w:noProof/>
          <w:szCs w:val="22"/>
          <w:lang w:val="sr-Latn-ME"/>
        </w:rPr>
        <w:noBreakHyphen/>
        <w:t>a (&gt; 5 x GGN), neutropenije (ABN &lt; 1 x 10</w:t>
      </w:r>
      <w:r w:rsidRPr="00B74B0F">
        <w:rPr>
          <w:noProof/>
          <w:szCs w:val="22"/>
          <w:vertAlign w:val="superscript"/>
          <w:lang w:val="sr-Latn-ME"/>
        </w:rPr>
        <w:t>9</w:t>
      </w:r>
      <w:r w:rsidRPr="00B74B0F">
        <w:rPr>
          <w:noProof/>
          <w:szCs w:val="22"/>
          <w:lang w:val="sr-Latn-ME"/>
        </w:rPr>
        <w:t xml:space="preserve"> </w:t>
      </w:r>
      <w:r w:rsidR="00072768" w:rsidRPr="00B74B0F">
        <w:rPr>
          <w:noProof/>
          <w:szCs w:val="22"/>
          <w:lang w:val="sr-Latn-ME"/>
        </w:rPr>
        <w:t>ćelija</w:t>
      </w:r>
      <w:r w:rsidRPr="00B74B0F">
        <w:rPr>
          <w:noProof/>
          <w:szCs w:val="22"/>
          <w:lang w:val="sr-Latn-ME"/>
        </w:rPr>
        <w:t xml:space="preserve">/l) i parametara lipida, uglavnom su bile slične onima u kliničkim ispitivanjima primjene kod reumatološke bolesti, atopijskog dermatitisa i ulceroznog kolitisa. </w:t>
      </w:r>
      <w:r w:rsidRPr="00B74B0F">
        <w:rPr>
          <w:szCs w:val="22"/>
          <w:lang w:val="sr-Latn-ME"/>
        </w:rPr>
        <w:t xml:space="preserve">Uočene su promjene tih laboratorijskih parametara </w:t>
      </w:r>
      <w:r w:rsidRPr="00B74B0F">
        <w:rPr>
          <w:noProof/>
          <w:szCs w:val="22"/>
          <w:lang w:val="sr-Latn-ME"/>
        </w:rPr>
        <w:t xml:space="preserve">zavisne o dozi, a bile su </w:t>
      </w:r>
      <w:r w:rsidRPr="00B74B0F">
        <w:rPr>
          <w:szCs w:val="22"/>
          <w:lang w:val="sr-Latn-ME"/>
        </w:rPr>
        <w:t>povezane s</w:t>
      </w:r>
      <w:r w:rsidR="00072768" w:rsidRPr="00B74B0F">
        <w:rPr>
          <w:szCs w:val="22"/>
          <w:lang w:val="sr-Latn-ME"/>
        </w:rPr>
        <w:t>a</w:t>
      </w:r>
      <w:r w:rsidRPr="00B74B0F">
        <w:rPr>
          <w:szCs w:val="22"/>
          <w:lang w:val="sr-Latn-ME"/>
        </w:rPr>
        <w:t xml:space="preserve"> liječenjem upadacitinibom od 15 mg i 30 mg.</w:t>
      </w:r>
    </w:p>
    <w:p w14:paraId="6B9D612D" w14:textId="77777777" w:rsidR="00BF6CA0" w:rsidRPr="00B74B0F" w:rsidRDefault="00BF6CA0" w:rsidP="00A30C3C">
      <w:pPr>
        <w:pStyle w:val="gtcbodytext"/>
        <w:keepNext/>
        <w:spacing w:before="0"/>
        <w:jc w:val="both"/>
        <w:rPr>
          <w:i/>
          <w:iCs/>
          <w:sz w:val="22"/>
          <w:szCs w:val="22"/>
          <w:lang w:val="sr-Latn-ME"/>
        </w:rPr>
      </w:pPr>
    </w:p>
    <w:p w14:paraId="0FA5F569" w14:textId="3F5AA93E" w:rsidR="00BF6CA0" w:rsidRPr="00B74B0F" w:rsidRDefault="00BF6CA0" w:rsidP="00A30C3C">
      <w:pPr>
        <w:keepNext/>
        <w:tabs>
          <w:tab w:val="clear" w:pos="567"/>
        </w:tabs>
        <w:autoSpaceDE w:val="0"/>
        <w:autoSpaceDN w:val="0"/>
        <w:adjustRightInd w:val="0"/>
        <w:spacing w:line="240" w:lineRule="auto"/>
        <w:jc w:val="both"/>
        <w:rPr>
          <w:szCs w:val="22"/>
          <w:lang w:val="sr-Latn-ME"/>
        </w:rPr>
      </w:pPr>
      <w:r w:rsidRPr="00B74B0F">
        <w:rPr>
          <w:noProof/>
          <w:szCs w:val="22"/>
          <w:lang w:val="sr-Latn-ME"/>
        </w:rPr>
        <w:t>U placebom kontrolisanim ispitivanjima indukcijskog liječenja u trajanju do 12 sedmica, smanjenje broja limfocita ispod 0,5 x 10</w:t>
      </w:r>
      <w:r w:rsidRPr="00B74B0F">
        <w:rPr>
          <w:noProof/>
          <w:szCs w:val="22"/>
          <w:vertAlign w:val="superscript"/>
          <w:lang w:val="sr-Latn-ME"/>
        </w:rPr>
        <w:t>9</w:t>
      </w:r>
      <w:r w:rsidRPr="00B74B0F">
        <w:rPr>
          <w:noProof/>
          <w:szCs w:val="22"/>
          <w:lang w:val="sr-Latn-ME"/>
        </w:rPr>
        <w:t xml:space="preserve"> ćelija/l u najmanje jednom mjerenju zabilježeno je kod 2,2% </w:t>
      </w:r>
      <w:r w:rsidR="00361832" w:rsidRPr="00B74B0F">
        <w:rPr>
          <w:noProof/>
          <w:szCs w:val="22"/>
          <w:lang w:val="sr-Latn-ME"/>
        </w:rPr>
        <w:t xml:space="preserve">pacijenata </w:t>
      </w:r>
      <w:r w:rsidRPr="00B74B0F">
        <w:rPr>
          <w:noProof/>
          <w:szCs w:val="22"/>
          <w:lang w:val="sr-Latn-ME"/>
        </w:rPr>
        <w:t xml:space="preserve">u grupi liječenoj upadacitinibom u dozi od 45 mg i 2,0% </w:t>
      </w:r>
      <w:r w:rsidR="00361832" w:rsidRPr="00B74B0F">
        <w:rPr>
          <w:noProof/>
          <w:szCs w:val="22"/>
          <w:lang w:val="sr-Latn-ME"/>
        </w:rPr>
        <w:t xml:space="preserve">pacijenata </w:t>
      </w:r>
      <w:r w:rsidRPr="00B74B0F">
        <w:rPr>
          <w:noProof/>
          <w:szCs w:val="22"/>
          <w:lang w:val="sr-Latn-ME"/>
        </w:rPr>
        <w:t>u grupi koja je primala placebo. U placebom kontrolisanom ispitivanju terapije održavanja u trajanju do 52 sedmice, smanjenje broja limfocita ispod 0,5 x 10</w:t>
      </w:r>
      <w:r w:rsidRPr="00B74B0F">
        <w:rPr>
          <w:noProof/>
          <w:szCs w:val="22"/>
          <w:vertAlign w:val="superscript"/>
          <w:lang w:val="sr-Latn-ME"/>
        </w:rPr>
        <w:t>9</w:t>
      </w:r>
      <w:r w:rsidRPr="00B74B0F">
        <w:rPr>
          <w:noProof/>
          <w:szCs w:val="22"/>
          <w:lang w:val="sr-Latn-ME"/>
        </w:rPr>
        <w:t xml:space="preserve"> ćelija/l u najmanje jednom mjerenju zabilježeno je u 4,6% odnosno 5,2% </w:t>
      </w:r>
      <w:r w:rsidR="00361832" w:rsidRPr="00B74B0F">
        <w:rPr>
          <w:noProof/>
          <w:szCs w:val="22"/>
          <w:lang w:val="sr-Latn-ME"/>
        </w:rPr>
        <w:t>p</w:t>
      </w:r>
      <w:r w:rsidRPr="00B74B0F">
        <w:rPr>
          <w:noProof/>
          <w:szCs w:val="22"/>
          <w:lang w:val="sr-Latn-ME"/>
        </w:rPr>
        <w:t>a</w:t>
      </w:r>
      <w:r w:rsidR="00361832" w:rsidRPr="00B74B0F">
        <w:rPr>
          <w:noProof/>
          <w:szCs w:val="22"/>
          <w:lang w:val="sr-Latn-ME"/>
        </w:rPr>
        <w:t>cijenata</w:t>
      </w:r>
      <w:r w:rsidRPr="00B74B0F">
        <w:rPr>
          <w:noProof/>
          <w:szCs w:val="22"/>
          <w:lang w:val="sr-Latn-ME"/>
        </w:rPr>
        <w:t xml:space="preserve"> u grupama liječenim upadacitinibom u dozi od 15 mg odnosno 30 mg i 1,8% </w:t>
      </w:r>
      <w:r w:rsidR="000E7C02" w:rsidRPr="00B74B0F">
        <w:rPr>
          <w:noProof/>
          <w:szCs w:val="22"/>
          <w:lang w:val="sr-Latn-ME"/>
        </w:rPr>
        <w:t>pacijenata</w:t>
      </w:r>
      <w:r w:rsidRPr="00B74B0F">
        <w:rPr>
          <w:noProof/>
          <w:szCs w:val="22"/>
          <w:lang w:val="sr-Latn-ME"/>
        </w:rPr>
        <w:t xml:space="preserve"> u grupi koja je primala placebo. U kliničkim ispitivanjima liječenje je prekinuto kad je zabilježena </w:t>
      </w:r>
      <w:r w:rsidRPr="00B74B0F">
        <w:rPr>
          <w:noProof/>
          <w:szCs w:val="22"/>
          <w:lang w:val="sr-Latn-ME"/>
        </w:rPr>
        <w:lastRenderedPageBreak/>
        <w:t>vrijednost ABL &lt; 0,5 x 10</w:t>
      </w:r>
      <w:r w:rsidRPr="00B74B0F">
        <w:rPr>
          <w:noProof/>
          <w:szCs w:val="22"/>
          <w:vertAlign w:val="superscript"/>
          <w:lang w:val="sr-Latn-ME"/>
        </w:rPr>
        <w:t>9</w:t>
      </w:r>
      <w:r w:rsidRPr="00B74B0F">
        <w:rPr>
          <w:noProof/>
          <w:szCs w:val="22"/>
          <w:lang w:val="sr-Latn-ME"/>
        </w:rPr>
        <w:t xml:space="preserve"> ćelija/l (vidjeti</w:t>
      </w:r>
      <w:r w:rsidR="00361832" w:rsidRPr="00B74B0F">
        <w:rPr>
          <w:noProof/>
          <w:szCs w:val="22"/>
          <w:lang w:val="sr-Latn-ME"/>
        </w:rPr>
        <w:t xml:space="preserve"> </w:t>
      </w:r>
      <w:r w:rsidRPr="00B74B0F">
        <w:rPr>
          <w:noProof/>
          <w:szCs w:val="22"/>
          <w:lang w:val="sr-Latn-ME"/>
        </w:rPr>
        <w:t>dio 4.2). Za vrijeme liječenja upadacitinibom ni</w:t>
      </w:r>
      <w:r w:rsidR="00361832" w:rsidRPr="00B74B0F">
        <w:rPr>
          <w:noProof/>
          <w:szCs w:val="22"/>
          <w:lang w:val="sr-Latn-ME"/>
        </w:rPr>
        <w:t>je</w:t>
      </w:r>
      <w:r w:rsidRPr="00B74B0F">
        <w:rPr>
          <w:noProof/>
          <w:szCs w:val="22"/>
          <w:lang w:val="sr-Latn-ME"/>
        </w:rPr>
        <w:t>su prim</w:t>
      </w:r>
      <w:r w:rsidR="00361832" w:rsidRPr="00B74B0F">
        <w:rPr>
          <w:noProof/>
          <w:szCs w:val="22"/>
          <w:lang w:val="sr-Latn-ME"/>
        </w:rPr>
        <w:t>i</w:t>
      </w:r>
      <w:r w:rsidRPr="00B74B0F">
        <w:rPr>
          <w:noProof/>
          <w:szCs w:val="22"/>
          <w:lang w:val="sr-Latn-ME"/>
        </w:rPr>
        <w:t>jećene značajne promjene srednje vrijednosti broja limfocita tokom vremena.</w:t>
      </w:r>
    </w:p>
    <w:p w14:paraId="6CC46C92" w14:textId="77777777" w:rsidR="00BF6CA0" w:rsidRPr="00B74B0F" w:rsidRDefault="00BF6CA0" w:rsidP="00A30C3C">
      <w:pPr>
        <w:tabs>
          <w:tab w:val="clear" w:pos="567"/>
        </w:tabs>
        <w:autoSpaceDE w:val="0"/>
        <w:autoSpaceDN w:val="0"/>
        <w:adjustRightInd w:val="0"/>
        <w:spacing w:line="240" w:lineRule="auto"/>
        <w:jc w:val="both"/>
        <w:rPr>
          <w:noProof/>
          <w:szCs w:val="22"/>
          <w:u w:val="single"/>
          <w:lang w:val="sr-Latn-ME"/>
        </w:rPr>
      </w:pPr>
    </w:p>
    <w:p w14:paraId="46861C6B" w14:textId="1BA91F6F" w:rsidR="00BF6CA0" w:rsidRPr="00B74B0F" w:rsidRDefault="00BF6CA0" w:rsidP="00A30C3C">
      <w:pPr>
        <w:keepNext/>
        <w:tabs>
          <w:tab w:val="clear" w:pos="567"/>
        </w:tabs>
        <w:autoSpaceDE w:val="0"/>
        <w:autoSpaceDN w:val="0"/>
        <w:adjustRightInd w:val="0"/>
        <w:spacing w:line="240" w:lineRule="auto"/>
        <w:jc w:val="both"/>
        <w:rPr>
          <w:szCs w:val="22"/>
          <w:lang w:val="sr-Latn-ME"/>
        </w:rPr>
      </w:pPr>
      <w:r w:rsidRPr="00B74B0F">
        <w:rPr>
          <w:noProof/>
          <w:szCs w:val="22"/>
          <w:lang w:val="sr-Latn-ME"/>
        </w:rPr>
        <w:t xml:space="preserve">U placebom kontrolisanim ispitivanjima indukcijskog liječenja u trajanju do 12 sedmica, smanjenje koncentracije hemoglobina ispod 8 g/dl u najmanje jednom mjerenju zabilježeno je kod 2,7% </w:t>
      </w:r>
      <w:r w:rsidR="00361832" w:rsidRPr="00B74B0F">
        <w:rPr>
          <w:noProof/>
          <w:szCs w:val="22"/>
          <w:lang w:val="sr-Latn-ME"/>
        </w:rPr>
        <w:t xml:space="preserve">pacijenata </w:t>
      </w:r>
      <w:r w:rsidRPr="00B74B0F">
        <w:rPr>
          <w:noProof/>
          <w:szCs w:val="22"/>
          <w:lang w:val="sr-Latn-ME"/>
        </w:rPr>
        <w:t xml:space="preserve">u grupi liječenoj upadacitinibom u dozi od 45 mg i 1,4% </w:t>
      </w:r>
      <w:r w:rsidR="00361832" w:rsidRPr="00B74B0F">
        <w:rPr>
          <w:noProof/>
          <w:szCs w:val="22"/>
          <w:lang w:val="sr-Latn-ME"/>
        </w:rPr>
        <w:t xml:space="preserve">pacijenata </w:t>
      </w:r>
      <w:r w:rsidRPr="00B74B0F">
        <w:rPr>
          <w:noProof/>
          <w:szCs w:val="22"/>
          <w:lang w:val="sr-Latn-ME"/>
        </w:rPr>
        <w:t xml:space="preserve">u grupi koja je primala placebo. U placebom kontrolisanom ispitivanju terapije održavanja u trajanju do 52 sedmice, smanjenje koncentracije hemoglobina ispod 8 g/dl u najmanje jednom mjerenju zabilježeno je </w:t>
      </w:r>
      <w:r w:rsidR="00361832" w:rsidRPr="00B74B0F">
        <w:rPr>
          <w:noProof/>
          <w:szCs w:val="22"/>
          <w:lang w:val="sr-Latn-ME"/>
        </w:rPr>
        <w:t>kod</w:t>
      </w:r>
      <w:r w:rsidRPr="00B74B0F">
        <w:rPr>
          <w:noProof/>
          <w:szCs w:val="22"/>
          <w:lang w:val="sr-Latn-ME"/>
        </w:rPr>
        <w:t xml:space="preserve"> 1,4% odnosno 4,4% </w:t>
      </w:r>
      <w:r w:rsidR="00361832" w:rsidRPr="00B74B0F">
        <w:rPr>
          <w:noProof/>
          <w:szCs w:val="22"/>
          <w:lang w:val="sr-Latn-ME"/>
        </w:rPr>
        <w:t xml:space="preserve">pacijenata </w:t>
      </w:r>
      <w:r w:rsidRPr="00B74B0F">
        <w:rPr>
          <w:noProof/>
          <w:szCs w:val="22"/>
          <w:lang w:val="sr-Latn-ME"/>
        </w:rPr>
        <w:t>u grupama liječenim upadacitinibom u dozi od 15 mg odnosno 30 mg i 2,8% bolesnika u grupi koja je primala placebo. U kliničkim ispitivanjima liječenje je prekinuto kad je zabilježena vrijednost Hb &lt; 8g/dl (vidjeti dio 4.2). Za vrijeme liječenja upadacitinibom ni</w:t>
      </w:r>
      <w:r w:rsidR="00361832" w:rsidRPr="00B74B0F">
        <w:rPr>
          <w:noProof/>
          <w:szCs w:val="22"/>
          <w:lang w:val="sr-Latn-ME"/>
        </w:rPr>
        <w:t>je</w:t>
      </w:r>
      <w:r w:rsidRPr="00B74B0F">
        <w:rPr>
          <w:noProof/>
          <w:szCs w:val="22"/>
          <w:lang w:val="sr-Latn-ME"/>
        </w:rPr>
        <w:t>su primjećene značajne promjene srednje vrijednosti koncentracije hemoglobina tokom vremena.</w:t>
      </w:r>
    </w:p>
    <w:p w14:paraId="45CB43F5" w14:textId="77777777" w:rsidR="00BF6CA0" w:rsidRPr="00B74B0F" w:rsidRDefault="00BF6CA0">
      <w:pPr>
        <w:tabs>
          <w:tab w:val="clear" w:pos="567"/>
        </w:tabs>
        <w:autoSpaceDE w:val="0"/>
        <w:autoSpaceDN w:val="0"/>
        <w:adjustRightInd w:val="0"/>
        <w:spacing w:line="240" w:lineRule="auto"/>
        <w:jc w:val="both"/>
        <w:rPr>
          <w:szCs w:val="22"/>
          <w:u w:val="single"/>
          <w:lang w:val="sr-Latn-ME"/>
        </w:rPr>
      </w:pPr>
    </w:p>
    <w:p w14:paraId="759881A5" w14:textId="77777777" w:rsidR="00812AD4" w:rsidRPr="00B74B0F" w:rsidRDefault="00812AD4">
      <w:pPr>
        <w:tabs>
          <w:tab w:val="clear" w:pos="567"/>
        </w:tabs>
        <w:autoSpaceDE w:val="0"/>
        <w:autoSpaceDN w:val="0"/>
        <w:adjustRightInd w:val="0"/>
        <w:spacing w:line="240" w:lineRule="auto"/>
        <w:jc w:val="both"/>
        <w:rPr>
          <w:noProof/>
          <w:szCs w:val="22"/>
          <w:u w:val="single"/>
          <w:lang w:val="sr-Latn-ME"/>
        </w:rPr>
      </w:pPr>
      <w:r w:rsidRPr="00B74B0F">
        <w:rPr>
          <w:noProof/>
          <w:szCs w:val="22"/>
          <w:u w:val="single"/>
          <w:lang w:val="sr-Latn-ME"/>
        </w:rPr>
        <w:t>Starije osobe</w:t>
      </w:r>
    </w:p>
    <w:p w14:paraId="76B293EB" w14:textId="77777777" w:rsidR="00812AD4" w:rsidRPr="00B74B0F" w:rsidRDefault="00812AD4">
      <w:pPr>
        <w:tabs>
          <w:tab w:val="clear" w:pos="567"/>
        </w:tabs>
        <w:autoSpaceDE w:val="0"/>
        <w:autoSpaceDN w:val="0"/>
        <w:adjustRightInd w:val="0"/>
        <w:spacing w:line="240" w:lineRule="auto"/>
        <w:jc w:val="both"/>
        <w:rPr>
          <w:noProof/>
          <w:szCs w:val="22"/>
          <w:lang w:val="sr-Latn-ME"/>
        </w:rPr>
      </w:pPr>
    </w:p>
    <w:p w14:paraId="3BE19DAD" w14:textId="6AB0F7E7" w:rsidR="00812AD4" w:rsidRPr="00B74B0F" w:rsidRDefault="00812AD4">
      <w:pPr>
        <w:tabs>
          <w:tab w:val="clear" w:pos="567"/>
        </w:tabs>
        <w:autoSpaceDE w:val="0"/>
        <w:autoSpaceDN w:val="0"/>
        <w:adjustRightInd w:val="0"/>
        <w:spacing w:line="240" w:lineRule="auto"/>
        <w:jc w:val="both"/>
        <w:rPr>
          <w:noProof/>
          <w:szCs w:val="22"/>
          <w:lang w:val="sr-Latn-ME"/>
        </w:rPr>
      </w:pPr>
      <w:r w:rsidRPr="00B74B0F">
        <w:rPr>
          <w:noProof/>
          <w:szCs w:val="22"/>
          <w:lang w:val="sr-Latn-ME"/>
        </w:rPr>
        <w:t xml:space="preserve">Na temelju ograničenih podataka o </w:t>
      </w:r>
      <w:r w:rsidR="00181042" w:rsidRPr="00B74B0F">
        <w:rPr>
          <w:noProof/>
          <w:szCs w:val="22"/>
          <w:lang w:val="sr-Latn-ME"/>
        </w:rPr>
        <w:t>pacijenti</w:t>
      </w:r>
      <w:r w:rsidRPr="00B74B0F">
        <w:rPr>
          <w:noProof/>
          <w:szCs w:val="22"/>
          <w:lang w:val="sr-Latn-ME"/>
        </w:rPr>
        <w:t>ma s</w:t>
      </w:r>
      <w:r w:rsidR="000E7C02" w:rsidRPr="00B74B0F">
        <w:rPr>
          <w:noProof/>
          <w:szCs w:val="22"/>
          <w:lang w:val="sr-Latn-ME"/>
        </w:rPr>
        <w:t>a</w:t>
      </w:r>
      <w:r w:rsidRPr="00B74B0F">
        <w:rPr>
          <w:noProof/>
          <w:szCs w:val="22"/>
          <w:lang w:val="sr-Latn-ME"/>
        </w:rPr>
        <w:t xml:space="preserve"> atopijskim dermatitisom </w:t>
      </w:r>
      <w:r w:rsidR="000B541A" w:rsidRPr="00B74B0F">
        <w:rPr>
          <w:noProof/>
          <w:szCs w:val="22"/>
          <w:lang w:val="sr-Latn-ME"/>
        </w:rPr>
        <w:t>starosti</w:t>
      </w:r>
      <w:r w:rsidRPr="00B74B0F">
        <w:rPr>
          <w:noProof/>
          <w:szCs w:val="22"/>
          <w:lang w:val="sr-Latn-ME"/>
        </w:rPr>
        <w:t xml:space="preserve"> od 65 godina i više, zabilježena je veća stopa ukupnih </w:t>
      </w:r>
      <w:r w:rsidR="000B541A" w:rsidRPr="00B74B0F">
        <w:rPr>
          <w:noProof/>
          <w:szCs w:val="22"/>
          <w:lang w:val="sr-Latn-ME"/>
        </w:rPr>
        <w:t xml:space="preserve">neželjenih dejstava </w:t>
      </w:r>
      <w:r w:rsidRPr="00B74B0F">
        <w:rPr>
          <w:noProof/>
          <w:szCs w:val="22"/>
          <w:lang w:val="sr-Latn-ME"/>
        </w:rPr>
        <w:t>upadacitiniba u dozi od 30 mg u odnosu na dozu od 15 mg.</w:t>
      </w:r>
    </w:p>
    <w:bookmarkEnd w:id="2"/>
    <w:bookmarkEnd w:id="3"/>
    <w:p w14:paraId="596AC0B3" w14:textId="77777777" w:rsidR="00812AD4" w:rsidRPr="00B74B0F" w:rsidRDefault="00812AD4">
      <w:pPr>
        <w:tabs>
          <w:tab w:val="clear" w:pos="567"/>
        </w:tabs>
        <w:autoSpaceDE w:val="0"/>
        <w:autoSpaceDN w:val="0"/>
        <w:adjustRightInd w:val="0"/>
        <w:spacing w:line="240" w:lineRule="auto"/>
        <w:jc w:val="both"/>
        <w:rPr>
          <w:i/>
          <w:noProof/>
          <w:szCs w:val="22"/>
          <w:lang w:val="sr-Latn-ME"/>
        </w:rPr>
      </w:pPr>
    </w:p>
    <w:p w14:paraId="6F6F7E79" w14:textId="29E181D3" w:rsidR="00812AD4" w:rsidRPr="00B74B0F" w:rsidRDefault="00812AD4">
      <w:pPr>
        <w:tabs>
          <w:tab w:val="clear" w:pos="567"/>
        </w:tabs>
        <w:autoSpaceDE w:val="0"/>
        <w:autoSpaceDN w:val="0"/>
        <w:adjustRightInd w:val="0"/>
        <w:spacing w:line="240" w:lineRule="auto"/>
        <w:jc w:val="both"/>
        <w:rPr>
          <w:rFonts w:eastAsia="Malgun Gothic"/>
          <w:kern w:val="24"/>
          <w:szCs w:val="22"/>
          <w:lang w:val="sr-Latn-ME"/>
        </w:rPr>
      </w:pPr>
      <w:r w:rsidRPr="00B74B0F">
        <w:rPr>
          <w:szCs w:val="22"/>
          <w:lang w:val="sr-Latn-ME"/>
        </w:rPr>
        <w:t xml:space="preserve">Na </w:t>
      </w:r>
      <w:r w:rsidR="000E7C02" w:rsidRPr="00B74B0F">
        <w:rPr>
          <w:szCs w:val="22"/>
          <w:lang w:val="sr-Latn-ME"/>
        </w:rPr>
        <w:t>osnovu</w:t>
      </w:r>
      <w:r w:rsidRPr="00B74B0F">
        <w:rPr>
          <w:szCs w:val="22"/>
          <w:lang w:val="sr-Latn-ME"/>
        </w:rPr>
        <w:t xml:space="preserve"> ograničenih podataka o </w:t>
      </w:r>
      <w:r w:rsidR="00181042" w:rsidRPr="00B74B0F">
        <w:rPr>
          <w:szCs w:val="22"/>
          <w:lang w:val="sr-Latn-ME"/>
        </w:rPr>
        <w:t>pacijenti</w:t>
      </w:r>
      <w:r w:rsidRPr="00B74B0F">
        <w:rPr>
          <w:szCs w:val="22"/>
          <w:lang w:val="sr-Latn-ME"/>
        </w:rPr>
        <w:t>ma s</w:t>
      </w:r>
      <w:r w:rsidR="000E7C02" w:rsidRPr="00B74B0F">
        <w:rPr>
          <w:szCs w:val="22"/>
          <w:lang w:val="sr-Latn-ME"/>
        </w:rPr>
        <w:t>a</w:t>
      </w:r>
      <w:r w:rsidRPr="00B74B0F">
        <w:rPr>
          <w:szCs w:val="22"/>
          <w:lang w:val="sr-Latn-ME"/>
        </w:rPr>
        <w:t xml:space="preserve"> ulceroznim kolitisom </w:t>
      </w:r>
      <w:r w:rsidR="003714BD" w:rsidRPr="00B74B0F">
        <w:rPr>
          <w:szCs w:val="22"/>
          <w:lang w:val="sr-Latn-ME"/>
        </w:rPr>
        <w:t xml:space="preserve">i </w:t>
      </w:r>
      <w:r w:rsidR="00361832" w:rsidRPr="00B74B0F">
        <w:rPr>
          <w:szCs w:val="22"/>
          <w:lang w:val="sr-Latn-ME"/>
        </w:rPr>
        <w:t>K</w:t>
      </w:r>
      <w:r w:rsidR="003714BD" w:rsidRPr="00B74B0F">
        <w:rPr>
          <w:szCs w:val="22"/>
          <w:lang w:val="sr-Latn-ME"/>
        </w:rPr>
        <w:t xml:space="preserve">ronovom bolešću </w:t>
      </w:r>
      <w:r w:rsidRPr="00B74B0F">
        <w:rPr>
          <w:szCs w:val="22"/>
          <w:lang w:val="sr-Latn-ME"/>
        </w:rPr>
        <w:t xml:space="preserve">u dobi od </w:t>
      </w:r>
      <w:r w:rsidRPr="00B74B0F">
        <w:rPr>
          <w:rFonts w:eastAsia="Malgun Gothic"/>
          <w:kern w:val="24"/>
          <w:szCs w:val="22"/>
          <w:lang w:val="sr-Latn-ME"/>
        </w:rPr>
        <w:t xml:space="preserve">65 godina i više, zabilježena je veća stopa ukupnih </w:t>
      </w:r>
      <w:r w:rsidR="000B541A" w:rsidRPr="00B74B0F">
        <w:rPr>
          <w:rFonts w:eastAsia="Malgun Gothic"/>
          <w:kern w:val="24"/>
          <w:szCs w:val="22"/>
          <w:lang w:val="sr-Latn-ME"/>
        </w:rPr>
        <w:t xml:space="preserve">neželjenih dejstava </w:t>
      </w:r>
      <w:r w:rsidRPr="00B74B0F">
        <w:rPr>
          <w:rFonts w:eastAsia="Malgun Gothic"/>
          <w:kern w:val="24"/>
          <w:szCs w:val="22"/>
          <w:lang w:val="sr-Latn-ME"/>
        </w:rPr>
        <w:t>upadacitiniba u dozi od 30 mg u odnosu na dozu od 15 mg na terapiji održavanja (vidjeti dio 4.4).</w:t>
      </w:r>
    </w:p>
    <w:p w14:paraId="2353D3EE" w14:textId="77777777" w:rsidR="00812AD4" w:rsidRPr="00B74B0F" w:rsidRDefault="00812AD4">
      <w:pPr>
        <w:keepNext/>
        <w:tabs>
          <w:tab w:val="clear" w:pos="567"/>
        </w:tabs>
        <w:autoSpaceDE w:val="0"/>
        <w:autoSpaceDN w:val="0"/>
        <w:adjustRightInd w:val="0"/>
        <w:spacing w:line="240" w:lineRule="auto"/>
        <w:jc w:val="both"/>
        <w:rPr>
          <w:rFonts w:eastAsia="SimSun"/>
          <w:color w:val="000000"/>
          <w:szCs w:val="22"/>
          <w:u w:val="single"/>
          <w:lang w:val="sr-Latn-ME" w:eastAsia="hr-HR"/>
        </w:rPr>
      </w:pPr>
    </w:p>
    <w:p w14:paraId="61F6218F" w14:textId="77777777" w:rsidR="00812AD4" w:rsidRPr="00B74B0F" w:rsidRDefault="00812AD4">
      <w:pPr>
        <w:keepNext/>
        <w:tabs>
          <w:tab w:val="clear" w:pos="567"/>
        </w:tabs>
        <w:autoSpaceDE w:val="0"/>
        <w:autoSpaceDN w:val="0"/>
        <w:adjustRightInd w:val="0"/>
        <w:spacing w:line="240" w:lineRule="auto"/>
        <w:jc w:val="both"/>
        <w:rPr>
          <w:rFonts w:eastAsia="SimSun"/>
          <w:noProof/>
          <w:color w:val="000000"/>
          <w:szCs w:val="22"/>
          <w:u w:val="single"/>
          <w:lang w:val="sr-Latn-ME" w:eastAsia="hr-HR"/>
        </w:rPr>
      </w:pPr>
      <w:r w:rsidRPr="00B74B0F">
        <w:rPr>
          <w:rFonts w:eastAsia="SimSun"/>
          <w:noProof/>
          <w:color w:val="000000"/>
          <w:szCs w:val="22"/>
          <w:u w:val="single"/>
          <w:lang w:val="sr-Latn-ME" w:eastAsia="hr-HR"/>
        </w:rPr>
        <w:t xml:space="preserve">Pedijatrijska populacija </w:t>
      </w:r>
    </w:p>
    <w:p w14:paraId="3A724B75" w14:textId="77777777" w:rsidR="00812AD4" w:rsidRPr="00B74B0F" w:rsidRDefault="00812AD4">
      <w:pPr>
        <w:keepNext/>
        <w:tabs>
          <w:tab w:val="clear" w:pos="567"/>
        </w:tabs>
        <w:autoSpaceDE w:val="0"/>
        <w:autoSpaceDN w:val="0"/>
        <w:adjustRightInd w:val="0"/>
        <w:spacing w:line="240" w:lineRule="auto"/>
        <w:jc w:val="both"/>
        <w:rPr>
          <w:rFonts w:eastAsia="SimSun"/>
          <w:noProof/>
          <w:color w:val="000000"/>
          <w:szCs w:val="22"/>
          <w:lang w:val="sr-Latn-ME" w:eastAsia="hr-HR"/>
        </w:rPr>
      </w:pPr>
    </w:p>
    <w:p w14:paraId="210AF4C8" w14:textId="50C73831" w:rsidR="00812AD4" w:rsidRPr="00B74B0F" w:rsidRDefault="00812AD4">
      <w:pPr>
        <w:tabs>
          <w:tab w:val="clear" w:pos="567"/>
        </w:tabs>
        <w:autoSpaceDE w:val="0"/>
        <w:autoSpaceDN w:val="0"/>
        <w:adjustRightInd w:val="0"/>
        <w:spacing w:line="240" w:lineRule="auto"/>
        <w:jc w:val="both"/>
        <w:rPr>
          <w:szCs w:val="22"/>
          <w:lang w:val="sr-Latn-ME"/>
        </w:rPr>
      </w:pPr>
      <w:r w:rsidRPr="00B74B0F">
        <w:rPr>
          <w:rFonts w:eastAsia="SimSun"/>
          <w:noProof/>
          <w:color w:val="000000"/>
          <w:szCs w:val="22"/>
          <w:lang w:val="sr-Latn-ME" w:eastAsia="hr-HR"/>
        </w:rPr>
        <w:t xml:space="preserve">Ukupno </w:t>
      </w:r>
      <w:r w:rsidR="00FE2039">
        <w:rPr>
          <w:rFonts w:eastAsia="SimSun"/>
          <w:noProof/>
          <w:color w:val="000000"/>
          <w:szCs w:val="22"/>
          <w:lang w:val="sr-Latn-ME" w:eastAsia="hr-HR"/>
        </w:rPr>
        <w:t>je</w:t>
      </w:r>
      <w:r w:rsidR="00FE2039" w:rsidRPr="00B74B0F">
        <w:rPr>
          <w:rFonts w:eastAsia="SimSun"/>
          <w:noProof/>
          <w:color w:val="000000"/>
          <w:szCs w:val="22"/>
          <w:lang w:val="sr-Latn-ME" w:eastAsia="hr-HR"/>
        </w:rPr>
        <w:t xml:space="preserve"> </w:t>
      </w:r>
      <w:r w:rsidR="00FE2039">
        <w:rPr>
          <w:rFonts w:eastAsia="SimSun"/>
          <w:noProof/>
          <w:color w:val="000000"/>
          <w:szCs w:val="22"/>
          <w:lang w:val="sr-Latn-ME" w:eastAsia="hr-HR"/>
        </w:rPr>
        <w:t>541</w:t>
      </w:r>
      <w:r w:rsidR="00FE2039" w:rsidRPr="00B74B0F">
        <w:rPr>
          <w:rFonts w:eastAsia="SimSun"/>
          <w:noProof/>
          <w:color w:val="000000"/>
          <w:szCs w:val="22"/>
          <w:lang w:val="sr-Latn-ME" w:eastAsia="hr-HR"/>
        </w:rPr>
        <w:t> </w:t>
      </w:r>
      <w:r w:rsidRPr="00B74B0F">
        <w:rPr>
          <w:rFonts w:eastAsia="SimSun"/>
          <w:noProof/>
          <w:color w:val="000000"/>
          <w:szCs w:val="22"/>
          <w:lang w:val="sr-Latn-ME" w:eastAsia="hr-HR"/>
        </w:rPr>
        <w:t>adolescent u dobi od 12 do 17 godina s</w:t>
      </w:r>
      <w:r w:rsidR="00FE2039">
        <w:rPr>
          <w:rFonts w:eastAsia="SimSun"/>
          <w:noProof/>
          <w:color w:val="000000"/>
          <w:szCs w:val="22"/>
          <w:lang w:val="sr-Latn-ME" w:eastAsia="hr-HR"/>
        </w:rPr>
        <w:t>a</w:t>
      </w:r>
      <w:r w:rsidRPr="00B74B0F">
        <w:rPr>
          <w:rFonts w:eastAsia="SimSun"/>
          <w:noProof/>
          <w:color w:val="000000"/>
          <w:szCs w:val="22"/>
          <w:lang w:val="sr-Latn-ME" w:eastAsia="hr-HR"/>
        </w:rPr>
        <w:t xml:space="preserve"> atopijskim dermatitisom liječen u </w:t>
      </w:r>
      <w:r w:rsidR="00FE2039">
        <w:rPr>
          <w:rFonts w:eastAsia="SimSun"/>
          <w:noProof/>
          <w:color w:val="000000"/>
          <w:szCs w:val="22"/>
          <w:lang w:val="sr-Latn-ME" w:eastAsia="hr-HR"/>
        </w:rPr>
        <w:t xml:space="preserve">globalnim  </w:t>
      </w:r>
      <w:r w:rsidR="00084A62">
        <w:rPr>
          <w:rFonts w:eastAsia="SimSun"/>
          <w:noProof/>
          <w:color w:val="000000"/>
          <w:szCs w:val="22"/>
          <w:lang w:val="sr-Latn-ME" w:eastAsia="hr-HR"/>
        </w:rPr>
        <w:t>studijama</w:t>
      </w:r>
      <w:r w:rsidR="00084A62" w:rsidRPr="00B74B0F">
        <w:rPr>
          <w:rFonts w:eastAsia="SimSun"/>
          <w:noProof/>
          <w:color w:val="000000"/>
          <w:szCs w:val="22"/>
          <w:lang w:val="sr-Latn-ME" w:eastAsia="hr-HR"/>
        </w:rPr>
        <w:t xml:space="preserve"> </w:t>
      </w:r>
      <w:r w:rsidRPr="00B74B0F">
        <w:rPr>
          <w:rFonts w:eastAsia="SimSun"/>
          <w:noProof/>
          <w:color w:val="000000"/>
          <w:szCs w:val="22"/>
          <w:lang w:val="sr-Latn-ME" w:eastAsia="hr-HR"/>
        </w:rPr>
        <w:t>faze 3</w:t>
      </w:r>
      <w:r w:rsidR="00FE2039">
        <w:rPr>
          <w:rFonts w:eastAsia="SimSun"/>
          <w:noProof/>
          <w:color w:val="000000"/>
          <w:szCs w:val="22"/>
          <w:lang w:val="sr-Latn-ME" w:eastAsia="hr-HR"/>
        </w:rPr>
        <w:t xml:space="preserve"> (n=343) i dopunskim podstudijama </w:t>
      </w:r>
      <w:r w:rsidR="00084A62">
        <w:rPr>
          <w:rFonts w:eastAsia="SimSun"/>
          <w:noProof/>
          <w:color w:val="000000"/>
          <w:szCs w:val="22"/>
          <w:lang w:val="sr-Latn-ME" w:eastAsia="hr-HR"/>
        </w:rPr>
        <w:t xml:space="preserve">kod adolescenata </w:t>
      </w:r>
      <w:r w:rsidR="00FE2039">
        <w:rPr>
          <w:rFonts w:eastAsia="SimSun"/>
          <w:noProof/>
          <w:color w:val="000000"/>
          <w:szCs w:val="22"/>
          <w:lang w:val="sr-Latn-ME" w:eastAsia="hr-HR"/>
        </w:rPr>
        <w:t>(n=198)</w:t>
      </w:r>
      <w:r w:rsidRPr="00B74B0F">
        <w:rPr>
          <w:rFonts w:eastAsia="SimSun"/>
          <w:noProof/>
          <w:color w:val="000000"/>
          <w:szCs w:val="22"/>
          <w:lang w:val="sr-Latn-ME" w:eastAsia="hr-HR"/>
        </w:rPr>
        <w:t xml:space="preserve">, od kojih je </w:t>
      </w:r>
      <w:r w:rsidR="00FE2039">
        <w:rPr>
          <w:rFonts w:eastAsia="SimSun"/>
          <w:noProof/>
          <w:color w:val="000000"/>
          <w:szCs w:val="22"/>
          <w:lang w:val="sr-Latn-ME" w:eastAsia="hr-HR"/>
        </w:rPr>
        <w:t xml:space="preserve">264 </w:t>
      </w:r>
      <w:r w:rsidRPr="00B74B0F">
        <w:rPr>
          <w:rFonts w:eastAsia="SimSun"/>
          <w:noProof/>
          <w:color w:val="000000"/>
          <w:szCs w:val="22"/>
          <w:lang w:val="sr-Latn-ME" w:eastAsia="hr-HR"/>
        </w:rPr>
        <w:t>primalo dozu od 15 mg</w:t>
      </w:r>
      <w:r w:rsidR="00FE2039">
        <w:rPr>
          <w:rFonts w:eastAsia="SimSun"/>
          <w:noProof/>
          <w:color w:val="000000"/>
          <w:szCs w:val="22"/>
          <w:lang w:val="sr-Latn-ME" w:eastAsia="hr-HR"/>
        </w:rPr>
        <w:t>, a 265 je primalo dozu od 30 mg</w:t>
      </w:r>
      <w:r w:rsidRPr="00B74B0F">
        <w:rPr>
          <w:rFonts w:eastAsia="SimSun"/>
          <w:noProof/>
          <w:color w:val="000000"/>
          <w:szCs w:val="22"/>
          <w:lang w:val="sr-Latn-ME" w:eastAsia="hr-HR"/>
        </w:rPr>
        <w:t xml:space="preserve">. </w:t>
      </w:r>
      <w:r w:rsidR="00654240" w:rsidRPr="00B74B0F">
        <w:rPr>
          <w:rFonts w:eastAsia="SimSun"/>
          <w:noProof/>
          <w:color w:val="000000"/>
          <w:szCs w:val="22"/>
          <w:lang w:val="sr-Latn-ME" w:eastAsia="hr-HR"/>
        </w:rPr>
        <w:t xml:space="preserve">Bezbjednosni </w:t>
      </w:r>
      <w:r w:rsidRPr="00B74B0F">
        <w:rPr>
          <w:rFonts w:eastAsia="SimSun"/>
          <w:noProof/>
          <w:color w:val="000000"/>
          <w:szCs w:val="22"/>
          <w:lang w:val="sr-Latn-ME" w:eastAsia="hr-HR"/>
        </w:rPr>
        <w:t xml:space="preserve">profil za upadacitinib u dozi od 15 mg </w:t>
      </w:r>
      <w:r w:rsidR="00FE2039">
        <w:rPr>
          <w:rFonts w:eastAsia="SimSun"/>
          <w:noProof/>
          <w:color w:val="000000"/>
          <w:szCs w:val="22"/>
          <w:lang w:val="sr-Latn-ME" w:eastAsia="hr-HR"/>
        </w:rPr>
        <w:t xml:space="preserve">i 30 mg </w:t>
      </w:r>
      <w:r w:rsidR="00654240" w:rsidRPr="00B74B0F">
        <w:rPr>
          <w:rFonts w:eastAsia="SimSun"/>
          <w:noProof/>
          <w:color w:val="000000"/>
          <w:szCs w:val="22"/>
          <w:lang w:val="sr-Latn-ME" w:eastAsia="hr-HR"/>
        </w:rPr>
        <w:t>kod</w:t>
      </w:r>
      <w:r w:rsidRPr="00B74B0F">
        <w:rPr>
          <w:rFonts w:eastAsia="SimSun"/>
          <w:noProof/>
          <w:color w:val="000000"/>
          <w:szCs w:val="22"/>
          <w:lang w:val="sr-Latn-ME" w:eastAsia="hr-HR"/>
        </w:rPr>
        <w:t xml:space="preserve"> adolescenata bio je sličan </w:t>
      </w:r>
      <w:r w:rsidR="00FE2039">
        <w:rPr>
          <w:rFonts w:eastAsia="SimSun"/>
          <w:noProof/>
          <w:color w:val="000000"/>
          <w:szCs w:val="22"/>
          <w:lang w:eastAsia="hr-HR"/>
        </w:rPr>
        <w:t>bezbjednosnom</w:t>
      </w:r>
      <w:r w:rsidR="00FE2039" w:rsidRPr="000D2E21">
        <w:rPr>
          <w:rFonts w:eastAsia="SimSun"/>
          <w:noProof/>
          <w:color w:val="000000"/>
          <w:szCs w:val="22"/>
          <w:lang w:eastAsia="hr-HR"/>
        </w:rPr>
        <w:t xml:space="preserve"> </w:t>
      </w:r>
      <w:r w:rsidRPr="00B74B0F">
        <w:rPr>
          <w:rFonts w:eastAsia="SimSun"/>
          <w:noProof/>
          <w:color w:val="000000"/>
          <w:szCs w:val="22"/>
          <w:lang w:val="sr-Latn-ME" w:eastAsia="hr-HR"/>
        </w:rPr>
        <w:t xml:space="preserve">profilu zabilježenom </w:t>
      </w:r>
      <w:r w:rsidR="00654240" w:rsidRPr="00B74B0F">
        <w:rPr>
          <w:rFonts w:eastAsia="SimSun"/>
          <w:noProof/>
          <w:color w:val="000000"/>
          <w:szCs w:val="22"/>
          <w:lang w:val="sr-Latn-ME" w:eastAsia="hr-HR"/>
        </w:rPr>
        <w:t>kod</w:t>
      </w:r>
      <w:r w:rsidRPr="00B74B0F">
        <w:rPr>
          <w:rFonts w:eastAsia="SimSun"/>
          <w:noProof/>
          <w:color w:val="000000"/>
          <w:szCs w:val="22"/>
          <w:lang w:val="sr-Latn-ME" w:eastAsia="hr-HR"/>
        </w:rPr>
        <w:t xml:space="preserve"> odraslih. </w:t>
      </w:r>
      <w:r w:rsidR="00FE2039">
        <w:rPr>
          <w:rFonts w:eastAsia="SimSun"/>
          <w:noProof/>
          <w:color w:val="000000"/>
          <w:szCs w:val="22"/>
          <w:lang w:eastAsia="hr-HR"/>
        </w:rPr>
        <w:t>Kod dugotrajne izloženosti, neželjeno dejstvo kožnih papiloma zabilježeno je kod 3,4% odnosno kod 6,8% adolescenata s</w:t>
      </w:r>
      <w:r w:rsidR="00084A62">
        <w:rPr>
          <w:rFonts w:eastAsia="SimSun"/>
          <w:noProof/>
          <w:color w:val="000000"/>
          <w:szCs w:val="22"/>
          <w:lang w:eastAsia="hr-HR"/>
        </w:rPr>
        <w:t>a</w:t>
      </w:r>
      <w:r w:rsidR="00FE2039">
        <w:rPr>
          <w:rFonts w:eastAsia="SimSun"/>
          <w:noProof/>
          <w:color w:val="000000"/>
          <w:szCs w:val="22"/>
          <w:lang w:eastAsia="hr-HR"/>
        </w:rPr>
        <w:t xml:space="preserve"> atopijskim dermatitisom u grupi koja je primala upadacitinib od 15 mg odnosno 30 mg.</w:t>
      </w:r>
    </w:p>
    <w:p w14:paraId="51C657B8" w14:textId="77777777" w:rsidR="0088406F" w:rsidRPr="00B74B0F" w:rsidRDefault="0088406F">
      <w:pPr>
        <w:autoSpaceDE w:val="0"/>
        <w:autoSpaceDN w:val="0"/>
        <w:adjustRightInd w:val="0"/>
        <w:spacing w:line="240" w:lineRule="auto"/>
        <w:contextualSpacing/>
        <w:jc w:val="both"/>
        <w:rPr>
          <w:szCs w:val="22"/>
          <w:lang w:val="sr-Latn-ME"/>
        </w:rPr>
      </w:pPr>
    </w:p>
    <w:p w14:paraId="0A4226BA" w14:textId="77777777" w:rsidR="003B1F43" w:rsidRPr="00B74B0F" w:rsidRDefault="003B1F43">
      <w:pPr>
        <w:spacing w:after="200" w:line="240" w:lineRule="auto"/>
        <w:jc w:val="both"/>
        <w:rPr>
          <w:rFonts w:eastAsia="Calibri"/>
          <w:szCs w:val="22"/>
          <w:u w:val="single"/>
          <w:lang w:val="sr-Latn-ME"/>
        </w:rPr>
      </w:pPr>
      <w:r w:rsidRPr="00B74B0F">
        <w:rPr>
          <w:rFonts w:eastAsia="Calibri"/>
          <w:szCs w:val="22"/>
          <w:u w:val="single"/>
          <w:lang w:val="sr-Latn-ME"/>
        </w:rPr>
        <w:t>Prijavljivanje sumnji na neželjena dejstva</w:t>
      </w:r>
    </w:p>
    <w:p w14:paraId="15A19183" w14:textId="77777777" w:rsidR="00AB3CE8" w:rsidRPr="00B74B0F" w:rsidRDefault="00AB3CE8">
      <w:pPr>
        <w:tabs>
          <w:tab w:val="clear" w:pos="567"/>
        </w:tabs>
        <w:spacing w:after="200" w:line="240" w:lineRule="auto"/>
        <w:jc w:val="both"/>
        <w:rPr>
          <w:rFonts w:eastAsia="Calibri"/>
          <w:szCs w:val="22"/>
          <w:lang w:val="sr-Latn-ME"/>
        </w:rPr>
      </w:pPr>
      <w:r w:rsidRPr="00B74B0F">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25811A6" w14:textId="77777777" w:rsidR="00AB3CE8" w:rsidRPr="00B74B0F" w:rsidRDefault="00AB3CE8">
      <w:pPr>
        <w:tabs>
          <w:tab w:val="clear" w:pos="567"/>
        </w:tabs>
        <w:spacing w:line="240" w:lineRule="auto"/>
        <w:jc w:val="both"/>
        <w:rPr>
          <w:rFonts w:eastAsia="Calibri"/>
          <w:szCs w:val="22"/>
          <w:lang w:val="sr-Latn-ME"/>
        </w:rPr>
      </w:pPr>
      <w:r w:rsidRPr="00B74B0F">
        <w:rPr>
          <w:rFonts w:eastAsia="Calibri"/>
          <w:szCs w:val="22"/>
          <w:lang w:val="sr-Latn-ME"/>
        </w:rPr>
        <w:t xml:space="preserve">Institut za ljekove i medicinska sredstva </w:t>
      </w:r>
    </w:p>
    <w:p w14:paraId="37A9FCF3" w14:textId="77777777" w:rsidR="00AB3CE8" w:rsidRPr="00B74B0F" w:rsidRDefault="00AB3CE8">
      <w:pPr>
        <w:tabs>
          <w:tab w:val="clear" w:pos="567"/>
        </w:tabs>
        <w:spacing w:line="240" w:lineRule="auto"/>
        <w:jc w:val="both"/>
        <w:rPr>
          <w:rFonts w:eastAsia="Calibri"/>
          <w:szCs w:val="22"/>
          <w:lang w:val="sr-Latn-ME"/>
        </w:rPr>
      </w:pPr>
      <w:r w:rsidRPr="00B74B0F">
        <w:rPr>
          <w:rFonts w:eastAsia="Calibri"/>
          <w:szCs w:val="22"/>
          <w:lang w:val="sr-Latn-ME"/>
        </w:rPr>
        <w:t>Odjeljenje za farmakovigilancu</w:t>
      </w:r>
    </w:p>
    <w:p w14:paraId="0F59C2A2" w14:textId="77777777" w:rsidR="00AB3CE8" w:rsidRPr="00B74B0F" w:rsidRDefault="00AB3CE8">
      <w:pPr>
        <w:tabs>
          <w:tab w:val="clear" w:pos="567"/>
        </w:tabs>
        <w:spacing w:line="240" w:lineRule="auto"/>
        <w:jc w:val="both"/>
        <w:rPr>
          <w:rFonts w:eastAsia="Calibri"/>
          <w:szCs w:val="22"/>
          <w:lang w:val="sr-Latn-ME"/>
        </w:rPr>
      </w:pPr>
      <w:r w:rsidRPr="00B74B0F">
        <w:rPr>
          <w:rFonts w:eastAsia="Calibri"/>
          <w:szCs w:val="22"/>
          <w:lang w:val="sr-Latn-ME"/>
        </w:rPr>
        <w:t>Bulevar Ivana Crnojevića 64a, 81000 Podgorica</w:t>
      </w:r>
    </w:p>
    <w:p w14:paraId="018C77DA" w14:textId="77777777" w:rsidR="00AB3CE8" w:rsidRPr="00B74B0F" w:rsidRDefault="00AB3CE8">
      <w:pPr>
        <w:tabs>
          <w:tab w:val="clear" w:pos="567"/>
        </w:tabs>
        <w:spacing w:line="240" w:lineRule="auto"/>
        <w:jc w:val="both"/>
        <w:rPr>
          <w:rFonts w:eastAsia="Calibri"/>
          <w:szCs w:val="22"/>
          <w:lang w:val="sr-Latn-ME"/>
        </w:rPr>
      </w:pPr>
    </w:p>
    <w:p w14:paraId="04DEA61D" w14:textId="77777777" w:rsidR="00AB3CE8" w:rsidRPr="00B74B0F" w:rsidRDefault="00AB3CE8">
      <w:pPr>
        <w:tabs>
          <w:tab w:val="clear" w:pos="567"/>
        </w:tabs>
        <w:spacing w:line="240" w:lineRule="auto"/>
        <w:jc w:val="both"/>
        <w:rPr>
          <w:rFonts w:eastAsia="Calibri"/>
          <w:szCs w:val="22"/>
          <w:lang w:val="sr-Latn-ME"/>
        </w:rPr>
      </w:pPr>
      <w:r w:rsidRPr="00B74B0F">
        <w:rPr>
          <w:rFonts w:eastAsia="Calibri"/>
          <w:szCs w:val="22"/>
          <w:lang w:val="sr-Latn-ME"/>
        </w:rPr>
        <w:t>tel: +382 (0) 20 310 280</w:t>
      </w:r>
    </w:p>
    <w:p w14:paraId="6C9757B0" w14:textId="77777777" w:rsidR="00AB3CE8" w:rsidRPr="00B74B0F" w:rsidRDefault="00AB3CE8">
      <w:pPr>
        <w:tabs>
          <w:tab w:val="clear" w:pos="567"/>
        </w:tabs>
        <w:spacing w:line="240" w:lineRule="auto"/>
        <w:jc w:val="both"/>
        <w:rPr>
          <w:rFonts w:eastAsia="Calibri"/>
          <w:szCs w:val="22"/>
          <w:lang w:val="sr-Latn-ME"/>
        </w:rPr>
      </w:pPr>
      <w:r w:rsidRPr="00B74B0F">
        <w:rPr>
          <w:rFonts w:eastAsia="Calibri"/>
          <w:szCs w:val="22"/>
          <w:lang w:val="sr-Latn-ME"/>
        </w:rPr>
        <w:t>fax: +382 (0) 20 310 581</w:t>
      </w:r>
    </w:p>
    <w:p w14:paraId="050BE646" w14:textId="77777777" w:rsidR="00AB3CE8" w:rsidRPr="00B74B0F" w:rsidRDefault="00F43397">
      <w:pPr>
        <w:tabs>
          <w:tab w:val="clear" w:pos="567"/>
        </w:tabs>
        <w:spacing w:line="240" w:lineRule="auto"/>
        <w:jc w:val="both"/>
        <w:rPr>
          <w:rFonts w:eastAsia="Calibri"/>
          <w:szCs w:val="22"/>
          <w:lang w:val="sr-Latn-ME"/>
        </w:rPr>
      </w:pPr>
      <w:hyperlink r:id="rId13" w:history="1">
        <w:r w:rsidR="00AB3CE8" w:rsidRPr="00B74B0F">
          <w:rPr>
            <w:rFonts w:eastAsia="Calibri"/>
            <w:color w:val="0563C1"/>
            <w:szCs w:val="22"/>
            <w:u w:val="single"/>
            <w:lang w:val="sr-Latn-ME"/>
          </w:rPr>
          <w:t>www.cinmed.me</w:t>
        </w:r>
      </w:hyperlink>
    </w:p>
    <w:p w14:paraId="348DABE0" w14:textId="77777777" w:rsidR="00AB3CE8" w:rsidRPr="00B74B0F" w:rsidRDefault="00F43397">
      <w:pPr>
        <w:tabs>
          <w:tab w:val="clear" w:pos="567"/>
        </w:tabs>
        <w:spacing w:line="240" w:lineRule="auto"/>
        <w:jc w:val="both"/>
        <w:rPr>
          <w:rFonts w:eastAsia="Calibri"/>
          <w:color w:val="0000FF"/>
          <w:szCs w:val="22"/>
          <w:u w:val="single"/>
          <w:lang w:val="sr-Latn-ME"/>
        </w:rPr>
      </w:pPr>
      <w:hyperlink r:id="rId14" w:history="1">
        <w:r w:rsidR="00AB3CE8" w:rsidRPr="00B74B0F">
          <w:rPr>
            <w:rFonts w:eastAsia="Calibri"/>
            <w:color w:val="0563C1"/>
            <w:szCs w:val="22"/>
            <w:u w:val="single"/>
            <w:lang w:val="sr-Latn-ME"/>
          </w:rPr>
          <w:t>nezeljenadejstva@cinmed.me</w:t>
        </w:r>
      </w:hyperlink>
    </w:p>
    <w:p w14:paraId="3A077CCD" w14:textId="77777777" w:rsidR="00AB3CE8" w:rsidRPr="00B74B0F" w:rsidRDefault="00AB3CE8">
      <w:pPr>
        <w:tabs>
          <w:tab w:val="clear" w:pos="567"/>
        </w:tabs>
        <w:spacing w:line="240" w:lineRule="auto"/>
        <w:jc w:val="both"/>
        <w:rPr>
          <w:rFonts w:eastAsia="Calibri"/>
          <w:szCs w:val="22"/>
          <w:lang w:val="sr-Latn-ME"/>
        </w:rPr>
      </w:pPr>
      <w:r w:rsidRPr="00B74B0F">
        <w:rPr>
          <w:rFonts w:eastAsia="Calibri"/>
          <w:szCs w:val="22"/>
          <w:lang w:val="sr-Latn-ME"/>
        </w:rPr>
        <w:t>putem IS zdravstvene zaštite</w:t>
      </w:r>
    </w:p>
    <w:p w14:paraId="794CF735" w14:textId="77777777" w:rsidR="00F85E22" w:rsidRPr="00B74B0F" w:rsidRDefault="00F85E22">
      <w:pPr>
        <w:tabs>
          <w:tab w:val="clear" w:pos="567"/>
        </w:tabs>
        <w:spacing w:line="240" w:lineRule="auto"/>
        <w:jc w:val="both"/>
        <w:rPr>
          <w:rFonts w:eastAsia="Calibri"/>
          <w:szCs w:val="22"/>
          <w:lang w:val="sr-Latn-ME"/>
        </w:rPr>
      </w:pPr>
    </w:p>
    <w:p w14:paraId="3F139838" w14:textId="77777777" w:rsidR="00221439" w:rsidRPr="00B74B0F" w:rsidRDefault="00221439">
      <w:pPr>
        <w:tabs>
          <w:tab w:val="clear" w:pos="567"/>
        </w:tabs>
        <w:spacing w:line="240" w:lineRule="auto"/>
        <w:jc w:val="both"/>
        <w:rPr>
          <w:rFonts w:eastAsia="Calibri"/>
          <w:szCs w:val="22"/>
          <w:lang w:val="sr-Latn-ME"/>
        </w:rPr>
      </w:pPr>
      <w:r w:rsidRPr="00B74B0F">
        <w:rPr>
          <w:rFonts w:eastAsia="Calibri"/>
          <w:szCs w:val="22"/>
          <w:lang w:val="sr-Latn-ME"/>
        </w:rPr>
        <w:t>QR kod za online prijavu sumnje na neželjeno dejstvo lijeka:</w:t>
      </w:r>
    </w:p>
    <w:p w14:paraId="5A1954F1" w14:textId="77777777" w:rsidR="00221439" w:rsidRPr="00B74B0F" w:rsidRDefault="00221439">
      <w:pPr>
        <w:tabs>
          <w:tab w:val="clear" w:pos="567"/>
        </w:tabs>
        <w:spacing w:line="240" w:lineRule="auto"/>
        <w:jc w:val="both"/>
        <w:rPr>
          <w:rFonts w:eastAsia="Calibri"/>
          <w:szCs w:val="22"/>
          <w:lang w:val="sr-Latn-ME"/>
        </w:rPr>
      </w:pPr>
    </w:p>
    <w:p w14:paraId="349FA5A2" w14:textId="7D5932FE" w:rsidR="003B1F43" w:rsidRPr="00E05A01" w:rsidRDefault="00D40D98" w:rsidP="00E05A01">
      <w:pPr>
        <w:tabs>
          <w:tab w:val="clear" w:pos="567"/>
        </w:tabs>
        <w:spacing w:line="240" w:lineRule="auto"/>
        <w:jc w:val="both"/>
        <w:rPr>
          <w:rFonts w:eastAsia="Calibri"/>
          <w:szCs w:val="22"/>
          <w:lang w:val="sr-Latn-ME"/>
        </w:rPr>
      </w:pPr>
      <w:r w:rsidRPr="00B74B0F">
        <w:rPr>
          <w:b/>
          <w:bCs/>
          <w:noProof/>
          <w:szCs w:val="22"/>
          <w:lang w:val="en-US"/>
        </w:rPr>
        <w:drawing>
          <wp:inline distT="0" distB="0" distL="0" distR="0" wp14:anchorId="1A79BEB0" wp14:editId="22E4FFBE">
            <wp:extent cx="980796" cy="972000"/>
            <wp:effectExtent l="0" t="0" r="0" b="0"/>
            <wp:docPr id="1954943196"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5"/>
                    </pic:cNvPr>
                    <pic:cNvPicPr>
                      <a:picLocks noChangeAspect="1"/>
                    </pic:cNvPicPr>
                  </pic:nvPicPr>
                  <pic:blipFill rotWithShape="1">
                    <a:blip r:embed="rId16"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32B0FD6" w14:textId="77777777"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lastRenderedPageBreak/>
        <w:t>4.9</w:t>
      </w:r>
      <w:r w:rsidRPr="00B74B0F">
        <w:rPr>
          <w:b/>
          <w:szCs w:val="22"/>
          <w:lang w:val="sr-Latn-ME"/>
        </w:rPr>
        <w:tab/>
        <w:t>Predoziranje</w:t>
      </w:r>
    </w:p>
    <w:p w14:paraId="060B615B" w14:textId="77777777" w:rsidR="00812D16" w:rsidRPr="00B74B0F" w:rsidRDefault="00812D16">
      <w:pPr>
        <w:keepNext/>
        <w:spacing w:line="240" w:lineRule="auto"/>
        <w:contextualSpacing/>
        <w:jc w:val="both"/>
        <w:rPr>
          <w:szCs w:val="22"/>
          <w:lang w:val="sr-Latn-ME"/>
        </w:rPr>
      </w:pPr>
    </w:p>
    <w:p w14:paraId="7DA2A703" w14:textId="773CC9F8" w:rsidR="00812D16" w:rsidRPr="00B74B0F" w:rsidRDefault="00906CF8">
      <w:pPr>
        <w:spacing w:line="240" w:lineRule="auto"/>
        <w:contextualSpacing/>
        <w:jc w:val="both"/>
        <w:rPr>
          <w:szCs w:val="22"/>
          <w:lang w:val="sr-Latn-ME"/>
        </w:rPr>
      </w:pPr>
      <w:r w:rsidRPr="00B74B0F">
        <w:rPr>
          <w:szCs w:val="22"/>
          <w:lang w:val="sr-Latn-ME"/>
        </w:rPr>
        <w:t>U kliničkim ispitivanjima</w:t>
      </w:r>
      <w:r w:rsidR="00A1675E" w:rsidRPr="00B74B0F">
        <w:rPr>
          <w:szCs w:val="22"/>
          <w:lang w:val="sr-Latn-ME"/>
        </w:rPr>
        <w:t xml:space="preserve"> </w:t>
      </w:r>
      <w:r w:rsidRPr="00B74B0F">
        <w:rPr>
          <w:szCs w:val="22"/>
          <w:lang w:val="sr-Latn-ME"/>
        </w:rPr>
        <w:t>upadacitinib</w:t>
      </w:r>
      <w:r w:rsidR="00B10681" w:rsidRPr="00B74B0F">
        <w:rPr>
          <w:szCs w:val="22"/>
          <w:lang w:val="sr-Latn-ME"/>
        </w:rPr>
        <w:t xml:space="preserve"> se </w:t>
      </w:r>
      <w:r w:rsidRPr="00B74B0F">
        <w:rPr>
          <w:szCs w:val="22"/>
          <w:lang w:val="sr-Latn-ME"/>
        </w:rPr>
        <w:t xml:space="preserve">primjenjivao do doza koje s obzirom na dnevni </w:t>
      </w:r>
      <w:r w:rsidR="00CB3EAC" w:rsidRPr="00B74B0F">
        <w:rPr>
          <w:szCs w:val="22"/>
          <w:lang w:val="sr-Latn-ME"/>
        </w:rPr>
        <w:t>PIK</w:t>
      </w:r>
      <w:r w:rsidRPr="00B74B0F">
        <w:rPr>
          <w:szCs w:val="22"/>
          <w:lang w:val="sr-Latn-ME"/>
        </w:rPr>
        <w:t>odgovaraju tabletama s</w:t>
      </w:r>
      <w:r w:rsidR="00B10681" w:rsidRPr="00B74B0F">
        <w:rPr>
          <w:szCs w:val="22"/>
          <w:lang w:val="sr-Latn-ME"/>
        </w:rPr>
        <w:t>a</w:t>
      </w:r>
      <w:r w:rsidRPr="00B74B0F">
        <w:rPr>
          <w:szCs w:val="22"/>
          <w:lang w:val="sr-Latn-ME"/>
        </w:rPr>
        <w:t xml:space="preserve"> produ</w:t>
      </w:r>
      <w:r w:rsidR="00A1675E" w:rsidRPr="00B74B0F">
        <w:rPr>
          <w:szCs w:val="22"/>
          <w:lang w:val="sr-Latn-ME"/>
        </w:rPr>
        <w:t>ž</w:t>
      </w:r>
      <w:r w:rsidRPr="00B74B0F">
        <w:rPr>
          <w:szCs w:val="22"/>
          <w:lang w:val="sr-Latn-ME"/>
        </w:rPr>
        <w:t>enim oslobađanjem od 60 mg pri</w:t>
      </w:r>
      <w:r w:rsidR="00066B52" w:rsidRPr="00B74B0F">
        <w:rPr>
          <w:szCs w:val="22"/>
          <w:lang w:val="sr-Latn-ME"/>
        </w:rPr>
        <w:t>m</w:t>
      </w:r>
      <w:r w:rsidR="00B10681" w:rsidRPr="00B74B0F">
        <w:rPr>
          <w:szCs w:val="22"/>
          <w:lang w:val="sr-Latn-ME"/>
        </w:rPr>
        <w:t>i</w:t>
      </w:r>
      <w:r w:rsidR="00066B52" w:rsidRPr="00B74B0F">
        <w:rPr>
          <w:szCs w:val="22"/>
          <w:lang w:val="sr-Latn-ME"/>
        </w:rPr>
        <w:t>j</w:t>
      </w:r>
      <w:r w:rsidRPr="00B74B0F">
        <w:rPr>
          <w:szCs w:val="22"/>
          <w:lang w:val="sr-Latn-ME"/>
        </w:rPr>
        <w:t>enjeni</w:t>
      </w:r>
      <w:r w:rsidR="00F21985" w:rsidRPr="00B74B0F">
        <w:rPr>
          <w:szCs w:val="22"/>
          <w:lang w:val="sr-Latn-ME"/>
        </w:rPr>
        <w:t>m</w:t>
      </w:r>
      <w:r w:rsidRPr="00B74B0F">
        <w:rPr>
          <w:szCs w:val="22"/>
          <w:lang w:val="sr-Latn-ME"/>
        </w:rPr>
        <w:t xml:space="preserve"> jed</w:t>
      </w:r>
      <w:r w:rsidR="00843692" w:rsidRPr="00B74B0F">
        <w:rPr>
          <w:szCs w:val="22"/>
          <w:lang w:val="sr-Latn-ME"/>
        </w:rPr>
        <w:t>nom dnevno</w:t>
      </w:r>
      <w:r w:rsidRPr="00B74B0F">
        <w:rPr>
          <w:szCs w:val="22"/>
          <w:lang w:val="sr-Latn-ME"/>
        </w:rPr>
        <w:t>. N</w:t>
      </w:r>
      <w:r w:rsidR="00B10681" w:rsidRPr="00B74B0F">
        <w:rPr>
          <w:szCs w:val="22"/>
          <w:lang w:val="sr-Latn-ME"/>
        </w:rPr>
        <w:t>eželjena dejstva</w:t>
      </w:r>
      <w:r w:rsidRPr="00B74B0F">
        <w:rPr>
          <w:szCs w:val="22"/>
          <w:lang w:val="sr-Latn-ME"/>
        </w:rPr>
        <w:t xml:space="preserve"> su bil</w:t>
      </w:r>
      <w:r w:rsidR="00B10681" w:rsidRPr="00B74B0F">
        <w:rPr>
          <w:szCs w:val="22"/>
          <w:lang w:val="sr-Latn-ME"/>
        </w:rPr>
        <w:t>a</w:t>
      </w:r>
      <w:r w:rsidRPr="00B74B0F">
        <w:rPr>
          <w:szCs w:val="22"/>
          <w:lang w:val="sr-Latn-ME"/>
        </w:rPr>
        <w:t xml:space="preserve"> uporediv</w:t>
      </w:r>
      <w:r w:rsidR="00B10681" w:rsidRPr="00B74B0F">
        <w:rPr>
          <w:szCs w:val="22"/>
          <w:lang w:val="sr-Latn-ME"/>
        </w:rPr>
        <w:t>a</w:t>
      </w:r>
      <w:r w:rsidRPr="00B74B0F">
        <w:rPr>
          <w:szCs w:val="22"/>
          <w:lang w:val="sr-Latn-ME"/>
        </w:rPr>
        <w:t xml:space="preserve"> s</w:t>
      </w:r>
      <w:r w:rsidR="00B10681" w:rsidRPr="00B74B0F">
        <w:rPr>
          <w:szCs w:val="22"/>
          <w:lang w:val="sr-Latn-ME"/>
        </w:rPr>
        <w:t>a</w:t>
      </w:r>
      <w:r w:rsidRPr="00B74B0F">
        <w:rPr>
          <w:szCs w:val="22"/>
          <w:lang w:val="sr-Latn-ME"/>
        </w:rPr>
        <w:t xml:space="preserve"> onim </w:t>
      </w:r>
      <w:r w:rsidR="00A1675E" w:rsidRPr="00B74B0F">
        <w:rPr>
          <w:szCs w:val="22"/>
          <w:lang w:val="sr-Latn-ME"/>
        </w:rPr>
        <w:t>za</w:t>
      </w:r>
      <w:r w:rsidRPr="00B74B0F">
        <w:rPr>
          <w:szCs w:val="22"/>
          <w:lang w:val="sr-Latn-ME"/>
        </w:rPr>
        <w:t xml:space="preserve">paženim </w:t>
      </w:r>
      <w:r w:rsidR="00066B52" w:rsidRPr="00B74B0F">
        <w:rPr>
          <w:szCs w:val="22"/>
          <w:lang w:val="sr-Latn-ME"/>
        </w:rPr>
        <w:t>kod</w:t>
      </w:r>
      <w:r w:rsidRPr="00B74B0F">
        <w:rPr>
          <w:szCs w:val="22"/>
          <w:lang w:val="sr-Latn-ME"/>
        </w:rPr>
        <w:t xml:space="preserve"> niži</w:t>
      </w:r>
      <w:r w:rsidR="00066B52" w:rsidRPr="00B74B0F">
        <w:rPr>
          <w:szCs w:val="22"/>
          <w:lang w:val="sr-Latn-ME"/>
        </w:rPr>
        <w:t>h</w:t>
      </w:r>
      <w:r w:rsidRPr="00B74B0F">
        <w:rPr>
          <w:szCs w:val="22"/>
          <w:lang w:val="sr-Latn-ME"/>
        </w:rPr>
        <w:t xml:space="preserve"> doza i ni</w:t>
      </w:r>
      <w:r w:rsidR="00843692" w:rsidRPr="00B74B0F">
        <w:rPr>
          <w:szCs w:val="22"/>
          <w:lang w:val="sr-Latn-ME"/>
        </w:rPr>
        <w:t>je</w:t>
      </w:r>
      <w:r w:rsidRPr="00B74B0F">
        <w:rPr>
          <w:szCs w:val="22"/>
          <w:lang w:val="sr-Latn-ME"/>
        </w:rPr>
        <w:t>su utvrđene nikakve specifične toksičnosti.</w:t>
      </w:r>
      <w:r w:rsidRPr="00B74B0F">
        <w:rPr>
          <w:i/>
          <w:szCs w:val="22"/>
          <w:lang w:val="sr-Latn-ME"/>
        </w:rPr>
        <w:t xml:space="preserve"> </w:t>
      </w:r>
      <w:r w:rsidRPr="00B74B0F">
        <w:rPr>
          <w:szCs w:val="22"/>
          <w:lang w:val="sr-Latn-ME"/>
        </w:rPr>
        <w:t xml:space="preserve">Približno 90% </w:t>
      </w:r>
      <w:r w:rsidR="00A1675E" w:rsidRPr="00B74B0F">
        <w:rPr>
          <w:szCs w:val="22"/>
          <w:lang w:val="sr-Latn-ME"/>
        </w:rPr>
        <w:t xml:space="preserve">lijeka </w:t>
      </w:r>
      <w:r w:rsidRPr="00B74B0F">
        <w:rPr>
          <w:szCs w:val="22"/>
          <w:lang w:val="sr-Latn-ME"/>
        </w:rPr>
        <w:t>upadacitinib</w:t>
      </w:r>
      <w:r w:rsidR="00A1675E" w:rsidRPr="00B74B0F">
        <w:rPr>
          <w:szCs w:val="22"/>
          <w:lang w:val="sr-Latn-ME"/>
        </w:rPr>
        <w:t xml:space="preserve"> se</w:t>
      </w:r>
      <w:r w:rsidRPr="00B74B0F">
        <w:rPr>
          <w:szCs w:val="22"/>
          <w:lang w:val="sr-Latn-ME"/>
        </w:rPr>
        <w:t xml:space="preserve"> elimin</w:t>
      </w:r>
      <w:r w:rsidR="0002225B" w:rsidRPr="00B74B0F">
        <w:rPr>
          <w:szCs w:val="22"/>
          <w:lang w:val="sr-Latn-ME"/>
        </w:rPr>
        <w:t>i</w:t>
      </w:r>
      <w:r w:rsidR="00A1675E" w:rsidRPr="00B74B0F">
        <w:rPr>
          <w:szCs w:val="22"/>
          <w:lang w:val="sr-Latn-ME"/>
        </w:rPr>
        <w:t>še</w:t>
      </w:r>
      <w:r w:rsidRPr="00B74B0F">
        <w:rPr>
          <w:szCs w:val="22"/>
          <w:lang w:val="sr-Latn-ME"/>
        </w:rPr>
        <w:t xml:space="preserve"> iz sistemske cirkulacije u</w:t>
      </w:r>
      <w:r w:rsidR="00A1675E" w:rsidRPr="00B74B0F">
        <w:rPr>
          <w:szCs w:val="22"/>
          <w:lang w:val="sr-Latn-ME"/>
        </w:rPr>
        <w:t xml:space="preserve"> roku od</w:t>
      </w:r>
      <w:r w:rsidRPr="00B74B0F">
        <w:rPr>
          <w:szCs w:val="22"/>
          <w:lang w:val="sr-Latn-ME"/>
        </w:rPr>
        <w:t xml:space="preserve"> 24 sata od primjene </w:t>
      </w:r>
      <w:r w:rsidR="00B07229" w:rsidRPr="00B74B0F">
        <w:rPr>
          <w:szCs w:val="22"/>
          <w:lang w:val="sr-Latn-ME"/>
        </w:rPr>
        <w:t>doze</w:t>
      </w:r>
      <w:r w:rsidRPr="00B74B0F">
        <w:rPr>
          <w:szCs w:val="22"/>
          <w:lang w:val="sr-Latn-ME"/>
        </w:rPr>
        <w:t xml:space="preserve"> (unutar </w:t>
      </w:r>
      <w:r w:rsidR="00B07229" w:rsidRPr="00B74B0F">
        <w:rPr>
          <w:szCs w:val="22"/>
          <w:lang w:val="sr-Latn-ME"/>
        </w:rPr>
        <w:t xml:space="preserve">doznog </w:t>
      </w:r>
      <w:r w:rsidRPr="00B74B0F">
        <w:rPr>
          <w:szCs w:val="22"/>
          <w:lang w:val="sr-Latn-ME"/>
        </w:rPr>
        <w:t xml:space="preserve">raspona </w:t>
      </w:r>
      <w:r w:rsidR="00B07229" w:rsidRPr="00B74B0F">
        <w:rPr>
          <w:szCs w:val="22"/>
          <w:lang w:val="sr-Latn-ME"/>
        </w:rPr>
        <w:t>koji se ocjenjivao</w:t>
      </w:r>
      <w:r w:rsidRPr="00B74B0F">
        <w:rPr>
          <w:szCs w:val="22"/>
          <w:lang w:val="sr-Latn-ME"/>
        </w:rPr>
        <w:t xml:space="preserve"> u kliničkim ispitivanjima). U slučaju predoziranja preporučuje se </w:t>
      </w:r>
      <w:r w:rsidR="00843692" w:rsidRPr="00B74B0F">
        <w:rPr>
          <w:szCs w:val="22"/>
          <w:lang w:val="sr-Latn-ME"/>
        </w:rPr>
        <w:t xml:space="preserve">praćenje </w:t>
      </w:r>
      <w:r w:rsidR="00BB59FC" w:rsidRPr="00B74B0F">
        <w:rPr>
          <w:szCs w:val="22"/>
          <w:lang w:val="sr-Latn-ME"/>
        </w:rPr>
        <w:t>pacijenata</w:t>
      </w:r>
      <w:r w:rsidRPr="00B74B0F">
        <w:rPr>
          <w:szCs w:val="22"/>
          <w:lang w:val="sr-Latn-ME"/>
        </w:rPr>
        <w:t xml:space="preserve"> zbog mogućih znakova i simptoma n</w:t>
      </w:r>
      <w:r w:rsidR="00B10681" w:rsidRPr="00B74B0F">
        <w:rPr>
          <w:szCs w:val="22"/>
          <w:lang w:val="sr-Latn-ME"/>
        </w:rPr>
        <w:t>eželjenih dejstava</w:t>
      </w:r>
      <w:r w:rsidRPr="00B74B0F">
        <w:rPr>
          <w:szCs w:val="22"/>
          <w:lang w:val="sr-Latn-ME"/>
        </w:rPr>
        <w:t xml:space="preserve">. </w:t>
      </w:r>
      <w:r w:rsidR="00B27953" w:rsidRPr="00B74B0F">
        <w:rPr>
          <w:szCs w:val="22"/>
          <w:lang w:val="sr-Latn-ME"/>
        </w:rPr>
        <w:t>Pacijenti</w:t>
      </w:r>
      <w:r w:rsidRPr="00B74B0F">
        <w:rPr>
          <w:szCs w:val="22"/>
          <w:lang w:val="sr-Latn-ME"/>
        </w:rPr>
        <w:t xml:space="preserve"> </w:t>
      </w:r>
      <w:r w:rsidR="00A1675E" w:rsidRPr="00B74B0F">
        <w:rPr>
          <w:szCs w:val="22"/>
          <w:lang w:val="sr-Latn-ME"/>
        </w:rPr>
        <w:t>kod</w:t>
      </w:r>
      <w:r w:rsidRPr="00B74B0F">
        <w:rPr>
          <w:szCs w:val="22"/>
          <w:lang w:val="sr-Latn-ME"/>
        </w:rPr>
        <w:t xml:space="preserve"> kojih se jave n</w:t>
      </w:r>
      <w:r w:rsidR="00B10681" w:rsidRPr="00B74B0F">
        <w:rPr>
          <w:szCs w:val="22"/>
          <w:lang w:val="sr-Latn-ME"/>
        </w:rPr>
        <w:t>eželjena dejstva</w:t>
      </w:r>
      <w:r w:rsidRPr="00B74B0F">
        <w:rPr>
          <w:szCs w:val="22"/>
          <w:lang w:val="sr-Latn-ME"/>
        </w:rPr>
        <w:t xml:space="preserve"> treba</w:t>
      </w:r>
      <w:r w:rsidR="00843692" w:rsidRPr="00B74B0F">
        <w:rPr>
          <w:szCs w:val="22"/>
          <w:lang w:val="sr-Latn-ME"/>
        </w:rPr>
        <w:t xml:space="preserve"> da</w:t>
      </w:r>
      <w:r w:rsidRPr="00B74B0F">
        <w:rPr>
          <w:szCs w:val="22"/>
          <w:lang w:val="sr-Latn-ME"/>
        </w:rPr>
        <w:t xml:space="preserve"> </w:t>
      </w:r>
      <w:r w:rsidR="00066B52" w:rsidRPr="00B74B0F">
        <w:rPr>
          <w:szCs w:val="22"/>
          <w:lang w:val="sr-Latn-ME"/>
        </w:rPr>
        <w:t>ima</w:t>
      </w:r>
      <w:r w:rsidR="00843692" w:rsidRPr="00B74B0F">
        <w:rPr>
          <w:szCs w:val="22"/>
          <w:lang w:val="sr-Latn-ME"/>
        </w:rPr>
        <w:t xml:space="preserve">ju </w:t>
      </w:r>
      <w:r w:rsidRPr="00B74B0F">
        <w:rPr>
          <w:szCs w:val="22"/>
          <w:lang w:val="sr-Latn-ME"/>
        </w:rPr>
        <w:t>odgovarajuće liječenje.</w:t>
      </w:r>
    </w:p>
    <w:p w14:paraId="4121142A" w14:textId="0577508A" w:rsidR="00B3034B" w:rsidRPr="00B74B0F" w:rsidRDefault="00B3034B">
      <w:pPr>
        <w:spacing w:line="240" w:lineRule="auto"/>
        <w:contextualSpacing/>
        <w:jc w:val="both"/>
        <w:rPr>
          <w:szCs w:val="22"/>
          <w:lang w:val="sr-Latn-ME"/>
        </w:rPr>
      </w:pPr>
    </w:p>
    <w:p w14:paraId="4D5983F7" w14:textId="77777777" w:rsidR="00654240" w:rsidRPr="00B74B0F" w:rsidRDefault="00654240">
      <w:pPr>
        <w:spacing w:line="240" w:lineRule="auto"/>
        <w:contextualSpacing/>
        <w:jc w:val="both"/>
        <w:rPr>
          <w:szCs w:val="22"/>
          <w:lang w:val="sr-Latn-ME"/>
        </w:rPr>
      </w:pPr>
    </w:p>
    <w:p w14:paraId="2D0F59BD" w14:textId="747F79BD" w:rsidR="00812D16" w:rsidRPr="00B74B0F" w:rsidRDefault="00906CF8">
      <w:pPr>
        <w:keepNext/>
        <w:spacing w:line="240" w:lineRule="auto"/>
        <w:contextualSpacing/>
        <w:jc w:val="both"/>
        <w:rPr>
          <w:szCs w:val="22"/>
          <w:lang w:val="sr-Latn-ME"/>
        </w:rPr>
      </w:pPr>
      <w:r w:rsidRPr="00B74B0F">
        <w:rPr>
          <w:b/>
          <w:szCs w:val="22"/>
          <w:lang w:val="sr-Latn-ME"/>
        </w:rPr>
        <w:t>5.</w:t>
      </w:r>
      <w:r w:rsidRPr="00B74B0F">
        <w:rPr>
          <w:b/>
          <w:szCs w:val="22"/>
          <w:lang w:val="sr-Latn-ME"/>
        </w:rPr>
        <w:tab/>
        <w:t>FARMAKOLOŠK</w:t>
      </w:r>
      <w:r w:rsidR="003B1F43" w:rsidRPr="00B74B0F">
        <w:rPr>
          <w:b/>
          <w:szCs w:val="22"/>
          <w:lang w:val="sr-Latn-ME"/>
        </w:rPr>
        <w:t>I</w:t>
      </w:r>
      <w:r w:rsidRPr="00B74B0F">
        <w:rPr>
          <w:b/>
          <w:szCs w:val="22"/>
          <w:lang w:val="sr-Latn-ME"/>
        </w:rPr>
        <w:t xml:space="preserve"> </w:t>
      </w:r>
      <w:r w:rsidR="003B1F43" w:rsidRPr="00B74B0F">
        <w:rPr>
          <w:b/>
          <w:szCs w:val="22"/>
          <w:lang w:val="sr-Latn-ME"/>
        </w:rPr>
        <w:t>PODACI</w:t>
      </w:r>
    </w:p>
    <w:p w14:paraId="40F27044" w14:textId="77777777" w:rsidR="00812D16" w:rsidRPr="00B74B0F" w:rsidRDefault="00812D16">
      <w:pPr>
        <w:keepNext/>
        <w:spacing w:line="240" w:lineRule="auto"/>
        <w:contextualSpacing/>
        <w:jc w:val="both"/>
        <w:rPr>
          <w:szCs w:val="22"/>
          <w:lang w:val="sr-Latn-ME"/>
        </w:rPr>
      </w:pPr>
    </w:p>
    <w:p w14:paraId="2FC9BAEB" w14:textId="204945C8" w:rsidR="00812D16" w:rsidRPr="00B74B0F" w:rsidRDefault="00906CF8">
      <w:pPr>
        <w:keepNext/>
        <w:spacing w:line="240" w:lineRule="auto"/>
        <w:contextualSpacing/>
        <w:jc w:val="both"/>
        <w:outlineLvl w:val="0"/>
        <w:rPr>
          <w:szCs w:val="22"/>
          <w:lang w:val="sr-Latn-ME"/>
        </w:rPr>
      </w:pPr>
      <w:r w:rsidRPr="00B74B0F">
        <w:rPr>
          <w:b/>
          <w:szCs w:val="22"/>
          <w:lang w:val="sr-Latn-ME"/>
        </w:rPr>
        <w:t>5.1</w:t>
      </w:r>
      <w:r w:rsidRPr="00B74B0F">
        <w:rPr>
          <w:b/>
          <w:szCs w:val="22"/>
          <w:lang w:val="sr-Latn-ME"/>
        </w:rPr>
        <w:tab/>
        <w:t>Farmakodinam</w:t>
      </w:r>
      <w:r w:rsidR="00B27953" w:rsidRPr="00B74B0F">
        <w:rPr>
          <w:b/>
          <w:szCs w:val="22"/>
          <w:lang w:val="sr-Latn-ME"/>
        </w:rPr>
        <w:t>ski podaci</w:t>
      </w:r>
    </w:p>
    <w:p w14:paraId="69149785" w14:textId="77777777" w:rsidR="00812D16" w:rsidRPr="00B74B0F" w:rsidRDefault="00812D16">
      <w:pPr>
        <w:keepNext/>
        <w:spacing w:line="240" w:lineRule="auto"/>
        <w:contextualSpacing/>
        <w:jc w:val="both"/>
        <w:rPr>
          <w:szCs w:val="22"/>
          <w:lang w:val="sr-Latn-ME"/>
        </w:rPr>
      </w:pPr>
    </w:p>
    <w:p w14:paraId="67F34D1B" w14:textId="76FADC4A" w:rsidR="00E77DEE" w:rsidRPr="00B74B0F" w:rsidRDefault="00906CF8">
      <w:pPr>
        <w:spacing w:line="240" w:lineRule="auto"/>
        <w:contextualSpacing/>
        <w:jc w:val="both"/>
        <w:outlineLvl w:val="0"/>
        <w:rPr>
          <w:szCs w:val="22"/>
          <w:lang w:val="sr-Latn-ME"/>
        </w:rPr>
      </w:pPr>
      <w:r w:rsidRPr="00B74B0F">
        <w:rPr>
          <w:szCs w:val="22"/>
          <w:lang w:val="sr-Latn-ME"/>
        </w:rPr>
        <w:t xml:space="preserve">Farmakoterapijska </w:t>
      </w:r>
      <w:r w:rsidR="00E77DEE" w:rsidRPr="00B74B0F">
        <w:rPr>
          <w:szCs w:val="22"/>
          <w:lang w:val="sr-Latn-ME"/>
        </w:rPr>
        <w:t>grupa</w:t>
      </w:r>
      <w:r w:rsidRPr="00B74B0F">
        <w:rPr>
          <w:szCs w:val="22"/>
          <w:lang w:val="sr-Latn-ME"/>
        </w:rPr>
        <w:t xml:space="preserve">: Imunosupresivi, selektivni imunosupresivi </w:t>
      </w:r>
    </w:p>
    <w:p w14:paraId="10E1E74A" w14:textId="77777777" w:rsidR="00841DAF" w:rsidRPr="00B74B0F" w:rsidRDefault="00841DAF">
      <w:pPr>
        <w:spacing w:line="240" w:lineRule="auto"/>
        <w:contextualSpacing/>
        <w:jc w:val="both"/>
        <w:outlineLvl w:val="0"/>
        <w:rPr>
          <w:szCs w:val="22"/>
          <w:lang w:val="sr-Latn-ME"/>
        </w:rPr>
      </w:pPr>
    </w:p>
    <w:p w14:paraId="5605B476" w14:textId="37510C7E" w:rsidR="00812D16" w:rsidRPr="00B74B0F" w:rsidRDefault="00906CF8">
      <w:pPr>
        <w:spacing w:line="240" w:lineRule="auto"/>
        <w:contextualSpacing/>
        <w:jc w:val="both"/>
        <w:outlineLvl w:val="0"/>
        <w:rPr>
          <w:szCs w:val="22"/>
          <w:lang w:val="sr-Latn-ME"/>
        </w:rPr>
      </w:pPr>
      <w:r w:rsidRPr="00B74B0F">
        <w:rPr>
          <w:szCs w:val="22"/>
          <w:lang w:val="sr-Latn-ME"/>
        </w:rPr>
        <w:t>AT</w:t>
      </w:r>
      <w:r w:rsidR="00E77DEE" w:rsidRPr="00B74B0F">
        <w:rPr>
          <w:szCs w:val="22"/>
          <w:lang w:val="sr-Latn-ME"/>
        </w:rPr>
        <w:t>C</w:t>
      </w:r>
      <w:r w:rsidRPr="00B74B0F">
        <w:rPr>
          <w:szCs w:val="22"/>
          <w:lang w:val="sr-Latn-ME"/>
        </w:rPr>
        <w:t xml:space="preserve"> </w:t>
      </w:r>
      <w:r w:rsidR="006B77A0" w:rsidRPr="00B74B0F">
        <w:rPr>
          <w:szCs w:val="22"/>
          <w:lang w:val="sr-Latn-ME"/>
        </w:rPr>
        <w:t>kod</w:t>
      </w:r>
      <w:r w:rsidRPr="00B74B0F">
        <w:rPr>
          <w:szCs w:val="22"/>
          <w:lang w:val="sr-Latn-ME"/>
        </w:rPr>
        <w:t xml:space="preserve">: </w:t>
      </w:r>
      <w:r w:rsidR="007669C7" w:rsidRPr="00B74B0F">
        <w:rPr>
          <w:szCs w:val="22"/>
          <w:lang w:val="sr-Latn-ME"/>
        </w:rPr>
        <w:t xml:space="preserve">L04AA44 </w:t>
      </w:r>
    </w:p>
    <w:p w14:paraId="4DAF0480" w14:textId="77777777" w:rsidR="00F51ACB" w:rsidRPr="00B74B0F" w:rsidRDefault="00F51ACB">
      <w:pPr>
        <w:spacing w:line="240" w:lineRule="auto"/>
        <w:contextualSpacing/>
        <w:jc w:val="both"/>
        <w:rPr>
          <w:i/>
          <w:szCs w:val="22"/>
          <w:lang w:val="sr-Latn-ME"/>
        </w:rPr>
      </w:pPr>
    </w:p>
    <w:p w14:paraId="0E17BC07" w14:textId="77777777" w:rsidR="00812D16" w:rsidRPr="00B74B0F" w:rsidRDefault="00906CF8">
      <w:pPr>
        <w:keepNext/>
        <w:autoSpaceDE w:val="0"/>
        <w:autoSpaceDN w:val="0"/>
        <w:adjustRightInd w:val="0"/>
        <w:spacing w:line="240" w:lineRule="auto"/>
        <w:contextualSpacing/>
        <w:jc w:val="both"/>
        <w:rPr>
          <w:szCs w:val="22"/>
          <w:u w:val="single"/>
          <w:lang w:val="sr-Latn-ME"/>
        </w:rPr>
      </w:pPr>
      <w:r w:rsidRPr="00B74B0F">
        <w:rPr>
          <w:szCs w:val="22"/>
          <w:u w:val="single"/>
          <w:lang w:val="sr-Latn-ME"/>
        </w:rPr>
        <w:t>Mehanizam djelovanja</w:t>
      </w:r>
    </w:p>
    <w:p w14:paraId="3A198BA5" w14:textId="7AAD080F" w:rsidR="00F51ACB" w:rsidRPr="00B74B0F" w:rsidRDefault="00F51ACB">
      <w:pPr>
        <w:keepNext/>
        <w:spacing w:line="240" w:lineRule="auto"/>
        <w:contextualSpacing/>
        <w:jc w:val="both"/>
        <w:rPr>
          <w:szCs w:val="22"/>
          <w:lang w:val="sr-Latn-ME"/>
        </w:rPr>
      </w:pPr>
    </w:p>
    <w:p w14:paraId="53B5F097" w14:textId="0C2D9020" w:rsidR="00D32034" w:rsidRPr="00B74B0F" w:rsidRDefault="00062558">
      <w:pPr>
        <w:spacing w:line="240" w:lineRule="auto"/>
        <w:contextualSpacing/>
        <w:jc w:val="both"/>
        <w:rPr>
          <w:szCs w:val="22"/>
          <w:lang w:val="sr-Latn-ME"/>
        </w:rPr>
      </w:pPr>
      <w:r w:rsidRPr="00B74B0F">
        <w:rPr>
          <w:szCs w:val="22"/>
          <w:lang w:val="sr-Latn-ME"/>
        </w:rPr>
        <w:t>Upadacitinib je selektivan i reverzibilan inhibitor</w:t>
      </w:r>
      <w:r w:rsidR="00557137" w:rsidRPr="00B74B0F">
        <w:rPr>
          <w:szCs w:val="22"/>
          <w:lang w:val="sr-Latn-ME"/>
        </w:rPr>
        <w:t xml:space="preserve"> Janus kinaze. </w:t>
      </w:r>
      <w:r w:rsidR="00906CF8" w:rsidRPr="00B74B0F">
        <w:rPr>
          <w:szCs w:val="22"/>
          <w:lang w:val="sr-Latn-ME"/>
        </w:rPr>
        <w:t xml:space="preserve">Janus kinaze (JAK) su </w:t>
      </w:r>
      <w:r w:rsidR="00184EFD" w:rsidRPr="00B74B0F">
        <w:rPr>
          <w:szCs w:val="22"/>
          <w:lang w:val="sr-Latn-ME"/>
        </w:rPr>
        <w:t>intra</w:t>
      </w:r>
      <w:r w:rsidR="00493ECF" w:rsidRPr="00B74B0F">
        <w:rPr>
          <w:szCs w:val="22"/>
          <w:lang w:val="sr-Latn-ME"/>
        </w:rPr>
        <w:t>ćelijski</w:t>
      </w:r>
      <w:r w:rsidR="00906CF8" w:rsidRPr="00B74B0F">
        <w:rPr>
          <w:szCs w:val="22"/>
          <w:lang w:val="sr-Latn-ME"/>
        </w:rPr>
        <w:t xml:space="preserve"> enzimi koji prenose signale citokina ili faktora rasta koji </w:t>
      </w:r>
      <w:r w:rsidR="00493ECF" w:rsidRPr="00B74B0F">
        <w:rPr>
          <w:szCs w:val="22"/>
          <w:lang w:val="sr-Latn-ME"/>
        </w:rPr>
        <w:t>učestvuju</w:t>
      </w:r>
      <w:r w:rsidR="00906CF8" w:rsidRPr="00B74B0F">
        <w:rPr>
          <w:szCs w:val="22"/>
          <w:lang w:val="sr-Latn-ME"/>
        </w:rPr>
        <w:t xml:space="preserve"> u čitavom nizu različitih </w:t>
      </w:r>
      <w:r w:rsidR="00493ECF" w:rsidRPr="00B74B0F">
        <w:rPr>
          <w:szCs w:val="22"/>
          <w:lang w:val="sr-Latn-ME"/>
        </w:rPr>
        <w:t>ćelijskih</w:t>
      </w:r>
      <w:r w:rsidR="00906CF8" w:rsidRPr="00B74B0F">
        <w:rPr>
          <w:szCs w:val="22"/>
          <w:lang w:val="sr-Latn-ME"/>
        </w:rPr>
        <w:t xml:space="preserve"> procesa, uključujući </w:t>
      </w:r>
      <w:r w:rsidR="00E01076" w:rsidRPr="00B74B0F">
        <w:rPr>
          <w:szCs w:val="22"/>
          <w:lang w:val="sr-Latn-ME"/>
        </w:rPr>
        <w:t>inflamatorne</w:t>
      </w:r>
      <w:r w:rsidR="00906CF8" w:rsidRPr="00B74B0F">
        <w:rPr>
          <w:szCs w:val="22"/>
          <w:lang w:val="sr-Latn-ME"/>
        </w:rPr>
        <w:t xml:space="preserve"> odgovore, hematopoezu i nadzor</w:t>
      </w:r>
      <w:r w:rsidR="00184EFD" w:rsidRPr="00B74B0F">
        <w:rPr>
          <w:szCs w:val="22"/>
          <w:lang w:val="sr-Latn-ME"/>
        </w:rPr>
        <w:t xml:space="preserve"> imunog sistema</w:t>
      </w:r>
      <w:r w:rsidR="00906CF8" w:rsidRPr="00B74B0F">
        <w:rPr>
          <w:szCs w:val="22"/>
          <w:lang w:val="sr-Latn-ME"/>
        </w:rPr>
        <w:t xml:space="preserve">. </w:t>
      </w:r>
      <w:r w:rsidR="00184EFD" w:rsidRPr="00B74B0F">
        <w:rPr>
          <w:szCs w:val="22"/>
          <w:lang w:val="sr-Latn-ME"/>
        </w:rPr>
        <w:t>Porodica</w:t>
      </w:r>
      <w:r w:rsidR="00906CF8" w:rsidRPr="00B74B0F">
        <w:rPr>
          <w:szCs w:val="22"/>
          <w:lang w:val="sr-Latn-ME"/>
        </w:rPr>
        <w:t xml:space="preserve"> JAK </w:t>
      </w:r>
      <w:r w:rsidR="00DC20D6" w:rsidRPr="00B74B0F">
        <w:rPr>
          <w:szCs w:val="22"/>
          <w:lang w:val="sr-Latn-ME"/>
        </w:rPr>
        <w:t xml:space="preserve">enzima </w:t>
      </w:r>
      <w:r w:rsidR="00906CF8" w:rsidRPr="00B74B0F">
        <w:rPr>
          <w:szCs w:val="22"/>
          <w:lang w:val="sr-Latn-ME"/>
        </w:rPr>
        <w:t xml:space="preserve">sastoji se od četiri </w:t>
      </w:r>
      <w:r w:rsidR="00493ECF" w:rsidRPr="00B74B0F">
        <w:rPr>
          <w:szCs w:val="22"/>
          <w:lang w:val="sr-Latn-ME"/>
        </w:rPr>
        <w:t>enzima</w:t>
      </w:r>
      <w:r w:rsidR="005256F4" w:rsidRPr="00B74B0F">
        <w:rPr>
          <w:szCs w:val="22"/>
          <w:lang w:val="sr-Latn-ME"/>
        </w:rPr>
        <w:t>:</w:t>
      </w:r>
      <w:r w:rsidR="000E7C02" w:rsidRPr="00B74B0F">
        <w:rPr>
          <w:szCs w:val="22"/>
          <w:lang w:val="sr-Latn-ME"/>
        </w:rPr>
        <w:t xml:space="preserve"> </w:t>
      </w:r>
      <w:r w:rsidR="00906CF8" w:rsidRPr="00B74B0F">
        <w:rPr>
          <w:szCs w:val="22"/>
          <w:lang w:val="sr-Latn-ME"/>
        </w:rPr>
        <w:t>JAK1, JAK2, JAK3 i TYK2</w:t>
      </w:r>
      <w:r w:rsidR="00DC20D6" w:rsidRPr="00B74B0F">
        <w:rPr>
          <w:szCs w:val="22"/>
          <w:lang w:val="sr-Latn-ME"/>
        </w:rPr>
        <w:t>,</w:t>
      </w:r>
      <w:r w:rsidR="00906CF8" w:rsidRPr="00B74B0F">
        <w:rPr>
          <w:szCs w:val="22"/>
          <w:lang w:val="sr-Latn-ME"/>
        </w:rPr>
        <w:t xml:space="preserve"> koji </w:t>
      </w:r>
      <w:r w:rsidR="00493ECF" w:rsidRPr="00B74B0F">
        <w:rPr>
          <w:szCs w:val="22"/>
          <w:lang w:val="sr-Latn-ME"/>
        </w:rPr>
        <w:t>djeluju</w:t>
      </w:r>
      <w:r w:rsidR="00906CF8" w:rsidRPr="00B74B0F">
        <w:rPr>
          <w:szCs w:val="22"/>
          <w:lang w:val="sr-Latn-ME"/>
        </w:rPr>
        <w:t xml:space="preserve"> u parovima kako bi fosfori</w:t>
      </w:r>
      <w:r w:rsidR="00E01076" w:rsidRPr="00B74B0F">
        <w:rPr>
          <w:szCs w:val="22"/>
          <w:lang w:val="sr-Latn-ME"/>
        </w:rPr>
        <w:t>sali</w:t>
      </w:r>
      <w:r w:rsidR="00906CF8" w:rsidRPr="00B74B0F">
        <w:rPr>
          <w:szCs w:val="22"/>
          <w:lang w:val="sr-Latn-ME"/>
        </w:rPr>
        <w:t xml:space="preserve"> i aktivirali prenosnike signala i aktivatore transkripcije (engl. </w:t>
      </w:r>
      <w:r w:rsidR="00906CF8" w:rsidRPr="00B74B0F">
        <w:rPr>
          <w:i/>
          <w:iCs/>
          <w:szCs w:val="22"/>
          <w:lang w:val="sr-Latn-ME"/>
        </w:rPr>
        <w:t>signal transducers and activators of transcription</w:t>
      </w:r>
      <w:r w:rsidR="00906CF8" w:rsidRPr="00B74B0F">
        <w:rPr>
          <w:szCs w:val="22"/>
          <w:lang w:val="sr-Latn-ME"/>
        </w:rPr>
        <w:t>, STAT).</w:t>
      </w:r>
      <w:r w:rsidR="00493ECF" w:rsidRPr="00B74B0F">
        <w:rPr>
          <w:szCs w:val="22"/>
          <w:lang w:val="sr-Latn-ME"/>
        </w:rPr>
        <w:t xml:space="preserve"> Ovom</w:t>
      </w:r>
      <w:r w:rsidR="00906CF8" w:rsidRPr="00B74B0F">
        <w:rPr>
          <w:szCs w:val="22"/>
          <w:lang w:val="sr-Latn-ME"/>
        </w:rPr>
        <w:t xml:space="preserve"> fosforilacijom</w:t>
      </w:r>
      <w:r w:rsidR="00493ECF" w:rsidRPr="00B74B0F">
        <w:rPr>
          <w:szCs w:val="22"/>
          <w:lang w:val="sr-Latn-ME"/>
        </w:rPr>
        <w:t xml:space="preserve"> se</w:t>
      </w:r>
      <w:r w:rsidR="00906CF8" w:rsidRPr="00B74B0F">
        <w:rPr>
          <w:szCs w:val="22"/>
          <w:lang w:val="sr-Latn-ME"/>
        </w:rPr>
        <w:t xml:space="preserve"> modulira genska ekspresija i funkcija</w:t>
      </w:r>
      <w:r w:rsidR="00493ECF" w:rsidRPr="00B74B0F">
        <w:rPr>
          <w:szCs w:val="22"/>
          <w:lang w:val="sr-Latn-ME"/>
        </w:rPr>
        <w:t xml:space="preserve"> ćelije</w:t>
      </w:r>
      <w:r w:rsidR="00906CF8" w:rsidRPr="00B74B0F">
        <w:rPr>
          <w:szCs w:val="22"/>
          <w:lang w:val="sr-Latn-ME"/>
        </w:rPr>
        <w:t>. JAK1 je</w:t>
      </w:r>
      <w:r w:rsidR="008F260C" w:rsidRPr="00B74B0F">
        <w:rPr>
          <w:szCs w:val="22"/>
          <w:lang w:val="sr-Latn-ME"/>
        </w:rPr>
        <w:t xml:space="preserve"> važan</w:t>
      </w:r>
      <w:r w:rsidR="00493ECF" w:rsidRPr="00B74B0F">
        <w:rPr>
          <w:szCs w:val="22"/>
          <w:lang w:val="sr-Latn-ME"/>
        </w:rPr>
        <w:t xml:space="preserve"> </w:t>
      </w:r>
      <w:r w:rsidR="00906CF8" w:rsidRPr="00B74B0F">
        <w:rPr>
          <w:szCs w:val="22"/>
          <w:lang w:val="sr-Latn-ME"/>
        </w:rPr>
        <w:t xml:space="preserve">za signalizaciju upalnih citokina, dok je JAK2 važan za sazrijevanje crvenih krvnih </w:t>
      </w:r>
      <w:r w:rsidR="008F260C" w:rsidRPr="00B74B0F">
        <w:rPr>
          <w:szCs w:val="22"/>
          <w:lang w:val="sr-Latn-ME"/>
        </w:rPr>
        <w:t>ćelija</w:t>
      </w:r>
      <w:r w:rsidR="00906CF8" w:rsidRPr="00B74B0F">
        <w:rPr>
          <w:szCs w:val="22"/>
          <w:lang w:val="sr-Latn-ME"/>
        </w:rPr>
        <w:t xml:space="preserve">, a signalizacija putem JAK3 </w:t>
      </w:r>
      <w:r w:rsidR="0010469C" w:rsidRPr="00B74B0F">
        <w:rPr>
          <w:szCs w:val="22"/>
          <w:lang w:val="sr-Latn-ME"/>
        </w:rPr>
        <w:t>je bitna u nadzoru imun</w:t>
      </w:r>
      <w:r w:rsidR="00CB3EAC" w:rsidRPr="00B74B0F">
        <w:rPr>
          <w:szCs w:val="22"/>
          <w:lang w:val="sr-Latn-ME"/>
        </w:rPr>
        <w:t>sk</w:t>
      </w:r>
      <w:r w:rsidR="0010469C" w:rsidRPr="00B74B0F">
        <w:rPr>
          <w:szCs w:val="22"/>
          <w:lang w:val="sr-Latn-ME"/>
        </w:rPr>
        <w:t>og sistema</w:t>
      </w:r>
      <w:r w:rsidR="00906CF8" w:rsidRPr="00B74B0F">
        <w:rPr>
          <w:szCs w:val="22"/>
          <w:lang w:val="sr-Latn-ME"/>
        </w:rPr>
        <w:t xml:space="preserve"> i funkciji limfocita.</w:t>
      </w:r>
    </w:p>
    <w:p w14:paraId="05DBC06D" w14:textId="77777777" w:rsidR="00D32034" w:rsidRPr="00B74B0F" w:rsidRDefault="00D32034">
      <w:pPr>
        <w:spacing w:line="240" w:lineRule="auto"/>
        <w:contextualSpacing/>
        <w:jc w:val="both"/>
        <w:rPr>
          <w:szCs w:val="22"/>
          <w:lang w:val="sr-Latn-ME"/>
        </w:rPr>
      </w:pPr>
    </w:p>
    <w:p w14:paraId="3FDF5EDB" w14:textId="4B3E4A8D" w:rsidR="007B01D5" w:rsidRPr="00B74B0F" w:rsidRDefault="007B01D5">
      <w:pPr>
        <w:tabs>
          <w:tab w:val="clear" w:pos="567"/>
        </w:tabs>
        <w:spacing w:line="240" w:lineRule="auto"/>
        <w:contextualSpacing/>
        <w:jc w:val="both"/>
        <w:rPr>
          <w:noProof/>
          <w:szCs w:val="22"/>
          <w:lang w:val="sr-Latn-ME"/>
        </w:rPr>
      </w:pPr>
      <w:r w:rsidRPr="00B74B0F">
        <w:rPr>
          <w:noProof/>
          <w:szCs w:val="22"/>
          <w:lang w:val="sr-Latn-ME"/>
        </w:rPr>
        <w:t xml:space="preserve">U ćelijskim testovima </w:t>
      </w:r>
      <w:r w:rsidR="00557137" w:rsidRPr="00B74B0F">
        <w:rPr>
          <w:noProof/>
          <w:szCs w:val="22"/>
          <w:lang w:val="sr-Latn-ME"/>
        </w:rPr>
        <w:t>kod</w:t>
      </w:r>
      <w:r w:rsidRPr="00B74B0F">
        <w:rPr>
          <w:noProof/>
          <w:szCs w:val="22"/>
          <w:lang w:val="sr-Latn-ME"/>
        </w:rPr>
        <w:t xml:space="preserve"> ljudi upadacitinib preferencijalno inhibira signalizaciju putem JAK1 ili JAK1/3, s funkcionalnom selektivnošću naspram citokinskih receptora koji prenose signale putem parova JAK2. Atopijski dermatitis pokreću proupalni citokini (uključujući IL</w:t>
      </w:r>
      <w:r w:rsidRPr="00B74B0F">
        <w:rPr>
          <w:noProof/>
          <w:szCs w:val="22"/>
          <w:lang w:val="sr-Latn-ME"/>
        </w:rPr>
        <w:noBreakHyphen/>
        <w:t>4, IL</w:t>
      </w:r>
      <w:r w:rsidRPr="00B74B0F">
        <w:rPr>
          <w:noProof/>
          <w:szCs w:val="22"/>
          <w:lang w:val="sr-Latn-ME"/>
        </w:rPr>
        <w:noBreakHyphen/>
        <w:t>13, IL</w:t>
      </w:r>
      <w:r w:rsidRPr="00B74B0F">
        <w:rPr>
          <w:noProof/>
          <w:szCs w:val="22"/>
          <w:lang w:val="sr-Latn-ME"/>
        </w:rPr>
        <w:noBreakHyphen/>
        <w:t>22, TSLP, IL</w:t>
      </w:r>
      <w:r w:rsidRPr="00B74B0F">
        <w:rPr>
          <w:noProof/>
          <w:szCs w:val="22"/>
          <w:lang w:val="sr-Latn-ME"/>
        </w:rPr>
        <w:noBreakHyphen/>
        <w:t>31 i IFN</w:t>
      </w:r>
      <w:r w:rsidRPr="00B74B0F">
        <w:rPr>
          <w:noProof/>
          <w:szCs w:val="22"/>
          <w:lang w:val="sr-Latn-ME"/>
        </w:rPr>
        <w:noBreakHyphen/>
        <w:t>γ) koji prenose signale putem JAK1. Inhibicija JAK1 upadacitinibom smanjuje signalizaciju mnogih medijatora koji pokreću znakove i simptome atopijskog dermatitisa, poput ekcematoznih kožnih lezija i pruritusa</w:t>
      </w:r>
      <w:r w:rsidRPr="00B74B0F">
        <w:rPr>
          <w:szCs w:val="22"/>
          <w:lang w:val="sr-Latn-ME"/>
        </w:rPr>
        <w:t xml:space="preserve">. Proupalni citokini (prvenstveno IL-6, IL-7, IL-15 i IFNγ) provode signale putem JAK1 i uključeni su u </w:t>
      </w:r>
      <w:r w:rsidR="002342CE" w:rsidRPr="00B74B0F">
        <w:rPr>
          <w:szCs w:val="22"/>
          <w:lang w:val="sr-Latn-ME"/>
        </w:rPr>
        <w:t>patologiju upalnih bolesti crijeva.</w:t>
      </w:r>
      <w:r w:rsidRPr="00B74B0F">
        <w:rPr>
          <w:szCs w:val="22"/>
          <w:lang w:val="sr-Latn-ME"/>
        </w:rPr>
        <w:t xml:space="preserve"> Inhibicija JAK1 upadacitinibom modulira signalizaciju citokina </w:t>
      </w:r>
      <w:r w:rsidR="000E2A60" w:rsidRPr="00B74B0F">
        <w:rPr>
          <w:szCs w:val="22"/>
          <w:lang w:val="sr-Latn-ME"/>
        </w:rPr>
        <w:t xml:space="preserve">zavisnih </w:t>
      </w:r>
      <w:r w:rsidRPr="00B74B0F">
        <w:rPr>
          <w:szCs w:val="22"/>
          <w:lang w:val="sr-Latn-ME"/>
        </w:rPr>
        <w:t>o</w:t>
      </w:r>
      <w:r w:rsidR="000E2A60" w:rsidRPr="00B74B0F">
        <w:rPr>
          <w:szCs w:val="22"/>
          <w:lang w:val="sr-Latn-ME"/>
        </w:rPr>
        <w:t>d</w:t>
      </w:r>
      <w:r w:rsidRPr="00B74B0F">
        <w:rPr>
          <w:szCs w:val="22"/>
          <w:lang w:val="sr-Latn-ME"/>
        </w:rPr>
        <w:t xml:space="preserve"> JAK-</w:t>
      </w:r>
      <w:r w:rsidR="000E2A60" w:rsidRPr="00B74B0F">
        <w:rPr>
          <w:szCs w:val="22"/>
          <w:lang w:val="sr-Latn-ME"/>
        </w:rPr>
        <w:t>a</w:t>
      </w:r>
      <w:r w:rsidRPr="00B74B0F">
        <w:rPr>
          <w:szCs w:val="22"/>
          <w:lang w:val="sr-Latn-ME"/>
        </w:rPr>
        <w:t xml:space="preserve"> koji su osnova upalnog opterećenja te znakova i simptoma </w:t>
      </w:r>
      <w:r w:rsidR="002342CE" w:rsidRPr="00B74B0F">
        <w:rPr>
          <w:szCs w:val="22"/>
          <w:lang w:val="sr-Latn-ME"/>
        </w:rPr>
        <w:t>upalnih bolesti crijeva.</w:t>
      </w:r>
      <w:r w:rsidRPr="00B74B0F">
        <w:rPr>
          <w:szCs w:val="22"/>
          <w:lang w:val="sr-Latn-ME"/>
        </w:rPr>
        <w:t xml:space="preserve"> </w:t>
      </w:r>
    </w:p>
    <w:p w14:paraId="5CE4F0EC" w14:textId="77777777" w:rsidR="009F1DE3" w:rsidRPr="00B74B0F" w:rsidRDefault="009F1DE3">
      <w:pPr>
        <w:autoSpaceDE w:val="0"/>
        <w:autoSpaceDN w:val="0"/>
        <w:adjustRightInd w:val="0"/>
        <w:spacing w:line="240" w:lineRule="auto"/>
        <w:contextualSpacing/>
        <w:jc w:val="both"/>
        <w:rPr>
          <w:szCs w:val="22"/>
          <w:lang w:val="sr-Latn-ME"/>
        </w:rPr>
      </w:pPr>
    </w:p>
    <w:p w14:paraId="55FB7BE1" w14:textId="534081A0" w:rsidR="00C90DA2" w:rsidRPr="00B74B0F" w:rsidRDefault="00906CF8">
      <w:pPr>
        <w:keepNext/>
        <w:autoSpaceDE w:val="0"/>
        <w:autoSpaceDN w:val="0"/>
        <w:adjustRightInd w:val="0"/>
        <w:spacing w:line="240" w:lineRule="auto"/>
        <w:contextualSpacing/>
        <w:jc w:val="both"/>
        <w:rPr>
          <w:szCs w:val="22"/>
          <w:u w:val="single"/>
          <w:lang w:val="sr-Latn-ME"/>
        </w:rPr>
      </w:pPr>
      <w:r w:rsidRPr="00B74B0F">
        <w:rPr>
          <w:szCs w:val="22"/>
          <w:u w:val="single"/>
          <w:lang w:val="sr-Latn-ME"/>
        </w:rPr>
        <w:t xml:space="preserve">Farmakodinamički </w:t>
      </w:r>
      <w:r w:rsidR="0010469C" w:rsidRPr="00B74B0F">
        <w:rPr>
          <w:szCs w:val="22"/>
          <w:u w:val="single"/>
          <w:lang w:val="sr-Latn-ME"/>
        </w:rPr>
        <w:t>efekti</w:t>
      </w:r>
    </w:p>
    <w:p w14:paraId="2BCC4107" w14:textId="77777777" w:rsidR="00C90DA2" w:rsidRPr="00B74B0F" w:rsidRDefault="00C90DA2">
      <w:pPr>
        <w:keepNext/>
        <w:autoSpaceDE w:val="0"/>
        <w:autoSpaceDN w:val="0"/>
        <w:adjustRightInd w:val="0"/>
        <w:spacing w:line="240" w:lineRule="auto"/>
        <w:contextualSpacing/>
        <w:jc w:val="both"/>
        <w:rPr>
          <w:szCs w:val="22"/>
          <w:lang w:val="sr-Latn-ME"/>
        </w:rPr>
      </w:pPr>
    </w:p>
    <w:p w14:paraId="55E77EA9" w14:textId="09033FF8" w:rsidR="00322C06" w:rsidRPr="00B74B0F" w:rsidRDefault="00906CF8">
      <w:pPr>
        <w:keepNext/>
        <w:spacing w:line="240" w:lineRule="auto"/>
        <w:contextualSpacing/>
        <w:jc w:val="both"/>
        <w:rPr>
          <w:i/>
          <w:szCs w:val="22"/>
          <w:lang w:val="sr-Latn-ME"/>
        </w:rPr>
      </w:pPr>
      <w:r w:rsidRPr="00B74B0F">
        <w:rPr>
          <w:i/>
          <w:szCs w:val="22"/>
          <w:lang w:val="sr-Latn-ME"/>
        </w:rPr>
        <w:t>Inhibicija fosforilacije STAT3 indu</w:t>
      </w:r>
      <w:r w:rsidR="00E01076" w:rsidRPr="00B74B0F">
        <w:rPr>
          <w:i/>
          <w:szCs w:val="22"/>
          <w:lang w:val="sr-Latn-ME"/>
        </w:rPr>
        <w:t>kovane</w:t>
      </w:r>
      <w:r w:rsidRPr="00B74B0F">
        <w:rPr>
          <w:i/>
          <w:szCs w:val="22"/>
          <w:lang w:val="sr-Latn-ME"/>
        </w:rPr>
        <w:t xml:space="preserve"> djelovanjem IL</w:t>
      </w:r>
      <w:r w:rsidRPr="00B74B0F">
        <w:rPr>
          <w:i/>
          <w:szCs w:val="22"/>
          <w:lang w:val="sr-Latn-ME"/>
        </w:rPr>
        <w:noBreakHyphen/>
        <w:t>6 i fosforilacije STAT5 indu</w:t>
      </w:r>
      <w:r w:rsidR="00E01076" w:rsidRPr="00B74B0F">
        <w:rPr>
          <w:i/>
          <w:szCs w:val="22"/>
          <w:lang w:val="sr-Latn-ME"/>
        </w:rPr>
        <w:t>kovane</w:t>
      </w:r>
      <w:r w:rsidRPr="00B74B0F">
        <w:rPr>
          <w:i/>
          <w:szCs w:val="22"/>
          <w:lang w:val="sr-Latn-ME"/>
        </w:rPr>
        <w:t xml:space="preserve"> djelovanjem IL</w:t>
      </w:r>
      <w:r w:rsidRPr="00B74B0F">
        <w:rPr>
          <w:i/>
          <w:szCs w:val="22"/>
          <w:lang w:val="sr-Latn-ME"/>
        </w:rPr>
        <w:noBreakHyphen/>
        <w:t>7</w:t>
      </w:r>
    </w:p>
    <w:p w14:paraId="2CF3006C" w14:textId="77777777" w:rsidR="00322C06" w:rsidRPr="00B74B0F" w:rsidRDefault="00322C06">
      <w:pPr>
        <w:keepNext/>
        <w:spacing w:line="240" w:lineRule="auto"/>
        <w:contextualSpacing/>
        <w:jc w:val="both"/>
        <w:rPr>
          <w:szCs w:val="22"/>
          <w:lang w:val="sr-Latn-ME"/>
        </w:rPr>
      </w:pPr>
    </w:p>
    <w:p w14:paraId="0163FFB6" w14:textId="49BD4EC4" w:rsidR="00322C06" w:rsidRPr="00B74B0F" w:rsidRDefault="005B10CC">
      <w:pPr>
        <w:spacing w:line="240" w:lineRule="auto"/>
        <w:contextualSpacing/>
        <w:jc w:val="both"/>
        <w:rPr>
          <w:szCs w:val="22"/>
          <w:lang w:val="sr-Latn-ME"/>
        </w:rPr>
      </w:pPr>
      <w:r w:rsidRPr="00B74B0F">
        <w:rPr>
          <w:szCs w:val="22"/>
          <w:lang w:val="sr-Latn-ME"/>
        </w:rPr>
        <w:t xml:space="preserve">Kod </w:t>
      </w:r>
      <w:r w:rsidR="00906CF8" w:rsidRPr="00B74B0F">
        <w:rPr>
          <w:szCs w:val="22"/>
          <w:lang w:val="sr-Latn-ME"/>
        </w:rPr>
        <w:t>zdravih dobrovoljaca</w:t>
      </w:r>
      <w:r w:rsidRPr="00B74B0F">
        <w:rPr>
          <w:szCs w:val="22"/>
          <w:lang w:val="sr-Latn-ME"/>
        </w:rPr>
        <w:t xml:space="preserve"> je p</w:t>
      </w:r>
      <w:r w:rsidR="00906CF8" w:rsidRPr="00B74B0F">
        <w:rPr>
          <w:szCs w:val="22"/>
          <w:lang w:val="sr-Latn-ME"/>
        </w:rPr>
        <w:t>rimjena upadacitinib</w:t>
      </w:r>
      <w:r w:rsidR="00E01076" w:rsidRPr="00B74B0F">
        <w:rPr>
          <w:szCs w:val="22"/>
          <w:lang w:val="sr-Latn-ME"/>
        </w:rPr>
        <w:t>a</w:t>
      </w:r>
      <w:r w:rsidR="00906CF8" w:rsidRPr="00B74B0F">
        <w:rPr>
          <w:szCs w:val="22"/>
          <w:lang w:val="sr-Latn-ME"/>
        </w:rPr>
        <w:t xml:space="preserve"> (formulacij</w:t>
      </w:r>
      <w:r w:rsidRPr="00B74B0F">
        <w:rPr>
          <w:szCs w:val="22"/>
          <w:lang w:val="sr-Latn-ME"/>
        </w:rPr>
        <w:t>a</w:t>
      </w:r>
      <w:r w:rsidR="00906CF8" w:rsidRPr="00B74B0F">
        <w:rPr>
          <w:szCs w:val="22"/>
          <w:lang w:val="sr-Latn-ME"/>
        </w:rPr>
        <w:t xml:space="preserve"> s</w:t>
      </w:r>
      <w:r w:rsidR="007073FE" w:rsidRPr="00B74B0F">
        <w:rPr>
          <w:szCs w:val="22"/>
          <w:lang w:val="sr-Latn-ME"/>
        </w:rPr>
        <w:t>a</w:t>
      </w:r>
      <w:r w:rsidR="00906CF8" w:rsidRPr="00B74B0F">
        <w:rPr>
          <w:szCs w:val="22"/>
          <w:lang w:val="sr-Latn-ME"/>
        </w:rPr>
        <w:t xml:space="preserve"> trenutnim oslobađanjem) </w:t>
      </w:r>
      <w:r w:rsidR="00E95AA5" w:rsidRPr="00B74B0F">
        <w:rPr>
          <w:szCs w:val="22"/>
          <w:lang w:val="sr-Latn-ME"/>
        </w:rPr>
        <w:t xml:space="preserve"> rezult</w:t>
      </w:r>
      <w:r w:rsidR="000E7C02" w:rsidRPr="00B74B0F">
        <w:rPr>
          <w:szCs w:val="22"/>
          <w:lang w:val="sr-Latn-ME"/>
        </w:rPr>
        <w:t>ovala</w:t>
      </w:r>
      <w:r w:rsidRPr="00B74B0F">
        <w:rPr>
          <w:szCs w:val="22"/>
          <w:lang w:val="sr-Latn-ME"/>
        </w:rPr>
        <w:t xml:space="preserve"> </w:t>
      </w:r>
      <w:r w:rsidR="00735575" w:rsidRPr="00B74B0F">
        <w:rPr>
          <w:szCs w:val="22"/>
          <w:lang w:val="sr-Latn-ME"/>
        </w:rPr>
        <w:t xml:space="preserve">inhibicijom, </w:t>
      </w:r>
      <w:r w:rsidR="007073FE" w:rsidRPr="00B74B0F">
        <w:rPr>
          <w:szCs w:val="22"/>
          <w:lang w:val="sr-Latn-ME"/>
        </w:rPr>
        <w:t>za</w:t>
      </w:r>
      <w:r w:rsidR="00735575" w:rsidRPr="00B74B0F">
        <w:rPr>
          <w:szCs w:val="22"/>
          <w:lang w:val="sr-Latn-ME"/>
        </w:rPr>
        <w:t xml:space="preserve">visno </w:t>
      </w:r>
      <w:r w:rsidRPr="00B74B0F">
        <w:rPr>
          <w:szCs w:val="22"/>
          <w:lang w:val="sr-Latn-ME"/>
        </w:rPr>
        <w:t>o</w:t>
      </w:r>
      <w:r w:rsidR="007073FE" w:rsidRPr="00B74B0F">
        <w:rPr>
          <w:szCs w:val="22"/>
          <w:lang w:val="sr-Latn-ME"/>
        </w:rPr>
        <w:t>d</w:t>
      </w:r>
      <w:r w:rsidRPr="00B74B0F">
        <w:rPr>
          <w:szCs w:val="22"/>
          <w:lang w:val="sr-Latn-ME"/>
        </w:rPr>
        <w:t xml:space="preserve"> doz</w:t>
      </w:r>
      <w:r w:rsidR="007073FE" w:rsidRPr="00B74B0F">
        <w:rPr>
          <w:szCs w:val="22"/>
          <w:lang w:val="sr-Latn-ME"/>
        </w:rPr>
        <w:t>e</w:t>
      </w:r>
      <w:r w:rsidRPr="00B74B0F">
        <w:rPr>
          <w:szCs w:val="22"/>
          <w:lang w:val="sr-Latn-ME"/>
        </w:rPr>
        <w:t xml:space="preserve"> i koncentracij</w:t>
      </w:r>
      <w:r w:rsidR="00E01076" w:rsidRPr="00B74B0F">
        <w:rPr>
          <w:szCs w:val="22"/>
          <w:lang w:val="sr-Latn-ME"/>
        </w:rPr>
        <w:t>e</w:t>
      </w:r>
      <w:r w:rsidR="00735575" w:rsidRPr="00B74B0F">
        <w:rPr>
          <w:szCs w:val="22"/>
          <w:lang w:val="sr-Latn-ME"/>
        </w:rPr>
        <w:t>,</w:t>
      </w:r>
      <w:r w:rsidRPr="00B74B0F">
        <w:rPr>
          <w:szCs w:val="22"/>
          <w:lang w:val="sr-Latn-ME"/>
        </w:rPr>
        <w:t xml:space="preserve"> IL-6 (JAK1/JAK2)-indu</w:t>
      </w:r>
      <w:r w:rsidR="007073FE" w:rsidRPr="00B74B0F">
        <w:rPr>
          <w:szCs w:val="22"/>
          <w:lang w:val="sr-Latn-ME"/>
        </w:rPr>
        <w:t>kovan</w:t>
      </w:r>
      <w:r w:rsidR="00735575" w:rsidRPr="00B74B0F">
        <w:rPr>
          <w:szCs w:val="22"/>
          <w:lang w:val="sr-Latn-ME"/>
        </w:rPr>
        <w:t>a</w:t>
      </w:r>
      <w:r w:rsidRPr="00B74B0F">
        <w:rPr>
          <w:szCs w:val="22"/>
          <w:lang w:val="sr-Latn-ME"/>
        </w:rPr>
        <w:t xml:space="preserve"> STAT3</w:t>
      </w:r>
      <w:r w:rsidR="00735575" w:rsidRPr="00B74B0F">
        <w:rPr>
          <w:szCs w:val="22"/>
          <w:lang w:val="sr-Latn-ME"/>
        </w:rPr>
        <w:t xml:space="preserve"> fosforilacijom u punoj krvi</w:t>
      </w:r>
      <w:r w:rsidRPr="00B74B0F">
        <w:rPr>
          <w:szCs w:val="22"/>
          <w:lang w:val="sr-Latn-ME"/>
        </w:rPr>
        <w:t xml:space="preserve"> i  IL-7 (JAK1/JAK3)- indu</w:t>
      </w:r>
      <w:r w:rsidR="007073FE" w:rsidRPr="00B74B0F">
        <w:rPr>
          <w:szCs w:val="22"/>
          <w:lang w:val="sr-Latn-ME"/>
        </w:rPr>
        <w:t>kova</w:t>
      </w:r>
      <w:r w:rsidRPr="00B74B0F">
        <w:rPr>
          <w:szCs w:val="22"/>
          <w:lang w:val="sr-Latn-ME"/>
        </w:rPr>
        <w:t>n</w:t>
      </w:r>
      <w:r w:rsidR="00735575" w:rsidRPr="00B74B0F">
        <w:rPr>
          <w:szCs w:val="22"/>
          <w:lang w:val="sr-Latn-ME"/>
        </w:rPr>
        <w:t>a</w:t>
      </w:r>
      <w:r w:rsidRPr="00B74B0F">
        <w:rPr>
          <w:szCs w:val="22"/>
          <w:lang w:val="sr-Latn-ME"/>
        </w:rPr>
        <w:t xml:space="preserve"> STAT5 fosorilacijom u punoj krvi.</w:t>
      </w:r>
      <w:r w:rsidR="00F21985" w:rsidRPr="00B74B0F">
        <w:rPr>
          <w:szCs w:val="22"/>
          <w:lang w:val="sr-Latn-ME"/>
        </w:rPr>
        <w:t xml:space="preserve"> </w:t>
      </w:r>
      <w:r w:rsidR="009C0836" w:rsidRPr="00B74B0F">
        <w:rPr>
          <w:szCs w:val="22"/>
          <w:lang w:val="sr-Latn-ME"/>
        </w:rPr>
        <w:t>Maksimalna i</w:t>
      </w:r>
      <w:r w:rsidR="00906CF8" w:rsidRPr="00B74B0F">
        <w:rPr>
          <w:szCs w:val="22"/>
          <w:lang w:val="sr-Latn-ME"/>
        </w:rPr>
        <w:t>nhibicija</w:t>
      </w:r>
      <w:r w:rsidR="009C0836" w:rsidRPr="00B74B0F">
        <w:rPr>
          <w:szCs w:val="22"/>
          <w:lang w:val="sr-Latn-ME"/>
        </w:rPr>
        <w:t xml:space="preserve"> </w:t>
      </w:r>
      <w:r w:rsidR="00906CF8" w:rsidRPr="00B74B0F">
        <w:rPr>
          <w:szCs w:val="22"/>
          <w:lang w:val="sr-Latn-ME"/>
        </w:rPr>
        <w:t>je</w:t>
      </w:r>
      <w:r w:rsidR="0010469C" w:rsidRPr="00B74B0F">
        <w:rPr>
          <w:szCs w:val="22"/>
          <w:lang w:val="sr-Latn-ME"/>
        </w:rPr>
        <w:t xml:space="preserve"> prim</w:t>
      </w:r>
      <w:r w:rsidR="007073FE" w:rsidRPr="00B74B0F">
        <w:rPr>
          <w:szCs w:val="22"/>
          <w:lang w:val="sr-Latn-ME"/>
        </w:rPr>
        <w:t>i</w:t>
      </w:r>
      <w:r w:rsidR="0010469C" w:rsidRPr="00B74B0F">
        <w:rPr>
          <w:szCs w:val="22"/>
          <w:lang w:val="sr-Latn-ME"/>
        </w:rPr>
        <w:t>jećena</w:t>
      </w:r>
      <w:r w:rsidR="00906CF8" w:rsidRPr="00B74B0F">
        <w:rPr>
          <w:szCs w:val="22"/>
          <w:lang w:val="sr-Latn-ME"/>
        </w:rPr>
        <w:t xml:space="preserve"> </w:t>
      </w:r>
      <w:r w:rsidR="009C0836" w:rsidRPr="00B74B0F">
        <w:rPr>
          <w:szCs w:val="22"/>
          <w:lang w:val="sr-Latn-ME"/>
        </w:rPr>
        <w:t>1 </w:t>
      </w:r>
      <w:r w:rsidR="00906CF8" w:rsidRPr="00B74B0F">
        <w:rPr>
          <w:szCs w:val="22"/>
          <w:lang w:val="sr-Latn-ME"/>
        </w:rPr>
        <w:t>sat nakon primjene</w:t>
      </w:r>
      <w:r w:rsidR="009C0836" w:rsidRPr="00B74B0F">
        <w:rPr>
          <w:szCs w:val="22"/>
          <w:lang w:val="sr-Latn-ME"/>
        </w:rPr>
        <w:t xml:space="preserve"> doze lijeka</w:t>
      </w:r>
      <w:r w:rsidR="00906CF8" w:rsidRPr="00B74B0F">
        <w:rPr>
          <w:szCs w:val="22"/>
          <w:lang w:val="sr-Latn-ME"/>
        </w:rPr>
        <w:t>, a do kraja intervala doziranja vratila se gotovo na počet</w:t>
      </w:r>
      <w:r w:rsidR="00CF258F" w:rsidRPr="00B74B0F">
        <w:rPr>
          <w:szCs w:val="22"/>
          <w:lang w:val="sr-Latn-ME"/>
        </w:rPr>
        <w:t>an</w:t>
      </w:r>
      <w:r w:rsidR="00906CF8" w:rsidRPr="00B74B0F">
        <w:rPr>
          <w:szCs w:val="22"/>
          <w:lang w:val="sr-Latn-ME"/>
        </w:rPr>
        <w:t xml:space="preserve"> </w:t>
      </w:r>
      <w:r w:rsidR="00CF258F" w:rsidRPr="00B74B0F">
        <w:rPr>
          <w:szCs w:val="22"/>
          <w:lang w:val="sr-Latn-ME"/>
        </w:rPr>
        <w:t>nivo</w:t>
      </w:r>
      <w:r w:rsidR="00906CF8" w:rsidRPr="00B74B0F">
        <w:rPr>
          <w:szCs w:val="22"/>
          <w:lang w:val="sr-Latn-ME"/>
        </w:rPr>
        <w:t>.</w:t>
      </w:r>
    </w:p>
    <w:p w14:paraId="74559FBD" w14:textId="77777777" w:rsidR="003D0F71" w:rsidRPr="00B74B0F" w:rsidRDefault="003D0F71">
      <w:pPr>
        <w:spacing w:line="240" w:lineRule="auto"/>
        <w:contextualSpacing/>
        <w:jc w:val="both"/>
        <w:rPr>
          <w:i/>
          <w:szCs w:val="22"/>
          <w:lang w:val="sr-Latn-ME"/>
        </w:rPr>
      </w:pPr>
    </w:p>
    <w:p w14:paraId="13DDFF77" w14:textId="77777777" w:rsidR="00322C06" w:rsidRPr="00B74B0F" w:rsidRDefault="00906CF8">
      <w:pPr>
        <w:keepNext/>
        <w:spacing w:line="240" w:lineRule="auto"/>
        <w:contextualSpacing/>
        <w:jc w:val="both"/>
        <w:rPr>
          <w:i/>
          <w:szCs w:val="22"/>
          <w:lang w:val="sr-Latn-ME"/>
        </w:rPr>
      </w:pPr>
      <w:r w:rsidRPr="00B74B0F">
        <w:rPr>
          <w:i/>
          <w:szCs w:val="22"/>
          <w:lang w:val="sr-Latn-ME"/>
        </w:rPr>
        <w:t>Limfociti</w:t>
      </w:r>
    </w:p>
    <w:p w14:paraId="469E232A" w14:textId="77777777" w:rsidR="00322C06" w:rsidRPr="00B74B0F" w:rsidRDefault="00322C06">
      <w:pPr>
        <w:keepNext/>
        <w:spacing w:line="240" w:lineRule="auto"/>
        <w:contextualSpacing/>
        <w:jc w:val="both"/>
        <w:rPr>
          <w:i/>
          <w:szCs w:val="22"/>
          <w:lang w:val="sr-Latn-ME"/>
        </w:rPr>
      </w:pPr>
    </w:p>
    <w:p w14:paraId="3BB7DF2B" w14:textId="4259667B" w:rsidR="009C00D6" w:rsidRPr="00B74B0F" w:rsidRDefault="005A508A">
      <w:pPr>
        <w:spacing w:line="240" w:lineRule="auto"/>
        <w:contextualSpacing/>
        <w:jc w:val="both"/>
        <w:rPr>
          <w:szCs w:val="22"/>
          <w:lang w:val="sr-Latn-ME"/>
        </w:rPr>
      </w:pPr>
      <w:r w:rsidRPr="00B74B0F">
        <w:rPr>
          <w:szCs w:val="22"/>
          <w:lang w:val="sr-Latn-ME"/>
        </w:rPr>
        <w:t>Kod pacijenata sa reumatoidnim artritisom l</w:t>
      </w:r>
      <w:r w:rsidR="00906CF8" w:rsidRPr="00B74B0F">
        <w:rPr>
          <w:szCs w:val="22"/>
          <w:lang w:val="sr-Latn-ME"/>
        </w:rPr>
        <w:t>iječenje</w:t>
      </w:r>
      <w:r w:rsidR="0010469C" w:rsidRPr="00B74B0F">
        <w:rPr>
          <w:szCs w:val="22"/>
          <w:lang w:val="sr-Latn-ME"/>
        </w:rPr>
        <w:t xml:space="preserve"> </w:t>
      </w:r>
      <w:r w:rsidR="00906CF8" w:rsidRPr="00B74B0F">
        <w:rPr>
          <w:szCs w:val="22"/>
          <w:lang w:val="sr-Latn-ME"/>
        </w:rPr>
        <w:t>upadacitinib</w:t>
      </w:r>
      <w:r w:rsidR="00E01076" w:rsidRPr="00B74B0F">
        <w:rPr>
          <w:szCs w:val="22"/>
          <w:lang w:val="sr-Latn-ME"/>
        </w:rPr>
        <w:t>om</w:t>
      </w:r>
      <w:r w:rsidR="00906CF8" w:rsidRPr="00B74B0F">
        <w:rPr>
          <w:szCs w:val="22"/>
          <w:lang w:val="sr-Latn-ME"/>
        </w:rPr>
        <w:t xml:space="preserve"> bilo je povezano s</w:t>
      </w:r>
      <w:r w:rsidR="007073FE" w:rsidRPr="00B74B0F">
        <w:rPr>
          <w:szCs w:val="22"/>
          <w:lang w:val="sr-Latn-ME"/>
        </w:rPr>
        <w:t>a</w:t>
      </w:r>
      <w:r w:rsidR="00906CF8" w:rsidRPr="00B74B0F">
        <w:rPr>
          <w:szCs w:val="22"/>
          <w:lang w:val="sr-Latn-ME"/>
        </w:rPr>
        <w:t xml:space="preserve"> malim, prolaznim porastom srednje vrijednosti ABL</w:t>
      </w:r>
      <w:r w:rsidR="00906CF8" w:rsidRPr="00B74B0F">
        <w:rPr>
          <w:szCs w:val="22"/>
          <w:lang w:val="sr-Latn-ME"/>
        </w:rPr>
        <w:noBreakHyphen/>
        <w:t xml:space="preserve">a od početka ispitivanja do </w:t>
      </w:r>
      <w:r w:rsidR="00E01076" w:rsidRPr="00B74B0F">
        <w:rPr>
          <w:szCs w:val="22"/>
          <w:lang w:val="sr-Latn-ME"/>
        </w:rPr>
        <w:t>36. n</w:t>
      </w:r>
      <w:r w:rsidR="008806F8" w:rsidRPr="00B74B0F">
        <w:rPr>
          <w:szCs w:val="22"/>
          <w:lang w:val="sr-Latn-ME"/>
        </w:rPr>
        <w:t>ed</w:t>
      </w:r>
      <w:r w:rsidR="00E01076" w:rsidRPr="00B74B0F">
        <w:rPr>
          <w:szCs w:val="22"/>
          <w:lang w:val="sr-Latn-ME"/>
        </w:rPr>
        <w:t>j</w:t>
      </w:r>
      <w:r w:rsidR="008806F8" w:rsidRPr="00B74B0F">
        <w:rPr>
          <w:szCs w:val="22"/>
          <w:lang w:val="sr-Latn-ME"/>
        </w:rPr>
        <w:t>elje</w:t>
      </w:r>
      <w:r w:rsidR="00906CF8" w:rsidRPr="00B74B0F">
        <w:rPr>
          <w:szCs w:val="22"/>
          <w:lang w:val="sr-Latn-ME"/>
        </w:rPr>
        <w:t>, koj</w:t>
      </w:r>
      <w:r w:rsidR="009C0836" w:rsidRPr="00B74B0F">
        <w:rPr>
          <w:szCs w:val="22"/>
          <w:lang w:val="sr-Latn-ME"/>
        </w:rPr>
        <w:t>i</w:t>
      </w:r>
      <w:r w:rsidR="00906CF8" w:rsidRPr="00B74B0F">
        <w:rPr>
          <w:szCs w:val="22"/>
          <w:lang w:val="sr-Latn-ME"/>
        </w:rPr>
        <w:t xml:space="preserve"> se </w:t>
      </w:r>
      <w:r w:rsidR="009C0836" w:rsidRPr="00B74B0F">
        <w:rPr>
          <w:szCs w:val="22"/>
          <w:lang w:val="sr-Latn-ME"/>
        </w:rPr>
        <w:t>s</w:t>
      </w:r>
      <w:r w:rsidR="007073FE" w:rsidRPr="00B74B0F">
        <w:rPr>
          <w:szCs w:val="22"/>
          <w:lang w:val="sr-Latn-ME"/>
        </w:rPr>
        <w:t>a</w:t>
      </w:r>
      <w:r w:rsidR="009C0836" w:rsidRPr="00B74B0F">
        <w:rPr>
          <w:szCs w:val="22"/>
          <w:lang w:val="sr-Latn-ME"/>
        </w:rPr>
        <w:t xml:space="preserve"> nastav</w:t>
      </w:r>
      <w:r w:rsidR="00906CF8" w:rsidRPr="00B74B0F">
        <w:rPr>
          <w:szCs w:val="22"/>
          <w:lang w:val="sr-Latn-ME"/>
        </w:rPr>
        <w:t>k</w:t>
      </w:r>
      <w:r w:rsidR="009C0836" w:rsidRPr="00B74B0F">
        <w:rPr>
          <w:szCs w:val="22"/>
          <w:lang w:val="sr-Latn-ME"/>
        </w:rPr>
        <w:t>om</w:t>
      </w:r>
      <w:r w:rsidR="00906CF8" w:rsidRPr="00B74B0F">
        <w:rPr>
          <w:szCs w:val="22"/>
          <w:lang w:val="sr-Latn-ME"/>
        </w:rPr>
        <w:t xml:space="preserve"> liječenja post</w:t>
      </w:r>
      <w:r w:rsidR="0010469C" w:rsidRPr="00B74B0F">
        <w:rPr>
          <w:szCs w:val="22"/>
          <w:lang w:val="sr-Latn-ME"/>
        </w:rPr>
        <w:t>epeno</w:t>
      </w:r>
      <w:r w:rsidR="00906CF8" w:rsidRPr="00B74B0F">
        <w:rPr>
          <w:szCs w:val="22"/>
          <w:lang w:val="sr-Latn-ME"/>
        </w:rPr>
        <w:t xml:space="preserve"> vrati</w:t>
      </w:r>
      <w:r w:rsidR="009C0836" w:rsidRPr="00B74B0F">
        <w:rPr>
          <w:szCs w:val="22"/>
          <w:lang w:val="sr-Latn-ME"/>
        </w:rPr>
        <w:t>o</w:t>
      </w:r>
      <w:r w:rsidR="00906CF8" w:rsidRPr="00B74B0F">
        <w:rPr>
          <w:szCs w:val="22"/>
          <w:lang w:val="sr-Latn-ME"/>
        </w:rPr>
        <w:t xml:space="preserve"> na početnu vrijednost ili blizu te vrijednosti.</w:t>
      </w:r>
    </w:p>
    <w:p w14:paraId="17F95774" w14:textId="77777777" w:rsidR="00322C06" w:rsidRPr="00B74B0F" w:rsidRDefault="00322C06">
      <w:pPr>
        <w:autoSpaceDE w:val="0"/>
        <w:autoSpaceDN w:val="0"/>
        <w:adjustRightInd w:val="0"/>
        <w:spacing w:line="240" w:lineRule="auto"/>
        <w:contextualSpacing/>
        <w:jc w:val="both"/>
        <w:rPr>
          <w:szCs w:val="22"/>
          <w:lang w:val="sr-Latn-ME"/>
        </w:rPr>
      </w:pPr>
    </w:p>
    <w:p w14:paraId="539CC705" w14:textId="77777777" w:rsidR="00322C06"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lastRenderedPageBreak/>
        <w:t>C</w:t>
      </w:r>
      <w:r w:rsidRPr="00B74B0F">
        <w:rPr>
          <w:i/>
          <w:szCs w:val="22"/>
          <w:lang w:val="sr-Latn-ME"/>
        </w:rPr>
        <w:noBreakHyphen/>
        <w:t>reaktivni protein visoke osjetljivosti (hsCRP)</w:t>
      </w:r>
    </w:p>
    <w:p w14:paraId="408BE867" w14:textId="77777777" w:rsidR="00322C06" w:rsidRPr="00B74B0F" w:rsidRDefault="00322C06">
      <w:pPr>
        <w:keepNext/>
        <w:autoSpaceDE w:val="0"/>
        <w:autoSpaceDN w:val="0"/>
        <w:adjustRightInd w:val="0"/>
        <w:spacing w:line="240" w:lineRule="auto"/>
        <w:contextualSpacing/>
        <w:jc w:val="both"/>
        <w:rPr>
          <w:szCs w:val="22"/>
          <w:lang w:val="sr-Latn-ME"/>
        </w:rPr>
      </w:pPr>
    </w:p>
    <w:p w14:paraId="525F8C3C" w14:textId="7C67DBDE" w:rsidR="009C26CF" w:rsidRPr="00B74B0F" w:rsidRDefault="005A508A">
      <w:pPr>
        <w:spacing w:line="240" w:lineRule="auto"/>
        <w:contextualSpacing/>
        <w:jc w:val="both"/>
        <w:rPr>
          <w:szCs w:val="22"/>
          <w:lang w:val="sr-Latn-ME"/>
        </w:rPr>
      </w:pPr>
      <w:r w:rsidRPr="00B74B0F">
        <w:rPr>
          <w:szCs w:val="22"/>
          <w:lang w:val="sr-Latn-ME"/>
        </w:rPr>
        <w:t>Kod pacijenata sa reumatoidnim artritisom l</w:t>
      </w:r>
      <w:r w:rsidR="00906CF8" w:rsidRPr="00B74B0F">
        <w:rPr>
          <w:szCs w:val="22"/>
          <w:lang w:val="sr-Latn-ME"/>
        </w:rPr>
        <w:t>iječenje</w:t>
      </w:r>
      <w:r w:rsidR="00342200" w:rsidRPr="00B74B0F">
        <w:rPr>
          <w:szCs w:val="22"/>
          <w:lang w:val="sr-Latn-ME"/>
        </w:rPr>
        <w:t xml:space="preserve"> </w:t>
      </w:r>
      <w:r w:rsidR="00906CF8" w:rsidRPr="00B74B0F">
        <w:rPr>
          <w:szCs w:val="22"/>
          <w:lang w:val="sr-Latn-ME"/>
        </w:rPr>
        <w:t>upadacitinib</w:t>
      </w:r>
      <w:r w:rsidR="00E01076" w:rsidRPr="00B74B0F">
        <w:rPr>
          <w:szCs w:val="22"/>
          <w:lang w:val="sr-Latn-ME"/>
        </w:rPr>
        <w:t>om</w:t>
      </w:r>
      <w:r w:rsidR="00906CF8" w:rsidRPr="00B74B0F">
        <w:rPr>
          <w:szCs w:val="22"/>
          <w:lang w:val="sr-Latn-ME"/>
        </w:rPr>
        <w:t xml:space="preserve"> bilo je povezano sa značajnim sniženjima srednjih vrijednosti hsCRP</w:t>
      </w:r>
      <w:r w:rsidR="00906CF8" w:rsidRPr="00B74B0F">
        <w:rPr>
          <w:szCs w:val="22"/>
          <w:lang w:val="sr-Latn-ME"/>
        </w:rPr>
        <w:noBreakHyphen/>
        <w:t>a od početn</w:t>
      </w:r>
      <w:r w:rsidR="00342200" w:rsidRPr="00B74B0F">
        <w:rPr>
          <w:szCs w:val="22"/>
          <w:lang w:val="sr-Latn-ME"/>
        </w:rPr>
        <w:t>ih vrjednosti</w:t>
      </w:r>
      <w:r w:rsidR="00906CF8" w:rsidRPr="00B74B0F">
        <w:rPr>
          <w:szCs w:val="22"/>
          <w:lang w:val="sr-Latn-ME"/>
        </w:rPr>
        <w:t xml:space="preserve"> već u</w:t>
      </w:r>
      <w:r w:rsidR="00550A33" w:rsidRPr="00B74B0F">
        <w:rPr>
          <w:szCs w:val="22"/>
          <w:lang w:val="sr-Latn-ME"/>
        </w:rPr>
        <w:t xml:space="preserve"> </w:t>
      </w:r>
      <w:r w:rsidR="00906CF8" w:rsidRPr="00B74B0F">
        <w:rPr>
          <w:szCs w:val="22"/>
          <w:lang w:val="sr-Latn-ME"/>
        </w:rPr>
        <w:t>1</w:t>
      </w:r>
      <w:r w:rsidR="00E572D9" w:rsidRPr="00B74B0F">
        <w:rPr>
          <w:szCs w:val="22"/>
          <w:lang w:val="sr-Latn-ME"/>
        </w:rPr>
        <w:t>.</w:t>
      </w:r>
      <w:r w:rsidR="00550A33" w:rsidRPr="00B74B0F">
        <w:rPr>
          <w:szCs w:val="22"/>
          <w:lang w:val="sr-Latn-ME"/>
        </w:rPr>
        <w:t xml:space="preserve"> ned</w:t>
      </w:r>
      <w:r w:rsidR="00E01076" w:rsidRPr="00B74B0F">
        <w:rPr>
          <w:szCs w:val="22"/>
          <w:lang w:val="sr-Latn-ME"/>
        </w:rPr>
        <w:t>j</w:t>
      </w:r>
      <w:r w:rsidR="00550A33" w:rsidRPr="00B74B0F">
        <w:rPr>
          <w:szCs w:val="22"/>
          <w:lang w:val="sr-Latn-ME"/>
        </w:rPr>
        <w:t>elji</w:t>
      </w:r>
      <w:r w:rsidR="00906CF8" w:rsidRPr="00B74B0F">
        <w:rPr>
          <w:szCs w:val="22"/>
          <w:lang w:val="sr-Latn-ME"/>
        </w:rPr>
        <w:t>, koja su se održala i u nastavk</w:t>
      </w:r>
      <w:r w:rsidR="00E01076" w:rsidRPr="00B74B0F">
        <w:rPr>
          <w:szCs w:val="22"/>
          <w:lang w:val="sr-Latn-ME"/>
        </w:rPr>
        <w:t>u</w:t>
      </w:r>
      <w:r w:rsidR="00906CF8" w:rsidRPr="00B74B0F">
        <w:rPr>
          <w:szCs w:val="22"/>
          <w:lang w:val="sr-Latn-ME"/>
        </w:rPr>
        <w:t xml:space="preserve"> liječenja.</w:t>
      </w:r>
    </w:p>
    <w:p w14:paraId="62338AA8" w14:textId="73BF470E" w:rsidR="007B01D5" w:rsidRPr="00B74B0F" w:rsidRDefault="007B01D5">
      <w:pPr>
        <w:spacing w:line="240" w:lineRule="auto"/>
        <w:contextualSpacing/>
        <w:jc w:val="both"/>
        <w:rPr>
          <w:szCs w:val="22"/>
          <w:lang w:val="sr-Latn-ME"/>
        </w:rPr>
      </w:pPr>
    </w:p>
    <w:p w14:paraId="678B3A63" w14:textId="27F661F0" w:rsidR="007B01D5" w:rsidRPr="00B74B0F" w:rsidRDefault="007B01D5">
      <w:pPr>
        <w:spacing w:line="240" w:lineRule="auto"/>
        <w:contextualSpacing/>
        <w:jc w:val="both"/>
        <w:rPr>
          <w:i/>
          <w:iCs/>
          <w:noProof/>
          <w:szCs w:val="22"/>
          <w:lang w:val="sr-Latn-ME"/>
        </w:rPr>
      </w:pPr>
      <w:r w:rsidRPr="00B74B0F">
        <w:rPr>
          <w:i/>
          <w:iCs/>
          <w:noProof/>
          <w:szCs w:val="22"/>
          <w:lang w:val="sr-Latn-ME"/>
        </w:rPr>
        <w:t xml:space="preserve">Ispitivanje </w:t>
      </w:r>
      <w:r w:rsidR="001604BA" w:rsidRPr="00B74B0F">
        <w:rPr>
          <w:i/>
          <w:iCs/>
          <w:noProof/>
          <w:szCs w:val="22"/>
          <w:lang w:val="sr-Latn-ME"/>
        </w:rPr>
        <w:t>vakcina</w:t>
      </w:r>
    </w:p>
    <w:p w14:paraId="634BC5EC" w14:textId="77777777" w:rsidR="007B01D5" w:rsidRPr="00B74B0F" w:rsidRDefault="007B01D5">
      <w:pPr>
        <w:spacing w:line="240" w:lineRule="auto"/>
        <w:contextualSpacing/>
        <w:jc w:val="both"/>
        <w:rPr>
          <w:noProof/>
          <w:szCs w:val="22"/>
          <w:lang w:val="sr-Latn-ME"/>
        </w:rPr>
      </w:pPr>
    </w:p>
    <w:p w14:paraId="77BD8D6E" w14:textId="04AB499A" w:rsidR="002611FF" w:rsidRPr="00B74B0F" w:rsidRDefault="002611FF" w:rsidP="002611FF">
      <w:pPr>
        <w:spacing w:line="240" w:lineRule="auto"/>
        <w:contextualSpacing/>
        <w:jc w:val="both"/>
        <w:rPr>
          <w:noProof/>
          <w:szCs w:val="22"/>
          <w:lang w:val="sr-Latn-ME"/>
        </w:rPr>
      </w:pPr>
      <w:r w:rsidRPr="00B74B0F">
        <w:rPr>
          <w:noProof/>
          <w:szCs w:val="22"/>
          <w:lang w:val="sr-Latn-ME"/>
        </w:rPr>
        <w:t>Uticaj upadacitiniba na humoralni odgovor nakon primjene adjuvantne rekombinantne glikoproteine E herpes zoster vakcine procijenjen je kod 93 pacijenta sa reumatoidnim artritisom pod stabilnom terapijom upadacitinibom u dozi od 15 mg. 98% pacijenata istovremeno je primalo metotreksat. 49% pacijenata je bilo na oralnim kortikosteroidima na početku ispitivanja.  Primarni parametar praćenja je bio udio pacijenata sa zadovoljavajućim humoralnim odgovorom definisanim kao ≥ četvorostuko povećanje nivoa titra koncentracije  anti-glikoproteina E u 16. nedelji (4 nedelje poslije vakcinacije 2. dozom). Vakcinacija pacijenata liječenih upadacitinibom u dozi od 15 mg rezultirala je zadovoljavajućim humoralnim odgovorom kod 79/90 (88% [95% CI: 81,0, 94,5]) pacijenata u 16. nedelji.</w:t>
      </w:r>
    </w:p>
    <w:p w14:paraId="3A333C89" w14:textId="77777777" w:rsidR="002611FF" w:rsidRPr="00B74B0F" w:rsidRDefault="002611FF" w:rsidP="002611FF">
      <w:pPr>
        <w:spacing w:line="240" w:lineRule="auto"/>
        <w:contextualSpacing/>
        <w:jc w:val="both"/>
        <w:rPr>
          <w:noProof/>
          <w:szCs w:val="22"/>
          <w:lang w:val="sr-Latn-ME"/>
        </w:rPr>
      </w:pPr>
    </w:p>
    <w:p w14:paraId="6CF4E664" w14:textId="1C2B7A64" w:rsidR="007B01D5" w:rsidRPr="00B74B0F" w:rsidRDefault="007B01D5">
      <w:pPr>
        <w:spacing w:line="240" w:lineRule="auto"/>
        <w:contextualSpacing/>
        <w:jc w:val="both"/>
        <w:rPr>
          <w:noProof/>
          <w:szCs w:val="22"/>
          <w:lang w:val="sr-Latn-ME"/>
        </w:rPr>
      </w:pPr>
      <w:r w:rsidRPr="00B74B0F">
        <w:rPr>
          <w:noProof/>
          <w:szCs w:val="22"/>
          <w:lang w:val="sr-Latn-ME"/>
        </w:rPr>
        <w:t>Uticaj upadacitiniba na humoralni odgovor nakon primjene inaktiviran</w:t>
      </w:r>
      <w:r w:rsidR="000E2A60" w:rsidRPr="00B74B0F">
        <w:rPr>
          <w:noProof/>
          <w:szCs w:val="22"/>
          <w:lang w:val="sr-Latn-ME"/>
        </w:rPr>
        <w:t>e</w:t>
      </w:r>
      <w:r w:rsidRPr="00B74B0F">
        <w:rPr>
          <w:noProof/>
          <w:szCs w:val="22"/>
          <w:lang w:val="sr-Latn-ME"/>
        </w:rPr>
        <w:t xml:space="preserve"> pneumokokne polisaharidne konjugovane </w:t>
      </w:r>
      <w:r w:rsidR="005F0BCA" w:rsidRPr="00B74B0F">
        <w:rPr>
          <w:noProof/>
          <w:szCs w:val="22"/>
          <w:lang w:val="sr-Latn-ME"/>
        </w:rPr>
        <w:t>vakcine</w:t>
      </w:r>
      <w:r w:rsidRPr="00B74B0F">
        <w:rPr>
          <w:noProof/>
          <w:szCs w:val="22"/>
          <w:lang w:val="sr-Latn-ME"/>
        </w:rPr>
        <w:t xml:space="preserve"> (13-valentn</w:t>
      </w:r>
      <w:r w:rsidR="005F0BCA" w:rsidRPr="00B74B0F">
        <w:rPr>
          <w:noProof/>
          <w:szCs w:val="22"/>
          <w:lang w:val="sr-Latn-ME"/>
        </w:rPr>
        <w:t>a</w:t>
      </w:r>
      <w:r w:rsidRPr="00B74B0F">
        <w:rPr>
          <w:noProof/>
          <w:szCs w:val="22"/>
          <w:lang w:val="sr-Latn-ME"/>
        </w:rPr>
        <w:t>, adsorb</w:t>
      </w:r>
      <w:r w:rsidR="005F0BCA" w:rsidRPr="00B74B0F">
        <w:rPr>
          <w:noProof/>
          <w:szCs w:val="22"/>
          <w:lang w:val="sr-Latn-ME"/>
        </w:rPr>
        <w:t>ovana</w:t>
      </w:r>
      <w:r w:rsidRPr="00B74B0F">
        <w:rPr>
          <w:noProof/>
          <w:szCs w:val="22"/>
          <w:lang w:val="sr-Latn-ME"/>
        </w:rPr>
        <w:t xml:space="preserve">) procijenjen je </w:t>
      </w:r>
      <w:r w:rsidR="005F0BCA" w:rsidRPr="00B74B0F">
        <w:rPr>
          <w:noProof/>
          <w:szCs w:val="22"/>
          <w:lang w:val="sr-Latn-ME"/>
        </w:rPr>
        <w:t>kod</w:t>
      </w:r>
      <w:r w:rsidRPr="00B74B0F">
        <w:rPr>
          <w:noProof/>
          <w:szCs w:val="22"/>
          <w:lang w:val="sr-Latn-ME"/>
        </w:rPr>
        <w:t xml:space="preserve"> 111 </w:t>
      </w:r>
      <w:r w:rsidR="005F0BCA" w:rsidRPr="00B74B0F">
        <w:rPr>
          <w:noProof/>
          <w:szCs w:val="22"/>
          <w:lang w:val="sr-Latn-ME"/>
        </w:rPr>
        <w:t xml:space="preserve">pacijenata </w:t>
      </w:r>
      <w:r w:rsidRPr="00B74B0F">
        <w:rPr>
          <w:noProof/>
          <w:szCs w:val="22"/>
          <w:lang w:val="sr-Latn-ME"/>
        </w:rPr>
        <w:t>s</w:t>
      </w:r>
      <w:r w:rsidR="005F0BCA" w:rsidRPr="00B74B0F">
        <w:rPr>
          <w:noProof/>
          <w:szCs w:val="22"/>
          <w:lang w:val="sr-Latn-ME"/>
        </w:rPr>
        <w:t>a</w:t>
      </w:r>
      <w:r w:rsidRPr="00B74B0F">
        <w:rPr>
          <w:noProof/>
          <w:szCs w:val="22"/>
          <w:lang w:val="sr-Latn-ME"/>
        </w:rPr>
        <w:t xml:space="preserve"> reumatoidnim artritisom pod stabilnom terapijom upadacitinibom u dozi od 15 mg (n = 87) ili 30 mg (n = 24). 97% </w:t>
      </w:r>
      <w:r w:rsidR="00181042" w:rsidRPr="00B74B0F">
        <w:rPr>
          <w:noProof/>
          <w:szCs w:val="22"/>
          <w:lang w:val="sr-Latn-ME"/>
        </w:rPr>
        <w:t>pacijenata</w:t>
      </w:r>
      <w:r w:rsidRPr="00B74B0F">
        <w:rPr>
          <w:noProof/>
          <w:szCs w:val="22"/>
          <w:lang w:val="sr-Latn-ME"/>
        </w:rPr>
        <w:t xml:space="preserve"> (n = 108) isto</w:t>
      </w:r>
      <w:r w:rsidR="005F0BCA" w:rsidRPr="00B74B0F">
        <w:rPr>
          <w:noProof/>
          <w:szCs w:val="22"/>
          <w:lang w:val="sr-Latn-ME"/>
        </w:rPr>
        <w:t>vremeno</w:t>
      </w:r>
      <w:r w:rsidRPr="00B74B0F">
        <w:rPr>
          <w:noProof/>
          <w:szCs w:val="22"/>
          <w:lang w:val="sr-Latn-ME"/>
        </w:rPr>
        <w:t xml:space="preserve"> je primalo metotreksat. Primarn</w:t>
      </w:r>
      <w:r w:rsidR="002602C0" w:rsidRPr="00B74B0F">
        <w:rPr>
          <w:noProof/>
          <w:szCs w:val="22"/>
          <w:lang w:val="sr-Latn-ME"/>
        </w:rPr>
        <w:t>i parametar praćenja</w:t>
      </w:r>
      <w:r w:rsidRPr="00B74B0F">
        <w:rPr>
          <w:noProof/>
          <w:szCs w:val="22"/>
          <w:lang w:val="sr-Latn-ME"/>
        </w:rPr>
        <w:t xml:space="preserve"> bi</w:t>
      </w:r>
      <w:r w:rsidR="002602C0" w:rsidRPr="00B74B0F">
        <w:rPr>
          <w:noProof/>
          <w:szCs w:val="22"/>
          <w:lang w:val="sr-Latn-ME"/>
        </w:rPr>
        <w:t>o</w:t>
      </w:r>
      <w:r w:rsidRPr="00B74B0F">
        <w:rPr>
          <w:noProof/>
          <w:szCs w:val="22"/>
          <w:lang w:val="sr-Latn-ME"/>
        </w:rPr>
        <w:t xml:space="preserve"> je udio </w:t>
      </w:r>
      <w:r w:rsidR="005F0BCA" w:rsidRPr="00B74B0F">
        <w:rPr>
          <w:noProof/>
          <w:szCs w:val="22"/>
          <w:lang w:val="sr-Latn-ME"/>
        </w:rPr>
        <w:t xml:space="preserve">pacijenata </w:t>
      </w:r>
      <w:r w:rsidRPr="00B74B0F">
        <w:rPr>
          <w:noProof/>
          <w:szCs w:val="22"/>
          <w:lang w:val="sr-Latn-ME"/>
        </w:rPr>
        <w:t>sa zadovoljavajućim humoralnim odgovorom defini</w:t>
      </w:r>
      <w:r w:rsidR="005F0BCA" w:rsidRPr="00B74B0F">
        <w:rPr>
          <w:noProof/>
          <w:szCs w:val="22"/>
          <w:lang w:val="sr-Latn-ME"/>
        </w:rPr>
        <w:t>sanim</w:t>
      </w:r>
      <w:r w:rsidRPr="00B74B0F">
        <w:rPr>
          <w:noProof/>
          <w:szCs w:val="22"/>
          <w:lang w:val="sr-Latn-ME"/>
        </w:rPr>
        <w:t xml:space="preserve"> kao ≥ dvostruko povećanje koncentracije antitijela od početne vrijednosti do 4. </w:t>
      </w:r>
      <w:r w:rsidR="002602C0" w:rsidRPr="00B74B0F">
        <w:rPr>
          <w:noProof/>
          <w:szCs w:val="22"/>
          <w:lang w:val="sr-Latn-ME"/>
        </w:rPr>
        <w:t>n</w:t>
      </w:r>
      <w:r w:rsidR="005F0BCA" w:rsidRPr="00B74B0F">
        <w:rPr>
          <w:noProof/>
          <w:szCs w:val="22"/>
          <w:lang w:val="sr-Latn-ME"/>
        </w:rPr>
        <w:t>ed</w:t>
      </w:r>
      <w:r w:rsidR="002602C0" w:rsidRPr="00B74B0F">
        <w:rPr>
          <w:noProof/>
          <w:szCs w:val="22"/>
          <w:lang w:val="sr-Latn-ME"/>
        </w:rPr>
        <w:t>j</w:t>
      </w:r>
      <w:r w:rsidR="005F0BCA" w:rsidRPr="00B74B0F">
        <w:rPr>
          <w:noProof/>
          <w:szCs w:val="22"/>
          <w:lang w:val="sr-Latn-ME"/>
        </w:rPr>
        <w:t xml:space="preserve">elje </w:t>
      </w:r>
      <w:r w:rsidRPr="00B74B0F">
        <w:rPr>
          <w:noProof/>
          <w:szCs w:val="22"/>
          <w:lang w:val="sr-Latn-ME"/>
        </w:rPr>
        <w:t xml:space="preserve">u najmanje 6 od 12 pneumokoknih antigena (1, 3, 4, 5, 6B, 7F, 9V, 14, 18C, 19A, 19F i 23F). Rezultati u 4. </w:t>
      </w:r>
      <w:r w:rsidR="00181042" w:rsidRPr="00B74B0F">
        <w:rPr>
          <w:noProof/>
          <w:szCs w:val="22"/>
          <w:lang w:val="sr-Latn-ME"/>
        </w:rPr>
        <w:t>ned</w:t>
      </w:r>
      <w:r w:rsidR="000E2A60" w:rsidRPr="00B74B0F">
        <w:rPr>
          <w:noProof/>
          <w:szCs w:val="22"/>
          <w:lang w:val="sr-Latn-ME"/>
        </w:rPr>
        <w:t>j</w:t>
      </w:r>
      <w:r w:rsidR="00181042" w:rsidRPr="00B74B0F">
        <w:rPr>
          <w:noProof/>
          <w:szCs w:val="22"/>
          <w:lang w:val="sr-Latn-ME"/>
        </w:rPr>
        <w:t>elji</w:t>
      </w:r>
      <w:r w:rsidRPr="00B74B0F">
        <w:rPr>
          <w:noProof/>
          <w:szCs w:val="22"/>
          <w:lang w:val="sr-Latn-ME"/>
        </w:rPr>
        <w:t xml:space="preserve"> pokazali su zadovoljavajući humoralni odgovor u 67,5% (95% CI: 57,4; 77,5) </w:t>
      </w:r>
      <w:r w:rsidR="00181042" w:rsidRPr="00B74B0F">
        <w:rPr>
          <w:noProof/>
          <w:szCs w:val="22"/>
          <w:lang w:val="sr-Latn-ME"/>
        </w:rPr>
        <w:t>pacijenata</w:t>
      </w:r>
      <w:r w:rsidRPr="00B74B0F">
        <w:rPr>
          <w:noProof/>
          <w:szCs w:val="22"/>
          <w:lang w:val="sr-Latn-ME"/>
        </w:rPr>
        <w:t xml:space="preserve"> liječenih upadacitinibom u dozi od 15 mg i 56,5% (95% CI: 36,3; 76,8) </w:t>
      </w:r>
      <w:r w:rsidR="00181042" w:rsidRPr="00B74B0F">
        <w:rPr>
          <w:noProof/>
          <w:szCs w:val="22"/>
          <w:lang w:val="sr-Latn-ME"/>
        </w:rPr>
        <w:t>pacijenata</w:t>
      </w:r>
      <w:r w:rsidRPr="00B74B0F">
        <w:rPr>
          <w:noProof/>
          <w:szCs w:val="22"/>
          <w:lang w:val="sr-Latn-ME"/>
        </w:rPr>
        <w:t xml:space="preserve"> liječenih upadacitinibom u dozi od 30 mg.</w:t>
      </w:r>
    </w:p>
    <w:p w14:paraId="22F4711E" w14:textId="11618F99" w:rsidR="00E7737E" w:rsidRPr="00B74B0F" w:rsidRDefault="00E7737E">
      <w:pPr>
        <w:spacing w:line="240" w:lineRule="auto"/>
        <w:contextualSpacing/>
        <w:jc w:val="both"/>
        <w:rPr>
          <w:szCs w:val="22"/>
          <w:lang w:val="sr-Latn-ME"/>
        </w:rPr>
      </w:pPr>
    </w:p>
    <w:p w14:paraId="3BA4DA69" w14:textId="77777777" w:rsidR="005F0BCA" w:rsidRPr="00B74B0F" w:rsidRDefault="005F0BCA">
      <w:pPr>
        <w:keepNext/>
        <w:spacing w:line="240" w:lineRule="auto"/>
        <w:contextualSpacing/>
        <w:jc w:val="both"/>
        <w:rPr>
          <w:szCs w:val="22"/>
          <w:u w:val="single"/>
          <w:lang w:val="sr-Latn-ME"/>
        </w:rPr>
      </w:pPr>
      <w:r w:rsidRPr="00B74B0F">
        <w:rPr>
          <w:szCs w:val="22"/>
          <w:u w:val="single"/>
          <w:lang w:val="sr-Latn-ME"/>
        </w:rPr>
        <w:t>Klinička efikasnost i bezbjednost</w:t>
      </w:r>
    </w:p>
    <w:p w14:paraId="413E0E5A" w14:textId="77777777" w:rsidR="00782720" w:rsidRPr="00B74B0F" w:rsidRDefault="00782720">
      <w:pPr>
        <w:spacing w:line="240" w:lineRule="auto"/>
        <w:contextualSpacing/>
        <w:jc w:val="both"/>
        <w:rPr>
          <w:i/>
          <w:iCs/>
          <w:szCs w:val="22"/>
          <w:u w:val="single"/>
          <w:lang w:val="sr-Latn-ME"/>
        </w:rPr>
      </w:pPr>
    </w:p>
    <w:p w14:paraId="336DCDBA" w14:textId="5E857749" w:rsidR="00782720" w:rsidRPr="00B74B0F" w:rsidRDefault="00782720">
      <w:pPr>
        <w:spacing w:line="240" w:lineRule="auto"/>
        <w:contextualSpacing/>
        <w:jc w:val="both"/>
        <w:rPr>
          <w:i/>
          <w:iCs/>
          <w:szCs w:val="22"/>
          <w:u w:val="single"/>
          <w:lang w:val="sr-Latn-ME"/>
        </w:rPr>
      </w:pPr>
      <w:r w:rsidRPr="00B74B0F">
        <w:rPr>
          <w:i/>
          <w:iCs/>
          <w:szCs w:val="22"/>
          <w:u w:val="single"/>
          <w:lang w:val="sr-Latn-ME"/>
        </w:rPr>
        <w:t>Reumatoidni artritis</w:t>
      </w:r>
    </w:p>
    <w:p w14:paraId="0FF3A44F" w14:textId="77777777" w:rsidR="00CD05E5" w:rsidRPr="00B74B0F" w:rsidRDefault="00CD05E5">
      <w:pPr>
        <w:keepNext/>
        <w:spacing w:line="240" w:lineRule="auto"/>
        <w:contextualSpacing/>
        <w:jc w:val="both"/>
        <w:rPr>
          <w:i/>
          <w:szCs w:val="22"/>
          <w:lang w:val="sr-Latn-ME"/>
        </w:rPr>
      </w:pPr>
    </w:p>
    <w:p w14:paraId="10F315DC" w14:textId="1D74EDBC" w:rsidR="0046572E" w:rsidRPr="00B74B0F" w:rsidRDefault="00342200">
      <w:pPr>
        <w:autoSpaceDE w:val="0"/>
        <w:autoSpaceDN w:val="0"/>
        <w:adjustRightInd w:val="0"/>
        <w:spacing w:line="240" w:lineRule="auto"/>
        <w:contextualSpacing/>
        <w:jc w:val="both"/>
        <w:rPr>
          <w:szCs w:val="22"/>
          <w:lang w:val="sr-Latn-ME"/>
        </w:rPr>
      </w:pPr>
      <w:r w:rsidRPr="00B74B0F">
        <w:rPr>
          <w:szCs w:val="22"/>
          <w:lang w:val="sr-Latn-ME"/>
        </w:rPr>
        <w:t>Efikasnost</w:t>
      </w:r>
      <w:r w:rsidR="00906CF8" w:rsidRPr="00B74B0F">
        <w:rPr>
          <w:szCs w:val="22"/>
          <w:lang w:val="sr-Latn-ME"/>
        </w:rPr>
        <w:t xml:space="preserve"> i </w:t>
      </w:r>
      <w:r w:rsidR="003B1F43" w:rsidRPr="00B74B0F">
        <w:rPr>
          <w:szCs w:val="22"/>
          <w:lang w:val="sr-Latn-ME"/>
        </w:rPr>
        <w:t>bezbjednost</w:t>
      </w:r>
      <w:r w:rsidRPr="00B74B0F">
        <w:rPr>
          <w:szCs w:val="22"/>
          <w:lang w:val="sr-Latn-ME"/>
        </w:rPr>
        <w:t xml:space="preserve"> </w:t>
      </w:r>
      <w:r w:rsidR="00906CF8" w:rsidRPr="00B74B0F">
        <w:rPr>
          <w:szCs w:val="22"/>
          <w:lang w:val="sr-Latn-ME"/>
        </w:rPr>
        <w:t>upadacitinib</w:t>
      </w:r>
      <w:r w:rsidR="00E01076" w:rsidRPr="00B74B0F">
        <w:rPr>
          <w:szCs w:val="22"/>
          <w:lang w:val="sr-Latn-ME"/>
        </w:rPr>
        <w:t>a</w:t>
      </w:r>
      <w:r w:rsidR="00906CF8" w:rsidRPr="00B74B0F">
        <w:rPr>
          <w:szCs w:val="22"/>
          <w:lang w:val="sr-Latn-ME"/>
        </w:rPr>
        <w:t xml:space="preserve"> u dozi od 15 mg jed</w:t>
      </w:r>
      <w:r w:rsidR="00E01076" w:rsidRPr="00B74B0F">
        <w:rPr>
          <w:szCs w:val="22"/>
          <w:lang w:val="sr-Latn-ME"/>
        </w:rPr>
        <w:t xml:space="preserve">nom dnevno </w:t>
      </w:r>
      <w:r w:rsidR="00506579" w:rsidRPr="00B74B0F">
        <w:rPr>
          <w:szCs w:val="22"/>
          <w:lang w:val="sr-Latn-ME"/>
        </w:rPr>
        <w:t>pr</w:t>
      </w:r>
      <w:r w:rsidR="00906CF8" w:rsidRPr="00B74B0F">
        <w:rPr>
          <w:szCs w:val="22"/>
          <w:lang w:val="sr-Latn-ME"/>
        </w:rPr>
        <w:t>ocjenjivale su se u pet randomiz</w:t>
      </w:r>
      <w:r w:rsidR="000E2A60" w:rsidRPr="00B74B0F">
        <w:rPr>
          <w:szCs w:val="22"/>
          <w:lang w:val="sr-Latn-ME"/>
        </w:rPr>
        <w:t>ova</w:t>
      </w:r>
      <w:r w:rsidR="00906CF8" w:rsidRPr="00B74B0F">
        <w:rPr>
          <w:szCs w:val="22"/>
          <w:lang w:val="sr-Latn-ME"/>
        </w:rPr>
        <w:t xml:space="preserve">nih, dvostruko slijepih, multicentričnih ispitivanja faze 3, </w:t>
      </w:r>
      <w:r w:rsidRPr="00B74B0F">
        <w:rPr>
          <w:szCs w:val="22"/>
          <w:lang w:val="sr-Latn-ME"/>
        </w:rPr>
        <w:t>kod</w:t>
      </w:r>
      <w:r w:rsidR="00906CF8" w:rsidRPr="00B74B0F">
        <w:rPr>
          <w:szCs w:val="22"/>
          <w:lang w:val="sr-Latn-ME"/>
        </w:rPr>
        <w:t xml:space="preserve"> </w:t>
      </w:r>
      <w:r w:rsidR="00BB59FC" w:rsidRPr="00B74B0F">
        <w:rPr>
          <w:szCs w:val="22"/>
          <w:lang w:val="sr-Latn-ME"/>
        </w:rPr>
        <w:t>pacijenata</w:t>
      </w:r>
      <w:r w:rsidR="00906CF8" w:rsidRPr="00B74B0F">
        <w:rPr>
          <w:szCs w:val="22"/>
          <w:lang w:val="sr-Latn-ME"/>
        </w:rPr>
        <w:t xml:space="preserve"> s</w:t>
      </w:r>
      <w:r w:rsidR="003B1F43" w:rsidRPr="00B74B0F">
        <w:rPr>
          <w:szCs w:val="22"/>
          <w:lang w:val="sr-Latn-ME"/>
        </w:rPr>
        <w:t>a</w:t>
      </w:r>
      <w:r w:rsidR="00906CF8" w:rsidRPr="00B74B0F">
        <w:rPr>
          <w:szCs w:val="22"/>
          <w:lang w:val="sr-Latn-ME"/>
        </w:rPr>
        <w:t xml:space="preserve"> umjerenim do teškim oblikom aktivnog reumatoidnog artritisa koji su zadovoljavali ACR/EULAR </w:t>
      </w:r>
      <w:r w:rsidR="00E01076" w:rsidRPr="00B74B0F">
        <w:rPr>
          <w:szCs w:val="22"/>
          <w:lang w:val="sr-Latn-ME"/>
        </w:rPr>
        <w:t>kriterijume klasifikacije</w:t>
      </w:r>
      <w:r w:rsidR="00906CF8" w:rsidRPr="00B74B0F">
        <w:rPr>
          <w:szCs w:val="22"/>
          <w:lang w:val="sr-Latn-ME"/>
        </w:rPr>
        <w:t xml:space="preserve"> iz 2010. godine (vidjeti Tab</w:t>
      </w:r>
      <w:r w:rsidRPr="00B74B0F">
        <w:rPr>
          <w:szCs w:val="22"/>
          <w:lang w:val="sr-Latn-ME"/>
        </w:rPr>
        <w:t>elu</w:t>
      </w:r>
      <w:r w:rsidR="00906CF8" w:rsidRPr="00B74B0F">
        <w:rPr>
          <w:szCs w:val="22"/>
          <w:lang w:val="sr-Latn-ME"/>
        </w:rPr>
        <w:t> </w:t>
      </w:r>
      <w:r w:rsidR="000E2A60" w:rsidRPr="00B74B0F">
        <w:rPr>
          <w:szCs w:val="22"/>
          <w:lang w:val="sr-Latn-ME"/>
        </w:rPr>
        <w:t>4</w:t>
      </w:r>
      <w:r w:rsidR="00906CF8" w:rsidRPr="00B74B0F">
        <w:rPr>
          <w:szCs w:val="22"/>
          <w:lang w:val="sr-Latn-ME"/>
        </w:rPr>
        <w:t xml:space="preserve">). U ispitivanjima su mogli </w:t>
      </w:r>
      <w:r w:rsidRPr="00B74B0F">
        <w:rPr>
          <w:szCs w:val="22"/>
          <w:lang w:val="sr-Latn-ME"/>
        </w:rPr>
        <w:t>učestvovati</w:t>
      </w:r>
      <w:r w:rsidR="00906CF8" w:rsidRPr="00B74B0F">
        <w:rPr>
          <w:szCs w:val="22"/>
          <w:lang w:val="sr-Latn-ME"/>
        </w:rPr>
        <w:t xml:space="preserve"> </w:t>
      </w:r>
      <w:r w:rsidR="00B10681" w:rsidRPr="00B74B0F">
        <w:rPr>
          <w:szCs w:val="22"/>
          <w:lang w:val="sr-Latn-ME"/>
        </w:rPr>
        <w:t>p</w:t>
      </w:r>
      <w:r w:rsidR="00B27953" w:rsidRPr="00B74B0F">
        <w:rPr>
          <w:szCs w:val="22"/>
          <w:lang w:val="sr-Latn-ME"/>
        </w:rPr>
        <w:t>acijenti</w:t>
      </w:r>
      <w:r w:rsidRPr="00B74B0F">
        <w:rPr>
          <w:szCs w:val="22"/>
          <w:lang w:val="sr-Latn-ME"/>
        </w:rPr>
        <w:t xml:space="preserve"> starosti</w:t>
      </w:r>
      <w:r w:rsidR="00BD05A0" w:rsidRPr="00B74B0F">
        <w:rPr>
          <w:szCs w:val="22"/>
          <w:lang w:val="sr-Latn-ME"/>
        </w:rPr>
        <w:t xml:space="preserve"> </w:t>
      </w:r>
      <w:r w:rsidR="00906CF8" w:rsidRPr="00B74B0F">
        <w:rPr>
          <w:szCs w:val="22"/>
          <w:lang w:val="sr-Latn-ME"/>
        </w:rPr>
        <w:t>od 18 </w:t>
      </w:r>
      <w:r w:rsidR="00BD05A0" w:rsidRPr="00B74B0F">
        <w:rPr>
          <w:szCs w:val="22"/>
          <w:lang w:val="sr-Latn-ME"/>
        </w:rPr>
        <w:t xml:space="preserve">i više </w:t>
      </w:r>
      <w:r w:rsidR="00906CF8" w:rsidRPr="00B74B0F">
        <w:rPr>
          <w:szCs w:val="22"/>
          <w:lang w:val="sr-Latn-ME"/>
        </w:rPr>
        <w:t xml:space="preserve">godina. Na početku ispitivanja </w:t>
      </w:r>
      <w:r w:rsidR="00B10681" w:rsidRPr="00B74B0F">
        <w:rPr>
          <w:szCs w:val="22"/>
          <w:lang w:val="sr-Latn-ME"/>
        </w:rPr>
        <w:t>p</w:t>
      </w:r>
      <w:r w:rsidR="00B27953" w:rsidRPr="00B74B0F">
        <w:rPr>
          <w:szCs w:val="22"/>
          <w:lang w:val="sr-Latn-ME"/>
        </w:rPr>
        <w:t>acijenti</w:t>
      </w:r>
      <w:r w:rsidR="00906CF8" w:rsidRPr="00B74B0F">
        <w:rPr>
          <w:szCs w:val="22"/>
          <w:lang w:val="sr-Latn-ME"/>
        </w:rPr>
        <w:t xml:space="preserve"> su morali imati najmanje 6 bolnih i 6 otečenih zglobova </w:t>
      </w:r>
      <w:r w:rsidRPr="00B74B0F">
        <w:rPr>
          <w:szCs w:val="22"/>
          <w:lang w:val="sr-Latn-ME"/>
        </w:rPr>
        <w:t>i</w:t>
      </w:r>
      <w:r w:rsidR="00906CF8" w:rsidRPr="00B74B0F">
        <w:rPr>
          <w:szCs w:val="22"/>
          <w:lang w:val="sr-Latn-ME"/>
        </w:rPr>
        <w:t xml:space="preserve"> dokaze sistemske </w:t>
      </w:r>
      <w:r w:rsidR="00506579" w:rsidRPr="00B74B0F">
        <w:rPr>
          <w:szCs w:val="22"/>
          <w:lang w:val="sr-Latn-ME"/>
        </w:rPr>
        <w:t xml:space="preserve">inflamacije </w:t>
      </w:r>
      <w:r w:rsidR="00906CF8" w:rsidRPr="00B74B0F">
        <w:rPr>
          <w:szCs w:val="22"/>
          <w:lang w:val="sr-Latn-ME"/>
        </w:rPr>
        <w:t xml:space="preserve">utvrđene na </w:t>
      </w:r>
      <w:r w:rsidRPr="00B74B0F">
        <w:rPr>
          <w:szCs w:val="22"/>
          <w:lang w:val="sr-Latn-ME"/>
        </w:rPr>
        <w:t>osnovu</w:t>
      </w:r>
      <w:r w:rsidR="00906CF8" w:rsidRPr="00B74B0F">
        <w:rPr>
          <w:szCs w:val="22"/>
          <w:lang w:val="sr-Latn-ME"/>
        </w:rPr>
        <w:t xml:space="preserve"> pov</w:t>
      </w:r>
      <w:r w:rsidRPr="00B74B0F">
        <w:rPr>
          <w:szCs w:val="22"/>
          <w:lang w:val="sr-Latn-ME"/>
        </w:rPr>
        <w:t>ećanja</w:t>
      </w:r>
      <w:r w:rsidR="00906CF8" w:rsidRPr="00B74B0F">
        <w:rPr>
          <w:szCs w:val="22"/>
          <w:lang w:val="sr-Latn-ME"/>
        </w:rPr>
        <w:t xml:space="preserve"> vrijednosti hsCRP</w:t>
      </w:r>
      <w:r w:rsidR="00906CF8" w:rsidRPr="00B74B0F">
        <w:rPr>
          <w:szCs w:val="22"/>
          <w:lang w:val="sr-Latn-ME"/>
        </w:rPr>
        <w:noBreakHyphen/>
        <w:t xml:space="preserve">a. </w:t>
      </w:r>
    </w:p>
    <w:p w14:paraId="1F56322C" w14:textId="77777777" w:rsidR="002952B8" w:rsidRPr="00B74B0F" w:rsidRDefault="002952B8">
      <w:pPr>
        <w:autoSpaceDE w:val="0"/>
        <w:autoSpaceDN w:val="0"/>
        <w:adjustRightInd w:val="0"/>
        <w:spacing w:line="240" w:lineRule="auto"/>
        <w:contextualSpacing/>
        <w:jc w:val="both"/>
        <w:rPr>
          <w:szCs w:val="22"/>
          <w:lang w:val="sr-Latn-ME"/>
        </w:rPr>
      </w:pPr>
      <w:r w:rsidRPr="00B74B0F">
        <w:rPr>
          <w:szCs w:val="22"/>
          <w:lang w:val="sr-Latn-ME"/>
        </w:rPr>
        <w:t xml:space="preserve">Četiri ispitivanja imala su dugoročne produžetke u trajanju do 5 godina, a jedno ispitivanje (SELECT-COMPARE) imalo je dugoročni produžetak u trajanju do 10 godina. </w:t>
      </w:r>
    </w:p>
    <w:p w14:paraId="589A6460" w14:textId="77777777" w:rsidR="00FE7E87" w:rsidRPr="00B74B0F" w:rsidRDefault="00FE7E87">
      <w:pPr>
        <w:autoSpaceDE w:val="0"/>
        <w:autoSpaceDN w:val="0"/>
        <w:adjustRightInd w:val="0"/>
        <w:spacing w:line="240" w:lineRule="auto"/>
        <w:contextualSpacing/>
        <w:jc w:val="both"/>
        <w:rPr>
          <w:szCs w:val="22"/>
          <w:lang w:val="sr-Latn-ME"/>
        </w:rPr>
      </w:pPr>
    </w:p>
    <w:p w14:paraId="36098D58" w14:textId="4EC4DDDC" w:rsidR="00FE7E87" w:rsidRPr="00B74B0F" w:rsidRDefault="00886786">
      <w:pPr>
        <w:autoSpaceDE w:val="0"/>
        <w:autoSpaceDN w:val="0"/>
        <w:adjustRightInd w:val="0"/>
        <w:spacing w:line="240" w:lineRule="auto"/>
        <w:contextualSpacing/>
        <w:jc w:val="both"/>
        <w:rPr>
          <w:szCs w:val="22"/>
          <w:lang w:val="sr-Latn-ME"/>
        </w:rPr>
      </w:pPr>
      <w:r w:rsidRPr="00B74B0F">
        <w:rPr>
          <w:szCs w:val="22"/>
          <w:lang w:val="sr-Latn-ME"/>
        </w:rPr>
        <w:t xml:space="preserve">U svakom od tih ispitivanja primarna analiza </w:t>
      </w:r>
      <w:r w:rsidR="007A6A27" w:rsidRPr="00B74B0F">
        <w:rPr>
          <w:szCs w:val="22"/>
          <w:lang w:val="sr-Latn-ME"/>
        </w:rPr>
        <w:t xml:space="preserve">je </w:t>
      </w:r>
      <w:r w:rsidRPr="00B74B0F">
        <w:rPr>
          <w:szCs w:val="22"/>
          <w:lang w:val="sr-Latn-ME"/>
        </w:rPr>
        <w:t>obuhvatila sve randomiz</w:t>
      </w:r>
      <w:r w:rsidR="00E01076" w:rsidRPr="00B74B0F">
        <w:rPr>
          <w:szCs w:val="22"/>
          <w:lang w:val="sr-Latn-ME"/>
        </w:rPr>
        <w:t>ovane</w:t>
      </w:r>
      <w:r w:rsidRPr="00B74B0F">
        <w:rPr>
          <w:szCs w:val="22"/>
          <w:lang w:val="sr-Latn-ME"/>
        </w:rPr>
        <w:t xml:space="preserve"> ispitanike koji su primili najmanje 1 dozu ispitivanog lijeka, a za kategori</w:t>
      </w:r>
      <w:r w:rsidR="005031C4" w:rsidRPr="00B74B0F">
        <w:rPr>
          <w:szCs w:val="22"/>
          <w:lang w:val="sr-Latn-ME"/>
        </w:rPr>
        <w:t>čne</w:t>
      </w:r>
      <w:r w:rsidRPr="00B74B0F">
        <w:rPr>
          <w:szCs w:val="22"/>
          <w:lang w:val="sr-Latn-ME"/>
        </w:rPr>
        <w:t xml:space="preserve"> </w:t>
      </w:r>
      <w:r w:rsidR="002602C0" w:rsidRPr="00B74B0F">
        <w:rPr>
          <w:szCs w:val="22"/>
          <w:lang w:val="sr-Latn-ME"/>
        </w:rPr>
        <w:t xml:space="preserve">parametre praćenja </w:t>
      </w:r>
      <w:r w:rsidR="00342200" w:rsidRPr="00B74B0F">
        <w:rPr>
          <w:szCs w:val="22"/>
          <w:lang w:val="sr-Latn-ME"/>
        </w:rPr>
        <w:t>se</w:t>
      </w:r>
      <w:r w:rsidRPr="00B74B0F">
        <w:rPr>
          <w:szCs w:val="22"/>
          <w:lang w:val="sr-Latn-ME"/>
        </w:rPr>
        <w:t xml:space="preserve"> koristila zamjena nedostajućih podataka (imputacija) za </w:t>
      </w:r>
      <w:r w:rsidR="00F90E18" w:rsidRPr="00B74B0F">
        <w:rPr>
          <w:szCs w:val="22"/>
          <w:lang w:val="sr-Latn-ME"/>
        </w:rPr>
        <w:t>pacijente</w:t>
      </w:r>
      <w:r w:rsidRPr="00B74B0F">
        <w:rPr>
          <w:szCs w:val="22"/>
          <w:lang w:val="sr-Latn-ME"/>
        </w:rPr>
        <w:t xml:space="preserve"> bez odgovora</w:t>
      </w:r>
      <w:r w:rsidR="007A6A27" w:rsidRPr="00B74B0F">
        <w:rPr>
          <w:szCs w:val="22"/>
          <w:lang w:val="sr-Latn-ME"/>
        </w:rPr>
        <w:t>.</w:t>
      </w:r>
    </w:p>
    <w:p w14:paraId="278033F9" w14:textId="77777777" w:rsidR="00157222" w:rsidRPr="00B74B0F" w:rsidRDefault="00157222">
      <w:pPr>
        <w:autoSpaceDE w:val="0"/>
        <w:autoSpaceDN w:val="0"/>
        <w:adjustRightInd w:val="0"/>
        <w:spacing w:line="240" w:lineRule="auto"/>
        <w:contextualSpacing/>
        <w:jc w:val="both"/>
        <w:rPr>
          <w:szCs w:val="22"/>
          <w:lang w:val="sr-Latn-ME"/>
        </w:rPr>
      </w:pPr>
    </w:p>
    <w:p w14:paraId="53200079" w14:textId="139087D7" w:rsidR="00C653B9" w:rsidRPr="00B74B0F" w:rsidRDefault="00157222">
      <w:pPr>
        <w:tabs>
          <w:tab w:val="clear" w:pos="567"/>
        </w:tabs>
        <w:autoSpaceDE w:val="0"/>
        <w:autoSpaceDN w:val="0"/>
        <w:adjustRightInd w:val="0"/>
        <w:spacing w:line="240" w:lineRule="auto"/>
        <w:contextualSpacing/>
        <w:jc w:val="both"/>
        <w:rPr>
          <w:rFonts w:eastAsia="TimesNewRoman"/>
          <w:szCs w:val="22"/>
          <w:lang w:val="sr-Latn-ME"/>
        </w:rPr>
      </w:pPr>
      <w:r w:rsidRPr="00B74B0F">
        <w:rPr>
          <w:szCs w:val="22"/>
          <w:lang w:val="sr-Latn-ME"/>
        </w:rPr>
        <w:t>U svim ispitivanjima faze 3</w:t>
      </w:r>
      <w:r w:rsidR="00342200" w:rsidRPr="00B74B0F">
        <w:rPr>
          <w:szCs w:val="22"/>
          <w:lang w:val="sr-Latn-ME"/>
        </w:rPr>
        <w:t>,</w:t>
      </w:r>
      <w:r w:rsidRPr="00B74B0F">
        <w:rPr>
          <w:szCs w:val="22"/>
          <w:lang w:val="sr-Latn-ME"/>
        </w:rPr>
        <w:t xml:space="preserve"> </w:t>
      </w:r>
      <w:r w:rsidR="00342200" w:rsidRPr="00B74B0F">
        <w:rPr>
          <w:szCs w:val="22"/>
          <w:lang w:val="sr-Latn-ME"/>
        </w:rPr>
        <w:t>efikasnost koja se pokazala</w:t>
      </w:r>
      <w:r w:rsidRPr="00B74B0F">
        <w:rPr>
          <w:szCs w:val="22"/>
          <w:lang w:val="sr-Latn-ME"/>
        </w:rPr>
        <w:t xml:space="preserve"> kod </w:t>
      </w:r>
      <w:r w:rsidR="00342200" w:rsidRPr="00B74B0F">
        <w:rPr>
          <w:szCs w:val="22"/>
          <w:lang w:val="sr-Latn-ME"/>
        </w:rPr>
        <w:t>lijeka</w:t>
      </w:r>
      <w:r w:rsidRPr="00B74B0F">
        <w:rPr>
          <w:szCs w:val="22"/>
          <w:lang w:val="sr-Latn-ME"/>
        </w:rPr>
        <w:t xml:space="preserve"> upadacitinib u dozi od 15 mg jed</w:t>
      </w:r>
      <w:r w:rsidR="005031C4" w:rsidRPr="00B74B0F">
        <w:rPr>
          <w:szCs w:val="22"/>
          <w:lang w:val="sr-Latn-ME"/>
        </w:rPr>
        <w:t xml:space="preserve">nom dnevno </w:t>
      </w:r>
      <w:r w:rsidR="00342200" w:rsidRPr="00B74B0F">
        <w:rPr>
          <w:szCs w:val="22"/>
          <w:lang w:val="sr-Latn-ME"/>
        </w:rPr>
        <w:t>je</w:t>
      </w:r>
      <w:r w:rsidRPr="00B74B0F">
        <w:rPr>
          <w:szCs w:val="22"/>
          <w:lang w:val="sr-Latn-ME"/>
        </w:rPr>
        <w:t xml:space="preserve"> u načelu bila slična onoj kod</w:t>
      </w:r>
      <w:r w:rsidR="00342200" w:rsidRPr="00B74B0F">
        <w:rPr>
          <w:szCs w:val="22"/>
          <w:lang w:val="sr-Latn-ME"/>
        </w:rPr>
        <w:t xml:space="preserve"> </w:t>
      </w:r>
      <w:r w:rsidRPr="00B74B0F">
        <w:rPr>
          <w:szCs w:val="22"/>
          <w:lang w:val="sr-Latn-ME"/>
        </w:rPr>
        <w:t>upadacitinib</w:t>
      </w:r>
      <w:r w:rsidR="005031C4" w:rsidRPr="00B74B0F">
        <w:rPr>
          <w:szCs w:val="22"/>
          <w:lang w:val="sr-Latn-ME"/>
        </w:rPr>
        <w:t>a</w:t>
      </w:r>
      <w:r w:rsidRPr="00B74B0F">
        <w:rPr>
          <w:szCs w:val="22"/>
          <w:lang w:val="sr-Latn-ME"/>
        </w:rPr>
        <w:t xml:space="preserve"> u dozi od 30 mg jed</w:t>
      </w:r>
      <w:r w:rsidR="005031C4" w:rsidRPr="00B74B0F">
        <w:rPr>
          <w:szCs w:val="22"/>
          <w:lang w:val="sr-Latn-ME"/>
        </w:rPr>
        <w:t>nom dnevno</w:t>
      </w:r>
      <w:r w:rsidR="00F21985" w:rsidRPr="00B74B0F">
        <w:rPr>
          <w:szCs w:val="22"/>
          <w:lang w:val="sr-Latn-ME"/>
        </w:rPr>
        <w:t>.</w:t>
      </w:r>
    </w:p>
    <w:p w14:paraId="3869B3BE" w14:textId="77777777" w:rsidR="003B1F43" w:rsidRPr="00B74B0F" w:rsidRDefault="003B1F43">
      <w:pPr>
        <w:tabs>
          <w:tab w:val="clear" w:pos="567"/>
        </w:tabs>
        <w:autoSpaceDE w:val="0"/>
        <w:autoSpaceDN w:val="0"/>
        <w:adjustRightInd w:val="0"/>
        <w:spacing w:line="240" w:lineRule="auto"/>
        <w:contextualSpacing/>
        <w:jc w:val="both"/>
        <w:rPr>
          <w:b/>
          <w:szCs w:val="22"/>
          <w:lang w:val="sr-Latn-ME"/>
        </w:rPr>
      </w:pPr>
    </w:p>
    <w:p w14:paraId="03E86F82" w14:textId="75CE0C7A" w:rsidR="00A63E29" w:rsidRPr="00B74B0F" w:rsidRDefault="00906CF8">
      <w:pPr>
        <w:tabs>
          <w:tab w:val="clear" w:pos="567"/>
        </w:tabs>
        <w:autoSpaceDE w:val="0"/>
        <w:autoSpaceDN w:val="0"/>
        <w:adjustRightInd w:val="0"/>
        <w:spacing w:line="240" w:lineRule="auto"/>
        <w:contextualSpacing/>
        <w:jc w:val="both"/>
        <w:rPr>
          <w:rFonts w:eastAsia="TimesNewRoman"/>
          <w:szCs w:val="22"/>
          <w:lang w:val="sr-Latn-ME"/>
        </w:rPr>
      </w:pPr>
      <w:r w:rsidRPr="00B74B0F">
        <w:rPr>
          <w:b/>
          <w:szCs w:val="22"/>
          <w:lang w:val="sr-Latn-ME"/>
        </w:rPr>
        <w:t>Tab</w:t>
      </w:r>
      <w:r w:rsidR="00342200" w:rsidRPr="00B74B0F">
        <w:rPr>
          <w:b/>
          <w:szCs w:val="22"/>
          <w:lang w:val="sr-Latn-ME"/>
        </w:rPr>
        <w:t>ela</w:t>
      </w:r>
      <w:r w:rsidRPr="00B74B0F">
        <w:rPr>
          <w:b/>
          <w:szCs w:val="22"/>
          <w:lang w:val="sr-Latn-ME"/>
        </w:rPr>
        <w:t> </w:t>
      </w:r>
      <w:r w:rsidR="00CC3EB3" w:rsidRPr="00B74B0F">
        <w:rPr>
          <w:b/>
          <w:szCs w:val="22"/>
          <w:lang w:val="sr-Latn-ME"/>
        </w:rPr>
        <w:t>4</w:t>
      </w:r>
      <w:r w:rsidR="008338F7">
        <w:rPr>
          <w:b/>
          <w:szCs w:val="22"/>
          <w:lang w:val="sr-Latn-ME"/>
        </w:rPr>
        <w:t>:</w:t>
      </w:r>
      <w:r w:rsidRPr="00B74B0F">
        <w:rPr>
          <w:b/>
          <w:szCs w:val="22"/>
          <w:lang w:val="sr-Latn-ME"/>
        </w:rPr>
        <w:t xml:space="preserve"> Sažetak kliničkih ispitivanja</w:t>
      </w:r>
    </w:p>
    <w:tbl>
      <w:tblPr>
        <w:tblpPr w:leftFromText="180" w:rightFromText="180" w:vertAnchor="text" w:tblpY="19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1593"/>
        <w:gridCol w:w="2250"/>
        <w:gridCol w:w="3431"/>
      </w:tblGrid>
      <w:tr w:rsidR="003A2D26" w:rsidRPr="00B74B0F" w14:paraId="6FA375C5" w14:textId="77777777" w:rsidTr="00200D71">
        <w:trPr>
          <w:cantSplit/>
          <w:trHeight w:val="352"/>
          <w:tblHeader/>
        </w:trPr>
        <w:tc>
          <w:tcPr>
            <w:tcW w:w="1935" w:type="dxa"/>
            <w:shd w:val="clear" w:color="auto" w:fill="auto"/>
            <w:vAlign w:val="bottom"/>
          </w:tcPr>
          <w:p w14:paraId="070A7D10" w14:textId="77777777" w:rsidR="00C425DB" w:rsidRPr="00B74B0F" w:rsidRDefault="00906CF8" w:rsidP="009F5809">
            <w:pPr>
              <w:keepNext/>
              <w:spacing w:line="240" w:lineRule="auto"/>
              <w:contextualSpacing/>
              <w:jc w:val="both"/>
              <w:rPr>
                <w:szCs w:val="22"/>
                <w:lang w:val="sr-Latn-ME"/>
              </w:rPr>
            </w:pPr>
            <w:r w:rsidRPr="00B74B0F">
              <w:rPr>
                <w:b/>
                <w:szCs w:val="22"/>
                <w:lang w:val="sr-Latn-ME"/>
              </w:rPr>
              <w:lastRenderedPageBreak/>
              <w:t>Naziv ispitivanja</w:t>
            </w:r>
          </w:p>
        </w:tc>
        <w:tc>
          <w:tcPr>
            <w:tcW w:w="1593" w:type="dxa"/>
            <w:shd w:val="clear" w:color="auto" w:fill="auto"/>
            <w:vAlign w:val="bottom"/>
          </w:tcPr>
          <w:p w14:paraId="386C7015" w14:textId="77777777" w:rsidR="00C425DB" w:rsidRPr="00B74B0F" w:rsidRDefault="00906CF8" w:rsidP="00181F44">
            <w:pPr>
              <w:keepNext/>
              <w:spacing w:line="240" w:lineRule="auto"/>
              <w:contextualSpacing/>
              <w:jc w:val="both"/>
              <w:rPr>
                <w:szCs w:val="22"/>
                <w:lang w:val="sr-Latn-ME"/>
              </w:rPr>
            </w:pPr>
            <w:r w:rsidRPr="00B74B0F">
              <w:rPr>
                <w:b/>
                <w:szCs w:val="22"/>
                <w:lang w:val="sr-Latn-ME"/>
              </w:rPr>
              <w:t>Populacija (n)</w:t>
            </w:r>
          </w:p>
        </w:tc>
        <w:tc>
          <w:tcPr>
            <w:tcW w:w="2250" w:type="dxa"/>
            <w:shd w:val="clear" w:color="auto" w:fill="auto"/>
            <w:vAlign w:val="bottom"/>
          </w:tcPr>
          <w:p w14:paraId="3314A1FB" w14:textId="499828A6" w:rsidR="00C425DB" w:rsidRPr="00B74B0F" w:rsidRDefault="00906CF8" w:rsidP="005502DD">
            <w:pPr>
              <w:keepNext/>
              <w:spacing w:line="240" w:lineRule="auto"/>
              <w:contextualSpacing/>
              <w:jc w:val="both"/>
              <w:rPr>
                <w:szCs w:val="22"/>
                <w:lang w:val="sr-Latn-ME"/>
              </w:rPr>
            </w:pPr>
            <w:r w:rsidRPr="00B74B0F">
              <w:rPr>
                <w:b/>
                <w:szCs w:val="22"/>
                <w:lang w:val="sr-Latn-ME"/>
              </w:rPr>
              <w:t xml:space="preserve">Liječene </w:t>
            </w:r>
            <w:r w:rsidR="00342200" w:rsidRPr="00B74B0F">
              <w:rPr>
                <w:b/>
                <w:szCs w:val="22"/>
                <w:lang w:val="sr-Latn-ME"/>
              </w:rPr>
              <w:t>grupe</w:t>
            </w:r>
          </w:p>
        </w:tc>
        <w:tc>
          <w:tcPr>
            <w:tcW w:w="3431" w:type="dxa"/>
            <w:shd w:val="clear" w:color="auto" w:fill="auto"/>
            <w:vAlign w:val="bottom"/>
          </w:tcPr>
          <w:p w14:paraId="3996F78C" w14:textId="77777777" w:rsidR="00C425DB" w:rsidRPr="00B74B0F" w:rsidRDefault="00906CF8" w:rsidP="00585915">
            <w:pPr>
              <w:keepNext/>
              <w:spacing w:line="240" w:lineRule="auto"/>
              <w:contextualSpacing/>
              <w:jc w:val="both"/>
              <w:rPr>
                <w:szCs w:val="22"/>
                <w:lang w:val="sr-Latn-ME"/>
              </w:rPr>
            </w:pPr>
            <w:r w:rsidRPr="00B74B0F">
              <w:rPr>
                <w:b/>
                <w:szCs w:val="22"/>
                <w:lang w:val="sr-Latn-ME"/>
              </w:rPr>
              <w:t>Ključne mjere ishoda</w:t>
            </w:r>
          </w:p>
        </w:tc>
      </w:tr>
      <w:tr w:rsidR="003A2D26" w:rsidRPr="00B74B0F" w14:paraId="53F19944" w14:textId="77777777" w:rsidTr="00200D71">
        <w:trPr>
          <w:cantSplit/>
          <w:trHeight w:val="1339"/>
          <w:tblHeader/>
        </w:trPr>
        <w:tc>
          <w:tcPr>
            <w:tcW w:w="1935" w:type="dxa"/>
            <w:shd w:val="clear" w:color="auto" w:fill="auto"/>
          </w:tcPr>
          <w:p w14:paraId="6CEA0472" w14:textId="77777777" w:rsidR="00555A89" w:rsidRPr="00B74B0F" w:rsidRDefault="00853DA4" w:rsidP="009F5809">
            <w:pPr>
              <w:keepNext/>
              <w:spacing w:line="240" w:lineRule="auto"/>
              <w:contextualSpacing/>
              <w:jc w:val="both"/>
              <w:rPr>
                <w:szCs w:val="22"/>
                <w:lang w:val="sr-Latn-ME"/>
              </w:rPr>
            </w:pPr>
            <w:r w:rsidRPr="00B74B0F">
              <w:rPr>
                <w:szCs w:val="22"/>
                <w:lang w:val="sr-Latn-ME"/>
              </w:rPr>
              <w:t>SELECT-</w:t>
            </w:r>
            <w:r w:rsidR="00906CF8" w:rsidRPr="00B74B0F">
              <w:rPr>
                <w:szCs w:val="22"/>
                <w:lang w:val="sr-Latn-ME"/>
              </w:rPr>
              <w:t xml:space="preserve">EARLY  </w:t>
            </w:r>
          </w:p>
          <w:p w14:paraId="68B9693F" w14:textId="77777777" w:rsidR="00555A89" w:rsidRPr="00B74B0F" w:rsidRDefault="00555A89" w:rsidP="00181F44">
            <w:pPr>
              <w:keepNext/>
              <w:spacing w:line="240" w:lineRule="auto"/>
              <w:contextualSpacing/>
              <w:jc w:val="both"/>
              <w:rPr>
                <w:szCs w:val="22"/>
                <w:lang w:val="sr-Latn-ME"/>
              </w:rPr>
            </w:pPr>
          </w:p>
        </w:tc>
        <w:tc>
          <w:tcPr>
            <w:tcW w:w="1593" w:type="dxa"/>
            <w:shd w:val="clear" w:color="auto" w:fill="auto"/>
          </w:tcPr>
          <w:p w14:paraId="0575114B" w14:textId="2CCA2517" w:rsidR="005031C4" w:rsidRPr="00B74B0F" w:rsidRDefault="005031C4" w:rsidP="005502DD">
            <w:pPr>
              <w:keepNext/>
              <w:spacing w:line="240" w:lineRule="auto"/>
              <w:contextualSpacing/>
              <w:jc w:val="both"/>
              <w:rPr>
                <w:szCs w:val="22"/>
                <w:lang w:val="sr-Latn-ME"/>
              </w:rPr>
            </w:pPr>
            <w:r w:rsidRPr="00B74B0F">
              <w:rPr>
                <w:szCs w:val="22"/>
                <w:lang w:val="sr-Latn-ME"/>
              </w:rPr>
              <w:t xml:space="preserve">Pacijenti prethodno neliječeni </w:t>
            </w:r>
          </w:p>
          <w:p w14:paraId="2C077C04" w14:textId="5802FB71" w:rsidR="00C425DB" w:rsidRPr="00B74B0F" w:rsidRDefault="00906CF8" w:rsidP="00585915">
            <w:pPr>
              <w:keepNext/>
              <w:spacing w:line="240" w:lineRule="auto"/>
              <w:contextualSpacing/>
              <w:jc w:val="both"/>
              <w:rPr>
                <w:szCs w:val="22"/>
                <w:lang w:val="sr-Latn-ME"/>
              </w:rPr>
            </w:pPr>
            <w:r w:rsidRPr="00B74B0F">
              <w:rPr>
                <w:szCs w:val="22"/>
                <w:lang w:val="sr-Latn-ME"/>
              </w:rPr>
              <w:t>MTX</w:t>
            </w:r>
            <w:r w:rsidRPr="00B74B0F">
              <w:rPr>
                <w:szCs w:val="22"/>
                <w:lang w:val="sr-Latn-ME"/>
              </w:rPr>
              <w:noBreakHyphen/>
              <w:t>om</w:t>
            </w:r>
            <w:r w:rsidRPr="00B74B0F">
              <w:rPr>
                <w:szCs w:val="22"/>
                <w:vertAlign w:val="superscript"/>
                <w:lang w:val="sr-Latn-ME"/>
              </w:rPr>
              <w:t>a</w:t>
            </w:r>
          </w:p>
          <w:p w14:paraId="362D6F09" w14:textId="77777777" w:rsidR="00555A89" w:rsidRPr="00B74B0F" w:rsidRDefault="00906CF8" w:rsidP="002602C0">
            <w:pPr>
              <w:keepNext/>
              <w:spacing w:line="240" w:lineRule="auto"/>
              <w:contextualSpacing/>
              <w:jc w:val="both"/>
              <w:rPr>
                <w:szCs w:val="22"/>
                <w:lang w:val="sr-Latn-ME"/>
              </w:rPr>
            </w:pPr>
            <w:r w:rsidRPr="00B74B0F">
              <w:rPr>
                <w:szCs w:val="22"/>
                <w:lang w:val="sr-Latn-ME"/>
              </w:rPr>
              <w:t>(947)</w:t>
            </w:r>
          </w:p>
        </w:tc>
        <w:tc>
          <w:tcPr>
            <w:tcW w:w="2250" w:type="dxa"/>
            <w:shd w:val="clear" w:color="auto" w:fill="auto"/>
          </w:tcPr>
          <w:p w14:paraId="08096DFC" w14:textId="77777777" w:rsidR="00555A89" w:rsidRPr="00B74B0F" w:rsidRDefault="00906CF8" w:rsidP="00777B52">
            <w:pPr>
              <w:pStyle w:val="ListParagraph"/>
              <w:keepNext/>
              <w:numPr>
                <w:ilvl w:val="0"/>
                <w:numId w:val="6"/>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15 mg</w:t>
            </w:r>
          </w:p>
          <w:p w14:paraId="6CCD1B7C" w14:textId="77777777" w:rsidR="00555A89" w:rsidRPr="00B74B0F" w:rsidRDefault="00906CF8" w:rsidP="00343D6C">
            <w:pPr>
              <w:pStyle w:val="ListParagraph"/>
              <w:keepNext/>
              <w:numPr>
                <w:ilvl w:val="0"/>
                <w:numId w:val="6"/>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30 mg</w:t>
            </w:r>
          </w:p>
          <w:p w14:paraId="13A45411" w14:textId="77777777" w:rsidR="00555A89" w:rsidRPr="00B74B0F" w:rsidRDefault="00906CF8" w:rsidP="005C649D">
            <w:pPr>
              <w:pStyle w:val="ListParagraph"/>
              <w:keepNext/>
              <w:numPr>
                <w:ilvl w:val="0"/>
                <w:numId w:val="6"/>
              </w:numPr>
              <w:spacing w:after="0" w:line="240" w:lineRule="auto"/>
              <w:ind w:left="135" w:hanging="135"/>
              <w:jc w:val="both"/>
              <w:rPr>
                <w:rFonts w:ascii="Times New Roman" w:hAnsi="Times New Roman"/>
                <w:lang w:val="sr-Latn-ME"/>
              </w:rPr>
            </w:pPr>
            <w:r w:rsidRPr="00B74B0F">
              <w:rPr>
                <w:rFonts w:ascii="Times New Roman" w:hAnsi="Times New Roman"/>
                <w:lang w:val="sr-Latn-ME"/>
              </w:rPr>
              <w:t>MTX</w:t>
            </w:r>
          </w:p>
          <w:p w14:paraId="2239D8EF" w14:textId="77777777" w:rsidR="00555A89" w:rsidRPr="00B74B0F" w:rsidRDefault="00555A89" w:rsidP="00A30C3C">
            <w:pPr>
              <w:pStyle w:val="ListParagraph"/>
              <w:keepNext/>
              <w:spacing w:after="0" w:line="240" w:lineRule="auto"/>
              <w:ind w:left="360"/>
              <w:jc w:val="both"/>
              <w:rPr>
                <w:rFonts w:ascii="Times New Roman" w:hAnsi="Times New Roman"/>
                <w:lang w:val="sr-Latn-ME"/>
              </w:rPr>
            </w:pPr>
          </w:p>
          <w:p w14:paraId="20440A9D" w14:textId="77777777" w:rsidR="00555A89" w:rsidRPr="00B74B0F" w:rsidRDefault="00906CF8" w:rsidP="00A30C3C">
            <w:pPr>
              <w:keepNext/>
              <w:spacing w:line="240" w:lineRule="auto"/>
              <w:contextualSpacing/>
              <w:jc w:val="both"/>
              <w:rPr>
                <w:szCs w:val="22"/>
                <w:lang w:val="sr-Latn-ME"/>
              </w:rPr>
            </w:pPr>
            <w:r w:rsidRPr="00B74B0F">
              <w:rPr>
                <w:szCs w:val="22"/>
                <w:lang w:val="sr-Latn-ME"/>
              </w:rPr>
              <w:t>Monoterapija</w:t>
            </w:r>
          </w:p>
        </w:tc>
        <w:tc>
          <w:tcPr>
            <w:tcW w:w="3431" w:type="dxa"/>
            <w:shd w:val="clear" w:color="auto" w:fill="auto"/>
          </w:tcPr>
          <w:p w14:paraId="6D57EEF1" w14:textId="71801A62" w:rsidR="00501915" w:rsidRPr="00B74B0F" w:rsidRDefault="002602C0" w:rsidP="002602C0">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Primarni parametar praćenja</w:t>
            </w:r>
            <w:r w:rsidR="00906CF8" w:rsidRPr="00B74B0F">
              <w:rPr>
                <w:rFonts w:ascii="Times New Roman" w:hAnsi="Times New Roman"/>
                <w:lang w:val="sr-Latn-ME"/>
              </w:rPr>
              <w:t>: klinička remisija (DAS28</w:t>
            </w:r>
            <w:r w:rsidR="00906CF8" w:rsidRPr="00B74B0F">
              <w:rPr>
                <w:rFonts w:ascii="Times New Roman" w:hAnsi="Times New Roman"/>
                <w:lang w:val="sr-Latn-ME"/>
              </w:rPr>
              <w:noBreakHyphen/>
              <w:t xml:space="preserve">CRP) u </w:t>
            </w:r>
            <w:r w:rsidR="005031C4" w:rsidRPr="00B74B0F">
              <w:rPr>
                <w:rFonts w:ascii="Times New Roman" w:hAnsi="Times New Roman"/>
                <w:lang w:val="sr-Latn-ME"/>
              </w:rPr>
              <w:t>24. nedjelji</w:t>
            </w:r>
          </w:p>
          <w:p w14:paraId="61767F72" w14:textId="77777777" w:rsidR="00BD05A0" w:rsidRPr="00B74B0F" w:rsidRDefault="00906CF8" w:rsidP="00777B52">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Niska aktivnost bolesti (DAS28</w:t>
            </w:r>
            <w:r w:rsidRPr="00B74B0F">
              <w:rPr>
                <w:rFonts w:ascii="Times New Roman" w:hAnsi="Times New Roman"/>
                <w:lang w:val="sr-Latn-ME"/>
              </w:rPr>
              <w:noBreakHyphen/>
              <w:t>CRP)</w:t>
            </w:r>
          </w:p>
          <w:p w14:paraId="1A0427D6" w14:textId="77777777" w:rsidR="00501915" w:rsidRPr="00B74B0F" w:rsidRDefault="00BD05A0" w:rsidP="00343D6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ACR50</w:t>
            </w:r>
            <w:r w:rsidR="00906CF8" w:rsidRPr="00B74B0F">
              <w:rPr>
                <w:rFonts w:ascii="Times New Roman" w:hAnsi="Times New Roman"/>
                <w:lang w:val="sr-Latn-ME"/>
              </w:rPr>
              <w:t xml:space="preserve"> </w:t>
            </w:r>
          </w:p>
          <w:p w14:paraId="2C78F40A" w14:textId="77777777" w:rsidR="00501915" w:rsidRPr="00B74B0F" w:rsidRDefault="00906CF8" w:rsidP="005C649D">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 xml:space="preserve">Radiografska progresija (mTSS) </w:t>
            </w:r>
          </w:p>
          <w:p w14:paraId="2E66FDFB" w14:textId="77777777" w:rsidR="007D40AD" w:rsidRPr="00B74B0F" w:rsidRDefault="00906CF8"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Tjelesna funkcija (HAQ</w:t>
            </w:r>
            <w:r w:rsidRPr="00B74B0F">
              <w:rPr>
                <w:rFonts w:ascii="Times New Roman" w:hAnsi="Times New Roman"/>
                <w:lang w:val="sr-Latn-ME"/>
              </w:rPr>
              <w:noBreakHyphen/>
              <w:t>DI)</w:t>
            </w:r>
          </w:p>
          <w:p w14:paraId="3736FF6C" w14:textId="4FDEB8DE" w:rsidR="00342200" w:rsidRPr="00B74B0F" w:rsidRDefault="00342200"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SF-36 PCS</w:t>
            </w:r>
          </w:p>
        </w:tc>
      </w:tr>
      <w:tr w:rsidR="003A2D26" w:rsidRPr="00B74B0F" w14:paraId="48B382E3" w14:textId="77777777" w:rsidTr="00200D71">
        <w:trPr>
          <w:cantSplit/>
          <w:trHeight w:val="1306"/>
          <w:tblHeader/>
        </w:trPr>
        <w:tc>
          <w:tcPr>
            <w:tcW w:w="1935" w:type="dxa"/>
            <w:shd w:val="clear" w:color="auto" w:fill="auto"/>
          </w:tcPr>
          <w:p w14:paraId="7691A708" w14:textId="77777777" w:rsidR="00555A89" w:rsidRPr="00B74B0F" w:rsidRDefault="00853DA4" w:rsidP="009F5809">
            <w:pPr>
              <w:keepNext/>
              <w:spacing w:line="240" w:lineRule="auto"/>
              <w:contextualSpacing/>
              <w:jc w:val="both"/>
              <w:rPr>
                <w:szCs w:val="22"/>
                <w:lang w:val="sr-Latn-ME"/>
              </w:rPr>
            </w:pPr>
            <w:r w:rsidRPr="00B74B0F">
              <w:rPr>
                <w:szCs w:val="22"/>
                <w:lang w:val="sr-Latn-ME"/>
              </w:rPr>
              <w:t>SELECT-</w:t>
            </w:r>
            <w:r w:rsidR="00906CF8" w:rsidRPr="00B74B0F">
              <w:rPr>
                <w:szCs w:val="22"/>
                <w:lang w:val="sr-Latn-ME"/>
              </w:rPr>
              <w:t>MONOTHERAPY</w:t>
            </w:r>
          </w:p>
          <w:p w14:paraId="4CC1DC3C" w14:textId="77777777" w:rsidR="00555A89" w:rsidRPr="00B74B0F" w:rsidRDefault="00555A89" w:rsidP="00181F44">
            <w:pPr>
              <w:keepNext/>
              <w:spacing w:line="240" w:lineRule="auto"/>
              <w:contextualSpacing/>
              <w:jc w:val="both"/>
              <w:rPr>
                <w:szCs w:val="22"/>
                <w:lang w:val="sr-Latn-ME"/>
              </w:rPr>
            </w:pPr>
          </w:p>
        </w:tc>
        <w:tc>
          <w:tcPr>
            <w:tcW w:w="1593" w:type="dxa"/>
            <w:shd w:val="clear" w:color="auto" w:fill="auto"/>
          </w:tcPr>
          <w:p w14:paraId="3F7EC101" w14:textId="388FF27B" w:rsidR="005031C4" w:rsidRPr="00B74B0F" w:rsidRDefault="005031C4" w:rsidP="005502DD">
            <w:pPr>
              <w:keepNext/>
              <w:spacing w:line="240" w:lineRule="auto"/>
              <w:contextualSpacing/>
              <w:jc w:val="both"/>
              <w:rPr>
                <w:szCs w:val="22"/>
                <w:lang w:val="sr-Latn-ME"/>
              </w:rPr>
            </w:pPr>
            <w:r w:rsidRPr="00B74B0F">
              <w:rPr>
                <w:szCs w:val="22"/>
                <w:lang w:val="sr-Latn-ME"/>
              </w:rPr>
              <w:t>Pacijenti sa nedovoljno dobrim odgovorom na</w:t>
            </w:r>
          </w:p>
          <w:p w14:paraId="442ACD3A" w14:textId="2904D058" w:rsidR="00C425DB" w:rsidRPr="00B74B0F" w:rsidRDefault="00906CF8" w:rsidP="00585915">
            <w:pPr>
              <w:keepNext/>
              <w:spacing w:line="240" w:lineRule="auto"/>
              <w:contextualSpacing/>
              <w:jc w:val="both"/>
              <w:rPr>
                <w:szCs w:val="22"/>
                <w:lang w:val="sr-Latn-ME"/>
              </w:rPr>
            </w:pPr>
            <w:r w:rsidRPr="00B74B0F">
              <w:rPr>
                <w:szCs w:val="22"/>
                <w:lang w:val="sr-Latn-ME"/>
              </w:rPr>
              <w:t>MTX</w:t>
            </w:r>
            <w:r w:rsidR="00F21985" w:rsidRPr="00B74B0F">
              <w:rPr>
                <w:szCs w:val="22"/>
                <w:lang w:val="sr-Latn-ME"/>
              </w:rPr>
              <w:t>-IR</w:t>
            </w:r>
            <w:r w:rsidRPr="00B74B0F">
              <w:rPr>
                <w:szCs w:val="22"/>
                <w:vertAlign w:val="superscript"/>
                <w:lang w:val="sr-Latn-ME"/>
              </w:rPr>
              <w:t>b</w:t>
            </w:r>
          </w:p>
          <w:p w14:paraId="39100555" w14:textId="77777777" w:rsidR="00555A89" w:rsidRPr="00B74B0F" w:rsidRDefault="00906CF8" w:rsidP="002602C0">
            <w:pPr>
              <w:keepNext/>
              <w:spacing w:line="240" w:lineRule="auto"/>
              <w:contextualSpacing/>
              <w:jc w:val="both"/>
              <w:rPr>
                <w:szCs w:val="22"/>
                <w:lang w:val="sr-Latn-ME"/>
              </w:rPr>
            </w:pPr>
            <w:r w:rsidRPr="00B74B0F">
              <w:rPr>
                <w:szCs w:val="22"/>
                <w:lang w:val="sr-Latn-ME"/>
              </w:rPr>
              <w:t>(648)</w:t>
            </w:r>
          </w:p>
        </w:tc>
        <w:tc>
          <w:tcPr>
            <w:tcW w:w="2250" w:type="dxa"/>
            <w:shd w:val="clear" w:color="auto" w:fill="auto"/>
          </w:tcPr>
          <w:p w14:paraId="36A970DC" w14:textId="77777777" w:rsidR="00555A89" w:rsidRPr="00B74B0F" w:rsidRDefault="00906CF8" w:rsidP="00777B52">
            <w:pPr>
              <w:pStyle w:val="ListParagraph"/>
              <w:keepNext/>
              <w:numPr>
                <w:ilvl w:val="0"/>
                <w:numId w:val="6"/>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15 mg</w:t>
            </w:r>
          </w:p>
          <w:p w14:paraId="1D5B7FBE" w14:textId="77777777" w:rsidR="00555A89" w:rsidRPr="00B74B0F" w:rsidRDefault="00906CF8" w:rsidP="00343D6C">
            <w:pPr>
              <w:pStyle w:val="ListParagraph"/>
              <w:keepNext/>
              <w:numPr>
                <w:ilvl w:val="0"/>
                <w:numId w:val="6"/>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30 mg</w:t>
            </w:r>
          </w:p>
          <w:p w14:paraId="5A404B01" w14:textId="77777777" w:rsidR="00555A89" w:rsidRPr="00B74B0F" w:rsidRDefault="00906CF8" w:rsidP="005C649D">
            <w:pPr>
              <w:pStyle w:val="ListParagraph"/>
              <w:keepNext/>
              <w:numPr>
                <w:ilvl w:val="0"/>
                <w:numId w:val="6"/>
              </w:numPr>
              <w:spacing w:after="0" w:line="240" w:lineRule="auto"/>
              <w:ind w:left="135" w:hanging="135"/>
              <w:jc w:val="both"/>
              <w:rPr>
                <w:rFonts w:ascii="Times New Roman" w:hAnsi="Times New Roman"/>
                <w:lang w:val="sr-Latn-ME"/>
              </w:rPr>
            </w:pPr>
            <w:r w:rsidRPr="00B74B0F">
              <w:rPr>
                <w:rFonts w:ascii="Times New Roman" w:hAnsi="Times New Roman"/>
                <w:lang w:val="sr-Latn-ME"/>
              </w:rPr>
              <w:t>MTX</w:t>
            </w:r>
          </w:p>
          <w:p w14:paraId="6F8A3AEE" w14:textId="77777777" w:rsidR="00555A89" w:rsidRPr="00B74B0F" w:rsidRDefault="00555A89" w:rsidP="00A30C3C">
            <w:pPr>
              <w:pStyle w:val="ListParagraph"/>
              <w:keepNext/>
              <w:spacing w:after="0" w:line="240" w:lineRule="auto"/>
              <w:ind w:left="360"/>
              <w:jc w:val="both"/>
              <w:rPr>
                <w:rFonts w:ascii="Times New Roman" w:hAnsi="Times New Roman"/>
                <w:lang w:val="sr-Latn-ME"/>
              </w:rPr>
            </w:pPr>
          </w:p>
          <w:p w14:paraId="2503A6F0" w14:textId="77777777" w:rsidR="00555A89" w:rsidRPr="00B74B0F" w:rsidRDefault="00906CF8" w:rsidP="00A30C3C">
            <w:pPr>
              <w:keepNext/>
              <w:spacing w:line="240" w:lineRule="auto"/>
              <w:contextualSpacing/>
              <w:jc w:val="both"/>
              <w:rPr>
                <w:szCs w:val="22"/>
                <w:lang w:val="sr-Latn-ME"/>
              </w:rPr>
            </w:pPr>
            <w:r w:rsidRPr="00B74B0F">
              <w:rPr>
                <w:szCs w:val="22"/>
                <w:lang w:val="sr-Latn-ME"/>
              </w:rPr>
              <w:t>Monoterapija</w:t>
            </w:r>
          </w:p>
        </w:tc>
        <w:tc>
          <w:tcPr>
            <w:tcW w:w="3431" w:type="dxa"/>
            <w:shd w:val="clear" w:color="auto" w:fill="auto"/>
          </w:tcPr>
          <w:p w14:paraId="1827FD03" w14:textId="5A811D28" w:rsidR="00F759D9" w:rsidRPr="00B74B0F" w:rsidRDefault="002602C0"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Primarni parametar praćenja</w:t>
            </w:r>
            <w:r w:rsidR="00906CF8" w:rsidRPr="00B74B0F">
              <w:rPr>
                <w:rFonts w:ascii="Times New Roman" w:hAnsi="Times New Roman"/>
                <w:lang w:val="sr-Latn-ME"/>
              </w:rPr>
              <w:t>: niska aktivnost bolesti (DAS28</w:t>
            </w:r>
            <w:r w:rsidR="00906CF8" w:rsidRPr="00B74B0F">
              <w:rPr>
                <w:rFonts w:ascii="Times New Roman" w:hAnsi="Times New Roman"/>
                <w:lang w:val="sr-Latn-ME"/>
              </w:rPr>
              <w:noBreakHyphen/>
              <w:t>CRP) u</w:t>
            </w:r>
            <w:r w:rsidR="00342200" w:rsidRPr="00B74B0F">
              <w:rPr>
                <w:rFonts w:ascii="Times New Roman" w:hAnsi="Times New Roman"/>
                <w:lang w:val="sr-Latn-ME"/>
              </w:rPr>
              <w:t xml:space="preserve"> </w:t>
            </w:r>
            <w:r w:rsidR="002304CB" w:rsidRPr="00B74B0F">
              <w:rPr>
                <w:rFonts w:ascii="Times New Roman" w:hAnsi="Times New Roman"/>
                <w:lang w:val="sr-Latn-ME"/>
              </w:rPr>
              <w:t>14.</w:t>
            </w:r>
            <w:r w:rsidRPr="00B74B0F">
              <w:rPr>
                <w:rFonts w:ascii="Times New Roman" w:hAnsi="Times New Roman"/>
                <w:lang w:val="sr-Latn-ME"/>
              </w:rPr>
              <w:t xml:space="preserve"> </w:t>
            </w:r>
            <w:r w:rsidR="002304CB" w:rsidRPr="00B74B0F">
              <w:rPr>
                <w:rFonts w:ascii="Times New Roman" w:hAnsi="Times New Roman"/>
                <w:lang w:val="sr-Latn-ME"/>
              </w:rPr>
              <w:t>nedjelji</w:t>
            </w:r>
          </w:p>
          <w:p w14:paraId="51221BEE" w14:textId="77777777" w:rsidR="00F759D9" w:rsidRPr="00B74B0F" w:rsidRDefault="00906CF8"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Klinička remisija (DAS28</w:t>
            </w:r>
            <w:r w:rsidRPr="00B74B0F">
              <w:rPr>
                <w:rFonts w:ascii="Times New Roman" w:hAnsi="Times New Roman"/>
                <w:lang w:val="sr-Latn-ME"/>
              </w:rPr>
              <w:noBreakHyphen/>
              <w:t>CRP)</w:t>
            </w:r>
          </w:p>
          <w:p w14:paraId="24964A03" w14:textId="77777777" w:rsidR="00AC3660" w:rsidRPr="00B74B0F" w:rsidRDefault="00AC3660"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ACR20</w:t>
            </w:r>
          </w:p>
          <w:p w14:paraId="448648FD" w14:textId="77777777" w:rsidR="00555A89" w:rsidRPr="00B74B0F" w:rsidRDefault="00906CF8"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Tjelesna funkcija (HAQ</w:t>
            </w:r>
            <w:r w:rsidRPr="00B74B0F">
              <w:rPr>
                <w:rFonts w:ascii="Times New Roman" w:hAnsi="Times New Roman"/>
                <w:lang w:val="sr-Latn-ME"/>
              </w:rPr>
              <w:noBreakHyphen/>
              <w:t>DI)</w:t>
            </w:r>
          </w:p>
          <w:p w14:paraId="40FF61D7" w14:textId="77777777" w:rsidR="007D40AD" w:rsidRPr="00B74B0F" w:rsidRDefault="00342200"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SF-36 PCS</w:t>
            </w:r>
            <w:r w:rsidR="002B3AB1" w:rsidRPr="00B74B0F">
              <w:rPr>
                <w:rFonts w:ascii="Times New Roman" w:hAnsi="Times New Roman"/>
                <w:lang w:val="sr-Latn-ME"/>
              </w:rPr>
              <w:t xml:space="preserve"> </w:t>
            </w:r>
          </w:p>
          <w:p w14:paraId="34A212AF" w14:textId="3CDB37FB" w:rsidR="00342200" w:rsidRPr="00B74B0F" w:rsidRDefault="00342200" w:rsidP="00A30C3C">
            <w:pPr>
              <w:pStyle w:val="ListParagraph"/>
              <w:keepNext/>
              <w:numPr>
                <w:ilvl w:val="0"/>
                <w:numId w:val="6"/>
              </w:numPr>
              <w:spacing w:after="0" w:line="240" w:lineRule="auto"/>
              <w:ind w:left="177" w:hanging="177"/>
              <w:jc w:val="both"/>
              <w:rPr>
                <w:rFonts w:ascii="Times New Roman" w:hAnsi="Times New Roman"/>
                <w:lang w:val="sr-Latn-ME"/>
              </w:rPr>
            </w:pPr>
            <w:r w:rsidRPr="00B74B0F">
              <w:rPr>
                <w:rFonts w:ascii="Times New Roman" w:hAnsi="Times New Roman"/>
                <w:lang w:val="sr-Latn-ME"/>
              </w:rPr>
              <w:t>Jutarnja ukočenost</w:t>
            </w:r>
          </w:p>
        </w:tc>
      </w:tr>
    </w:tbl>
    <w:p w14:paraId="20C735FE" w14:textId="77777777" w:rsidR="00A03983" w:rsidRPr="00B74B0F" w:rsidRDefault="00A03983" w:rsidP="00A30C3C">
      <w:pPr>
        <w:jc w:val="both"/>
        <w:rPr>
          <w:szCs w:val="22"/>
          <w:lang w:val="sr-Latn-ME"/>
        </w:rPr>
      </w:pPr>
    </w:p>
    <w:tbl>
      <w:tblPr>
        <w:tblpPr w:leftFromText="180" w:rightFromText="180" w:vertAnchor="text" w:tblpY="19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1593"/>
        <w:gridCol w:w="2250"/>
        <w:gridCol w:w="3431"/>
      </w:tblGrid>
      <w:tr w:rsidR="003A2D26" w:rsidRPr="00B74B0F" w14:paraId="025E018E" w14:textId="77777777" w:rsidTr="00200D71">
        <w:trPr>
          <w:cantSplit/>
          <w:trHeight w:val="1607"/>
          <w:tblHeader/>
        </w:trPr>
        <w:tc>
          <w:tcPr>
            <w:tcW w:w="1935" w:type="dxa"/>
            <w:shd w:val="clear" w:color="auto" w:fill="auto"/>
          </w:tcPr>
          <w:p w14:paraId="29B12AF6" w14:textId="77777777" w:rsidR="00D0023A" w:rsidRPr="00B74B0F" w:rsidRDefault="00853DA4" w:rsidP="009F5809">
            <w:pPr>
              <w:keepNext/>
              <w:spacing w:line="240" w:lineRule="auto"/>
              <w:contextualSpacing/>
              <w:jc w:val="both"/>
              <w:rPr>
                <w:szCs w:val="22"/>
                <w:lang w:val="sr-Latn-ME"/>
              </w:rPr>
            </w:pPr>
            <w:r w:rsidRPr="00B74B0F">
              <w:rPr>
                <w:szCs w:val="22"/>
                <w:lang w:val="sr-Latn-ME"/>
              </w:rPr>
              <w:t>SELECT-</w:t>
            </w:r>
            <w:r w:rsidR="00906CF8" w:rsidRPr="00B74B0F">
              <w:rPr>
                <w:szCs w:val="22"/>
                <w:lang w:val="sr-Latn-ME"/>
              </w:rPr>
              <w:t>NEXT</w:t>
            </w:r>
          </w:p>
        </w:tc>
        <w:tc>
          <w:tcPr>
            <w:tcW w:w="1593" w:type="dxa"/>
            <w:shd w:val="clear" w:color="auto" w:fill="auto"/>
          </w:tcPr>
          <w:p w14:paraId="43B31158" w14:textId="44EFAC8B" w:rsidR="005031C4" w:rsidRPr="00B74B0F" w:rsidRDefault="005031C4" w:rsidP="00181F44">
            <w:pPr>
              <w:keepNext/>
              <w:spacing w:line="240" w:lineRule="auto"/>
              <w:contextualSpacing/>
              <w:jc w:val="both"/>
              <w:rPr>
                <w:szCs w:val="22"/>
                <w:lang w:val="sr-Latn-ME"/>
              </w:rPr>
            </w:pPr>
            <w:r w:rsidRPr="00B74B0F">
              <w:rPr>
                <w:szCs w:val="22"/>
                <w:lang w:val="sr-Latn-ME"/>
              </w:rPr>
              <w:t>Pacijenti sa nedovoljno dobrim odgovorom na</w:t>
            </w:r>
          </w:p>
          <w:p w14:paraId="0CC9F9CF" w14:textId="466014EB" w:rsidR="00C425DB" w:rsidRPr="00B74B0F" w:rsidRDefault="005031C4" w:rsidP="005502DD">
            <w:pPr>
              <w:keepNext/>
              <w:spacing w:line="240" w:lineRule="auto"/>
              <w:contextualSpacing/>
              <w:jc w:val="both"/>
              <w:rPr>
                <w:szCs w:val="22"/>
                <w:lang w:val="sr-Latn-ME"/>
              </w:rPr>
            </w:pPr>
            <w:r w:rsidRPr="00B74B0F">
              <w:rPr>
                <w:szCs w:val="22"/>
                <w:lang w:val="sr-Latn-ME"/>
              </w:rPr>
              <w:t>k</w:t>
            </w:r>
            <w:r w:rsidR="00906CF8" w:rsidRPr="00B74B0F">
              <w:rPr>
                <w:szCs w:val="22"/>
                <w:lang w:val="sr-Latn-ME"/>
              </w:rPr>
              <w:t>sDMARD</w:t>
            </w:r>
            <w:r w:rsidR="00F21985" w:rsidRPr="00B74B0F">
              <w:rPr>
                <w:szCs w:val="22"/>
                <w:lang w:val="sr-Latn-ME"/>
              </w:rPr>
              <w:t>-IR</w:t>
            </w:r>
            <w:r w:rsidR="00906CF8" w:rsidRPr="00B74B0F">
              <w:rPr>
                <w:szCs w:val="22"/>
                <w:vertAlign w:val="superscript"/>
                <w:lang w:val="sr-Latn-ME"/>
              </w:rPr>
              <w:t>c</w:t>
            </w:r>
          </w:p>
          <w:p w14:paraId="3B8136E4" w14:textId="77777777" w:rsidR="00D0023A" w:rsidRPr="00B74B0F" w:rsidRDefault="00906CF8" w:rsidP="00585915">
            <w:pPr>
              <w:keepNext/>
              <w:spacing w:line="240" w:lineRule="auto"/>
              <w:contextualSpacing/>
              <w:jc w:val="both"/>
              <w:rPr>
                <w:szCs w:val="22"/>
                <w:lang w:val="sr-Latn-ME"/>
              </w:rPr>
            </w:pPr>
            <w:r w:rsidRPr="00B74B0F">
              <w:rPr>
                <w:szCs w:val="22"/>
                <w:lang w:val="sr-Latn-ME"/>
              </w:rPr>
              <w:t>(661)</w:t>
            </w:r>
          </w:p>
        </w:tc>
        <w:tc>
          <w:tcPr>
            <w:tcW w:w="2250" w:type="dxa"/>
            <w:shd w:val="clear" w:color="auto" w:fill="auto"/>
          </w:tcPr>
          <w:p w14:paraId="6723A79C" w14:textId="77777777" w:rsidR="00D0023A" w:rsidRPr="00B74B0F" w:rsidRDefault="00906CF8" w:rsidP="002602C0">
            <w:pPr>
              <w:pStyle w:val="ListParagraph"/>
              <w:keepNext/>
              <w:numPr>
                <w:ilvl w:val="0"/>
                <w:numId w:val="4"/>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15 mg</w:t>
            </w:r>
          </w:p>
          <w:p w14:paraId="5DE20342" w14:textId="77777777" w:rsidR="00D0023A" w:rsidRPr="00B74B0F" w:rsidRDefault="00906CF8" w:rsidP="00777B52">
            <w:pPr>
              <w:pStyle w:val="ListParagraph"/>
              <w:keepNext/>
              <w:numPr>
                <w:ilvl w:val="0"/>
                <w:numId w:val="4"/>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30 mg</w:t>
            </w:r>
          </w:p>
          <w:p w14:paraId="42A3D0EB" w14:textId="77777777" w:rsidR="00D0023A" w:rsidRPr="00B74B0F" w:rsidRDefault="00906CF8" w:rsidP="00343D6C">
            <w:pPr>
              <w:pStyle w:val="ListParagraph"/>
              <w:keepNext/>
              <w:numPr>
                <w:ilvl w:val="0"/>
                <w:numId w:val="4"/>
              </w:numPr>
              <w:spacing w:after="0" w:line="240" w:lineRule="auto"/>
              <w:ind w:left="135" w:hanging="135"/>
              <w:jc w:val="both"/>
              <w:rPr>
                <w:rFonts w:ascii="Times New Roman" w:hAnsi="Times New Roman"/>
                <w:lang w:val="sr-Latn-ME"/>
              </w:rPr>
            </w:pPr>
            <w:r w:rsidRPr="00B74B0F">
              <w:rPr>
                <w:rFonts w:ascii="Times New Roman" w:hAnsi="Times New Roman"/>
                <w:lang w:val="sr-Latn-ME"/>
              </w:rPr>
              <w:t>Placebo</w:t>
            </w:r>
          </w:p>
          <w:p w14:paraId="2192AE53" w14:textId="77777777" w:rsidR="005B2DCF" w:rsidRPr="00B74B0F" w:rsidRDefault="005B2DCF" w:rsidP="005C649D">
            <w:pPr>
              <w:pStyle w:val="ListParagraph"/>
              <w:keepNext/>
              <w:spacing w:after="0" w:line="240" w:lineRule="auto"/>
              <w:ind w:left="360"/>
              <w:jc w:val="both"/>
              <w:rPr>
                <w:rFonts w:ascii="Times New Roman" w:hAnsi="Times New Roman"/>
                <w:lang w:val="sr-Latn-ME"/>
              </w:rPr>
            </w:pPr>
          </w:p>
          <w:p w14:paraId="13366FA9" w14:textId="56504775" w:rsidR="00D0023A" w:rsidRPr="00B74B0F" w:rsidRDefault="00906CF8" w:rsidP="00777B52">
            <w:pPr>
              <w:keepNext/>
              <w:spacing w:line="240" w:lineRule="auto"/>
              <w:contextualSpacing/>
              <w:jc w:val="both"/>
              <w:rPr>
                <w:szCs w:val="22"/>
                <w:lang w:val="sr-Latn-ME"/>
              </w:rPr>
            </w:pPr>
            <w:r w:rsidRPr="00B74B0F">
              <w:rPr>
                <w:szCs w:val="22"/>
                <w:lang w:val="sr-Latn-ME"/>
              </w:rPr>
              <w:t>Osnovna terapija ksDMARD</w:t>
            </w:r>
          </w:p>
        </w:tc>
        <w:tc>
          <w:tcPr>
            <w:tcW w:w="3431" w:type="dxa"/>
            <w:shd w:val="clear" w:color="auto" w:fill="auto"/>
          </w:tcPr>
          <w:p w14:paraId="2A666124" w14:textId="60D246BE" w:rsidR="00E63C9E" w:rsidRPr="00B74B0F" w:rsidRDefault="002602C0" w:rsidP="00777B52">
            <w:pPr>
              <w:pStyle w:val="ListParagraph"/>
              <w:keepNext/>
              <w:numPr>
                <w:ilvl w:val="0"/>
                <w:numId w:val="10"/>
              </w:numPr>
              <w:spacing w:after="0" w:line="240" w:lineRule="auto"/>
              <w:ind w:left="162" w:hanging="162"/>
              <w:jc w:val="both"/>
              <w:rPr>
                <w:rFonts w:ascii="Times New Roman" w:hAnsi="Times New Roman"/>
                <w:lang w:val="sr-Latn-ME"/>
              </w:rPr>
            </w:pPr>
            <w:r w:rsidRPr="00B74B0F">
              <w:rPr>
                <w:rFonts w:ascii="Times New Roman" w:hAnsi="Times New Roman"/>
                <w:lang w:val="sr-Latn-ME"/>
              </w:rPr>
              <w:t>Primarni parametar praćenja</w:t>
            </w:r>
            <w:r w:rsidR="00906CF8" w:rsidRPr="00B74B0F">
              <w:rPr>
                <w:rFonts w:ascii="Times New Roman" w:hAnsi="Times New Roman"/>
                <w:lang w:val="sr-Latn-ME"/>
              </w:rPr>
              <w:t>: niska aktivnost bolesti (DAS28</w:t>
            </w:r>
            <w:r w:rsidR="00906CF8" w:rsidRPr="00B74B0F">
              <w:rPr>
                <w:rFonts w:ascii="Times New Roman" w:hAnsi="Times New Roman"/>
                <w:lang w:val="sr-Latn-ME"/>
              </w:rPr>
              <w:noBreakHyphen/>
              <w:t xml:space="preserve">CRP) u </w:t>
            </w:r>
            <w:r w:rsidR="004901F1" w:rsidRPr="00B74B0F">
              <w:rPr>
                <w:rFonts w:ascii="Times New Roman" w:hAnsi="Times New Roman"/>
                <w:lang w:val="sr-Latn-ME"/>
              </w:rPr>
              <w:t>12. nedjelji</w:t>
            </w:r>
          </w:p>
          <w:p w14:paraId="34A96524" w14:textId="77777777" w:rsidR="00E63C9E" w:rsidRPr="00B74B0F" w:rsidRDefault="00906CF8" w:rsidP="00343D6C">
            <w:pPr>
              <w:pStyle w:val="ListParagraph"/>
              <w:keepNext/>
              <w:numPr>
                <w:ilvl w:val="0"/>
                <w:numId w:val="10"/>
              </w:numPr>
              <w:spacing w:after="0" w:line="240" w:lineRule="auto"/>
              <w:ind w:left="162" w:hanging="162"/>
              <w:jc w:val="both"/>
              <w:rPr>
                <w:rFonts w:ascii="Times New Roman" w:hAnsi="Times New Roman"/>
                <w:lang w:val="sr-Latn-ME"/>
              </w:rPr>
            </w:pPr>
            <w:r w:rsidRPr="00B74B0F">
              <w:rPr>
                <w:rFonts w:ascii="Times New Roman" w:hAnsi="Times New Roman"/>
                <w:lang w:val="sr-Latn-ME"/>
              </w:rPr>
              <w:t>Klinička remisija (DAS28</w:t>
            </w:r>
            <w:r w:rsidRPr="00B74B0F">
              <w:rPr>
                <w:rFonts w:ascii="Times New Roman" w:hAnsi="Times New Roman"/>
                <w:lang w:val="sr-Latn-ME"/>
              </w:rPr>
              <w:noBreakHyphen/>
              <w:t>CRP)</w:t>
            </w:r>
          </w:p>
          <w:p w14:paraId="6199DF5B" w14:textId="77777777" w:rsidR="00AC3660" w:rsidRPr="00B74B0F" w:rsidRDefault="00AC3660" w:rsidP="005C649D">
            <w:pPr>
              <w:pStyle w:val="ListParagraph"/>
              <w:keepNext/>
              <w:numPr>
                <w:ilvl w:val="0"/>
                <w:numId w:val="10"/>
              </w:numPr>
              <w:spacing w:after="0" w:line="240" w:lineRule="auto"/>
              <w:ind w:left="162" w:hanging="162"/>
              <w:jc w:val="both"/>
              <w:rPr>
                <w:rFonts w:ascii="Times New Roman" w:hAnsi="Times New Roman"/>
                <w:lang w:val="sr-Latn-ME"/>
              </w:rPr>
            </w:pPr>
            <w:r w:rsidRPr="00B74B0F">
              <w:rPr>
                <w:rFonts w:ascii="Times New Roman" w:hAnsi="Times New Roman"/>
                <w:lang w:val="sr-Latn-ME"/>
              </w:rPr>
              <w:t>ACR20</w:t>
            </w:r>
          </w:p>
          <w:p w14:paraId="238834EB" w14:textId="77777777" w:rsidR="00D0023A" w:rsidRPr="00B74B0F" w:rsidRDefault="00906CF8" w:rsidP="00A30C3C">
            <w:pPr>
              <w:pStyle w:val="ListParagraph"/>
              <w:keepNext/>
              <w:numPr>
                <w:ilvl w:val="0"/>
                <w:numId w:val="10"/>
              </w:numPr>
              <w:spacing w:after="0" w:line="240" w:lineRule="auto"/>
              <w:ind w:left="162" w:hanging="162"/>
              <w:jc w:val="both"/>
              <w:rPr>
                <w:rFonts w:ascii="Times New Roman" w:hAnsi="Times New Roman"/>
                <w:lang w:val="sr-Latn-ME"/>
              </w:rPr>
            </w:pPr>
            <w:r w:rsidRPr="00B74B0F">
              <w:rPr>
                <w:rFonts w:ascii="Times New Roman" w:hAnsi="Times New Roman"/>
                <w:lang w:val="sr-Latn-ME"/>
              </w:rPr>
              <w:t>Tjelesna funkcija (HAQ</w:t>
            </w:r>
            <w:r w:rsidRPr="00B74B0F">
              <w:rPr>
                <w:rFonts w:ascii="Times New Roman" w:hAnsi="Times New Roman"/>
                <w:lang w:val="sr-Latn-ME"/>
              </w:rPr>
              <w:noBreakHyphen/>
              <w:t>DI)</w:t>
            </w:r>
          </w:p>
          <w:p w14:paraId="7C93EF0A" w14:textId="11E9B403" w:rsidR="00F80F10" w:rsidRPr="00B74B0F" w:rsidRDefault="00F80F10" w:rsidP="00A30C3C">
            <w:pPr>
              <w:pStyle w:val="ListParagraph"/>
              <w:keepNext/>
              <w:numPr>
                <w:ilvl w:val="0"/>
                <w:numId w:val="10"/>
              </w:numPr>
              <w:spacing w:after="0" w:line="240" w:lineRule="auto"/>
              <w:ind w:left="162" w:hanging="162"/>
              <w:jc w:val="both"/>
              <w:rPr>
                <w:rFonts w:ascii="Times New Roman" w:hAnsi="Times New Roman"/>
                <w:lang w:val="sr-Latn-ME"/>
              </w:rPr>
            </w:pPr>
            <w:r w:rsidRPr="00B74B0F">
              <w:rPr>
                <w:rFonts w:ascii="Times New Roman" w:hAnsi="Times New Roman"/>
                <w:lang w:val="sr-Latn-ME"/>
              </w:rPr>
              <w:t>SF-36 PCS</w:t>
            </w:r>
          </w:p>
          <w:p w14:paraId="5E6FBE77" w14:textId="77777777" w:rsidR="00F80F10" w:rsidRPr="00B74B0F" w:rsidRDefault="00F80F10" w:rsidP="00A30C3C">
            <w:pPr>
              <w:pStyle w:val="ListParagraph"/>
              <w:keepNext/>
              <w:numPr>
                <w:ilvl w:val="0"/>
                <w:numId w:val="10"/>
              </w:numPr>
              <w:spacing w:after="0" w:line="240" w:lineRule="auto"/>
              <w:ind w:left="162" w:hanging="162"/>
              <w:jc w:val="both"/>
              <w:rPr>
                <w:rFonts w:ascii="Times New Roman" w:hAnsi="Times New Roman"/>
                <w:lang w:val="sr-Latn-ME"/>
              </w:rPr>
            </w:pPr>
            <w:r w:rsidRPr="00B74B0F">
              <w:rPr>
                <w:rFonts w:ascii="Times New Roman" w:hAnsi="Times New Roman"/>
                <w:lang w:val="sr-Latn-ME"/>
              </w:rPr>
              <w:t>Niska aktivnost bolesti (CDAI)</w:t>
            </w:r>
          </w:p>
          <w:p w14:paraId="29C966CA" w14:textId="1C895366" w:rsidR="002304CB" w:rsidRPr="00B74B0F" w:rsidRDefault="00F80F10" w:rsidP="00A30C3C">
            <w:pPr>
              <w:pStyle w:val="ListParagraph"/>
              <w:keepNext/>
              <w:spacing w:after="0" w:line="240" w:lineRule="auto"/>
              <w:ind w:left="162"/>
              <w:jc w:val="both"/>
              <w:rPr>
                <w:rFonts w:ascii="Times New Roman" w:hAnsi="Times New Roman"/>
                <w:lang w:val="sr-Latn-ME"/>
              </w:rPr>
            </w:pPr>
            <w:r w:rsidRPr="00B74B0F">
              <w:rPr>
                <w:rFonts w:ascii="Times New Roman" w:hAnsi="Times New Roman"/>
                <w:lang w:val="sr-Latn-ME"/>
              </w:rPr>
              <w:t>Jutarnja ukočenost</w:t>
            </w:r>
          </w:p>
          <w:p w14:paraId="671A989F" w14:textId="5B512328" w:rsidR="00F80F10" w:rsidRPr="00B74B0F" w:rsidRDefault="00F80F10" w:rsidP="00A30C3C">
            <w:pPr>
              <w:pStyle w:val="ListParagraph"/>
              <w:keepNext/>
              <w:numPr>
                <w:ilvl w:val="0"/>
                <w:numId w:val="10"/>
              </w:numPr>
              <w:spacing w:after="0" w:line="240" w:lineRule="auto"/>
              <w:ind w:left="162" w:hanging="162"/>
              <w:jc w:val="both"/>
              <w:rPr>
                <w:rFonts w:ascii="Times New Roman" w:hAnsi="Times New Roman"/>
                <w:lang w:val="sr-Latn-ME"/>
              </w:rPr>
            </w:pPr>
            <w:r w:rsidRPr="00B74B0F">
              <w:rPr>
                <w:rFonts w:ascii="Times New Roman" w:hAnsi="Times New Roman"/>
                <w:lang w:val="sr-Latn-ME"/>
              </w:rPr>
              <w:t>FACIT</w:t>
            </w:r>
            <w:r w:rsidR="00D67093" w:rsidRPr="00B74B0F">
              <w:rPr>
                <w:rFonts w:ascii="Times New Roman" w:hAnsi="Times New Roman"/>
                <w:lang w:val="sr-Latn-ME"/>
              </w:rPr>
              <w:t>-</w:t>
            </w:r>
            <w:r w:rsidRPr="00B74B0F">
              <w:rPr>
                <w:rFonts w:ascii="Times New Roman" w:hAnsi="Times New Roman"/>
                <w:lang w:val="sr-Latn-ME"/>
              </w:rPr>
              <w:t>F</w:t>
            </w:r>
          </w:p>
        </w:tc>
      </w:tr>
      <w:tr w:rsidR="003A2D26" w:rsidRPr="00B74B0F" w14:paraId="53575131" w14:textId="77777777" w:rsidTr="00BE568C">
        <w:trPr>
          <w:cantSplit/>
          <w:trHeight w:val="3849"/>
          <w:tblHeader/>
        </w:trPr>
        <w:tc>
          <w:tcPr>
            <w:tcW w:w="1935" w:type="dxa"/>
            <w:shd w:val="clear" w:color="auto" w:fill="auto"/>
          </w:tcPr>
          <w:p w14:paraId="6B6E4660" w14:textId="77777777" w:rsidR="00D0023A" w:rsidRPr="00B74B0F" w:rsidRDefault="00853DA4" w:rsidP="009F5809">
            <w:pPr>
              <w:keepNext/>
              <w:spacing w:line="240" w:lineRule="auto"/>
              <w:contextualSpacing/>
              <w:jc w:val="both"/>
              <w:rPr>
                <w:szCs w:val="22"/>
                <w:lang w:val="sr-Latn-ME"/>
              </w:rPr>
            </w:pPr>
            <w:r w:rsidRPr="00B74B0F">
              <w:rPr>
                <w:szCs w:val="22"/>
                <w:lang w:val="sr-Latn-ME"/>
              </w:rPr>
              <w:t>SELECT-</w:t>
            </w:r>
            <w:r w:rsidR="00906CF8" w:rsidRPr="00B74B0F">
              <w:rPr>
                <w:szCs w:val="22"/>
                <w:lang w:val="sr-Latn-ME"/>
              </w:rPr>
              <w:t>COMPARE</w:t>
            </w:r>
          </w:p>
          <w:p w14:paraId="008ECE03" w14:textId="77777777" w:rsidR="00D0023A" w:rsidRPr="00B74B0F" w:rsidRDefault="00D0023A" w:rsidP="00181F44">
            <w:pPr>
              <w:keepNext/>
              <w:spacing w:line="240" w:lineRule="auto"/>
              <w:contextualSpacing/>
              <w:jc w:val="both"/>
              <w:rPr>
                <w:szCs w:val="22"/>
                <w:lang w:val="sr-Latn-ME"/>
              </w:rPr>
            </w:pPr>
          </w:p>
        </w:tc>
        <w:tc>
          <w:tcPr>
            <w:tcW w:w="1593" w:type="dxa"/>
            <w:shd w:val="clear" w:color="auto" w:fill="auto"/>
          </w:tcPr>
          <w:p w14:paraId="6EABFF50" w14:textId="1DCF963F" w:rsidR="005031C4" w:rsidRPr="00B74B0F" w:rsidRDefault="005031C4" w:rsidP="005502DD">
            <w:pPr>
              <w:keepNext/>
              <w:spacing w:line="240" w:lineRule="auto"/>
              <w:contextualSpacing/>
              <w:jc w:val="both"/>
              <w:rPr>
                <w:szCs w:val="22"/>
                <w:lang w:val="sr-Latn-ME"/>
              </w:rPr>
            </w:pPr>
            <w:r w:rsidRPr="00B74B0F">
              <w:rPr>
                <w:szCs w:val="22"/>
                <w:lang w:val="sr-Latn-ME"/>
              </w:rPr>
              <w:t>Pacijenti sa nedovoljno dobrim odgovorom na</w:t>
            </w:r>
          </w:p>
          <w:p w14:paraId="0181FA52" w14:textId="0F208C1D" w:rsidR="00C425DB" w:rsidRPr="00B74B0F" w:rsidRDefault="00906CF8" w:rsidP="00585915">
            <w:pPr>
              <w:keepNext/>
              <w:spacing w:line="240" w:lineRule="auto"/>
              <w:contextualSpacing/>
              <w:jc w:val="both"/>
              <w:rPr>
                <w:szCs w:val="22"/>
                <w:lang w:val="sr-Latn-ME"/>
              </w:rPr>
            </w:pPr>
            <w:r w:rsidRPr="00B74B0F">
              <w:rPr>
                <w:szCs w:val="22"/>
                <w:lang w:val="sr-Latn-ME"/>
              </w:rPr>
              <w:t>MTX</w:t>
            </w:r>
            <w:r w:rsidR="00F80F10" w:rsidRPr="00B74B0F">
              <w:rPr>
                <w:szCs w:val="22"/>
                <w:lang w:val="sr-Latn-ME"/>
              </w:rPr>
              <w:t>-IR</w:t>
            </w:r>
            <w:r w:rsidRPr="00B74B0F">
              <w:rPr>
                <w:szCs w:val="22"/>
                <w:vertAlign w:val="superscript"/>
                <w:lang w:val="sr-Latn-ME"/>
              </w:rPr>
              <w:t>d</w:t>
            </w:r>
          </w:p>
          <w:p w14:paraId="726CDC3A" w14:textId="77777777" w:rsidR="00D0023A" w:rsidRPr="00B74B0F" w:rsidRDefault="00906CF8" w:rsidP="002602C0">
            <w:pPr>
              <w:keepNext/>
              <w:spacing w:line="240" w:lineRule="auto"/>
              <w:contextualSpacing/>
              <w:jc w:val="both"/>
              <w:rPr>
                <w:szCs w:val="22"/>
                <w:lang w:val="sr-Latn-ME"/>
              </w:rPr>
            </w:pPr>
            <w:r w:rsidRPr="00B74B0F">
              <w:rPr>
                <w:szCs w:val="22"/>
                <w:lang w:val="sr-Latn-ME"/>
              </w:rPr>
              <w:t>(1629)</w:t>
            </w:r>
          </w:p>
        </w:tc>
        <w:tc>
          <w:tcPr>
            <w:tcW w:w="2250" w:type="dxa"/>
            <w:shd w:val="clear" w:color="auto" w:fill="auto"/>
          </w:tcPr>
          <w:p w14:paraId="55498A80" w14:textId="77777777" w:rsidR="00D0023A" w:rsidRPr="00B74B0F" w:rsidRDefault="00906CF8" w:rsidP="00777B52">
            <w:pPr>
              <w:pStyle w:val="ListParagraph"/>
              <w:keepNext/>
              <w:numPr>
                <w:ilvl w:val="0"/>
                <w:numId w:val="3"/>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15 mg</w:t>
            </w:r>
          </w:p>
          <w:p w14:paraId="01533189" w14:textId="77777777" w:rsidR="00D0023A" w:rsidRPr="00B74B0F" w:rsidRDefault="00906CF8" w:rsidP="00343D6C">
            <w:pPr>
              <w:pStyle w:val="ListParagraph"/>
              <w:keepNext/>
              <w:numPr>
                <w:ilvl w:val="0"/>
                <w:numId w:val="3"/>
              </w:numPr>
              <w:spacing w:after="0" w:line="240" w:lineRule="auto"/>
              <w:ind w:left="135" w:hanging="135"/>
              <w:jc w:val="both"/>
              <w:rPr>
                <w:rFonts w:ascii="Times New Roman" w:hAnsi="Times New Roman"/>
                <w:lang w:val="sr-Latn-ME"/>
              </w:rPr>
            </w:pPr>
            <w:r w:rsidRPr="00B74B0F">
              <w:rPr>
                <w:rFonts w:ascii="Times New Roman" w:hAnsi="Times New Roman"/>
                <w:lang w:val="sr-Latn-ME"/>
              </w:rPr>
              <w:t>Placebo</w:t>
            </w:r>
          </w:p>
          <w:p w14:paraId="6FA010DC" w14:textId="77777777" w:rsidR="00B401A8" w:rsidRPr="00B74B0F" w:rsidRDefault="00906CF8" w:rsidP="005C649D">
            <w:pPr>
              <w:pStyle w:val="ListParagraph"/>
              <w:keepNext/>
              <w:numPr>
                <w:ilvl w:val="0"/>
                <w:numId w:val="3"/>
              </w:numPr>
              <w:spacing w:after="0" w:line="240" w:lineRule="auto"/>
              <w:ind w:left="135" w:hanging="135"/>
              <w:jc w:val="both"/>
              <w:rPr>
                <w:rFonts w:ascii="Times New Roman" w:hAnsi="Times New Roman"/>
                <w:lang w:val="sr-Latn-ME"/>
              </w:rPr>
            </w:pPr>
            <w:r w:rsidRPr="00B74B0F">
              <w:rPr>
                <w:rFonts w:ascii="Times New Roman" w:hAnsi="Times New Roman"/>
                <w:lang w:val="sr-Latn-ME"/>
              </w:rPr>
              <w:t>Adalimumab 40 mg</w:t>
            </w:r>
          </w:p>
          <w:p w14:paraId="6AB3BBAF" w14:textId="77777777" w:rsidR="00D0023A" w:rsidRPr="00B74B0F" w:rsidRDefault="00906CF8" w:rsidP="00A30C3C">
            <w:pPr>
              <w:pStyle w:val="ListParagraph"/>
              <w:keepNext/>
              <w:spacing w:after="0" w:line="240" w:lineRule="auto"/>
              <w:ind w:left="360"/>
              <w:jc w:val="both"/>
              <w:rPr>
                <w:rFonts w:ascii="Times New Roman" w:hAnsi="Times New Roman"/>
                <w:lang w:val="sr-Latn-ME"/>
              </w:rPr>
            </w:pPr>
            <w:r w:rsidRPr="00B74B0F">
              <w:rPr>
                <w:rFonts w:ascii="Times New Roman" w:hAnsi="Times New Roman"/>
                <w:lang w:val="sr-Latn-ME"/>
              </w:rPr>
              <w:t xml:space="preserve"> </w:t>
            </w:r>
          </w:p>
          <w:p w14:paraId="0C342662" w14:textId="77777777" w:rsidR="00D0023A" w:rsidRPr="00B74B0F" w:rsidRDefault="00906CF8" w:rsidP="00A30C3C">
            <w:pPr>
              <w:keepNext/>
              <w:spacing w:line="240" w:lineRule="auto"/>
              <w:contextualSpacing/>
              <w:jc w:val="both"/>
              <w:rPr>
                <w:szCs w:val="22"/>
                <w:lang w:val="sr-Latn-ME"/>
              </w:rPr>
            </w:pPr>
            <w:r w:rsidRPr="00B74B0F">
              <w:rPr>
                <w:szCs w:val="22"/>
                <w:lang w:val="sr-Latn-ME"/>
              </w:rPr>
              <w:t>Osnovna terapija MTX</w:t>
            </w:r>
            <w:r w:rsidRPr="00B74B0F">
              <w:rPr>
                <w:szCs w:val="22"/>
                <w:lang w:val="sr-Latn-ME"/>
              </w:rPr>
              <w:noBreakHyphen/>
              <w:t>om</w:t>
            </w:r>
          </w:p>
        </w:tc>
        <w:tc>
          <w:tcPr>
            <w:tcW w:w="3431" w:type="dxa"/>
            <w:shd w:val="clear" w:color="auto" w:fill="auto"/>
          </w:tcPr>
          <w:p w14:paraId="47B1301A" w14:textId="7DF0CECC" w:rsidR="00B401A8" w:rsidRPr="00B74B0F" w:rsidRDefault="002602C0" w:rsidP="00A30C3C">
            <w:pPr>
              <w:pStyle w:val="ListParagraph"/>
              <w:keepNext/>
              <w:numPr>
                <w:ilvl w:val="0"/>
                <w:numId w:val="11"/>
              </w:numPr>
              <w:spacing w:after="0" w:line="240" w:lineRule="auto"/>
              <w:ind w:left="162" w:hanging="162"/>
              <w:jc w:val="both"/>
              <w:rPr>
                <w:rFonts w:ascii="Times New Roman" w:hAnsi="Times New Roman"/>
                <w:lang w:val="sr-Latn-ME"/>
              </w:rPr>
            </w:pPr>
            <w:r w:rsidRPr="00B74B0F">
              <w:rPr>
                <w:rFonts w:ascii="Times New Roman" w:hAnsi="Times New Roman"/>
                <w:lang w:val="sr-Latn-ME"/>
              </w:rPr>
              <w:t>Primarni parametar praćenja</w:t>
            </w:r>
            <w:r w:rsidR="00906CF8" w:rsidRPr="00B74B0F">
              <w:rPr>
                <w:rFonts w:ascii="Times New Roman" w:hAnsi="Times New Roman"/>
                <w:lang w:val="sr-Latn-ME"/>
              </w:rPr>
              <w:t>: klinička remisija (DAS28</w:t>
            </w:r>
            <w:r w:rsidR="00906CF8" w:rsidRPr="00B74B0F">
              <w:rPr>
                <w:rFonts w:ascii="Times New Roman" w:hAnsi="Times New Roman"/>
                <w:lang w:val="sr-Latn-ME"/>
              </w:rPr>
              <w:noBreakHyphen/>
              <w:t xml:space="preserve">CRP) u </w:t>
            </w:r>
            <w:r w:rsidR="004901F1" w:rsidRPr="00B74B0F">
              <w:rPr>
                <w:rFonts w:ascii="Times New Roman" w:hAnsi="Times New Roman"/>
                <w:lang w:val="sr-Latn-ME"/>
              </w:rPr>
              <w:t>12. nedjelji</w:t>
            </w:r>
          </w:p>
          <w:p w14:paraId="738F3F9E" w14:textId="77777777" w:rsidR="00B401A8" w:rsidRPr="00B74B0F" w:rsidRDefault="00906CF8"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Niska aktivnost bolesti (DAS28</w:t>
            </w:r>
            <w:r w:rsidRPr="00B74B0F">
              <w:rPr>
                <w:rFonts w:ascii="Times New Roman" w:hAnsi="Times New Roman"/>
                <w:lang w:val="sr-Latn-ME"/>
              </w:rPr>
              <w:noBreakHyphen/>
              <w:t>CRP)</w:t>
            </w:r>
          </w:p>
          <w:p w14:paraId="598878FF" w14:textId="77777777" w:rsidR="00AC3660" w:rsidRPr="00B74B0F" w:rsidRDefault="00AC3660"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ACR20</w:t>
            </w:r>
          </w:p>
          <w:p w14:paraId="6396BE5A" w14:textId="77777777" w:rsidR="00B401A8" w:rsidRPr="00B74B0F" w:rsidRDefault="00906CF8"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Niska aktivnost bolesti (DAS28</w:t>
            </w:r>
            <w:r w:rsidRPr="00B74B0F">
              <w:rPr>
                <w:rFonts w:ascii="Times New Roman" w:hAnsi="Times New Roman"/>
                <w:lang w:val="sr-Latn-ME"/>
              </w:rPr>
              <w:noBreakHyphen/>
              <w:t xml:space="preserve">CRP) u odnosu na adalimumab </w:t>
            </w:r>
          </w:p>
          <w:p w14:paraId="29117C3B" w14:textId="77777777" w:rsidR="00B401A8" w:rsidRPr="00B74B0F" w:rsidRDefault="00906CF8" w:rsidP="00A30C3C">
            <w:pPr>
              <w:pStyle w:val="ListParagraph"/>
              <w:keepNext/>
              <w:numPr>
                <w:ilvl w:val="0"/>
                <w:numId w:val="3"/>
              </w:numPr>
              <w:spacing w:after="0" w:line="240" w:lineRule="auto"/>
              <w:ind w:left="177" w:hanging="177"/>
              <w:jc w:val="both"/>
              <w:rPr>
                <w:rFonts w:ascii="Times New Roman" w:eastAsia="Times New Roman" w:hAnsi="Times New Roman"/>
                <w:lang w:val="sr-Latn-ME"/>
              </w:rPr>
            </w:pPr>
            <w:r w:rsidRPr="00B74B0F">
              <w:rPr>
                <w:rFonts w:ascii="Times New Roman" w:hAnsi="Times New Roman"/>
                <w:lang w:val="sr-Latn-ME"/>
              </w:rPr>
              <w:t xml:space="preserve">Radiografska progresija (mTSS) </w:t>
            </w:r>
          </w:p>
          <w:p w14:paraId="609E9B0A" w14:textId="77777777" w:rsidR="00F80F10" w:rsidRPr="00B74B0F" w:rsidRDefault="00906CF8"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Tjelesna funkcija (HAQ</w:t>
            </w:r>
            <w:r w:rsidRPr="00B74B0F">
              <w:rPr>
                <w:rFonts w:ascii="Times New Roman" w:hAnsi="Times New Roman"/>
                <w:lang w:val="sr-Latn-ME"/>
              </w:rPr>
              <w:noBreakHyphen/>
              <w:t>DI)</w:t>
            </w:r>
          </w:p>
          <w:p w14:paraId="1E89BD8C" w14:textId="47EFD9DC" w:rsidR="00F80F10" w:rsidRPr="00B74B0F" w:rsidRDefault="00F80F10"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SF-36 PCS</w:t>
            </w:r>
          </w:p>
          <w:p w14:paraId="77B00CC5" w14:textId="77777777" w:rsidR="00F80F10" w:rsidRPr="00B74B0F" w:rsidRDefault="00F80F10"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Niska aktivnost bolesti (CDAI)</w:t>
            </w:r>
          </w:p>
          <w:p w14:paraId="365B5D8C" w14:textId="77777777" w:rsidR="00A03983" w:rsidRPr="00B74B0F" w:rsidRDefault="00F80F10"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Jutarnja ukočenost</w:t>
            </w:r>
            <w:r w:rsidR="00906CF8" w:rsidRPr="00B74B0F">
              <w:rPr>
                <w:rFonts w:ascii="Times New Roman" w:hAnsi="Times New Roman"/>
                <w:lang w:val="sr-Latn-ME"/>
              </w:rPr>
              <w:t xml:space="preserve"> </w:t>
            </w:r>
          </w:p>
          <w:p w14:paraId="1ED7AEBD" w14:textId="474ED558" w:rsidR="00F80F10" w:rsidRPr="00B74B0F" w:rsidRDefault="00E71AC9" w:rsidP="00A30C3C">
            <w:pPr>
              <w:pStyle w:val="ListParagraph"/>
              <w:keepNext/>
              <w:numPr>
                <w:ilvl w:val="0"/>
                <w:numId w:val="3"/>
              </w:numPr>
              <w:spacing w:after="0" w:line="240" w:lineRule="auto"/>
              <w:ind w:left="177" w:hanging="177"/>
              <w:jc w:val="both"/>
              <w:rPr>
                <w:rFonts w:ascii="Times New Roman" w:hAnsi="Times New Roman"/>
                <w:lang w:val="sr-Latn-ME"/>
              </w:rPr>
            </w:pPr>
            <w:r w:rsidRPr="00B74B0F">
              <w:rPr>
                <w:rFonts w:ascii="Times New Roman" w:hAnsi="Times New Roman"/>
                <w:lang w:val="sr-Latn-ME"/>
              </w:rPr>
              <w:t>FACIT-F</w:t>
            </w:r>
          </w:p>
        </w:tc>
      </w:tr>
    </w:tbl>
    <w:p w14:paraId="3A04EC1A" w14:textId="77777777" w:rsidR="00841DAF" w:rsidRPr="00B74B0F" w:rsidRDefault="00841DAF">
      <w:pPr>
        <w:jc w:val="both"/>
        <w:rPr>
          <w:szCs w:val="22"/>
          <w:lang w:val="sr-Latn-ME"/>
        </w:rPr>
      </w:pPr>
    </w:p>
    <w:tbl>
      <w:tblPr>
        <w:tblpPr w:leftFromText="180" w:rightFromText="180" w:vertAnchor="text" w:tblpY="19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5"/>
        <w:gridCol w:w="1593"/>
        <w:gridCol w:w="2250"/>
        <w:gridCol w:w="3431"/>
      </w:tblGrid>
      <w:tr w:rsidR="003A2D26" w:rsidRPr="00B74B0F" w14:paraId="1CF99899" w14:textId="77777777" w:rsidTr="00BE568C">
        <w:trPr>
          <w:cantSplit/>
          <w:trHeight w:val="1581"/>
          <w:tblHeader/>
        </w:trPr>
        <w:tc>
          <w:tcPr>
            <w:tcW w:w="1935" w:type="dxa"/>
            <w:shd w:val="clear" w:color="auto" w:fill="auto"/>
          </w:tcPr>
          <w:p w14:paraId="57D2980C" w14:textId="77777777" w:rsidR="00555A89" w:rsidRPr="00B74B0F" w:rsidRDefault="00853DA4" w:rsidP="009F5809">
            <w:pPr>
              <w:keepNext/>
              <w:spacing w:line="240" w:lineRule="auto"/>
              <w:contextualSpacing/>
              <w:jc w:val="both"/>
              <w:rPr>
                <w:szCs w:val="22"/>
                <w:lang w:val="sr-Latn-ME"/>
              </w:rPr>
            </w:pPr>
            <w:r w:rsidRPr="00B74B0F">
              <w:rPr>
                <w:szCs w:val="22"/>
                <w:lang w:val="sr-Latn-ME"/>
              </w:rPr>
              <w:lastRenderedPageBreak/>
              <w:t>SELECT-</w:t>
            </w:r>
            <w:r w:rsidR="00906CF8" w:rsidRPr="00B74B0F">
              <w:rPr>
                <w:szCs w:val="22"/>
                <w:lang w:val="sr-Latn-ME"/>
              </w:rPr>
              <w:t>BEYOND</w:t>
            </w:r>
          </w:p>
          <w:p w14:paraId="451FD6A1" w14:textId="77777777" w:rsidR="00D0023A" w:rsidRPr="00B74B0F" w:rsidRDefault="00D0023A" w:rsidP="00181F44">
            <w:pPr>
              <w:keepNext/>
              <w:spacing w:line="240" w:lineRule="auto"/>
              <w:contextualSpacing/>
              <w:jc w:val="both"/>
              <w:rPr>
                <w:szCs w:val="22"/>
                <w:lang w:val="sr-Latn-ME"/>
              </w:rPr>
            </w:pPr>
          </w:p>
        </w:tc>
        <w:tc>
          <w:tcPr>
            <w:tcW w:w="1593" w:type="dxa"/>
            <w:shd w:val="clear" w:color="auto" w:fill="auto"/>
          </w:tcPr>
          <w:p w14:paraId="019F98A9" w14:textId="57700A24" w:rsidR="005031C4" w:rsidRPr="00B74B0F" w:rsidRDefault="005031C4" w:rsidP="005502DD">
            <w:pPr>
              <w:keepNext/>
              <w:spacing w:line="240" w:lineRule="auto"/>
              <w:contextualSpacing/>
              <w:jc w:val="both"/>
              <w:rPr>
                <w:szCs w:val="22"/>
                <w:lang w:val="sr-Latn-ME"/>
              </w:rPr>
            </w:pPr>
            <w:r w:rsidRPr="00B74B0F">
              <w:rPr>
                <w:szCs w:val="22"/>
                <w:lang w:val="sr-Latn-ME"/>
              </w:rPr>
              <w:t>Pacijenti sa nedovoljno dobrim odgovorom na</w:t>
            </w:r>
          </w:p>
          <w:p w14:paraId="7179C942" w14:textId="773123A8" w:rsidR="00C425DB" w:rsidRPr="00B74B0F" w:rsidRDefault="00906CF8" w:rsidP="00585915">
            <w:pPr>
              <w:keepNext/>
              <w:spacing w:line="240" w:lineRule="auto"/>
              <w:contextualSpacing/>
              <w:jc w:val="both"/>
              <w:rPr>
                <w:szCs w:val="22"/>
                <w:lang w:val="sr-Latn-ME"/>
              </w:rPr>
            </w:pPr>
            <w:r w:rsidRPr="00B74B0F">
              <w:rPr>
                <w:szCs w:val="22"/>
                <w:lang w:val="sr-Latn-ME"/>
              </w:rPr>
              <w:t>bDMARD</w:t>
            </w:r>
            <w:r w:rsidR="002611FF" w:rsidRPr="00B74B0F">
              <w:rPr>
                <w:szCs w:val="22"/>
                <w:lang w:val="sr-Latn-ME"/>
              </w:rPr>
              <w:t>-IR</w:t>
            </w:r>
            <w:r w:rsidRPr="00B74B0F">
              <w:rPr>
                <w:szCs w:val="22"/>
                <w:vertAlign w:val="superscript"/>
                <w:lang w:val="sr-Latn-ME"/>
              </w:rPr>
              <w:t>e</w:t>
            </w:r>
          </w:p>
          <w:p w14:paraId="682AE2F5" w14:textId="77777777" w:rsidR="00D0023A" w:rsidRPr="00B74B0F" w:rsidRDefault="00906CF8" w:rsidP="002602C0">
            <w:pPr>
              <w:keepNext/>
              <w:spacing w:line="240" w:lineRule="auto"/>
              <w:contextualSpacing/>
              <w:jc w:val="both"/>
              <w:rPr>
                <w:szCs w:val="22"/>
                <w:lang w:val="sr-Latn-ME"/>
              </w:rPr>
            </w:pPr>
            <w:r w:rsidRPr="00B74B0F">
              <w:rPr>
                <w:szCs w:val="22"/>
                <w:lang w:val="sr-Latn-ME"/>
              </w:rPr>
              <w:t>(499)</w:t>
            </w:r>
          </w:p>
        </w:tc>
        <w:tc>
          <w:tcPr>
            <w:tcW w:w="2250" w:type="dxa"/>
            <w:shd w:val="clear" w:color="auto" w:fill="auto"/>
          </w:tcPr>
          <w:p w14:paraId="5051C61E" w14:textId="77777777" w:rsidR="00D0023A" w:rsidRPr="00B74B0F" w:rsidRDefault="00906CF8" w:rsidP="00777B52">
            <w:pPr>
              <w:pStyle w:val="ListParagraph"/>
              <w:keepNext/>
              <w:numPr>
                <w:ilvl w:val="0"/>
                <w:numId w:val="5"/>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15 mg</w:t>
            </w:r>
          </w:p>
          <w:p w14:paraId="6C2A4310" w14:textId="77777777" w:rsidR="00D0023A" w:rsidRPr="00B74B0F" w:rsidRDefault="00906CF8" w:rsidP="00343D6C">
            <w:pPr>
              <w:pStyle w:val="ListParagraph"/>
              <w:keepNext/>
              <w:numPr>
                <w:ilvl w:val="0"/>
                <w:numId w:val="5"/>
              </w:numPr>
              <w:spacing w:after="0" w:line="240" w:lineRule="auto"/>
              <w:ind w:left="135" w:hanging="135"/>
              <w:jc w:val="both"/>
              <w:rPr>
                <w:rFonts w:ascii="Times New Roman" w:hAnsi="Times New Roman"/>
                <w:lang w:val="sr-Latn-ME"/>
              </w:rPr>
            </w:pPr>
            <w:r w:rsidRPr="00B74B0F">
              <w:rPr>
                <w:rFonts w:ascii="Times New Roman" w:hAnsi="Times New Roman"/>
                <w:lang w:val="sr-Latn-ME"/>
              </w:rPr>
              <w:t>Upadacitinib 30 mg</w:t>
            </w:r>
          </w:p>
          <w:p w14:paraId="2C5BB8AC" w14:textId="77777777" w:rsidR="00555A89" w:rsidRPr="00B74B0F" w:rsidRDefault="00906CF8" w:rsidP="005C649D">
            <w:pPr>
              <w:pStyle w:val="ListParagraph"/>
              <w:keepNext/>
              <w:numPr>
                <w:ilvl w:val="0"/>
                <w:numId w:val="5"/>
              </w:numPr>
              <w:spacing w:after="0" w:line="240" w:lineRule="auto"/>
              <w:ind w:left="135" w:hanging="135"/>
              <w:jc w:val="both"/>
              <w:rPr>
                <w:rFonts w:ascii="Times New Roman" w:hAnsi="Times New Roman"/>
                <w:lang w:val="sr-Latn-ME"/>
              </w:rPr>
            </w:pPr>
            <w:r w:rsidRPr="00B74B0F">
              <w:rPr>
                <w:rFonts w:ascii="Times New Roman" w:hAnsi="Times New Roman"/>
                <w:lang w:val="sr-Latn-ME"/>
              </w:rPr>
              <w:t>Placebo</w:t>
            </w:r>
          </w:p>
          <w:p w14:paraId="55C85BB3" w14:textId="77777777" w:rsidR="00B80E52" w:rsidRPr="00B74B0F" w:rsidRDefault="00B80E52" w:rsidP="00A30C3C">
            <w:pPr>
              <w:pStyle w:val="ListParagraph"/>
              <w:keepNext/>
              <w:spacing w:after="0" w:line="240" w:lineRule="auto"/>
              <w:ind w:left="360"/>
              <w:jc w:val="both"/>
              <w:rPr>
                <w:rFonts w:ascii="Times New Roman" w:hAnsi="Times New Roman"/>
                <w:lang w:val="sr-Latn-ME"/>
              </w:rPr>
            </w:pPr>
          </w:p>
          <w:p w14:paraId="0272CB3B" w14:textId="77777777" w:rsidR="00B80E52" w:rsidRPr="00B74B0F" w:rsidRDefault="00906CF8" w:rsidP="00A30C3C">
            <w:pPr>
              <w:pStyle w:val="ListParagraph"/>
              <w:keepNext/>
              <w:spacing w:after="0" w:line="240" w:lineRule="auto"/>
              <w:ind w:left="0"/>
              <w:jc w:val="both"/>
              <w:rPr>
                <w:rFonts w:ascii="Times New Roman" w:hAnsi="Times New Roman"/>
                <w:lang w:val="sr-Latn-ME"/>
              </w:rPr>
            </w:pPr>
            <w:r w:rsidRPr="00B74B0F">
              <w:rPr>
                <w:rFonts w:ascii="Times New Roman" w:hAnsi="Times New Roman"/>
                <w:lang w:val="sr-Latn-ME"/>
              </w:rPr>
              <w:t xml:space="preserve">Osnovna terapija </w:t>
            </w:r>
          </w:p>
          <w:p w14:paraId="08EB4AD0" w14:textId="1A3A57E8" w:rsidR="00D0023A" w:rsidRPr="00B74B0F" w:rsidRDefault="00906CF8" w:rsidP="00777B52">
            <w:pPr>
              <w:pStyle w:val="ListParagraph"/>
              <w:keepNext/>
              <w:spacing w:after="0" w:line="240" w:lineRule="auto"/>
              <w:ind w:left="0"/>
              <w:jc w:val="both"/>
              <w:rPr>
                <w:rFonts w:ascii="Times New Roman" w:hAnsi="Times New Roman"/>
                <w:lang w:val="sr-Latn-ME"/>
              </w:rPr>
            </w:pPr>
            <w:r w:rsidRPr="00B74B0F">
              <w:rPr>
                <w:rFonts w:ascii="Times New Roman" w:hAnsi="Times New Roman"/>
                <w:lang w:val="sr-Latn-ME"/>
              </w:rPr>
              <w:t>ksDMARD</w:t>
            </w:r>
          </w:p>
        </w:tc>
        <w:tc>
          <w:tcPr>
            <w:tcW w:w="3431" w:type="dxa"/>
            <w:shd w:val="clear" w:color="auto" w:fill="auto"/>
          </w:tcPr>
          <w:p w14:paraId="45A1BFC4" w14:textId="4B4B130E" w:rsidR="00402D9D" w:rsidRPr="00B74B0F" w:rsidRDefault="002602C0" w:rsidP="00777B52">
            <w:pPr>
              <w:pStyle w:val="ListParagraph"/>
              <w:keepNext/>
              <w:numPr>
                <w:ilvl w:val="0"/>
                <w:numId w:val="12"/>
              </w:numPr>
              <w:spacing w:after="0" w:line="240" w:lineRule="auto"/>
              <w:ind w:left="162" w:hanging="162"/>
              <w:jc w:val="both"/>
              <w:rPr>
                <w:rFonts w:ascii="Times New Roman" w:hAnsi="Times New Roman"/>
                <w:lang w:val="sr-Latn-ME"/>
              </w:rPr>
            </w:pPr>
            <w:r w:rsidRPr="00B74B0F">
              <w:rPr>
                <w:rFonts w:ascii="Times New Roman" w:hAnsi="Times New Roman"/>
                <w:lang w:val="sr-Latn-ME"/>
              </w:rPr>
              <w:t>Primarni parametar praćenja</w:t>
            </w:r>
            <w:r w:rsidR="00906CF8" w:rsidRPr="00B74B0F">
              <w:rPr>
                <w:rFonts w:ascii="Times New Roman" w:hAnsi="Times New Roman"/>
                <w:lang w:val="sr-Latn-ME"/>
              </w:rPr>
              <w:t>: niska aktivnost bolesti (DAS28</w:t>
            </w:r>
            <w:r w:rsidR="00906CF8" w:rsidRPr="00B74B0F">
              <w:rPr>
                <w:rFonts w:ascii="Times New Roman" w:hAnsi="Times New Roman"/>
                <w:lang w:val="sr-Latn-ME"/>
              </w:rPr>
              <w:noBreakHyphen/>
              <w:t xml:space="preserve">CRP) u </w:t>
            </w:r>
            <w:r w:rsidR="004901F1" w:rsidRPr="00B74B0F">
              <w:rPr>
                <w:rFonts w:ascii="Times New Roman" w:hAnsi="Times New Roman"/>
                <w:lang w:val="sr-Latn-ME"/>
              </w:rPr>
              <w:t>12. nedjelji</w:t>
            </w:r>
          </w:p>
          <w:p w14:paraId="6946A77F" w14:textId="77777777" w:rsidR="00AC3660" w:rsidRPr="00B74B0F" w:rsidRDefault="00AC3660" w:rsidP="00343D6C">
            <w:pPr>
              <w:pStyle w:val="ListParagraph"/>
              <w:keepNext/>
              <w:numPr>
                <w:ilvl w:val="0"/>
                <w:numId w:val="12"/>
              </w:numPr>
              <w:spacing w:after="0" w:line="240" w:lineRule="auto"/>
              <w:ind w:left="162" w:hanging="162"/>
              <w:jc w:val="both"/>
              <w:rPr>
                <w:rFonts w:ascii="Times New Roman" w:hAnsi="Times New Roman"/>
                <w:lang w:val="sr-Latn-ME"/>
              </w:rPr>
            </w:pPr>
            <w:r w:rsidRPr="00B74B0F">
              <w:rPr>
                <w:rFonts w:ascii="Times New Roman" w:hAnsi="Times New Roman"/>
                <w:lang w:val="sr-Latn-ME"/>
              </w:rPr>
              <w:t>ACR20</w:t>
            </w:r>
          </w:p>
          <w:p w14:paraId="5D77CDB0" w14:textId="77777777" w:rsidR="00D67093" w:rsidRPr="00B74B0F" w:rsidRDefault="00906CF8" w:rsidP="005C649D">
            <w:pPr>
              <w:pStyle w:val="ListParagraph"/>
              <w:keepNext/>
              <w:numPr>
                <w:ilvl w:val="0"/>
                <w:numId w:val="12"/>
              </w:numPr>
              <w:spacing w:after="0" w:line="240" w:lineRule="auto"/>
              <w:ind w:left="162" w:hanging="162"/>
              <w:jc w:val="both"/>
              <w:rPr>
                <w:rFonts w:ascii="Times New Roman" w:hAnsi="Times New Roman"/>
                <w:lang w:val="sr-Latn-ME"/>
              </w:rPr>
            </w:pPr>
            <w:r w:rsidRPr="00B74B0F">
              <w:rPr>
                <w:rFonts w:ascii="Times New Roman" w:hAnsi="Times New Roman"/>
                <w:lang w:val="sr-Latn-ME"/>
              </w:rPr>
              <w:t>Tjelesna funkcija (HAQ</w:t>
            </w:r>
            <w:r w:rsidRPr="00B74B0F">
              <w:rPr>
                <w:rFonts w:ascii="Times New Roman" w:hAnsi="Times New Roman"/>
                <w:lang w:val="sr-Latn-ME"/>
              </w:rPr>
              <w:noBreakHyphen/>
              <w:t>DI)</w:t>
            </w:r>
            <w:r w:rsidR="00BF7970" w:rsidRPr="00B74B0F">
              <w:rPr>
                <w:rFonts w:ascii="Times New Roman" w:hAnsi="Times New Roman"/>
                <w:lang w:val="sr-Latn-ME"/>
              </w:rPr>
              <w:t xml:space="preserve"> </w:t>
            </w:r>
          </w:p>
          <w:p w14:paraId="569493DE" w14:textId="01957360" w:rsidR="00F80F10" w:rsidRPr="00B74B0F" w:rsidRDefault="00F80F10" w:rsidP="00A30C3C">
            <w:pPr>
              <w:pStyle w:val="ListParagraph"/>
              <w:keepNext/>
              <w:numPr>
                <w:ilvl w:val="0"/>
                <w:numId w:val="12"/>
              </w:numPr>
              <w:spacing w:after="0" w:line="240" w:lineRule="auto"/>
              <w:ind w:left="162" w:hanging="162"/>
              <w:jc w:val="both"/>
              <w:rPr>
                <w:rFonts w:ascii="Times New Roman" w:hAnsi="Times New Roman"/>
                <w:lang w:val="sr-Latn-ME"/>
              </w:rPr>
            </w:pPr>
            <w:r w:rsidRPr="00B74B0F">
              <w:rPr>
                <w:rFonts w:ascii="Times New Roman" w:hAnsi="Times New Roman"/>
                <w:lang w:val="sr-Latn-ME"/>
              </w:rPr>
              <w:t>SF-36 PCS</w:t>
            </w:r>
          </w:p>
        </w:tc>
      </w:tr>
      <w:tr w:rsidR="003A2D26" w:rsidRPr="00B74B0F" w14:paraId="46296B59" w14:textId="77777777" w:rsidTr="00BE568C">
        <w:trPr>
          <w:cantSplit/>
          <w:trHeight w:val="3503"/>
          <w:tblHeader/>
        </w:trPr>
        <w:tc>
          <w:tcPr>
            <w:tcW w:w="9209" w:type="dxa"/>
            <w:gridSpan w:val="4"/>
            <w:shd w:val="clear" w:color="auto" w:fill="auto"/>
          </w:tcPr>
          <w:p w14:paraId="2E5FDD1B" w14:textId="3CB551C3" w:rsidR="00AD141A" w:rsidRPr="00B74B0F" w:rsidRDefault="00B10681" w:rsidP="009F5809">
            <w:pPr>
              <w:keepNext/>
              <w:tabs>
                <w:tab w:val="left" w:pos="3192"/>
              </w:tabs>
              <w:autoSpaceDE w:val="0"/>
              <w:autoSpaceDN w:val="0"/>
              <w:adjustRightInd w:val="0"/>
              <w:spacing w:line="240" w:lineRule="auto"/>
              <w:contextualSpacing/>
              <w:jc w:val="both"/>
              <w:rPr>
                <w:rFonts w:eastAsia="TimesNewRomanPSMT"/>
                <w:szCs w:val="22"/>
                <w:lang w:val="sr-Latn-ME"/>
              </w:rPr>
            </w:pPr>
            <w:r w:rsidRPr="00B74B0F">
              <w:rPr>
                <w:szCs w:val="22"/>
                <w:lang w:val="sr-Latn-ME"/>
              </w:rPr>
              <w:t>Skraćeni</w:t>
            </w:r>
            <w:r w:rsidR="00906CF8" w:rsidRPr="00B74B0F">
              <w:rPr>
                <w:szCs w:val="22"/>
                <w:lang w:val="sr-Latn-ME"/>
              </w:rPr>
              <w:t xml:space="preserve">ce: </w:t>
            </w:r>
            <w:r w:rsidR="00AC3660" w:rsidRPr="00B74B0F">
              <w:rPr>
                <w:szCs w:val="22"/>
                <w:lang w:val="sr-Latn-ME"/>
              </w:rPr>
              <w:t>ACR20 (ili 50) = poboljšanje za ≥ 20% (ili ≥ 50%) prema kriterij</w:t>
            </w:r>
            <w:r w:rsidR="00D67093" w:rsidRPr="00B74B0F">
              <w:rPr>
                <w:szCs w:val="22"/>
                <w:lang w:val="sr-Latn-ME"/>
              </w:rPr>
              <w:t>umi</w:t>
            </w:r>
            <w:r w:rsidR="00AC3660" w:rsidRPr="00B74B0F">
              <w:rPr>
                <w:szCs w:val="22"/>
                <w:lang w:val="sr-Latn-ME"/>
              </w:rPr>
              <w:t xml:space="preserve">ma Američkog reumatološkog društva; </w:t>
            </w:r>
            <w:r w:rsidR="00906CF8" w:rsidRPr="00B74B0F">
              <w:rPr>
                <w:szCs w:val="22"/>
                <w:lang w:val="sr-Latn-ME"/>
              </w:rPr>
              <w:t>bDMARD = biološki antireumatski lijek koji modifi</w:t>
            </w:r>
            <w:r w:rsidR="004901F1" w:rsidRPr="00B74B0F">
              <w:rPr>
                <w:szCs w:val="22"/>
                <w:lang w:val="sr-Latn-ME"/>
              </w:rPr>
              <w:t>kuje</w:t>
            </w:r>
            <w:r w:rsidR="00906CF8" w:rsidRPr="00B74B0F">
              <w:rPr>
                <w:szCs w:val="22"/>
                <w:lang w:val="sr-Latn-ME"/>
              </w:rPr>
              <w:t xml:space="preserve"> t</w:t>
            </w:r>
            <w:r w:rsidR="00F80F10" w:rsidRPr="00B74B0F">
              <w:rPr>
                <w:szCs w:val="22"/>
                <w:lang w:val="sr-Latn-ME"/>
              </w:rPr>
              <w:t>o</w:t>
            </w:r>
            <w:r w:rsidR="00906CF8" w:rsidRPr="00B74B0F">
              <w:rPr>
                <w:szCs w:val="22"/>
                <w:lang w:val="sr-Latn-ME"/>
              </w:rPr>
              <w:t>k bolesti; CRP = C</w:t>
            </w:r>
            <w:r w:rsidR="00906CF8" w:rsidRPr="00B74B0F">
              <w:rPr>
                <w:szCs w:val="22"/>
                <w:lang w:val="sr-Latn-ME"/>
              </w:rPr>
              <w:noBreakHyphen/>
              <w:t xml:space="preserve">reaktivni protein; DAS28 (engl. </w:t>
            </w:r>
            <w:r w:rsidR="00906CF8" w:rsidRPr="00B74B0F">
              <w:rPr>
                <w:i/>
                <w:iCs/>
                <w:szCs w:val="22"/>
                <w:lang w:val="sr-Latn-ME"/>
              </w:rPr>
              <w:t>Disease Activity Score 28 joints</w:t>
            </w:r>
            <w:r w:rsidR="00906CF8" w:rsidRPr="00B74B0F">
              <w:rPr>
                <w:szCs w:val="22"/>
                <w:lang w:val="sr-Latn-ME"/>
              </w:rPr>
              <w:t>) = indeks aktivnosti bolesti koji obuhva</w:t>
            </w:r>
            <w:r w:rsidR="00F80F10" w:rsidRPr="00B74B0F">
              <w:rPr>
                <w:szCs w:val="22"/>
                <w:lang w:val="sr-Latn-ME"/>
              </w:rPr>
              <w:t>t</w:t>
            </w:r>
            <w:r w:rsidR="00906CF8" w:rsidRPr="00B74B0F">
              <w:rPr>
                <w:szCs w:val="22"/>
                <w:lang w:val="sr-Latn-ME"/>
              </w:rPr>
              <w:t xml:space="preserve">a 28 zglobova; mTSS (engl. </w:t>
            </w:r>
            <w:r w:rsidR="00906CF8" w:rsidRPr="00B74B0F">
              <w:rPr>
                <w:i/>
                <w:iCs/>
                <w:szCs w:val="22"/>
                <w:lang w:val="sr-Latn-ME"/>
              </w:rPr>
              <w:t>modified Total Sharp Score</w:t>
            </w:r>
            <w:r w:rsidR="00906CF8" w:rsidRPr="00B74B0F">
              <w:rPr>
                <w:szCs w:val="22"/>
                <w:lang w:val="sr-Latn-ME"/>
              </w:rPr>
              <w:t>) = ukupan rezultat prema modifi</w:t>
            </w:r>
            <w:r w:rsidR="004901F1" w:rsidRPr="00B74B0F">
              <w:rPr>
                <w:szCs w:val="22"/>
                <w:lang w:val="sr-Latn-ME"/>
              </w:rPr>
              <w:t xml:space="preserve">kovanoj </w:t>
            </w:r>
            <w:r w:rsidR="00906CF8" w:rsidRPr="00B74B0F">
              <w:rPr>
                <w:szCs w:val="22"/>
                <w:lang w:val="sr-Latn-ME"/>
              </w:rPr>
              <w:t>Sharpovoj ljestvici; ksDMARD = konvencionalni sintetski antireumatski lijek koj</w:t>
            </w:r>
            <w:r w:rsidR="00414B01" w:rsidRPr="00B74B0F">
              <w:rPr>
                <w:szCs w:val="22"/>
                <w:lang w:val="sr-Latn-ME"/>
              </w:rPr>
              <w:t>i modifi</w:t>
            </w:r>
            <w:r w:rsidR="004901F1" w:rsidRPr="00B74B0F">
              <w:rPr>
                <w:szCs w:val="22"/>
                <w:lang w:val="sr-Latn-ME"/>
              </w:rPr>
              <w:t>kuje</w:t>
            </w:r>
            <w:r w:rsidR="00414B01" w:rsidRPr="00B74B0F">
              <w:rPr>
                <w:szCs w:val="22"/>
                <w:lang w:val="sr-Latn-ME"/>
              </w:rPr>
              <w:t xml:space="preserve"> t</w:t>
            </w:r>
            <w:r w:rsidR="00F80F10" w:rsidRPr="00B74B0F">
              <w:rPr>
                <w:szCs w:val="22"/>
                <w:lang w:val="sr-Latn-ME"/>
              </w:rPr>
              <w:t>o</w:t>
            </w:r>
            <w:r w:rsidR="00414B01" w:rsidRPr="00B74B0F">
              <w:rPr>
                <w:szCs w:val="22"/>
                <w:lang w:val="sr-Latn-ME"/>
              </w:rPr>
              <w:t>k bolesti; HAQ</w:t>
            </w:r>
            <w:r w:rsidR="00414B01" w:rsidRPr="00B74B0F">
              <w:rPr>
                <w:szCs w:val="22"/>
                <w:lang w:val="sr-Latn-ME"/>
              </w:rPr>
              <w:noBreakHyphen/>
            </w:r>
            <w:r w:rsidR="00906CF8" w:rsidRPr="00B74B0F">
              <w:rPr>
                <w:szCs w:val="22"/>
                <w:lang w:val="sr-Latn-ME"/>
              </w:rPr>
              <w:t xml:space="preserve">DI (engl. </w:t>
            </w:r>
            <w:r w:rsidR="00906CF8" w:rsidRPr="00B74B0F">
              <w:rPr>
                <w:i/>
                <w:iCs/>
                <w:szCs w:val="22"/>
                <w:lang w:val="sr-Latn-ME"/>
              </w:rPr>
              <w:t>Health Assessment Questionnaire Disability Index</w:t>
            </w:r>
            <w:r w:rsidR="00906CF8" w:rsidRPr="00B74B0F">
              <w:rPr>
                <w:szCs w:val="22"/>
                <w:lang w:val="sr-Latn-ME"/>
              </w:rPr>
              <w:t xml:space="preserve">) = indeks onesposobljenosti prema upitniku za ocjenu zdravstvenog stanja; </w:t>
            </w:r>
            <w:r w:rsidR="00E71AC9" w:rsidRPr="00B74B0F">
              <w:rPr>
                <w:szCs w:val="22"/>
                <w:lang w:val="sr-Latn-ME"/>
              </w:rPr>
              <w:t xml:space="preserve"> SF 36 </w:t>
            </w:r>
            <w:r w:rsidR="000F082F" w:rsidRPr="00B74B0F">
              <w:rPr>
                <w:szCs w:val="22"/>
                <w:lang w:val="sr-Latn-ME"/>
              </w:rPr>
              <w:t xml:space="preserve">PCS </w:t>
            </w:r>
            <w:r w:rsidR="00E71AC9" w:rsidRPr="00B74B0F">
              <w:rPr>
                <w:szCs w:val="22"/>
                <w:lang w:val="sr-Latn-ME"/>
              </w:rPr>
              <w:t xml:space="preserve">(engl. </w:t>
            </w:r>
            <w:r w:rsidR="00E71AC9" w:rsidRPr="00B74B0F">
              <w:rPr>
                <w:i/>
                <w:szCs w:val="22"/>
                <w:lang w:val="sr-Latn-ME"/>
              </w:rPr>
              <w:t>Short Form</w:t>
            </w:r>
            <w:r w:rsidR="00E71AC9" w:rsidRPr="00B74B0F">
              <w:rPr>
                <w:szCs w:val="22"/>
                <w:lang w:val="sr-Latn-ME"/>
              </w:rPr>
              <w:t xml:space="preserve"> (36) </w:t>
            </w:r>
            <w:r w:rsidR="00E71AC9" w:rsidRPr="00B74B0F">
              <w:rPr>
                <w:i/>
                <w:szCs w:val="22"/>
                <w:lang w:val="sr-Latn-ME"/>
              </w:rPr>
              <w:t>Health Survey</w:t>
            </w:r>
            <w:r w:rsidR="00E71AC9" w:rsidRPr="00B74B0F">
              <w:rPr>
                <w:szCs w:val="22"/>
                <w:lang w:val="sr-Latn-ME"/>
              </w:rPr>
              <w:t xml:space="preserve">) </w:t>
            </w:r>
            <w:r w:rsidR="008A0210" w:rsidRPr="00B74B0F">
              <w:rPr>
                <w:i/>
                <w:szCs w:val="22"/>
                <w:lang w:val="sr-Latn-ME"/>
              </w:rPr>
              <w:t>(SF-36)</w:t>
            </w:r>
            <w:r w:rsidR="008A0210" w:rsidRPr="00B74B0F">
              <w:rPr>
                <w:i/>
                <w:iCs/>
                <w:szCs w:val="22"/>
                <w:lang w:val="sr-Latn-ME"/>
              </w:rPr>
              <w:t xml:space="preserve"> Physical Component Summary</w:t>
            </w:r>
            <w:r w:rsidR="008A0210" w:rsidRPr="00B74B0F">
              <w:rPr>
                <w:szCs w:val="22"/>
                <w:lang w:val="sr-Latn-ME"/>
              </w:rPr>
              <w:t xml:space="preserve">) = rezultat za tjelesnu komponentu) </w:t>
            </w:r>
            <w:r w:rsidR="00E71AC9" w:rsidRPr="00B74B0F">
              <w:rPr>
                <w:szCs w:val="22"/>
                <w:lang w:val="sr-Latn-ME"/>
              </w:rPr>
              <w:t xml:space="preserve">= Kratak upitnik o zdravstvenom stanju od 36 pitanja; CDAI (engl. </w:t>
            </w:r>
            <w:r w:rsidR="00E71AC9" w:rsidRPr="00B74B0F">
              <w:rPr>
                <w:i/>
                <w:szCs w:val="22"/>
                <w:lang w:val="sr-Latn-ME"/>
              </w:rPr>
              <w:t>Clinical Disease Activity Index</w:t>
            </w:r>
            <w:r w:rsidR="00E71AC9" w:rsidRPr="00B74B0F">
              <w:rPr>
                <w:szCs w:val="22"/>
                <w:lang w:val="sr-Latn-ME"/>
              </w:rPr>
              <w:t xml:space="preserve">) = klinički indeks aktivnosti bolesti; FACIT F (engl. </w:t>
            </w:r>
            <w:r w:rsidR="00E71AC9" w:rsidRPr="00B74B0F">
              <w:rPr>
                <w:i/>
                <w:szCs w:val="22"/>
                <w:lang w:val="sr-Latn-ME"/>
              </w:rPr>
              <w:t>Functional Assessment of Chronic Illness Therapy-Fatigue</w:t>
            </w:r>
            <w:r w:rsidR="00E71AC9" w:rsidRPr="00B74B0F">
              <w:rPr>
                <w:szCs w:val="22"/>
                <w:lang w:val="sr-Latn-ME"/>
              </w:rPr>
              <w:t>) =  rezultat za umor u Upitniku za funkcionalnu ocjenu terapije za hroničnu bolest;</w:t>
            </w:r>
            <w:r w:rsidR="004901F1" w:rsidRPr="00B74B0F">
              <w:rPr>
                <w:szCs w:val="22"/>
                <w:lang w:val="sr-Latn-ME"/>
              </w:rPr>
              <w:t xml:space="preserve"> </w:t>
            </w:r>
            <w:r w:rsidR="00A5739C" w:rsidRPr="00B74B0F">
              <w:rPr>
                <w:szCs w:val="22"/>
                <w:lang w:val="sr-Latn-ME"/>
              </w:rPr>
              <w:t xml:space="preserve"> IR = neodgovarajući odgovor; </w:t>
            </w:r>
            <w:r w:rsidR="00906CF8" w:rsidRPr="00B74B0F">
              <w:rPr>
                <w:szCs w:val="22"/>
                <w:lang w:val="sr-Latn-ME"/>
              </w:rPr>
              <w:t>MTX = metotreksat</w:t>
            </w:r>
            <w:r w:rsidR="00E71AC9" w:rsidRPr="00B74B0F">
              <w:rPr>
                <w:szCs w:val="22"/>
                <w:lang w:val="sr-Latn-ME"/>
              </w:rPr>
              <w:t>; n = broj randomiz</w:t>
            </w:r>
            <w:r w:rsidR="004901F1" w:rsidRPr="00B74B0F">
              <w:rPr>
                <w:szCs w:val="22"/>
                <w:lang w:val="sr-Latn-ME"/>
              </w:rPr>
              <w:t>ovanih</w:t>
            </w:r>
            <w:r w:rsidR="00E71AC9" w:rsidRPr="00B74B0F">
              <w:rPr>
                <w:szCs w:val="22"/>
                <w:lang w:val="sr-Latn-ME"/>
              </w:rPr>
              <w:t xml:space="preserve"> </w:t>
            </w:r>
            <w:r w:rsidR="00BB59FC" w:rsidRPr="00B74B0F">
              <w:rPr>
                <w:szCs w:val="22"/>
                <w:lang w:val="sr-Latn-ME"/>
              </w:rPr>
              <w:t>pacijenata</w:t>
            </w:r>
          </w:p>
          <w:p w14:paraId="2EB21F24" w14:textId="72DCC933" w:rsidR="006134E4" w:rsidRPr="00B74B0F" w:rsidRDefault="00906CF8" w:rsidP="00181F44">
            <w:pPr>
              <w:keepNext/>
              <w:autoSpaceDE w:val="0"/>
              <w:autoSpaceDN w:val="0"/>
              <w:adjustRightInd w:val="0"/>
              <w:spacing w:line="240" w:lineRule="auto"/>
              <w:contextualSpacing/>
              <w:jc w:val="both"/>
              <w:rPr>
                <w:szCs w:val="22"/>
                <w:lang w:val="sr-Latn-ME"/>
              </w:rPr>
            </w:pPr>
            <w:r w:rsidRPr="00B74B0F">
              <w:rPr>
                <w:szCs w:val="22"/>
                <w:vertAlign w:val="superscript"/>
                <w:lang w:val="sr-Latn-ME"/>
              </w:rPr>
              <w:t>a.</w:t>
            </w:r>
            <w:r w:rsidRPr="00B74B0F">
              <w:rPr>
                <w:szCs w:val="22"/>
                <w:lang w:val="sr-Latn-ME"/>
              </w:rPr>
              <w:t xml:space="preserve"> </w:t>
            </w:r>
            <w:r w:rsidR="00B27953" w:rsidRPr="00B74B0F">
              <w:rPr>
                <w:szCs w:val="22"/>
                <w:lang w:val="sr-Latn-ME"/>
              </w:rPr>
              <w:t>Pacijenti</w:t>
            </w:r>
            <w:r w:rsidRPr="00B74B0F">
              <w:rPr>
                <w:szCs w:val="22"/>
                <w:lang w:val="sr-Latn-ME"/>
              </w:rPr>
              <w:t xml:space="preserve"> prethodno </w:t>
            </w:r>
            <w:r w:rsidR="006A1EBC" w:rsidRPr="00B74B0F">
              <w:rPr>
                <w:szCs w:val="22"/>
                <w:lang w:val="sr-Latn-ME"/>
              </w:rPr>
              <w:t>ni</w:t>
            </w:r>
            <w:r w:rsidR="004901F1" w:rsidRPr="00B74B0F">
              <w:rPr>
                <w:szCs w:val="22"/>
                <w:lang w:val="sr-Latn-ME"/>
              </w:rPr>
              <w:t>je</w:t>
            </w:r>
            <w:r w:rsidR="006A1EBC" w:rsidRPr="00B74B0F">
              <w:rPr>
                <w:szCs w:val="22"/>
                <w:lang w:val="sr-Latn-ME"/>
              </w:rPr>
              <w:t xml:space="preserve">su </w:t>
            </w:r>
            <w:r w:rsidRPr="00B74B0F">
              <w:rPr>
                <w:szCs w:val="22"/>
                <w:lang w:val="sr-Latn-ME"/>
              </w:rPr>
              <w:t>primali MTX ili su prim</w:t>
            </w:r>
            <w:r w:rsidR="003733F2" w:rsidRPr="00B74B0F">
              <w:rPr>
                <w:szCs w:val="22"/>
                <w:lang w:val="sr-Latn-ME"/>
              </w:rPr>
              <w:t>ili najviše 3 </w:t>
            </w:r>
            <w:r w:rsidR="004901F1" w:rsidRPr="00B74B0F">
              <w:rPr>
                <w:szCs w:val="22"/>
                <w:lang w:val="sr-Latn-ME"/>
              </w:rPr>
              <w:t xml:space="preserve">nedjeljne </w:t>
            </w:r>
            <w:r w:rsidR="003733F2" w:rsidRPr="00B74B0F">
              <w:rPr>
                <w:szCs w:val="22"/>
                <w:lang w:val="sr-Latn-ME"/>
              </w:rPr>
              <w:t>doze MTX</w:t>
            </w:r>
            <w:r w:rsidR="003733F2" w:rsidRPr="00B74B0F">
              <w:rPr>
                <w:szCs w:val="22"/>
                <w:lang w:val="sr-Latn-ME"/>
              </w:rPr>
              <w:noBreakHyphen/>
              <w:t>a</w:t>
            </w:r>
          </w:p>
          <w:p w14:paraId="026162C0" w14:textId="1E357A1D" w:rsidR="006134E4" w:rsidRPr="00B74B0F" w:rsidRDefault="00906CF8" w:rsidP="005502DD">
            <w:pPr>
              <w:keepNext/>
              <w:autoSpaceDE w:val="0"/>
              <w:autoSpaceDN w:val="0"/>
              <w:adjustRightInd w:val="0"/>
              <w:spacing w:line="240" w:lineRule="auto"/>
              <w:contextualSpacing/>
              <w:jc w:val="both"/>
              <w:rPr>
                <w:szCs w:val="22"/>
                <w:lang w:val="sr-Latn-ME"/>
              </w:rPr>
            </w:pPr>
            <w:r w:rsidRPr="00B74B0F">
              <w:rPr>
                <w:szCs w:val="22"/>
                <w:vertAlign w:val="superscript"/>
                <w:lang w:val="sr-Latn-ME"/>
              </w:rPr>
              <w:t>b</w:t>
            </w:r>
            <w:r w:rsidRPr="00B74B0F">
              <w:rPr>
                <w:szCs w:val="22"/>
                <w:lang w:val="sr-Latn-ME"/>
              </w:rPr>
              <w:t xml:space="preserve"> </w:t>
            </w:r>
            <w:r w:rsidR="00B27953" w:rsidRPr="00B74B0F">
              <w:rPr>
                <w:szCs w:val="22"/>
                <w:lang w:val="sr-Latn-ME"/>
              </w:rPr>
              <w:t>Pacijenti</w:t>
            </w:r>
            <w:r w:rsidRPr="00B74B0F">
              <w:rPr>
                <w:szCs w:val="22"/>
                <w:lang w:val="sr-Latn-ME"/>
              </w:rPr>
              <w:t xml:space="preserve"> ni</w:t>
            </w:r>
            <w:r w:rsidR="004901F1" w:rsidRPr="00B74B0F">
              <w:rPr>
                <w:szCs w:val="22"/>
                <w:lang w:val="sr-Latn-ME"/>
              </w:rPr>
              <w:t>je</w:t>
            </w:r>
            <w:r w:rsidRPr="00B74B0F">
              <w:rPr>
                <w:szCs w:val="22"/>
                <w:lang w:val="sr-Latn-ME"/>
              </w:rPr>
              <w:t>su dovoljno dobro</w:t>
            </w:r>
            <w:r w:rsidR="003733F2" w:rsidRPr="00B74B0F">
              <w:rPr>
                <w:szCs w:val="22"/>
                <w:lang w:val="sr-Latn-ME"/>
              </w:rPr>
              <w:t xml:space="preserve"> odgovorili na MTX</w:t>
            </w:r>
            <w:r w:rsidR="006A1EBC" w:rsidRPr="00B74B0F">
              <w:rPr>
                <w:szCs w:val="22"/>
                <w:lang w:val="sr-Latn-ME"/>
              </w:rPr>
              <w:t xml:space="preserve"> </w:t>
            </w:r>
          </w:p>
          <w:p w14:paraId="6D161BD7" w14:textId="627728C1" w:rsidR="006134E4" w:rsidRPr="00B74B0F" w:rsidRDefault="00906CF8" w:rsidP="00585915">
            <w:pPr>
              <w:keepNext/>
              <w:autoSpaceDE w:val="0"/>
              <w:autoSpaceDN w:val="0"/>
              <w:adjustRightInd w:val="0"/>
              <w:spacing w:line="240" w:lineRule="auto"/>
              <w:contextualSpacing/>
              <w:jc w:val="both"/>
              <w:rPr>
                <w:szCs w:val="22"/>
                <w:lang w:val="sr-Latn-ME"/>
              </w:rPr>
            </w:pPr>
            <w:r w:rsidRPr="00B74B0F">
              <w:rPr>
                <w:szCs w:val="22"/>
                <w:vertAlign w:val="superscript"/>
                <w:lang w:val="sr-Latn-ME"/>
              </w:rPr>
              <w:t>c</w:t>
            </w:r>
            <w:r w:rsidRPr="00B74B0F">
              <w:rPr>
                <w:szCs w:val="22"/>
                <w:lang w:val="sr-Latn-ME"/>
              </w:rPr>
              <w:t xml:space="preserve"> </w:t>
            </w:r>
            <w:r w:rsidR="00B27953" w:rsidRPr="00B74B0F">
              <w:rPr>
                <w:szCs w:val="22"/>
                <w:lang w:val="sr-Latn-ME"/>
              </w:rPr>
              <w:t>Pacijenti</w:t>
            </w:r>
            <w:r w:rsidRPr="00B74B0F">
              <w:rPr>
                <w:szCs w:val="22"/>
                <w:lang w:val="sr-Latn-ME"/>
              </w:rPr>
              <w:t xml:space="preserve"> koji ni</w:t>
            </w:r>
            <w:r w:rsidR="004901F1" w:rsidRPr="00B74B0F">
              <w:rPr>
                <w:szCs w:val="22"/>
                <w:lang w:val="sr-Latn-ME"/>
              </w:rPr>
              <w:t>je</w:t>
            </w:r>
            <w:r w:rsidRPr="00B74B0F">
              <w:rPr>
                <w:szCs w:val="22"/>
                <w:lang w:val="sr-Latn-ME"/>
              </w:rPr>
              <w:t xml:space="preserve">su dovoljno dobro odgovorili na ksDMARD; </w:t>
            </w:r>
            <w:r w:rsidR="00B27953" w:rsidRPr="00B74B0F">
              <w:rPr>
                <w:szCs w:val="22"/>
                <w:lang w:val="sr-Latn-ME"/>
              </w:rPr>
              <w:t>Pacijenti</w:t>
            </w:r>
            <w:r w:rsidRPr="00B74B0F">
              <w:rPr>
                <w:szCs w:val="22"/>
                <w:lang w:val="sr-Latn-ME"/>
              </w:rPr>
              <w:t xml:space="preserve"> koji su prethodno primali najviše jedan bDMARD mogli su </w:t>
            </w:r>
            <w:r w:rsidR="00E71AC9" w:rsidRPr="00B74B0F">
              <w:rPr>
                <w:szCs w:val="22"/>
                <w:lang w:val="sr-Latn-ME"/>
              </w:rPr>
              <w:t>učestvovati</w:t>
            </w:r>
            <w:r w:rsidRPr="00B74B0F">
              <w:rPr>
                <w:szCs w:val="22"/>
                <w:lang w:val="sr-Latn-ME"/>
              </w:rPr>
              <w:t xml:space="preserve"> u ispitivanju (do 20% ukupnog broja </w:t>
            </w:r>
            <w:r w:rsidR="00BB59FC" w:rsidRPr="00B74B0F">
              <w:rPr>
                <w:szCs w:val="22"/>
                <w:lang w:val="sr-Latn-ME"/>
              </w:rPr>
              <w:t>pacijenata</w:t>
            </w:r>
            <w:r w:rsidRPr="00B74B0F">
              <w:rPr>
                <w:szCs w:val="22"/>
                <w:lang w:val="sr-Latn-ME"/>
              </w:rPr>
              <w:t>) ako je njihova izloženost tom lijeku bila ograničena (&lt; 3 mjeseca) ili ako su morali prekinuti primjenu bDMARD</w:t>
            </w:r>
            <w:r w:rsidRPr="00B74B0F">
              <w:rPr>
                <w:szCs w:val="22"/>
                <w:lang w:val="sr-Latn-ME"/>
              </w:rPr>
              <w:noBreakHyphen/>
              <w:t>a zbog nepodnošenja</w:t>
            </w:r>
          </w:p>
          <w:p w14:paraId="0436FAE0" w14:textId="14316827" w:rsidR="006134E4" w:rsidRPr="00B74B0F" w:rsidRDefault="006A1EBC" w:rsidP="002602C0">
            <w:pPr>
              <w:keepNext/>
              <w:autoSpaceDE w:val="0"/>
              <w:autoSpaceDN w:val="0"/>
              <w:adjustRightInd w:val="0"/>
              <w:spacing w:line="240" w:lineRule="auto"/>
              <w:contextualSpacing/>
              <w:jc w:val="both"/>
              <w:rPr>
                <w:szCs w:val="22"/>
                <w:lang w:val="sr-Latn-ME"/>
              </w:rPr>
            </w:pPr>
            <w:r w:rsidRPr="00B74B0F">
              <w:rPr>
                <w:szCs w:val="22"/>
                <w:vertAlign w:val="superscript"/>
                <w:lang w:val="sr-Latn-ME"/>
              </w:rPr>
              <w:t>d</w:t>
            </w:r>
            <w:r w:rsidR="00906CF8" w:rsidRPr="00B74B0F">
              <w:rPr>
                <w:szCs w:val="22"/>
                <w:lang w:val="sr-Latn-ME"/>
              </w:rPr>
              <w:t xml:space="preserve"> </w:t>
            </w:r>
            <w:r w:rsidR="00B27953" w:rsidRPr="00B74B0F">
              <w:rPr>
                <w:szCs w:val="22"/>
                <w:lang w:val="sr-Latn-ME"/>
              </w:rPr>
              <w:t>Pacijenti</w:t>
            </w:r>
            <w:r w:rsidR="00906CF8" w:rsidRPr="00B74B0F">
              <w:rPr>
                <w:szCs w:val="22"/>
                <w:lang w:val="sr-Latn-ME"/>
              </w:rPr>
              <w:t xml:space="preserve"> koji ni</w:t>
            </w:r>
            <w:r w:rsidR="004901F1" w:rsidRPr="00B74B0F">
              <w:rPr>
                <w:szCs w:val="22"/>
                <w:lang w:val="sr-Latn-ME"/>
              </w:rPr>
              <w:t>je</w:t>
            </w:r>
            <w:r w:rsidR="00906CF8" w:rsidRPr="00B74B0F">
              <w:rPr>
                <w:szCs w:val="22"/>
                <w:lang w:val="sr-Latn-ME"/>
              </w:rPr>
              <w:t xml:space="preserve">su dovoljno dobro odgovorili na MTX; </w:t>
            </w:r>
            <w:r w:rsidR="00B27953" w:rsidRPr="00B74B0F">
              <w:rPr>
                <w:szCs w:val="22"/>
                <w:lang w:val="sr-Latn-ME"/>
              </w:rPr>
              <w:t>Pacijenti</w:t>
            </w:r>
            <w:r w:rsidR="00906CF8" w:rsidRPr="00B74B0F">
              <w:rPr>
                <w:szCs w:val="22"/>
                <w:lang w:val="sr-Latn-ME"/>
              </w:rPr>
              <w:t xml:space="preserve"> koji su prethodno primali najviše jedan bDMARD (</w:t>
            </w:r>
            <w:r w:rsidRPr="00B74B0F">
              <w:rPr>
                <w:szCs w:val="22"/>
                <w:lang w:val="sr-Latn-ME"/>
              </w:rPr>
              <w:t>osim</w:t>
            </w:r>
            <w:r w:rsidR="00906CF8" w:rsidRPr="00B74B0F">
              <w:rPr>
                <w:szCs w:val="22"/>
                <w:lang w:val="sr-Latn-ME"/>
              </w:rPr>
              <w:t xml:space="preserve"> adalimumaba) mogli su </w:t>
            </w:r>
            <w:r w:rsidR="00E71AC9" w:rsidRPr="00B74B0F">
              <w:rPr>
                <w:szCs w:val="22"/>
                <w:lang w:val="sr-Latn-ME"/>
              </w:rPr>
              <w:t>učestvovati</w:t>
            </w:r>
            <w:r w:rsidR="00906CF8" w:rsidRPr="00B74B0F">
              <w:rPr>
                <w:szCs w:val="22"/>
                <w:lang w:val="sr-Latn-ME"/>
              </w:rPr>
              <w:t xml:space="preserve"> u ispitivanju (do 20% ukupnog broja </w:t>
            </w:r>
            <w:r w:rsidR="00BB59FC" w:rsidRPr="00B74B0F">
              <w:rPr>
                <w:szCs w:val="22"/>
                <w:lang w:val="sr-Latn-ME"/>
              </w:rPr>
              <w:t>pacijenata</w:t>
            </w:r>
            <w:r w:rsidR="00906CF8" w:rsidRPr="00B74B0F">
              <w:rPr>
                <w:szCs w:val="22"/>
                <w:lang w:val="sr-Latn-ME"/>
              </w:rPr>
              <w:t xml:space="preserve"> u ispitivanju) ako je njihova izloženost tom lijeku bila ograničena (&lt; 3 mjeseca) ili ako su morali prekinuti prim</w:t>
            </w:r>
            <w:r w:rsidR="003733F2" w:rsidRPr="00B74B0F">
              <w:rPr>
                <w:szCs w:val="22"/>
                <w:lang w:val="sr-Latn-ME"/>
              </w:rPr>
              <w:t>jenu bDMARD</w:t>
            </w:r>
            <w:r w:rsidR="003733F2" w:rsidRPr="00B74B0F">
              <w:rPr>
                <w:szCs w:val="22"/>
                <w:lang w:val="sr-Latn-ME"/>
              </w:rPr>
              <w:noBreakHyphen/>
              <w:t>a zbog nepodnošenja</w:t>
            </w:r>
          </w:p>
          <w:p w14:paraId="4C431FD7" w14:textId="3BD05BBE" w:rsidR="00CA11D5" w:rsidRPr="00B74B0F" w:rsidRDefault="00906CF8" w:rsidP="00777B52">
            <w:pPr>
              <w:keepNext/>
              <w:spacing w:line="240" w:lineRule="auto"/>
              <w:contextualSpacing/>
              <w:jc w:val="both"/>
              <w:rPr>
                <w:szCs w:val="22"/>
                <w:lang w:val="sr-Latn-ME"/>
              </w:rPr>
            </w:pPr>
            <w:r w:rsidRPr="00B74B0F">
              <w:rPr>
                <w:szCs w:val="22"/>
                <w:vertAlign w:val="superscript"/>
                <w:lang w:val="sr-Latn-ME"/>
              </w:rPr>
              <w:t>e</w:t>
            </w:r>
            <w:r w:rsidRPr="00B74B0F">
              <w:rPr>
                <w:szCs w:val="22"/>
                <w:lang w:val="sr-Latn-ME"/>
              </w:rPr>
              <w:t xml:space="preserve"> </w:t>
            </w:r>
            <w:r w:rsidR="00B27953" w:rsidRPr="00B74B0F">
              <w:rPr>
                <w:szCs w:val="22"/>
                <w:lang w:val="sr-Latn-ME"/>
              </w:rPr>
              <w:t>Pacijenti</w:t>
            </w:r>
            <w:r w:rsidRPr="00B74B0F">
              <w:rPr>
                <w:szCs w:val="22"/>
                <w:lang w:val="sr-Latn-ME"/>
              </w:rPr>
              <w:t xml:space="preserve"> koji ni</w:t>
            </w:r>
            <w:r w:rsidR="004901F1" w:rsidRPr="00B74B0F">
              <w:rPr>
                <w:szCs w:val="22"/>
                <w:lang w:val="sr-Latn-ME"/>
              </w:rPr>
              <w:t>je</w:t>
            </w:r>
            <w:r w:rsidRPr="00B74B0F">
              <w:rPr>
                <w:szCs w:val="22"/>
                <w:lang w:val="sr-Latn-ME"/>
              </w:rPr>
              <w:t>su dovoljno dobro odgovorili na najmanje jedan bDMARD ili ga ni</w:t>
            </w:r>
            <w:r w:rsidR="004901F1" w:rsidRPr="00B74B0F">
              <w:rPr>
                <w:szCs w:val="22"/>
                <w:lang w:val="sr-Latn-ME"/>
              </w:rPr>
              <w:t>je</w:t>
            </w:r>
            <w:r w:rsidRPr="00B74B0F">
              <w:rPr>
                <w:szCs w:val="22"/>
                <w:lang w:val="sr-Latn-ME"/>
              </w:rPr>
              <w:t>su podnosili</w:t>
            </w:r>
          </w:p>
        </w:tc>
      </w:tr>
    </w:tbl>
    <w:p w14:paraId="3E0812EB" w14:textId="77777777" w:rsidR="00B76A87" w:rsidRPr="00B74B0F" w:rsidRDefault="00B76A87">
      <w:pPr>
        <w:tabs>
          <w:tab w:val="clear" w:pos="567"/>
        </w:tabs>
        <w:autoSpaceDE w:val="0"/>
        <w:autoSpaceDN w:val="0"/>
        <w:adjustRightInd w:val="0"/>
        <w:spacing w:line="240" w:lineRule="auto"/>
        <w:contextualSpacing/>
        <w:jc w:val="both"/>
        <w:rPr>
          <w:rFonts w:eastAsia="TimesNewRomanPSMT"/>
          <w:szCs w:val="22"/>
          <w:lang w:val="sr-Latn-ME"/>
        </w:rPr>
      </w:pPr>
    </w:p>
    <w:p w14:paraId="56CA9630" w14:textId="77777777" w:rsidR="00B31835" w:rsidRPr="00B74B0F" w:rsidRDefault="00906CF8">
      <w:pPr>
        <w:keepNext/>
        <w:autoSpaceDE w:val="0"/>
        <w:autoSpaceDN w:val="0"/>
        <w:adjustRightInd w:val="0"/>
        <w:spacing w:line="240" w:lineRule="auto"/>
        <w:contextualSpacing/>
        <w:jc w:val="both"/>
        <w:rPr>
          <w:szCs w:val="22"/>
          <w:u w:val="single"/>
          <w:lang w:val="sr-Latn-ME"/>
        </w:rPr>
      </w:pPr>
      <w:r w:rsidRPr="00B74B0F">
        <w:rPr>
          <w:i/>
          <w:szCs w:val="22"/>
          <w:u w:val="single"/>
          <w:lang w:val="sr-Latn-ME"/>
        </w:rPr>
        <w:t>Klinički odgovor:</w:t>
      </w:r>
    </w:p>
    <w:p w14:paraId="34F0A0F4" w14:textId="77777777" w:rsidR="00B31835" w:rsidRPr="00B74B0F" w:rsidRDefault="00B31835">
      <w:pPr>
        <w:keepNext/>
        <w:autoSpaceDE w:val="0"/>
        <w:autoSpaceDN w:val="0"/>
        <w:adjustRightInd w:val="0"/>
        <w:spacing w:line="240" w:lineRule="auto"/>
        <w:contextualSpacing/>
        <w:jc w:val="both"/>
        <w:rPr>
          <w:szCs w:val="22"/>
          <w:lang w:val="sr-Latn-ME"/>
        </w:rPr>
      </w:pPr>
    </w:p>
    <w:p w14:paraId="0E5B919A" w14:textId="77777777" w:rsidR="00580EF6"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Remisija i niska aktivnost bolesti</w:t>
      </w:r>
    </w:p>
    <w:p w14:paraId="69ED7611" w14:textId="77777777" w:rsidR="00C56DA6" w:rsidRPr="00B74B0F" w:rsidRDefault="00C56DA6">
      <w:pPr>
        <w:keepNext/>
        <w:autoSpaceDE w:val="0"/>
        <w:autoSpaceDN w:val="0"/>
        <w:adjustRightInd w:val="0"/>
        <w:spacing w:line="240" w:lineRule="auto"/>
        <w:contextualSpacing/>
        <w:jc w:val="both"/>
        <w:rPr>
          <w:szCs w:val="22"/>
          <w:lang w:val="sr-Latn-ME"/>
        </w:rPr>
      </w:pPr>
    </w:p>
    <w:p w14:paraId="55D7620F" w14:textId="26B9D3F6" w:rsidR="00AD141A" w:rsidRPr="00B74B0F" w:rsidRDefault="00906CF8">
      <w:pPr>
        <w:autoSpaceDE w:val="0"/>
        <w:autoSpaceDN w:val="0"/>
        <w:adjustRightInd w:val="0"/>
        <w:spacing w:line="240" w:lineRule="auto"/>
        <w:contextualSpacing/>
        <w:jc w:val="both"/>
        <w:rPr>
          <w:rFonts w:eastAsiaTheme="minorHAnsi"/>
          <w:szCs w:val="22"/>
          <w:lang w:val="sr-Latn-ME"/>
        </w:rPr>
      </w:pPr>
      <w:r w:rsidRPr="00B74B0F">
        <w:rPr>
          <w:szCs w:val="22"/>
          <w:lang w:val="sr-Latn-ME"/>
        </w:rPr>
        <w:t xml:space="preserve">U ispitivanjima </w:t>
      </w:r>
      <w:r w:rsidR="009D5C72" w:rsidRPr="00B74B0F">
        <w:rPr>
          <w:szCs w:val="22"/>
          <w:lang w:val="sr-Latn-ME"/>
        </w:rPr>
        <w:t xml:space="preserve">je </w:t>
      </w:r>
      <w:r w:rsidR="00550B7B" w:rsidRPr="00B74B0F">
        <w:rPr>
          <w:szCs w:val="22"/>
          <w:lang w:val="sr-Latn-ME"/>
        </w:rPr>
        <w:t>nisku aktivnost bolesti (DAS28</w:t>
      </w:r>
      <w:r w:rsidR="00550B7B" w:rsidRPr="00B74B0F">
        <w:rPr>
          <w:szCs w:val="22"/>
          <w:lang w:val="sr-Latn-ME"/>
        </w:rPr>
        <w:noBreakHyphen/>
        <w:t>CRP ≤ 3,2) i kliničku remisiju (DAS28</w:t>
      </w:r>
      <w:r w:rsidR="00550B7B" w:rsidRPr="00B74B0F">
        <w:rPr>
          <w:szCs w:val="22"/>
          <w:lang w:val="sr-Latn-ME"/>
        </w:rPr>
        <w:noBreakHyphen/>
        <w:t xml:space="preserve">CRP &lt; 2,6) postigao </w:t>
      </w:r>
      <w:r w:rsidR="003733F2" w:rsidRPr="00B74B0F">
        <w:rPr>
          <w:szCs w:val="22"/>
          <w:lang w:val="sr-Latn-ME"/>
        </w:rPr>
        <w:t xml:space="preserve">značajno veći </w:t>
      </w:r>
      <w:r w:rsidRPr="00B74B0F">
        <w:rPr>
          <w:szCs w:val="22"/>
          <w:lang w:val="sr-Latn-ME"/>
        </w:rPr>
        <w:t xml:space="preserve">udio </w:t>
      </w:r>
      <w:r w:rsidR="00BB59FC" w:rsidRPr="00B74B0F">
        <w:rPr>
          <w:szCs w:val="22"/>
          <w:lang w:val="sr-Latn-ME"/>
        </w:rPr>
        <w:t>pacijenata</w:t>
      </w:r>
      <w:r w:rsidRPr="00B74B0F">
        <w:rPr>
          <w:szCs w:val="22"/>
          <w:lang w:val="sr-Latn-ME"/>
        </w:rPr>
        <w:t xml:space="preserve"> </w:t>
      </w:r>
      <w:r w:rsidR="00550B7B" w:rsidRPr="00B74B0F">
        <w:rPr>
          <w:szCs w:val="22"/>
          <w:lang w:val="sr-Latn-ME"/>
        </w:rPr>
        <w:t>liječenih</w:t>
      </w:r>
      <w:r w:rsidR="0092012C" w:rsidRPr="00B74B0F">
        <w:rPr>
          <w:szCs w:val="22"/>
          <w:lang w:val="sr-Latn-ME"/>
        </w:rPr>
        <w:t xml:space="preserve"> </w:t>
      </w:r>
      <w:r w:rsidR="00550B7B" w:rsidRPr="00B74B0F">
        <w:rPr>
          <w:szCs w:val="22"/>
          <w:lang w:val="sr-Latn-ME"/>
        </w:rPr>
        <w:t>upadacitinib</w:t>
      </w:r>
      <w:r w:rsidR="00974D53" w:rsidRPr="00B74B0F">
        <w:rPr>
          <w:szCs w:val="22"/>
          <w:lang w:val="sr-Latn-ME"/>
        </w:rPr>
        <w:t>om</w:t>
      </w:r>
      <w:r w:rsidR="00550B7B" w:rsidRPr="00B74B0F">
        <w:rPr>
          <w:szCs w:val="22"/>
          <w:lang w:val="sr-Latn-ME"/>
        </w:rPr>
        <w:t xml:space="preserve"> u dozi od 15 mg </w:t>
      </w:r>
      <w:r w:rsidRPr="00B74B0F">
        <w:rPr>
          <w:szCs w:val="22"/>
          <w:lang w:val="sr-Latn-ME"/>
        </w:rPr>
        <w:t xml:space="preserve">nego </w:t>
      </w:r>
      <w:r w:rsidR="00550B7B" w:rsidRPr="00B74B0F">
        <w:rPr>
          <w:szCs w:val="22"/>
          <w:lang w:val="sr-Latn-ME"/>
        </w:rPr>
        <w:t xml:space="preserve">onih koji su primali </w:t>
      </w:r>
      <w:r w:rsidRPr="00B74B0F">
        <w:rPr>
          <w:szCs w:val="22"/>
          <w:lang w:val="sr-Latn-ME"/>
        </w:rPr>
        <w:t>placebo, MTX ili adalimumab (Tab</w:t>
      </w:r>
      <w:r w:rsidR="0092012C" w:rsidRPr="00B74B0F">
        <w:rPr>
          <w:szCs w:val="22"/>
          <w:lang w:val="sr-Latn-ME"/>
        </w:rPr>
        <w:t>ela</w:t>
      </w:r>
      <w:r w:rsidRPr="00B74B0F">
        <w:rPr>
          <w:szCs w:val="22"/>
          <w:lang w:val="sr-Latn-ME"/>
        </w:rPr>
        <w:t> </w:t>
      </w:r>
      <w:r w:rsidR="00F32579" w:rsidRPr="00B74B0F">
        <w:rPr>
          <w:szCs w:val="22"/>
          <w:lang w:val="sr-Latn-ME"/>
        </w:rPr>
        <w:t>5</w:t>
      </w:r>
      <w:r w:rsidRPr="00B74B0F">
        <w:rPr>
          <w:szCs w:val="22"/>
          <w:lang w:val="sr-Latn-ME"/>
        </w:rPr>
        <w:t xml:space="preserve">). </w:t>
      </w:r>
      <w:r w:rsidR="009D5C72" w:rsidRPr="00B74B0F">
        <w:rPr>
          <w:szCs w:val="22"/>
          <w:lang w:val="sr-Latn-ME"/>
        </w:rPr>
        <w:t>U ispitivanju SELECT</w:t>
      </w:r>
      <w:r w:rsidR="009D5C72" w:rsidRPr="00B74B0F">
        <w:rPr>
          <w:szCs w:val="22"/>
          <w:lang w:val="sr-Latn-ME"/>
        </w:rPr>
        <w:noBreakHyphen/>
        <w:t>COMPARE su u</w:t>
      </w:r>
      <w:r w:rsidRPr="00B74B0F">
        <w:rPr>
          <w:szCs w:val="22"/>
          <w:lang w:val="sr-Latn-ME"/>
        </w:rPr>
        <w:t xml:space="preserve"> </w:t>
      </w:r>
      <w:r w:rsidR="0092012C" w:rsidRPr="00B74B0F">
        <w:rPr>
          <w:szCs w:val="22"/>
          <w:lang w:val="sr-Latn-ME"/>
        </w:rPr>
        <w:t>poređenju</w:t>
      </w:r>
      <w:r w:rsidRPr="00B74B0F">
        <w:rPr>
          <w:szCs w:val="22"/>
          <w:lang w:val="sr-Latn-ME"/>
        </w:rPr>
        <w:t xml:space="preserve"> s</w:t>
      </w:r>
      <w:r w:rsidR="0092012C" w:rsidRPr="00B74B0F">
        <w:rPr>
          <w:szCs w:val="22"/>
          <w:lang w:val="sr-Latn-ME"/>
        </w:rPr>
        <w:t>a</w:t>
      </w:r>
      <w:r w:rsidRPr="00B74B0F">
        <w:rPr>
          <w:szCs w:val="22"/>
          <w:lang w:val="sr-Latn-ME"/>
        </w:rPr>
        <w:t xml:space="preserve"> adalimumabom </w:t>
      </w:r>
      <w:r w:rsidR="00B20727" w:rsidRPr="00B74B0F">
        <w:rPr>
          <w:szCs w:val="22"/>
          <w:lang w:val="sr-Latn-ME"/>
        </w:rPr>
        <w:t xml:space="preserve">ostvarene </w:t>
      </w:r>
      <w:r w:rsidRPr="00B74B0F">
        <w:rPr>
          <w:szCs w:val="22"/>
          <w:lang w:val="sr-Latn-ME"/>
        </w:rPr>
        <w:t xml:space="preserve">značajno veće stope </w:t>
      </w:r>
      <w:r w:rsidR="00AC3660" w:rsidRPr="00B74B0F">
        <w:rPr>
          <w:szCs w:val="22"/>
          <w:lang w:val="sr-Latn-ME"/>
        </w:rPr>
        <w:t>niske aktivnosti bolesti</w:t>
      </w:r>
      <w:r w:rsidRPr="00B74B0F">
        <w:rPr>
          <w:szCs w:val="22"/>
          <w:lang w:val="sr-Latn-ME"/>
        </w:rPr>
        <w:t xml:space="preserve"> u 12</w:t>
      </w:r>
      <w:r w:rsidR="00974D53" w:rsidRPr="00B74B0F">
        <w:rPr>
          <w:szCs w:val="22"/>
          <w:lang w:val="sr-Latn-ME"/>
        </w:rPr>
        <w:t>. nedjelji</w:t>
      </w:r>
      <w:r w:rsidR="00042069" w:rsidRPr="00B74B0F">
        <w:rPr>
          <w:szCs w:val="22"/>
          <w:lang w:val="sr-Latn-ME"/>
        </w:rPr>
        <w:t>.</w:t>
      </w:r>
      <w:r w:rsidRPr="00B74B0F">
        <w:rPr>
          <w:szCs w:val="22"/>
          <w:lang w:val="sr-Latn-ME"/>
        </w:rPr>
        <w:t xml:space="preserve"> Sveukupno su i stope niske aktivnosti bolesti i stope kliničke remisije bile dosljedne u svim populacijama </w:t>
      </w:r>
      <w:r w:rsidR="00BB59FC" w:rsidRPr="00B74B0F">
        <w:rPr>
          <w:szCs w:val="22"/>
          <w:lang w:val="sr-Latn-ME"/>
        </w:rPr>
        <w:t>pacijenata</w:t>
      </w:r>
      <w:r w:rsidRPr="00B74B0F">
        <w:rPr>
          <w:szCs w:val="22"/>
          <w:lang w:val="sr-Latn-ME"/>
        </w:rPr>
        <w:t xml:space="preserve">, </w:t>
      </w:r>
      <w:r w:rsidR="00042069" w:rsidRPr="00B74B0F">
        <w:rPr>
          <w:szCs w:val="22"/>
          <w:lang w:val="sr-Latn-ME"/>
        </w:rPr>
        <w:t>sa</w:t>
      </w:r>
      <w:r w:rsidRPr="00B74B0F">
        <w:rPr>
          <w:szCs w:val="22"/>
          <w:lang w:val="sr-Latn-ME"/>
        </w:rPr>
        <w:t xml:space="preserve"> MTX</w:t>
      </w:r>
      <w:r w:rsidR="00042069" w:rsidRPr="00B74B0F">
        <w:rPr>
          <w:szCs w:val="22"/>
          <w:lang w:val="sr-Latn-ME"/>
        </w:rPr>
        <w:t>-om</w:t>
      </w:r>
      <w:r w:rsidRPr="00B74B0F">
        <w:rPr>
          <w:szCs w:val="22"/>
          <w:lang w:val="sr-Latn-ME"/>
        </w:rPr>
        <w:t xml:space="preserve"> ili bez njega.</w:t>
      </w:r>
    </w:p>
    <w:p w14:paraId="552BEC66" w14:textId="10636A34" w:rsidR="001E582B" w:rsidRPr="00B74B0F" w:rsidRDefault="001E582B">
      <w:pPr>
        <w:autoSpaceDE w:val="0"/>
        <w:autoSpaceDN w:val="0"/>
        <w:adjustRightInd w:val="0"/>
        <w:spacing w:line="240" w:lineRule="auto"/>
        <w:contextualSpacing/>
        <w:jc w:val="both"/>
        <w:rPr>
          <w:rFonts w:eastAsiaTheme="minorHAnsi"/>
          <w:szCs w:val="22"/>
          <w:lang w:val="sr-Latn-ME"/>
        </w:rPr>
      </w:pPr>
      <w:r w:rsidRPr="00B74B0F">
        <w:rPr>
          <w:szCs w:val="22"/>
          <w:lang w:val="sr-Latn-ME"/>
        </w:rPr>
        <w:t xml:space="preserve">Nakon 3 godine, u ispitivanju SELECT-COMPARE 297/651 (45,6%) i 111/327 (33,9%) </w:t>
      </w:r>
      <w:r w:rsidR="00181042" w:rsidRPr="00B74B0F">
        <w:rPr>
          <w:szCs w:val="22"/>
          <w:lang w:val="sr-Latn-ME"/>
        </w:rPr>
        <w:t>pacijenata</w:t>
      </w:r>
      <w:r w:rsidRPr="00B74B0F">
        <w:rPr>
          <w:szCs w:val="22"/>
          <w:lang w:val="sr-Latn-ME"/>
        </w:rPr>
        <w:t xml:space="preserve"> nastavilo je prvobitno randomiz</w:t>
      </w:r>
      <w:r w:rsidR="002602C0" w:rsidRPr="00B74B0F">
        <w:rPr>
          <w:szCs w:val="22"/>
          <w:lang w:val="sr-Latn-ME"/>
        </w:rPr>
        <w:t>ovano</w:t>
      </w:r>
      <w:r w:rsidRPr="00B74B0F">
        <w:rPr>
          <w:szCs w:val="22"/>
          <w:lang w:val="sr-Latn-ME"/>
        </w:rPr>
        <w:t xml:space="preserve"> liječenje upadacitinibom u dozi od 15 mg odnosno adalimumabom, a u ispitivanju SELECT-EARLY 216/317 (68,1%) i 149/315 (47,3%) </w:t>
      </w:r>
      <w:r w:rsidR="00181042" w:rsidRPr="00B74B0F">
        <w:rPr>
          <w:szCs w:val="22"/>
          <w:lang w:val="sr-Latn-ME"/>
        </w:rPr>
        <w:t>pacijenata</w:t>
      </w:r>
      <w:r w:rsidRPr="00B74B0F">
        <w:rPr>
          <w:szCs w:val="22"/>
          <w:lang w:val="sr-Latn-ME"/>
        </w:rPr>
        <w:t xml:space="preserve"> nastavilo je prvobitno randomizirano liječenje upadacitinibom u dozi od 15 mg odnosno monoterapijom MTX-om. Među </w:t>
      </w:r>
      <w:r w:rsidR="00181042" w:rsidRPr="00B74B0F">
        <w:rPr>
          <w:szCs w:val="22"/>
          <w:lang w:val="sr-Latn-ME"/>
        </w:rPr>
        <w:t>pacijenti</w:t>
      </w:r>
      <w:r w:rsidRPr="00B74B0F">
        <w:rPr>
          <w:szCs w:val="22"/>
          <w:lang w:val="sr-Latn-ME"/>
        </w:rPr>
        <w:t>ma koji su nastavili prvobitno dodijeljeno liječenje, nizak nivo bolesti i klinička remisija održali su se tokom 3 godine.</w:t>
      </w:r>
    </w:p>
    <w:p w14:paraId="42D9CB44" w14:textId="77777777" w:rsidR="00FB1011" w:rsidRPr="00B74B0F" w:rsidRDefault="00FB1011">
      <w:pPr>
        <w:autoSpaceDE w:val="0"/>
        <w:autoSpaceDN w:val="0"/>
        <w:adjustRightInd w:val="0"/>
        <w:spacing w:line="240" w:lineRule="auto"/>
        <w:contextualSpacing/>
        <w:jc w:val="both"/>
        <w:rPr>
          <w:szCs w:val="22"/>
          <w:lang w:val="sr-Latn-ME"/>
        </w:rPr>
      </w:pPr>
    </w:p>
    <w:p w14:paraId="3857C62C" w14:textId="77777777" w:rsidR="00C16DF5" w:rsidRPr="00B74B0F" w:rsidRDefault="00906CF8">
      <w:pPr>
        <w:keepNext/>
        <w:tabs>
          <w:tab w:val="clear" w:pos="567"/>
        </w:tabs>
        <w:spacing w:line="240" w:lineRule="auto"/>
        <w:contextualSpacing/>
        <w:jc w:val="both"/>
        <w:rPr>
          <w:i/>
          <w:szCs w:val="22"/>
          <w:u w:val="single"/>
          <w:lang w:val="sr-Latn-ME"/>
        </w:rPr>
      </w:pPr>
      <w:r w:rsidRPr="00B74B0F">
        <w:rPr>
          <w:i/>
          <w:szCs w:val="22"/>
          <w:u w:val="single"/>
          <w:lang w:val="sr-Latn-ME"/>
        </w:rPr>
        <w:t>ACR odgovor</w:t>
      </w:r>
    </w:p>
    <w:p w14:paraId="1A5A50FD" w14:textId="77777777" w:rsidR="00C56DA6" w:rsidRPr="00B74B0F" w:rsidRDefault="00C56DA6">
      <w:pPr>
        <w:keepNext/>
        <w:autoSpaceDE w:val="0"/>
        <w:autoSpaceDN w:val="0"/>
        <w:adjustRightInd w:val="0"/>
        <w:spacing w:line="240" w:lineRule="auto"/>
        <w:contextualSpacing/>
        <w:jc w:val="both"/>
        <w:rPr>
          <w:rFonts w:eastAsiaTheme="minorHAnsi"/>
          <w:szCs w:val="22"/>
          <w:lang w:val="sr-Latn-ME"/>
        </w:rPr>
      </w:pPr>
    </w:p>
    <w:p w14:paraId="127FAA32" w14:textId="5D7BD89C" w:rsidR="00243F8A" w:rsidRPr="00B74B0F" w:rsidRDefault="00906CF8">
      <w:pPr>
        <w:autoSpaceDE w:val="0"/>
        <w:autoSpaceDN w:val="0"/>
        <w:adjustRightInd w:val="0"/>
        <w:spacing w:line="240" w:lineRule="auto"/>
        <w:contextualSpacing/>
        <w:jc w:val="both"/>
        <w:rPr>
          <w:rFonts w:eastAsiaTheme="minorHAnsi"/>
          <w:szCs w:val="22"/>
          <w:lang w:val="sr-Latn-ME"/>
        </w:rPr>
      </w:pPr>
      <w:r w:rsidRPr="00B74B0F">
        <w:rPr>
          <w:szCs w:val="22"/>
          <w:lang w:val="sr-Latn-ME"/>
        </w:rPr>
        <w:t>U svim ispitivanjima</w:t>
      </w:r>
      <w:r w:rsidR="00042069" w:rsidRPr="00B74B0F">
        <w:rPr>
          <w:szCs w:val="22"/>
          <w:lang w:val="sr-Latn-ME"/>
        </w:rPr>
        <w:t xml:space="preserve"> je</w:t>
      </w:r>
      <w:r w:rsidRPr="00B74B0F">
        <w:rPr>
          <w:szCs w:val="22"/>
          <w:lang w:val="sr-Latn-ME"/>
        </w:rPr>
        <w:t xml:space="preserve"> više </w:t>
      </w:r>
      <w:r w:rsidR="00BB59FC" w:rsidRPr="00B74B0F">
        <w:rPr>
          <w:szCs w:val="22"/>
          <w:lang w:val="sr-Latn-ME"/>
        </w:rPr>
        <w:t>pacijenata</w:t>
      </w:r>
      <w:r w:rsidRPr="00B74B0F">
        <w:rPr>
          <w:szCs w:val="22"/>
          <w:lang w:val="sr-Latn-ME"/>
        </w:rPr>
        <w:t xml:space="preserve"> postiglo odgovore ACR20, ACR50 i ACR70</w:t>
      </w:r>
      <w:r w:rsidR="00042069" w:rsidRPr="00B74B0F">
        <w:rPr>
          <w:szCs w:val="22"/>
          <w:lang w:val="sr-Latn-ME"/>
        </w:rPr>
        <w:t xml:space="preserve"> tokom 12 </w:t>
      </w:r>
      <w:r w:rsidR="00974D53" w:rsidRPr="00B74B0F">
        <w:rPr>
          <w:szCs w:val="22"/>
          <w:lang w:val="sr-Latn-ME"/>
        </w:rPr>
        <w:t>n</w:t>
      </w:r>
      <w:r w:rsidR="008806F8" w:rsidRPr="00B74B0F">
        <w:rPr>
          <w:szCs w:val="22"/>
          <w:lang w:val="sr-Latn-ME"/>
        </w:rPr>
        <w:t>ed</w:t>
      </w:r>
      <w:r w:rsidR="00974D53" w:rsidRPr="00B74B0F">
        <w:rPr>
          <w:szCs w:val="22"/>
          <w:lang w:val="sr-Latn-ME"/>
        </w:rPr>
        <w:t>j</w:t>
      </w:r>
      <w:r w:rsidR="008806F8" w:rsidRPr="00B74B0F">
        <w:rPr>
          <w:szCs w:val="22"/>
          <w:lang w:val="sr-Latn-ME"/>
        </w:rPr>
        <w:t>elja</w:t>
      </w:r>
      <w:r w:rsidR="00042069" w:rsidRPr="00B74B0F">
        <w:rPr>
          <w:szCs w:val="22"/>
          <w:lang w:val="sr-Latn-ME"/>
        </w:rPr>
        <w:t xml:space="preserve"> </w:t>
      </w:r>
      <w:r w:rsidRPr="00B74B0F">
        <w:rPr>
          <w:szCs w:val="22"/>
          <w:lang w:val="sr-Latn-ME"/>
        </w:rPr>
        <w:t xml:space="preserve"> </w:t>
      </w:r>
      <w:r w:rsidR="0092012C" w:rsidRPr="00B74B0F">
        <w:rPr>
          <w:szCs w:val="22"/>
          <w:lang w:val="sr-Latn-ME"/>
        </w:rPr>
        <w:t xml:space="preserve">kod </w:t>
      </w:r>
      <w:r w:rsidRPr="00B74B0F">
        <w:rPr>
          <w:szCs w:val="22"/>
          <w:lang w:val="sr-Latn-ME"/>
        </w:rPr>
        <w:t>upadacitinib</w:t>
      </w:r>
      <w:r w:rsidR="00974D53" w:rsidRPr="00B74B0F">
        <w:rPr>
          <w:szCs w:val="22"/>
          <w:lang w:val="sr-Latn-ME"/>
        </w:rPr>
        <w:t>a</w:t>
      </w:r>
      <w:r w:rsidRPr="00B74B0F">
        <w:rPr>
          <w:szCs w:val="22"/>
          <w:lang w:val="sr-Latn-ME"/>
        </w:rPr>
        <w:t xml:space="preserve"> u dozi od 15 mg nego </w:t>
      </w:r>
      <w:r w:rsidR="0092012C" w:rsidRPr="00B74B0F">
        <w:rPr>
          <w:szCs w:val="22"/>
          <w:lang w:val="sr-Latn-ME"/>
        </w:rPr>
        <w:t>kod</w:t>
      </w:r>
      <w:r w:rsidRPr="00B74B0F">
        <w:rPr>
          <w:szCs w:val="22"/>
          <w:lang w:val="sr-Latn-ME"/>
        </w:rPr>
        <w:t xml:space="preserve"> placeb</w:t>
      </w:r>
      <w:r w:rsidR="0092012C" w:rsidRPr="00B74B0F">
        <w:rPr>
          <w:szCs w:val="22"/>
          <w:lang w:val="sr-Latn-ME"/>
        </w:rPr>
        <w:t>a</w:t>
      </w:r>
      <w:r w:rsidRPr="00B74B0F">
        <w:rPr>
          <w:szCs w:val="22"/>
          <w:lang w:val="sr-Latn-ME"/>
        </w:rPr>
        <w:t>, MTX ili adalimumab (Tab</w:t>
      </w:r>
      <w:r w:rsidR="00042069" w:rsidRPr="00B74B0F">
        <w:rPr>
          <w:szCs w:val="22"/>
          <w:lang w:val="sr-Latn-ME"/>
        </w:rPr>
        <w:t>ela</w:t>
      </w:r>
      <w:r w:rsidRPr="00B74B0F">
        <w:rPr>
          <w:szCs w:val="22"/>
          <w:lang w:val="sr-Latn-ME"/>
        </w:rPr>
        <w:t> </w:t>
      </w:r>
      <w:r w:rsidR="00F32579" w:rsidRPr="00B74B0F">
        <w:rPr>
          <w:szCs w:val="22"/>
          <w:lang w:val="sr-Latn-ME"/>
        </w:rPr>
        <w:t>5</w:t>
      </w:r>
      <w:r w:rsidRPr="00B74B0F">
        <w:rPr>
          <w:szCs w:val="22"/>
          <w:lang w:val="sr-Latn-ME"/>
        </w:rPr>
        <w:t xml:space="preserve">). </w:t>
      </w:r>
      <w:r w:rsidR="004266DA" w:rsidRPr="00B74B0F">
        <w:rPr>
          <w:szCs w:val="22"/>
          <w:lang w:val="sr-Latn-ME"/>
        </w:rPr>
        <w:t>Vrijeme do početka djelovanja je bilo brzo</w:t>
      </w:r>
      <w:r w:rsidR="009B18D0" w:rsidRPr="00B74B0F">
        <w:rPr>
          <w:szCs w:val="22"/>
          <w:lang w:val="sr-Latn-ME"/>
        </w:rPr>
        <w:t xml:space="preserve"> postignuto</w:t>
      </w:r>
      <w:r w:rsidR="006E3922" w:rsidRPr="00B74B0F">
        <w:rPr>
          <w:szCs w:val="22"/>
          <w:lang w:val="sr-Latn-ME"/>
        </w:rPr>
        <w:t xml:space="preserve"> po svim mjerilima sa boljim</w:t>
      </w:r>
      <w:r w:rsidRPr="00B74B0F">
        <w:rPr>
          <w:szCs w:val="22"/>
          <w:lang w:val="sr-Latn-ME"/>
        </w:rPr>
        <w:t xml:space="preserve"> odgovor</w:t>
      </w:r>
      <w:r w:rsidR="006E3922" w:rsidRPr="00B74B0F">
        <w:rPr>
          <w:szCs w:val="22"/>
          <w:lang w:val="sr-Latn-ME"/>
        </w:rPr>
        <w:t>om</w:t>
      </w:r>
      <w:r w:rsidRPr="00B74B0F">
        <w:rPr>
          <w:szCs w:val="22"/>
          <w:lang w:val="sr-Latn-ME"/>
        </w:rPr>
        <w:t xml:space="preserve"> primjećen</w:t>
      </w:r>
      <w:r w:rsidR="001B074B" w:rsidRPr="00B74B0F">
        <w:rPr>
          <w:szCs w:val="22"/>
          <w:lang w:val="sr-Latn-ME"/>
        </w:rPr>
        <w:t>i</w:t>
      </w:r>
      <w:r w:rsidR="004266DA" w:rsidRPr="00B74B0F">
        <w:rPr>
          <w:szCs w:val="22"/>
          <w:lang w:val="sr-Latn-ME"/>
        </w:rPr>
        <w:t>m</w:t>
      </w:r>
      <w:r w:rsidRPr="00B74B0F">
        <w:rPr>
          <w:szCs w:val="22"/>
          <w:lang w:val="sr-Latn-ME"/>
        </w:rPr>
        <w:t xml:space="preserve"> već od </w:t>
      </w:r>
      <w:r w:rsidR="004266DA" w:rsidRPr="00B74B0F">
        <w:rPr>
          <w:szCs w:val="22"/>
          <w:lang w:val="sr-Latn-ME"/>
        </w:rPr>
        <w:t>1</w:t>
      </w:r>
      <w:r w:rsidR="00974D53" w:rsidRPr="00B74B0F">
        <w:rPr>
          <w:szCs w:val="22"/>
          <w:lang w:val="sr-Latn-ME"/>
        </w:rPr>
        <w:t>.</w:t>
      </w:r>
      <w:r w:rsidRPr="00B74B0F">
        <w:rPr>
          <w:szCs w:val="22"/>
          <w:lang w:val="sr-Latn-ME"/>
        </w:rPr>
        <w:t xml:space="preserve"> </w:t>
      </w:r>
      <w:r w:rsidR="00B10681" w:rsidRPr="00B74B0F">
        <w:rPr>
          <w:szCs w:val="22"/>
          <w:lang w:val="sr-Latn-ME"/>
        </w:rPr>
        <w:t>ned</w:t>
      </w:r>
      <w:r w:rsidR="00F32579" w:rsidRPr="00B74B0F">
        <w:rPr>
          <w:szCs w:val="22"/>
          <w:lang w:val="sr-Latn-ME"/>
        </w:rPr>
        <w:t>j</w:t>
      </w:r>
      <w:r w:rsidR="00B10681" w:rsidRPr="00B74B0F">
        <w:rPr>
          <w:szCs w:val="22"/>
          <w:lang w:val="sr-Latn-ME"/>
        </w:rPr>
        <w:t xml:space="preserve">elje </w:t>
      </w:r>
      <w:r w:rsidRPr="00B74B0F">
        <w:rPr>
          <w:szCs w:val="22"/>
          <w:lang w:val="sr-Latn-ME"/>
        </w:rPr>
        <w:t xml:space="preserve">za ACR20. </w:t>
      </w:r>
      <w:r w:rsidR="00974D53" w:rsidRPr="00B74B0F">
        <w:rPr>
          <w:szCs w:val="22"/>
          <w:lang w:val="sr-Latn-ME"/>
        </w:rPr>
        <w:t xml:space="preserve">Primijećene </w:t>
      </w:r>
      <w:r w:rsidR="00505087" w:rsidRPr="00B74B0F">
        <w:rPr>
          <w:szCs w:val="22"/>
          <w:lang w:val="sr-Latn-ME"/>
        </w:rPr>
        <w:t>su</w:t>
      </w:r>
      <w:r w:rsidRPr="00B74B0F">
        <w:rPr>
          <w:szCs w:val="22"/>
          <w:lang w:val="sr-Latn-ME"/>
        </w:rPr>
        <w:t xml:space="preserve"> </w:t>
      </w:r>
      <w:r w:rsidR="00974D53" w:rsidRPr="00B74B0F">
        <w:rPr>
          <w:szCs w:val="22"/>
          <w:lang w:val="sr-Latn-ME"/>
        </w:rPr>
        <w:t xml:space="preserve">dugotrajne </w:t>
      </w:r>
      <w:r w:rsidR="00505087" w:rsidRPr="00B74B0F">
        <w:rPr>
          <w:szCs w:val="22"/>
          <w:lang w:val="sr-Latn-ME"/>
        </w:rPr>
        <w:t xml:space="preserve">stope </w:t>
      </w:r>
      <w:r w:rsidRPr="00B74B0F">
        <w:rPr>
          <w:szCs w:val="22"/>
          <w:lang w:val="sr-Latn-ME"/>
        </w:rPr>
        <w:t>odgovora (</w:t>
      </w:r>
      <w:r w:rsidR="004266DA" w:rsidRPr="00B74B0F">
        <w:rPr>
          <w:szCs w:val="22"/>
          <w:lang w:val="sr-Latn-ME"/>
        </w:rPr>
        <w:t>sa ili bez</w:t>
      </w:r>
      <w:r w:rsidRPr="00B74B0F">
        <w:rPr>
          <w:szCs w:val="22"/>
          <w:lang w:val="sr-Latn-ME"/>
        </w:rPr>
        <w:t xml:space="preserve"> MTX</w:t>
      </w:r>
      <w:r w:rsidR="004266DA" w:rsidRPr="00B74B0F">
        <w:rPr>
          <w:szCs w:val="22"/>
          <w:lang w:val="sr-Latn-ME"/>
        </w:rPr>
        <w:t>-a</w:t>
      </w:r>
      <w:r w:rsidRPr="00B74B0F">
        <w:rPr>
          <w:szCs w:val="22"/>
          <w:lang w:val="sr-Latn-ME"/>
        </w:rPr>
        <w:t>), a odgovori ACR20/50/70 održali su se</w:t>
      </w:r>
      <w:r w:rsidR="002D29FF" w:rsidRPr="00B74B0F">
        <w:rPr>
          <w:szCs w:val="22"/>
          <w:lang w:val="sr-Latn-ME"/>
        </w:rPr>
        <w:t xml:space="preserve"> u periodu 3 godine među pacijentima</w:t>
      </w:r>
      <w:r w:rsidR="00F14D40" w:rsidRPr="00B74B0F">
        <w:rPr>
          <w:szCs w:val="22"/>
          <w:lang w:val="sr-Latn-ME"/>
        </w:rPr>
        <w:t xml:space="preserve"> koji su nastavili prvobitno dodijeljeno </w:t>
      </w:r>
      <w:r w:rsidR="00A35496" w:rsidRPr="00B74B0F">
        <w:rPr>
          <w:szCs w:val="22"/>
          <w:lang w:val="sr-Latn-ME"/>
        </w:rPr>
        <w:t>liječenje.</w:t>
      </w:r>
    </w:p>
    <w:p w14:paraId="46B0EA93" w14:textId="50EE0A8E" w:rsidR="00AD141A" w:rsidRPr="00B74B0F" w:rsidRDefault="00AC3660">
      <w:pPr>
        <w:spacing w:line="240" w:lineRule="auto"/>
        <w:contextualSpacing/>
        <w:jc w:val="both"/>
        <w:rPr>
          <w:szCs w:val="22"/>
          <w:lang w:val="sr-Latn-ME"/>
        </w:rPr>
      </w:pPr>
      <w:r w:rsidRPr="00B74B0F">
        <w:rPr>
          <w:szCs w:val="22"/>
          <w:lang w:val="sr-Latn-ME"/>
        </w:rPr>
        <w:lastRenderedPageBreak/>
        <w:t>L</w:t>
      </w:r>
      <w:r w:rsidR="00906CF8" w:rsidRPr="00B74B0F">
        <w:rPr>
          <w:szCs w:val="22"/>
          <w:lang w:val="sr-Latn-ME"/>
        </w:rPr>
        <w:t>iječenje</w:t>
      </w:r>
      <w:r w:rsidR="0092012C" w:rsidRPr="00B74B0F">
        <w:rPr>
          <w:szCs w:val="22"/>
          <w:lang w:val="sr-Latn-ME"/>
        </w:rPr>
        <w:t xml:space="preserve"> </w:t>
      </w:r>
      <w:r w:rsidR="00906CF8" w:rsidRPr="00B74B0F">
        <w:rPr>
          <w:szCs w:val="22"/>
          <w:lang w:val="sr-Latn-ME"/>
        </w:rPr>
        <w:t>upadacitinib</w:t>
      </w:r>
      <w:r w:rsidR="00974D53" w:rsidRPr="00B74B0F">
        <w:rPr>
          <w:szCs w:val="22"/>
          <w:lang w:val="sr-Latn-ME"/>
        </w:rPr>
        <w:t>om</w:t>
      </w:r>
      <w:r w:rsidR="00906CF8" w:rsidRPr="00B74B0F">
        <w:rPr>
          <w:szCs w:val="22"/>
          <w:lang w:val="sr-Latn-ME"/>
        </w:rPr>
        <w:t xml:space="preserve"> u dozi od 15 mg u monoterapiji ili u kombinaciji s ksDMARD dovelo je do poboljšanja pojedinačnih  ACR odgovora, uključujući broj bolnih i otečenih zglobova, </w:t>
      </w:r>
      <w:r w:rsidR="007073FE" w:rsidRPr="00B74B0F">
        <w:rPr>
          <w:szCs w:val="22"/>
          <w:lang w:val="sr-Latn-ME"/>
        </w:rPr>
        <w:t>pacijentov</w:t>
      </w:r>
      <w:r w:rsidR="00906CF8" w:rsidRPr="00B74B0F">
        <w:rPr>
          <w:szCs w:val="22"/>
          <w:lang w:val="sr-Latn-ME"/>
        </w:rPr>
        <w:t>u i op</w:t>
      </w:r>
      <w:r w:rsidR="0092012C" w:rsidRPr="00B74B0F">
        <w:rPr>
          <w:szCs w:val="22"/>
          <w:lang w:val="sr-Latn-ME"/>
        </w:rPr>
        <w:t>št</w:t>
      </w:r>
      <w:r w:rsidR="00906CF8" w:rsidRPr="00B74B0F">
        <w:rPr>
          <w:szCs w:val="22"/>
          <w:lang w:val="sr-Latn-ME"/>
        </w:rPr>
        <w:t>u ocjenu</w:t>
      </w:r>
      <w:r w:rsidR="00974D53" w:rsidRPr="00B74B0F">
        <w:rPr>
          <w:szCs w:val="22"/>
          <w:lang w:val="sr-Latn-ME"/>
        </w:rPr>
        <w:t xml:space="preserve"> ljekara</w:t>
      </w:r>
      <w:r w:rsidR="00906CF8" w:rsidRPr="00B74B0F">
        <w:rPr>
          <w:szCs w:val="22"/>
          <w:lang w:val="sr-Latn-ME"/>
        </w:rPr>
        <w:t>, HAQ</w:t>
      </w:r>
      <w:r w:rsidR="00906CF8" w:rsidRPr="00B74B0F">
        <w:rPr>
          <w:szCs w:val="22"/>
          <w:lang w:val="sr-Latn-ME"/>
        </w:rPr>
        <w:noBreakHyphen/>
        <w:t>DI rezultat, ocjenu bol</w:t>
      </w:r>
      <w:r w:rsidR="00B10681" w:rsidRPr="00B74B0F">
        <w:rPr>
          <w:szCs w:val="22"/>
          <w:lang w:val="sr-Latn-ME"/>
        </w:rPr>
        <w:t>a</w:t>
      </w:r>
      <w:r w:rsidR="00906CF8" w:rsidRPr="00B74B0F">
        <w:rPr>
          <w:szCs w:val="22"/>
          <w:lang w:val="sr-Latn-ME"/>
        </w:rPr>
        <w:t xml:space="preserve"> i vrijednost hsCRP</w:t>
      </w:r>
      <w:r w:rsidR="00906CF8" w:rsidRPr="00B74B0F">
        <w:rPr>
          <w:szCs w:val="22"/>
          <w:lang w:val="sr-Latn-ME"/>
        </w:rPr>
        <w:noBreakHyphen/>
        <w:t>a.</w:t>
      </w:r>
    </w:p>
    <w:p w14:paraId="0572AAB1" w14:textId="77777777" w:rsidR="00C653B9" w:rsidRPr="00B74B0F" w:rsidRDefault="00C653B9">
      <w:pPr>
        <w:spacing w:line="240" w:lineRule="auto"/>
        <w:contextualSpacing/>
        <w:jc w:val="both"/>
        <w:rPr>
          <w:szCs w:val="22"/>
          <w:lang w:val="sr-Latn-ME"/>
        </w:rPr>
      </w:pPr>
    </w:p>
    <w:p w14:paraId="56B7DFDE" w14:textId="1773B8A9" w:rsidR="00337367" w:rsidRPr="00B74B0F" w:rsidRDefault="00906CF8">
      <w:pPr>
        <w:keepNext/>
        <w:spacing w:line="240" w:lineRule="auto"/>
        <w:contextualSpacing/>
        <w:jc w:val="both"/>
        <w:rPr>
          <w:rFonts w:eastAsia="SimSun"/>
          <w:szCs w:val="22"/>
          <w:lang w:val="sr-Latn-ME"/>
        </w:rPr>
      </w:pPr>
      <w:r w:rsidRPr="00B74B0F">
        <w:rPr>
          <w:b/>
          <w:szCs w:val="22"/>
          <w:lang w:val="sr-Latn-ME"/>
        </w:rPr>
        <w:t>Tab</w:t>
      </w:r>
      <w:r w:rsidR="0092012C" w:rsidRPr="00B74B0F">
        <w:rPr>
          <w:b/>
          <w:szCs w:val="22"/>
          <w:lang w:val="sr-Latn-ME"/>
        </w:rPr>
        <w:t>ela</w:t>
      </w:r>
      <w:r w:rsidRPr="00B74B0F">
        <w:rPr>
          <w:b/>
          <w:szCs w:val="22"/>
          <w:lang w:val="sr-Latn-ME"/>
        </w:rPr>
        <w:t> </w:t>
      </w:r>
      <w:r w:rsidR="00CC3EB3" w:rsidRPr="00B74B0F">
        <w:rPr>
          <w:b/>
          <w:szCs w:val="22"/>
          <w:lang w:val="sr-Latn-ME"/>
        </w:rPr>
        <w:t>5</w:t>
      </w:r>
      <w:r w:rsidRPr="00B74B0F">
        <w:rPr>
          <w:b/>
          <w:szCs w:val="22"/>
          <w:lang w:val="sr-Latn-ME"/>
        </w:rPr>
        <w:t>: Odgovor i remisija</w:t>
      </w:r>
    </w:p>
    <w:tbl>
      <w:tblPr>
        <w:tblStyle w:val="TableGrid"/>
        <w:tblpPr w:leftFromText="180" w:rightFromText="180" w:vertAnchor="text" w:horzAnchor="margin" w:tblpY="3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738"/>
        <w:gridCol w:w="808"/>
        <w:gridCol w:w="785"/>
        <w:gridCol w:w="831"/>
        <w:gridCol w:w="718"/>
        <w:gridCol w:w="898"/>
        <w:gridCol w:w="629"/>
        <w:gridCol w:w="90"/>
        <w:gridCol w:w="748"/>
        <w:gridCol w:w="801"/>
        <w:gridCol w:w="606"/>
        <w:gridCol w:w="113"/>
        <w:gridCol w:w="602"/>
      </w:tblGrid>
      <w:tr w:rsidR="003A2D26" w:rsidRPr="00B74B0F" w14:paraId="385E62C1" w14:textId="77777777" w:rsidTr="00200D71">
        <w:trPr>
          <w:cantSplit/>
          <w:trHeight w:val="533"/>
        </w:trPr>
        <w:tc>
          <w:tcPr>
            <w:tcW w:w="988" w:type="dxa"/>
            <w:vAlign w:val="bottom"/>
          </w:tcPr>
          <w:p w14:paraId="67143544" w14:textId="77777777" w:rsidR="00C61717" w:rsidRPr="00B74B0F" w:rsidRDefault="00906CF8" w:rsidP="009F5809">
            <w:pPr>
              <w:keepNext/>
              <w:spacing w:line="240" w:lineRule="auto"/>
              <w:contextualSpacing/>
              <w:jc w:val="both"/>
              <w:rPr>
                <w:b/>
                <w:szCs w:val="22"/>
                <w:lang w:val="sr-Latn-ME"/>
              </w:rPr>
            </w:pPr>
            <w:r w:rsidRPr="00B74B0F">
              <w:rPr>
                <w:b/>
                <w:szCs w:val="22"/>
                <w:lang w:val="sr-Latn-ME"/>
              </w:rPr>
              <w:t>Ispiti</w:t>
            </w:r>
            <w:r w:rsidR="0028251B" w:rsidRPr="00B74B0F">
              <w:rPr>
                <w:b/>
                <w:szCs w:val="22"/>
                <w:lang w:val="sr-Latn-ME"/>
              </w:rPr>
              <w:t>-</w:t>
            </w:r>
            <w:r w:rsidRPr="00B74B0F">
              <w:rPr>
                <w:b/>
                <w:szCs w:val="22"/>
                <w:lang w:val="sr-Latn-ME"/>
              </w:rPr>
              <w:t>vanje</w:t>
            </w:r>
          </w:p>
        </w:tc>
        <w:tc>
          <w:tcPr>
            <w:tcW w:w="1550" w:type="dxa"/>
            <w:gridSpan w:val="2"/>
            <w:vAlign w:val="bottom"/>
          </w:tcPr>
          <w:p w14:paraId="0D4C67F2" w14:textId="77777777" w:rsidR="00C61717" w:rsidRPr="00B74B0F" w:rsidRDefault="00906CF8" w:rsidP="00181F44">
            <w:pPr>
              <w:keepNext/>
              <w:spacing w:line="240" w:lineRule="auto"/>
              <w:contextualSpacing/>
              <w:jc w:val="both"/>
              <w:rPr>
                <w:b/>
                <w:szCs w:val="22"/>
                <w:lang w:val="sr-Latn-ME"/>
              </w:rPr>
            </w:pPr>
            <w:r w:rsidRPr="00B74B0F">
              <w:rPr>
                <w:b/>
                <w:szCs w:val="22"/>
                <w:lang w:val="sr-Latn-ME"/>
              </w:rPr>
              <w:t>SELECT</w:t>
            </w:r>
          </w:p>
          <w:p w14:paraId="473C5427" w14:textId="77777777" w:rsidR="00C61717" w:rsidRPr="00B74B0F" w:rsidRDefault="00906CF8" w:rsidP="005502DD">
            <w:pPr>
              <w:keepNext/>
              <w:spacing w:line="240" w:lineRule="auto"/>
              <w:contextualSpacing/>
              <w:jc w:val="both"/>
              <w:rPr>
                <w:b/>
                <w:szCs w:val="22"/>
                <w:lang w:val="sr-Latn-ME"/>
              </w:rPr>
            </w:pPr>
            <w:r w:rsidRPr="00B74B0F">
              <w:rPr>
                <w:b/>
                <w:szCs w:val="22"/>
                <w:lang w:val="sr-Latn-ME"/>
              </w:rPr>
              <w:t>EARLY</w:t>
            </w:r>
          </w:p>
          <w:p w14:paraId="70754092" w14:textId="0D4F2157" w:rsidR="00E212B4" w:rsidRPr="00B74B0F" w:rsidRDefault="00B27953" w:rsidP="00585915">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prethodno neliječeni MTX</w:t>
            </w:r>
            <w:r w:rsidR="00906CF8" w:rsidRPr="00B74B0F">
              <w:rPr>
                <w:b/>
                <w:szCs w:val="22"/>
                <w:lang w:val="sr-Latn-ME"/>
              </w:rPr>
              <w:noBreakHyphen/>
              <w:t>om</w:t>
            </w:r>
          </w:p>
        </w:tc>
        <w:tc>
          <w:tcPr>
            <w:tcW w:w="1620" w:type="dxa"/>
            <w:gridSpan w:val="2"/>
            <w:vAlign w:val="bottom"/>
          </w:tcPr>
          <w:p w14:paraId="5D3B0A29" w14:textId="77777777" w:rsidR="00C61717" w:rsidRPr="00B74B0F" w:rsidRDefault="00906CF8" w:rsidP="002602C0">
            <w:pPr>
              <w:keepNext/>
              <w:spacing w:line="240" w:lineRule="auto"/>
              <w:contextualSpacing/>
              <w:jc w:val="both"/>
              <w:rPr>
                <w:b/>
                <w:szCs w:val="22"/>
                <w:lang w:val="sr-Latn-ME"/>
              </w:rPr>
            </w:pPr>
            <w:r w:rsidRPr="00B74B0F">
              <w:rPr>
                <w:b/>
                <w:szCs w:val="22"/>
                <w:lang w:val="sr-Latn-ME"/>
              </w:rPr>
              <w:t>SELECT</w:t>
            </w:r>
          </w:p>
          <w:p w14:paraId="3D01C11A" w14:textId="77777777" w:rsidR="00C61717" w:rsidRPr="00B74B0F" w:rsidRDefault="00906CF8" w:rsidP="00777B52">
            <w:pPr>
              <w:keepNext/>
              <w:spacing w:line="240" w:lineRule="auto"/>
              <w:contextualSpacing/>
              <w:jc w:val="both"/>
              <w:rPr>
                <w:b/>
                <w:szCs w:val="22"/>
                <w:lang w:val="sr-Latn-ME"/>
              </w:rPr>
            </w:pPr>
            <w:r w:rsidRPr="00B74B0F">
              <w:rPr>
                <w:b/>
                <w:szCs w:val="22"/>
                <w:lang w:val="sr-Latn-ME"/>
              </w:rPr>
              <w:t>MONO</w:t>
            </w:r>
          </w:p>
          <w:p w14:paraId="0759E61B" w14:textId="44B475DF" w:rsidR="00E212B4" w:rsidRPr="00B74B0F" w:rsidRDefault="00B27953" w:rsidP="00343D6C">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s</w:t>
            </w:r>
            <w:r w:rsidRPr="00B74B0F">
              <w:rPr>
                <w:b/>
                <w:szCs w:val="22"/>
                <w:lang w:val="sr-Latn-ME"/>
              </w:rPr>
              <w:t>a</w:t>
            </w:r>
            <w:r w:rsidR="00906CF8" w:rsidRPr="00B74B0F">
              <w:rPr>
                <w:b/>
                <w:szCs w:val="22"/>
                <w:lang w:val="sr-Latn-ME"/>
              </w:rPr>
              <w:t xml:space="preserve"> nedovoljno dobrim odgovorom na MTX</w:t>
            </w:r>
          </w:p>
        </w:tc>
        <w:tc>
          <w:tcPr>
            <w:tcW w:w="1620" w:type="dxa"/>
            <w:gridSpan w:val="2"/>
            <w:vAlign w:val="bottom"/>
          </w:tcPr>
          <w:p w14:paraId="1EDD3D41" w14:textId="77777777" w:rsidR="00C61717" w:rsidRPr="00B74B0F" w:rsidRDefault="00906CF8" w:rsidP="005C649D">
            <w:pPr>
              <w:keepNext/>
              <w:spacing w:line="240" w:lineRule="auto"/>
              <w:contextualSpacing/>
              <w:jc w:val="both"/>
              <w:rPr>
                <w:b/>
                <w:szCs w:val="22"/>
                <w:lang w:val="sr-Latn-ME"/>
              </w:rPr>
            </w:pPr>
            <w:r w:rsidRPr="00B74B0F">
              <w:rPr>
                <w:b/>
                <w:szCs w:val="22"/>
                <w:lang w:val="sr-Latn-ME"/>
              </w:rPr>
              <w:t>SELECT</w:t>
            </w:r>
          </w:p>
          <w:p w14:paraId="288396DE" w14:textId="77777777" w:rsidR="00C61717" w:rsidRPr="00B74B0F" w:rsidRDefault="00906CF8" w:rsidP="00A30C3C">
            <w:pPr>
              <w:keepNext/>
              <w:spacing w:line="240" w:lineRule="auto"/>
              <w:contextualSpacing/>
              <w:jc w:val="both"/>
              <w:rPr>
                <w:b/>
                <w:szCs w:val="22"/>
                <w:lang w:val="sr-Latn-ME"/>
              </w:rPr>
            </w:pPr>
            <w:r w:rsidRPr="00B74B0F">
              <w:rPr>
                <w:b/>
                <w:szCs w:val="22"/>
                <w:lang w:val="sr-Latn-ME"/>
              </w:rPr>
              <w:t>NEXT</w:t>
            </w:r>
          </w:p>
          <w:p w14:paraId="5B3F9B96" w14:textId="5A1AD2F6" w:rsidR="00414C65" w:rsidRPr="00B74B0F" w:rsidRDefault="00B27953" w:rsidP="00A30C3C">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s</w:t>
            </w:r>
            <w:r w:rsidRPr="00B74B0F">
              <w:rPr>
                <w:b/>
                <w:szCs w:val="22"/>
                <w:lang w:val="sr-Latn-ME"/>
              </w:rPr>
              <w:t>a</w:t>
            </w:r>
            <w:r w:rsidR="00906CF8" w:rsidRPr="00B74B0F">
              <w:rPr>
                <w:b/>
                <w:szCs w:val="22"/>
                <w:lang w:val="sr-Latn-ME"/>
              </w:rPr>
              <w:t xml:space="preserve"> nedovoljno dobrim odgovorom na ksDMARD</w:t>
            </w:r>
          </w:p>
        </w:tc>
        <w:tc>
          <w:tcPr>
            <w:tcW w:w="2250" w:type="dxa"/>
            <w:gridSpan w:val="4"/>
            <w:vAlign w:val="bottom"/>
          </w:tcPr>
          <w:p w14:paraId="3240BAA3" w14:textId="77777777" w:rsidR="00C61717" w:rsidRPr="00B74B0F" w:rsidRDefault="00906CF8" w:rsidP="00A30C3C">
            <w:pPr>
              <w:keepNext/>
              <w:spacing w:line="240" w:lineRule="auto"/>
              <w:contextualSpacing/>
              <w:jc w:val="both"/>
              <w:rPr>
                <w:b/>
                <w:szCs w:val="22"/>
                <w:lang w:val="sr-Latn-ME"/>
              </w:rPr>
            </w:pPr>
            <w:r w:rsidRPr="00B74B0F">
              <w:rPr>
                <w:b/>
                <w:szCs w:val="22"/>
                <w:lang w:val="sr-Latn-ME"/>
              </w:rPr>
              <w:t>SELECT</w:t>
            </w:r>
          </w:p>
          <w:p w14:paraId="7844BD54" w14:textId="77777777" w:rsidR="00C61717" w:rsidRPr="00B74B0F" w:rsidRDefault="00906CF8" w:rsidP="00A30C3C">
            <w:pPr>
              <w:keepNext/>
              <w:spacing w:line="240" w:lineRule="auto"/>
              <w:contextualSpacing/>
              <w:jc w:val="both"/>
              <w:rPr>
                <w:b/>
                <w:szCs w:val="22"/>
                <w:lang w:val="sr-Latn-ME"/>
              </w:rPr>
            </w:pPr>
            <w:r w:rsidRPr="00B74B0F">
              <w:rPr>
                <w:b/>
                <w:szCs w:val="22"/>
                <w:lang w:val="sr-Latn-ME"/>
              </w:rPr>
              <w:t>COMPARE</w:t>
            </w:r>
          </w:p>
          <w:p w14:paraId="00202F9D" w14:textId="521C173C" w:rsidR="00414C65" w:rsidRPr="00B74B0F" w:rsidRDefault="00B27953" w:rsidP="00A30C3C">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s</w:t>
            </w:r>
            <w:r w:rsidRPr="00B74B0F">
              <w:rPr>
                <w:b/>
                <w:szCs w:val="22"/>
                <w:lang w:val="sr-Latn-ME"/>
              </w:rPr>
              <w:t>a</w:t>
            </w:r>
            <w:r w:rsidR="00906CF8" w:rsidRPr="00B74B0F">
              <w:rPr>
                <w:b/>
                <w:szCs w:val="22"/>
                <w:lang w:val="sr-Latn-ME"/>
              </w:rPr>
              <w:t xml:space="preserve"> nedovoljno dobrim odgovorom na MTX</w:t>
            </w:r>
          </w:p>
        </w:tc>
        <w:tc>
          <w:tcPr>
            <w:tcW w:w="1323" w:type="dxa"/>
            <w:gridSpan w:val="3"/>
            <w:vAlign w:val="bottom"/>
          </w:tcPr>
          <w:p w14:paraId="6DCF4351" w14:textId="77777777" w:rsidR="00C61717" w:rsidRPr="00B74B0F" w:rsidRDefault="00906CF8" w:rsidP="00A30C3C">
            <w:pPr>
              <w:keepNext/>
              <w:spacing w:line="240" w:lineRule="auto"/>
              <w:contextualSpacing/>
              <w:jc w:val="both"/>
              <w:rPr>
                <w:b/>
                <w:szCs w:val="22"/>
                <w:lang w:val="sr-Latn-ME"/>
              </w:rPr>
            </w:pPr>
            <w:r w:rsidRPr="00B74B0F">
              <w:rPr>
                <w:b/>
                <w:szCs w:val="22"/>
                <w:lang w:val="sr-Latn-ME"/>
              </w:rPr>
              <w:t>SELECT</w:t>
            </w:r>
          </w:p>
          <w:p w14:paraId="43567DDA" w14:textId="77777777" w:rsidR="00C61717" w:rsidRPr="00B74B0F" w:rsidRDefault="00906CF8" w:rsidP="00A30C3C">
            <w:pPr>
              <w:keepNext/>
              <w:spacing w:line="240" w:lineRule="auto"/>
              <w:contextualSpacing/>
              <w:jc w:val="both"/>
              <w:rPr>
                <w:b/>
                <w:szCs w:val="22"/>
                <w:lang w:val="sr-Latn-ME"/>
              </w:rPr>
            </w:pPr>
            <w:r w:rsidRPr="00B74B0F">
              <w:rPr>
                <w:b/>
                <w:szCs w:val="22"/>
                <w:lang w:val="sr-Latn-ME"/>
              </w:rPr>
              <w:t>BEYOND</w:t>
            </w:r>
          </w:p>
          <w:p w14:paraId="6826ECFC" w14:textId="1AB439E8" w:rsidR="00414C65" w:rsidRPr="00B74B0F" w:rsidRDefault="00B27953" w:rsidP="00A30C3C">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s</w:t>
            </w:r>
            <w:r w:rsidRPr="00B74B0F">
              <w:rPr>
                <w:b/>
                <w:szCs w:val="22"/>
                <w:lang w:val="sr-Latn-ME"/>
              </w:rPr>
              <w:t>a</w:t>
            </w:r>
            <w:r w:rsidR="00906CF8" w:rsidRPr="00B74B0F">
              <w:rPr>
                <w:b/>
                <w:szCs w:val="22"/>
                <w:lang w:val="sr-Latn-ME"/>
              </w:rPr>
              <w:t xml:space="preserve"> nedovoljno dobrim odgovorom na bDMARD</w:t>
            </w:r>
          </w:p>
        </w:tc>
      </w:tr>
      <w:tr w:rsidR="003A2D26" w:rsidRPr="00B74B0F" w14:paraId="553AB9E5" w14:textId="77777777" w:rsidTr="00BE568C">
        <w:trPr>
          <w:cantSplit/>
          <w:trHeight w:val="278"/>
        </w:trPr>
        <w:tc>
          <w:tcPr>
            <w:tcW w:w="988" w:type="dxa"/>
            <w:vAlign w:val="bottom"/>
          </w:tcPr>
          <w:p w14:paraId="17FF4C79" w14:textId="77777777" w:rsidR="00C61717" w:rsidRPr="00B74B0F" w:rsidRDefault="00C61717" w:rsidP="009F5809">
            <w:pPr>
              <w:keepNext/>
              <w:spacing w:line="240" w:lineRule="auto"/>
              <w:contextualSpacing/>
              <w:jc w:val="both"/>
              <w:rPr>
                <w:szCs w:val="22"/>
                <w:lang w:val="sr-Latn-ME"/>
              </w:rPr>
            </w:pPr>
          </w:p>
        </w:tc>
        <w:tc>
          <w:tcPr>
            <w:tcW w:w="740" w:type="dxa"/>
            <w:vAlign w:val="bottom"/>
          </w:tcPr>
          <w:p w14:paraId="382586F0" w14:textId="77777777" w:rsidR="00C61717" w:rsidRPr="00B74B0F" w:rsidRDefault="00906CF8" w:rsidP="00181F44">
            <w:pPr>
              <w:keepNext/>
              <w:spacing w:line="240" w:lineRule="auto"/>
              <w:contextualSpacing/>
              <w:jc w:val="both"/>
              <w:rPr>
                <w:szCs w:val="22"/>
                <w:lang w:val="sr-Latn-ME"/>
              </w:rPr>
            </w:pPr>
            <w:r w:rsidRPr="00B74B0F">
              <w:rPr>
                <w:szCs w:val="22"/>
                <w:lang w:val="sr-Latn-ME"/>
              </w:rPr>
              <w:t>MTX</w:t>
            </w:r>
          </w:p>
        </w:tc>
        <w:tc>
          <w:tcPr>
            <w:tcW w:w="810" w:type="dxa"/>
            <w:vAlign w:val="bottom"/>
          </w:tcPr>
          <w:p w14:paraId="12B67BE2" w14:textId="77777777" w:rsidR="00C61717" w:rsidRPr="00B74B0F" w:rsidRDefault="00906CF8" w:rsidP="005502DD">
            <w:pPr>
              <w:keepNext/>
              <w:spacing w:line="240" w:lineRule="auto"/>
              <w:contextualSpacing/>
              <w:jc w:val="both"/>
              <w:rPr>
                <w:szCs w:val="22"/>
                <w:lang w:val="sr-Latn-ME"/>
              </w:rPr>
            </w:pPr>
            <w:r w:rsidRPr="00B74B0F">
              <w:rPr>
                <w:szCs w:val="22"/>
                <w:lang w:val="sr-Latn-ME"/>
              </w:rPr>
              <w:t>UPA</w:t>
            </w:r>
          </w:p>
          <w:p w14:paraId="7DBB46A5" w14:textId="77777777" w:rsidR="00C61717" w:rsidRPr="00B74B0F" w:rsidRDefault="00906CF8" w:rsidP="00585915">
            <w:pPr>
              <w:keepNext/>
              <w:spacing w:line="240" w:lineRule="auto"/>
              <w:contextualSpacing/>
              <w:jc w:val="both"/>
              <w:rPr>
                <w:szCs w:val="22"/>
                <w:lang w:val="sr-Latn-ME"/>
              </w:rPr>
            </w:pPr>
            <w:r w:rsidRPr="00B74B0F">
              <w:rPr>
                <w:szCs w:val="22"/>
                <w:lang w:val="sr-Latn-ME"/>
              </w:rPr>
              <w:t>15 mg</w:t>
            </w:r>
          </w:p>
        </w:tc>
        <w:tc>
          <w:tcPr>
            <w:tcW w:w="787" w:type="dxa"/>
            <w:vAlign w:val="bottom"/>
          </w:tcPr>
          <w:p w14:paraId="149214F7" w14:textId="77777777" w:rsidR="00C61717" w:rsidRPr="00B74B0F" w:rsidRDefault="00906CF8" w:rsidP="002602C0">
            <w:pPr>
              <w:keepNext/>
              <w:spacing w:line="240" w:lineRule="auto"/>
              <w:contextualSpacing/>
              <w:jc w:val="both"/>
              <w:rPr>
                <w:szCs w:val="22"/>
                <w:lang w:val="sr-Latn-ME"/>
              </w:rPr>
            </w:pPr>
            <w:r w:rsidRPr="00B74B0F">
              <w:rPr>
                <w:szCs w:val="22"/>
                <w:lang w:val="sr-Latn-ME"/>
              </w:rPr>
              <w:t>MTX</w:t>
            </w:r>
          </w:p>
        </w:tc>
        <w:tc>
          <w:tcPr>
            <w:tcW w:w="833" w:type="dxa"/>
            <w:vAlign w:val="bottom"/>
          </w:tcPr>
          <w:p w14:paraId="433B064C" w14:textId="77777777" w:rsidR="00C61717" w:rsidRPr="00B74B0F" w:rsidRDefault="00906CF8" w:rsidP="00777B52">
            <w:pPr>
              <w:keepNext/>
              <w:spacing w:line="240" w:lineRule="auto"/>
              <w:contextualSpacing/>
              <w:jc w:val="both"/>
              <w:rPr>
                <w:szCs w:val="22"/>
                <w:lang w:val="sr-Latn-ME"/>
              </w:rPr>
            </w:pPr>
            <w:r w:rsidRPr="00B74B0F">
              <w:rPr>
                <w:szCs w:val="22"/>
                <w:lang w:val="sr-Latn-ME"/>
              </w:rPr>
              <w:t>UPA</w:t>
            </w:r>
          </w:p>
          <w:p w14:paraId="4A6D5EC9" w14:textId="77777777" w:rsidR="00C61717" w:rsidRPr="00B74B0F" w:rsidRDefault="00906CF8" w:rsidP="00343D6C">
            <w:pPr>
              <w:keepNext/>
              <w:spacing w:line="240" w:lineRule="auto"/>
              <w:contextualSpacing/>
              <w:jc w:val="both"/>
              <w:rPr>
                <w:szCs w:val="22"/>
                <w:lang w:val="sr-Latn-ME"/>
              </w:rPr>
            </w:pPr>
            <w:r w:rsidRPr="00B74B0F">
              <w:rPr>
                <w:szCs w:val="22"/>
                <w:lang w:val="sr-Latn-ME"/>
              </w:rPr>
              <w:t>15 mg</w:t>
            </w:r>
          </w:p>
        </w:tc>
        <w:tc>
          <w:tcPr>
            <w:tcW w:w="720" w:type="dxa"/>
            <w:vAlign w:val="bottom"/>
          </w:tcPr>
          <w:p w14:paraId="60DA224E" w14:textId="77777777" w:rsidR="00C61717" w:rsidRPr="00B74B0F" w:rsidRDefault="00906CF8" w:rsidP="005C649D">
            <w:pPr>
              <w:keepNext/>
              <w:spacing w:line="240" w:lineRule="auto"/>
              <w:contextualSpacing/>
              <w:jc w:val="both"/>
              <w:rPr>
                <w:szCs w:val="22"/>
                <w:lang w:val="sr-Latn-ME"/>
              </w:rPr>
            </w:pPr>
            <w:r w:rsidRPr="00B74B0F">
              <w:rPr>
                <w:szCs w:val="22"/>
                <w:lang w:val="sr-Latn-ME"/>
              </w:rPr>
              <w:t>PBO</w:t>
            </w:r>
          </w:p>
        </w:tc>
        <w:tc>
          <w:tcPr>
            <w:tcW w:w="900" w:type="dxa"/>
            <w:vAlign w:val="bottom"/>
          </w:tcPr>
          <w:p w14:paraId="2B62E9A5" w14:textId="77777777" w:rsidR="00C61717" w:rsidRPr="00B74B0F" w:rsidRDefault="00906CF8" w:rsidP="00A30C3C">
            <w:pPr>
              <w:keepNext/>
              <w:spacing w:line="240" w:lineRule="auto"/>
              <w:contextualSpacing/>
              <w:jc w:val="both"/>
              <w:rPr>
                <w:szCs w:val="22"/>
                <w:lang w:val="sr-Latn-ME"/>
              </w:rPr>
            </w:pPr>
            <w:r w:rsidRPr="00B74B0F">
              <w:rPr>
                <w:szCs w:val="22"/>
                <w:lang w:val="sr-Latn-ME"/>
              </w:rPr>
              <w:t>UPA</w:t>
            </w:r>
          </w:p>
          <w:p w14:paraId="0CAA3A95" w14:textId="77777777" w:rsidR="00C61717" w:rsidRPr="00B74B0F" w:rsidRDefault="00906CF8" w:rsidP="00A30C3C">
            <w:pPr>
              <w:keepNext/>
              <w:spacing w:line="240" w:lineRule="auto"/>
              <w:contextualSpacing/>
              <w:jc w:val="both"/>
              <w:rPr>
                <w:szCs w:val="22"/>
                <w:lang w:val="sr-Latn-ME"/>
              </w:rPr>
            </w:pPr>
            <w:r w:rsidRPr="00B74B0F">
              <w:rPr>
                <w:szCs w:val="22"/>
                <w:lang w:val="sr-Latn-ME"/>
              </w:rPr>
              <w:t>15 mg</w:t>
            </w:r>
          </w:p>
        </w:tc>
        <w:tc>
          <w:tcPr>
            <w:tcW w:w="720" w:type="dxa"/>
            <w:gridSpan w:val="2"/>
            <w:vAlign w:val="bottom"/>
          </w:tcPr>
          <w:p w14:paraId="79961F39" w14:textId="77777777" w:rsidR="00C61717" w:rsidRPr="00B74B0F" w:rsidRDefault="00906CF8" w:rsidP="00A30C3C">
            <w:pPr>
              <w:keepNext/>
              <w:spacing w:line="240" w:lineRule="auto"/>
              <w:contextualSpacing/>
              <w:jc w:val="both"/>
              <w:rPr>
                <w:szCs w:val="22"/>
                <w:lang w:val="sr-Latn-ME"/>
              </w:rPr>
            </w:pPr>
            <w:r w:rsidRPr="00B74B0F">
              <w:rPr>
                <w:szCs w:val="22"/>
                <w:lang w:val="sr-Latn-ME"/>
              </w:rPr>
              <w:t>PBO</w:t>
            </w:r>
          </w:p>
        </w:tc>
        <w:tc>
          <w:tcPr>
            <w:tcW w:w="727" w:type="dxa"/>
            <w:vAlign w:val="bottom"/>
          </w:tcPr>
          <w:p w14:paraId="0F38B749" w14:textId="77777777" w:rsidR="00C61717" w:rsidRPr="00B74B0F" w:rsidRDefault="00906CF8" w:rsidP="00A30C3C">
            <w:pPr>
              <w:keepNext/>
              <w:spacing w:line="240" w:lineRule="auto"/>
              <w:contextualSpacing/>
              <w:jc w:val="both"/>
              <w:rPr>
                <w:szCs w:val="22"/>
                <w:lang w:val="sr-Latn-ME"/>
              </w:rPr>
            </w:pPr>
            <w:r w:rsidRPr="00B74B0F">
              <w:rPr>
                <w:szCs w:val="22"/>
                <w:lang w:val="sr-Latn-ME"/>
              </w:rPr>
              <w:t>UPA</w:t>
            </w:r>
          </w:p>
          <w:p w14:paraId="0DDC1C73" w14:textId="77777777" w:rsidR="00C61717" w:rsidRPr="00B74B0F" w:rsidRDefault="00906CF8" w:rsidP="00A30C3C">
            <w:pPr>
              <w:keepNext/>
              <w:spacing w:line="240" w:lineRule="auto"/>
              <w:contextualSpacing/>
              <w:jc w:val="both"/>
              <w:rPr>
                <w:szCs w:val="22"/>
                <w:lang w:val="sr-Latn-ME"/>
              </w:rPr>
            </w:pPr>
            <w:r w:rsidRPr="00B74B0F">
              <w:rPr>
                <w:szCs w:val="22"/>
                <w:lang w:val="sr-Latn-ME"/>
              </w:rPr>
              <w:t>15 mg</w:t>
            </w:r>
          </w:p>
        </w:tc>
        <w:tc>
          <w:tcPr>
            <w:tcW w:w="803" w:type="dxa"/>
            <w:vAlign w:val="bottom"/>
          </w:tcPr>
          <w:p w14:paraId="503C32B4" w14:textId="77777777" w:rsidR="00C61717" w:rsidRPr="00B74B0F" w:rsidRDefault="00906CF8" w:rsidP="00A30C3C">
            <w:pPr>
              <w:keepNext/>
              <w:spacing w:line="240" w:lineRule="auto"/>
              <w:contextualSpacing/>
              <w:jc w:val="both"/>
              <w:rPr>
                <w:szCs w:val="22"/>
                <w:lang w:val="sr-Latn-ME"/>
              </w:rPr>
            </w:pPr>
            <w:r w:rsidRPr="00B74B0F">
              <w:rPr>
                <w:szCs w:val="22"/>
                <w:lang w:val="sr-Latn-ME"/>
              </w:rPr>
              <w:t>ADA</w:t>
            </w:r>
          </w:p>
          <w:p w14:paraId="307215CF" w14:textId="77777777" w:rsidR="00C61717" w:rsidRPr="00B74B0F" w:rsidRDefault="00906CF8" w:rsidP="00A30C3C">
            <w:pPr>
              <w:keepNext/>
              <w:spacing w:line="240" w:lineRule="auto"/>
              <w:contextualSpacing/>
              <w:jc w:val="both"/>
              <w:rPr>
                <w:szCs w:val="22"/>
                <w:lang w:val="sr-Latn-ME"/>
              </w:rPr>
            </w:pPr>
            <w:r w:rsidRPr="00B74B0F">
              <w:rPr>
                <w:szCs w:val="22"/>
                <w:lang w:val="sr-Latn-ME"/>
              </w:rPr>
              <w:t>40 mg</w:t>
            </w:r>
          </w:p>
        </w:tc>
        <w:tc>
          <w:tcPr>
            <w:tcW w:w="720" w:type="dxa"/>
            <w:gridSpan w:val="2"/>
            <w:vAlign w:val="bottom"/>
          </w:tcPr>
          <w:p w14:paraId="23BB67B0" w14:textId="77777777" w:rsidR="00C61717" w:rsidRPr="00B74B0F" w:rsidRDefault="00906CF8" w:rsidP="00A30C3C">
            <w:pPr>
              <w:keepNext/>
              <w:spacing w:line="240" w:lineRule="auto"/>
              <w:contextualSpacing/>
              <w:jc w:val="both"/>
              <w:rPr>
                <w:szCs w:val="22"/>
                <w:lang w:val="sr-Latn-ME"/>
              </w:rPr>
            </w:pPr>
            <w:r w:rsidRPr="00B74B0F">
              <w:rPr>
                <w:szCs w:val="22"/>
                <w:lang w:val="sr-Latn-ME"/>
              </w:rPr>
              <w:t>PBO</w:t>
            </w:r>
          </w:p>
        </w:tc>
        <w:tc>
          <w:tcPr>
            <w:tcW w:w="603" w:type="dxa"/>
            <w:vAlign w:val="bottom"/>
          </w:tcPr>
          <w:p w14:paraId="67859B55" w14:textId="77777777" w:rsidR="00C61717" w:rsidRPr="00B74B0F" w:rsidRDefault="00906CF8" w:rsidP="00A30C3C">
            <w:pPr>
              <w:keepNext/>
              <w:spacing w:line="240" w:lineRule="auto"/>
              <w:contextualSpacing/>
              <w:jc w:val="both"/>
              <w:rPr>
                <w:szCs w:val="22"/>
                <w:lang w:val="sr-Latn-ME"/>
              </w:rPr>
            </w:pPr>
            <w:r w:rsidRPr="00B74B0F">
              <w:rPr>
                <w:szCs w:val="22"/>
                <w:lang w:val="sr-Latn-ME"/>
              </w:rPr>
              <w:t>UPA</w:t>
            </w:r>
          </w:p>
          <w:p w14:paraId="0BA50843" w14:textId="77777777" w:rsidR="00C61717" w:rsidRPr="00B74B0F" w:rsidRDefault="00906CF8" w:rsidP="00A30C3C">
            <w:pPr>
              <w:keepNext/>
              <w:spacing w:line="240" w:lineRule="auto"/>
              <w:contextualSpacing/>
              <w:jc w:val="both"/>
              <w:rPr>
                <w:szCs w:val="22"/>
                <w:lang w:val="sr-Latn-ME"/>
              </w:rPr>
            </w:pPr>
            <w:r w:rsidRPr="00B74B0F">
              <w:rPr>
                <w:szCs w:val="22"/>
                <w:lang w:val="sr-Latn-ME"/>
              </w:rPr>
              <w:t>15 mg</w:t>
            </w:r>
          </w:p>
        </w:tc>
      </w:tr>
      <w:tr w:rsidR="003A2D26" w:rsidRPr="00B74B0F" w14:paraId="6B54FF4F" w14:textId="77777777" w:rsidTr="00BE568C">
        <w:trPr>
          <w:cantSplit/>
          <w:trHeight w:val="278"/>
        </w:trPr>
        <w:tc>
          <w:tcPr>
            <w:tcW w:w="988" w:type="dxa"/>
            <w:vAlign w:val="center"/>
          </w:tcPr>
          <w:p w14:paraId="48FA71F0" w14:textId="77777777" w:rsidR="00C61717" w:rsidRPr="00B74B0F" w:rsidRDefault="00906CF8" w:rsidP="009F5809">
            <w:pPr>
              <w:keepNext/>
              <w:spacing w:line="240" w:lineRule="auto"/>
              <w:contextualSpacing/>
              <w:jc w:val="both"/>
              <w:rPr>
                <w:szCs w:val="22"/>
                <w:lang w:val="sr-Latn-ME"/>
              </w:rPr>
            </w:pPr>
            <w:r w:rsidRPr="00B74B0F">
              <w:rPr>
                <w:szCs w:val="22"/>
                <w:lang w:val="sr-Latn-ME"/>
              </w:rPr>
              <w:t>N</w:t>
            </w:r>
          </w:p>
        </w:tc>
        <w:tc>
          <w:tcPr>
            <w:tcW w:w="740" w:type="dxa"/>
            <w:vAlign w:val="center"/>
          </w:tcPr>
          <w:p w14:paraId="4AF1E5AB" w14:textId="77777777" w:rsidR="00C61717" w:rsidRPr="00B74B0F" w:rsidRDefault="00906CF8" w:rsidP="00181F44">
            <w:pPr>
              <w:keepNext/>
              <w:spacing w:line="240" w:lineRule="auto"/>
              <w:contextualSpacing/>
              <w:jc w:val="both"/>
              <w:rPr>
                <w:szCs w:val="22"/>
                <w:lang w:val="sr-Latn-ME"/>
              </w:rPr>
            </w:pPr>
            <w:r w:rsidRPr="00B74B0F">
              <w:rPr>
                <w:szCs w:val="22"/>
                <w:lang w:val="sr-Latn-ME"/>
              </w:rPr>
              <w:t>314</w:t>
            </w:r>
          </w:p>
        </w:tc>
        <w:tc>
          <w:tcPr>
            <w:tcW w:w="810" w:type="dxa"/>
            <w:vAlign w:val="center"/>
          </w:tcPr>
          <w:p w14:paraId="3D04B706" w14:textId="77777777" w:rsidR="00C61717" w:rsidRPr="00B74B0F" w:rsidRDefault="00906CF8" w:rsidP="005502DD">
            <w:pPr>
              <w:keepNext/>
              <w:spacing w:line="240" w:lineRule="auto"/>
              <w:contextualSpacing/>
              <w:jc w:val="both"/>
              <w:rPr>
                <w:szCs w:val="22"/>
                <w:lang w:val="sr-Latn-ME"/>
              </w:rPr>
            </w:pPr>
            <w:r w:rsidRPr="00B74B0F">
              <w:rPr>
                <w:szCs w:val="22"/>
                <w:lang w:val="sr-Latn-ME"/>
              </w:rPr>
              <w:t>317</w:t>
            </w:r>
          </w:p>
        </w:tc>
        <w:tc>
          <w:tcPr>
            <w:tcW w:w="787" w:type="dxa"/>
            <w:vAlign w:val="center"/>
          </w:tcPr>
          <w:p w14:paraId="78EE3C37" w14:textId="77777777" w:rsidR="00C61717" w:rsidRPr="00B74B0F" w:rsidRDefault="00906CF8" w:rsidP="00585915">
            <w:pPr>
              <w:keepNext/>
              <w:spacing w:line="240" w:lineRule="auto"/>
              <w:contextualSpacing/>
              <w:jc w:val="both"/>
              <w:rPr>
                <w:szCs w:val="22"/>
                <w:lang w:val="sr-Latn-ME"/>
              </w:rPr>
            </w:pPr>
            <w:r w:rsidRPr="00B74B0F">
              <w:rPr>
                <w:szCs w:val="22"/>
                <w:lang w:val="sr-Latn-ME"/>
              </w:rPr>
              <w:t>216</w:t>
            </w:r>
          </w:p>
        </w:tc>
        <w:tc>
          <w:tcPr>
            <w:tcW w:w="833" w:type="dxa"/>
            <w:vAlign w:val="center"/>
          </w:tcPr>
          <w:p w14:paraId="6688FE6B" w14:textId="77777777" w:rsidR="00C61717" w:rsidRPr="00B74B0F" w:rsidRDefault="00906CF8" w:rsidP="002602C0">
            <w:pPr>
              <w:keepNext/>
              <w:spacing w:line="240" w:lineRule="auto"/>
              <w:contextualSpacing/>
              <w:jc w:val="both"/>
              <w:rPr>
                <w:szCs w:val="22"/>
                <w:lang w:val="sr-Latn-ME"/>
              </w:rPr>
            </w:pPr>
            <w:r w:rsidRPr="00B74B0F">
              <w:rPr>
                <w:szCs w:val="22"/>
                <w:lang w:val="sr-Latn-ME"/>
              </w:rPr>
              <w:t>217</w:t>
            </w:r>
          </w:p>
        </w:tc>
        <w:tc>
          <w:tcPr>
            <w:tcW w:w="720" w:type="dxa"/>
            <w:vAlign w:val="center"/>
          </w:tcPr>
          <w:p w14:paraId="30953334" w14:textId="77777777" w:rsidR="00C61717" w:rsidRPr="00B74B0F" w:rsidRDefault="00906CF8" w:rsidP="00777B52">
            <w:pPr>
              <w:keepNext/>
              <w:spacing w:line="240" w:lineRule="auto"/>
              <w:contextualSpacing/>
              <w:jc w:val="both"/>
              <w:rPr>
                <w:szCs w:val="22"/>
                <w:lang w:val="sr-Latn-ME"/>
              </w:rPr>
            </w:pPr>
            <w:r w:rsidRPr="00B74B0F">
              <w:rPr>
                <w:szCs w:val="22"/>
                <w:lang w:val="sr-Latn-ME"/>
              </w:rPr>
              <w:t>221</w:t>
            </w:r>
          </w:p>
        </w:tc>
        <w:tc>
          <w:tcPr>
            <w:tcW w:w="900" w:type="dxa"/>
            <w:vAlign w:val="center"/>
          </w:tcPr>
          <w:p w14:paraId="66DA0DAE" w14:textId="77777777" w:rsidR="00C61717" w:rsidRPr="00B74B0F" w:rsidRDefault="00906CF8" w:rsidP="00343D6C">
            <w:pPr>
              <w:keepNext/>
              <w:spacing w:line="240" w:lineRule="auto"/>
              <w:contextualSpacing/>
              <w:jc w:val="both"/>
              <w:rPr>
                <w:szCs w:val="22"/>
                <w:lang w:val="sr-Latn-ME"/>
              </w:rPr>
            </w:pPr>
            <w:r w:rsidRPr="00B74B0F">
              <w:rPr>
                <w:szCs w:val="22"/>
                <w:lang w:val="sr-Latn-ME"/>
              </w:rPr>
              <w:t>221</w:t>
            </w:r>
          </w:p>
        </w:tc>
        <w:tc>
          <w:tcPr>
            <w:tcW w:w="720" w:type="dxa"/>
            <w:gridSpan w:val="2"/>
            <w:vAlign w:val="center"/>
          </w:tcPr>
          <w:p w14:paraId="564BCA77" w14:textId="77777777" w:rsidR="00C61717" w:rsidRPr="00B74B0F" w:rsidRDefault="00906CF8" w:rsidP="005C649D">
            <w:pPr>
              <w:keepNext/>
              <w:spacing w:line="240" w:lineRule="auto"/>
              <w:contextualSpacing/>
              <w:jc w:val="both"/>
              <w:rPr>
                <w:szCs w:val="22"/>
                <w:lang w:val="sr-Latn-ME"/>
              </w:rPr>
            </w:pPr>
            <w:r w:rsidRPr="00B74B0F">
              <w:rPr>
                <w:szCs w:val="22"/>
                <w:lang w:val="sr-Latn-ME"/>
              </w:rPr>
              <w:t>651</w:t>
            </w:r>
          </w:p>
        </w:tc>
        <w:tc>
          <w:tcPr>
            <w:tcW w:w="727" w:type="dxa"/>
            <w:vAlign w:val="center"/>
          </w:tcPr>
          <w:p w14:paraId="34A3138B" w14:textId="77777777" w:rsidR="00C61717" w:rsidRPr="00B74B0F" w:rsidRDefault="00906CF8" w:rsidP="00A30C3C">
            <w:pPr>
              <w:keepNext/>
              <w:spacing w:line="240" w:lineRule="auto"/>
              <w:contextualSpacing/>
              <w:jc w:val="both"/>
              <w:rPr>
                <w:szCs w:val="22"/>
                <w:lang w:val="sr-Latn-ME"/>
              </w:rPr>
            </w:pPr>
            <w:r w:rsidRPr="00B74B0F">
              <w:rPr>
                <w:szCs w:val="22"/>
                <w:lang w:val="sr-Latn-ME"/>
              </w:rPr>
              <w:t>651</w:t>
            </w:r>
          </w:p>
        </w:tc>
        <w:tc>
          <w:tcPr>
            <w:tcW w:w="803" w:type="dxa"/>
            <w:vAlign w:val="center"/>
          </w:tcPr>
          <w:p w14:paraId="6F318CF1" w14:textId="77777777" w:rsidR="00C61717" w:rsidRPr="00B74B0F" w:rsidRDefault="00906CF8" w:rsidP="00A30C3C">
            <w:pPr>
              <w:keepNext/>
              <w:spacing w:line="240" w:lineRule="auto"/>
              <w:contextualSpacing/>
              <w:jc w:val="both"/>
              <w:rPr>
                <w:szCs w:val="22"/>
                <w:lang w:val="sr-Latn-ME"/>
              </w:rPr>
            </w:pPr>
            <w:r w:rsidRPr="00B74B0F">
              <w:rPr>
                <w:szCs w:val="22"/>
                <w:lang w:val="sr-Latn-ME"/>
              </w:rPr>
              <w:t>327</w:t>
            </w:r>
          </w:p>
        </w:tc>
        <w:tc>
          <w:tcPr>
            <w:tcW w:w="720" w:type="dxa"/>
            <w:gridSpan w:val="2"/>
            <w:vAlign w:val="center"/>
          </w:tcPr>
          <w:p w14:paraId="5AF8E466" w14:textId="77777777" w:rsidR="00C61717" w:rsidRPr="00B74B0F" w:rsidRDefault="00906CF8" w:rsidP="00A30C3C">
            <w:pPr>
              <w:keepNext/>
              <w:spacing w:line="240" w:lineRule="auto"/>
              <w:contextualSpacing/>
              <w:jc w:val="both"/>
              <w:rPr>
                <w:szCs w:val="22"/>
                <w:lang w:val="sr-Latn-ME"/>
              </w:rPr>
            </w:pPr>
            <w:r w:rsidRPr="00B74B0F">
              <w:rPr>
                <w:szCs w:val="22"/>
                <w:lang w:val="sr-Latn-ME"/>
              </w:rPr>
              <w:t>169</w:t>
            </w:r>
          </w:p>
        </w:tc>
        <w:tc>
          <w:tcPr>
            <w:tcW w:w="603" w:type="dxa"/>
            <w:vAlign w:val="center"/>
          </w:tcPr>
          <w:p w14:paraId="195EF7CC" w14:textId="77777777" w:rsidR="00C61717" w:rsidRPr="00B74B0F" w:rsidRDefault="00906CF8" w:rsidP="00A30C3C">
            <w:pPr>
              <w:keepNext/>
              <w:spacing w:line="240" w:lineRule="auto"/>
              <w:contextualSpacing/>
              <w:jc w:val="both"/>
              <w:rPr>
                <w:szCs w:val="22"/>
                <w:lang w:val="sr-Latn-ME"/>
              </w:rPr>
            </w:pPr>
            <w:r w:rsidRPr="00B74B0F">
              <w:rPr>
                <w:szCs w:val="22"/>
                <w:lang w:val="sr-Latn-ME"/>
              </w:rPr>
              <w:t>164</w:t>
            </w:r>
          </w:p>
        </w:tc>
      </w:tr>
      <w:tr w:rsidR="003A2D26" w:rsidRPr="00B74B0F" w14:paraId="22DEFAF5" w14:textId="77777777" w:rsidTr="00200D71">
        <w:trPr>
          <w:cantSplit/>
          <w:trHeight w:val="228"/>
        </w:trPr>
        <w:tc>
          <w:tcPr>
            <w:tcW w:w="988" w:type="dxa"/>
            <w:vAlign w:val="center"/>
          </w:tcPr>
          <w:p w14:paraId="36D36E5D" w14:textId="3327AA84" w:rsidR="00C61717" w:rsidRPr="00B74B0F" w:rsidRDefault="008806F8" w:rsidP="009F5809">
            <w:pPr>
              <w:keepNext/>
              <w:spacing w:line="240" w:lineRule="auto"/>
              <w:contextualSpacing/>
              <w:jc w:val="both"/>
              <w:rPr>
                <w:szCs w:val="22"/>
                <w:lang w:val="sr-Latn-ME"/>
              </w:rPr>
            </w:pPr>
            <w:r w:rsidRPr="00B74B0F">
              <w:rPr>
                <w:szCs w:val="22"/>
                <w:lang w:val="sr-Latn-ME"/>
              </w:rPr>
              <w:t>Ned</w:t>
            </w:r>
            <w:r w:rsidR="00C01EE0" w:rsidRPr="00B74B0F">
              <w:rPr>
                <w:szCs w:val="22"/>
                <w:lang w:val="sr-Latn-ME"/>
              </w:rPr>
              <w:t>j</w:t>
            </w:r>
            <w:r w:rsidRPr="00B74B0F">
              <w:rPr>
                <w:szCs w:val="22"/>
                <w:lang w:val="sr-Latn-ME"/>
              </w:rPr>
              <w:t>elja</w:t>
            </w:r>
          </w:p>
        </w:tc>
        <w:tc>
          <w:tcPr>
            <w:tcW w:w="8363" w:type="dxa"/>
            <w:gridSpan w:val="13"/>
            <w:vAlign w:val="bottom"/>
          </w:tcPr>
          <w:p w14:paraId="683DB894" w14:textId="77777777" w:rsidR="00C61717" w:rsidRPr="00B74B0F" w:rsidRDefault="00C61717" w:rsidP="00181F44">
            <w:pPr>
              <w:keepNext/>
              <w:spacing w:line="240" w:lineRule="auto"/>
              <w:contextualSpacing/>
              <w:jc w:val="both"/>
              <w:rPr>
                <w:szCs w:val="22"/>
                <w:lang w:val="sr-Latn-ME"/>
              </w:rPr>
            </w:pPr>
          </w:p>
        </w:tc>
      </w:tr>
      <w:tr w:rsidR="003A2D26" w:rsidRPr="00B74B0F" w14:paraId="57F186AA" w14:textId="77777777" w:rsidTr="00200D71">
        <w:trPr>
          <w:cantSplit/>
          <w:trHeight w:val="228"/>
        </w:trPr>
        <w:tc>
          <w:tcPr>
            <w:tcW w:w="9351" w:type="dxa"/>
            <w:gridSpan w:val="14"/>
            <w:vAlign w:val="center"/>
          </w:tcPr>
          <w:p w14:paraId="5F4E3FC6" w14:textId="14D977E1" w:rsidR="00C61717" w:rsidRPr="00B74B0F" w:rsidRDefault="00906CF8" w:rsidP="00777B52">
            <w:pPr>
              <w:keepNext/>
              <w:spacing w:line="240" w:lineRule="auto"/>
              <w:contextualSpacing/>
              <w:jc w:val="center"/>
              <w:rPr>
                <w:b/>
                <w:szCs w:val="22"/>
                <w:lang w:val="sr-Latn-ME"/>
              </w:rPr>
            </w:pPr>
            <w:r w:rsidRPr="00B74B0F">
              <w:rPr>
                <w:b/>
                <w:szCs w:val="22"/>
                <w:lang w:val="sr-Latn-ME"/>
              </w:rPr>
              <w:t>Niska aktivnost bolesti: DAS28</w:t>
            </w:r>
            <w:r w:rsidRPr="00B74B0F">
              <w:rPr>
                <w:b/>
                <w:szCs w:val="22"/>
                <w:lang w:val="sr-Latn-ME"/>
              </w:rPr>
              <w:noBreakHyphen/>
              <w:t xml:space="preserve">CRP ≤ 3,2 (% </w:t>
            </w:r>
            <w:r w:rsidR="00BB59FC" w:rsidRPr="00B74B0F">
              <w:rPr>
                <w:b/>
                <w:szCs w:val="22"/>
                <w:lang w:val="sr-Latn-ME"/>
              </w:rPr>
              <w:t>pacijenata</w:t>
            </w:r>
            <w:r w:rsidRPr="00B74B0F">
              <w:rPr>
                <w:b/>
                <w:szCs w:val="22"/>
                <w:lang w:val="sr-Latn-ME"/>
              </w:rPr>
              <w:t>)</w:t>
            </w:r>
          </w:p>
        </w:tc>
      </w:tr>
      <w:tr w:rsidR="003A2D26" w:rsidRPr="00B74B0F" w14:paraId="57795A10" w14:textId="77777777" w:rsidTr="00BE568C">
        <w:trPr>
          <w:cantSplit/>
          <w:trHeight w:val="278"/>
        </w:trPr>
        <w:tc>
          <w:tcPr>
            <w:tcW w:w="988" w:type="dxa"/>
            <w:vAlign w:val="center"/>
          </w:tcPr>
          <w:p w14:paraId="67C80BA3" w14:textId="77777777" w:rsidR="00C61717" w:rsidRPr="00B74B0F" w:rsidRDefault="00906CF8" w:rsidP="009F5809">
            <w:pPr>
              <w:keepNext/>
              <w:spacing w:line="240" w:lineRule="auto"/>
              <w:contextualSpacing/>
              <w:jc w:val="both"/>
              <w:rPr>
                <w:szCs w:val="22"/>
                <w:lang w:val="sr-Latn-ME"/>
              </w:rPr>
            </w:pPr>
            <w:r w:rsidRPr="00B74B0F">
              <w:rPr>
                <w:szCs w:val="22"/>
                <w:lang w:val="sr-Latn-ME"/>
              </w:rPr>
              <w:t>12</w:t>
            </w:r>
            <w:r w:rsidRPr="00B74B0F">
              <w:rPr>
                <w:szCs w:val="22"/>
                <w:vertAlign w:val="superscript"/>
                <w:lang w:val="sr-Latn-ME"/>
              </w:rPr>
              <w:t>a</w:t>
            </w:r>
            <w:r w:rsidRPr="00B74B0F">
              <w:rPr>
                <w:szCs w:val="22"/>
                <w:lang w:val="sr-Latn-ME"/>
              </w:rPr>
              <w:t>/14</w:t>
            </w:r>
            <w:r w:rsidRPr="00B74B0F">
              <w:rPr>
                <w:szCs w:val="22"/>
                <w:vertAlign w:val="superscript"/>
                <w:lang w:val="sr-Latn-ME"/>
              </w:rPr>
              <w:t>b</w:t>
            </w:r>
          </w:p>
        </w:tc>
        <w:tc>
          <w:tcPr>
            <w:tcW w:w="740" w:type="dxa"/>
            <w:vAlign w:val="center"/>
          </w:tcPr>
          <w:p w14:paraId="00734AEE" w14:textId="77777777" w:rsidR="00C61717" w:rsidRPr="00B74B0F" w:rsidRDefault="00906CF8" w:rsidP="00181F44">
            <w:pPr>
              <w:keepNext/>
              <w:spacing w:line="240" w:lineRule="auto"/>
              <w:contextualSpacing/>
              <w:jc w:val="both"/>
              <w:rPr>
                <w:szCs w:val="22"/>
                <w:lang w:val="sr-Latn-ME"/>
              </w:rPr>
            </w:pPr>
            <w:r w:rsidRPr="00B74B0F">
              <w:rPr>
                <w:szCs w:val="22"/>
                <w:lang w:val="sr-Latn-ME"/>
              </w:rPr>
              <w:t>28</w:t>
            </w:r>
          </w:p>
        </w:tc>
        <w:tc>
          <w:tcPr>
            <w:tcW w:w="810" w:type="dxa"/>
            <w:vAlign w:val="center"/>
          </w:tcPr>
          <w:p w14:paraId="620E305A" w14:textId="77777777" w:rsidR="00C61717" w:rsidRPr="00B74B0F" w:rsidRDefault="00906CF8" w:rsidP="005502DD">
            <w:pPr>
              <w:keepNext/>
              <w:spacing w:line="240" w:lineRule="auto"/>
              <w:contextualSpacing/>
              <w:jc w:val="both"/>
              <w:rPr>
                <w:szCs w:val="22"/>
                <w:lang w:val="sr-Latn-ME"/>
              </w:rPr>
            </w:pPr>
            <w:r w:rsidRPr="00B74B0F">
              <w:rPr>
                <w:szCs w:val="22"/>
                <w:lang w:val="sr-Latn-ME"/>
              </w:rPr>
              <w:t>53</w:t>
            </w:r>
            <w:r w:rsidR="00AC3660" w:rsidRPr="00B74B0F">
              <w:rPr>
                <w:szCs w:val="22"/>
                <w:vertAlign w:val="superscript"/>
                <w:lang w:val="sr-Latn-ME"/>
              </w:rPr>
              <w:t>g</w:t>
            </w:r>
          </w:p>
        </w:tc>
        <w:tc>
          <w:tcPr>
            <w:tcW w:w="787" w:type="dxa"/>
            <w:vAlign w:val="center"/>
          </w:tcPr>
          <w:p w14:paraId="5561C6C2" w14:textId="77777777" w:rsidR="00C61717" w:rsidRPr="00B74B0F" w:rsidRDefault="00906CF8" w:rsidP="00585915">
            <w:pPr>
              <w:keepNext/>
              <w:spacing w:line="240" w:lineRule="auto"/>
              <w:contextualSpacing/>
              <w:jc w:val="both"/>
              <w:rPr>
                <w:szCs w:val="22"/>
                <w:lang w:val="sr-Latn-ME"/>
              </w:rPr>
            </w:pPr>
            <w:r w:rsidRPr="00B74B0F">
              <w:rPr>
                <w:szCs w:val="22"/>
                <w:lang w:val="sr-Latn-ME"/>
              </w:rPr>
              <w:t>19</w:t>
            </w:r>
          </w:p>
        </w:tc>
        <w:tc>
          <w:tcPr>
            <w:tcW w:w="833" w:type="dxa"/>
            <w:vAlign w:val="center"/>
          </w:tcPr>
          <w:p w14:paraId="2312F285" w14:textId="77777777" w:rsidR="00C61717" w:rsidRPr="00B74B0F" w:rsidRDefault="00906CF8" w:rsidP="002602C0">
            <w:pPr>
              <w:keepNext/>
              <w:spacing w:line="240" w:lineRule="auto"/>
              <w:contextualSpacing/>
              <w:jc w:val="both"/>
              <w:rPr>
                <w:szCs w:val="22"/>
                <w:lang w:val="sr-Latn-ME"/>
              </w:rPr>
            </w:pPr>
            <w:r w:rsidRPr="00B74B0F">
              <w:rPr>
                <w:szCs w:val="22"/>
                <w:lang w:val="sr-Latn-ME"/>
              </w:rPr>
              <w:t>45</w:t>
            </w:r>
            <w:r w:rsidRPr="00B74B0F">
              <w:rPr>
                <w:szCs w:val="22"/>
                <w:vertAlign w:val="superscript"/>
                <w:lang w:val="sr-Latn-ME"/>
              </w:rPr>
              <w:t>e</w:t>
            </w:r>
          </w:p>
        </w:tc>
        <w:tc>
          <w:tcPr>
            <w:tcW w:w="720" w:type="dxa"/>
            <w:vAlign w:val="center"/>
          </w:tcPr>
          <w:p w14:paraId="28EE9D54" w14:textId="77777777" w:rsidR="00C61717" w:rsidRPr="00B74B0F" w:rsidRDefault="00906CF8" w:rsidP="00777B52">
            <w:pPr>
              <w:keepNext/>
              <w:spacing w:line="240" w:lineRule="auto"/>
              <w:contextualSpacing/>
              <w:jc w:val="both"/>
              <w:rPr>
                <w:szCs w:val="22"/>
                <w:lang w:val="sr-Latn-ME"/>
              </w:rPr>
            </w:pPr>
            <w:r w:rsidRPr="00B74B0F">
              <w:rPr>
                <w:szCs w:val="22"/>
                <w:lang w:val="sr-Latn-ME"/>
              </w:rPr>
              <w:t>17</w:t>
            </w:r>
          </w:p>
        </w:tc>
        <w:tc>
          <w:tcPr>
            <w:tcW w:w="900" w:type="dxa"/>
            <w:vAlign w:val="center"/>
          </w:tcPr>
          <w:p w14:paraId="65165E27" w14:textId="77777777" w:rsidR="00C61717" w:rsidRPr="00B74B0F" w:rsidRDefault="00906CF8" w:rsidP="00343D6C">
            <w:pPr>
              <w:keepNext/>
              <w:spacing w:line="240" w:lineRule="auto"/>
              <w:contextualSpacing/>
              <w:jc w:val="both"/>
              <w:rPr>
                <w:szCs w:val="22"/>
                <w:lang w:val="sr-Latn-ME"/>
              </w:rPr>
            </w:pPr>
            <w:r w:rsidRPr="00B74B0F">
              <w:rPr>
                <w:szCs w:val="22"/>
                <w:lang w:val="sr-Latn-ME"/>
              </w:rPr>
              <w:t>48</w:t>
            </w:r>
            <w:r w:rsidRPr="00B74B0F">
              <w:rPr>
                <w:szCs w:val="22"/>
                <w:vertAlign w:val="superscript"/>
                <w:lang w:val="sr-Latn-ME"/>
              </w:rPr>
              <w:t>e</w:t>
            </w:r>
          </w:p>
        </w:tc>
        <w:tc>
          <w:tcPr>
            <w:tcW w:w="630" w:type="dxa"/>
            <w:vAlign w:val="center"/>
          </w:tcPr>
          <w:p w14:paraId="2626F8AD" w14:textId="77777777" w:rsidR="00C61717" w:rsidRPr="00B74B0F" w:rsidRDefault="00906CF8" w:rsidP="005C649D">
            <w:pPr>
              <w:keepNext/>
              <w:spacing w:line="240" w:lineRule="auto"/>
              <w:contextualSpacing/>
              <w:jc w:val="both"/>
              <w:rPr>
                <w:szCs w:val="22"/>
                <w:lang w:val="sr-Latn-ME"/>
              </w:rPr>
            </w:pPr>
            <w:r w:rsidRPr="00B74B0F">
              <w:rPr>
                <w:szCs w:val="22"/>
                <w:lang w:val="sr-Latn-ME"/>
              </w:rPr>
              <w:t>14</w:t>
            </w:r>
          </w:p>
        </w:tc>
        <w:tc>
          <w:tcPr>
            <w:tcW w:w="817" w:type="dxa"/>
            <w:gridSpan w:val="2"/>
            <w:vAlign w:val="center"/>
          </w:tcPr>
          <w:p w14:paraId="401EDE03" w14:textId="77777777" w:rsidR="00C61717" w:rsidRPr="00B74B0F" w:rsidRDefault="00906CF8" w:rsidP="00A30C3C">
            <w:pPr>
              <w:keepNext/>
              <w:spacing w:line="240" w:lineRule="auto"/>
              <w:contextualSpacing/>
              <w:jc w:val="both"/>
              <w:rPr>
                <w:szCs w:val="22"/>
                <w:lang w:val="sr-Latn-ME"/>
              </w:rPr>
            </w:pPr>
            <w:r w:rsidRPr="00B74B0F">
              <w:rPr>
                <w:szCs w:val="22"/>
                <w:lang w:val="sr-Latn-ME"/>
              </w:rPr>
              <w:t>45</w:t>
            </w:r>
            <w:r w:rsidRPr="00B74B0F">
              <w:rPr>
                <w:szCs w:val="22"/>
                <w:vertAlign w:val="superscript"/>
                <w:lang w:val="sr-Latn-ME"/>
              </w:rPr>
              <w:t>e,h</w:t>
            </w:r>
          </w:p>
        </w:tc>
        <w:tc>
          <w:tcPr>
            <w:tcW w:w="803" w:type="dxa"/>
            <w:vAlign w:val="center"/>
          </w:tcPr>
          <w:p w14:paraId="7B37F8C5" w14:textId="77777777" w:rsidR="00C61717" w:rsidRPr="00B74B0F" w:rsidRDefault="00906CF8" w:rsidP="00A30C3C">
            <w:pPr>
              <w:keepNext/>
              <w:spacing w:line="240" w:lineRule="auto"/>
              <w:contextualSpacing/>
              <w:jc w:val="both"/>
              <w:rPr>
                <w:szCs w:val="22"/>
                <w:lang w:val="sr-Latn-ME"/>
              </w:rPr>
            </w:pPr>
            <w:r w:rsidRPr="00B74B0F">
              <w:rPr>
                <w:szCs w:val="22"/>
                <w:lang w:val="sr-Latn-ME"/>
              </w:rPr>
              <w:t>29</w:t>
            </w:r>
          </w:p>
        </w:tc>
        <w:tc>
          <w:tcPr>
            <w:tcW w:w="720" w:type="dxa"/>
            <w:gridSpan w:val="2"/>
            <w:vAlign w:val="center"/>
          </w:tcPr>
          <w:p w14:paraId="2D4F9C0C" w14:textId="77777777" w:rsidR="00C61717" w:rsidRPr="00B74B0F" w:rsidRDefault="00906CF8" w:rsidP="00A30C3C">
            <w:pPr>
              <w:keepNext/>
              <w:spacing w:line="240" w:lineRule="auto"/>
              <w:contextualSpacing/>
              <w:jc w:val="both"/>
              <w:rPr>
                <w:szCs w:val="22"/>
                <w:lang w:val="sr-Latn-ME"/>
              </w:rPr>
            </w:pPr>
            <w:r w:rsidRPr="00B74B0F">
              <w:rPr>
                <w:szCs w:val="22"/>
                <w:lang w:val="sr-Latn-ME"/>
              </w:rPr>
              <w:t>14</w:t>
            </w:r>
          </w:p>
        </w:tc>
        <w:tc>
          <w:tcPr>
            <w:tcW w:w="603" w:type="dxa"/>
            <w:vAlign w:val="center"/>
          </w:tcPr>
          <w:p w14:paraId="62224336" w14:textId="77777777" w:rsidR="00C61717" w:rsidRPr="00B74B0F" w:rsidRDefault="00906CF8" w:rsidP="00A30C3C">
            <w:pPr>
              <w:keepNext/>
              <w:spacing w:line="240" w:lineRule="auto"/>
              <w:contextualSpacing/>
              <w:jc w:val="both"/>
              <w:rPr>
                <w:szCs w:val="22"/>
                <w:lang w:val="sr-Latn-ME"/>
              </w:rPr>
            </w:pPr>
            <w:r w:rsidRPr="00B74B0F">
              <w:rPr>
                <w:szCs w:val="22"/>
                <w:lang w:val="sr-Latn-ME"/>
              </w:rPr>
              <w:t>43</w:t>
            </w:r>
            <w:r w:rsidRPr="00B74B0F">
              <w:rPr>
                <w:szCs w:val="22"/>
                <w:vertAlign w:val="superscript"/>
                <w:lang w:val="sr-Latn-ME"/>
              </w:rPr>
              <w:t>e</w:t>
            </w:r>
          </w:p>
        </w:tc>
      </w:tr>
      <w:tr w:rsidR="008B14C4" w:rsidRPr="00B74B0F" w14:paraId="7456BCCA" w14:textId="77777777" w:rsidTr="00BE568C">
        <w:trPr>
          <w:cantSplit/>
          <w:trHeight w:val="278"/>
        </w:trPr>
        <w:tc>
          <w:tcPr>
            <w:tcW w:w="988" w:type="dxa"/>
            <w:vAlign w:val="center"/>
          </w:tcPr>
          <w:p w14:paraId="658103C8" w14:textId="77777777" w:rsidR="00C61717" w:rsidRPr="00B74B0F" w:rsidRDefault="00906CF8" w:rsidP="009F5809">
            <w:pPr>
              <w:keepNext/>
              <w:spacing w:line="240" w:lineRule="auto"/>
              <w:contextualSpacing/>
              <w:jc w:val="both"/>
              <w:rPr>
                <w:szCs w:val="22"/>
                <w:lang w:val="sr-Latn-ME"/>
              </w:rPr>
            </w:pPr>
            <w:r w:rsidRPr="00B74B0F">
              <w:rPr>
                <w:szCs w:val="22"/>
                <w:lang w:val="sr-Latn-ME"/>
              </w:rPr>
              <w:t>24</w:t>
            </w:r>
            <w:r w:rsidRPr="00B74B0F">
              <w:rPr>
                <w:szCs w:val="22"/>
                <w:vertAlign w:val="superscript"/>
                <w:lang w:val="sr-Latn-ME"/>
              </w:rPr>
              <w:t>c</w:t>
            </w:r>
            <w:r w:rsidRPr="00B74B0F">
              <w:rPr>
                <w:szCs w:val="22"/>
                <w:lang w:val="sr-Latn-ME"/>
              </w:rPr>
              <w:t>/26</w:t>
            </w:r>
            <w:r w:rsidRPr="00B74B0F">
              <w:rPr>
                <w:szCs w:val="22"/>
                <w:vertAlign w:val="superscript"/>
                <w:lang w:val="sr-Latn-ME"/>
              </w:rPr>
              <w:t>d</w:t>
            </w:r>
          </w:p>
        </w:tc>
        <w:tc>
          <w:tcPr>
            <w:tcW w:w="740" w:type="dxa"/>
            <w:vAlign w:val="center"/>
          </w:tcPr>
          <w:p w14:paraId="217B060C" w14:textId="77777777" w:rsidR="00C61717" w:rsidRPr="00B74B0F" w:rsidRDefault="00906CF8" w:rsidP="00181F44">
            <w:pPr>
              <w:keepNext/>
              <w:spacing w:line="240" w:lineRule="auto"/>
              <w:contextualSpacing/>
              <w:jc w:val="both"/>
              <w:rPr>
                <w:szCs w:val="22"/>
                <w:lang w:val="sr-Latn-ME"/>
              </w:rPr>
            </w:pPr>
            <w:r w:rsidRPr="00B74B0F">
              <w:rPr>
                <w:szCs w:val="22"/>
                <w:lang w:val="sr-Latn-ME"/>
              </w:rPr>
              <w:t>32</w:t>
            </w:r>
          </w:p>
        </w:tc>
        <w:tc>
          <w:tcPr>
            <w:tcW w:w="810" w:type="dxa"/>
            <w:vAlign w:val="center"/>
          </w:tcPr>
          <w:p w14:paraId="07A3AD8A" w14:textId="77777777" w:rsidR="00C61717" w:rsidRPr="00B74B0F" w:rsidRDefault="00906CF8" w:rsidP="005502DD">
            <w:pPr>
              <w:keepNext/>
              <w:spacing w:line="240" w:lineRule="auto"/>
              <w:contextualSpacing/>
              <w:jc w:val="both"/>
              <w:rPr>
                <w:szCs w:val="22"/>
                <w:lang w:val="sr-Latn-ME"/>
              </w:rPr>
            </w:pPr>
            <w:r w:rsidRPr="00B74B0F">
              <w:rPr>
                <w:szCs w:val="22"/>
                <w:lang w:val="sr-Latn-ME"/>
              </w:rPr>
              <w:t>60</w:t>
            </w:r>
            <w:r w:rsidR="00AC3660" w:rsidRPr="00B74B0F">
              <w:rPr>
                <w:szCs w:val="22"/>
                <w:vertAlign w:val="superscript"/>
                <w:lang w:val="sr-Latn-ME"/>
              </w:rPr>
              <w:t>f</w:t>
            </w:r>
          </w:p>
        </w:tc>
        <w:tc>
          <w:tcPr>
            <w:tcW w:w="787" w:type="dxa"/>
            <w:shd w:val="clear" w:color="auto" w:fill="7F7F7F" w:themeFill="text1" w:themeFillTint="80"/>
            <w:vAlign w:val="center"/>
          </w:tcPr>
          <w:p w14:paraId="2D453CEF"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543F6055"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1E5F8FF9" w14:textId="77777777" w:rsidR="00C61717" w:rsidRPr="00B74B0F" w:rsidRDefault="00C61717" w:rsidP="00777B52">
            <w:pPr>
              <w:keepNext/>
              <w:spacing w:line="240" w:lineRule="auto"/>
              <w:contextualSpacing/>
              <w:jc w:val="both"/>
              <w:rPr>
                <w:szCs w:val="22"/>
                <w:lang w:val="sr-Latn-ME"/>
              </w:rPr>
            </w:pPr>
          </w:p>
        </w:tc>
        <w:tc>
          <w:tcPr>
            <w:tcW w:w="900" w:type="dxa"/>
            <w:shd w:val="clear" w:color="auto" w:fill="7F7F7F" w:themeFill="text1" w:themeFillTint="80"/>
            <w:vAlign w:val="center"/>
          </w:tcPr>
          <w:p w14:paraId="5322F6EF"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auto"/>
            <w:vAlign w:val="center"/>
          </w:tcPr>
          <w:p w14:paraId="7F68007E" w14:textId="77777777" w:rsidR="00C61717" w:rsidRPr="00B74B0F" w:rsidRDefault="00906CF8" w:rsidP="005C649D">
            <w:pPr>
              <w:keepNext/>
              <w:spacing w:line="240" w:lineRule="auto"/>
              <w:contextualSpacing/>
              <w:jc w:val="both"/>
              <w:rPr>
                <w:szCs w:val="22"/>
                <w:lang w:val="sr-Latn-ME"/>
              </w:rPr>
            </w:pPr>
            <w:r w:rsidRPr="00B74B0F">
              <w:rPr>
                <w:szCs w:val="22"/>
                <w:lang w:val="sr-Latn-ME"/>
              </w:rPr>
              <w:t>18</w:t>
            </w:r>
          </w:p>
        </w:tc>
        <w:tc>
          <w:tcPr>
            <w:tcW w:w="817" w:type="dxa"/>
            <w:gridSpan w:val="2"/>
            <w:vAlign w:val="center"/>
          </w:tcPr>
          <w:p w14:paraId="53E7E186" w14:textId="77777777" w:rsidR="00C61717" w:rsidRPr="00B74B0F" w:rsidRDefault="00906CF8" w:rsidP="00A30C3C">
            <w:pPr>
              <w:keepNext/>
              <w:spacing w:line="240" w:lineRule="auto"/>
              <w:contextualSpacing/>
              <w:jc w:val="both"/>
              <w:rPr>
                <w:szCs w:val="22"/>
                <w:lang w:val="sr-Latn-ME"/>
              </w:rPr>
            </w:pPr>
            <w:r w:rsidRPr="00B74B0F">
              <w:rPr>
                <w:szCs w:val="22"/>
                <w:lang w:val="sr-Latn-ME"/>
              </w:rPr>
              <w:t>55</w:t>
            </w:r>
            <w:r w:rsidR="006B7EA8" w:rsidRPr="00B74B0F">
              <w:rPr>
                <w:szCs w:val="22"/>
                <w:vertAlign w:val="superscript"/>
                <w:lang w:val="sr-Latn-ME"/>
              </w:rPr>
              <w:t>g</w:t>
            </w:r>
            <w:r w:rsidRPr="00B74B0F">
              <w:rPr>
                <w:szCs w:val="22"/>
                <w:vertAlign w:val="superscript"/>
                <w:lang w:val="sr-Latn-ME"/>
              </w:rPr>
              <w:t>,h</w:t>
            </w:r>
          </w:p>
        </w:tc>
        <w:tc>
          <w:tcPr>
            <w:tcW w:w="803" w:type="dxa"/>
            <w:vAlign w:val="center"/>
          </w:tcPr>
          <w:p w14:paraId="01C3C659" w14:textId="77777777" w:rsidR="00C61717" w:rsidRPr="00B74B0F" w:rsidRDefault="00906CF8" w:rsidP="00A30C3C">
            <w:pPr>
              <w:keepNext/>
              <w:spacing w:line="240" w:lineRule="auto"/>
              <w:contextualSpacing/>
              <w:jc w:val="both"/>
              <w:rPr>
                <w:szCs w:val="22"/>
                <w:lang w:val="sr-Latn-ME"/>
              </w:rPr>
            </w:pPr>
            <w:r w:rsidRPr="00B74B0F">
              <w:rPr>
                <w:szCs w:val="22"/>
                <w:lang w:val="sr-Latn-ME"/>
              </w:rPr>
              <w:t>39</w:t>
            </w:r>
          </w:p>
        </w:tc>
        <w:tc>
          <w:tcPr>
            <w:tcW w:w="720" w:type="dxa"/>
            <w:gridSpan w:val="2"/>
            <w:shd w:val="clear" w:color="auto" w:fill="7F7F7F" w:themeFill="text1" w:themeFillTint="80"/>
            <w:vAlign w:val="center"/>
          </w:tcPr>
          <w:p w14:paraId="4E9CF0B0" w14:textId="77777777" w:rsidR="00C61717" w:rsidRPr="00B74B0F" w:rsidRDefault="00C61717" w:rsidP="00A30C3C">
            <w:pPr>
              <w:keepNext/>
              <w:spacing w:line="240" w:lineRule="auto"/>
              <w:contextualSpacing/>
              <w:jc w:val="both"/>
              <w:rPr>
                <w:szCs w:val="22"/>
                <w:lang w:val="sr-Latn-ME"/>
              </w:rPr>
            </w:pPr>
          </w:p>
        </w:tc>
        <w:tc>
          <w:tcPr>
            <w:tcW w:w="603" w:type="dxa"/>
            <w:shd w:val="clear" w:color="auto" w:fill="7F7F7F" w:themeFill="text1" w:themeFillTint="80"/>
            <w:vAlign w:val="center"/>
          </w:tcPr>
          <w:p w14:paraId="75CA7E28" w14:textId="77777777" w:rsidR="00C61717" w:rsidRPr="00B74B0F" w:rsidRDefault="00C61717" w:rsidP="00A30C3C">
            <w:pPr>
              <w:keepNext/>
              <w:spacing w:line="240" w:lineRule="auto"/>
              <w:contextualSpacing/>
              <w:jc w:val="both"/>
              <w:rPr>
                <w:szCs w:val="22"/>
                <w:lang w:val="sr-Latn-ME"/>
              </w:rPr>
            </w:pPr>
          </w:p>
        </w:tc>
      </w:tr>
      <w:tr w:rsidR="008B14C4" w:rsidRPr="00B74B0F" w14:paraId="572BAA5D" w14:textId="77777777" w:rsidTr="00BE568C">
        <w:trPr>
          <w:cantSplit/>
          <w:trHeight w:val="278"/>
        </w:trPr>
        <w:tc>
          <w:tcPr>
            <w:tcW w:w="988" w:type="dxa"/>
            <w:vAlign w:val="center"/>
          </w:tcPr>
          <w:p w14:paraId="3E957FC1" w14:textId="77777777" w:rsidR="00C61717" w:rsidRPr="00B74B0F" w:rsidRDefault="00906CF8" w:rsidP="009F5809">
            <w:pPr>
              <w:keepNext/>
              <w:spacing w:line="240" w:lineRule="auto"/>
              <w:contextualSpacing/>
              <w:jc w:val="both"/>
              <w:rPr>
                <w:szCs w:val="22"/>
                <w:lang w:val="sr-Latn-ME"/>
              </w:rPr>
            </w:pPr>
            <w:r w:rsidRPr="00B74B0F">
              <w:rPr>
                <w:szCs w:val="22"/>
                <w:lang w:val="sr-Latn-ME"/>
              </w:rPr>
              <w:t>48</w:t>
            </w:r>
          </w:p>
        </w:tc>
        <w:tc>
          <w:tcPr>
            <w:tcW w:w="740" w:type="dxa"/>
            <w:vAlign w:val="center"/>
          </w:tcPr>
          <w:p w14:paraId="0852D806" w14:textId="77777777" w:rsidR="00C61717" w:rsidRPr="00B74B0F" w:rsidRDefault="00906CF8" w:rsidP="00181F44">
            <w:pPr>
              <w:keepNext/>
              <w:spacing w:line="240" w:lineRule="auto"/>
              <w:contextualSpacing/>
              <w:jc w:val="both"/>
              <w:rPr>
                <w:szCs w:val="22"/>
                <w:lang w:val="sr-Latn-ME"/>
              </w:rPr>
            </w:pPr>
            <w:r w:rsidRPr="00B74B0F">
              <w:rPr>
                <w:szCs w:val="22"/>
                <w:lang w:val="sr-Latn-ME"/>
              </w:rPr>
              <w:t>39</w:t>
            </w:r>
          </w:p>
        </w:tc>
        <w:tc>
          <w:tcPr>
            <w:tcW w:w="810" w:type="dxa"/>
            <w:vAlign w:val="center"/>
          </w:tcPr>
          <w:p w14:paraId="6D36078A" w14:textId="77777777" w:rsidR="00C61717" w:rsidRPr="00B74B0F" w:rsidRDefault="00906CF8" w:rsidP="005502DD">
            <w:pPr>
              <w:keepNext/>
              <w:spacing w:line="240" w:lineRule="auto"/>
              <w:contextualSpacing/>
              <w:jc w:val="both"/>
              <w:rPr>
                <w:szCs w:val="22"/>
                <w:lang w:val="sr-Latn-ME"/>
              </w:rPr>
            </w:pPr>
            <w:r w:rsidRPr="00B74B0F">
              <w:rPr>
                <w:szCs w:val="22"/>
                <w:lang w:val="sr-Latn-ME"/>
              </w:rPr>
              <w:t>59</w:t>
            </w:r>
            <w:r w:rsidR="00AC3660" w:rsidRPr="00B74B0F">
              <w:rPr>
                <w:szCs w:val="22"/>
                <w:vertAlign w:val="superscript"/>
                <w:lang w:val="sr-Latn-ME"/>
              </w:rPr>
              <w:t>g</w:t>
            </w:r>
          </w:p>
        </w:tc>
        <w:tc>
          <w:tcPr>
            <w:tcW w:w="787" w:type="dxa"/>
            <w:shd w:val="clear" w:color="auto" w:fill="7F7F7F" w:themeFill="text1" w:themeFillTint="80"/>
            <w:vAlign w:val="center"/>
          </w:tcPr>
          <w:p w14:paraId="4CCC1D29"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4D879A9D"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66436860" w14:textId="77777777" w:rsidR="00C61717" w:rsidRPr="00B74B0F" w:rsidRDefault="00C61717" w:rsidP="00777B52">
            <w:pPr>
              <w:keepNext/>
              <w:spacing w:line="240" w:lineRule="auto"/>
              <w:contextualSpacing/>
              <w:jc w:val="both"/>
              <w:rPr>
                <w:szCs w:val="22"/>
                <w:lang w:val="sr-Latn-ME"/>
              </w:rPr>
            </w:pPr>
          </w:p>
        </w:tc>
        <w:tc>
          <w:tcPr>
            <w:tcW w:w="900" w:type="dxa"/>
            <w:shd w:val="clear" w:color="auto" w:fill="7F7F7F" w:themeFill="text1" w:themeFillTint="80"/>
            <w:vAlign w:val="center"/>
          </w:tcPr>
          <w:p w14:paraId="430827EE"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7F7F7F" w:themeFill="text1" w:themeFillTint="80"/>
            <w:vAlign w:val="center"/>
          </w:tcPr>
          <w:p w14:paraId="2AF0B55F" w14:textId="77777777" w:rsidR="00C61717" w:rsidRPr="00B74B0F" w:rsidRDefault="00C61717" w:rsidP="005C649D">
            <w:pPr>
              <w:keepNext/>
              <w:spacing w:line="240" w:lineRule="auto"/>
              <w:contextualSpacing/>
              <w:jc w:val="both"/>
              <w:rPr>
                <w:szCs w:val="22"/>
                <w:lang w:val="sr-Latn-ME"/>
              </w:rPr>
            </w:pPr>
          </w:p>
        </w:tc>
        <w:tc>
          <w:tcPr>
            <w:tcW w:w="817" w:type="dxa"/>
            <w:gridSpan w:val="2"/>
            <w:vAlign w:val="center"/>
          </w:tcPr>
          <w:p w14:paraId="6F6AC42B" w14:textId="77777777" w:rsidR="00C61717" w:rsidRPr="00B74B0F" w:rsidRDefault="00906CF8" w:rsidP="00A30C3C">
            <w:pPr>
              <w:keepNext/>
              <w:spacing w:line="240" w:lineRule="auto"/>
              <w:contextualSpacing/>
              <w:jc w:val="both"/>
              <w:rPr>
                <w:szCs w:val="22"/>
                <w:lang w:val="sr-Latn-ME"/>
              </w:rPr>
            </w:pPr>
            <w:r w:rsidRPr="00B74B0F">
              <w:rPr>
                <w:szCs w:val="22"/>
                <w:lang w:val="sr-Latn-ME"/>
              </w:rPr>
              <w:t>50</w:t>
            </w:r>
            <w:r w:rsidRPr="00B74B0F">
              <w:rPr>
                <w:szCs w:val="22"/>
                <w:vertAlign w:val="superscript"/>
                <w:lang w:val="sr-Latn-ME"/>
              </w:rPr>
              <w:t>h</w:t>
            </w:r>
          </w:p>
        </w:tc>
        <w:tc>
          <w:tcPr>
            <w:tcW w:w="803" w:type="dxa"/>
            <w:vAlign w:val="center"/>
          </w:tcPr>
          <w:p w14:paraId="6DF48A79" w14:textId="77777777" w:rsidR="00C61717" w:rsidRPr="00B74B0F" w:rsidRDefault="00906CF8" w:rsidP="00A30C3C">
            <w:pPr>
              <w:keepNext/>
              <w:spacing w:line="240" w:lineRule="auto"/>
              <w:contextualSpacing/>
              <w:jc w:val="both"/>
              <w:rPr>
                <w:szCs w:val="22"/>
                <w:lang w:val="sr-Latn-ME"/>
              </w:rPr>
            </w:pPr>
            <w:r w:rsidRPr="00B74B0F">
              <w:rPr>
                <w:szCs w:val="22"/>
                <w:lang w:val="sr-Latn-ME"/>
              </w:rPr>
              <w:t>35</w:t>
            </w:r>
          </w:p>
        </w:tc>
        <w:tc>
          <w:tcPr>
            <w:tcW w:w="720" w:type="dxa"/>
            <w:gridSpan w:val="2"/>
            <w:shd w:val="clear" w:color="auto" w:fill="7F7F7F" w:themeFill="text1" w:themeFillTint="80"/>
            <w:vAlign w:val="center"/>
          </w:tcPr>
          <w:p w14:paraId="597130AD" w14:textId="77777777" w:rsidR="00C61717" w:rsidRPr="00B74B0F" w:rsidRDefault="00C61717" w:rsidP="00A30C3C">
            <w:pPr>
              <w:keepNext/>
              <w:spacing w:line="240" w:lineRule="auto"/>
              <w:contextualSpacing/>
              <w:jc w:val="both"/>
              <w:rPr>
                <w:szCs w:val="22"/>
                <w:lang w:val="sr-Latn-ME"/>
              </w:rPr>
            </w:pPr>
          </w:p>
        </w:tc>
        <w:tc>
          <w:tcPr>
            <w:tcW w:w="603" w:type="dxa"/>
            <w:shd w:val="clear" w:color="auto" w:fill="7F7F7F" w:themeFill="text1" w:themeFillTint="80"/>
            <w:vAlign w:val="center"/>
          </w:tcPr>
          <w:p w14:paraId="66654C44" w14:textId="77777777" w:rsidR="00C61717" w:rsidRPr="00B74B0F" w:rsidRDefault="00C61717" w:rsidP="00A30C3C">
            <w:pPr>
              <w:keepNext/>
              <w:spacing w:line="240" w:lineRule="auto"/>
              <w:contextualSpacing/>
              <w:jc w:val="both"/>
              <w:rPr>
                <w:szCs w:val="22"/>
                <w:lang w:val="sr-Latn-ME"/>
              </w:rPr>
            </w:pPr>
          </w:p>
        </w:tc>
      </w:tr>
      <w:tr w:rsidR="003A2D26" w:rsidRPr="00B74B0F" w14:paraId="71CB076F" w14:textId="77777777" w:rsidTr="00200D71">
        <w:trPr>
          <w:cantSplit/>
          <w:trHeight w:val="278"/>
        </w:trPr>
        <w:tc>
          <w:tcPr>
            <w:tcW w:w="9351" w:type="dxa"/>
            <w:gridSpan w:val="14"/>
            <w:vAlign w:val="center"/>
          </w:tcPr>
          <w:p w14:paraId="41338D93" w14:textId="12A146D6" w:rsidR="00C61717" w:rsidRPr="00B74B0F" w:rsidRDefault="00906CF8" w:rsidP="00777B52">
            <w:pPr>
              <w:keepNext/>
              <w:spacing w:line="240" w:lineRule="auto"/>
              <w:contextualSpacing/>
              <w:jc w:val="center"/>
              <w:rPr>
                <w:szCs w:val="22"/>
                <w:lang w:val="sr-Latn-ME"/>
              </w:rPr>
            </w:pPr>
            <w:r w:rsidRPr="00B74B0F">
              <w:rPr>
                <w:b/>
                <w:szCs w:val="22"/>
                <w:lang w:val="sr-Latn-ME"/>
              </w:rPr>
              <w:t>Klinička remisija: DAS28</w:t>
            </w:r>
            <w:r w:rsidRPr="00B74B0F">
              <w:rPr>
                <w:b/>
                <w:szCs w:val="22"/>
                <w:lang w:val="sr-Latn-ME"/>
              </w:rPr>
              <w:noBreakHyphen/>
              <w:t xml:space="preserve">CRP &lt; 2,6 (% </w:t>
            </w:r>
            <w:r w:rsidR="00BB59FC" w:rsidRPr="00B74B0F">
              <w:rPr>
                <w:b/>
                <w:szCs w:val="22"/>
                <w:lang w:val="sr-Latn-ME"/>
              </w:rPr>
              <w:t>pacijenata</w:t>
            </w:r>
            <w:r w:rsidRPr="00B74B0F">
              <w:rPr>
                <w:b/>
                <w:szCs w:val="22"/>
                <w:lang w:val="sr-Latn-ME"/>
              </w:rPr>
              <w:t>)</w:t>
            </w:r>
          </w:p>
        </w:tc>
      </w:tr>
      <w:tr w:rsidR="003A2D26" w:rsidRPr="00B74B0F" w14:paraId="5726BD1F" w14:textId="77777777" w:rsidTr="00BE568C">
        <w:trPr>
          <w:cantSplit/>
          <w:trHeight w:val="278"/>
        </w:trPr>
        <w:tc>
          <w:tcPr>
            <w:tcW w:w="988" w:type="dxa"/>
            <w:vAlign w:val="center"/>
          </w:tcPr>
          <w:p w14:paraId="14E90EA9" w14:textId="77777777" w:rsidR="00C61717" w:rsidRPr="00B74B0F" w:rsidRDefault="00906CF8" w:rsidP="009F5809">
            <w:pPr>
              <w:keepNext/>
              <w:spacing w:line="240" w:lineRule="auto"/>
              <w:contextualSpacing/>
              <w:jc w:val="both"/>
              <w:rPr>
                <w:szCs w:val="22"/>
                <w:lang w:val="sr-Latn-ME"/>
              </w:rPr>
            </w:pPr>
            <w:r w:rsidRPr="00B74B0F">
              <w:rPr>
                <w:szCs w:val="22"/>
                <w:lang w:val="sr-Latn-ME"/>
              </w:rPr>
              <w:t>12</w:t>
            </w:r>
            <w:r w:rsidRPr="00B74B0F">
              <w:rPr>
                <w:szCs w:val="22"/>
                <w:vertAlign w:val="superscript"/>
                <w:lang w:val="sr-Latn-ME"/>
              </w:rPr>
              <w:t>a</w:t>
            </w:r>
            <w:r w:rsidRPr="00B74B0F">
              <w:rPr>
                <w:szCs w:val="22"/>
                <w:lang w:val="sr-Latn-ME"/>
              </w:rPr>
              <w:t>/14</w:t>
            </w:r>
            <w:r w:rsidRPr="00B74B0F">
              <w:rPr>
                <w:szCs w:val="22"/>
                <w:vertAlign w:val="superscript"/>
                <w:lang w:val="sr-Latn-ME"/>
              </w:rPr>
              <w:t>b</w:t>
            </w:r>
          </w:p>
        </w:tc>
        <w:tc>
          <w:tcPr>
            <w:tcW w:w="740" w:type="dxa"/>
            <w:vAlign w:val="center"/>
          </w:tcPr>
          <w:p w14:paraId="4BE41B12" w14:textId="77777777" w:rsidR="00C61717" w:rsidRPr="00B74B0F" w:rsidRDefault="00906CF8" w:rsidP="00181F44">
            <w:pPr>
              <w:keepNext/>
              <w:spacing w:line="240" w:lineRule="auto"/>
              <w:contextualSpacing/>
              <w:jc w:val="both"/>
              <w:rPr>
                <w:szCs w:val="22"/>
                <w:lang w:val="sr-Latn-ME"/>
              </w:rPr>
            </w:pPr>
            <w:r w:rsidRPr="00B74B0F">
              <w:rPr>
                <w:szCs w:val="22"/>
                <w:lang w:val="sr-Latn-ME"/>
              </w:rPr>
              <w:t>14</w:t>
            </w:r>
          </w:p>
        </w:tc>
        <w:tc>
          <w:tcPr>
            <w:tcW w:w="810" w:type="dxa"/>
            <w:vAlign w:val="center"/>
          </w:tcPr>
          <w:p w14:paraId="08EF6BCB" w14:textId="77777777" w:rsidR="00C61717" w:rsidRPr="00B74B0F" w:rsidRDefault="00906CF8" w:rsidP="005502DD">
            <w:pPr>
              <w:keepNext/>
              <w:spacing w:line="240" w:lineRule="auto"/>
              <w:contextualSpacing/>
              <w:jc w:val="both"/>
              <w:rPr>
                <w:szCs w:val="22"/>
                <w:lang w:val="sr-Latn-ME"/>
              </w:rPr>
            </w:pPr>
            <w:r w:rsidRPr="00B74B0F">
              <w:rPr>
                <w:szCs w:val="22"/>
                <w:lang w:val="sr-Latn-ME"/>
              </w:rPr>
              <w:t>36</w:t>
            </w:r>
            <w:r w:rsidR="00AC3660" w:rsidRPr="00B74B0F">
              <w:rPr>
                <w:szCs w:val="22"/>
                <w:vertAlign w:val="superscript"/>
                <w:lang w:val="sr-Latn-ME"/>
              </w:rPr>
              <w:t>g</w:t>
            </w:r>
          </w:p>
        </w:tc>
        <w:tc>
          <w:tcPr>
            <w:tcW w:w="787" w:type="dxa"/>
            <w:vAlign w:val="center"/>
          </w:tcPr>
          <w:p w14:paraId="6406ED96" w14:textId="77777777" w:rsidR="00C61717" w:rsidRPr="00B74B0F" w:rsidRDefault="00906CF8" w:rsidP="00585915">
            <w:pPr>
              <w:keepNext/>
              <w:spacing w:line="240" w:lineRule="auto"/>
              <w:contextualSpacing/>
              <w:jc w:val="both"/>
              <w:rPr>
                <w:szCs w:val="22"/>
                <w:lang w:val="sr-Latn-ME"/>
              </w:rPr>
            </w:pPr>
            <w:r w:rsidRPr="00B74B0F">
              <w:rPr>
                <w:szCs w:val="22"/>
                <w:lang w:val="sr-Latn-ME"/>
              </w:rPr>
              <w:t>8</w:t>
            </w:r>
          </w:p>
        </w:tc>
        <w:tc>
          <w:tcPr>
            <w:tcW w:w="833" w:type="dxa"/>
            <w:vAlign w:val="center"/>
          </w:tcPr>
          <w:p w14:paraId="78D57F16" w14:textId="77777777" w:rsidR="00C61717" w:rsidRPr="00B74B0F" w:rsidRDefault="00906CF8" w:rsidP="002602C0">
            <w:pPr>
              <w:keepNext/>
              <w:spacing w:line="240" w:lineRule="auto"/>
              <w:contextualSpacing/>
              <w:jc w:val="both"/>
              <w:rPr>
                <w:szCs w:val="22"/>
                <w:lang w:val="sr-Latn-ME"/>
              </w:rPr>
            </w:pPr>
            <w:r w:rsidRPr="00B74B0F">
              <w:rPr>
                <w:szCs w:val="22"/>
                <w:lang w:val="sr-Latn-ME"/>
              </w:rPr>
              <w:t>28</w:t>
            </w:r>
            <w:r w:rsidRPr="00B74B0F">
              <w:rPr>
                <w:szCs w:val="22"/>
                <w:vertAlign w:val="superscript"/>
                <w:lang w:val="sr-Latn-ME"/>
              </w:rPr>
              <w:t>e</w:t>
            </w:r>
          </w:p>
        </w:tc>
        <w:tc>
          <w:tcPr>
            <w:tcW w:w="720" w:type="dxa"/>
            <w:vAlign w:val="center"/>
          </w:tcPr>
          <w:p w14:paraId="317968E7" w14:textId="77777777" w:rsidR="00C61717" w:rsidRPr="00B74B0F" w:rsidRDefault="00906CF8" w:rsidP="00777B52">
            <w:pPr>
              <w:keepNext/>
              <w:spacing w:line="240" w:lineRule="auto"/>
              <w:contextualSpacing/>
              <w:jc w:val="both"/>
              <w:rPr>
                <w:szCs w:val="22"/>
                <w:lang w:val="sr-Latn-ME"/>
              </w:rPr>
            </w:pPr>
            <w:r w:rsidRPr="00B74B0F">
              <w:rPr>
                <w:szCs w:val="22"/>
                <w:lang w:val="sr-Latn-ME"/>
              </w:rPr>
              <w:t>10</w:t>
            </w:r>
          </w:p>
        </w:tc>
        <w:tc>
          <w:tcPr>
            <w:tcW w:w="877" w:type="dxa"/>
            <w:vAlign w:val="center"/>
          </w:tcPr>
          <w:p w14:paraId="19BA2DC7" w14:textId="77777777" w:rsidR="00C61717" w:rsidRPr="00B74B0F" w:rsidRDefault="00906CF8" w:rsidP="00343D6C">
            <w:pPr>
              <w:keepNext/>
              <w:spacing w:line="240" w:lineRule="auto"/>
              <w:contextualSpacing/>
              <w:jc w:val="both"/>
              <w:rPr>
                <w:szCs w:val="22"/>
                <w:lang w:val="sr-Latn-ME"/>
              </w:rPr>
            </w:pPr>
            <w:r w:rsidRPr="00B74B0F">
              <w:rPr>
                <w:szCs w:val="22"/>
                <w:lang w:val="sr-Latn-ME"/>
              </w:rPr>
              <w:t>31</w:t>
            </w:r>
            <w:r w:rsidRPr="00B74B0F">
              <w:rPr>
                <w:szCs w:val="22"/>
                <w:vertAlign w:val="superscript"/>
                <w:lang w:val="sr-Latn-ME"/>
              </w:rPr>
              <w:t>e</w:t>
            </w:r>
          </w:p>
        </w:tc>
        <w:tc>
          <w:tcPr>
            <w:tcW w:w="630" w:type="dxa"/>
            <w:vAlign w:val="center"/>
          </w:tcPr>
          <w:p w14:paraId="167AE631" w14:textId="77777777" w:rsidR="00C61717" w:rsidRPr="00B74B0F" w:rsidRDefault="00906CF8" w:rsidP="005C649D">
            <w:pPr>
              <w:keepNext/>
              <w:spacing w:line="240" w:lineRule="auto"/>
              <w:contextualSpacing/>
              <w:jc w:val="both"/>
              <w:rPr>
                <w:szCs w:val="22"/>
                <w:lang w:val="sr-Latn-ME"/>
              </w:rPr>
            </w:pPr>
            <w:r w:rsidRPr="00B74B0F">
              <w:rPr>
                <w:szCs w:val="22"/>
                <w:lang w:val="sr-Latn-ME"/>
              </w:rPr>
              <w:t>6</w:t>
            </w:r>
          </w:p>
        </w:tc>
        <w:tc>
          <w:tcPr>
            <w:tcW w:w="840" w:type="dxa"/>
            <w:gridSpan w:val="2"/>
            <w:vAlign w:val="center"/>
          </w:tcPr>
          <w:p w14:paraId="03DD9070" w14:textId="77777777" w:rsidR="00C61717" w:rsidRPr="00B74B0F" w:rsidRDefault="00906CF8" w:rsidP="00A30C3C">
            <w:pPr>
              <w:keepNext/>
              <w:spacing w:line="240" w:lineRule="auto"/>
              <w:contextualSpacing/>
              <w:jc w:val="both"/>
              <w:rPr>
                <w:szCs w:val="22"/>
                <w:lang w:val="sr-Latn-ME"/>
              </w:rPr>
            </w:pPr>
            <w:r w:rsidRPr="00B74B0F">
              <w:rPr>
                <w:szCs w:val="22"/>
                <w:lang w:val="sr-Latn-ME"/>
              </w:rPr>
              <w:t>29</w:t>
            </w:r>
            <w:r w:rsidRPr="00B74B0F">
              <w:rPr>
                <w:szCs w:val="22"/>
                <w:vertAlign w:val="superscript"/>
                <w:lang w:val="sr-Latn-ME"/>
              </w:rPr>
              <w:t>e,h</w:t>
            </w:r>
          </w:p>
        </w:tc>
        <w:tc>
          <w:tcPr>
            <w:tcW w:w="803" w:type="dxa"/>
            <w:vAlign w:val="center"/>
          </w:tcPr>
          <w:p w14:paraId="65FAD9B9" w14:textId="77777777" w:rsidR="00C61717" w:rsidRPr="00B74B0F" w:rsidRDefault="00906CF8" w:rsidP="00A30C3C">
            <w:pPr>
              <w:keepNext/>
              <w:spacing w:line="240" w:lineRule="auto"/>
              <w:contextualSpacing/>
              <w:jc w:val="both"/>
              <w:rPr>
                <w:szCs w:val="22"/>
                <w:lang w:val="sr-Latn-ME"/>
              </w:rPr>
            </w:pPr>
            <w:r w:rsidRPr="00B74B0F">
              <w:rPr>
                <w:szCs w:val="22"/>
                <w:lang w:val="sr-Latn-ME"/>
              </w:rPr>
              <w:t>18</w:t>
            </w:r>
          </w:p>
        </w:tc>
        <w:tc>
          <w:tcPr>
            <w:tcW w:w="607" w:type="dxa"/>
            <w:vAlign w:val="center"/>
          </w:tcPr>
          <w:p w14:paraId="637F8185" w14:textId="77777777" w:rsidR="00C61717" w:rsidRPr="00B74B0F" w:rsidRDefault="00906CF8" w:rsidP="00A30C3C">
            <w:pPr>
              <w:keepNext/>
              <w:spacing w:line="240" w:lineRule="auto"/>
              <w:contextualSpacing/>
              <w:jc w:val="both"/>
              <w:rPr>
                <w:szCs w:val="22"/>
                <w:lang w:val="sr-Latn-ME"/>
              </w:rPr>
            </w:pPr>
            <w:r w:rsidRPr="00B74B0F">
              <w:rPr>
                <w:szCs w:val="22"/>
                <w:lang w:val="sr-Latn-ME"/>
              </w:rPr>
              <w:t>9</w:t>
            </w:r>
          </w:p>
        </w:tc>
        <w:tc>
          <w:tcPr>
            <w:tcW w:w="716" w:type="dxa"/>
            <w:gridSpan w:val="2"/>
            <w:vAlign w:val="center"/>
          </w:tcPr>
          <w:p w14:paraId="2D98BA10" w14:textId="77777777" w:rsidR="00C61717" w:rsidRPr="00B74B0F" w:rsidRDefault="00906CF8" w:rsidP="00A30C3C">
            <w:pPr>
              <w:keepNext/>
              <w:spacing w:line="240" w:lineRule="auto"/>
              <w:contextualSpacing/>
              <w:jc w:val="both"/>
              <w:rPr>
                <w:szCs w:val="22"/>
                <w:lang w:val="sr-Latn-ME"/>
              </w:rPr>
            </w:pPr>
            <w:r w:rsidRPr="00B74B0F">
              <w:rPr>
                <w:szCs w:val="22"/>
                <w:lang w:val="sr-Latn-ME"/>
              </w:rPr>
              <w:t>29</w:t>
            </w:r>
            <w:r w:rsidR="006B7EA8" w:rsidRPr="00B74B0F">
              <w:rPr>
                <w:szCs w:val="22"/>
                <w:vertAlign w:val="superscript"/>
                <w:lang w:val="sr-Latn-ME"/>
              </w:rPr>
              <w:t>g</w:t>
            </w:r>
          </w:p>
        </w:tc>
      </w:tr>
      <w:tr w:rsidR="008B14C4" w:rsidRPr="00B74B0F" w14:paraId="56795222" w14:textId="77777777" w:rsidTr="00BE568C">
        <w:trPr>
          <w:cantSplit/>
          <w:trHeight w:val="278"/>
        </w:trPr>
        <w:tc>
          <w:tcPr>
            <w:tcW w:w="988" w:type="dxa"/>
            <w:vAlign w:val="center"/>
          </w:tcPr>
          <w:p w14:paraId="043228C7" w14:textId="77777777" w:rsidR="00C61717" w:rsidRPr="00B74B0F" w:rsidRDefault="00906CF8" w:rsidP="009F5809">
            <w:pPr>
              <w:keepNext/>
              <w:spacing w:line="240" w:lineRule="auto"/>
              <w:contextualSpacing/>
              <w:jc w:val="both"/>
              <w:rPr>
                <w:szCs w:val="22"/>
                <w:lang w:val="sr-Latn-ME"/>
              </w:rPr>
            </w:pPr>
            <w:r w:rsidRPr="00B74B0F">
              <w:rPr>
                <w:szCs w:val="22"/>
                <w:lang w:val="sr-Latn-ME"/>
              </w:rPr>
              <w:t>24</w:t>
            </w:r>
            <w:r w:rsidRPr="00B74B0F">
              <w:rPr>
                <w:szCs w:val="22"/>
                <w:vertAlign w:val="superscript"/>
                <w:lang w:val="sr-Latn-ME"/>
              </w:rPr>
              <w:t>c</w:t>
            </w:r>
            <w:r w:rsidRPr="00B74B0F">
              <w:rPr>
                <w:szCs w:val="22"/>
                <w:lang w:val="sr-Latn-ME"/>
              </w:rPr>
              <w:t>/26</w:t>
            </w:r>
            <w:r w:rsidRPr="00B74B0F">
              <w:rPr>
                <w:szCs w:val="22"/>
                <w:vertAlign w:val="superscript"/>
                <w:lang w:val="sr-Latn-ME"/>
              </w:rPr>
              <w:t>d</w:t>
            </w:r>
          </w:p>
        </w:tc>
        <w:tc>
          <w:tcPr>
            <w:tcW w:w="740" w:type="dxa"/>
            <w:vAlign w:val="center"/>
          </w:tcPr>
          <w:p w14:paraId="13531DF5" w14:textId="77777777" w:rsidR="00C61717" w:rsidRPr="00B74B0F" w:rsidRDefault="00906CF8" w:rsidP="00181F44">
            <w:pPr>
              <w:keepNext/>
              <w:spacing w:line="240" w:lineRule="auto"/>
              <w:contextualSpacing/>
              <w:jc w:val="both"/>
              <w:rPr>
                <w:szCs w:val="22"/>
                <w:lang w:val="sr-Latn-ME"/>
              </w:rPr>
            </w:pPr>
            <w:r w:rsidRPr="00B74B0F">
              <w:rPr>
                <w:szCs w:val="22"/>
                <w:lang w:val="sr-Latn-ME"/>
              </w:rPr>
              <w:t>18</w:t>
            </w:r>
          </w:p>
        </w:tc>
        <w:tc>
          <w:tcPr>
            <w:tcW w:w="810" w:type="dxa"/>
            <w:vAlign w:val="center"/>
          </w:tcPr>
          <w:p w14:paraId="76B0F44D" w14:textId="77777777" w:rsidR="00C61717" w:rsidRPr="00B74B0F" w:rsidRDefault="00906CF8" w:rsidP="005502DD">
            <w:pPr>
              <w:keepNext/>
              <w:spacing w:line="240" w:lineRule="auto"/>
              <w:contextualSpacing/>
              <w:jc w:val="both"/>
              <w:rPr>
                <w:szCs w:val="22"/>
                <w:lang w:val="sr-Latn-ME"/>
              </w:rPr>
            </w:pPr>
            <w:r w:rsidRPr="00B74B0F">
              <w:rPr>
                <w:szCs w:val="22"/>
                <w:lang w:val="sr-Latn-ME"/>
              </w:rPr>
              <w:t>48</w:t>
            </w:r>
            <w:r w:rsidR="00AC3660" w:rsidRPr="00B74B0F">
              <w:rPr>
                <w:szCs w:val="22"/>
                <w:vertAlign w:val="superscript"/>
                <w:lang w:val="sr-Latn-ME"/>
              </w:rPr>
              <w:t>e</w:t>
            </w:r>
          </w:p>
        </w:tc>
        <w:tc>
          <w:tcPr>
            <w:tcW w:w="787" w:type="dxa"/>
            <w:shd w:val="clear" w:color="auto" w:fill="7F7F7F" w:themeFill="text1" w:themeFillTint="80"/>
            <w:vAlign w:val="center"/>
          </w:tcPr>
          <w:p w14:paraId="7D9925EE"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77511451"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7C85672D"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24D41E03"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auto"/>
            <w:vAlign w:val="center"/>
          </w:tcPr>
          <w:p w14:paraId="78902BE2" w14:textId="77777777" w:rsidR="00C61717" w:rsidRPr="00B74B0F" w:rsidRDefault="00906CF8" w:rsidP="005C649D">
            <w:pPr>
              <w:keepNext/>
              <w:spacing w:line="240" w:lineRule="auto"/>
              <w:contextualSpacing/>
              <w:jc w:val="both"/>
              <w:rPr>
                <w:szCs w:val="22"/>
                <w:lang w:val="sr-Latn-ME"/>
              </w:rPr>
            </w:pPr>
            <w:r w:rsidRPr="00B74B0F">
              <w:rPr>
                <w:szCs w:val="22"/>
                <w:lang w:val="sr-Latn-ME"/>
              </w:rPr>
              <w:t>9</w:t>
            </w:r>
          </w:p>
        </w:tc>
        <w:tc>
          <w:tcPr>
            <w:tcW w:w="840" w:type="dxa"/>
            <w:gridSpan w:val="2"/>
            <w:vAlign w:val="center"/>
          </w:tcPr>
          <w:p w14:paraId="4DF0724A" w14:textId="77777777" w:rsidR="00C61717" w:rsidRPr="00B74B0F" w:rsidRDefault="00906CF8" w:rsidP="00A30C3C">
            <w:pPr>
              <w:keepNext/>
              <w:spacing w:line="240" w:lineRule="auto"/>
              <w:contextualSpacing/>
              <w:jc w:val="both"/>
              <w:rPr>
                <w:szCs w:val="22"/>
                <w:lang w:val="sr-Latn-ME"/>
              </w:rPr>
            </w:pPr>
            <w:r w:rsidRPr="00B74B0F">
              <w:rPr>
                <w:szCs w:val="22"/>
                <w:lang w:val="sr-Latn-ME"/>
              </w:rPr>
              <w:t>41</w:t>
            </w:r>
            <w:r w:rsidR="006B7EA8" w:rsidRPr="00B74B0F">
              <w:rPr>
                <w:szCs w:val="22"/>
                <w:vertAlign w:val="superscript"/>
                <w:lang w:val="sr-Latn-ME"/>
              </w:rPr>
              <w:t>g</w:t>
            </w:r>
            <w:r w:rsidRPr="00B74B0F">
              <w:rPr>
                <w:szCs w:val="22"/>
                <w:vertAlign w:val="superscript"/>
                <w:lang w:val="sr-Latn-ME"/>
              </w:rPr>
              <w:t>,h</w:t>
            </w:r>
          </w:p>
        </w:tc>
        <w:tc>
          <w:tcPr>
            <w:tcW w:w="803" w:type="dxa"/>
            <w:vAlign w:val="center"/>
          </w:tcPr>
          <w:p w14:paraId="1C5D5E05" w14:textId="77777777" w:rsidR="00C61717" w:rsidRPr="00B74B0F" w:rsidRDefault="00906CF8" w:rsidP="00A30C3C">
            <w:pPr>
              <w:keepNext/>
              <w:spacing w:line="240" w:lineRule="auto"/>
              <w:contextualSpacing/>
              <w:jc w:val="both"/>
              <w:rPr>
                <w:szCs w:val="22"/>
                <w:lang w:val="sr-Latn-ME"/>
              </w:rPr>
            </w:pPr>
            <w:r w:rsidRPr="00B74B0F">
              <w:rPr>
                <w:szCs w:val="22"/>
                <w:lang w:val="sr-Latn-ME"/>
              </w:rPr>
              <w:t>27</w:t>
            </w:r>
          </w:p>
        </w:tc>
        <w:tc>
          <w:tcPr>
            <w:tcW w:w="607" w:type="dxa"/>
            <w:shd w:val="clear" w:color="auto" w:fill="7F7F7F" w:themeFill="text1" w:themeFillTint="80"/>
            <w:vAlign w:val="center"/>
          </w:tcPr>
          <w:p w14:paraId="44ECB730"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483C9051" w14:textId="77777777" w:rsidR="00C61717" w:rsidRPr="00B74B0F" w:rsidRDefault="00C61717" w:rsidP="00A30C3C">
            <w:pPr>
              <w:keepNext/>
              <w:spacing w:line="240" w:lineRule="auto"/>
              <w:contextualSpacing/>
              <w:jc w:val="both"/>
              <w:rPr>
                <w:szCs w:val="22"/>
                <w:lang w:val="sr-Latn-ME"/>
              </w:rPr>
            </w:pPr>
          </w:p>
        </w:tc>
      </w:tr>
      <w:tr w:rsidR="008B14C4" w:rsidRPr="00B74B0F" w14:paraId="1FDA4915" w14:textId="77777777" w:rsidTr="00BE568C">
        <w:trPr>
          <w:cantSplit/>
          <w:trHeight w:val="278"/>
        </w:trPr>
        <w:tc>
          <w:tcPr>
            <w:tcW w:w="988" w:type="dxa"/>
            <w:vAlign w:val="center"/>
          </w:tcPr>
          <w:p w14:paraId="0750D2F9" w14:textId="77777777" w:rsidR="00C61717" w:rsidRPr="00B74B0F" w:rsidRDefault="00906CF8" w:rsidP="009F5809">
            <w:pPr>
              <w:keepNext/>
              <w:spacing w:line="240" w:lineRule="auto"/>
              <w:contextualSpacing/>
              <w:jc w:val="both"/>
              <w:rPr>
                <w:szCs w:val="22"/>
                <w:lang w:val="sr-Latn-ME"/>
              </w:rPr>
            </w:pPr>
            <w:r w:rsidRPr="00B74B0F">
              <w:rPr>
                <w:szCs w:val="22"/>
                <w:lang w:val="sr-Latn-ME"/>
              </w:rPr>
              <w:t>48</w:t>
            </w:r>
          </w:p>
        </w:tc>
        <w:tc>
          <w:tcPr>
            <w:tcW w:w="740" w:type="dxa"/>
            <w:vAlign w:val="center"/>
          </w:tcPr>
          <w:p w14:paraId="42BA4E28" w14:textId="77777777" w:rsidR="00C61717" w:rsidRPr="00B74B0F" w:rsidRDefault="00906CF8" w:rsidP="00181F44">
            <w:pPr>
              <w:keepNext/>
              <w:spacing w:line="240" w:lineRule="auto"/>
              <w:contextualSpacing/>
              <w:jc w:val="both"/>
              <w:rPr>
                <w:szCs w:val="22"/>
                <w:lang w:val="sr-Latn-ME"/>
              </w:rPr>
            </w:pPr>
            <w:r w:rsidRPr="00B74B0F">
              <w:rPr>
                <w:szCs w:val="22"/>
                <w:lang w:val="sr-Latn-ME"/>
              </w:rPr>
              <w:t>29</w:t>
            </w:r>
          </w:p>
        </w:tc>
        <w:tc>
          <w:tcPr>
            <w:tcW w:w="810" w:type="dxa"/>
            <w:vAlign w:val="center"/>
          </w:tcPr>
          <w:p w14:paraId="00553B1D" w14:textId="77777777" w:rsidR="00C61717" w:rsidRPr="00B74B0F" w:rsidRDefault="00906CF8" w:rsidP="005502DD">
            <w:pPr>
              <w:keepNext/>
              <w:spacing w:line="240" w:lineRule="auto"/>
              <w:contextualSpacing/>
              <w:jc w:val="both"/>
              <w:rPr>
                <w:szCs w:val="22"/>
                <w:lang w:val="sr-Latn-ME"/>
              </w:rPr>
            </w:pPr>
            <w:r w:rsidRPr="00B74B0F">
              <w:rPr>
                <w:szCs w:val="22"/>
                <w:lang w:val="sr-Latn-ME"/>
              </w:rPr>
              <w:t>49</w:t>
            </w:r>
            <w:r w:rsidR="00AC3660" w:rsidRPr="00B74B0F">
              <w:rPr>
                <w:szCs w:val="22"/>
                <w:vertAlign w:val="superscript"/>
                <w:lang w:val="sr-Latn-ME"/>
              </w:rPr>
              <w:t>g</w:t>
            </w:r>
          </w:p>
        </w:tc>
        <w:tc>
          <w:tcPr>
            <w:tcW w:w="787" w:type="dxa"/>
            <w:shd w:val="clear" w:color="auto" w:fill="7F7F7F" w:themeFill="text1" w:themeFillTint="80"/>
            <w:vAlign w:val="center"/>
          </w:tcPr>
          <w:p w14:paraId="60C96E32"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2A9569E1"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410BAC50"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77DE4F27"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7F7F7F" w:themeFill="text1" w:themeFillTint="80"/>
            <w:vAlign w:val="center"/>
          </w:tcPr>
          <w:p w14:paraId="268F800F" w14:textId="77777777" w:rsidR="00C61717" w:rsidRPr="00B74B0F" w:rsidRDefault="00C61717" w:rsidP="005C649D">
            <w:pPr>
              <w:keepNext/>
              <w:spacing w:line="240" w:lineRule="auto"/>
              <w:contextualSpacing/>
              <w:jc w:val="both"/>
              <w:rPr>
                <w:szCs w:val="22"/>
                <w:lang w:val="sr-Latn-ME"/>
              </w:rPr>
            </w:pPr>
          </w:p>
        </w:tc>
        <w:tc>
          <w:tcPr>
            <w:tcW w:w="840" w:type="dxa"/>
            <w:gridSpan w:val="2"/>
            <w:vAlign w:val="center"/>
          </w:tcPr>
          <w:p w14:paraId="6A3080B6" w14:textId="77777777" w:rsidR="00C61717" w:rsidRPr="00B74B0F" w:rsidRDefault="00906CF8" w:rsidP="00A30C3C">
            <w:pPr>
              <w:keepNext/>
              <w:spacing w:line="240" w:lineRule="auto"/>
              <w:contextualSpacing/>
              <w:jc w:val="both"/>
              <w:rPr>
                <w:szCs w:val="22"/>
                <w:lang w:val="sr-Latn-ME"/>
              </w:rPr>
            </w:pPr>
            <w:r w:rsidRPr="00B74B0F">
              <w:rPr>
                <w:szCs w:val="22"/>
                <w:lang w:val="sr-Latn-ME"/>
              </w:rPr>
              <w:t>38</w:t>
            </w:r>
            <w:r w:rsidRPr="00B74B0F">
              <w:rPr>
                <w:szCs w:val="22"/>
                <w:vertAlign w:val="superscript"/>
                <w:lang w:val="sr-Latn-ME"/>
              </w:rPr>
              <w:t>i</w:t>
            </w:r>
          </w:p>
        </w:tc>
        <w:tc>
          <w:tcPr>
            <w:tcW w:w="803" w:type="dxa"/>
            <w:vAlign w:val="center"/>
          </w:tcPr>
          <w:p w14:paraId="61C6A7F9" w14:textId="77777777" w:rsidR="00C61717" w:rsidRPr="00B74B0F" w:rsidRDefault="00906CF8" w:rsidP="00A30C3C">
            <w:pPr>
              <w:keepNext/>
              <w:spacing w:line="240" w:lineRule="auto"/>
              <w:contextualSpacing/>
              <w:jc w:val="both"/>
              <w:rPr>
                <w:szCs w:val="22"/>
                <w:lang w:val="sr-Latn-ME"/>
              </w:rPr>
            </w:pPr>
            <w:r w:rsidRPr="00B74B0F">
              <w:rPr>
                <w:szCs w:val="22"/>
                <w:lang w:val="sr-Latn-ME"/>
              </w:rPr>
              <w:t>28</w:t>
            </w:r>
          </w:p>
        </w:tc>
        <w:tc>
          <w:tcPr>
            <w:tcW w:w="607" w:type="dxa"/>
            <w:shd w:val="clear" w:color="auto" w:fill="7F7F7F" w:themeFill="text1" w:themeFillTint="80"/>
            <w:vAlign w:val="center"/>
          </w:tcPr>
          <w:p w14:paraId="1D26DDD7"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77194789" w14:textId="77777777" w:rsidR="00C61717" w:rsidRPr="00B74B0F" w:rsidRDefault="00C61717" w:rsidP="00A30C3C">
            <w:pPr>
              <w:keepNext/>
              <w:spacing w:line="240" w:lineRule="auto"/>
              <w:contextualSpacing/>
              <w:jc w:val="both"/>
              <w:rPr>
                <w:szCs w:val="22"/>
                <w:lang w:val="sr-Latn-ME"/>
              </w:rPr>
            </w:pPr>
          </w:p>
        </w:tc>
      </w:tr>
      <w:tr w:rsidR="003A2D26" w:rsidRPr="00B74B0F" w14:paraId="6FFCCDAE" w14:textId="77777777" w:rsidTr="00200D71">
        <w:trPr>
          <w:cantSplit/>
          <w:trHeight w:val="278"/>
        </w:trPr>
        <w:tc>
          <w:tcPr>
            <w:tcW w:w="9351" w:type="dxa"/>
            <w:gridSpan w:val="14"/>
            <w:vAlign w:val="center"/>
          </w:tcPr>
          <w:p w14:paraId="14327D47" w14:textId="0E711427" w:rsidR="00C61717" w:rsidRPr="00B74B0F" w:rsidRDefault="00906CF8" w:rsidP="00777B52">
            <w:pPr>
              <w:keepNext/>
              <w:spacing w:line="240" w:lineRule="auto"/>
              <w:contextualSpacing/>
              <w:jc w:val="center"/>
              <w:rPr>
                <w:szCs w:val="22"/>
                <w:lang w:val="sr-Latn-ME"/>
              </w:rPr>
            </w:pPr>
            <w:r w:rsidRPr="00B74B0F">
              <w:rPr>
                <w:b/>
                <w:szCs w:val="22"/>
                <w:lang w:val="sr-Latn-ME"/>
              </w:rPr>
              <w:t xml:space="preserve">ACR20 (% </w:t>
            </w:r>
            <w:r w:rsidR="00BB59FC" w:rsidRPr="00B74B0F">
              <w:rPr>
                <w:b/>
                <w:szCs w:val="22"/>
                <w:lang w:val="sr-Latn-ME"/>
              </w:rPr>
              <w:t>pacijenata</w:t>
            </w:r>
            <w:r w:rsidRPr="00B74B0F">
              <w:rPr>
                <w:b/>
                <w:szCs w:val="22"/>
                <w:lang w:val="sr-Latn-ME"/>
              </w:rPr>
              <w:t>)</w:t>
            </w:r>
          </w:p>
        </w:tc>
      </w:tr>
      <w:tr w:rsidR="003A2D26" w:rsidRPr="00B74B0F" w14:paraId="7CB29263" w14:textId="77777777" w:rsidTr="00BE568C">
        <w:trPr>
          <w:cantSplit/>
          <w:trHeight w:val="278"/>
        </w:trPr>
        <w:tc>
          <w:tcPr>
            <w:tcW w:w="988" w:type="dxa"/>
            <w:vAlign w:val="center"/>
          </w:tcPr>
          <w:p w14:paraId="506B7197" w14:textId="77777777" w:rsidR="00C61717" w:rsidRPr="00B74B0F" w:rsidRDefault="00906CF8" w:rsidP="009F5809">
            <w:pPr>
              <w:keepNext/>
              <w:spacing w:line="240" w:lineRule="auto"/>
              <w:contextualSpacing/>
              <w:jc w:val="both"/>
              <w:rPr>
                <w:szCs w:val="22"/>
                <w:lang w:val="sr-Latn-ME"/>
              </w:rPr>
            </w:pPr>
            <w:r w:rsidRPr="00B74B0F">
              <w:rPr>
                <w:szCs w:val="22"/>
                <w:lang w:val="sr-Latn-ME"/>
              </w:rPr>
              <w:t>12</w:t>
            </w:r>
            <w:r w:rsidRPr="00B74B0F">
              <w:rPr>
                <w:szCs w:val="22"/>
                <w:vertAlign w:val="superscript"/>
                <w:lang w:val="sr-Latn-ME"/>
              </w:rPr>
              <w:t>a</w:t>
            </w:r>
            <w:r w:rsidRPr="00B74B0F">
              <w:rPr>
                <w:szCs w:val="22"/>
                <w:lang w:val="sr-Latn-ME"/>
              </w:rPr>
              <w:t>/14</w:t>
            </w:r>
            <w:r w:rsidRPr="00B74B0F">
              <w:rPr>
                <w:szCs w:val="22"/>
                <w:vertAlign w:val="superscript"/>
                <w:lang w:val="sr-Latn-ME"/>
              </w:rPr>
              <w:t>b</w:t>
            </w:r>
          </w:p>
        </w:tc>
        <w:tc>
          <w:tcPr>
            <w:tcW w:w="740" w:type="dxa"/>
            <w:vAlign w:val="center"/>
          </w:tcPr>
          <w:p w14:paraId="44F17E8E" w14:textId="77777777" w:rsidR="00C61717" w:rsidRPr="00B74B0F" w:rsidRDefault="00906CF8" w:rsidP="00181F44">
            <w:pPr>
              <w:keepNext/>
              <w:spacing w:line="240" w:lineRule="auto"/>
              <w:contextualSpacing/>
              <w:jc w:val="both"/>
              <w:rPr>
                <w:szCs w:val="22"/>
                <w:lang w:val="sr-Latn-ME"/>
              </w:rPr>
            </w:pPr>
            <w:r w:rsidRPr="00B74B0F">
              <w:rPr>
                <w:szCs w:val="22"/>
                <w:lang w:val="sr-Latn-ME"/>
              </w:rPr>
              <w:t>54</w:t>
            </w:r>
          </w:p>
        </w:tc>
        <w:tc>
          <w:tcPr>
            <w:tcW w:w="810" w:type="dxa"/>
            <w:vAlign w:val="center"/>
          </w:tcPr>
          <w:p w14:paraId="7F90D91C" w14:textId="77777777" w:rsidR="00C61717" w:rsidRPr="00B74B0F" w:rsidRDefault="00906CF8" w:rsidP="005502DD">
            <w:pPr>
              <w:keepNext/>
              <w:spacing w:line="240" w:lineRule="auto"/>
              <w:contextualSpacing/>
              <w:jc w:val="both"/>
              <w:rPr>
                <w:szCs w:val="22"/>
                <w:lang w:val="sr-Latn-ME"/>
              </w:rPr>
            </w:pPr>
            <w:r w:rsidRPr="00B74B0F">
              <w:rPr>
                <w:szCs w:val="22"/>
                <w:lang w:val="sr-Latn-ME"/>
              </w:rPr>
              <w:t>76</w:t>
            </w:r>
            <w:r w:rsidR="00AC3660" w:rsidRPr="00B74B0F">
              <w:rPr>
                <w:szCs w:val="22"/>
                <w:vertAlign w:val="superscript"/>
                <w:lang w:val="sr-Latn-ME"/>
              </w:rPr>
              <w:t>g</w:t>
            </w:r>
          </w:p>
        </w:tc>
        <w:tc>
          <w:tcPr>
            <w:tcW w:w="787" w:type="dxa"/>
            <w:vAlign w:val="center"/>
          </w:tcPr>
          <w:p w14:paraId="72E60AF8" w14:textId="77777777" w:rsidR="00C61717" w:rsidRPr="00B74B0F" w:rsidRDefault="00906CF8" w:rsidP="00585915">
            <w:pPr>
              <w:keepNext/>
              <w:spacing w:line="240" w:lineRule="auto"/>
              <w:contextualSpacing/>
              <w:jc w:val="both"/>
              <w:rPr>
                <w:szCs w:val="22"/>
                <w:lang w:val="sr-Latn-ME"/>
              </w:rPr>
            </w:pPr>
            <w:r w:rsidRPr="00B74B0F">
              <w:rPr>
                <w:szCs w:val="22"/>
                <w:lang w:val="sr-Latn-ME"/>
              </w:rPr>
              <w:t>41</w:t>
            </w:r>
          </w:p>
        </w:tc>
        <w:tc>
          <w:tcPr>
            <w:tcW w:w="833" w:type="dxa"/>
            <w:vAlign w:val="center"/>
          </w:tcPr>
          <w:p w14:paraId="7E3FB969" w14:textId="77777777" w:rsidR="00C61717" w:rsidRPr="00B74B0F" w:rsidRDefault="00906CF8" w:rsidP="002602C0">
            <w:pPr>
              <w:keepNext/>
              <w:spacing w:line="240" w:lineRule="auto"/>
              <w:contextualSpacing/>
              <w:jc w:val="both"/>
              <w:rPr>
                <w:szCs w:val="22"/>
                <w:lang w:val="sr-Latn-ME"/>
              </w:rPr>
            </w:pPr>
            <w:r w:rsidRPr="00B74B0F">
              <w:rPr>
                <w:szCs w:val="22"/>
                <w:lang w:val="sr-Latn-ME"/>
              </w:rPr>
              <w:t>68</w:t>
            </w:r>
            <w:r w:rsidRPr="00B74B0F">
              <w:rPr>
                <w:szCs w:val="22"/>
                <w:vertAlign w:val="superscript"/>
                <w:lang w:val="sr-Latn-ME"/>
              </w:rPr>
              <w:t>e</w:t>
            </w:r>
          </w:p>
        </w:tc>
        <w:tc>
          <w:tcPr>
            <w:tcW w:w="720" w:type="dxa"/>
            <w:vAlign w:val="center"/>
          </w:tcPr>
          <w:p w14:paraId="6DB8F1F2" w14:textId="77777777" w:rsidR="00C61717" w:rsidRPr="00B74B0F" w:rsidRDefault="00906CF8" w:rsidP="00777B52">
            <w:pPr>
              <w:keepNext/>
              <w:spacing w:line="240" w:lineRule="auto"/>
              <w:contextualSpacing/>
              <w:jc w:val="both"/>
              <w:rPr>
                <w:szCs w:val="22"/>
                <w:lang w:val="sr-Latn-ME"/>
              </w:rPr>
            </w:pPr>
            <w:r w:rsidRPr="00B74B0F">
              <w:rPr>
                <w:szCs w:val="22"/>
                <w:lang w:val="sr-Latn-ME"/>
              </w:rPr>
              <w:t>36</w:t>
            </w:r>
          </w:p>
        </w:tc>
        <w:tc>
          <w:tcPr>
            <w:tcW w:w="877" w:type="dxa"/>
            <w:vAlign w:val="center"/>
          </w:tcPr>
          <w:p w14:paraId="6B26B40B" w14:textId="77777777" w:rsidR="00C61717" w:rsidRPr="00B74B0F" w:rsidRDefault="00906CF8" w:rsidP="00343D6C">
            <w:pPr>
              <w:keepNext/>
              <w:spacing w:line="240" w:lineRule="auto"/>
              <w:contextualSpacing/>
              <w:jc w:val="both"/>
              <w:rPr>
                <w:szCs w:val="22"/>
                <w:lang w:val="sr-Latn-ME"/>
              </w:rPr>
            </w:pPr>
            <w:r w:rsidRPr="00B74B0F">
              <w:rPr>
                <w:szCs w:val="22"/>
                <w:lang w:val="sr-Latn-ME"/>
              </w:rPr>
              <w:t>64</w:t>
            </w:r>
            <w:r w:rsidRPr="00B74B0F">
              <w:rPr>
                <w:szCs w:val="22"/>
                <w:vertAlign w:val="superscript"/>
                <w:lang w:val="sr-Latn-ME"/>
              </w:rPr>
              <w:t>e</w:t>
            </w:r>
          </w:p>
        </w:tc>
        <w:tc>
          <w:tcPr>
            <w:tcW w:w="630" w:type="dxa"/>
            <w:vAlign w:val="center"/>
          </w:tcPr>
          <w:p w14:paraId="46D5EFD3" w14:textId="77777777" w:rsidR="00C61717" w:rsidRPr="00B74B0F" w:rsidRDefault="00906CF8" w:rsidP="005C649D">
            <w:pPr>
              <w:keepNext/>
              <w:spacing w:line="240" w:lineRule="auto"/>
              <w:contextualSpacing/>
              <w:jc w:val="both"/>
              <w:rPr>
                <w:szCs w:val="22"/>
                <w:lang w:val="sr-Latn-ME"/>
              </w:rPr>
            </w:pPr>
            <w:r w:rsidRPr="00B74B0F">
              <w:rPr>
                <w:szCs w:val="22"/>
                <w:lang w:val="sr-Latn-ME"/>
              </w:rPr>
              <w:t>36</w:t>
            </w:r>
          </w:p>
        </w:tc>
        <w:tc>
          <w:tcPr>
            <w:tcW w:w="840" w:type="dxa"/>
            <w:gridSpan w:val="2"/>
            <w:vAlign w:val="center"/>
          </w:tcPr>
          <w:p w14:paraId="185E45CD" w14:textId="77777777" w:rsidR="00C61717" w:rsidRPr="00B74B0F" w:rsidRDefault="00906CF8" w:rsidP="00A30C3C">
            <w:pPr>
              <w:keepNext/>
              <w:spacing w:line="240" w:lineRule="auto"/>
              <w:contextualSpacing/>
              <w:jc w:val="both"/>
              <w:rPr>
                <w:szCs w:val="22"/>
                <w:lang w:val="sr-Latn-ME"/>
              </w:rPr>
            </w:pPr>
            <w:r w:rsidRPr="00B74B0F">
              <w:rPr>
                <w:szCs w:val="22"/>
                <w:lang w:val="sr-Latn-ME"/>
              </w:rPr>
              <w:t>71</w:t>
            </w:r>
            <w:r w:rsidRPr="00B74B0F">
              <w:rPr>
                <w:szCs w:val="22"/>
                <w:vertAlign w:val="superscript"/>
                <w:lang w:val="sr-Latn-ME"/>
              </w:rPr>
              <w:t>e,j</w:t>
            </w:r>
          </w:p>
        </w:tc>
        <w:tc>
          <w:tcPr>
            <w:tcW w:w="803" w:type="dxa"/>
            <w:vAlign w:val="center"/>
          </w:tcPr>
          <w:p w14:paraId="73A87C45" w14:textId="77777777" w:rsidR="00C61717" w:rsidRPr="00B74B0F" w:rsidRDefault="00906CF8" w:rsidP="00A30C3C">
            <w:pPr>
              <w:keepNext/>
              <w:spacing w:line="240" w:lineRule="auto"/>
              <w:contextualSpacing/>
              <w:jc w:val="both"/>
              <w:rPr>
                <w:szCs w:val="22"/>
                <w:lang w:val="sr-Latn-ME"/>
              </w:rPr>
            </w:pPr>
            <w:r w:rsidRPr="00B74B0F">
              <w:rPr>
                <w:szCs w:val="22"/>
                <w:lang w:val="sr-Latn-ME"/>
              </w:rPr>
              <w:t>63</w:t>
            </w:r>
          </w:p>
        </w:tc>
        <w:tc>
          <w:tcPr>
            <w:tcW w:w="607" w:type="dxa"/>
            <w:vAlign w:val="center"/>
          </w:tcPr>
          <w:p w14:paraId="21B4691E" w14:textId="77777777" w:rsidR="00C61717" w:rsidRPr="00B74B0F" w:rsidRDefault="00906CF8" w:rsidP="00A30C3C">
            <w:pPr>
              <w:keepNext/>
              <w:spacing w:line="240" w:lineRule="auto"/>
              <w:contextualSpacing/>
              <w:jc w:val="both"/>
              <w:rPr>
                <w:szCs w:val="22"/>
                <w:lang w:val="sr-Latn-ME"/>
              </w:rPr>
            </w:pPr>
            <w:r w:rsidRPr="00B74B0F">
              <w:rPr>
                <w:szCs w:val="22"/>
                <w:lang w:val="sr-Latn-ME"/>
              </w:rPr>
              <w:t>28</w:t>
            </w:r>
          </w:p>
        </w:tc>
        <w:tc>
          <w:tcPr>
            <w:tcW w:w="716" w:type="dxa"/>
            <w:gridSpan w:val="2"/>
            <w:vAlign w:val="center"/>
          </w:tcPr>
          <w:p w14:paraId="213155BA" w14:textId="77777777" w:rsidR="00C61717" w:rsidRPr="00B74B0F" w:rsidRDefault="00906CF8" w:rsidP="00A30C3C">
            <w:pPr>
              <w:keepNext/>
              <w:spacing w:line="240" w:lineRule="auto"/>
              <w:contextualSpacing/>
              <w:jc w:val="both"/>
              <w:rPr>
                <w:szCs w:val="22"/>
                <w:lang w:val="sr-Latn-ME"/>
              </w:rPr>
            </w:pPr>
            <w:r w:rsidRPr="00B74B0F">
              <w:rPr>
                <w:szCs w:val="22"/>
                <w:lang w:val="sr-Latn-ME"/>
              </w:rPr>
              <w:t>65</w:t>
            </w:r>
            <w:r w:rsidRPr="00B74B0F">
              <w:rPr>
                <w:szCs w:val="22"/>
                <w:vertAlign w:val="superscript"/>
                <w:lang w:val="sr-Latn-ME"/>
              </w:rPr>
              <w:t>e</w:t>
            </w:r>
          </w:p>
        </w:tc>
      </w:tr>
      <w:tr w:rsidR="008B14C4" w:rsidRPr="00B74B0F" w14:paraId="0A13B5A4" w14:textId="77777777" w:rsidTr="00BE568C">
        <w:trPr>
          <w:cantSplit/>
          <w:trHeight w:val="278"/>
        </w:trPr>
        <w:tc>
          <w:tcPr>
            <w:tcW w:w="988" w:type="dxa"/>
            <w:vAlign w:val="center"/>
          </w:tcPr>
          <w:p w14:paraId="69A6EDA7" w14:textId="77777777" w:rsidR="00C61717" w:rsidRPr="00B74B0F" w:rsidRDefault="00906CF8" w:rsidP="009F5809">
            <w:pPr>
              <w:keepNext/>
              <w:spacing w:line="240" w:lineRule="auto"/>
              <w:contextualSpacing/>
              <w:jc w:val="both"/>
              <w:rPr>
                <w:szCs w:val="22"/>
                <w:lang w:val="sr-Latn-ME"/>
              </w:rPr>
            </w:pPr>
            <w:r w:rsidRPr="00B74B0F">
              <w:rPr>
                <w:szCs w:val="22"/>
                <w:lang w:val="sr-Latn-ME"/>
              </w:rPr>
              <w:t>24</w:t>
            </w:r>
            <w:r w:rsidRPr="00B74B0F">
              <w:rPr>
                <w:szCs w:val="22"/>
                <w:vertAlign w:val="superscript"/>
                <w:lang w:val="sr-Latn-ME"/>
              </w:rPr>
              <w:t>c</w:t>
            </w:r>
            <w:r w:rsidRPr="00B74B0F">
              <w:rPr>
                <w:szCs w:val="22"/>
                <w:lang w:val="sr-Latn-ME"/>
              </w:rPr>
              <w:t>/26</w:t>
            </w:r>
            <w:r w:rsidRPr="00B74B0F">
              <w:rPr>
                <w:szCs w:val="22"/>
                <w:vertAlign w:val="superscript"/>
                <w:lang w:val="sr-Latn-ME"/>
              </w:rPr>
              <w:t>d</w:t>
            </w:r>
          </w:p>
        </w:tc>
        <w:tc>
          <w:tcPr>
            <w:tcW w:w="740" w:type="dxa"/>
            <w:vAlign w:val="center"/>
          </w:tcPr>
          <w:p w14:paraId="43F80C17" w14:textId="77777777" w:rsidR="00C61717" w:rsidRPr="00B74B0F" w:rsidRDefault="00906CF8" w:rsidP="00181F44">
            <w:pPr>
              <w:keepNext/>
              <w:spacing w:line="240" w:lineRule="auto"/>
              <w:contextualSpacing/>
              <w:jc w:val="both"/>
              <w:rPr>
                <w:szCs w:val="22"/>
                <w:lang w:val="sr-Latn-ME"/>
              </w:rPr>
            </w:pPr>
            <w:r w:rsidRPr="00B74B0F">
              <w:rPr>
                <w:szCs w:val="22"/>
                <w:lang w:val="sr-Latn-ME"/>
              </w:rPr>
              <w:t>59</w:t>
            </w:r>
          </w:p>
        </w:tc>
        <w:tc>
          <w:tcPr>
            <w:tcW w:w="810" w:type="dxa"/>
            <w:vAlign w:val="center"/>
          </w:tcPr>
          <w:p w14:paraId="1DF4A1D4" w14:textId="77777777" w:rsidR="00C61717" w:rsidRPr="00B74B0F" w:rsidRDefault="00906CF8" w:rsidP="005502DD">
            <w:pPr>
              <w:keepNext/>
              <w:spacing w:line="240" w:lineRule="auto"/>
              <w:contextualSpacing/>
              <w:jc w:val="both"/>
              <w:rPr>
                <w:szCs w:val="22"/>
                <w:lang w:val="sr-Latn-ME"/>
              </w:rPr>
            </w:pPr>
            <w:r w:rsidRPr="00B74B0F">
              <w:rPr>
                <w:szCs w:val="22"/>
                <w:lang w:val="sr-Latn-ME"/>
              </w:rPr>
              <w:t>79</w:t>
            </w:r>
            <w:r w:rsidR="00AC3660" w:rsidRPr="00B74B0F">
              <w:rPr>
                <w:szCs w:val="22"/>
                <w:vertAlign w:val="superscript"/>
                <w:lang w:val="sr-Latn-ME"/>
              </w:rPr>
              <w:t>g</w:t>
            </w:r>
          </w:p>
        </w:tc>
        <w:tc>
          <w:tcPr>
            <w:tcW w:w="787" w:type="dxa"/>
            <w:shd w:val="clear" w:color="auto" w:fill="7F7F7F" w:themeFill="text1" w:themeFillTint="80"/>
            <w:vAlign w:val="center"/>
          </w:tcPr>
          <w:p w14:paraId="4CF102D4"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55065D6D"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703AF357"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20963B28"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auto"/>
            <w:vAlign w:val="center"/>
          </w:tcPr>
          <w:p w14:paraId="3E682C66" w14:textId="77777777" w:rsidR="00C61717" w:rsidRPr="00B74B0F" w:rsidRDefault="00906CF8" w:rsidP="005C649D">
            <w:pPr>
              <w:keepNext/>
              <w:spacing w:line="240" w:lineRule="auto"/>
              <w:contextualSpacing/>
              <w:jc w:val="both"/>
              <w:rPr>
                <w:szCs w:val="22"/>
                <w:lang w:val="sr-Latn-ME"/>
              </w:rPr>
            </w:pPr>
            <w:r w:rsidRPr="00B74B0F">
              <w:rPr>
                <w:szCs w:val="22"/>
                <w:lang w:val="sr-Latn-ME"/>
              </w:rPr>
              <w:t>36</w:t>
            </w:r>
          </w:p>
        </w:tc>
        <w:tc>
          <w:tcPr>
            <w:tcW w:w="840" w:type="dxa"/>
            <w:gridSpan w:val="2"/>
            <w:vAlign w:val="center"/>
          </w:tcPr>
          <w:p w14:paraId="3D7C07BE" w14:textId="77777777" w:rsidR="00C61717" w:rsidRPr="00B74B0F" w:rsidRDefault="00906CF8" w:rsidP="00A30C3C">
            <w:pPr>
              <w:keepNext/>
              <w:spacing w:line="240" w:lineRule="auto"/>
              <w:contextualSpacing/>
              <w:jc w:val="both"/>
              <w:rPr>
                <w:szCs w:val="22"/>
                <w:lang w:val="sr-Latn-ME"/>
              </w:rPr>
            </w:pPr>
            <w:r w:rsidRPr="00B74B0F">
              <w:rPr>
                <w:szCs w:val="22"/>
                <w:lang w:val="sr-Latn-ME"/>
              </w:rPr>
              <w:t>67</w:t>
            </w:r>
            <w:r w:rsidR="006B7EA8" w:rsidRPr="00B74B0F">
              <w:rPr>
                <w:szCs w:val="22"/>
                <w:vertAlign w:val="superscript"/>
                <w:lang w:val="sr-Latn-ME"/>
              </w:rPr>
              <w:t>g</w:t>
            </w:r>
            <w:r w:rsidRPr="00B74B0F">
              <w:rPr>
                <w:szCs w:val="22"/>
                <w:vertAlign w:val="superscript"/>
                <w:lang w:val="sr-Latn-ME"/>
              </w:rPr>
              <w:t>,i</w:t>
            </w:r>
          </w:p>
        </w:tc>
        <w:tc>
          <w:tcPr>
            <w:tcW w:w="803" w:type="dxa"/>
            <w:vAlign w:val="center"/>
          </w:tcPr>
          <w:p w14:paraId="5A41D0D3" w14:textId="77777777" w:rsidR="00C61717" w:rsidRPr="00B74B0F" w:rsidRDefault="00906CF8" w:rsidP="00A30C3C">
            <w:pPr>
              <w:keepNext/>
              <w:spacing w:line="240" w:lineRule="auto"/>
              <w:contextualSpacing/>
              <w:jc w:val="both"/>
              <w:rPr>
                <w:szCs w:val="22"/>
                <w:lang w:val="sr-Latn-ME"/>
              </w:rPr>
            </w:pPr>
            <w:r w:rsidRPr="00B74B0F">
              <w:rPr>
                <w:szCs w:val="22"/>
                <w:lang w:val="sr-Latn-ME"/>
              </w:rPr>
              <w:t>57</w:t>
            </w:r>
          </w:p>
        </w:tc>
        <w:tc>
          <w:tcPr>
            <w:tcW w:w="607" w:type="dxa"/>
            <w:shd w:val="clear" w:color="auto" w:fill="7F7F7F" w:themeFill="text1" w:themeFillTint="80"/>
            <w:vAlign w:val="center"/>
          </w:tcPr>
          <w:p w14:paraId="29F50F76"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395EEF6B" w14:textId="77777777" w:rsidR="00C61717" w:rsidRPr="00B74B0F" w:rsidRDefault="00C61717" w:rsidP="00A30C3C">
            <w:pPr>
              <w:keepNext/>
              <w:spacing w:line="240" w:lineRule="auto"/>
              <w:contextualSpacing/>
              <w:jc w:val="both"/>
              <w:rPr>
                <w:szCs w:val="22"/>
                <w:lang w:val="sr-Latn-ME"/>
              </w:rPr>
            </w:pPr>
          </w:p>
        </w:tc>
      </w:tr>
      <w:tr w:rsidR="008B14C4" w:rsidRPr="00B74B0F" w14:paraId="616ADE8B" w14:textId="77777777" w:rsidTr="00BE568C">
        <w:trPr>
          <w:cantSplit/>
          <w:trHeight w:val="278"/>
        </w:trPr>
        <w:tc>
          <w:tcPr>
            <w:tcW w:w="988" w:type="dxa"/>
            <w:vAlign w:val="center"/>
          </w:tcPr>
          <w:p w14:paraId="312BF8EB" w14:textId="77777777" w:rsidR="00C61717" w:rsidRPr="00B74B0F" w:rsidRDefault="00906CF8" w:rsidP="009F5809">
            <w:pPr>
              <w:keepNext/>
              <w:spacing w:line="240" w:lineRule="auto"/>
              <w:contextualSpacing/>
              <w:jc w:val="both"/>
              <w:rPr>
                <w:szCs w:val="22"/>
                <w:lang w:val="sr-Latn-ME"/>
              </w:rPr>
            </w:pPr>
            <w:r w:rsidRPr="00B74B0F">
              <w:rPr>
                <w:szCs w:val="22"/>
                <w:lang w:val="sr-Latn-ME"/>
              </w:rPr>
              <w:t>48</w:t>
            </w:r>
          </w:p>
        </w:tc>
        <w:tc>
          <w:tcPr>
            <w:tcW w:w="740" w:type="dxa"/>
            <w:vAlign w:val="center"/>
          </w:tcPr>
          <w:p w14:paraId="7EF92CE1" w14:textId="77777777" w:rsidR="00C61717" w:rsidRPr="00B74B0F" w:rsidRDefault="00906CF8" w:rsidP="00181F44">
            <w:pPr>
              <w:keepNext/>
              <w:spacing w:line="240" w:lineRule="auto"/>
              <w:contextualSpacing/>
              <w:jc w:val="both"/>
              <w:rPr>
                <w:szCs w:val="22"/>
                <w:lang w:val="sr-Latn-ME"/>
              </w:rPr>
            </w:pPr>
            <w:r w:rsidRPr="00B74B0F">
              <w:rPr>
                <w:szCs w:val="22"/>
                <w:lang w:val="sr-Latn-ME"/>
              </w:rPr>
              <w:t>57</w:t>
            </w:r>
          </w:p>
        </w:tc>
        <w:tc>
          <w:tcPr>
            <w:tcW w:w="810" w:type="dxa"/>
            <w:vAlign w:val="center"/>
          </w:tcPr>
          <w:p w14:paraId="383BA7F4" w14:textId="77777777" w:rsidR="00C61717" w:rsidRPr="00B74B0F" w:rsidRDefault="00906CF8" w:rsidP="005502DD">
            <w:pPr>
              <w:keepNext/>
              <w:spacing w:line="240" w:lineRule="auto"/>
              <w:contextualSpacing/>
              <w:jc w:val="both"/>
              <w:rPr>
                <w:szCs w:val="22"/>
                <w:lang w:val="sr-Latn-ME"/>
              </w:rPr>
            </w:pPr>
            <w:r w:rsidRPr="00B74B0F">
              <w:rPr>
                <w:szCs w:val="22"/>
                <w:lang w:val="sr-Latn-ME"/>
              </w:rPr>
              <w:t>74</w:t>
            </w:r>
            <w:r w:rsidR="00AC3660" w:rsidRPr="00B74B0F">
              <w:rPr>
                <w:szCs w:val="22"/>
                <w:vertAlign w:val="superscript"/>
                <w:lang w:val="sr-Latn-ME"/>
              </w:rPr>
              <w:t>g</w:t>
            </w:r>
          </w:p>
        </w:tc>
        <w:tc>
          <w:tcPr>
            <w:tcW w:w="787" w:type="dxa"/>
            <w:shd w:val="clear" w:color="auto" w:fill="7F7F7F" w:themeFill="text1" w:themeFillTint="80"/>
            <w:vAlign w:val="center"/>
          </w:tcPr>
          <w:p w14:paraId="63A70AFD"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1A5D7377"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0E2350C2"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7BDDE29D"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7F7F7F" w:themeFill="text1" w:themeFillTint="80"/>
            <w:vAlign w:val="center"/>
          </w:tcPr>
          <w:p w14:paraId="0A4B8D76" w14:textId="77777777" w:rsidR="00C61717" w:rsidRPr="00B74B0F" w:rsidRDefault="00C61717" w:rsidP="005C649D">
            <w:pPr>
              <w:keepNext/>
              <w:spacing w:line="240" w:lineRule="auto"/>
              <w:contextualSpacing/>
              <w:jc w:val="both"/>
              <w:rPr>
                <w:color w:val="808080" w:themeColor="background1" w:themeShade="80"/>
                <w:szCs w:val="22"/>
                <w:lang w:val="sr-Latn-ME"/>
              </w:rPr>
            </w:pPr>
          </w:p>
        </w:tc>
        <w:tc>
          <w:tcPr>
            <w:tcW w:w="840" w:type="dxa"/>
            <w:gridSpan w:val="2"/>
            <w:vAlign w:val="center"/>
          </w:tcPr>
          <w:p w14:paraId="0F7E950D" w14:textId="77777777" w:rsidR="00C61717" w:rsidRPr="00B74B0F" w:rsidRDefault="00906CF8" w:rsidP="00A30C3C">
            <w:pPr>
              <w:keepNext/>
              <w:spacing w:line="240" w:lineRule="auto"/>
              <w:contextualSpacing/>
              <w:jc w:val="both"/>
              <w:rPr>
                <w:szCs w:val="22"/>
                <w:lang w:val="sr-Latn-ME"/>
              </w:rPr>
            </w:pPr>
            <w:r w:rsidRPr="00B74B0F">
              <w:rPr>
                <w:szCs w:val="22"/>
                <w:lang w:val="sr-Latn-ME"/>
              </w:rPr>
              <w:t>65</w:t>
            </w:r>
            <w:r w:rsidRPr="00B74B0F">
              <w:rPr>
                <w:szCs w:val="22"/>
                <w:vertAlign w:val="superscript"/>
                <w:lang w:val="sr-Latn-ME"/>
              </w:rPr>
              <w:t>i</w:t>
            </w:r>
          </w:p>
        </w:tc>
        <w:tc>
          <w:tcPr>
            <w:tcW w:w="803" w:type="dxa"/>
            <w:vAlign w:val="center"/>
          </w:tcPr>
          <w:p w14:paraId="0628DB82" w14:textId="77777777" w:rsidR="00C61717" w:rsidRPr="00B74B0F" w:rsidRDefault="00906CF8" w:rsidP="00A30C3C">
            <w:pPr>
              <w:keepNext/>
              <w:spacing w:line="240" w:lineRule="auto"/>
              <w:contextualSpacing/>
              <w:jc w:val="both"/>
              <w:rPr>
                <w:szCs w:val="22"/>
                <w:lang w:val="sr-Latn-ME"/>
              </w:rPr>
            </w:pPr>
            <w:r w:rsidRPr="00B74B0F">
              <w:rPr>
                <w:szCs w:val="22"/>
                <w:lang w:val="sr-Latn-ME"/>
              </w:rPr>
              <w:t>54</w:t>
            </w:r>
          </w:p>
        </w:tc>
        <w:tc>
          <w:tcPr>
            <w:tcW w:w="607" w:type="dxa"/>
            <w:shd w:val="clear" w:color="auto" w:fill="7F7F7F" w:themeFill="text1" w:themeFillTint="80"/>
            <w:vAlign w:val="center"/>
          </w:tcPr>
          <w:p w14:paraId="6879BE26"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2180B34A" w14:textId="77777777" w:rsidR="00C61717" w:rsidRPr="00B74B0F" w:rsidRDefault="00C61717" w:rsidP="00A30C3C">
            <w:pPr>
              <w:keepNext/>
              <w:spacing w:line="240" w:lineRule="auto"/>
              <w:contextualSpacing/>
              <w:jc w:val="both"/>
              <w:rPr>
                <w:szCs w:val="22"/>
                <w:lang w:val="sr-Latn-ME"/>
              </w:rPr>
            </w:pPr>
          </w:p>
        </w:tc>
      </w:tr>
      <w:tr w:rsidR="003A2D26" w:rsidRPr="00B74B0F" w14:paraId="7F50A6DD" w14:textId="77777777" w:rsidTr="00200D71">
        <w:trPr>
          <w:cantSplit/>
          <w:trHeight w:val="278"/>
        </w:trPr>
        <w:tc>
          <w:tcPr>
            <w:tcW w:w="9351" w:type="dxa"/>
            <w:gridSpan w:val="14"/>
            <w:vAlign w:val="center"/>
          </w:tcPr>
          <w:p w14:paraId="5BE87155" w14:textId="704FFBC4" w:rsidR="00C61717" w:rsidRPr="00B74B0F" w:rsidRDefault="00906CF8" w:rsidP="00777B52">
            <w:pPr>
              <w:keepNext/>
              <w:spacing w:line="240" w:lineRule="auto"/>
              <w:contextualSpacing/>
              <w:jc w:val="center"/>
              <w:rPr>
                <w:szCs w:val="22"/>
                <w:lang w:val="sr-Latn-ME"/>
              </w:rPr>
            </w:pPr>
            <w:r w:rsidRPr="00B74B0F">
              <w:rPr>
                <w:b/>
                <w:szCs w:val="22"/>
                <w:lang w:val="sr-Latn-ME"/>
              </w:rPr>
              <w:t xml:space="preserve">ACR50 (% </w:t>
            </w:r>
            <w:r w:rsidR="00BB59FC" w:rsidRPr="00B74B0F">
              <w:rPr>
                <w:b/>
                <w:szCs w:val="22"/>
                <w:lang w:val="sr-Latn-ME"/>
              </w:rPr>
              <w:t>pacijenata</w:t>
            </w:r>
            <w:r w:rsidRPr="00B74B0F">
              <w:rPr>
                <w:b/>
                <w:szCs w:val="22"/>
                <w:lang w:val="sr-Latn-ME"/>
              </w:rPr>
              <w:t>)</w:t>
            </w:r>
          </w:p>
        </w:tc>
      </w:tr>
      <w:tr w:rsidR="003A2D26" w:rsidRPr="00B74B0F" w14:paraId="1C4148B5" w14:textId="77777777" w:rsidTr="00BE568C">
        <w:trPr>
          <w:cantSplit/>
          <w:trHeight w:val="278"/>
        </w:trPr>
        <w:tc>
          <w:tcPr>
            <w:tcW w:w="988" w:type="dxa"/>
            <w:vAlign w:val="center"/>
          </w:tcPr>
          <w:p w14:paraId="541E5615" w14:textId="77777777" w:rsidR="00C61717" w:rsidRPr="00B74B0F" w:rsidRDefault="00906CF8" w:rsidP="009F5809">
            <w:pPr>
              <w:keepNext/>
              <w:spacing w:line="240" w:lineRule="auto"/>
              <w:contextualSpacing/>
              <w:jc w:val="both"/>
              <w:rPr>
                <w:szCs w:val="22"/>
                <w:lang w:val="sr-Latn-ME"/>
              </w:rPr>
            </w:pPr>
            <w:r w:rsidRPr="00B74B0F">
              <w:rPr>
                <w:szCs w:val="22"/>
                <w:lang w:val="sr-Latn-ME"/>
              </w:rPr>
              <w:t>12</w:t>
            </w:r>
            <w:r w:rsidRPr="00B74B0F">
              <w:rPr>
                <w:szCs w:val="22"/>
                <w:vertAlign w:val="superscript"/>
                <w:lang w:val="sr-Latn-ME"/>
              </w:rPr>
              <w:t>a</w:t>
            </w:r>
            <w:r w:rsidRPr="00B74B0F">
              <w:rPr>
                <w:szCs w:val="22"/>
                <w:lang w:val="sr-Latn-ME"/>
              </w:rPr>
              <w:t>/14</w:t>
            </w:r>
            <w:r w:rsidRPr="00B74B0F">
              <w:rPr>
                <w:szCs w:val="22"/>
                <w:vertAlign w:val="superscript"/>
                <w:lang w:val="sr-Latn-ME"/>
              </w:rPr>
              <w:t>b</w:t>
            </w:r>
          </w:p>
        </w:tc>
        <w:tc>
          <w:tcPr>
            <w:tcW w:w="740" w:type="dxa"/>
            <w:vAlign w:val="center"/>
          </w:tcPr>
          <w:p w14:paraId="2AD94FC1" w14:textId="77777777" w:rsidR="00C61717" w:rsidRPr="00B74B0F" w:rsidRDefault="00906CF8" w:rsidP="00181F44">
            <w:pPr>
              <w:keepNext/>
              <w:spacing w:line="240" w:lineRule="auto"/>
              <w:contextualSpacing/>
              <w:jc w:val="both"/>
              <w:rPr>
                <w:szCs w:val="22"/>
                <w:lang w:val="sr-Latn-ME"/>
              </w:rPr>
            </w:pPr>
            <w:r w:rsidRPr="00B74B0F">
              <w:rPr>
                <w:szCs w:val="22"/>
                <w:lang w:val="sr-Latn-ME"/>
              </w:rPr>
              <w:t>28</w:t>
            </w:r>
          </w:p>
        </w:tc>
        <w:tc>
          <w:tcPr>
            <w:tcW w:w="810" w:type="dxa"/>
            <w:vAlign w:val="center"/>
          </w:tcPr>
          <w:p w14:paraId="6DD556B5" w14:textId="77777777" w:rsidR="00C61717" w:rsidRPr="00B74B0F" w:rsidRDefault="00906CF8" w:rsidP="005502DD">
            <w:pPr>
              <w:keepNext/>
              <w:spacing w:line="240" w:lineRule="auto"/>
              <w:contextualSpacing/>
              <w:jc w:val="both"/>
              <w:rPr>
                <w:szCs w:val="22"/>
                <w:lang w:val="sr-Latn-ME"/>
              </w:rPr>
            </w:pPr>
            <w:r w:rsidRPr="00B74B0F">
              <w:rPr>
                <w:szCs w:val="22"/>
                <w:lang w:val="sr-Latn-ME"/>
              </w:rPr>
              <w:t>52</w:t>
            </w:r>
            <w:r w:rsidR="00AC3660" w:rsidRPr="00B74B0F">
              <w:rPr>
                <w:szCs w:val="22"/>
                <w:vertAlign w:val="superscript"/>
                <w:lang w:val="sr-Latn-ME"/>
              </w:rPr>
              <w:t>g</w:t>
            </w:r>
          </w:p>
        </w:tc>
        <w:tc>
          <w:tcPr>
            <w:tcW w:w="787" w:type="dxa"/>
            <w:vAlign w:val="center"/>
          </w:tcPr>
          <w:p w14:paraId="2C6C556A" w14:textId="77777777" w:rsidR="00C61717" w:rsidRPr="00B74B0F" w:rsidRDefault="00906CF8" w:rsidP="00585915">
            <w:pPr>
              <w:keepNext/>
              <w:spacing w:line="240" w:lineRule="auto"/>
              <w:contextualSpacing/>
              <w:jc w:val="both"/>
              <w:rPr>
                <w:szCs w:val="22"/>
                <w:lang w:val="sr-Latn-ME"/>
              </w:rPr>
            </w:pPr>
            <w:r w:rsidRPr="00B74B0F">
              <w:rPr>
                <w:szCs w:val="22"/>
                <w:lang w:val="sr-Latn-ME"/>
              </w:rPr>
              <w:t>15</w:t>
            </w:r>
          </w:p>
        </w:tc>
        <w:tc>
          <w:tcPr>
            <w:tcW w:w="833" w:type="dxa"/>
            <w:vAlign w:val="center"/>
          </w:tcPr>
          <w:p w14:paraId="5315A07E" w14:textId="77777777" w:rsidR="00C61717" w:rsidRPr="00B74B0F" w:rsidRDefault="00906CF8" w:rsidP="002602C0">
            <w:pPr>
              <w:keepNext/>
              <w:spacing w:line="240" w:lineRule="auto"/>
              <w:contextualSpacing/>
              <w:jc w:val="both"/>
              <w:rPr>
                <w:szCs w:val="22"/>
                <w:lang w:val="sr-Latn-ME"/>
              </w:rPr>
            </w:pPr>
            <w:r w:rsidRPr="00B74B0F">
              <w:rPr>
                <w:szCs w:val="22"/>
                <w:lang w:val="sr-Latn-ME"/>
              </w:rPr>
              <w:t>42</w:t>
            </w:r>
            <w:r w:rsidR="006B7EA8" w:rsidRPr="00B74B0F">
              <w:rPr>
                <w:szCs w:val="22"/>
                <w:vertAlign w:val="superscript"/>
                <w:lang w:val="sr-Latn-ME"/>
              </w:rPr>
              <w:t>g</w:t>
            </w:r>
          </w:p>
        </w:tc>
        <w:tc>
          <w:tcPr>
            <w:tcW w:w="720" w:type="dxa"/>
            <w:vAlign w:val="center"/>
          </w:tcPr>
          <w:p w14:paraId="7FBAEB92" w14:textId="77777777" w:rsidR="00C61717" w:rsidRPr="00B74B0F" w:rsidRDefault="00906CF8" w:rsidP="00777B52">
            <w:pPr>
              <w:keepNext/>
              <w:spacing w:line="240" w:lineRule="auto"/>
              <w:contextualSpacing/>
              <w:jc w:val="both"/>
              <w:rPr>
                <w:szCs w:val="22"/>
                <w:lang w:val="sr-Latn-ME"/>
              </w:rPr>
            </w:pPr>
            <w:r w:rsidRPr="00B74B0F">
              <w:rPr>
                <w:szCs w:val="22"/>
                <w:lang w:val="sr-Latn-ME"/>
              </w:rPr>
              <w:t>15</w:t>
            </w:r>
          </w:p>
        </w:tc>
        <w:tc>
          <w:tcPr>
            <w:tcW w:w="877" w:type="dxa"/>
            <w:vAlign w:val="center"/>
          </w:tcPr>
          <w:p w14:paraId="40EC2C29" w14:textId="77777777" w:rsidR="00C61717" w:rsidRPr="00B74B0F" w:rsidRDefault="00906CF8" w:rsidP="00343D6C">
            <w:pPr>
              <w:keepNext/>
              <w:spacing w:line="240" w:lineRule="auto"/>
              <w:contextualSpacing/>
              <w:jc w:val="both"/>
              <w:rPr>
                <w:szCs w:val="22"/>
                <w:lang w:val="sr-Latn-ME"/>
              </w:rPr>
            </w:pPr>
            <w:r w:rsidRPr="00B74B0F">
              <w:rPr>
                <w:szCs w:val="22"/>
                <w:lang w:val="sr-Latn-ME"/>
              </w:rPr>
              <w:t>38</w:t>
            </w:r>
            <w:r w:rsidR="006B7EA8" w:rsidRPr="00B74B0F">
              <w:rPr>
                <w:szCs w:val="22"/>
                <w:vertAlign w:val="superscript"/>
                <w:lang w:val="sr-Latn-ME"/>
              </w:rPr>
              <w:t>g</w:t>
            </w:r>
          </w:p>
        </w:tc>
        <w:tc>
          <w:tcPr>
            <w:tcW w:w="630" w:type="dxa"/>
            <w:vAlign w:val="center"/>
          </w:tcPr>
          <w:p w14:paraId="3F66FEEE" w14:textId="77777777" w:rsidR="00C61717" w:rsidRPr="00B74B0F" w:rsidRDefault="00906CF8" w:rsidP="005C649D">
            <w:pPr>
              <w:keepNext/>
              <w:spacing w:line="240" w:lineRule="auto"/>
              <w:contextualSpacing/>
              <w:jc w:val="both"/>
              <w:rPr>
                <w:szCs w:val="22"/>
                <w:lang w:val="sr-Latn-ME"/>
              </w:rPr>
            </w:pPr>
            <w:r w:rsidRPr="00B74B0F">
              <w:rPr>
                <w:szCs w:val="22"/>
                <w:lang w:val="sr-Latn-ME"/>
              </w:rPr>
              <w:t>15</w:t>
            </w:r>
          </w:p>
        </w:tc>
        <w:tc>
          <w:tcPr>
            <w:tcW w:w="840" w:type="dxa"/>
            <w:gridSpan w:val="2"/>
            <w:vAlign w:val="center"/>
          </w:tcPr>
          <w:p w14:paraId="6D4EC8B9" w14:textId="77777777" w:rsidR="00C61717" w:rsidRPr="00B74B0F" w:rsidRDefault="00906CF8" w:rsidP="00A30C3C">
            <w:pPr>
              <w:keepNext/>
              <w:spacing w:line="240" w:lineRule="auto"/>
              <w:contextualSpacing/>
              <w:jc w:val="both"/>
              <w:rPr>
                <w:szCs w:val="22"/>
                <w:lang w:val="sr-Latn-ME"/>
              </w:rPr>
            </w:pPr>
            <w:r w:rsidRPr="00B74B0F">
              <w:rPr>
                <w:szCs w:val="22"/>
                <w:lang w:val="sr-Latn-ME"/>
              </w:rPr>
              <w:t>45</w:t>
            </w:r>
            <w:r w:rsidR="006B7EA8" w:rsidRPr="00B74B0F">
              <w:rPr>
                <w:szCs w:val="22"/>
                <w:vertAlign w:val="superscript"/>
                <w:lang w:val="sr-Latn-ME"/>
              </w:rPr>
              <w:t>g</w:t>
            </w:r>
            <w:r w:rsidRPr="00B74B0F">
              <w:rPr>
                <w:szCs w:val="22"/>
                <w:vertAlign w:val="superscript"/>
                <w:lang w:val="sr-Latn-ME"/>
              </w:rPr>
              <w:t>,h</w:t>
            </w:r>
          </w:p>
        </w:tc>
        <w:tc>
          <w:tcPr>
            <w:tcW w:w="803" w:type="dxa"/>
            <w:vAlign w:val="center"/>
          </w:tcPr>
          <w:p w14:paraId="0277605D" w14:textId="77777777" w:rsidR="00C61717" w:rsidRPr="00B74B0F" w:rsidRDefault="00906CF8" w:rsidP="00A30C3C">
            <w:pPr>
              <w:keepNext/>
              <w:spacing w:line="240" w:lineRule="auto"/>
              <w:contextualSpacing/>
              <w:jc w:val="both"/>
              <w:rPr>
                <w:szCs w:val="22"/>
                <w:lang w:val="sr-Latn-ME"/>
              </w:rPr>
            </w:pPr>
            <w:r w:rsidRPr="00B74B0F">
              <w:rPr>
                <w:szCs w:val="22"/>
                <w:lang w:val="sr-Latn-ME"/>
              </w:rPr>
              <w:t>29</w:t>
            </w:r>
          </w:p>
        </w:tc>
        <w:tc>
          <w:tcPr>
            <w:tcW w:w="607" w:type="dxa"/>
            <w:vAlign w:val="center"/>
          </w:tcPr>
          <w:p w14:paraId="38B88CB4" w14:textId="77777777" w:rsidR="00C61717" w:rsidRPr="00B74B0F" w:rsidRDefault="00906CF8" w:rsidP="00A30C3C">
            <w:pPr>
              <w:keepNext/>
              <w:spacing w:line="240" w:lineRule="auto"/>
              <w:contextualSpacing/>
              <w:jc w:val="both"/>
              <w:rPr>
                <w:szCs w:val="22"/>
                <w:lang w:val="sr-Latn-ME"/>
              </w:rPr>
            </w:pPr>
            <w:r w:rsidRPr="00B74B0F">
              <w:rPr>
                <w:szCs w:val="22"/>
                <w:lang w:val="sr-Latn-ME"/>
              </w:rPr>
              <w:t>12</w:t>
            </w:r>
          </w:p>
        </w:tc>
        <w:tc>
          <w:tcPr>
            <w:tcW w:w="716" w:type="dxa"/>
            <w:gridSpan w:val="2"/>
            <w:vAlign w:val="center"/>
          </w:tcPr>
          <w:p w14:paraId="1AFAA2B9" w14:textId="77777777" w:rsidR="00C61717" w:rsidRPr="00B74B0F" w:rsidRDefault="00906CF8" w:rsidP="00A30C3C">
            <w:pPr>
              <w:keepNext/>
              <w:spacing w:line="240" w:lineRule="auto"/>
              <w:contextualSpacing/>
              <w:jc w:val="both"/>
              <w:rPr>
                <w:szCs w:val="22"/>
                <w:lang w:val="sr-Latn-ME"/>
              </w:rPr>
            </w:pPr>
            <w:r w:rsidRPr="00B74B0F">
              <w:rPr>
                <w:szCs w:val="22"/>
                <w:lang w:val="sr-Latn-ME"/>
              </w:rPr>
              <w:t>34</w:t>
            </w:r>
            <w:r w:rsidR="00D16E03" w:rsidRPr="00B74B0F">
              <w:rPr>
                <w:szCs w:val="22"/>
                <w:vertAlign w:val="superscript"/>
                <w:lang w:val="sr-Latn-ME"/>
              </w:rPr>
              <w:t>g</w:t>
            </w:r>
          </w:p>
        </w:tc>
      </w:tr>
      <w:tr w:rsidR="008B14C4" w:rsidRPr="00B74B0F" w14:paraId="6FBEE85E" w14:textId="77777777" w:rsidTr="00BE568C">
        <w:trPr>
          <w:cantSplit/>
          <w:trHeight w:val="359"/>
        </w:trPr>
        <w:tc>
          <w:tcPr>
            <w:tcW w:w="988" w:type="dxa"/>
            <w:vAlign w:val="center"/>
          </w:tcPr>
          <w:p w14:paraId="0F8F15C2" w14:textId="77777777" w:rsidR="00C61717" w:rsidRPr="00B74B0F" w:rsidRDefault="00906CF8" w:rsidP="009F5809">
            <w:pPr>
              <w:keepNext/>
              <w:spacing w:line="240" w:lineRule="auto"/>
              <w:contextualSpacing/>
              <w:jc w:val="both"/>
              <w:rPr>
                <w:szCs w:val="22"/>
                <w:lang w:val="sr-Latn-ME"/>
              </w:rPr>
            </w:pPr>
            <w:r w:rsidRPr="00B74B0F">
              <w:rPr>
                <w:szCs w:val="22"/>
                <w:lang w:val="sr-Latn-ME"/>
              </w:rPr>
              <w:t>24</w:t>
            </w:r>
            <w:r w:rsidRPr="00B74B0F">
              <w:rPr>
                <w:szCs w:val="22"/>
                <w:vertAlign w:val="superscript"/>
                <w:lang w:val="sr-Latn-ME"/>
              </w:rPr>
              <w:t>c</w:t>
            </w:r>
            <w:r w:rsidRPr="00B74B0F">
              <w:rPr>
                <w:szCs w:val="22"/>
                <w:lang w:val="sr-Latn-ME"/>
              </w:rPr>
              <w:t>/26</w:t>
            </w:r>
            <w:r w:rsidRPr="00B74B0F">
              <w:rPr>
                <w:szCs w:val="22"/>
                <w:vertAlign w:val="superscript"/>
                <w:lang w:val="sr-Latn-ME"/>
              </w:rPr>
              <w:t>d</w:t>
            </w:r>
          </w:p>
        </w:tc>
        <w:tc>
          <w:tcPr>
            <w:tcW w:w="740" w:type="dxa"/>
            <w:vAlign w:val="center"/>
          </w:tcPr>
          <w:p w14:paraId="7F426A52" w14:textId="77777777" w:rsidR="00C61717" w:rsidRPr="00B74B0F" w:rsidRDefault="00906CF8" w:rsidP="00181F44">
            <w:pPr>
              <w:keepNext/>
              <w:spacing w:line="240" w:lineRule="auto"/>
              <w:contextualSpacing/>
              <w:jc w:val="both"/>
              <w:rPr>
                <w:szCs w:val="22"/>
                <w:lang w:val="sr-Latn-ME"/>
              </w:rPr>
            </w:pPr>
            <w:r w:rsidRPr="00B74B0F">
              <w:rPr>
                <w:szCs w:val="22"/>
                <w:lang w:val="sr-Latn-ME"/>
              </w:rPr>
              <w:t>33</w:t>
            </w:r>
          </w:p>
        </w:tc>
        <w:tc>
          <w:tcPr>
            <w:tcW w:w="810" w:type="dxa"/>
            <w:vAlign w:val="center"/>
          </w:tcPr>
          <w:p w14:paraId="31F5CA7E" w14:textId="77777777" w:rsidR="00C61717" w:rsidRPr="00B74B0F" w:rsidRDefault="00906CF8" w:rsidP="005502DD">
            <w:pPr>
              <w:keepNext/>
              <w:spacing w:line="240" w:lineRule="auto"/>
              <w:contextualSpacing/>
              <w:jc w:val="both"/>
              <w:rPr>
                <w:szCs w:val="22"/>
                <w:lang w:val="sr-Latn-ME"/>
              </w:rPr>
            </w:pPr>
            <w:r w:rsidRPr="00B74B0F">
              <w:rPr>
                <w:szCs w:val="22"/>
                <w:lang w:val="sr-Latn-ME"/>
              </w:rPr>
              <w:t>60</w:t>
            </w:r>
            <w:r w:rsidRPr="00B74B0F">
              <w:rPr>
                <w:szCs w:val="22"/>
                <w:vertAlign w:val="superscript"/>
                <w:lang w:val="sr-Latn-ME"/>
              </w:rPr>
              <w:t>e</w:t>
            </w:r>
          </w:p>
        </w:tc>
        <w:tc>
          <w:tcPr>
            <w:tcW w:w="787" w:type="dxa"/>
            <w:shd w:val="clear" w:color="auto" w:fill="7F7F7F" w:themeFill="text1" w:themeFillTint="80"/>
            <w:vAlign w:val="center"/>
          </w:tcPr>
          <w:p w14:paraId="3D66239B"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1270D75D"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0E02CD66"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1C8E87E4"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auto"/>
            <w:vAlign w:val="center"/>
          </w:tcPr>
          <w:p w14:paraId="22FFF465" w14:textId="77777777" w:rsidR="00C61717" w:rsidRPr="00B74B0F" w:rsidRDefault="00906CF8" w:rsidP="005C649D">
            <w:pPr>
              <w:keepNext/>
              <w:spacing w:line="240" w:lineRule="auto"/>
              <w:contextualSpacing/>
              <w:jc w:val="both"/>
              <w:rPr>
                <w:szCs w:val="22"/>
                <w:lang w:val="sr-Latn-ME"/>
              </w:rPr>
            </w:pPr>
            <w:r w:rsidRPr="00B74B0F">
              <w:rPr>
                <w:szCs w:val="22"/>
                <w:lang w:val="sr-Latn-ME"/>
              </w:rPr>
              <w:t>21</w:t>
            </w:r>
          </w:p>
        </w:tc>
        <w:tc>
          <w:tcPr>
            <w:tcW w:w="840" w:type="dxa"/>
            <w:gridSpan w:val="2"/>
            <w:vAlign w:val="center"/>
          </w:tcPr>
          <w:p w14:paraId="504F93DE" w14:textId="77777777" w:rsidR="00C61717" w:rsidRPr="00B74B0F" w:rsidRDefault="00906CF8" w:rsidP="00A30C3C">
            <w:pPr>
              <w:keepNext/>
              <w:spacing w:line="240" w:lineRule="auto"/>
              <w:contextualSpacing/>
              <w:jc w:val="both"/>
              <w:rPr>
                <w:szCs w:val="22"/>
                <w:lang w:val="sr-Latn-ME"/>
              </w:rPr>
            </w:pPr>
            <w:r w:rsidRPr="00B74B0F">
              <w:rPr>
                <w:szCs w:val="22"/>
                <w:lang w:val="sr-Latn-ME"/>
              </w:rPr>
              <w:t>54</w:t>
            </w:r>
            <w:r w:rsidR="006B7EA8" w:rsidRPr="00B74B0F">
              <w:rPr>
                <w:szCs w:val="22"/>
                <w:vertAlign w:val="superscript"/>
                <w:lang w:val="sr-Latn-ME"/>
              </w:rPr>
              <w:t>g</w:t>
            </w:r>
            <w:r w:rsidRPr="00B74B0F">
              <w:rPr>
                <w:szCs w:val="22"/>
                <w:vertAlign w:val="superscript"/>
                <w:lang w:val="sr-Latn-ME"/>
              </w:rPr>
              <w:t>,h</w:t>
            </w:r>
          </w:p>
        </w:tc>
        <w:tc>
          <w:tcPr>
            <w:tcW w:w="803" w:type="dxa"/>
            <w:vAlign w:val="center"/>
          </w:tcPr>
          <w:p w14:paraId="17E888F0" w14:textId="77777777" w:rsidR="00C61717" w:rsidRPr="00B74B0F" w:rsidRDefault="00906CF8" w:rsidP="00A30C3C">
            <w:pPr>
              <w:keepNext/>
              <w:spacing w:line="240" w:lineRule="auto"/>
              <w:contextualSpacing/>
              <w:jc w:val="both"/>
              <w:rPr>
                <w:szCs w:val="22"/>
                <w:lang w:val="sr-Latn-ME"/>
              </w:rPr>
            </w:pPr>
            <w:r w:rsidRPr="00B74B0F">
              <w:rPr>
                <w:szCs w:val="22"/>
                <w:lang w:val="sr-Latn-ME"/>
              </w:rPr>
              <w:t>42</w:t>
            </w:r>
          </w:p>
        </w:tc>
        <w:tc>
          <w:tcPr>
            <w:tcW w:w="607" w:type="dxa"/>
            <w:shd w:val="clear" w:color="auto" w:fill="7F7F7F" w:themeFill="text1" w:themeFillTint="80"/>
            <w:vAlign w:val="center"/>
          </w:tcPr>
          <w:p w14:paraId="4EDA1822"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1FDCABFE" w14:textId="77777777" w:rsidR="00C61717" w:rsidRPr="00B74B0F" w:rsidRDefault="00C61717" w:rsidP="00A30C3C">
            <w:pPr>
              <w:keepNext/>
              <w:spacing w:line="240" w:lineRule="auto"/>
              <w:contextualSpacing/>
              <w:jc w:val="both"/>
              <w:rPr>
                <w:szCs w:val="22"/>
                <w:lang w:val="sr-Latn-ME"/>
              </w:rPr>
            </w:pPr>
          </w:p>
        </w:tc>
      </w:tr>
      <w:tr w:rsidR="008B14C4" w:rsidRPr="00B74B0F" w14:paraId="7DEAA1B0" w14:textId="77777777" w:rsidTr="00BE568C">
        <w:trPr>
          <w:cantSplit/>
          <w:trHeight w:val="341"/>
        </w:trPr>
        <w:tc>
          <w:tcPr>
            <w:tcW w:w="988" w:type="dxa"/>
            <w:vAlign w:val="center"/>
          </w:tcPr>
          <w:p w14:paraId="09E547BA" w14:textId="77777777" w:rsidR="00C61717" w:rsidRPr="00B74B0F" w:rsidRDefault="00906CF8" w:rsidP="009F5809">
            <w:pPr>
              <w:keepNext/>
              <w:spacing w:line="240" w:lineRule="auto"/>
              <w:contextualSpacing/>
              <w:jc w:val="both"/>
              <w:rPr>
                <w:szCs w:val="22"/>
                <w:lang w:val="sr-Latn-ME"/>
              </w:rPr>
            </w:pPr>
            <w:r w:rsidRPr="00B74B0F">
              <w:rPr>
                <w:szCs w:val="22"/>
                <w:lang w:val="sr-Latn-ME"/>
              </w:rPr>
              <w:t>48</w:t>
            </w:r>
          </w:p>
        </w:tc>
        <w:tc>
          <w:tcPr>
            <w:tcW w:w="740" w:type="dxa"/>
            <w:vAlign w:val="center"/>
          </w:tcPr>
          <w:p w14:paraId="3BFD5B80" w14:textId="77777777" w:rsidR="00C61717" w:rsidRPr="00B74B0F" w:rsidRDefault="00906CF8" w:rsidP="00181F44">
            <w:pPr>
              <w:keepNext/>
              <w:spacing w:line="240" w:lineRule="auto"/>
              <w:contextualSpacing/>
              <w:jc w:val="both"/>
              <w:rPr>
                <w:szCs w:val="22"/>
                <w:lang w:val="sr-Latn-ME"/>
              </w:rPr>
            </w:pPr>
            <w:r w:rsidRPr="00B74B0F">
              <w:rPr>
                <w:szCs w:val="22"/>
                <w:lang w:val="sr-Latn-ME"/>
              </w:rPr>
              <w:t>43</w:t>
            </w:r>
          </w:p>
        </w:tc>
        <w:tc>
          <w:tcPr>
            <w:tcW w:w="810" w:type="dxa"/>
            <w:vAlign w:val="center"/>
          </w:tcPr>
          <w:p w14:paraId="01AC086F" w14:textId="77777777" w:rsidR="00C61717" w:rsidRPr="00B74B0F" w:rsidRDefault="00906CF8" w:rsidP="005502DD">
            <w:pPr>
              <w:keepNext/>
              <w:spacing w:line="240" w:lineRule="auto"/>
              <w:contextualSpacing/>
              <w:jc w:val="both"/>
              <w:rPr>
                <w:szCs w:val="22"/>
                <w:lang w:val="sr-Latn-ME"/>
              </w:rPr>
            </w:pPr>
            <w:r w:rsidRPr="00B74B0F">
              <w:rPr>
                <w:szCs w:val="22"/>
                <w:lang w:val="sr-Latn-ME"/>
              </w:rPr>
              <w:t>63</w:t>
            </w:r>
            <w:r w:rsidR="00AC3660" w:rsidRPr="00B74B0F">
              <w:rPr>
                <w:szCs w:val="22"/>
                <w:vertAlign w:val="superscript"/>
                <w:lang w:val="sr-Latn-ME"/>
              </w:rPr>
              <w:t>g</w:t>
            </w:r>
          </w:p>
        </w:tc>
        <w:tc>
          <w:tcPr>
            <w:tcW w:w="787" w:type="dxa"/>
            <w:shd w:val="clear" w:color="auto" w:fill="7F7F7F" w:themeFill="text1" w:themeFillTint="80"/>
            <w:vAlign w:val="center"/>
          </w:tcPr>
          <w:p w14:paraId="3FCC3003"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175ACAF2"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112866F4"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56026B97"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7F7F7F" w:themeFill="text1" w:themeFillTint="80"/>
            <w:vAlign w:val="center"/>
          </w:tcPr>
          <w:p w14:paraId="35E66E9A" w14:textId="77777777" w:rsidR="00C61717" w:rsidRPr="00B74B0F" w:rsidRDefault="00C61717" w:rsidP="005C649D">
            <w:pPr>
              <w:keepNext/>
              <w:spacing w:line="240" w:lineRule="auto"/>
              <w:contextualSpacing/>
              <w:jc w:val="both"/>
              <w:rPr>
                <w:szCs w:val="22"/>
                <w:lang w:val="sr-Latn-ME"/>
              </w:rPr>
            </w:pPr>
          </w:p>
        </w:tc>
        <w:tc>
          <w:tcPr>
            <w:tcW w:w="840" w:type="dxa"/>
            <w:gridSpan w:val="2"/>
            <w:vAlign w:val="center"/>
          </w:tcPr>
          <w:p w14:paraId="642DCF41" w14:textId="77777777" w:rsidR="00C61717" w:rsidRPr="00B74B0F" w:rsidRDefault="00906CF8" w:rsidP="00A30C3C">
            <w:pPr>
              <w:keepNext/>
              <w:spacing w:line="240" w:lineRule="auto"/>
              <w:contextualSpacing/>
              <w:jc w:val="both"/>
              <w:rPr>
                <w:szCs w:val="22"/>
                <w:lang w:val="sr-Latn-ME"/>
              </w:rPr>
            </w:pPr>
            <w:r w:rsidRPr="00B74B0F">
              <w:rPr>
                <w:szCs w:val="22"/>
                <w:lang w:val="sr-Latn-ME"/>
              </w:rPr>
              <w:t>49</w:t>
            </w:r>
            <w:r w:rsidRPr="00B74B0F">
              <w:rPr>
                <w:szCs w:val="22"/>
                <w:vertAlign w:val="superscript"/>
                <w:lang w:val="sr-Latn-ME"/>
              </w:rPr>
              <w:t>i</w:t>
            </w:r>
          </w:p>
        </w:tc>
        <w:tc>
          <w:tcPr>
            <w:tcW w:w="803" w:type="dxa"/>
            <w:vAlign w:val="center"/>
          </w:tcPr>
          <w:p w14:paraId="4C74CB20" w14:textId="77777777" w:rsidR="00C61717" w:rsidRPr="00B74B0F" w:rsidRDefault="00906CF8" w:rsidP="00A30C3C">
            <w:pPr>
              <w:keepNext/>
              <w:spacing w:line="240" w:lineRule="auto"/>
              <w:contextualSpacing/>
              <w:jc w:val="both"/>
              <w:rPr>
                <w:szCs w:val="22"/>
                <w:lang w:val="sr-Latn-ME"/>
              </w:rPr>
            </w:pPr>
            <w:r w:rsidRPr="00B74B0F">
              <w:rPr>
                <w:szCs w:val="22"/>
                <w:lang w:val="sr-Latn-ME"/>
              </w:rPr>
              <w:t>40</w:t>
            </w:r>
          </w:p>
        </w:tc>
        <w:tc>
          <w:tcPr>
            <w:tcW w:w="607" w:type="dxa"/>
            <w:shd w:val="clear" w:color="auto" w:fill="7F7F7F" w:themeFill="text1" w:themeFillTint="80"/>
            <w:vAlign w:val="center"/>
          </w:tcPr>
          <w:p w14:paraId="37A174A6"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4804DEF8" w14:textId="77777777" w:rsidR="00C61717" w:rsidRPr="00B74B0F" w:rsidRDefault="00C61717" w:rsidP="00A30C3C">
            <w:pPr>
              <w:keepNext/>
              <w:spacing w:line="240" w:lineRule="auto"/>
              <w:contextualSpacing/>
              <w:jc w:val="both"/>
              <w:rPr>
                <w:szCs w:val="22"/>
                <w:lang w:val="sr-Latn-ME"/>
              </w:rPr>
            </w:pPr>
          </w:p>
        </w:tc>
      </w:tr>
      <w:tr w:rsidR="003A2D26" w:rsidRPr="00B74B0F" w14:paraId="0498EC8F" w14:textId="77777777" w:rsidTr="00200D71">
        <w:trPr>
          <w:cantSplit/>
          <w:trHeight w:val="278"/>
        </w:trPr>
        <w:tc>
          <w:tcPr>
            <w:tcW w:w="9351" w:type="dxa"/>
            <w:gridSpan w:val="14"/>
            <w:vAlign w:val="center"/>
          </w:tcPr>
          <w:p w14:paraId="2D49D5B9" w14:textId="418E165C" w:rsidR="00C61717" w:rsidRPr="00B74B0F" w:rsidRDefault="00906CF8" w:rsidP="00777B52">
            <w:pPr>
              <w:keepNext/>
              <w:spacing w:line="240" w:lineRule="auto"/>
              <w:contextualSpacing/>
              <w:jc w:val="center"/>
              <w:rPr>
                <w:szCs w:val="22"/>
                <w:lang w:val="sr-Latn-ME"/>
              </w:rPr>
            </w:pPr>
            <w:r w:rsidRPr="00B74B0F">
              <w:rPr>
                <w:b/>
                <w:szCs w:val="22"/>
                <w:lang w:val="sr-Latn-ME"/>
              </w:rPr>
              <w:t xml:space="preserve">ACR70 (% </w:t>
            </w:r>
            <w:r w:rsidR="00BB59FC" w:rsidRPr="00B74B0F">
              <w:rPr>
                <w:b/>
                <w:szCs w:val="22"/>
                <w:lang w:val="sr-Latn-ME"/>
              </w:rPr>
              <w:t>pacijenata</w:t>
            </w:r>
            <w:r w:rsidRPr="00B74B0F">
              <w:rPr>
                <w:b/>
                <w:szCs w:val="22"/>
                <w:lang w:val="sr-Latn-ME"/>
              </w:rPr>
              <w:t>)</w:t>
            </w:r>
          </w:p>
        </w:tc>
      </w:tr>
      <w:tr w:rsidR="003A2D26" w:rsidRPr="00B74B0F" w14:paraId="7666775B" w14:textId="77777777" w:rsidTr="00BE568C">
        <w:trPr>
          <w:cantSplit/>
          <w:trHeight w:val="278"/>
        </w:trPr>
        <w:tc>
          <w:tcPr>
            <w:tcW w:w="988" w:type="dxa"/>
            <w:vAlign w:val="center"/>
          </w:tcPr>
          <w:p w14:paraId="79B7CEF6" w14:textId="77777777" w:rsidR="00C61717" w:rsidRPr="00B74B0F" w:rsidRDefault="00906CF8" w:rsidP="009F5809">
            <w:pPr>
              <w:keepNext/>
              <w:spacing w:line="240" w:lineRule="auto"/>
              <w:contextualSpacing/>
              <w:jc w:val="both"/>
              <w:rPr>
                <w:szCs w:val="22"/>
                <w:lang w:val="sr-Latn-ME"/>
              </w:rPr>
            </w:pPr>
            <w:r w:rsidRPr="00B74B0F">
              <w:rPr>
                <w:szCs w:val="22"/>
                <w:lang w:val="sr-Latn-ME"/>
              </w:rPr>
              <w:t>12</w:t>
            </w:r>
            <w:r w:rsidRPr="00B74B0F">
              <w:rPr>
                <w:szCs w:val="22"/>
                <w:vertAlign w:val="superscript"/>
                <w:lang w:val="sr-Latn-ME"/>
              </w:rPr>
              <w:t>a</w:t>
            </w:r>
            <w:r w:rsidRPr="00B74B0F">
              <w:rPr>
                <w:szCs w:val="22"/>
                <w:lang w:val="sr-Latn-ME"/>
              </w:rPr>
              <w:t>/14</w:t>
            </w:r>
            <w:r w:rsidRPr="00B74B0F">
              <w:rPr>
                <w:szCs w:val="22"/>
                <w:vertAlign w:val="superscript"/>
                <w:lang w:val="sr-Latn-ME"/>
              </w:rPr>
              <w:t>b</w:t>
            </w:r>
          </w:p>
        </w:tc>
        <w:tc>
          <w:tcPr>
            <w:tcW w:w="740" w:type="dxa"/>
            <w:vAlign w:val="center"/>
          </w:tcPr>
          <w:p w14:paraId="1B8BA93B" w14:textId="77777777" w:rsidR="00C61717" w:rsidRPr="00B74B0F" w:rsidRDefault="00906CF8" w:rsidP="00181F44">
            <w:pPr>
              <w:keepNext/>
              <w:spacing w:line="240" w:lineRule="auto"/>
              <w:contextualSpacing/>
              <w:jc w:val="both"/>
              <w:rPr>
                <w:szCs w:val="22"/>
                <w:lang w:val="sr-Latn-ME"/>
              </w:rPr>
            </w:pPr>
            <w:r w:rsidRPr="00B74B0F">
              <w:rPr>
                <w:szCs w:val="22"/>
                <w:lang w:val="sr-Latn-ME"/>
              </w:rPr>
              <w:t>14</w:t>
            </w:r>
          </w:p>
        </w:tc>
        <w:tc>
          <w:tcPr>
            <w:tcW w:w="810" w:type="dxa"/>
            <w:vAlign w:val="center"/>
          </w:tcPr>
          <w:p w14:paraId="57E80BA2" w14:textId="77777777" w:rsidR="00C61717" w:rsidRPr="00B74B0F" w:rsidRDefault="00906CF8" w:rsidP="005502DD">
            <w:pPr>
              <w:keepNext/>
              <w:spacing w:line="240" w:lineRule="auto"/>
              <w:contextualSpacing/>
              <w:jc w:val="both"/>
              <w:rPr>
                <w:szCs w:val="22"/>
                <w:lang w:val="sr-Latn-ME"/>
              </w:rPr>
            </w:pPr>
            <w:r w:rsidRPr="00B74B0F">
              <w:rPr>
                <w:szCs w:val="22"/>
                <w:lang w:val="sr-Latn-ME"/>
              </w:rPr>
              <w:t>32</w:t>
            </w:r>
            <w:r w:rsidR="00AC3660" w:rsidRPr="00B74B0F">
              <w:rPr>
                <w:szCs w:val="22"/>
                <w:vertAlign w:val="superscript"/>
                <w:lang w:val="sr-Latn-ME"/>
              </w:rPr>
              <w:t>g</w:t>
            </w:r>
          </w:p>
        </w:tc>
        <w:tc>
          <w:tcPr>
            <w:tcW w:w="787" w:type="dxa"/>
            <w:vAlign w:val="center"/>
          </w:tcPr>
          <w:p w14:paraId="7C131F76" w14:textId="77777777" w:rsidR="00C61717" w:rsidRPr="00B74B0F" w:rsidRDefault="00906CF8" w:rsidP="00585915">
            <w:pPr>
              <w:keepNext/>
              <w:spacing w:line="240" w:lineRule="auto"/>
              <w:contextualSpacing/>
              <w:jc w:val="both"/>
              <w:rPr>
                <w:szCs w:val="22"/>
                <w:lang w:val="sr-Latn-ME"/>
              </w:rPr>
            </w:pPr>
            <w:r w:rsidRPr="00B74B0F">
              <w:rPr>
                <w:szCs w:val="22"/>
                <w:lang w:val="sr-Latn-ME"/>
              </w:rPr>
              <w:t>3</w:t>
            </w:r>
          </w:p>
        </w:tc>
        <w:tc>
          <w:tcPr>
            <w:tcW w:w="833" w:type="dxa"/>
            <w:vAlign w:val="center"/>
          </w:tcPr>
          <w:p w14:paraId="04AAFB5D" w14:textId="77777777" w:rsidR="00C61717" w:rsidRPr="00B74B0F" w:rsidRDefault="00906CF8" w:rsidP="002602C0">
            <w:pPr>
              <w:keepNext/>
              <w:spacing w:line="240" w:lineRule="auto"/>
              <w:contextualSpacing/>
              <w:jc w:val="both"/>
              <w:rPr>
                <w:szCs w:val="22"/>
                <w:lang w:val="sr-Latn-ME"/>
              </w:rPr>
            </w:pPr>
            <w:r w:rsidRPr="00B74B0F">
              <w:rPr>
                <w:szCs w:val="22"/>
                <w:lang w:val="sr-Latn-ME"/>
              </w:rPr>
              <w:t>23</w:t>
            </w:r>
            <w:r w:rsidR="00D16E03" w:rsidRPr="00B74B0F">
              <w:rPr>
                <w:szCs w:val="22"/>
                <w:vertAlign w:val="superscript"/>
                <w:lang w:val="sr-Latn-ME"/>
              </w:rPr>
              <w:t>g</w:t>
            </w:r>
          </w:p>
        </w:tc>
        <w:tc>
          <w:tcPr>
            <w:tcW w:w="720" w:type="dxa"/>
            <w:vAlign w:val="center"/>
          </w:tcPr>
          <w:p w14:paraId="2E79DE40" w14:textId="77777777" w:rsidR="00C61717" w:rsidRPr="00B74B0F" w:rsidRDefault="00906CF8" w:rsidP="00777B52">
            <w:pPr>
              <w:keepNext/>
              <w:spacing w:line="240" w:lineRule="auto"/>
              <w:contextualSpacing/>
              <w:jc w:val="both"/>
              <w:rPr>
                <w:szCs w:val="22"/>
                <w:lang w:val="sr-Latn-ME"/>
              </w:rPr>
            </w:pPr>
            <w:r w:rsidRPr="00B74B0F">
              <w:rPr>
                <w:szCs w:val="22"/>
                <w:lang w:val="sr-Latn-ME"/>
              </w:rPr>
              <w:t>6</w:t>
            </w:r>
          </w:p>
        </w:tc>
        <w:tc>
          <w:tcPr>
            <w:tcW w:w="877" w:type="dxa"/>
            <w:vAlign w:val="center"/>
          </w:tcPr>
          <w:p w14:paraId="14501153" w14:textId="77777777" w:rsidR="00C61717" w:rsidRPr="00B74B0F" w:rsidRDefault="00906CF8" w:rsidP="00343D6C">
            <w:pPr>
              <w:keepNext/>
              <w:spacing w:line="240" w:lineRule="auto"/>
              <w:contextualSpacing/>
              <w:jc w:val="both"/>
              <w:rPr>
                <w:szCs w:val="22"/>
                <w:lang w:val="sr-Latn-ME"/>
              </w:rPr>
            </w:pPr>
            <w:r w:rsidRPr="00B74B0F">
              <w:rPr>
                <w:szCs w:val="22"/>
                <w:lang w:val="sr-Latn-ME"/>
              </w:rPr>
              <w:t>21</w:t>
            </w:r>
            <w:r w:rsidR="00D16E03" w:rsidRPr="00B74B0F">
              <w:rPr>
                <w:szCs w:val="22"/>
                <w:vertAlign w:val="superscript"/>
                <w:lang w:val="sr-Latn-ME"/>
              </w:rPr>
              <w:t>g</w:t>
            </w:r>
          </w:p>
        </w:tc>
        <w:tc>
          <w:tcPr>
            <w:tcW w:w="630" w:type="dxa"/>
            <w:vAlign w:val="center"/>
          </w:tcPr>
          <w:p w14:paraId="5EB548FC" w14:textId="77777777" w:rsidR="00C61717" w:rsidRPr="00B74B0F" w:rsidRDefault="00906CF8" w:rsidP="005C649D">
            <w:pPr>
              <w:keepNext/>
              <w:spacing w:line="240" w:lineRule="auto"/>
              <w:contextualSpacing/>
              <w:jc w:val="both"/>
              <w:rPr>
                <w:szCs w:val="22"/>
                <w:lang w:val="sr-Latn-ME"/>
              </w:rPr>
            </w:pPr>
            <w:r w:rsidRPr="00B74B0F">
              <w:rPr>
                <w:szCs w:val="22"/>
                <w:lang w:val="sr-Latn-ME"/>
              </w:rPr>
              <w:t>5</w:t>
            </w:r>
          </w:p>
        </w:tc>
        <w:tc>
          <w:tcPr>
            <w:tcW w:w="840" w:type="dxa"/>
            <w:gridSpan w:val="2"/>
            <w:vAlign w:val="center"/>
          </w:tcPr>
          <w:p w14:paraId="6BBDCF59" w14:textId="77777777" w:rsidR="00C61717" w:rsidRPr="00B74B0F" w:rsidRDefault="00906CF8" w:rsidP="00A30C3C">
            <w:pPr>
              <w:keepNext/>
              <w:spacing w:line="240" w:lineRule="auto"/>
              <w:contextualSpacing/>
              <w:jc w:val="both"/>
              <w:rPr>
                <w:szCs w:val="22"/>
                <w:lang w:val="sr-Latn-ME"/>
              </w:rPr>
            </w:pPr>
            <w:r w:rsidRPr="00B74B0F">
              <w:rPr>
                <w:szCs w:val="22"/>
                <w:lang w:val="sr-Latn-ME"/>
              </w:rPr>
              <w:t>25</w:t>
            </w:r>
            <w:r w:rsidR="00D16E03" w:rsidRPr="00B74B0F">
              <w:rPr>
                <w:szCs w:val="22"/>
                <w:vertAlign w:val="superscript"/>
                <w:lang w:val="sr-Latn-ME"/>
              </w:rPr>
              <w:t>g</w:t>
            </w:r>
            <w:r w:rsidRPr="00B74B0F">
              <w:rPr>
                <w:szCs w:val="22"/>
                <w:vertAlign w:val="superscript"/>
                <w:lang w:val="sr-Latn-ME"/>
              </w:rPr>
              <w:t>,h</w:t>
            </w:r>
          </w:p>
        </w:tc>
        <w:tc>
          <w:tcPr>
            <w:tcW w:w="803" w:type="dxa"/>
            <w:vAlign w:val="center"/>
          </w:tcPr>
          <w:p w14:paraId="6BC8876F" w14:textId="77777777" w:rsidR="00C61717" w:rsidRPr="00B74B0F" w:rsidRDefault="00906CF8" w:rsidP="00A30C3C">
            <w:pPr>
              <w:keepNext/>
              <w:spacing w:line="240" w:lineRule="auto"/>
              <w:contextualSpacing/>
              <w:jc w:val="both"/>
              <w:rPr>
                <w:szCs w:val="22"/>
                <w:lang w:val="sr-Latn-ME"/>
              </w:rPr>
            </w:pPr>
            <w:r w:rsidRPr="00B74B0F">
              <w:rPr>
                <w:szCs w:val="22"/>
                <w:lang w:val="sr-Latn-ME"/>
              </w:rPr>
              <w:t>13</w:t>
            </w:r>
          </w:p>
        </w:tc>
        <w:tc>
          <w:tcPr>
            <w:tcW w:w="607" w:type="dxa"/>
            <w:vAlign w:val="center"/>
          </w:tcPr>
          <w:p w14:paraId="0700A224" w14:textId="77777777" w:rsidR="00C61717" w:rsidRPr="00B74B0F" w:rsidRDefault="00906CF8" w:rsidP="00A30C3C">
            <w:pPr>
              <w:keepNext/>
              <w:spacing w:line="240" w:lineRule="auto"/>
              <w:contextualSpacing/>
              <w:jc w:val="both"/>
              <w:rPr>
                <w:szCs w:val="22"/>
                <w:lang w:val="sr-Latn-ME"/>
              </w:rPr>
            </w:pPr>
            <w:r w:rsidRPr="00B74B0F">
              <w:rPr>
                <w:szCs w:val="22"/>
                <w:lang w:val="sr-Latn-ME"/>
              </w:rPr>
              <w:t>7</w:t>
            </w:r>
          </w:p>
        </w:tc>
        <w:tc>
          <w:tcPr>
            <w:tcW w:w="716" w:type="dxa"/>
            <w:gridSpan w:val="2"/>
            <w:vAlign w:val="center"/>
          </w:tcPr>
          <w:p w14:paraId="3E58F973" w14:textId="77777777" w:rsidR="00C61717" w:rsidRPr="00B74B0F" w:rsidRDefault="00906CF8" w:rsidP="00A30C3C">
            <w:pPr>
              <w:keepNext/>
              <w:spacing w:line="240" w:lineRule="auto"/>
              <w:contextualSpacing/>
              <w:jc w:val="both"/>
              <w:rPr>
                <w:szCs w:val="22"/>
                <w:lang w:val="sr-Latn-ME"/>
              </w:rPr>
            </w:pPr>
            <w:r w:rsidRPr="00B74B0F">
              <w:rPr>
                <w:szCs w:val="22"/>
                <w:lang w:val="sr-Latn-ME"/>
              </w:rPr>
              <w:t>12</w:t>
            </w:r>
          </w:p>
        </w:tc>
      </w:tr>
      <w:tr w:rsidR="008B14C4" w:rsidRPr="00B74B0F" w14:paraId="3956CB00" w14:textId="77777777" w:rsidTr="00BE568C">
        <w:trPr>
          <w:cantSplit/>
          <w:trHeight w:val="278"/>
        </w:trPr>
        <w:tc>
          <w:tcPr>
            <w:tcW w:w="988" w:type="dxa"/>
            <w:vAlign w:val="center"/>
          </w:tcPr>
          <w:p w14:paraId="53FDE24E" w14:textId="77777777" w:rsidR="00C61717" w:rsidRPr="00B74B0F" w:rsidRDefault="00906CF8" w:rsidP="009F5809">
            <w:pPr>
              <w:keepNext/>
              <w:spacing w:line="240" w:lineRule="auto"/>
              <w:contextualSpacing/>
              <w:jc w:val="both"/>
              <w:rPr>
                <w:szCs w:val="22"/>
                <w:lang w:val="sr-Latn-ME"/>
              </w:rPr>
            </w:pPr>
            <w:r w:rsidRPr="00B74B0F">
              <w:rPr>
                <w:szCs w:val="22"/>
                <w:lang w:val="sr-Latn-ME"/>
              </w:rPr>
              <w:t>24</w:t>
            </w:r>
            <w:r w:rsidRPr="00B74B0F">
              <w:rPr>
                <w:szCs w:val="22"/>
                <w:vertAlign w:val="superscript"/>
                <w:lang w:val="sr-Latn-ME"/>
              </w:rPr>
              <w:t>c</w:t>
            </w:r>
            <w:r w:rsidRPr="00B74B0F">
              <w:rPr>
                <w:szCs w:val="22"/>
                <w:lang w:val="sr-Latn-ME"/>
              </w:rPr>
              <w:t>/26</w:t>
            </w:r>
            <w:r w:rsidRPr="00B74B0F">
              <w:rPr>
                <w:szCs w:val="22"/>
                <w:vertAlign w:val="superscript"/>
                <w:lang w:val="sr-Latn-ME"/>
              </w:rPr>
              <w:t>d</w:t>
            </w:r>
          </w:p>
        </w:tc>
        <w:tc>
          <w:tcPr>
            <w:tcW w:w="740" w:type="dxa"/>
            <w:vAlign w:val="center"/>
          </w:tcPr>
          <w:p w14:paraId="4DDFBB1A" w14:textId="77777777" w:rsidR="00C61717" w:rsidRPr="00B74B0F" w:rsidRDefault="00906CF8" w:rsidP="00181F44">
            <w:pPr>
              <w:keepNext/>
              <w:spacing w:line="240" w:lineRule="auto"/>
              <w:contextualSpacing/>
              <w:jc w:val="both"/>
              <w:rPr>
                <w:szCs w:val="22"/>
                <w:lang w:val="sr-Latn-ME"/>
              </w:rPr>
            </w:pPr>
            <w:r w:rsidRPr="00B74B0F">
              <w:rPr>
                <w:szCs w:val="22"/>
                <w:lang w:val="sr-Latn-ME"/>
              </w:rPr>
              <w:t>18</w:t>
            </w:r>
          </w:p>
        </w:tc>
        <w:tc>
          <w:tcPr>
            <w:tcW w:w="810" w:type="dxa"/>
            <w:vAlign w:val="center"/>
          </w:tcPr>
          <w:p w14:paraId="1B19BC73" w14:textId="77777777" w:rsidR="00C61717" w:rsidRPr="00B74B0F" w:rsidRDefault="00906CF8" w:rsidP="005502DD">
            <w:pPr>
              <w:keepNext/>
              <w:spacing w:line="240" w:lineRule="auto"/>
              <w:contextualSpacing/>
              <w:jc w:val="both"/>
              <w:rPr>
                <w:szCs w:val="22"/>
                <w:lang w:val="sr-Latn-ME"/>
              </w:rPr>
            </w:pPr>
            <w:r w:rsidRPr="00B74B0F">
              <w:rPr>
                <w:szCs w:val="22"/>
                <w:lang w:val="sr-Latn-ME"/>
              </w:rPr>
              <w:t>44</w:t>
            </w:r>
            <w:r w:rsidR="00AC3660" w:rsidRPr="00B74B0F">
              <w:rPr>
                <w:szCs w:val="22"/>
                <w:vertAlign w:val="superscript"/>
                <w:lang w:val="sr-Latn-ME"/>
              </w:rPr>
              <w:t>g</w:t>
            </w:r>
          </w:p>
        </w:tc>
        <w:tc>
          <w:tcPr>
            <w:tcW w:w="787" w:type="dxa"/>
            <w:shd w:val="clear" w:color="auto" w:fill="7F7F7F" w:themeFill="text1" w:themeFillTint="80"/>
            <w:vAlign w:val="center"/>
          </w:tcPr>
          <w:p w14:paraId="455F3FC0"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721D7686"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6F58E159"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3FC9F81C"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auto"/>
            <w:vAlign w:val="center"/>
          </w:tcPr>
          <w:p w14:paraId="42402FDA" w14:textId="77777777" w:rsidR="00C61717" w:rsidRPr="00B74B0F" w:rsidRDefault="00906CF8" w:rsidP="005C649D">
            <w:pPr>
              <w:keepNext/>
              <w:spacing w:line="240" w:lineRule="auto"/>
              <w:contextualSpacing/>
              <w:jc w:val="both"/>
              <w:rPr>
                <w:szCs w:val="22"/>
                <w:lang w:val="sr-Latn-ME"/>
              </w:rPr>
            </w:pPr>
            <w:r w:rsidRPr="00B74B0F">
              <w:rPr>
                <w:szCs w:val="22"/>
                <w:lang w:val="sr-Latn-ME"/>
              </w:rPr>
              <w:t>10</w:t>
            </w:r>
          </w:p>
        </w:tc>
        <w:tc>
          <w:tcPr>
            <w:tcW w:w="840" w:type="dxa"/>
            <w:gridSpan w:val="2"/>
            <w:vAlign w:val="center"/>
          </w:tcPr>
          <w:p w14:paraId="33788454" w14:textId="77777777" w:rsidR="00C61717" w:rsidRPr="00B74B0F" w:rsidRDefault="00906CF8" w:rsidP="00A30C3C">
            <w:pPr>
              <w:keepNext/>
              <w:spacing w:line="240" w:lineRule="auto"/>
              <w:contextualSpacing/>
              <w:jc w:val="both"/>
              <w:rPr>
                <w:szCs w:val="22"/>
                <w:lang w:val="sr-Latn-ME"/>
              </w:rPr>
            </w:pPr>
            <w:r w:rsidRPr="00B74B0F">
              <w:rPr>
                <w:szCs w:val="22"/>
                <w:lang w:val="sr-Latn-ME"/>
              </w:rPr>
              <w:t>35</w:t>
            </w:r>
            <w:r w:rsidR="00D16E03" w:rsidRPr="00B74B0F">
              <w:rPr>
                <w:szCs w:val="22"/>
                <w:vertAlign w:val="superscript"/>
                <w:lang w:val="sr-Latn-ME"/>
              </w:rPr>
              <w:t>g</w:t>
            </w:r>
            <w:r w:rsidRPr="00B74B0F">
              <w:rPr>
                <w:szCs w:val="22"/>
                <w:vertAlign w:val="superscript"/>
                <w:lang w:val="sr-Latn-ME"/>
              </w:rPr>
              <w:t>,h</w:t>
            </w:r>
          </w:p>
        </w:tc>
        <w:tc>
          <w:tcPr>
            <w:tcW w:w="803" w:type="dxa"/>
            <w:vAlign w:val="center"/>
          </w:tcPr>
          <w:p w14:paraId="317964F5" w14:textId="77777777" w:rsidR="00C61717" w:rsidRPr="00B74B0F" w:rsidRDefault="00906CF8" w:rsidP="00A30C3C">
            <w:pPr>
              <w:keepNext/>
              <w:spacing w:line="240" w:lineRule="auto"/>
              <w:contextualSpacing/>
              <w:jc w:val="both"/>
              <w:rPr>
                <w:szCs w:val="22"/>
                <w:lang w:val="sr-Latn-ME"/>
              </w:rPr>
            </w:pPr>
            <w:r w:rsidRPr="00B74B0F">
              <w:rPr>
                <w:szCs w:val="22"/>
                <w:lang w:val="sr-Latn-ME"/>
              </w:rPr>
              <w:t>23</w:t>
            </w:r>
          </w:p>
        </w:tc>
        <w:tc>
          <w:tcPr>
            <w:tcW w:w="607" w:type="dxa"/>
            <w:shd w:val="clear" w:color="auto" w:fill="7F7F7F" w:themeFill="text1" w:themeFillTint="80"/>
            <w:vAlign w:val="center"/>
          </w:tcPr>
          <w:p w14:paraId="1922C7B3"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6653D672" w14:textId="77777777" w:rsidR="00C61717" w:rsidRPr="00B74B0F" w:rsidRDefault="00C61717" w:rsidP="00A30C3C">
            <w:pPr>
              <w:keepNext/>
              <w:spacing w:line="240" w:lineRule="auto"/>
              <w:contextualSpacing/>
              <w:jc w:val="both"/>
              <w:rPr>
                <w:szCs w:val="22"/>
                <w:lang w:val="sr-Latn-ME"/>
              </w:rPr>
            </w:pPr>
          </w:p>
        </w:tc>
      </w:tr>
      <w:tr w:rsidR="008B14C4" w:rsidRPr="00B74B0F" w14:paraId="65C21852" w14:textId="77777777" w:rsidTr="00BE568C">
        <w:trPr>
          <w:cantSplit/>
          <w:trHeight w:val="278"/>
        </w:trPr>
        <w:tc>
          <w:tcPr>
            <w:tcW w:w="988" w:type="dxa"/>
            <w:vAlign w:val="center"/>
          </w:tcPr>
          <w:p w14:paraId="51B694F1" w14:textId="77777777" w:rsidR="00C61717" w:rsidRPr="00B74B0F" w:rsidRDefault="00906CF8" w:rsidP="009F5809">
            <w:pPr>
              <w:keepNext/>
              <w:spacing w:line="240" w:lineRule="auto"/>
              <w:contextualSpacing/>
              <w:jc w:val="both"/>
              <w:rPr>
                <w:szCs w:val="22"/>
                <w:lang w:val="sr-Latn-ME"/>
              </w:rPr>
            </w:pPr>
            <w:r w:rsidRPr="00B74B0F">
              <w:rPr>
                <w:szCs w:val="22"/>
                <w:lang w:val="sr-Latn-ME"/>
              </w:rPr>
              <w:t>48</w:t>
            </w:r>
          </w:p>
        </w:tc>
        <w:tc>
          <w:tcPr>
            <w:tcW w:w="740" w:type="dxa"/>
            <w:vAlign w:val="center"/>
          </w:tcPr>
          <w:p w14:paraId="647CC880" w14:textId="77777777" w:rsidR="00C61717" w:rsidRPr="00B74B0F" w:rsidRDefault="00906CF8" w:rsidP="00181F44">
            <w:pPr>
              <w:keepNext/>
              <w:spacing w:line="240" w:lineRule="auto"/>
              <w:contextualSpacing/>
              <w:jc w:val="both"/>
              <w:rPr>
                <w:szCs w:val="22"/>
                <w:lang w:val="sr-Latn-ME"/>
              </w:rPr>
            </w:pPr>
            <w:r w:rsidRPr="00B74B0F">
              <w:rPr>
                <w:szCs w:val="22"/>
                <w:lang w:val="sr-Latn-ME"/>
              </w:rPr>
              <w:t>29</w:t>
            </w:r>
          </w:p>
        </w:tc>
        <w:tc>
          <w:tcPr>
            <w:tcW w:w="810" w:type="dxa"/>
            <w:vAlign w:val="center"/>
          </w:tcPr>
          <w:p w14:paraId="2224C65F" w14:textId="77777777" w:rsidR="00C61717" w:rsidRPr="00B74B0F" w:rsidRDefault="00906CF8" w:rsidP="005502DD">
            <w:pPr>
              <w:keepNext/>
              <w:spacing w:line="240" w:lineRule="auto"/>
              <w:contextualSpacing/>
              <w:jc w:val="both"/>
              <w:rPr>
                <w:szCs w:val="22"/>
                <w:lang w:val="sr-Latn-ME"/>
              </w:rPr>
            </w:pPr>
            <w:r w:rsidRPr="00B74B0F">
              <w:rPr>
                <w:szCs w:val="22"/>
                <w:lang w:val="sr-Latn-ME"/>
              </w:rPr>
              <w:t>51</w:t>
            </w:r>
            <w:r w:rsidR="00AC3660" w:rsidRPr="00B74B0F">
              <w:rPr>
                <w:szCs w:val="22"/>
                <w:vertAlign w:val="superscript"/>
                <w:lang w:val="sr-Latn-ME"/>
              </w:rPr>
              <w:t>g</w:t>
            </w:r>
          </w:p>
        </w:tc>
        <w:tc>
          <w:tcPr>
            <w:tcW w:w="787" w:type="dxa"/>
            <w:shd w:val="clear" w:color="auto" w:fill="7F7F7F" w:themeFill="text1" w:themeFillTint="80"/>
            <w:vAlign w:val="center"/>
          </w:tcPr>
          <w:p w14:paraId="77DAE541"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2399D80A"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6001C0FC"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3E557D15"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7F7F7F" w:themeFill="text1" w:themeFillTint="80"/>
            <w:vAlign w:val="center"/>
          </w:tcPr>
          <w:p w14:paraId="70AC59EE" w14:textId="77777777" w:rsidR="00C61717" w:rsidRPr="00B74B0F" w:rsidRDefault="00C61717" w:rsidP="005C649D">
            <w:pPr>
              <w:keepNext/>
              <w:spacing w:line="240" w:lineRule="auto"/>
              <w:contextualSpacing/>
              <w:jc w:val="both"/>
              <w:rPr>
                <w:szCs w:val="22"/>
                <w:lang w:val="sr-Latn-ME"/>
              </w:rPr>
            </w:pPr>
          </w:p>
        </w:tc>
        <w:tc>
          <w:tcPr>
            <w:tcW w:w="840" w:type="dxa"/>
            <w:gridSpan w:val="2"/>
            <w:vAlign w:val="center"/>
          </w:tcPr>
          <w:p w14:paraId="1F02EE5B" w14:textId="77777777" w:rsidR="00C61717" w:rsidRPr="00B74B0F" w:rsidRDefault="00906CF8" w:rsidP="00A30C3C">
            <w:pPr>
              <w:keepNext/>
              <w:spacing w:line="240" w:lineRule="auto"/>
              <w:contextualSpacing/>
              <w:jc w:val="both"/>
              <w:rPr>
                <w:szCs w:val="22"/>
                <w:lang w:val="sr-Latn-ME"/>
              </w:rPr>
            </w:pPr>
            <w:r w:rsidRPr="00B74B0F">
              <w:rPr>
                <w:szCs w:val="22"/>
                <w:lang w:val="sr-Latn-ME"/>
              </w:rPr>
              <w:t>36</w:t>
            </w:r>
            <w:r w:rsidRPr="00B74B0F">
              <w:rPr>
                <w:szCs w:val="22"/>
                <w:vertAlign w:val="superscript"/>
                <w:lang w:val="sr-Latn-ME"/>
              </w:rPr>
              <w:t>h</w:t>
            </w:r>
          </w:p>
        </w:tc>
        <w:tc>
          <w:tcPr>
            <w:tcW w:w="803" w:type="dxa"/>
            <w:vAlign w:val="center"/>
          </w:tcPr>
          <w:p w14:paraId="4E7EEC4E" w14:textId="77777777" w:rsidR="00C61717" w:rsidRPr="00B74B0F" w:rsidRDefault="00906CF8" w:rsidP="00A30C3C">
            <w:pPr>
              <w:keepNext/>
              <w:spacing w:line="240" w:lineRule="auto"/>
              <w:contextualSpacing/>
              <w:jc w:val="both"/>
              <w:rPr>
                <w:szCs w:val="22"/>
                <w:lang w:val="sr-Latn-ME"/>
              </w:rPr>
            </w:pPr>
            <w:r w:rsidRPr="00B74B0F">
              <w:rPr>
                <w:szCs w:val="22"/>
                <w:lang w:val="sr-Latn-ME"/>
              </w:rPr>
              <w:t>23</w:t>
            </w:r>
          </w:p>
        </w:tc>
        <w:tc>
          <w:tcPr>
            <w:tcW w:w="607" w:type="dxa"/>
            <w:shd w:val="clear" w:color="auto" w:fill="7F7F7F" w:themeFill="text1" w:themeFillTint="80"/>
            <w:vAlign w:val="center"/>
          </w:tcPr>
          <w:p w14:paraId="763C3E9B"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003AAB16" w14:textId="77777777" w:rsidR="00C61717" w:rsidRPr="00B74B0F" w:rsidRDefault="00C61717" w:rsidP="00A30C3C">
            <w:pPr>
              <w:keepNext/>
              <w:spacing w:line="240" w:lineRule="auto"/>
              <w:contextualSpacing/>
              <w:jc w:val="both"/>
              <w:rPr>
                <w:szCs w:val="22"/>
                <w:lang w:val="sr-Latn-ME"/>
              </w:rPr>
            </w:pPr>
          </w:p>
        </w:tc>
      </w:tr>
      <w:tr w:rsidR="003A2D26" w:rsidRPr="00B74B0F" w14:paraId="4CB73472" w14:textId="77777777" w:rsidTr="00200D71">
        <w:trPr>
          <w:cantSplit/>
          <w:trHeight w:val="278"/>
        </w:trPr>
        <w:tc>
          <w:tcPr>
            <w:tcW w:w="9351" w:type="dxa"/>
            <w:gridSpan w:val="14"/>
            <w:vAlign w:val="center"/>
          </w:tcPr>
          <w:p w14:paraId="622BFDDF" w14:textId="2F958698" w:rsidR="00C61717" w:rsidRPr="00B74B0F" w:rsidRDefault="00413EBB" w:rsidP="00777B52">
            <w:pPr>
              <w:keepNext/>
              <w:spacing w:line="240" w:lineRule="auto"/>
              <w:contextualSpacing/>
              <w:jc w:val="center"/>
              <w:rPr>
                <w:szCs w:val="22"/>
                <w:lang w:val="sr-Latn-ME"/>
              </w:rPr>
            </w:pPr>
            <w:r w:rsidRPr="00B74B0F">
              <w:rPr>
                <w:b/>
                <w:szCs w:val="22"/>
                <w:lang w:val="sr-Latn-ME"/>
              </w:rPr>
              <w:t>C</w:t>
            </w:r>
            <w:r w:rsidR="00906CF8" w:rsidRPr="00B74B0F">
              <w:rPr>
                <w:b/>
                <w:szCs w:val="22"/>
                <w:lang w:val="sr-Latn-ME"/>
              </w:rPr>
              <w:t>DAI ≤ </w:t>
            </w:r>
            <w:r w:rsidRPr="00B74B0F">
              <w:rPr>
                <w:b/>
                <w:szCs w:val="22"/>
                <w:lang w:val="sr-Latn-ME"/>
              </w:rPr>
              <w:t>10</w:t>
            </w:r>
            <w:r w:rsidR="00906CF8" w:rsidRPr="00B74B0F">
              <w:rPr>
                <w:b/>
                <w:szCs w:val="22"/>
                <w:lang w:val="sr-Latn-ME"/>
              </w:rPr>
              <w:t xml:space="preserve"> (% </w:t>
            </w:r>
            <w:r w:rsidR="00BB59FC" w:rsidRPr="00B74B0F">
              <w:rPr>
                <w:b/>
                <w:szCs w:val="22"/>
                <w:lang w:val="sr-Latn-ME"/>
              </w:rPr>
              <w:t>pacijenata</w:t>
            </w:r>
            <w:r w:rsidR="00906CF8" w:rsidRPr="00B74B0F">
              <w:rPr>
                <w:b/>
                <w:szCs w:val="22"/>
                <w:lang w:val="sr-Latn-ME"/>
              </w:rPr>
              <w:t>)</w:t>
            </w:r>
          </w:p>
        </w:tc>
      </w:tr>
      <w:tr w:rsidR="003A2D26" w:rsidRPr="00B74B0F" w14:paraId="61C6D67F" w14:textId="77777777" w:rsidTr="00BE568C">
        <w:trPr>
          <w:cantSplit/>
          <w:trHeight w:val="278"/>
        </w:trPr>
        <w:tc>
          <w:tcPr>
            <w:tcW w:w="988" w:type="dxa"/>
            <w:vAlign w:val="center"/>
          </w:tcPr>
          <w:p w14:paraId="2B63CA7D" w14:textId="77777777" w:rsidR="00C61717" w:rsidRPr="00B74B0F" w:rsidRDefault="00906CF8" w:rsidP="009F5809">
            <w:pPr>
              <w:keepNext/>
              <w:spacing w:line="240" w:lineRule="auto"/>
              <w:contextualSpacing/>
              <w:jc w:val="both"/>
              <w:rPr>
                <w:szCs w:val="22"/>
                <w:lang w:val="sr-Latn-ME"/>
              </w:rPr>
            </w:pPr>
            <w:r w:rsidRPr="00B74B0F">
              <w:rPr>
                <w:szCs w:val="22"/>
                <w:lang w:val="sr-Latn-ME"/>
              </w:rPr>
              <w:t>12</w:t>
            </w:r>
            <w:r w:rsidRPr="00B74B0F">
              <w:rPr>
                <w:szCs w:val="22"/>
                <w:vertAlign w:val="superscript"/>
                <w:lang w:val="sr-Latn-ME"/>
              </w:rPr>
              <w:t>a</w:t>
            </w:r>
            <w:r w:rsidRPr="00B74B0F">
              <w:rPr>
                <w:szCs w:val="22"/>
                <w:lang w:val="sr-Latn-ME"/>
              </w:rPr>
              <w:t>/14</w:t>
            </w:r>
            <w:r w:rsidRPr="00B74B0F">
              <w:rPr>
                <w:szCs w:val="22"/>
                <w:vertAlign w:val="superscript"/>
                <w:lang w:val="sr-Latn-ME"/>
              </w:rPr>
              <w:t>b</w:t>
            </w:r>
          </w:p>
        </w:tc>
        <w:tc>
          <w:tcPr>
            <w:tcW w:w="740" w:type="dxa"/>
            <w:vAlign w:val="center"/>
          </w:tcPr>
          <w:p w14:paraId="2E5BE56B" w14:textId="29564BFA" w:rsidR="00C61717" w:rsidRPr="00B74B0F" w:rsidRDefault="00413EBB" w:rsidP="00181F44">
            <w:pPr>
              <w:keepNext/>
              <w:spacing w:line="240" w:lineRule="auto"/>
              <w:contextualSpacing/>
              <w:jc w:val="both"/>
              <w:rPr>
                <w:szCs w:val="22"/>
                <w:lang w:val="sr-Latn-ME"/>
              </w:rPr>
            </w:pPr>
            <w:r w:rsidRPr="00B74B0F">
              <w:rPr>
                <w:szCs w:val="22"/>
                <w:lang w:val="sr-Latn-ME"/>
              </w:rPr>
              <w:t>30</w:t>
            </w:r>
          </w:p>
        </w:tc>
        <w:tc>
          <w:tcPr>
            <w:tcW w:w="810" w:type="dxa"/>
            <w:vAlign w:val="center"/>
          </w:tcPr>
          <w:p w14:paraId="167D02B4" w14:textId="0FA183C8" w:rsidR="00C61717" w:rsidRPr="00B74B0F" w:rsidRDefault="00413EBB" w:rsidP="005502DD">
            <w:pPr>
              <w:keepNext/>
              <w:spacing w:line="240" w:lineRule="auto"/>
              <w:contextualSpacing/>
              <w:jc w:val="both"/>
              <w:rPr>
                <w:szCs w:val="22"/>
                <w:lang w:val="sr-Latn-ME"/>
              </w:rPr>
            </w:pPr>
            <w:r w:rsidRPr="00B74B0F">
              <w:rPr>
                <w:szCs w:val="22"/>
                <w:lang w:val="sr-Latn-ME"/>
              </w:rPr>
              <w:t>4</w:t>
            </w:r>
            <w:r w:rsidR="00906CF8" w:rsidRPr="00B74B0F">
              <w:rPr>
                <w:szCs w:val="22"/>
                <w:lang w:val="sr-Latn-ME"/>
              </w:rPr>
              <w:t>6</w:t>
            </w:r>
            <w:r w:rsidR="00AC3660" w:rsidRPr="00B74B0F">
              <w:rPr>
                <w:szCs w:val="22"/>
                <w:vertAlign w:val="superscript"/>
                <w:lang w:val="sr-Latn-ME"/>
              </w:rPr>
              <w:t>g</w:t>
            </w:r>
          </w:p>
        </w:tc>
        <w:tc>
          <w:tcPr>
            <w:tcW w:w="787" w:type="dxa"/>
            <w:vAlign w:val="center"/>
          </w:tcPr>
          <w:p w14:paraId="54DD7C25" w14:textId="32173BF3" w:rsidR="00C61717" w:rsidRPr="00B74B0F" w:rsidRDefault="00413EBB" w:rsidP="00585915">
            <w:pPr>
              <w:keepNext/>
              <w:spacing w:line="240" w:lineRule="auto"/>
              <w:contextualSpacing/>
              <w:jc w:val="both"/>
              <w:rPr>
                <w:szCs w:val="22"/>
                <w:lang w:val="sr-Latn-ME"/>
              </w:rPr>
            </w:pPr>
            <w:r w:rsidRPr="00B74B0F">
              <w:rPr>
                <w:szCs w:val="22"/>
                <w:lang w:val="sr-Latn-ME"/>
              </w:rPr>
              <w:t>25</w:t>
            </w:r>
          </w:p>
        </w:tc>
        <w:tc>
          <w:tcPr>
            <w:tcW w:w="833" w:type="dxa"/>
            <w:vAlign w:val="center"/>
          </w:tcPr>
          <w:p w14:paraId="4FF07F97" w14:textId="264CD126" w:rsidR="00C61717" w:rsidRPr="00B74B0F" w:rsidRDefault="00413EBB" w:rsidP="002602C0">
            <w:pPr>
              <w:keepNext/>
              <w:spacing w:line="240" w:lineRule="auto"/>
              <w:contextualSpacing/>
              <w:jc w:val="both"/>
              <w:rPr>
                <w:szCs w:val="22"/>
                <w:lang w:val="sr-Latn-ME"/>
              </w:rPr>
            </w:pPr>
            <w:r w:rsidRPr="00B74B0F">
              <w:rPr>
                <w:szCs w:val="22"/>
                <w:lang w:val="sr-Latn-ME"/>
              </w:rPr>
              <w:t>35</w:t>
            </w:r>
            <w:r w:rsidRPr="00B74B0F">
              <w:rPr>
                <w:szCs w:val="22"/>
                <w:vertAlign w:val="superscript"/>
                <w:lang w:val="sr-Latn-ME"/>
              </w:rPr>
              <w:t>l</w:t>
            </w:r>
            <w:r w:rsidRPr="00B74B0F">
              <w:rPr>
                <w:szCs w:val="22"/>
                <w:lang w:val="sr-Latn-ME"/>
              </w:rPr>
              <w:t xml:space="preserve"> </w:t>
            </w:r>
          </w:p>
        </w:tc>
        <w:tc>
          <w:tcPr>
            <w:tcW w:w="720" w:type="dxa"/>
            <w:vAlign w:val="center"/>
          </w:tcPr>
          <w:p w14:paraId="585BB020" w14:textId="0AE6EB51" w:rsidR="00C61717" w:rsidRPr="00B74B0F" w:rsidRDefault="00413EBB" w:rsidP="00777B52">
            <w:pPr>
              <w:keepNext/>
              <w:spacing w:line="240" w:lineRule="auto"/>
              <w:contextualSpacing/>
              <w:jc w:val="both"/>
              <w:rPr>
                <w:szCs w:val="22"/>
                <w:lang w:val="sr-Latn-ME"/>
              </w:rPr>
            </w:pPr>
            <w:r w:rsidRPr="00B74B0F">
              <w:rPr>
                <w:szCs w:val="22"/>
                <w:lang w:val="sr-Latn-ME"/>
              </w:rPr>
              <w:t>19</w:t>
            </w:r>
          </w:p>
        </w:tc>
        <w:tc>
          <w:tcPr>
            <w:tcW w:w="877" w:type="dxa"/>
            <w:vAlign w:val="center"/>
          </w:tcPr>
          <w:p w14:paraId="5080A785" w14:textId="2E1D1CB5" w:rsidR="00C61717" w:rsidRPr="00B74B0F" w:rsidRDefault="00413EBB" w:rsidP="00343D6C">
            <w:pPr>
              <w:keepNext/>
              <w:spacing w:line="240" w:lineRule="auto"/>
              <w:contextualSpacing/>
              <w:jc w:val="both"/>
              <w:rPr>
                <w:szCs w:val="22"/>
                <w:lang w:val="sr-Latn-ME"/>
              </w:rPr>
            </w:pPr>
            <w:r w:rsidRPr="00B74B0F">
              <w:rPr>
                <w:szCs w:val="22"/>
                <w:lang w:val="sr-Latn-ME"/>
              </w:rPr>
              <w:t>4</w:t>
            </w:r>
            <w:r w:rsidR="00906CF8" w:rsidRPr="00B74B0F">
              <w:rPr>
                <w:szCs w:val="22"/>
                <w:lang w:val="sr-Latn-ME"/>
              </w:rPr>
              <w:t>0</w:t>
            </w:r>
            <w:r w:rsidRPr="00B74B0F">
              <w:rPr>
                <w:szCs w:val="22"/>
                <w:vertAlign w:val="superscript"/>
                <w:lang w:val="sr-Latn-ME"/>
              </w:rPr>
              <w:t>e</w:t>
            </w:r>
          </w:p>
        </w:tc>
        <w:tc>
          <w:tcPr>
            <w:tcW w:w="630" w:type="dxa"/>
            <w:vAlign w:val="center"/>
          </w:tcPr>
          <w:p w14:paraId="72A788BB" w14:textId="3FC25D03" w:rsidR="00C61717" w:rsidRPr="00B74B0F" w:rsidRDefault="00413EBB" w:rsidP="005C649D">
            <w:pPr>
              <w:keepNext/>
              <w:spacing w:line="240" w:lineRule="auto"/>
              <w:contextualSpacing/>
              <w:jc w:val="both"/>
              <w:rPr>
                <w:szCs w:val="22"/>
                <w:lang w:val="sr-Latn-ME"/>
              </w:rPr>
            </w:pPr>
            <w:r w:rsidRPr="00B74B0F">
              <w:rPr>
                <w:szCs w:val="22"/>
                <w:lang w:val="sr-Latn-ME"/>
              </w:rPr>
              <w:t>16</w:t>
            </w:r>
          </w:p>
        </w:tc>
        <w:tc>
          <w:tcPr>
            <w:tcW w:w="840" w:type="dxa"/>
            <w:gridSpan w:val="2"/>
            <w:vAlign w:val="center"/>
          </w:tcPr>
          <w:p w14:paraId="203571F6" w14:textId="0C6D6BD5" w:rsidR="00C61717" w:rsidRPr="00B74B0F" w:rsidRDefault="00413EBB" w:rsidP="00A30C3C">
            <w:pPr>
              <w:keepNext/>
              <w:spacing w:line="240" w:lineRule="auto"/>
              <w:contextualSpacing/>
              <w:jc w:val="both"/>
              <w:rPr>
                <w:szCs w:val="22"/>
                <w:lang w:val="sr-Latn-ME"/>
              </w:rPr>
            </w:pPr>
            <w:r w:rsidRPr="00B74B0F">
              <w:rPr>
                <w:szCs w:val="22"/>
                <w:lang w:val="sr-Latn-ME"/>
              </w:rPr>
              <w:t>40</w:t>
            </w:r>
            <w:r w:rsidRPr="00B74B0F">
              <w:rPr>
                <w:szCs w:val="22"/>
                <w:vertAlign w:val="superscript"/>
                <w:lang w:val="sr-Latn-ME"/>
              </w:rPr>
              <w:t>e,h</w:t>
            </w:r>
          </w:p>
        </w:tc>
        <w:tc>
          <w:tcPr>
            <w:tcW w:w="803" w:type="dxa"/>
            <w:vAlign w:val="center"/>
          </w:tcPr>
          <w:p w14:paraId="3D619FF1" w14:textId="3DCA3106" w:rsidR="00C61717" w:rsidRPr="00B74B0F" w:rsidRDefault="00413EBB" w:rsidP="00A30C3C">
            <w:pPr>
              <w:keepNext/>
              <w:spacing w:line="240" w:lineRule="auto"/>
              <w:contextualSpacing/>
              <w:jc w:val="both"/>
              <w:rPr>
                <w:szCs w:val="22"/>
                <w:lang w:val="sr-Latn-ME"/>
              </w:rPr>
            </w:pPr>
            <w:r w:rsidRPr="00B74B0F">
              <w:rPr>
                <w:szCs w:val="22"/>
                <w:lang w:val="sr-Latn-ME"/>
              </w:rPr>
              <w:t>30</w:t>
            </w:r>
          </w:p>
        </w:tc>
        <w:tc>
          <w:tcPr>
            <w:tcW w:w="607" w:type="dxa"/>
            <w:vAlign w:val="center"/>
          </w:tcPr>
          <w:p w14:paraId="6541B584" w14:textId="46C721D9" w:rsidR="00C61717" w:rsidRPr="00B74B0F" w:rsidRDefault="00413EBB" w:rsidP="00A30C3C">
            <w:pPr>
              <w:keepNext/>
              <w:spacing w:line="240" w:lineRule="auto"/>
              <w:contextualSpacing/>
              <w:jc w:val="both"/>
              <w:rPr>
                <w:szCs w:val="22"/>
                <w:lang w:val="sr-Latn-ME"/>
              </w:rPr>
            </w:pPr>
            <w:r w:rsidRPr="00B74B0F">
              <w:rPr>
                <w:szCs w:val="22"/>
                <w:lang w:val="sr-Latn-ME"/>
              </w:rPr>
              <w:t>14</w:t>
            </w:r>
          </w:p>
        </w:tc>
        <w:tc>
          <w:tcPr>
            <w:tcW w:w="716" w:type="dxa"/>
            <w:gridSpan w:val="2"/>
            <w:vAlign w:val="center"/>
          </w:tcPr>
          <w:p w14:paraId="24DD8868" w14:textId="623D9A49" w:rsidR="00C61717" w:rsidRPr="00B74B0F" w:rsidRDefault="00413EBB" w:rsidP="00A30C3C">
            <w:pPr>
              <w:keepNext/>
              <w:spacing w:line="240" w:lineRule="auto"/>
              <w:contextualSpacing/>
              <w:jc w:val="both"/>
              <w:rPr>
                <w:szCs w:val="22"/>
                <w:lang w:val="sr-Latn-ME"/>
              </w:rPr>
            </w:pPr>
            <w:r w:rsidRPr="00B74B0F">
              <w:rPr>
                <w:szCs w:val="22"/>
                <w:lang w:val="sr-Latn-ME"/>
              </w:rPr>
              <w:t>32</w:t>
            </w:r>
            <w:r w:rsidRPr="00B74B0F">
              <w:rPr>
                <w:szCs w:val="22"/>
                <w:vertAlign w:val="superscript"/>
                <w:lang w:val="sr-Latn-ME"/>
              </w:rPr>
              <w:t>g</w:t>
            </w:r>
          </w:p>
        </w:tc>
      </w:tr>
      <w:tr w:rsidR="008B14C4" w:rsidRPr="00B74B0F" w14:paraId="4EF03A6A" w14:textId="77777777" w:rsidTr="00BE568C">
        <w:trPr>
          <w:cantSplit/>
          <w:trHeight w:val="278"/>
        </w:trPr>
        <w:tc>
          <w:tcPr>
            <w:tcW w:w="988" w:type="dxa"/>
            <w:vAlign w:val="center"/>
          </w:tcPr>
          <w:p w14:paraId="241FA260" w14:textId="77777777" w:rsidR="00C61717" w:rsidRPr="00B74B0F" w:rsidRDefault="00906CF8" w:rsidP="009F5809">
            <w:pPr>
              <w:keepNext/>
              <w:spacing w:line="240" w:lineRule="auto"/>
              <w:contextualSpacing/>
              <w:jc w:val="both"/>
              <w:rPr>
                <w:szCs w:val="22"/>
                <w:lang w:val="sr-Latn-ME"/>
              </w:rPr>
            </w:pPr>
            <w:r w:rsidRPr="00B74B0F">
              <w:rPr>
                <w:szCs w:val="22"/>
                <w:lang w:val="sr-Latn-ME"/>
              </w:rPr>
              <w:t>24</w:t>
            </w:r>
            <w:r w:rsidRPr="00B74B0F">
              <w:rPr>
                <w:szCs w:val="22"/>
                <w:vertAlign w:val="superscript"/>
                <w:lang w:val="sr-Latn-ME"/>
              </w:rPr>
              <w:t>c</w:t>
            </w:r>
            <w:r w:rsidRPr="00B74B0F">
              <w:rPr>
                <w:szCs w:val="22"/>
                <w:lang w:val="sr-Latn-ME"/>
              </w:rPr>
              <w:t>/26</w:t>
            </w:r>
            <w:r w:rsidRPr="00B74B0F">
              <w:rPr>
                <w:szCs w:val="22"/>
                <w:vertAlign w:val="superscript"/>
                <w:lang w:val="sr-Latn-ME"/>
              </w:rPr>
              <w:t>d</w:t>
            </w:r>
          </w:p>
        </w:tc>
        <w:tc>
          <w:tcPr>
            <w:tcW w:w="740" w:type="dxa"/>
            <w:vAlign w:val="center"/>
          </w:tcPr>
          <w:p w14:paraId="6CA5075A" w14:textId="2161D7AE" w:rsidR="00C61717" w:rsidRPr="00B74B0F" w:rsidRDefault="00413EBB" w:rsidP="00181F44">
            <w:pPr>
              <w:keepNext/>
              <w:spacing w:line="240" w:lineRule="auto"/>
              <w:contextualSpacing/>
              <w:jc w:val="both"/>
              <w:rPr>
                <w:szCs w:val="22"/>
                <w:lang w:val="sr-Latn-ME"/>
              </w:rPr>
            </w:pPr>
            <w:r w:rsidRPr="00B74B0F">
              <w:rPr>
                <w:szCs w:val="22"/>
                <w:lang w:val="sr-Latn-ME"/>
              </w:rPr>
              <w:t>38</w:t>
            </w:r>
          </w:p>
        </w:tc>
        <w:tc>
          <w:tcPr>
            <w:tcW w:w="810" w:type="dxa"/>
            <w:vAlign w:val="center"/>
          </w:tcPr>
          <w:p w14:paraId="1217F6AB" w14:textId="5FD1DF31" w:rsidR="00C61717" w:rsidRPr="00B74B0F" w:rsidRDefault="00413EBB" w:rsidP="005502DD">
            <w:pPr>
              <w:keepNext/>
              <w:spacing w:line="240" w:lineRule="auto"/>
              <w:contextualSpacing/>
              <w:jc w:val="both"/>
              <w:rPr>
                <w:szCs w:val="22"/>
                <w:lang w:val="sr-Latn-ME"/>
              </w:rPr>
            </w:pPr>
            <w:r w:rsidRPr="00B74B0F">
              <w:rPr>
                <w:szCs w:val="22"/>
                <w:lang w:val="sr-Latn-ME"/>
              </w:rPr>
              <w:t>56</w:t>
            </w:r>
            <w:r w:rsidR="00AC3660" w:rsidRPr="00B74B0F">
              <w:rPr>
                <w:szCs w:val="22"/>
                <w:vertAlign w:val="superscript"/>
                <w:lang w:val="sr-Latn-ME"/>
              </w:rPr>
              <w:t>g</w:t>
            </w:r>
          </w:p>
        </w:tc>
        <w:tc>
          <w:tcPr>
            <w:tcW w:w="787" w:type="dxa"/>
            <w:shd w:val="clear" w:color="auto" w:fill="7F7F7F" w:themeFill="text1" w:themeFillTint="80"/>
            <w:vAlign w:val="center"/>
          </w:tcPr>
          <w:p w14:paraId="3C5EB20C"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17E14B7B"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39196E59"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1FAB1CCF"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auto"/>
            <w:vAlign w:val="center"/>
          </w:tcPr>
          <w:p w14:paraId="027CE7D3" w14:textId="2F0869E8" w:rsidR="00C61717" w:rsidRPr="00B74B0F" w:rsidRDefault="00413EBB" w:rsidP="005C649D">
            <w:pPr>
              <w:keepNext/>
              <w:spacing w:line="240" w:lineRule="auto"/>
              <w:contextualSpacing/>
              <w:jc w:val="both"/>
              <w:rPr>
                <w:szCs w:val="22"/>
                <w:lang w:val="sr-Latn-ME"/>
              </w:rPr>
            </w:pPr>
            <w:r w:rsidRPr="00B74B0F">
              <w:rPr>
                <w:szCs w:val="22"/>
                <w:lang w:val="sr-Latn-ME"/>
              </w:rPr>
              <w:t>22</w:t>
            </w:r>
          </w:p>
        </w:tc>
        <w:tc>
          <w:tcPr>
            <w:tcW w:w="840" w:type="dxa"/>
            <w:gridSpan w:val="2"/>
            <w:vAlign w:val="center"/>
          </w:tcPr>
          <w:p w14:paraId="0CD64D17" w14:textId="5D37D1B1" w:rsidR="00C61717" w:rsidRPr="00B74B0F" w:rsidRDefault="00413EBB" w:rsidP="00A30C3C">
            <w:pPr>
              <w:keepNext/>
              <w:spacing w:line="240" w:lineRule="auto"/>
              <w:contextualSpacing/>
              <w:jc w:val="both"/>
              <w:rPr>
                <w:szCs w:val="22"/>
                <w:lang w:val="sr-Latn-ME"/>
              </w:rPr>
            </w:pPr>
            <w:r w:rsidRPr="00B74B0F">
              <w:rPr>
                <w:szCs w:val="22"/>
                <w:lang w:val="sr-Latn-ME"/>
              </w:rPr>
              <w:t>53</w:t>
            </w:r>
            <w:r w:rsidR="00D16E03" w:rsidRPr="00B74B0F">
              <w:rPr>
                <w:szCs w:val="22"/>
                <w:vertAlign w:val="superscript"/>
                <w:lang w:val="sr-Latn-ME"/>
              </w:rPr>
              <w:t>g</w:t>
            </w:r>
            <w:r w:rsidR="00906CF8" w:rsidRPr="00B74B0F">
              <w:rPr>
                <w:szCs w:val="22"/>
                <w:vertAlign w:val="superscript"/>
                <w:lang w:val="sr-Latn-ME"/>
              </w:rPr>
              <w:t>,h</w:t>
            </w:r>
          </w:p>
        </w:tc>
        <w:tc>
          <w:tcPr>
            <w:tcW w:w="803" w:type="dxa"/>
            <w:vAlign w:val="center"/>
          </w:tcPr>
          <w:p w14:paraId="1458311E" w14:textId="7F496E24" w:rsidR="00C61717" w:rsidRPr="00B74B0F" w:rsidRDefault="007022BB" w:rsidP="00A30C3C">
            <w:pPr>
              <w:keepNext/>
              <w:spacing w:line="240" w:lineRule="auto"/>
              <w:contextualSpacing/>
              <w:jc w:val="both"/>
              <w:rPr>
                <w:szCs w:val="22"/>
                <w:lang w:val="sr-Latn-ME"/>
              </w:rPr>
            </w:pPr>
            <w:r w:rsidRPr="00B74B0F">
              <w:rPr>
                <w:szCs w:val="22"/>
                <w:lang w:val="sr-Latn-ME"/>
              </w:rPr>
              <w:t>38</w:t>
            </w:r>
          </w:p>
        </w:tc>
        <w:tc>
          <w:tcPr>
            <w:tcW w:w="607" w:type="dxa"/>
            <w:shd w:val="clear" w:color="auto" w:fill="7F7F7F" w:themeFill="text1" w:themeFillTint="80"/>
            <w:vAlign w:val="center"/>
          </w:tcPr>
          <w:p w14:paraId="16611A7E"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26420CC2" w14:textId="77777777" w:rsidR="00C61717" w:rsidRPr="00B74B0F" w:rsidRDefault="00C61717" w:rsidP="00A30C3C">
            <w:pPr>
              <w:keepNext/>
              <w:spacing w:line="240" w:lineRule="auto"/>
              <w:contextualSpacing/>
              <w:jc w:val="both"/>
              <w:rPr>
                <w:szCs w:val="22"/>
                <w:lang w:val="sr-Latn-ME"/>
              </w:rPr>
            </w:pPr>
          </w:p>
        </w:tc>
      </w:tr>
      <w:tr w:rsidR="008B14C4" w:rsidRPr="00B74B0F" w14:paraId="3807DE87" w14:textId="77777777" w:rsidTr="00BE568C">
        <w:trPr>
          <w:cantSplit/>
          <w:trHeight w:val="278"/>
        </w:trPr>
        <w:tc>
          <w:tcPr>
            <w:tcW w:w="988" w:type="dxa"/>
            <w:vAlign w:val="center"/>
          </w:tcPr>
          <w:p w14:paraId="70FDE516" w14:textId="77777777" w:rsidR="00C61717" w:rsidRPr="00B74B0F" w:rsidRDefault="00906CF8" w:rsidP="009F5809">
            <w:pPr>
              <w:keepNext/>
              <w:spacing w:line="240" w:lineRule="auto"/>
              <w:contextualSpacing/>
              <w:jc w:val="both"/>
              <w:rPr>
                <w:szCs w:val="22"/>
                <w:lang w:val="sr-Latn-ME"/>
              </w:rPr>
            </w:pPr>
            <w:r w:rsidRPr="00B74B0F">
              <w:rPr>
                <w:szCs w:val="22"/>
                <w:lang w:val="sr-Latn-ME"/>
              </w:rPr>
              <w:t>48</w:t>
            </w:r>
          </w:p>
        </w:tc>
        <w:tc>
          <w:tcPr>
            <w:tcW w:w="740" w:type="dxa"/>
            <w:vAlign w:val="center"/>
          </w:tcPr>
          <w:p w14:paraId="574A66CA" w14:textId="6C906817" w:rsidR="00C61717" w:rsidRPr="00B74B0F" w:rsidRDefault="00413EBB" w:rsidP="00181F44">
            <w:pPr>
              <w:keepNext/>
              <w:spacing w:line="240" w:lineRule="auto"/>
              <w:contextualSpacing/>
              <w:jc w:val="both"/>
              <w:rPr>
                <w:szCs w:val="22"/>
                <w:lang w:val="sr-Latn-ME"/>
              </w:rPr>
            </w:pPr>
            <w:r w:rsidRPr="00B74B0F">
              <w:rPr>
                <w:szCs w:val="22"/>
                <w:lang w:val="sr-Latn-ME"/>
              </w:rPr>
              <w:t>43</w:t>
            </w:r>
          </w:p>
        </w:tc>
        <w:tc>
          <w:tcPr>
            <w:tcW w:w="810" w:type="dxa"/>
            <w:vAlign w:val="center"/>
          </w:tcPr>
          <w:p w14:paraId="5C563F81" w14:textId="29E1CD12" w:rsidR="00C61717" w:rsidRPr="00B74B0F" w:rsidRDefault="00413EBB" w:rsidP="005502DD">
            <w:pPr>
              <w:keepNext/>
              <w:spacing w:line="240" w:lineRule="auto"/>
              <w:contextualSpacing/>
              <w:jc w:val="both"/>
              <w:rPr>
                <w:szCs w:val="22"/>
                <w:lang w:val="sr-Latn-ME"/>
              </w:rPr>
            </w:pPr>
            <w:r w:rsidRPr="00B74B0F">
              <w:rPr>
                <w:szCs w:val="22"/>
                <w:lang w:val="sr-Latn-ME"/>
              </w:rPr>
              <w:t>60</w:t>
            </w:r>
            <w:r w:rsidR="00AC3660" w:rsidRPr="00B74B0F">
              <w:rPr>
                <w:szCs w:val="22"/>
                <w:vertAlign w:val="superscript"/>
                <w:lang w:val="sr-Latn-ME"/>
              </w:rPr>
              <w:t>g</w:t>
            </w:r>
          </w:p>
        </w:tc>
        <w:tc>
          <w:tcPr>
            <w:tcW w:w="787" w:type="dxa"/>
            <w:shd w:val="clear" w:color="auto" w:fill="7F7F7F" w:themeFill="text1" w:themeFillTint="80"/>
            <w:vAlign w:val="center"/>
          </w:tcPr>
          <w:p w14:paraId="73CF15D2" w14:textId="77777777" w:rsidR="00C61717" w:rsidRPr="00B74B0F" w:rsidRDefault="00C61717" w:rsidP="00585915">
            <w:pPr>
              <w:keepNext/>
              <w:spacing w:line="240" w:lineRule="auto"/>
              <w:contextualSpacing/>
              <w:jc w:val="both"/>
              <w:rPr>
                <w:szCs w:val="22"/>
                <w:lang w:val="sr-Latn-ME"/>
              </w:rPr>
            </w:pPr>
          </w:p>
        </w:tc>
        <w:tc>
          <w:tcPr>
            <w:tcW w:w="833" w:type="dxa"/>
            <w:shd w:val="clear" w:color="auto" w:fill="7F7F7F" w:themeFill="text1" w:themeFillTint="80"/>
            <w:vAlign w:val="center"/>
          </w:tcPr>
          <w:p w14:paraId="6A8510F3" w14:textId="77777777" w:rsidR="00C61717" w:rsidRPr="00B74B0F" w:rsidRDefault="00C61717" w:rsidP="002602C0">
            <w:pPr>
              <w:keepNext/>
              <w:spacing w:line="240" w:lineRule="auto"/>
              <w:contextualSpacing/>
              <w:jc w:val="both"/>
              <w:rPr>
                <w:szCs w:val="22"/>
                <w:lang w:val="sr-Latn-ME"/>
              </w:rPr>
            </w:pPr>
          </w:p>
        </w:tc>
        <w:tc>
          <w:tcPr>
            <w:tcW w:w="720" w:type="dxa"/>
            <w:shd w:val="clear" w:color="auto" w:fill="7F7F7F" w:themeFill="text1" w:themeFillTint="80"/>
            <w:vAlign w:val="center"/>
          </w:tcPr>
          <w:p w14:paraId="0DE81744" w14:textId="77777777" w:rsidR="00C61717" w:rsidRPr="00B74B0F" w:rsidRDefault="00C61717" w:rsidP="00777B52">
            <w:pPr>
              <w:keepNext/>
              <w:spacing w:line="240" w:lineRule="auto"/>
              <w:contextualSpacing/>
              <w:jc w:val="both"/>
              <w:rPr>
                <w:szCs w:val="22"/>
                <w:lang w:val="sr-Latn-ME"/>
              </w:rPr>
            </w:pPr>
          </w:p>
        </w:tc>
        <w:tc>
          <w:tcPr>
            <w:tcW w:w="877" w:type="dxa"/>
            <w:shd w:val="clear" w:color="auto" w:fill="7F7F7F" w:themeFill="text1" w:themeFillTint="80"/>
            <w:vAlign w:val="center"/>
          </w:tcPr>
          <w:p w14:paraId="1BD14F24" w14:textId="77777777" w:rsidR="00C61717" w:rsidRPr="00B74B0F" w:rsidRDefault="00C61717" w:rsidP="00343D6C">
            <w:pPr>
              <w:keepNext/>
              <w:spacing w:line="240" w:lineRule="auto"/>
              <w:contextualSpacing/>
              <w:jc w:val="both"/>
              <w:rPr>
                <w:szCs w:val="22"/>
                <w:lang w:val="sr-Latn-ME"/>
              </w:rPr>
            </w:pPr>
          </w:p>
        </w:tc>
        <w:tc>
          <w:tcPr>
            <w:tcW w:w="630" w:type="dxa"/>
            <w:shd w:val="clear" w:color="auto" w:fill="7F7F7F" w:themeFill="text1" w:themeFillTint="80"/>
            <w:vAlign w:val="center"/>
          </w:tcPr>
          <w:p w14:paraId="47D5DDD6" w14:textId="77777777" w:rsidR="00C61717" w:rsidRPr="00B74B0F" w:rsidRDefault="00C61717" w:rsidP="005C649D">
            <w:pPr>
              <w:keepNext/>
              <w:spacing w:line="240" w:lineRule="auto"/>
              <w:contextualSpacing/>
              <w:jc w:val="both"/>
              <w:rPr>
                <w:szCs w:val="22"/>
                <w:lang w:val="sr-Latn-ME"/>
              </w:rPr>
            </w:pPr>
          </w:p>
        </w:tc>
        <w:tc>
          <w:tcPr>
            <w:tcW w:w="840" w:type="dxa"/>
            <w:gridSpan w:val="2"/>
            <w:vAlign w:val="center"/>
          </w:tcPr>
          <w:p w14:paraId="72AC38B3" w14:textId="18AEE934" w:rsidR="00C61717" w:rsidRPr="00B74B0F" w:rsidRDefault="00413EBB" w:rsidP="00A30C3C">
            <w:pPr>
              <w:keepNext/>
              <w:spacing w:line="240" w:lineRule="auto"/>
              <w:contextualSpacing/>
              <w:jc w:val="both"/>
              <w:rPr>
                <w:szCs w:val="22"/>
                <w:lang w:val="sr-Latn-ME"/>
              </w:rPr>
            </w:pPr>
            <w:r w:rsidRPr="00B74B0F">
              <w:rPr>
                <w:szCs w:val="22"/>
                <w:lang w:val="sr-Latn-ME"/>
              </w:rPr>
              <w:t>47</w:t>
            </w:r>
            <w:r w:rsidRPr="00B74B0F">
              <w:rPr>
                <w:szCs w:val="22"/>
                <w:vertAlign w:val="superscript"/>
                <w:lang w:val="sr-Latn-ME"/>
              </w:rPr>
              <w:t>h</w:t>
            </w:r>
          </w:p>
        </w:tc>
        <w:tc>
          <w:tcPr>
            <w:tcW w:w="803" w:type="dxa"/>
            <w:vAlign w:val="center"/>
          </w:tcPr>
          <w:p w14:paraId="540822B0" w14:textId="3B81189E" w:rsidR="00C61717" w:rsidRPr="00B74B0F" w:rsidRDefault="007022BB" w:rsidP="00A30C3C">
            <w:pPr>
              <w:keepNext/>
              <w:spacing w:line="240" w:lineRule="auto"/>
              <w:contextualSpacing/>
              <w:jc w:val="both"/>
              <w:rPr>
                <w:szCs w:val="22"/>
                <w:lang w:val="sr-Latn-ME"/>
              </w:rPr>
            </w:pPr>
            <w:r w:rsidRPr="00B74B0F">
              <w:rPr>
                <w:szCs w:val="22"/>
                <w:lang w:val="sr-Latn-ME"/>
              </w:rPr>
              <w:t>34</w:t>
            </w:r>
          </w:p>
        </w:tc>
        <w:tc>
          <w:tcPr>
            <w:tcW w:w="607" w:type="dxa"/>
            <w:shd w:val="clear" w:color="auto" w:fill="7F7F7F" w:themeFill="text1" w:themeFillTint="80"/>
            <w:vAlign w:val="center"/>
          </w:tcPr>
          <w:p w14:paraId="572796EC" w14:textId="77777777" w:rsidR="00C61717" w:rsidRPr="00B74B0F" w:rsidRDefault="00C61717" w:rsidP="00A30C3C">
            <w:pPr>
              <w:keepNext/>
              <w:spacing w:line="240" w:lineRule="auto"/>
              <w:contextualSpacing/>
              <w:jc w:val="both"/>
              <w:rPr>
                <w:szCs w:val="22"/>
                <w:lang w:val="sr-Latn-ME"/>
              </w:rPr>
            </w:pPr>
          </w:p>
        </w:tc>
        <w:tc>
          <w:tcPr>
            <w:tcW w:w="716" w:type="dxa"/>
            <w:gridSpan w:val="2"/>
            <w:shd w:val="clear" w:color="auto" w:fill="7F7F7F" w:themeFill="text1" w:themeFillTint="80"/>
            <w:vAlign w:val="center"/>
          </w:tcPr>
          <w:p w14:paraId="24D5C589" w14:textId="77777777" w:rsidR="00C61717" w:rsidRPr="00B74B0F" w:rsidRDefault="00C61717" w:rsidP="00A30C3C">
            <w:pPr>
              <w:keepNext/>
              <w:spacing w:line="240" w:lineRule="auto"/>
              <w:contextualSpacing/>
              <w:jc w:val="both"/>
              <w:rPr>
                <w:szCs w:val="22"/>
                <w:lang w:val="sr-Latn-ME"/>
              </w:rPr>
            </w:pPr>
          </w:p>
        </w:tc>
      </w:tr>
      <w:tr w:rsidR="003A2D26" w:rsidRPr="00B74B0F" w14:paraId="14EE79FB" w14:textId="77777777" w:rsidTr="00200D71">
        <w:trPr>
          <w:cantSplit/>
          <w:trHeight w:val="278"/>
        </w:trPr>
        <w:tc>
          <w:tcPr>
            <w:tcW w:w="9351" w:type="dxa"/>
            <w:gridSpan w:val="14"/>
            <w:vAlign w:val="center"/>
          </w:tcPr>
          <w:p w14:paraId="7645B0FD" w14:textId="7331CE62" w:rsidR="009B41D2" w:rsidRPr="00B74B0F" w:rsidRDefault="00181042" w:rsidP="009F5809">
            <w:pPr>
              <w:keepNext/>
              <w:spacing w:line="240" w:lineRule="auto"/>
              <w:contextualSpacing/>
              <w:jc w:val="both"/>
              <w:rPr>
                <w:rFonts w:eastAsia="TimesNewRomanPSMT"/>
                <w:szCs w:val="22"/>
                <w:lang w:val="sr-Latn-ME"/>
              </w:rPr>
            </w:pPr>
            <w:r w:rsidRPr="00B74B0F">
              <w:rPr>
                <w:szCs w:val="22"/>
                <w:lang w:val="sr-Latn-ME"/>
              </w:rPr>
              <w:t>Skraćenice</w:t>
            </w:r>
            <w:r w:rsidR="00906CF8" w:rsidRPr="00B74B0F">
              <w:rPr>
                <w:szCs w:val="22"/>
                <w:lang w:val="sr-Latn-ME"/>
              </w:rPr>
              <w:t>: ACR20 (ili 50 ili 70) = poboljšanje za ≥ 20% (ili ≥ 50% ili ≥ 70%) prema kriterij</w:t>
            </w:r>
            <w:r w:rsidR="00F32579" w:rsidRPr="00B74B0F">
              <w:rPr>
                <w:szCs w:val="22"/>
                <w:lang w:val="sr-Latn-ME"/>
              </w:rPr>
              <w:t>umi</w:t>
            </w:r>
            <w:r w:rsidR="00906CF8" w:rsidRPr="00B74B0F">
              <w:rPr>
                <w:szCs w:val="22"/>
                <w:lang w:val="sr-Latn-ME"/>
              </w:rPr>
              <w:t xml:space="preserve">ma Američkog reumatološkog društva; ADA = adalimumab; CDAI (engl. </w:t>
            </w:r>
            <w:r w:rsidR="00906CF8" w:rsidRPr="00B74B0F">
              <w:rPr>
                <w:i/>
                <w:iCs/>
                <w:szCs w:val="22"/>
                <w:lang w:val="sr-Latn-ME"/>
              </w:rPr>
              <w:t>Clinical Disease Activity Index</w:t>
            </w:r>
            <w:r w:rsidR="00906CF8" w:rsidRPr="00B74B0F">
              <w:rPr>
                <w:szCs w:val="22"/>
                <w:lang w:val="sr-Latn-ME"/>
              </w:rPr>
              <w:t>) = klinički indeks aktivnosti bolesti; CRP = C</w:t>
            </w:r>
            <w:r w:rsidR="00906CF8" w:rsidRPr="00B74B0F">
              <w:rPr>
                <w:szCs w:val="22"/>
                <w:lang w:val="sr-Latn-ME"/>
              </w:rPr>
              <w:noBreakHyphen/>
              <w:t>reaktivni protein, DAS28 = indeks aktivnosti bolesti koji obuhva</w:t>
            </w:r>
            <w:r w:rsidR="0092012C" w:rsidRPr="00B74B0F">
              <w:rPr>
                <w:szCs w:val="22"/>
                <w:lang w:val="sr-Latn-ME"/>
              </w:rPr>
              <w:t>ta</w:t>
            </w:r>
            <w:r w:rsidR="00906CF8" w:rsidRPr="00B74B0F">
              <w:rPr>
                <w:szCs w:val="22"/>
                <w:lang w:val="sr-Latn-ME"/>
              </w:rPr>
              <w:t xml:space="preserve"> 28 zglobova;</w:t>
            </w:r>
            <w:r w:rsidR="007022BB" w:rsidRPr="00B74B0F">
              <w:rPr>
                <w:szCs w:val="22"/>
                <w:lang w:val="sr-Latn-ME"/>
              </w:rPr>
              <w:t xml:space="preserve"> IR = neadekvatan odgovor; LDA = Niska aktivnost bolesti;</w:t>
            </w:r>
            <w:r w:rsidR="00906CF8" w:rsidRPr="00B74B0F">
              <w:rPr>
                <w:szCs w:val="22"/>
                <w:lang w:val="sr-Latn-ME"/>
              </w:rPr>
              <w:t xml:space="preserve"> MTX = metotreksat; PBO = placebo; UPA = upadacitinib</w:t>
            </w:r>
          </w:p>
          <w:p w14:paraId="6AA3CA27" w14:textId="77777777" w:rsidR="00C61717" w:rsidRPr="00B74B0F" w:rsidRDefault="00906CF8" w:rsidP="00181F44">
            <w:pPr>
              <w:keepNext/>
              <w:spacing w:line="240" w:lineRule="auto"/>
              <w:contextualSpacing/>
              <w:jc w:val="both"/>
              <w:rPr>
                <w:szCs w:val="22"/>
                <w:lang w:val="sr-Latn-ME"/>
              </w:rPr>
            </w:pPr>
            <w:r w:rsidRPr="00B74B0F">
              <w:rPr>
                <w:szCs w:val="22"/>
                <w:vertAlign w:val="superscript"/>
                <w:lang w:val="sr-Latn-ME"/>
              </w:rPr>
              <w:t>a</w:t>
            </w:r>
            <w:r w:rsidRPr="00B74B0F">
              <w:rPr>
                <w:szCs w:val="22"/>
                <w:lang w:val="sr-Latn-ME"/>
              </w:rPr>
              <w:t xml:space="preserve"> SELECT</w:t>
            </w:r>
            <w:r w:rsidRPr="00B74B0F">
              <w:rPr>
                <w:szCs w:val="22"/>
                <w:lang w:val="sr-Latn-ME"/>
              </w:rPr>
              <w:noBreakHyphen/>
              <w:t>NEXT, SELECT</w:t>
            </w:r>
            <w:r w:rsidRPr="00B74B0F">
              <w:rPr>
                <w:szCs w:val="22"/>
                <w:lang w:val="sr-Latn-ME"/>
              </w:rPr>
              <w:noBreakHyphen/>
              <w:t>EARLY, SELECT</w:t>
            </w:r>
            <w:r w:rsidRPr="00B74B0F">
              <w:rPr>
                <w:szCs w:val="22"/>
                <w:lang w:val="sr-Latn-ME"/>
              </w:rPr>
              <w:noBreakHyphen/>
              <w:t>COMPARE, SELECT</w:t>
            </w:r>
            <w:r w:rsidRPr="00B74B0F">
              <w:rPr>
                <w:szCs w:val="22"/>
                <w:lang w:val="sr-Latn-ME"/>
              </w:rPr>
              <w:noBreakHyphen/>
              <w:t>BEYOND</w:t>
            </w:r>
          </w:p>
          <w:p w14:paraId="288F17E8" w14:textId="77777777" w:rsidR="00C61717" w:rsidRPr="00B74B0F" w:rsidRDefault="00906CF8" w:rsidP="005502DD">
            <w:pPr>
              <w:keepNext/>
              <w:spacing w:line="240" w:lineRule="auto"/>
              <w:contextualSpacing/>
              <w:jc w:val="both"/>
              <w:rPr>
                <w:szCs w:val="22"/>
                <w:lang w:val="sr-Latn-ME"/>
              </w:rPr>
            </w:pPr>
            <w:r w:rsidRPr="00B74B0F">
              <w:rPr>
                <w:szCs w:val="22"/>
                <w:vertAlign w:val="superscript"/>
                <w:lang w:val="sr-Latn-ME"/>
              </w:rPr>
              <w:t>b</w:t>
            </w:r>
            <w:r w:rsidRPr="00B74B0F">
              <w:rPr>
                <w:szCs w:val="22"/>
                <w:lang w:val="sr-Latn-ME"/>
              </w:rPr>
              <w:t xml:space="preserve"> SELECT</w:t>
            </w:r>
            <w:r w:rsidRPr="00B74B0F">
              <w:rPr>
                <w:szCs w:val="22"/>
                <w:lang w:val="sr-Latn-ME"/>
              </w:rPr>
              <w:noBreakHyphen/>
              <w:t>MONOTHERAPY</w:t>
            </w:r>
          </w:p>
          <w:p w14:paraId="1494DBAD" w14:textId="77777777" w:rsidR="00C61717" w:rsidRPr="00B74B0F" w:rsidRDefault="00906CF8" w:rsidP="00585915">
            <w:pPr>
              <w:keepNext/>
              <w:spacing w:line="240" w:lineRule="auto"/>
              <w:contextualSpacing/>
              <w:jc w:val="both"/>
              <w:rPr>
                <w:szCs w:val="22"/>
                <w:lang w:val="sr-Latn-ME"/>
              </w:rPr>
            </w:pPr>
            <w:r w:rsidRPr="00B74B0F">
              <w:rPr>
                <w:szCs w:val="22"/>
                <w:vertAlign w:val="superscript"/>
                <w:lang w:val="sr-Latn-ME"/>
              </w:rPr>
              <w:t>c</w:t>
            </w:r>
            <w:r w:rsidRPr="00B74B0F">
              <w:rPr>
                <w:szCs w:val="22"/>
                <w:lang w:val="sr-Latn-ME"/>
              </w:rPr>
              <w:t xml:space="preserve"> SELECT</w:t>
            </w:r>
            <w:r w:rsidRPr="00B74B0F">
              <w:rPr>
                <w:szCs w:val="22"/>
                <w:lang w:val="sr-Latn-ME"/>
              </w:rPr>
              <w:noBreakHyphen/>
              <w:t>EARLY</w:t>
            </w:r>
          </w:p>
          <w:p w14:paraId="2DBC3EC3" w14:textId="77777777" w:rsidR="00C61717" w:rsidRPr="00B74B0F" w:rsidRDefault="00906CF8" w:rsidP="002602C0">
            <w:pPr>
              <w:keepNext/>
              <w:spacing w:line="240" w:lineRule="auto"/>
              <w:contextualSpacing/>
              <w:jc w:val="both"/>
              <w:rPr>
                <w:szCs w:val="22"/>
                <w:lang w:val="sr-Latn-ME"/>
              </w:rPr>
            </w:pPr>
            <w:r w:rsidRPr="00B74B0F">
              <w:rPr>
                <w:szCs w:val="22"/>
                <w:vertAlign w:val="superscript"/>
                <w:lang w:val="sr-Latn-ME"/>
              </w:rPr>
              <w:t>d</w:t>
            </w:r>
            <w:r w:rsidRPr="00B74B0F">
              <w:rPr>
                <w:szCs w:val="22"/>
                <w:lang w:val="sr-Latn-ME"/>
              </w:rPr>
              <w:t xml:space="preserve"> SELECT</w:t>
            </w:r>
            <w:r w:rsidRPr="00B74B0F">
              <w:rPr>
                <w:szCs w:val="22"/>
                <w:lang w:val="sr-Latn-ME"/>
              </w:rPr>
              <w:noBreakHyphen/>
              <w:t>COMPARE</w:t>
            </w:r>
          </w:p>
          <w:p w14:paraId="29C07A2F" w14:textId="7D738635" w:rsidR="00DD0F6F" w:rsidRPr="00B74B0F" w:rsidRDefault="00906CF8" w:rsidP="00777B52">
            <w:pPr>
              <w:keepNext/>
              <w:spacing w:line="240" w:lineRule="auto"/>
              <w:contextualSpacing/>
              <w:jc w:val="both"/>
              <w:rPr>
                <w:szCs w:val="22"/>
                <w:lang w:val="sr-Latn-ME"/>
              </w:rPr>
            </w:pPr>
            <w:r w:rsidRPr="00B74B0F">
              <w:rPr>
                <w:szCs w:val="22"/>
                <w:vertAlign w:val="superscript"/>
                <w:lang w:val="sr-Latn-ME"/>
              </w:rPr>
              <w:lastRenderedPageBreak/>
              <w:t>e</w:t>
            </w:r>
            <w:r w:rsidRPr="00B74B0F">
              <w:rPr>
                <w:szCs w:val="22"/>
                <w:lang w:val="sr-Latn-ME"/>
              </w:rPr>
              <w:t xml:space="preserve"> p</w:t>
            </w:r>
            <w:r w:rsidR="008B6E64" w:rsidRPr="00B74B0F">
              <w:rPr>
                <w:szCs w:val="22"/>
                <w:lang w:val="sr-Latn-ME"/>
              </w:rPr>
              <w:noBreakHyphen/>
              <w:t>vrijednost kontroli</w:t>
            </w:r>
            <w:r w:rsidR="0092012C" w:rsidRPr="00B74B0F">
              <w:rPr>
                <w:szCs w:val="22"/>
                <w:lang w:val="sr-Latn-ME"/>
              </w:rPr>
              <w:t>s</w:t>
            </w:r>
            <w:r w:rsidR="008B6E64" w:rsidRPr="00B74B0F">
              <w:rPr>
                <w:szCs w:val="22"/>
                <w:lang w:val="sr-Latn-ME"/>
              </w:rPr>
              <w:t>ana za multiplicitet</w:t>
            </w:r>
            <w:r w:rsidRPr="00B74B0F">
              <w:rPr>
                <w:szCs w:val="22"/>
                <w:lang w:val="sr-Latn-ME"/>
              </w:rPr>
              <w:t> ≤ 0,001 za upadacitinib u odnosu na placebo ili MTX</w:t>
            </w:r>
          </w:p>
          <w:p w14:paraId="581C3184" w14:textId="4FF72AB3" w:rsidR="00C61717" w:rsidRPr="00B74B0F" w:rsidRDefault="00906CF8" w:rsidP="00343D6C">
            <w:pPr>
              <w:keepNext/>
              <w:spacing w:line="240" w:lineRule="auto"/>
              <w:contextualSpacing/>
              <w:jc w:val="both"/>
              <w:rPr>
                <w:szCs w:val="22"/>
                <w:lang w:val="sr-Latn-ME"/>
              </w:rPr>
            </w:pPr>
            <w:r w:rsidRPr="00B74B0F">
              <w:rPr>
                <w:szCs w:val="22"/>
                <w:vertAlign w:val="superscript"/>
                <w:lang w:val="sr-Latn-ME"/>
              </w:rPr>
              <w:t xml:space="preserve">f </w:t>
            </w:r>
            <w:r w:rsidRPr="00B74B0F">
              <w:rPr>
                <w:szCs w:val="22"/>
                <w:lang w:val="sr-Latn-ME"/>
              </w:rPr>
              <w:t>p</w:t>
            </w:r>
            <w:r w:rsidR="008B6E64" w:rsidRPr="00B74B0F">
              <w:rPr>
                <w:szCs w:val="22"/>
                <w:lang w:val="sr-Latn-ME"/>
              </w:rPr>
              <w:noBreakHyphen/>
              <w:t>vrijednost kontroli</w:t>
            </w:r>
            <w:r w:rsidR="0092012C" w:rsidRPr="00B74B0F">
              <w:rPr>
                <w:szCs w:val="22"/>
                <w:lang w:val="sr-Latn-ME"/>
              </w:rPr>
              <w:t>s</w:t>
            </w:r>
            <w:r w:rsidR="008B6E64" w:rsidRPr="00B74B0F">
              <w:rPr>
                <w:szCs w:val="22"/>
                <w:lang w:val="sr-Latn-ME"/>
              </w:rPr>
              <w:t>ana za multiplicitet</w:t>
            </w:r>
            <w:r w:rsidRPr="00B74B0F">
              <w:rPr>
                <w:szCs w:val="22"/>
                <w:lang w:val="sr-Latn-ME"/>
              </w:rPr>
              <w:t> ≤ 0,01 za upadacitinib u odnosu na placebo ili MTX</w:t>
            </w:r>
          </w:p>
          <w:p w14:paraId="4CA489FE" w14:textId="77777777" w:rsidR="00DD0F6F" w:rsidRPr="00B74B0F" w:rsidRDefault="00906CF8" w:rsidP="005C649D">
            <w:pPr>
              <w:keepNext/>
              <w:spacing w:line="240" w:lineRule="auto"/>
              <w:contextualSpacing/>
              <w:jc w:val="both"/>
              <w:rPr>
                <w:szCs w:val="22"/>
                <w:lang w:val="sr-Latn-ME"/>
              </w:rPr>
            </w:pPr>
            <w:r w:rsidRPr="00B74B0F">
              <w:rPr>
                <w:szCs w:val="22"/>
                <w:vertAlign w:val="superscript"/>
                <w:lang w:val="sr-Latn-ME"/>
              </w:rPr>
              <w:t xml:space="preserve">g </w:t>
            </w:r>
            <w:r w:rsidR="008B6E64" w:rsidRPr="00B74B0F">
              <w:rPr>
                <w:szCs w:val="22"/>
                <w:lang w:val="sr-Latn-ME"/>
              </w:rPr>
              <w:t>nominalna</w:t>
            </w:r>
            <w:r w:rsidR="0024775B" w:rsidRPr="00B74B0F">
              <w:rPr>
                <w:szCs w:val="22"/>
                <w:vertAlign w:val="superscript"/>
                <w:lang w:val="sr-Latn-ME"/>
              </w:rPr>
              <w:t xml:space="preserve"> </w:t>
            </w:r>
            <w:r w:rsidRPr="00B74B0F">
              <w:rPr>
                <w:szCs w:val="22"/>
                <w:lang w:val="sr-Latn-ME"/>
              </w:rPr>
              <w:t>p</w:t>
            </w:r>
            <w:r w:rsidR="008B6E64" w:rsidRPr="00B74B0F">
              <w:rPr>
                <w:szCs w:val="22"/>
                <w:lang w:val="sr-Latn-ME"/>
              </w:rPr>
              <w:noBreakHyphen/>
              <w:t>vrijednost</w:t>
            </w:r>
            <w:r w:rsidRPr="00B74B0F">
              <w:rPr>
                <w:szCs w:val="22"/>
                <w:lang w:val="sr-Latn-ME"/>
              </w:rPr>
              <w:t> ≤ 0,0</w:t>
            </w:r>
            <w:r w:rsidR="0024775B" w:rsidRPr="00B74B0F">
              <w:rPr>
                <w:szCs w:val="22"/>
                <w:lang w:val="sr-Latn-ME"/>
              </w:rPr>
              <w:t>01</w:t>
            </w:r>
            <w:r w:rsidRPr="00B74B0F">
              <w:rPr>
                <w:szCs w:val="22"/>
                <w:lang w:val="sr-Latn-ME"/>
              </w:rPr>
              <w:t xml:space="preserve"> za upadacitinib u odnosu na placebo ili MTX</w:t>
            </w:r>
          </w:p>
          <w:p w14:paraId="5F4EA479" w14:textId="77777777" w:rsidR="00C61717" w:rsidRPr="00B74B0F" w:rsidRDefault="00906CF8" w:rsidP="00A30C3C">
            <w:pPr>
              <w:keepNext/>
              <w:spacing w:line="240" w:lineRule="auto"/>
              <w:contextualSpacing/>
              <w:jc w:val="both"/>
              <w:rPr>
                <w:szCs w:val="22"/>
                <w:lang w:val="sr-Latn-ME"/>
              </w:rPr>
            </w:pPr>
            <w:r w:rsidRPr="00B74B0F">
              <w:rPr>
                <w:szCs w:val="22"/>
                <w:vertAlign w:val="superscript"/>
                <w:lang w:val="sr-Latn-ME"/>
              </w:rPr>
              <w:t>h</w:t>
            </w:r>
            <w:r w:rsidRPr="00B74B0F">
              <w:rPr>
                <w:szCs w:val="22"/>
                <w:lang w:val="sr-Latn-ME"/>
              </w:rPr>
              <w:t xml:space="preserve"> </w:t>
            </w:r>
            <w:r w:rsidR="0024775B" w:rsidRPr="00B74B0F">
              <w:rPr>
                <w:szCs w:val="22"/>
                <w:lang w:val="sr-Latn-ME"/>
              </w:rPr>
              <w:t>nominaln</w:t>
            </w:r>
            <w:r w:rsidR="008B6E64" w:rsidRPr="00B74B0F">
              <w:rPr>
                <w:szCs w:val="22"/>
                <w:lang w:val="sr-Latn-ME"/>
              </w:rPr>
              <w:t>a</w:t>
            </w:r>
            <w:r w:rsidR="0024775B" w:rsidRPr="00B74B0F">
              <w:rPr>
                <w:szCs w:val="22"/>
                <w:lang w:val="sr-Latn-ME"/>
              </w:rPr>
              <w:t xml:space="preserve"> </w:t>
            </w:r>
            <w:r w:rsidRPr="00B74B0F">
              <w:rPr>
                <w:szCs w:val="22"/>
                <w:lang w:val="sr-Latn-ME"/>
              </w:rPr>
              <w:t>p</w:t>
            </w:r>
            <w:r w:rsidR="00DD7E45" w:rsidRPr="00B74B0F">
              <w:rPr>
                <w:szCs w:val="22"/>
                <w:lang w:val="sr-Latn-ME"/>
              </w:rPr>
              <w:noBreakHyphen/>
            </w:r>
            <w:r w:rsidR="008B6E64" w:rsidRPr="00B74B0F">
              <w:rPr>
                <w:szCs w:val="22"/>
                <w:lang w:val="sr-Latn-ME"/>
              </w:rPr>
              <w:t>vrijednost</w:t>
            </w:r>
            <w:r w:rsidR="00DD7E45" w:rsidRPr="00B74B0F">
              <w:rPr>
                <w:szCs w:val="22"/>
                <w:lang w:val="sr-Latn-ME"/>
              </w:rPr>
              <w:t> </w:t>
            </w:r>
            <w:r w:rsidRPr="00B74B0F">
              <w:rPr>
                <w:szCs w:val="22"/>
                <w:lang w:val="sr-Latn-ME"/>
              </w:rPr>
              <w:t>≤ 0,001 za upadacitinib u odnosu na adalimumab</w:t>
            </w:r>
          </w:p>
          <w:p w14:paraId="67088F92" w14:textId="77777777" w:rsidR="00DD0F6F" w:rsidRPr="00B74B0F" w:rsidRDefault="00906CF8" w:rsidP="00A30C3C">
            <w:pPr>
              <w:keepNext/>
              <w:spacing w:line="240" w:lineRule="auto"/>
              <w:contextualSpacing/>
              <w:jc w:val="both"/>
              <w:rPr>
                <w:szCs w:val="22"/>
                <w:lang w:val="sr-Latn-ME"/>
              </w:rPr>
            </w:pPr>
            <w:r w:rsidRPr="00B74B0F">
              <w:rPr>
                <w:szCs w:val="22"/>
                <w:vertAlign w:val="superscript"/>
                <w:lang w:val="sr-Latn-ME"/>
              </w:rPr>
              <w:t xml:space="preserve">i </w:t>
            </w:r>
            <w:r w:rsidR="008B6E64" w:rsidRPr="00B74B0F">
              <w:rPr>
                <w:szCs w:val="22"/>
                <w:lang w:val="sr-Latn-ME"/>
              </w:rPr>
              <w:t>nominalna</w:t>
            </w:r>
            <w:r w:rsidR="0024775B" w:rsidRPr="00B74B0F">
              <w:rPr>
                <w:szCs w:val="22"/>
                <w:lang w:val="sr-Latn-ME"/>
              </w:rPr>
              <w:t xml:space="preserve"> </w:t>
            </w:r>
            <w:r w:rsidRPr="00B74B0F">
              <w:rPr>
                <w:szCs w:val="22"/>
                <w:lang w:val="sr-Latn-ME"/>
              </w:rPr>
              <w:t>p</w:t>
            </w:r>
            <w:r w:rsidR="008B6E64" w:rsidRPr="00B74B0F">
              <w:rPr>
                <w:szCs w:val="22"/>
                <w:lang w:val="sr-Latn-ME"/>
              </w:rPr>
              <w:noBreakHyphen/>
              <w:t>vrijednost</w:t>
            </w:r>
            <w:r w:rsidRPr="00B74B0F">
              <w:rPr>
                <w:szCs w:val="22"/>
                <w:lang w:val="sr-Latn-ME"/>
              </w:rPr>
              <w:t> ≤ 0,01 za upadacitinib u odnosu na adalimumab</w:t>
            </w:r>
          </w:p>
          <w:p w14:paraId="4E78B72B" w14:textId="77777777" w:rsidR="00C61717" w:rsidRPr="00B74B0F" w:rsidRDefault="00906CF8" w:rsidP="00A30C3C">
            <w:pPr>
              <w:keepNext/>
              <w:spacing w:line="240" w:lineRule="auto"/>
              <w:contextualSpacing/>
              <w:jc w:val="both"/>
              <w:rPr>
                <w:szCs w:val="22"/>
                <w:lang w:val="sr-Latn-ME"/>
              </w:rPr>
            </w:pPr>
            <w:r w:rsidRPr="00B74B0F">
              <w:rPr>
                <w:szCs w:val="22"/>
                <w:vertAlign w:val="superscript"/>
                <w:lang w:val="sr-Latn-ME"/>
              </w:rPr>
              <w:t xml:space="preserve">j </w:t>
            </w:r>
            <w:r w:rsidR="0024775B" w:rsidRPr="00B74B0F">
              <w:rPr>
                <w:szCs w:val="22"/>
                <w:lang w:val="sr-Latn-ME"/>
              </w:rPr>
              <w:t>nominaln</w:t>
            </w:r>
            <w:r w:rsidR="008B6E64" w:rsidRPr="00B74B0F">
              <w:rPr>
                <w:szCs w:val="22"/>
                <w:lang w:val="sr-Latn-ME"/>
              </w:rPr>
              <w:t>a</w:t>
            </w:r>
            <w:r w:rsidR="0024775B" w:rsidRPr="00B74B0F">
              <w:rPr>
                <w:szCs w:val="22"/>
                <w:lang w:val="sr-Latn-ME"/>
              </w:rPr>
              <w:t xml:space="preserve"> </w:t>
            </w:r>
            <w:r w:rsidRPr="00B74B0F">
              <w:rPr>
                <w:szCs w:val="22"/>
                <w:lang w:val="sr-Latn-ME"/>
              </w:rPr>
              <w:t>p</w:t>
            </w:r>
            <w:r w:rsidR="008B6E64" w:rsidRPr="00B74B0F">
              <w:rPr>
                <w:szCs w:val="22"/>
                <w:lang w:val="sr-Latn-ME"/>
              </w:rPr>
              <w:noBreakHyphen/>
              <w:t>vrijednost</w:t>
            </w:r>
            <w:r w:rsidRPr="00B74B0F">
              <w:rPr>
                <w:szCs w:val="22"/>
                <w:lang w:val="sr-Latn-ME"/>
              </w:rPr>
              <w:t> ≤ 0,05 za upadacitinib u odnosu na adalimumab</w:t>
            </w:r>
          </w:p>
          <w:p w14:paraId="7517F027" w14:textId="77777777" w:rsidR="005563F5" w:rsidRPr="00B74B0F" w:rsidRDefault="005563F5" w:rsidP="00A30C3C">
            <w:pPr>
              <w:keepNext/>
              <w:spacing w:line="240" w:lineRule="auto"/>
              <w:contextualSpacing/>
              <w:jc w:val="both"/>
              <w:rPr>
                <w:szCs w:val="22"/>
                <w:lang w:val="sr-Latn-ME"/>
              </w:rPr>
            </w:pPr>
            <w:r w:rsidRPr="00B74B0F">
              <w:rPr>
                <w:szCs w:val="22"/>
                <w:vertAlign w:val="superscript"/>
                <w:lang w:val="sr-Latn-ME"/>
              </w:rPr>
              <w:t xml:space="preserve">k </w:t>
            </w:r>
            <w:r w:rsidR="008B6E64" w:rsidRPr="00B74B0F">
              <w:rPr>
                <w:szCs w:val="22"/>
                <w:lang w:val="sr-Latn-ME"/>
              </w:rPr>
              <w:t>nominalna</w:t>
            </w:r>
            <w:r w:rsidRPr="00B74B0F">
              <w:rPr>
                <w:szCs w:val="22"/>
                <w:lang w:val="sr-Latn-ME"/>
              </w:rPr>
              <w:t xml:space="preserve"> p</w:t>
            </w:r>
            <w:r w:rsidR="008B6E64" w:rsidRPr="00B74B0F">
              <w:rPr>
                <w:szCs w:val="22"/>
                <w:lang w:val="sr-Latn-ME"/>
              </w:rPr>
              <w:noBreakHyphen/>
              <w:t xml:space="preserve">vrijednost </w:t>
            </w:r>
            <w:r w:rsidRPr="00B74B0F">
              <w:rPr>
                <w:szCs w:val="22"/>
                <w:lang w:val="sr-Latn-ME"/>
              </w:rPr>
              <w:t>≤ 0,01 za upadacitinib u odnosu na placebo ili MTX</w:t>
            </w:r>
          </w:p>
          <w:p w14:paraId="2F6E2866" w14:textId="77777777" w:rsidR="007022BB" w:rsidRPr="00B74B0F" w:rsidRDefault="007022BB" w:rsidP="00A30C3C">
            <w:pPr>
              <w:keepNext/>
              <w:spacing w:line="240" w:lineRule="auto"/>
              <w:contextualSpacing/>
              <w:jc w:val="both"/>
              <w:rPr>
                <w:szCs w:val="22"/>
                <w:lang w:val="sr-Latn-ME"/>
              </w:rPr>
            </w:pPr>
            <w:r w:rsidRPr="00B74B0F">
              <w:rPr>
                <w:szCs w:val="22"/>
                <w:vertAlign w:val="superscript"/>
                <w:lang w:val="sr-Latn-ME"/>
              </w:rPr>
              <w:t xml:space="preserve">l </w:t>
            </w:r>
            <w:r w:rsidRPr="00B74B0F">
              <w:rPr>
                <w:szCs w:val="22"/>
                <w:lang w:val="sr-Latn-ME"/>
              </w:rPr>
              <w:t>nominalna p</w:t>
            </w:r>
            <w:r w:rsidRPr="00B74B0F">
              <w:rPr>
                <w:szCs w:val="22"/>
                <w:lang w:val="sr-Latn-ME"/>
              </w:rPr>
              <w:noBreakHyphen/>
              <w:t>vrijednost &lt; 0,05 za upadacitinib u odnosu na MTX</w:t>
            </w:r>
          </w:p>
          <w:p w14:paraId="0817D261" w14:textId="283E82EB" w:rsidR="007022BB" w:rsidRPr="00B74B0F" w:rsidRDefault="007022BB" w:rsidP="00A30C3C">
            <w:pPr>
              <w:keepNext/>
              <w:spacing w:line="240" w:lineRule="auto"/>
              <w:contextualSpacing/>
              <w:jc w:val="both"/>
              <w:rPr>
                <w:szCs w:val="22"/>
                <w:lang w:val="sr-Latn-ME"/>
              </w:rPr>
            </w:pPr>
            <w:r w:rsidRPr="00B74B0F">
              <w:rPr>
                <w:szCs w:val="22"/>
                <w:lang w:val="sr-Latn-ME"/>
              </w:rPr>
              <w:t xml:space="preserve">Napomena: Podaci za </w:t>
            </w:r>
            <w:r w:rsidR="006F196D" w:rsidRPr="00B74B0F">
              <w:rPr>
                <w:szCs w:val="22"/>
                <w:lang w:val="sr-Latn-ME"/>
              </w:rPr>
              <w:t>48. nedjelju</w:t>
            </w:r>
            <w:r w:rsidRPr="00B74B0F">
              <w:rPr>
                <w:szCs w:val="22"/>
                <w:lang w:val="sr-Latn-ME"/>
              </w:rPr>
              <w:t xml:space="preserve"> proizlaze iz analize potpunog skupa podataka za analizu prema randomiz</w:t>
            </w:r>
            <w:r w:rsidR="006F196D" w:rsidRPr="00B74B0F">
              <w:rPr>
                <w:szCs w:val="22"/>
                <w:lang w:val="sr-Latn-ME"/>
              </w:rPr>
              <w:t>ovanoj</w:t>
            </w:r>
            <w:r w:rsidRPr="00B74B0F">
              <w:rPr>
                <w:szCs w:val="22"/>
                <w:lang w:val="sr-Latn-ME"/>
              </w:rPr>
              <w:t xml:space="preserve"> grupi u kojoj se koristila zamjena nedostajućih podataka (imputacija) za </w:t>
            </w:r>
            <w:r w:rsidR="00F90E18" w:rsidRPr="00B74B0F">
              <w:rPr>
                <w:szCs w:val="22"/>
                <w:lang w:val="sr-Latn-ME"/>
              </w:rPr>
              <w:t>pacijente</w:t>
            </w:r>
            <w:r w:rsidRPr="00B74B0F">
              <w:rPr>
                <w:szCs w:val="22"/>
                <w:lang w:val="sr-Latn-ME"/>
              </w:rPr>
              <w:t xml:space="preserve"> bez odgovora.</w:t>
            </w:r>
          </w:p>
        </w:tc>
      </w:tr>
    </w:tbl>
    <w:p w14:paraId="1BCA4224" w14:textId="77777777" w:rsidR="00C61717" w:rsidRPr="00B74B0F" w:rsidRDefault="00C61717">
      <w:pPr>
        <w:spacing w:line="240" w:lineRule="auto"/>
        <w:contextualSpacing/>
        <w:jc w:val="both"/>
        <w:rPr>
          <w:rFonts w:eastAsia="SimSun"/>
          <w:szCs w:val="22"/>
          <w:lang w:val="sr-Latn-ME"/>
        </w:rPr>
      </w:pPr>
    </w:p>
    <w:p w14:paraId="39581C25" w14:textId="77777777" w:rsidR="00B31835" w:rsidRPr="00B74B0F" w:rsidRDefault="00906CF8">
      <w:pPr>
        <w:pStyle w:val="Default"/>
        <w:keepNext/>
        <w:contextualSpacing/>
        <w:jc w:val="both"/>
        <w:rPr>
          <w:i/>
          <w:sz w:val="22"/>
          <w:szCs w:val="22"/>
          <w:lang w:val="sr-Latn-ME"/>
        </w:rPr>
      </w:pPr>
      <w:r w:rsidRPr="00B74B0F">
        <w:rPr>
          <w:i/>
          <w:sz w:val="22"/>
          <w:szCs w:val="22"/>
          <w:lang w:val="sr-Latn-ME"/>
        </w:rPr>
        <w:t>Radiografski odgovor</w:t>
      </w:r>
    </w:p>
    <w:p w14:paraId="043C92B5" w14:textId="77777777" w:rsidR="00C56DA6" w:rsidRPr="00B74B0F" w:rsidRDefault="00C56DA6">
      <w:pPr>
        <w:pStyle w:val="Default"/>
        <w:keepNext/>
        <w:contextualSpacing/>
        <w:jc w:val="both"/>
        <w:rPr>
          <w:sz w:val="22"/>
          <w:szCs w:val="22"/>
          <w:lang w:val="sr-Latn-ME"/>
        </w:rPr>
      </w:pPr>
    </w:p>
    <w:p w14:paraId="22D4E65F" w14:textId="5717D63B" w:rsidR="00AD141A" w:rsidRPr="00B74B0F" w:rsidRDefault="00906CF8">
      <w:pPr>
        <w:pStyle w:val="Default"/>
        <w:contextualSpacing/>
        <w:jc w:val="both"/>
        <w:rPr>
          <w:sz w:val="22"/>
          <w:szCs w:val="22"/>
          <w:lang w:val="sr-Latn-ME"/>
        </w:rPr>
      </w:pPr>
      <w:r w:rsidRPr="00B74B0F">
        <w:rPr>
          <w:sz w:val="22"/>
          <w:szCs w:val="22"/>
          <w:lang w:val="sr-Latn-ME"/>
        </w:rPr>
        <w:t xml:space="preserve">Inhibicija progresije strukturnog oštećenja zglobova ocjenjivala se na </w:t>
      </w:r>
      <w:r w:rsidR="007022BB" w:rsidRPr="00B74B0F">
        <w:rPr>
          <w:sz w:val="22"/>
          <w:szCs w:val="22"/>
          <w:lang w:val="sr-Latn-ME"/>
        </w:rPr>
        <w:t>osnovu</w:t>
      </w:r>
      <w:r w:rsidRPr="00B74B0F">
        <w:rPr>
          <w:sz w:val="22"/>
          <w:szCs w:val="22"/>
          <w:lang w:val="sr-Latn-ME"/>
        </w:rPr>
        <w:t xml:space="preserve"> ukupnog rezultata prema modifi</w:t>
      </w:r>
      <w:r w:rsidR="00611E46" w:rsidRPr="00B74B0F">
        <w:rPr>
          <w:sz w:val="22"/>
          <w:szCs w:val="22"/>
          <w:lang w:val="sr-Latn-ME"/>
        </w:rPr>
        <w:t>kovanoj</w:t>
      </w:r>
      <w:r w:rsidRPr="00B74B0F">
        <w:rPr>
          <w:sz w:val="22"/>
          <w:szCs w:val="22"/>
          <w:lang w:val="sr-Latn-ME"/>
        </w:rPr>
        <w:t xml:space="preserve"> Sharpovoj ljestvici (mTSS) i njegovim </w:t>
      </w:r>
      <w:r w:rsidR="007022BB" w:rsidRPr="00B74B0F">
        <w:rPr>
          <w:sz w:val="22"/>
          <w:szCs w:val="22"/>
          <w:lang w:val="sr-Latn-ME"/>
        </w:rPr>
        <w:t>komponentama</w:t>
      </w:r>
      <w:r w:rsidRPr="00B74B0F">
        <w:rPr>
          <w:sz w:val="22"/>
          <w:szCs w:val="22"/>
          <w:lang w:val="sr-Latn-ME"/>
        </w:rPr>
        <w:t xml:space="preserve"> - rezultatu za eroziju i rezultatu za suženje zglobnog prostora u </w:t>
      </w:r>
      <w:r w:rsidR="00611E46" w:rsidRPr="00B74B0F">
        <w:rPr>
          <w:sz w:val="22"/>
          <w:szCs w:val="22"/>
          <w:lang w:val="sr-Latn-ME"/>
        </w:rPr>
        <w:t xml:space="preserve">24/26. nedjelji </w:t>
      </w:r>
      <w:r w:rsidRPr="00B74B0F">
        <w:rPr>
          <w:sz w:val="22"/>
          <w:szCs w:val="22"/>
          <w:lang w:val="sr-Latn-ME"/>
        </w:rPr>
        <w:t xml:space="preserve">i </w:t>
      </w:r>
      <w:r w:rsidR="00611E46" w:rsidRPr="00B74B0F">
        <w:rPr>
          <w:sz w:val="22"/>
          <w:szCs w:val="22"/>
          <w:lang w:val="sr-Latn-ME"/>
        </w:rPr>
        <w:t>48. nedjelji</w:t>
      </w:r>
      <w:r w:rsidR="007022BB" w:rsidRPr="00B74B0F">
        <w:rPr>
          <w:sz w:val="22"/>
          <w:szCs w:val="22"/>
          <w:lang w:val="sr-Latn-ME"/>
        </w:rPr>
        <w:t xml:space="preserve"> </w:t>
      </w:r>
      <w:r w:rsidRPr="00B74B0F">
        <w:rPr>
          <w:sz w:val="22"/>
          <w:szCs w:val="22"/>
          <w:lang w:val="sr-Latn-ME"/>
        </w:rPr>
        <w:t>ispitivanja SELECT</w:t>
      </w:r>
      <w:r w:rsidRPr="00B74B0F">
        <w:rPr>
          <w:sz w:val="22"/>
          <w:szCs w:val="22"/>
          <w:lang w:val="sr-Latn-ME"/>
        </w:rPr>
        <w:noBreakHyphen/>
        <w:t>EARLY i SELECT</w:t>
      </w:r>
      <w:r w:rsidRPr="00B74B0F">
        <w:rPr>
          <w:sz w:val="22"/>
          <w:szCs w:val="22"/>
          <w:lang w:val="sr-Latn-ME"/>
        </w:rPr>
        <w:noBreakHyphen/>
        <w:t>COMPARE.</w:t>
      </w:r>
    </w:p>
    <w:p w14:paraId="5C96A254" w14:textId="77777777" w:rsidR="00AD141A" w:rsidRPr="00B74B0F" w:rsidRDefault="00AD141A">
      <w:pPr>
        <w:pStyle w:val="Default"/>
        <w:contextualSpacing/>
        <w:jc w:val="both"/>
        <w:rPr>
          <w:sz w:val="22"/>
          <w:szCs w:val="22"/>
          <w:lang w:val="sr-Latn-ME"/>
        </w:rPr>
      </w:pPr>
    </w:p>
    <w:p w14:paraId="19DE45DD" w14:textId="02DF89D9" w:rsidR="00AD141A"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Liječenje</w:t>
      </w:r>
      <w:r w:rsidR="007022BB" w:rsidRPr="00B74B0F">
        <w:rPr>
          <w:szCs w:val="22"/>
          <w:lang w:val="sr-Latn-ME"/>
        </w:rPr>
        <w:t xml:space="preserve"> </w:t>
      </w:r>
      <w:r w:rsidRPr="00B74B0F">
        <w:rPr>
          <w:szCs w:val="22"/>
          <w:lang w:val="sr-Latn-ME"/>
        </w:rPr>
        <w:t>upadacitinib</w:t>
      </w:r>
      <w:r w:rsidR="00611E46" w:rsidRPr="00B74B0F">
        <w:rPr>
          <w:szCs w:val="22"/>
          <w:lang w:val="sr-Latn-ME"/>
        </w:rPr>
        <w:t>om</w:t>
      </w:r>
      <w:r w:rsidRPr="00B74B0F">
        <w:rPr>
          <w:szCs w:val="22"/>
          <w:lang w:val="sr-Latn-ME"/>
        </w:rPr>
        <w:t xml:space="preserve"> u dozi od 15 mg dovelo je do značajno veće inhibicije progresije strukturnog oštećenja zglobova u </w:t>
      </w:r>
      <w:r w:rsidR="007022BB" w:rsidRPr="00B74B0F">
        <w:rPr>
          <w:szCs w:val="22"/>
          <w:lang w:val="sr-Latn-ME"/>
        </w:rPr>
        <w:t>poređenju</w:t>
      </w:r>
      <w:r w:rsidRPr="00B74B0F">
        <w:rPr>
          <w:szCs w:val="22"/>
          <w:lang w:val="sr-Latn-ME"/>
        </w:rPr>
        <w:t xml:space="preserve"> s</w:t>
      </w:r>
      <w:r w:rsidR="007022BB" w:rsidRPr="00B74B0F">
        <w:rPr>
          <w:szCs w:val="22"/>
          <w:lang w:val="sr-Latn-ME"/>
        </w:rPr>
        <w:t>a</w:t>
      </w:r>
      <w:r w:rsidRPr="00B74B0F">
        <w:rPr>
          <w:szCs w:val="22"/>
          <w:lang w:val="sr-Latn-ME"/>
        </w:rPr>
        <w:t xml:space="preserve"> placebom u kombinaciji s</w:t>
      </w:r>
      <w:r w:rsidR="00611E46" w:rsidRPr="00B74B0F">
        <w:rPr>
          <w:szCs w:val="22"/>
          <w:lang w:val="sr-Latn-ME"/>
        </w:rPr>
        <w:t>a</w:t>
      </w:r>
      <w:r w:rsidRPr="00B74B0F">
        <w:rPr>
          <w:szCs w:val="22"/>
          <w:lang w:val="sr-Latn-ME"/>
        </w:rPr>
        <w:t xml:space="preserve"> MTX</w:t>
      </w:r>
      <w:r w:rsidRPr="00B74B0F">
        <w:rPr>
          <w:szCs w:val="22"/>
          <w:lang w:val="sr-Latn-ME"/>
        </w:rPr>
        <w:noBreakHyphen/>
        <w:t>om u ispitivanju SELECT</w:t>
      </w:r>
      <w:r w:rsidRPr="00B74B0F">
        <w:rPr>
          <w:szCs w:val="22"/>
          <w:lang w:val="sr-Latn-ME"/>
        </w:rPr>
        <w:noBreakHyphen/>
        <w:t xml:space="preserve">COMPARE te kao monoterapija u </w:t>
      </w:r>
      <w:r w:rsidR="007022BB" w:rsidRPr="00B74B0F">
        <w:rPr>
          <w:szCs w:val="22"/>
          <w:lang w:val="sr-Latn-ME"/>
        </w:rPr>
        <w:t>poređenju</w:t>
      </w:r>
      <w:r w:rsidRPr="00B74B0F">
        <w:rPr>
          <w:szCs w:val="22"/>
          <w:lang w:val="sr-Latn-ME"/>
        </w:rPr>
        <w:t xml:space="preserve"> s</w:t>
      </w:r>
      <w:r w:rsidR="008F6559" w:rsidRPr="00B74B0F">
        <w:rPr>
          <w:szCs w:val="22"/>
          <w:lang w:val="sr-Latn-ME"/>
        </w:rPr>
        <w:t>a</w:t>
      </w:r>
      <w:r w:rsidRPr="00B74B0F">
        <w:rPr>
          <w:szCs w:val="22"/>
          <w:lang w:val="sr-Latn-ME"/>
        </w:rPr>
        <w:t xml:space="preserve"> MTX</w:t>
      </w:r>
      <w:r w:rsidRPr="00B74B0F">
        <w:rPr>
          <w:szCs w:val="22"/>
          <w:lang w:val="sr-Latn-ME"/>
        </w:rPr>
        <w:noBreakHyphen/>
        <w:t>om u ispitivanju SELECT</w:t>
      </w:r>
      <w:r w:rsidRPr="00B74B0F">
        <w:rPr>
          <w:szCs w:val="22"/>
          <w:lang w:val="sr-Latn-ME"/>
        </w:rPr>
        <w:noBreakHyphen/>
        <w:t>EARLY (Tab</w:t>
      </w:r>
      <w:r w:rsidR="008F6559" w:rsidRPr="00B74B0F">
        <w:rPr>
          <w:szCs w:val="22"/>
          <w:lang w:val="sr-Latn-ME"/>
        </w:rPr>
        <w:t>ela</w:t>
      </w:r>
      <w:r w:rsidRPr="00B74B0F">
        <w:rPr>
          <w:szCs w:val="22"/>
          <w:lang w:val="sr-Latn-ME"/>
        </w:rPr>
        <w:t> </w:t>
      </w:r>
      <w:r w:rsidR="00F32579" w:rsidRPr="00B74B0F">
        <w:rPr>
          <w:szCs w:val="22"/>
          <w:lang w:val="sr-Latn-ME"/>
        </w:rPr>
        <w:t>6</w:t>
      </w:r>
      <w:r w:rsidRPr="00B74B0F">
        <w:rPr>
          <w:szCs w:val="22"/>
          <w:lang w:val="sr-Latn-ME"/>
        </w:rPr>
        <w:t xml:space="preserve">). </w:t>
      </w:r>
      <w:r w:rsidR="00BE633E" w:rsidRPr="00B74B0F">
        <w:rPr>
          <w:szCs w:val="22"/>
          <w:lang w:val="sr-Latn-ME"/>
        </w:rPr>
        <w:t>Analize su pokazale da su rezultati</w:t>
      </w:r>
      <w:r w:rsidRPr="00B74B0F">
        <w:rPr>
          <w:szCs w:val="22"/>
          <w:lang w:val="sr-Latn-ME"/>
        </w:rPr>
        <w:t xml:space="preserve"> za eroziju i za suženje zglobnog prostora</w:t>
      </w:r>
      <w:r w:rsidR="00BE633E" w:rsidRPr="00B74B0F">
        <w:rPr>
          <w:szCs w:val="22"/>
          <w:lang w:val="sr-Latn-ME"/>
        </w:rPr>
        <w:t xml:space="preserve"> bili u skladu s</w:t>
      </w:r>
      <w:r w:rsidR="00611E46" w:rsidRPr="00B74B0F">
        <w:rPr>
          <w:szCs w:val="22"/>
          <w:lang w:val="sr-Latn-ME"/>
        </w:rPr>
        <w:t>a</w:t>
      </w:r>
      <w:r w:rsidR="00BE633E" w:rsidRPr="00B74B0F">
        <w:rPr>
          <w:szCs w:val="22"/>
          <w:lang w:val="sr-Latn-ME"/>
        </w:rPr>
        <w:t xml:space="preserve"> ukupnim rezultatima</w:t>
      </w:r>
      <w:r w:rsidRPr="00B74B0F">
        <w:rPr>
          <w:szCs w:val="22"/>
          <w:lang w:val="sr-Latn-ME"/>
        </w:rPr>
        <w:t xml:space="preserve">. U oba je ispitivanja udio </w:t>
      </w:r>
      <w:r w:rsidR="00BB59FC" w:rsidRPr="00B74B0F">
        <w:rPr>
          <w:szCs w:val="22"/>
          <w:lang w:val="sr-Latn-ME"/>
        </w:rPr>
        <w:t>pacijenata</w:t>
      </w:r>
      <w:r w:rsidRPr="00B74B0F">
        <w:rPr>
          <w:szCs w:val="22"/>
          <w:lang w:val="sr-Latn-ME"/>
        </w:rPr>
        <w:t xml:space="preserve"> bez radiografske progresije (promjena mTSS rezultata za ≤ 0) bio značajno veći upadacitinib</w:t>
      </w:r>
      <w:r w:rsidR="00611E46" w:rsidRPr="00B74B0F">
        <w:rPr>
          <w:szCs w:val="22"/>
          <w:lang w:val="sr-Latn-ME"/>
        </w:rPr>
        <w:t>a</w:t>
      </w:r>
      <w:r w:rsidRPr="00B74B0F">
        <w:rPr>
          <w:szCs w:val="22"/>
          <w:lang w:val="sr-Latn-ME"/>
        </w:rPr>
        <w:t xml:space="preserve"> u dozi od 15 mg.</w:t>
      </w:r>
      <w:r w:rsidR="009A73E9" w:rsidRPr="00B74B0F">
        <w:rPr>
          <w:szCs w:val="22"/>
          <w:lang w:val="sr-Latn-ME"/>
        </w:rPr>
        <w:t xml:space="preserve"> U oba se ispitivanja inhibicija progresije strukturnog oštećenja zglobova održala tokom 96 sedmica za </w:t>
      </w:r>
      <w:r w:rsidR="00181042" w:rsidRPr="00B74B0F">
        <w:rPr>
          <w:szCs w:val="22"/>
          <w:lang w:val="sr-Latn-ME"/>
        </w:rPr>
        <w:t>pacijent</w:t>
      </w:r>
      <w:r w:rsidR="009A73E9" w:rsidRPr="00B74B0F">
        <w:rPr>
          <w:szCs w:val="22"/>
          <w:lang w:val="sr-Latn-ME"/>
        </w:rPr>
        <w:t xml:space="preserve">e koji su nastavili prvobitno dodijeljeno liječenje upadacitinibom u dozi od 15 mg (na osnovu dostupnih rezultata od 327 </w:t>
      </w:r>
      <w:r w:rsidR="00181042" w:rsidRPr="00B74B0F">
        <w:rPr>
          <w:szCs w:val="22"/>
          <w:lang w:val="sr-Latn-ME"/>
        </w:rPr>
        <w:t>pacijenata</w:t>
      </w:r>
      <w:r w:rsidR="009A73E9" w:rsidRPr="00B74B0F">
        <w:rPr>
          <w:szCs w:val="22"/>
          <w:lang w:val="sr-Latn-ME"/>
        </w:rPr>
        <w:t xml:space="preserve"> iz SELECT-COMPARE ispitivanja i 238 </w:t>
      </w:r>
      <w:r w:rsidR="00181042" w:rsidRPr="00B74B0F">
        <w:rPr>
          <w:szCs w:val="22"/>
          <w:lang w:val="sr-Latn-ME"/>
        </w:rPr>
        <w:t>pacijenata</w:t>
      </w:r>
      <w:r w:rsidR="009A73E9" w:rsidRPr="00B74B0F">
        <w:rPr>
          <w:szCs w:val="22"/>
          <w:lang w:val="sr-Latn-ME"/>
        </w:rPr>
        <w:t xml:space="preserve"> iz SELECT-EARLY ispitivanja).</w:t>
      </w:r>
    </w:p>
    <w:p w14:paraId="0D4048A6" w14:textId="77777777" w:rsidR="008F6559" w:rsidRPr="00B74B0F" w:rsidRDefault="008F6559">
      <w:pPr>
        <w:keepNext/>
        <w:spacing w:line="240" w:lineRule="auto"/>
        <w:contextualSpacing/>
        <w:jc w:val="both"/>
        <w:rPr>
          <w:b/>
          <w:szCs w:val="22"/>
          <w:lang w:val="sr-Latn-ME"/>
        </w:rPr>
      </w:pPr>
    </w:p>
    <w:p w14:paraId="7F2ADE7D" w14:textId="4D7FE743" w:rsidR="00AD141A" w:rsidRPr="00B74B0F" w:rsidRDefault="00906CF8">
      <w:pPr>
        <w:keepNext/>
        <w:spacing w:line="240" w:lineRule="auto"/>
        <w:contextualSpacing/>
        <w:jc w:val="both"/>
        <w:rPr>
          <w:szCs w:val="22"/>
          <w:lang w:val="sr-Latn-ME"/>
        </w:rPr>
      </w:pPr>
      <w:r w:rsidRPr="00B74B0F">
        <w:rPr>
          <w:b/>
          <w:szCs w:val="22"/>
          <w:lang w:val="sr-Latn-ME"/>
        </w:rPr>
        <w:t>Tab</w:t>
      </w:r>
      <w:r w:rsidR="008F6559" w:rsidRPr="00B74B0F">
        <w:rPr>
          <w:b/>
          <w:szCs w:val="22"/>
          <w:lang w:val="sr-Latn-ME"/>
        </w:rPr>
        <w:t>ela</w:t>
      </w:r>
      <w:r w:rsidRPr="00B74B0F">
        <w:rPr>
          <w:b/>
          <w:szCs w:val="22"/>
          <w:lang w:val="sr-Latn-ME"/>
        </w:rPr>
        <w:t> </w:t>
      </w:r>
      <w:r w:rsidR="00CC3EB3" w:rsidRPr="00B74B0F">
        <w:rPr>
          <w:b/>
          <w:szCs w:val="22"/>
          <w:lang w:val="sr-Latn-ME"/>
        </w:rPr>
        <w:t>6</w:t>
      </w:r>
      <w:r w:rsidRPr="00B74B0F">
        <w:rPr>
          <w:b/>
          <w:szCs w:val="22"/>
          <w:lang w:val="sr-Latn-ME"/>
        </w:rPr>
        <w:t>: Radiografske promjene</w:t>
      </w:r>
    </w:p>
    <w:p w14:paraId="2AA64BE3" w14:textId="77777777" w:rsidR="00EA12FA" w:rsidRPr="00B74B0F" w:rsidRDefault="00EA12FA">
      <w:pPr>
        <w:keepNext/>
        <w:spacing w:line="240" w:lineRule="auto"/>
        <w:contextualSpacing/>
        <w:jc w:val="both"/>
        <w:rPr>
          <w:szCs w:val="22"/>
          <w:lang w:val="sr-Latn-M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2"/>
        <w:gridCol w:w="1281"/>
        <w:gridCol w:w="107"/>
        <w:gridCol w:w="1176"/>
        <w:gridCol w:w="1255"/>
        <w:gridCol w:w="1345"/>
        <w:gridCol w:w="1282"/>
      </w:tblGrid>
      <w:tr w:rsidR="00BF75A1" w:rsidRPr="00B74B0F" w14:paraId="4772FBB7" w14:textId="77777777" w:rsidTr="00B1656D">
        <w:trPr>
          <w:cantSplit/>
          <w:trHeight w:val="238"/>
        </w:trPr>
        <w:tc>
          <w:tcPr>
            <w:tcW w:w="3035" w:type="dxa"/>
            <w:shd w:val="clear" w:color="auto" w:fill="auto"/>
            <w:vAlign w:val="bottom"/>
          </w:tcPr>
          <w:p w14:paraId="48B9FB49" w14:textId="77777777" w:rsidR="00DD0198" w:rsidRPr="00B74B0F" w:rsidRDefault="00906CF8" w:rsidP="00A30C3C">
            <w:pPr>
              <w:keepNext/>
              <w:spacing w:line="240" w:lineRule="auto"/>
              <w:contextualSpacing/>
              <w:jc w:val="both"/>
              <w:rPr>
                <w:b/>
                <w:szCs w:val="22"/>
                <w:lang w:val="sr-Latn-ME"/>
              </w:rPr>
            </w:pPr>
            <w:r w:rsidRPr="00B74B0F">
              <w:rPr>
                <w:b/>
                <w:szCs w:val="22"/>
                <w:lang w:val="sr-Latn-ME"/>
              </w:rPr>
              <w:t>Ispitivanje</w:t>
            </w:r>
          </w:p>
        </w:tc>
        <w:tc>
          <w:tcPr>
            <w:tcW w:w="2563" w:type="dxa"/>
            <w:gridSpan w:val="3"/>
            <w:shd w:val="clear" w:color="auto" w:fill="auto"/>
            <w:vAlign w:val="bottom"/>
          </w:tcPr>
          <w:p w14:paraId="21EA05B9" w14:textId="77777777" w:rsidR="00DD0198" w:rsidRPr="00B74B0F" w:rsidRDefault="00906CF8" w:rsidP="00A30C3C">
            <w:pPr>
              <w:keepNext/>
              <w:spacing w:line="240" w:lineRule="auto"/>
              <w:contextualSpacing/>
              <w:jc w:val="both"/>
              <w:rPr>
                <w:b/>
                <w:szCs w:val="22"/>
                <w:lang w:val="sr-Latn-ME"/>
              </w:rPr>
            </w:pPr>
            <w:r w:rsidRPr="00B74B0F">
              <w:rPr>
                <w:b/>
                <w:szCs w:val="22"/>
                <w:lang w:val="sr-Latn-ME"/>
              </w:rPr>
              <w:t>SELECT</w:t>
            </w:r>
          </w:p>
          <w:p w14:paraId="29EA5AC2" w14:textId="77777777" w:rsidR="00DD0198" w:rsidRPr="00B74B0F" w:rsidRDefault="00906CF8" w:rsidP="00A30C3C">
            <w:pPr>
              <w:keepNext/>
              <w:spacing w:line="240" w:lineRule="auto"/>
              <w:contextualSpacing/>
              <w:jc w:val="both"/>
              <w:rPr>
                <w:b/>
                <w:szCs w:val="22"/>
                <w:lang w:val="sr-Latn-ME"/>
              </w:rPr>
            </w:pPr>
            <w:r w:rsidRPr="00B74B0F">
              <w:rPr>
                <w:b/>
                <w:szCs w:val="22"/>
                <w:lang w:val="sr-Latn-ME"/>
              </w:rPr>
              <w:t>EARLY</w:t>
            </w:r>
          </w:p>
          <w:p w14:paraId="1EA88212" w14:textId="1F7F3C9B" w:rsidR="00DD0198" w:rsidRPr="00B74B0F" w:rsidRDefault="00B27953" w:rsidP="00A30C3C">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prethodno neliječeni MTX</w:t>
            </w:r>
            <w:r w:rsidR="00906CF8" w:rsidRPr="00B74B0F">
              <w:rPr>
                <w:b/>
                <w:szCs w:val="22"/>
                <w:lang w:val="sr-Latn-ME"/>
              </w:rPr>
              <w:noBreakHyphen/>
              <w:t>om</w:t>
            </w:r>
          </w:p>
        </w:tc>
        <w:tc>
          <w:tcPr>
            <w:tcW w:w="3870" w:type="dxa"/>
            <w:gridSpan w:val="3"/>
            <w:shd w:val="clear" w:color="auto" w:fill="auto"/>
            <w:vAlign w:val="bottom"/>
          </w:tcPr>
          <w:p w14:paraId="4192ABDB" w14:textId="77777777" w:rsidR="00DD0198" w:rsidRPr="00B74B0F" w:rsidRDefault="00906CF8" w:rsidP="00A30C3C">
            <w:pPr>
              <w:keepNext/>
              <w:spacing w:line="240" w:lineRule="auto"/>
              <w:contextualSpacing/>
              <w:jc w:val="both"/>
              <w:rPr>
                <w:b/>
                <w:szCs w:val="22"/>
                <w:lang w:val="sr-Latn-ME"/>
              </w:rPr>
            </w:pPr>
            <w:r w:rsidRPr="00B74B0F">
              <w:rPr>
                <w:b/>
                <w:szCs w:val="22"/>
                <w:lang w:val="sr-Latn-ME"/>
              </w:rPr>
              <w:t>SELECT</w:t>
            </w:r>
          </w:p>
          <w:p w14:paraId="32D7B6B1" w14:textId="77777777" w:rsidR="00DD0198" w:rsidRPr="00B74B0F" w:rsidRDefault="00906CF8" w:rsidP="00A30C3C">
            <w:pPr>
              <w:keepNext/>
              <w:spacing w:line="240" w:lineRule="auto"/>
              <w:contextualSpacing/>
              <w:jc w:val="both"/>
              <w:rPr>
                <w:b/>
                <w:szCs w:val="22"/>
                <w:lang w:val="sr-Latn-ME"/>
              </w:rPr>
            </w:pPr>
            <w:r w:rsidRPr="00B74B0F">
              <w:rPr>
                <w:b/>
                <w:szCs w:val="22"/>
                <w:lang w:val="sr-Latn-ME"/>
              </w:rPr>
              <w:t>COMPARE</w:t>
            </w:r>
          </w:p>
          <w:p w14:paraId="18887EBE" w14:textId="3F0327D8" w:rsidR="00DD0198" w:rsidRPr="00B74B0F" w:rsidRDefault="00B27953" w:rsidP="00A30C3C">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s</w:t>
            </w:r>
            <w:r w:rsidR="009F4D0A" w:rsidRPr="00B74B0F">
              <w:rPr>
                <w:b/>
                <w:szCs w:val="22"/>
                <w:lang w:val="sr-Latn-ME"/>
              </w:rPr>
              <w:t>s</w:t>
            </w:r>
            <w:r w:rsidR="00906CF8" w:rsidRPr="00B74B0F">
              <w:rPr>
                <w:b/>
                <w:szCs w:val="22"/>
                <w:lang w:val="sr-Latn-ME"/>
              </w:rPr>
              <w:t xml:space="preserve"> nedovoljno dobrim odgovorom na MTX</w:t>
            </w:r>
          </w:p>
        </w:tc>
      </w:tr>
      <w:tr w:rsidR="00BF75A1" w:rsidRPr="00B74B0F" w14:paraId="67E3FA97" w14:textId="77777777" w:rsidTr="00B1656D">
        <w:trPr>
          <w:cantSplit/>
          <w:trHeight w:val="451"/>
        </w:trPr>
        <w:tc>
          <w:tcPr>
            <w:tcW w:w="3035" w:type="dxa"/>
            <w:shd w:val="clear" w:color="auto" w:fill="auto"/>
            <w:vAlign w:val="bottom"/>
          </w:tcPr>
          <w:p w14:paraId="212F7A44" w14:textId="092C5A36" w:rsidR="00DD0198" w:rsidRPr="00B74B0F" w:rsidRDefault="00906CF8">
            <w:pPr>
              <w:keepNext/>
              <w:spacing w:line="240" w:lineRule="auto"/>
              <w:contextualSpacing/>
              <w:jc w:val="both"/>
              <w:rPr>
                <w:szCs w:val="22"/>
                <w:lang w:val="sr-Latn-ME"/>
              </w:rPr>
            </w:pPr>
            <w:r w:rsidRPr="00B74B0F">
              <w:rPr>
                <w:szCs w:val="22"/>
                <w:lang w:val="sr-Latn-ME"/>
              </w:rPr>
              <w:t xml:space="preserve">Liječena </w:t>
            </w:r>
            <w:r w:rsidR="008F6559" w:rsidRPr="00B74B0F">
              <w:rPr>
                <w:szCs w:val="22"/>
                <w:lang w:val="sr-Latn-ME"/>
              </w:rPr>
              <w:t>grupa</w:t>
            </w:r>
          </w:p>
        </w:tc>
        <w:tc>
          <w:tcPr>
            <w:tcW w:w="1286" w:type="dxa"/>
            <w:shd w:val="clear" w:color="auto" w:fill="auto"/>
            <w:vAlign w:val="bottom"/>
          </w:tcPr>
          <w:p w14:paraId="357253ED" w14:textId="77777777" w:rsidR="00DD0198" w:rsidRPr="00B74B0F" w:rsidRDefault="00906CF8">
            <w:pPr>
              <w:keepNext/>
              <w:spacing w:line="240" w:lineRule="auto"/>
              <w:contextualSpacing/>
              <w:jc w:val="both"/>
              <w:rPr>
                <w:szCs w:val="22"/>
                <w:lang w:val="sr-Latn-ME"/>
              </w:rPr>
            </w:pPr>
            <w:r w:rsidRPr="00B74B0F">
              <w:rPr>
                <w:szCs w:val="22"/>
                <w:lang w:val="sr-Latn-ME"/>
              </w:rPr>
              <w:t>MTX</w:t>
            </w:r>
          </w:p>
        </w:tc>
        <w:tc>
          <w:tcPr>
            <w:tcW w:w="1287" w:type="dxa"/>
            <w:gridSpan w:val="2"/>
            <w:shd w:val="clear" w:color="auto" w:fill="auto"/>
            <w:vAlign w:val="bottom"/>
          </w:tcPr>
          <w:p w14:paraId="7E0A8109" w14:textId="77777777" w:rsidR="00DD0198" w:rsidRPr="00B74B0F" w:rsidRDefault="00906CF8">
            <w:pPr>
              <w:keepNext/>
              <w:spacing w:line="240" w:lineRule="auto"/>
              <w:contextualSpacing/>
              <w:jc w:val="both"/>
              <w:rPr>
                <w:szCs w:val="22"/>
                <w:lang w:val="sr-Latn-ME"/>
              </w:rPr>
            </w:pPr>
            <w:r w:rsidRPr="00B74B0F">
              <w:rPr>
                <w:szCs w:val="22"/>
                <w:lang w:val="sr-Latn-ME"/>
              </w:rPr>
              <w:t>UPA</w:t>
            </w:r>
          </w:p>
          <w:p w14:paraId="74054395" w14:textId="77777777" w:rsidR="00DD0198" w:rsidRPr="00B74B0F" w:rsidRDefault="004E6AAB">
            <w:pPr>
              <w:keepNext/>
              <w:spacing w:line="240" w:lineRule="auto"/>
              <w:contextualSpacing/>
              <w:jc w:val="both"/>
              <w:rPr>
                <w:szCs w:val="22"/>
                <w:lang w:val="sr-Latn-ME"/>
              </w:rPr>
            </w:pPr>
            <w:r w:rsidRPr="00B74B0F">
              <w:rPr>
                <w:szCs w:val="22"/>
                <w:lang w:val="sr-Latn-ME"/>
              </w:rPr>
              <w:t>15 mg</w:t>
            </w:r>
          </w:p>
        </w:tc>
        <w:tc>
          <w:tcPr>
            <w:tcW w:w="1250" w:type="dxa"/>
            <w:shd w:val="clear" w:color="auto" w:fill="auto"/>
            <w:vAlign w:val="bottom"/>
          </w:tcPr>
          <w:p w14:paraId="08FE9B27" w14:textId="77777777" w:rsidR="00DD0198" w:rsidRPr="00B74B0F" w:rsidRDefault="00906CF8">
            <w:pPr>
              <w:keepNext/>
              <w:spacing w:line="240" w:lineRule="auto"/>
              <w:contextualSpacing/>
              <w:jc w:val="both"/>
              <w:rPr>
                <w:szCs w:val="22"/>
                <w:lang w:val="sr-Latn-ME"/>
              </w:rPr>
            </w:pPr>
            <w:r w:rsidRPr="00B74B0F">
              <w:rPr>
                <w:szCs w:val="22"/>
                <w:lang w:val="sr-Latn-ME"/>
              </w:rPr>
              <w:t>PBO</w:t>
            </w:r>
            <w:r w:rsidRPr="00B74B0F">
              <w:rPr>
                <w:szCs w:val="22"/>
                <w:vertAlign w:val="superscript"/>
                <w:lang w:val="sr-Latn-ME"/>
              </w:rPr>
              <w:t>a</w:t>
            </w:r>
          </w:p>
        </w:tc>
        <w:tc>
          <w:tcPr>
            <w:tcW w:w="1323" w:type="dxa"/>
            <w:shd w:val="clear" w:color="auto" w:fill="auto"/>
            <w:vAlign w:val="bottom"/>
          </w:tcPr>
          <w:p w14:paraId="2A92C990" w14:textId="77777777" w:rsidR="00DD0198" w:rsidRPr="00B74B0F" w:rsidRDefault="00906CF8">
            <w:pPr>
              <w:keepNext/>
              <w:spacing w:line="240" w:lineRule="auto"/>
              <w:contextualSpacing/>
              <w:jc w:val="both"/>
              <w:rPr>
                <w:szCs w:val="22"/>
                <w:lang w:val="sr-Latn-ME"/>
              </w:rPr>
            </w:pPr>
            <w:r w:rsidRPr="00B74B0F">
              <w:rPr>
                <w:szCs w:val="22"/>
                <w:lang w:val="sr-Latn-ME"/>
              </w:rPr>
              <w:t>UPA</w:t>
            </w:r>
          </w:p>
          <w:p w14:paraId="5C4B5B19" w14:textId="77777777" w:rsidR="00DD0198" w:rsidRPr="00B74B0F" w:rsidRDefault="00906CF8">
            <w:pPr>
              <w:keepNext/>
              <w:spacing w:line="240" w:lineRule="auto"/>
              <w:contextualSpacing/>
              <w:jc w:val="both"/>
              <w:rPr>
                <w:szCs w:val="22"/>
                <w:lang w:val="sr-Latn-ME"/>
              </w:rPr>
            </w:pPr>
            <w:r w:rsidRPr="00B74B0F">
              <w:rPr>
                <w:szCs w:val="22"/>
                <w:lang w:val="sr-Latn-ME"/>
              </w:rPr>
              <w:t>15 mg</w:t>
            </w:r>
          </w:p>
        </w:tc>
        <w:tc>
          <w:tcPr>
            <w:tcW w:w="1287" w:type="dxa"/>
            <w:shd w:val="clear" w:color="auto" w:fill="auto"/>
            <w:vAlign w:val="bottom"/>
          </w:tcPr>
          <w:p w14:paraId="51F2BA5A" w14:textId="77777777" w:rsidR="00DD0198" w:rsidRPr="00B74B0F" w:rsidRDefault="00906CF8">
            <w:pPr>
              <w:keepNext/>
              <w:spacing w:line="240" w:lineRule="auto"/>
              <w:contextualSpacing/>
              <w:jc w:val="both"/>
              <w:rPr>
                <w:szCs w:val="22"/>
                <w:lang w:val="sr-Latn-ME"/>
              </w:rPr>
            </w:pPr>
            <w:r w:rsidRPr="00B74B0F">
              <w:rPr>
                <w:szCs w:val="22"/>
                <w:lang w:val="sr-Latn-ME"/>
              </w:rPr>
              <w:t>ADA 40 mg</w:t>
            </w:r>
          </w:p>
        </w:tc>
      </w:tr>
      <w:tr w:rsidR="00BF75A1" w:rsidRPr="00B74B0F" w14:paraId="25F3F518" w14:textId="77777777" w:rsidTr="00B1656D">
        <w:trPr>
          <w:cantSplit/>
          <w:trHeight w:val="225"/>
        </w:trPr>
        <w:tc>
          <w:tcPr>
            <w:tcW w:w="9468" w:type="dxa"/>
            <w:gridSpan w:val="7"/>
            <w:shd w:val="clear" w:color="auto" w:fill="auto"/>
          </w:tcPr>
          <w:p w14:paraId="30116246" w14:textId="493258F6" w:rsidR="00DD0198" w:rsidRPr="00B74B0F" w:rsidRDefault="00A74E2B">
            <w:pPr>
              <w:keepNext/>
              <w:spacing w:line="240" w:lineRule="auto"/>
              <w:contextualSpacing/>
              <w:jc w:val="both"/>
              <w:rPr>
                <w:b/>
                <w:szCs w:val="22"/>
                <w:lang w:val="sr-Latn-ME"/>
              </w:rPr>
            </w:pPr>
            <w:r w:rsidRPr="00B74B0F">
              <w:rPr>
                <w:b/>
                <w:szCs w:val="22"/>
                <w:lang w:val="sr-Latn-ME"/>
              </w:rPr>
              <w:t>Ukupan r</w:t>
            </w:r>
            <w:r w:rsidR="00906CF8" w:rsidRPr="00B74B0F">
              <w:rPr>
                <w:b/>
                <w:szCs w:val="22"/>
                <w:lang w:val="sr-Latn-ME"/>
              </w:rPr>
              <w:t>ezultat prema modifi</w:t>
            </w:r>
            <w:r w:rsidR="009F4D0A" w:rsidRPr="00B74B0F">
              <w:rPr>
                <w:b/>
                <w:szCs w:val="22"/>
                <w:lang w:val="sr-Latn-ME"/>
              </w:rPr>
              <w:t>kovanoj</w:t>
            </w:r>
            <w:r w:rsidR="00906CF8" w:rsidRPr="00B74B0F">
              <w:rPr>
                <w:b/>
                <w:szCs w:val="22"/>
                <w:lang w:val="sr-Latn-ME"/>
              </w:rPr>
              <w:t xml:space="preserve"> Sharpovoj ljestvici, srednja vrijednost promjene od početne vrijednosti</w:t>
            </w:r>
          </w:p>
        </w:tc>
      </w:tr>
      <w:tr w:rsidR="00BF75A1" w:rsidRPr="00B74B0F" w14:paraId="6206B624" w14:textId="77777777" w:rsidTr="00B1656D">
        <w:trPr>
          <w:cantSplit/>
          <w:trHeight w:val="250"/>
        </w:trPr>
        <w:tc>
          <w:tcPr>
            <w:tcW w:w="3035" w:type="dxa"/>
            <w:shd w:val="clear" w:color="auto" w:fill="auto"/>
          </w:tcPr>
          <w:p w14:paraId="1B0E4F25" w14:textId="50FED1FD" w:rsidR="00DD0198" w:rsidRPr="00B74B0F" w:rsidRDefault="00906CF8">
            <w:pPr>
              <w:keepNext/>
              <w:spacing w:line="240" w:lineRule="auto"/>
              <w:contextualSpacing/>
              <w:jc w:val="both"/>
              <w:rPr>
                <w:szCs w:val="22"/>
                <w:lang w:val="sr-Latn-ME"/>
              </w:rPr>
            </w:pPr>
            <w:r w:rsidRPr="00B74B0F">
              <w:rPr>
                <w:szCs w:val="22"/>
                <w:lang w:val="sr-Latn-ME"/>
              </w:rPr>
              <w:t>24</w:t>
            </w:r>
            <w:r w:rsidR="009F4D0A" w:rsidRPr="00B74B0F">
              <w:rPr>
                <w:szCs w:val="22"/>
                <w:lang w:val="sr-Latn-ME"/>
              </w:rPr>
              <w:t>.</w:t>
            </w:r>
            <w:r w:rsidRPr="00B74B0F">
              <w:rPr>
                <w:szCs w:val="22"/>
                <w:vertAlign w:val="superscript"/>
                <w:lang w:val="sr-Latn-ME"/>
              </w:rPr>
              <w:t>b</w:t>
            </w:r>
            <w:r w:rsidRPr="00B74B0F">
              <w:rPr>
                <w:szCs w:val="22"/>
                <w:lang w:val="sr-Latn-ME"/>
              </w:rPr>
              <w:t>/26</w:t>
            </w:r>
            <w:r w:rsidR="009F4D0A" w:rsidRPr="00B74B0F">
              <w:rPr>
                <w:szCs w:val="22"/>
                <w:lang w:val="sr-Latn-ME"/>
              </w:rPr>
              <w:t>.</w:t>
            </w:r>
            <w:r w:rsidRPr="00B74B0F">
              <w:rPr>
                <w:szCs w:val="22"/>
                <w:vertAlign w:val="superscript"/>
                <w:lang w:val="sr-Latn-ME"/>
              </w:rPr>
              <w:t>c</w:t>
            </w:r>
            <w:r w:rsidRPr="00B74B0F">
              <w:rPr>
                <w:szCs w:val="22"/>
                <w:lang w:val="sr-Latn-ME"/>
              </w:rPr>
              <w:t xml:space="preserve"> </w:t>
            </w:r>
            <w:r w:rsidR="009F4D0A" w:rsidRPr="00B74B0F">
              <w:rPr>
                <w:szCs w:val="22"/>
                <w:lang w:val="sr-Latn-ME"/>
              </w:rPr>
              <w:t>n</w:t>
            </w:r>
            <w:r w:rsidR="008806F8" w:rsidRPr="00B74B0F">
              <w:rPr>
                <w:szCs w:val="22"/>
                <w:lang w:val="sr-Latn-ME"/>
              </w:rPr>
              <w:t>ed</w:t>
            </w:r>
            <w:r w:rsidR="009F4D0A" w:rsidRPr="00B74B0F">
              <w:rPr>
                <w:szCs w:val="22"/>
                <w:lang w:val="sr-Latn-ME"/>
              </w:rPr>
              <w:t>j</w:t>
            </w:r>
            <w:r w:rsidR="008806F8" w:rsidRPr="00B74B0F">
              <w:rPr>
                <w:szCs w:val="22"/>
                <w:lang w:val="sr-Latn-ME"/>
              </w:rPr>
              <w:t>elja</w:t>
            </w:r>
          </w:p>
        </w:tc>
        <w:tc>
          <w:tcPr>
            <w:tcW w:w="1393" w:type="dxa"/>
            <w:gridSpan w:val="2"/>
            <w:shd w:val="clear" w:color="auto" w:fill="auto"/>
            <w:vAlign w:val="bottom"/>
          </w:tcPr>
          <w:p w14:paraId="0EFF057A" w14:textId="77777777" w:rsidR="00DD0198" w:rsidRPr="00B74B0F" w:rsidRDefault="00906CF8">
            <w:pPr>
              <w:keepNext/>
              <w:spacing w:line="240" w:lineRule="auto"/>
              <w:contextualSpacing/>
              <w:jc w:val="both"/>
              <w:rPr>
                <w:szCs w:val="22"/>
                <w:lang w:val="sr-Latn-ME"/>
              </w:rPr>
            </w:pPr>
            <w:r w:rsidRPr="00B74B0F">
              <w:rPr>
                <w:szCs w:val="22"/>
                <w:lang w:val="sr-Latn-ME"/>
              </w:rPr>
              <w:t>0,7</w:t>
            </w:r>
          </w:p>
        </w:tc>
        <w:tc>
          <w:tcPr>
            <w:tcW w:w="1170" w:type="dxa"/>
            <w:shd w:val="clear" w:color="auto" w:fill="auto"/>
            <w:vAlign w:val="bottom"/>
          </w:tcPr>
          <w:p w14:paraId="6881D449" w14:textId="77777777" w:rsidR="00DD0198" w:rsidRPr="00B74B0F" w:rsidRDefault="00906CF8">
            <w:pPr>
              <w:keepNext/>
              <w:spacing w:line="240" w:lineRule="auto"/>
              <w:contextualSpacing/>
              <w:jc w:val="both"/>
              <w:rPr>
                <w:szCs w:val="22"/>
                <w:lang w:val="sr-Latn-ME"/>
              </w:rPr>
            </w:pPr>
            <w:r w:rsidRPr="00B74B0F">
              <w:rPr>
                <w:szCs w:val="22"/>
                <w:lang w:val="sr-Latn-ME"/>
              </w:rPr>
              <w:t>0,1</w:t>
            </w:r>
            <w:r w:rsidRPr="00B74B0F">
              <w:rPr>
                <w:szCs w:val="22"/>
                <w:vertAlign w:val="superscript"/>
                <w:lang w:val="sr-Latn-ME"/>
              </w:rPr>
              <w:t>f</w:t>
            </w:r>
          </w:p>
        </w:tc>
        <w:tc>
          <w:tcPr>
            <w:tcW w:w="1260" w:type="dxa"/>
            <w:shd w:val="clear" w:color="auto" w:fill="auto"/>
            <w:vAlign w:val="bottom"/>
          </w:tcPr>
          <w:p w14:paraId="57B9F2D9" w14:textId="77777777" w:rsidR="00DD0198" w:rsidRPr="00B74B0F" w:rsidRDefault="00906CF8">
            <w:pPr>
              <w:keepNext/>
              <w:spacing w:line="240" w:lineRule="auto"/>
              <w:contextualSpacing/>
              <w:jc w:val="both"/>
              <w:rPr>
                <w:szCs w:val="22"/>
                <w:lang w:val="sr-Latn-ME"/>
              </w:rPr>
            </w:pPr>
            <w:r w:rsidRPr="00B74B0F">
              <w:rPr>
                <w:szCs w:val="22"/>
                <w:lang w:val="sr-Latn-ME"/>
              </w:rPr>
              <w:t>0,9</w:t>
            </w:r>
          </w:p>
        </w:tc>
        <w:tc>
          <w:tcPr>
            <w:tcW w:w="1350" w:type="dxa"/>
            <w:shd w:val="clear" w:color="auto" w:fill="auto"/>
            <w:vAlign w:val="bottom"/>
          </w:tcPr>
          <w:p w14:paraId="13A6521D" w14:textId="31120F3D" w:rsidR="00DD0198" w:rsidRPr="00B74B0F" w:rsidRDefault="00906CF8">
            <w:pPr>
              <w:keepNext/>
              <w:spacing w:line="240" w:lineRule="auto"/>
              <w:contextualSpacing/>
              <w:jc w:val="both"/>
              <w:rPr>
                <w:szCs w:val="22"/>
                <w:lang w:val="sr-Latn-ME"/>
              </w:rPr>
            </w:pPr>
            <w:r w:rsidRPr="00B74B0F">
              <w:rPr>
                <w:szCs w:val="22"/>
                <w:lang w:val="sr-Latn-ME"/>
              </w:rPr>
              <w:t>0,2</w:t>
            </w:r>
            <w:r w:rsidR="00F21985" w:rsidRPr="00B74B0F">
              <w:rPr>
                <w:szCs w:val="22"/>
                <w:vertAlign w:val="superscript"/>
                <w:lang w:val="sr-Latn-ME"/>
              </w:rPr>
              <w:t>g</w:t>
            </w:r>
          </w:p>
        </w:tc>
        <w:tc>
          <w:tcPr>
            <w:tcW w:w="1260" w:type="dxa"/>
            <w:shd w:val="clear" w:color="auto" w:fill="auto"/>
            <w:vAlign w:val="bottom"/>
          </w:tcPr>
          <w:p w14:paraId="6EA8EFDC" w14:textId="77777777" w:rsidR="00DD0198" w:rsidRPr="00B74B0F" w:rsidRDefault="00906CF8">
            <w:pPr>
              <w:keepNext/>
              <w:spacing w:line="240" w:lineRule="auto"/>
              <w:contextualSpacing/>
              <w:jc w:val="both"/>
              <w:rPr>
                <w:szCs w:val="22"/>
                <w:lang w:val="sr-Latn-ME"/>
              </w:rPr>
            </w:pPr>
            <w:r w:rsidRPr="00B74B0F">
              <w:rPr>
                <w:szCs w:val="22"/>
                <w:lang w:val="sr-Latn-ME"/>
              </w:rPr>
              <w:t>0,1</w:t>
            </w:r>
          </w:p>
        </w:tc>
      </w:tr>
      <w:tr w:rsidR="00BF75A1" w:rsidRPr="00B74B0F" w14:paraId="0F1D54B8" w14:textId="77777777" w:rsidTr="00B1656D">
        <w:trPr>
          <w:cantSplit/>
          <w:trHeight w:val="238"/>
        </w:trPr>
        <w:tc>
          <w:tcPr>
            <w:tcW w:w="3035" w:type="dxa"/>
            <w:shd w:val="clear" w:color="auto" w:fill="auto"/>
          </w:tcPr>
          <w:p w14:paraId="36868095" w14:textId="2CD48875" w:rsidR="00DD0198" w:rsidRPr="00B74B0F" w:rsidRDefault="00906CF8">
            <w:pPr>
              <w:keepNext/>
              <w:spacing w:line="240" w:lineRule="auto"/>
              <w:contextualSpacing/>
              <w:jc w:val="both"/>
              <w:rPr>
                <w:szCs w:val="22"/>
                <w:lang w:val="sr-Latn-ME"/>
              </w:rPr>
            </w:pPr>
            <w:r w:rsidRPr="00B74B0F">
              <w:rPr>
                <w:szCs w:val="22"/>
                <w:lang w:val="sr-Latn-ME"/>
              </w:rPr>
              <w:t>48</w:t>
            </w:r>
            <w:r w:rsidR="009F4D0A" w:rsidRPr="00B74B0F">
              <w:rPr>
                <w:szCs w:val="22"/>
                <w:lang w:val="sr-Latn-ME"/>
              </w:rPr>
              <w:t>. nedjelja</w:t>
            </w:r>
          </w:p>
        </w:tc>
        <w:tc>
          <w:tcPr>
            <w:tcW w:w="1393" w:type="dxa"/>
            <w:gridSpan w:val="2"/>
            <w:shd w:val="clear" w:color="auto" w:fill="auto"/>
            <w:vAlign w:val="bottom"/>
          </w:tcPr>
          <w:p w14:paraId="60FFB77B" w14:textId="77777777" w:rsidR="00DD0198" w:rsidRPr="00B74B0F" w:rsidRDefault="00991B39">
            <w:pPr>
              <w:keepNext/>
              <w:spacing w:line="240" w:lineRule="auto"/>
              <w:contextualSpacing/>
              <w:jc w:val="both"/>
              <w:rPr>
                <w:szCs w:val="22"/>
                <w:lang w:val="sr-Latn-ME"/>
              </w:rPr>
            </w:pPr>
            <w:r w:rsidRPr="00B74B0F">
              <w:rPr>
                <w:szCs w:val="22"/>
                <w:lang w:val="sr-Latn-ME"/>
              </w:rPr>
              <w:t>1,0</w:t>
            </w:r>
          </w:p>
        </w:tc>
        <w:tc>
          <w:tcPr>
            <w:tcW w:w="1170" w:type="dxa"/>
            <w:shd w:val="clear" w:color="auto" w:fill="auto"/>
            <w:vAlign w:val="bottom"/>
          </w:tcPr>
          <w:p w14:paraId="4D2EE457" w14:textId="77777777" w:rsidR="00DD0198" w:rsidRPr="00B74B0F" w:rsidRDefault="00991B39">
            <w:pPr>
              <w:keepNext/>
              <w:spacing w:line="240" w:lineRule="auto"/>
              <w:contextualSpacing/>
              <w:jc w:val="both"/>
              <w:rPr>
                <w:szCs w:val="22"/>
                <w:lang w:val="sr-Latn-ME"/>
              </w:rPr>
            </w:pPr>
            <w:r w:rsidRPr="00B74B0F">
              <w:rPr>
                <w:szCs w:val="22"/>
                <w:lang w:val="sr-Latn-ME"/>
              </w:rPr>
              <w:t>0,03</w:t>
            </w:r>
            <w:r w:rsidRPr="00B74B0F">
              <w:rPr>
                <w:szCs w:val="22"/>
                <w:vertAlign w:val="superscript"/>
                <w:lang w:val="sr-Latn-ME"/>
              </w:rPr>
              <w:t>e</w:t>
            </w:r>
          </w:p>
        </w:tc>
        <w:tc>
          <w:tcPr>
            <w:tcW w:w="1260" w:type="dxa"/>
            <w:shd w:val="clear" w:color="auto" w:fill="auto"/>
            <w:vAlign w:val="bottom"/>
          </w:tcPr>
          <w:p w14:paraId="1AFAC4B6" w14:textId="77777777" w:rsidR="00DD0198" w:rsidRPr="00B74B0F" w:rsidRDefault="00906CF8">
            <w:pPr>
              <w:keepNext/>
              <w:spacing w:line="240" w:lineRule="auto"/>
              <w:contextualSpacing/>
              <w:jc w:val="both"/>
              <w:rPr>
                <w:szCs w:val="22"/>
                <w:lang w:val="sr-Latn-ME"/>
              </w:rPr>
            </w:pPr>
            <w:r w:rsidRPr="00B74B0F">
              <w:rPr>
                <w:szCs w:val="22"/>
                <w:lang w:val="sr-Latn-ME"/>
              </w:rPr>
              <w:t>1,7</w:t>
            </w:r>
          </w:p>
        </w:tc>
        <w:tc>
          <w:tcPr>
            <w:tcW w:w="1350" w:type="dxa"/>
            <w:shd w:val="clear" w:color="auto" w:fill="auto"/>
            <w:vAlign w:val="bottom"/>
          </w:tcPr>
          <w:p w14:paraId="21592B33" w14:textId="77777777" w:rsidR="00DD0198" w:rsidRPr="00B74B0F" w:rsidRDefault="00906CF8">
            <w:pPr>
              <w:keepNext/>
              <w:spacing w:line="240" w:lineRule="auto"/>
              <w:contextualSpacing/>
              <w:jc w:val="both"/>
              <w:rPr>
                <w:szCs w:val="22"/>
                <w:vertAlign w:val="superscript"/>
                <w:lang w:val="sr-Latn-ME"/>
              </w:rPr>
            </w:pPr>
            <w:r w:rsidRPr="00B74B0F">
              <w:rPr>
                <w:szCs w:val="22"/>
                <w:lang w:val="sr-Latn-ME"/>
              </w:rPr>
              <w:t>0,3</w:t>
            </w:r>
            <w:r w:rsidRPr="00B74B0F">
              <w:rPr>
                <w:szCs w:val="22"/>
                <w:vertAlign w:val="superscript"/>
                <w:lang w:val="sr-Latn-ME"/>
              </w:rPr>
              <w:t>e</w:t>
            </w:r>
          </w:p>
        </w:tc>
        <w:tc>
          <w:tcPr>
            <w:tcW w:w="1260" w:type="dxa"/>
            <w:shd w:val="clear" w:color="auto" w:fill="auto"/>
            <w:vAlign w:val="bottom"/>
          </w:tcPr>
          <w:p w14:paraId="74DAF607" w14:textId="77777777" w:rsidR="00DD0198" w:rsidRPr="00B74B0F" w:rsidRDefault="00906CF8">
            <w:pPr>
              <w:keepNext/>
              <w:spacing w:line="240" w:lineRule="auto"/>
              <w:contextualSpacing/>
              <w:jc w:val="both"/>
              <w:rPr>
                <w:szCs w:val="22"/>
                <w:lang w:val="sr-Latn-ME"/>
              </w:rPr>
            </w:pPr>
            <w:r w:rsidRPr="00B74B0F">
              <w:rPr>
                <w:szCs w:val="22"/>
                <w:lang w:val="sr-Latn-ME"/>
              </w:rPr>
              <w:t>0,4</w:t>
            </w:r>
          </w:p>
        </w:tc>
      </w:tr>
      <w:tr w:rsidR="00BF75A1" w:rsidRPr="00B74B0F" w14:paraId="1EEF5F65" w14:textId="77777777" w:rsidTr="00B1656D">
        <w:trPr>
          <w:cantSplit/>
          <w:trHeight w:val="238"/>
        </w:trPr>
        <w:tc>
          <w:tcPr>
            <w:tcW w:w="9468" w:type="dxa"/>
            <w:gridSpan w:val="7"/>
            <w:shd w:val="clear" w:color="auto" w:fill="auto"/>
          </w:tcPr>
          <w:p w14:paraId="109E2B4A" w14:textId="52B3FF5D" w:rsidR="00DD0198" w:rsidRPr="00B74B0F" w:rsidRDefault="00906CF8">
            <w:pPr>
              <w:keepNext/>
              <w:spacing w:line="240" w:lineRule="auto"/>
              <w:contextualSpacing/>
              <w:jc w:val="both"/>
              <w:rPr>
                <w:b/>
                <w:szCs w:val="22"/>
                <w:lang w:val="sr-Latn-ME"/>
              </w:rPr>
            </w:pPr>
            <w:r w:rsidRPr="00B74B0F">
              <w:rPr>
                <w:b/>
                <w:szCs w:val="22"/>
                <w:lang w:val="sr-Latn-ME"/>
              </w:rPr>
              <w:t xml:space="preserve">Udio </w:t>
            </w:r>
            <w:r w:rsidR="00BB59FC" w:rsidRPr="00B74B0F">
              <w:rPr>
                <w:b/>
                <w:szCs w:val="22"/>
                <w:lang w:val="sr-Latn-ME"/>
              </w:rPr>
              <w:t>pacijenata</w:t>
            </w:r>
            <w:r w:rsidRPr="00B74B0F">
              <w:rPr>
                <w:b/>
                <w:szCs w:val="22"/>
                <w:lang w:val="sr-Latn-ME"/>
              </w:rPr>
              <w:t xml:space="preserve"> bez radiografske progresije</w:t>
            </w:r>
            <w:r w:rsidRPr="00B74B0F">
              <w:rPr>
                <w:b/>
                <w:szCs w:val="22"/>
                <w:vertAlign w:val="superscript"/>
                <w:lang w:val="sr-Latn-ME"/>
              </w:rPr>
              <w:t>d</w:t>
            </w:r>
          </w:p>
        </w:tc>
      </w:tr>
      <w:tr w:rsidR="00BF75A1" w:rsidRPr="00B74B0F" w14:paraId="21851947" w14:textId="77777777" w:rsidTr="00B1656D">
        <w:trPr>
          <w:cantSplit/>
          <w:trHeight w:val="238"/>
        </w:trPr>
        <w:tc>
          <w:tcPr>
            <w:tcW w:w="3035" w:type="dxa"/>
            <w:shd w:val="clear" w:color="auto" w:fill="auto"/>
          </w:tcPr>
          <w:p w14:paraId="602B714B" w14:textId="7083C47F" w:rsidR="00DD0198" w:rsidRPr="00B74B0F" w:rsidRDefault="00906CF8">
            <w:pPr>
              <w:keepNext/>
              <w:spacing w:line="240" w:lineRule="auto"/>
              <w:contextualSpacing/>
              <w:jc w:val="both"/>
              <w:rPr>
                <w:szCs w:val="22"/>
                <w:lang w:val="sr-Latn-ME"/>
              </w:rPr>
            </w:pPr>
            <w:r w:rsidRPr="00B74B0F">
              <w:rPr>
                <w:szCs w:val="22"/>
                <w:lang w:val="sr-Latn-ME"/>
              </w:rPr>
              <w:t>24</w:t>
            </w:r>
            <w:r w:rsidR="009F4D0A" w:rsidRPr="00B74B0F">
              <w:rPr>
                <w:szCs w:val="22"/>
                <w:lang w:val="sr-Latn-ME"/>
              </w:rPr>
              <w:t>.</w:t>
            </w:r>
            <w:r w:rsidRPr="00B74B0F">
              <w:rPr>
                <w:szCs w:val="22"/>
                <w:vertAlign w:val="superscript"/>
                <w:lang w:val="sr-Latn-ME"/>
              </w:rPr>
              <w:t>b</w:t>
            </w:r>
            <w:r w:rsidRPr="00B74B0F">
              <w:rPr>
                <w:szCs w:val="22"/>
                <w:lang w:val="sr-Latn-ME"/>
              </w:rPr>
              <w:t>/26</w:t>
            </w:r>
            <w:r w:rsidR="009F4D0A" w:rsidRPr="00B74B0F">
              <w:rPr>
                <w:szCs w:val="22"/>
                <w:lang w:val="sr-Latn-ME"/>
              </w:rPr>
              <w:t>.</w:t>
            </w:r>
            <w:r w:rsidRPr="00B74B0F">
              <w:rPr>
                <w:szCs w:val="22"/>
                <w:vertAlign w:val="superscript"/>
                <w:lang w:val="sr-Latn-ME"/>
              </w:rPr>
              <w:t>c</w:t>
            </w:r>
            <w:r w:rsidRPr="00B74B0F">
              <w:rPr>
                <w:szCs w:val="22"/>
                <w:lang w:val="sr-Latn-ME"/>
              </w:rPr>
              <w:t xml:space="preserve"> </w:t>
            </w:r>
            <w:r w:rsidR="009F4D0A" w:rsidRPr="00B74B0F">
              <w:rPr>
                <w:szCs w:val="22"/>
                <w:lang w:val="sr-Latn-ME"/>
              </w:rPr>
              <w:t>n</w:t>
            </w:r>
            <w:r w:rsidR="008806F8" w:rsidRPr="00B74B0F">
              <w:rPr>
                <w:szCs w:val="22"/>
                <w:lang w:val="sr-Latn-ME"/>
              </w:rPr>
              <w:t>ed</w:t>
            </w:r>
            <w:r w:rsidR="009F4D0A" w:rsidRPr="00B74B0F">
              <w:rPr>
                <w:szCs w:val="22"/>
                <w:lang w:val="sr-Latn-ME"/>
              </w:rPr>
              <w:t>j</w:t>
            </w:r>
            <w:r w:rsidR="008806F8" w:rsidRPr="00B74B0F">
              <w:rPr>
                <w:szCs w:val="22"/>
                <w:lang w:val="sr-Latn-ME"/>
              </w:rPr>
              <w:t>elja</w:t>
            </w:r>
          </w:p>
        </w:tc>
        <w:tc>
          <w:tcPr>
            <w:tcW w:w="1393" w:type="dxa"/>
            <w:gridSpan w:val="2"/>
            <w:shd w:val="clear" w:color="auto" w:fill="auto"/>
            <w:vAlign w:val="bottom"/>
          </w:tcPr>
          <w:p w14:paraId="7DA62EA6" w14:textId="77777777" w:rsidR="00DD0198" w:rsidRPr="00B74B0F" w:rsidRDefault="00906CF8">
            <w:pPr>
              <w:keepNext/>
              <w:spacing w:line="240" w:lineRule="auto"/>
              <w:contextualSpacing/>
              <w:jc w:val="both"/>
              <w:rPr>
                <w:szCs w:val="22"/>
                <w:lang w:val="sr-Latn-ME"/>
              </w:rPr>
            </w:pPr>
            <w:r w:rsidRPr="00B74B0F">
              <w:rPr>
                <w:szCs w:val="22"/>
                <w:lang w:val="sr-Latn-ME"/>
              </w:rPr>
              <w:t>77,7</w:t>
            </w:r>
          </w:p>
        </w:tc>
        <w:tc>
          <w:tcPr>
            <w:tcW w:w="1170" w:type="dxa"/>
            <w:shd w:val="clear" w:color="auto" w:fill="auto"/>
            <w:vAlign w:val="bottom"/>
          </w:tcPr>
          <w:p w14:paraId="6B587F6D" w14:textId="77777777" w:rsidR="00DD0198" w:rsidRPr="00B74B0F" w:rsidRDefault="00906CF8">
            <w:pPr>
              <w:keepNext/>
              <w:spacing w:line="240" w:lineRule="auto"/>
              <w:contextualSpacing/>
              <w:jc w:val="both"/>
              <w:rPr>
                <w:szCs w:val="22"/>
                <w:lang w:val="sr-Latn-ME"/>
              </w:rPr>
            </w:pPr>
            <w:r w:rsidRPr="00B74B0F">
              <w:rPr>
                <w:szCs w:val="22"/>
                <w:lang w:val="sr-Latn-ME"/>
              </w:rPr>
              <w:t>87,5</w:t>
            </w:r>
            <w:r w:rsidRPr="00B74B0F">
              <w:rPr>
                <w:szCs w:val="22"/>
                <w:vertAlign w:val="superscript"/>
                <w:lang w:val="sr-Latn-ME"/>
              </w:rPr>
              <w:t>f</w:t>
            </w:r>
          </w:p>
        </w:tc>
        <w:tc>
          <w:tcPr>
            <w:tcW w:w="1260" w:type="dxa"/>
            <w:shd w:val="clear" w:color="auto" w:fill="auto"/>
            <w:vAlign w:val="bottom"/>
          </w:tcPr>
          <w:p w14:paraId="3D1D72CE" w14:textId="77777777" w:rsidR="00DD0198" w:rsidRPr="00B74B0F" w:rsidRDefault="00906CF8">
            <w:pPr>
              <w:keepNext/>
              <w:spacing w:line="240" w:lineRule="auto"/>
              <w:contextualSpacing/>
              <w:jc w:val="both"/>
              <w:rPr>
                <w:szCs w:val="22"/>
                <w:lang w:val="sr-Latn-ME"/>
              </w:rPr>
            </w:pPr>
            <w:r w:rsidRPr="00B74B0F">
              <w:rPr>
                <w:szCs w:val="22"/>
                <w:lang w:val="sr-Latn-ME"/>
              </w:rPr>
              <w:t>76,0</w:t>
            </w:r>
          </w:p>
        </w:tc>
        <w:tc>
          <w:tcPr>
            <w:tcW w:w="1350" w:type="dxa"/>
            <w:shd w:val="clear" w:color="auto" w:fill="auto"/>
            <w:vAlign w:val="bottom"/>
          </w:tcPr>
          <w:p w14:paraId="2DCA2C91" w14:textId="77777777" w:rsidR="00DD0198" w:rsidRPr="00B74B0F" w:rsidRDefault="00906CF8">
            <w:pPr>
              <w:keepNext/>
              <w:spacing w:line="240" w:lineRule="auto"/>
              <w:contextualSpacing/>
              <w:jc w:val="both"/>
              <w:rPr>
                <w:szCs w:val="22"/>
                <w:vertAlign w:val="superscript"/>
                <w:lang w:val="sr-Latn-ME"/>
              </w:rPr>
            </w:pPr>
            <w:r w:rsidRPr="00B74B0F">
              <w:rPr>
                <w:szCs w:val="22"/>
                <w:lang w:val="sr-Latn-ME"/>
              </w:rPr>
              <w:t>83,5</w:t>
            </w:r>
            <w:r w:rsidRPr="00B74B0F">
              <w:rPr>
                <w:szCs w:val="22"/>
                <w:vertAlign w:val="superscript"/>
                <w:lang w:val="sr-Latn-ME"/>
              </w:rPr>
              <w:t>f</w:t>
            </w:r>
          </w:p>
        </w:tc>
        <w:tc>
          <w:tcPr>
            <w:tcW w:w="1260" w:type="dxa"/>
            <w:shd w:val="clear" w:color="auto" w:fill="auto"/>
            <w:vAlign w:val="bottom"/>
          </w:tcPr>
          <w:p w14:paraId="401C8773" w14:textId="77777777" w:rsidR="00DD0198" w:rsidRPr="00B74B0F" w:rsidRDefault="00906CF8">
            <w:pPr>
              <w:keepNext/>
              <w:spacing w:line="240" w:lineRule="auto"/>
              <w:contextualSpacing/>
              <w:jc w:val="both"/>
              <w:rPr>
                <w:szCs w:val="22"/>
                <w:lang w:val="sr-Latn-ME"/>
              </w:rPr>
            </w:pPr>
            <w:r w:rsidRPr="00B74B0F">
              <w:rPr>
                <w:szCs w:val="22"/>
                <w:lang w:val="sr-Latn-ME"/>
              </w:rPr>
              <w:t>86,8</w:t>
            </w:r>
          </w:p>
        </w:tc>
      </w:tr>
      <w:tr w:rsidR="00BF75A1" w:rsidRPr="00B74B0F" w14:paraId="0FEC69E8" w14:textId="77777777" w:rsidTr="00B1656D">
        <w:trPr>
          <w:cantSplit/>
          <w:trHeight w:val="250"/>
        </w:trPr>
        <w:tc>
          <w:tcPr>
            <w:tcW w:w="3035" w:type="dxa"/>
            <w:shd w:val="clear" w:color="auto" w:fill="auto"/>
          </w:tcPr>
          <w:p w14:paraId="0A276BBF" w14:textId="0FE52080" w:rsidR="00DD0198" w:rsidRPr="00B74B0F" w:rsidRDefault="00906CF8">
            <w:pPr>
              <w:keepNext/>
              <w:spacing w:line="240" w:lineRule="auto"/>
              <w:contextualSpacing/>
              <w:jc w:val="both"/>
              <w:rPr>
                <w:szCs w:val="22"/>
                <w:lang w:val="sr-Latn-ME"/>
              </w:rPr>
            </w:pPr>
            <w:r w:rsidRPr="00B74B0F">
              <w:rPr>
                <w:szCs w:val="22"/>
                <w:lang w:val="sr-Latn-ME"/>
              </w:rPr>
              <w:t>48</w:t>
            </w:r>
            <w:r w:rsidR="009F4D0A" w:rsidRPr="00B74B0F">
              <w:rPr>
                <w:szCs w:val="22"/>
                <w:lang w:val="sr-Latn-ME"/>
              </w:rPr>
              <w:t>. nedjelja</w:t>
            </w:r>
            <w:r w:rsidRPr="00B74B0F">
              <w:rPr>
                <w:szCs w:val="22"/>
                <w:lang w:val="sr-Latn-ME"/>
              </w:rPr>
              <w:t xml:space="preserve"> </w:t>
            </w:r>
          </w:p>
        </w:tc>
        <w:tc>
          <w:tcPr>
            <w:tcW w:w="1393" w:type="dxa"/>
            <w:gridSpan w:val="2"/>
            <w:shd w:val="clear" w:color="auto" w:fill="auto"/>
            <w:vAlign w:val="bottom"/>
          </w:tcPr>
          <w:p w14:paraId="255D45A5" w14:textId="77777777" w:rsidR="00DD0198" w:rsidRPr="00B74B0F" w:rsidRDefault="00386A54">
            <w:pPr>
              <w:keepNext/>
              <w:spacing w:line="240" w:lineRule="auto"/>
              <w:contextualSpacing/>
              <w:jc w:val="both"/>
              <w:rPr>
                <w:szCs w:val="22"/>
                <w:lang w:val="sr-Latn-ME"/>
              </w:rPr>
            </w:pPr>
            <w:r w:rsidRPr="00B74B0F">
              <w:rPr>
                <w:szCs w:val="22"/>
                <w:lang w:val="sr-Latn-ME"/>
              </w:rPr>
              <w:t>74,3</w:t>
            </w:r>
          </w:p>
        </w:tc>
        <w:tc>
          <w:tcPr>
            <w:tcW w:w="1170" w:type="dxa"/>
            <w:shd w:val="clear" w:color="auto" w:fill="auto"/>
            <w:vAlign w:val="bottom"/>
          </w:tcPr>
          <w:p w14:paraId="06459AD2" w14:textId="77777777" w:rsidR="00DD0198" w:rsidRPr="00B74B0F" w:rsidRDefault="00386A54">
            <w:pPr>
              <w:keepNext/>
              <w:spacing w:line="240" w:lineRule="auto"/>
              <w:contextualSpacing/>
              <w:jc w:val="both"/>
              <w:rPr>
                <w:szCs w:val="22"/>
                <w:lang w:val="sr-Latn-ME"/>
              </w:rPr>
            </w:pPr>
            <w:r w:rsidRPr="00B74B0F">
              <w:rPr>
                <w:szCs w:val="22"/>
                <w:lang w:val="sr-Latn-ME"/>
              </w:rPr>
              <w:t>89,9</w:t>
            </w:r>
            <w:r w:rsidRPr="00B74B0F">
              <w:rPr>
                <w:szCs w:val="22"/>
                <w:vertAlign w:val="superscript"/>
                <w:lang w:val="sr-Latn-ME"/>
              </w:rPr>
              <w:t>e</w:t>
            </w:r>
          </w:p>
        </w:tc>
        <w:tc>
          <w:tcPr>
            <w:tcW w:w="1260" w:type="dxa"/>
            <w:shd w:val="clear" w:color="auto" w:fill="auto"/>
            <w:vAlign w:val="bottom"/>
          </w:tcPr>
          <w:p w14:paraId="37510F87" w14:textId="77777777" w:rsidR="00DD0198" w:rsidRPr="00B74B0F" w:rsidRDefault="00906CF8">
            <w:pPr>
              <w:keepNext/>
              <w:spacing w:line="240" w:lineRule="auto"/>
              <w:contextualSpacing/>
              <w:jc w:val="both"/>
              <w:rPr>
                <w:szCs w:val="22"/>
                <w:lang w:val="sr-Latn-ME"/>
              </w:rPr>
            </w:pPr>
            <w:r w:rsidRPr="00B74B0F">
              <w:rPr>
                <w:szCs w:val="22"/>
                <w:lang w:val="sr-Latn-ME"/>
              </w:rPr>
              <w:t>74,1</w:t>
            </w:r>
          </w:p>
        </w:tc>
        <w:tc>
          <w:tcPr>
            <w:tcW w:w="1350" w:type="dxa"/>
            <w:shd w:val="clear" w:color="auto" w:fill="auto"/>
            <w:vAlign w:val="bottom"/>
          </w:tcPr>
          <w:p w14:paraId="3BCD9273" w14:textId="77777777" w:rsidR="00DD0198" w:rsidRPr="00B74B0F" w:rsidRDefault="00906CF8">
            <w:pPr>
              <w:keepNext/>
              <w:spacing w:line="240" w:lineRule="auto"/>
              <w:contextualSpacing/>
              <w:jc w:val="both"/>
              <w:rPr>
                <w:szCs w:val="22"/>
                <w:vertAlign w:val="superscript"/>
                <w:lang w:val="sr-Latn-ME"/>
              </w:rPr>
            </w:pPr>
            <w:r w:rsidRPr="00B74B0F">
              <w:rPr>
                <w:szCs w:val="22"/>
                <w:lang w:val="sr-Latn-ME"/>
              </w:rPr>
              <w:t>86,4</w:t>
            </w:r>
            <w:r w:rsidRPr="00B74B0F">
              <w:rPr>
                <w:szCs w:val="22"/>
                <w:vertAlign w:val="superscript"/>
                <w:lang w:val="sr-Latn-ME"/>
              </w:rPr>
              <w:t>e</w:t>
            </w:r>
          </w:p>
        </w:tc>
        <w:tc>
          <w:tcPr>
            <w:tcW w:w="1260" w:type="dxa"/>
            <w:shd w:val="clear" w:color="auto" w:fill="auto"/>
            <w:vAlign w:val="bottom"/>
          </w:tcPr>
          <w:p w14:paraId="5878088A" w14:textId="77777777" w:rsidR="00DD0198" w:rsidRPr="00B74B0F" w:rsidRDefault="00906CF8">
            <w:pPr>
              <w:keepNext/>
              <w:spacing w:line="240" w:lineRule="auto"/>
              <w:contextualSpacing/>
              <w:jc w:val="both"/>
              <w:rPr>
                <w:szCs w:val="22"/>
                <w:lang w:val="sr-Latn-ME"/>
              </w:rPr>
            </w:pPr>
            <w:r w:rsidRPr="00B74B0F">
              <w:rPr>
                <w:szCs w:val="22"/>
                <w:lang w:val="sr-Latn-ME"/>
              </w:rPr>
              <w:t>87,9</w:t>
            </w:r>
          </w:p>
        </w:tc>
      </w:tr>
      <w:tr w:rsidR="003A2D26" w:rsidRPr="00B74B0F" w14:paraId="0964358D" w14:textId="77777777" w:rsidTr="00B1656D">
        <w:trPr>
          <w:cantSplit/>
          <w:trHeight w:val="250"/>
        </w:trPr>
        <w:tc>
          <w:tcPr>
            <w:tcW w:w="9468" w:type="dxa"/>
            <w:gridSpan w:val="7"/>
            <w:shd w:val="clear" w:color="auto" w:fill="auto"/>
          </w:tcPr>
          <w:p w14:paraId="7BA79F9A" w14:textId="316F3C3F" w:rsidR="00DD0198" w:rsidRPr="00B74B0F" w:rsidRDefault="00B10681">
            <w:pPr>
              <w:keepNext/>
              <w:spacing w:line="240" w:lineRule="auto"/>
              <w:contextualSpacing/>
              <w:jc w:val="both"/>
              <w:rPr>
                <w:rFonts w:eastAsia="TimesNewRomanPSMT"/>
                <w:szCs w:val="22"/>
                <w:lang w:val="sr-Latn-ME"/>
              </w:rPr>
            </w:pPr>
            <w:r w:rsidRPr="00B74B0F">
              <w:rPr>
                <w:szCs w:val="22"/>
                <w:lang w:val="sr-Latn-ME"/>
              </w:rPr>
              <w:t>Skraćenice</w:t>
            </w:r>
            <w:r w:rsidR="00906CF8" w:rsidRPr="00B74B0F">
              <w:rPr>
                <w:szCs w:val="22"/>
                <w:lang w:val="sr-Latn-ME"/>
              </w:rPr>
              <w:t xml:space="preserve">: ADA = adalimumab; </w:t>
            </w:r>
            <w:r w:rsidR="00B1656D" w:rsidRPr="00B74B0F">
              <w:rPr>
                <w:szCs w:val="22"/>
                <w:lang w:val="sr-Latn-ME"/>
              </w:rPr>
              <w:t xml:space="preserve">IR=neadekvatan odgovor; </w:t>
            </w:r>
            <w:r w:rsidR="00906CF8" w:rsidRPr="00B74B0F">
              <w:rPr>
                <w:szCs w:val="22"/>
                <w:lang w:val="sr-Latn-ME"/>
              </w:rPr>
              <w:t>MTX = metotreksat; PBO = placebo; UPA = upadacitinib</w:t>
            </w:r>
          </w:p>
          <w:p w14:paraId="68A2CB3B" w14:textId="209E85C6" w:rsidR="00DD0198" w:rsidRPr="00B74B0F" w:rsidRDefault="00906CF8">
            <w:pPr>
              <w:keepNext/>
              <w:spacing w:line="240" w:lineRule="auto"/>
              <w:contextualSpacing/>
              <w:jc w:val="both"/>
              <w:rPr>
                <w:rFonts w:eastAsia="SimSun"/>
                <w:szCs w:val="22"/>
                <w:lang w:val="sr-Latn-ME"/>
              </w:rPr>
            </w:pPr>
            <w:r w:rsidRPr="00B74B0F">
              <w:rPr>
                <w:szCs w:val="22"/>
                <w:vertAlign w:val="superscript"/>
                <w:lang w:val="sr-Latn-ME"/>
              </w:rPr>
              <w:t xml:space="preserve">a </w:t>
            </w:r>
            <w:r w:rsidRPr="00B74B0F">
              <w:rPr>
                <w:szCs w:val="22"/>
                <w:lang w:val="sr-Latn-ME"/>
              </w:rPr>
              <w:t>Svi podaci za placebo u 48</w:t>
            </w:r>
            <w:r w:rsidR="009F4D0A" w:rsidRPr="00B74B0F">
              <w:rPr>
                <w:szCs w:val="22"/>
                <w:lang w:val="sr-Latn-ME"/>
              </w:rPr>
              <w:t>.</w:t>
            </w:r>
            <w:r w:rsidRPr="00B74B0F">
              <w:rPr>
                <w:szCs w:val="22"/>
                <w:lang w:val="sr-Latn-ME"/>
              </w:rPr>
              <w:t xml:space="preserve"> </w:t>
            </w:r>
            <w:r w:rsidR="009F4D0A" w:rsidRPr="00B74B0F">
              <w:rPr>
                <w:szCs w:val="22"/>
                <w:lang w:val="sr-Latn-ME"/>
              </w:rPr>
              <w:t xml:space="preserve">nedjelji </w:t>
            </w:r>
            <w:r w:rsidRPr="00B74B0F">
              <w:rPr>
                <w:szCs w:val="22"/>
                <w:lang w:val="sr-Latn-ME"/>
              </w:rPr>
              <w:t>dobi</w:t>
            </w:r>
            <w:r w:rsidR="009F4D0A" w:rsidRPr="00B74B0F">
              <w:rPr>
                <w:szCs w:val="22"/>
                <w:lang w:val="sr-Latn-ME"/>
              </w:rPr>
              <w:t>j</w:t>
            </w:r>
            <w:r w:rsidRPr="00B74B0F">
              <w:rPr>
                <w:szCs w:val="22"/>
                <w:lang w:val="sr-Latn-ME"/>
              </w:rPr>
              <w:t>eni su linearnom ekstrapolacijom</w:t>
            </w:r>
          </w:p>
          <w:p w14:paraId="485B930A" w14:textId="77777777" w:rsidR="00DD0198" w:rsidRPr="00B74B0F" w:rsidRDefault="00906CF8">
            <w:pPr>
              <w:keepNext/>
              <w:spacing w:line="240" w:lineRule="auto"/>
              <w:contextualSpacing/>
              <w:jc w:val="both"/>
              <w:rPr>
                <w:rFonts w:eastAsia="SimSun"/>
                <w:szCs w:val="22"/>
                <w:lang w:val="sr-Latn-ME"/>
              </w:rPr>
            </w:pPr>
            <w:r w:rsidRPr="00B74B0F">
              <w:rPr>
                <w:szCs w:val="22"/>
                <w:vertAlign w:val="superscript"/>
                <w:lang w:val="sr-Latn-ME"/>
              </w:rPr>
              <w:t>b</w:t>
            </w:r>
            <w:r w:rsidRPr="00B74B0F">
              <w:rPr>
                <w:szCs w:val="22"/>
                <w:lang w:val="sr-Latn-ME"/>
              </w:rPr>
              <w:t xml:space="preserve"> SELECT</w:t>
            </w:r>
            <w:r w:rsidRPr="00B74B0F">
              <w:rPr>
                <w:szCs w:val="22"/>
                <w:lang w:val="sr-Latn-ME"/>
              </w:rPr>
              <w:noBreakHyphen/>
              <w:t>EARLY</w:t>
            </w:r>
          </w:p>
          <w:p w14:paraId="7C24C317" w14:textId="77777777" w:rsidR="00DD0198" w:rsidRPr="00B74B0F" w:rsidRDefault="00906CF8">
            <w:pPr>
              <w:keepNext/>
              <w:spacing w:line="240" w:lineRule="auto"/>
              <w:contextualSpacing/>
              <w:jc w:val="both"/>
              <w:rPr>
                <w:rFonts w:eastAsia="SimSun"/>
                <w:szCs w:val="22"/>
                <w:lang w:val="sr-Latn-ME"/>
              </w:rPr>
            </w:pPr>
            <w:r w:rsidRPr="00B74B0F">
              <w:rPr>
                <w:szCs w:val="22"/>
                <w:vertAlign w:val="superscript"/>
                <w:lang w:val="sr-Latn-ME"/>
              </w:rPr>
              <w:t>c</w:t>
            </w:r>
            <w:r w:rsidRPr="00B74B0F">
              <w:rPr>
                <w:szCs w:val="22"/>
                <w:lang w:val="sr-Latn-ME"/>
              </w:rPr>
              <w:t xml:space="preserve"> SELECT</w:t>
            </w:r>
            <w:r w:rsidRPr="00B74B0F">
              <w:rPr>
                <w:szCs w:val="22"/>
                <w:lang w:val="sr-Latn-ME"/>
              </w:rPr>
              <w:noBreakHyphen/>
              <w:t>COMPARE</w:t>
            </w:r>
          </w:p>
          <w:p w14:paraId="295D4F1B" w14:textId="1BF3DDC6" w:rsidR="00DD0198" w:rsidRPr="00B74B0F" w:rsidRDefault="00906CF8">
            <w:pPr>
              <w:keepNext/>
              <w:spacing w:line="240" w:lineRule="auto"/>
              <w:contextualSpacing/>
              <w:jc w:val="both"/>
              <w:rPr>
                <w:rFonts w:eastAsia="SimSun"/>
                <w:szCs w:val="22"/>
                <w:lang w:val="sr-Latn-ME"/>
              </w:rPr>
            </w:pPr>
            <w:r w:rsidRPr="00B74B0F">
              <w:rPr>
                <w:szCs w:val="22"/>
                <w:vertAlign w:val="superscript"/>
                <w:lang w:val="sr-Latn-ME"/>
              </w:rPr>
              <w:t>d</w:t>
            </w:r>
            <w:r w:rsidRPr="00B74B0F">
              <w:rPr>
                <w:szCs w:val="22"/>
                <w:lang w:val="sr-Latn-ME"/>
              </w:rPr>
              <w:t xml:space="preserve"> Izostanak progresije defini</w:t>
            </w:r>
            <w:r w:rsidR="008F6559" w:rsidRPr="00B74B0F">
              <w:rPr>
                <w:szCs w:val="22"/>
                <w:lang w:val="sr-Latn-ME"/>
              </w:rPr>
              <w:t>še</w:t>
            </w:r>
            <w:r w:rsidRPr="00B74B0F">
              <w:rPr>
                <w:szCs w:val="22"/>
                <w:lang w:val="sr-Latn-ME"/>
              </w:rPr>
              <w:t xml:space="preserve"> se kao promjena mTSS rezultata za ≤ 0</w:t>
            </w:r>
          </w:p>
          <w:p w14:paraId="7BB07B1F" w14:textId="256A3EA0" w:rsidR="00DD0198" w:rsidRPr="00B74B0F" w:rsidRDefault="00BE633E">
            <w:pPr>
              <w:keepNext/>
              <w:spacing w:before="240" w:line="240" w:lineRule="auto"/>
              <w:contextualSpacing/>
              <w:jc w:val="both"/>
              <w:rPr>
                <w:szCs w:val="22"/>
                <w:lang w:val="sr-Latn-ME"/>
              </w:rPr>
            </w:pPr>
            <w:r w:rsidRPr="00B74B0F">
              <w:rPr>
                <w:szCs w:val="22"/>
                <w:vertAlign w:val="superscript"/>
                <w:lang w:val="sr-Latn-ME"/>
              </w:rPr>
              <w:t>e</w:t>
            </w:r>
            <w:r w:rsidR="00906CF8" w:rsidRPr="00B74B0F">
              <w:rPr>
                <w:szCs w:val="22"/>
                <w:vertAlign w:val="superscript"/>
                <w:lang w:val="sr-Latn-ME"/>
              </w:rPr>
              <w:t xml:space="preserve"> </w:t>
            </w:r>
            <w:r w:rsidRPr="00B74B0F">
              <w:rPr>
                <w:szCs w:val="22"/>
                <w:lang w:val="sr-Latn-ME"/>
              </w:rPr>
              <w:t>nominaln</w:t>
            </w:r>
            <w:r w:rsidR="0080607F" w:rsidRPr="00B74B0F">
              <w:rPr>
                <w:szCs w:val="22"/>
                <w:lang w:val="sr-Latn-ME"/>
              </w:rPr>
              <w:t>a</w:t>
            </w:r>
            <w:r w:rsidRPr="00B74B0F">
              <w:rPr>
                <w:szCs w:val="22"/>
                <w:lang w:val="sr-Latn-ME"/>
              </w:rPr>
              <w:t xml:space="preserve"> </w:t>
            </w:r>
            <w:r w:rsidR="00906CF8" w:rsidRPr="00B74B0F">
              <w:rPr>
                <w:szCs w:val="22"/>
                <w:lang w:val="sr-Latn-ME"/>
              </w:rPr>
              <w:t>p</w:t>
            </w:r>
            <w:r w:rsidR="003D2B24" w:rsidRPr="00B74B0F">
              <w:rPr>
                <w:szCs w:val="22"/>
                <w:lang w:val="sr-Latn-ME"/>
              </w:rPr>
              <w:noBreakHyphen/>
              <w:t>vrijednost</w:t>
            </w:r>
            <w:r w:rsidR="00906CF8" w:rsidRPr="00B74B0F">
              <w:rPr>
                <w:szCs w:val="22"/>
                <w:lang w:val="sr-Latn-ME"/>
              </w:rPr>
              <w:t> ≤ 0,001 za</w:t>
            </w:r>
            <w:r w:rsidR="008F6559" w:rsidRPr="00B74B0F">
              <w:rPr>
                <w:szCs w:val="22"/>
                <w:lang w:val="sr-Latn-ME"/>
              </w:rPr>
              <w:t xml:space="preserve"> </w:t>
            </w:r>
            <w:r w:rsidR="00906CF8" w:rsidRPr="00B74B0F">
              <w:rPr>
                <w:szCs w:val="22"/>
                <w:lang w:val="sr-Latn-ME"/>
              </w:rPr>
              <w:t>upadacitinib u odnosu na placebo ili MTX</w:t>
            </w:r>
          </w:p>
          <w:p w14:paraId="3C705CEE" w14:textId="7D71D44D" w:rsidR="00D80287" w:rsidRPr="00B74B0F" w:rsidRDefault="00906CF8">
            <w:pPr>
              <w:keepNext/>
              <w:spacing w:line="240" w:lineRule="auto"/>
              <w:contextualSpacing/>
              <w:jc w:val="both"/>
              <w:rPr>
                <w:szCs w:val="22"/>
                <w:lang w:val="sr-Latn-ME"/>
              </w:rPr>
            </w:pPr>
            <w:r w:rsidRPr="00B74B0F">
              <w:rPr>
                <w:szCs w:val="22"/>
                <w:vertAlign w:val="superscript"/>
                <w:lang w:val="sr-Latn-ME"/>
              </w:rPr>
              <w:t>f</w:t>
            </w:r>
            <w:r w:rsidRPr="00B74B0F">
              <w:rPr>
                <w:szCs w:val="22"/>
                <w:lang w:val="sr-Latn-ME"/>
              </w:rPr>
              <w:t xml:space="preserve"> p</w:t>
            </w:r>
            <w:r w:rsidR="003D2B24" w:rsidRPr="00B74B0F">
              <w:rPr>
                <w:szCs w:val="22"/>
                <w:lang w:val="sr-Latn-ME"/>
              </w:rPr>
              <w:noBreakHyphen/>
              <w:t>vrijednost kontroli</w:t>
            </w:r>
            <w:r w:rsidR="008F6559" w:rsidRPr="00B74B0F">
              <w:rPr>
                <w:szCs w:val="22"/>
                <w:lang w:val="sr-Latn-ME"/>
              </w:rPr>
              <w:t>s</w:t>
            </w:r>
            <w:r w:rsidR="003D2B24" w:rsidRPr="00B74B0F">
              <w:rPr>
                <w:szCs w:val="22"/>
                <w:lang w:val="sr-Latn-ME"/>
              </w:rPr>
              <w:t>ana za multiplicitet</w:t>
            </w:r>
            <w:r w:rsidRPr="00B74B0F">
              <w:rPr>
                <w:szCs w:val="22"/>
                <w:lang w:val="sr-Latn-ME"/>
              </w:rPr>
              <w:t> ≤ 0,01 za</w:t>
            </w:r>
            <w:r w:rsidR="008F6559" w:rsidRPr="00B74B0F">
              <w:rPr>
                <w:szCs w:val="22"/>
                <w:lang w:val="sr-Latn-ME"/>
              </w:rPr>
              <w:t xml:space="preserve"> </w:t>
            </w:r>
            <w:r w:rsidRPr="00B74B0F">
              <w:rPr>
                <w:szCs w:val="22"/>
                <w:lang w:val="sr-Latn-ME"/>
              </w:rPr>
              <w:t>upadacitinib u odnosu na placebo ili MTX</w:t>
            </w:r>
          </w:p>
          <w:p w14:paraId="6D2040D6" w14:textId="4A32338B" w:rsidR="00BE633E" w:rsidRPr="00B74B0F" w:rsidRDefault="00B1656D">
            <w:pPr>
              <w:keepNext/>
              <w:spacing w:line="240" w:lineRule="auto"/>
              <w:contextualSpacing/>
              <w:jc w:val="both"/>
              <w:rPr>
                <w:szCs w:val="22"/>
                <w:lang w:val="sr-Latn-ME"/>
              </w:rPr>
            </w:pPr>
            <w:r w:rsidRPr="00B74B0F">
              <w:rPr>
                <w:szCs w:val="22"/>
                <w:vertAlign w:val="superscript"/>
                <w:lang w:val="sr-Latn-ME"/>
              </w:rPr>
              <w:t>g</w:t>
            </w:r>
            <w:r w:rsidR="00161FEE" w:rsidRPr="00B74B0F">
              <w:rPr>
                <w:szCs w:val="22"/>
                <w:lang w:val="sr-Latn-ME"/>
              </w:rPr>
              <w:t xml:space="preserve"> </w:t>
            </w:r>
            <w:r w:rsidR="00BE633E" w:rsidRPr="00B74B0F">
              <w:rPr>
                <w:szCs w:val="22"/>
                <w:lang w:val="sr-Latn-ME"/>
              </w:rPr>
              <w:t>p</w:t>
            </w:r>
            <w:r w:rsidR="003D2B24" w:rsidRPr="00B74B0F">
              <w:rPr>
                <w:szCs w:val="22"/>
                <w:lang w:val="sr-Latn-ME"/>
              </w:rPr>
              <w:noBreakHyphen/>
              <w:t>vrijednost kontroli</w:t>
            </w:r>
            <w:r w:rsidR="008F6559" w:rsidRPr="00B74B0F">
              <w:rPr>
                <w:szCs w:val="22"/>
                <w:lang w:val="sr-Latn-ME"/>
              </w:rPr>
              <w:t>s</w:t>
            </w:r>
            <w:r w:rsidR="003D2B24" w:rsidRPr="00B74B0F">
              <w:rPr>
                <w:szCs w:val="22"/>
                <w:lang w:val="sr-Latn-ME"/>
              </w:rPr>
              <w:t>ana za multiplicitet</w:t>
            </w:r>
            <w:r w:rsidR="00BE633E" w:rsidRPr="00B74B0F">
              <w:rPr>
                <w:szCs w:val="22"/>
                <w:lang w:val="sr-Latn-ME"/>
              </w:rPr>
              <w:t> ≤ 0,0</w:t>
            </w:r>
            <w:r w:rsidR="00161FEE" w:rsidRPr="00B74B0F">
              <w:rPr>
                <w:szCs w:val="22"/>
                <w:lang w:val="sr-Latn-ME"/>
              </w:rPr>
              <w:t>0</w:t>
            </w:r>
            <w:r w:rsidR="00BE633E" w:rsidRPr="00B74B0F">
              <w:rPr>
                <w:szCs w:val="22"/>
                <w:lang w:val="sr-Latn-ME"/>
              </w:rPr>
              <w:t>1 za</w:t>
            </w:r>
            <w:r w:rsidR="008F6559" w:rsidRPr="00B74B0F">
              <w:rPr>
                <w:szCs w:val="22"/>
                <w:lang w:val="sr-Latn-ME"/>
              </w:rPr>
              <w:t xml:space="preserve"> </w:t>
            </w:r>
            <w:r w:rsidR="00BE633E" w:rsidRPr="00B74B0F">
              <w:rPr>
                <w:szCs w:val="22"/>
                <w:lang w:val="sr-Latn-ME"/>
              </w:rPr>
              <w:t>upadacitinib u odnosu na placebo ili MTX</w:t>
            </w:r>
          </w:p>
        </w:tc>
      </w:tr>
    </w:tbl>
    <w:p w14:paraId="64671399" w14:textId="77777777" w:rsidR="00DD0198" w:rsidRPr="00B74B0F" w:rsidRDefault="00DD0198">
      <w:pPr>
        <w:spacing w:line="240" w:lineRule="auto"/>
        <w:contextualSpacing/>
        <w:jc w:val="both"/>
        <w:rPr>
          <w:szCs w:val="22"/>
          <w:lang w:val="sr-Latn-ME"/>
        </w:rPr>
      </w:pPr>
    </w:p>
    <w:p w14:paraId="6167C952" w14:textId="06370845" w:rsidR="00AD141A"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lastRenderedPageBreak/>
        <w:t>Odgovor tjelesne funkcije i ishodi vezani z</w:t>
      </w:r>
      <w:r w:rsidR="0085291E" w:rsidRPr="00B74B0F">
        <w:rPr>
          <w:i/>
          <w:szCs w:val="22"/>
          <w:lang w:val="sr-Latn-ME"/>
        </w:rPr>
        <w:t>a</w:t>
      </w:r>
      <w:r w:rsidRPr="00B74B0F">
        <w:rPr>
          <w:i/>
          <w:szCs w:val="22"/>
          <w:lang w:val="sr-Latn-ME"/>
        </w:rPr>
        <w:t xml:space="preserve"> zdravlje</w:t>
      </w:r>
    </w:p>
    <w:p w14:paraId="65A3287A" w14:textId="77777777" w:rsidR="00C56DA6" w:rsidRPr="00B74B0F" w:rsidRDefault="00C56DA6">
      <w:pPr>
        <w:keepNext/>
        <w:autoSpaceDE w:val="0"/>
        <w:autoSpaceDN w:val="0"/>
        <w:adjustRightInd w:val="0"/>
        <w:spacing w:line="240" w:lineRule="auto"/>
        <w:contextualSpacing/>
        <w:jc w:val="both"/>
        <w:rPr>
          <w:szCs w:val="22"/>
          <w:lang w:val="sr-Latn-ME"/>
        </w:rPr>
      </w:pPr>
    </w:p>
    <w:p w14:paraId="3F54BA6B" w14:textId="48827DCF" w:rsidR="00AD141A"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Liječenje</w:t>
      </w:r>
      <w:r w:rsidR="008F6559" w:rsidRPr="00B74B0F">
        <w:rPr>
          <w:szCs w:val="22"/>
          <w:lang w:val="sr-Latn-ME"/>
        </w:rPr>
        <w:t xml:space="preserve"> </w:t>
      </w:r>
      <w:r w:rsidRPr="00B74B0F">
        <w:rPr>
          <w:szCs w:val="22"/>
          <w:lang w:val="sr-Latn-ME"/>
        </w:rPr>
        <w:t>upadacitinibo</w:t>
      </w:r>
      <w:r w:rsidR="009F4D0A" w:rsidRPr="00B74B0F">
        <w:rPr>
          <w:szCs w:val="22"/>
          <w:lang w:val="sr-Latn-ME"/>
        </w:rPr>
        <w:t>m</w:t>
      </w:r>
      <w:r w:rsidRPr="00B74B0F">
        <w:rPr>
          <w:szCs w:val="22"/>
          <w:lang w:val="sr-Latn-ME"/>
        </w:rPr>
        <w:t xml:space="preserve"> u dozi od 15 mg u monoterapiji ili u kombinaciji s</w:t>
      </w:r>
      <w:r w:rsidR="0085291E" w:rsidRPr="00B74B0F">
        <w:rPr>
          <w:szCs w:val="22"/>
          <w:lang w:val="sr-Latn-ME"/>
        </w:rPr>
        <w:t>a</w:t>
      </w:r>
      <w:r w:rsidRPr="00B74B0F">
        <w:rPr>
          <w:szCs w:val="22"/>
          <w:lang w:val="sr-Latn-ME"/>
        </w:rPr>
        <w:t xml:space="preserve"> ksDMARD dovelo je do značajno većeg poboljšanja tjelesne funkcije u odnosu na sve </w:t>
      </w:r>
      <w:r w:rsidR="009F4D0A" w:rsidRPr="00B74B0F">
        <w:rPr>
          <w:szCs w:val="22"/>
          <w:lang w:val="sr-Latn-ME"/>
        </w:rPr>
        <w:t xml:space="preserve">upoređivane </w:t>
      </w:r>
      <w:r w:rsidRPr="00B74B0F">
        <w:rPr>
          <w:szCs w:val="22"/>
          <w:lang w:val="sr-Latn-ME"/>
        </w:rPr>
        <w:t>ljekove, što je utvrđeno upitnikom HAQ</w:t>
      </w:r>
      <w:r w:rsidRPr="00B74B0F">
        <w:rPr>
          <w:szCs w:val="22"/>
          <w:lang w:val="sr-Latn-ME"/>
        </w:rPr>
        <w:noBreakHyphen/>
        <w:t>DI (vidjeti Tab</w:t>
      </w:r>
      <w:r w:rsidR="008F6559" w:rsidRPr="00B74B0F">
        <w:rPr>
          <w:szCs w:val="22"/>
          <w:lang w:val="sr-Latn-ME"/>
        </w:rPr>
        <w:t>elu</w:t>
      </w:r>
      <w:r w:rsidRPr="00B74B0F">
        <w:rPr>
          <w:szCs w:val="22"/>
          <w:lang w:val="sr-Latn-ME"/>
        </w:rPr>
        <w:t> </w:t>
      </w:r>
      <w:r w:rsidR="00B433D2" w:rsidRPr="00B74B0F">
        <w:rPr>
          <w:szCs w:val="22"/>
          <w:lang w:val="sr-Latn-ME"/>
        </w:rPr>
        <w:t>7</w:t>
      </w:r>
      <w:r w:rsidRPr="00B74B0F">
        <w:rPr>
          <w:szCs w:val="22"/>
          <w:lang w:val="sr-Latn-ME"/>
        </w:rPr>
        <w:t xml:space="preserve">). </w:t>
      </w:r>
      <w:r w:rsidR="001D401B" w:rsidRPr="00B74B0F">
        <w:rPr>
          <w:szCs w:val="22"/>
          <w:lang w:val="sr-Latn-ME"/>
        </w:rPr>
        <w:t xml:space="preserve">Poboljšanje HAQ-DI održalo se tokom 3 godine za </w:t>
      </w:r>
      <w:r w:rsidR="001A5E64" w:rsidRPr="00B74B0F">
        <w:rPr>
          <w:szCs w:val="22"/>
          <w:lang w:val="sr-Latn-ME"/>
        </w:rPr>
        <w:t xml:space="preserve">pacijente </w:t>
      </w:r>
      <w:r w:rsidR="001D401B" w:rsidRPr="00B74B0F">
        <w:rPr>
          <w:szCs w:val="22"/>
          <w:lang w:val="sr-Latn-ME"/>
        </w:rPr>
        <w:t>koji su nastavili prvobitno dodijeljeno liječenje upadacitinibom u dozi od 15 mg na osnovu dostupnih rezultata iz SELECT-COMPARE i SELECT-EARLY ispitivanja.</w:t>
      </w:r>
    </w:p>
    <w:p w14:paraId="30807C81" w14:textId="77777777" w:rsidR="00A73AE4" w:rsidRPr="00B74B0F" w:rsidRDefault="00A73AE4">
      <w:pPr>
        <w:autoSpaceDE w:val="0"/>
        <w:autoSpaceDN w:val="0"/>
        <w:adjustRightInd w:val="0"/>
        <w:spacing w:line="240" w:lineRule="auto"/>
        <w:contextualSpacing/>
        <w:jc w:val="both"/>
        <w:rPr>
          <w:szCs w:val="22"/>
          <w:lang w:val="sr-Latn-ME"/>
        </w:rPr>
      </w:pPr>
    </w:p>
    <w:p w14:paraId="4C352E57" w14:textId="3ED7D433" w:rsidR="0001729C" w:rsidRPr="00B74B0F" w:rsidRDefault="00906CF8">
      <w:pPr>
        <w:keepNext/>
        <w:spacing w:line="240" w:lineRule="auto"/>
        <w:contextualSpacing/>
        <w:jc w:val="both"/>
        <w:rPr>
          <w:szCs w:val="22"/>
          <w:lang w:val="sr-Latn-ME"/>
        </w:rPr>
      </w:pPr>
      <w:r w:rsidRPr="00B74B0F">
        <w:rPr>
          <w:b/>
          <w:szCs w:val="22"/>
          <w:lang w:val="sr-Latn-ME"/>
        </w:rPr>
        <w:t>Tab</w:t>
      </w:r>
      <w:r w:rsidR="008F6559" w:rsidRPr="00B74B0F">
        <w:rPr>
          <w:b/>
          <w:szCs w:val="22"/>
          <w:lang w:val="sr-Latn-ME"/>
        </w:rPr>
        <w:t>ela</w:t>
      </w:r>
      <w:r w:rsidRPr="00B74B0F">
        <w:rPr>
          <w:b/>
          <w:szCs w:val="22"/>
          <w:lang w:val="sr-Latn-ME"/>
        </w:rPr>
        <w:t> </w:t>
      </w:r>
      <w:r w:rsidR="00CC3EB3" w:rsidRPr="00B74B0F">
        <w:rPr>
          <w:b/>
          <w:szCs w:val="22"/>
          <w:lang w:val="sr-Latn-ME"/>
        </w:rPr>
        <w:t>7</w:t>
      </w:r>
      <w:r w:rsidRPr="00B74B0F">
        <w:rPr>
          <w:b/>
          <w:szCs w:val="22"/>
          <w:lang w:val="sr-Latn-ME"/>
        </w:rPr>
        <w:t>: Srednja vrijednost promjene početnog HAQ</w:t>
      </w:r>
      <w:r w:rsidRPr="00B74B0F">
        <w:rPr>
          <w:b/>
          <w:szCs w:val="22"/>
          <w:lang w:val="sr-Latn-ME"/>
        </w:rPr>
        <w:noBreakHyphen/>
        <w:t>DI rezultata</w:t>
      </w:r>
      <w:r w:rsidRPr="00B74B0F">
        <w:rPr>
          <w:b/>
          <w:szCs w:val="22"/>
          <w:vertAlign w:val="superscript"/>
          <w:lang w:val="sr-Latn-ME"/>
        </w:rPr>
        <w:t>a,b</w:t>
      </w:r>
    </w:p>
    <w:p w14:paraId="2F3F9267" w14:textId="77777777" w:rsidR="0001729C" w:rsidRPr="00B74B0F" w:rsidRDefault="0001729C">
      <w:pPr>
        <w:keepNext/>
        <w:spacing w:line="240" w:lineRule="auto"/>
        <w:contextualSpacing/>
        <w:jc w:val="both"/>
        <w:rPr>
          <w:szCs w:val="22"/>
          <w:lang w:val="sr-Latn-ME"/>
        </w:rPr>
      </w:pPr>
    </w:p>
    <w:tbl>
      <w:tblPr>
        <w:tblStyle w:val="TableGrid"/>
        <w:tblW w:w="9493" w:type="dxa"/>
        <w:tblLayout w:type="fixed"/>
        <w:tblLook w:val="04A0" w:firstRow="1" w:lastRow="0" w:firstColumn="1" w:lastColumn="0" w:noHBand="0" w:noVBand="1"/>
      </w:tblPr>
      <w:tblGrid>
        <w:gridCol w:w="1188"/>
        <w:gridCol w:w="720"/>
        <w:gridCol w:w="894"/>
        <w:gridCol w:w="546"/>
        <w:gridCol w:w="810"/>
        <w:gridCol w:w="810"/>
        <w:gridCol w:w="810"/>
        <w:gridCol w:w="720"/>
        <w:gridCol w:w="810"/>
        <w:gridCol w:w="810"/>
        <w:gridCol w:w="720"/>
        <w:gridCol w:w="655"/>
      </w:tblGrid>
      <w:tr w:rsidR="00BF75A1" w:rsidRPr="00B74B0F" w14:paraId="64F94942" w14:textId="77777777" w:rsidTr="00200D71">
        <w:trPr>
          <w:trHeight w:val="692"/>
        </w:trPr>
        <w:tc>
          <w:tcPr>
            <w:tcW w:w="1188" w:type="dxa"/>
            <w:tcBorders>
              <w:top w:val="single" w:sz="4" w:space="0" w:color="auto"/>
              <w:left w:val="single" w:sz="4" w:space="0" w:color="auto"/>
              <w:bottom w:val="single" w:sz="4" w:space="0" w:color="auto"/>
              <w:right w:val="single" w:sz="4" w:space="0" w:color="auto"/>
            </w:tcBorders>
            <w:vAlign w:val="bottom"/>
          </w:tcPr>
          <w:p w14:paraId="34E0483E" w14:textId="77777777" w:rsidR="0001729C" w:rsidRPr="00B74B0F" w:rsidRDefault="00906CF8">
            <w:pPr>
              <w:keepNext/>
              <w:spacing w:line="240" w:lineRule="auto"/>
              <w:contextualSpacing/>
              <w:jc w:val="both"/>
              <w:rPr>
                <w:b/>
                <w:szCs w:val="22"/>
                <w:lang w:val="sr-Latn-ME"/>
              </w:rPr>
            </w:pPr>
            <w:r w:rsidRPr="00B74B0F">
              <w:rPr>
                <w:b/>
                <w:szCs w:val="22"/>
                <w:lang w:val="sr-Latn-ME"/>
              </w:rPr>
              <w:t>Ispitiva</w:t>
            </w:r>
            <w:r w:rsidR="0028251B" w:rsidRPr="00B74B0F">
              <w:rPr>
                <w:b/>
                <w:szCs w:val="22"/>
                <w:lang w:val="sr-Latn-ME"/>
              </w:rPr>
              <w:t>-</w:t>
            </w:r>
            <w:r w:rsidRPr="00B74B0F">
              <w:rPr>
                <w:b/>
                <w:szCs w:val="22"/>
                <w:lang w:val="sr-Latn-ME"/>
              </w:rPr>
              <w:t>nje</w:t>
            </w:r>
          </w:p>
        </w:tc>
        <w:tc>
          <w:tcPr>
            <w:tcW w:w="1614" w:type="dxa"/>
            <w:gridSpan w:val="2"/>
            <w:tcBorders>
              <w:top w:val="single" w:sz="4" w:space="0" w:color="auto"/>
              <w:left w:val="single" w:sz="4" w:space="0" w:color="auto"/>
              <w:bottom w:val="single" w:sz="4" w:space="0" w:color="auto"/>
              <w:right w:val="single" w:sz="4" w:space="0" w:color="auto"/>
            </w:tcBorders>
            <w:vAlign w:val="bottom"/>
          </w:tcPr>
          <w:p w14:paraId="1B404FA9" w14:textId="77777777" w:rsidR="0001729C" w:rsidRPr="00B74B0F" w:rsidRDefault="00906CF8">
            <w:pPr>
              <w:keepNext/>
              <w:spacing w:line="240" w:lineRule="auto"/>
              <w:contextualSpacing/>
              <w:jc w:val="both"/>
              <w:rPr>
                <w:b/>
                <w:szCs w:val="22"/>
                <w:lang w:val="sr-Latn-ME"/>
              </w:rPr>
            </w:pPr>
            <w:r w:rsidRPr="00B74B0F">
              <w:rPr>
                <w:b/>
                <w:szCs w:val="22"/>
                <w:lang w:val="sr-Latn-ME"/>
              </w:rPr>
              <w:t>SELECT</w:t>
            </w:r>
          </w:p>
          <w:p w14:paraId="0D3CD7C5" w14:textId="77777777" w:rsidR="0001729C" w:rsidRPr="00B74B0F" w:rsidRDefault="00906CF8">
            <w:pPr>
              <w:keepNext/>
              <w:spacing w:line="240" w:lineRule="auto"/>
              <w:contextualSpacing/>
              <w:jc w:val="both"/>
              <w:rPr>
                <w:b/>
                <w:szCs w:val="22"/>
                <w:lang w:val="sr-Latn-ME"/>
              </w:rPr>
            </w:pPr>
            <w:r w:rsidRPr="00B74B0F">
              <w:rPr>
                <w:b/>
                <w:szCs w:val="22"/>
                <w:lang w:val="sr-Latn-ME"/>
              </w:rPr>
              <w:t>EARLY</w:t>
            </w:r>
          </w:p>
          <w:p w14:paraId="722E5E14" w14:textId="19C95A52" w:rsidR="0001729C" w:rsidRPr="00B74B0F" w:rsidRDefault="003B1F43">
            <w:pPr>
              <w:keepNext/>
              <w:spacing w:line="240" w:lineRule="auto"/>
              <w:contextualSpacing/>
              <w:jc w:val="both"/>
              <w:rPr>
                <w:b/>
                <w:szCs w:val="22"/>
                <w:lang w:val="sr-Latn-ME"/>
              </w:rPr>
            </w:pPr>
            <w:r w:rsidRPr="00B74B0F">
              <w:rPr>
                <w:b/>
                <w:szCs w:val="22"/>
                <w:lang w:val="sr-Latn-ME"/>
              </w:rPr>
              <w:t>Pacijent</w:t>
            </w:r>
            <w:r w:rsidR="00906CF8" w:rsidRPr="00B74B0F">
              <w:rPr>
                <w:b/>
                <w:szCs w:val="22"/>
                <w:lang w:val="sr-Latn-ME"/>
              </w:rPr>
              <w:t>i prethodno neliječeni MTX</w:t>
            </w:r>
            <w:r w:rsidR="00906CF8" w:rsidRPr="00B74B0F">
              <w:rPr>
                <w:b/>
                <w:szCs w:val="22"/>
                <w:lang w:val="sr-Latn-ME"/>
              </w:rPr>
              <w:noBreakHyphen/>
              <w:t>om</w:t>
            </w:r>
          </w:p>
        </w:tc>
        <w:tc>
          <w:tcPr>
            <w:tcW w:w="1356" w:type="dxa"/>
            <w:gridSpan w:val="2"/>
            <w:tcBorders>
              <w:top w:val="single" w:sz="4" w:space="0" w:color="auto"/>
              <w:left w:val="single" w:sz="4" w:space="0" w:color="auto"/>
              <w:bottom w:val="single" w:sz="4" w:space="0" w:color="auto"/>
              <w:right w:val="single" w:sz="4" w:space="0" w:color="auto"/>
            </w:tcBorders>
            <w:vAlign w:val="bottom"/>
          </w:tcPr>
          <w:p w14:paraId="77DC2A56" w14:textId="77777777" w:rsidR="0001729C" w:rsidRPr="00B74B0F" w:rsidRDefault="00906CF8">
            <w:pPr>
              <w:keepNext/>
              <w:spacing w:line="240" w:lineRule="auto"/>
              <w:contextualSpacing/>
              <w:jc w:val="both"/>
              <w:rPr>
                <w:b/>
                <w:szCs w:val="22"/>
                <w:lang w:val="sr-Latn-ME"/>
              </w:rPr>
            </w:pPr>
            <w:r w:rsidRPr="00B74B0F">
              <w:rPr>
                <w:b/>
                <w:szCs w:val="22"/>
                <w:lang w:val="sr-Latn-ME"/>
              </w:rPr>
              <w:t>SELECT</w:t>
            </w:r>
          </w:p>
          <w:p w14:paraId="545115DC" w14:textId="77777777" w:rsidR="0001729C" w:rsidRPr="00B74B0F" w:rsidRDefault="00906CF8">
            <w:pPr>
              <w:keepNext/>
              <w:spacing w:line="240" w:lineRule="auto"/>
              <w:contextualSpacing/>
              <w:jc w:val="both"/>
              <w:rPr>
                <w:b/>
                <w:szCs w:val="22"/>
                <w:lang w:val="sr-Latn-ME"/>
              </w:rPr>
            </w:pPr>
            <w:r w:rsidRPr="00B74B0F">
              <w:rPr>
                <w:b/>
                <w:szCs w:val="22"/>
                <w:lang w:val="sr-Latn-ME"/>
              </w:rPr>
              <w:t>MONO</w:t>
            </w:r>
          </w:p>
          <w:p w14:paraId="45C07310" w14:textId="7608B6F0" w:rsidR="0001729C" w:rsidRPr="00B74B0F" w:rsidRDefault="003B1F43">
            <w:pPr>
              <w:keepNext/>
              <w:spacing w:line="240" w:lineRule="auto"/>
              <w:contextualSpacing/>
              <w:jc w:val="both"/>
              <w:rPr>
                <w:b/>
                <w:szCs w:val="22"/>
                <w:lang w:val="sr-Latn-ME"/>
              </w:rPr>
            </w:pPr>
            <w:r w:rsidRPr="00B74B0F">
              <w:rPr>
                <w:b/>
                <w:szCs w:val="22"/>
                <w:lang w:val="sr-Latn-ME"/>
              </w:rPr>
              <w:t>Pacijent</w:t>
            </w:r>
            <w:r w:rsidR="00906CF8" w:rsidRPr="00B74B0F">
              <w:rPr>
                <w:b/>
                <w:szCs w:val="22"/>
                <w:lang w:val="sr-Latn-ME"/>
              </w:rPr>
              <w:t>i s</w:t>
            </w:r>
            <w:r w:rsidRPr="00B74B0F">
              <w:rPr>
                <w:b/>
                <w:szCs w:val="22"/>
                <w:lang w:val="sr-Latn-ME"/>
              </w:rPr>
              <w:t>a</w:t>
            </w:r>
            <w:r w:rsidR="00906CF8" w:rsidRPr="00B74B0F">
              <w:rPr>
                <w:b/>
                <w:szCs w:val="22"/>
                <w:lang w:val="sr-Latn-ME"/>
              </w:rPr>
              <w:t xml:space="preserve"> nedovoljno dobrim odgovorom na MTX</w:t>
            </w: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030AF400" w14:textId="77777777" w:rsidR="0001729C" w:rsidRPr="00B74B0F" w:rsidRDefault="00906CF8">
            <w:pPr>
              <w:keepNext/>
              <w:spacing w:line="240" w:lineRule="auto"/>
              <w:contextualSpacing/>
              <w:jc w:val="both"/>
              <w:rPr>
                <w:b/>
                <w:szCs w:val="22"/>
                <w:lang w:val="sr-Latn-ME"/>
              </w:rPr>
            </w:pPr>
            <w:r w:rsidRPr="00B74B0F">
              <w:rPr>
                <w:b/>
                <w:szCs w:val="22"/>
                <w:lang w:val="sr-Latn-ME"/>
              </w:rPr>
              <w:t>SELECT</w:t>
            </w:r>
          </w:p>
          <w:p w14:paraId="563F468A" w14:textId="77777777" w:rsidR="0001729C" w:rsidRPr="00B74B0F" w:rsidRDefault="00906CF8">
            <w:pPr>
              <w:keepNext/>
              <w:spacing w:line="240" w:lineRule="auto"/>
              <w:contextualSpacing/>
              <w:jc w:val="both"/>
              <w:rPr>
                <w:b/>
                <w:szCs w:val="22"/>
                <w:lang w:val="sr-Latn-ME"/>
              </w:rPr>
            </w:pPr>
            <w:r w:rsidRPr="00B74B0F">
              <w:rPr>
                <w:b/>
                <w:szCs w:val="22"/>
                <w:lang w:val="sr-Latn-ME"/>
              </w:rPr>
              <w:t>NEXT</w:t>
            </w:r>
          </w:p>
          <w:p w14:paraId="54821239" w14:textId="6748FC6C" w:rsidR="0001729C" w:rsidRPr="00B74B0F" w:rsidRDefault="003B1F43">
            <w:pPr>
              <w:keepNext/>
              <w:spacing w:line="240" w:lineRule="auto"/>
              <w:contextualSpacing/>
              <w:jc w:val="both"/>
              <w:rPr>
                <w:b/>
                <w:szCs w:val="22"/>
                <w:lang w:val="sr-Latn-ME"/>
              </w:rPr>
            </w:pPr>
            <w:r w:rsidRPr="00B74B0F">
              <w:rPr>
                <w:b/>
                <w:szCs w:val="22"/>
                <w:lang w:val="sr-Latn-ME"/>
              </w:rPr>
              <w:t>Pacijenti</w:t>
            </w:r>
            <w:r w:rsidR="00906CF8" w:rsidRPr="00B74B0F">
              <w:rPr>
                <w:b/>
                <w:szCs w:val="22"/>
                <w:lang w:val="sr-Latn-ME"/>
              </w:rPr>
              <w:t xml:space="preserve"> s</w:t>
            </w:r>
            <w:r w:rsidRPr="00B74B0F">
              <w:rPr>
                <w:b/>
                <w:szCs w:val="22"/>
                <w:lang w:val="sr-Latn-ME"/>
              </w:rPr>
              <w:t>a</w:t>
            </w:r>
            <w:r w:rsidR="00906CF8" w:rsidRPr="00B74B0F">
              <w:rPr>
                <w:b/>
                <w:szCs w:val="22"/>
                <w:lang w:val="sr-Latn-ME"/>
              </w:rPr>
              <w:t xml:space="preserve"> nedovoljno dobrim odgovorom na ksDMARD</w:t>
            </w:r>
          </w:p>
        </w:tc>
        <w:tc>
          <w:tcPr>
            <w:tcW w:w="2340" w:type="dxa"/>
            <w:gridSpan w:val="3"/>
            <w:tcBorders>
              <w:top w:val="single" w:sz="4" w:space="0" w:color="auto"/>
              <w:left w:val="single" w:sz="4" w:space="0" w:color="auto"/>
              <w:bottom w:val="single" w:sz="4" w:space="0" w:color="auto"/>
              <w:right w:val="single" w:sz="4" w:space="0" w:color="auto"/>
            </w:tcBorders>
            <w:vAlign w:val="bottom"/>
          </w:tcPr>
          <w:p w14:paraId="1D01E961" w14:textId="3C5143A8" w:rsidR="0001729C" w:rsidRPr="00B74B0F" w:rsidRDefault="00906CF8">
            <w:pPr>
              <w:keepNext/>
              <w:spacing w:line="240" w:lineRule="auto"/>
              <w:contextualSpacing/>
              <w:jc w:val="both"/>
              <w:rPr>
                <w:b/>
                <w:szCs w:val="22"/>
                <w:lang w:val="sr-Latn-ME"/>
              </w:rPr>
            </w:pPr>
            <w:r w:rsidRPr="00B74B0F">
              <w:rPr>
                <w:b/>
                <w:szCs w:val="22"/>
                <w:lang w:val="sr-Latn-ME"/>
              </w:rPr>
              <w:t>SELECT</w:t>
            </w:r>
          </w:p>
          <w:p w14:paraId="6D62EB74" w14:textId="77777777" w:rsidR="0001729C" w:rsidRPr="00B74B0F" w:rsidRDefault="00906CF8">
            <w:pPr>
              <w:keepNext/>
              <w:spacing w:line="240" w:lineRule="auto"/>
              <w:contextualSpacing/>
              <w:jc w:val="both"/>
              <w:rPr>
                <w:b/>
                <w:szCs w:val="22"/>
                <w:lang w:val="sr-Latn-ME"/>
              </w:rPr>
            </w:pPr>
            <w:r w:rsidRPr="00B74B0F">
              <w:rPr>
                <w:b/>
                <w:szCs w:val="22"/>
                <w:lang w:val="sr-Latn-ME"/>
              </w:rPr>
              <w:t>COMPARE</w:t>
            </w:r>
          </w:p>
          <w:p w14:paraId="06EFAA58" w14:textId="605B1129" w:rsidR="0001729C" w:rsidRPr="00B74B0F" w:rsidRDefault="003B1F43">
            <w:pPr>
              <w:keepNext/>
              <w:spacing w:line="240" w:lineRule="auto"/>
              <w:contextualSpacing/>
              <w:jc w:val="both"/>
              <w:rPr>
                <w:b/>
                <w:szCs w:val="22"/>
                <w:lang w:val="sr-Latn-ME"/>
              </w:rPr>
            </w:pPr>
            <w:r w:rsidRPr="00B74B0F">
              <w:rPr>
                <w:b/>
                <w:szCs w:val="22"/>
                <w:lang w:val="sr-Latn-ME"/>
              </w:rPr>
              <w:t>Pacijent</w:t>
            </w:r>
            <w:r w:rsidR="00906CF8" w:rsidRPr="00B74B0F">
              <w:rPr>
                <w:b/>
                <w:szCs w:val="22"/>
                <w:lang w:val="sr-Latn-ME"/>
              </w:rPr>
              <w:t>i s</w:t>
            </w:r>
            <w:r w:rsidRPr="00B74B0F">
              <w:rPr>
                <w:b/>
                <w:szCs w:val="22"/>
                <w:lang w:val="sr-Latn-ME"/>
              </w:rPr>
              <w:t>a</w:t>
            </w:r>
            <w:r w:rsidR="00906CF8" w:rsidRPr="00B74B0F">
              <w:rPr>
                <w:b/>
                <w:szCs w:val="22"/>
                <w:lang w:val="sr-Latn-ME"/>
              </w:rPr>
              <w:t xml:space="preserve"> nedovoljno dobrim odgovorom na MTX</w:t>
            </w:r>
          </w:p>
        </w:tc>
        <w:tc>
          <w:tcPr>
            <w:tcW w:w="1375" w:type="dxa"/>
            <w:gridSpan w:val="2"/>
            <w:tcBorders>
              <w:top w:val="single" w:sz="4" w:space="0" w:color="auto"/>
              <w:left w:val="single" w:sz="4" w:space="0" w:color="auto"/>
              <w:bottom w:val="single" w:sz="4" w:space="0" w:color="auto"/>
              <w:right w:val="single" w:sz="4" w:space="0" w:color="auto"/>
            </w:tcBorders>
            <w:vAlign w:val="bottom"/>
          </w:tcPr>
          <w:p w14:paraId="3366A658" w14:textId="77777777" w:rsidR="0001729C" w:rsidRPr="00B74B0F" w:rsidRDefault="00906CF8">
            <w:pPr>
              <w:keepNext/>
              <w:spacing w:line="240" w:lineRule="auto"/>
              <w:contextualSpacing/>
              <w:jc w:val="both"/>
              <w:rPr>
                <w:b/>
                <w:szCs w:val="22"/>
                <w:lang w:val="sr-Latn-ME"/>
              </w:rPr>
            </w:pPr>
            <w:r w:rsidRPr="00B74B0F">
              <w:rPr>
                <w:b/>
                <w:szCs w:val="22"/>
                <w:lang w:val="sr-Latn-ME"/>
              </w:rPr>
              <w:t>SELECT</w:t>
            </w:r>
          </w:p>
          <w:p w14:paraId="0408568A" w14:textId="77777777" w:rsidR="0001729C" w:rsidRPr="00B74B0F" w:rsidRDefault="00906CF8">
            <w:pPr>
              <w:keepNext/>
              <w:spacing w:line="240" w:lineRule="auto"/>
              <w:contextualSpacing/>
              <w:jc w:val="both"/>
              <w:rPr>
                <w:b/>
                <w:szCs w:val="22"/>
                <w:lang w:val="sr-Latn-ME"/>
              </w:rPr>
            </w:pPr>
            <w:r w:rsidRPr="00B74B0F">
              <w:rPr>
                <w:b/>
                <w:szCs w:val="22"/>
                <w:lang w:val="sr-Latn-ME"/>
              </w:rPr>
              <w:t>BEYOND</w:t>
            </w:r>
          </w:p>
          <w:p w14:paraId="4EEC9412" w14:textId="3CC58E8B" w:rsidR="0001729C" w:rsidRPr="00B74B0F" w:rsidRDefault="003B1F43">
            <w:pPr>
              <w:keepNext/>
              <w:spacing w:line="240" w:lineRule="auto"/>
              <w:contextualSpacing/>
              <w:jc w:val="both"/>
              <w:rPr>
                <w:b/>
                <w:szCs w:val="22"/>
                <w:lang w:val="sr-Latn-ME"/>
              </w:rPr>
            </w:pPr>
            <w:r w:rsidRPr="00B74B0F">
              <w:rPr>
                <w:b/>
                <w:szCs w:val="22"/>
                <w:lang w:val="sr-Latn-ME"/>
              </w:rPr>
              <w:t>Pacijent</w:t>
            </w:r>
            <w:r w:rsidR="00906CF8" w:rsidRPr="00B74B0F">
              <w:rPr>
                <w:b/>
                <w:szCs w:val="22"/>
                <w:lang w:val="sr-Latn-ME"/>
              </w:rPr>
              <w:t>i s</w:t>
            </w:r>
            <w:r w:rsidRPr="00B74B0F">
              <w:rPr>
                <w:b/>
                <w:szCs w:val="22"/>
                <w:lang w:val="sr-Latn-ME"/>
              </w:rPr>
              <w:t>a</w:t>
            </w:r>
            <w:r w:rsidR="00906CF8" w:rsidRPr="00B74B0F">
              <w:rPr>
                <w:b/>
                <w:szCs w:val="22"/>
                <w:lang w:val="sr-Latn-ME"/>
              </w:rPr>
              <w:t xml:space="preserve"> nedovoljno dobrim odgovorom na biološki lijek</w:t>
            </w:r>
          </w:p>
        </w:tc>
      </w:tr>
      <w:tr w:rsidR="00BF75A1" w:rsidRPr="00B74B0F" w14:paraId="15673090" w14:textId="77777777" w:rsidTr="00200D71">
        <w:trPr>
          <w:trHeight w:val="278"/>
        </w:trPr>
        <w:tc>
          <w:tcPr>
            <w:tcW w:w="1188" w:type="dxa"/>
            <w:tcBorders>
              <w:top w:val="single" w:sz="4" w:space="0" w:color="auto"/>
              <w:left w:val="single" w:sz="4" w:space="0" w:color="auto"/>
              <w:bottom w:val="single" w:sz="4" w:space="0" w:color="auto"/>
              <w:right w:val="single" w:sz="4" w:space="0" w:color="auto"/>
            </w:tcBorders>
            <w:vAlign w:val="bottom"/>
          </w:tcPr>
          <w:p w14:paraId="4A7C5732" w14:textId="6D6D6EF1" w:rsidR="0001729C" w:rsidRPr="00B74B0F" w:rsidRDefault="00906CF8">
            <w:pPr>
              <w:keepNext/>
              <w:spacing w:line="240" w:lineRule="auto"/>
              <w:contextualSpacing/>
              <w:jc w:val="both"/>
              <w:rPr>
                <w:szCs w:val="22"/>
                <w:lang w:val="sr-Latn-ME"/>
              </w:rPr>
            </w:pPr>
            <w:r w:rsidRPr="00B74B0F">
              <w:rPr>
                <w:szCs w:val="22"/>
                <w:lang w:val="sr-Latn-ME"/>
              </w:rPr>
              <w:t xml:space="preserve">Liječena </w:t>
            </w:r>
            <w:r w:rsidR="008F6559" w:rsidRPr="00B74B0F">
              <w:rPr>
                <w:szCs w:val="22"/>
                <w:lang w:val="sr-Latn-ME"/>
              </w:rPr>
              <w:t>grupa</w:t>
            </w:r>
          </w:p>
        </w:tc>
        <w:tc>
          <w:tcPr>
            <w:tcW w:w="720" w:type="dxa"/>
            <w:tcBorders>
              <w:top w:val="single" w:sz="4" w:space="0" w:color="auto"/>
              <w:left w:val="single" w:sz="4" w:space="0" w:color="auto"/>
              <w:bottom w:val="single" w:sz="4" w:space="0" w:color="auto"/>
              <w:right w:val="single" w:sz="4" w:space="0" w:color="auto"/>
            </w:tcBorders>
            <w:vAlign w:val="bottom"/>
          </w:tcPr>
          <w:p w14:paraId="1F29FA6C" w14:textId="77777777" w:rsidR="0001729C" w:rsidRPr="00B74B0F" w:rsidRDefault="00906CF8">
            <w:pPr>
              <w:keepNext/>
              <w:spacing w:line="240" w:lineRule="auto"/>
              <w:contextualSpacing/>
              <w:jc w:val="both"/>
              <w:rPr>
                <w:szCs w:val="22"/>
                <w:lang w:val="sr-Latn-ME"/>
              </w:rPr>
            </w:pPr>
            <w:r w:rsidRPr="00B74B0F">
              <w:rPr>
                <w:szCs w:val="22"/>
                <w:lang w:val="sr-Latn-ME"/>
              </w:rPr>
              <w:t>MTX</w:t>
            </w:r>
          </w:p>
        </w:tc>
        <w:tc>
          <w:tcPr>
            <w:tcW w:w="894" w:type="dxa"/>
            <w:tcBorders>
              <w:top w:val="single" w:sz="4" w:space="0" w:color="auto"/>
              <w:left w:val="single" w:sz="4" w:space="0" w:color="auto"/>
              <w:bottom w:val="single" w:sz="4" w:space="0" w:color="auto"/>
              <w:right w:val="single" w:sz="4" w:space="0" w:color="auto"/>
            </w:tcBorders>
            <w:vAlign w:val="bottom"/>
          </w:tcPr>
          <w:p w14:paraId="2878D23C" w14:textId="77777777" w:rsidR="0001729C" w:rsidRPr="00B74B0F" w:rsidRDefault="00906CF8">
            <w:pPr>
              <w:keepNext/>
              <w:spacing w:line="240" w:lineRule="auto"/>
              <w:contextualSpacing/>
              <w:jc w:val="both"/>
              <w:rPr>
                <w:szCs w:val="22"/>
                <w:lang w:val="sr-Latn-ME"/>
              </w:rPr>
            </w:pPr>
            <w:r w:rsidRPr="00B74B0F">
              <w:rPr>
                <w:szCs w:val="22"/>
                <w:lang w:val="sr-Latn-ME"/>
              </w:rPr>
              <w:t>UPA</w:t>
            </w:r>
          </w:p>
          <w:p w14:paraId="3E2608D6" w14:textId="77777777" w:rsidR="0001729C" w:rsidRPr="00B74B0F" w:rsidRDefault="00906CF8">
            <w:pPr>
              <w:keepNext/>
              <w:spacing w:line="240" w:lineRule="auto"/>
              <w:contextualSpacing/>
              <w:jc w:val="both"/>
              <w:rPr>
                <w:szCs w:val="22"/>
                <w:lang w:val="sr-Latn-ME"/>
              </w:rPr>
            </w:pPr>
            <w:r w:rsidRPr="00B74B0F">
              <w:rPr>
                <w:szCs w:val="22"/>
                <w:lang w:val="sr-Latn-ME"/>
              </w:rPr>
              <w:t>15 mg</w:t>
            </w:r>
          </w:p>
        </w:tc>
        <w:tc>
          <w:tcPr>
            <w:tcW w:w="546" w:type="dxa"/>
            <w:tcBorders>
              <w:top w:val="single" w:sz="4" w:space="0" w:color="auto"/>
              <w:left w:val="single" w:sz="4" w:space="0" w:color="auto"/>
              <w:bottom w:val="single" w:sz="4" w:space="0" w:color="auto"/>
              <w:right w:val="single" w:sz="4" w:space="0" w:color="auto"/>
            </w:tcBorders>
            <w:vAlign w:val="bottom"/>
          </w:tcPr>
          <w:p w14:paraId="542DC6B1" w14:textId="77777777" w:rsidR="0001729C" w:rsidRPr="00B74B0F" w:rsidRDefault="00906CF8">
            <w:pPr>
              <w:keepNext/>
              <w:spacing w:line="240" w:lineRule="auto"/>
              <w:contextualSpacing/>
              <w:jc w:val="both"/>
              <w:rPr>
                <w:szCs w:val="22"/>
                <w:lang w:val="sr-Latn-ME"/>
              </w:rPr>
            </w:pPr>
            <w:r w:rsidRPr="00B74B0F">
              <w:rPr>
                <w:szCs w:val="22"/>
                <w:lang w:val="sr-Latn-ME"/>
              </w:rPr>
              <w:t>MTX</w:t>
            </w:r>
          </w:p>
        </w:tc>
        <w:tc>
          <w:tcPr>
            <w:tcW w:w="810" w:type="dxa"/>
            <w:tcBorders>
              <w:top w:val="single" w:sz="4" w:space="0" w:color="auto"/>
              <w:left w:val="single" w:sz="4" w:space="0" w:color="auto"/>
              <w:bottom w:val="single" w:sz="4" w:space="0" w:color="auto"/>
              <w:right w:val="single" w:sz="4" w:space="0" w:color="auto"/>
            </w:tcBorders>
            <w:vAlign w:val="bottom"/>
          </w:tcPr>
          <w:p w14:paraId="7B2C630B" w14:textId="77777777" w:rsidR="0001729C" w:rsidRPr="00B74B0F" w:rsidRDefault="00906CF8">
            <w:pPr>
              <w:keepNext/>
              <w:spacing w:line="240" w:lineRule="auto"/>
              <w:contextualSpacing/>
              <w:jc w:val="both"/>
              <w:rPr>
                <w:szCs w:val="22"/>
                <w:lang w:val="sr-Latn-ME"/>
              </w:rPr>
            </w:pPr>
            <w:r w:rsidRPr="00B74B0F">
              <w:rPr>
                <w:szCs w:val="22"/>
                <w:lang w:val="sr-Latn-ME"/>
              </w:rPr>
              <w:t>UPA</w:t>
            </w:r>
          </w:p>
          <w:p w14:paraId="70E088AA" w14:textId="77777777" w:rsidR="0001729C" w:rsidRPr="00B74B0F" w:rsidRDefault="00906CF8">
            <w:pPr>
              <w:keepNext/>
              <w:spacing w:line="240" w:lineRule="auto"/>
              <w:contextualSpacing/>
              <w:jc w:val="both"/>
              <w:rPr>
                <w:szCs w:val="22"/>
                <w:lang w:val="sr-Latn-ME"/>
              </w:rPr>
            </w:pPr>
            <w:r w:rsidRPr="00B74B0F">
              <w:rPr>
                <w:szCs w:val="22"/>
                <w:lang w:val="sr-Latn-ME"/>
              </w:rPr>
              <w:t>15 mg</w:t>
            </w:r>
          </w:p>
        </w:tc>
        <w:tc>
          <w:tcPr>
            <w:tcW w:w="810" w:type="dxa"/>
            <w:tcBorders>
              <w:top w:val="single" w:sz="4" w:space="0" w:color="auto"/>
              <w:left w:val="single" w:sz="4" w:space="0" w:color="auto"/>
              <w:bottom w:val="single" w:sz="4" w:space="0" w:color="auto"/>
              <w:right w:val="single" w:sz="4" w:space="0" w:color="auto"/>
            </w:tcBorders>
            <w:vAlign w:val="bottom"/>
          </w:tcPr>
          <w:p w14:paraId="70E7E2B5" w14:textId="77777777" w:rsidR="0001729C" w:rsidRPr="00B74B0F" w:rsidRDefault="00906CF8">
            <w:pPr>
              <w:keepNext/>
              <w:spacing w:line="240" w:lineRule="auto"/>
              <w:contextualSpacing/>
              <w:jc w:val="both"/>
              <w:rPr>
                <w:szCs w:val="22"/>
                <w:lang w:val="sr-Latn-ME"/>
              </w:rPr>
            </w:pPr>
            <w:r w:rsidRPr="00B74B0F">
              <w:rPr>
                <w:szCs w:val="22"/>
                <w:lang w:val="sr-Latn-ME"/>
              </w:rPr>
              <w:t>PBO</w:t>
            </w:r>
          </w:p>
        </w:tc>
        <w:tc>
          <w:tcPr>
            <w:tcW w:w="810" w:type="dxa"/>
            <w:tcBorders>
              <w:top w:val="single" w:sz="4" w:space="0" w:color="auto"/>
              <w:left w:val="single" w:sz="4" w:space="0" w:color="auto"/>
              <w:bottom w:val="single" w:sz="4" w:space="0" w:color="auto"/>
              <w:right w:val="single" w:sz="4" w:space="0" w:color="auto"/>
            </w:tcBorders>
            <w:vAlign w:val="bottom"/>
          </w:tcPr>
          <w:p w14:paraId="0AF12AD3" w14:textId="77777777" w:rsidR="0001729C" w:rsidRPr="00B74B0F" w:rsidRDefault="00906CF8">
            <w:pPr>
              <w:keepNext/>
              <w:spacing w:line="240" w:lineRule="auto"/>
              <w:contextualSpacing/>
              <w:jc w:val="both"/>
              <w:rPr>
                <w:szCs w:val="22"/>
                <w:lang w:val="sr-Latn-ME"/>
              </w:rPr>
            </w:pPr>
            <w:r w:rsidRPr="00B74B0F">
              <w:rPr>
                <w:szCs w:val="22"/>
                <w:lang w:val="sr-Latn-ME"/>
              </w:rPr>
              <w:t>UPA</w:t>
            </w:r>
          </w:p>
          <w:p w14:paraId="610497DF" w14:textId="77777777" w:rsidR="0001729C" w:rsidRPr="00B74B0F" w:rsidRDefault="00906CF8">
            <w:pPr>
              <w:keepNext/>
              <w:spacing w:line="240" w:lineRule="auto"/>
              <w:contextualSpacing/>
              <w:jc w:val="both"/>
              <w:rPr>
                <w:szCs w:val="22"/>
                <w:lang w:val="sr-Latn-ME"/>
              </w:rPr>
            </w:pPr>
            <w:r w:rsidRPr="00B74B0F">
              <w:rPr>
                <w:szCs w:val="22"/>
                <w:lang w:val="sr-Latn-ME"/>
              </w:rPr>
              <w:t>15 mg</w:t>
            </w:r>
          </w:p>
        </w:tc>
        <w:tc>
          <w:tcPr>
            <w:tcW w:w="720" w:type="dxa"/>
            <w:tcBorders>
              <w:top w:val="single" w:sz="4" w:space="0" w:color="auto"/>
              <w:left w:val="single" w:sz="4" w:space="0" w:color="auto"/>
              <w:bottom w:val="single" w:sz="4" w:space="0" w:color="auto"/>
              <w:right w:val="single" w:sz="4" w:space="0" w:color="auto"/>
            </w:tcBorders>
            <w:vAlign w:val="bottom"/>
          </w:tcPr>
          <w:p w14:paraId="08434133" w14:textId="77777777" w:rsidR="0001729C" w:rsidRPr="00B74B0F" w:rsidRDefault="00906CF8">
            <w:pPr>
              <w:keepNext/>
              <w:spacing w:line="240" w:lineRule="auto"/>
              <w:contextualSpacing/>
              <w:jc w:val="both"/>
              <w:rPr>
                <w:szCs w:val="22"/>
                <w:lang w:val="sr-Latn-ME"/>
              </w:rPr>
            </w:pPr>
            <w:r w:rsidRPr="00B74B0F">
              <w:rPr>
                <w:szCs w:val="22"/>
                <w:lang w:val="sr-Latn-ME"/>
              </w:rPr>
              <w:t>PBO</w:t>
            </w:r>
          </w:p>
        </w:tc>
        <w:tc>
          <w:tcPr>
            <w:tcW w:w="810" w:type="dxa"/>
            <w:tcBorders>
              <w:top w:val="single" w:sz="4" w:space="0" w:color="auto"/>
              <w:left w:val="single" w:sz="4" w:space="0" w:color="auto"/>
              <w:bottom w:val="single" w:sz="4" w:space="0" w:color="auto"/>
              <w:right w:val="single" w:sz="4" w:space="0" w:color="auto"/>
            </w:tcBorders>
            <w:vAlign w:val="bottom"/>
          </w:tcPr>
          <w:p w14:paraId="1728E652" w14:textId="77777777" w:rsidR="0001729C" w:rsidRPr="00B74B0F" w:rsidRDefault="00906CF8">
            <w:pPr>
              <w:keepNext/>
              <w:spacing w:line="240" w:lineRule="auto"/>
              <w:contextualSpacing/>
              <w:jc w:val="both"/>
              <w:rPr>
                <w:szCs w:val="22"/>
                <w:lang w:val="sr-Latn-ME"/>
              </w:rPr>
            </w:pPr>
            <w:r w:rsidRPr="00B74B0F">
              <w:rPr>
                <w:szCs w:val="22"/>
                <w:lang w:val="sr-Latn-ME"/>
              </w:rPr>
              <w:t>UPA</w:t>
            </w:r>
          </w:p>
          <w:p w14:paraId="17189263" w14:textId="77777777" w:rsidR="0001729C" w:rsidRPr="00B74B0F" w:rsidRDefault="00906CF8">
            <w:pPr>
              <w:keepNext/>
              <w:spacing w:line="240" w:lineRule="auto"/>
              <w:contextualSpacing/>
              <w:jc w:val="both"/>
              <w:rPr>
                <w:szCs w:val="22"/>
                <w:lang w:val="sr-Latn-ME"/>
              </w:rPr>
            </w:pPr>
            <w:r w:rsidRPr="00B74B0F">
              <w:rPr>
                <w:szCs w:val="22"/>
                <w:lang w:val="sr-Latn-ME"/>
              </w:rPr>
              <w:t>15 mg</w:t>
            </w:r>
          </w:p>
        </w:tc>
        <w:tc>
          <w:tcPr>
            <w:tcW w:w="810" w:type="dxa"/>
            <w:tcBorders>
              <w:top w:val="single" w:sz="4" w:space="0" w:color="auto"/>
              <w:left w:val="single" w:sz="4" w:space="0" w:color="auto"/>
              <w:bottom w:val="single" w:sz="4" w:space="0" w:color="auto"/>
              <w:right w:val="single" w:sz="4" w:space="0" w:color="auto"/>
            </w:tcBorders>
            <w:vAlign w:val="bottom"/>
          </w:tcPr>
          <w:p w14:paraId="24B49517" w14:textId="77777777" w:rsidR="0001729C" w:rsidRPr="00B74B0F" w:rsidRDefault="00906CF8">
            <w:pPr>
              <w:keepNext/>
              <w:spacing w:line="240" w:lineRule="auto"/>
              <w:contextualSpacing/>
              <w:jc w:val="both"/>
              <w:rPr>
                <w:szCs w:val="22"/>
                <w:lang w:val="sr-Latn-ME"/>
              </w:rPr>
            </w:pPr>
            <w:r w:rsidRPr="00B74B0F">
              <w:rPr>
                <w:szCs w:val="22"/>
                <w:lang w:val="sr-Latn-ME"/>
              </w:rPr>
              <w:t>ADA</w:t>
            </w:r>
          </w:p>
          <w:p w14:paraId="3EC864E1" w14:textId="77777777" w:rsidR="0001729C" w:rsidRPr="00B74B0F" w:rsidRDefault="00906CF8">
            <w:pPr>
              <w:keepNext/>
              <w:spacing w:line="240" w:lineRule="auto"/>
              <w:contextualSpacing/>
              <w:jc w:val="both"/>
              <w:rPr>
                <w:szCs w:val="22"/>
                <w:lang w:val="sr-Latn-ME"/>
              </w:rPr>
            </w:pPr>
            <w:r w:rsidRPr="00B74B0F">
              <w:rPr>
                <w:szCs w:val="22"/>
                <w:lang w:val="sr-Latn-ME"/>
              </w:rPr>
              <w:t>40 mg</w:t>
            </w:r>
          </w:p>
        </w:tc>
        <w:tc>
          <w:tcPr>
            <w:tcW w:w="720" w:type="dxa"/>
            <w:tcBorders>
              <w:top w:val="single" w:sz="4" w:space="0" w:color="auto"/>
              <w:left w:val="single" w:sz="4" w:space="0" w:color="auto"/>
              <w:bottom w:val="single" w:sz="4" w:space="0" w:color="auto"/>
              <w:right w:val="single" w:sz="4" w:space="0" w:color="auto"/>
            </w:tcBorders>
            <w:vAlign w:val="bottom"/>
          </w:tcPr>
          <w:p w14:paraId="28D2D731" w14:textId="77777777" w:rsidR="0001729C" w:rsidRPr="00B74B0F" w:rsidRDefault="00906CF8">
            <w:pPr>
              <w:keepNext/>
              <w:spacing w:line="240" w:lineRule="auto"/>
              <w:contextualSpacing/>
              <w:jc w:val="both"/>
              <w:rPr>
                <w:szCs w:val="22"/>
                <w:lang w:val="sr-Latn-ME"/>
              </w:rPr>
            </w:pPr>
            <w:r w:rsidRPr="00B74B0F">
              <w:rPr>
                <w:szCs w:val="22"/>
                <w:lang w:val="sr-Latn-ME"/>
              </w:rPr>
              <w:t>PBO</w:t>
            </w:r>
          </w:p>
        </w:tc>
        <w:tc>
          <w:tcPr>
            <w:tcW w:w="655" w:type="dxa"/>
            <w:tcBorders>
              <w:top w:val="single" w:sz="4" w:space="0" w:color="auto"/>
              <w:left w:val="single" w:sz="4" w:space="0" w:color="auto"/>
              <w:bottom w:val="single" w:sz="4" w:space="0" w:color="auto"/>
              <w:right w:val="single" w:sz="4" w:space="0" w:color="auto"/>
            </w:tcBorders>
            <w:vAlign w:val="bottom"/>
          </w:tcPr>
          <w:p w14:paraId="3B964945" w14:textId="77777777" w:rsidR="0001729C" w:rsidRPr="00B74B0F" w:rsidRDefault="00906CF8">
            <w:pPr>
              <w:keepNext/>
              <w:spacing w:line="240" w:lineRule="auto"/>
              <w:contextualSpacing/>
              <w:jc w:val="both"/>
              <w:rPr>
                <w:szCs w:val="22"/>
                <w:lang w:val="sr-Latn-ME"/>
              </w:rPr>
            </w:pPr>
            <w:r w:rsidRPr="00B74B0F">
              <w:rPr>
                <w:szCs w:val="22"/>
                <w:lang w:val="sr-Latn-ME"/>
              </w:rPr>
              <w:t>UPA</w:t>
            </w:r>
          </w:p>
          <w:p w14:paraId="0F85A713" w14:textId="77777777" w:rsidR="0001729C" w:rsidRPr="00B74B0F" w:rsidRDefault="00906CF8">
            <w:pPr>
              <w:keepNext/>
              <w:spacing w:line="240" w:lineRule="auto"/>
              <w:contextualSpacing/>
              <w:jc w:val="both"/>
              <w:rPr>
                <w:szCs w:val="22"/>
                <w:lang w:val="sr-Latn-ME"/>
              </w:rPr>
            </w:pPr>
            <w:r w:rsidRPr="00B74B0F">
              <w:rPr>
                <w:szCs w:val="22"/>
                <w:lang w:val="sr-Latn-ME"/>
              </w:rPr>
              <w:t>15 mg</w:t>
            </w:r>
          </w:p>
        </w:tc>
      </w:tr>
      <w:tr w:rsidR="00BF75A1" w:rsidRPr="00B74B0F" w14:paraId="1A3BD9F9" w14:textId="77777777" w:rsidTr="00200D71">
        <w:trPr>
          <w:trHeight w:val="278"/>
        </w:trPr>
        <w:tc>
          <w:tcPr>
            <w:tcW w:w="1188" w:type="dxa"/>
            <w:tcBorders>
              <w:top w:val="single" w:sz="4" w:space="0" w:color="auto"/>
              <w:left w:val="single" w:sz="4" w:space="0" w:color="auto"/>
              <w:bottom w:val="single" w:sz="4" w:space="0" w:color="auto"/>
              <w:right w:val="single" w:sz="4" w:space="0" w:color="auto"/>
            </w:tcBorders>
            <w:vAlign w:val="center"/>
          </w:tcPr>
          <w:p w14:paraId="32BEC1AE" w14:textId="77777777" w:rsidR="0001729C" w:rsidRPr="00B74B0F" w:rsidRDefault="00906CF8">
            <w:pPr>
              <w:keepNext/>
              <w:spacing w:line="240" w:lineRule="auto"/>
              <w:contextualSpacing/>
              <w:jc w:val="both"/>
              <w:rPr>
                <w:szCs w:val="22"/>
                <w:lang w:val="sr-Latn-ME"/>
              </w:rPr>
            </w:pPr>
            <w:r w:rsidRPr="00B74B0F">
              <w:rPr>
                <w:szCs w:val="22"/>
                <w:lang w:val="sr-Latn-ME"/>
              </w:rPr>
              <w:t>N</w:t>
            </w:r>
          </w:p>
        </w:tc>
        <w:tc>
          <w:tcPr>
            <w:tcW w:w="720" w:type="dxa"/>
            <w:tcBorders>
              <w:top w:val="single" w:sz="4" w:space="0" w:color="auto"/>
              <w:left w:val="single" w:sz="4" w:space="0" w:color="auto"/>
              <w:bottom w:val="single" w:sz="4" w:space="0" w:color="auto"/>
              <w:right w:val="single" w:sz="4" w:space="0" w:color="auto"/>
            </w:tcBorders>
            <w:vAlign w:val="center"/>
          </w:tcPr>
          <w:p w14:paraId="5B1900FB" w14:textId="77777777" w:rsidR="0001729C" w:rsidRPr="00B74B0F" w:rsidRDefault="00906CF8">
            <w:pPr>
              <w:keepNext/>
              <w:spacing w:line="240" w:lineRule="auto"/>
              <w:contextualSpacing/>
              <w:jc w:val="both"/>
              <w:rPr>
                <w:szCs w:val="22"/>
                <w:lang w:val="sr-Latn-ME"/>
              </w:rPr>
            </w:pPr>
            <w:r w:rsidRPr="00B74B0F">
              <w:rPr>
                <w:szCs w:val="22"/>
                <w:lang w:val="sr-Latn-ME"/>
              </w:rPr>
              <w:t>31</w:t>
            </w:r>
            <w:r w:rsidR="003A585F" w:rsidRPr="00B74B0F">
              <w:rPr>
                <w:szCs w:val="22"/>
                <w:lang w:val="sr-Latn-ME"/>
              </w:rPr>
              <w:t>3</w:t>
            </w:r>
          </w:p>
        </w:tc>
        <w:tc>
          <w:tcPr>
            <w:tcW w:w="894" w:type="dxa"/>
            <w:tcBorders>
              <w:top w:val="single" w:sz="4" w:space="0" w:color="auto"/>
              <w:left w:val="single" w:sz="4" w:space="0" w:color="auto"/>
              <w:bottom w:val="single" w:sz="4" w:space="0" w:color="auto"/>
              <w:right w:val="single" w:sz="4" w:space="0" w:color="auto"/>
            </w:tcBorders>
            <w:vAlign w:val="center"/>
          </w:tcPr>
          <w:p w14:paraId="6947960A" w14:textId="77777777" w:rsidR="0001729C" w:rsidRPr="00B74B0F" w:rsidRDefault="00906CF8">
            <w:pPr>
              <w:keepNext/>
              <w:spacing w:line="240" w:lineRule="auto"/>
              <w:contextualSpacing/>
              <w:jc w:val="both"/>
              <w:rPr>
                <w:szCs w:val="22"/>
                <w:lang w:val="sr-Latn-ME"/>
              </w:rPr>
            </w:pPr>
            <w:r w:rsidRPr="00B74B0F">
              <w:rPr>
                <w:szCs w:val="22"/>
                <w:lang w:val="sr-Latn-ME"/>
              </w:rPr>
              <w:t>317</w:t>
            </w:r>
          </w:p>
        </w:tc>
        <w:tc>
          <w:tcPr>
            <w:tcW w:w="546" w:type="dxa"/>
            <w:tcBorders>
              <w:top w:val="single" w:sz="4" w:space="0" w:color="auto"/>
              <w:left w:val="single" w:sz="4" w:space="0" w:color="auto"/>
              <w:bottom w:val="single" w:sz="4" w:space="0" w:color="auto"/>
              <w:right w:val="single" w:sz="4" w:space="0" w:color="auto"/>
            </w:tcBorders>
            <w:vAlign w:val="center"/>
          </w:tcPr>
          <w:p w14:paraId="7A53FD4F" w14:textId="77777777" w:rsidR="0001729C" w:rsidRPr="00B74B0F" w:rsidRDefault="00906CF8">
            <w:pPr>
              <w:keepNext/>
              <w:spacing w:line="240" w:lineRule="auto"/>
              <w:contextualSpacing/>
              <w:jc w:val="both"/>
              <w:rPr>
                <w:szCs w:val="22"/>
                <w:lang w:val="sr-Latn-ME"/>
              </w:rPr>
            </w:pPr>
            <w:r w:rsidRPr="00B74B0F">
              <w:rPr>
                <w:szCs w:val="22"/>
                <w:lang w:val="sr-Latn-ME"/>
              </w:rPr>
              <w:t>216</w:t>
            </w:r>
          </w:p>
        </w:tc>
        <w:tc>
          <w:tcPr>
            <w:tcW w:w="810" w:type="dxa"/>
            <w:tcBorders>
              <w:top w:val="single" w:sz="4" w:space="0" w:color="auto"/>
              <w:left w:val="single" w:sz="4" w:space="0" w:color="auto"/>
              <w:bottom w:val="single" w:sz="4" w:space="0" w:color="auto"/>
              <w:right w:val="single" w:sz="4" w:space="0" w:color="auto"/>
            </w:tcBorders>
            <w:vAlign w:val="center"/>
          </w:tcPr>
          <w:p w14:paraId="0329AD53" w14:textId="77777777" w:rsidR="0001729C" w:rsidRPr="00B74B0F" w:rsidRDefault="00906CF8">
            <w:pPr>
              <w:keepNext/>
              <w:spacing w:line="240" w:lineRule="auto"/>
              <w:contextualSpacing/>
              <w:jc w:val="both"/>
              <w:rPr>
                <w:szCs w:val="22"/>
                <w:lang w:val="sr-Latn-ME"/>
              </w:rPr>
            </w:pPr>
            <w:r w:rsidRPr="00B74B0F">
              <w:rPr>
                <w:szCs w:val="22"/>
                <w:lang w:val="sr-Latn-ME"/>
              </w:rPr>
              <w:t>21</w:t>
            </w:r>
            <w:r w:rsidR="003A585F" w:rsidRPr="00B74B0F">
              <w:rPr>
                <w:szCs w:val="22"/>
                <w:lang w:val="sr-Latn-ME"/>
              </w:rPr>
              <w:t>6</w:t>
            </w:r>
          </w:p>
        </w:tc>
        <w:tc>
          <w:tcPr>
            <w:tcW w:w="810" w:type="dxa"/>
            <w:tcBorders>
              <w:top w:val="single" w:sz="4" w:space="0" w:color="auto"/>
              <w:left w:val="single" w:sz="4" w:space="0" w:color="auto"/>
              <w:bottom w:val="single" w:sz="4" w:space="0" w:color="auto"/>
              <w:right w:val="single" w:sz="4" w:space="0" w:color="auto"/>
            </w:tcBorders>
            <w:vAlign w:val="center"/>
          </w:tcPr>
          <w:p w14:paraId="70EAF2BC" w14:textId="77777777" w:rsidR="0001729C" w:rsidRPr="00B74B0F" w:rsidRDefault="00906CF8">
            <w:pPr>
              <w:keepNext/>
              <w:spacing w:line="240" w:lineRule="auto"/>
              <w:contextualSpacing/>
              <w:jc w:val="both"/>
              <w:rPr>
                <w:szCs w:val="22"/>
                <w:lang w:val="sr-Latn-ME"/>
              </w:rPr>
            </w:pPr>
            <w:r w:rsidRPr="00B74B0F">
              <w:rPr>
                <w:szCs w:val="22"/>
                <w:lang w:val="sr-Latn-ME"/>
              </w:rPr>
              <w:t>22</w:t>
            </w:r>
            <w:r w:rsidR="003A585F" w:rsidRPr="00B74B0F">
              <w:rPr>
                <w:szCs w:val="22"/>
                <w:lang w:val="sr-Latn-ME"/>
              </w:rPr>
              <w:t>0</w:t>
            </w:r>
          </w:p>
        </w:tc>
        <w:tc>
          <w:tcPr>
            <w:tcW w:w="810" w:type="dxa"/>
            <w:tcBorders>
              <w:top w:val="single" w:sz="4" w:space="0" w:color="auto"/>
              <w:left w:val="single" w:sz="4" w:space="0" w:color="auto"/>
              <w:bottom w:val="single" w:sz="4" w:space="0" w:color="auto"/>
              <w:right w:val="single" w:sz="4" w:space="0" w:color="auto"/>
            </w:tcBorders>
            <w:vAlign w:val="center"/>
          </w:tcPr>
          <w:p w14:paraId="006F0F3D" w14:textId="77777777" w:rsidR="0001729C" w:rsidRPr="00B74B0F" w:rsidRDefault="00906CF8">
            <w:pPr>
              <w:keepNext/>
              <w:spacing w:line="240" w:lineRule="auto"/>
              <w:contextualSpacing/>
              <w:jc w:val="both"/>
              <w:rPr>
                <w:szCs w:val="22"/>
                <w:lang w:val="sr-Latn-ME"/>
              </w:rPr>
            </w:pPr>
            <w:r w:rsidRPr="00B74B0F">
              <w:rPr>
                <w:szCs w:val="22"/>
                <w:lang w:val="sr-Latn-ME"/>
              </w:rPr>
              <w:t>2</w:t>
            </w:r>
            <w:r w:rsidR="003A585F" w:rsidRPr="00B74B0F">
              <w:rPr>
                <w:szCs w:val="22"/>
                <w:lang w:val="sr-Latn-ME"/>
              </w:rPr>
              <w:t>16</w:t>
            </w:r>
          </w:p>
        </w:tc>
        <w:tc>
          <w:tcPr>
            <w:tcW w:w="720" w:type="dxa"/>
            <w:tcBorders>
              <w:top w:val="single" w:sz="4" w:space="0" w:color="auto"/>
              <w:left w:val="single" w:sz="4" w:space="0" w:color="auto"/>
              <w:bottom w:val="single" w:sz="4" w:space="0" w:color="auto"/>
              <w:right w:val="single" w:sz="4" w:space="0" w:color="auto"/>
            </w:tcBorders>
            <w:vAlign w:val="center"/>
          </w:tcPr>
          <w:p w14:paraId="3FA841CB" w14:textId="77777777" w:rsidR="0001729C" w:rsidRPr="00B74B0F" w:rsidRDefault="00906CF8">
            <w:pPr>
              <w:keepNext/>
              <w:spacing w:line="240" w:lineRule="auto"/>
              <w:contextualSpacing/>
              <w:jc w:val="both"/>
              <w:rPr>
                <w:szCs w:val="22"/>
                <w:lang w:val="sr-Latn-ME"/>
              </w:rPr>
            </w:pPr>
            <w:r w:rsidRPr="00B74B0F">
              <w:rPr>
                <w:szCs w:val="22"/>
                <w:lang w:val="sr-Latn-ME"/>
              </w:rPr>
              <w:t>6</w:t>
            </w:r>
            <w:r w:rsidR="003A585F" w:rsidRPr="00B74B0F">
              <w:rPr>
                <w:szCs w:val="22"/>
                <w:lang w:val="sr-Latn-ME"/>
              </w:rPr>
              <w:t>48</w:t>
            </w:r>
          </w:p>
        </w:tc>
        <w:tc>
          <w:tcPr>
            <w:tcW w:w="810" w:type="dxa"/>
            <w:tcBorders>
              <w:top w:val="single" w:sz="4" w:space="0" w:color="auto"/>
              <w:left w:val="single" w:sz="4" w:space="0" w:color="auto"/>
              <w:bottom w:val="single" w:sz="4" w:space="0" w:color="auto"/>
              <w:right w:val="single" w:sz="4" w:space="0" w:color="auto"/>
            </w:tcBorders>
            <w:vAlign w:val="center"/>
          </w:tcPr>
          <w:p w14:paraId="34F0F026" w14:textId="77777777" w:rsidR="0001729C" w:rsidRPr="00B74B0F" w:rsidRDefault="00906CF8">
            <w:pPr>
              <w:keepNext/>
              <w:spacing w:line="240" w:lineRule="auto"/>
              <w:contextualSpacing/>
              <w:jc w:val="both"/>
              <w:rPr>
                <w:szCs w:val="22"/>
                <w:lang w:val="sr-Latn-ME"/>
              </w:rPr>
            </w:pPr>
            <w:r w:rsidRPr="00B74B0F">
              <w:rPr>
                <w:szCs w:val="22"/>
                <w:lang w:val="sr-Latn-ME"/>
              </w:rPr>
              <w:t>6</w:t>
            </w:r>
            <w:r w:rsidR="003A585F" w:rsidRPr="00B74B0F">
              <w:rPr>
                <w:szCs w:val="22"/>
                <w:lang w:val="sr-Latn-ME"/>
              </w:rPr>
              <w:t>44</w:t>
            </w:r>
          </w:p>
        </w:tc>
        <w:tc>
          <w:tcPr>
            <w:tcW w:w="810" w:type="dxa"/>
            <w:tcBorders>
              <w:top w:val="single" w:sz="4" w:space="0" w:color="auto"/>
              <w:left w:val="single" w:sz="4" w:space="0" w:color="auto"/>
              <w:bottom w:val="single" w:sz="4" w:space="0" w:color="auto"/>
              <w:right w:val="single" w:sz="4" w:space="0" w:color="auto"/>
            </w:tcBorders>
            <w:vAlign w:val="center"/>
          </w:tcPr>
          <w:p w14:paraId="1A39BA39" w14:textId="77777777" w:rsidR="0001729C" w:rsidRPr="00B74B0F" w:rsidRDefault="00906CF8">
            <w:pPr>
              <w:keepNext/>
              <w:spacing w:line="240" w:lineRule="auto"/>
              <w:contextualSpacing/>
              <w:jc w:val="both"/>
              <w:rPr>
                <w:szCs w:val="22"/>
                <w:lang w:val="sr-Latn-ME"/>
              </w:rPr>
            </w:pPr>
            <w:r w:rsidRPr="00B74B0F">
              <w:rPr>
                <w:szCs w:val="22"/>
                <w:lang w:val="sr-Latn-ME"/>
              </w:rPr>
              <w:t>32</w:t>
            </w:r>
            <w:r w:rsidR="003A585F" w:rsidRPr="00B74B0F">
              <w:rPr>
                <w:szCs w:val="22"/>
                <w:lang w:val="sr-Latn-ME"/>
              </w:rPr>
              <w:t>4</w:t>
            </w:r>
          </w:p>
        </w:tc>
        <w:tc>
          <w:tcPr>
            <w:tcW w:w="720" w:type="dxa"/>
            <w:tcBorders>
              <w:top w:val="single" w:sz="4" w:space="0" w:color="auto"/>
              <w:left w:val="single" w:sz="4" w:space="0" w:color="auto"/>
              <w:bottom w:val="single" w:sz="4" w:space="0" w:color="auto"/>
              <w:right w:val="single" w:sz="4" w:space="0" w:color="auto"/>
            </w:tcBorders>
            <w:vAlign w:val="center"/>
          </w:tcPr>
          <w:p w14:paraId="33A9DD12" w14:textId="77777777" w:rsidR="0001729C" w:rsidRPr="00B74B0F" w:rsidRDefault="00906CF8">
            <w:pPr>
              <w:keepNext/>
              <w:spacing w:line="240" w:lineRule="auto"/>
              <w:contextualSpacing/>
              <w:jc w:val="both"/>
              <w:rPr>
                <w:szCs w:val="22"/>
                <w:lang w:val="sr-Latn-ME"/>
              </w:rPr>
            </w:pPr>
            <w:r w:rsidRPr="00B74B0F">
              <w:rPr>
                <w:szCs w:val="22"/>
                <w:lang w:val="sr-Latn-ME"/>
              </w:rPr>
              <w:t>16</w:t>
            </w:r>
            <w:r w:rsidR="003A585F" w:rsidRPr="00B74B0F">
              <w:rPr>
                <w:szCs w:val="22"/>
                <w:lang w:val="sr-Latn-ME"/>
              </w:rPr>
              <w:t>5</w:t>
            </w:r>
          </w:p>
        </w:tc>
        <w:tc>
          <w:tcPr>
            <w:tcW w:w="655" w:type="dxa"/>
            <w:tcBorders>
              <w:top w:val="single" w:sz="4" w:space="0" w:color="auto"/>
              <w:left w:val="single" w:sz="4" w:space="0" w:color="auto"/>
              <w:bottom w:val="single" w:sz="4" w:space="0" w:color="auto"/>
              <w:right w:val="single" w:sz="4" w:space="0" w:color="auto"/>
            </w:tcBorders>
            <w:vAlign w:val="center"/>
          </w:tcPr>
          <w:p w14:paraId="1692D681" w14:textId="77777777" w:rsidR="0001729C" w:rsidRPr="00B74B0F" w:rsidRDefault="00906CF8">
            <w:pPr>
              <w:keepNext/>
              <w:spacing w:line="240" w:lineRule="auto"/>
              <w:contextualSpacing/>
              <w:jc w:val="both"/>
              <w:rPr>
                <w:szCs w:val="22"/>
                <w:lang w:val="sr-Latn-ME"/>
              </w:rPr>
            </w:pPr>
            <w:r w:rsidRPr="00B74B0F">
              <w:rPr>
                <w:szCs w:val="22"/>
                <w:lang w:val="sr-Latn-ME"/>
              </w:rPr>
              <w:t>16</w:t>
            </w:r>
            <w:r w:rsidR="003A585F" w:rsidRPr="00B74B0F">
              <w:rPr>
                <w:szCs w:val="22"/>
                <w:lang w:val="sr-Latn-ME"/>
              </w:rPr>
              <w:t>3</w:t>
            </w:r>
          </w:p>
        </w:tc>
      </w:tr>
      <w:tr w:rsidR="00BF75A1" w:rsidRPr="00B74B0F" w14:paraId="53240B58" w14:textId="77777777" w:rsidTr="00200D71">
        <w:trPr>
          <w:trHeight w:val="278"/>
        </w:trPr>
        <w:tc>
          <w:tcPr>
            <w:tcW w:w="1188" w:type="dxa"/>
            <w:tcBorders>
              <w:top w:val="single" w:sz="4" w:space="0" w:color="auto"/>
              <w:left w:val="single" w:sz="4" w:space="0" w:color="auto"/>
              <w:bottom w:val="single" w:sz="4" w:space="0" w:color="auto"/>
              <w:right w:val="single" w:sz="4" w:space="0" w:color="auto"/>
            </w:tcBorders>
            <w:vAlign w:val="center"/>
          </w:tcPr>
          <w:p w14:paraId="0525E766" w14:textId="77777777" w:rsidR="00B10AE7" w:rsidRPr="00B74B0F" w:rsidRDefault="00B10AE7">
            <w:pPr>
              <w:keepNext/>
              <w:spacing w:line="240" w:lineRule="auto"/>
              <w:contextualSpacing/>
              <w:jc w:val="both"/>
              <w:rPr>
                <w:szCs w:val="22"/>
                <w:lang w:val="sr-Latn-ME"/>
              </w:rPr>
            </w:pPr>
            <w:r w:rsidRPr="00B74B0F">
              <w:rPr>
                <w:szCs w:val="22"/>
                <w:lang w:val="sr-Latn-ME"/>
              </w:rPr>
              <w:t>Početni rezultat, srednja vrijednost</w:t>
            </w:r>
          </w:p>
        </w:tc>
        <w:tc>
          <w:tcPr>
            <w:tcW w:w="720" w:type="dxa"/>
            <w:tcBorders>
              <w:top w:val="single" w:sz="4" w:space="0" w:color="auto"/>
              <w:left w:val="single" w:sz="4" w:space="0" w:color="auto"/>
              <w:bottom w:val="single" w:sz="4" w:space="0" w:color="auto"/>
              <w:right w:val="single" w:sz="4" w:space="0" w:color="auto"/>
            </w:tcBorders>
            <w:vAlign w:val="center"/>
          </w:tcPr>
          <w:p w14:paraId="1A2AE18A" w14:textId="77777777" w:rsidR="00B10AE7" w:rsidRPr="00B74B0F" w:rsidRDefault="00B10AE7">
            <w:pPr>
              <w:keepNext/>
              <w:spacing w:line="240" w:lineRule="auto"/>
              <w:contextualSpacing/>
              <w:jc w:val="both"/>
              <w:rPr>
                <w:szCs w:val="22"/>
                <w:lang w:val="sr-Latn-ME"/>
              </w:rPr>
            </w:pPr>
            <w:r w:rsidRPr="00B74B0F">
              <w:rPr>
                <w:szCs w:val="22"/>
                <w:lang w:val="sr-Latn-ME"/>
              </w:rPr>
              <w:t>1,6</w:t>
            </w:r>
          </w:p>
        </w:tc>
        <w:tc>
          <w:tcPr>
            <w:tcW w:w="894" w:type="dxa"/>
            <w:tcBorders>
              <w:top w:val="single" w:sz="4" w:space="0" w:color="auto"/>
              <w:left w:val="single" w:sz="4" w:space="0" w:color="auto"/>
              <w:bottom w:val="single" w:sz="4" w:space="0" w:color="auto"/>
              <w:right w:val="single" w:sz="4" w:space="0" w:color="auto"/>
            </w:tcBorders>
            <w:vAlign w:val="center"/>
          </w:tcPr>
          <w:p w14:paraId="7A1B286C" w14:textId="77777777" w:rsidR="00B10AE7" w:rsidRPr="00B74B0F" w:rsidRDefault="00B10AE7">
            <w:pPr>
              <w:keepNext/>
              <w:spacing w:line="240" w:lineRule="auto"/>
              <w:contextualSpacing/>
              <w:jc w:val="both"/>
              <w:rPr>
                <w:szCs w:val="22"/>
                <w:lang w:val="sr-Latn-ME"/>
              </w:rPr>
            </w:pPr>
            <w:r w:rsidRPr="00B74B0F">
              <w:rPr>
                <w:szCs w:val="22"/>
                <w:lang w:val="sr-Latn-ME"/>
              </w:rPr>
              <w:t>1,6</w:t>
            </w:r>
          </w:p>
        </w:tc>
        <w:tc>
          <w:tcPr>
            <w:tcW w:w="546" w:type="dxa"/>
            <w:tcBorders>
              <w:top w:val="single" w:sz="4" w:space="0" w:color="auto"/>
              <w:left w:val="single" w:sz="4" w:space="0" w:color="auto"/>
              <w:bottom w:val="single" w:sz="4" w:space="0" w:color="auto"/>
              <w:right w:val="single" w:sz="4" w:space="0" w:color="auto"/>
            </w:tcBorders>
            <w:vAlign w:val="center"/>
          </w:tcPr>
          <w:p w14:paraId="7EEAA766" w14:textId="77777777" w:rsidR="00B10AE7" w:rsidRPr="00B74B0F" w:rsidRDefault="00B10AE7">
            <w:pPr>
              <w:keepNext/>
              <w:spacing w:line="240" w:lineRule="auto"/>
              <w:contextualSpacing/>
              <w:jc w:val="both"/>
              <w:rPr>
                <w:szCs w:val="22"/>
                <w:lang w:val="sr-Latn-ME"/>
              </w:rPr>
            </w:pPr>
            <w:r w:rsidRPr="00B74B0F">
              <w:rPr>
                <w:szCs w:val="22"/>
                <w:lang w:val="sr-Latn-ME"/>
              </w:rPr>
              <w:t>1,5</w:t>
            </w:r>
          </w:p>
        </w:tc>
        <w:tc>
          <w:tcPr>
            <w:tcW w:w="810" w:type="dxa"/>
            <w:tcBorders>
              <w:top w:val="single" w:sz="4" w:space="0" w:color="auto"/>
              <w:left w:val="single" w:sz="4" w:space="0" w:color="auto"/>
              <w:bottom w:val="single" w:sz="4" w:space="0" w:color="auto"/>
              <w:right w:val="single" w:sz="4" w:space="0" w:color="auto"/>
            </w:tcBorders>
            <w:vAlign w:val="center"/>
          </w:tcPr>
          <w:p w14:paraId="0B24F11D" w14:textId="77777777" w:rsidR="00B10AE7" w:rsidRPr="00B74B0F" w:rsidRDefault="00B10AE7">
            <w:pPr>
              <w:keepNext/>
              <w:spacing w:line="240" w:lineRule="auto"/>
              <w:contextualSpacing/>
              <w:jc w:val="both"/>
              <w:rPr>
                <w:szCs w:val="22"/>
                <w:lang w:val="sr-Latn-ME"/>
              </w:rPr>
            </w:pPr>
            <w:r w:rsidRPr="00B74B0F">
              <w:rPr>
                <w:szCs w:val="22"/>
                <w:lang w:val="sr-Latn-ME"/>
              </w:rPr>
              <w:t>1,5</w:t>
            </w:r>
          </w:p>
        </w:tc>
        <w:tc>
          <w:tcPr>
            <w:tcW w:w="810" w:type="dxa"/>
            <w:tcBorders>
              <w:top w:val="single" w:sz="4" w:space="0" w:color="auto"/>
              <w:left w:val="single" w:sz="4" w:space="0" w:color="auto"/>
              <w:bottom w:val="single" w:sz="4" w:space="0" w:color="auto"/>
              <w:right w:val="single" w:sz="4" w:space="0" w:color="auto"/>
            </w:tcBorders>
            <w:vAlign w:val="center"/>
          </w:tcPr>
          <w:p w14:paraId="23429F28" w14:textId="77777777" w:rsidR="00B10AE7" w:rsidRPr="00B74B0F" w:rsidRDefault="00B10AE7">
            <w:pPr>
              <w:keepNext/>
              <w:spacing w:line="240" w:lineRule="auto"/>
              <w:contextualSpacing/>
              <w:jc w:val="both"/>
              <w:rPr>
                <w:szCs w:val="22"/>
                <w:lang w:val="sr-Latn-ME"/>
              </w:rPr>
            </w:pPr>
            <w:r w:rsidRPr="00B74B0F">
              <w:rPr>
                <w:szCs w:val="22"/>
                <w:lang w:val="sr-Latn-ME"/>
              </w:rPr>
              <w:t>1,4</w:t>
            </w:r>
          </w:p>
        </w:tc>
        <w:tc>
          <w:tcPr>
            <w:tcW w:w="810" w:type="dxa"/>
            <w:tcBorders>
              <w:top w:val="single" w:sz="4" w:space="0" w:color="auto"/>
              <w:left w:val="single" w:sz="4" w:space="0" w:color="auto"/>
              <w:bottom w:val="single" w:sz="4" w:space="0" w:color="auto"/>
              <w:right w:val="single" w:sz="4" w:space="0" w:color="auto"/>
            </w:tcBorders>
            <w:vAlign w:val="center"/>
          </w:tcPr>
          <w:p w14:paraId="4DE08F28" w14:textId="77777777" w:rsidR="00B10AE7" w:rsidRPr="00B74B0F" w:rsidRDefault="00B10AE7">
            <w:pPr>
              <w:keepNext/>
              <w:spacing w:line="240" w:lineRule="auto"/>
              <w:contextualSpacing/>
              <w:jc w:val="both"/>
              <w:rPr>
                <w:szCs w:val="22"/>
                <w:lang w:val="sr-Latn-ME"/>
              </w:rPr>
            </w:pPr>
            <w:r w:rsidRPr="00B74B0F">
              <w:rPr>
                <w:szCs w:val="22"/>
                <w:lang w:val="sr-Latn-ME"/>
              </w:rPr>
              <w:t>1,5</w:t>
            </w:r>
          </w:p>
        </w:tc>
        <w:tc>
          <w:tcPr>
            <w:tcW w:w="720" w:type="dxa"/>
            <w:tcBorders>
              <w:top w:val="single" w:sz="4" w:space="0" w:color="auto"/>
              <w:left w:val="single" w:sz="4" w:space="0" w:color="auto"/>
              <w:bottom w:val="single" w:sz="4" w:space="0" w:color="auto"/>
              <w:right w:val="single" w:sz="4" w:space="0" w:color="auto"/>
            </w:tcBorders>
            <w:vAlign w:val="center"/>
          </w:tcPr>
          <w:p w14:paraId="3AE0D244" w14:textId="77777777" w:rsidR="00B10AE7" w:rsidRPr="00B74B0F" w:rsidRDefault="00B10AE7">
            <w:pPr>
              <w:keepNext/>
              <w:spacing w:line="240" w:lineRule="auto"/>
              <w:contextualSpacing/>
              <w:jc w:val="both"/>
              <w:rPr>
                <w:szCs w:val="22"/>
                <w:lang w:val="sr-Latn-ME"/>
              </w:rPr>
            </w:pPr>
            <w:r w:rsidRPr="00B74B0F">
              <w:rPr>
                <w:szCs w:val="22"/>
                <w:lang w:val="sr-Latn-ME"/>
              </w:rPr>
              <w:t>1,6</w:t>
            </w:r>
          </w:p>
        </w:tc>
        <w:tc>
          <w:tcPr>
            <w:tcW w:w="810" w:type="dxa"/>
            <w:tcBorders>
              <w:top w:val="single" w:sz="4" w:space="0" w:color="auto"/>
              <w:left w:val="single" w:sz="4" w:space="0" w:color="auto"/>
              <w:bottom w:val="single" w:sz="4" w:space="0" w:color="auto"/>
              <w:right w:val="single" w:sz="4" w:space="0" w:color="auto"/>
            </w:tcBorders>
            <w:vAlign w:val="center"/>
          </w:tcPr>
          <w:p w14:paraId="5DEF4149" w14:textId="77777777" w:rsidR="00B10AE7" w:rsidRPr="00B74B0F" w:rsidRDefault="00B10AE7">
            <w:pPr>
              <w:keepNext/>
              <w:spacing w:line="240" w:lineRule="auto"/>
              <w:contextualSpacing/>
              <w:jc w:val="both"/>
              <w:rPr>
                <w:szCs w:val="22"/>
                <w:lang w:val="sr-Latn-ME"/>
              </w:rPr>
            </w:pPr>
            <w:r w:rsidRPr="00B74B0F">
              <w:rPr>
                <w:szCs w:val="22"/>
                <w:lang w:val="sr-Latn-ME"/>
              </w:rPr>
              <w:t>1,6</w:t>
            </w:r>
          </w:p>
        </w:tc>
        <w:tc>
          <w:tcPr>
            <w:tcW w:w="810" w:type="dxa"/>
            <w:tcBorders>
              <w:top w:val="single" w:sz="4" w:space="0" w:color="auto"/>
              <w:left w:val="single" w:sz="4" w:space="0" w:color="auto"/>
              <w:bottom w:val="single" w:sz="4" w:space="0" w:color="auto"/>
              <w:right w:val="single" w:sz="4" w:space="0" w:color="auto"/>
            </w:tcBorders>
            <w:vAlign w:val="center"/>
          </w:tcPr>
          <w:p w14:paraId="3EA86B68" w14:textId="77777777" w:rsidR="00B10AE7" w:rsidRPr="00B74B0F" w:rsidRDefault="00B10AE7">
            <w:pPr>
              <w:keepNext/>
              <w:spacing w:line="240" w:lineRule="auto"/>
              <w:contextualSpacing/>
              <w:jc w:val="both"/>
              <w:rPr>
                <w:szCs w:val="22"/>
                <w:lang w:val="sr-Latn-ME"/>
              </w:rPr>
            </w:pPr>
            <w:r w:rsidRPr="00B74B0F">
              <w:rPr>
                <w:szCs w:val="22"/>
                <w:lang w:val="sr-Latn-ME"/>
              </w:rPr>
              <w:t>1,6</w:t>
            </w:r>
          </w:p>
        </w:tc>
        <w:tc>
          <w:tcPr>
            <w:tcW w:w="720" w:type="dxa"/>
            <w:tcBorders>
              <w:top w:val="single" w:sz="4" w:space="0" w:color="auto"/>
              <w:left w:val="single" w:sz="4" w:space="0" w:color="auto"/>
              <w:bottom w:val="single" w:sz="4" w:space="0" w:color="auto"/>
              <w:right w:val="single" w:sz="4" w:space="0" w:color="auto"/>
            </w:tcBorders>
            <w:vAlign w:val="center"/>
          </w:tcPr>
          <w:p w14:paraId="5E2D3F1C" w14:textId="77777777" w:rsidR="00B10AE7" w:rsidRPr="00B74B0F" w:rsidRDefault="00B10AE7">
            <w:pPr>
              <w:keepNext/>
              <w:spacing w:line="240" w:lineRule="auto"/>
              <w:contextualSpacing/>
              <w:jc w:val="both"/>
              <w:rPr>
                <w:szCs w:val="22"/>
                <w:lang w:val="sr-Latn-ME"/>
              </w:rPr>
            </w:pPr>
            <w:r w:rsidRPr="00B74B0F">
              <w:rPr>
                <w:szCs w:val="22"/>
                <w:lang w:val="sr-Latn-ME"/>
              </w:rPr>
              <w:t>1,6</w:t>
            </w:r>
          </w:p>
        </w:tc>
        <w:tc>
          <w:tcPr>
            <w:tcW w:w="655" w:type="dxa"/>
            <w:tcBorders>
              <w:top w:val="single" w:sz="4" w:space="0" w:color="auto"/>
              <w:left w:val="single" w:sz="4" w:space="0" w:color="auto"/>
              <w:bottom w:val="single" w:sz="4" w:space="0" w:color="auto"/>
              <w:right w:val="single" w:sz="4" w:space="0" w:color="auto"/>
            </w:tcBorders>
            <w:vAlign w:val="center"/>
          </w:tcPr>
          <w:p w14:paraId="08DAF635" w14:textId="77777777" w:rsidR="00B10AE7" w:rsidRPr="00B74B0F" w:rsidRDefault="00B10AE7">
            <w:pPr>
              <w:keepNext/>
              <w:spacing w:line="240" w:lineRule="auto"/>
              <w:contextualSpacing/>
              <w:jc w:val="both"/>
              <w:rPr>
                <w:szCs w:val="22"/>
                <w:lang w:val="sr-Latn-ME"/>
              </w:rPr>
            </w:pPr>
            <w:r w:rsidRPr="00B74B0F">
              <w:rPr>
                <w:szCs w:val="22"/>
                <w:lang w:val="sr-Latn-ME"/>
              </w:rPr>
              <w:t>1,7</w:t>
            </w:r>
          </w:p>
        </w:tc>
      </w:tr>
      <w:tr w:rsidR="00BF75A1" w:rsidRPr="00B74B0F" w14:paraId="32FAC78E" w14:textId="77777777" w:rsidTr="00200D71">
        <w:trPr>
          <w:trHeight w:val="278"/>
        </w:trPr>
        <w:tc>
          <w:tcPr>
            <w:tcW w:w="1188" w:type="dxa"/>
            <w:tcBorders>
              <w:top w:val="single" w:sz="4" w:space="0" w:color="auto"/>
              <w:left w:val="single" w:sz="4" w:space="0" w:color="auto"/>
              <w:bottom w:val="single" w:sz="4" w:space="0" w:color="auto"/>
              <w:right w:val="single" w:sz="4" w:space="0" w:color="auto"/>
            </w:tcBorders>
            <w:vAlign w:val="center"/>
          </w:tcPr>
          <w:p w14:paraId="28D422BC" w14:textId="63C0EE27" w:rsidR="0001729C" w:rsidRPr="00B74B0F" w:rsidRDefault="00906CF8">
            <w:pPr>
              <w:keepNext/>
              <w:spacing w:line="240" w:lineRule="auto"/>
              <w:contextualSpacing/>
              <w:jc w:val="both"/>
              <w:rPr>
                <w:szCs w:val="22"/>
                <w:vertAlign w:val="superscript"/>
                <w:lang w:val="sr-Latn-ME"/>
              </w:rPr>
            </w:pPr>
            <w:r w:rsidRPr="00B74B0F">
              <w:rPr>
                <w:szCs w:val="22"/>
                <w:lang w:val="sr-Latn-ME"/>
              </w:rPr>
              <w:t>12</w:t>
            </w:r>
            <w:r w:rsidR="00BB43CA" w:rsidRPr="00B74B0F">
              <w:rPr>
                <w:szCs w:val="22"/>
                <w:lang w:val="sr-Latn-ME"/>
              </w:rPr>
              <w:t>.</w:t>
            </w:r>
            <w:r w:rsidRPr="00B74B0F">
              <w:rPr>
                <w:szCs w:val="22"/>
                <w:vertAlign w:val="superscript"/>
                <w:lang w:val="sr-Latn-ME"/>
              </w:rPr>
              <w:t>c</w:t>
            </w:r>
            <w:r w:rsidRPr="00B74B0F">
              <w:rPr>
                <w:szCs w:val="22"/>
                <w:lang w:val="sr-Latn-ME"/>
              </w:rPr>
              <w:t>/14</w:t>
            </w:r>
            <w:r w:rsidR="00BB43CA" w:rsidRPr="00B74B0F">
              <w:rPr>
                <w:szCs w:val="22"/>
                <w:lang w:val="sr-Latn-ME"/>
              </w:rPr>
              <w:t>.</w:t>
            </w:r>
            <w:r w:rsidRPr="00B74B0F">
              <w:rPr>
                <w:szCs w:val="22"/>
                <w:vertAlign w:val="superscript"/>
                <w:lang w:val="sr-Latn-ME"/>
              </w:rPr>
              <w:t>d</w:t>
            </w:r>
            <w:r w:rsidRPr="00B74B0F">
              <w:rPr>
                <w:szCs w:val="22"/>
                <w:lang w:val="sr-Latn-ME"/>
              </w:rPr>
              <w:t xml:space="preserve"> </w:t>
            </w:r>
            <w:r w:rsidR="00B10681" w:rsidRPr="00B74B0F">
              <w:rPr>
                <w:szCs w:val="22"/>
                <w:lang w:val="sr-Latn-ME"/>
              </w:rPr>
              <w:t>n</w:t>
            </w:r>
            <w:r w:rsidR="008806F8" w:rsidRPr="00B74B0F">
              <w:rPr>
                <w:szCs w:val="22"/>
                <w:lang w:val="sr-Latn-ME"/>
              </w:rPr>
              <w:t>ed</w:t>
            </w:r>
            <w:r w:rsidR="00BB43CA" w:rsidRPr="00B74B0F">
              <w:rPr>
                <w:szCs w:val="22"/>
                <w:lang w:val="sr-Latn-ME"/>
              </w:rPr>
              <w:t>j</w:t>
            </w:r>
            <w:r w:rsidR="008806F8" w:rsidRPr="00B74B0F">
              <w:rPr>
                <w:szCs w:val="22"/>
                <w:lang w:val="sr-Latn-ME"/>
              </w:rPr>
              <w:t>elja</w:t>
            </w:r>
          </w:p>
        </w:tc>
        <w:tc>
          <w:tcPr>
            <w:tcW w:w="720" w:type="dxa"/>
            <w:tcBorders>
              <w:top w:val="single" w:sz="4" w:space="0" w:color="auto"/>
              <w:left w:val="single" w:sz="4" w:space="0" w:color="auto"/>
              <w:bottom w:val="single" w:sz="4" w:space="0" w:color="auto"/>
              <w:right w:val="single" w:sz="4" w:space="0" w:color="auto"/>
            </w:tcBorders>
            <w:vAlign w:val="center"/>
          </w:tcPr>
          <w:p w14:paraId="6D45521F"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0,5</w:t>
            </w:r>
          </w:p>
        </w:tc>
        <w:tc>
          <w:tcPr>
            <w:tcW w:w="894" w:type="dxa"/>
            <w:tcBorders>
              <w:top w:val="single" w:sz="4" w:space="0" w:color="auto"/>
              <w:left w:val="single" w:sz="4" w:space="0" w:color="auto"/>
              <w:bottom w:val="single" w:sz="4" w:space="0" w:color="auto"/>
              <w:right w:val="single" w:sz="4" w:space="0" w:color="auto"/>
            </w:tcBorders>
            <w:vAlign w:val="center"/>
          </w:tcPr>
          <w:p w14:paraId="176C6893"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0,8</w:t>
            </w:r>
            <w:r w:rsidR="003A585F" w:rsidRPr="00B74B0F">
              <w:rPr>
                <w:szCs w:val="22"/>
                <w:vertAlign w:val="superscript"/>
                <w:lang w:val="sr-Latn-ME"/>
              </w:rPr>
              <w:t>h</w:t>
            </w:r>
          </w:p>
        </w:tc>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14:paraId="34F485E0"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3C0BE3D"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0,7</w:t>
            </w:r>
            <w:r w:rsidR="00906CF8" w:rsidRPr="00B74B0F">
              <w:rPr>
                <w:szCs w:val="22"/>
                <w:vertAlign w:val="superscript"/>
                <w:lang w:val="sr-Latn-ME"/>
              </w:rPr>
              <w:t>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44EF829"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4931A1B"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0,6</w:t>
            </w:r>
            <w:r w:rsidR="00906CF8" w:rsidRPr="00B74B0F">
              <w:rPr>
                <w:szCs w:val="22"/>
                <w:vertAlign w:val="superscript"/>
                <w:lang w:val="sr-Latn-ME"/>
              </w:rPr>
              <w:t>g</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A5D5627"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9BECF90"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0,6</w:t>
            </w:r>
            <w:r w:rsidR="00906CF8" w:rsidRPr="00B74B0F">
              <w:rPr>
                <w:szCs w:val="22"/>
                <w:vertAlign w:val="superscript"/>
                <w:lang w:val="sr-Latn-ME"/>
              </w:rPr>
              <w:t>g,</w:t>
            </w:r>
            <w:r w:rsidR="003A585F" w:rsidRPr="00B74B0F">
              <w:rPr>
                <w:szCs w:val="22"/>
                <w:vertAlign w:val="superscript"/>
                <w:lang w:val="sr-Latn-ME"/>
              </w:rPr>
              <w:t>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82DA666"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0,5</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A555DC9"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0,2</w:t>
            </w:r>
          </w:p>
        </w:tc>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7FBD3D8"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0,4</w:t>
            </w:r>
            <w:r w:rsidR="00906CF8" w:rsidRPr="00B74B0F">
              <w:rPr>
                <w:szCs w:val="22"/>
                <w:vertAlign w:val="superscript"/>
                <w:lang w:val="sr-Latn-ME"/>
              </w:rPr>
              <w:t>g</w:t>
            </w:r>
          </w:p>
        </w:tc>
      </w:tr>
      <w:tr w:rsidR="00BF75A1" w:rsidRPr="00B74B0F" w14:paraId="353097C4" w14:textId="77777777" w:rsidTr="00200D71">
        <w:trPr>
          <w:trHeight w:val="278"/>
        </w:trPr>
        <w:tc>
          <w:tcPr>
            <w:tcW w:w="1188" w:type="dxa"/>
            <w:tcBorders>
              <w:top w:val="single" w:sz="4" w:space="0" w:color="auto"/>
              <w:left w:val="single" w:sz="4" w:space="0" w:color="auto"/>
              <w:bottom w:val="single" w:sz="4" w:space="0" w:color="auto"/>
              <w:right w:val="single" w:sz="4" w:space="0" w:color="auto"/>
            </w:tcBorders>
            <w:vAlign w:val="center"/>
          </w:tcPr>
          <w:p w14:paraId="59C6745E" w14:textId="3A4B8068" w:rsidR="0001729C" w:rsidRPr="00B74B0F" w:rsidRDefault="00906CF8">
            <w:pPr>
              <w:keepNext/>
              <w:spacing w:line="240" w:lineRule="auto"/>
              <w:contextualSpacing/>
              <w:jc w:val="both"/>
              <w:rPr>
                <w:szCs w:val="22"/>
                <w:lang w:val="sr-Latn-ME"/>
              </w:rPr>
            </w:pPr>
            <w:r w:rsidRPr="00B74B0F">
              <w:rPr>
                <w:szCs w:val="22"/>
                <w:lang w:val="sr-Latn-ME"/>
              </w:rPr>
              <w:t>24</w:t>
            </w:r>
            <w:r w:rsidR="00BB43CA" w:rsidRPr="00B74B0F">
              <w:rPr>
                <w:szCs w:val="22"/>
                <w:lang w:val="sr-Latn-ME"/>
              </w:rPr>
              <w:t>.</w:t>
            </w:r>
            <w:r w:rsidRPr="00B74B0F">
              <w:rPr>
                <w:szCs w:val="22"/>
                <w:vertAlign w:val="superscript"/>
                <w:lang w:val="sr-Latn-ME"/>
              </w:rPr>
              <w:t>e</w:t>
            </w:r>
            <w:r w:rsidRPr="00B74B0F">
              <w:rPr>
                <w:szCs w:val="22"/>
                <w:lang w:val="sr-Latn-ME"/>
              </w:rPr>
              <w:t>/26</w:t>
            </w:r>
            <w:r w:rsidR="00BB43CA" w:rsidRPr="00B74B0F">
              <w:rPr>
                <w:szCs w:val="22"/>
                <w:lang w:val="sr-Latn-ME"/>
              </w:rPr>
              <w:t>.</w:t>
            </w:r>
            <w:r w:rsidRPr="00B74B0F">
              <w:rPr>
                <w:szCs w:val="22"/>
                <w:vertAlign w:val="superscript"/>
                <w:lang w:val="sr-Latn-ME"/>
              </w:rPr>
              <w:t xml:space="preserve">f </w:t>
            </w:r>
            <w:r w:rsidR="00B10681" w:rsidRPr="00B74B0F">
              <w:rPr>
                <w:szCs w:val="22"/>
                <w:lang w:val="sr-Latn-ME"/>
              </w:rPr>
              <w:t>n</w:t>
            </w:r>
            <w:r w:rsidR="008806F8" w:rsidRPr="00B74B0F">
              <w:rPr>
                <w:szCs w:val="22"/>
                <w:lang w:val="sr-Latn-ME"/>
              </w:rPr>
              <w:t>ed</w:t>
            </w:r>
            <w:r w:rsidR="00BB43CA" w:rsidRPr="00B74B0F">
              <w:rPr>
                <w:szCs w:val="22"/>
                <w:lang w:val="sr-Latn-ME"/>
              </w:rPr>
              <w:t>j</w:t>
            </w:r>
            <w:r w:rsidR="008806F8" w:rsidRPr="00B74B0F">
              <w:rPr>
                <w:szCs w:val="22"/>
                <w:lang w:val="sr-Latn-ME"/>
              </w:rPr>
              <w:t>elja</w:t>
            </w:r>
            <w:r w:rsidRPr="00B74B0F">
              <w:rPr>
                <w:szCs w:val="22"/>
                <w:vertAlign w:val="superscript"/>
                <w:lang w:val="sr-Latn-ME"/>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2D6B1590"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0,6</w:t>
            </w:r>
          </w:p>
        </w:tc>
        <w:tc>
          <w:tcPr>
            <w:tcW w:w="894" w:type="dxa"/>
            <w:tcBorders>
              <w:top w:val="single" w:sz="4" w:space="0" w:color="auto"/>
              <w:left w:val="single" w:sz="4" w:space="0" w:color="auto"/>
              <w:bottom w:val="single" w:sz="4" w:space="0" w:color="auto"/>
              <w:right w:val="single" w:sz="4" w:space="0" w:color="auto"/>
            </w:tcBorders>
            <w:vAlign w:val="center"/>
          </w:tcPr>
          <w:p w14:paraId="0026FFDF"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0,9</w:t>
            </w:r>
            <w:r w:rsidR="00906CF8" w:rsidRPr="00B74B0F">
              <w:rPr>
                <w:szCs w:val="22"/>
                <w:vertAlign w:val="superscript"/>
                <w:lang w:val="sr-Latn-ME"/>
              </w:rPr>
              <w:t>g</w:t>
            </w:r>
          </w:p>
        </w:tc>
        <w:tc>
          <w:tcPr>
            <w:tcW w:w="54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332B738" w14:textId="77777777" w:rsidR="0001729C" w:rsidRPr="00B74B0F" w:rsidRDefault="0001729C">
            <w:pPr>
              <w:keepNext/>
              <w:spacing w:line="240" w:lineRule="auto"/>
              <w:contextualSpacing/>
              <w:jc w:val="both"/>
              <w:rPr>
                <w:szCs w:val="22"/>
                <w:lang w:val="sr-Latn-ME"/>
              </w:rPr>
            </w:pPr>
          </w:p>
        </w:tc>
        <w:tc>
          <w:tcPr>
            <w:tcW w:w="8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BABDBCC" w14:textId="77777777" w:rsidR="0001729C" w:rsidRPr="00B74B0F" w:rsidRDefault="0001729C">
            <w:pPr>
              <w:keepNext/>
              <w:spacing w:line="240" w:lineRule="auto"/>
              <w:contextualSpacing/>
              <w:jc w:val="both"/>
              <w:rPr>
                <w:szCs w:val="22"/>
                <w:lang w:val="sr-Latn-ME"/>
              </w:rPr>
            </w:pPr>
          </w:p>
        </w:tc>
        <w:tc>
          <w:tcPr>
            <w:tcW w:w="8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B1C2476" w14:textId="77777777" w:rsidR="0001729C" w:rsidRPr="00B74B0F" w:rsidRDefault="0001729C">
            <w:pPr>
              <w:keepNext/>
              <w:spacing w:line="240" w:lineRule="auto"/>
              <w:contextualSpacing/>
              <w:jc w:val="both"/>
              <w:rPr>
                <w:szCs w:val="22"/>
                <w:lang w:val="sr-Latn-ME"/>
              </w:rPr>
            </w:pPr>
          </w:p>
        </w:tc>
        <w:tc>
          <w:tcPr>
            <w:tcW w:w="8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1AF8660" w14:textId="77777777" w:rsidR="0001729C" w:rsidRPr="00B74B0F" w:rsidRDefault="0001729C">
            <w:pPr>
              <w:keepNext/>
              <w:spacing w:line="240" w:lineRule="auto"/>
              <w:contextualSpacing/>
              <w:jc w:val="both"/>
              <w:rPr>
                <w:szCs w:val="22"/>
                <w:lang w:val="sr-Latn-ME"/>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5C303F7"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57BF492"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0,7</w:t>
            </w:r>
            <w:r w:rsidR="00906CF8" w:rsidRPr="00B74B0F">
              <w:rPr>
                <w:szCs w:val="22"/>
                <w:vertAlign w:val="superscript"/>
                <w:lang w:val="sr-Latn-ME"/>
              </w:rPr>
              <w:t>h</w:t>
            </w:r>
            <w:r w:rsidR="003A585F" w:rsidRPr="00B74B0F">
              <w:rPr>
                <w:szCs w:val="22"/>
                <w:vertAlign w:val="superscript"/>
                <w:lang w:val="sr-Latn-ME"/>
              </w:rPr>
              <w:t>,i</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F6256B5" w14:textId="77777777" w:rsidR="0001729C" w:rsidRPr="00B74B0F" w:rsidRDefault="00542146">
            <w:pPr>
              <w:keepNext/>
              <w:spacing w:line="240" w:lineRule="auto"/>
              <w:contextualSpacing/>
              <w:jc w:val="both"/>
              <w:rPr>
                <w:szCs w:val="22"/>
                <w:lang w:val="sr-Latn-ME"/>
              </w:rPr>
            </w:pPr>
            <w:r w:rsidRPr="00B74B0F">
              <w:rPr>
                <w:szCs w:val="22"/>
                <w:lang w:val="sr-Latn-ME"/>
              </w:rPr>
              <w:noBreakHyphen/>
            </w:r>
            <w:r w:rsidR="00906CF8" w:rsidRPr="00B74B0F">
              <w:rPr>
                <w:szCs w:val="22"/>
                <w:lang w:val="sr-Latn-ME"/>
              </w:rPr>
              <w:t>0,6</w:t>
            </w:r>
          </w:p>
        </w:tc>
        <w:tc>
          <w:tcPr>
            <w:tcW w:w="72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AA55D82" w14:textId="77777777" w:rsidR="0001729C" w:rsidRPr="00B74B0F" w:rsidRDefault="0001729C">
            <w:pPr>
              <w:keepNext/>
              <w:spacing w:line="240" w:lineRule="auto"/>
              <w:contextualSpacing/>
              <w:jc w:val="both"/>
              <w:rPr>
                <w:szCs w:val="22"/>
                <w:lang w:val="sr-Latn-ME"/>
              </w:rPr>
            </w:pPr>
          </w:p>
        </w:tc>
        <w:tc>
          <w:tcPr>
            <w:tcW w:w="65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25011287" w14:textId="77777777" w:rsidR="0001729C" w:rsidRPr="00B74B0F" w:rsidRDefault="0001729C">
            <w:pPr>
              <w:keepNext/>
              <w:spacing w:line="240" w:lineRule="auto"/>
              <w:contextualSpacing/>
              <w:jc w:val="both"/>
              <w:rPr>
                <w:szCs w:val="22"/>
                <w:lang w:val="sr-Latn-ME"/>
              </w:rPr>
            </w:pPr>
          </w:p>
        </w:tc>
      </w:tr>
      <w:tr w:rsidR="003A2D26" w:rsidRPr="00B74B0F" w14:paraId="527449EA" w14:textId="77777777" w:rsidTr="00200D71">
        <w:trPr>
          <w:trHeight w:val="278"/>
        </w:trPr>
        <w:tc>
          <w:tcPr>
            <w:tcW w:w="9493" w:type="dxa"/>
            <w:gridSpan w:val="12"/>
            <w:tcBorders>
              <w:top w:val="single" w:sz="4" w:space="0" w:color="auto"/>
              <w:left w:val="single" w:sz="4" w:space="0" w:color="auto"/>
              <w:bottom w:val="single" w:sz="4" w:space="0" w:color="auto"/>
              <w:right w:val="single" w:sz="4" w:space="0" w:color="auto"/>
            </w:tcBorders>
            <w:vAlign w:val="center"/>
          </w:tcPr>
          <w:p w14:paraId="243B0210" w14:textId="4FB536AF" w:rsidR="0001729C" w:rsidRPr="00B74B0F" w:rsidRDefault="00B10681">
            <w:pPr>
              <w:keepNext/>
              <w:spacing w:line="240" w:lineRule="auto"/>
              <w:contextualSpacing/>
              <w:jc w:val="both"/>
              <w:rPr>
                <w:szCs w:val="22"/>
                <w:vertAlign w:val="superscript"/>
                <w:lang w:val="sr-Latn-ME"/>
              </w:rPr>
            </w:pPr>
            <w:r w:rsidRPr="00B74B0F">
              <w:rPr>
                <w:szCs w:val="22"/>
                <w:lang w:val="sr-Latn-ME"/>
              </w:rPr>
              <w:t>Skraćenic</w:t>
            </w:r>
            <w:r w:rsidR="00906CF8" w:rsidRPr="00B74B0F">
              <w:rPr>
                <w:szCs w:val="22"/>
                <w:lang w:val="sr-Latn-ME"/>
              </w:rPr>
              <w:t>e:</w:t>
            </w:r>
            <w:r w:rsidR="00BB43CA" w:rsidRPr="00B74B0F">
              <w:rPr>
                <w:szCs w:val="22"/>
                <w:lang w:val="sr-Latn-ME"/>
              </w:rPr>
              <w:t xml:space="preserve"> </w:t>
            </w:r>
            <w:r w:rsidR="00906CF8" w:rsidRPr="00B74B0F">
              <w:rPr>
                <w:szCs w:val="22"/>
                <w:lang w:val="sr-Latn-ME"/>
              </w:rPr>
              <w:t>ADA = adalimumab; HAQ</w:t>
            </w:r>
            <w:r w:rsidR="00906CF8" w:rsidRPr="00B74B0F">
              <w:rPr>
                <w:szCs w:val="22"/>
                <w:lang w:val="sr-Latn-ME"/>
              </w:rPr>
              <w:noBreakHyphen/>
              <w:t>DI = indeks onesposobljenosti prema upitniku za ocjenu zdravstvenog stanja; MTX = metotreksat; PBO = placebo; UPA = upadacitinib</w:t>
            </w:r>
          </w:p>
          <w:p w14:paraId="06CADAB6" w14:textId="77777777" w:rsidR="0001729C" w:rsidRPr="00B74B0F" w:rsidRDefault="00906CF8">
            <w:pPr>
              <w:keepNext/>
              <w:spacing w:line="240" w:lineRule="auto"/>
              <w:contextualSpacing/>
              <w:jc w:val="both"/>
              <w:rPr>
                <w:szCs w:val="22"/>
                <w:vertAlign w:val="superscript"/>
                <w:lang w:val="sr-Latn-ME"/>
              </w:rPr>
            </w:pPr>
            <w:r w:rsidRPr="00B74B0F">
              <w:rPr>
                <w:szCs w:val="22"/>
                <w:vertAlign w:val="superscript"/>
                <w:lang w:val="sr-Latn-ME"/>
              </w:rPr>
              <w:t xml:space="preserve">a </w:t>
            </w:r>
            <w:r w:rsidRPr="00B74B0F">
              <w:rPr>
                <w:szCs w:val="22"/>
                <w:lang w:val="sr-Latn-ME"/>
              </w:rPr>
              <w:t xml:space="preserve">Prikazani podaci </w:t>
            </w:r>
            <w:r w:rsidR="001736A8" w:rsidRPr="00B74B0F">
              <w:rPr>
                <w:szCs w:val="22"/>
                <w:lang w:val="sr-Latn-ME"/>
              </w:rPr>
              <w:t>predstavljaju</w:t>
            </w:r>
            <w:r w:rsidRPr="00B74B0F">
              <w:rPr>
                <w:szCs w:val="22"/>
                <w:lang w:val="sr-Latn-ME"/>
              </w:rPr>
              <w:t xml:space="preserve"> srednje vrijednosti.</w:t>
            </w:r>
            <w:r w:rsidRPr="00B74B0F">
              <w:rPr>
                <w:szCs w:val="22"/>
                <w:vertAlign w:val="superscript"/>
                <w:lang w:val="sr-Latn-ME"/>
              </w:rPr>
              <w:t xml:space="preserve"> </w:t>
            </w:r>
          </w:p>
          <w:p w14:paraId="2F3522C1" w14:textId="37E2B66F" w:rsidR="00D80287" w:rsidRPr="00B74B0F" w:rsidRDefault="00906CF8">
            <w:pPr>
              <w:keepNext/>
              <w:spacing w:line="240" w:lineRule="auto"/>
              <w:contextualSpacing/>
              <w:jc w:val="both"/>
              <w:rPr>
                <w:szCs w:val="22"/>
                <w:lang w:val="sr-Latn-ME"/>
              </w:rPr>
            </w:pPr>
            <w:r w:rsidRPr="00B74B0F">
              <w:rPr>
                <w:szCs w:val="22"/>
                <w:vertAlign w:val="superscript"/>
                <w:lang w:val="sr-Latn-ME"/>
              </w:rPr>
              <w:t xml:space="preserve">b </w:t>
            </w:r>
            <w:r w:rsidRPr="00B74B0F">
              <w:rPr>
                <w:szCs w:val="22"/>
                <w:lang w:val="sr-Latn-ME"/>
              </w:rPr>
              <w:t xml:space="preserve">Indeks onesposobljenosti prema upitniku za ocjenu zdravstvenog stanja: 0 = najbolje, 3 = najgore; 20 pitanja, 8 kategorija: </w:t>
            </w:r>
            <w:r w:rsidR="00112626" w:rsidRPr="00B74B0F">
              <w:rPr>
                <w:szCs w:val="22"/>
                <w:lang w:val="sr-Latn-ME"/>
              </w:rPr>
              <w:t xml:space="preserve">oblačenje </w:t>
            </w:r>
            <w:r w:rsidRPr="00B74B0F">
              <w:rPr>
                <w:szCs w:val="22"/>
                <w:lang w:val="sr-Latn-ME"/>
              </w:rPr>
              <w:t>i njega, ustajanje, hranjenje, hod, higijena, dosezanje stvari, držanje stvari i aktivnosti.</w:t>
            </w:r>
          </w:p>
          <w:p w14:paraId="24830727" w14:textId="77777777" w:rsidR="0001729C" w:rsidRPr="00B74B0F" w:rsidRDefault="00906CF8">
            <w:pPr>
              <w:keepNext/>
              <w:spacing w:line="240" w:lineRule="auto"/>
              <w:contextualSpacing/>
              <w:jc w:val="both"/>
              <w:rPr>
                <w:szCs w:val="22"/>
                <w:lang w:val="sr-Latn-ME"/>
              </w:rPr>
            </w:pPr>
            <w:r w:rsidRPr="00B74B0F">
              <w:rPr>
                <w:szCs w:val="22"/>
                <w:vertAlign w:val="superscript"/>
                <w:lang w:val="sr-Latn-ME"/>
              </w:rPr>
              <w:t>c</w:t>
            </w:r>
            <w:r w:rsidRPr="00B74B0F">
              <w:rPr>
                <w:szCs w:val="22"/>
                <w:lang w:val="sr-Latn-ME"/>
              </w:rPr>
              <w:t xml:space="preserve"> SELECT</w:t>
            </w:r>
            <w:r w:rsidRPr="00B74B0F">
              <w:rPr>
                <w:szCs w:val="22"/>
                <w:lang w:val="sr-Latn-ME"/>
              </w:rPr>
              <w:noBreakHyphen/>
              <w:t>EARLY, SELECT</w:t>
            </w:r>
            <w:r w:rsidRPr="00B74B0F">
              <w:rPr>
                <w:szCs w:val="22"/>
                <w:lang w:val="sr-Latn-ME"/>
              </w:rPr>
              <w:noBreakHyphen/>
              <w:t>NEXT, SELECT</w:t>
            </w:r>
            <w:r w:rsidRPr="00B74B0F">
              <w:rPr>
                <w:szCs w:val="22"/>
                <w:lang w:val="sr-Latn-ME"/>
              </w:rPr>
              <w:noBreakHyphen/>
              <w:t>COMPARE, SELECT</w:t>
            </w:r>
            <w:r w:rsidRPr="00B74B0F">
              <w:rPr>
                <w:szCs w:val="22"/>
                <w:lang w:val="sr-Latn-ME"/>
              </w:rPr>
              <w:noBreakHyphen/>
              <w:t>BEYOND</w:t>
            </w:r>
          </w:p>
          <w:p w14:paraId="51B6301E" w14:textId="77777777" w:rsidR="0001729C" w:rsidRPr="00B74B0F" w:rsidRDefault="00906CF8">
            <w:pPr>
              <w:keepNext/>
              <w:spacing w:line="240" w:lineRule="auto"/>
              <w:contextualSpacing/>
              <w:jc w:val="both"/>
              <w:rPr>
                <w:szCs w:val="22"/>
                <w:lang w:val="sr-Latn-ME"/>
              </w:rPr>
            </w:pPr>
            <w:r w:rsidRPr="00B74B0F">
              <w:rPr>
                <w:szCs w:val="22"/>
                <w:vertAlign w:val="superscript"/>
                <w:lang w:val="sr-Latn-ME"/>
              </w:rPr>
              <w:t xml:space="preserve">d </w:t>
            </w:r>
            <w:r w:rsidRPr="00B74B0F">
              <w:rPr>
                <w:szCs w:val="22"/>
                <w:lang w:val="sr-Latn-ME"/>
              </w:rPr>
              <w:t>SELECT</w:t>
            </w:r>
            <w:r w:rsidRPr="00B74B0F">
              <w:rPr>
                <w:szCs w:val="22"/>
                <w:lang w:val="sr-Latn-ME"/>
              </w:rPr>
              <w:noBreakHyphen/>
              <w:t>MONOTHERAPY</w:t>
            </w:r>
          </w:p>
          <w:p w14:paraId="5560DDA4" w14:textId="77777777" w:rsidR="007E5064" w:rsidRPr="00B74B0F" w:rsidRDefault="00906CF8">
            <w:pPr>
              <w:keepNext/>
              <w:spacing w:line="240" w:lineRule="auto"/>
              <w:contextualSpacing/>
              <w:jc w:val="both"/>
              <w:rPr>
                <w:szCs w:val="22"/>
                <w:lang w:val="sr-Latn-ME"/>
              </w:rPr>
            </w:pPr>
            <w:r w:rsidRPr="00B74B0F">
              <w:rPr>
                <w:szCs w:val="22"/>
                <w:vertAlign w:val="superscript"/>
                <w:lang w:val="sr-Latn-ME"/>
              </w:rPr>
              <w:t xml:space="preserve">e </w:t>
            </w:r>
            <w:r w:rsidRPr="00B74B0F">
              <w:rPr>
                <w:szCs w:val="22"/>
                <w:lang w:val="sr-Latn-ME"/>
              </w:rPr>
              <w:t>SELECT</w:t>
            </w:r>
            <w:r w:rsidRPr="00B74B0F">
              <w:rPr>
                <w:szCs w:val="22"/>
                <w:lang w:val="sr-Latn-ME"/>
              </w:rPr>
              <w:noBreakHyphen/>
              <w:t>EARLY</w:t>
            </w:r>
          </w:p>
          <w:p w14:paraId="0023C841" w14:textId="77777777" w:rsidR="007E5064" w:rsidRPr="00B74B0F" w:rsidRDefault="00906CF8">
            <w:pPr>
              <w:keepNext/>
              <w:spacing w:line="240" w:lineRule="auto"/>
              <w:contextualSpacing/>
              <w:jc w:val="both"/>
              <w:rPr>
                <w:szCs w:val="22"/>
                <w:vertAlign w:val="superscript"/>
                <w:lang w:val="sr-Latn-ME"/>
              </w:rPr>
            </w:pPr>
            <w:r w:rsidRPr="00B74B0F">
              <w:rPr>
                <w:szCs w:val="22"/>
                <w:vertAlign w:val="superscript"/>
                <w:lang w:val="sr-Latn-ME"/>
              </w:rPr>
              <w:t xml:space="preserve">f </w:t>
            </w:r>
            <w:r w:rsidRPr="00B74B0F">
              <w:rPr>
                <w:szCs w:val="22"/>
                <w:lang w:val="sr-Latn-ME"/>
              </w:rPr>
              <w:t>SELECT</w:t>
            </w:r>
            <w:r w:rsidRPr="00B74B0F">
              <w:rPr>
                <w:szCs w:val="22"/>
                <w:lang w:val="sr-Latn-ME"/>
              </w:rPr>
              <w:noBreakHyphen/>
              <w:t>COMPARE</w:t>
            </w:r>
          </w:p>
          <w:p w14:paraId="77C619C3" w14:textId="6BB39348" w:rsidR="0001729C" w:rsidRPr="00B74B0F" w:rsidRDefault="00906CF8">
            <w:pPr>
              <w:keepNext/>
              <w:spacing w:line="240" w:lineRule="auto"/>
              <w:contextualSpacing/>
              <w:jc w:val="both"/>
              <w:rPr>
                <w:szCs w:val="22"/>
                <w:lang w:val="sr-Latn-ME"/>
              </w:rPr>
            </w:pPr>
            <w:r w:rsidRPr="00B74B0F">
              <w:rPr>
                <w:szCs w:val="22"/>
                <w:vertAlign w:val="superscript"/>
                <w:lang w:val="sr-Latn-ME"/>
              </w:rPr>
              <w:t xml:space="preserve">g </w:t>
            </w:r>
            <w:r w:rsidRPr="00B74B0F">
              <w:rPr>
                <w:szCs w:val="22"/>
                <w:lang w:val="sr-Latn-ME"/>
              </w:rPr>
              <w:t>p</w:t>
            </w:r>
            <w:r w:rsidR="004B6C15" w:rsidRPr="00B74B0F">
              <w:rPr>
                <w:szCs w:val="22"/>
                <w:lang w:val="sr-Latn-ME"/>
              </w:rPr>
              <w:noBreakHyphen/>
              <w:t>vrijednost kontroli</w:t>
            </w:r>
            <w:r w:rsidR="008F6559" w:rsidRPr="00B74B0F">
              <w:rPr>
                <w:szCs w:val="22"/>
                <w:lang w:val="sr-Latn-ME"/>
              </w:rPr>
              <w:t>s</w:t>
            </w:r>
            <w:r w:rsidR="004B6C15" w:rsidRPr="00B74B0F">
              <w:rPr>
                <w:szCs w:val="22"/>
                <w:lang w:val="sr-Latn-ME"/>
              </w:rPr>
              <w:t>ana za multiplicitet</w:t>
            </w:r>
            <w:r w:rsidRPr="00B74B0F">
              <w:rPr>
                <w:szCs w:val="22"/>
                <w:lang w:val="sr-Latn-ME"/>
              </w:rPr>
              <w:t> ≤ 0,001 za</w:t>
            </w:r>
            <w:r w:rsidR="008F6559" w:rsidRPr="00B74B0F">
              <w:rPr>
                <w:szCs w:val="22"/>
                <w:lang w:val="sr-Latn-ME"/>
              </w:rPr>
              <w:t xml:space="preserve"> </w:t>
            </w:r>
            <w:r w:rsidRPr="00B74B0F">
              <w:rPr>
                <w:szCs w:val="22"/>
                <w:lang w:val="sr-Latn-ME"/>
              </w:rPr>
              <w:t>upadacitinib u odnosu na placebo ili MTX</w:t>
            </w:r>
          </w:p>
          <w:p w14:paraId="05D737DE" w14:textId="4B6E6619" w:rsidR="003A585F" w:rsidRPr="00B74B0F" w:rsidRDefault="003A585F">
            <w:pPr>
              <w:keepNext/>
              <w:spacing w:line="240" w:lineRule="auto"/>
              <w:contextualSpacing/>
              <w:jc w:val="both"/>
              <w:rPr>
                <w:szCs w:val="22"/>
                <w:vertAlign w:val="superscript"/>
                <w:lang w:val="sr-Latn-ME"/>
              </w:rPr>
            </w:pPr>
            <w:r w:rsidRPr="00B74B0F">
              <w:rPr>
                <w:szCs w:val="22"/>
                <w:vertAlign w:val="superscript"/>
                <w:lang w:val="sr-Latn-ME"/>
              </w:rPr>
              <w:t xml:space="preserve">h </w:t>
            </w:r>
            <w:r w:rsidRPr="00B74B0F">
              <w:rPr>
                <w:szCs w:val="22"/>
                <w:lang w:val="sr-Latn-ME"/>
              </w:rPr>
              <w:t>nominaln</w:t>
            </w:r>
            <w:r w:rsidR="004B6C15" w:rsidRPr="00B74B0F">
              <w:rPr>
                <w:szCs w:val="22"/>
                <w:lang w:val="sr-Latn-ME"/>
              </w:rPr>
              <w:t>a</w:t>
            </w:r>
            <w:r w:rsidRPr="00B74B0F">
              <w:rPr>
                <w:szCs w:val="22"/>
                <w:lang w:val="sr-Latn-ME"/>
              </w:rPr>
              <w:t xml:space="preserve"> p</w:t>
            </w:r>
            <w:r w:rsidR="004B6C15" w:rsidRPr="00B74B0F">
              <w:rPr>
                <w:szCs w:val="22"/>
                <w:lang w:val="sr-Latn-ME"/>
              </w:rPr>
              <w:noBreakHyphen/>
              <w:t>vrijednost</w:t>
            </w:r>
            <w:r w:rsidRPr="00B74B0F">
              <w:rPr>
                <w:szCs w:val="22"/>
                <w:lang w:val="sr-Latn-ME"/>
              </w:rPr>
              <w:t> ≤ 0,001 za</w:t>
            </w:r>
            <w:r w:rsidR="008F6559" w:rsidRPr="00B74B0F">
              <w:rPr>
                <w:szCs w:val="22"/>
                <w:lang w:val="sr-Latn-ME"/>
              </w:rPr>
              <w:t xml:space="preserve"> </w:t>
            </w:r>
            <w:r w:rsidRPr="00B74B0F">
              <w:rPr>
                <w:szCs w:val="22"/>
                <w:lang w:val="sr-Latn-ME"/>
              </w:rPr>
              <w:t>upadacitinib u odnosu na placebo ili MTX</w:t>
            </w:r>
          </w:p>
          <w:p w14:paraId="2C870269" w14:textId="654FB83A" w:rsidR="003A585F" w:rsidRPr="00B74B0F" w:rsidRDefault="003A585F">
            <w:pPr>
              <w:keepNext/>
              <w:spacing w:line="240" w:lineRule="auto"/>
              <w:contextualSpacing/>
              <w:jc w:val="both"/>
              <w:rPr>
                <w:szCs w:val="22"/>
                <w:lang w:val="sr-Latn-ME"/>
              </w:rPr>
            </w:pPr>
            <w:r w:rsidRPr="00B74B0F">
              <w:rPr>
                <w:szCs w:val="22"/>
                <w:vertAlign w:val="superscript"/>
                <w:lang w:val="sr-Latn-ME"/>
              </w:rPr>
              <w:t>i</w:t>
            </w:r>
            <w:r w:rsidR="00906CF8" w:rsidRPr="00B74B0F">
              <w:rPr>
                <w:szCs w:val="22"/>
                <w:vertAlign w:val="superscript"/>
                <w:lang w:val="sr-Latn-ME"/>
              </w:rPr>
              <w:t xml:space="preserve"> </w:t>
            </w:r>
            <w:r w:rsidRPr="00B74B0F">
              <w:rPr>
                <w:szCs w:val="22"/>
                <w:lang w:val="sr-Latn-ME"/>
              </w:rPr>
              <w:t>nominaln</w:t>
            </w:r>
            <w:r w:rsidR="004B6C15" w:rsidRPr="00B74B0F">
              <w:rPr>
                <w:szCs w:val="22"/>
                <w:lang w:val="sr-Latn-ME"/>
              </w:rPr>
              <w:t>a</w:t>
            </w:r>
            <w:r w:rsidRPr="00B74B0F">
              <w:rPr>
                <w:szCs w:val="22"/>
                <w:lang w:val="sr-Latn-ME"/>
              </w:rPr>
              <w:t xml:space="preserve"> </w:t>
            </w:r>
            <w:r w:rsidR="00906CF8" w:rsidRPr="00B74B0F">
              <w:rPr>
                <w:szCs w:val="22"/>
                <w:lang w:val="sr-Latn-ME"/>
              </w:rPr>
              <w:t>p</w:t>
            </w:r>
            <w:r w:rsidR="004B6C15" w:rsidRPr="00B74B0F">
              <w:rPr>
                <w:szCs w:val="22"/>
                <w:lang w:val="sr-Latn-ME"/>
              </w:rPr>
              <w:noBreakHyphen/>
              <w:t>vrijednost</w:t>
            </w:r>
            <w:r w:rsidR="00906CF8" w:rsidRPr="00B74B0F">
              <w:rPr>
                <w:szCs w:val="22"/>
                <w:lang w:val="sr-Latn-ME"/>
              </w:rPr>
              <w:t> ≤ 0,01 za</w:t>
            </w:r>
            <w:r w:rsidR="008F6559" w:rsidRPr="00B74B0F">
              <w:rPr>
                <w:szCs w:val="22"/>
                <w:lang w:val="sr-Latn-ME"/>
              </w:rPr>
              <w:t xml:space="preserve"> </w:t>
            </w:r>
            <w:r w:rsidR="00906CF8" w:rsidRPr="00B74B0F">
              <w:rPr>
                <w:szCs w:val="22"/>
                <w:lang w:val="sr-Latn-ME"/>
              </w:rPr>
              <w:t xml:space="preserve"> upadacitinib u odnosu na adalimumab</w:t>
            </w:r>
          </w:p>
        </w:tc>
      </w:tr>
    </w:tbl>
    <w:p w14:paraId="524472B1" w14:textId="77777777" w:rsidR="00A73AE4" w:rsidRPr="00B74B0F" w:rsidRDefault="00A73AE4">
      <w:pPr>
        <w:autoSpaceDE w:val="0"/>
        <w:autoSpaceDN w:val="0"/>
        <w:adjustRightInd w:val="0"/>
        <w:spacing w:line="240" w:lineRule="auto"/>
        <w:contextualSpacing/>
        <w:jc w:val="both"/>
        <w:rPr>
          <w:szCs w:val="22"/>
          <w:lang w:val="sr-Latn-ME"/>
        </w:rPr>
      </w:pPr>
    </w:p>
    <w:p w14:paraId="745D8632" w14:textId="3E5B7F88" w:rsidR="007B3B15" w:rsidRPr="00B74B0F" w:rsidRDefault="007B3B15">
      <w:pPr>
        <w:autoSpaceDE w:val="0"/>
        <w:autoSpaceDN w:val="0"/>
        <w:adjustRightInd w:val="0"/>
        <w:spacing w:line="240" w:lineRule="auto"/>
        <w:contextualSpacing/>
        <w:jc w:val="both"/>
        <w:rPr>
          <w:szCs w:val="22"/>
          <w:lang w:val="sr-Latn-ME"/>
        </w:rPr>
      </w:pPr>
      <w:r w:rsidRPr="00B74B0F">
        <w:rPr>
          <w:szCs w:val="22"/>
          <w:lang w:val="sr-Latn-ME"/>
        </w:rPr>
        <w:t>U ispitivanjima SELECT MONOTHERAPY, SELECT NEXT i SELECT COMPARE liječenje sa upadacitinib</w:t>
      </w:r>
      <w:r w:rsidR="00BB43CA" w:rsidRPr="00B74B0F">
        <w:rPr>
          <w:szCs w:val="22"/>
          <w:lang w:val="sr-Latn-ME"/>
        </w:rPr>
        <w:t>om</w:t>
      </w:r>
      <w:r w:rsidRPr="00B74B0F">
        <w:rPr>
          <w:szCs w:val="22"/>
          <w:lang w:val="sr-Latn-ME"/>
        </w:rPr>
        <w:t xml:space="preserve"> u dozi od 15 mg dovelo je do značajno većeg poboljšanja srednjeg trajanja jutarnje ukočenosti zglobova u poređenju sa placebom ili MTX om.</w:t>
      </w:r>
    </w:p>
    <w:p w14:paraId="0EB3E5E3" w14:textId="77777777" w:rsidR="003A64A3" w:rsidRPr="00B74B0F" w:rsidRDefault="003A64A3">
      <w:pPr>
        <w:autoSpaceDE w:val="0"/>
        <w:autoSpaceDN w:val="0"/>
        <w:adjustRightInd w:val="0"/>
        <w:spacing w:line="240" w:lineRule="auto"/>
        <w:contextualSpacing/>
        <w:jc w:val="both"/>
        <w:rPr>
          <w:szCs w:val="22"/>
          <w:lang w:val="sr-Latn-ME"/>
        </w:rPr>
      </w:pPr>
    </w:p>
    <w:p w14:paraId="4AABEAAA" w14:textId="359877BB" w:rsidR="007B3B15" w:rsidRPr="00B74B0F" w:rsidRDefault="00921C40">
      <w:pPr>
        <w:autoSpaceDE w:val="0"/>
        <w:autoSpaceDN w:val="0"/>
        <w:adjustRightInd w:val="0"/>
        <w:spacing w:line="240" w:lineRule="auto"/>
        <w:contextualSpacing/>
        <w:jc w:val="both"/>
        <w:rPr>
          <w:szCs w:val="22"/>
          <w:lang w:val="sr-Latn-ME"/>
        </w:rPr>
      </w:pPr>
      <w:r w:rsidRPr="00B74B0F">
        <w:rPr>
          <w:szCs w:val="22"/>
          <w:lang w:val="sr-Latn-ME"/>
        </w:rPr>
        <w:t xml:space="preserve">U kliničkim su ispitivanjima </w:t>
      </w:r>
      <w:r w:rsidR="003B1F43" w:rsidRPr="00B74B0F">
        <w:rPr>
          <w:szCs w:val="22"/>
          <w:lang w:val="sr-Latn-ME"/>
        </w:rPr>
        <w:t>pacijent</w:t>
      </w:r>
      <w:r w:rsidRPr="00B74B0F">
        <w:rPr>
          <w:szCs w:val="22"/>
          <w:lang w:val="sr-Latn-ME"/>
        </w:rPr>
        <w:t>i liječeni</w:t>
      </w:r>
      <w:r w:rsidR="008F6559" w:rsidRPr="00B74B0F">
        <w:rPr>
          <w:szCs w:val="22"/>
          <w:lang w:val="sr-Latn-ME"/>
        </w:rPr>
        <w:t xml:space="preserve"> </w:t>
      </w:r>
      <w:r w:rsidRPr="00B74B0F">
        <w:rPr>
          <w:szCs w:val="22"/>
          <w:lang w:val="sr-Latn-ME"/>
        </w:rPr>
        <w:t>upadacitini</w:t>
      </w:r>
      <w:r w:rsidR="008F6559" w:rsidRPr="00B74B0F">
        <w:rPr>
          <w:szCs w:val="22"/>
          <w:lang w:val="sr-Latn-ME"/>
        </w:rPr>
        <w:t>b</w:t>
      </w:r>
      <w:r w:rsidR="00BB43CA" w:rsidRPr="00B74B0F">
        <w:rPr>
          <w:szCs w:val="22"/>
          <w:lang w:val="sr-Latn-ME"/>
        </w:rPr>
        <w:t>om</w:t>
      </w:r>
      <w:r w:rsidRPr="00B74B0F">
        <w:rPr>
          <w:szCs w:val="22"/>
          <w:lang w:val="sr-Latn-ME"/>
        </w:rPr>
        <w:t xml:space="preserve">, u </w:t>
      </w:r>
      <w:r w:rsidR="008F6559" w:rsidRPr="00B74B0F">
        <w:rPr>
          <w:szCs w:val="22"/>
          <w:lang w:val="sr-Latn-ME"/>
        </w:rPr>
        <w:t>poređenju</w:t>
      </w:r>
      <w:r w:rsidRPr="00B74B0F">
        <w:rPr>
          <w:szCs w:val="22"/>
          <w:lang w:val="sr-Latn-ME"/>
        </w:rPr>
        <w:t xml:space="preserve"> s</w:t>
      </w:r>
      <w:r w:rsidR="003B1F43" w:rsidRPr="00B74B0F">
        <w:rPr>
          <w:szCs w:val="22"/>
          <w:lang w:val="sr-Latn-ME"/>
        </w:rPr>
        <w:t>a</w:t>
      </w:r>
      <w:r w:rsidRPr="00B74B0F">
        <w:rPr>
          <w:szCs w:val="22"/>
          <w:lang w:val="sr-Latn-ME"/>
        </w:rPr>
        <w:t xml:space="preserve"> onima koji su primali placebo, MTX ili adalimumab, prijavili značajno poboljšanje kvalitet</w:t>
      </w:r>
      <w:r w:rsidR="008F6559" w:rsidRPr="00B74B0F">
        <w:rPr>
          <w:szCs w:val="22"/>
          <w:lang w:val="sr-Latn-ME"/>
        </w:rPr>
        <w:t>a</w:t>
      </w:r>
      <w:r w:rsidRPr="00B74B0F">
        <w:rPr>
          <w:szCs w:val="22"/>
          <w:lang w:val="sr-Latn-ME"/>
        </w:rPr>
        <w:t xml:space="preserve"> života prema ocjeni</w:t>
      </w:r>
      <w:r w:rsidR="001736A8" w:rsidRPr="00B74B0F">
        <w:rPr>
          <w:szCs w:val="22"/>
          <w:lang w:val="sr-Latn-ME"/>
        </w:rPr>
        <w:t xml:space="preserve"> </w:t>
      </w:r>
      <w:r w:rsidR="00BB59FC" w:rsidRPr="00B74B0F">
        <w:rPr>
          <w:szCs w:val="22"/>
          <w:lang w:val="sr-Latn-ME"/>
        </w:rPr>
        <w:t>pacijenata</w:t>
      </w:r>
      <w:r w:rsidRPr="00B74B0F">
        <w:rPr>
          <w:szCs w:val="22"/>
          <w:lang w:val="sr-Latn-ME"/>
        </w:rPr>
        <w:t xml:space="preserve">, koje se određivalo rezultatom za tjelesnu komponentu u Kratkom upitniku o zdravstvenom stanju od 36 pitanja (engl. </w:t>
      </w:r>
      <w:r w:rsidRPr="00B74B0F">
        <w:rPr>
          <w:i/>
          <w:iCs/>
          <w:szCs w:val="22"/>
          <w:lang w:val="sr-Latn-ME"/>
        </w:rPr>
        <w:t>Short Form</w:t>
      </w:r>
      <w:r w:rsidRPr="00B74B0F">
        <w:rPr>
          <w:i/>
          <w:iCs/>
          <w:szCs w:val="22"/>
          <w:lang w:val="sr-Latn-ME"/>
        </w:rPr>
        <w:noBreakHyphen/>
        <w:t>36</w:t>
      </w:r>
      <w:r w:rsidRPr="00B74B0F">
        <w:rPr>
          <w:szCs w:val="22"/>
          <w:lang w:val="sr-Latn-ME"/>
        </w:rPr>
        <w:t>, SF</w:t>
      </w:r>
      <w:r w:rsidRPr="00B74B0F">
        <w:rPr>
          <w:szCs w:val="22"/>
          <w:lang w:val="sr-Latn-ME"/>
        </w:rPr>
        <w:noBreakHyphen/>
        <w:t>36)</w:t>
      </w:r>
      <w:r w:rsidR="007B3B15" w:rsidRPr="00B74B0F">
        <w:rPr>
          <w:szCs w:val="22"/>
          <w:lang w:val="sr-Latn-ME"/>
        </w:rPr>
        <w:t>. Osim toga, u poređenju s</w:t>
      </w:r>
      <w:r w:rsidR="00BB43CA" w:rsidRPr="00B74B0F">
        <w:rPr>
          <w:szCs w:val="22"/>
          <w:lang w:val="sr-Latn-ME"/>
        </w:rPr>
        <w:t>a</w:t>
      </w:r>
      <w:r w:rsidR="007B3B15" w:rsidRPr="00B74B0F">
        <w:rPr>
          <w:szCs w:val="22"/>
          <w:lang w:val="sr-Latn-ME"/>
        </w:rPr>
        <w:t xml:space="preserve"> </w:t>
      </w:r>
      <w:r w:rsidR="00BB43CA" w:rsidRPr="00B74B0F">
        <w:rPr>
          <w:szCs w:val="22"/>
          <w:lang w:val="sr-Latn-ME"/>
        </w:rPr>
        <w:t>p</w:t>
      </w:r>
      <w:r w:rsidR="00B27953" w:rsidRPr="00B74B0F">
        <w:rPr>
          <w:szCs w:val="22"/>
          <w:lang w:val="sr-Latn-ME"/>
        </w:rPr>
        <w:t>acijenti</w:t>
      </w:r>
      <w:r w:rsidR="007B3B15" w:rsidRPr="00B74B0F">
        <w:rPr>
          <w:szCs w:val="22"/>
          <w:lang w:val="sr-Latn-ME"/>
        </w:rPr>
        <w:t>ma koji su primali placebo, oni koji su liječeni upadacitinib</w:t>
      </w:r>
      <w:r w:rsidR="00BB43CA" w:rsidRPr="00B74B0F">
        <w:rPr>
          <w:szCs w:val="22"/>
          <w:lang w:val="sr-Latn-ME"/>
        </w:rPr>
        <w:t>om</w:t>
      </w:r>
      <w:r w:rsidR="007B3B15" w:rsidRPr="00B74B0F">
        <w:rPr>
          <w:szCs w:val="22"/>
          <w:lang w:val="sr-Latn-ME"/>
        </w:rPr>
        <w:t xml:space="preserve"> prijavili </w:t>
      </w:r>
      <w:r w:rsidR="00BB43CA" w:rsidRPr="00B74B0F">
        <w:rPr>
          <w:szCs w:val="22"/>
          <w:lang w:val="sr-Latn-ME"/>
        </w:rPr>
        <w:t xml:space="preserve">su </w:t>
      </w:r>
      <w:r w:rsidR="007B3B15" w:rsidRPr="00B74B0F">
        <w:rPr>
          <w:szCs w:val="22"/>
          <w:lang w:val="sr-Latn-ME"/>
        </w:rPr>
        <w:t>i značajno poboljšanje umora, koje se određivalo rezultatom za umor u Upitniku za funkcionalnu ocjenu terapije za hroničnu bolest (FACIT F).</w:t>
      </w:r>
    </w:p>
    <w:p w14:paraId="1FA6429B" w14:textId="5996B161" w:rsidR="00AD141A" w:rsidRPr="00B74B0F" w:rsidRDefault="00AD141A">
      <w:pPr>
        <w:spacing w:line="240" w:lineRule="auto"/>
        <w:contextualSpacing/>
        <w:jc w:val="both"/>
        <w:rPr>
          <w:szCs w:val="22"/>
          <w:u w:val="single"/>
          <w:lang w:val="sr-Latn-ME"/>
        </w:rPr>
      </w:pPr>
    </w:p>
    <w:p w14:paraId="051FB028" w14:textId="2BB5A0CF" w:rsidR="007F331C" w:rsidRPr="00B74B0F" w:rsidRDefault="007F331C">
      <w:pPr>
        <w:spacing w:line="240" w:lineRule="auto"/>
        <w:contextualSpacing/>
        <w:jc w:val="both"/>
        <w:rPr>
          <w:szCs w:val="22"/>
          <w:u w:val="single"/>
          <w:lang w:val="sr-Latn-ME"/>
        </w:rPr>
      </w:pPr>
    </w:p>
    <w:p w14:paraId="64BFB0FA" w14:textId="77777777" w:rsidR="007F331C" w:rsidRPr="00B74B0F" w:rsidRDefault="007F331C">
      <w:pPr>
        <w:spacing w:line="240" w:lineRule="auto"/>
        <w:contextualSpacing/>
        <w:jc w:val="both"/>
        <w:rPr>
          <w:i/>
          <w:iCs/>
          <w:szCs w:val="22"/>
          <w:u w:val="single"/>
          <w:lang w:val="sr-Latn-ME"/>
        </w:rPr>
      </w:pPr>
      <w:r w:rsidRPr="00B74B0F">
        <w:rPr>
          <w:i/>
          <w:iCs/>
          <w:szCs w:val="22"/>
          <w:u w:val="single"/>
          <w:lang w:val="sr-Latn-ME"/>
        </w:rPr>
        <w:lastRenderedPageBreak/>
        <w:t>Psorijatični artritis</w:t>
      </w:r>
    </w:p>
    <w:p w14:paraId="28F55E8F" w14:textId="77777777" w:rsidR="007F331C" w:rsidRPr="00B74B0F" w:rsidRDefault="007F331C">
      <w:pPr>
        <w:spacing w:line="240" w:lineRule="auto"/>
        <w:contextualSpacing/>
        <w:jc w:val="both"/>
        <w:rPr>
          <w:szCs w:val="22"/>
          <w:u w:val="single"/>
          <w:lang w:val="sr-Latn-ME"/>
        </w:rPr>
      </w:pPr>
    </w:p>
    <w:p w14:paraId="68395177" w14:textId="51214903" w:rsidR="007F331C" w:rsidRPr="00B74B0F" w:rsidRDefault="007F331C">
      <w:pPr>
        <w:spacing w:line="240" w:lineRule="auto"/>
        <w:contextualSpacing/>
        <w:jc w:val="both"/>
        <w:rPr>
          <w:szCs w:val="22"/>
          <w:lang w:val="sr-Latn-ME"/>
        </w:rPr>
      </w:pPr>
      <w:r w:rsidRPr="00B74B0F">
        <w:rPr>
          <w:szCs w:val="22"/>
          <w:lang w:val="sr-Latn-ME"/>
        </w:rPr>
        <w:t xml:space="preserve">Efikasnost i </w:t>
      </w:r>
      <w:r w:rsidR="00DA0FB2" w:rsidRPr="00B74B0F">
        <w:rPr>
          <w:szCs w:val="22"/>
          <w:lang w:val="sr-Latn-ME"/>
        </w:rPr>
        <w:t>bezbjednost</w:t>
      </w:r>
      <w:r w:rsidRPr="00B74B0F">
        <w:rPr>
          <w:szCs w:val="22"/>
          <w:lang w:val="sr-Latn-ME"/>
        </w:rPr>
        <w:t xml:space="preserve"> lijeka upadacitinib u dozi od 15 mg jedanput na dan ocjenjivala se u dva randomizirana, dvostruko slijepa, multicentrična, placebom kontrolisana ispitivanja faze 3, </w:t>
      </w:r>
      <w:r w:rsidR="00DA0FB2" w:rsidRPr="00B74B0F">
        <w:rPr>
          <w:szCs w:val="22"/>
          <w:lang w:val="sr-Latn-ME"/>
        </w:rPr>
        <w:t>s</w:t>
      </w:r>
      <w:r w:rsidRPr="00B74B0F">
        <w:rPr>
          <w:szCs w:val="22"/>
          <w:lang w:val="sr-Latn-ME"/>
        </w:rPr>
        <w:t xml:space="preserve">provedena kod </w:t>
      </w:r>
      <w:r w:rsidR="00DA0FB2" w:rsidRPr="00B74B0F">
        <w:rPr>
          <w:szCs w:val="22"/>
          <w:lang w:val="sr-Latn-ME"/>
        </w:rPr>
        <w:t>pacijenat</w:t>
      </w:r>
      <w:r w:rsidRPr="00B74B0F">
        <w:rPr>
          <w:szCs w:val="22"/>
          <w:lang w:val="sr-Latn-ME"/>
        </w:rPr>
        <w:t>a starosti od 18 i više godina s</w:t>
      </w:r>
      <w:r w:rsidR="00DA0FB2" w:rsidRPr="00B74B0F">
        <w:rPr>
          <w:szCs w:val="22"/>
          <w:lang w:val="sr-Latn-ME"/>
        </w:rPr>
        <w:t>a</w:t>
      </w:r>
      <w:r w:rsidRPr="00B74B0F">
        <w:rPr>
          <w:szCs w:val="22"/>
          <w:lang w:val="sr-Latn-ME"/>
        </w:rPr>
        <w:t xml:space="preserve"> umjerenim do teškim oblikom aktivnog psorijatičnog artritisa. Svi </w:t>
      </w:r>
      <w:r w:rsidR="00DA0FB2" w:rsidRPr="00B74B0F">
        <w:rPr>
          <w:szCs w:val="22"/>
          <w:lang w:val="sr-Latn-ME"/>
        </w:rPr>
        <w:t>pacijent</w:t>
      </w:r>
      <w:r w:rsidRPr="00B74B0F">
        <w:rPr>
          <w:szCs w:val="22"/>
          <w:lang w:val="sr-Latn-ME"/>
        </w:rPr>
        <w:t>i su imali aktivni psorijatični artritis najmanje 6 mjeseci na osnovu Klasifikacijskih kriterij</w:t>
      </w:r>
      <w:r w:rsidR="00E602AF" w:rsidRPr="00B74B0F">
        <w:rPr>
          <w:szCs w:val="22"/>
          <w:lang w:val="sr-Latn-ME"/>
        </w:rPr>
        <w:t>um</w:t>
      </w:r>
      <w:r w:rsidRPr="00B74B0F">
        <w:rPr>
          <w:szCs w:val="22"/>
          <w:lang w:val="sr-Latn-ME"/>
        </w:rPr>
        <w:t xml:space="preserve">a za psorijatični artritis (engl. </w:t>
      </w:r>
      <w:r w:rsidRPr="00B74B0F">
        <w:rPr>
          <w:i/>
          <w:iCs/>
          <w:szCs w:val="22"/>
          <w:lang w:val="sr-Latn-ME"/>
        </w:rPr>
        <w:t>Classification Criteria for Psoriatic Arthritis</w:t>
      </w:r>
      <w:r w:rsidRPr="00B74B0F">
        <w:rPr>
          <w:szCs w:val="22"/>
          <w:lang w:val="sr-Latn-ME"/>
        </w:rPr>
        <w:t xml:space="preserve">, CASPAR), najmanje 3 bolna zgloba i najmanje 3 otečena zgloba, te aktivnu plak psorijazu ili </w:t>
      </w:r>
      <w:r w:rsidR="00112626" w:rsidRPr="00B74B0F">
        <w:rPr>
          <w:szCs w:val="22"/>
          <w:lang w:val="sr-Latn-ME"/>
        </w:rPr>
        <w:t>istoriju</w:t>
      </w:r>
      <w:r w:rsidRPr="00B74B0F">
        <w:rPr>
          <w:szCs w:val="22"/>
          <w:lang w:val="sr-Latn-ME"/>
        </w:rPr>
        <w:t xml:space="preserve"> plak psorijaze. Za oba ispitivanja </w:t>
      </w:r>
      <w:r w:rsidR="00835CD5" w:rsidRPr="00B74B0F">
        <w:rPr>
          <w:szCs w:val="22"/>
          <w:lang w:val="sr-Latn-ME"/>
        </w:rPr>
        <w:t>p</w:t>
      </w:r>
      <w:r w:rsidR="002602C0" w:rsidRPr="00B74B0F">
        <w:rPr>
          <w:szCs w:val="22"/>
          <w:lang w:val="sr-Latn-ME"/>
        </w:rPr>
        <w:t>rimarni parametar praćenja</w:t>
      </w:r>
      <w:r w:rsidRPr="00B74B0F">
        <w:rPr>
          <w:szCs w:val="22"/>
          <w:lang w:val="sr-Latn-ME"/>
        </w:rPr>
        <w:t xml:space="preserve"> bio je udio </w:t>
      </w:r>
      <w:r w:rsidR="0021189F" w:rsidRPr="00B74B0F">
        <w:rPr>
          <w:szCs w:val="22"/>
          <w:lang w:val="sr-Latn-ME"/>
        </w:rPr>
        <w:t>pacijenat</w:t>
      </w:r>
      <w:r w:rsidRPr="00B74B0F">
        <w:rPr>
          <w:szCs w:val="22"/>
          <w:lang w:val="sr-Latn-ME"/>
        </w:rPr>
        <w:t>a koji su postigli ACR20 odgovor u 12</w:t>
      </w:r>
      <w:r w:rsidR="00112626" w:rsidRPr="00B74B0F">
        <w:rPr>
          <w:szCs w:val="22"/>
          <w:lang w:val="sr-Latn-ME"/>
        </w:rPr>
        <w:t>.</w:t>
      </w:r>
      <w:r w:rsidR="00835CD5" w:rsidRPr="00B74B0F">
        <w:rPr>
          <w:szCs w:val="22"/>
          <w:lang w:val="sr-Latn-ME"/>
        </w:rPr>
        <w:t xml:space="preserve"> </w:t>
      </w:r>
      <w:r w:rsidR="00112626" w:rsidRPr="00B74B0F">
        <w:rPr>
          <w:szCs w:val="22"/>
          <w:lang w:val="sr-Latn-ME"/>
        </w:rPr>
        <w:t>nedjelji</w:t>
      </w:r>
      <w:r w:rsidRPr="00B74B0F">
        <w:rPr>
          <w:szCs w:val="22"/>
          <w:lang w:val="sr-Latn-ME"/>
        </w:rPr>
        <w:t>.</w:t>
      </w:r>
    </w:p>
    <w:p w14:paraId="79F720F0" w14:textId="77777777" w:rsidR="007F331C" w:rsidRPr="00B74B0F" w:rsidRDefault="007F331C">
      <w:pPr>
        <w:spacing w:line="240" w:lineRule="auto"/>
        <w:contextualSpacing/>
        <w:jc w:val="both"/>
        <w:rPr>
          <w:szCs w:val="22"/>
          <w:lang w:val="sr-Latn-ME"/>
        </w:rPr>
      </w:pPr>
    </w:p>
    <w:p w14:paraId="18B787CF" w14:textId="6F39866E" w:rsidR="007F331C" w:rsidRPr="00B74B0F" w:rsidRDefault="007F331C">
      <w:pPr>
        <w:spacing w:line="240" w:lineRule="auto"/>
        <w:contextualSpacing/>
        <w:jc w:val="both"/>
        <w:rPr>
          <w:szCs w:val="22"/>
          <w:lang w:val="sr-Latn-ME"/>
        </w:rPr>
      </w:pPr>
      <w:r w:rsidRPr="00B74B0F">
        <w:rPr>
          <w:szCs w:val="22"/>
          <w:lang w:val="sr-Latn-ME"/>
        </w:rPr>
        <w:t xml:space="preserve">SELECT-PsA 1 ispitivanje je trajalo 24 sedmice i </w:t>
      </w:r>
      <w:r w:rsidR="0021189F" w:rsidRPr="00B74B0F">
        <w:rPr>
          <w:szCs w:val="22"/>
          <w:lang w:val="sr-Latn-ME"/>
        </w:rPr>
        <w:t>s</w:t>
      </w:r>
      <w:r w:rsidRPr="00B74B0F">
        <w:rPr>
          <w:szCs w:val="22"/>
          <w:lang w:val="sr-Latn-ME"/>
        </w:rPr>
        <w:t xml:space="preserve">provedeno je kod 1705 </w:t>
      </w:r>
      <w:r w:rsidR="0021189F" w:rsidRPr="00B74B0F">
        <w:rPr>
          <w:szCs w:val="22"/>
          <w:lang w:val="sr-Latn-ME"/>
        </w:rPr>
        <w:t>pacijenat</w:t>
      </w:r>
      <w:r w:rsidRPr="00B74B0F">
        <w:rPr>
          <w:szCs w:val="22"/>
          <w:lang w:val="sr-Latn-ME"/>
        </w:rPr>
        <w:t>a koji ni</w:t>
      </w:r>
      <w:r w:rsidR="00112626" w:rsidRPr="00B74B0F">
        <w:rPr>
          <w:szCs w:val="22"/>
          <w:lang w:val="sr-Latn-ME"/>
        </w:rPr>
        <w:t>je</w:t>
      </w:r>
      <w:r w:rsidRPr="00B74B0F">
        <w:rPr>
          <w:szCs w:val="22"/>
          <w:lang w:val="sr-Latn-ME"/>
        </w:rPr>
        <w:t>su dovoljno dobro odgovorili na najmanje jedan nebiološki DMARD ili ga ni</w:t>
      </w:r>
      <w:r w:rsidR="00112626" w:rsidRPr="00B74B0F">
        <w:rPr>
          <w:szCs w:val="22"/>
          <w:lang w:val="sr-Latn-ME"/>
        </w:rPr>
        <w:t>je</w:t>
      </w:r>
      <w:r w:rsidRPr="00B74B0F">
        <w:rPr>
          <w:szCs w:val="22"/>
          <w:lang w:val="sr-Latn-ME"/>
        </w:rPr>
        <w:t xml:space="preserve">su podnosili. Na početku ispitivanja 1393 (82%) </w:t>
      </w:r>
      <w:r w:rsidR="0021189F" w:rsidRPr="00B74B0F">
        <w:rPr>
          <w:szCs w:val="22"/>
          <w:lang w:val="sr-Latn-ME"/>
        </w:rPr>
        <w:t>pacijenata</w:t>
      </w:r>
      <w:r w:rsidRPr="00B74B0F">
        <w:rPr>
          <w:szCs w:val="22"/>
          <w:lang w:val="sr-Latn-ME"/>
        </w:rPr>
        <w:t xml:space="preserve"> su bila istovremeno barem na jednom nebiološkom DMARD; 1084 (64%) </w:t>
      </w:r>
      <w:r w:rsidR="0021189F" w:rsidRPr="00B74B0F">
        <w:rPr>
          <w:szCs w:val="22"/>
          <w:lang w:val="sr-Latn-ME"/>
        </w:rPr>
        <w:t>pacijenata</w:t>
      </w:r>
      <w:r w:rsidRPr="00B74B0F">
        <w:rPr>
          <w:szCs w:val="22"/>
          <w:lang w:val="sr-Latn-ME"/>
        </w:rPr>
        <w:t xml:space="preserve"> su istovremeno primala samo MTX; a 311 (18%) </w:t>
      </w:r>
      <w:r w:rsidR="0021189F" w:rsidRPr="00B74B0F">
        <w:rPr>
          <w:szCs w:val="22"/>
          <w:lang w:val="sr-Latn-ME"/>
        </w:rPr>
        <w:t>pacijenata</w:t>
      </w:r>
      <w:r w:rsidRPr="00B74B0F">
        <w:rPr>
          <w:szCs w:val="22"/>
          <w:lang w:val="sr-Latn-ME"/>
        </w:rPr>
        <w:t xml:space="preserve"> bilo je na monoterapiji. </w:t>
      </w:r>
      <w:r w:rsidR="0021189F" w:rsidRPr="00B74B0F">
        <w:rPr>
          <w:szCs w:val="22"/>
          <w:lang w:val="sr-Latn-ME"/>
        </w:rPr>
        <w:t>Pacijent</w:t>
      </w:r>
      <w:r w:rsidRPr="00B74B0F">
        <w:rPr>
          <w:szCs w:val="22"/>
          <w:lang w:val="sr-Latn-ME"/>
        </w:rPr>
        <w:t>i su primali upadacitinib u dozi od 15 mg ili 30 mg jedanput na dan, adalimumab ili placebo. U 24</w:t>
      </w:r>
      <w:r w:rsidR="006474C1" w:rsidRPr="00B74B0F">
        <w:rPr>
          <w:szCs w:val="22"/>
          <w:lang w:val="sr-Latn-ME"/>
        </w:rPr>
        <w:t>.</w:t>
      </w:r>
      <w:r w:rsidR="00835CD5" w:rsidRPr="00B74B0F">
        <w:rPr>
          <w:szCs w:val="22"/>
          <w:lang w:val="sr-Latn-ME"/>
        </w:rPr>
        <w:t xml:space="preserve"> </w:t>
      </w:r>
      <w:r w:rsidR="006474C1" w:rsidRPr="00B74B0F">
        <w:rPr>
          <w:szCs w:val="22"/>
          <w:lang w:val="sr-Latn-ME"/>
        </w:rPr>
        <w:t>nedjelji</w:t>
      </w:r>
      <w:r w:rsidRPr="00B74B0F">
        <w:rPr>
          <w:szCs w:val="22"/>
          <w:lang w:val="sr-Latn-ME"/>
        </w:rPr>
        <w:t xml:space="preserve">, svi </w:t>
      </w:r>
      <w:r w:rsidR="0021189F" w:rsidRPr="00B74B0F">
        <w:rPr>
          <w:szCs w:val="22"/>
          <w:lang w:val="sr-Latn-ME"/>
        </w:rPr>
        <w:t>pacijent</w:t>
      </w:r>
      <w:r w:rsidRPr="00B74B0F">
        <w:rPr>
          <w:szCs w:val="22"/>
          <w:lang w:val="sr-Latn-ME"/>
        </w:rPr>
        <w:t>i su randomiz</w:t>
      </w:r>
      <w:r w:rsidR="006474C1" w:rsidRPr="00B74B0F">
        <w:rPr>
          <w:szCs w:val="22"/>
          <w:lang w:val="sr-Latn-ME"/>
        </w:rPr>
        <w:t>ova</w:t>
      </w:r>
      <w:r w:rsidRPr="00B74B0F">
        <w:rPr>
          <w:szCs w:val="22"/>
          <w:lang w:val="sr-Latn-ME"/>
        </w:rPr>
        <w:t>ni za primanje placeba na zaslijepljeni način i prebačeni na upadacitinib u dozi od 15 mg ili 30 mg jedanput na dan. SELECT-PsA 1 imao je dugoročni produžetak u trajanju do 5 godina.</w:t>
      </w:r>
    </w:p>
    <w:p w14:paraId="53E1C3F9" w14:textId="77777777" w:rsidR="007F331C" w:rsidRPr="00B74B0F" w:rsidRDefault="007F331C">
      <w:pPr>
        <w:spacing w:line="240" w:lineRule="auto"/>
        <w:contextualSpacing/>
        <w:jc w:val="both"/>
        <w:rPr>
          <w:szCs w:val="22"/>
          <w:lang w:val="sr-Latn-ME"/>
        </w:rPr>
      </w:pPr>
    </w:p>
    <w:p w14:paraId="17281501" w14:textId="0CE714AA" w:rsidR="007F331C" w:rsidRPr="00B74B0F" w:rsidRDefault="007F331C">
      <w:pPr>
        <w:spacing w:line="240" w:lineRule="auto"/>
        <w:contextualSpacing/>
        <w:jc w:val="both"/>
        <w:rPr>
          <w:szCs w:val="22"/>
          <w:lang w:val="sr-Latn-ME"/>
        </w:rPr>
      </w:pPr>
      <w:r w:rsidRPr="00B74B0F">
        <w:rPr>
          <w:szCs w:val="22"/>
          <w:lang w:val="sr-Latn-ME"/>
        </w:rPr>
        <w:t xml:space="preserve">SELECT-PsA 2 ispitivanje je trajalo 24 sedmice i </w:t>
      </w:r>
      <w:r w:rsidR="0021189F" w:rsidRPr="00B74B0F">
        <w:rPr>
          <w:szCs w:val="22"/>
          <w:lang w:val="sr-Latn-ME"/>
        </w:rPr>
        <w:t>s</w:t>
      </w:r>
      <w:r w:rsidRPr="00B74B0F">
        <w:rPr>
          <w:szCs w:val="22"/>
          <w:lang w:val="sr-Latn-ME"/>
        </w:rPr>
        <w:t xml:space="preserve">provedeno je kod 642 </w:t>
      </w:r>
      <w:r w:rsidR="0021189F" w:rsidRPr="00B74B0F">
        <w:rPr>
          <w:szCs w:val="22"/>
          <w:lang w:val="sr-Latn-ME"/>
        </w:rPr>
        <w:t>pacijenata</w:t>
      </w:r>
      <w:r w:rsidRPr="00B74B0F">
        <w:rPr>
          <w:szCs w:val="22"/>
          <w:lang w:val="sr-Latn-ME"/>
        </w:rPr>
        <w:t xml:space="preserve"> koja ni</w:t>
      </w:r>
      <w:r w:rsidR="006474C1" w:rsidRPr="00B74B0F">
        <w:rPr>
          <w:szCs w:val="22"/>
          <w:lang w:val="sr-Latn-ME"/>
        </w:rPr>
        <w:t>je</w:t>
      </w:r>
      <w:r w:rsidRPr="00B74B0F">
        <w:rPr>
          <w:szCs w:val="22"/>
          <w:lang w:val="sr-Latn-ME"/>
        </w:rPr>
        <w:t>su dovoljno dobro odgovorila na najmanje jedan biološki DMARD ili ga ni</w:t>
      </w:r>
      <w:r w:rsidR="006474C1" w:rsidRPr="00B74B0F">
        <w:rPr>
          <w:szCs w:val="22"/>
          <w:lang w:val="sr-Latn-ME"/>
        </w:rPr>
        <w:t>je</w:t>
      </w:r>
      <w:r w:rsidRPr="00B74B0F">
        <w:rPr>
          <w:szCs w:val="22"/>
          <w:lang w:val="sr-Latn-ME"/>
        </w:rPr>
        <w:t>su podnosili. Na početku ispitivanja 296</w:t>
      </w:r>
      <w:r w:rsidR="006474C1" w:rsidRPr="00B74B0F">
        <w:rPr>
          <w:szCs w:val="22"/>
          <w:lang w:val="sr-Latn-ME"/>
        </w:rPr>
        <w:t xml:space="preserve"> </w:t>
      </w:r>
      <w:r w:rsidRPr="00B74B0F">
        <w:rPr>
          <w:szCs w:val="22"/>
          <w:lang w:val="sr-Latn-ME"/>
        </w:rPr>
        <w:t xml:space="preserve">(46%) </w:t>
      </w:r>
      <w:r w:rsidR="0021189F" w:rsidRPr="00B74B0F">
        <w:rPr>
          <w:szCs w:val="22"/>
          <w:lang w:val="sr-Latn-ME"/>
        </w:rPr>
        <w:t>pacijenata</w:t>
      </w:r>
      <w:r w:rsidRPr="00B74B0F">
        <w:rPr>
          <w:szCs w:val="22"/>
          <w:lang w:val="sr-Latn-ME"/>
        </w:rPr>
        <w:t xml:space="preserve"> bilo je istovremeno barem na jednom nebiološkom DMARD; 222 (35%) </w:t>
      </w:r>
      <w:r w:rsidR="0021189F" w:rsidRPr="00B74B0F">
        <w:rPr>
          <w:szCs w:val="22"/>
          <w:lang w:val="sr-Latn-ME"/>
        </w:rPr>
        <w:t>pacijenata</w:t>
      </w:r>
      <w:r w:rsidRPr="00B74B0F">
        <w:rPr>
          <w:szCs w:val="22"/>
          <w:lang w:val="sr-Latn-ME"/>
        </w:rPr>
        <w:t xml:space="preserve"> istovremeno su primala samo MTX; a 345 (54%) </w:t>
      </w:r>
      <w:r w:rsidR="0021189F" w:rsidRPr="00B74B0F">
        <w:rPr>
          <w:szCs w:val="22"/>
          <w:lang w:val="sr-Latn-ME"/>
        </w:rPr>
        <w:t>pacijenata</w:t>
      </w:r>
      <w:r w:rsidRPr="00B74B0F">
        <w:rPr>
          <w:szCs w:val="22"/>
          <w:lang w:val="sr-Latn-ME"/>
        </w:rPr>
        <w:t xml:space="preserve"> bilo je na monoterapiji. </w:t>
      </w:r>
      <w:r w:rsidR="00371936" w:rsidRPr="00B74B0F">
        <w:rPr>
          <w:szCs w:val="22"/>
          <w:lang w:val="sr-Latn-ME"/>
        </w:rPr>
        <w:t>Pacijent</w:t>
      </w:r>
      <w:r w:rsidRPr="00B74B0F">
        <w:rPr>
          <w:szCs w:val="22"/>
          <w:lang w:val="sr-Latn-ME"/>
        </w:rPr>
        <w:t>i su dobijali lijek upadacitinib u dozi od 15 mg ili 30 mg jedanput na dan ili placebo. U 24</w:t>
      </w:r>
      <w:r w:rsidR="006474C1" w:rsidRPr="00B74B0F">
        <w:rPr>
          <w:szCs w:val="22"/>
          <w:lang w:val="sr-Latn-ME"/>
        </w:rPr>
        <w:t>.</w:t>
      </w:r>
      <w:r w:rsidR="00835CD5" w:rsidRPr="00B74B0F">
        <w:rPr>
          <w:szCs w:val="22"/>
          <w:lang w:val="sr-Latn-ME"/>
        </w:rPr>
        <w:t xml:space="preserve"> </w:t>
      </w:r>
      <w:r w:rsidR="006474C1" w:rsidRPr="00B74B0F">
        <w:rPr>
          <w:szCs w:val="22"/>
          <w:lang w:val="sr-Latn-ME"/>
        </w:rPr>
        <w:t>nedjelji</w:t>
      </w:r>
      <w:r w:rsidRPr="00B74B0F">
        <w:rPr>
          <w:szCs w:val="22"/>
          <w:lang w:val="sr-Latn-ME"/>
        </w:rPr>
        <w:t xml:space="preserve">, svi </w:t>
      </w:r>
      <w:r w:rsidR="00371936" w:rsidRPr="00B74B0F">
        <w:rPr>
          <w:szCs w:val="22"/>
          <w:lang w:val="sr-Latn-ME"/>
        </w:rPr>
        <w:t>pacijent</w:t>
      </w:r>
      <w:r w:rsidRPr="00B74B0F">
        <w:rPr>
          <w:szCs w:val="22"/>
          <w:lang w:val="sr-Latn-ME"/>
        </w:rPr>
        <w:t>i su randomiz</w:t>
      </w:r>
      <w:r w:rsidR="006474C1" w:rsidRPr="00B74B0F">
        <w:rPr>
          <w:szCs w:val="22"/>
          <w:lang w:val="sr-Latn-ME"/>
        </w:rPr>
        <w:t>ova</w:t>
      </w:r>
      <w:r w:rsidRPr="00B74B0F">
        <w:rPr>
          <w:szCs w:val="22"/>
          <w:lang w:val="sr-Latn-ME"/>
        </w:rPr>
        <w:t>ni za primanje placeba na zaslijepljeni način</w:t>
      </w:r>
      <w:r w:rsidR="006474C1" w:rsidRPr="00B74B0F">
        <w:rPr>
          <w:szCs w:val="22"/>
          <w:lang w:val="sr-Latn-ME"/>
        </w:rPr>
        <w:t xml:space="preserve"> </w:t>
      </w:r>
      <w:r w:rsidRPr="00B74B0F">
        <w:rPr>
          <w:szCs w:val="22"/>
          <w:lang w:val="sr-Latn-ME"/>
        </w:rPr>
        <w:t>i prebačeni su na lijek upadacitinib u dozi od 15 mg ili 30 mg jedanput na dan. SELECT-PsA 2 imao je dugoročni produžetak u trajanju do 3 godine.</w:t>
      </w:r>
    </w:p>
    <w:p w14:paraId="77BA9044" w14:textId="77777777" w:rsidR="007F331C" w:rsidRPr="00B74B0F" w:rsidRDefault="007F331C">
      <w:pPr>
        <w:spacing w:line="240" w:lineRule="auto"/>
        <w:contextualSpacing/>
        <w:jc w:val="both"/>
        <w:rPr>
          <w:szCs w:val="22"/>
          <w:u w:val="single"/>
          <w:lang w:val="sr-Latn-ME"/>
        </w:rPr>
      </w:pPr>
    </w:p>
    <w:p w14:paraId="4B3D76CA" w14:textId="77777777" w:rsidR="007F331C" w:rsidRPr="00B74B0F" w:rsidRDefault="007F331C">
      <w:pPr>
        <w:spacing w:line="240" w:lineRule="auto"/>
        <w:contextualSpacing/>
        <w:jc w:val="both"/>
        <w:rPr>
          <w:i/>
          <w:iCs/>
          <w:szCs w:val="22"/>
          <w:u w:val="single"/>
          <w:lang w:val="sr-Latn-ME"/>
        </w:rPr>
      </w:pPr>
      <w:r w:rsidRPr="00B74B0F">
        <w:rPr>
          <w:i/>
          <w:iCs/>
          <w:szCs w:val="22"/>
          <w:u w:val="single"/>
          <w:lang w:val="sr-Latn-ME"/>
        </w:rPr>
        <w:t>Klinički odgovor</w:t>
      </w:r>
    </w:p>
    <w:p w14:paraId="1003076A" w14:textId="77777777" w:rsidR="007F331C" w:rsidRPr="00B74B0F" w:rsidRDefault="007F331C">
      <w:pPr>
        <w:spacing w:line="240" w:lineRule="auto"/>
        <w:contextualSpacing/>
        <w:jc w:val="both"/>
        <w:rPr>
          <w:szCs w:val="22"/>
          <w:u w:val="single"/>
          <w:lang w:val="sr-Latn-ME"/>
        </w:rPr>
      </w:pPr>
    </w:p>
    <w:p w14:paraId="5F4033CA" w14:textId="1810640D" w:rsidR="007F331C" w:rsidRPr="00B74B0F" w:rsidRDefault="007F331C">
      <w:pPr>
        <w:spacing w:line="240" w:lineRule="auto"/>
        <w:contextualSpacing/>
        <w:jc w:val="both"/>
        <w:rPr>
          <w:szCs w:val="22"/>
          <w:lang w:val="sr-Latn-ME"/>
        </w:rPr>
      </w:pPr>
      <w:r w:rsidRPr="00B74B0F">
        <w:rPr>
          <w:szCs w:val="22"/>
          <w:lang w:val="sr-Latn-ME"/>
        </w:rPr>
        <w:t xml:space="preserve">U oba ispitivanja statistički značajno veći udio </w:t>
      </w:r>
      <w:r w:rsidR="0021189F" w:rsidRPr="00B74B0F">
        <w:rPr>
          <w:szCs w:val="22"/>
          <w:lang w:val="sr-Latn-ME"/>
        </w:rPr>
        <w:t>pacijenata</w:t>
      </w:r>
      <w:r w:rsidRPr="00B74B0F">
        <w:rPr>
          <w:szCs w:val="22"/>
          <w:lang w:val="sr-Latn-ME"/>
        </w:rPr>
        <w:t xml:space="preserve"> liječenih upadacitinib</w:t>
      </w:r>
      <w:r w:rsidR="00835CD5" w:rsidRPr="00B74B0F">
        <w:rPr>
          <w:szCs w:val="22"/>
          <w:lang w:val="sr-Latn-ME"/>
        </w:rPr>
        <w:t>om</w:t>
      </w:r>
      <w:r w:rsidRPr="00B74B0F">
        <w:rPr>
          <w:szCs w:val="22"/>
          <w:lang w:val="sr-Latn-ME"/>
        </w:rPr>
        <w:t xml:space="preserve"> u dozi od 15 mg postigao je ACR20 odgovor u odnosu na placebo u 12</w:t>
      </w:r>
      <w:r w:rsidR="006474C1" w:rsidRPr="00B74B0F">
        <w:rPr>
          <w:szCs w:val="22"/>
          <w:lang w:val="sr-Latn-ME"/>
        </w:rPr>
        <w:t>.</w:t>
      </w:r>
      <w:r w:rsidR="00835CD5" w:rsidRPr="00B74B0F">
        <w:rPr>
          <w:szCs w:val="22"/>
          <w:lang w:val="sr-Latn-ME"/>
        </w:rPr>
        <w:t xml:space="preserve"> </w:t>
      </w:r>
      <w:r w:rsidR="006474C1" w:rsidRPr="00B74B0F">
        <w:rPr>
          <w:szCs w:val="22"/>
          <w:lang w:val="sr-Latn-ME"/>
        </w:rPr>
        <w:t>nedjelji</w:t>
      </w:r>
      <w:r w:rsidRPr="00B74B0F">
        <w:rPr>
          <w:szCs w:val="22"/>
          <w:lang w:val="sr-Latn-ME"/>
        </w:rPr>
        <w:t xml:space="preserve"> (Tabela </w:t>
      </w:r>
      <w:r w:rsidR="006474C1" w:rsidRPr="00B74B0F">
        <w:rPr>
          <w:szCs w:val="22"/>
          <w:lang w:val="sr-Latn-ME"/>
        </w:rPr>
        <w:t>8</w:t>
      </w:r>
      <w:r w:rsidRPr="00B74B0F">
        <w:rPr>
          <w:szCs w:val="22"/>
          <w:lang w:val="sr-Latn-ME"/>
        </w:rPr>
        <w:t>). Početak efikasnosti je bio brz u pogledu svih posmatranih mjera, uz veće odgovore prim</w:t>
      </w:r>
      <w:r w:rsidR="006474C1" w:rsidRPr="00B74B0F">
        <w:rPr>
          <w:szCs w:val="22"/>
          <w:lang w:val="sr-Latn-ME"/>
        </w:rPr>
        <w:t>i</w:t>
      </w:r>
      <w:r w:rsidRPr="00B74B0F">
        <w:rPr>
          <w:szCs w:val="22"/>
          <w:lang w:val="sr-Latn-ME"/>
        </w:rPr>
        <w:t>jećene već od druge sedmice za ACR20.</w:t>
      </w:r>
    </w:p>
    <w:p w14:paraId="3D0FB4C2" w14:textId="77777777" w:rsidR="007F331C" w:rsidRPr="00B74B0F" w:rsidRDefault="007F331C">
      <w:pPr>
        <w:spacing w:line="240" w:lineRule="auto"/>
        <w:contextualSpacing/>
        <w:jc w:val="both"/>
        <w:rPr>
          <w:szCs w:val="22"/>
          <w:lang w:val="sr-Latn-ME"/>
        </w:rPr>
      </w:pPr>
    </w:p>
    <w:p w14:paraId="1E96514B" w14:textId="47DAF33B" w:rsidR="007F331C" w:rsidRPr="00B74B0F" w:rsidRDefault="007F331C">
      <w:pPr>
        <w:spacing w:line="240" w:lineRule="auto"/>
        <w:contextualSpacing/>
        <w:jc w:val="both"/>
        <w:rPr>
          <w:szCs w:val="22"/>
          <w:lang w:val="sr-Latn-ME"/>
        </w:rPr>
      </w:pPr>
      <w:r w:rsidRPr="00B74B0F">
        <w:rPr>
          <w:szCs w:val="22"/>
          <w:lang w:val="sr-Latn-ME"/>
        </w:rPr>
        <w:t xml:space="preserve">Liječenje upadacitinib u dozi od 15 mg dovelo je do poboljšanja pojedinačnih </w:t>
      </w:r>
      <w:r w:rsidR="006474C1" w:rsidRPr="00B74B0F">
        <w:rPr>
          <w:szCs w:val="22"/>
          <w:lang w:val="sr-Latn-ME"/>
        </w:rPr>
        <w:t xml:space="preserve">djelova </w:t>
      </w:r>
      <w:r w:rsidRPr="00B74B0F">
        <w:rPr>
          <w:szCs w:val="22"/>
          <w:lang w:val="sr-Latn-ME"/>
        </w:rPr>
        <w:t xml:space="preserve">ACR odgovora, uključujući broj osjetljivih/bolnih i otečenih zglobova, </w:t>
      </w:r>
      <w:r w:rsidR="00371936" w:rsidRPr="00B74B0F">
        <w:rPr>
          <w:szCs w:val="22"/>
          <w:lang w:val="sr-Latn-ME"/>
        </w:rPr>
        <w:t>pacijentovu</w:t>
      </w:r>
      <w:r w:rsidRPr="00B74B0F">
        <w:rPr>
          <w:szCs w:val="22"/>
          <w:lang w:val="sr-Latn-ME"/>
        </w:rPr>
        <w:t xml:space="preserve"> i ljekarovu opštu </w:t>
      </w:r>
      <w:r w:rsidR="006474C1" w:rsidRPr="00B74B0F">
        <w:rPr>
          <w:szCs w:val="22"/>
          <w:lang w:val="sr-Latn-ME"/>
        </w:rPr>
        <w:t>procjenu</w:t>
      </w:r>
      <w:r w:rsidRPr="00B74B0F">
        <w:rPr>
          <w:szCs w:val="22"/>
          <w:lang w:val="sr-Latn-ME"/>
        </w:rPr>
        <w:t xml:space="preserve">, HAQ-DI rezultat, </w:t>
      </w:r>
      <w:r w:rsidR="006474C1" w:rsidRPr="00B74B0F">
        <w:rPr>
          <w:szCs w:val="22"/>
          <w:lang w:val="sr-Latn-ME"/>
        </w:rPr>
        <w:t>procjeni</w:t>
      </w:r>
      <w:r w:rsidRPr="00B74B0F">
        <w:rPr>
          <w:szCs w:val="22"/>
          <w:lang w:val="sr-Latn-ME"/>
        </w:rPr>
        <w:t xml:space="preserve"> bol</w:t>
      </w:r>
      <w:r w:rsidR="00371936" w:rsidRPr="00B74B0F">
        <w:rPr>
          <w:szCs w:val="22"/>
          <w:lang w:val="sr-Latn-ME"/>
        </w:rPr>
        <w:t>a</w:t>
      </w:r>
      <w:r w:rsidRPr="00B74B0F">
        <w:rPr>
          <w:szCs w:val="22"/>
          <w:lang w:val="sr-Latn-ME"/>
        </w:rPr>
        <w:t xml:space="preserve"> i vrijednost hsCRP-a u poređenju sa placebom.</w:t>
      </w:r>
    </w:p>
    <w:p w14:paraId="07B9636C" w14:textId="77777777" w:rsidR="007F331C" w:rsidRPr="00B74B0F" w:rsidRDefault="007F331C">
      <w:pPr>
        <w:spacing w:line="240" w:lineRule="auto"/>
        <w:contextualSpacing/>
        <w:jc w:val="both"/>
        <w:rPr>
          <w:szCs w:val="22"/>
          <w:lang w:val="sr-Latn-ME"/>
        </w:rPr>
      </w:pPr>
    </w:p>
    <w:p w14:paraId="6E27CA0C" w14:textId="6D1225C4" w:rsidR="007F331C" w:rsidRPr="00B74B0F" w:rsidRDefault="007F331C">
      <w:pPr>
        <w:spacing w:line="240" w:lineRule="auto"/>
        <w:contextualSpacing/>
        <w:jc w:val="both"/>
        <w:rPr>
          <w:szCs w:val="22"/>
          <w:lang w:val="sr-Latn-ME"/>
        </w:rPr>
      </w:pPr>
      <w:r w:rsidRPr="00B74B0F">
        <w:rPr>
          <w:szCs w:val="22"/>
          <w:lang w:val="sr-Latn-ME"/>
        </w:rPr>
        <w:t xml:space="preserve">U ispitivanju SELECT-PsA 1, lijek upadacitinib u dozi od 15 mg postigao je neinferiornost u poređenju sa adalimumabom u </w:t>
      </w:r>
      <w:r w:rsidR="006474C1" w:rsidRPr="00B74B0F">
        <w:rPr>
          <w:szCs w:val="22"/>
          <w:lang w:val="sr-Latn-ME"/>
        </w:rPr>
        <w:t xml:space="preserve">dijelu </w:t>
      </w:r>
      <w:r w:rsidR="0021189F" w:rsidRPr="00B74B0F">
        <w:rPr>
          <w:szCs w:val="22"/>
          <w:lang w:val="sr-Latn-ME"/>
        </w:rPr>
        <w:t>pacijenata</w:t>
      </w:r>
      <w:r w:rsidRPr="00B74B0F">
        <w:rPr>
          <w:szCs w:val="22"/>
          <w:lang w:val="sr-Latn-ME"/>
        </w:rPr>
        <w:t xml:space="preserve"> koji su postigli ACR20 odgovor u 12</w:t>
      </w:r>
      <w:r w:rsidR="006474C1" w:rsidRPr="00B74B0F">
        <w:rPr>
          <w:szCs w:val="22"/>
          <w:lang w:val="sr-Latn-ME"/>
        </w:rPr>
        <w:t>.</w:t>
      </w:r>
      <w:r w:rsidR="00835CD5" w:rsidRPr="00B74B0F">
        <w:rPr>
          <w:szCs w:val="22"/>
          <w:lang w:val="sr-Latn-ME"/>
        </w:rPr>
        <w:t xml:space="preserve"> </w:t>
      </w:r>
      <w:r w:rsidR="006474C1" w:rsidRPr="00B74B0F">
        <w:rPr>
          <w:szCs w:val="22"/>
          <w:lang w:val="sr-Latn-ME"/>
        </w:rPr>
        <w:t>nedjelji</w:t>
      </w:r>
      <w:r w:rsidRPr="00B74B0F">
        <w:rPr>
          <w:szCs w:val="22"/>
          <w:lang w:val="sr-Latn-ME"/>
        </w:rPr>
        <w:t>; međutim, superiornost nad adalimumabom nije se mogla dokazati.</w:t>
      </w:r>
    </w:p>
    <w:p w14:paraId="077F27D2" w14:textId="77777777" w:rsidR="007F331C" w:rsidRPr="00B74B0F" w:rsidRDefault="007F331C">
      <w:pPr>
        <w:spacing w:line="240" w:lineRule="auto"/>
        <w:contextualSpacing/>
        <w:jc w:val="both"/>
        <w:rPr>
          <w:szCs w:val="22"/>
          <w:lang w:val="sr-Latn-ME"/>
        </w:rPr>
      </w:pPr>
    </w:p>
    <w:p w14:paraId="342767B3" w14:textId="3A3BD3BD" w:rsidR="007F331C" w:rsidRPr="00B74B0F" w:rsidRDefault="007F331C">
      <w:pPr>
        <w:spacing w:line="240" w:lineRule="auto"/>
        <w:contextualSpacing/>
        <w:jc w:val="both"/>
        <w:rPr>
          <w:szCs w:val="22"/>
          <w:lang w:val="sr-Latn-ME"/>
        </w:rPr>
      </w:pPr>
      <w:r w:rsidRPr="00B74B0F">
        <w:rPr>
          <w:szCs w:val="22"/>
          <w:lang w:val="sr-Latn-ME"/>
        </w:rPr>
        <w:t>U oba ispitivanja zapaženi su dosljedni odgovori u monoterapiji ili u kombinaciji s</w:t>
      </w:r>
      <w:r w:rsidR="00224104" w:rsidRPr="00B74B0F">
        <w:rPr>
          <w:szCs w:val="22"/>
          <w:lang w:val="sr-Latn-ME"/>
        </w:rPr>
        <w:t>a</w:t>
      </w:r>
      <w:r w:rsidRPr="00B74B0F">
        <w:rPr>
          <w:szCs w:val="22"/>
          <w:lang w:val="sr-Latn-ME"/>
        </w:rPr>
        <w:t xml:space="preserve"> metotreksatom za primarne i ključne sekundarne</w:t>
      </w:r>
      <w:r w:rsidR="00835CD5" w:rsidRPr="00B74B0F">
        <w:rPr>
          <w:szCs w:val="22"/>
          <w:lang w:val="sr-Latn-ME"/>
        </w:rPr>
        <w:t xml:space="preserve"> parametre praćenja</w:t>
      </w:r>
      <w:r w:rsidRPr="00B74B0F">
        <w:rPr>
          <w:szCs w:val="22"/>
          <w:lang w:val="sr-Latn-ME"/>
        </w:rPr>
        <w:t>.</w:t>
      </w:r>
    </w:p>
    <w:p w14:paraId="66C211A5" w14:textId="77777777" w:rsidR="007F331C" w:rsidRPr="00B74B0F" w:rsidRDefault="007F331C">
      <w:pPr>
        <w:spacing w:line="240" w:lineRule="auto"/>
        <w:contextualSpacing/>
        <w:jc w:val="both"/>
        <w:rPr>
          <w:szCs w:val="22"/>
          <w:lang w:val="sr-Latn-ME"/>
        </w:rPr>
      </w:pPr>
    </w:p>
    <w:p w14:paraId="13EA5528" w14:textId="67726939" w:rsidR="00B84BEC" w:rsidRPr="00B74B0F" w:rsidRDefault="007F331C">
      <w:pPr>
        <w:spacing w:line="240" w:lineRule="auto"/>
        <w:contextualSpacing/>
        <w:jc w:val="both"/>
        <w:rPr>
          <w:szCs w:val="22"/>
          <w:lang w:val="sr-Latn-ME"/>
        </w:rPr>
      </w:pPr>
      <w:r w:rsidRPr="00B74B0F">
        <w:rPr>
          <w:szCs w:val="22"/>
          <w:lang w:val="sr-Latn-ME"/>
        </w:rPr>
        <w:t>Dokazana je efikasnost upadacitinib</w:t>
      </w:r>
      <w:r w:rsidR="00835CD5" w:rsidRPr="00B74B0F">
        <w:rPr>
          <w:szCs w:val="22"/>
          <w:lang w:val="sr-Latn-ME"/>
        </w:rPr>
        <w:t>a</w:t>
      </w:r>
      <w:r w:rsidRPr="00B74B0F">
        <w:rPr>
          <w:szCs w:val="22"/>
          <w:lang w:val="sr-Latn-ME"/>
        </w:rPr>
        <w:t xml:space="preserve"> u dozi od 15 mg bez obzira na procijenjene podgrupe, uključujući početni indeks tjelesne mase, početni hsCRP i broj prethodnih nebioloških DMARD (≤ 1 ili &gt; 1).</w:t>
      </w:r>
    </w:p>
    <w:p w14:paraId="3864B720" w14:textId="2A3A4B1F" w:rsidR="00B84BEC" w:rsidRPr="00B74B0F" w:rsidRDefault="00B84BEC">
      <w:pPr>
        <w:spacing w:line="240" w:lineRule="auto"/>
        <w:contextualSpacing/>
        <w:jc w:val="both"/>
        <w:rPr>
          <w:szCs w:val="22"/>
          <w:lang w:val="sr-Latn-ME"/>
        </w:rPr>
      </w:pPr>
    </w:p>
    <w:p w14:paraId="7CD9221A" w14:textId="78F480B7" w:rsidR="007F331C" w:rsidRPr="008338F7" w:rsidRDefault="007F331C">
      <w:pPr>
        <w:spacing w:line="240" w:lineRule="auto"/>
        <w:contextualSpacing/>
        <w:jc w:val="both"/>
        <w:rPr>
          <w:b/>
          <w:bCs/>
          <w:szCs w:val="22"/>
          <w:lang w:val="sr-Latn-ME"/>
        </w:rPr>
      </w:pPr>
      <w:r w:rsidRPr="008338F7">
        <w:rPr>
          <w:b/>
          <w:bCs/>
          <w:szCs w:val="22"/>
          <w:lang w:val="sr-Latn-ME"/>
        </w:rPr>
        <w:t xml:space="preserve">Tabela </w:t>
      </w:r>
      <w:r w:rsidR="00CC3EB3" w:rsidRPr="008338F7">
        <w:rPr>
          <w:b/>
          <w:bCs/>
          <w:szCs w:val="22"/>
          <w:lang w:val="sr-Latn-ME"/>
        </w:rPr>
        <w:t>8</w:t>
      </w:r>
      <w:r w:rsidRPr="008338F7">
        <w:rPr>
          <w:b/>
          <w:bCs/>
          <w:szCs w:val="22"/>
          <w:lang w:val="sr-Latn-ME"/>
        </w:rPr>
        <w:t>: Klinički odgovor u ispitivanjima SELECT-PsA 1 i SELECT-PsA 2</w:t>
      </w:r>
    </w:p>
    <w:p w14:paraId="30FE4951" w14:textId="77777777" w:rsidR="007F331C" w:rsidRPr="00B74B0F" w:rsidRDefault="007F331C">
      <w:pPr>
        <w:spacing w:line="240" w:lineRule="auto"/>
        <w:contextualSpacing/>
        <w:jc w:val="both"/>
        <w:rPr>
          <w:szCs w:val="22"/>
          <w:u w:val="single"/>
          <w:lang w:val="sr-Latn-ME"/>
        </w:rPr>
      </w:pPr>
    </w:p>
    <w:tbl>
      <w:tblPr>
        <w:tblW w:w="8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0"/>
        <w:gridCol w:w="1530"/>
        <w:gridCol w:w="1350"/>
        <w:gridCol w:w="1260"/>
        <w:gridCol w:w="1356"/>
      </w:tblGrid>
      <w:tr w:rsidR="00BF75A1" w:rsidRPr="00B74B0F" w14:paraId="53D6809D" w14:textId="77777777" w:rsidTr="00542622">
        <w:trPr>
          <w:trHeight w:val="544"/>
          <w:jc w:val="center"/>
        </w:trPr>
        <w:tc>
          <w:tcPr>
            <w:tcW w:w="1975" w:type="dxa"/>
            <w:shd w:val="clear" w:color="auto" w:fill="auto"/>
          </w:tcPr>
          <w:p w14:paraId="264F644C" w14:textId="77777777" w:rsidR="007F331C" w:rsidRPr="00B74B0F" w:rsidRDefault="007F331C">
            <w:pPr>
              <w:spacing w:line="240" w:lineRule="auto"/>
              <w:contextualSpacing/>
              <w:jc w:val="both"/>
              <w:rPr>
                <w:b/>
                <w:bCs/>
                <w:szCs w:val="22"/>
                <w:u w:val="single"/>
                <w:lang w:val="sr-Latn-ME"/>
              </w:rPr>
            </w:pPr>
            <w:r w:rsidRPr="00B74B0F">
              <w:rPr>
                <w:b/>
                <w:bCs/>
                <w:szCs w:val="22"/>
                <w:u w:val="single"/>
                <w:lang w:val="sr-Latn-ME"/>
              </w:rPr>
              <w:t>Ispitivanje</w:t>
            </w:r>
          </w:p>
        </w:tc>
        <w:tc>
          <w:tcPr>
            <w:tcW w:w="4320" w:type="dxa"/>
            <w:gridSpan w:val="3"/>
            <w:shd w:val="clear" w:color="auto" w:fill="auto"/>
            <w:vAlign w:val="center"/>
          </w:tcPr>
          <w:p w14:paraId="4EC7701B" w14:textId="644C1BB0" w:rsidR="007F331C" w:rsidRPr="00B74B0F" w:rsidRDefault="007F331C" w:rsidP="00A30C3C">
            <w:pPr>
              <w:spacing w:line="240" w:lineRule="auto"/>
              <w:contextualSpacing/>
              <w:jc w:val="both"/>
              <w:rPr>
                <w:szCs w:val="22"/>
                <w:u w:val="single"/>
                <w:lang w:val="sr-Latn-ME"/>
              </w:rPr>
            </w:pPr>
            <w:r w:rsidRPr="00B74B0F">
              <w:rPr>
                <w:b/>
                <w:szCs w:val="22"/>
                <w:u w:val="single"/>
                <w:lang w:val="sr-Latn-ME"/>
              </w:rPr>
              <w:t>SELECT-PsA 1</w:t>
            </w:r>
            <w:r w:rsidRPr="00B74B0F">
              <w:rPr>
                <w:b/>
                <w:szCs w:val="22"/>
                <w:u w:val="single"/>
                <w:lang w:val="sr-Latn-ME"/>
              </w:rPr>
              <w:br/>
            </w:r>
            <w:r w:rsidR="00181042" w:rsidRPr="00B74B0F">
              <w:rPr>
                <w:b/>
                <w:szCs w:val="22"/>
                <w:u w:val="single"/>
                <w:lang w:val="sr-Latn-ME"/>
              </w:rPr>
              <w:t>Pacijenti</w:t>
            </w:r>
            <w:r w:rsidRPr="00B74B0F">
              <w:rPr>
                <w:b/>
                <w:szCs w:val="22"/>
                <w:u w:val="single"/>
                <w:lang w:val="sr-Latn-ME"/>
              </w:rPr>
              <w:t xml:space="preserve"> s nedovoljno dobrim odgovorom na nebiološki DMARD</w:t>
            </w:r>
          </w:p>
        </w:tc>
        <w:tc>
          <w:tcPr>
            <w:tcW w:w="2616" w:type="dxa"/>
            <w:gridSpan w:val="2"/>
            <w:shd w:val="clear" w:color="auto" w:fill="auto"/>
            <w:vAlign w:val="center"/>
          </w:tcPr>
          <w:p w14:paraId="54249400" w14:textId="77777777" w:rsidR="007F331C" w:rsidRPr="00B74B0F" w:rsidRDefault="007F331C" w:rsidP="00A30C3C">
            <w:pPr>
              <w:spacing w:line="240" w:lineRule="auto"/>
              <w:contextualSpacing/>
              <w:jc w:val="both"/>
              <w:rPr>
                <w:b/>
                <w:szCs w:val="22"/>
                <w:u w:val="single"/>
                <w:lang w:val="sr-Latn-ME"/>
              </w:rPr>
            </w:pPr>
            <w:r w:rsidRPr="00B74B0F">
              <w:rPr>
                <w:b/>
                <w:szCs w:val="22"/>
                <w:u w:val="single"/>
                <w:lang w:val="sr-Latn-ME"/>
              </w:rPr>
              <w:t>SELECT-PsA 2</w:t>
            </w:r>
          </w:p>
          <w:p w14:paraId="1A4E95D3" w14:textId="63AC9CA1" w:rsidR="007F331C" w:rsidRPr="00B74B0F" w:rsidRDefault="00181042" w:rsidP="00A30C3C">
            <w:pPr>
              <w:spacing w:line="240" w:lineRule="auto"/>
              <w:contextualSpacing/>
              <w:jc w:val="both"/>
              <w:rPr>
                <w:b/>
                <w:szCs w:val="22"/>
                <w:u w:val="single"/>
                <w:lang w:val="sr-Latn-ME"/>
              </w:rPr>
            </w:pPr>
            <w:r w:rsidRPr="00B74B0F">
              <w:rPr>
                <w:b/>
                <w:szCs w:val="22"/>
                <w:u w:val="single"/>
                <w:lang w:val="sr-Latn-ME"/>
              </w:rPr>
              <w:t>Pacijenti</w:t>
            </w:r>
            <w:r w:rsidR="007F331C" w:rsidRPr="00B74B0F">
              <w:rPr>
                <w:b/>
                <w:szCs w:val="22"/>
                <w:u w:val="single"/>
                <w:lang w:val="sr-Latn-ME"/>
              </w:rPr>
              <w:t xml:space="preserve"> s nedovoljno dobrim odgovorom na bDMARD</w:t>
            </w:r>
          </w:p>
        </w:tc>
      </w:tr>
      <w:tr w:rsidR="00BF75A1" w:rsidRPr="00B74B0F" w14:paraId="39A8B4C0" w14:textId="77777777" w:rsidTr="00542622">
        <w:trPr>
          <w:trHeight w:val="544"/>
          <w:jc w:val="center"/>
        </w:trPr>
        <w:tc>
          <w:tcPr>
            <w:tcW w:w="1975" w:type="dxa"/>
            <w:shd w:val="clear" w:color="auto" w:fill="auto"/>
          </w:tcPr>
          <w:p w14:paraId="6710F36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Liječena grupa</w:t>
            </w:r>
          </w:p>
        </w:tc>
        <w:tc>
          <w:tcPr>
            <w:tcW w:w="1440" w:type="dxa"/>
            <w:shd w:val="clear" w:color="auto" w:fill="auto"/>
            <w:vAlign w:val="center"/>
          </w:tcPr>
          <w:p w14:paraId="1055C31B"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PBO</w:t>
            </w:r>
          </w:p>
        </w:tc>
        <w:tc>
          <w:tcPr>
            <w:tcW w:w="1530" w:type="dxa"/>
            <w:shd w:val="clear" w:color="auto" w:fill="auto"/>
            <w:vAlign w:val="center"/>
          </w:tcPr>
          <w:p w14:paraId="452AA7B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UPA</w:t>
            </w:r>
          </w:p>
          <w:p w14:paraId="1072021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15 mg</w:t>
            </w:r>
          </w:p>
        </w:tc>
        <w:tc>
          <w:tcPr>
            <w:tcW w:w="1350" w:type="dxa"/>
            <w:shd w:val="clear" w:color="auto" w:fill="auto"/>
            <w:vAlign w:val="center"/>
          </w:tcPr>
          <w:p w14:paraId="00C5D1B8"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ADA</w:t>
            </w:r>
          </w:p>
          <w:p w14:paraId="400B324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40 mg</w:t>
            </w:r>
          </w:p>
        </w:tc>
        <w:tc>
          <w:tcPr>
            <w:tcW w:w="1260" w:type="dxa"/>
            <w:shd w:val="clear" w:color="auto" w:fill="auto"/>
            <w:vAlign w:val="center"/>
          </w:tcPr>
          <w:p w14:paraId="0894644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PBO</w:t>
            </w:r>
          </w:p>
        </w:tc>
        <w:tc>
          <w:tcPr>
            <w:tcW w:w="1356" w:type="dxa"/>
            <w:shd w:val="clear" w:color="auto" w:fill="auto"/>
            <w:vAlign w:val="center"/>
          </w:tcPr>
          <w:p w14:paraId="3FD7A34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UPA</w:t>
            </w:r>
          </w:p>
          <w:p w14:paraId="4E9EB59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15 mg</w:t>
            </w:r>
          </w:p>
        </w:tc>
      </w:tr>
      <w:tr w:rsidR="00BF75A1" w:rsidRPr="00B74B0F" w14:paraId="17F67680" w14:textId="77777777" w:rsidTr="00542622">
        <w:trPr>
          <w:trHeight w:val="261"/>
          <w:jc w:val="center"/>
        </w:trPr>
        <w:tc>
          <w:tcPr>
            <w:tcW w:w="1975" w:type="dxa"/>
            <w:shd w:val="clear" w:color="auto" w:fill="auto"/>
          </w:tcPr>
          <w:p w14:paraId="182AF641" w14:textId="77777777" w:rsidR="007F331C" w:rsidRPr="00B74B0F" w:rsidRDefault="007F331C">
            <w:pPr>
              <w:spacing w:line="240" w:lineRule="auto"/>
              <w:contextualSpacing/>
              <w:jc w:val="both"/>
              <w:rPr>
                <w:bCs/>
                <w:szCs w:val="22"/>
                <w:u w:val="single"/>
                <w:lang w:val="sr-Latn-ME"/>
              </w:rPr>
            </w:pPr>
            <w:r w:rsidRPr="00B74B0F">
              <w:rPr>
                <w:bCs/>
                <w:szCs w:val="22"/>
                <w:u w:val="single"/>
                <w:lang w:val="sr-Latn-ME"/>
              </w:rPr>
              <w:lastRenderedPageBreak/>
              <w:t>N</w:t>
            </w:r>
          </w:p>
        </w:tc>
        <w:tc>
          <w:tcPr>
            <w:tcW w:w="1440" w:type="dxa"/>
            <w:shd w:val="clear" w:color="auto" w:fill="auto"/>
            <w:vAlign w:val="center"/>
          </w:tcPr>
          <w:p w14:paraId="4335E08C"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423</w:t>
            </w:r>
          </w:p>
        </w:tc>
        <w:tc>
          <w:tcPr>
            <w:tcW w:w="1530" w:type="dxa"/>
            <w:shd w:val="clear" w:color="auto" w:fill="auto"/>
            <w:vAlign w:val="center"/>
          </w:tcPr>
          <w:p w14:paraId="04F438E6"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429</w:t>
            </w:r>
          </w:p>
        </w:tc>
        <w:tc>
          <w:tcPr>
            <w:tcW w:w="1350" w:type="dxa"/>
            <w:shd w:val="clear" w:color="auto" w:fill="auto"/>
            <w:vAlign w:val="center"/>
          </w:tcPr>
          <w:p w14:paraId="2837817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429</w:t>
            </w:r>
          </w:p>
        </w:tc>
        <w:tc>
          <w:tcPr>
            <w:tcW w:w="1260" w:type="dxa"/>
            <w:shd w:val="clear" w:color="auto" w:fill="auto"/>
            <w:vAlign w:val="center"/>
          </w:tcPr>
          <w:p w14:paraId="746E3E4B"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212</w:t>
            </w:r>
          </w:p>
        </w:tc>
        <w:tc>
          <w:tcPr>
            <w:tcW w:w="1356" w:type="dxa"/>
            <w:shd w:val="clear" w:color="auto" w:fill="auto"/>
            <w:vAlign w:val="center"/>
          </w:tcPr>
          <w:p w14:paraId="4458A67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211</w:t>
            </w:r>
          </w:p>
        </w:tc>
      </w:tr>
      <w:tr w:rsidR="00BF75A1" w:rsidRPr="00B74B0F" w14:paraId="0406A661" w14:textId="77777777" w:rsidTr="00542622">
        <w:trPr>
          <w:trHeight w:val="271"/>
          <w:jc w:val="center"/>
        </w:trPr>
        <w:tc>
          <w:tcPr>
            <w:tcW w:w="8911" w:type="dxa"/>
            <w:gridSpan w:val="6"/>
            <w:shd w:val="clear" w:color="auto" w:fill="auto"/>
            <w:vAlign w:val="center"/>
          </w:tcPr>
          <w:p w14:paraId="652CD57A" w14:textId="4646FFDF" w:rsidR="007F331C" w:rsidRPr="00B74B0F" w:rsidRDefault="007F331C" w:rsidP="00777B52">
            <w:pPr>
              <w:spacing w:line="240" w:lineRule="auto"/>
              <w:contextualSpacing/>
              <w:jc w:val="center"/>
              <w:rPr>
                <w:szCs w:val="22"/>
                <w:u w:val="single"/>
                <w:lang w:val="sr-Latn-ME"/>
              </w:rPr>
            </w:pPr>
            <w:r w:rsidRPr="00B74B0F">
              <w:rPr>
                <w:b/>
                <w:bCs/>
                <w:szCs w:val="22"/>
                <w:u w:val="single"/>
                <w:lang w:val="sr-Latn-ME"/>
              </w:rPr>
              <w:t xml:space="preserve">ACR20, % </w:t>
            </w:r>
            <w:r w:rsidR="0021189F" w:rsidRPr="00B74B0F">
              <w:rPr>
                <w:b/>
                <w:bCs/>
                <w:szCs w:val="22"/>
                <w:u w:val="single"/>
                <w:lang w:val="sr-Latn-ME"/>
              </w:rPr>
              <w:t>pacijenata</w:t>
            </w:r>
            <w:r w:rsidRPr="00B74B0F">
              <w:rPr>
                <w:b/>
                <w:bCs/>
                <w:szCs w:val="22"/>
                <w:u w:val="single"/>
                <w:lang w:val="sr-Latn-ME"/>
              </w:rPr>
              <w:t xml:space="preserve"> (interval pouzdanosti od 95%)</w:t>
            </w:r>
          </w:p>
        </w:tc>
      </w:tr>
      <w:tr w:rsidR="00BF75A1" w:rsidRPr="00B74B0F" w14:paraId="2BD2B109" w14:textId="77777777" w:rsidTr="00542622">
        <w:trPr>
          <w:trHeight w:val="332"/>
          <w:jc w:val="center"/>
        </w:trPr>
        <w:tc>
          <w:tcPr>
            <w:tcW w:w="1975" w:type="dxa"/>
            <w:shd w:val="clear" w:color="auto" w:fill="auto"/>
          </w:tcPr>
          <w:p w14:paraId="0E2990C9" w14:textId="1A003257"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B84BEC"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12</w:t>
            </w:r>
          </w:p>
        </w:tc>
        <w:tc>
          <w:tcPr>
            <w:tcW w:w="1440" w:type="dxa"/>
            <w:shd w:val="clear" w:color="auto" w:fill="auto"/>
            <w:vAlign w:val="center"/>
          </w:tcPr>
          <w:p w14:paraId="6BA435AD"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36 (32, 41)</w:t>
            </w:r>
          </w:p>
        </w:tc>
        <w:tc>
          <w:tcPr>
            <w:tcW w:w="1530" w:type="dxa"/>
            <w:shd w:val="clear" w:color="auto" w:fill="auto"/>
            <w:vAlign w:val="center"/>
          </w:tcPr>
          <w:p w14:paraId="15AC12B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71 (66, 75)</w:t>
            </w:r>
            <w:r w:rsidRPr="00B74B0F">
              <w:rPr>
                <w:szCs w:val="22"/>
                <w:u w:val="single"/>
                <w:vertAlign w:val="superscript"/>
                <w:lang w:val="sr-Latn-ME"/>
              </w:rPr>
              <w:t>f</w:t>
            </w:r>
          </w:p>
        </w:tc>
        <w:tc>
          <w:tcPr>
            <w:tcW w:w="1350" w:type="dxa"/>
            <w:shd w:val="clear" w:color="auto" w:fill="auto"/>
            <w:vAlign w:val="center"/>
          </w:tcPr>
          <w:p w14:paraId="055649C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65 (61, 70)</w:t>
            </w:r>
          </w:p>
        </w:tc>
        <w:tc>
          <w:tcPr>
            <w:tcW w:w="1260" w:type="dxa"/>
            <w:shd w:val="clear" w:color="auto" w:fill="auto"/>
            <w:vAlign w:val="center"/>
          </w:tcPr>
          <w:p w14:paraId="5A5813BB" w14:textId="77777777" w:rsidR="007F331C" w:rsidRPr="00B74B0F" w:rsidRDefault="007F331C">
            <w:pPr>
              <w:spacing w:line="240" w:lineRule="auto"/>
              <w:contextualSpacing/>
              <w:jc w:val="both"/>
              <w:rPr>
                <w:szCs w:val="22"/>
                <w:u w:val="single"/>
                <w:vertAlign w:val="superscript"/>
                <w:lang w:val="sr-Latn-ME"/>
              </w:rPr>
            </w:pPr>
            <w:r w:rsidRPr="00B74B0F">
              <w:rPr>
                <w:szCs w:val="22"/>
                <w:u w:val="single"/>
                <w:lang w:val="sr-Latn-ME"/>
              </w:rPr>
              <w:t>24 (18, 30)</w:t>
            </w:r>
          </w:p>
        </w:tc>
        <w:tc>
          <w:tcPr>
            <w:tcW w:w="1356" w:type="dxa"/>
            <w:shd w:val="clear" w:color="auto" w:fill="auto"/>
            <w:vAlign w:val="center"/>
          </w:tcPr>
          <w:p w14:paraId="7FF9C39F"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57</w:t>
            </w:r>
            <w:r w:rsidRPr="00B74B0F">
              <w:rPr>
                <w:szCs w:val="22"/>
                <w:u w:val="single"/>
                <w:vertAlign w:val="superscript"/>
                <w:lang w:val="sr-Latn-ME"/>
              </w:rPr>
              <w:t xml:space="preserve"> </w:t>
            </w:r>
            <w:r w:rsidRPr="00B74B0F">
              <w:rPr>
                <w:szCs w:val="22"/>
                <w:u w:val="single"/>
                <w:lang w:val="sr-Latn-ME"/>
              </w:rPr>
              <w:t>(50, 64)</w:t>
            </w:r>
          </w:p>
        </w:tc>
      </w:tr>
      <w:tr w:rsidR="00BF75A1" w:rsidRPr="00B74B0F" w14:paraId="782ECB17" w14:textId="77777777" w:rsidTr="00542622">
        <w:trPr>
          <w:trHeight w:val="271"/>
          <w:jc w:val="center"/>
        </w:trPr>
        <w:tc>
          <w:tcPr>
            <w:tcW w:w="1975" w:type="dxa"/>
            <w:shd w:val="clear" w:color="auto" w:fill="auto"/>
          </w:tcPr>
          <w:p w14:paraId="4CDE6CED"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Razlika od placeba (interval pouzdanosti od 95%)</w:t>
            </w:r>
          </w:p>
        </w:tc>
        <w:tc>
          <w:tcPr>
            <w:tcW w:w="2970" w:type="dxa"/>
            <w:gridSpan w:val="2"/>
            <w:shd w:val="clear" w:color="auto" w:fill="auto"/>
            <w:vAlign w:val="center"/>
          </w:tcPr>
          <w:p w14:paraId="0C05A4F4" w14:textId="77777777" w:rsidR="007F331C" w:rsidRPr="00B74B0F" w:rsidRDefault="007F331C" w:rsidP="00777B52">
            <w:pPr>
              <w:spacing w:line="240" w:lineRule="auto"/>
              <w:contextualSpacing/>
              <w:jc w:val="center"/>
              <w:rPr>
                <w:szCs w:val="22"/>
                <w:u w:val="single"/>
                <w:lang w:val="sr-Latn-ME"/>
              </w:rPr>
            </w:pPr>
            <w:r w:rsidRPr="00B74B0F">
              <w:rPr>
                <w:szCs w:val="22"/>
                <w:u w:val="single"/>
                <w:lang w:val="sr-Latn-ME"/>
              </w:rPr>
              <w:t>35 (28, 41)</w:t>
            </w:r>
            <w:r w:rsidRPr="00B74B0F">
              <w:rPr>
                <w:szCs w:val="22"/>
                <w:u w:val="single"/>
                <w:vertAlign w:val="superscript"/>
                <w:lang w:val="sr-Latn-ME"/>
              </w:rPr>
              <w:t>d,e</w:t>
            </w:r>
          </w:p>
        </w:tc>
        <w:tc>
          <w:tcPr>
            <w:tcW w:w="1350" w:type="dxa"/>
            <w:shd w:val="clear" w:color="auto" w:fill="auto"/>
            <w:vAlign w:val="center"/>
          </w:tcPr>
          <w:p w14:paraId="4F95EAD9" w14:textId="77777777" w:rsidR="007F331C" w:rsidRPr="00B74B0F" w:rsidRDefault="007F331C" w:rsidP="00343D6C">
            <w:pPr>
              <w:spacing w:line="240" w:lineRule="auto"/>
              <w:contextualSpacing/>
              <w:jc w:val="center"/>
              <w:rPr>
                <w:szCs w:val="22"/>
                <w:u w:val="single"/>
                <w:lang w:val="sr-Latn-ME"/>
              </w:rPr>
            </w:pPr>
            <w:r w:rsidRPr="00B74B0F">
              <w:rPr>
                <w:szCs w:val="22"/>
                <w:u w:val="single"/>
                <w:lang w:val="sr-Latn-ME"/>
              </w:rPr>
              <w:t>-</w:t>
            </w:r>
          </w:p>
        </w:tc>
        <w:tc>
          <w:tcPr>
            <w:tcW w:w="2616" w:type="dxa"/>
            <w:gridSpan w:val="2"/>
            <w:shd w:val="clear" w:color="auto" w:fill="auto"/>
            <w:vAlign w:val="center"/>
          </w:tcPr>
          <w:p w14:paraId="455F683D" w14:textId="77777777" w:rsidR="007F331C" w:rsidRPr="00B74B0F" w:rsidRDefault="007F331C">
            <w:pPr>
              <w:spacing w:line="240" w:lineRule="auto"/>
              <w:contextualSpacing/>
              <w:jc w:val="center"/>
              <w:rPr>
                <w:szCs w:val="22"/>
                <w:u w:val="single"/>
                <w:lang w:val="sr-Latn-ME"/>
              </w:rPr>
            </w:pPr>
            <w:r w:rsidRPr="00B74B0F">
              <w:rPr>
                <w:szCs w:val="22"/>
                <w:u w:val="single"/>
                <w:lang w:val="sr-Latn-ME"/>
              </w:rPr>
              <w:t>33 (24, 42)</w:t>
            </w:r>
            <w:r w:rsidRPr="00B74B0F">
              <w:rPr>
                <w:szCs w:val="22"/>
                <w:u w:val="single"/>
                <w:vertAlign w:val="superscript"/>
                <w:lang w:val="sr-Latn-ME"/>
              </w:rPr>
              <w:t>d,e</w:t>
            </w:r>
          </w:p>
        </w:tc>
      </w:tr>
      <w:tr w:rsidR="00BF75A1" w:rsidRPr="00B74B0F" w14:paraId="25D6DFFE" w14:textId="77777777" w:rsidTr="00542622">
        <w:trPr>
          <w:trHeight w:val="271"/>
          <w:jc w:val="center"/>
        </w:trPr>
        <w:tc>
          <w:tcPr>
            <w:tcW w:w="1975" w:type="dxa"/>
            <w:shd w:val="clear" w:color="auto" w:fill="auto"/>
          </w:tcPr>
          <w:p w14:paraId="363236E1" w14:textId="68561C2D"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3F70239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45 (40, 50)</w:t>
            </w:r>
          </w:p>
        </w:tc>
        <w:tc>
          <w:tcPr>
            <w:tcW w:w="1530" w:type="dxa"/>
            <w:shd w:val="clear" w:color="auto" w:fill="auto"/>
            <w:vAlign w:val="center"/>
          </w:tcPr>
          <w:p w14:paraId="4C12272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73 (69, 78)</w:t>
            </w:r>
          </w:p>
        </w:tc>
        <w:tc>
          <w:tcPr>
            <w:tcW w:w="1350" w:type="dxa"/>
            <w:shd w:val="clear" w:color="auto" w:fill="auto"/>
            <w:vAlign w:val="center"/>
          </w:tcPr>
          <w:p w14:paraId="6F73FD9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67 (63, 72)</w:t>
            </w:r>
          </w:p>
        </w:tc>
        <w:tc>
          <w:tcPr>
            <w:tcW w:w="1260" w:type="dxa"/>
            <w:shd w:val="clear" w:color="auto" w:fill="auto"/>
            <w:vAlign w:val="center"/>
          </w:tcPr>
          <w:p w14:paraId="4FD3A90C"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20 (15, 26)</w:t>
            </w:r>
          </w:p>
        </w:tc>
        <w:tc>
          <w:tcPr>
            <w:tcW w:w="1356" w:type="dxa"/>
            <w:shd w:val="clear" w:color="auto" w:fill="auto"/>
            <w:vAlign w:val="center"/>
          </w:tcPr>
          <w:p w14:paraId="0609177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59</w:t>
            </w:r>
            <w:r w:rsidRPr="00B74B0F">
              <w:rPr>
                <w:szCs w:val="22"/>
                <w:u w:val="single"/>
                <w:vertAlign w:val="superscript"/>
                <w:lang w:val="sr-Latn-ME"/>
              </w:rPr>
              <w:t xml:space="preserve"> </w:t>
            </w:r>
            <w:r w:rsidRPr="00B74B0F">
              <w:rPr>
                <w:szCs w:val="22"/>
                <w:u w:val="single"/>
                <w:lang w:val="sr-Latn-ME"/>
              </w:rPr>
              <w:t>(53, 66)</w:t>
            </w:r>
          </w:p>
        </w:tc>
      </w:tr>
      <w:tr w:rsidR="00BF75A1" w:rsidRPr="00B74B0F" w14:paraId="086C0E59" w14:textId="77777777" w:rsidTr="00542622">
        <w:trPr>
          <w:trHeight w:val="271"/>
          <w:jc w:val="center"/>
        </w:trPr>
        <w:tc>
          <w:tcPr>
            <w:tcW w:w="1975" w:type="dxa"/>
            <w:shd w:val="clear" w:color="auto" w:fill="auto"/>
          </w:tcPr>
          <w:p w14:paraId="3F5BD4FC" w14:textId="02B507BA"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4106ACDA"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3821F0D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74 (70, 79)</w:t>
            </w:r>
          </w:p>
        </w:tc>
        <w:tc>
          <w:tcPr>
            <w:tcW w:w="1350" w:type="dxa"/>
            <w:shd w:val="clear" w:color="auto" w:fill="auto"/>
            <w:vAlign w:val="center"/>
          </w:tcPr>
          <w:p w14:paraId="0921A3E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69 (64, 73)</w:t>
            </w:r>
          </w:p>
        </w:tc>
        <w:tc>
          <w:tcPr>
            <w:tcW w:w="1260" w:type="dxa"/>
            <w:shd w:val="clear" w:color="auto" w:fill="7F7F7F" w:themeFill="text1" w:themeFillTint="80"/>
            <w:vAlign w:val="center"/>
          </w:tcPr>
          <w:p w14:paraId="6A98A98E"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7DAD9CF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60 (53, 66)</w:t>
            </w:r>
          </w:p>
        </w:tc>
      </w:tr>
      <w:tr w:rsidR="00BF75A1" w:rsidRPr="00B74B0F" w14:paraId="242A30A2" w14:textId="77777777" w:rsidTr="00542622">
        <w:trPr>
          <w:trHeight w:val="271"/>
          <w:jc w:val="center"/>
        </w:trPr>
        <w:tc>
          <w:tcPr>
            <w:tcW w:w="8911" w:type="dxa"/>
            <w:gridSpan w:val="6"/>
            <w:shd w:val="clear" w:color="auto" w:fill="auto"/>
            <w:vAlign w:val="center"/>
          </w:tcPr>
          <w:p w14:paraId="346F129F" w14:textId="31CD8B1A" w:rsidR="007F331C" w:rsidRPr="00B74B0F" w:rsidRDefault="007F331C" w:rsidP="00777B52">
            <w:pPr>
              <w:spacing w:line="240" w:lineRule="auto"/>
              <w:contextualSpacing/>
              <w:jc w:val="center"/>
              <w:rPr>
                <w:szCs w:val="22"/>
                <w:u w:val="single"/>
                <w:lang w:val="sr-Latn-ME"/>
              </w:rPr>
            </w:pPr>
            <w:r w:rsidRPr="00B74B0F">
              <w:rPr>
                <w:b/>
                <w:bCs/>
                <w:szCs w:val="22"/>
                <w:u w:val="single"/>
                <w:lang w:val="sr-Latn-ME"/>
              </w:rPr>
              <w:t xml:space="preserve">ACR50, % </w:t>
            </w:r>
            <w:r w:rsidR="0021189F" w:rsidRPr="00B74B0F">
              <w:rPr>
                <w:b/>
                <w:bCs/>
                <w:szCs w:val="22"/>
                <w:u w:val="single"/>
                <w:lang w:val="sr-Latn-ME"/>
              </w:rPr>
              <w:t>pacijenata</w:t>
            </w:r>
            <w:r w:rsidRPr="00B74B0F">
              <w:rPr>
                <w:b/>
                <w:bCs/>
                <w:szCs w:val="22"/>
                <w:u w:val="single"/>
                <w:lang w:val="sr-Latn-ME"/>
              </w:rPr>
              <w:t xml:space="preserve"> (interval pouzdanosti od 95%)</w:t>
            </w:r>
          </w:p>
        </w:tc>
      </w:tr>
      <w:tr w:rsidR="00BF75A1" w:rsidRPr="00B74B0F" w14:paraId="037F2009" w14:textId="77777777" w:rsidTr="00542622">
        <w:trPr>
          <w:trHeight w:val="261"/>
          <w:jc w:val="center"/>
        </w:trPr>
        <w:tc>
          <w:tcPr>
            <w:tcW w:w="1975" w:type="dxa"/>
            <w:shd w:val="clear" w:color="auto" w:fill="auto"/>
          </w:tcPr>
          <w:p w14:paraId="01988CA6" w14:textId="48F5F1EF"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12</w:t>
            </w:r>
          </w:p>
        </w:tc>
        <w:tc>
          <w:tcPr>
            <w:tcW w:w="1440" w:type="dxa"/>
            <w:shd w:val="clear" w:color="auto" w:fill="auto"/>
            <w:vAlign w:val="center"/>
          </w:tcPr>
          <w:p w14:paraId="54586EF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13 (10, 17)</w:t>
            </w:r>
          </w:p>
        </w:tc>
        <w:tc>
          <w:tcPr>
            <w:tcW w:w="1530" w:type="dxa"/>
            <w:shd w:val="clear" w:color="auto" w:fill="auto"/>
            <w:vAlign w:val="center"/>
          </w:tcPr>
          <w:p w14:paraId="5FA57EC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38 (33, 42)</w:t>
            </w:r>
          </w:p>
        </w:tc>
        <w:tc>
          <w:tcPr>
            <w:tcW w:w="1350" w:type="dxa"/>
            <w:shd w:val="clear" w:color="auto" w:fill="auto"/>
            <w:vAlign w:val="center"/>
          </w:tcPr>
          <w:p w14:paraId="6AFC7792"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38 (33, 42)</w:t>
            </w:r>
          </w:p>
        </w:tc>
        <w:tc>
          <w:tcPr>
            <w:tcW w:w="1260" w:type="dxa"/>
            <w:shd w:val="clear" w:color="auto" w:fill="auto"/>
            <w:vAlign w:val="center"/>
          </w:tcPr>
          <w:p w14:paraId="7284047D"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 (2, 8)</w:t>
            </w:r>
          </w:p>
        </w:tc>
        <w:tc>
          <w:tcPr>
            <w:tcW w:w="1356" w:type="dxa"/>
            <w:shd w:val="clear" w:color="auto" w:fill="auto"/>
            <w:vAlign w:val="center"/>
          </w:tcPr>
          <w:p w14:paraId="4DAD115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32</w:t>
            </w:r>
            <w:r w:rsidRPr="00B74B0F">
              <w:rPr>
                <w:szCs w:val="22"/>
                <w:u w:val="single"/>
                <w:vertAlign w:val="superscript"/>
                <w:lang w:val="sr-Latn-ME"/>
              </w:rPr>
              <w:t xml:space="preserve"> </w:t>
            </w:r>
            <w:r w:rsidRPr="00B74B0F">
              <w:rPr>
                <w:szCs w:val="22"/>
                <w:u w:val="single"/>
                <w:lang w:val="sr-Latn-ME"/>
              </w:rPr>
              <w:t>(26, 38)</w:t>
            </w:r>
          </w:p>
        </w:tc>
      </w:tr>
      <w:tr w:rsidR="00BF75A1" w:rsidRPr="00B74B0F" w14:paraId="5131F481" w14:textId="77777777" w:rsidTr="00542622">
        <w:trPr>
          <w:trHeight w:val="271"/>
          <w:jc w:val="center"/>
        </w:trPr>
        <w:tc>
          <w:tcPr>
            <w:tcW w:w="1975" w:type="dxa"/>
            <w:shd w:val="clear" w:color="auto" w:fill="auto"/>
          </w:tcPr>
          <w:p w14:paraId="3EFC9C30" w14:textId="17C36F33"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7C00A9A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19 (15, 23)</w:t>
            </w:r>
          </w:p>
        </w:tc>
        <w:tc>
          <w:tcPr>
            <w:tcW w:w="1530" w:type="dxa"/>
            <w:shd w:val="clear" w:color="auto" w:fill="auto"/>
            <w:vAlign w:val="center"/>
          </w:tcPr>
          <w:p w14:paraId="4078C80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52 (48, 57)</w:t>
            </w:r>
          </w:p>
        </w:tc>
        <w:tc>
          <w:tcPr>
            <w:tcW w:w="1350" w:type="dxa"/>
            <w:shd w:val="clear" w:color="auto" w:fill="auto"/>
            <w:vAlign w:val="center"/>
          </w:tcPr>
          <w:p w14:paraId="749D968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44 (40, 49)</w:t>
            </w:r>
          </w:p>
        </w:tc>
        <w:tc>
          <w:tcPr>
            <w:tcW w:w="1260" w:type="dxa"/>
            <w:shd w:val="clear" w:color="auto" w:fill="auto"/>
            <w:vAlign w:val="center"/>
          </w:tcPr>
          <w:p w14:paraId="5CA4431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9 (6, 13)</w:t>
            </w:r>
          </w:p>
        </w:tc>
        <w:tc>
          <w:tcPr>
            <w:tcW w:w="1356" w:type="dxa"/>
            <w:shd w:val="clear" w:color="auto" w:fill="auto"/>
            <w:vAlign w:val="center"/>
          </w:tcPr>
          <w:p w14:paraId="24AE63A8"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38</w:t>
            </w:r>
            <w:r w:rsidRPr="00B74B0F">
              <w:rPr>
                <w:szCs w:val="22"/>
                <w:u w:val="single"/>
                <w:vertAlign w:val="superscript"/>
                <w:lang w:val="sr-Latn-ME"/>
              </w:rPr>
              <w:t xml:space="preserve"> </w:t>
            </w:r>
            <w:r w:rsidRPr="00B74B0F">
              <w:rPr>
                <w:szCs w:val="22"/>
                <w:u w:val="single"/>
                <w:lang w:val="sr-Latn-ME"/>
              </w:rPr>
              <w:t>(32, 45)</w:t>
            </w:r>
          </w:p>
        </w:tc>
      </w:tr>
      <w:tr w:rsidR="00BF75A1" w:rsidRPr="00B74B0F" w14:paraId="703A624F" w14:textId="77777777" w:rsidTr="00542622">
        <w:trPr>
          <w:trHeight w:val="271"/>
          <w:jc w:val="center"/>
        </w:trPr>
        <w:tc>
          <w:tcPr>
            <w:tcW w:w="1975" w:type="dxa"/>
            <w:shd w:val="clear" w:color="auto" w:fill="auto"/>
          </w:tcPr>
          <w:p w14:paraId="047DD5DA" w14:textId="471962B3"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6A81CFA1"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11073F9D"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60 (55, 64)</w:t>
            </w:r>
          </w:p>
        </w:tc>
        <w:tc>
          <w:tcPr>
            <w:tcW w:w="1350" w:type="dxa"/>
            <w:shd w:val="clear" w:color="auto" w:fill="auto"/>
            <w:vAlign w:val="center"/>
          </w:tcPr>
          <w:p w14:paraId="5E2021A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51 (47, 56)</w:t>
            </w:r>
          </w:p>
        </w:tc>
        <w:tc>
          <w:tcPr>
            <w:tcW w:w="1260" w:type="dxa"/>
            <w:shd w:val="clear" w:color="auto" w:fill="7F7F7F" w:themeFill="text1" w:themeFillTint="80"/>
            <w:vAlign w:val="center"/>
          </w:tcPr>
          <w:p w14:paraId="11B71527"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37B32FB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41 (34, 47)</w:t>
            </w:r>
          </w:p>
        </w:tc>
      </w:tr>
      <w:tr w:rsidR="00BF75A1" w:rsidRPr="00B74B0F" w14:paraId="76C5DB48" w14:textId="77777777" w:rsidTr="00542622">
        <w:trPr>
          <w:trHeight w:val="271"/>
          <w:jc w:val="center"/>
        </w:trPr>
        <w:tc>
          <w:tcPr>
            <w:tcW w:w="8911" w:type="dxa"/>
            <w:gridSpan w:val="6"/>
            <w:shd w:val="clear" w:color="auto" w:fill="auto"/>
            <w:vAlign w:val="center"/>
          </w:tcPr>
          <w:p w14:paraId="0ADA60F2" w14:textId="79A83DC9" w:rsidR="007F331C" w:rsidRPr="00B74B0F" w:rsidRDefault="007F331C" w:rsidP="00777B52">
            <w:pPr>
              <w:spacing w:line="240" w:lineRule="auto"/>
              <w:contextualSpacing/>
              <w:jc w:val="center"/>
              <w:rPr>
                <w:szCs w:val="22"/>
                <w:u w:val="single"/>
                <w:lang w:val="sr-Latn-ME"/>
              </w:rPr>
            </w:pPr>
            <w:r w:rsidRPr="00B74B0F">
              <w:rPr>
                <w:b/>
                <w:bCs/>
                <w:szCs w:val="22"/>
                <w:u w:val="single"/>
                <w:lang w:val="sr-Latn-ME"/>
              </w:rPr>
              <w:t xml:space="preserve">ACR70, % </w:t>
            </w:r>
            <w:r w:rsidR="0021189F" w:rsidRPr="00B74B0F">
              <w:rPr>
                <w:b/>
                <w:bCs/>
                <w:szCs w:val="22"/>
                <w:u w:val="single"/>
                <w:lang w:val="sr-Latn-ME"/>
              </w:rPr>
              <w:t>pacijenata</w:t>
            </w:r>
            <w:r w:rsidRPr="00B74B0F">
              <w:rPr>
                <w:b/>
                <w:bCs/>
                <w:szCs w:val="22"/>
                <w:u w:val="single"/>
                <w:lang w:val="sr-Latn-ME"/>
              </w:rPr>
              <w:t xml:space="preserve"> (interval pouzdanosti od 95%)</w:t>
            </w:r>
          </w:p>
        </w:tc>
      </w:tr>
      <w:tr w:rsidR="00BF75A1" w:rsidRPr="00B74B0F" w14:paraId="2B9E5A6D" w14:textId="77777777" w:rsidTr="00542622">
        <w:trPr>
          <w:trHeight w:val="271"/>
          <w:jc w:val="center"/>
        </w:trPr>
        <w:tc>
          <w:tcPr>
            <w:tcW w:w="1975" w:type="dxa"/>
            <w:shd w:val="clear" w:color="auto" w:fill="auto"/>
          </w:tcPr>
          <w:p w14:paraId="1F7A6247" w14:textId="2BE03A7C"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12</w:t>
            </w:r>
          </w:p>
        </w:tc>
        <w:tc>
          <w:tcPr>
            <w:tcW w:w="1440" w:type="dxa"/>
            <w:shd w:val="clear" w:color="auto" w:fill="auto"/>
            <w:vAlign w:val="center"/>
          </w:tcPr>
          <w:p w14:paraId="351900DB"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 (1, 4)</w:t>
            </w:r>
          </w:p>
        </w:tc>
        <w:tc>
          <w:tcPr>
            <w:tcW w:w="1530" w:type="dxa"/>
            <w:shd w:val="clear" w:color="auto" w:fill="auto"/>
            <w:vAlign w:val="center"/>
          </w:tcPr>
          <w:p w14:paraId="1B429AD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16</w:t>
            </w:r>
            <w:r w:rsidRPr="00B74B0F">
              <w:rPr>
                <w:szCs w:val="22"/>
                <w:u w:val="single"/>
                <w:vertAlign w:val="superscript"/>
                <w:lang w:val="sr-Latn-ME"/>
              </w:rPr>
              <w:t xml:space="preserve"> </w:t>
            </w:r>
            <w:r w:rsidRPr="00B74B0F">
              <w:rPr>
                <w:szCs w:val="22"/>
                <w:u w:val="single"/>
                <w:lang w:val="sr-Latn-ME"/>
              </w:rPr>
              <w:t>(12, 19)</w:t>
            </w:r>
          </w:p>
        </w:tc>
        <w:tc>
          <w:tcPr>
            <w:tcW w:w="1350" w:type="dxa"/>
            <w:shd w:val="clear" w:color="auto" w:fill="auto"/>
            <w:vAlign w:val="center"/>
          </w:tcPr>
          <w:p w14:paraId="653AF64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14 (11, 17)</w:t>
            </w:r>
          </w:p>
        </w:tc>
        <w:tc>
          <w:tcPr>
            <w:tcW w:w="1260" w:type="dxa"/>
            <w:shd w:val="clear" w:color="auto" w:fill="auto"/>
            <w:vAlign w:val="center"/>
          </w:tcPr>
          <w:p w14:paraId="2208042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 (0, 1)</w:t>
            </w:r>
          </w:p>
        </w:tc>
        <w:tc>
          <w:tcPr>
            <w:tcW w:w="1356" w:type="dxa"/>
            <w:shd w:val="clear" w:color="auto" w:fill="auto"/>
            <w:vAlign w:val="center"/>
          </w:tcPr>
          <w:p w14:paraId="289307C8"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9</w:t>
            </w:r>
            <w:r w:rsidRPr="00B74B0F">
              <w:rPr>
                <w:szCs w:val="22"/>
                <w:u w:val="single"/>
                <w:vertAlign w:val="superscript"/>
                <w:lang w:val="sr-Latn-ME"/>
              </w:rPr>
              <w:t xml:space="preserve"> </w:t>
            </w:r>
            <w:r w:rsidRPr="00B74B0F">
              <w:rPr>
                <w:szCs w:val="22"/>
                <w:u w:val="single"/>
                <w:lang w:val="sr-Latn-ME"/>
              </w:rPr>
              <w:t>(5, 12)</w:t>
            </w:r>
          </w:p>
        </w:tc>
      </w:tr>
      <w:tr w:rsidR="00BF75A1" w:rsidRPr="00B74B0F" w14:paraId="5DC557FA" w14:textId="77777777" w:rsidTr="00542622">
        <w:trPr>
          <w:trHeight w:val="261"/>
          <w:jc w:val="center"/>
        </w:trPr>
        <w:tc>
          <w:tcPr>
            <w:tcW w:w="1975" w:type="dxa"/>
            <w:shd w:val="clear" w:color="auto" w:fill="auto"/>
          </w:tcPr>
          <w:p w14:paraId="74FFC81C" w14:textId="57849752"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13ACC31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 (3, 7)</w:t>
            </w:r>
          </w:p>
        </w:tc>
        <w:tc>
          <w:tcPr>
            <w:tcW w:w="1530" w:type="dxa"/>
            <w:shd w:val="clear" w:color="auto" w:fill="auto"/>
            <w:vAlign w:val="center"/>
          </w:tcPr>
          <w:p w14:paraId="65C46EC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29</w:t>
            </w:r>
            <w:r w:rsidRPr="00B74B0F">
              <w:rPr>
                <w:szCs w:val="22"/>
                <w:u w:val="single"/>
                <w:vertAlign w:val="superscript"/>
                <w:lang w:val="sr-Latn-ME"/>
              </w:rPr>
              <w:t xml:space="preserve"> </w:t>
            </w:r>
            <w:r w:rsidRPr="00B74B0F">
              <w:rPr>
                <w:szCs w:val="22"/>
                <w:u w:val="single"/>
                <w:lang w:val="sr-Latn-ME"/>
              </w:rPr>
              <w:t>(24, 33)</w:t>
            </w:r>
          </w:p>
        </w:tc>
        <w:tc>
          <w:tcPr>
            <w:tcW w:w="1350" w:type="dxa"/>
            <w:shd w:val="clear" w:color="auto" w:fill="auto"/>
            <w:vAlign w:val="center"/>
          </w:tcPr>
          <w:p w14:paraId="3BDA3E4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23 (19, 27)</w:t>
            </w:r>
          </w:p>
        </w:tc>
        <w:tc>
          <w:tcPr>
            <w:tcW w:w="1260" w:type="dxa"/>
            <w:shd w:val="clear" w:color="auto" w:fill="auto"/>
            <w:vAlign w:val="center"/>
          </w:tcPr>
          <w:p w14:paraId="3E93106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 (0, 2)</w:t>
            </w:r>
          </w:p>
        </w:tc>
        <w:tc>
          <w:tcPr>
            <w:tcW w:w="1356" w:type="dxa"/>
            <w:shd w:val="clear" w:color="auto" w:fill="auto"/>
            <w:vAlign w:val="center"/>
          </w:tcPr>
          <w:p w14:paraId="2AE99351" w14:textId="37EAD1F5" w:rsidR="007F331C" w:rsidRPr="00B74B0F" w:rsidRDefault="007F331C">
            <w:pPr>
              <w:spacing w:line="240" w:lineRule="auto"/>
              <w:contextualSpacing/>
              <w:jc w:val="both"/>
              <w:rPr>
                <w:szCs w:val="22"/>
                <w:u w:val="single"/>
                <w:lang w:val="sr-Latn-ME"/>
              </w:rPr>
            </w:pPr>
            <w:r w:rsidRPr="00B74B0F">
              <w:rPr>
                <w:szCs w:val="22"/>
                <w:u w:val="single"/>
                <w:lang w:val="sr-Latn-ME"/>
              </w:rPr>
              <w:t>19</w:t>
            </w:r>
            <w:r w:rsidRPr="00B74B0F">
              <w:rPr>
                <w:szCs w:val="22"/>
                <w:u w:val="single"/>
                <w:vertAlign w:val="superscript"/>
                <w:lang w:val="sr-Latn-ME"/>
              </w:rPr>
              <w:t xml:space="preserve"> </w:t>
            </w:r>
            <w:r w:rsidR="00835CD5" w:rsidRPr="00B74B0F">
              <w:rPr>
                <w:szCs w:val="22"/>
                <w:u w:val="single"/>
                <w:vertAlign w:val="superscript"/>
                <w:lang w:val="sr-Latn-ME"/>
              </w:rPr>
              <w:t xml:space="preserve"> </w:t>
            </w:r>
            <w:r w:rsidRPr="00B74B0F">
              <w:rPr>
                <w:szCs w:val="22"/>
                <w:u w:val="single"/>
                <w:lang w:val="sr-Latn-ME"/>
              </w:rPr>
              <w:t>(14, 25)</w:t>
            </w:r>
          </w:p>
        </w:tc>
      </w:tr>
      <w:tr w:rsidR="00BF75A1" w:rsidRPr="00B74B0F" w14:paraId="6BA872F6" w14:textId="77777777" w:rsidTr="00542622">
        <w:trPr>
          <w:trHeight w:val="261"/>
          <w:jc w:val="center"/>
        </w:trPr>
        <w:tc>
          <w:tcPr>
            <w:tcW w:w="1975" w:type="dxa"/>
            <w:shd w:val="clear" w:color="auto" w:fill="auto"/>
          </w:tcPr>
          <w:p w14:paraId="76CCEB95" w14:textId="657C07C8"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2E76A432"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1885EFC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41 (36, 45)</w:t>
            </w:r>
          </w:p>
        </w:tc>
        <w:tc>
          <w:tcPr>
            <w:tcW w:w="1350" w:type="dxa"/>
            <w:shd w:val="clear" w:color="auto" w:fill="auto"/>
            <w:vAlign w:val="center"/>
          </w:tcPr>
          <w:p w14:paraId="654B6D9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31 (27, 36)</w:t>
            </w:r>
          </w:p>
        </w:tc>
        <w:tc>
          <w:tcPr>
            <w:tcW w:w="1260" w:type="dxa"/>
            <w:shd w:val="clear" w:color="auto" w:fill="7F7F7F" w:themeFill="text1" w:themeFillTint="80"/>
            <w:vAlign w:val="center"/>
          </w:tcPr>
          <w:p w14:paraId="19B74532"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26E649C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24 (18, 30)</w:t>
            </w:r>
          </w:p>
        </w:tc>
      </w:tr>
      <w:tr w:rsidR="00BF75A1" w:rsidRPr="00B74B0F" w14:paraId="533A6C11" w14:textId="77777777" w:rsidTr="00542622">
        <w:trPr>
          <w:trHeight w:val="271"/>
          <w:jc w:val="center"/>
        </w:trPr>
        <w:tc>
          <w:tcPr>
            <w:tcW w:w="8911" w:type="dxa"/>
            <w:gridSpan w:val="6"/>
            <w:shd w:val="clear" w:color="auto" w:fill="auto"/>
            <w:vAlign w:val="center"/>
          </w:tcPr>
          <w:p w14:paraId="384F3F41" w14:textId="1D102951" w:rsidR="007F331C" w:rsidRPr="00B74B0F" w:rsidRDefault="007F331C" w:rsidP="00777B52">
            <w:pPr>
              <w:spacing w:line="240" w:lineRule="auto"/>
              <w:contextualSpacing/>
              <w:jc w:val="center"/>
              <w:rPr>
                <w:szCs w:val="22"/>
                <w:u w:val="single"/>
                <w:lang w:val="sr-Latn-ME"/>
              </w:rPr>
            </w:pPr>
            <w:r w:rsidRPr="00B74B0F">
              <w:rPr>
                <w:b/>
                <w:bCs/>
                <w:szCs w:val="22"/>
                <w:u w:val="single"/>
                <w:lang w:val="sr-Latn-ME"/>
              </w:rPr>
              <w:t xml:space="preserve">MDA, % </w:t>
            </w:r>
            <w:r w:rsidR="0021189F" w:rsidRPr="00B74B0F">
              <w:rPr>
                <w:b/>
                <w:bCs/>
                <w:szCs w:val="22"/>
                <w:u w:val="single"/>
                <w:lang w:val="sr-Latn-ME"/>
              </w:rPr>
              <w:t>pacijenata</w:t>
            </w:r>
            <w:r w:rsidRPr="00B74B0F">
              <w:rPr>
                <w:b/>
                <w:bCs/>
                <w:szCs w:val="22"/>
                <w:u w:val="single"/>
                <w:lang w:val="sr-Latn-ME"/>
              </w:rPr>
              <w:t xml:space="preserve"> (interval pouzdanosti od 95%)</w:t>
            </w:r>
          </w:p>
        </w:tc>
      </w:tr>
      <w:tr w:rsidR="00BF75A1" w:rsidRPr="00B74B0F" w14:paraId="304881F0" w14:textId="77777777" w:rsidTr="00542622">
        <w:trPr>
          <w:trHeight w:val="271"/>
          <w:jc w:val="center"/>
        </w:trPr>
        <w:tc>
          <w:tcPr>
            <w:tcW w:w="1975" w:type="dxa"/>
            <w:shd w:val="clear" w:color="auto" w:fill="auto"/>
          </w:tcPr>
          <w:p w14:paraId="03509EA6" w14:textId="76C1F486"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12</w:t>
            </w:r>
          </w:p>
        </w:tc>
        <w:tc>
          <w:tcPr>
            <w:tcW w:w="1440" w:type="dxa"/>
            <w:shd w:val="clear" w:color="auto" w:fill="auto"/>
            <w:vAlign w:val="center"/>
          </w:tcPr>
          <w:p w14:paraId="46E2EAF2"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 (4, 9)</w:t>
            </w:r>
          </w:p>
        </w:tc>
        <w:tc>
          <w:tcPr>
            <w:tcW w:w="1530" w:type="dxa"/>
            <w:shd w:val="clear" w:color="auto" w:fill="auto"/>
            <w:vAlign w:val="center"/>
          </w:tcPr>
          <w:p w14:paraId="0A5C18F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25</w:t>
            </w:r>
            <w:r w:rsidRPr="00B74B0F">
              <w:rPr>
                <w:szCs w:val="22"/>
                <w:u w:val="single"/>
                <w:vertAlign w:val="superscript"/>
                <w:lang w:val="sr-Latn-ME"/>
              </w:rPr>
              <w:t xml:space="preserve"> </w:t>
            </w:r>
            <w:r w:rsidRPr="00B74B0F">
              <w:rPr>
                <w:szCs w:val="22"/>
                <w:u w:val="single"/>
                <w:lang w:val="sr-Latn-ME"/>
              </w:rPr>
              <w:t>(21, 29)</w:t>
            </w:r>
          </w:p>
        </w:tc>
        <w:tc>
          <w:tcPr>
            <w:tcW w:w="1350" w:type="dxa"/>
            <w:shd w:val="clear" w:color="auto" w:fill="auto"/>
            <w:vAlign w:val="center"/>
          </w:tcPr>
          <w:p w14:paraId="0A35838F"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25 (21, 29)</w:t>
            </w:r>
          </w:p>
        </w:tc>
        <w:tc>
          <w:tcPr>
            <w:tcW w:w="1260" w:type="dxa"/>
            <w:shd w:val="clear" w:color="auto" w:fill="auto"/>
            <w:vAlign w:val="center"/>
          </w:tcPr>
          <w:p w14:paraId="4204CCA8"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 (2, 7)</w:t>
            </w:r>
          </w:p>
        </w:tc>
        <w:tc>
          <w:tcPr>
            <w:tcW w:w="1356" w:type="dxa"/>
            <w:shd w:val="clear" w:color="auto" w:fill="auto"/>
            <w:vAlign w:val="center"/>
          </w:tcPr>
          <w:p w14:paraId="4D2C1C5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17</w:t>
            </w:r>
            <w:r w:rsidRPr="00B74B0F">
              <w:rPr>
                <w:szCs w:val="22"/>
                <w:u w:val="single"/>
                <w:vertAlign w:val="superscript"/>
                <w:lang w:val="sr-Latn-ME"/>
              </w:rPr>
              <w:t xml:space="preserve"> </w:t>
            </w:r>
            <w:r w:rsidRPr="00B74B0F">
              <w:rPr>
                <w:szCs w:val="22"/>
                <w:u w:val="single"/>
                <w:lang w:val="sr-Latn-ME"/>
              </w:rPr>
              <w:t>(12, 22)</w:t>
            </w:r>
          </w:p>
        </w:tc>
      </w:tr>
      <w:tr w:rsidR="00BF75A1" w:rsidRPr="00B74B0F" w14:paraId="0D338201" w14:textId="77777777" w:rsidTr="00542622">
        <w:trPr>
          <w:trHeight w:val="271"/>
          <w:jc w:val="center"/>
        </w:trPr>
        <w:tc>
          <w:tcPr>
            <w:tcW w:w="1975" w:type="dxa"/>
            <w:shd w:val="clear" w:color="auto" w:fill="auto"/>
          </w:tcPr>
          <w:p w14:paraId="68AD9479" w14:textId="62CF3C1B"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6625E05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12 (9, 15)</w:t>
            </w:r>
          </w:p>
        </w:tc>
        <w:tc>
          <w:tcPr>
            <w:tcW w:w="1530" w:type="dxa"/>
            <w:shd w:val="clear" w:color="auto" w:fill="auto"/>
            <w:vAlign w:val="center"/>
          </w:tcPr>
          <w:p w14:paraId="561B4EA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37</w:t>
            </w:r>
            <w:r w:rsidRPr="00B74B0F">
              <w:rPr>
                <w:szCs w:val="22"/>
                <w:u w:val="single"/>
                <w:vertAlign w:val="superscript"/>
                <w:lang w:val="sr-Latn-ME"/>
              </w:rPr>
              <w:t xml:space="preserve"> </w:t>
            </w:r>
            <w:r w:rsidRPr="00B74B0F">
              <w:rPr>
                <w:szCs w:val="22"/>
                <w:u w:val="single"/>
                <w:lang w:val="sr-Latn-ME"/>
              </w:rPr>
              <w:t>(32, 41)</w:t>
            </w:r>
            <w:r w:rsidRPr="00B74B0F">
              <w:rPr>
                <w:szCs w:val="22"/>
                <w:u w:val="single"/>
                <w:vertAlign w:val="superscript"/>
                <w:lang w:val="sr-Latn-ME"/>
              </w:rPr>
              <w:t>e</w:t>
            </w:r>
          </w:p>
        </w:tc>
        <w:tc>
          <w:tcPr>
            <w:tcW w:w="1350" w:type="dxa"/>
            <w:shd w:val="clear" w:color="auto" w:fill="auto"/>
            <w:vAlign w:val="center"/>
          </w:tcPr>
          <w:p w14:paraId="70A5449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33 (29, 38)</w:t>
            </w:r>
          </w:p>
        </w:tc>
        <w:tc>
          <w:tcPr>
            <w:tcW w:w="1260" w:type="dxa"/>
            <w:shd w:val="clear" w:color="auto" w:fill="auto"/>
            <w:vAlign w:val="center"/>
          </w:tcPr>
          <w:p w14:paraId="0F45529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 (1, 5)</w:t>
            </w:r>
          </w:p>
        </w:tc>
        <w:tc>
          <w:tcPr>
            <w:tcW w:w="1356" w:type="dxa"/>
            <w:shd w:val="clear" w:color="auto" w:fill="auto"/>
            <w:vAlign w:val="center"/>
          </w:tcPr>
          <w:p w14:paraId="717E1689"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25</w:t>
            </w:r>
            <w:r w:rsidRPr="00B74B0F">
              <w:rPr>
                <w:szCs w:val="22"/>
                <w:u w:val="single"/>
                <w:vertAlign w:val="superscript"/>
                <w:lang w:val="sr-Latn-ME"/>
              </w:rPr>
              <w:t xml:space="preserve"> </w:t>
            </w:r>
            <w:r w:rsidRPr="00B74B0F">
              <w:rPr>
                <w:szCs w:val="22"/>
                <w:u w:val="single"/>
                <w:lang w:val="sr-Latn-ME"/>
              </w:rPr>
              <w:t>(19, 31)</w:t>
            </w:r>
            <w:r w:rsidRPr="00B74B0F">
              <w:rPr>
                <w:szCs w:val="22"/>
                <w:u w:val="single"/>
                <w:vertAlign w:val="superscript"/>
                <w:lang w:val="sr-Latn-ME"/>
              </w:rPr>
              <w:t>e</w:t>
            </w:r>
          </w:p>
        </w:tc>
      </w:tr>
      <w:tr w:rsidR="00BF75A1" w:rsidRPr="00B74B0F" w14:paraId="1EECB538" w14:textId="77777777" w:rsidTr="00542622">
        <w:trPr>
          <w:trHeight w:val="271"/>
          <w:jc w:val="center"/>
        </w:trPr>
        <w:tc>
          <w:tcPr>
            <w:tcW w:w="1975" w:type="dxa"/>
            <w:shd w:val="clear" w:color="auto" w:fill="auto"/>
          </w:tcPr>
          <w:p w14:paraId="0C0F1A23" w14:textId="474FDE48"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3A6A65EA"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1ED49A8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45 (40, 50)</w:t>
            </w:r>
          </w:p>
        </w:tc>
        <w:tc>
          <w:tcPr>
            <w:tcW w:w="1350" w:type="dxa"/>
            <w:shd w:val="clear" w:color="auto" w:fill="auto"/>
            <w:vAlign w:val="center"/>
          </w:tcPr>
          <w:p w14:paraId="5D37E7D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40 (35, 44)</w:t>
            </w:r>
          </w:p>
        </w:tc>
        <w:tc>
          <w:tcPr>
            <w:tcW w:w="1260" w:type="dxa"/>
            <w:shd w:val="clear" w:color="auto" w:fill="7F7F7F" w:themeFill="text1" w:themeFillTint="80"/>
            <w:vAlign w:val="center"/>
          </w:tcPr>
          <w:p w14:paraId="44C5AD39"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6E932B3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29 (23, 36)</w:t>
            </w:r>
          </w:p>
        </w:tc>
      </w:tr>
      <w:tr w:rsidR="00BF75A1" w:rsidRPr="00B74B0F" w14:paraId="2980ED87" w14:textId="77777777" w:rsidTr="00542622">
        <w:trPr>
          <w:trHeight w:val="261"/>
          <w:jc w:val="center"/>
        </w:trPr>
        <w:tc>
          <w:tcPr>
            <w:tcW w:w="8911" w:type="dxa"/>
            <w:gridSpan w:val="6"/>
            <w:shd w:val="clear" w:color="auto" w:fill="auto"/>
            <w:vAlign w:val="center"/>
          </w:tcPr>
          <w:p w14:paraId="79F0E4A8" w14:textId="7BCE68FD" w:rsidR="007F331C" w:rsidRPr="00B74B0F" w:rsidRDefault="007F331C" w:rsidP="00777B52">
            <w:pPr>
              <w:spacing w:line="240" w:lineRule="auto"/>
              <w:contextualSpacing/>
              <w:jc w:val="center"/>
              <w:rPr>
                <w:b/>
                <w:bCs/>
                <w:szCs w:val="22"/>
                <w:u w:val="single"/>
                <w:lang w:val="sr-Latn-ME"/>
              </w:rPr>
            </w:pPr>
            <w:r w:rsidRPr="00B74B0F">
              <w:rPr>
                <w:b/>
                <w:bCs/>
                <w:szCs w:val="22"/>
                <w:u w:val="single"/>
                <w:lang w:val="sr-Latn-ME"/>
              </w:rPr>
              <w:t xml:space="preserve">Povlačenje entezitisa (LEI=0), % </w:t>
            </w:r>
            <w:r w:rsidR="0021189F" w:rsidRPr="00B74B0F">
              <w:rPr>
                <w:b/>
                <w:bCs/>
                <w:szCs w:val="22"/>
                <w:u w:val="single"/>
                <w:lang w:val="sr-Latn-ME"/>
              </w:rPr>
              <w:t>pacijenata</w:t>
            </w:r>
            <w:r w:rsidRPr="00B74B0F">
              <w:rPr>
                <w:b/>
                <w:bCs/>
                <w:szCs w:val="22"/>
                <w:u w:val="single"/>
                <w:lang w:val="sr-Latn-ME"/>
              </w:rPr>
              <w:t xml:space="preserve"> (interval pouzdanosti od 95%)</w:t>
            </w:r>
            <w:r w:rsidRPr="00B74B0F">
              <w:rPr>
                <w:b/>
                <w:szCs w:val="22"/>
                <w:u w:val="single"/>
                <w:vertAlign w:val="superscript"/>
                <w:lang w:val="sr-Latn-ME"/>
              </w:rPr>
              <w:t>a</w:t>
            </w:r>
          </w:p>
        </w:tc>
      </w:tr>
      <w:tr w:rsidR="00BF75A1" w:rsidRPr="00B74B0F" w14:paraId="31188324" w14:textId="77777777" w:rsidTr="00542622">
        <w:trPr>
          <w:trHeight w:val="271"/>
          <w:jc w:val="center"/>
        </w:trPr>
        <w:tc>
          <w:tcPr>
            <w:tcW w:w="1975" w:type="dxa"/>
            <w:shd w:val="clear" w:color="auto" w:fill="auto"/>
          </w:tcPr>
          <w:p w14:paraId="52252E7B" w14:textId="45DBE959"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12</w:t>
            </w:r>
          </w:p>
        </w:tc>
        <w:tc>
          <w:tcPr>
            <w:tcW w:w="1440" w:type="dxa"/>
            <w:shd w:val="clear" w:color="auto" w:fill="auto"/>
            <w:vAlign w:val="center"/>
          </w:tcPr>
          <w:p w14:paraId="777507BC"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33 (27, 39)</w:t>
            </w:r>
          </w:p>
        </w:tc>
        <w:tc>
          <w:tcPr>
            <w:tcW w:w="1530" w:type="dxa"/>
            <w:shd w:val="clear" w:color="auto" w:fill="auto"/>
            <w:vAlign w:val="center"/>
          </w:tcPr>
          <w:p w14:paraId="5FB6BC7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47 (42, 53)</w:t>
            </w:r>
          </w:p>
        </w:tc>
        <w:tc>
          <w:tcPr>
            <w:tcW w:w="1350" w:type="dxa"/>
            <w:shd w:val="clear" w:color="auto" w:fill="auto"/>
            <w:vAlign w:val="center"/>
          </w:tcPr>
          <w:p w14:paraId="006832B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47 (41, 53)</w:t>
            </w:r>
          </w:p>
        </w:tc>
        <w:tc>
          <w:tcPr>
            <w:tcW w:w="1260" w:type="dxa"/>
            <w:shd w:val="clear" w:color="auto" w:fill="auto"/>
            <w:vAlign w:val="center"/>
          </w:tcPr>
          <w:p w14:paraId="386E4D0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20 (14, 27)</w:t>
            </w:r>
          </w:p>
        </w:tc>
        <w:tc>
          <w:tcPr>
            <w:tcW w:w="1356" w:type="dxa"/>
            <w:shd w:val="clear" w:color="auto" w:fill="auto"/>
            <w:vAlign w:val="center"/>
          </w:tcPr>
          <w:p w14:paraId="7A8DE85F"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39</w:t>
            </w:r>
            <w:r w:rsidRPr="00B74B0F">
              <w:rPr>
                <w:szCs w:val="22"/>
                <w:u w:val="single"/>
                <w:vertAlign w:val="superscript"/>
                <w:lang w:val="sr-Latn-ME"/>
              </w:rPr>
              <w:t xml:space="preserve"> </w:t>
            </w:r>
            <w:r w:rsidRPr="00B74B0F">
              <w:rPr>
                <w:szCs w:val="22"/>
                <w:u w:val="single"/>
                <w:lang w:val="sr-Latn-ME"/>
              </w:rPr>
              <w:t>(31, 47)</w:t>
            </w:r>
          </w:p>
        </w:tc>
      </w:tr>
      <w:tr w:rsidR="00BF75A1" w:rsidRPr="00B74B0F" w14:paraId="6C01167D" w14:textId="77777777" w:rsidTr="00542622">
        <w:trPr>
          <w:trHeight w:val="271"/>
          <w:jc w:val="center"/>
        </w:trPr>
        <w:tc>
          <w:tcPr>
            <w:tcW w:w="1975" w:type="dxa"/>
            <w:shd w:val="clear" w:color="auto" w:fill="auto"/>
          </w:tcPr>
          <w:p w14:paraId="146BD505" w14:textId="5B4A9FF3"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07D7EB99"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32 (27, 39)</w:t>
            </w:r>
          </w:p>
        </w:tc>
        <w:tc>
          <w:tcPr>
            <w:tcW w:w="1530" w:type="dxa"/>
            <w:shd w:val="clear" w:color="auto" w:fill="auto"/>
            <w:vAlign w:val="center"/>
          </w:tcPr>
          <w:p w14:paraId="01760AB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54</w:t>
            </w:r>
            <w:r w:rsidRPr="00B74B0F">
              <w:rPr>
                <w:szCs w:val="22"/>
                <w:u w:val="single"/>
                <w:vertAlign w:val="superscript"/>
                <w:lang w:val="sr-Latn-ME"/>
              </w:rPr>
              <w:t xml:space="preserve"> </w:t>
            </w:r>
            <w:r w:rsidRPr="00B74B0F">
              <w:rPr>
                <w:szCs w:val="22"/>
                <w:u w:val="single"/>
                <w:lang w:val="sr-Latn-ME"/>
              </w:rPr>
              <w:t>(48, 60)</w:t>
            </w:r>
            <w:r w:rsidRPr="00B74B0F">
              <w:rPr>
                <w:szCs w:val="22"/>
                <w:u w:val="single"/>
                <w:vertAlign w:val="superscript"/>
                <w:lang w:val="sr-Latn-ME"/>
              </w:rPr>
              <w:t>e</w:t>
            </w:r>
          </w:p>
        </w:tc>
        <w:tc>
          <w:tcPr>
            <w:tcW w:w="1350" w:type="dxa"/>
            <w:shd w:val="clear" w:color="auto" w:fill="auto"/>
            <w:vAlign w:val="center"/>
          </w:tcPr>
          <w:p w14:paraId="28853EC2"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47 (42, 53)</w:t>
            </w:r>
          </w:p>
        </w:tc>
        <w:tc>
          <w:tcPr>
            <w:tcW w:w="1260" w:type="dxa"/>
            <w:shd w:val="clear" w:color="auto" w:fill="auto"/>
            <w:vAlign w:val="center"/>
          </w:tcPr>
          <w:p w14:paraId="1AC5682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15 (9, 21)</w:t>
            </w:r>
          </w:p>
        </w:tc>
        <w:tc>
          <w:tcPr>
            <w:tcW w:w="1356" w:type="dxa"/>
            <w:shd w:val="clear" w:color="auto" w:fill="auto"/>
            <w:vAlign w:val="center"/>
          </w:tcPr>
          <w:p w14:paraId="22387C3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43 (34, 51)</w:t>
            </w:r>
          </w:p>
        </w:tc>
      </w:tr>
      <w:tr w:rsidR="00BF75A1" w:rsidRPr="00B74B0F" w14:paraId="3E703EF4" w14:textId="77777777" w:rsidTr="00542622">
        <w:trPr>
          <w:trHeight w:val="271"/>
          <w:jc w:val="center"/>
        </w:trPr>
        <w:tc>
          <w:tcPr>
            <w:tcW w:w="1975" w:type="dxa"/>
            <w:shd w:val="clear" w:color="auto" w:fill="auto"/>
          </w:tcPr>
          <w:p w14:paraId="00C8A1D4" w14:textId="06920958"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2BF4E6CF"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6D474DCB"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59 (53, 65)</w:t>
            </w:r>
          </w:p>
        </w:tc>
        <w:tc>
          <w:tcPr>
            <w:tcW w:w="1350" w:type="dxa"/>
            <w:shd w:val="clear" w:color="auto" w:fill="auto"/>
            <w:vAlign w:val="center"/>
          </w:tcPr>
          <w:p w14:paraId="63804BBC"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54 (48, 60)</w:t>
            </w:r>
          </w:p>
        </w:tc>
        <w:tc>
          <w:tcPr>
            <w:tcW w:w="1260" w:type="dxa"/>
            <w:shd w:val="clear" w:color="auto" w:fill="7F7F7F" w:themeFill="text1" w:themeFillTint="80"/>
            <w:vAlign w:val="center"/>
          </w:tcPr>
          <w:p w14:paraId="4BE64B94"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5CEE564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43 (34, 51)</w:t>
            </w:r>
          </w:p>
        </w:tc>
      </w:tr>
      <w:tr w:rsidR="00BF75A1" w:rsidRPr="00B74B0F" w14:paraId="750C2F01" w14:textId="77777777" w:rsidTr="00542622">
        <w:trPr>
          <w:trHeight w:val="271"/>
          <w:jc w:val="center"/>
        </w:trPr>
        <w:tc>
          <w:tcPr>
            <w:tcW w:w="8911" w:type="dxa"/>
            <w:gridSpan w:val="6"/>
            <w:shd w:val="clear" w:color="auto" w:fill="auto"/>
            <w:vAlign w:val="center"/>
          </w:tcPr>
          <w:p w14:paraId="732BDEB8" w14:textId="3B6BB0F9" w:rsidR="007F331C" w:rsidRPr="00B74B0F" w:rsidRDefault="007F331C" w:rsidP="00777B52">
            <w:pPr>
              <w:spacing w:line="240" w:lineRule="auto"/>
              <w:contextualSpacing/>
              <w:jc w:val="center"/>
              <w:rPr>
                <w:b/>
                <w:bCs/>
                <w:szCs w:val="22"/>
                <w:u w:val="single"/>
                <w:lang w:val="sr-Latn-ME"/>
              </w:rPr>
            </w:pPr>
            <w:r w:rsidRPr="00B74B0F">
              <w:rPr>
                <w:b/>
                <w:bCs/>
                <w:szCs w:val="22"/>
                <w:u w:val="single"/>
                <w:lang w:val="sr-Latn-ME"/>
              </w:rPr>
              <w:t xml:space="preserve">Povlačenje daktilitisa (LDI=0), % </w:t>
            </w:r>
            <w:r w:rsidR="0021189F" w:rsidRPr="00B74B0F">
              <w:rPr>
                <w:b/>
                <w:bCs/>
                <w:szCs w:val="22"/>
                <w:u w:val="single"/>
                <w:lang w:val="sr-Latn-ME"/>
              </w:rPr>
              <w:t>pacijenata</w:t>
            </w:r>
            <w:r w:rsidRPr="00B74B0F">
              <w:rPr>
                <w:b/>
                <w:bCs/>
                <w:szCs w:val="22"/>
                <w:u w:val="single"/>
                <w:lang w:val="sr-Latn-ME"/>
              </w:rPr>
              <w:t xml:space="preserve"> (interval pouzdanosti od 95%</w:t>
            </w:r>
            <w:r w:rsidRPr="00B74B0F">
              <w:rPr>
                <w:b/>
                <w:szCs w:val="22"/>
                <w:u w:val="single"/>
                <w:lang w:val="sr-Latn-ME"/>
              </w:rPr>
              <w:t>)</w:t>
            </w:r>
            <w:r w:rsidRPr="00B74B0F">
              <w:rPr>
                <w:b/>
                <w:szCs w:val="22"/>
                <w:u w:val="single"/>
                <w:vertAlign w:val="superscript"/>
                <w:lang w:val="sr-Latn-ME"/>
              </w:rPr>
              <w:t>b</w:t>
            </w:r>
          </w:p>
        </w:tc>
      </w:tr>
      <w:tr w:rsidR="00BF75A1" w:rsidRPr="00B74B0F" w14:paraId="2B72E620" w14:textId="77777777" w:rsidTr="00542622">
        <w:trPr>
          <w:trHeight w:val="271"/>
          <w:jc w:val="center"/>
        </w:trPr>
        <w:tc>
          <w:tcPr>
            <w:tcW w:w="1975" w:type="dxa"/>
            <w:shd w:val="clear" w:color="auto" w:fill="auto"/>
          </w:tcPr>
          <w:p w14:paraId="6F74246F" w14:textId="20380CE3"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12</w:t>
            </w:r>
          </w:p>
        </w:tc>
        <w:tc>
          <w:tcPr>
            <w:tcW w:w="1440" w:type="dxa"/>
            <w:shd w:val="clear" w:color="auto" w:fill="auto"/>
            <w:vAlign w:val="center"/>
          </w:tcPr>
          <w:p w14:paraId="55A6A5E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42 (33, 51)</w:t>
            </w:r>
          </w:p>
        </w:tc>
        <w:tc>
          <w:tcPr>
            <w:tcW w:w="1530" w:type="dxa"/>
            <w:shd w:val="clear" w:color="auto" w:fill="auto"/>
            <w:vAlign w:val="center"/>
          </w:tcPr>
          <w:p w14:paraId="7537077F"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74</w:t>
            </w:r>
            <w:r w:rsidRPr="00B74B0F">
              <w:rPr>
                <w:szCs w:val="22"/>
                <w:u w:val="single"/>
                <w:vertAlign w:val="superscript"/>
                <w:lang w:val="sr-Latn-ME"/>
              </w:rPr>
              <w:t xml:space="preserve"> </w:t>
            </w:r>
            <w:r w:rsidRPr="00B74B0F">
              <w:rPr>
                <w:szCs w:val="22"/>
                <w:u w:val="single"/>
                <w:lang w:val="sr-Latn-ME"/>
              </w:rPr>
              <w:t>(66, 81)</w:t>
            </w:r>
          </w:p>
        </w:tc>
        <w:tc>
          <w:tcPr>
            <w:tcW w:w="1350" w:type="dxa"/>
            <w:shd w:val="clear" w:color="auto" w:fill="auto"/>
            <w:vAlign w:val="center"/>
          </w:tcPr>
          <w:p w14:paraId="5B27940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72 (64, 80)</w:t>
            </w:r>
          </w:p>
        </w:tc>
        <w:tc>
          <w:tcPr>
            <w:tcW w:w="1260" w:type="dxa"/>
            <w:shd w:val="clear" w:color="auto" w:fill="auto"/>
            <w:vAlign w:val="center"/>
          </w:tcPr>
          <w:p w14:paraId="1866211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36 (24, 48)</w:t>
            </w:r>
          </w:p>
        </w:tc>
        <w:tc>
          <w:tcPr>
            <w:tcW w:w="1356" w:type="dxa"/>
            <w:shd w:val="clear" w:color="auto" w:fill="auto"/>
            <w:vAlign w:val="center"/>
          </w:tcPr>
          <w:p w14:paraId="2111303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64</w:t>
            </w:r>
            <w:r w:rsidRPr="00B74B0F">
              <w:rPr>
                <w:szCs w:val="22"/>
                <w:u w:val="single"/>
                <w:vertAlign w:val="superscript"/>
                <w:lang w:val="sr-Latn-ME"/>
              </w:rPr>
              <w:t xml:space="preserve"> </w:t>
            </w:r>
            <w:r w:rsidRPr="00B74B0F">
              <w:rPr>
                <w:szCs w:val="22"/>
                <w:u w:val="single"/>
                <w:lang w:val="sr-Latn-ME"/>
              </w:rPr>
              <w:t>(51, 76)</w:t>
            </w:r>
          </w:p>
        </w:tc>
      </w:tr>
      <w:tr w:rsidR="00BF75A1" w:rsidRPr="00B74B0F" w14:paraId="415E1ABA" w14:textId="77777777" w:rsidTr="00542622">
        <w:trPr>
          <w:trHeight w:val="261"/>
          <w:jc w:val="center"/>
        </w:trPr>
        <w:tc>
          <w:tcPr>
            <w:tcW w:w="1975" w:type="dxa"/>
            <w:shd w:val="clear" w:color="auto" w:fill="auto"/>
          </w:tcPr>
          <w:p w14:paraId="71F32C0B" w14:textId="41CD5898"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18ED9AB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40 (31, 48)</w:t>
            </w:r>
          </w:p>
        </w:tc>
        <w:tc>
          <w:tcPr>
            <w:tcW w:w="1530" w:type="dxa"/>
            <w:shd w:val="clear" w:color="auto" w:fill="auto"/>
            <w:vAlign w:val="center"/>
          </w:tcPr>
          <w:p w14:paraId="6E54DD3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77</w:t>
            </w:r>
            <w:r w:rsidRPr="00B74B0F">
              <w:rPr>
                <w:szCs w:val="22"/>
                <w:u w:val="single"/>
                <w:vertAlign w:val="superscript"/>
                <w:lang w:val="sr-Latn-ME"/>
              </w:rPr>
              <w:t xml:space="preserve"> </w:t>
            </w:r>
            <w:r w:rsidRPr="00B74B0F">
              <w:rPr>
                <w:szCs w:val="22"/>
                <w:u w:val="single"/>
                <w:lang w:val="sr-Latn-ME"/>
              </w:rPr>
              <w:t>(69, 84)</w:t>
            </w:r>
          </w:p>
        </w:tc>
        <w:tc>
          <w:tcPr>
            <w:tcW w:w="1350" w:type="dxa"/>
            <w:shd w:val="clear" w:color="auto" w:fill="auto"/>
            <w:vAlign w:val="center"/>
          </w:tcPr>
          <w:p w14:paraId="48B710B9"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74 (66, 82)</w:t>
            </w:r>
          </w:p>
        </w:tc>
        <w:tc>
          <w:tcPr>
            <w:tcW w:w="1260" w:type="dxa"/>
            <w:shd w:val="clear" w:color="auto" w:fill="auto"/>
            <w:vAlign w:val="center"/>
          </w:tcPr>
          <w:p w14:paraId="3209545C"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28 (17, 39)</w:t>
            </w:r>
          </w:p>
        </w:tc>
        <w:tc>
          <w:tcPr>
            <w:tcW w:w="1356" w:type="dxa"/>
            <w:shd w:val="clear" w:color="auto" w:fill="auto"/>
            <w:vAlign w:val="center"/>
          </w:tcPr>
          <w:p w14:paraId="2AF62E6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58 (45, 71)</w:t>
            </w:r>
          </w:p>
        </w:tc>
      </w:tr>
      <w:tr w:rsidR="00BF75A1" w:rsidRPr="00B74B0F" w14:paraId="71BE445A" w14:textId="77777777" w:rsidTr="00542622">
        <w:trPr>
          <w:trHeight w:val="261"/>
          <w:jc w:val="center"/>
        </w:trPr>
        <w:tc>
          <w:tcPr>
            <w:tcW w:w="1975" w:type="dxa"/>
            <w:shd w:val="clear" w:color="auto" w:fill="auto"/>
          </w:tcPr>
          <w:p w14:paraId="52342317" w14:textId="2B863D0D"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35331B2C"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04A63D7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75 (68, 82)</w:t>
            </w:r>
          </w:p>
        </w:tc>
        <w:tc>
          <w:tcPr>
            <w:tcW w:w="1350" w:type="dxa"/>
            <w:shd w:val="clear" w:color="auto" w:fill="auto"/>
            <w:vAlign w:val="center"/>
          </w:tcPr>
          <w:p w14:paraId="78905624"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74 (66, 82)</w:t>
            </w:r>
          </w:p>
        </w:tc>
        <w:tc>
          <w:tcPr>
            <w:tcW w:w="1260" w:type="dxa"/>
            <w:shd w:val="clear" w:color="auto" w:fill="7F7F7F" w:themeFill="text1" w:themeFillTint="80"/>
            <w:vAlign w:val="center"/>
          </w:tcPr>
          <w:p w14:paraId="54459C76"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0D903E9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51 (38, 64)</w:t>
            </w:r>
          </w:p>
        </w:tc>
      </w:tr>
      <w:tr w:rsidR="00BF75A1" w:rsidRPr="00B74B0F" w14:paraId="63B405F9" w14:textId="77777777" w:rsidTr="00542622">
        <w:trPr>
          <w:trHeight w:val="271"/>
          <w:jc w:val="center"/>
        </w:trPr>
        <w:tc>
          <w:tcPr>
            <w:tcW w:w="8911" w:type="dxa"/>
            <w:gridSpan w:val="6"/>
            <w:shd w:val="clear" w:color="auto" w:fill="auto"/>
            <w:vAlign w:val="center"/>
          </w:tcPr>
          <w:p w14:paraId="2B51298E" w14:textId="68C8333C" w:rsidR="007F331C" w:rsidRPr="00B74B0F" w:rsidRDefault="007F331C" w:rsidP="00777B52">
            <w:pPr>
              <w:spacing w:line="240" w:lineRule="auto"/>
              <w:contextualSpacing/>
              <w:jc w:val="center"/>
              <w:rPr>
                <w:szCs w:val="22"/>
                <w:u w:val="single"/>
                <w:lang w:val="sr-Latn-ME"/>
              </w:rPr>
            </w:pPr>
            <w:r w:rsidRPr="00B74B0F">
              <w:rPr>
                <w:b/>
                <w:szCs w:val="22"/>
                <w:u w:val="single"/>
                <w:lang w:val="sr-Latn-ME"/>
              </w:rPr>
              <w:t xml:space="preserve">PASI75, % </w:t>
            </w:r>
            <w:r w:rsidR="0021189F" w:rsidRPr="00B74B0F">
              <w:rPr>
                <w:b/>
                <w:szCs w:val="22"/>
                <w:u w:val="single"/>
                <w:lang w:val="sr-Latn-ME"/>
              </w:rPr>
              <w:t>pacijenata</w:t>
            </w:r>
            <w:r w:rsidRPr="00B74B0F">
              <w:rPr>
                <w:b/>
                <w:szCs w:val="22"/>
                <w:u w:val="single"/>
                <w:lang w:val="sr-Latn-ME"/>
              </w:rPr>
              <w:t xml:space="preserve"> (interval pouzdanosti od 95%)</w:t>
            </w:r>
            <w:r w:rsidRPr="00B74B0F">
              <w:rPr>
                <w:b/>
                <w:szCs w:val="22"/>
                <w:u w:val="single"/>
                <w:vertAlign w:val="superscript"/>
                <w:lang w:val="sr-Latn-ME"/>
              </w:rPr>
              <w:t>c</w:t>
            </w:r>
          </w:p>
        </w:tc>
      </w:tr>
      <w:tr w:rsidR="00BF75A1" w:rsidRPr="00B74B0F" w14:paraId="7ED249CE" w14:textId="77777777" w:rsidTr="00542622">
        <w:trPr>
          <w:trHeight w:val="271"/>
          <w:jc w:val="center"/>
        </w:trPr>
        <w:tc>
          <w:tcPr>
            <w:tcW w:w="1975" w:type="dxa"/>
            <w:shd w:val="clear" w:color="auto" w:fill="auto"/>
          </w:tcPr>
          <w:p w14:paraId="0C56160D" w14:textId="224B47D6"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16</w:t>
            </w:r>
          </w:p>
        </w:tc>
        <w:tc>
          <w:tcPr>
            <w:tcW w:w="1440" w:type="dxa"/>
            <w:shd w:val="clear" w:color="auto" w:fill="auto"/>
            <w:vAlign w:val="center"/>
          </w:tcPr>
          <w:p w14:paraId="5D98961C"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21 (16, 27)</w:t>
            </w:r>
          </w:p>
        </w:tc>
        <w:tc>
          <w:tcPr>
            <w:tcW w:w="1530" w:type="dxa"/>
            <w:shd w:val="clear" w:color="auto" w:fill="auto"/>
            <w:vAlign w:val="center"/>
          </w:tcPr>
          <w:p w14:paraId="41C3A28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63</w:t>
            </w:r>
            <w:r w:rsidRPr="00B74B0F">
              <w:rPr>
                <w:szCs w:val="22"/>
                <w:u w:val="single"/>
                <w:vertAlign w:val="superscript"/>
                <w:lang w:val="sr-Latn-ME"/>
              </w:rPr>
              <w:t xml:space="preserve"> </w:t>
            </w:r>
            <w:r w:rsidRPr="00B74B0F">
              <w:rPr>
                <w:szCs w:val="22"/>
                <w:u w:val="single"/>
                <w:lang w:val="sr-Latn-ME"/>
              </w:rPr>
              <w:t>(56, 69)</w:t>
            </w:r>
            <w:r w:rsidRPr="00B74B0F">
              <w:rPr>
                <w:szCs w:val="22"/>
                <w:u w:val="single"/>
                <w:vertAlign w:val="superscript"/>
                <w:lang w:val="sr-Latn-ME"/>
              </w:rPr>
              <w:t>e</w:t>
            </w:r>
          </w:p>
        </w:tc>
        <w:tc>
          <w:tcPr>
            <w:tcW w:w="1350" w:type="dxa"/>
            <w:shd w:val="clear" w:color="auto" w:fill="auto"/>
            <w:vAlign w:val="center"/>
          </w:tcPr>
          <w:p w14:paraId="093E5C7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53 (46, 60)</w:t>
            </w:r>
          </w:p>
        </w:tc>
        <w:tc>
          <w:tcPr>
            <w:tcW w:w="1260" w:type="dxa"/>
            <w:shd w:val="clear" w:color="auto" w:fill="auto"/>
            <w:vAlign w:val="center"/>
          </w:tcPr>
          <w:p w14:paraId="386E627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16 (10, 22)</w:t>
            </w:r>
          </w:p>
        </w:tc>
        <w:tc>
          <w:tcPr>
            <w:tcW w:w="1356" w:type="dxa"/>
            <w:shd w:val="clear" w:color="auto" w:fill="auto"/>
            <w:vAlign w:val="center"/>
          </w:tcPr>
          <w:p w14:paraId="7DC4B7F6"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52</w:t>
            </w:r>
            <w:r w:rsidRPr="00B74B0F">
              <w:rPr>
                <w:szCs w:val="22"/>
                <w:u w:val="single"/>
                <w:vertAlign w:val="superscript"/>
                <w:lang w:val="sr-Latn-ME"/>
              </w:rPr>
              <w:t xml:space="preserve"> </w:t>
            </w:r>
            <w:r w:rsidRPr="00B74B0F">
              <w:rPr>
                <w:szCs w:val="22"/>
                <w:u w:val="single"/>
                <w:lang w:val="sr-Latn-ME"/>
              </w:rPr>
              <w:t>(44, 61)</w:t>
            </w:r>
            <w:r w:rsidRPr="00B74B0F">
              <w:rPr>
                <w:szCs w:val="22"/>
                <w:u w:val="single"/>
                <w:vertAlign w:val="superscript"/>
                <w:lang w:val="sr-Latn-ME"/>
              </w:rPr>
              <w:t>e</w:t>
            </w:r>
          </w:p>
        </w:tc>
      </w:tr>
      <w:tr w:rsidR="00BF75A1" w:rsidRPr="00B74B0F" w14:paraId="510630BF" w14:textId="77777777" w:rsidTr="00542622">
        <w:trPr>
          <w:trHeight w:val="271"/>
          <w:jc w:val="center"/>
        </w:trPr>
        <w:tc>
          <w:tcPr>
            <w:tcW w:w="1975" w:type="dxa"/>
            <w:shd w:val="clear" w:color="auto" w:fill="auto"/>
          </w:tcPr>
          <w:p w14:paraId="64666456" w14:textId="11E60038"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472424DD"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27 (21, 33)</w:t>
            </w:r>
          </w:p>
        </w:tc>
        <w:tc>
          <w:tcPr>
            <w:tcW w:w="1530" w:type="dxa"/>
            <w:shd w:val="clear" w:color="auto" w:fill="auto"/>
            <w:vAlign w:val="center"/>
          </w:tcPr>
          <w:p w14:paraId="50A70228"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64</w:t>
            </w:r>
            <w:r w:rsidRPr="00B74B0F">
              <w:rPr>
                <w:szCs w:val="22"/>
                <w:u w:val="single"/>
                <w:vertAlign w:val="superscript"/>
                <w:lang w:val="sr-Latn-ME"/>
              </w:rPr>
              <w:t xml:space="preserve"> </w:t>
            </w:r>
            <w:r w:rsidRPr="00B74B0F">
              <w:rPr>
                <w:szCs w:val="22"/>
                <w:u w:val="single"/>
                <w:lang w:val="sr-Latn-ME"/>
              </w:rPr>
              <w:t>(58, 70)</w:t>
            </w:r>
          </w:p>
        </w:tc>
        <w:tc>
          <w:tcPr>
            <w:tcW w:w="1350" w:type="dxa"/>
            <w:shd w:val="clear" w:color="auto" w:fill="auto"/>
            <w:vAlign w:val="center"/>
          </w:tcPr>
          <w:p w14:paraId="320AAA80"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59 (52, 65)</w:t>
            </w:r>
          </w:p>
        </w:tc>
        <w:tc>
          <w:tcPr>
            <w:tcW w:w="1260" w:type="dxa"/>
            <w:shd w:val="clear" w:color="auto" w:fill="auto"/>
            <w:vAlign w:val="center"/>
          </w:tcPr>
          <w:p w14:paraId="5E3BAE8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19 (12, 26)</w:t>
            </w:r>
          </w:p>
        </w:tc>
        <w:tc>
          <w:tcPr>
            <w:tcW w:w="1356" w:type="dxa"/>
            <w:shd w:val="clear" w:color="auto" w:fill="auto"/>
            <w:vAlign w:val="center"/>
          </w:tcPr>
          <w:p w14:paraId="32A3CD42"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54</w:t>
            </w:r>
            <w:r w:rsidRPr="00B74B0F">
              <w:rPr>
                <w:szCs w:val="22"/>
                <w:u w:val="single"/>
                <w:vertAlign w:val="superscript"/>
                <w:lang w:val="sr-Latn-ME"/>
              </w:rPr>
              <w:t xml:space="preserve"> </w:t>
            </w:r>
            <w:r w:rsidRPr="00B74B0F">
              <w:rPr>
                <w:szCs w:val="22"/>
                <w:u w:val="single"/>
                <w:lang w:val="sr-Latn-ME"/>
              </w:rPr>
              <w:t>(45, 62)</w:t>
            </w:r>
          </w:p>
        </w:tc>
      </w:tr>
      <w:tr w:rsidR="00BF75A1" w:rsidRPr="00B74B0F" w14:paraId="0BE774C8" w14:textId="77777777" w:rsidTr="00542622">
        <w:trPr>
          <w:trHeight w:val="271"/>
          <w:jc w:val="center"/>
        </w:trPr>
        <w:tc>
          <w:tcPr>
            <w:tcW w:w="1975" w:type="dxa"/>
            <w:shd w:val="clear" w:color="auto" w:fill="auto"/>
          </w:tcPr>
          <w:p w14:paraId="7588EC12" w14:textId="47F45CEF"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20D562D4"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353D3542"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65 (59, 72)</w:t>
            </w:r>
          </w:p>
        </w:tc>
        <w:tc>
          <w:tcPr>
            <w:tcW w:w="1350" w:type="dxa"/>
            <w:shd w:val="clear" w:color="auto" w:fill="auto"/>
            <w:vAlign w:val="center"/>
          </w:tcPr>
          <w:p w14:paraId="0831017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61 (55, 68)</w:t>
            </w:r>
          </w:p>
        </w:tc>
        <w:tc>
          <w:tcPr>
            <w:tcW w:w="1260" w:type="dxa"/>
            <w:shd w:val="clear" w:color="auto" w:fill="7F7F7F" w:themeFill="text1" w:themeFillTint="80"/>
            <w:vAlign w:val="center"/>
          </w:tcPr>
          <w:p w14:paraId="5B110512"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36FC6625"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52 (44, 61)</w:t>
            </w:r>
          </w:p>
        </w:tc>
      </w:tr>
      <w:tr w:rsidR="00BF75A1" w:rsidRPr="00B74B0F" w14:paraId="16E27E39" w14:textId="77777777" w:rsidTr="00542622">
        <w:trPr>
          <w:trHeight w:val="271"/>
          <w:jc w:val="center"/>
        </w:trPr>
        <w:tc>
          <w:tcPr>
            <w:tcW w:w="8911" w:type="dxa"/>
            <w:gridSpan w:val="6"/>
            <w:shd w:val="clear" w:color="auto" w:fill="auto"/>
            <w:vAlign w:val="center"/>
          </w:tcPr>
          <w:p w14:paraId="4977E03E" w14:textId="51C6AE83" w:rsidR="007F331C" w:rsidRPr="00B74B0F" w:rsidRDefault="007F331C" w:rsidP="00777B52">
            <w:pPr>
              <w:spacing w:line="240" w:lineRule="auto"/>
              <w:contextualSpacing/>
              <w:jc w:val="center"/>
              <w:rPr>
                <w:szCs w:val="22"/>
                <w:u w:val="single"/>
                <w:lang w:val="sr-Latn-ME"/>
              </w:rPr>
            </w:pPr>
            <w:r w:rsidRPr="00B74B0F">
              <w:rPr>
                <w:b/>
                <w:szCs w:val="22"/>
                <w:u w:val="single"/>
                <w:lang w:val="sr-Latn-ME"/>
              </w:rPr>
              <w:t xml:space="preserve">PASI90, % </w:t>
            </w:r>
            <w:r w:rsidR="0021189F" w:rsidRPr="00B74B0F">
              <w:rPr>
                <w:b/>
                <w:szCs w:val="22"/>
                <w:u w:val="single"/>
                <w:lang w:val="sr-Latn-ME"/>
              </w:rPr>
              <w:t>pacijenata</w:t>
            </w:r>
            <w:r w:rsidRPr="00B74B0F">
              <w:rPr>
                <w:b/>
                <w:szCs w:val="22"/>
                <w:u w:val="single"/>
                <w:lang w:val="sr-Latn-ME"/>
              </w:rPr>
              <w:t xml:space="preserve"> (interval pouzdanosti od 95%)</w:t>
            </w:r>
            <w:r w:rsidRPr="00B74B0F">
              <w:rPr>
                <w:b/>
                <w:szCs w:val="22"/>
                <w:u w:val="single"/>
                <w:vertAlign w:val="superscript"/>
                <w:lang w:val="sr-Latn-ME"/>
              </w:rPr>
              <w:t>c</w:t>
            </w:r>
          </w:p>
        </w:tc>
      </w:tr>
      <w:tr w:rsidR="00BF75A1" w:rsidRPr="00B74B0F" w14:paraId="29D85858" w14:textId="77777777" w:rsidTr="00542622">
        <w:trPr>
          <w:trHeight w:val="271"/>
          <w:jc w:val="center"/>
        </w:trPr>
        <w:tc>
          <w:tcPr>
            <w:tcW w:w="1975" w:type="dxa"/>
            <w:shd w:val="clear" w:color="auto" w:fill="auto"/>
          </w:tcPr>
          <w:p w14:paraId="0A110011" w14:textId="00B89EF2"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16</w:t>
            </w:r>
          </w:p>
        </w:tc>
        <w:tc>
          <w:tcPr>
            <w:tcW w:w="1440" w:type="dxa"/>
            <w:shd w:val="clear" w:color="auto" w:fill="auto"/>
            <w:vAlign w:val="center"/>
          </w:tcPr>
          <w:p w14:paraId="493C37DC"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12 (8, 17)</w:t>
            </w:r>
          </w:p>
        </w:tc>
        <w:tc>
          <w:tcPr>
            <w:tcW w:w="1530" w:type="dxa"/>
            <w:shd w:val="clear" w:color="auto" w:fill="auto"/>
            <w:vAlign w:val="center"/>
          </w:tcPr>
          <w:p w14:paraId="2637C8CB"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38</w:t>
            </w:r>
            <w:r w:rsidRPr="00B74B0F">
              <w:rPr>
                <w:szCs w:val="22"/>
                <w:u w:val="single"/>
                <w:vertAlign w:val="superscript"/>
                <w:lang w:val="sr-Latn-ME"/>
              </w:rPr>
              <w:t xml:space="preserve"> </w:t>
            </w:r>
            <w:r w:rsidRPr="00B74B0F">
              <w:rPr>
                <w:szCs w:val="22"/>
                <w:u w:val="single"/>
                <w:lang w:val="sr-Latn-ME"/>
              </w:rPr>
              <w:t>(32, 45)</w:t>
            </w:r>
          </w:p>
        </w:tc>
        <w:tc>
          <w:tcPr>
            <w:tcW w:w="1350" w:type="dxa"/>
            <w:shd w:val="clear" w:color="auto" w:fill="auto"/>
            <w:vAlign w:val="center"/>
          </w:tcPr>
          <w:p w14:paraId="451ECD5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39 (32, 45)</w:t>
            </w:r>
          </w:p>
        </w:tc>
        <w:tc>
          <w:tcPr>
            <w:tcW w:w="1260" w:type="dxa"/>
            <w:shd w:val="clear" w:color="auto" w:fill="auto"/>
            <w:vAlign w:val="center"/>
          </w:tcPr>
          <w:p w14:paraId="49B95CC6"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8 (4, 13)</w:t>
            </w:r>
          </w:p>
        </w:tc>
        <w:tc>
          <w:tcPr>
            <w:tcW w:w="1356" w:type="dxa"/>
            <w:shd w:val="clear" w:color="auto" w:fill="auto"/>
            <w:vAlign w:val="center"/>
          </w:tcPr>
          <w:p w14:paraId="6728F8A9"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35</w:t>
            </w:r>
            <w:r w:rsidRPr="00B74B0F">
              <w:rPr>
                <w:szCs w:val="22"/>
                <w:u w:val="single"/>
                <w:vertAlign w:val="superscript"/>
                <w:lang w:val="sr-Latn-ME"/>
              </w:rPr>
              <w:t xml:space="preserve"> </w:t>
            </w:r>
            <w:r w:rsidRPr="00B74B0F">
              <w:rPr>
                <w:szCs w:val="22"/>
                <w:u w:val="single"/>
                <w:lang w:val="sr-Latn-ME"/>
              </w:rPr>
              <w:t>(26, 43)</w:t>
            </w:r>
          </w:p>
        </w:tc>
      </w:tr>
      <w:tr w:rsidR="00BF75A1" w:rsidRPr="00B74B0F" w14:paraId="04A89EB9" w14:textId="77777777" w:rsidTr="00542622">
        <w:trPr>
          <w:trHeight w:val="271"/>
          <w:jc w:val="center"/>
        </w:trPr>
        <w:tc>
          <w:tcPr>
            <w:tcW w:w="1975" w:type="dxa"/>
            <w:shd w:val="clear" w:color="auto" w:fill="auto"/>
          </w:tcPr>
          <w:p w14:paraId="6BC1DF7D" w14:textId="732C2AD9"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440" w:type="dxa"/>
            <w:shd w:val="clear" w:color="auto" w:fill="auto"/>
            <w:vAlign w:val="center"/>
          </w:tcPr>
          <w:p w14:paraId="07A7AF1B"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17 (12, 22)</w:t>
            </w:r>
          </w:p>
        </w:tc>
        <w:tc>
          <w:tcPr>
            <w:tcW w:w="1530" w:type="dxa"/>
            <w:shd w:val="clear" w:color="auto" w:fill="auto"/>
            <w:vAlign w:val="center"/>
          </w:tcPr>
          <w:p w14:paraId="46F5597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42</w:t>
            </w:r>
            <w:r w:rsidRPr="00B74B0F">
              <w:rPr>
                <w:szCs w:val="22"/>
                <w:u w:val="single"/>
                <w:vertAlign w:val="superscript"/>
                <w:lang w:val="sr-Latn-ME"/>
              </w:rPr>
              <w:t xml:space="preserve"> </w:t>
            </w:r>
            <w:r w:rsidRPr="00B74B0F">
              <w:rPr>
                <w:szCs w:val="22"/>
                <w:u w:val="single"/>
                <w:lang w:val="sr-Latn-ME"/>
              </w:rPr>
              <w:t>(35, 48)</w:t>
            </w:r>
          </w:p>
        </w:tc>
        <w:tc>
          <w:tcPr>
            <w:tcW w:w="1350" w:type="dxa"/>
            <w:shd w:val="clear" w:color="auto" w:fill="auto"/>
            <w:vAlign w:val="center"/>
          </w:tcPr>
          <w:p w14:paraId="4D767FC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45 (38, 52)</w:t>
            </w:r>
          </w:p>
        </w:tc>
        <w:tc>
          <w:tcPr>
            <w:tcW w:w="1260" w:type="dxa"/>
            <w:shd w:val="clear" w:color="auto" w:fill="auto"/>
            <w:vAlign w:val="center"/>
          </w:tcPr>
          <w:p w14:paraId="5610C2B1"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7 (3, 11)</w:t>
            </w:r>
          </w:p>
        </w:tc>
        <w:tc>
          <w:tcPr>
            <w:tcW w:w="1356" w:type="dxa"/>
            <w:shd w:val="clear" w:color="auto" w:fill="auto"/>
            <w:vAlign w:val="center"/>
          </w:tcPr>
          <w:p w14:paraId="5C09F27D"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36</w:t>
            </w:r>
            <w:r w:rsidRPr="00B74B0F">
              <w:rPr>
                <w:szCs w:val="22"/>
                <w:u w:val="single"/>
                <w:vertAlign w:val="superscript"/>
                <w:lang w:val="sr-Latn-ME"/>
              </w:rPr>
              <w:t xml:space="preserve"> </w:t>
            </w:r>
            <w:r w:rsidRPr="00B74B0F">
              <w:rPr>
                <w:szCs w:val="22"/>
                <w:u w:val="single"/>
                <w:lang w:val="sr-Latn-ME"/>
              </w:rPr>
              <w:t>(28, 44)</w:t>
            </w:r>
          </w:p>
        </w:tc>
      </w:tr>
      <w:tr w:rsidR="00BF75A1" w:rsidRPr="00B74B0F" w14:paraId="758E7C70" w14:textId="77777777" w:rsidTr="00542622">
        <w:trPr>
          <w:trHeight w:val="271"/>
          <w:jc w:val="center"/>
        </w:trPr>
        <w:tc>
          <w:tcPr>
            <w:tcW w:w="1975" w:type="dxa"/>
            <w:shd w:val="clear" w:color="auto" w:fill="auto"/>
          </w:tcPr>
          <w:p w14:paraId="53DDD59B" w14:textId="45841FE5"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6474C1"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p>
        </w:tc>
        <w:tc>
          <w:tcPr>
            <w:tcW w:w="1440" w:type="dxa"/>
            <w:shd w:val="clear" w:color="auto" w:fill="7F7F7F" w:themeFill="text1" w:themeFillTint="80"/>
            <w:vAlign w:val="center"/>
          </w:tcPr>
          <w:p w14:paraId="00587035" w14:textId="77777777" w:rsidR="007F331C" w:rsidRPr="00B74B0F" w:rsidRDefault="007F331C">
            <w:pPr>
              <w:spacing w:line="240" w:lineRule="auto"/>
              <w:contextualSpacing/>
              <w:jc w:val="both"/>
              <w:rPr>
                <w:szCs w:val="22"/>
                <w:u w:val="single"/>
                <w:lang w:val="sr-Latn-ME"/>
              </w:rPr>
            </w:pPr>
          </w:p>
        </w:tc>
        <w:tc>
          <w:tcPr>
            <w:tcW w:w="1530" w:type="dxa"/>
            <w:shd w:val="clear" w:color="auto" w:fill="auto"/>
            <w:vAlign w:val="center"/>
          </w:tcPr>
          <w:p w14:paraId="5BD54D03"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49 (42, 56)</w:t>
            </w:r>
          </w:p>
        </w:tc>
        <w:tc>
          <w:tcPr>
            <w:tcW w:w="1350" w:type="dxa"/>
            <w:shd w:val="clear" w:color="auto" w:fill="auto"/>
            <w:vAlign w:val="center"/>
          </w:tcPr>
          <w:p w14:paraId="20F848E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47 (40, 54)</w:t>
            </w:r>
          </w:p>
        </w:tc>
        <w:tc>
          <w:tcPr>
            <w:tcW w:w="1260" w:type="dxa"/>
            <w:shd w:val="clear" w:color="auto" w:fill="7F7F7F" w:themeFill="text1" w:themeFillTint="80"/>
            <w:vAlign w:val="center"/>
          </w:tcPr>
          <w:p w14:paraId="70129658" w14:textId="77777777" w:rsidR="007F331C" w:rsidRPr="00B74B0F" w:rsidRDefault="007F331C">
            <w:pPr>
              <w:spacing w:line="240" w:lineRule="auto"/>
              <w:contextualSpacing/>
              <w:jc w:val="both"/>
              <w:rPr>
                <w:szCs w:val="22"/>
                <w:u w:val="single"/>
                <w:lang w:val="sr-Latn-ME"/>
              </w:rPr>
            </w:pPr>
          </w:p>
        </w:tc>
        <w:tc>
          <w:tcPr>
            <w:tcW w:w="1356" w:type="dxa"/>
            <w:shd w:val="clear" w:color="auto" w:fill="auto"/>
            <w:vAlign w:val="center"/>
          </w:tcPr>
          <w:p w14:paraId="141E9D8A"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41 (32, 49)</w:t>
            </w:r>
          </w:p>
        </w:tc>
      </w:tr>
      <w:tr w:rsidR="007F331C" w:rsidRPr="00B74B0F" w14:paraId="5264C164" w14:textId="77777777" w:rsidTr="00200D71">
        <w:trPr>
          <w:trHeight w:val="2257"/>
          <w:jc w:val="center"/>
        </w:trPr>
        <w:tc>
          <w:tcPr>
            <w:tcW w:w="8911" w:type="dxa"/>
            <w:gridSpan w:val="6"/>
            <w:shd w:val="clear" w:color="auto" w:fill="auto"/>
          </w:tcPr>
          <w:p w14:paraId="7648D590" w14:textId="6A4BE882" w:rsidR="007F331C" w:rsidRPr="00B74B0F" w:rsidRDefault="00224104">
            <w:pPr>
              <w:spacing w:line="240" w:lineRule="auto"/>
              <w:contextualSpacing/>
              <w:jc w:val="both"/>
              <w:rPr>
                <w:szCs w:val="22"/>
                <w:lang w:val="sr-Latn-ME"/>
              </w:rPr>
            </w:pPr>
            <w:r w:rsidRPr="00B74B0F">
              <w:rPr>
                <w:szCs w:val="22"/>
                <w:lang w:val="sr-Latn-ME"/>
              </w:rPr>
              <w:t>Skraćenic</w:t>
            </w:r>
            <w:r w:rsidR="007F331C" w:rsidRPr="00B74B0F">
              <w:rPr>
                <w:szCs w:val="22"/>
                <w:lang w:val="sr-Latn-ME"/>
              </w:rPr>
              <w:t>e: ACR20 (ili 50 ili 70) = poboljšanje za ≥ 20% (ili ≥ 50% ili ≥ 70%) prema kriterijima Američkog reumatološkog društva, ADA = adalimumab; bDMARD = biološki antireumatski lijek koji modifi</w:t>
            </w:r>
            <w:r w:rsidR="006474C1" w:rsidRPr="00B74B0F">
              <w:rPr>
                <w:szCs w:val="22"/>
                <w:lang w:val="sr-Latn-ME"/>
              </w:rPr>
              <w:t>kuje</w:t>
            </w:r>
            <w:r w:rsidR="007F331C" w:rsidRPr="00B74B0F">
              <w:rPr>
                <w:szCs w:val="22"/>
                <w:lang w:val="sr-Latn-ME"/>
              </w:rPr>
              <w:t xml:space="preserve"> tok bolesti; MDA = minimalna aktivnost bolesti (engl. </w:t>
            </w:r>
            <w:r w:rsidR="007F331C" w:rsidRPr="00B74B0F">
              <w:rPr>
                <w:i/>
                <w:iCs/>
                <w:szCs w:val="22"/>
                <w:lang w:val="sr-Latn-ME"/>
              </w:rPr>
              <w:t>minimal disease activity</w:t>
            </w:r>
            <w:r w:rsidR="007F331C" w:rsidRPr="00B74B0F">
              <w:rPr>
                <w:szCs w:val="22"/>
                <w:lang w:val="sr-Latn-ME"/>
              </w:rPr>
              <w:t xml:space="preserve">); PASI75 (ili 90) = poboljšanje za ≥ 75% (ili ≥ 90%) prema indeksu proširenosti i težine psorijaze (engl. </w:t>
            </w:r>
            <w:r w:rsidR="007F331C" w:rsidRPr="00B74B0F">
              <w:rPr>
                <w:i/>
                <w:iCs/>
                <w:szCs w:val="22"/>
                <w:lang w:val="sr-Latn-ME"/>
              </w:rPr>
              <w:t>Psoriasis Area and Severity Indeks)</w:t>
            </w:r>
            <w:r w:rsidR="007F331C" w:rsidRPr="00B74B0F">
              <w:rPr>
                <w:szCs w:val="22"/>
                <w:lang w:val="sr-Latn-ME"/>
              </w:rPr>
              <w:t>; PBO = placebo; UPA= upadacitinib</w:t>
            </w:r>
          </w:p>
          <w:p w14:paraId="6335DF56" w14:textId="7D23B8A3" w:rsidR="007F331C" w:rsidRPr="00B74B0F" w:rsidRDefault="00224104">
            <w:pPr>
              <w:spacing w:line="240" w:lineRule="auto"/>
              <w:contextualSpacing/>
              <w:jc w:val="both"/>
              <w:rPr>
                <w:szCs w:val="22"/>
                <w:lang w:val="sr-Latn-ME"/>
              </w:rPr>
            </w:pPr>
            <w:r w:rsidRPr="00B74B0F">
              <w:rPr>
                <w:szCs w:val="22"/>
                <w:lang w:val="sr-Latn-ME"/>
              </w:rPr>
              <w:t>Pacijen</w:t>
            </w:r>
            <w:r w:rsidR="00DB4CFB" w:rsidRPr="00B74B0F">
              <w:rPr>
                <w:szCs w:val="22"/>
                <w:lang w:val="sr-Latn-ME"/>
              </w:rPr>
              <w:t>t</w:t>
            </w:r>
            <w:r w:rsidR="007F331C" w:rsidRPr="00B74B0F">
              <w:rPr>
                <w:szCs w:val="22"/>
                <w:lang w:val="sr-Latn-ME"/>
              </w:rPr>
              <w:t>i koji su prekinuli randomiz</w:t>
            </w:r>
            <w:r w:rsidR="006474C1" w:rsidRPr="00B74B0F">
              <w:rPr>
                <w:szCs w:val="22"/>
                <w:lang w:val="sr-Latn-ME"/>
              </w:rPr>
              <w:t>ova</w:t>
            </w:r>
            <w:r w:rsidR="007F331C" w:rsidRPr="00B74B0F">
              <w:rPr>
                <w:szCs w:val="22"/>
                <w:lang w:val="sr-Latn-ME"/>
              </w:rPr>
              <w:t>no liječenje ili za koje su nedostajali podaci u sedmici procjene u analizama su navedeni kao</w:t>
            </w:r>
            <w:r w:rsidR="00DB4CFB" w:rsidRPr="00B74B0F">
              <w:rPr>
                <w:szCs w:val="22"/>
                <w:lang w:val="sr-Latn-ME"/>
              </w:rPr>
              <w:t xml:space="preserve"> pacijent</w:t>
            </w:r>
            <w:r w:rsidR="007F331C" w:rsidRPr="00B74B0F">
              <w:rPr>
                <w:szCs w:val="22"/>
                <w:lang w:val="sr-Latn-ME"/>
              </w:rPr>
              <w:t xml:space="preserve">i bez odgovora na terapiju. Za MDA, povlačenje entezitisa i povlačenje daktilitisa u Sedmici 24/56, ispitanici koji su u Sedmici 16 primili terapiju za ublažavanje simptoma (engl. </w:t>
            </w:r>
            <w:r w:rsidR="007F331C" w:rsidRPr="00B74B0F">
              <w:rPr>
                <w:i/>
                <w:szCs w:val="22"/>
                <w:lang w:val="sr-Latn-ME"/>
              </w:rPr>
              <w:t>rescue</w:t>
            </w:r>
            <w:r w:rsidR="007F331C" w:rsidRPr="00B74B0F">
              <w:rPr>
                <w:szCs w:val="22"/>
                <w:lang w:val="sr-Latn-ME"/>
              </w:rPr>
              <w:t xml:space="preserve">)  u analizama su navedeni kao </w:t>
            </w:r>
            <w:r w:rsidR="00DB4CFB" w:rsidRPr="00B74B0F">
              <w:rPr>
                <w:szCs w:val="22"/>
                <w:lang w:val="sr-Latn-ME"/>
              </w:rPr>
              <w:t>pacijent</w:t>
            </w:r>
            <w:r w:rsidR="007F331C" w:rsidRPr="00B74B0F">
              <w:rPr>
                <w:szCs w:val="22"/>
                <w:lang w:val="sr-Latn-ME"/>
              </w:rPr>
              <w:t>i bez odgovora na terapiju.</w:t>
            </w:r>
          </w:p>
          <w:p w14:paraId="24C5C0FB" w14:textId="77777777" w:rsidR="007F331C" w:rsidRPr="00B74B0F" w:rsidRDefault="007F331C">
            <w:pPr>
              <w:spacing w:line="240" w:lineRule="auto"/>
              <w:contextualSpacing/>
              <w:jc w:val="both"/>
              <w:rPr>
                <w:szCs w:val="22"/>
                <w:lang w:val="sr-Latn-ME"/>
              </w:rPr>
            </w:pPr>
          </w:p>
          <w:p w14:paraId="518935C0" w14:textId="1B0759C2" w:rsidR="007F331C" w:rsidRPr="00B74B0F" w:rsidRDefault="007F331C">
            <w:pPr>
              <w:spacing w:line="240" w:lineRule="auto"/>
              <w:contextualSpacing/>
              <w:jc w:val="both"/>
              <w:rPr>
                <w:szCs w:val="22"/>
                <w:lang w:val="sr-Latn-ME"/>
              </w:rPr>
            </w:pPr>
            <w:r w:rsidRPr="00B74B0F">
              <w:rPr>
                <w:szCs w:val="22"/>
                <w:vertAlign w:val="superscript"/>
                <w:lang w:val="sr-Latn-ME"/>
              </w:rPr>
              <w:t xml:space="preserve">a </w:t>
            </w:r>
            <w:r w:rsidRPr="00B74B0F">
              <w:rPr>
                <w:szCs w:val="22"/>
                <w:lang w:val="sr-Latn-ME"/>
              </w:rPr>
              <w:t xml:space="preserve">Kod </w:t>
            </w:r>
            <w:r w:rsidR="0021189F" w:rsidRPr="00B74B0F">
              <w:rPr>
                <w:szCs w:val="22"/>
                <w:lang w:val="sr-Latn-ME"/>
              </w:rPr>
              <w:t>pacijenata</w:t>
            </w:r>
            <w:r w:rsidRPr="00B74B0F">
              <w:rPr>
                <w:szCs w:val="22"/>
                <w:lang w:val="sr-Latn-ME"/>
              </w:rPr>
              <w:t xml:space="preserve"> s</w:t>
            </w:r>
            <w:r w:rsidR="00DB4CFB" w:rsidRPr="00B74B0F">
              <w:rPr>
                <w:szCs w:val="22"/>
                <w:lang w:val="sr-Latn-ME"/>
              </w:rPr>
              <w:t>a</w:t>
            </w:r>
            <w:r w:rsidRPr="00B74B0F">
              <w:rPr>
                <w:szCs w:val="22"/>
                <w:lang w:val="sr-Latn-ME"/>
              </w:rPr>
              <w:t xml:space="preserve"> entezitisom na početku (n = 241, 270 odnosno 265 za SELECT-PsA 1 i n = 144 odnosno 133 za SELECT-PsA 2) </w:t>
            </w:r>
          </w:p>
          <w:p w14:paraId="17DFD50E" w14:textId="040B1928" w:rsidR="007F331C" w:rsidRPr="00B74B0F" w:rsidRDefault="007F331C">
            <w:pPr>
              <w:spacing w:line="240" w:lineRule="auto"/>
              <w:contextualSpacing/>
              <w:jc w:val="both"/>
              <w:rPr>
                <w:szCs w:val="22"/>
                <w:lang w:val="sr-Latn-ME"/>
              </w:rPr>
            </w:pPr>
            <w:r w:rsidRPr="00B74B0F">
              <w:rPr>
                <w:szCs w:val="22"/>
                <w:vertAlign w:val="superscript"/>
                <w:lang w:val="sr-Latn-ME"/>
              </w:rPr>
              <w:t xml:space="preserve">b </w:t>
            </w:r>
            <w:r w:rsidRPr="00B74B0F">
              <w:rPr>
                <w:szCs w:val="22"/>
                <w:lang w:val="sr-Latn-ME"/>
              </w:rPr>
              <w:t xml:space="preserve">Kod </w:t>
            </w:r>
            <w:r w:rsidR="0021189F" w:rsidRPr="00B74B0F">
              <w:rPr>
                <w:szCs w:val="22"/>
                <w:lang w:val="sr-Latn-ME"/>
              </w:rPr>
              <w:t>pacijenata</w:t>
            </w:r>
            <w:r w:rsidRPr="00B74B0F">
              <w:rPr>
                <w:szCs w:val="22"/>
                <w:lang w:val="sr-Latn-ME"/>
              </w:rPr>
              <w:t xml:space="preserve"> s</w:t>
            </w:r>
            <w:r w:rsidR="00DB4CFB" w:rsidRPr="00B74B0F">
              <w:rPr>
                <w:szCs w:val="22"/>
                <w:lang w:val="sr-Latn-ME"/>
              </w:rPr>
              <w:t>a</w:t>
            </w:r>
            <w:r w:rsidRPr="00B74B0F">
              <w:rPr>
                <w:szCs w:val="22"/>
                <w:lang w:val="sr-Latn-ME"/>
              </w:rPr>
              <w:t xml:space="preserve"> daktilitisom na početku (n = 126, 136 odnosno 127 za SELECT-PsA 1 i n = 64 odnosno 55 za SELECT-PsA 2)</w:t>
            </w:r>
          </w:p>
          <w:p w14:paraId="00FD2673" w14:textId="38D0D76B" w:rsidR="007F331C" w:rsidRPr="00B74B0F" w:rsidRDefault="007F331C">
            <w:pPr>
              <w:spacing w:line="240" w:lineRule="auto"/>
              <w:contextualSpacing/>
              <w:jc w:val="both"/>
              <w:rPr>
                <w:szCs w:val="22"/>
                <w:lang w:val="sr-Latn-ME"/>
              </w:rPr>
            </w:pPr>
            <w:r w:rsidRPr="00B74B0F">
              <w:rPr>
                <w:szCs w:val="22"/>
                <w:vertAlign w:val="superscript"/>
                <w:lang w:val="sr-Latn-ME"/>
              </w:rPr>
              <w:lastRenderedPageBreak/>
              <w:t xml:space="preserve">c </w:t>
            </w:r>
            <w:r w:rsidRPr="00B74B0F">
              <w:rPr>
                <w:szCs w:val="22"/>
                <w:lang w:val="sr-Latn-ME"/>
              </w:rPr>
              <w:t xml:space="preserve">Kod </w:t>
            </w:r>
            <w:r w:rsidR="0021189F" w:rsidRPr="00B74B0F">
              <w:rPr>
                <w:szCs w:val="22"/>
                <w:lang w:val="sr-Latn-ME"/>
              </w:rPr>
              <w:t>pacijenata</w:t>
            </w:r>
            <w:r w:rsidRPr="00B74B0F">
              <w:rPr>
                <w:szCs w:val="22"/>
                <w:lang w:val="sr-Latn-ME"/>
              </w:rPr>
              <w:t xml:space="preserve"> s</w:t>
            </w:r>
            <w:r w:rsidR="00DB4CFB" w:rsidRPr="00B74B0F">
              <w:rPr>
                <w:szCs w:val="22"/>
                <w:lang w:val="sr-Latn-ME"/>
              </w:rPr>
              <w:t>a</w:t>
            </w:r>
            <w:r w:rsidRPr="00B74B0F">
              <w:rPr>
                <w:szCs w:val="22"/>
                <w:lang w:val="sr-Latn-ME"/>
              </w:rPr>
              <w:t xml:space="preserve"> psorijazom na ≥ 3% površine tijela na početku (n = 211, 214 odnosno 211 za SELECT-PsA 1 i n = 131 odnosno 130 za SELECT-PsA 2) </w:t>
            </w:r>
          </w:p>
          <w:p w14:paraId="0AB8AB46" w14:textId="057418DE" w:rsidR="007F331C" w:rsidRPr="00B74B0F" w:rsidRDefault="007F331C">
            <w:pPr>
              <w:spacing w:line="240" w:lineRule="auto"/>
              <w:contextualSpacing/>
              <w:jc w:val="both"/>
              <w:rPr>
                <w:szCs w:val="22"/>
                <w:lang w:val="sr-Latn-ME"/>
              </w:rPr>
            </w:pPr>
            <w:r w:rsidRPr="00B74B0F">
              <w:rPr>
                <w:szCs w:val="22"/>
                <w:vertAlign w:val="superscript"/>
                <w:lang w:val="sr-Latn-ME"/>
              </w:rPr>
              <w:t>d</w:t>
            </w:r>
            <w:r w:rsidRPr="00B74B0F">
              <w:rPr>
                <w:szCs w:val="22"/>
                <w:lang w:val="sr-Latn-ME"/>
              </w:rPr>
              <w:t xml:space="preserve"> </w:t>
            </w:r>
            <w:r w:rsidR="002602C0" w:rsidRPr="00B74B0F">
              <w:rPr>
                <w:szCs w:val="22"/>
                <w:lang w:val="sr-Latn-ME"/>
              </w:rPr>
              <w:t>Primarni parametar praćenja</w:t>
            </w:r>
          </w:p>
          <w:p w14:paraId="698F5753" w14:textId="77777777" w:rsidR="007F331C" w:rsidRPr="00B74B0F" w:rsidRDefault="007F331C">
            <w:pPr>
              <w:spacing w:line="240" w:lineRule="auto"/>
              <w:contextualSpacing/>
              <w:jc w:val="both"/>
              <w:rPr>
                <w:szCs w:val="22"/>
                <w:lang w:val="sr-Latn-ME"/>
              </w:rPr>
            </w:pPr>
            <w:r w:rsidRPr="00B74B0F">
              <w:rPr>
                <w:szCs w:val="22"/>
                <w:vertAlign w:val="superscript"/>
                <w:lang w:val="sr-Latn-ME"/>
              </w:rPr>
              <w:t>e</w:t>
            </w:r>
            <w:r w:rsidRPr="00B74B0F">
              <w:rPr>
                <w:szCs w:val="22"/>
                <w:lang w:val="sr-Latn-ME"/>
              </w:rPr>
              <w:t xml:space="preserve"> p-vrijednost kontrolisana za multiplicitet ≤ 0,001 za upadacitinib u odnosu na placebo</w:t>
            </w:r>
          </w:p>
          <w:p w14:paraId="3B15E7A7" w14:textId="77777777" w:rsidR="007F331C" w:rsidRPr="00B74B0F" w:rsidRDefault="007F331C">
            <w:pPr>
              <w:spacing w:line="240" w:lineRule="auto"/>
              <w:contextualSpacing/>
              <w:jc w:val="both"/>
              <w:rPr>
                <w:szCs w:val="22"/>
                <w:u w:val="single"/>
                <w:lang w:val="sr-Latn-ME"/>
              </w:rPr>
            </w:pPr>
            <w:r w:rsidRPr="00B74B0F">
              <w:rPr>
                <w:szCs w:val="22"/>
                <w:vertAlign w:val="superscript"/>
                <w:lang w:val="sr-Latn-ME"/>
              </w:rPr>
              <w:t>f</w:t>
            </w:r>
            <w:r w:rsidRPr="00B74B0F">
              <w:rPr>
                <w:szCs w:val="22"/>
                <w:lang w:val="sr-Latn-ME"/>
              </w:rPr>
              <w:t xml:space="preserve"> p-vrijednost kontrolisana za multiplicitet ≤ 0,001 za upadacitinib u odnosu na adalimumab (test neinferiornosti)</w:t>
            </w:r>
          </w:p>
        </w:tc>
      </w:tr>
    </w:tbl>
    <w:p w14:paraId="2D1B5FC5" w14:textId="77777777" w:rsidR="007F331C" w:rsidRPr="00B74B0F" w:rsidRDefault="007F331C">
      <w:pPr>
        <w:spacing w:line="240" w:lineRule="auto"/>
        <w:contextualSpacing/>
        <w:jc w:val="both"/>
        <w:rPr>
          <w:i/>
          <w:iCs/>
          <w:szCs w:val="22"/>
          <w:u w:val="single"/>
          <w:lang w:val="sr-Latn-ME"/>
        </w:rPr>
      </w:pPr>
    </w:p>
    <w:p w14:paraId="0E35D380" w14:textId="77777777" w:rsidR="007F331C" w:rsidRPr="00B74B0F" w:rsidRDefault="007F331C">
      <w:pPr>
        <w:spacing w:line="240" w:lineRule="auto"/>
        <w:contextualSpacing/>
        <w:jc w:val="both"/>
        <w:rPr>
          <w:i/>
          <w:iCs/>
          <w:szCs w:val="22"/>
          <w:lang w:val="sr-Latn-ME"/>
        </w:rPr>
      </w:pPr>
      <w:r w:rsidRPr="00B74B0F">
        <w:rPr>
          <w:i/>
          <w:iCs/>
          <w:szCs w:val="22"/>
          <w:lang w:val="sr-Latn-ME"/>
        </w:rPr>
        <w:t>Radiografski odgovor</w:t>
      </w:r>
    </w:p>
    <w:p w14:paraId="41FF7B30" w14:textId="77777777" w:rsidR="007F331C" w:rsidRPr="00B74B0F" w:rsidRDefault="007F331C">
      <w:pPr>
        <w:spacing w:line="240" w:lineRule="auto"/>
        <w:contextualSpacing/>
        <w:jc w:val="both"/>
        <w:rPr>
          <w:i/>
          <w:iCs/>
          <w:szCs w:val="22"/>
          <w:lang w:val="sr-Latn-ME"/>
        </w:rPr>
      </w:pPr>
    </w:p>
    <w:p w14:paraId="0125C84B" w14:textId="60383D96" w:rsidR="007F331C" w:rsidRPr="00B74B0F" w:rsidRDefault="007F331C">
      <w:pPr>
        <w:spacing w:line="240" w:lineRule="auto"/>
        <w:contextualSpacing/>
        <w:jc w:val="both"/>
        <w:rPr>
          <w:szCs w:val="22"/>
          <w:lang w:val="sr-Latn-ME"/>
        </w:rPr>
      </w:pPr>
      <w:r w:rsidRPr="00B74B0F">
        <w:rPr>
          <w:szCs w:val="22"/>
          <w:lang w:val="sr-Latn-ME"/>
        </w:rPr>
        <w:t>U ispitivanju SELECT-PsA 1 inhibicija progresije strukturnog oštećenja ocjenjivala se radiografski, a izražena je promjenom u odnosu na početne vrijednosti ukupnog rezultata prema modifi</w:t>
      </w:r>
      <w:r w:rsidR="00F96E15" w:rsidRPr="00B74B0F">
        <w:rPr>
          <w:szCs w:val="22"/>
          <w:lang w:val="sr-Latn-ME"/>
        </w:rPr>
        <w:t>kova</w:t>
      </w:r>
      <w:r w:rsidRPr="00B74B0F">
        <w:rPr>
          <w:szCs w:val="22"/>
          <w:lang w:val="sr-Latn-ME"/>
        </w:rPr>
        <w:t xml:space="preserve">noj Sharpovoj ljestvici (engl. </w:t>
      </w:r>
      <w:r w:rsidRPr="00B74B0F">
        <w:rPr>
          <w:i/>
          <w:szCs w:val="22"/>
          <w:lang w:val="sr-Latn-ME"/>
        </w:rPr>
        <w:t>modified Total Sharp Score</w:t>
      </w:r>
      <w:r w:rsidRPr="00B74B0F">
        <w:rPr>
          <w:szCs w:val="22"/>
          <w:lang w:val="sr-Latn-ME"/>
        </w:rPr>
        <w:t xml:space="preserve">, mTSS) i njegovim </w:t>
      </w:r>
      <w:r w:rsidR="00F96E15" w:rsidRPr="00B74B0F">
        <w:rPr>
          <w:szCs w:val="22"/>
          <w:lang w:val="sr-Latn-ME"/>
        </w:rPr>
        <w:t>djelovima</w:t>
      </w:r>
      <w:r w:rsidRPr="00B74B0F">
        <w:rPr>
          <w:szCs w:val="22"/>
          <w:lang w:val="sr-Latn-ME"/>
        </w:rPr>
        <w:t>, rezultatu za eroziju i rezultatu za suženje zglobnog prostora u 24</w:t>
      </w:r>
      <w:r w:rsidR="00F96E15" w:rsidRPr="00B74B0F">
        <w:rPr>
          <w:szCs w:val="22"/>
          <w:lang w:val="sr-Latn-ME"/>
        </w:rPr>
        <w:t>.</w:t>
      </w:r>
      <w:r w:rsidR="00835CD5" w:rsidRPr="00B74B0F">
        <w:rPr>
          <w:szCs w:val="22"/>
          <w:lang w:val="sr-Latn-ME"/>
        </w:rPr>
        <w:t xml:space="preserve"> </w:t>
      </w:r>
      <w:r w:rsidR="00F96E15" w:rsidRPr="00B74B0F">
        <w:rPr>
          <w:szCs w:val="22"/>
          <w:lang w:val="sr-Latn-ME"/>
        </w:rPr>
        <w:t>nedjelji</w:t>
      </w:r>
      <w:r w:rsidRPr="00B74B0F">
        <w:rPr>
          <w:szCs w:val="22"/>
          <w:lang w:val="sr-Latn-ME"/>
        </w:rPr>
        <w:t>.</w:t>
      </w:r>
    </w:p>
    <w:p w14:paraId="21818F48" w14:textId="77777777" w:rsidR="007F331C" w:rsidRPr="00B74B0F" w:rsidRDefault="007F331C">
      <w:pPr>
        <w:spacing w:line="240" w:lineRule="auto"/>
        <w:contextualSpacing/>
        <w:jc w:val="both"/>
        <w:rPr>
          <w:szCs w:val="22"/>
          <w:lang w:val="sr-Latn-ME"/>
        </w:rPr>
      </w:pPr>
    </w:p>
    <w:p w14:paraId="0262932E" w14:textId="51EA9EBD" w:rsidR="007F331C" w:rsidRPr="00B74B0F" w:rsidRDefault="007F331C">
      <w:pPr>
        <w:spacing w:line="240" w:lineRule="auto"/>
        <w:contextualSpacing/>
        <w:jc w:val="both"/>
        <w:rPr>
          <w:szCs w:val="22"/>
          <w:lang w:val="sr-Latn-ME"/>
        </w:rPr>
      </w:pPr>
      <w:r w:rsidRPr="00B74B0F">
        <w:rPr>
          <w:szCs w:val="22"/>
          <w:lang w:val="sr-Latn-ME"/>
        </w:rPr>
        <w:t>Liječenje upadacitinib</w:t>
      </w:r>
      <w:r w:rsidR="00835CD5" w:rsidRPr="00B74B0F">
        <w:rPr>
          <w:szCs w:val="22"/>
          <w:lang w:val="sr-Latn-ME"/>
        </w:rPr>
        <w:t>om</w:t>
      </w:r>
      <w:r w:rsidRPr="00B74B0F">
        <w:rPr>
          <w:szCs w:val="22"/>
          <w:lang w:val="sr-Latn-ME"/>
        </w:rPr>
        <w:t xml:space="preserve"> u dozi od 15 mg dovelo je do statistički značajno veće inhibicije progresije strukturnog oštećenja zglobova u poređenju sa placebom u 24</w:t>
      </w:r>
      <w:r w:rsidR="00F96E15" w:rsidRPr="00B74B0F">
        <w:rPr>
          <w:szCs w:val="22"/>
          <w:lang w:val="sr-Latn-ME"/>
        </w:rPr>
        <w:t>.</w:t>
      </w:r>
      <w:r w:rsidR="00835CD5" w:rsidRPr="00B74B0F">
        <w:rPr>
          <w:szCs w:val="22"/>
          <w:lang w:val="sr-Latn-ME"/>
        </w:rPr>
        <w:t xml:space="preserve"> </w:t>
      </w:r>
      <w:r w:rsidR="00F96E15" w:rsidRPr="00B74B0F">
        <w:rPr>
          <w:szCs w:val="22"/>
          <w:lang w:val="sr-Latn-ME"/>
        </w:rPr>
        <w:t>nedjelji</w:t>
      </w:r>
      <w:r w:rsidRPr="00B74B0F">
        <w:rPr>
          <w:szCs w:val="22"/>
          <w:lang w:val="sr-Latn-ME"/>
        </w:rPr>
        <w:t xml:space="preserve"> (Tabela </w:t>
      </w:r>
      <w:r w:rsidR="00F96E15" w:rsidRPr="00B74B0F">
        <w:rPr>
          <w:szCs w:val="22"/>
          <w:lang w:val="sr-Latn-ME"/>
        </w:rPr>
        <w:t>9</w:t>
      </w:r>
      <w:r w:rsidRPr="00B74B0F">
        <w:rPr>
          <w:szCs w:val="22"/>
          <w:lang w:val="sr-Latn-ME"/>
        </w:rPr>
        <w:t xml:space="preserve">). Rezultati za eroziju i za suženje zglobnog prostora bili su u skladu s ukupnim rezultatima. Udio </w:t>
      </w:r>
      <w:r w:rsidR="0021189F" w:rsidRPr="00B74B0F">
        <w:rPr>
          <w:szCs w:val="22"/>
          <w:lang w:val="sr-Latn-ME"/>
        </w:rPr>
        <w:t>pacijenata</w:t>
      </w:r>
      <w:r w:rsidRPr="00B74B0F">
        <w:rPr>
          <w:szCs w:val="22"/>
          <w:lang w:val="sr-Latn-ME"/>
        </w:rPr>
        <w:t xml:space="preserve"> bez radiografske progresije (promjena mTSS rezultata za ≤ 0,5) bio je veći kod lijeka upadacitinib u dozi od 15 mg u poređenju sa placebom u 24</w:t>
      </w:r>
      <w:r w:rsidR="00F96E15" w:rsidRPr="00B74B0F">
        <w:rPr>
          <w:szCs w:val="22"/>
          <w:lang w:val="sr-Latn-ME"/>
        </w:rPr>
        <w:t>.</w:t>
      </w:r>
      <w:r w:rsidR="00835CD5" w:rsidRPr="00B74B0F">
        <w:rPr>
          <w:szCs w:val="22"/>
          <w:lang w:val="sr-Latn-ME"/>
        </w:rPr>
        <w:t xml:space="preserve"> </w:t>
      </w:r>
      <w:r w:rsidR="00F96E15" w:rsidRPr="00B74B0F">
        <w:rPr>
          <w:szCs w:val="22"/>
          <w:lang w:val="sr-Latn-ME"/>
        </w:rPr>
        <w:t>nedjelji</w:t>
      </w:r>
      <w:r w:rsidRPr="00B74B0F">
        <w:rPr>
          <w:szCs w:val="22"/>
          <w:lang w:val="sr-Latn-ME"/>
        </w:rPr>
        <w:t>.</w:t>
      </w:r>
    </w:p>
    <w:p w14:paraId="1AB4F869" w14:textId="77777777" w:rsidR="007F331C" w:rsidRPr="00B74B0F" w:rsidRDefault="007F331C">
      <w:pPr>
        <w:spacing w:line="240" w:lineRule="auto"/>
        <w:contextualSpacing/>
        <w:jc w:val="both"/>
        <w:rPr>
          <w:szCs w:val="22"/>
          <w:u w:val="single"/>
          <w:lang w:val="sr-Latn-ME"/>
        </w:rPr>
      </w:pPr>
    </w:p>
    <w:p w14:paraId="2BAA81D1" w14:textId="56FAE4AA" w:rsidR="007F331C" w:rsidRPr="008338F7" w:rsidRDefault="007F331C">
      <w:pPr>
        <w:spacing w:line="240" w:lineRule="auto"/>
        <w:contextualSpacing/>
        <w:jc w:val="both"/>
        <w:rPr>
          <w:b/>
          <w:bCs/>
          <w:szCs w:val="22"/>
          <w:lang w:val="sr-Latn-ME"/>
        </w:rPr>
      </w:pPr>
      <w:r w:rsidRPr="008338F7">
        <w:rPr>
          <w:b/>
          <w:bCs/>
          <w:szCs w:val="22"/>
          <w:lang w:val="sr-Latn-ME"/>
        </w:rPr>
        <w:t xml:space="preserve">Tabela </w:t>
      </w:r>
      <w:r w:rsidR="00CC3EB3" w:rsidRPr="008338F7">
        <w:rPr>
          <w:b/>
          <w:bCs/>
          <w:szCs w:val="22"/>
          <w:lang w:val="sr-Latn-ME"/>
        </w:rPr>
        <w:t>9</w:t>
      </w:r>
      <w:r w:rsidRPr="008338F7">
        <w:rPr>
          <w:b/>
          <w:bCs/>
          <w:szCs w:val="22"/>
          <w:lang w:val="sr-Latn-ME"/>
        </w:rPr>
        <w:t>: Radiografske promjene u ispitivanju SELECT-PsA 1</w:t>
      </w:r>
    </w:p>
    <w:p w14:paraId="47430176" w14:textId="77777777" w:rsidR="007F331C" w:rsidRPr="00B74B0F" w:rsidRDefault="007F331C">
      <w:pPr>
        <w:spacing w:line="240" w:lineRule="auto"/>
        <w:contextualSpacing/>
        <w:jc w:val="both"/>
        <w:rPr>
          <w:szCs w:val="22"/>
          <w:u w:val="single"/>
          <w:lang w:val="sr-Latn-ME"/>
        </w:rPr>
      </w:pPr>
    </w:p>
    <w:tbl>
      <w:tblPr>
        <w:tblW w:w="500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50"/>
        <w:gridCol w:w="2137"/>
        <w:gridCol w:w="2374"/>
        <w:gridCol w:w="2994"/>
      </w:tblGrid>
      <w:tr w:rsidR="00BF75A1" w:rsidRPr="00B74B0F" w14:paraId="7796F338" w14:textId="77777777" w:rsidTr="00200D71">
        <w:trPr>
          <w:trHeight w:val="573"/>
        </w:trPr>
        <w:tc>
          <w:tcPr>
            <w:tcW w:w="856" w:type="pct"/>
            <w:tcBorders>
              <w:top w:val="single" w:sz="6" w:space="0" w:color="000000"/>
              <w:left w:val="single" w:sz="6" w:space="0" w:color="000000"/>
              <w:bottom w:val="single" w:sz="6" w:space="0" w:color="000000"/>
              <w:right w:val="single" w:sz="6" w:space="0" w:color="000000"/>
            </w:tcBorders>
            <w:vAlign w:val="center"/>
            <w:hideMark/>
          </w:tcPr>
          <w:p w14:paraId="709BD57B"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Liječena grupa</w:t>
            </w:r>
          </w:p>
        </w:tc>
        <w:tc>
          <w:tcPr>
            <w:tcW w:w="1180" w:type="pct"/>
            <w:tcBorders>
              <w:top w:val="single" w:sz="6" w:space="0" w:color="000000"/>
              <w:left w:val="single" w:sz="6" w:space="0" w:color="000000"/>
              <w:bottom w:val="single" w:sz="6" w:space="0" w:color="000000"/>
              <w:right w:val="single" w:sz="6" w:space="0" w:color="000000"/>
            </w:tcBorders>
            <w:vAlign w:val="center"/>
            <w:hideMark/>
          </w:tcPr>
          <w:p w14:paraId="2559CE77"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PBO</w:t>
            </w:r>
          </w:p>
        </w:tc>
        <w:tc>
          <w:tcPr>
            <w:tcW w:w="1311" w:type="pct"/>
            <w:tcBorders>
              <w:top w:val="single" w:sz="6" w:space="0" w:color="000000"/>
              <w:left w:val="single" w:sz="6" w:space="0" w:color="000000"/>
              <w:bottom w:val="single" w:sz="6" w:space="0" w:color="000000"/>
              <w:right w:val="single" w:sz="6" w:space="0" w:color="000000"/>
            </w:tcBorders>
            <w:vAlign w:val="center"/>
            <w:hideMark/>
          </w:tcPr>
          <w:p w14:paraId="01526B99"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UPA</w:t>
            </w:r>
          </w:p>
          <w:p w14:paraId="51F6812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15 mg</w:t>
            </w:r>
          </w:p>
        </w:tc>
        <w:tc>
          <w:tcPr>
            <w:tcW w:w="1654" w:type="pct"/>
            <w:tcBorders>
              <w:top w:val="single" w:sz="6" w:space="0" w:color="000000"/>
              <w:left w:val="single" w:sz="6" w:space="0" w:color="000000"/>
              <w:bottom w:val="single" w:sz="6" w:space="0" w:color="000000"/>
              <w:right w:val="single" w:sz="6" w:space="0" w:color="000000"/>
            </w:tcBorders>
            <w:vAlign w:val="center"/>
            <w:hideMark/>
          </w:tcPr>
          <w:p w14:paraId="78C6AF2E"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ADA</w:t>
            </w:r>
          </w:p>
          <w:p w14:paraId="793B6B79" w14:textId="77777777" w:rsidR="007F331C" w:rsidRPr="00B74B0F" w:rsidRDefault="007F331C">
            <w:pPr>
              <w:spacing w:line="240" w:lineRule="auto"/>
              <w:contextualSpacing/>
              <w:jc w:val="both"/>
              <w:rPr>
                <w:szCs w:val="22"/>
                <w:u w:val="single"/>
                <w:lang w:val="sr-Latn-ME"/>
              </w:rPr>
            </w:pPr>
            <w:r w:rsidRPr="00B74B0F">
              <w:rPr>
                <w:szCs w:val="22"/>
                <w:u w:val="single"/>
                <w:lang w:val="sr-Latn-ME"/>
              </w:rPr>
              <w:t>40 mg</w:t>
            </w:r>
          </w:p>
        </w:tc>
      </w:tr>
      <w:tr w:rsidR="00BF75A1" w:rsidRPr="00B74B0F" w14:paraId="42B0AB59" w14:textId="77777777" w:rsidTr="00200D71">
        <w:trPr>
          <w:trHeight w:val="278"/>
        </w:trPr>
        <w:tc>
          <w:tcPr>
            <w:tcW w:w="5000" w:type="pct"/>
            <w:gridSpan w:val="4"/>
            <w:tcBorders>
              <w:top w:val="single" w:sz="6" w:space="0" w:color="000000"/>
              <w:left w:val="single" w:sz="6" w:space="0" w:color="000000"/>
              <w:bottom w:val="single" w:sz="6" w:space="0" w:color="000000"/>
              <w:right w:val="single" w:sz="6" w:space="0" w:color="000000"/>
            </w:tcBorders>
            <w:vAlign w:val="center"/>
            <w:hideMark/>
          </w:tcPr>
          <w:p w14:paraId="74FDABB1" w14:textId="6A4D2478" w:rsidR="007F331C" w:rsidRPr="00B74B0F" w:rsidRDefault="007F331C">
            <w:pPr>
              <w:spacing w:line="240" w:lineRule="auto"/>
              <w:contextualSpacing/>
              <w:jc w:val="both"/>
              <w:rPr>
                <w:szCs w:val="22"/>
                <w:u w:val="single"/>
                <w:lang w:val="sr-Latn-ME"/>
              </w:rPr>
            </w:pPr>
            <w:r w:rsidRPr="00B74B0F">
              <w:rPr>
                <w:b/>
                <w:szCs w:val="22"/>
                <w:u w:val="single"/>
                <w:lang w:val="sr-Latn-ME"/>
              </w:rPr>
              <w:t>Ukupan rezultat prema modifi</w:t>
            </w:r>
            <w:r w:rsidR="00F96E15" w:rsidRPr="00B74B0F">
              <w:rPr>
                <w:b/>
                <w:szCs w:val="22"/>
                <w:u w:val="single"/>
                <w:lang w:val="sr-Latn-ME"/>
              </w:rPr>
              <w:t>kova</w:t>
            </w:r>
            <w:r w:rsidRPr="00B74B0F">
              <w:rPr>
                <w:b/>
                <w:szCs w:val="22"/>
                <w:u w:val="single"/>
                <w:lang w:val="sr-Latn-ME"/>
              </w:rPr>
              <w:t>noj Sharpovoj ljestvici, srednja vrijednost promjene od početne vrijednosti (interval pouzdanosti od 95%)</w:t>
            </w:r>
          </w:p>
        </w:tc>
      </w:tr>
      <w:tr w:rsidR="00BF75A1" w:rsidRPr="00B74B0F" w14:paraId="28E72381" w14:textId="77777777" w:rsidTr="00200D71">
        <w:trPr>
          <w:trHeight w:val="278"/>
        </w:trPr>
        <w:tc>
          <w:tcPr>
            <w:tcW w:w="856" w:type="pct"/>
            <w:tcBorders>
              <w:top w:val="single" w:sz="6" w:space="0" w:color="000000"/>
              <w:left w:val="single" w:sz="6" w:space="0" w:color="000000"/>
              <w:bottom w:val="single" w:sz="6" w:space="0" w:color="000000"/>
              <w:right w:val="single" w:sz="6" w:space="0" w:color="000000"/>
            </w:tcBorders>
            <w:hideMark/>
          </w:tcPr>
          <w:p w14:paraId="0EAA4D87" w14:textId="666DA806"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F96E15"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18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66CDF81"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0,25 (0,13; 0,36)</w:t>
            </w:r>
          </w:p>
        </w:tc>
        <w:tc>
          <w:tcPr>
            <w:tcW w:w="13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9C718D4"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-0,04 (-0,16; 0,07)</w:t>
            </w:r>
            <w:r w:rsidRPr="00B74B0F">
              <w:rPr>
                <w:szCs w:val="22"/>
                <w:u w:val="single"/>
                <w:vertAlign w:val="superscript"/>
                <w:lang w:val="sr-Latn-ME"/>
              </w:rPr>
              <w:t>c</w:t>
            </w:r>
          </w:p>
        </w:tc>
        <w:tc>
          <w:tcPr>
            <w:tcW w:w="1654" w:type="pct"/>
            <w:tcBorders>
              <w:top w:val="single" w:sz="6" w:space="0" w:color="000000"/>
              <w:left w:val="single" w:sz="6" w:space="0" w:color="000000"/>
              <w:bottom w:val="single" w:sz="6" w:space="0" w:color="000000"/>
              <w:right w:val="single" w:sz="6" w:space="0" w:color="000000"/>
            </w:tcBorders>
            <w:vAlign w:val="center"/>
          </w:tcPr>
          <w:p w14:paraId="36104300"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0,01 (-0,11; 0,13)</w:t>
            </w:r>
          </w:p>
        </w:tc>
      </w:tr>
      <w:tr w:rsidR="00BF75A1" w:rsidRPr="00B74B0F" w14:paraId="75498AB3" w14:textId="77777777" w:rsidTr="00200D71">
        <w:trPr>
          <w:trHeight w:val="278"/>
        </w:trPr>
        <w:tc>
          <w:tcPr>
            <w:tcW w:w="856" w:type="pct"/>
            <w:tcBorders>
              <w:top w:val="single" w:sz="6" w:space="0" w:color="000000"/>
              <w:left w:val="single" w:sz="6" w:space="0" w:color="000000"/>
              <w:bottom w:val="single" w:sz="6" w:space="0" w:color="000000"/>
              <w:right w:val="single" w:sz="6" w:space="0" w:color="000000"/>
            </w:tcBorders>
          </w:tcPr>
          <w:p w14:paraId="4649D0CC" w14:textId="04C66BAA"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F96E15"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r w:rsidR="007F331C" w:rsidRPr="00B74B0F">
              <w:rPr>
                <w:szCs w:val="22"/>
                <w:u w:val="single"/>
                <w:vertAlign w:val="superscript"/>
                <w:lang w:val="sr-Latn-ME"/>
              </w:rPr>
              <w:t>a</w:t>
            </w:r>
          </w:p>
        </w:tc>
        <w:tc>
          <w:tcPr>
            <w:tcW w:w="118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8DC0026"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0,44 (0,29; 0,59)</w:t>
            </w:r>
          </w:p>
        </w:tc>
        <w:tc>
          <w:tcPr>
            <w:tcW w:w="13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AFE63B5"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-0,05 (-0,20; 0,09)</w:t>
            </w:r>
          </w:p>
        </w:tc>
        <w:tc>
          <w:tcPr>
            <w:tcW w:w="1654" w:type="pct"/>
            <w:tcBorders>
              <w:top w:val="single" w:sz="6" w:space="0" w:color="000000"/>
              <w:left w:val="single" w:sz="6" w:space="0" w:color="000000"/>
              <w:bottom w:val="single" w:sz="6" w:space="0" w:color="000000"/>
              <w:right w:val="single" w:sz="6" w:space="0" w:color="000000"/>
            </w:tcBorders>
            <w:vAlign w:val="center"/>
          </w:tcPr>
          <w:p w14:paraId="1C43EF8C"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-0,06 (-0,20; 0,09)</w:t>
            </w:r>
          </w:p>
        </w:tc>
      </w:tr>
      <w:tr w:rsidR="00BF75A1" w:rsidRPr="00B74B0F" w14:paraId="36934BCE" w14:textId="77777777" w:rsidTr="00200D71">
        <w:trPr>
          <w:trHeight w:val="29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215AE1C0" w14:textId="0851BA1F" w:rsidR="007F331C" w:rsidRPr="00B74B0F" w:rsidRDefault="007F331C">
            <w:pPr>
              <w:spacing w:line="240" w:lineRule="auto"/>
              <w:contextualSpacing/>
              <w:jc w:val="both"/>
              <w:rPr>
                <w:szCs w:val="22"/>
                <w:u w:val="single"/>
                <w:lang w:val="sr-Latn-ME"/>
              </w:rPr>
            </w:pPr>
            <w:r w:rsidRPr="00B74B0F">
              <w:rPr>
                <w:b/>
                <w:szCs w:val="22"/>
                <w:u w:val="single"/>
                <w:lang w:val="sr-Latn-ME"/>
              </w:rPr>
              <w:t xml:space="preserve">Udio </w:t>
            </w:r>
            <w:r w:rsidR="0021189F" w:rsidRPr="00B74B0F">
              <w:rPr>
                <w:b/>
                <w:szCs w:val="22"/>
                <w:u w:val="single"/>
                <w:lang w:val="sr-Latn-ME"/>
              </w:rPr>
              <w:t>pacijenata</w:t>
            </w:r>
            <w:r w:rsidRPr="00B74B0F">
              <w:rPr>
                <w:b/>
                <w:szCs w:val="22"/>
                <w:u w:val="single"/>
                <w:lang w:val="sr-Latn-ME"/>
              </w:rPr>
              <w:t xml:space="preserve"> bez radiografske progresije</w:t>
            </w:r>
            <w:r w:rsidRPr="00B74B0F">
              <w:rPr>
                <w:b/>
                <w:szCs w:val="22"/>
                <w:u w:val="single"/>
                <w:vertAlign w:val="superscript"/>
                <w:lang w:val="sr-Latn-ME"/>
              </w:rPr>
              <w:t>b</w:t>
            </w:r>
            <w:r w:rsidRPr="00B74B0F">
              <w:rPr>
                <w:b/>
                <w:szCs w:val="22"/>
                <w:u w:val="single"/>
                <w:lang w:val="sr-Latn-ME"/>
              </w:rPr>
              <w:t>, % (interval pouzdanosti od 95%)</w:t>
            </w:r>
          </w:p>
        </w:tc>
      </w:tr>
      <w:tr w:rsidR="00BF75A1" w:rsidRPr="00B74B0F" w14:paraId="07EF05C2" w14:textId="77777777" w:rsidTr="00200D71">
        <w:trPr>
          <w:trHeight w:val="294"/>
        </w:trPr>
        <w:tc>
          <w:tcPr>
            <w:tcW w:w="856" w:type="pct"/>
            <w:tcBorders>
              <w:top w:val="single" w:sz="6" w:space="0" w:color="000000"/>
              <w:left w:val="single" w:sz="6" w:space="0" w:color="000000"/>
              <w:bottom w:val="single" w:sz="6" w:space="0" w:color="000000"/>
              <w:right w:val="single" w:sz="6" w:space="0" w:color="000000"/>
            </w:tcBorders>
            <w:hideMark/>
          </w:tcPr>
          <w:p w14:paraId="4BCFFB7F" w14:textId="5CF7A02C"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F96E15"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24</w:t>
            </w:r>
          </w:p>
        </w:tc>
        <w:tc>
          <w:tcPr>
            <w:tcW w:w="118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F012EE"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92 (89, 95)</w:t>
            </w:r>
          </w:p>
        </w:tc>
        <w:tc>
          <w:tcPr>
            <w:tcW w:w="13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912D522"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96 (94, 98)</w:t>
            </w:r>
          </w:p>
        </w:tc>
        <w:tc>
          <w:tcPr>
            <w:tcW w:w="1654" w:type="pct"/>
            <w:tcBorders>
              <w:top w:val="single" w:sz="6" w:space="0" w:color="000000"/>
              <w:left w:val="single" w:sz="6" w:space="0" w:color="000000"/>
              <w:bottom w:val="single" w:sz="6" w:space="0" w:color="000000"/>
              <w:right w:val="single" w:sz="6" w:space="0" w:color="000000"/>
            </w:tcBorders>
            <w:vAlign w:val="center"/>
          </w:tcPr>
          <w:p w14:paraId="32873452"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95 (93, 97)</w:t>
            </w:r>
          </w:p>
        </w:tc>
      </w:tr>
      <w:tr w:rsidR="00BF75A1" w:rsidRPr="00B74B0F" w14:paraId="3DB1B865" w14:textId="77777777" w:rsidTr="00200D71">
        <w:trPr>
          <w:trHeight w:val="294"/>
        </w:trPr>
        <w:tc>
          <w:tcPr>
            <w:tcW w:w="856" w:type="pct"/>
            <w:tcBorders>
              <w:top w:val="single" w:sz="6" w:space="0" w:color="000000"/>
              <w:left w:val="single" w:sz="6" w:space="0" w:color="000000"/>
              <w:bottom w:val="single" w:sz="6" w:space="0" w:color="000000"/>
              <w:right w:val="single" w:sz="6" w:space="0" w:color="000000"/>
            </w:tcBorders>
          </w:tcPr>
          <w:p w14:paraId="77BCA064" w14:textId="72AAEDD2" w:rsidR="007F331C" w:rsidRPr="00B74B0F" w:rsidRDefault="00B74FFE">
            <w:pPr>
              <w:spacing w:line="240" w:lineRule="auto"/>
              <w:contextualSpacing/>
              <w:jc w:val="both"/>
              <w:rPr>
                <w:szCs w:val="22"/>
                <w:u w:val="single"/>
                <w:lang w:val="sr-Latn-ME"/>
              </w:rPr>
            </w:pPr>
            <w:r w:rsidRPr="00B74B0F">
              <w:rPr>
                <w:szCs w:val="22"/>
                <w:u w:val="single"/>
                <w:lang w:val="sr-Latn-ME"/>
              </w:rPr>
              <w:t>Ned</w:t>
            </w:r>
            <w:r w:rsidR="00F96E15" w:rsidRPr="00B74B0F">
              <w:rPr>
                <w:szCs w:val="22"/>
                <w:u w:val="single"/>
                <w:lang w:val="sr-Latn-ME"/>
              </w:rPr>
              <w:t>j</w:t>
            </w:r>
            <w:r w:rsidRPr="00B74B0F">
              <w:rPr>
                <w:szCs w:val="22"/>
                <w:u w:val="single"/>
                <w:lang w:val="sr-Latn-ME"/>
              </w:rPr>
              <w:t>elja</w:t>
            </w:r>
            <w:r w:rsidR="007F331C" w:rsidRPr="00B74B0F">
              <w:rPr>
                <w:szCs w:val="22"/>
                <w:u w:val="single"/>
                <w:lang w:val="sr-Latn-ME"/>
              </w:rPr>
              <w:t xml:space="preserve"> 56</w:t>
            </w:r>
            <w:r w:rsidR="007F331C" w:rsidRPr="00B74B0F">
              <w:rPr>
                <w:szCs w:val="22"/>
                <w:u w:val="single"/>
                <w:vertAlign w:val="superscript"/>
                <w:lang w:val="sr-Latn-ME"/>
              </w:rPr>
              <w:t>a</w:t>
            </w:r>
          </w:p>
        </w:tc>
        <w:tc>
          <w:tcPr>
            <w:tcW w:w="1180"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A621005"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89 (86, 92)</w:t>
            </w:r>
          </w:p>
        </w:tc>
        <w:tc>
          <w:tcPr>
            <w:tcW w:w="131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F0D54AD"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97 (96, 99)</w:t>
            </w:r>
          </w:p>
        </w:tc>
        <w:tc>
          <w:tcPr>
            <w:tcW w:w="1654" w:type="pct"/>
            <w:tcBorders>
              <w:top w:val="single" w:sz="6" w:space="0" w:color="000000"/>
              <w:left w:val="single" w:sz="6" w:space="0" w:color="000000"/>
              <w:bottom w:val="single" w:sz="6" w:space="0" w:color="000000"/>
              <w:right w:val="single" w:sz="6" w:space="0" w:color="000000"/>
            </w:tcBorders>
            <w:vAlign w:val="center"/>
          </w:tcPr>
          <w:p w14:paraId="7D7647E9" w14:textId="77777777" w:rsidR="007F331C" w:rsidRPr="00B74B0F" w:rsidRDefault="007F331C" w:rsidP="00A30C3C">
            <w:pPr>
              <w:spacing w:line="240" w:lineRule="auto"/>
              <w:contextualSpacing/>
              <w:jc w:val="both"/>
              <w:rPr>
                <w:szCs w:val="22"/>
                <w:u w:val="single"/>
                <w:lang w:val="sr-Latn-ME"/>
              </w:rPr>
            </w:pPr>
            <w:r w:rsidRPr="00B74B0F">
              <w:rPr>
                <w:szCs w:val="22"/>
                <w:u w:val="single"/>
                <w:lang w:val="sr-Latn-ME"/>
              </w:rPr>
              <w:t>94 (92, 97)</w:t>
            </w:r>
          </w:p>
        </w:tc>
      </w:tr>
      <w:tr w:rsidR="007F331C" w:rsidRPr="00B74B0F" w14:paraId="53206516" w14:textId="77777777" w:rsidTr="00200D71">
        <w:trPr>
          <w:trHeight w:val="303"/>
        </w:trPr>
        <w:tc>
          <w:tcPr>
            <w:tcW w:w="5000" w:type="pct"/>
            <w:gridSpan w:val="4"/>
            <w:tcBorders>
              <w:top w:val="single" w:sz="6" w:space="0" w:color="000000"/>
              <w:left w:val="single" w:sz="6" w:space="0" w:color="000000"/>
              <w:bottom w:val="single" w:sz="6" w:space="0" w:color="000000"/>
              <w:right w:val="single" w:sz="6" w:space="0" w:color="000000"/>
            </w:tcBorders>
            <w:hideMark/>
          </w:tcPr>
          <w:p w14:paraId="65FBD32E" w14:textId="0489F59C" w:rsidR="007F331C" w:rsidRPr="00B74B0F" w:rsidRDefault="00B90F86">
            <w:pPr>
              <w:spacing w:line="240" w:lineRule="auto"/>
              <w:contextualSpacing/>
              <w:jc w:val="both"/>
              <w:rPr>
                <w:szCs w:val="22"/>
                <w:lang w:val="sr-Latn-ME"/>
              </w:rPr>
            </w:pPr>
            <w:r w:rsidRPr="00B74B0F">
              <w:rPr>
                <w:szCs w:val="22"/>
                <w:lang w:val="sr-Latn-ME"/>
              </w:rPr>
              <w:t>Skraćenic</w:t>
            </w:r>
            <w:r w:rsidR="007F331C" w:rsidRPr="00B74B0F">
              <w:rPr>
                <w:szCs w:val="22"/>
                <w:lang w:val="sr-Latn-ME"/>
              </w:rPr>
              <w:t>e: ADA = adalimumab; PBO = placebo; UPA= upadacitinib</w:t>
            </w:r>
          </w:p>
          <w:p w14:paraId="08E17969" w14:textId="5D92A0A2" w:rsidR="007F331C" w:rsidRPr="00B74B0F" w:rsidRDefault="007F331C">
            <w:pPr>
              <w:spacing w:line="240" w:lineRule="auto"/>
              <w:contextualSpacing/>
              <w:jc w:val="both"/>
              <w:rPr>
                <w:szCs w:val="22"/>
                <w:lang w:val="sr-Latn-ME"/>
              </w:rPr>
            </w:pPr>
            <w:r w:rsidRPr="00B74B0F">
              <w:rPr>
                <w:szCs w:val="22"/>
                <w:vertAlign w:val="superscript"/>
                <w:lang w:val="sr-Latn-ME"/>
              </w:rPr>
              <w:t xml:space="preserve">a </w:t>
            </w:r>
            <w:r w:rsidRPr="00B74B0F">
              <w:rPr>
                <w:szCs w:val="22"/>
                <w:lang w:val="sr-Latn-ME"/>
              </w:rPr>
              <w:t>Svi podaci za placebo u 56</w:t>
            </w:r>
            <w:r w:rsidR="00F96E15" w:rsidRPr="00B74B0F">
              <w:rPr>
                <w:szCs w:val="22"/>
                <w:lang w:val="sr-Latn-ME"/>
              </w:rPr>
              <w:t>.</w:t>
            </w:r>
            <w:r w:rsidR="00777B52" w:rsidRPr="00B74B0F">
              <w:rPr>
                <w:szCs w:val="22"/>
                <w:lang w:val="sr-Latn-ME"/>
              </w:rPr>
              <w:t xml:space="preserve"> </w:t>
            </w:r>
            <w:r w:rsidR="00F96E15" w:rsidRPr="00B74B0F">
              <w:rPr>
                <w:szCs w:val="22"/>
                <w:lang w:val="sr-Latn-ME"/>
              </w:rPr>
              <w:t>nedjelji</w:t>
            </w:r>
            <w:r w:rsidRPr="00B74B0F">
              <w:rPr>
                <w:szCs w:val="22"/>
                <w:lang w:val="sr-Latn-ME"/>
              </w:rPr>
              <w:t xml:space="preserve"> dobi</w:t>
            </w:r>
            <w:r w:rsidR="00F96E15" w:rsidRPr="00B74B0F">
              <w:rPr>
                <w:szCs w:val="22"/>
                <w:lang w:val="sr-Latn-ME"/>
              </w:rPr>
              <w:t>j</w:t>
            </w:r>
            <w:r w:rsidRPr="00B74B0F">
              <w:rPr>
                <w:szCs w:val="22"/>
                <w:lang w:val="sr-Latn-ME"/>
              </w:rPr>
              <w:t>eni su linearnom ekstrapolacijom</w:t>
            </w:r>
          </w:p>
          <w:p w14:paraId="4CFB619F" w14:textId="77777777" w:rsidR="007F331C" w:rsidRPr="00B74B0F" w:rsidRDefault="007F331C">
            <w:pPr>
              <w:spacing w:line="240" w:lineRule="auto"/>
              <w:contextualSpacing/>
              <w:jc w:val="both"/>
              <w:rPr>
                <w:szCs w:val="22"/>
                <w:lang w:val="sr-Latn-ME"/>
              </w:rPr>
            </w:pPr>
            <w:r w:rsidRPr="00B74B0F">
              <w:rPr>
                <w:szCs w:val="22"/>
                <w:vertAlign w:val="superscript"/>
                <w:lang w:val="sr-Latn-ME"/>
              </w:rPr>
              <w:t xml:space="preserve">b </w:t>
            </w:r>
            <w:r w:rsidRPr="00B74B0F">
              <w:rPr>
                <w:szCs w:val="22"/>
                <w:lang w:val="sr-Latn-ME"/>
              </w:rPr>
              <w:t>Izostanak progresije definiše se kao promjena mTSS rezultata za ≤ 0,5</w:t>
            </w:r>
          </w:p>
          <w:p w14:paraId="62DCFE9B" w14:textId="77777777" w:rsidR="007F331C" w:rsidRPr="00B74B0F" w:rsidRDefault="007F331C">
            <w:pPr>
              <w:spacing w:line="240" w:lineRule="auto"/>
              <w:contextualSpacing/>
              <w:jc w:val="both"/>
              <w:rPr>
                <w:szCs w:val="22"/>
                <w:u w:val="single"/>
                <w:lang w:val="sr-Latn-ME"/>
              </w:rPr>
            </w:pPr>
            <w:r w:rsidRPr="00B74B0F">
              <w:rPr>
                <w:szCs w:val="22"/>
                <w:vertAlign w:val="superscript"/>
                <w:lang w:val="sr-Latn-ME"/>
              </w:rPr>
              <w:t>c</w:t>
            </w:r>
            <w:r w:rsidRPr="00B74B0F">
              <w:rPr>
                <w:szCs w:val="22"/>
                <w:lang w:val="sr-Latn-ME"/>
              </w:rPr>
              <w:t xml:space="preserve"> p-vrijednost kontrolisana za multiplicitet ≤ 0,001 za upadacitinib u odnosu na placebo</w:t>
            </w:r>
          </w:p>
        </w:tc>
      </w:tr>
    </w:tbl>
    <w:p w14:paraId="1CD2E299" w14:textId="77777777" w:rsidR="007F331C" w:rsidRPr="00B74B0F" w:rsidRDefault="007F331C">
      <w:pPr>
        <w:spacing w:line="240" w:lineRule="auto"/>
        <w:contextualSpacing/>
        <w:jc w:val="both"/>
        <w:rPr>
          <w:szCs w:val="22"/>
          <w:u w:val="single"/>
          <w:lang w:val="sr-Latn-ME"/>
        </w:rPr>
      </w:pPr>
    </w:p>
    <w:p w14:paraId="614BC6BF" w14:textId="77777777" w:rsidR="007F331C" w:rsidRPr="00B74B0F" w:rsidRDefault="007F331C">
      <w:pPr>
        <w:spacing w:line="240" w:lineRule="auto"/>
        <w:contextualSpacing/>
        <w:jc w:val="both"/>
        <w:rPr>
          <w:i/>
          <w:iCs/>
          <w:szCs w:val="22"/>
          <w:lang w:val="sr-Latn-ME"/>
        </w:rPr>
      </w:pPr>
      <w:r w:rsidRPr="00B74B0F">
        <w:rPr>
          <w:i/>
          <w:iCs/>
          <w:szCs w:val="22"/>
          <w:lang w:val="sr-Latn-ME"/>
        </w:rPr>
        <w:t>Odgovor tjelesne funkcije i ishodi vezani uz zdravlje</w:t>
      </w:r>
    </w:p>
    <w:p w14:paraId="33146BF3" w14:textId="77777777" w:rsidR="007F331C" w:rsidRPr="00B74B0F" w:rsidRDefault="007F331C">
      <w:pPr>
        <w:spacing w:line="240" w:lineRule="auto"/>
        <w:contextualSpacing/>
        <w:jc w:val="both"/>
        <w:rPr>
          <w:szCs w:val="22"/>
          <w:lang w:val="sr-Latn-ME"/>
        </w:rPr>
      </w:pPr>
    </w:p>
    <w:p w14:paraId="317E0599" w14:textId="03307F5E" w:rsidR="007F331C" w:rsidRPr="00B74B0F" w:rsidRDefault="007F331C">
      <w:pPr>
        <w:spacing w:line="240" w:lineRule="auto"/>
        <w:contextualSpacing/>
        <w:jc w:val="both"/>
        <w:rPr>
          <w:szCs w:val="22"/>
          <w:lang w:val="sr-Latn-ME"/>
        </w:rPr>
      </w:pPr>
      <w:r w:rsidRPr="00B74B0F">
        <w:rPr>
          <w:szCs w:val="22"/>
          <w:lang w:val="sr-Latn-ME"/>
        </w:rPr>
        <w:t xml:space="preserve">U ispitivanju SELECT-PsA 1, </w:t>
      </w:r>
      <w:r w:rsidR="00181042" w:rsidRPr="00B74B0F">
        <w:rPr>
          <w:szCs w:val="22"/>
          <w:lang w:val="sr-Latn-ME"/>
        </w:rPr>
        <w:t>pacijenti</w:t>
      </w:r>
      <w:r w:rsidRPr="00B74B0F">
        <w:rPr>
          <w:szCs w:val="22"/>
          <w:lang w:val="sr-Latn-ME"/>
        </w:rPr>
        <w:t xml:space="preserve"> liječeni upadacitinib</w:t>
      </w:r>
      <w:r w:rsidR="00777B52" w:rsidRPr="00B74B0F">
        <w:rPr>
          <w:szCs w:val="22"/>
          <w:lang w:val="sr-Latn-ME"/>
        </w:rPr>
        <w:t>om</w:t>
      </w:r>
      <w:r w:rsidRPr="00B74B0F">
        <w:rPr>
          <w:szCs w:val="22"/>
          <w:lang w:val="sr-Latn-ME"/>
        </w:rPr>
        <w:t xml:space="preserve"> u dozi od 15 mg pokazali su statistički značajno poboljšanje tjelesne funkcije u odnosu na početne vrijednosti kako je ocijenjeno prema HAQ-DI u 12</w:t>
      </w:r>
      <w:r w:rsidR="00F96E15" w:rsidRPr="00B74B0F">
        <w:rPr>
          <w:szCs w:val="22"/>
          <w:lang w:val="sr-Latn-ME"/>
        </w:rPr>
        <w:t>.</w:t>
      </w:r>
      <w:r w:rsidR="00777B52" w:rsidRPr="00B74B0F">
        <w:rPr>
          <w:szCs w:val="22"/>
          <w:lang w:val="sr-Latn-ME"/>
        </w:rPr>
        <w:t xml:space="preserve"> </w:t>
      </w:r>
      <w:r w:rsidR="00F96E15" w:rsidRPr="00B74B0F">
        <w:rPr>
          <w:szCs w:val="22"/>
          <w:lang w:val="sr-Latn-ME"/>
        </w:rPr>
        <w:t>nedjelji</w:t>
      </w:r>
      <w:r w:rsidRPr="00B74B0F">
        <w:rPr>
          <w:szCs w:val="22"/>
          <w:lang w:val="sr-Latn-ME"/>
        </w:rPr>
        <w:t xml:space="preserve"> (-0,42 [interval pouzdanosti od 95%: -0,47, -0,37]) u poređenju sa placebom (-0,14 [interval pouzdanosti od 95%: -0,18, -0,09]); poboljšanje kod </w:t>
      </w:r>
      <w:r w:rsidR="0021189F" w:rsidRPr="00B74B0F">
        <w:rPr>
          <w:szCs w:val="22"/>
          <w:lang w:val="sr-Latn-ME"/>
        </w:rPr>
        <w:t>pacijenata</w:t>
      </w:r>
      <w:r w:rsidRPr="00B74B0F">
        <w:rPr>
          <w:szCs w:val="22"/>
          <w:lang w:val="sr-Latn-ME"/>
        </w:rPr>
        <w:t xml:space="preserve"> liječenih adalimumabom iznosilo je -0,34 (interval pouzdanosti od 95%: -0,38, -0,29). U ispitivanju SELECT-PsA 2 </w:t>
      </w:r>
      <w:r w:rsidR="00B90F86" w:rsidRPr="00B74B0F">
        <w:rPr>
          <w:szCs w:val="22"/>
          <w:lang w:val="sr-Latn-ME"/>
        </w:rPr>
        <w:t>pacijent</w:t>
      </w:r>
      <w:r w:rsidRPr="00B74B0F">
        <w:rPr>
          <w:szCs w:val="22"/>
          <w:lang w:val="sr-Latn-ME"/>
        </w:rPr>
        <w:t>i liječe</w:t>
      </w:r>
      <w:r w:rsidR="00777B52" w:rsidRPr="00B74B0F">
        <w:rPr>
          <w:szCs w:val="22"/>
          <w:lang w:val="sr-Latn-ME"/>
        </w:rPr>
        <w:t>ni</w:t>
      </w:r>
      <w:r w:rsidRPr="00B74B0F">
        <w:rPr>
          <w:szCs w:val="22"/>
          <w:lang w:val="sr-Latn-ME"/>
        </w:rPr>
        <w:t xml:space="preserve"> upadacitinib</w:t>
      </w:r>
      <w:r w:rsidR="00777B52" w:rsidRPr="00B74B0F">
        <w:rPr>
          <w:szCs w:val="22"/>
          <w:lang w:val="sr-Latn-ME"/>
        </w:rPr>
        <w:t>om</w:t>
      </w:r>
      <w:r w:rsidRPr="00B74B0F">
        <w:rPr>
          <w:szCs w:val="22"/>
          <w:lang w:val="sr-Latn-ME"/>
        </w:rPr>
        <w:t xml:space="preserve"> u dozi od 15 mg pokazali su statistički značajno poboljšanje u odnosu na početne vrijednosti prema HAQ-DI u 12</w:t>
      </w:r>
      <w:r w:rsidR="00F96E15" w:rsidRPr="00B74B0F">
        <w:rPr>
          <w:szCs w:val="22"/>
          <w:lang w:val="sr-Latn-ME"/>
        </w:rPr>
        <w:t>.</w:t>
      </w:r>
      <w:r w:rsidR="00777B52" w:rsidRPr="00B74B0F">
        <w:rPr>
          <w:szCs w:val="22"/>
          <w:lang w:val="sr-Latn-ME"/>
        </w:rPr>
        <w:t xml:space="preserve"> </w:t>
      </w:r>
      <w:r w:rsidR="00F96E15" w:rsidRPr="00B74B0F">
        <w:rPr>
          <w:szCs w:val="22"/>
          <w:lang w:val="sr-Latn-ME"/>
        </w:rPr>
        <w:t>nedjelji</w:t>
      </w:r>
      <w:r w:rsidRPr="00B74B0F">
        <w:rPr>
          <w:szCs w:val="22"/>
          <w:lang w:val="sr-Latn-ME"/>
        </w:rPr>
        <w:t xml:space="preserve"> (-0,30 [interval pouzdanosti od 95%: -0,37, -0,24]) u poređenju sa placebom (-0,10 [interval pouzdanosti od 95%: -0,16, -0,03]). Poboljšanje tjelesne funkcije održalo se do</w:t>
      </w:r>
      <w:r w:rsidR="00F96E15" w:rsidRPr="00B74B0F">
        <w:rPr>
          <w:szCs w:val="22"/>
          <w:lang w:val="sr-Latn-ME"/>
        </w:rPr>
        <w:t xml:space="preserve"> </w:t>
      </w:r>
      <w:r w:rsidRPr="00B74B0F">
        <w:rPr>
          <w:szCs w:val="22"/>
          <w:lang w:val="sr-Latn-ME"/>
        </w:rPr>
        <w:t>56</w:t>
      </w:r>
      <w:r w:rsidR="00F96E15" w:rsidRPr="00B74B0F">
        <w:rPr>
          <w:szCs w:val="22"/>
          <w:lang w:val="sr-Latn-ME"/>
        </w:rPr>
        <w:t>.</w:t>
      </w:r>
      <w:r w:rsidR="00777B52" w:rsidRPr="00B74B0F">
        <w:rPr>
          <w:szCs w:val="22"/>
          <w:lang w:val="sr-Latn-ME"/>
        </w:rPr>
        <w:t xml:space="preserve"> </w:t>
      </w:r>
      <w:r w:rsidR="00F96E15" w:rsidRPr="00B74B0F">
        <w:rPr>
          <w:szCs w:val="22"/>
          <w:lang w:val="sr-Latn-ME"/>
        </w:rPr>
        <w:t>nedjelje</w:t>
      </w:r>
      <w:r w:rsidRPr="00B74B0F">
        <w:rPr>
          <w:szCs w:val="22"/>
          <w:lang w:val="sr-Latn-ME"/>
        </w:rPr>
        <w:t xml:space="preserve"> u oba ispitivanja.</w:t>
      </w:r>
    </w:p>
    <w:p w14:paraId="4AA97A86" w14:textId="77777777" w:rsidR="007F331C" w:rsidRPr="00B74B0F" w:rsidRDefault="007F331C">
      <w:pPr>
        <w:spacing w:line="240" w:lineRule="auto"/>
        <w:contextualSpacing/>
        <w:jc w:val="both"/>
        <w:rPr>
          <w:szCs w:val="22"/>
          <w:lang w:val="sr-Latn-ME"/>
        </w:rPr>
      </w:pPr>
    </w:p>
    <w:p w14:paraId="62CE4C81" w14:textId="7692FD2E" w:rsidR="007F331C" w:rsidRPr="00B74B0F" w:rsidRDefault="007F331C">
      <w:pPr>
        <w:spacing w:line="240" w:lineRule="auto"/>
        <w:contextualSpacing/>
        <w:jc w:val="both"/>
        <w:rPr>
          <w:szCs w:val="22"/>
          <w:lang w:val="sr-Latn-ME"/>
        </w:rPr>
      </w:pPr>
      <w:r w:rsidRPr="00B74B0F">
        <w:rPr>
          <w:szCs w:val="22"/>
          <w:lang w:val="sr-Latn-ME"/>
        </w:rPr>
        <w:t xml:space="preserve">Kvalitet života povezan sa zdravljem se ocijenio prema upitniku SF-36v2. U oba ispitivanja </w:t>
      </w:r>
      <w:r w:rsidR="00B90F86" w:rsidRPr="00B74B0F">
        <w:rPr>
          <w:szCs w:val="22"/>
          <w:lang w:val="sr-Latn-ME"/>
        </w:rPr>
        <w:t>pacijent</w:t>
      </w:r>
      <w:r w:rsidRPr="00B74B0F">
        <w:rPr>
          <w:szCs w:val="22"/>
          <w:lang w:val="sr-Latn-ME"/>
        </w:rPr>
        <w:t xml:space="preserve">i koji su primali upadacitinib u dozi od 15 mg doživjeli su statistički značajno veće poboljšanje u odnosu na početne vrijednosti rezultata za tjelesnu komponentu (engl. </w:t>
      </w:r>
      <w:r w:rsidRPr="00B74B0F">
        <w:rPr>
          <w:i/>
          <w:szCs w:val="22"/>
          <w:lang w:val="sr-Latn-ME"/>
        </w:rPr>
        <w:t>Physical Component Summary</w:t>
      </w:r>
      <w:r w:rsidRPr="00B74B0F">
        <w:rPr>
          <w:szCs w:val="22"/>
          <w:lang w:val="sr-Latn-ME"/>
        </w:rPr>
        <w:t xml:space="preserve">) u </w:t>
      </w:r>
      <w:r w:rsidRPr="00B74B0F">
        <w:rPr>
          <w:szCs w:val="22"/>
          <w:lang w:val="sr-Latn-ME"/>
        </w:rPr>
        <w:lastRenderedPageBreak/>
        <w:t>poređenju s</w:t>
      </w:r>
      <w:r w:rsidR="00777B52" w:rsidRPr="00B74B0F">
        <w:rPr>
          <w:szCs w:val="22"/>
          <w:lang w:val="sr-Latn-ME"/>
        </w:rPr>
        <w:t>a</w:t>
      </w:r>
      <w:r w:rsidRPr="00B74B0F">
        <w:rPr>
          <w:szCs w:val="22"/>
          <w:lang w:val="sr-Latn-ME"/>
        </w:rPr>
        <w:t xml:space="preserve"> placebom u 12</w:t>
      </w:r>
      <w:r w:rsidR="00385E68" w:rsidRPr="00B74B0F">
        <w:rPr>
          <w:szCs w:val="22"/>
          <w:lang w:val="sr-Latn-ME"/>
        </w:rPr>
        <w:t>.</w:t>
      </w:r>
      <w:r w:rsidR="00777B52" w:rsidRPr="00B74B0F">
        <w:rPr>
          <w:szCs w:val="22"/>
          <w:lang w:val="sr-Latn-ME"/>
        </w:rPr>
        <w:t xml:space="preserve"> </w:t>
      </w:r>
      <w:r w:rsidR="00385E68" w:rsidRPr="00B74B0F">
        <w:rPr>
          <w:szCs w:val="22"/>
          <w:lang w:val="sr-Latn-ME"/>
        </w:rPr>
        <w:t>nedjelji</w:t>
      </w:r>
      <w:r w:rsidRPr="00B74B0F">
        <w:rPr>
          <w:szCs w:val="22"/>
          <w:lang w:val="sr-Latn-ME"/>
        </w:rPr>
        <w:t>. Poboljšanja u odnosu na početne vrijednosti održala su se do</w:t>
      </w:r>
      <w:r w:rsidR="00385E68" w:rsidRPr="00B74B0F">
        <w:rPr>
          <w:szCs w:val="22"/>
          <w:lang w:val="sr-Latn-ME"/>
        </w:rPr>
        <w:t xml:space="preserve"> </w:t>
      </w:r>
      <w:r w:rsidRPr="00B74B0F">
        <w:rPr>
          <w:szCs w:val="22"/>
          <w:lang w:val="sr-Latn-ME"/>
        </w:rPr>
        <w:t>56</w:t>
      </w:r>
      <w:r w:rsidR="00385E68" w:rsidRPr="00B74B0F">
        <w:rPr>
          <w:szCs w:val="22"/>
          <w:lang w:val="sr-Latn-ME"/>
        </w:rPr>
        <w:t>.</w:t>
      </w:r>
      <w:r w:rsidR="00777B52" w:rsidRPr="00B74B0F">
        <w:rPr>
          <w:szCs w:val="22"/>
          <w:lang w:val="sr-Latn-ME"/>
        </w:rPr>
        <w:t xml:space="preserve"> </w:t>
      </w:r>
      <w:r w:rsidR="00385E68" w:rsidRPr="00B74B0F">
        <w:rPr>
          <w:szCs w:val="22"/>
          <w:lang w:val="sr-Latn-ME"/>
        </w:rPr>
        <w:t>nedjelje</w:t>
      </w:r>
      <w:r w:rsidRPr="00B74B0F">
        <w:rPr>
          <w:szCs w:val="22"/>
          <w:lang w:val="sr-Latn-ME"/>
        </w:rPr>
        <w:t xml:space="preserve"> u oba ispitivanja.</w:t>
      </w:r>
    </w:p>
    <w:p w14:paraId="1F59EB4C" w14:textId="77777777" w:rsidR="007F331C" w:rsidRPr="00B74B0F" w:rsidRDefault="007F331C">
      <w:pPr>
        <w:spacing w:line="240" w:lineRule="auto"/>
        <w:contextualSpacing/>
        <w:jc w:val="both"/>
        <w:rPr>
          <w:szCs w:val="22"/>
          <w:lang w:val="sr-Latn-ME"/>
        </w:rPr>
      </w:pPr>
    </w:p>
    <w:p w14:paraId="57A494CE" w14:textId="24D90445" w:rsidR="007F331C" w:rsidRPr="00B74B0F" w:rsidRDefault="00AA6F75">
      <w:pPr>
        <w:spacing w:line="240" w:lineRule="auto"/>
        <w:contextualSpacing/>
        <w:jc w:val="both"/>
        <w:rPr>
          <w:szCs w:val="22"/>
          <w:lang w:val="sr-Latn-ME"/>
        </w:rPr>
      </w:pPr>
      <w:r w:rsidRPr="00B74B0F">
        <w:rPr>
          <w:szCs w:val="22"/>
          <w:lang w:val="sr-Latn-ME"/>
        </w:rPr>
        <w:t>Pacijent</w:t>
      </w:r>
      <w:r w:rsidR="007F331C" w:rsidRPr="00B74B0F">
        <w:rPr>
          <w:szCs w:val="22"/>
          <w:lang w:val="sr-Latn-ME"/>
        </w:rPr>
        <w:t>i koji su primali lijek upadacitinib u dozi od 15 mg doživjeli su statistički značajno poboljšanje umora u odnosu na početne vrijednosti, prema rezultatu upitnika FACIT-F, u</w:t>
      </w:r>
      <w:r w:rsidR="00385E68" w:rsidRPr="00B74B0F">
        <w:rPr>
          <w:szCs w:val="22"/>
          <w:lang w:val="sr-Latn-ME"/>
        </w:rPr>
        <w:t xml:space="preserve"> </w:t>
      </w:r>
      <w:r w:rsidR="007F331C" w:rsidRPr="00B74B0F">
        <w:rPr>
          <w:szCs w:val="22"/>
          <w:lang w:val="sr-Latn-ME"/>
        </w:rPr>
        <w:t>12</w:t>
      </w:r>
      <w:r w:rsidR="00385E68" w:rsidRPr="00B74B0F">
        <w:rPr>
          <w:szCs w:val="22"/>
          <w:lang w:val="sr-Latn-ME"/>
        </w:rPr>
        <w:t>.</w:t>
      </w:r>
      <w:r w:rsidR="00777B52" w:rsidRPr="00B74B0F">
        <w:rPr>
          <w:szCs w:val="22"/>
          <w:lang w:val="sr-Latn-ME"/>
        </w:rPr>
        <w:t xml:space="preserve"> </w:t>
      </w:r>
      <w:r w:rsidR="00385E68" w:rsidRPr="00B74B0F">
        <w:rPr>
          <w:szCs w:val="22"/>
          <w:lang w:val="sr-Latn-ME"/>
        </w:rPr>
        <w:t>nedjelji</w:t>
      </w:r>
      <w:r w:rsidR="007F331C" w:rsidRPr="00B74B0F">
        <w:rPr>
          <w:szCs w:val="22"/>
          <w:lang w:val="sr-Latn-ME"/>
        </w:rPr>
        <w:t xml:space="preserve"> u poređenju sa placebom u oba ispitivanja. Poboljšanja u odnosu na početne vrijednosti održala su se do 56</w:t>
      </w:r>
      <w:r w:rsidR="00385E68" w:rsidRPr="00B74B0F">
        <w:rPr>
          <w:szCs w:val="22"/>
          <w:lang w:val="sr-Latn-ME"/>
        </w:rPr>
        <w:t>.</w:t>
      </w:r>
      <w:r w:rsidR="00777B52" w:rsidRPr="00B74B0F">
        <w:rPr>
          <w:szCs w:val="22"/>
          <w:lang w:val="sr-Latn-ME"/>
        </w:rPr>
        <w:t xml:space="preserve"> </w:t>
      </w:r>
      <w:r w:rsidR="00385E68" w:rsidRPr="00B74B0F">
        <w:rPr>
          <w:szCs w:val="22"/>
          <w:lang w:val="sr-Latn-ME"/>
        </w:rPr>
        <w:t>nedjelje</w:t>
      </w:r>
      <w:r w:rsidR="007F331C" w:rsidRPr="00B74B0F">
        <w:rPr>
          <w:szCs w:val="22"/>
          <w:lang w:val="sr-Latn-ME"/>
        </w:rPr>
        <w:t xml:space="preserve"> u oba ispitivanja.</w:t>
      </w:r>
    </w:p>
    <w:p w14:paraId="5FED86A4" w14:textId="77777777" w:rsidR="007F331C" w:rsidRPr="00B74B0F" w:rsidRDefault="007F331C">
      <w:pPr>
        <w:spacing w:line="240" w:lineRule="auto"/>
        <w:contextualSpacing/>
        <w:jc w:val="both"/>
        <w:rPr>
          <w:szCs w:val="22"/>
          <w:lang w:val="sr-Latn-ME"/>
        </w:rPr>
      </w:pPr>
    </w:p>
    <w:p w14:paraId="36531952" w14:textId="0007CB39" w:rsidR="007F331C" w:rsidRPr="00B74B0F" w:rsidRDefault="007F331C">
      <w:pPr>
        <w:spacing w:line="240" w:lineRule="auto"/>
        <w:contextualSpacing/>
        <w:jc w:val="both"/>
        <w:rPr>
          <w:szCs w:val="22"/>
          <w:lang w:val="sr-Latn-ME"/>
        </w:rPr>
      </w:pPr>
      <w:r w:rsidRPr="00B74B0F">
        <w:rPr>
          <w:szCs w:val="22"/>
          <w:lang w:val="sr-Latn-ME"/>
        </w:rPr>
        <w:t xml:space="preserve">Na početku je psorijatični spondilitis zabilježen kod 31% </w:t>
      </w:r>
      <w:r w:rsidR="0021189F" w:rsidRPr="00B74B0F">
        <w:rPr>
          <w:szCs w:val="22"/>
          <w:lang w:val="sr-Latn-ME"/>
        </w:rPr>
        <w:t>pacijenata</w:t>
      </w:r>
      <w:r w:rsidRPr="00B74B0F">
        <w:rPr>
          <w:szCs w:val="22"/>
          <w:lang w:val="sr-Latn-ME"/>
        </w:rPr>
        <w:t xml:space="preserve"> u ispitivanju SELECT-PsA 1 i 34% </w:t>
      </w:r>
      <w:r w:rsidR="0021189F" w:rsidRPr="00B74B0F">
        <w:rPr>
          <w:szCs w:val="22"/>
          <w:lang w:val="sr-Latn-ME"/>
        </w:rPr>
        <w:t>pacijenata</w:t>
      </w:r>
      <w:r w:rsidRPr="00B74B0F">
        <w:rPr>
          <w:szCs w:val="22"/>
          <w:lang w:val="sr-Latn-ME"/>
        </w:rPr>
        <w:t xml:space="preserve"> u ispitivanju</w:t>
      </w:r>
      <w:r w:rsidR="00385E68" w:rsidRPr="00B74B0F">
        <w:rPr>
          <w:szCs w:val="22"/>
          <w:lang w:val="sr-Latn-ME"/>
        </w:rPr>
        <w:t xml:space="preserve"> </w:t>
      </w:r>
      <w:r w:rsidRPr="00B74B0F">
        <w:rPr>
          <w:szCs w:val="22"/>
          <w:lang w:val="sr-Latn-ME"/>
        </w:rPr>
        <w:t xml:space="preserve">SELECT-PsA 2. </w:t>
      </w:r>
      <w:r w:rsidR="0027615C" w:rsidRPr="00B74B0F">
        <w:rPr>
          <w:szCs w:val="22"/>
          <w:lang w:val="sr-Latn-ME"/>
        </w:rPr>
        <w:t>Pacijent</w:t>
      </w:r>
      <w:r w:rsidRPr="00B74B0F">
        <w:rPr>
          <w:szCs w:val="22"/>
          <w:lang w:val="sr-Latn-ME"/>
        </w:rPr>
        <w:t>i s</w:t>
      </w:r>
      <w:r w:rsidR="0027615C" w:rsidRPr="00B74B0F">
        <w:rPr>
          <w:szCs w:val="22"/>
          <w:lang w:val="sr-Latn-ME"/>
        </w:rPr>
        <w:t>a</w:t>
      </w:r>
      <w:r w:rsidRPr="00B74B0F">
        <w:rPr>
          <w:szCs w:val="22"/>
          <w:lang w:val="sr-Latn-ME"/>
        </w:rPr>
        <w:t xml:space="preserve"> psorijatičnim spondilitisom liječeni upadacitinibom u dozi od 15 mg pokazali su poboljšanja u odnosu na početne vrijednosti rezultata prema Bath indeksu aktivnosti bolesti za ankilozantni spondilitis (engl. </w:t>
      </w:r>
      <w:r w:rsidRPr="00B74B0F">
        <w:rPr>
          <w:i/>
          <w:iCs/>
          <w:szCs w:val="22"/>
          <w:lang w:val="sr-Latn-ME"/>
        </w:rPr>
        <w:t>Bath Ankylosing Spondylitis Disease Activity Index</w:t>
      </w:r>
      <w:r w:rsidRPr="00B74B0F">
        <w:rPr>
          <w:szCs w:val="22"/>
          <w:lang w:val="sr-Latn-ME"/>
        </w:rPr>
        <w:t xml:space="preserve">, BASDAI) u </w:t>
      </w:r>
      <w:r w:rsidR="00181042" w:rsidRPr="00B74B0F">
        <w:rPr>
          <w:szCs w:val="22"/>
          <w:lang w:val="sr-Latn-ME"/>
        </w:rPr>
        <w:t>poređenju</w:t>
      </w:r>
      <w:r w:rsidRPr="00B74B0F">
        <w:rPr>
          <w:szCs w:val="22"/>
          <w:lang w:val="sr-Latn-ME"/>
        </w:rPr>
        <w:t xml:space="preserve"> s</w:t>
      </w:r>
      <w:r w:rsidR="00777B52" w:rsidRPr="00B74B0F">
        <w:rPr>
          <w:szCs w:val="22"/>
          <w:lang w:val="sr-Latn-ME"/>
        </w:rPr>
        <w:t>a</w:t>
      </w:r>
      <w:r w:rsidRPr="00B74B0F">
        <w:rPr>
          <w:szCs w:val="22"/>
          <w:lang w:val="sr-Latn-ME"/>
        </w:rPr>
        <w:t xml:space="preserve"> placebom u 24</w:t>
      </w:r>
      <w:r w:rsidR="00385E68" w:rsidRPr="00B74B0F">
        <w:rPr>
          <w:szCs w:val="22"/>
          <w:lang w:val="sr-Latn-ME"/>
        </w:rPr>
        <w:t>.</w:t>
      </w:r>
      <w:r w:rsidR="00777B52" w:rsidRPr="00B74B0F">
        <w:rPr>
          <w:szCs w:val="22"/>
          <w:lang w:val="sr-Latn-ME"/>
        </w:rPr>
        <w:t xml:space="preserve"> </w:t>
      </w:r>
      <w:r w:rsidR="00385E68" w:rsidRPr="00B74B0F">
        <w:rPr>
          <w:szCs w:val="22"/>
          <w:lang w:val="sr-Latn-ME"/>
        </w:rPr>
        <w:t>nedjelji</w:t>
      </w:r>
      <w:r w:rsidRPr="00B74B0F">
        <w:rPr>
          <w:szCs w:val="22"/>
          <w:lang w:val="sr-Latn-ME"/>
        </w:rPr>
        <w:t>. Poboljšanja u odnosu na početne vrijednosti održala su se do 56</w:t>
      </w:r>
      <w:r w:rsidR="00385E68" w:rsidRPr="00B74B0F">
        <w:rPr>
          <w:szCs w:val="22"/>
          <w:lang w:val="sr-Latn-ME"/>
        </w:rPr>
        <w:t>.</w:t>
      </w:r>
      <w:r w:rsidR="00777B52" w:rsidRPr="00B74B0F">
        <w:rPr>
          <w:szCs w:val="22"/>
          <w:lang w:val="sr-Latn-ME"/>
        </w:rPr>
        <w:t xml:space="preserve"> </w:t>
      </w:r>
      <w:r w:rsidR="00385E68" w:rsidRPr="00B74B0F">
        <w:rPr>
          <w:szCs w:val="22"/>
          <w:lang w:val="sr-Latn-ME"/>
        </w:rPr>
        <w:t>nedjelje</w:t>
      </w:r>
      <w:r w:rsidRPr="00B74B0F">
        <w:rPr>
          <w:szCs w:val="22"/>
          <w:lang w:val="sr-Latn-ME"/>
        </w:rPr>
        <w:t xml:space="preserve"> u oba ispitivanja.</w:t>
      </w:r>
    </w:p>
    <w:p w14:paraId="71E6FA77" w14:textId="45239C32" w:rsidR="007F331C" w:rsidRPr="00B74B0F" w:rsidRDefault="007F331C">
      <w:pPr>
        <w:spacing w:line="240" w:lineRule="auto"/>
        <w:contextualSpacing/>
        <w:jc w:val="both"/>
        <w:rPr>
          <w:szCs w:val="22"/>
          <w:u w:val="single"/>
          <w:lang w:val="sr-Latn-ME"/>
        </w:rPr>
      </w:pPr>
    </w:p>
    <w:p w14:paraId="5F095259" w14:textId="52683E2D" w:rsidR="005368A0" w:rsidRPr="00B74B0F" w:rsidRDefault="005368A0">
      <w:pPr>
        <w:spacing w:line="240" w:lineRule="auto"/>
        <w:contextualSpacing/>
        <w:jc w:val="both"/>
        <w:rPr>
          <w:i/>
          <w:iCs/>
          <w:szCs w:val="22"/>
          <w:lang w:val="sr-Latn-ME"/>
        </w:rPr>
      </w:pPr>
      <w:r w:rsidRPr="00B74B0F">
        <w:rPr>
          <w:i/>
          <w:iCs/>
          <w:szCs w:val="22"/>
          <w:lang w:val="sr-Latn-ME"/>
        </w:rPr>
        <w:t xml:space="preserve">Aksijalni spondiloartritis </w:t>
      </w:r>
    </w:p>
    <w:p w14:paraId="04263844" w14:textId="77777777" w:rsidR="00385E68" w:rsidRPr="00B74B0F" w:rsidRDefault="00385E68">
      <w:pPr>
        <w:spacing w:line="240" w:lineRule="auto"/>
        <w:contextualSpacing/>
        <w:jc w:val="both"/>
        <w:rPr>
          <w:i/>
          <w:iCs/>
          <w:szCs w:val="22"/>
          <w:lang w:val="sr-Latn-ME"/>
        </w:rPr>
      </w:pPr>
    </w:p>
    <w:p w14:paraId="65EE151C" w14:textId="3870115E" w:rsidR="00CB3802" w:rsidRPr="00B74B0F" w:rsidRDefault="005368A0">
      <w:pPr>
        <w:spacing w:line="240" w:lineRule="auto"/>
        <w:contextualSpacing/>
        <w:jc w:val="both"/>
        <w:rPr>
          <w:i/>
          <w:iCs/>
          <w:szCs w:val="22"/>
          <w:u w:val="single"/>
          <w:lang w:val="sr-Latn-ME"/>
        </w:rPr>
      </w:pPr>
      <w:r w:rsidRPr="00B74B0F">
        <w:rPr>
          <w:i/>
          <w:iCs/>
          <w:szCs w:val="22"/>
          <w:u w:val="single"/>
          <w:lang w:val="sr-Latn-ME"/>
        </w:rPr>
        <w:t>Neradiografski aksijalni spondiloartritis</w:t>
      </w:r>
    </w:p>
    <w:p w14:paraId="3E572801" w14:textId="77777777" w:rsidR="005368A0" w:rsidRPr="00B74B0F" w:rsidRDefault="005368A0">
      <w:pPr>
        <w:spacing w:line="240" w:lineRule="auto"/>
        <w:contextualSpacing/>
        <w:jc w:val="both"/>
        <w:rPr>
          <w:i/>
          <w:iCs/>
          <w:szCs w:val="22"/>
          <w:u w:val="single"/>
          <w:lang w:val="sr-Latn-ME"/>
        </w:rPr>
      </w:pPr>
    </w:p>
    <w:p w14:paraId="72EBA170" w14:textId="37CCB3F4" w:rsidR="00CB3802" w:rsidRPr="00B74B0F" w:rsidRDefault="00CB3802">
      <w:pPr>
        <w:spacing w:line="240" w:lineRule="auto"/>
        <w:contextualSpacing/>
        <w:jc w:val="both"/>
        <w:rPr>
          <w:szCs w:val="22"/>
          <w:lang w:val="sr-Latn-ME"/>
        </w:rPr>
      </w:pPr>
      <w:r w:rsidRPr="00B74B0F">
        <w:rPr>
          <w:szCs w:val="22"/>
          <w:lang w:val="sr-Latn-ME"/>
        </w:rPr>
        <w:t>Efikasnost i bezbjednost</w:t>
      </w:r>
      <w:r w:rsidR="00777B52" w:rsidRPr="00B74B0F">
        <w:rPr>
          <w:szCs w:val="22"/>
          <w:lang w:val="sr-Latn-ME"/>
        </w:rPr>
        <w:t xml:space="preserve"> </w:t>
      </w:r>
      <w:r w:rsidRPr="00B74B0F">
        <w:rPr>
          <w:szCs w:val="22"/>
          <w:lang w:val="sr-Latn-ME"/>
        </w:rPr>
        <w:t>upadacitinib</w:t>
      </w:r>
      <w:r w:rsidR="00777B52" w:rsidRPr="00B74B0F">
        <w:rPr>
          <w:szCs w:val="22"/>
          <w:lang w:val="sr-Latn-ME"/>
        </w:rPr>
        <w:t>a</w:t>
      </w:r>
      <w:r w:rsidRPr="00B74B0F">
        <w:rPr>
          <w:szCs w:val="22"/>
          <w:lang w:val="sr-Latn-ME"/>
        </w:rPr>
        <w:t xml:space="preserve"> u dozi od 15 mg jedanput na dan </w:t>
      </w:r>
      <w:r w:rsidR="00777B52" w:rsidRPr="00B74B0F">
        <w:rPr>
          <w:szCs w:val="22"/>
          <w:lang w:val="sr-Latn-ME"/>
        </w:rPr>
        <w:t>pr</w:t>
      </w:r>
      <w:r w:rsidRPr="00B74B0F">
        <w:rPr>
          <w:szCs w:val="22"/>
          <w:lang w:val="sr-Latn-ME"/>
        </w:rPr>
        <w:t xml:space="preserve">ocjenjivali su se </w:t>
      </w:r>
      <w:r w:rsidR="00777B52" w:rsidRPr="00B74B0F">
        <w:rPr>
          <w:szCs w:val="22"/>
          <w:lang w:val="sr-Latn-ME"/>
        </w:rPr>
        <w:t xml:space="preserve">u </w:t>
      </w:r>
      <w:r w:rsidRPr="00B74B0F">
        <w:rPr>
          <w:szCs w:val="22"/>
          <w:lang w:val="sr-Latn-ME"/>
        </w:rPr>
        <w:t>randomiziranom, dvostruko slijep</w:t>
      </w:r>
      <w:r w:rsidR="00777B52" w:rsidRPr="00B74B0F">
        <w:rPr>
          <w:szCs w:val="22"/>
          <w:lang w:val="sr-Latn-ME"/>
        </w:rPr>
        <w:t>om</w:t>
      </w:r>
      <w:r w:rsidRPr="00B74B0F">
        <w:rPr>
          <w:szCs w:val="22"/>
          <w:lang w:val="sr-Latn-ME"/>
        </w:rPr>
        <w:t>, multicentrič</w:t>
      </w:r>
      <w:r w:rsidR="00A4264F" w:rsidRPr="00B74B0F">
        <w:rPr>
          <w:szCs w:val="22"/>
          <w:lang w:val="sr-Latn-ME"/>
        </w:rPr>
        <w:t>n</w:t>
      </w:r>
      <w:r w:rsidR="00777B52" w:rsidRPr="00B74B0F">
        <w:rPr>
          <w:szCs w:val="22"/>
          <w:lang w:val="sr-Latn-ME"/>
        </w:rPr>
        <w:t>om</w:t>
      </w:r>
      <w:r w:rsidRPr="00B74B0F">
        <w:rPr>
          <w:szCs w:val="22"/>
          <w:lang w:val="sr-Latn-ME"/>
        </w:rPr>
        <w:t>, placebom kontrolisa</w:t>
      </w:r>
      <w:r w:rsidR="00E14F43" w:rsidRPr="00B74B0F">
        <w:rPr>
          <w:szCs w:val="22"/>
          <w:lang w:val="sr-Latn-ME"/>
        </w:rPr>
        <w:t>n</w:t>
      </w:r>
      <w:r w:rsidR="00777B52" w:rsidRPr="00B74B0F">
        <w:rPr>
          <w:szCs w:val="22"/>
          <w:lang w:val="sr-Latn-ME"/>
        </w:rPr>
        <w:t>om</w:t>
      </w:r>
      <w:r w:rsidRPr="00B74B0F">
        <w:rPr>
          <w:szCs w:val="22"/>
          <w:lang w:val="sr-Latn-ME"/>
        </w:rPr>
        <w:t xml:space="preserve"> ispitivanj</w:t>
      </w:r>
      <w:r w:rsidR="00777B52" w:rsidRPr="00B74B0F">
        <w:rPr>
          <w:szCs w:val="22"/>
          <w:lang w:val="sr-Latn-ME"/>
        </w:rPr>
        <w:t>u</w:t>
      </w:r>
      <w:r w:rsidR="00AE3036" w:rsidRPr="00B74B0F">
        <w:rPr>
          <w:szCs w:val="22"/>
          <w:lang w:val="sr-Latn-ME"/>
        </w:rPr>
        <w:t xml:space="preserve"> </w:t>
      </w:r>
      <w:r w:rsidRPr="00B74B0F">
        <w:rPr>
          <w:szCs w:val="22"/>
          <w:lang w:val="sr-Latn-ME"/>
        </w:rPr>
        <w:t xml:space="preserve">sprovedenom kod pacijenata starosti od 18 i više godina sa aktivnim </w:t>
      </w:r>
      <w:r w:rsidR="00777B52" w:rsidRPr="00B74B0F">
        <w:rPr>
          <w:szCs w:val="22"/>
          <w:lang w:val="sr-Latn-ME"/>
        </w:rPr>
        <w:t xml:space="preserve">neradiografskim </w:t>
      </w:r>
      <w:r w:rsidRPr="00B74B0F">
        <w:rPr>
          <w:szCs w:val="22"/>
          <w:lang w:val="sr-Latn-ME"/>
        </w:rPr>
        <w:t>ankiloznim spondil</w:t>
      </w:r>
      <w:r w:rsidR="00777B52" w:rsidRPr="00B74B0F">
        <w:rPr>
          <w:szCs w:val="22"/>
          <w:lang w:val="sr-Latn-ME"/>
        </w:rPr>
        <w:t>oartritisom</w:t>
      </w:r>
      <w:r w:rsidR="00062C49" w:rsidRPr="00B74B0F">
        <w:rPr>
          <w:szCs w:val="22"/>
          <w:lang w:val="sr-Latn-ME"/>
        </w:rPr>
        <w:t>.</w:t>
      </w:r>
      <w:r w:rsidR="005C649D" w:rsidRPr="00B74B0F">
        <w:rPr>
          <w:szCs w:val="22"/>
          <w:lang w:val="sr-Latn-ME"/>
        </w:rPr>
        <w:t xml:space="preserve"> </w:t>
      </w:r>
      <w:r w:rsidR="00737992" w:rsidRPr="00B74B0F">
        <w:rPr>
          <w:szCs w:val="22"/>
          <w:lang w:val="sr-Latn-ME"/>
        </w:rPr>
        <w:t>SELECT-AXIS 2 (nr-axSpA) bilo je placebom kontrolisano ispitivanje u trajanju od 52 nedjelje sprovedeno kod 314 pacijenata s</w:t>
      </w:r>
      <w:r w:rsidR="00777B52" w:rsidRPr="00B74B0F">
        <w:rPr>
          <w:szCs w:val="22"/>
          <w:lang w:val="sr-Latn-ME"/>
        </w:rPr>
        <w:t>a</w:t>
      </w:r>
      <w:r w:rsidR="00737992" w:rsidRPr="00B74B0F">
        <w:rPr>
          <w:szCs w:val="22"/>
          <w:lang w:val="sr-Latn-ME"/>
        </w:rPr>
        <w:t xml:space="preserve"> aktivnim neradiografskim aksijalnim spondiloartritisom koji nijesu dovoljno dobro odgovorili na najmanje dva nesteroidna protivupalna lijeka (NSAIL), koji ih ne podnose ili su im NSAIL kontraindikovani. Pacijenti su morali pokazivati objektivne </w:t>
      </w:r>
      <w:r w:rsidR="00136A9C" w:rsidRPr="00B74B0F">
        <w:rPr>
          <w:szCs w:val="22"/>
          <w:lang w:val="sr-Latn-ME"/>
        </w:rPr>
        <w:t xml:space="preserve">znake upale, </w:t>
      </w:r>
      <w:r w:rsidR="002F62CE" w:rsidRPr="00B74B0F">
        <w:rPr>
          <w:szCs w:val="22"/>
          <w:lang w:val="sr-Latn-ME"/>
        </w:rPr>
        <w:t xml:space="preserve">indukovane povećanim C-reaktivnim proteinom (CRP) (s vrijednostima &gt; gornje granice normale) i/ili vidljivim sakroilitisom na snimcima magnetne rezonance (MR), a bez definitivnih radiografskih znakova strukturnog oštećenja na sakroilijačnim zglobovima. Pacijentima je aktivno oboljenje definisano na osnovu Bath indeksa aktivnosti oboljenja za ankilozni spondilitis (BASDAI) ≥ 4 i ukupne ocjene pacijentove procjene bola u leđima ≥ 4, prema brojčanoj ocjenjivačkoj ljestvici (0-10) (engl. </w:t>
      </w:r>
      <w:r w:rsidR="002F62CE" w:rsidRPr="00B74B0F">
        <w:rPr>
          <w:i/>
          <w:szCs w:val="22"/>
          <w:lang w:val="sr-Latn-ME"/>
        </w:rPr>
        <w:t>Numerical Rating Scale</w:t>
      </w:r>
      <w:r w:rsidR="002F62CE" w:rsidRPr="00B74B0F">
        <w:rPr>
          <w:szCs w:val="22"/>
          <w:lang w:val="sr-Latn-ME"/>
        </w:rPr>
        <w:t>, NRS) tokom posje</w:t>
      </w:r>
      <w:r w:rsidR="00000F0C" w:rsidRPr="00B74B0F">
        <w:rPr>
          <w:szCs w:val="22"/>
          <w:lang w:val="sr-Latn-ME"/>
        </w:rPr>
        <w:t>ta kada se vrše pretrage i prilikom posjeta na početku ispitivanja. Na početku ispitivanja, pacijenti su imali simptome neradiografskog aksijalnog spondiloartritisa u prosjeku 9,1 godinu, a 29,1 % pacijenata istovremeno je uzimalo ksDMARD. Njih 32,9 % nije dovoljno dobro odgovorilo ili nije podnosilo terapiju bDMARD. Pacijenti su primali upadacitinib u dozi od 15 mg jednom dnevno ili placebo. U 52.</w:t>
      </w:r>
      <w:r w:rsidR="00E4186B" w:rsidRPr="00B74B0F">
        <w:rPr>
          <w:szCs w:val="22"/>
          <w:lang w:val="sr-Latn-ME"/>
        </w:rPr>
        <w:t xml:space="preserve"> </w:t>
      </w:r>
      <w:r w:rsidR="00000F0C" w:rsidRPr="00B74B0F">
        <w:rPr>
          <w:szCs w:val="22"/>
          <w:lang w:val="sr-Latn-ME"/>
        </w:rPr>
        <w:t xml:space="preserve">nedjelji svi pacijenti randomizovani za primanje placeba prebačeni su na upadacitinib u dozi od 15 mg jednom dnevno. </w:t>
      </w:r>
      <w:r w:rsidR="002602C0" w:rsidRPr="00B74B0F">
        <w:rPr>
          <w:szCs w:val="22"/>
          <w:lang w:val="sr-Latn-ME"/>
        </w:rPr>
        <w:t>Primarni parametar praćenja</w:t>
      </w:r>
      <w:r w:rsidR="00000F0C" w:rsidRPr="00B74B0F">
        <w:rPr>
          <w:szCs w:val="22"/>
          <w:lang w:val="sr-Latn-ME"/>
        </w:rPr>
        <w:t xml:space="preserve"> bila je udio pacijenata koji u 14.</w:t>
      </w:r>
      <w:r w:rsidR="00E4186B" w:rsidRPr="00B74B0F">
        <w:rPr>
          <w:szCs w:val="22"/>
          <w:lang w:val="sr-Latn-ME"/>
        </w:rPr>
        <w:t xml:space="preserve"> </w:t>
      </w:r>
      <w:r w:rsidR="00000F0C" w:rsidRPr="00B74B0F">
        <w:rPr>
          <w:szCs w:val="22"/>
          <w:lang w:val="sr-Latn-ME"/>
        </w:rPr>
        <w:t xml:space="preserve">nedjelji postigne odgovor 40 prema Međunarodnom društvu za ocjenu spondiloartritisa (engl. </w:t>
      </w:r>
      <w:r w:rsidR="00000F0C" w:rsidRPr="00B74B0F">
        <w:rPr>
          <w:i/>
          <w:szCs w:val="22"/>
          <w:lang w:val="sr-Latn-ME"/>
        </w:rPr>
        <w:t>Assessment of SpondyloArthritis international Society</w:t>
      </w:r>
      <w:r w:rsidR="00000F0C" w:rsidRPr="00B74B0F">
        <w:rPr>
          <w:szCs w:val="22"/>
          <w:lang w:val="sr-Latn-ME"/>
        </w:rPr>
        <w:t xml:space="preserve"> 40, ASAS40). Ispitivanje je imalo dugoročni produžetak u trajanju do 2 godine. Dosad su dostupni i predstavljeni samo podaci o efikasnosti do 14.</w:t>
      </w:r>
      <w:r w:rsidR="00E4186B" w:rsidRPr="00B74B0F">
        <w:rPr>
          <w:szCs w:val="22"/>
          <w:lang w:val="sr-Latn-ME"/>
        </w:rPr>
        <w:t xml:space="preserve"> </w:t>
      </w:r>
      <w:r w:rsidR="00000F0C" w:rsidRPr="00B74B0F">
        <w:rPr>
          <w:szCs w:val="22"/>
          <w:lang w:val="sr-Latn-ME"/>
        </w:rPr>
        <w:t>nedjelje.</w:t>
      </w:r>
    </w:p>
    <w:p w14:paraId="51ADFB1A" w14:textId="3211964C" w:rsidR="00410873" w:rsidRPr="00B74B0F" w:rsidRDefault="00410873">
      <w:pPr>
        <w:spacing w:line="240" w:lineRule="auto"/>
        <w:contextualSpacing/>
        <w:jc w:val="both"/>
        <w:rPr>
          <w:szCs w:val="22"/>
          <w:lang w:val="sr-Latn-ME"/>
        </w:rPr>
      </w:pPr>
    </w:p>
    <w:p w14:paraId="73AB4AB7" w14:textId="77777777" w:rsidR="00CB3802" w:rsidRPr="00B74B0F" w:rsidRDefault="00CB3802">
      <w:pPr>
        <w:spacing w:line="240" w:lineRule="auto"/>
        <w:contextualSpacing/>
        <w:jc w:val="both"/>
        <w:rPr>
          <w:i/>
          <w:iCs/>
          <w:szCs w:val="22"/>
          <w:u w:val="single"/>
          <w:lang w:val="sr-Latn-ME"/>
        </w:rPr>
      </w:pPr>
      <w:r w:rsidRPr="00B74B0F">
        <w:rPr>
          <w:i/>
          <w:iCs/>
          <w:szCs w:val="22"/>
          <w:u w:val="single"/>
          <w:lang w:val="sr-Latn-ME"/>
        </w:rPr>
        <w:t>Klinički odgovor</w:t>
      </w:r>
    </w:p>
    <w:p w14:paraId="0D5E4B64" w14:textId="77777777" w:rsidR="00CB3802" w:rsidRPr="00B74B0F" w:rsidRDefault="00CB3802">
      <w:pPr>
        <w:spacing w:line="240" w:lineRule="auto"/>
        <w:contextualSpacing/>
        <w:jc w:val="both"/>
        <w:rPr>
          <w:szCs w:val="22"/>
          <w:lang w:val="sr-Latn-ME"/>
        </w:rPr>
      </w:pPr>
    </w:p>
    <w:p w14:paraId="73BEB8E9" w14:textId="6575AC8E" w:rsidR="00172189" w:rsidRPr="00B74B0F" w:rsidRDefault="00172189">
      <w:pPr>
        <w:spacing w:line="240" w:lineRule="auto"/>
        <w:contextualSpacing/>
        <w:jc w:val="both"/>
        <w:rPr>
          <w:szCs w:val="22"/>
          <w:lang w:val="sr-Latn-ME"/>
        </w:rPr>
      </w:pPr>
      <w:r w:rsidRPr="00B74B0F">
        <w:rPr>
          <w:szCs w:val="22"/>
          <w:lang w:val="sr-Latn-ME"/>
        </w:rPr>
        <w:t>U ispitivanju SELECT-AXIS 2 (nr-axSpA), značajno veći udio pacijenata liječenih upadacitinibom</w:t>
      </w:r>
      <w:r w:rsidR="00CB3802" w:rsidRPr="00B74B0F">
        <w:rPr>
          <w:szCs w:val="22"/>
          <w:lang w:val="sr-Latn-ME"/>
        </w:rPr>
        <w:t xml:space="preserve"> u dozi od 15 mg postigao je ASAS40 odgovor u odnosu na placebo u 14</w:t>
      </w:r>
      <w:r w:rsidR="008D4819" w:rsidRPr="00B74B0F">
        <w:rPr>
          <w:szCs w:val="22"/>
          <w:lang w:val="sr-Latn-ME"/>
        </w:rPr>
        <w:t>.</w:t>
      </w:r>
      <w:r w:rsidRPr="00B74B0F">
        <w:rPr>
          <w:szCs w:val="22"/>
          <w:lang w:val="sr-Latn-ME"/>
        </w:rPr>
        <w:t xml:space="preserve"> </w:t>
      </w:r>
      <w:r w:rsidR="008D4819" w:rsidRPr="00B74B0F">
        <w:rPr>
          <w:szCs w:val="22"/>
          <w:lang w:val="sr-Latn-ME"/>
        </w:rPr>
        <w:t>nedjelji</w:t>
      </w:r>
      <w:r w:rsidR="00CB3802" w:rsidRPr="00B74B0F">
        <w:rPr>
          <w:szCs w:val="22"/>
          <w:lang w:val="sr-Latn-ME"/>
        </w:rPr>
        <w:t xml:space="preserve"> (Tabela </w:t>
      </w:r>
      <w:r w:rsidR="005A274F" w:rsidRPr="00B74B0F">
        <w:rPr>
          <w:szCs w:val="22"/>
          <w:lang w:val="sr-Latn-ME"/>
        </w:rPr>
        <w:t>10</w:t>
      </w:r>
      <w:r w:rsidR="00CB3802" w:rsidRPr="00B74B0F">
        <w:rPr>
          <w:szCs w:val="22"/>
          <w:lang w:val="sr-Latn-ME"/>
        </w:rPr>
        <w:t xml:space="preserve">). </w:t>
      </w:r>
      <w:r w:rsidR="005A274F" w:rsidRPr="00B74B0F">
        <w:rPr>
          <w:szCs w:val="22"/>
          <w:lang w:val="sr-Latn-ME"/>
        </w:rPr>
        <w:t xml:space="preserve">Brojčana razlika među </w:t>
      </w:r>
      <w:r w:rsidRPr="00B74B0F">
        <w:rPr>
          <w:szCs w:val="22"/>
          <w:lang w:val="sr-Latn-ME"/>
        </w:rPr>
        <w:t xml:space="preserve">svim </w:t>
      </w:r>
      <w:r w:rsidR="005A274F" w:rsidRPr="00B74B0F">
        <w:rPr>
          <w:szCs w:val="22"/>
          <w:lang w:val="sr-Latn-ME"/>
        </w:rPr>
        <w:t>liječenim grupama</w:t>
      </w:r>
      <w:r w:rsidR="00344BCB" w:rsidRPr="00B74B0F">
        <w:rPr>
          <w:szCs w:val="22"/>
          <w:lang w:val="sr-Latn-ME"/>
        </w:rPr>
        <w:t xml:space="preserve"> </w:t>
      </w:r>
      <w:r w:rsidR="008D4819" w:rsidRPr="00B74B0F">
        <w:rPr>
          <w:szCs w:val="22"/>
          <w:lang w:val="sr-Latn-ME"/>
        </w:rPr>
        <w:t>primijećena</w:t>
      </w:r>
      <w:r w:rsidR="005A274F" w:rsidRPr="00B74B0F">
        <w:rPr>
          <w:szCs w:val="22"/>
          <w:lang w:val="sr-Latn-ME"/>
        </w:rPr>
        <w:t xml:space="preserve"> </w:t>
      </w:r>
      <w:r w:rsidR="00013B9B" w:rsidRPr="00B74B0F">
        <w:rPr>
          <w:szCs w:val="22"/>
          <w:lang w:val="sr-Latn-ME"/>
        </w:rPr>
        <w:t xml:space="preserve">je </w:t>
      </w:r>
      <w:r w:rsidRPr="00B74B0F">
        <w:rPr>
          <w:szCs w:val="22"/>
          <w:lang w:val="sr-Latn-ME"/>
        </w:rPr>
        <w:t xml:space="preserve">u svim vremenskim tačkama u periodu od 2. do 14. nedjelje. </w:t>
      </w:r>
    </w:p>
    <w:p w14:paraId="02CF86A6" w14:textId="52E178C7" w:rsidR="00013B9B" w:rsidRPr="00B74B0F" w:rsidRDefault="00013B9B">
      <w:pPr>
        <w:spacing w:line="240" w:lineRule="auto"/>
        <w:contextualSpacing/>
        <w:jc w:val="both"/>
        <w:rPr>
          <w:szCs w:val="22"/>
          <w:lang w:val="sr-Latn-ME"/>
        </w:rPr>
      </w:pPr>
    </w:p>
    <w:p w14:paraId="31E31E23" w14:textId="6AEF7D73" w:rsidR="00CB3802" w:rsidRPr="00B74B0F" w:rsidRDefault="00CB3802">
      <w:pPr>
        <w:spacing w:line="240" w:lineRule="auto"/>
        <w:contextualSpacing/>
        <w:jc w:val="both"/>
        <w:rPr>
          <w:szCs w:val="22"/>
          <w:lang w:val="sr-Latn-ME"/>
        </w:rPr>
      </w:pPr>
      <w:r w:rsidRPr="00B74B0F">
        <w:rPr>
          <w:szCs w:val="22"/>
          <w:lang w:val="sr-Latn-ME"/>
        </w:rPr>
        <w:t xml:space="preserve">Liječenje sa lijekom upadacitinib u dozi od 15 mg dovelo je do poboljšanja pojedinih </w:t>
      </w:r>
      <w:r w:rsidR="008D4819" w:rsidRPr="00B74B0F">
        <w:rPr>
          <w:szCs w:val="22"/>
          <w:lang w:val="sr-Latn-ME"/>
        </w:rPr>
        <w:t>djelova</w:t>
      </w:r>
      <w:r w:rsidRPr="00B74B0F">
        <w:rPr>
          <w:szCs w:val="22"/>
          <w:lang w:val="sr-Latn-ME"/>
        </w:rPr>
        <w:t xml:space="preserve"> ASAS-a (</w:t>
      </w:r>
      <w:r w:rsidR="006D06F7" w:rsidRPr="00B74B0F">
        <w:rPr>
          <w:szCs w:val="22"/>
          <w:lang w:val="sr-Latn-ME"/>
        </w:rPr>
        <w:t>pacijent</w:t>
      </w:r>
      <w:r w:rsidR="00B950BD" w:rsidRPr="00B74B0F">
        <w:rPr>
          <w:szCs w:val="22"/>
          <w:lang w:val="sr-Latn-ME"/>
        </w:rPr>
        <w:t>ov</w:t>
      </w:r>
      <w:r w:rsidRPr="00B74B0F">
        <w:rPr>
          <w:szCs w:val="22"/>
          <w:lang w:val="sr-Latn-ME"/>
        </w:rPr>
        <w:t>a globalna ocjena aktivnosti bolesti, ukupna ocjena bol</w:t>
      </w:r>
      <w:r w:rsidR="00704C10" w:rsidRPr="00B74B0F">
        <w:rPr>
          <w:szCs w:val="22"/>
          <w:lang w:val="sr-Latn-ME"/>
        </w:rPr>
        <w:t>a</w:t>
      </w:r>
      <w:r w:rsidRPr="00B74B0F">
        <w:rPr>
          <w:szCs w:val="22"/>
          <w:lang w:val="sr-Latn-ME"/>
        </w:rPr>
        <w:t xml:space="preserve"> u leđima, upala i funkcija) i drugih mjera aktivnosti bolesti, uključujući hsCRP, u 14</w:t>
      </w:r>
      <w:r w:rsidR="008D4819" w:rsidRPr="00B74B0F">
        <w:rPr>
          <w:szCs w:val="22"/>
          <w:lang w:val="sr-Latn-ME"/>
        </w:rPr>
        <w:t>.</w:t>
      </w:r>
      <w:r w:rsidR="00E4186B" w:rsidRPr="00B74B0F">
        <w:rPr>
          <w:szCs w:val="22"/>
          <w:lang w:val="sr-Latn-ME"/>
        </w:rPr>
        <w:t xml:space="preserve"> </w:t>
      </w:r>
      <w:r w:rsidR="008D4819" w:rsidRPr="00B74B0F">
        <w:rPr>
          <w:szCs w:val="22"/>
          <w:lang w:val="sr-Latn-ME"/>
        </w:rPr>
        <w:t>nedjelji</w:t>
      </w:r>
      <w:r w:rsidRPr="00B74B0F">
        <w:rPr>
          <w:szCs w:val="22"/>
          <w:lang w:val="sr-Latn-ME"/>
        </w:rPr>
        <w:t xml:space="preserve"> u poređenju sa placebom.</w:t>
      </w:r>
    </w:p>
    <w:p w14:paraId="71080046" w14:textId="77777777" w:rsidR="00CB3802" w:rsidRPr="00B74B0F" w:rsidRDefault="00CB3802">
      <w:pPr>
        <w:spacing w:line="240" w:lineRule="auto"/>
        <w:contextualSpacing/>
        <w:jc w:val="both"/>
        <w:rPr>
          <w:szCs w:val="22"/>
          <w:lang w:val="sr-Latn-ME"/>
        </w:rPr>
      </w:pPr>
    </w:p>
    <w:p w14:paraId="2B30FDB8" w14:textId="16FB7B69" w:rsidR="00CB3802" w:rsidRPr="00B74B0F" w:rsidRDefault="00CB3802">
      <w:pPr>
        <w:spacing w:line="240" w:lineRule="auto"/>
        <w:contextualSpacing/>
        <w:jc w:val="both"/>
        <w:rPr>
          <w:szCs w:val="22"/>
          <w:lang w:val="sr-Latn-ME"/>
        </w:rPr>
      </w:pPr>
      <w:r w:rsidRPr="00B74B0F">
        <w:rPr>
          <w:szCs w:val="22"/>
          <w:lang w:val="sr-Latn-ME"/>
        </w:rPr>
        <w:t xml:space="preserve">Dokazana je efikasnost lijeka upadacitinib u dozi od 15 mg bez obzira na procijenjene podgrupe, uključujući pol, početni indeks tjelesne mase, trajanje simptoma </w:t>
      </w:r>
      <w:r w:rsidR="00177585" w:rsidRPr="00B74B0F">
        <w:rPr>
          <w:szCs w:val="22"/>
          <w:lang w:val="sr-Latn-ME"/>
        </w:rPr>
        <w:t>neradiografskog aksijalnog spondiloartritisa, početni hsCRP, MR-om potvrđen sakroilitis i nezavisno o prethodnoj upotrebi bDMARD-ova.</w:t>
      </w:r>
    </w:p>
    <w:p w14:paraId="1C11BCCD" w14:textId="7C37C63A" w:rsidR="0091582B" w:rsidRPr="00B74B0F" w:rsidRDefault="00CC2706">
      <w:pPr>
        <w:spacing w:line="240" w:lineRule="auto"/>
        <w:contextualSpacing/>
        <w:jc w:val="both"/>
        <w:rPr>
          <w:b/>
          <w:szCs w:val="22"/>
          <w:lang w:val="sr-Latn-ME"/>
        </w:rPr>
      </w:pPr>
      <w:r w:rsidRPr="00B74B0F">
        <w:rPr>
          <w:b/>
          <w:szCs w:val="22"/>
          <w:lang w:val="sr-Latn-ME"/>
        </w:rPr>
        <w:lastRenderedPageBreak/>
        <w:t>Tab</w:t>
      </w:r>
      <w:r w:rsidR="002611FF" w:rsidRPr="00B74B0F">
        <w:rPr>
          <w:b/>
          <w:szCs w:val="22"/>
          <w:lang w:val="sr-Latn-ME"/>
        </w:rPr>
        <w:t>ela</w:t>
      </w:r>
      <w:r w:rsidRPr="00B74B0F">
        <w:rPr>
          <w:b/>
          <w:szCs w:val="22"/>
          <w:lang w:val="sr-Latn-ME"/>
        </w:rPr>
        <w:t xml:space="preserve"> </w:t>
      </w:r>
      <w:r w:rsidR="00CC3EB3" w:rsidRPr="00B74B0F">
        <w:rPr>
          <w:b/>
          <w:szCs w:val="22"/>
          <w:lang w:val="sr-Latn-ME"/>
        </w:rPr>
        <w:t>10</w:t>
      </w:r>
      <w:r w:rsidRPr="00B74B0F">
        <w:rPr>
          <w:b/>
          <w:szCs w:val="22"/>
          <w:lang w:val="sr-Latn-ME"/>
        </w:rPr>
        <w:t>: Klinički odgovor</w:t>
      </w:r>
      <w:r w:rsidR="00665E11" w:rsidRPr="00B74B0F">
        <w:rPr>
          <w:b/>
          <w:szCs w:val="22"/>
          <w:lang w:val="sr-Latn-ME"/>
        </w:rPr>
        <w:t xml:space="preserve"> u ispitivanju SELECT-AXIS 2 (nr-axSpA)</w:t>
      </w:r>
    </w:p>
    <w:p w14:paraId="495042B7" w14:textId="64BA5E98" w:rsidR="00665E11" w:rsidRPr="00B74B0F" w:rsidRDefault="00665E11">
      <w:pPr>
        <w:spacing w:line="240" w:lineRule="auto"/>
        <w:contextualSpacing/>
        <w:jc w:val="both"/>
        <w:rPr>
          <w:b/>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3490"/>
        <w:gridCol w:w="3660"/>
      </w:tblGrid>
      <w:tr w:rsidR="00665E11" w:rsidRPr="00B74B0F" w14:paraId="173C9B9D" w14:textId="77777777" w:rsidTr="0069063B">
        <w:tc>
          <w:tcPr>
            <w:tcW w:w="1911" w:type="dxa"/>
            <w:shd w:val="clear" w:color="auto" w:fill="auto"/>
          </w:tcPr>
          <w:p w14:paraId="0B18FE86" w14:textId="77777777" w:rsidR="00665E11" w:rsidRPr="00B74B0F" w:rsidRDefault="00665E11">
            <w:pPr>
              <w:keepNext/>
              <w:spacing w:line="240" w:lineRule="auto"/>
              <w:contextualSpacing/>
              <w:jc w:val="both"/>
              <w:rPr>
                <w:szCs w:val="22"/>
                <w:lang w:val="sr-Latn-ME"/>
              </w:rPr>
            </w:pPr>
            <w:r w:rsidRPr="00B74B0F">
              <w:rPr>
                <w:szCs w:val="22"/>
                <w:lang w:val="sr-Latn-ME"/>
              </w:rPr>
              <w:t>Liječena grupa</w:t>
            </w:r>
          </w:p>
        </w:tc>
        <w:tc>
          <w:tcPr>
            <w:tcW w:w="3490" w:type="dxa"/>
            <w:shd w:val="clear" w:color="auto" w:fill="auto"/>
          </w:tcPr>
          <w:p w14:paraId="73357D42" w14:textId="77777777" w:rsidR="00665E11" w:rsidRPr="00B74B0F" w:rsidRDefault="00665E11" w:rsidP="00A30C3C">
            <w:pPr>
              <w:keepNext/>
              <w:spacing w:line="240" w:lineRule="auto"/>
              <w:contextualSpacing/>
              <w:jc w:val="both"/>
              <w:rPr>
                <w:b/>
                <w:bCs/>
                <w:szCs w:val="22"/>
                <w:lang w:val="sr-Latn-ME"/>
              </w:rPr>
            </w:pPr>
            <w:r w:rsidRPr="00B74B0F">
              <w:rPr>
                <w:b/>
                <w:bCs/>
                <w:noProof/>
                <w:szCs w:val="22"/>
                <w:lang w:val="sr-Latn-ME"/>
              </w:rPr>
              <w:t>placebo</w:t>
            </w:r>
          </w:p>
          <w:p w14:paraId="00E7B9AA" w14:textId="0671BF7D" w:rsidR="00665E11" w:rsidRPr="00B74B0F" w:rsidRDefault="00665E11" w:rsidP="00A30C3C">
            <w:pPr>
              <w:keepNext/>
              <w:spacing w:line="240" w:lineRule="auto"/>
              <w:contextualSpacing/>
              <w:jc w:val="both"/>
              <w:rPr>
                <w:szCs w:val="22"/>
                <w:lang w:val="sr-Latn-ME"/>
              </w:rPr>
            </w:pPr>
          </w:p>
        </w:tc>
        <w:tc>
          <w:tcPr>
            <w:tcW w:w="3660" w:type="dxa"/>
            <w:shd w:val="clear" w:color="auto" w:fill="auto"/>
          </w:tcPr>
          <w:p w14:paraId="70AC260C" w14:textId="4F2165E3" w:rsidR="00665E11" w:rsidRPr="00B74B0F" w:rsidRDefault="00665E11" w:rsidP="00A30C3C">
            <w:pPr>
              <w:keepNext/>
              <w:spacing w:line="240" w:lineRule="auto"/>
              <w:contextualSpacing/>
              <w:jc w:val="both"/>
              <w:rPr>
                <w:b/>
                <w:bCs/>
                <w:szCs w:val="22"/>
                <w:lang w:val="sr-Latn-ME"/>
              </w:rPr>
            </w:pPr>
            <w:r w:rsidRPr="00B74B0F">
              <w:rPr>
                <w:b/>
                <w:bCs/>
                <w:szCs w:val="22"/>
                <w:lang w:val="sr-Latn-ME"/>
              </w:rPr>
              <w:t>upadacitinib 15 mg</w:t>
            </w:r>
          </w:p>
        </w:tc>
      </w:tr>
      <w:tr w:rsidR="00665E11" w:rsidRPr="00B74B0F" w14:paraId="2CF24F6B" w14:textId="77777777" w:rsidTr="0069063B">
        <w:tc>
          <w:tcPr>
            <w:tcW w:w="1911" w:type="dxa"/>
            <w:shd w:val="clear" w:color="auto" w:fill="auto"/>
          </w:tcPr>
          <w:p w14:paraId="0B2A9641" w14:textId="77777777" w:rsidR="00665E11" w:rsidRPr="00B74B0F" w:rsidRDefault="00665E11">
            <w:pPr>
              <w:spacing w:line="240" w:lineRule="auto"/>
              <w:contextualSpacing/>
              <w:jc w:val="both"/>
              <w:rPr>
                <w:szCs w:val="22"/>
                <w:lang w:val="sr-Latn-ME"/>
              </w:rPr>
            </w:pPr>
            <w:r w:rsidRPr="00B74B0F">
              <w:rPr>
                <w:szCs w:val="22"/>
                <w:lang w:val="sr-Latn-ME"/>
              </w:rPr>
              <w:t>N</w:t>
            </w:r>
          </w:p>
        </w:tc>
        <w:tc>
          <w:tcPr>
            <w:tcW w:w="3490" w:type="dxa"/>
            <w:shd w:val="clear" w:color="auto" w:fill="auto"/>
          </w:tcPr>
          <w:p w14:paraId="643F8D24" w14:textId="6723AE79" w:rsidR="00665E11" w:rsidRPr="00B74B0F" w:rsidRDefault="00665E11" w:rsidP="00A30C3C">
            <w:pPr>
              <w:spacing w:line="240" w:lineRule="auto"/>
              <w:contextualSpacing/>
              <w:jc w:val="both"/>
              <w:rPr>
                <w:szCs w:val="22"/>
                <w:lang w:val="sr-Latn-ME"/>
              </w:rPr>
            </w:pPr>
            <w:r w:rsidRPr="00B74B0F">
              <w:rPr>
                <w:szCs w:val="22"/>
                <w:lang w:val="sr-Latn-ME"/>
              </w:rPr>
              <w:t>157</w:t>
            </w:r>
          </w:p>
        </w:tc>
        <w:tc>
          <w:tcPr>
            <w:tcW w:w="3660" w:type="dxa"/>
          </w:tcPr>
          <w:p w14:paraId="7C142C3E" w14:textId="01D76BE7" w:rsidR="00665E11" w:rsidRPr="00B74B0F" w:rsidRDefault="00665E11" w:rsidP="00A30C3C">
            <w:pPr>
              <w:spacing w:line="240" w:lineRule="auto"/>
              <w:contextualSpacing/>
              <w:jc w:val="both"/>
              <w:rPr>
                <w:szCs w:val="22"/>
                <w:lang w:val="sr-Latn-ME"/>
              </w:rPr>
            </w:pPr>
            <w:r w:rsidRPr="00B74B0F">
              <w:rPr>
                <w:szCs w:val="22"/>
                <w:lang w:val="sr-Latn-ME"/>
              </w:rPr>
              <w:t>156</w:t>
            </w:r>
          </w:p>
        </w:tc>
      </w:tr>
      <w:tr w:rsidR="00665E11" w:rsidRPr="00B74B0F" w14:paraId="5CF64219" w14:textId="77777777" w:rsidTr="0069063B">
        <w:tc>
          <w:tcPr>
            <w:tcW w:w="9061" w:type="dxa"/>
            <w:gridSpan w:val="3"/>
            <w:shd w:val="clear" w:color="auto" w:fill="auto"/>
          </w:tcPr>
          <w:p w14:paraId="66DD9050" w14:textId="4C756125" w:rsidR="00665E11" w:rsidRPr="00B74B0F" w:rsidRDefault="00665E11" w:rsidP="00343D6C">
            <w:pPr>
              <w:spacing w:line="240" w:lineRule="auto"/>
              <w:contextualSpacing/>
              <w:jc w:val="center"/>
              <w:rPr>
                <w:b/>
                <w:bCs/>
                <w:szCs w:val="22"/>
                <w:lang w:val="sr-Latn-ME"/>
              </w:rPr>
            </w:pPr>
            <w:r w:rsidRPr="00B74B0F">
              <w:rPr>
                <w:b/>
                <w:bCs/>
                <w:szCs w:val="22"/>
                <w:lang w:val="sr-Latn-ME"/>
              </w:rPr>
              <w:t>ASAS40, % pacijenata (interval pouzdanosti od 95%)</w:t>
            </w:r>
            <w:r w:rsidRPr="00B74B0F">
              <w:rPr>
                <w:szCs w:val="22"/>
                <w:vertAlign w:val="superscript"/>
                <w:lang w:val="sr-Latn-ME"/>
              </w:rPr>
              <w:t>a</w:t>
            </w:r>
          </w:p>
        </w:tc>
      </w:tr>
      <w:tr w:rsidR="00665E11" w:rsidRPr="00B74B0F" w14:paraId="7E2E66E9" w14:textId="77777777" w:rsidTr="0069063B">
        <w:tc>
          <w:tcPr>
            <w:tcW w:w="1911" w:type="dxa"/>
            <w:shd w:val="clear" w:color="auto" w:fill="auto"/>
          </w:tcPr>
          <w:p w14:paraId="6E52AEA4" w14:textId="77777777" w:rsidR="00665E11" w:rsidRPr="00B74B0F" w:rsidRDefault="00665E11">
            <w:pPr>
              <w:spacing w:line="240" w:lineRule="auto"/>
              <w:contextualSpacing/>
              <w:jc w:val="both"/>
              <w:rPr>
                <w:szCs w:val="22"/>
                <w:lang w:val="sr-Latn-ME"/>
              </w:rPr>
            </w:pPr>
            <w:r w:rsidRPr="00B74B0F">
              <w:rPr>
                <w:szCs w:val="22"/>
                <w:lang w:val="sr-Latn-ME"/>
              </w:rPr>
              <w:t>Sedmica 14</w:t>
            </w:r>
          </w:p>
        </w:tc>
        <w:tc>
          <w:tcPr>
            <w:tcW w:w="3490" w:type="dxa"/>
            <w:shd w:val="clear" w:color="auto" w:fill="auto"/>
          </w:tcPr>
          <w:p w14:paraId="0A79A9AD" w14:textId="2ED8F94A" w:rsidR="00665E11" w:rsidRPr="00B74B0F" w:rsidRDefault="00665E11" w:rsidP="00A30C3C">
            <w:pPr>
              <w:spacing w:line="240" w:lineRule="auto"/>
              <w:contextualSpacing/>
              <w:jc w:val="both"/>
              <w:rPr>
                <w:szCs w:val="22"/>
                <w:lang w:val="sr-Latn-ME"/>
              </w:rPr>
            </w:pPr>
            <w:r w:rsidRPr="00B74B0F">
              <w:rPr>
                <w:szCs w:val="22"/>
                <w:lang w:val="sr-Latn-ME"/>
              </w:rPr>
              <w:t>22,5 (16,0; 29,1)</w:t>
            </w:r>
          </w:p>
          <w:p w14:paraId="06FB2FB8" w14:textId="147FF1F6" w:rsidR="00665E11" w:rsidRPr="00B74B0F" w:rsidRDefault="00665E11" w:rsidP="00A30C3C">
            <w:pPr>
              <w:spacing w:line="240" w:lineRule="auto"/>
              <w:contextualSpacing/>
              <w:jc w:val="both"/>
              <w:rPr>
                <w:szCs w:val="22"/>
                <w:lang w:val="sr-Latn-ME"/>
              </w:rPr>
            </w:pPr>
          </w:p>
        </w:tc>
        <w:tc>
          <w:tcPr>
            <w:tcW w:w="3660" w:type="dxa"/>
          </w:tcPr>
          <w:p w14:paraId="72D55BC4" w14:textId="630FC42B" w:rsidR="00665E11" w:rsidRPr="00B74B0F" w:rsidRDefault="00665E11" w:rsidP="00A30C3C">
            <w:pPr>
              <w:spacing w:line="240" w:lineRule="auto"/>
              <w:contextualSpacing/>
              <w:jc w:val="both"/>
              <w:rPr>
                <w:szCs w:val="22"/>
                <w:lang w:val="sr-Latn-ME"/>
              </w:rPr>
            </w:pPr>
            <w:r w:rsidRPr="00B74B0F">
              <w:rPr>
                <w:szCs w:val="22"/>
                <w:lang w:val="sr-Latn-ME"/>
              </w:rPr>
              <w:t>44,9 (37,1; 52,7)</w:t>
            </w:r>
          </w:p>
        </w:tc>
      </w:tr>
      <w:tr w:rsidR="00665E11" w:rsidRPr="00B74B0F" w14:paraId="7C179036" w14:textId="77777777" w:rsidTr="0069063B">
        <w:tc>
          <w:tcPr>
            <w:tcW w:w="1911" w:type="dxa"/>
            <w:shd w:val="clear" w:color="auto" w:fill="auto"/>
          </w:tcPr>
          <w:p w14:paraId="552EEA76" w14:textId="77777777" w:rsidR="00665E11" w:rsidRPr="00B74B0F" w:rsidRDefault="00665E11">
            <w:pPr>
              <w:spacing w:line="240" w:lineRule="auto"/>
              <w:contextualSpacing/>
              <w:jc w:val="both"/>
              <w:rPr>
                <w:szCs w:val="22"/>
                <w:lang w:val="sr-Latn-ME"/>
              </w:rPr>
            </w:pPr>
            <w:r w:rsidRPr="00B74B0F">
              <w:rPr>
                <w:szCs w:val="22"/>
                <w:lang w:val="sr-Latn-ME"/>
              </w:rPr>
              <w:t>Razlika od placeba (interval pouzdanosti od 95%)</w:t>
            </w:r>
          </w:p>
        </w:tc>
        <w:tc>
          <w:tcPr>
            <w:tcW w:w="7150" w:type="dxa"/>
            <w:gridSpan w:val="2"/>
            <w:shd w:val="clear" w:color="auto" w:fill="auto"/>
            <w:vAlign w:val="center"/>
          </w:tcPr>
          <w:p w14:paraId="4BB01878" w14:textId="1ADBCE5A" w:rsidR="00665E11" w:rsidRPr="00B74B0F" w:rsidRDefault="00665E11" w:rsidP="00A30C3C">
            <w:pPr>
              <w:spacing w:line="240" w:lineRule="auto"/>
              <w:contextualSpacing/>
              <w:jc w:val="both"/>
              <w:rPr>
                <w:szCs w:val="22"/>
                <w:lang w:val="sr-Latn-ME"/>
              </w:rPr>
            </w:pPr>
            <w:r w:rsidRPr="00B74B0F">
              <w:rPr>
                <w:szCs w:val="22"/>
                <w:lang w:val="sr-Latn-ME"/>
              </w:rPr>
              <w:t>22,2 (12,1; 32,3)</w:t>
            </w:r>
            <w:r w:rsidRPr="00B74B0F">
              <w:rPr>
                <w:szCs w:val="22"/>
                <w:vertAlign w:val="superscript"/>
                <w:lang w:val="sr-Latn-ME"/>
              </w:rPr>
              <w:t>b</w:t>
            </w:r>
          </w:p>
          <w:p w14:paraId="1788991E" w14:textId="57CC178B" w:rsidR="00665E11" w:rsidRPr="00B74B0F" w:rsidRDefault="00665E11">
            <w:pPr>
              <w:spacing w:line="240" w:lineRule="auto"/>
              <w:contextualSpacing/>
              <w:jc w:val="both"/>
              <w:rPr>
                <w:szCs w:val="22"/>
                <w:lang w:val="sr-Latn-ME"/>
              </w:rPr>
            </w:pPr>
          </w:p>
          <w:p w14:paraId="6E66E2CC" w14:textId="531E5BFC" w:rsidR="00665E11" w:rsidRPr="00B74B0F" w:rsidRDefault="00665E11">
            <w:pPr>
              <w:spacing w:line="240" w:lineRule="auto"/>
              <w:contextualSpacing/>
              <w:jc w:val="both"/>
              <w:rPr>
                <w:szCs w:val="22"/>
                <w:lang w:val="sr-Latn-ME"/>
              </w:rPr>
            </w:pPr>
          </w:p>
        </w:tc>
      </w:tr>
      <w:tr w:rsidR="00665E11" w:rsidRPr="00B74B0F" w14:paraId="552CCAC3" w14:textId="77777777" w:rsidTr="0069063B">
        <w:tc>
          <w:tcPr>
            <w:tcW w:w="9061" w:type="dxa"/>
            <w:gridSpan w:val="3"/>
            <w:shd w:val="clear" w:color="auto" w:fill="auto"/>
          </w:tcPr>
          <w:p w14:paraId="2F045B3C" w14:textId="77777777" w:rsidR="00665E11" w:rsidRPr="00B74B0F" w:rsidRDefault="00665E11" w:rsidP="00343D6C">
            <w:pPr>
              <w:spacing w:line="240" w:lineRule="auto"/>
              <w:contextualSpacing/>
              <w:jc w:val="center"/>
              <w:rPr>
                <w:b/>
                <w:bCs/>
                <w:szCs w:val="22"/>
                <w:lang w:val="sr-Latn-ME"/>
              </w:rPr>
            </w:pPr>
            <w:r w:rsidRPr="00B74B0F">
              <w:rPr>
                <w:b/>
                <w:bCs/>
                <w:szCs w:val="22"/>
                <w:lang w:val="sr-Latn-ME"/>
              </w:rPr>
              <w:t>ASAS20, % pacijenata (interval pouzdanosti od 95%)</w:t>
            </w:r>
            <w:r w:rsidRPr="00B74B0F">
              <w:rPr>
                <w:szCs w:val="22"/>
                <w:vertAlign w:val="superscript"/>
                <w:lang w:val="sr-Latn-ME"/>
              </w:rPr>
              <w:t>a</w:t>
            </w:r>
          </w:p>
        </w:tc>
      </w:tr>
      <w:tr w:rsidR="0025204D" w:rsidRPr="00B74B0F" w14:paraId="5521C4B4" w14:textId="77777777" w:rsidTr="0069063B">
        <w:tc>
          <w:tcPr>
            <w:tcW w:w="1911" w:type="dxa"/>
            <w:shd w:val="clear" w:color="auto" w:fill="auto"/>
          </w:tcPr>
          <w:p w14:paraId="326B7CFF" w14:textId="77777777" w:rsidR="0025204D" w:rsidRPr="00B74B0F" w:rsidRDefault="0025204D">
            <w:pPr>
              <w:spacing w:line="240" w:lineRule="auto"/>
              <w:contextualSpacing/>
              <w:jc w:val="both"/>
              <w:rPr>
                <w:szCs w:val="22"/>
                <w:lang w:val="sr-Latn-ME"/>
              </w:rPr>
            </w:pPr>
            <w:r w:rsidRPr="00B74B0F">
              <w:rPr>
                <w:szCs w:val="22"/>
                <w:lang w:val="sr-Latn-ME"/>
              </w:rPr>
              <w:t>Sedmica 14</w:t>
            </w:r>
          </w:p>
        </w:tc>
        <w:tc>
          <w:tcPr>
            <w:tcW w:w="3490" w:type="dxa"/>
            <w:shd w:val="clear" w:color="auto" w:fill="auto"/>
          </w:tcPr>
          <w:p w14:paraId="222AE1E3" w14:textId="16F2A52A" w:rsidR="0025204D" w:rsidRPr="00B74B0F" w:rsidRDefault="0025204D" w:rsidP="00A30C3C">
            <w:pPr>
              <w:spacing w:line="240" w:lineRule="auto"/>
              <w:contextualSpacing/>
              <w:jc w:val="both"/>
              <w:rPr>
                <w:szCs w:val="22"/>
                <w:lang w:val="sr-Latn-ME"/>
              </w:rPr>
            </w:pPr>
            <w:r w:rsidRPr="00B74B0F">
              <w:rPr>
                <w:szCs w:val="22"/>
                <w:lang w:val="sr-Latn-ME"/>
              </w:rPr>
              <w:t>43,8 (36,0; 51,5)</w:t>
            </w:r>
          </w:p>
          <w:p w14:paraId="05B1895C" w14:textId="5B11148E" w:rsidR="0025204D" w:rsidRPr="00B74B0F" w:rsidRDefault="0025204D" w:rsidP="00A30C3C">
            <w:pPr>
              <w:spacing w:line="240" w:lineRule="auto"/>
              <w:contextualSpacing/>
              <w:jc w:val="both"/>
              <w:rPr>
                <w:szCs w:val="22"/>
                <w:lang w:val="sr-Latn-ME"/>
              </w:rPr>
            </w:pPr>
          </w:p>
        </w:tc>
        <w:tc>
          <w:tcPr>
            <w:tcW w:w="3660" w:type="dxa"/>
          </w:tcPr>
          <w:p w14:paraId="227DF4B7" w14:textId="0C8B0B8D" w:rsidR="0025204D" w:rsidRPr="00B74B0F" w:rsidRDefault="0025204D" w:rsidP="00A30C3C">
            <w:pPr>
              <w:spacing w:line="240" w:lineRule="auto"/>
              <w:contextualSpacing/>
              <w:jc w:val="both"/>
              <w:rPr>
                <w:szCs w:val="22"/>
                <w:lang w:val="sr-Latn-ME"/>
              </w:rPr>
            </w:pPr>
            <w:r w:rsidRPr="00B74B0F">
              <w:rPr>
                <w:szCs w:val="22"/>
                <w:lang w:val="sr-Latn-ME"/>
              </w:rPr>
              <w:t>66,7 (59,3; 74,1)</w:t>
            </w:r>
            <w:r w:rsidR="00AB0ACC" w:rsidRPr="00B74B0F">
              <w:rPr>
                <w:szCs w:val="22"/>
                <w:vertAlign w:val="superscript"/>
                <w:lang w:val="sr-Latn-ME"/>
              </w:rPr>
              <w:t>b</w:t>
            </w:r>
          </w:p>
        </w:tc>
      </w:tr>
      <w:tr w:rsidR="00665E11" w:rsidRPr="00B74B0F" w14:paraId="668E6C24" w14:textId="77777777" w:rsidTr="0069063B">
        <w:tc>
          <w:tcPr>
            <w:tcW w:w="9061" w:type="dxa"/>
            <w:gridSpan w:val="3"/>
            <w:shd w:val="clear" w:color="auto" w:fill="auto"/>
          </w:tcPr>
          <w:p w14:paraId="0B841E63" w14:textId="77777777" w:rsidR="00665E11" w:rsidRPr="00B74B0F" w:rsidRDefault="00665E11" w:rsidP="00343D6C">
            <w:pPr>
              <w:spacing w:line="240" w:lineRule="auto"/>
              <w:contextualSpacing/>
              <w:jc w:val="center"/>
              <w:rPr>
                <w:b/>
                <w:bCs/>
                <w:szCs w:val="22"/>
                <w:lang w:val="sr-Latn-ME"/>
              </w:rPr>
            </w:pPr>
            <w:r w:rsidRPr="00B74B0F">
              <w:rPr>
                <w:b/>
                <w:bCs/>
                <w:szCs w:val="22"/>
                <w:lang w:val="sr-Latn-ME"/>
              </w:rPr>
              <w:t>ASAS djelimična remisija, % pacijenata (interval pouzdanosti od 95%)</w:t>
            </w:r>
          </w:p>
        </w:tc>
      </w:tr>
      <w:tr w:rsidR="0025204D" w:rsidRPr="00B74B0F" w14:paraId="1C80FCC2" w14:textId="77777777" w:rsidTr="0069063B">
        <w:tc>
          <w:tcPr>
            <w:tcW w:w="1911" w:type="dxa"/>
            <w:shd w:val="clear" w:color="auto" w:fill="auto"/>
          </w:tcPr>
          <w:p w14:paraId="00D7996B" w14:textId="77777777" w:rsidR="0025204D" w:rsidRPr="00B74B0F" w:rsidRDefault="0025204D">
            <w:pPr>
              <w:spacing w:line="240" w:lineRule="auto"/>
              <w:contextualSpacing/>
              <w:jc w:val="both"/>
              <w:rPr>
                <w:szCs w:val="22"/>
                <w:lang w:val="sr-Latn-ME"/>
              </w:rPr>
            </w:pPr>
            <w:r w:rsidRPr="00B74B0F">
              <w:rPr>
                <w:szCs w:val="22"/>
                <w:lang w:val="sr-Latn-ME"/>
              </w:rPr>
              <w:t>Sedmica 14</w:t>
            </w:r>
          </w:p>
        </w:tc>
        <w:tc>
          <w:tcPr>
            <w:tcW w:w="3490" w:type="dxa"/>
            <w:shd w:val="clear" w:color="auto" w:fill="auto"/>
          </w:tcPr>
          <w:p w14:paraId="017B810C" w14:textId="43CE9A8B" w:rsidR="0025204D" w:rsidRPr="00B74B0F" w:rsidRDefault="0025204D" w:rsidP="00A30C3C">
            <w:pPr>
              <w:spacing w:line="240" w:lineRule="auto"/>
              <w:contextualSpacing/>
              <w:jc w:val="both"/>
              <w:rPr>
                <w:szCs w:val="22"/>
                <w:lang w:val="sr-Latn-ME"/>
              </w:rPr>
            </w:pPr>
            <w:r w:rsidRPr="00B74B0F">
              <w:rPr>
                <w:szCs w:val="22"/>
                <w:lang w:val="sr-Latn-ME"/>
              </w:rPr>
              <w:t>7,6 (3,5; 11,8)</w:t>
            </w:r>
          </w:p>
          <w:p w14:paraId="330AE7E3" w14:textId="0442D8DD" w:rsidR="0025204D" w:rsidRPr="00B74B0F" w:rsidRDefault="0025204D" w:rsidP="00A30C3C">
            <w:pPr>
              <w:spacing w:line="240" w:lineRule="auto"/>
              <w:contextualSpacing/>
              <w:jc w:val="both"/>
              <w:rPr>
                <w:szCs w:val="22"/>
                <w:lang w:val="sr-Latn-ME"/>
              </w:rPr>
            </w:pPr>
          </w:p>
        </w:tc>
        <w:tc>
          <w:tcPr>
            <w:tcW w:w="3660" w:type="dxa"/>
          </w:tcPr>
          <w:p w14:paraId="690268F2" w14:textId="72AB3642" w:rsidR="0025204D" w:rsidRPr="00B74B0F" w:rsidRDefault="0025204D" w:rsidP="00A30C3C">
            <w:pPr>
              <w:spacing w:line="240" w:lineRule="auto"/>
              <w:contextualSpacing/>
              <w:jc w:val="both"/>
              <w:rPr>
                <w:szCs w:val="22"/>
                <w:lang w:val="sr-Latn-ME"/>
              </w:rPr>
            </w:pPr>
            <w:r w:rsidRPr="00B74B0F">
              <w:rPr>
                <w:szCs w:val="22"/>
                <w:lang w:val="sr-Latn-ME"/>
              </w:rPr>
              <w:t>18,6 (12,5; 24,7)</w:t>
            </w:r>
            <w:r w:rsidRPr="00B74B0F">
              <w:rPr>
                <w:szCs w:val="22"/>
                <w:vertAlign w:val="superscript"/>
                <w:lang w:val="sr-Latn-ME"/>
              </w:rPr>
              <w:t>c</w:t>
            </w:r>
          </w:p>
        </w:tc>
      </w:tr>
      <w:tr w:rsidR="00665E11" w:rsidRPr="00B74B0F" w14:paraId="4F186AD8" w14:textId="77777777" w:rsidTr="0069063B">
        <w:tc>
          <w:tcPr>
            <w:tcW w:w="9061" w:type="dxa"/>
            <w:gridSpan w:val="3"/>
            <w:shd w:val="clear" w:color="auto" w:fill="auto"/>
          </w:tcPr>
          <w:p w14:paraId="1B6D6716" w14:textId="77777777" w:rsidR="00665E11" w:rsidRPr="00B74B0F" w:rsidRDefault="00665E11" w:rsidP="00343D6C">
            <w:pPr>
              <w:spacing w:line="240" w:lineRule="auto"/>
              <w:contextualSpacing/>
              <w:jc w:val="center"/>
              <w:rPr>
                <w:b/>
                <w:bCs/>
                <w:szCs w:val="22"/>
                <w:lang w:val="sr-Latn-ME"/>
              </w:rPr>
            </w:pPr>
            <w:r w:rsidRPr="00B74B0F">
              <w:rPr>
                <w:b/>
                <w:bCs/>
                <w:szCs w:val="22"/>
                <w:lang w:val="sr-Latn-ME"/>
              </w:rPr>
              <w:t>BASDAI 50, % pacijeneta (interval pouzdanosti od 95%)</w:t>
            </w:r>
          </w:p>
        </w:tc>
      </w:tr>
      <w:tr w:rsidR="0025204D" w:rsidRPr="00B74B0F" w14:paraId="1A0F4F38" w14:textId="77777777" w:rsidTr="0069063B">
        <w:tc>
          <w:tcPr>
            <w:tcW w:w="1911" w:type="dxa"/>
            <w:shd w:val="clear" w:color="auto" w:fill="auto"/>
          </w:tcPr>
          <w:p w14:paraId="76C7AE9E" w14:textId="77777777" w:rsidR="0025204D" w:rsidRPr="00B74B0F" w:rsidRDefault="0025204D">
            <w:pPr>
              <w:spacing w:line="240" w:lineRule="auto"/>
              <w:contextualSpacing/>
              <w:jc w:val="both"/>
              <w:rPr>
                <w:szCs w:val="22"/>
                <w:lang w:val="sr-Latn-ME"/>
              </w:rPr>
            </w:pPr>
            <w:r w:rsidRPr="00B74B0F">
              <w:rPr>
                <w:szCs w:val="22"/>
                <w:lang w:val="sr-Latn-ME"/>
              </w:rPr>
              <w:t>Sedmica 14</w:t>
            </w:r>
          </w:p>
        </w:tc>
        <w:tc>
          <w:tcPr>
            <w:tcW w:w="3490" w:type="dxa"/>
            <w:shd w:val="clear" w:color="auto" w:fill="auto"/>
          </w:tcPr>
          <w:p w14:paraId="4DB5464C" w14:textId="77777777" w:rsidR="0025204D" w:rsidRPr="00B74B0F" w:rsidRDefault="0025204D" w:rsidP="00A30C3C">
            <w:pPr>
              <w:spacing w:line="240" w:lineRule="auto"/>
              <w:contextualSpacing/>
              <w:jc w:val="both"/>
              <w:rPr>
                <w:szCs w:val="22"/>
                <w:lang w:val="sr-Latn-ME"/>
              </w:rPr>
            </w:pPr>
            <w:r w:rsidRPr="00B74B0F">
              <w:rPr>
                <w:szCs w:val="22"/>
                <w:lang w:val="sr-Latn-ME"/>
              </w:rPr>
              <w:t>22,1 (15,5; 28,6)</w:t>
            </w:r>
          </w:p>
          <w:p w14:paraId="663AA11B" w14:textId="248A9235" w:rsidR="0025204D" w:rsidRPr="00B74B0F" w:rsidRDefault="0025204D" w:rsidP="00A30C3C">
            <w:pPr>
              <w:spacing w:line="240" w:lineRule="auto"/>
              <w:contextualSpacing/>
              <w:jc w:val="both"/>
              <w:rPr>
                <w:szCs w:val="22"/>
                <w:lang w:val="sr-Latn-ME"/>
              </w:rPr>
            </w:pPr>
          </w:p>
        </w:tc>
        <w:tc>
          <w:tcPr>
            <w:tcW w:w="3660" w:type="dxa"/>
          </w:tcPr>
          <w:p w14:paraId="2142C86A" w14:textId="64EB4409" w:rsidR="0025204D" w:rsidRPr="00B74B0F" w:rsidRDefault="0025204D" w:rsidP="00A30C3C">
            <w:pPr>
              <w:spacing w:line="240" w:lineRule="auto"/>
              <w:contextualSpacing/>
              <w:jc w:val="both"/>
              <w:rPr>
                <w:szCs w:val="22"/>
                <w:lang w:val="sr-Latn-ME"/>
              </w:rPr>
            </w:pPr>
            <w:r w:rsidRPr="00B74B0F">
              <w:rPr>
                <w:szCs w:val="22"/>
                <w:lang w:val="sr-Latn-ME"/>
              </w:rPr>
              <w:t>4</w:t>
            </w:r>
            <w:r w:rsidR="00794AE5" w:rsidRPr="00B74B0F">
              <w:rPr>
                <w:szCs w:val="22"/>
                <w:lang w:val="sr-Latn-ME"/>
              </w:rPr>
              <w:t>2,3 (34,6; 50,1</w:t>
            </w:r>
            <w:r w:rsidRPr="00B74B0F">
              <w:rPr>
                <w:szCs w:val="22"/>
                <w:lang w:val="sr-Latn-ME"/>
              </w:rPr>
              <w:t>)</w:t>
            </w:r>
            <w:r w:rsidR="00794AE5" w:rsidRPr="00B74B0F">
              <w:rPr>
                <w:szCs w:val="22"/>
                <w:vertAlign w:val="superscript"/>
                <w:lang w:val="sr-Latn-ME"/>
              </w:rPr>
              <w:t>b</w:t>
            </w:r>
          </w:p>
        </w:tc>
      </w:tr>
      <w:tr w:rsidR="00665E11" w:rsidRPr="00B74B0F" w14:paraId="4AD66696" w14:textId="77777777" w:rsidTr="0069063B">
        <w:tc>
          <w:tcPr>
            <w:tcW w:w="9061" w:type="dxa"/>
            <w:gridSpan w:val="3"/>
            <w:shd w:val="clear" w:color="auto" w:fill="auto"/>
          </w:tcPr>
          <w:p w14:paraId="585EE079" w14:textId="77777777" w:rsidR="00665E11" w:rsidRPr="00B74B0F" w:rsidRDefault="00665E11" w:rsidP="00343D6C">
            <w:pPr>
              <w:spacing w:line="240" w:lineRule="auto"/>
              <w:contextualSpacing/>
              <w:jc w:val="center"/>
              <w:rPr>
                <w:b/>
                <w:bCs/>
                <w:szCs w:val="22"/>
                <w:lang w:val="sr-Latn-ME"/>
              </w:rPr>
            </w:pPr>
            <w:r w:rsidRPr="00B74B0F">
              <w:rPr>
                <w:b/>
                <w:bCs/>
                <w:szCs w:val="22"/>
                <w:lang w:val="sr-Latn-ME"/>
              </w:rPr>
              <w:t>Promjena od početnih vrijednosti ASDAS-CRP (interval pouzdanosti od 95%)</w:t>
            </w:r>
          </w:p>
        </w:tc>
      </w:tr>
      <w:tr w:rsidR="00794AE5" w:rsidRPr="00B74B0F" w14:paraId="21FFD569" w14:textId="77777777" w:rsidTr="0069063B">
        <w:tc>
          <w:tcPr>
            <w:tcW w:w="1911" w:type="dxa"/>
            <w:shd w:val="clear" w:color="auto" w:fill="auto"/>
          </w:tcPr>
          <w:p w14:paraId="1E2A6029" w14:textId="77777777" w:rsidR="00794AE5" w:rsidRPr="00B74B0F" w:rsidRDefault="00794AE5">
            <w:pPr>
              <w:spacing w:line="240" w:lineRule="auto"/>
              <w:contextualSpacing/>
              <w:jc w:val="both"/>
              <w:rPr>
                <w:szCs w:val="22"/>
                <w:lang w:val="sr-Latn-ME"/>
              </w:rPr>
            </w:pPr>
            <w:r w:rsidRPr="00B74B0F">
              <w:rPr>
                <w:szCs w:val="22"/>
                <w:lang w:val="sr-Latn-ME"/>
              </w:rPr>
              <w:t>Sedmica 14</w:t>
            </w:r>
          </w:p>
        </w:tc>
        <w:tc>
          <w:tcPr>
            <w:tcW w:w="3490" w:type="dxa"/>
            <w:shd w:val="clear" w:color="auto" w:fill="auto"/>
          </w:tcPr>
          <w:p w14:paraId="582583C8" w14:textId="7A27E3F1" w:rsidR="00794AE5" w:rsidRPr="00B74B0F" w:rsidRDefault="00794AE5" w:rsidP="00A30C3C">
            <w:pPr>
              <w:spacing w:line="240" w:lineRule="auto"/>
              <w:contextualSpacing/>
              <w:jc w:val="both"/>
              <w:rPr>
                <w:szCs w:val="22"/>
                <w:lang w:val="sr-Latn-ME"/>
              </w:rPr>
            </w:pPr>
            <w:r w:rsidRPr="00B74B0F">
              <w:rPr>
                <w:szCs w:val="22"/>
                <w:lang w:val="sr-Latn-ME"/>
              </w:rPr>
              <w:t>-0,71 (-0,85; -0,56)</w:t>
            </w:r>
          </w:p>
        </w:tc>
        <w:tc>
          <w:tcPr>
            <w:tcW w:w="3660" w:type="dxa"/>
          </w:tcPr>
          <w:p w14:paraId="7B666363" w14:textId="353B3387" w:rsidR="00794AE5" w:rsidRPr="00B74B0F" w:rsidRDefault="00794AE5" w:rsidP="00A30C3C">
            <w:pPr>
              <w:spacing w:line="240" w:lineRule="auto"/>
              <w:contextualSpacing/>
              <w:jc w:val="both"/>
              <w:rPr>
                <w:szCs w:val="22"/>
                <w:lang w:val="sr-Latn-ME"/>
              </w:rPr>
            </w:pPr>
            <w:r w:rsidRPr="00B74B0F">
              <w:rPr>
                <w:szCs w:val="22"/>
                <w:lang w:val="sr-Latn-ME"/>
              </w:rPr>
              <w:t>-1,36 (</w:t>
            </w:r>
            <w:r w:rsidRPr="00B74B0F">
              <w:rPr>
                <w:szCs w:val="22"/>
                <w:lang w:val="sr-Latn-ME"/>
              </w:rPr>
              <w:noBreakHyphen/>
              <w:t xml:space="preserve">1,50; </w:t>
            </w:r>
            <w:r w:rsidRPr="00B74B0F">
              <w:rPr>
                <w:szCs w:val="22"/>
                <w:lang w:val="sr-Latn-ME"/>
              </w:rPr>
              <w:noBreakHyphen/>
              <w:t>1,21)</w:t>
            </w:r>
            <w:r w:rsidRPr="00B74B0F">
              <w:rPr>
                <w:szCs w:val="22"/>
                <w:vertAlign w:val="superscript"/>
                <w:lang w:val="sr-Latn-ME"/>
              </w:rPr>
              <w:t>b</w:t>
            </w:r>
          </w:p>
        </w:tc>
      </w:tr>
      <w:tr w:rsidR="00665E11" w:rsidRPr="00B74B0F" w14:paraId="2E7EC27B" w14:textId="77777777" w:rsidTr="0069063B">
        <w:tc>
          <w:tcPr>
            <w:tcW w:w="9061" w:type="dxa"/>
            <w:gridSpan w:val="3"/>
            <w:shd w:val="clear" w:color="auto" w:fill="auto"/>
          </w:tcPr>
          <w:p w14:paraId="6EAAEE24" w14:textId="77777777" w:rsidR="00665E11" w:rsidRPr="00B74B0F" w:rsidRDefault="00665E11" w:rsidP="00343D6C">
            <w:pPr>
              <w:spacing w:line="240" w:lineRule="auto"/>
              <w:contextualSpacing/>
              <w:jc w:val="center"/>
              <w:rPr>
                <w:b/>
                <w:bCs/>
                <w:szCs w:val="22"/>
                <w:lang w:val="sr-Latn-ME"/>
              </w:rPr>
            </w:pPr>
            <w:r w:rsidRPr="00B74B0F">
              <w:rPr>
                <w:b/>
                <w:bCs/>
                <w:szCs w:val="22"/>
                <w:lang w:val="sr-Latn-ME"/>
              </w:rPr>
              <w:t>ASDAS neaktivna bolest, % pacijenata (interval pouzdanosti od 95%)</w:t>
            </w:r>
          </w:p>
        </w:tc>
      </w:tr>
      <w:tr w:rsidR="00AB0ACC" w:rsidRPr="00B74B0F" w14:paraId="5F3AE90A" w14:textId="77777777" w:rsidTr="0069063B">
        <w:tc>
          <w:tcPr>
            <w:tcW w:w="1911" w:type="dxa"/>
            <w:shd w:val="clear" w:color="auto" w:fill="auto"/>
          </w:tcPr>
          <w:p w14:paraId="4FF7B5A2" w14:textId="77777777" w:rsidR="00AB0ACC" w:rsidRPr="00B74B0F" w:rsidRDefault="00AB0ACC">
            <w:pPr>
              <w:spacing w:line="240" w:lineRule="auto"/>
              <w:contextualSpacing/>
              <w:jc w:val="both"/>
              <w:rPr>
                <w:szCs w:val="22"/>
                <w:lang w:val="sr-Latn-ME"/>
              </w:rPr>
            </w:pPr>
            <w:r w:rsidRPr="00B74B0F">
              <w:rPr>
                <w:szCs w:val="22"/>
                <w:lang w:val="sr-Latn-ME"/>
              </w:rPr>
              <w:t>Sedmica 14</w:t>
            </w:r>
          </w:p>
        </w:tc>
        <w:tc>
          <w:tcPr>
            <w:tcW w:w="3490" w:type="dxa"/>
            <w:shd w:val="clear" w:color="auto" w:fill="auto"/>
          </w:tcPr>
          <w:p w14:paraId="32A410E4" w14:textId="0391EB49" w:rsidR="00AB0ACC" w:rsidRPr="00B74B0F" w:rsidRDefault="00AB0ACC" w:rsidP="00A30C3C">
            <w:pPr>
              <w:spacing w:line="240" w:lineRule="auto"/>
              <w:contextualSpacing/>
              <w:jc w:val="both"/>
              <w:rPr>
                <w:szCs w:val="22"/>
                <w:lang w:val="sr-Latn-ME"/>
              </w:rPr>
            </w:pPr>
            <w:r w:rsidRPr="00B74B0F">
              <w:rPr>
                <w:szCs w:val="22"/>
                <w:lang w:val="sr-Latn-ME"/>
              </w:rPr>
              <w:t>5,2 (1,7; 8,7)</w:t>
            </w:r>
          </w:p>
        </w:tc>
        <w:tc>
          <w:tcPr>
            <w:tcW w:w="3660" w:type="dxa"/>
          </w:tcPr>
          <w:p w14:paraId="48903480" w14:textId="52EA0486" w:rsidR="00AB0ACC" w:rsidRPr="00B74B0F" w:rsidRDefault="00AB0ACC" w:rsidP="00A30C3C">
            <w:pPr>
              <w:spacing w:line="240" w:lineRule="auto"/>
              <w:contextualSpacing/>
              <w:jc w:val="both"/>
              <w:rPr>
                <w:szCs w:val="22"/>
                <w:lang w:val="sr-Latn-ME"/>
              </w:rPr>
            </w:pPr>
            <w:r w:rsidRPr="00B74B0F">
              <w:rPr>
                <w:szCs w:val="22"/>
                <w:lang w:val="sr-Latn-ME"/>
              </w:rPr>
              <w:t>14,1 (8,6; 19,6)</w:t>
            </w:r>
            <w:r w:rsidRPr="00B74B0F">
              <w:rPr>
                <w:szCs w:val="22"/>
                <w:vertAlign w:val="superscript"/>
                <w:lang w:val="sr-Latn-ME"/>
              </w:rPr>
              <w:t>c</w:t>
            </w:r>
          </w:p>
        </w:tc>
      </w:tr>
      <w:tr w:rsidR="00665E11" w:rsidRPr="00B74B0F" w14:paraId="2F6324FF" w14:textId="77777777" w:rsidTr="0069063B">
        <w:tc>
          <w:tcPr>
            <w:tcW w:w="9061" w:type="dxa"/>
            <w:gridSpan w:val="3"/>
            <w:shd w:val="clear" w:color="auto" w:fill="auto"/>
          </w:tcPr>
          <w:p w14:paraId="720B1CF7" w14:textId="77777777" w:rsidR="00665E11" w:rsidRPr="00B74B0F" w:rsidRDefault="00665E11" w:rsidP="00343D6C">
            <w:pPr>
              <w:spacing w:line="240" w:lineRule="auto"/>
              <w:contextualSpacing/>
              <w:jc w:val="center"/>
              <w:rPr>
                <w:b/>
                <w:bCs/>
                <w:szCs w:val="22"/>
                <w:lang w:val="sr-Latn-ME"/>
              </w:rPr>
            </w:pPr>
            <w:r w:rsidRPr="00B74B0F">
              <w:rPr>
                <w:b/>
                <w:bCs/>
                <w:szCs w:val="22"/>
                <w:lang w:val="sr-Latn-ME"/>
              </w:rPr>
              <w:t>ASDAS niska aktivnost bolesti, % pacijenata (interval pouzdanosti od 95%)</w:t>
            </w:r>
          </w:p>
        </w:tc>
      </w:tr>
      <w:tr w:rsidR="00AB0ACC" w:rsidRPr="00B74B0F" w14:paraId="5530A9F1" w14:textId="77777777" w:rsidTr="0069063B">
        <w:tc>
          <w:tcPr>
            <w:tcW w:w="1911" w:type="dxa"/>
            <w:shd w:val="clear" w:color="auto" w:fill="auto"/>
          </w:tcPr>
          <w:p w14:paraId="098F0875" w14:textId="77777777" w:rsidR="00AB0ACC" w:rsidRPr="00B74B0F" w:rsidRDefault="00AB0ACC">
            <w:pPr>
              <w:spacing w:line="240" w:lineRule="auto"/>
              <w:contextualSpacing/>
              <w:jc w:val="both"/>
              <w:rPr>
                <w:szCs w:val="22"/>
                <w:lang w:val="sr-Latn-ME"/>
              </w:rPr>
            </w:pPr>
            <w:r w:rsidRPr="00B74B0F">
              <w:rPr>
                <w:szCs w:val="22"/>
                <w:lang w:val="sr-Latn-ME"/>
              </w:rPr>
              <w:t>Sedmica 14</w:t>
            </w:r>
          </w:p>
        </w:tc>
        <w:tc>
          <w:tcPr>
            <w:tcW w:w="3490" w:type="dxa"/>
            <w:shd w:val="clear" w:color="auto" w:fill="auto"/>
          </w:tcPr>
          <w:p w14:paraId="034D8F8F" w14:textId="493F152B" w:rsidR="00AB0ACC" w:rsidRPr="00B74B0F" w:rsidRDefault="00AB0ACC" w:rsidP="00A30C3C">
            <w:pPr>
              <w:spacing w:line="240" w:lineRule="auto"/>
              <w:contextualSpacing/>
              <w:jc w:val="both"/>
              <w:rPr>
                <w:szCs w:val="22"/>
                <w:lang w:val="sr-Latn-ME"/>
              </w:rPr>
            </w:pPr>
            <w:r w:rsidRPr="00B74B0F">
              <w:rPr>
                <w:szCs w:val="22"/>
                <w:lang w:val="sr-Latn-ME"/>
              </w:rPr>
              <w:t>18,3 (12,2; 24,4)</w:t>
            </w:r>
          </w:p>
        </w:tc>
        <w:tc>
          <w:tcPr>
            <w:tcW w:w="3660" w:type="dxa"/>
          </w:tcPr>
          <w:p w14:paraId="1323884D" w14:textId="11FDC7AA" w:rsidR="00AB0ACC" w:rsidRPr="00B74B0F" w:rsidRDefault="00AB0ACC" w:rsidP="00A30C3C">
            <w:pPr>
              <w:spacing w:line="240" w:lineRule="auto"/>
              <w:contextualSpacing/>
              <w:jc w:val="both"/>
              <w:rPr>
                <w:szCs w:val="22"/>
                <w:lang w:val="sr-Latn-ME"/>
              </w:rPr>
            </w:pPr>
            <w:r w:rsidRPr="00B74B0F">
              <w:rPr>
                <w:szCs w:val="22"/>
                <w:lang w:val="sr-Latn-ME"/>
              </w:rPr>
              <w:t>42,3 (34,6; 50,1)</w:t>
            </w:r>
            <w:r w:rsidRPr="00B74B0F">
              <w:rPr>
                <w:szCs w:val="22"/>
                <w:vertAlign w:val="superscript"/>
                <w:lang w:val="sr-Latn-ME"/>
              </w:rPr>
              <w:t>b</w:t>
            </w:r>
          </w:p>
        </w:tc>
      </w:tr>
      <w:tr w:rsidR="00665E11" w:rsidRPr="00B74B0F" w14:paraId="05A09529" w14:textId="77777777" w:rsidTr="0069063B">
        <w:tc>
          <w:tcPr>
            <w:tcW w:w="9061" w:type="dxa"/>
            <w:gridSpan w:val="3"/>
            <w:shd w:val="clear" w:color="auto" w:fill="auto"/>
          </w:tcPr>
          <w:p w14:paraId="646EB27F" w14:textId="403280A7" w:rsidR="00665E11" w:rsidRPr="00B74B0F" w:rsidRDefault="00AB0ACC">
            <w:pPr>
              <w:spacing w:line="240" w:lineRule="auto"/>
              <w:contextualSpacing/>
              <w:jc w:val="both"/>
              <w:rPr>
                <w:szCs w:val="22"/>
                <w:lang w:val="sr-Latn-ME"/>
              </w:rPr>
            </w:pPr>
            <w:r w:rsidRPr="00B74B0F">
              <w:rPr>
                <w:szCs w:val="22"/>
                <w:lang w:val="sr-Latn-ME"/>
              </w:rPr>
              <w:t>Skraćenice</w:t>
            </w:r>
            <w:r w:rsidR="00665E11" w:rsidRPr="00B74B0F">
              <w:rPr>
                <w:szCs w:val="22"/>
                <w:lang w:val="sr-Latn-ME"/>
              </w:rPr>
              <w:t>: ASAS20 (ili ASAS40) = poboljšanje za ≥</w:t>
            </w:r>
            <w:r w:rsidRPr="00B74B0F">
              <w:rPr>
                <w:szCs w:val="22"/>
                <w:lang w:val="sr-Latn-ME"/>
              </w:rPr>
              <w:t> 20% (ili ≥ 40%) prema kriterijumi</w:t>
            </w:r>
            <w:r w:rsidR="00665E11" w:rsidRPr="00B74B0F">
              <w:rPr>
                <w:szCs w:val="22"/>
                <w:lang w:val="sr-Latn-ME"/>
              </w:rPr>
              <w:t>ma Međunarodnog društva za ocjenu spondiloartritisa; ASDAS-CRP = Ocjena aktivnosti ankiloznog  spondilitisa – C-reaktivni protein; BASDAI = Bath indeks aktivnosti bolesti za ankilozni spondilitis; PBO = placebo; UPA= upadacitinib</w:t>
            </w:r>
          </w:p>
          <w:p w14:paraId="05C2AEE5" w14:textId="433975D5" w:rsidR="00665E11" w:rsidRPr="00B74B0F" w:rsidRDefault="00665E11">
            <w:pPr>
              <w:spacing w:line="240" w:lineRule="auto"/>
              <w:contextualSpacing/>
              <w:jc w:val="both"/>
              <w:rPr>
                <w:szCs w:val="22"/>
                <w:lang w:val="sr-Latn-ME"/>
              </w:rPr>
            </w:pPr>
            <w:r w:rsidRPr="00B74B0F">
              <w:rPr>
                <w:szCs w:val="22"/>
                <w:vertAlign w:val="superscript"/>
                <w:lang w:val="sr-Latn-ME"/>
              </w:rPr>
              <w:t xml:space="preserve">a </w:t>
            </w:r>
            <w:r w:rsidRPr="00B74B0F">
              <w:rPr>
                <w:szCs w:val="22"/>
                <w:lang w:val="sr-Latn-ME"/>
              </w:rPr>
              <w:t>ASAS20 (ASAS40) odgovor definiše se kao poboljšanje za ≥ 20% (≥ 40%) i apsolutno poboljšanje od početnih vrijednosti za ≥ 1 (≥ 2) jedinicu/e (raspon 0 do 10) u ≥ 3 od 4 domen</w:t>
            </w:r>
            <w:r w:rsidR="00E4186B" w:rsidRPr="00B74B0F">
              <w:rPr>
                <w:szCs w:val="22"/>
                <w:lang w:val="sr-Latn-ME"/>
              </w:rPr>
              <w:t>a</w:t>
            </w:r>
            <w:r w:rsidRPr="00B74B0F">
              <w:rPr>
                <w:szCs w:val="22"/>
                <w:lang w:val="sr-Latn-ME"/>
              </w:rPr>
              <w:t xml:space="preserve"> (pacijentova globalna ocjena aktivnosti bolesti, ukupna ocjena bol</w:t>
            </w:r>
            <w:r w:rsidR="00E4186B" w:rsidRPr="00B74B0F">
              <w:rPr>
                <w:szCs w:val="22"/>
                <w:lang w:val="sr-Latn-ME"/>
              </w:rPr>
              <w:t>a</w:t>
            </w:r>
            <w:r w:rsidRPr="00B74B0F">
              <w:rPr>
                <w:szCs w:val="22"/>
                <w:lang w:val="sr-Latn-ME"/>
              </w:rPr>
              <w:t xml:space="preserve"> u leđima, funkcija i upala) i bez pogoršanja u potencijalno</w:t>
            </w:r>
            <w:r w:rsidR="00E4186B" w:rsidRPr="00B74B0F">
              <w:rPr>
                <w:szCs w:val="22"/>
                <w:lang w:val="sr-Latn-ME"/>
              </w:rPr>
              <w:t>m</w:t>
            </w:r>
            <w:r w:rsidRPr="00B74B0F">
              <w:rPr>
                <w:szCs w:val="22"/>
                <w:lang w:val="sr-Latn-ME"/>
              </w:rPr>
              <w:t xml:space="preserve"> preostalo</w:t>
            </w:r>
            <w:r w:rsidR="00E4186B" w:rsidRPr="00B74B0F">
              <w:rPr>
                <w:szCs w:val="22"/>
                <w:lang w:val="sr-Latn-ME"/>
              </w:rPr>
              <w:t>m</w:t>
            </w:r>
            <w:r w:rsidRPr="00B74B0F">
              <w:rPr>
                <w:szCs w:val="22"/>
                <w:lang w:val="sr-Latn-ME"/>
              </w:rPr>
              <w:t xml:space="preserve"> domen</w:t>
            </w:r>
            <w:r w:rsidR="00E4186B" w:rsidRPr="00B74B0F">
              <w:rPr>
                <w:szCs w:val="22"/>
                <w:lang w:val="sr-Latn-ME"/>
              </w:rPr>
              <w:t>u</w:t>
            </w:r>
            <w:r w:rsidRPr="00B74B0F">
              <w:rPr>
                <w:szCs w:val="22"/>
                <w:lang w:val="sr-Latn-ME"/>
              </w:rPr>
              <w:t> (definisano kao pogoršanje za ≥ 20% i ≥ 1 jedinice za ASAS20 ili definisano kao pogoršanje za &gt; 0 jedinica za ASAS40).</w:t>
            </w:r>
          </w:p>
          <w:p w14:paraId="18BC4B3B" w14:textId="41FC5F6A" w:rsidR="00665E11" w:rsidRPr="00B74B0F" w:rsidRDefault="00665E11">
            <w:pPr>
              <w:spacing w:line="240" w:lineRule="auto"/>
              <w:contextualSpacing/>
              <w:jc w:val="both"/>
              <w:rPr>
                <w:szCs w:val="22"/>
                <w:lang w:val="sr-Latn-ME"/>
              </w:rPr>
            </w:pPr>
            <w:r w:rsidRPr="00B74B0F">
              <w:rPr>
                <w:szCs w:val="22"/>
                <w:vertAlign w:val="superscript"/>
                <w:lang w:val="sr-Latn-ME"/>
              </w:rPr>
              <w:t>b</w:t>
            </w:r>
            <w:r w:rsidRPr="00B74B0F">
              <w:rPr>
                <w:szCs w:val="22"/>
                <w:lang w:val="sr-Latn-ME"/>
              </w:rPr>
              <w:t xml:space="preserve"> </w:t>
            </w:r>
            <w:r w:rsidR="00170CFC" w:rsidRPr="00B74B0F">
              <w:rPr>
                <w:szCs w:val="22"/>
                <w:lang w:val="sr-Latn-ME"/>
              </w:rPr>
              <w:t xml:space="preserve">p-vrijednost kontrolisana za multiplicitet ≤ 0,001 za upadacitinib u odnosu na placebo </w:t>
            </w:r>
          </w:p>
          <w:p w14:paraId="0A9EC737" w14:textId="448A0AAF" w:rsidR="00665E11" w:rsidRPr="00B74B0F" w:rsidRDefault="00665E11">
            <w:pPr>
              <w:spacing w:line="240" w:lineRule="auto"/>
              <w:contextualSpacing/>
              <w:jc w:val="both"/>
              <w:rPr>
                <w:szCs w:val="22"/>
                <w:lang w:val="sr-Latn-ME"/>
              </w:rPr>
            </w:pPr>
            <w:r w:rsidRPr="00B74B0F">
              <w:rPr>
                <w:szCs w:val="22"/>
                <w:vertAlign w:val="superscript"/>
                <w:lang w:val="sr-Latn-ME"/>
              </w:rPr>
              <w:t>c</w:t>
            </w:r>
            <w:r w:rsidRPr="00B74B0F">
              <w:rPr>
                <w:szCs w:val="22"/>
                <w:lang w:val="sr-Latn-ME"/>
              </w:rPr>
              <w:t xml:space="preserve"> </w:t>
            </w:r>
            <w:r w:rsidR="00170CFC" w:rsidRPr="00B74B0F">
              <w:rPr>
                <w:szCs w:val="22"/>
                <w:lang w:val="sr-Latn-ME"/>
              </w:rPr>
              <w:t>p-vrijednost kontrolisana za multiplicitet ≤ 0,01 za upadacitinib u odnosu na placebo</w:t>
            </w:r>
          </w:p>
          <w:p w14:paraId="4A359BA3" w14:textId="1E0644AA" w:rsidR="00665E11" w:rsidRPr="00B74B0F" w:rsidRDefault="00665E11">
            <w:pPr>
              <w:spacing w:line="240" w:lineRule="auto"/>
              <w:contextualSpacing/>
              <w:jc w:val="both"/>
              <w:rPr>
                <w:szCs w:val="22"/>
                <w:lang w:val="sr-Latn-ME"/>
              </w:rPr>
            </w:pPr>
            <w:r w:rsidRPr="00B74B0F">
              <w:rPr>
                <w:szCs w:val="22"/>
                <w:lang w:val="sr-Latn-ME"/>
              </w:rPr>
              <w:t xml:space="preserve">Za binarne </w:t>
            </w:r>
            <w:r w:rsidR="00E4186B" w:rsidRPr="00B74B0F">
              <w:rPr>
                <w:szCs w:val="22"/>
                <w:lang w:val="sr-Latn-ME"/>
              </w:rPr>
              <w:t>parametri praćenja</w:t>
            </w:r>
            <w:r w:rsidRPr="00B74B0F">
              <w:rPr>
                <w:szCs w:val="22"/>
                <w:lang w:val="sr-Latn-ME"/>
              </w:rPr>
              <w:t xml:space="preserve"> rezultati iz Sedmice 14 zasnivaju se na analizi u kojoj su nedostajući podaci imputirani kao izostanak odgovora u kombinaciji s</w:t>
            </w:r>
            <w:r w:rsidR="00E4186B" w:rsidRPr="00B74B0F">
              <w:rPr>
                <w:szCs w:val="22"/>
                <w:lang w:val="sr-Latn-ME"/>
              </w:rPr>
              <w:t>a</w:t>
            </w:r>
            <w:r w:rsidRPr="00B74B0F">
              <w:rPr>
                <w:szCs w:val="22"/>
                <w:lang w:val="sr-Latn-ME"/>
              </w:rPr>
              <w:t xml:space="preserve"> višestrukom</w:t>
            </w:r>
            <w:r w:rsidR="00E4186B" w:rsidRPr="00B74B0F">
              <w:rPr>
                <w:szCs w:val="22"/>
                <w:lang w:val="sr-Latn-ME"/>
              </w:rPr>
              <w:t xml:space="preserve"> imputacijom</w:t>
            </w:r>
            <w:r w:rsidRPr="00B74B0F">
              <w:rPr>
                <w:noProof/>
                <w:szCs w:val="22"/>
                <w:lang w:val="sr-Latn-ME"/>
              </w:rPr>
              <w:t xml:space="preserve">. </w:t>
            </w:r>
            <w:r w:rsidRPr="00B74B0F">
              <w:rPr>
                <w:szCs w:val="22"/>
                <w:lang w:val="sr-Latn-ME"/>
              </w:rPr>
              <w:t xml:space="preserve">Za kontinuirane </w:t>
            </w:r>
            <w:r w:rsidR="00E4186B" w:rsidRPr="00B74B0F">
              <w:rPr>
                <w:szCs w:val="22"/>
                <w:lang w:val="sr-Latn-ME"/>
              </w:rPr>
              <w:t>parametre praćenja</w:t>
            </w:r>
            <w:r w:rsidRPr="00B74B0F">
              <w:rPr>
                <w:szCs w:val="22"/>
                <w:lang w:val="sr-Latn-ME"/>
              </w:rPr>
              <w:t xml:space="preserve"> rezultati iz Sedmice 14 zasnivaju se na srednjoj vrijednosti promjene od početnih vrijednosti prema metodi najmanjih kvadrata, s pomoću miješanih modela za analizu ponovljenih mjerenja.</w:t>
            </w:r>
          </w:p>
        </w:tc>
      </w:tr>
    </w:tbl>
    <w:p w14:paraId="5784727C" w14:textId="77777777" w:rsidR="00665116" w:rsidRPr="00B74B0F" w:rsidRDefault="00665116">
      <w:pPr>
        <w:spacing w:line="240" w:lineRule="auto"/>
        <w:contextualSpacing/>
        <w:jc w:val="both"/>
        <w:rPr>
          <w:i/>
          <w:iCs/>
          <w:szCs w:val="22"/>
          <w:lang w:val="sr-Latn-ME"/>
        </w:rPr>
      </w:pPr>
    </w:p>
    <w:p w14:paraId="11824580" w14:textId="78F4844D" w:rsidR="00CB3802" w:rsidRPr="00B74B0F" w:rsidRDefault="00CB3802">
      <w:pPr>
        <w:spacing w:line="240" w:lineRule="auto"/>
        <w:contextualSpacing/>
        <w:jc w:val="both"/>
        <w:rPr>
          <w:i/>
          <w:iCs/>
          <w:szCs w:val="22"/>
          <w:lang w:val="sr-Latn-ME"/>
        </w:rPr>
      </w:pPr>
      <w:r w:rsidRPr="00B74B0F">
        <w:rPr>
          <w:i/>
          <w:iCs/>
          <w:szCs w:val="22"/>
          <w:lang w:val="sr-Latn-ME"/>
        </w:rPr>
        <w:t>Odgovor tjelesne funkcije</w:t>
      </w:r>
      <w:r w:rsidR="000C694E" w:rsidRPr="00B74B0F">
        <w:rPr>
          <w:i/>
          <w:iCs/>
          <w:szCs w:val="22"/>
          <w:lang w:val="sr-Latn-ME"/>
        </w:rPr>
        <w:t xml:space="preserve"> i ishodi vezani za zdravlje</w:t>
      </w:r>
    </w:p>
    <w:p w14:paraId="4DB1082E" w14:textId="77777777" w:rsidR="00CB3802" w:rsidRPr="00B74B0F" w:rsidRDefault="00CB3802">
      <w:pPr>
        <w:spacing w:line="240" w:lineRule="auto"/>
        <w:contextualSpacing/>
        <w:jc w:val="both"/>
        <w:rPr>
          <w:szCs w:val="22"/>
          <w:lang w:val="sr-Latn-ME"/>
        </w:rPr>
      </w:pPr>
    </w:p>
    <w:p w14:paraId="0C62E3A3" w14:textId="082B32A3" w:rsidR="00E4186B" w:rsidRPr="00B74B0F" w:rsidRDefault="00E4186B" w:rsidP="00E4186B">
      <w:pPr>
        <w:spacing w:line="240" w:lineRule="auto"/>
        <w:contextualSpacing/>
        <w:jc w:val="both"/>
        <w:rPr>
          <w:szCs w:val="22"/>
          <w:lang w:val="sr-Latn-ME"/>
        </w:rPr>
      </w:pPr>
      <w:r w:rsidRPr="00B74B0F">
        <w:rPr>
          <w:szCs w:val="22"/>
          <w:lang w:val="sr-Latn-ME"/>
        </w:rPr>
        <w:t>Pacijenti liječeni upadacitinibom u dozi od 15 mg pokazali su značajno poboljšanje tjelesne funkcije u</w:t>
      </w:r>
    </w:p>
    <w:p w14:paraId="5E0986CD" w14:textId="292CB091" w:rsidR="00E4186B" w:rsidRPr="00B74B0F" w:rsidRDefault="00E4186B" w:rsidP="00E4186B">
      <w:pPr>
        <w:spacing w:line="240" w:lineRule="auto"/>
        <w:contextualSpacing/>
        <w:jc w:val="both"/>
        <w:rPr>
          <w:szCs w:val="22"/>
          <w:lang w:val="sr-Latn-ME"/>
        </w:rPr>
      </w:pPr>
      <w:r w:rsidRPr="00B74B0F">
        <w:rPr>
          <w:szCs w:val="22"/>
          <w:lang w:val="sr-Latn-ME"/>
        </w:rPr>
        <w:t>odnosu na početne vrijednosti u poređenju sa placebom prema indeksu BASFI u 14. nedjelji</w:t>
      </w:r>
    </w:p>
    <w:p w14:paraId="4E056F30" w14:textId="77777777" w:rsidR="00E4186B" w:rsidRPr="00B74B0F" w:rsidRDefault="00E4186B" w:rsidP="00E4186B">
      <w:pPr>
        <w:spacing w:line="240" w:lineRule="auto"/>
        <w:contextualSpacing/>
        <w:jc w:val="both"/>
        <w:rPr>
          <w:szCs w:val="22"/>
          <w:lang w:val="sr-Latn-ME"/>
        </w:rPr>
      </w:pPr>
    </w:p>
    <w:p w14:paraId="3B259628" w14:textId="53C508D1" w:rsidR="00E4186B" w:rsidRPr="00B74B0F" w:rsidRDefault="00E4186B" w:rsidP="00E4186B">
      <w:pPr>
        <w:spacing w:line="240" w:lineRule="auto"/>
        <w:contextualSpacing/>
        <w:jc w:val="both"/>
        <w:rPr>
          <w:szCs w:val="22"/>
          <w:lang w:val="sr-Latn-ME"/>
        </w:rPr>
      </w:pPr>
      <w:r w:rsidRPr="00B74B0F">
        <w:rPr>
          <w:szCs w:val="22"/>
          <w:lang w:val="sr-Latn-ME"/>
        </w:rPr>
        <w:t>Pacijenti liječeni upadacitinibom u dozi od 15 mg pokazali su značajno smanjenje ukupnih bolova u leđima i bolova u leđima noću u poređenju s</w:t>
      </w:r>
      <w:r w:rsidR="00343D6C" w:rsidRPr="00B74B0F">
        <w:rPr>
          <w:szCs w:val="22"/>
          <w:lang w:val="sr-Latn-ME"/>
        </w:rPr>
        <w:t>a</w:t>
      </w:r>
      <w:r w:rsidRPr="00B74B0F">
        <w:rPr>
          <w:szCs w:val="22"/>
          <w:lang w:val="sr-Latn-ME"/>
        </w:rPr>
        <w:t xml:space="preserve"> placebom u 14. nedjelji. </w:t>
      </w:r>
    </w:p>
    <w:p w14:paraId="2BFE5612" w14:textId="77777777" w:rsidR="00E4186B" w:rsidRPr="00B74B0F" w:rsidRDefault="00E4186B" w:rsidP="00E4186B">
      <w:pPr>
        <w:spacing w:line="240" w:lineRule="auto"/>
        <w:contextualSpacing/>
        <w:jc w:val="both"/>
        <w:rPr>
          <w:szCs w:val="22"/>
          <w:lang w:val="sr-Latn-ME"/>
        </w:rPr>
      </w:pPr>
    </w:p>
    <w:p w14:paraId="249CCC0C" w14:textId="3672DC72" w:rsidR="00E4186B" w:rsidRPr="00B74B0F" w:rsidRDefault="00E4186B" w:rsidP="00E4186B">
      <w:pPr>
        <w:spacing w:line="240" w:lineRule="auto"/>
        <w:contextualSpacing/>
        <w:jc w:val="both"/>
        <w:rPr>
          <w:szCs w:val="22"/>
          <w:lang w:val="sr-Latn-ME"/>
        </w:rPr>
      </w:pPr>
      <w:r w:rsidRPr="00B74B0F">
        <w:rPr>
          <w:szCs w:val="22"/>
          <w:lang w:val="sr-Latn-ME"/>
        </w:rPr>
        <w:t>Pacijenti liječeni upadacitinibom u dozi od 15 mg pokazali su značajno poboljšanje kvalitet</w:t>
      </w:r>
      <w:r w:rsidR="00343D6C" w:rsidRPr="00B74B0F">
        <w:rPr>
          <w:szCs w:val="22"/>
          <w:lang w:val="sr-Latn-ME"/>
        </w:rPr>
        <w:t>a</w:t>
      </w:r>
      <w:r w:rsidRPr="00B74B0F">
        <w:rPr>
          <w:szCs w:val="22"/>
          <w:lang w:val="sr-Latn-ME"/>
        </w:rPr>
        <w:t xml:space="preserve"> života povezan</w:t>
      </w:r>
      <w:r w:rsidR="00343D6C" w:rsidRPr="00B74B0F">
        <w:rPr>
          <w:szCs w:val="22"/>
          <w:lang w:val="sr-Latn-ME"/>
        </w:rPr>
        <w:t>og</w:t>
      </w:r>
      <w:r w:rsidRPr="00B74B0F">
        <w:rPr>
          <w:szCs w:val="22"/>
          <w:lang w:val="sr-Latn-ME"/>
        </w:rPr>
        <w:t xml:space="preserve"> sa zdravljem, kao i sveukupno poboljšanje zdravstvenog stanja, izmjereno prema ASQoL-u i indeksu zdravlja ASAS, u poređenju s placebom u 14. nedjelji.</w:t>
      </w:r>
    </w:p>
    <w:p w14:paraId="44E40BE0" w14:textId="77777777" w:rsidR="0040301F" w:rsidRPr="00B74B0F" w:rsidRDefault="0040301F">
      <w:pPr>
        <w:spacing w:line="240" w:lineRule="auto"/>
        <w:contextualSpacing/>
        <w:jc w:val="both"/>
        <w:rPr>
          <w:szCs w:val="22"/>
          <w:lang w:val="sr-Latn-ME"/>
        </w:rPr>
      </w:pPr>
    </w:p>
    <w:p w14:paraId="02ADDD52" w14:textId="3B032CF3" w:rsidR="00343D6C" w:rsidRPr="00B74B0F" w:rsidRDefault="00343D6C" w:rsidP="00343D6C">
      <w:pPr>
        <w:spacing w:line="240" w:lineRule="auto"/>
        <w:contextualSpacing/>
        <w:jc w:val="both"/>
        <w:rPr>
          <w:i/>
          <w:iCs/>
          <w:szCs w:val="22"/>
          <w:lang w:val="sr-Latn-ME"/>
        </w:rPr>
      </w:pPr>
      <w:r w:rsidRPr="00B74B0F">
        <w:rPr>
          <w:i/>
          <w:iCs/>
          <w:szCs w:val="22"/>
          <w:lang w:val="sr-Latn-ME"/>
        </w:rPr>
        <w:lastRenderedPageBreak/>
        <w:t>Objektivna mjera upale</w:t>
      </w:r>
    </w:p>
    <w:p w14:paraId="03E0315C" w14:textId="77777777" w:rsidR="00343D6C" w:rsidRPr="00B74B0F" w:rsidRDefault="00343D6C" w:rsidP="00343D6C">
      <w:pPr>
        <w:spacing w:line="240" w:lineRule="auto"/>
        <w:contextualSpacing/>
        <w:jc w:val="both"/>
        <w:rPr>
          <w:i/>
          <w:iCs/>
          <w:szCs w:val="22"/>
          <w:lang w:val="sr-Latn-ME"/>
        </w:rPr>
      </w:pPr>
    </w:p>
    <w:p w14:paraId="796298E3" w14:textId="2255FA47" w:rsidR="00343D6C" w:rsidRPr="00B74B0F" w:rsidRDefault="00343D6C" w:rsidP="00343D6C">
      <w:pPr>
        <w:spacing w:line="240" w:lineRule="auto"/>
        <w:contextualSpacing/>
        <w:jc w:val="both"/>
        <w:rPr>
          <w:szCs w:val="22"/>
          <w:lang w:val="sr-Latn-ME"/>
        </w:rPr>
      </w:pPr>
      <w:r w:rsidRPr="00B74B0F">
        <w:rPr>
          <w:szCs w:val="22"/>
          <w:lang w:val="sr-Latn-ME"/>
        </w:rPr>
        <w:t xml:space="preserve">Znakovi upale procijenjeni su magnetskom rezonancijom (MR) i izraženi kao promjena u odnosu na početni rezultat za sakroilijačne zglobove prema kanadskom konzorcijumu za istraživanje spondiloartritisa (engl. </w:t>
      </w:r>
      <w:r w:rsidRPr="00B74B0F">
        <w:rPr>
          <w:i/>
          <w:iCs/>
          <w:szCs w:val="22"/>
          <w:lang w:val="sr-Latn-ME"/>
        </w:rPr>
        <w:t xml:space="preserve">Spondyloarthritis Research Consortium of </w:t>
      </w:r>
      <w:r w:rsidRPr="00B74B0F">
        <w:rPr>
          <w:szCs w:val="22"/>
          <w:lang w:val="sr-Latn-ME"/>
        </w:rPr>
        <w:t>Canada, SPARCC</w:t>
      </w:r>
      <w:r w:rsidRPr="00B74B0F">
        <w:rPr>
          <w:i/>
          <w:iCs/>
          <w:szCs w:val="22"/>
          <w:lang w:val="sr-Latn-ME"/>
        </w:rPr>
        <w:t>)</w:t>
      </w:r>
      <w:r w:rsidRPr="00B74B0F">
        <w:rPr>
          <w:szCs w:val="22"/>
          <w:lang w:val="sr-Latn-ME"/>
        </w:rPr>
        <w:t>. U 14. nedjelji zabilježeno je značajno poboljšanje upalnih znakova sakroilijačnih zglobova kod pacijenata liječenih upadacitinibom u dozi od 15 mg u odnosu na pacijente koji su primali placebo.</w:t>
      </w:r>
    </w:p>
    <w:p w14:paraId="3EAC67E8" w14:textId="77777777" w:rsidR="004E3BE3" w:rsidRPr="00B74B0F" w:rsidRDefault="004E3BE3">
      <w:pPr>
        <w:tabs>
          <w:tab w:val="clear" w:pos="567"/>
          <w:tab w:val="left" w:pos="0"/>
        </w:tabs>
        <w:spacing w:line="240" w:lineRule="auto"/>
        <w:contextualSpacing/>
        <w:jc w:val="both"/>
        <w:rPr>
          <w:noProof/>
          <w:szCs w:val="22"/>
          <w:lang w:val="sr-Latn-ME"/>
        </w:rPr>
      </w:pPr>
    </w:p>
    <w:p w14:paraId="771B14CE" w14:textId="4C6BF8AE" w:rsidR="004E3BE3" w:rsidRPr="00B74B0F" w:rsidRDefault="004E3BE3">
      <w:pPr>
        <w:spacing w:line="240" w:lineRule="auto"/>
        <w:contextualSpacing/>
        <w:jc w:val="both"/>
        <w:rPr>
          <w:i/>
          <w:iCs/>
          <w:szCs w:val="22"/>
          <w:lang w:val="sr-Latn-ME"/>
        </w:rPr>
      </w:pPr>
      <w:r w:rsidRPr="00B74B0F">
        <w:rPr>
          <w:i/>
          <w:iCs/>
          <w:noProof/>
          <w:szCs w:val="22"/>
          <w:lang w:val="sr-Latn-ME"/>
        </w:rPr>
        <w:t xml:space="preserve">Ankilozni spondilitis </w:t>
      </w:r>
      <w:r w:rsidRPr="00B74B0F">
        <w:rPr>
          <w:i/>
          <w:iCs/>
          <w:szCs w:val="22"/>
          <w:lang w:val="sr-Latn-ME"/>
        </w:rPr>
        <w:t>(AS, radiografski aksijalni spondiloartritis)</w:t>
      </w:r>
    </w:p>
    <w:p w14:paraId="64FA27C2" w14:textId="77777777" w:rsidR="004E3BE3" w:rsidRPr="00B74B0F" w:rsidRDefault="004E3BE3">
      <w:pPr>
        <w:tabs>
          <w:tab w:val="clear" w:pos="567"/>
          <w:tab w:val="left" w:pos="0"/>
        </w:tabs>
        <w:spacing w:line="240" w:lineRule="auto"/>
        <w:contextualSpacing/>
        <w:jc w:val="both"/>
        <w:rPr>
          <w:noProof/>
          <w:szCs w:val="22"/>
          <w:lang w:val="sr-Latn-ME"/>
        </w:rPr>
      </w:pPr>
    </w:p>
    <w:p w14:paraId="6BD4204E" w14:textId="6F5082A4" w:rsidR="004E3BE3" w:rsidRPr="00B74B0F" w:rsidRDefault="00254558">
      <w:pPr>
        <w:tabs>
          <w:tab w:val="clear" w:pos="567"/>
          <w:tab w:val="left" w:pos="0"/>
        </w:tabs>
        <w:spacing w:line="240" w:lineRule="auto"/>
        <w:contextualSpacing/>
        <w:jc w:val="both"/>
        <w:rPr>
          <w:noProof/>
          <w:szCs w:val="22"/>
          <w:lang w:val="sr-Latn-ME"/>
        </w:rPr>
      </w:pPr>
      <w:r w:rsidRPr="00B74B0F">
        <w:rPr>
          <w:noProof/>
          <w:szCs w:val="22"/>
          <w:lang w:val="sr-Latn-ME"/>
        </w:rPr>
        <w:t xml:space="preserve">Efikasnost </w:t>
      </w:r>
      <w:r w:rsidR="004E3BE3" w:rsidRPr="00B74B0F">
        <w:rPr>
          <w:noProof/>
          <w:szCs w:val="22"/>
          <w:lang w:val="sr-Latn-ME"/>
        </w:rPr>
        <w:t xml:space="preserve">i </w:t>
      </w:r>
      <w:r w:rsidRPr="00B74B0F">
        <w:rPr>
          <w:noProof/>
          <w:szCs w:val="22"/>
          <w:lang w:val="sr-Latn-ME"/>
        </w:rPr>
        <w:t>bezbjednost</w:t>
      </w:r>
      <w:r w:rsidR="004E3BE3" w:rsidRPr="00B74B0F">
        <w:rPr>
          <w:noProof/>
          <w:szCs w:val="22"/>
          <w:lang w:val="sr-Latn-ME"/>
        </w:rPr>
        <w:t xml:space="preserve"> upadacitiniba u dozi od 15 mg jedanput na dan ocjenjivale su se u dva randomiz</w:t>
      </w:r>
      <w:r w:rsidRPr="00B74B0F">
        <w:rPr>
          <w:noProof/>
          <w:szCs w:val="22"/>
          <w:lang w:val="sr-Latn-ME"/>
        </w:rPr>
        <w:t>ov</w:t>
      </w:r>
      <w:r w:rsidR="004E3BE3" w:rsidRPr="00B74B0F">
        <w:rPr>
          <w:noProof/>
          <w:szCs w:val="22"/>
          <w:lang w:val="sr-Latn-ME"/>
        </w:rPr>
        <w:t>ana, dvostruko slijepa, multicentrična, placebom kontroli</w:t>
      </w:r>
      <w:r w:rsidRPr="00B74B0F">
        <w:rPr>
          <w:noProof/>
          <w:szCs w:val="22"/>
          <w:lang w:val="sr-Latn-ME"/>
        </w:rPr>
        <w:t>s</w:t>
      </w:r>
      <w:r w:rsidR="004E3BE3" w:rsidRPr="00B74B0F">
        <w:rPr>
          <w:noProof/>
          <w:szCs w:val="22"/>
          <w:lang w:val="sr-Latn-ME"/>
        </w:rPr>
        <w:t xml:space="preserve">ana ispitivanja </w:t>
      </w:r>
      <w:r w:rsidRPr="00B74B0F">
        <w:rPr>
          <w:noProof/>
          <w:szCs w:val="22"/>
          <w:lang w:val="sr-Latn-ME"/>
        </w:rPr>
        <w:t>s</w:t>
      </w:r>
      <w:r w:rsidR="004E3BE3" w:rsidRPr="00B74B0F">
        <w:rPr>
          <w:noProof/>
          <w:szCs w:val="22"/>
          <w:lang w:val="sr-Latn-ME"/>
        </w:rPr>
        <w:t xml:space="preserve">provedena </w:t>
      </w:r>
      <w:r w:rsidRPr="00B74B0F">
        <w:rPr>
          <w:noProof/>
          <w:szCs w:val="22"/>
          <w:lang w:val="sr-Latn-ME"/>
        </w:rPr>
        <w:t>kod</w:t>
      </w:r>
      <w:r w:rsidR="004E3BE3"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starosti</w:t>
      </w:r>
      <w:r w:rsidR="004E3BE3" w:rsidRPr="00B74B0F">
        <w:rPr>
          <w:noProof/>
          <w:szCs w:val="22"/>
          <w:lang w:val="sr-Latn-ME"/>
        </w:rPr>
        <w:t xml:space="preserve"> od 18 i više godina s</w:t>
      </w:r>
      <w:r w:rsidR="00343D6C" w:rsidRPr="00B74B0F">
        <w:rPr>
          <w:noProof/>
          <w:szCs w:val="22"/>
          <w:lang w:val="sr-Latn-ME"/>
        </w:rPr>
        <w:t>a</w:t>
      </w:r>
      <w:r w:rsidR="004E3BE3" w:rsidRPr="00B74B0F">
        <w:rPr>
          <w:noProof/>
          <w:szCs w:val="22"/>
          <w:lang w:val="sr-Latn-ME"/>
        </w:rPr>
        <w:t xml:space="preserve"> aktivnim ankiloznim spondilitisom na </w:t>
      </w:r>
      <w:r w:rsidR="00343D6C" w:rsidRPr="00B74B0F">
        <w:rPr>
          <w:noProof/>
          <w:szCs w:val="22"/>
          <w:lang w:val="sr-Latn-ME"/>
        </w:rPr>
        <w:t>osnovu</w:t>
      </w:r>
      <w:r w:rsidR="004E3BE3" w:rsidRPr="00B74B0F">
        <w:rPr>
          <w:noProof/>
          <w:szCs w:val="22"/>
          <w:lang w:val="sr-Latn-ME"/>
        </w:rPr>
        <w:t xml:space="preserve"> Bath indeksa aktivnosti bolesti za ankilozni spondilitis (BASDAI) ≥ 4 i ukupne ocjene</w:t>
      </w:r>
      <w:r w:rsidR="00DE2B11" w:rsidRPr="00B74B0F">
        <w:rPr>
          <w:noProof/>
          <w:szCs w:val="22"/>
          <w:lang w:val="sr-Latn-ME"/>
        </w:rPr>
        <w:t xml:space="preserve"> pacijentove </w:t>
      </w:r>
      <w:r w:rsidR="004E3BE3" w:rsidRPr="00B74B0F">
        <w:rPr>
          <w:noProof/>
          <w:szCs w:val="22"/>
          <w:lang w:val="sr-Latn-ME"/>
        </w:rPr>
        <w:t>procjene bo</w:t>
      </w:r>
      <w:r w:rsidRPr="00B74B0F">
        <w:rPr>
          <w:noProof/>
          <w:szCs w:val="22"/>
          <w:lang w:val="sr-Latn-ME"/>
        </w:rPr>
        <w:t>la</w:t>
      </w:r>
      <w:r w:rsidR="004E3BE3" w:rsidRPr="00B74B0F">
        <w:rPr>
          <w:noProof/>
          <w:szCs w:val="22"/>
          <w:lang w:val="sr-Latn-ME"/>
        </w:rPr>
        <w:t xml:space="preserve"> u leđima ≥ 4. Oba su ispitivanja imala dugoročni produžetak u trajanju do 2 godine.</w:t>
      </w:r>
    </w:p>
    <w:p w14:paraId="43E84094" w14:textId="77777777" w:rsidR="004E3BE3" w:rsidRPr="00B74B0F" w:rsidRDefault="004E3BE3">
      <w:pPr>
        <w:tabs>
          <w:tab w:val="clear" w:pos="567"/>
          <w:tab w:val="left" w:pos="0"/>
        </w:tabs>
        <w:spacing w:line="240" w:lineRule="auto"/>
        <w:contextualSpacing/>
        <w:jc w:val="both"/>
        <w:rPr>
          <w:noProof/>
          <w:szCs w:val="22"/>
          <w:lang w:val="sr-Latn-ME"/>
        </w:rPr>
      </w:pPr>
    </w:p>
    <w:p w14:paraId="40024B80" w14:textId="2B7EC9DE" w:rsidR="004E3BE3" w:rsidRPr="00B74B0F" w:rsidRDefault="004E3BE3">
      <w:pPr>
        <w:tabs>
          <w:tab w:val="clear" w:pos="567"/>
          <w:tab w:val="left" w:pos="0"/>
        </w:tabs>
        <w:spacing w:line="240" w:lineRule="auto"/>
        <w:contextualSpacing/>
        <w:jc w:val="both"/>
        <w:rPr>
          <w:noProof/>
          <w:szCs w:val="22"/>
          <w:lang w:val="sr-Latn-ME"/>
        </w:rPr>
      </w:pPr>
      <w:r w:rsidRPr="00B74B0F">
        <w:rPr>
          <w:noProof/>
          <w:szCs w:val="22"/>
          <w:lang w:val="sr-Latn-ME"/>
        </w:rPr>
        <w:t xml:space="preserve">SELECT-AXIS 1 bilo je </w:t>
      </w:r>
      <w:r w:rsidRPr="00B74B0F">
        <w:rPr>
          <w:szCs w:val="22"/>
          <w:lang w:val="sr-Latn-ME"/>
        </w:rPr>
        <w:t>placebom kontroli</w:t>
      </w:r>
      <w:r w:rsidR="00181042" w:rsidRPr="00B74B0F">
        <w:rPr>
          <w:szCs w:val="22"/>
          <w:lang w:val="sr-Latn-ME"/>
        </w:rPr>
        <w:t>sano</w:t>
      </w:r>
      <w:r w:rsidRPr="00B74B0F">
        <w:rPr>
          <w:noProof/>
          <w:szCs w:val="22"/>
          <w:lang w:val="sr-Latn-ME"/>
        </w:rPr>
        <w:t xml:space="preserve"> ispitivanje u trajanju od 14 </w:t>
      </w:r>
      <w:r w:rsidR="00181042" w:rsidRPr="00B74B0F">
        <w:rPr>
          <w:noProof/>
          <w:szCs w:val="22"/>
          <w:lang w:val="sr-Latn-ME"/>
        </w:rPr>
        <w:t>ned</w:t>
      </w:r>
      <w:r w:rsidR="00254558" w:rsidRPr="00B74B0F">
        <w:rPr>
          <w:noProof/>
          <w:szCs w:val="22"/>
          <w:lang w:val="sr-Latn-ME"/>
        </w:rPr>
        <w:t>j</w:t>
      </w:r>
      <w:r w:rsidR="00181042" w:rsidRPr="00B74B0F">
        <w:rPr>
          <w:noProof/>
          <w:szCs w:val="22"/>
          <w:lang w:val="sr-Latn-ME"/>
        </w:rPr>
        <w:t>elja</w:t>
      </w:r>
      <w:r w:rsidRPr="00B74B0F">
        <w:rPr>
          <w:noProof/>
          <w:szCs w:val="22"/>
          <w:lang w:val="sr-Latn-ME"/>
        </w:rPr>
        <w:t xml:space="preserve"> </w:t>
      </w:r>
      <w:r w:rsidR="00181042" w:rsidRPr="00B74B0F">
        <w:rPr>
          <w:noProof/>
          <w:szCs w:val="22"/>
          <w:lang w:val="sr-Latn-ME"/>
        </w:rPr>
        <w:t>s</w:t>
      </w:r>
      <w:r w:rsidRPr="00B74B0F">
        <w:rPr>
          <w:noProof/>
          <w:szCs w:val="22"/>
          <w:lang w:val="sr-Latn-ME"/>
        </w:rPr>
        <w:t xml:space="preserve">provedeno u 187 </w:t>
      </w:r>
      <w:r w:rsidR="00181042" w:rsidRPr="00B74B0F">
        <w:rPr>
          <w:noProof/>
          <w:szCs w:val="22"/>
          <w:lang w:val="sr-Latn-ME"/>
        </w:rPr>
        <w:t>pacijenata</w:t>
      </w:r>
      <w:r w:rsidRPr="00B74B0F">
        <w:rPr>
          <w:noProof/>
          <w:szCs w:val="22"/>
          <w:lang w:val="sr-Latn-ME"/>
        </w:rPr>
        <w:t xml:space="preserve"> s</w:t>
      </w:r>
      <w:r w:rsidR="00343D6C" w:rsidRPr="00B74B0F">
        <w:rPr>
          <w:noProof/>
          <w:szCs w:val="22"/>
          <w:lang w:val="sr-Latn-ME"/>
        </w:rPr>
        <w:t>a</w:t>
      </w:r>
      <w:r w:rsidRPr="00B74B0F">
        <w:rPr>
          <w:noProof/>
          <w:szCs w:val="22"/>
          <w:lang w:val="sr-Latn-ME"/>
        </w:rPr>
        <w:t xml:space="preserve"> ankiloznim spondilitisom koji ni</w:t>
      </w:r>
      <w:r w:rsidR="00254558" w:rsidRPr="00B74B0F">
        <w:rPr>
          <w:noProof/>
          <w:szCs w:val="22"/>
          <w:lang w:val="sr-Latn-ME"/>
        </w:rPr>
        <w:t>je</w:t>
      </w:r>
      <w:r w:rsidRPr="00B74B0F">
        <w:rPr>
          <w:noProof/>
          <w:szCs w:val="22"/>
          <w:lang w:val="sr-Latn-ME"/>
        </w:rPr>
        <w:t>su dovoljno dobro odgovorili na najmanje dva NSAIL, koji ih ne podnose ili kojima su NSAIL kontraindi</w:t>
      </w:r>
      <w:r w:rsidR="00254558" w:rsidRPr="00B74B0F">
        <w:rPr>
          <w:noProof/>
          <w:szCs w:val="22"/>
          <w:lang w:val="sr-Latn-ME"/>
        </w:rPr>
        <w:t>kov</w:t>
      </w:r>
      <w:r w:rsidRPr="00B74B0F">
        <w:rPr>
          <w:noProof/>
          <w:szCs w:val="22"/>
          <w:lang w:val="sr-Latn-ME"/>
        </w:rPr>
        <w:t>ani i ni</w:t>
      </w:r>
      <w:r w:rsidR="00254558" w:rsidRPr="00B74B0F">
        <w:rPr>
          <w:noProof/>
          <w:szCs w:val="22"/>
          <w:lang w:val="sr-Latn-ME"/>
        </w:rPr>
        <w:t>je</w:t>
      </w:r>
      <w:r w:rsidRPr="00B74B0F">
        <w:rPr>
          <w:noProof/>
          <w:szCs w:val="22"/>
          <w:lang w:val="sr-Latn-ME"/>
        </w:rPr>
        <w:t xml:space="preserve">su prethodno bili izloženi biološkim DMARD. Na početku ispitivanja </w:t>
      </w:r>
      <w:r w:rsidR="00181042" w:rsidRPr="00B74B0F">
        <w:rPr>
          <w:noProof/>
          <w:szCs w:val="22"/>
          <w:lang w:val="sr-Latn-ME"/>
        </w:rPr>
        <w:t>pacijenti</w:t>
      </w:r>
      <w:r w:rsidRPr="00B74B0F">
        <w:rPr>
          <w:noProof/>
          <w:szCs w:val="22"/>
          <w:lang w:val="sr-Latn-ME"/>
        </w:rPr>
        <w:t xml:space="preserve"> su imali simptome ankiloznog spondilitisa u prosjeku 14,4 godine, a približno 16% </w:t>
      </w:r>
      <w:r w:rsidR="00181042" w:rsidRPr="00B74B0F">
        <w:rPr>
          <w:noProof/>
          <w:szCs w:val="22"/>
          <w:lang w:val="sr-Latn-ME"/>
        </w:rPr>
        <w:t>pacijenata</w:t>
      </w:r>
      <w:r w:rsidRPr="00B74B0F">
        <w:rPr>
          <w:noProof/>
          <w:szCs w:val="22"/>
          <w:lang w:val="sr-Latn-ME"/>
        </w:rPr>
        <w:t xml:space="preserve"> isto</w:t>
      </w:r>
      <w:r w:rsidR="00D556CA" w:rsidRPr="00B74B0F">
        <w:rPr>
          <w:noProof/>
          <w:szCs w:val="22"/>
          <w:lang w:val="sr-Latn-ME"/>
        </w:rPr>
        <w:t>vremeno</w:t>
      </w:r>
      <w:r w:rsidRPr="00B74B0F">
        <w:rPr>
          <w:noProof/>
          <w:szCs w:val="22"/>
          <w:lang w:val="sr-Latn-ME"/>
        </w:rPr>
        <w:t xml:space="preserve"> je uzimalo ksDMARD. </w:t>
      </w:r>
      <w:r w:rsidR="00181042" w:rsidRPr="00B74B0F">
        <w:rPr>
          <w:noProof/>
          <w:szCs w:val="22"/>
          <w:lang w:val="sr-Latn-ME"/>
        </w:rPr>
        <w:t>Pacijenti</w:t>
      </w:r>
      <w:r w:rsidRPr="00B74B0F">
        <w:rPr>
          <w:noProof/>
          <w:szCs w:val="22"/>
          <w:lang w:val="sr-Latn-ME"/>
        </w:rPr>
        <w:t xml:space="preserve"> su dobi</w:t>
      </w:r>
      <w:r w:rsidR="00D556CA" w:rsidRPr="00B74B0F">
        <w:rPr>
          <w:noProof/>
          <w:szCs w:val="22"/>
          <w:lang w:val="sr-Latn-ME"/>
        </w:rPr>
        <w:t>j</w:t>
      </w:r>
      <w:r w:rsidRPr="00B74B0F">
        <w:rPr>
          <w:noProof/>
          <w:szCs w:val="22"/>
          <w:lang w:val="sr-Latn-ME"/>
        </w:rPr>
        <w:t xml:space="preserve">ali upadacitinib u dozi od 15 mg jedanput na dan ili placebo. U 14. </w:t>
      </w:r>
      <w:r w:rsidR="00181042" w:rsidRPr="00B74B0F">
        <w:rPr>
          <w:noProof/>
          <w:szCs w:val="22"/>
          <w:lang w:val="sr-Latn-ME"/>
        </w:rPr>
        <w:t>ned</w:t>
      </w:r>
      <w:r w:rsidR="00D556CA" w:rsidRPr="00B74B0F">
        <w:rPr>
          <w:noProof/>
          <w:szCs w:val="22"/>
          <w:lang w:val="sr-Latn-ME"/>
        </w:rPr>
        <w:t>j</w:t>
      </w:r>
      <w:r w:rsidR="00181042" w:rsidRPr="00B74B0F">
        <w:rPr>
          <w:noProof/>
          <w:szCs w:val="22"/>
          <w:lang w:val="sr-Latn-ME"/>
        </w:rPr>
        <w:t>elji</w:t>
      </w:r>
      <w:r w:rsidRPr="00B74B0F">
        <w:rPr>
          <w:noProof/>
          <w:szCs w:val="22"/>
          <w:lang w:val="sr-Latn-ME"/>
        </w:rPr>
        <w:t xml:space="preserve"> svi </w:t>
      </w:r>
      <w:r w:rsidR="00181042" w:rsidRPr="00B74B0F">
        <w:rPr>
          <w:noProof/>
          <w:szCs w:val="22"/>
          <w:lang w:val="sr-Latn-ME"/>
        </w:rPr>
        <w:t>pacijenti</w:t>
      </w:r>
      <w:r w:rsidRPr="00B74B0F">
        <w:rPr>
          <w:noProof/>
          <w:szCs w:val="22"/>
          <w:lang w:val="sr-Latn-ME"/>
        </w:rPr>
        <w:t xml:space="preserve"> randomiz</w:t>
      </w:r>
      <w:r w:rsidR="00D556CA" w:rsidRPr="00B74B0F">
        <w:rPr>
          <w:noProof/>
          <w:szCs w:val="22"/>
          <w:lang w:val="sr-Latn-ME"/>
        </w:rPr>
        <w:t>ova</w:t>
      </w:r>
      <w:r w:rsidRPr="00B74B0F">
        <w:rPr>
          <w:noProof/>
          <w:szCs w:val="22"/>
          <w:lang w:val="sr-Latn-ME"/>
        </w:rPr>
        <w:t xml:space="preserve">ni za primanje placeba su prebačeni na upadacitinib u dozi od 15 mg jedanput na dan. </w:t>
      </w:r>
      <w:r w:rsidR="002602C0" w:rsidRPr="00B74B0F">
        <w:rPr>
          <w:noProof/>
          <w:szCs w:val="22"/>
          <w:lang w:val="sr-Latn-ME"/>
        </w:rPr>
        <w:t>Primarni parametar praćenja</w:t>
      </w:r>
      <w:r w:rsidRPr="00B74B0F">
        <w:rPr>
          <w:noProof/>
          <w:szCs w:val="22"/>
          <w:lang w:val="sr-Latn-ME"/>
        </w:rPr>
        <w:t xml:space="preserve"> bila je udio </w:t>
      </w:r>
      <w:r w:rsidR="00181042" w:rsidRPr="00B74B0F">
        <w:rPr>
          <w:noProof/>
          <w:szCs w:val="22"/>
          <w:lang w:val="sr-Latn-ME"/>
        </w:rPr>
        <w:t>pacijenata</w:t>
      </w:r>
      <w:r w:rsidRPr="00B74B0F">
        <w:rPr>
          <w:noProof/>
          <w:szCs w:val="22"/>
          <w:lang w:val="sr-Latn-ME"/>
        </w:rPr>
        <w:t xml:space="preserve"> koji u 14. </w:t>
      </w:r>
      <w:r w:rsidR="00181042" w:rsidRPr="00B74B0F">
        <w:rPr>
          <w:noProof/>
          <w:szCs w:val="22"/>
          <w:lang w:val="sr-Latn-ME"/>
        </w:rPr>
        <w:t>ned</w:t>
      </w:r>
      <w:r w:rsidR="00D556CA" w:rsidRPr="00B74B0F">
        <w:rPr>
          <w:noProof/>
          <w:szCs w:val="22"/>
          <w:lang w:val="sr-Latn-ME"/>
        </w:rPr>
        <w:t>j</w:t>
      </w:r>
      <w:r w:rsidR="00181042" w:rsidRPr="00B74B0F">
        <w:rPr>
          <w:noProof/>
          <w:szCs w:val="22"/>
          <w:lang w:val="sr-Latn-ME"/>
        </w:rPr>
        <w:t>elji</w:t>
      </w:r>
      <w:r w:rsidRPr="00B74B0F">
        <w:rPr>
          <w:noProof/>
          <w:szCs w:val="22"/>
          <w:lang w:val="sr-Latn-ME"/>
        </w:rPr>
        <w:t xml:space="preserve"> postigne odgovor 40 prema Međunarodnom društvu za ocjenu spondiloartritisa (engl. </w:t>
      </w:r>
      <w:r w:rsidRPr="00B74B0F">
        <w:rPr>
          <w:i/>
          <w:iCs/>
          <w:noProof/>
          <w:szCs w:val="22"/>
          <w:lang w:val="sr-Latn-ME"/>
        </w:rPr>
        <w:t>Assessment of SpondyloArthritis international Society</w:t>
      </w:r>
      <w:r w:rsidRPr="00B74B0F">
        <w:rPr>
          <w:noProof/>
          <w:szCs w:val="22"/>
          <w:lang w:val="sr-Latn-ME"/>
        </w:rPr>
        <w:t xml:space="preserve"> 40, ASAS40).</w:t>
      </w:r>
    </w:p>
    <w:p w14:paraId="33175042" w14:textId="77777777" w:rsidR="004E3BE3" w:rsidRPr="00B74B0F" w:rsidRDefault="004E3BE3">
      <w:pPr>
        <w:tabs>
          <w:tab w:val="clear" w:pos="567"/>
          <w:tab w:val="left" w:pos="0"/>
        </w:tabs>
        <w:spacing w:line="240" w:lineRule="auto"/>
        <w:contextualSpacing/>
        <w:jc w:val="both"/>
        <w:rPr>
          <w:noProof/>
          <w:szCs w:val="22"/>
          <w:lang w:val="sr-Latn-ME"/>
        </w:rPr>
      </w:pPr>
    </w:p>
    <w:p w14:paraId="206EB6E4" w14:textId="585AFB3A" w:rsidR="004E3BE3" w:rsidRPr="00B74B0F" w:rsidRDefault="004E3BE3">
      <w:pPr>
        <w:spacing w:line="240" w:lineRule="auto"/>
        <w:contextualSpacing/>
        <w:jc w:val="both"/>
        <w:rPr>
          <w:i/>
          <w:iCs/>
          <w:szCs w:val="22"/>
          <w:u w:val="single"/>
          <w:lang w:val="sr-Latn-ME"/>
        </w:rPr>
      </w:pPr>
      <w:r w:rsidRPr="00B74B0F">
        <w:rPr>
          <w:szCs w:val="22"/>
          <w:lang w:val="sr-Latn-ME"/>
        </w:rPr>
        <w:t>SELECT</w:t>
      </w:r>
      <w:r w:rsidRPr="00B74B0F">
        <w:rPr>
          <w:szCs w:val="22"/>
          <w:lang w:val="sr-Latn-ME"/>
        </w:rPr>
        <w:noBreakHyphen/>
        <w:t>AXIS 2 (AS) bilo je placebom kontroli</w:t>
      </w:r>
      <w:r w:rsidR="00D556CA" w:rsidRPr="00B74B0F">
        <w:rPr>
          <w:szCs w:val="22"/>
          <w:lang w:val="sr-Latn-ME"/>
        </w:rPr>
        <w:t>s</w:t>
      </w:r>
      <w:r w:rsidRPr="00B74B0F">
        <w:rPr>
          <w:szCs w:val="22"/>
          <w:lang w:val="sr-Latn-ME"/>
        </w:rPr>
        <w:t>ano ispitivanje u trajanju od 14 </w:t>
      </w:r>
      <w:r w:rsidR="00D556CA" w:rsidRPr="00B74B0F">
        <w:rPr>
          <w:szCs w:val="22"/>
          <w:lang w:val="sr-Latn-ME"/>
        </w:rPr>
        <w:t>nedjelja</w:t>
      </w:r>
      <w:r w:rsidRPr="00B74B0F">
        <w:rPr>
          <w:szCs w:val="22"/>
          <w:lang w:val="sr-Latn-ME"/>
        </w:rPr>
        <w:t xml:space="preserve">, </w:t>
      </w:r>
      <w:r w:rsidR="00D556CA" w:rsidRPr="00B74B0F">
        <w:rPr>
          <w:szCs w:val="22"/>
          <w:lang w:val="sr-Latn-ME"/>
        </w:rPr>
        <w:t>s</w:t>
      </w:r>
      <w:r w:rsidRPr="00B74B0F">
        <w:rPr>
          <w:szCs w:val="22"/>
          <w:lang w:val="sr-Latn-ME"/>
        </w:rPr>
        <w:t xml:space="preserve">provedeno </w:t>
      </w:r>
      <w:r w:rsidR="00D556CA" w:rsidRPr="00B74B0F">
        <w:rPr>
          <w:szCs w:val="22"/>
          <w:lang w:val="sr-Latn-ME"/>
        </w:rPr>
        <w:t>kod</w:t>
      </w:r>
      <w:r w:rsidRPr="00B74B0F">
        <w:rPr>
          <w:szCs w:val="22"/>
          <w:lang w:val="sr-Latn-ME"/>
        </w:rPr>
        <w:t xml:space="preserve"> 420 </w:t>
      </w:r>
      <w:r w:rsidR="00181042" w:rsidRPr="00B74B0F">
        <w:rPr>
          <w:szCs w:val="22"/>
          <w:lang w:val="sr-Latn-ME"/>
        </w:rPr>
        <w:t>pacijenata</w:t>
      </w:r>
      <w:r w:rsidRPr="00B74B0F">
        <w:rPr>
          <w:szCs w:val="22"/>
          <w:lang w:val="sr-Latn-ME"/>
        </w:rPr>
        <w:t xml:space="preserve"> s</w:t>
      </w:r>
      <w:r w:rsidR="00343D6C" w:rsidRPr="00B74B0F">
        <w:rPr>
          <w:szCs w:val="22"/>
          <w:lang w:val="sr-Latn-ME"/>
        </w:rPr>
        <w:t>a</w:t>
      </w:r>
      <w:r w:rsidRPr="00B74B0F">
        <w:rPr>
          <w:szCs w:val="22"/>
          <w:lang w:val="sr-Latn-ME"/>
        </w:rPr>
        <w:t xml:space="preserve"> ankiloznim spolinditisom koji su ranije bili izloženi bDMARD (77,4% njih imalo je izostanak </w:t>
      </w:r>
      <w:r w:rsidR="00D556CA" w:rsidRPr="00B74B0F">
        <w:rPr>
          <w:szCs w:val="22"/>
          <w:lang w:val="sr-Latn-ME"/>
        </w:rPr>
        <w:t xml:space="preserve">efikasnosti </w:t>
      </w:r>
      <w:r w:rsidRPr="00B74B0F">
        <w:rPr>
          <w:szCs w:val="22"/>
          <w:lang w:val="sr-Latn-ME"/>
        </w:rPr>
        <w:t xml:space="preserve">blokatora faktora tumorske nekroze (TNF) ili inhibitora interleukina 17 (IL-17i); 30,2% </w:t>
      </w:r>
      <w:r w:rsidR="00181042" w:rsidRPr="00B74B0F">
        <w:rPr>
          <w:szCs w:val="22"/>
          <w:lang w:val="sr-Latn-ME"/>
        </w:rPr>
        <w:t>pacijenata</w:t>
      </w:r>
      <w:r w:rsidRPr="00B74B0F">
        <w:rPr>
          <w:szCs w:val="22"/>
          <w:lang w:val="sr-Latn-ME"/>
        </w:rPr>
        <w:t xml:space="preserve"> nije podnosilo lijek; 12,9% njih ranije je već bilo izloženo, ali ni</w:t>
      </w:r>
      <w:r w:rsidR="00D556CA" w:rsidRPr="00B74B0F">
        <w:rPr>
          <w:szCs w:val="22"/>
          <w:lang w:val="sr-Latn-ME"/>
        </w:rPr>
        <w:t>je</w:t>
      </w:r>
      <w:r w:rsidRPr="00B74B0F">
        <w:rPr>
          <w:szCs w:val="22"/>
          <w:lang w:val="sr-Latn-ME"/>
        </w:rPr>
        <w:t xml:space="preserve">su imali nedostatak </w:t>
      </w:r>
      <w:r w:rsidR="00D556CA" w:rsidRPr="00B74B0F">
        <w:rPr>
          <w:szCs w:val="22"/>
          <w:lang w:val="sr-Latn-ME"/>
        </w:rPr>
        <w:t xml:space="preserve">efikasnosti </w:t>
      </w:r>
      <w:r w:rsidRPr="00B74B0F">
        <w:rPr>
          <w:szCs w:val="22"/>
          <w:lang w:val="sr-Latn-ME"/>
        </w:rPr>
        <w:t xml:space="preserve">dva bDMARD). Na početku ispitivanja </w:t>
      </w:r>
      <w:r w:rsidR="00181042" w:rsidRPr="00B74B0F">
        <w:rPr>
          <w:szCs w:val="22"/>
          <w:lang w:val="sr-Latn-ME"/>
        </w:rPr>
        <w:t>pacijenti</w:t>
      </w:r>
      <w:r w:rsidRPr="00B74B0F">
        <w:rPr>
          <w:szCs w:val="22"/>
          <w:lang w:val="sr-Latn-ME"/>
        </w:rPr>
        <w:t xml:space="preserve"> su imali simptome ankiloznog spolinditisa u prosjeku 12,8 godina, a otprilike 31% </w:t>
      </w:r>
      <w:r w:rsidR="00181042" w:rsidRPr="00B74B0F">
        <w:rPr>
          <w:szCs w:val="22"/>
          <w:lang w:val="sr-Latn-ME"/>
        </w:rPr>
        <w:t>pacijenata</w:t>
      </w:r>
      <w:r w:rsidRPr="00B74B0F">
        <w:rPr>
          <w:szCs w:val="22"/>
          <w:lang w:val="sr-Latn-ME"/>
        </w:rPr>
        <w:t xml:space="preserve"> i</w:t>
      </w:r>
      <w:r w:rsidR="00D556CA" w:rsidRPr="00B74B0F">
        <w:rPr>
          <w:szCs w:val="22"/>
          <w:lang w:val="sr-Latn-ME"/>
        </w:rPr>
        <w:t>stovremeno</w:t>
      </w:r>
      <w:r w:rsidRPr="00B74B0F">
        <w:rPr>
          <w:szCs w:val="22"/>
          <w:lang w:val="sr-Latn-ME"/>
        </w:rPr>
        <w:t xml:space="preserve"> je uzimalo ksDMARD. </w:t>
      </w:r>
      <w:r w:rsidR="00181042" w:rsidRPr="00B74B0F">
        <w:rPr>
          <w:szCs w:val="22"/>
          <w:lang w:val="sr-Latn-ME"/>
        </w:rPr>
        <w:t>Pacijenti</w:t>
      </w:r>
      <w:r w:rsidRPr="00B74B0F">
        <w:rPr>
          <w:szCs w:val="22"/>
          <w:lang w:val="sr-Latn-ME"/>
        </w:rPr>
        <w:t xml:space="preserve"> su primali upadacitinib u dozi od 15 mg jedanput dnevno ili placebo. U 14. </w:t>
      </w:r>
      <w:r w:rsidR="00181042" w:rsidRPr="00B74B0F">
        <w:rPr>
          <w:szCs w:val="22"/>
          <w:lang w:val="sr-Latn-ME"/>
        </w:rPr>
        <w:t>ned</w:t>
      </w:r>
      <w:r w:rsidR="00D556CA" w:rsidRPr="00B74B0F">
        <w:rPr>
          <w:szCs w:val="22"/>
          <w:lang w:val="sr-Latn-ME"/>
        </w:rPr>
        <w:t>j</w:t>
      </w:r>
      <w:r w:rsidR="00181042" w:rsidRPr="00B74B0F">
        <w:rPr>
          <w:szCs w:val="22"/>
          <w:lang w:val="sr-Latn-ME"/>
        </w:rPr>
        <w:t>elji</w:t>
      </w:r>
      <w:r w:rsidRPr="00B74B0F">
        <w:rPr>
          <w:szCs w:val="22"/>
          <w:lang w:val="sr-Latn-ME"/>
        </w:rPr>
        <w:t xml:space="preserve"> svi </w:t>
      </w:r>
      <w:r w:rsidR="00181042" w:rsidRPr="00B74B0F">
        <w:rPr>
          <w:szCs w:val="22"/>
          <w:lang w:val="sr-Latn-ME"/>
        </w:rPr>
        <w:t>pacijenti</w:t>
      </w:r>
      <w:r w:rsidRPr="00B74B0F">
        <w:rPr>
          <w:szCs w:val="22"/>
          <w:lang w:val="sr-Latn-ME"/>
        </w:rPr>
        <w:t xml:space="preserve"> randomiz</w:t>
      </w:r>
      <w:r w:rsidR="00D556CA" w:rsidRPr="00B74B0F">
        <w:rPr>
          <w:szCs w:val="22"/>
          <w:lang w:val="sr-Latn-ME"/>
        </w:rPr>
        <w:t>ov</w:t>
      </w:r>
      <w:r w:rsidRPr="00B74B0F">
        <w:rPr>
          <w:szCs w:val="22"/>
          <w:lang w:val="sr-Latn-ME"/>
        </w:rPr>
        <w:t xml:space="preserve">ani za primanje placeba prebačeni su na upadacitinib u dozi od 15 mg jedanput dnevno. </w:t>
      </w:r>
      <w:r w:rsidR="002602C0" w:rsidRPr="00B74B0F">
        <w:rPr>
          <w:szCs w:val="22"/>
          <w:lang w:val="sr-Latn-ME"/>
        </w:rPr>
        <w:t>Primarni parametar praćenja</w:t>
      </w:r>
      <w:r w:rsidRPr="00B74B0F">
        <w:rPr>
          <w:szCs w:val="22"/>
          <w:lang w:val="sr-Latn-ME"/>
        </w:rPr>
        <w:t xml:space="preserve"> bila je udio </w:t>
      </w:r>
      <w:r w:rsidR="00181042" w:rsidRPr="00B74B0F">
        <w:rPr>
          <w:szCs w:val="22"/>
          <w:lang w:val="sr-Latn-ME"/>
        </w:rPr>
        <w:t>pacijenata</w:t>
      </w:r>
      <w:r w:rsidRPr="00B74B0F">
        <w:rPr>
          <w:szCs w:val="22"/>
          <w:lang w:val="sr-Latn-ME"/>
        </w:rPr>
        <w:t xml:space="preserve"> koji u 14. </w:t>
      </w:r>
      <w:r w:rsidR="00181042" w:rsidRPr="00B74B0F">
        <w:rPr>
          <w:szCs w:val="22"/>
          <w:lang w:val="sr-Latn-ME"/>
        </w:rPr>
        <w:t>ned</w:t>
      </w:r>
      <w:r w:rsidR="00D556CA" w:rsidRPr="00B74B0F">
        <w:rPr>
          <w:szCs w:val="22"/>
          <w:lang w:val="sr-Latn-ME"/>
        </w:rPr>
        <w:t>j</w:t>
      </w:r>
      <w:r w:rsidR="00181042" w:rsidRPr="00B74B0F">
        <w:rPr>
          <w:szCs w:val="22"/>
          <w:lang w:val="sr-Latn-ME"/>
        </w:rPr>
        <w:t>elji</w:t>
      </w:r>
      <w:r w:rsidRPr="00B74B0F">
        <w:rPr>
          <w:szCs w:val="22"/>
          <w:lang w:val="sr-Latn-ME"/>
        </w:rPr>
        <w:t xml:space="preserve"> postigne odgovor 40 prema Međunarodnom društvu za ocjenu spondiloartritisa (engl. </w:t>
      </w:r>
      <w:r w:rsidRPr="00B74B0F">
        <w:rPr>
          <w:i/>
          <w:iCs/>
          <w:szCs w:val="22"/>
          <w:lang w:val="sr-Latn-ME"/>
        </w:rPr>
        <w:t xml:space="preserve">Assessment of SpondyloArthritis international Society 40, </w:t>
      </w:r>
      <w:r w:rsidRPr="00B74B0F">
        <w:rPr>
          <w:szCs w:val="22"/>
          <w:lang w:val="sr-Latn-ME"/>
        </w:rPr>
        <w:t>ASAS40).</w:t>
      </w:r>
    </w:p>
    <w:p w14:paraId="526B042C" w14:textId="77777777" w:rsidR="004E3BE3" w:rsidRPr="00B74B0F" w:rsidRDefault="004E3BE3">
      <w:pPr>
        <w:tabs>
          <w:tab w:val="clear" w:pos="567"/>
          <w:tab w:val="left" w:pos="0"/>
        </w:tabs>
        <w:spacing w:line="240" w:lineRule="auto"/>
        <w:contextualSpacing/>
        <w:jc w:val="both"/>
        <w:rPr>
          <w:noProof/>
          <w:szCs w:val="22"/>
          <w:lang w:val="sr-Latn-ME"/>
        </w:rPr>
      </w:pPr>
    </w:p>
    <w:p w14:paraId="6E8BE06D" w14:textId="77777777" w:rsidR="004E3BE3" w:rsidRPr="00B74B0F" w:rsidRDefault="004E3BE3">
      <w:pPr>
        <w:tabs>
          <w:tab w:val="clear" w:pos="567"/>
          <w:tab w:val="left" w:pos="0"/>
        </w:tabs>
        <w:spacing w:line="240" w:lineRule="auto"/>
        <w:contextualSpacing/>
        <w:jc w:val="both"/>
        <w:rPr>
          <w:i/>
          <w:iCs/>
          <w:noProof/>
          <w:szCs w:val="22"/>
          <w:u w:val="single"/>
          <w:lang w:val="sr-Latn-ME"/>
        </w:rPr>
      </w:pPr>
      <w:r w:rsidRPr="00B74B0F">
        <w:rPr>
          <w:i/>
          <w:iCs/>
          <w:noProof/>
          <w:szCs w:val="22"/>
          <w:u w:val="single"/>
          <w:lang w:val="sr-Latn-ME"/>
        </w:rPr>
        <w:t>Klinički odgovor</w:t>
      </w:r>
    </w:p>
    <w:p w14:paraId="072DAAA4" w14:textId="77777777" w:rsidR="004E3BE3" w:rsidRPr="00B74B0F" w:rsidRDefault="004E3BE3">
      <w:pPr>
        <w:tabs>
          <w:tab w:val="clear" w:pos="567"/>
          <w:tab w:val="left" w:pos="0"/>
        </w:tabs>
        <w:spacing w:line="240" w:lineRule="auto"/>
        <w:contextualSpacing/>
        <w:jc w:val="both"/>
        <w:rPr>
          <w:noProof/>
          <w:szCs w:val="22"/>
          <w:lang w:val="sr-Latn-ME"/>
        </w:rPr>
      </w:pPr>
    </w:p>
    <w:p w14:paraId="7DF7FE8F" w14:textId="0B504150" w:rsidR="004E3BE3" w:rsidRPr="00B74B0F" w:rsidRDefault="004E3BE3">
      <w:pPr>
        <w:tabs>
          <w:tab w:val="clear" w:pos="567"/>
          <w:tab w:val="left" w:pos="0"/>
        </w:tabs>
        <w:spacing w:line="240" w:lineRule="auto"/>
        <w:contextualSpacing/>
        <w:jc w:val="both"/>
        <w:rPr>
          <w:noProof/>
          <w:szCs w:val="22"/>
          <w:lang w:val="sr-Latn-ME"/>
        </w:rPr>
      </w:pPr>
      <w:r w:rsidRPr="00B74B0F">
        <w:rPr>
          <w:noProof/>
          <w:szCs w:val="22"/>
          <w:lang w:val="sr-Latn-ME"/>
        </w:rPr>
        <w:t xml:space="preserve">U oba ispitivanja značajno veći udio </w:t>
      </w:r>
      <w:r w:rsidR="00181042" w:rsidRPr="00B74B0F">
        <w:rPr>
          <w:noProof/>
          <w:szCs w:val="22"/>
          <w:lang w:val="sr-Latn-ME"/>
        </w:rPr>
        <w:t>pacijenata</w:t>
      </w:r>
      <w:r w:rsidRPr="00B74B0F">
        <w:rPr>
          <w:noProof/>
          <w:szCs w:val="22"/>
          <w:lang w:val="sr-Latn-ME"/>
        </w:rPr>
        <w:t xml:space="preserve"> liječenih upadacitinibom u dozi od 15 mg postigao je ASAS40 odgovor u odnosu na placebo u 14. </w:t>
      </w:r>
      <w:r w:rsidR="00181042" w:rsidRPr="00B74B0F">
        <w:rPr>
          <w:noProof/>
          <w:szCs w:val="22"/>
          <w:lang w:val="sr-Latn-ME"/>
        </w:rPr>
        <w:t>ned</w:t>
      </w:r>
      <w:r w:rsidR="00D556CA" w:rsidRPr="00B74B0F">
        <w:rPr>
          <w:noProof/>
          <w:szCs w:val="22"/>
          <w:lang w:val="sr-Latn-ME"/>
        </w:rPr>
        <w:t>j</w:t>
      </w:r>
      <w:r w:rsidR="00181042" w:rsidRPr="00B74B0F">
        <w:rPr>
          <w:noProof/>
          <w:szCs w:val="22"/>
          <w:lang w:val="sr-Latn-ME"/>
        </w:rPr>
        <w:t>elji</w:t>
      </w:r>
      <w:r w:rsidRPr="00B74B0F">
        <w:rPr>
          <w:noProof/>
          <w:szCs w:val="22"/>
          <w:lang w:val="sr-Latn-ME"/>
        </w:rPr>
        <w:t xml:space="preserve"> (Tab</w:t>
      </w:r>
      <w:r w:rsidR="00D556CA" w:rsidRPr="00B74B0F">
        <w:rPr>
          <w:noProof/>
          <w:szCs w:val="22"/>
          <w:lang w:val="sr-Latn-ME"/>
        </w:rPr>
        <w:t>el</w:t>
      </w:r>
      <w:r w:rsidRPr="00B74B0F">
        <w:rPr>
          <w:noProof/>
          <w:szCs w:val="22"/>
          <w:lang w:val="sr-Latn-ME"/>
        </w:rPr>
        <w:t xml:space="preserve">a </w:t>
      </w:r>
      <w:r w:rsidRPr="00B74B0F">
        <w:rPr>
          <w:szCs w:val="22"/>
          <w:lang w:val="sr-Latn-ME"/>
        </w:rPr>
        <w:t>11</w:t>
      </w:r>
      <w:r w:rsidRPr="00B74B0F">
        <w:rPr>
          <w:noProof/>
          <w:szCs w:val="22"/>
          <w:lang w:val="sr-Latn-ME"/>
        </w:rPr>
        <w:t xml:space="preserve">). Brojčana razlika među liječenim </w:t>
      </w:r>
      <w:r w:rsidR="00181042" w:rsidRPr="00B74B0F">
        <w:rPr>
          <w:noProof/>
          <w:szCs w:val="22"/>
          <w:lang w:val="sr-Latn-ME"/>
        </w:rPr>
        <w:t>grupa</w:t>
      </w:r>
      <w:r w:rsidRPr="00B74B0F">
        <w:rPr>
          <w:noProof/>
          <w:szCs w:val="22"/>
          <w:lang w:val="sr-Latn-ME"/>
        </w:rPr>
        <w:t xml:space="preserve">ma opažena je od 2. </w:t>
      </w:r>
      <w:r w:rsidR="00D556CA" w:rsidRPr="00B74B0F">
        <w:rPr>
          <w:noProof/>
          <w:szCs w:val="22"/>
          <w:lang w:val="sr-Latn-ME"/>
        </w:rPr>
        <w:t xml:space="preserve">nedjelje </w:t>
      </w:r>
      <w:r w:rsidRPr="00B74B0F">
        <w:rPr>
          <w:szCs w:val="22"/>
          <w:lang w:val="sr-Latn-ME"/>
        </w:rPr>
        <w:t>za ispitivanje SELECT-AXIS 1 i od 4. </w:t>
      </w:r>
      <w:r w:rsidR="00D556CA" w:rsidRPr="00B74B0F">
        <w:rPr>
          <w:szCs w:val="22"/>
          <w:lang w:val="sr-Latn-ME"/>
        </w:rPr>
        <w:t xml:space="preserve">nedjelje </w:t>
      </w:r>
      <w:r w:rsidRPr="00B74B0F">
        <w:rPr>
          <w:szCs w:val="22"/>
          <w:lang w:val="sr-Latn-ME"/>
        </w:rPr>
        <w:t>za ispitivanje SELECT-AXIS 2 (AS) za ASAS40</w:t>
      </w:r>
      <w:r w:rsidRPr="00B74B0F">
        <w:rPr>
          <w:noProof/>
          <w:szCs w:val="22"/>
          <w:lang w:val="sr-Latn-ME"/>
        </w:rPr>
        <w:t xml:space="preserve">. </w:t>
      </w:r>
    </w:p>
    <w:p w14:paraId="2DEDC1DD" w14:textId="77777777" w:rsidR="004E3BE3" w:rsidRPr="00B74B0F" w:rsidRDefault="004E3BE3">
      <w:pPr>
        <w:tabs>
          <w:tab w:val="clear" w:pos="567"/>
          <w:tab w:val="left" w:pos="0"/>
        </w:tabs>
        <w:spacing w:line="240" w:lineRule="auto"/>
        <w:contextualSpacing/>
        <w:jc w:val="both"/>
        <w:rPr>
          <w:noProof/>
          <w:szCs w:val="22"/>
          <w:lang w:val="sr-Latn-ME"/>
        </w:rPr>
      </w:pPr>
    </w:p>
    <w:p w14:paraId="15331653" w14:textId="3F2AEDF1" w:rsidR="004E3BE3" w:rsidRPr="00B74B0F" w:rsidRDefault="004E3BE3">
      <w:pPr>
        <w:tabs>
          <w:tab w:val="clear" w:pos="567"/>
          <w:tab w:val="left" w:pos="0"/>
        </w:tabs>
        <w:spacing w:line="240" w:lineRule="auto"/>
        <w:contextualSpacing/>
        <w:jc w:val="both"/>
        <w:rPr>
          <w:noProof/>
          <w:szCs w:val="22"/>
          <w:lang w:val="sr-Latn-ME"/>
        </w:rPr>
      </w:pPr>
      <w:r w:rsidRPr="00B74B0F">
        <w:rPr>
          <w:noProof/>
          <w:szCs w:val="22"/>
          <w:lang w:val="sr-Latn-ME"/>
        </w:rPr>
        <w:t xml:space="preserve">Liječenje upadacitinibom u dozi od 15 mg dovelo je do poboljšanja pojedinih </w:t>
      </w:r>
      <w:r w:rsidR="00D556CA" w:rsidRPr="00B74B0F">
        <w:rPr>
          <w:noProof/>
          <w:szCs w:val="22"/>
          <w:lang w:val="sr-Latn-ME"/>
        </w:rPr>
        <w:t xml:space="preserve">djelova </w:t>
      </w:r>
      <w:r w:rsidRPr="00B74B0F">
        <w:rPr>
          <w:noProof/>
          <w:szCs w:val="22"/>
          <w:lang w:val="sr-Latn-ME"/>
        </w:rPr>
        <w:t>ASAS-a (</w:t>
      </w:r>
      <w:r w:rsidR="00181042" w:rsidRPr="00B74B0F">
        <w:rPr>
          <w:noProof/>
          <w:szCs w:val="22"/>
          <w:lang w:val="sr-Latn-ME"/>
        </w:rPr>
        <w:t>pacijent</w:t>
      </w:r>
      <w:r w:rsidRPr="00B74B0F">
        <w:rPr>
          <w:noProof/>
          <w:szCs w:val="22"/>
          <w:lang w:val="sr-Latn-ME"/>
        </w:rPr>
        <w:t>ova globalna ocjena aktivnosti bolesti, ukupna ocjena bol</w:t>
      </w:r>
      <w:r w:rsidR="00D556CA" w:rsidRPr="00B74B0F">
        <w:rPr>
          <w:noProof/>
          <w:szCs w:val="22"/>
          <w:lang w:val="sr-Latn-ME"/>
        </w:rPr>
        <w:t>a</w:t>
      </w:r>
      <w:r w:rsidRPr="00B74B0F">
        <w:rPr>
          <w:noProof/>
          <w:szCs w:val="22"/>
          <w:lang w:val="sr-Latn-ME"/>
        </w:rPr>
        <w:t xml:space="preserve"> u leđima, upala i funkcija) i drugih mjera aktivnosti bolesti, uključujući hsCRP, u 14. </w:t>
      </w:r>
      <w:r w:rsidR="00181042" w:rsidRPr="00B74B0F">
        <w:rPr>
          <w:noProof/>
          <w:szCs w:val="22"/>
          <w:lang w:val="sr-Latn-ME"/>
        </w:rPr>
        <w:t>ned</w:t>
      </w:r>
      <w:r w:rsidR="00D556CA" w:rsidRPr="00B74B0F">
        <w:rPr>
          <w:noProof/>
          <w:szCs w:val="22"/>
          <w:lang w:val="sr-Latn-ME"/>
        </w:rPr>
        <w:t>j</w:t>
      </w:r>
      <w:r w:rsidR="00181042" w:rsidRPr="00B74B0F">
        <w:rPr>
          <w:noProof/>
          <w:szCs w:val="22"/>
          <w:lang w:val="sr-Latn-ME"/>
        </w:rPr>
        <w:t>elji</w:t>
      </w:r>
      <w:r w:rsidRPr="00B74B0F">
        <w:rPr>
          <w:noProof/>
          <w:szCs w:val="22"/>
          <w:lang w:val="sr-Latn-ME"/>
        </w:rPr>
        <w:t xml:space="preserve"> u </w:t>
      </w:r>
      <w:r w:rsidR="00181042" w:rsidRPr="00B74B0F">
        <w:rPr>
          <w:noProof/>
          <w:szCs w:val="22"/>
          <w:lang w:val="sr-Latn-ME"/>
        </w:rPr>
        <w:t>poređenju</w:t>
      </w:r>
      <w:r w:rsidRPr="00B74B0F">
        <w:rPr>
          <w:noProof/>
          <w:szCs w:val="22"/>
          <w:lang w:val="sr-Latn-ME"/>
        </w:rPr>
        <w:t xml:space="preserve"> s placebom.</w:t>
      </w:r>
    </w:p>
    <w:p w14:paraId="63EC3C3A" w14:textId="77777777" w:rsidR="004E3BE3" w:rsidRPr="00B74B0F" w:rsidRDefault="004E3BE3">
      <w:pPr>
        <w:tabs>
          <w:tab w:val="clear" w:pos="567"/>
          <w:tab w:val="left" w:pos="0"/>
        </w:tabs>
        <w:spacing w:line="240" w:lineRule="auto"/>
        <w:contextualSpacing/>
        <w:jc w:val="both"/>
        <w:rPr>
          <w:noProof/>
          <w:szCs w:val="22"/>
          <w:lang w:val="sr-Latn-ME"/>
        </w:rPr>
      </w:pPr>
    </w:p>
    <w:p w14:paraId="78CF613F" w14:textId="3564C0BB" w:rsidR="004E3BE3" w:rsidRPr="00B74B0F" w:rsidRDefault="004E3BE3">
      <w:pPr>
        <w:spacing w:line="240" w:lineRule="auto"/>
        <w:contextualSpacing/>
        <w:jc w:val="both"/>
        <w:rPr>
          <w:szCs w:val="22"/>
          <w:lang w:val="sr-Latn-ME"/>
        </w:rPr>
      </w:pPr>
      <w:r w:rsidRPr="00B74B0F">
        <w:rPr>
          <w:noProof/>
          <w:szCs w:val="22"/>
          <w:lang w:val="sr-Latn-ME"/>
        </w:rPr>
        <w:t xml:space="preserve">Dokazana je </w:t>
      </w:r>
      <w:r w:rsidR="00D556CA" w:rsidRPr="00B74B0F">
        <w:rPr>
          <w:noProof/>
          <w:szCs w:val="22"/>
          <w:lang w:val="sr-Latn-ME"/>
        </w:rPr>
        <w:t xml:space="preserve">efikasnost </w:t>
      </w:r>
      <w:r w:rsidRPr="00B74B0F">
        <w:rPr>
          <w:noProof/>
          <w:szCs w:val="22"/>
          <w:lang w:val="sr-Latn-ME"/>
        </w:rPr>
        <w:t>upadacitiniba u dozi od 15 mg bez obzira na procijenjene pod</w:t>
      </w:r>
      <w:r w:rsidR="00D556CA" w:rsidRPr="00B74B0F">
        <w:rPr>
          <w:noProof/>
          <w:szCs w:val="22"/>
          <w:lang w:val="sr-Latn-ME"/>
        </w:rPr>
        <w:t>grupe</w:t>
      </w:r>
      <w:r w:rsidRPr="00B74B0F">
        <w:rPr>
          <w:noProof/>
          <w:szCs w:val="22"/>
          <w:lang w:val="sr-Latn-ME"/>
        </w:rPr>
        <w:t xml:space="preserve">, uključujući pol, početni indeks tjelesne mase, trajanje simptoma AS-a, početni hsCRP </w:t>
      </w:r>
      <w:r w:rsidRPr="00B74B0F">
        <w:rPr>
          <w:szCs w:val="22"/>
          <w:lang w:val="sr-Latn-ME"/>
        </w:rPr>
        <w:t>i raniju primjenu bDMARD.</w:t>
      </w:r>
    </w:p>
    <w:p w14:paraId="46D2A878" w14:textId="77777777" w:rsidR="004E3BE3" w:rsidRPr="00B74B0F" w:rsidRDefault="004E3BE3">
      <w:pPr>
        <w:tabs>
          <w:tab w:val="clear" w:pos="567"/>
          <w:tab w:val="left" w:pos="0"/>
        </w:tabs>
        <w:spacing w:line="240" w:lineRule="auto"/>
        <w:contextualSpacing/>
        <w:jc w:val="both"/>
        <w:rPr>
          <w:noProof/>
          <w:szCs w:val="22"/>
          <w:lang w:val="sr-Latn-ME"/>
        </w:rPr>
      </w:pPr>
    </w:p>
    <w:p w14:paraId="1A95E3BB" w14:textId="72DD09E7" w:rsidR="004E3BE3" w:rsidRPr="00B74B0F" w:rsidRDefault="004E3BE3">
      <w:pPr>
        <w:keepNext/>
        <w:spacing w:line="240" w:lineRule="auto"/>
        <w:contextualSpacing/>
        <w:jc w:val="both"/>
        <w:rPr>
          <w:noProof/>
          <w:szCs w:val="22"/>
          <w:lang w:val="sr-Latn-ME"/>
        </w:rPr>
      </w:pPr>
      <w:r w:rsidRPr="00B74B0F">
        <w:rPr>
          <w:b/>
          <w:noProof/>
          <w:szCs w:val="22"/>
          <w:lang w:val="sr-Latn-ME"/>
        </w:rPr>
        <w:lastRenderedPageBreak/>
        <w:t>Tab</w:t>
      </w:r>
      <w:r w:rsidR="00D556CA" w:rsidRPr="00B74B0F">
        <w:rPr>
          <w:b/>
          <w:noProof/>
          <w:szCs w:val="22"/>
          <w:lang w:val="sr-Latn-ME"/>
        </w:rPr>
        <w:t>el</w:t>
      </w:r>
      <w:r w:rsidRPr="00B74B0F">
        <w:rPr>
          <w:b/>
          <w:noProof/>
          <w:szCs w:val="22"/>
          <w:lang w:val="sr-Latn-ME"/>
        </w:rPr>
        <w:t xml:space="preserve">a </w:t>
      </w:r>
      <w:r w:rsidRPr="00B74B0F">
        <w:rPr>
          <w:b/>
          <w:szCs w:val="22"/>
          <w:lang w:val="sr-Latn-ME"/>
        </w:rPr>
        <w:t>11</w:t>
      </w:r>
      <w:r w:rsidR="00D556CA" w:rsidRPr="00B74B0F">
        <w:rPr>
          <w:b/>
          <w:szCs w:val="22"/>
          <w:lang w:val="sr-Latn-ME"/>
        </w:rPr>
        <w:t>:</w:t>
      </w:r>
      <w:r w:rsidRPr="00B74B0F">
        <w:rPr>
          <w:b/>
          <w:noProof/>
          <w:szCs w:val="22"/>
          <w:lang w:val="sr-Latn-ME"/>
        </w:rPr>
        <w:t xml:space="preserve"> Klinički odgovor </w:t>
      </w:r>
    </w:p>
    <w:p w14:paraId="034E3223" w14:textId="77777777" w:rsidR="004E3BE3" w:rsidRPr="00B74B0F" w:rsidRDefault="004E3BE3">
      <w:pPr>
        <w:keepNext/>
        <w:spacing w:line="240" w:lineRule="auto"/>
        <w:contextualSpacing/>
        <w:jc w:val="both"/>
        <w:rPr>
          <w:noProof/>
          <w:szCs w:val="22"/>
          <w:lang w:val="sr-Latn-ME"/>
        </w:rPr>
      </w:pPr>
    </w:p>
    <w:tbl>
      <w:tblPr>
        <w:tblW w:w="48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00"/>
        <w:gridCol w:w="1889"/>
        <w:gridCol w:w="1843"/>
        <w:gridCol w:w="1703"/>
      </w:tblGrid>
      <w:tr w:rsidR="00BF75A1" w:rsidRPr="00B74B0F" w14:paraId="5BB9844D" w14:textId="77777777" w:rsidTr="00F22B92">
        <w:trPr>
          <w:tblHeader/>
        </w:trPr>
        <w:tc>
          <w:tcPr>
            <w:tcW w:w="1110" w:type="pct"/>
            <w:shd w:val="clear" w:color="auto" w:fill="auto"/>
          </w:tcPr>
          <w:p w14:paraId="69E61AD7" w14:textId="77777777" w:rsidR="004E3BE3" w:rsidRPr="00B74B0F" w:rsidRDefault="004E3BE3">
            <w:pPr>
              <w:keepNext/>
              <w:spacing w:line="240" w:lineRule="auto"/>
              <w:contextualSpacing/>
              <w:jc w:val="both"/>
              <w:rPr>
                <w:noProof/>
                <w:szCs w:val="22"/>
                <w:lang w:val="sr-Latn-ME"/>
              </w:rPr>
            </w:pPr>
            <w:r w:rsidRPr="00B74B0F">
              <w:rPr>
                <w:b/>
                <w:bCs/>
                <w:szCs w:val="22"/>
                <w:lang w:val="sr-Latn-ME"/>
              </w:rPr>
              <w:t>Ispitivanje</w:t>
            </w:r>
          </w:p>
        </w:tc>
        <w:tc>
          <w:tcPr>
            <w:tcW w:w="1872" w:type="pct"/>
            <w:gridSpan w:val="2"/>
            <w:shd w:val="clear" w:color="auto" w:fill="auto"/>
          </w:tcPr>
          <w:p w14:paraId="3BA097CE" w14:textId="2ECADE93" w:rsidR="004E3BE3" w:rsidRPr="00B74B0F" w:rsidRDefault="004E3BE3" w:rsidP="00A30C3C">
            <w:pPr>
              <w:keepNext/>
              <w:spacing w:line="240" w:lineRule="auto"/>
              <w:contextualSpacing/>
              <w:jc w:val="both"/>
              <w:rPr>
                <w:b/>
                <w:bCs/>
                <w:szCs w:val="22"/>
                <w:lang w:val="sr-Latn-ME"/>
              </w:rPr>
            </w:pPr>
            <w:r w:rsidRPr="00B74B0F">
              <w:rPr>
                <w:b/>
                <w:bCs/>
                <w:szCs w:val="22"/>
                <w:lang w:val="sr-Latn-ME"/>
              </w:rPr>
              <w:t>SELECT-AXIS 1</w:t>
            </w:r>
          </w:p>
          <w:p w14:paraId="1AEC8152" w14:textId="7542858B" w:rsidR="004E3BE3" w:rsidRPr="00B74B0F" w:rsidRDefault="00181042" w:rsidP="00A30C3C">
            <w:pPr>
              <w:keepNext/>
              <w:spacing w:line="240" w:lineRule="auto"/>
              <w:contextualSpacing/>
              <w:jc w:val="both"/>
              <w:rPr>
                <w:b/>
                <w:bCs/>
                <w:noProof/>
                <w:szCs w:val="22"/>
                <w:lang w:val="sr-Latn-ME"/>
              </w:rPr>
            </w:pPr>
            <w:r w:rsidRPr="00B74B0F">
              <w:rPr>
                <w:b/>
                <w:bCs/>
                <w:szCs w:val="22"/>
                <w:lang w:val="sr-Latn-ME"/>
              </w:rPr>
              <w:t>Pacijenti</w:t>
            </w:r>
            <w:r w:rsidR="004E3BE3" w:rsidRPr="00B74B0F">
              <w:rPr>
                <w:b/>
                <w:bCs/>
                <w:szCs w:val="22"/>
                <w:lang w:val="sr-Latn-ME"/>
              </w:rPr>
              <w:t xml:space="preserve"> koji ni</w:t>
            </w:r>
            <w:r w:rsidR="00D556CA" w:rsidRPr="00B74B0F">
              <w:rPr>
                <w:b/>
                <w:bCs/>
                <w:szCs w:val="22"/>
                <w:lang w:val="sr-Latn-ME"/>
              </w:rPr>
              <w:t>je</w:t>
            </w:r>
            <w:r w:rsidR="004E3BE3" w:rsidRPr="00B74B0F">
              <w:rPr>
                <w:b/>
                <w:bCs/>
                <w:szCs w:val="22"/>
                <w:lang w:val="sr-Latn-ME"/>
              </w:rPr>
              <w:t>su prethodno primali bDMARD</w:t>
            </w:r>
          </w:p>
        </w:tc>
        <w:tc>
          <w:tcPr>
            <w:tcW w:w="2018" w:type="pct"/>
            <w:gridSpan w:val="2"/>
          </w:tcPr>
          <w:p w14:paraId="7E29E533" w14:textId="77777777" w:rsidR="004E3BE3" w:rsidRPr="00B74B0F" w:rsidRDefault="004E3BE3" w:rsidP="00A30C3C">
            <w:pPr>
              <w:keepNext/>
              <w:spacing w:line="240" w:lineRule="auto"/>
              <w:contextualSpacing/>
              <w:jc w:val="both"/>
              <w:rPr>
                <w:b/>
                <w:bCs/>
                <w:szCs w:val="22"/>
                <w:lang w:val="sr-Latn-ME"/>
              </w:rPr>
            </w:pPr>
            <w:r w:rsidRPr="00B74B0F">
              <w:rPr>
                <w:b/>
                <w:bCs/>
                <w:szCs w:val="22"/>
                <w:lang w:val="sr-Latn-ME"/>
              </w:rPr>
              <w:t>SELECT-AXIS 2 (AS)</w:t>
            </w:r>
          </w:p>
          <w:p w14:paraId="284AE17F" w14:textId="140A2DDE" w:rsidR="004E3BE3" w:rsidRPr="00B74B0F" w:rsidRDefault="00181042" w:rsidP="00A30C3C">
            <w:pPr>
              <w:keepNext/>
              <w:spacing w:line="240" w:lineRule="auto"/>
              <w:contextualSpacing/>
              <w:jc w:val="both"/>
              <w:rPr>
                <w:b/>
                <w:bCs/>
                <w:noProof/>
                <w:szCs w:val="22"/>
                <w:lang w:val="sr-Latn-ME"/>
              </w:rPr>
            </w:pPr>
            <w:r w:rsidRPr="00B74B0F">
              <w:rPr>
                <w:b/>
                <w:bCs/>
                <w:szCs w:val="22"/>
                <w:lang w:val="sr-Latn-ME"/>
              </w:rPr>
              <w:t>Pacijenti</w:t>
            </w:r>
            <w:r w:rsidR="004E3BE3" w:rsidRPr="00B74B0F">
              <w:rPr>
                <w:b/>
                <w:bCs/>
                <w:szCs w:val="22"/>
                <w:lang w:val="sr-Latn-ME"/>
              </w:rPr>
              <w:t xml:space="preserve"> s</w:t>
            </w:r>
            <w:r w:rsidR="00343D6C" w:rsidRPr="00B74B0F">
              <w:rPr>
                <w:b/>
                <w:bCs/>
                <w:szCs w:val="22"/>
                <w:lang w:val="sr-Latn-ME"/>
              </w:rPr>
              <w:t>a</w:t>
            </w:r>
            <w:r w:rsidR="004E3BE3" w:rsidRPr="00B74B0F">
              <w:rPr>
                <w:b/>
                <w:bCs/>
                <w:szCs w:val="22"/>
                <w:lang w:val="sr-Latn-ME"/>
              </w:rPr>
              <w:t xml:space="preserve"> nedovoljno dobrim odgovorom na bDMARD</w:t>
            </w:r>
          </w:p>
        </w:tc>
      </w:tr>
      <w:tr w:rsidR="00BF75A1" w:rsidRPr="00B74B0F" w14:paraId="1C71C7E1" w14:textId="77777777" w:rsidTr="00F22B92">
        <w:trPr>
          <w:tblHeader/>
        </w:trPr>
        <w:tc>
          <w:tcPr>
            <w:tcW w:w="1110" w:type="pct"/>
            <w:shd w:val="clear" w:color="auto" w:fill="auto"/>
          </w:tcPr>
          <w:p w14:paraId="77155C87" w14:textId="2769E033" w:rsidR="004E3BE3" w:rsidRPr="00B74B0F" w:rsidRDefault="004E3BE3">
            <w:pPr>
              <w:keepNext/>
              <w:spacing w:line="240" w:lineRule="auto"/>
              <w:contextualSpacing/>
              <w:jc w:val="both"/>
              <w:rPr>
                <w:noProof/>
                <w:szCs w:val="22"/>
                <w:lang w:val="sr-Latn-ME"/>
              </w:rPr>
            </w:pPr>
            <w:r w:rsidRPr="00B74B0F">
              <w:rPr>
                <w:noProof/>
                <w:szCs w:val="22"/>
                <w:lang w:val="sr-Latn-ME"/>
              </w:rPr>
              <w:t xml:space="preserve">Liječena </w:t>
            </w:r>
            <w:r w:rsidR="00181042" w:rsidRPr="00B74B0F">
              <w:rPr>
                <w:noProof/>
                <w:szCs w:val="22"/>
                <w:lang w:val="sr-Latn-ME"/>
              </w:rPr>
              <w:t>grupa</w:t>
            </w:r>
          </w:p>
        </w:tc>
        <w:tc>
          <w:tcPr>
            <w:tcW w:w="797" w:type="pct"/>
            <w:shd w:val="clear" w:color="auto" w:fill="auto"/>
          </w:tcPr>
          <w:p w14:paraId="098BB017" w14:textId="77777777" w:rsidR="004E3BE3" w:rsidRPr="00B74B0F" w:rsidRDefault="004E3BE3" w:rsidP="00A30C3C">
            <w:pPr>
              <w:keepNext/>
              <w:spacing w:line="240" w:lineRule="auto"/>
              <w:contextualSpacing/>
              <w:jc w:val="both"/>
              <w:rPr>
                <w:b/>
                <w:bCs/>
                <w:noProof/>
                <w:szCs w:val="22"/>
                <w:lang w:val="sr-Latn-ME"/>
              </w:rPr>
            </w:pPr>
            <w:r w:rsidRPr="00B74B0F">
              <w:rPr>
                <w:b/>
                <w:bCs/>
                <w:noProof/>
                <w:szCs w:val="22"/>
                <w:lang w:val="sr-Latn-ME"/>
              </w:rPr>
              <w:t>placebo</w:t>
            </w:r>
          </w:p>
        </w:tc>
        <w:tc>
          <w:tcPr>
            <w:tcW w:w="1075" w:type="pct"/>
            <w:shd w:val="clear" w:color="auto" w:fill="auto"/>
          </w:tcPr>
          <w:p w14:paraId="4EEF1E5F" w14:textId="77777777" w:rsidR="004E3BE3" w:rsidRPr="00B74B0F" w:rsidRDefault="004E3BE3" w:rsidP="00A30C3C">
            <w:pPr>
              <w:keepNext/>
              <w:spacing w:line="240" w:lineRule="auto"/>
              <w:contextualSpacing/>
              <w:jc w:val="both"/>
              <w:rPr>
                <w:noProof/>
                <w:szCs w:val="22"/>
                <w:lang w:val="sr-Latn-ME"/>
              </w:rPr>
            </w:pPr>
            <w:r w:rsidRPr="00B74B0F">
              <w:rPr>
                <w:b/>
                <w:bCs/>
                <w:noProof/>
                <w:szCs w:val="22"/>
                <w:lang w:val="sr-Latn-ME"/>
              </w:rPr>
              <w:t>upadacitinib 15 mg</w:t>
            </w:r>
          </w:p>
        </w:tc>
        <w:tc>
          <w:tcPr>
            <w:tcW w:w="1049" w:type="pct"/>
          </w:tcPr>
          <w:p w14:paraId="466D0F4F" w14:textId="3C277540" w:rsidR="004E3BE3" w:rsidRPr="00B74B0F" w:rsidRDefault="00B74B0F" w:rsidP="00A30C3C">
            <w:pPr>
              <w:keepNext/>
              <w:spacing w:line="240" w:lineRule="auto"/>
              <w:contextualSpacing/>
              <w:jc w:val="both"/>
              <w:rPr>
                <w:b/>
                <w:bCs/>
                <w:noProof/>
                <w:szCs w:val="22"/>
                <w:lang w:val="sr-Latn-ME"/>
              </w:rPr>
            </w:pPr>
            <w:r w:rsidRPr="00B74B0F">
              <w:rPr>
                <w:b/>
                <w:bCs/>
                <w:szCs w:val="22"/>
                <w:lang w:val="sr-Latn-ME"/>
              </w:rPr>
              <w:t>P</w:t>
            </w:r>
            <w:r w:rsidR="004E3BE3" w:rsidRPr="00B74B0F">
              <w:rPr>
                <w:b/>
                <w:bCs/>
                <w:szCs w:val="22"/>
                <w:lang w:val="sr-Latn-ME"/>
              </w:rPr>
              <w:t>lacebo</w:t>
            </w:r>
          </w:p>
        </w:tc>
        <w:tc>
          <w:tcPr>
            <w:tcW w:w="969" w:type="pct"/>
          </w:tcPr>
          <w:p w14:paraId="60F119A5" w14:textId="77777777" w:rsidR="004E3BE3" w:rsidRPr="00B74B0F" w:rsidRDefault="004E3BE3" w:rsidP="00A30C3C">
            <w:pPr>
              <w:keepNext/>
              <w:spacing w:line="240" w:lineRule="auto"/>
              <w:contextualSpacing/>
              <w:jc w:val="both"/>
              <w:rPr>
                <w:b/>
                <w:bCs/>
                <w:noProof/>
                <w:szCs w:val="22"/>
                <w:lang w:val="sr-Latn-ME"/>
              </w:rPr>
            </w:pPr>
            <w:r w:rsidRPr="00B74B0F">
              <w:rPr>
                <w:b/>
                <w:bCs/>
                <w:szCs w:val="22"/>
                <w:lang w:val="sr-Latn-ME"/>
              </w:rPr>
              <w:t>upadacitinib 15 mg</w:t>
            </w:r>
          </w:p>
        </w:tc>
      </w:tr>
      <w:tr w:rsidR="00BF75A1" w:rsidRPr="00B74B0F" w14:paraId="629A83E0" w14:textId="77777777" w:rsidTr="00F22B92">
        <w:tc>
          <w:tcPr>
            <w:tcW w:w="1110" w:type="pct"/>
            <w:shd w:val="clear" w:color="auto" w:fill="auto"/>
          </w:tcPr>
          <w:p w14:paraId="540DBCA8" w14:textId="77777777" w:rsidR="004E3BE3" w:rsidRPr="00B74B0F" w:rsidRDefault="004E3BE3">
            <w:pPr>
              <w:spacing w:line="240" w:lineRule="auto"/>
              <w:contextualSpacing/>
              <w:jc w:val="both"/>
              <w:rPr>
                <w:noProof/>
                <w:szCs w:val="22"/>
                <w:lang w:val="sr-Latn-ME"/>
              </w:rPr>
            </w:pPr>
            <w:r w:rsidRPr="00B74B0F">
              <w:rPr>
                <w:noProof/>
                <w:szCs w:val="22"/>
                <w:lang w:val="sr-Latn-ME"/>
              </w:rPr>
              <w:t>N</w:t>
            </w:r>
          </w:p>
        </w:tc>
        <w:tc>
          <w:tcPr>
            <w:tcW w:w="797" w:type="pct"/>
            <w:shd w:val="clear" w:color="auto" w:fill="auto"/>
          </w:tcPr>
          <w:p w14:paraId="2E0B6288"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94</w:t>
            </w:r>
          </w:p>
        </w:tc>
        <w:tc>
          <w:tcPr>
            <w:tcW w:w="1075" w:type="pct"/>
            <w:shd w:val="clear" w:color="auto" w:fill="auto"/>
          </w:tcPr>
          <w:p w14:paraId="05CFCBA9"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93</w:t>
            </w:r>
          </w:p>
        </w:tc>
        <w:tc>
          <w:tcPr>
            <w:tcW w:w="1049" w:type="pct"/>
          </w:tcPr>
          <w:p w14:paraId="0FC4B41E" w14:textId="77777777" w:rsidR="004E3BE3" w:rsidRPr="00B74B0F" w:rsidRDefault="004E3BE3" w:rsidP="00A30C3C">
            <w:pPr>
              <w:spacing w:line="240" w:lineRule="auto"/>
              <w:contextualSpacing/>
              <w:jc w:val="both"/>
              <w:rPr>
                <w:noProof/>
                <w:szCs w:val="22"/>
                <w:lang w:val="sr-Latn-ME"/>
              </w:rPr>
            </w:pPr>
            <w:r w:rsidRPr="00B74B0F">
              <w:rPr>
                <w:szCs w:val="22"/>
                <w:lang w:val="sr-Latn-ME"/>
              </w:rPr>
              <w:t>209</w:t>
            </w:r>
          </w:p>
        </w:tc>
        <w:tc>
          <w:tcPr>
            <w:tcW w:w="969" w:type="pct"/>
          </w:tcPr>
          <w:p w14:paraId="083E8C56" w14:textId="77777777" w:rsidR="004E3BE3" w:rsidRPr="00B74B0F" w:rsidRDefault="004E3BE3" w:rsidP="00A30C3C">
            <w:pPr>
              <w:spacing w:line="240" w:lineRule="auto"/>
              <w:contextualSpacing/>
              <w:jc w:val="both"/>
              <w:rPr>
                <w:noProof/>
                <w:szCs w:val="22"/>
                <w:lang w:val="sr-Latn-ME"/>
              </w:rPr>
            </w:pPr>
            <w:r w:rsidRPr="00B74B0F">
              <w:rPr>
                <w:szCs w:val="22"/>
                <w:lang w:val="sr-Latn-ME"/>
              </w:rPr>
              <w:t>211</w:t>
            </w:r>
          </w:p>
        </w:tc>
      </w:tr>
      <w:tr w:rsidR="00BF75A1" w:rsidRPr="00B74B0F" w14:paraId="1C0F304F" w14:textId="77777777" w:rsidTr="00F22B92">
        <w:tc>
          <w:tcPr>
            <w:tcW w:w="5000" w:type="pct"/>
            <w:gridSpan w:val="5"/>
            <w:shd w:val="clear" w:color="auto" w:fill="auto"/>
          </w:tcPr>
          <w:p w14:paraId="5CC210E6" w14:textId="18469E53"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 xml:space="preserve">ASAS40, % </w:t>
            </w:r>
            <w:r w:rsidR="00181042" w:rsidRPr="00B74B0F">
              <w:rPr>
                <w:b/>
                <w:bCs/>
                <w:noProof/>
                <w:szCs w:val="22"/>
                <w:lang w:val="sr-Latn-ME"/>
              </w:rPr>
              <w:t>pacijenata</w:t>
            </w:r>
            <w:r w:rsidRPr="00B74B0F">
              <w:rPr>
                <w:b/>
                <w:bCs/>
                <w:noProof/>
                <w:szCs w:val="22"/>
                <w:lang w:val="sr-Latn-ME"/>
              </w:rPr>
              <w:t xml:space="preserve"> (interval pouzdanosti od 95%)</w:t>
            </w:r>
            <w:r w:rsidRPr="00B74B0F">
              <w:rPr>
                <w:noProof/>
                <w:szCs w:val="22"/>
                <w:vertAlign w:val="superscript"/>
                <w:lang w:val="sr-Latn-ME"/>
              </w:rPr>
              <w:t>a,b</w:t>
            </w:r>
          </w:p>
        </w:tc>
      </w:tr>
      <w:tr w:rsidR="00BF75A1" w:rsidRPr="00B74B0F" w14:paraId="3709B9D9" w14:textId="77777777" w:rsidTr="00F22B92">
        <w:tc>
          <w:tcPr>
            <w:tcW w:w="1110" w:type="pct"/>
            <w:shd w:val="clear" w:color="auto" w:fill="auto"/>
          </w:tcPr>
          <w:p w14:paraId="0DBCF7A1" w14:textId="24D1C7B3"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2574A66B"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25,5 (16,7; 34,3)</w:t>
            </w:r>
          </w:p>
        </w:tc>
        <w:tc>
          <w:tcPr>
            <w:tcW w:w="1075" w:type="pct"/>
            <w:shd w:val="clear" w:color="auto" w:fill="auto"/>
          </w:tcPr>
          <w:p w14:paraId="072122ED"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51,6 (41,5; 61,8)</w:t>
            </w:r>
          </w:p>
        </w:tc>
        <w:tc>
          <w:tcPr>
            <w:tcW w:w="1049" w:type="pct"/>
          </w:tcPr>
          <w:p w14:paraId="1D459F96" w14:textId="77777777" w:rsidR="004E3BE3" w:rsidRPr="00B74B0F" w:rsidRDefault="004E3BE3" w:rsidP="00A30C3C">
            <w:pPr>
              <w:spacing w:line="240" w:lineRule="auto"/>
              <w:contextualSpacing/>
              <w:jc w:val="both"/>
              <w:rPr>
                <w:noProof/>
                <w:szCs w:val="22"/>
                <w:lang w:val="sr-Latn-ME"/>
              </w:rPr>
            </w:pPr>
            <w:r w:rsidRPr="00B74B0F">
              <w:rPr>
                <w:szCs w:val="22"/>
                <w:lang w:val="sr-Latn-ME"/>
              </w:rPr>
              <w:t>18,2 (13,0; 23,4)</w:t>
            </w:r>
          </w:p>
        </w:tc>
        <w:tc>
          <w:tcPr>
            <w:tcW w:w="969" w:type="pct"/>
          </w:tcPr>
          <w:p w14:paraId="13080DE5" w14:textId="77777777" w:rsidR="004E3BE3" w:rsidRPr="00B74B0F" w:rsidRDefault="004E3BE3" w:rsidP="00A30C3C">
            <w:pPr>
              <w:spacing w:line="240" w:lineRule="auto"/>
              <w:contextualSpacing/>
              <w:jc w:val="both"/>
              <w:rPr>
                <w:noProof/>
                <w:szCs w:val="22"/>
                <w:lang w:val="sr-Latn-ME"/>
              </w:rPr>
            </w:pPr>
            <w:r w:rsidRPr="00B74B0F">
              <w:rPr>
                <w:szCs w:val="22"/>
                <w:lang w:val="sr-Latn-ME"/>
              </w:rPr>
              <w:t>44,5 (37,8; 51,3)</w:t>
            </w:r>
          </w:p>
        </w:tc>
      </w:tr>
      <w:tr w:rsidR="00BF75A1" w:rsidRPr="00B74B0F" w14:paraId="3B6D0C7C" w14:textId="77777777" w:rsidTr="00F22B92">
        <w:tc>
          <w:tcPr>
            <w:tcW w:w="1110" w:type="pct"/>
            <w:shd w:val="clear" w:color="auto" w:fill="auto"/>
          </w:tcPr>
          <w:p w14:paraId="0B2B8164" w14:textId="77777777" w:rsidR="004E3BE3" w:rsidRPr="00B74B0F" w:rsidRDefault="004E3BE3">
            <w:pPr>
              <w:spacing w:line="240" w:lineRule="auto"/>
              <w:contextualSpacing/>
              <w:jc w:val="both"/>
              <w:rPr>
                <w:noProof/>
                <w:szCs w:val="22"/>
                <w:lang w:val="sr-Latn-ME"/>
              </w:rPr>
            </w:pPr>
            <w:r w:rsidRPr="00B74B0F">
              <w:rPr>
                <w:noProof/>
                <w:szCs w:val="22"/>
                <w:lang w:val="sr-Latn-ME"/>
              </w:rPr>
              <w:t>Razlika od placeba (interval pouzdanosti od 95%)</w:t>
            </w:r>
          </w:p>
        </w:tc>
        <w:tc>
          <w:tcPr>
            <w:tcW w:w="1872" w:type="pct"/>
            <w:gridSpan w:val="2"/>
            <w:shd w:val="clear" w:color="auto" w:fill="auto"/>
            <w:vAlign w:val="center"/>
          </w:tcPr>
          <w:p w14:paraId="1F0F9EB7"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26,1 (12,6; 39,5)</w:t>
            </w:r>
            <w:r w:rsidRPr="00B74B0F">
              <w:rPr>
                <w:noProof/>
                <w:szCs w:val="22"/>
                <w:vertAlign w:val="superscript"/>
                <w:lang w:val="sr-Latn-ME"/>
              </w:rPr>
              <w:t>c</w:t>
            </w:r>
          </w:p>
        </w:tc>
        <w:tc>
          <w:tcPr>
            <w:tcW w:w="2018" w:type="pct"/>
            <w:gridSpan w:val="2"/>
          </w:tcPr>
          <w:p w14:paraId="35488D9A" w14:textId="77777777" w:rsidR="004E3BE3" w:rsidRPr="00B74B0F" w:rsidRDefault="004E3BE3" w:rsidP="00A30C3C">
            <w:pPr>
              <w:spacing w:line="240" w:lineRule="auto"/>
              <w:contextualSpacing/>
              <w:jc w:val="both"/>
              <w:rPr>
                <w:noProof/>
                <w:szCs w:val="22"/>
                <w:lang w:val="sr-Latn-ME"/>
              </w:rPr>
            </w:pPr>
            <w:r w:rsidRPr="00B74B0F">
              <w:rPr>
                <w:szCs w:val="22"/>
                <w:lang w:val="sr-Latn-ME"/>
              </w:rPr>
              <w:t>26,4 (17,9; 34,9)</w:t>
            </w:r>
            <w:r w:rsidRPr="00B74B0F">
              <w:rPr>
                <w:szCs w:val="22"/>
                <w:vertAlign w:val="superscript"/>
                <w:lang w:val="sr-Latn-ME"/>
              </w:rPr>
              <w:t>c</w:t>
            </w:r>
          </w:p>
        </w:tc>
      </w:tr>
      <w:tr w:rsidR="00BF75A1" w:rsidRPr="00B74B0F" w14:paraId="3E963611" w14:textId="77777777" w:rsidTr="00F22B92">
        <w:tc>
          <w:tcPr>
            <w:tcW w:w="5000" w:type="pct"/>
            <w:gridSpan w:val="5"/>
            <w:shd w:val="clear" w:color="auto" w:fill="auto"/>
          </w:tcPr>
          <w:p w14:paraId="6184CC15" w14:textId="44626DB6"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 xml:space="preserve">ASAS20, % </w:t>
            </w:r>
            <w:r w:rsidR="00181042" w:rsidRPr="00B74B0F">
              <w:rPr>
                <w:b/>
                <w:bCs/>
                <w:noProof/>
                <w:szCs w:val="22"/>
                <w:lang w:val="sr-Latn-ME"/>
              </w:rPr>
              <w:t>pacijenata</w:t>
            </w:r>
            <w:r w:rsidRPr="00B74B0F">
              <w:rPr>
                <w:b/>
                <w:bCs/>
                <w:noProof/>
                <w:szCs w:val="22"/>
                <w:lang w:val="sr-Latn-ME"/>
              </w:rPr>
              <w:t xml:space="preserve"> (interval pouzdanosti od 95%)</w:t>
            </w:r>
            <w:r w:rsidRPr="00B74B0F">
              <w:rPr>
                <w:noProof/>
                <w:szCs w:val="22"/>
                <w:vertAlign w:val="superscript"/>
                <w:lang w:val="sr-Latn-ME"/>
              </w:rPr>
              <w:t>a</w:t>
            </w:r>
          </w:p>
        </w:tc>
      </w:tr>
      <w:tr w:rsidR="00BF75A1" w:rsidRPr="00B74B0F" w14:paraId="51EBADCC" w14:textId="77777777" w:rsidTr="00F22B92">
        <w:tc>
          <w:tcPr>
            <w:tcW w:w="1110" w:type="pct"/>
            <w:shd w:val="clear" w:color="auto" w:fill="auto"/>
          </w:tcPr>
          <w:p w14:paraId="23A50E5B" w14:textId="1EE6DD58"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0E248D48"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40,4 (30,5; 50,3)</w:t>
            </w:r>
          </w:p>
        </w:tc>
        <w:tc>
          <w:tcPr>
            <w:tcW w:w="1075" w:type="pct"/>
            <w:shd w:val="clear" w:color="auto" w:fill="auto"/>
          </w:tcPr>
          <w:p w14:paraId="2B4CBCED"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64,5 (54,8; 74,2)</w:t>
            </w:r>
            <w:r w:rsidRPr="00B74B0F">
              <w:rPr>
                <w:noProof/>
                <w:szCs w:val="22"/>
                <w:vertAlign w:val="superscript"/>
                <w:lang w:val="sr-Latn-ME"/>
              </w:rPr>
              <w:t>e</w:t>
            </w:r>
          </w:p>
        </w:tc>
        <w:tc>
          <w:tcPr>
            <w:tcW w:w="1049" w:type="pct"/>
          </w:tcPr>
          <w:p w14:paraId="39F8ABA9" w14:textId="77777777" w:rsidR="004E3BE3" w:rsidRPr="00B74B0F" w:rsidRDefault="004E3BE3" w:rsidP="00A30C3C">
            <w:pPr>
              <w:spacing w:line="240" w:lineRule="auto"/>
              <w:contextualSpacing/>
              <w:jc w:val="both"/>
              <w:rPr>
                <w:noProof/>
                <w:szCs w:val="22"/>
                <w:lang w:val="sr-Latn-ME"/>
              </w:rPr>
            </w:pPr>
            <w:r w:rsidRPr="00B74B0F">
              <w:rPr>
                <w:szCs w:val="22"/>
                <w:lang w:val="sr-Latn-ME"/>
              </w:rPr>
              <w:t>38,3 (31,7; 44,9)</w:t>
            </w:r>
          </w:p>
        </w:tc>
        <w:tc>
          <w:tcPr>
            <w:tcW w:w="969" w:type="pct"/>
          </w:tcPr>
          <w:p w14:paraId="13DE4AE3" w14:textId="77777777" w:rsidR="004E3BE3" w:rsidRPr="00B74B0F" w:rsidRDefault="004E3BE3" w:rsidP="00A30C3C">
            <w:pPr>
              <w:spacing w:line="240" w:lineRule="auto"/>
              <w:contextualSpacing/>
              <w:jc w:val="both"/>
              <w:rPr>
                <w:noProof/>
                <w:szCs w:val="22"/>
                <w:lang w:val="sr-Latn-ME"/>
              </w:rPr>
            </w:pPr>
            <w:r w:rsidRPr="00B74B0F">
              <w:rPr>
                <w:szCs w:val="22"/>
                <w:lang w:val="sr-Latn-ME"/>
              </w:rPr>
              <w:t>65,4 (59,0; 71,8)</w:t>
            </w:r>
            <w:r w:rsidRPr="00B74B0F">
              <w:rPr>
                <w:szCs w:val="22"/>
                <w:vertAlign w:val="superscript"/>
                <w:lang w:val="sr-Latn-ME"/>
              </w:rPr>
              <w:t>c</w:t>
            </w:r>
          </w:p>
        </w:tc>
      </w:tr>
      <w:tr w:rsidR="00BF75A1" w:rsidRPr="00B74B0F" w14:paraId="4F29F51F" w14:textId="77777777" w:rsidTr="00F22B92">
        <w:tc>
          <w:tcPr>
            <w:tcW w:w="5000" w:type="pct"/>
            <w:gridSpan w:val="5"/>
            <w:shd w:val="clear" w:color="auto" w:fill="auto"/>
          </w:tcPr>
          <w:p w14:paraId="597741F3" w14:textId="19C63F1B"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ASAS djel</w:t>
            </w:r>
            <w:r w:rsidR="00A4774A" w:rsidRPr="00B74B0F">
              <w:rPr>
                <w:b/>
                <w:bCs/>
                <w:noProof/>
                <w:szCs w:val="22"/>
                <w:lang w:val="sr-Latn-ME"/>
              </w:rPr>
              <w:t>i</w:t>
            </w:r>
            <w:r w:rsidRPr="00B74B0F">
              <w:rPr>
                <w:b/>
                <w:bCs/>
                <w:noProof/>
                <w:szCs w:val="22"/>
                <w:lang w:val="sr-Latn-ME"/>
              </w:rPr>
              <w:t xml:space="preserve">mična remisija, % </w:t>
            </w:r>
            <w:r w:rsidR="00181042" w:rsidRPr="00B74B0F">
              <w:rPr>
                <w:b/>
                <w:bCs/>
                <w:noProof/>
                <w:szCs w:val="22"/>
                <w:lang w:val="sr-Latn-ME"/>
              </w:rPr>
              <w:t>pacijenata</w:t>
            </w:r>
            <w:r w:rsidRPr="00B74B0F">
              <w:rPr>
                <w:b/>
                <w:bCs/>
                <w:noProof/>
                <w:szCs w:val="22"/>
                <w:lang w:val="sr-Latn-ME"/>
              </w:rPr>
              <w:t xml:space="preserve"> (interval pouzdanosti od 95%)</w:t>
            </w:r>
          </w:p>
        </w:tc>
      </w:tr>
      <w:tr w:rsidR="00BF75A1" w:rsidRPr="00B74B0F" w14:paraId="1756172E" w14:textId="77777777" w:rsidTr="00F22B92">
        <w:tc>
          <w:tcPr>
            <w:tcW w:w="1110" w:type="pct"/>
            <w:shd w:val="clear" w:color="auto" w:fill="auto"/>
          </w:tcPr>
          <w:p w14:paraId="17AD8B0B" w14:textId="656FA2E2"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77BBE43C"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1,1 (0,0; 3,1)</w:t>
            </w:r>
          </w:p>
        </w:tc>
        <w:tc>
          <w:tcPr>
            <w:tcW w:w="1075" w:type="pct"/>
            <w:shd w:val="clear" w:color="auto" w:fill="auto"/>
          </w:tcPr>
          <w:p w14:paraId="7E2FB752"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19,4 (11,3; 27,4)</w:t>
            </w:r>
            <w:r w:rsidRPr="00B74B0F">
              <w:rPr>
                <w:noProof/>
                <w:szCs w:val="22"/>
                <w:vertAlign w:val="superscript"/>
                <w:lang w:val="sr-Latn-ME"/>
              </w:rPr>
              <w:t>c</w:t>
            </w:r>
          </w:p>
        </w:tc>
        <w:tc>
          <w:tcPr>
            <w:tcW w:w="1049" w:type="pct"/>
          </w:tcPr>
          <w:p w14:paraId="0798C9CA" w14:textId="77777777" w:rsidR="004E3BE3" w:rsidRPr="00B74B0F" w:rsidRDefault="004E3BE3" w:rsidP="00A30C3C">
            <w:pPr>
              <w:spacing w:line="240" w:lineRule="auto"/>
              <w:contextualSpacing/>
              <w:jc w:val="both"/>
              <w:rPr>
                <w:noProof/>
                <w:szCs w:val="22"/>
                <w:lang w:val="sr-Latn-ME"/>
              </w:rPr>
            </w:pPr>
            <w:r w:rsidRPr="00B74B0F">
              <w:rPr>
                <w:szCs w:val="22"/>
                <w:lang w:val="sr-Latn-ME"/>
              </w:rPr>
              <w:t>4,3 (1,6; 7,1)</w:t>
            </w:r>
          </w:p>
        </w:tc>
        <w:tc>
          <w:tcPr>
            <w:tcW w:w="969" w:type="pct"/>
          </w:tcPr>
          <w:p w14:paraId="0B820DBF" w14:textId="77777777" w:rsidR="004E3BE3" w:rsidRPr="00B74B0F" w:rsidRDefault="004E3BE3" w:rsidP="00A30C3C">
            <w:pPr>
              <w:spacing w:line="240" w:lineRule="auto"/>
              <w:contextualSpacing/>
              <w:jc w:val="both"/>
              <w:rPr>
                <w:noProof/>
                <w:szCs w:val="22"/>
                <w:lang w:val="sr-Latn-ME"/>
              </w:rPr>
            </w:pPr>
            <w:r w:rsidRPr="00B74B0F">
              <w:rPr>
                <w:szCs w:val="22"/>
                <w:lang w:val="sr-Latn-ME"/>
              </w:rPr>
              <w:t>17,5 (12,4; 22,7)</w:t>
            </w:r>
            <w:r w:rsidRPr="00B74B0F">
              <w:rPr>
                <w:szCs w:val="22"/>
                <w:vertAlign w:val="superscript"/>
                <w:lang w:val="sr-Latn-ME"/>
              </w:rPr>
              <w:t>c</w:t>
            </w:r>
          </w:p>
        </w:tc>
      </w:tr>
      <w:tr w:rsidR="00BF75A1" w:rsidRPr="00B74B0F" w14:paraId="65917BE2" w14:textId="77777777" w:rsidTr="00F22B92">
        <w:tc>
          <w:tcPr>
            <w:tcW w:w="5000" w:type="pct"/>
            <w:gridSpan w:val="5"/>
            <w:shd w:val="clear" w:color="auto" w:fill="auto"/>
          </w:tcPr>
          <w:p w14:paraId="5CC3FB6D" w14:textId="6000ECF0"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 xml:space="preserve">BASDAI 50, % </w:t>
            </w:r>
            <w:r w:rsidR="00181042" w:rsidRPr="00B74B0F">
              <w:rPr>
                <w:b/>
                <w:bCs/>
                <w:noProof/>
                <w:szCs w:val="22"/>
                <w:lang w:val="sr-Latn-ME"/>
              </w:rPr>
              <w:t>pacijenata</w:t>
            </w:r>
            <w:r w:rsidRPr="00B74B0F">
              <w:rPr>
                <w:b/>
                <w:bCs/>
                <w:noProof/>
                <w:szCs w:val="22"/>
                <w:lang w:val="sr-Latn-ME"/>
              </w:rPr>
              <w:t xml:space="preserve"> (interval pouzdanosti od 95%)</w:t>
            </w:r>
          </w:p>
        </w:tc>
      </w:tr>
      <w:tr w:rsidR="00BF75A1" w:rsidRPr="00B74B0F" w14:paraId="76CB3DE2" w14:textId="77777777" w:rsidTr="00F22B92">
        <w:tc>
          <w:tcPr>
            <w:tcW w:w="1110" w:type="pct"/>
            <w:shd w:val="clear" w:color="auto" w:fill="auto"/>
          </w:tcPr>
          <w:p w14:paraId="194A6D89" w14:textId="06C89B29"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5758F1D7"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23,4 (14,8; 32,0)</w:t>
            </w:r>
          </w:p>
        </w:tc>
        <w:tc>
          <w:tcPr>
            <w:tcW w:w="1075" w:type="pct"/>
            <w:shd w:val="clear" w:color="auto" w:fill="auto"/>
          </w:tcPr>
          <w:p w14:paraId="0A42B37A"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45,2 (35,0; 55,3)</w:t>
            </w:r>
            <w:r w:rsidRPr="00B74B0F">
              <w:rPr>
                <w:noProof/>
                <w:szCs w:val="22"/>
                <w:vertAlign w:val="superscript"/>
                <w:lang w:val="sr-Latn-ME"/>
              </w:rPr>
              <w:t>d</w:t>
            </w:r>
          </w:p>
        </w:tc>
        <w:tc>
          <w:tcPr>
            <w:tcW w:w="1049" w:type="pct"/>
          </w:tcPr>
          <w:p w14:paraId="3BEC1827" w14:textId="77777777" w:rsidR="004E3BE3" w:rsidRPr="00B74B0F" w:rsidRDefault="004E3BE3" w:rsidP="00A30C3C">
            <w:pPr>
              <w:spacing w:line="240" w:lineRule="auto"/>
              <w:contextualSpacing/>
              <w:jc w:val="both"/>
              <w:rPr>
                <w:noProof/>
                <w:szCs w:val="22"/>
                <w:lang w:val="sr-Latn-ME"/>
              </w:rPr>
            </w:pPr>
            <w:r w:rsidRPr="00B74B0F">
              <w:rPr>
                <w:szCs w:val="22"/>
                <w:lang w:val="sr-Latn-ME"/>
              </w:rPr>
              <w:t>16,7 (11,7; 21,8)</w:t>
            </w:r>
          </w:p>
        </w:tc>
        <w:tc>
          <w:tcPr>
            <w:tcW w:w="969" w:type="pct"/>
          </w:tcPr>
          <w:p w14:paraId="6B6758EC" w14:textId="77777777" w:rsidR="004E3BE3" w:rsidRPr="00B74B0F" w:rsidRDefault="004E3BE3" w:rsidP="00A30C3C">
            <w:pPr>
              <w:spacing w:line="240" w:lineRule="auto"/>
              <w:contextualSpacing/>
              <w:jc w:val="both"/>
              <w:rPr>
                <w:noProof/>
                <w:szCs w:val="22"/>
                <w:lang w:val="sr-Latn-ME"/>
              </w:rPr>
            </w:pPr>
            <w:r w:rsidRPr="00B74B0F">
              <w:rPr>
                <w:szCs w:val="22"/>
                <w:lang w:val="sr-Latn-ME"/>
              </w:rPr>
              <w:t>43,1 (36,4; 49,8)</w:t>
            </w:r>
            <w:r w:rsidRPr="00B74B0F">
              <w:rPr>
                <w:szCs w:val="22"/>
                <w:vertAlign w:val="superscript"/>
                <w:lang w:val="sr-Latn-ME"/>
              </w:rPr>
              <w:t>c</w:t>
            </w:r>
          </w:p>
        </w:tc>
      </w:tr>
      <w:tr w:rsidR="00BF75A1" w:rsidRPr="00B74B0F" w14:paraId="41B82F3A" w14:textId="77777777" w:rsidTr="00F22B92">
        <w:tc>
          <w:tcPr>
            <w:tcW w:w="5000" w:type="pct"/>
            <w:gridSpan w:val="5"/>
            <w:shd w:val="clear" w:color="auto" w:fill="auto"/>
          </w:tcPr>
          <w:p w14:paraId="6E11F385" w14:textId="77777777"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Promjena od početnih vrijednosti ASDAS-CRP (interval pouzdanosti od 95%)</w:t>
            </w:r>
          </w:p>
        </w:tc>
      </w:tr>
      <w:tr w:rsidR="00BF75A1" w:rsidRPr="00B74B0F" w14:paraId="71FC882A" w14:textId="77777777" w:rsidTr="00F22B92">
        <w:tc>
          <w:tcPr>
            <w:tcW w:w="1110" w:type="pct"/>
            <w:shd w:val="clear" w:color="auto" w:fill="auto"/>
          </w:tcPr>
          <w:p w14:paraId="51F88BED" w14:textId="58F52C50"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471CE45B"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-0,54 (-0,71; -0,37)</w:t>
            </w:r>
          </w:p>
        </w:tc>
        <w:tc>
          <w:tcPr>
            <w:tcW w:w="1075" w:type="pct"/>
            <w:shd w:val="clear" w:color="auto" w:fill="auto"/>
          </w:tcPr>
          <w:p w14:paraId="3A71480F"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-1,45 (</w:t>
            </w:r>
            <w:r w:rsidRPr="00B74B0F">
              <w:rPr>
                <w:noProof/>
                <w:szCs w:val="22"/>
                <w:lang w:val="sr-Latn-ME"/>
              </w:rPr>
              <w:noBreakHyphen/>
              <w:t xml:space="preserve">1,62; </w:t>
            </w:r>
            <w:r w:rsidRPr="00B74B0F">
              <w:rPr>
                <w:noProof/>
                <w:szCs w:val="22"/>
                <w:lang w:val="sr-Latn-ME"/>
              </w:rPr>
              <w:noBreakHyphen/>
              <w:t>1,28)</w:t>
            </w:r>
            <w:r w:rsidRPr="00B74B0F">
              <w:rPr>
                <w:noProof/>
                <w:szCs w:val="22"/>
                <w:vertAlign w:val="superscript"/>
                <w:lang w:val="sr-Latn-ME"/>
              </w:rPr>
              <w:t>c</w:t>
            </w:r>
          </w:p>
        </w:tc>
        <w:tc>
          <w:tcPr>
            <w:tcW w:w="1049" w:type="pct"/>
          </w:tcPr>
          <w:p w14:paraId="26E6287D" w14:textId="77777777" w:rsidR="004E3BE3" w:rsidRPr="00B74B0F" w:rsidRDefault="004E3BE3" w:rsidP="00A30C3C">
            <w:pPr>
              <w:spacing w:line="240" w:lineRule="auto"/>
              <w:contextualSpacing/>
              <w:jc w:val="both"/>
              <w:rPr>
                <w:noProof/>
                <w:szCs w:val="22"/>
                <w:lang w:val="sr-Latn-ME"/>
              </w:rPr>
            </w:pPr>
            <w:r w:rsidRPr="00B74B0F">
              <w:rPr>
                <w:szCs w:val="22"/>
                <w:lang w:val="sr-Latn-ME"/>
              </w:rPr>
              <w:t>-0,49 (</w:t>
            </w:r>
            <w:r w:rsidRPr="00B74B0F">
              <w:rPr>
                <w:szCs w:val="22"/>
                <w:lang w:val="sr-Latn-ME"/>
              </w:rPr>
              <w:noBreakHyphen/>
              <w:t xml:space="preserve">0,62; </w:t>
            </w:r>
            <w:r w:rsidRPr="00B74B0F">
              <w:rPr>
                <w:szCs w:val="22"/>
                <w:lang w:val="sr-Latn-ME"/>
              </w:rPr>
              <w:noBreakHyphen/>
              <w:t>0,37)</w:t>
            </w:r>
          </w:p>
        </w:tc>
        <w:tc>
          <w:tcPr>
            <w:tcW w:w="969" w:type="pct"/>
          </w:tcPr>
          <w:p w14:paraId="66AC105C" w14:textId="77777777" w:rsidR="004E3BE3" w:rsidRPr="00B74B0F" w:rsidRDefault="004E3BE3" w:rsidP="00A30C3C">
            <w:pPr>
              <w:spacing w:line="240" w:lineRule="auto"/>
              <w:contextualSpacing/>
              <w:jc w:val="both"/>
              <w:rPr>
                <w:noProof/>
                <w:szCs w:val="22"/>
                <w:lang w:val="sr-Latn-ME"/>
              </w:rPr>
            </w:pPr>
            <w:r w:rsidRPr="00B74B0F">
              <w:rPr>
                <w:szCs w:val="22"/>
                <w:lang w:val="sr-Latn-ME"/>
              </w:rPr>
              <w:t>-1,52 (</w:t>
            </w:r>
            <w:r w:rsidRPr="00B74B0F">
              <w:rPr>
                <w:szCs w:val="22"/>
                <w:lang w:val="sr-Latn-ME"/>
              </w:rPr>
              <w:noBreakHyphen/>
              <w:t xml:space="preserve">1,64; </w:t>
            </w:r>
            <w:r w:rsidRPr="00B74B0F">
              <w:rPr>
                <w:szCs w:val="22"/>
                <w:lang w:val="sr-Latn-ME"/>
              </w:rPr>
              <w:noBreakHyphen/>
              <w:t>1,39)</w:t>
            </w:r>
            <w:r w:rsidRPr="00B74B0F">
              <w:rPr>
                <w:szCs w:val="22"/>
                <w:vertAlign w:val="superscript"/>
                <w:lang w:val="sr-Latn-ME"/>
              </w:rPr>
              <w:t>c</w:t>
            </w:r>
          </w:p>
        </w:tc>
      </w:tr>
      <w:tr w:rsidR="00BF75A1" w:rsidRPr="00B74B0F" w14:paraId="32DDEB0D" w14:textId="77777777" w:rsidTr="00F22B92">
        <w:tc>
          <w:tcPr>
            <w:tcW w:w="5000" w:type="pct"/>
            <w:gridSpan w:val="5"/>
            <w:shd w:val="clear" w:color="auto" w:fill="auto"/>
          </w:tcPr>
          <w:p w14:paraId="00009EEF" w14:textId="5EE1AA69"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 xml:space="preserve">ASDAS neaktivna bolest, % </w:t>
            </w:r>
            <w:r w:rsidR="00181042" w:rsidRPr="00B74B0F">
              <w:rPr>
                <w:b/>
                <w:bCs/>
                <w:noProof/>
                <w:szCs w:val="22"/>
                <w:lang w:val="sr-Latn-ME"/>
              </w:rPr>
              <w:t>pacijenata</w:t>
            </w:r>
            <w:r w:rsidRPr="00B74B0F">
              <w:rPr>
                <w:b/>
                <w:bCs/>
                <w:noProof/>
                <w:szCs w:val="22"/>
                <w:lang w:val="sr-Latn-ME"/>
              </w:rPr>
              <w:t xml:space="preserve"> (interval pouzdanosti od 95%)</w:t>
            </w:r>
          </w:p>
        </w:tc>
      </w:tr>
      <w:tr w:rsidR="00BF75A1" w:rsidRPr="00B74B0F" w14:paraId="1A48C735" w14:textId="77777777" w:rsidTr="00F22B92">
        <w:tc>
          <w:tcPr>
            <w:tcW w:w="1110" w:type="pct"/>
            <w:shd w:val="clear" w:color="auto" w:fill="auto"/>
          </w:tcPr>
          <w:p w14:paraId="068F1C5B" w14:textId="50B1F0A6"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3B3F8D06"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0</w:t>
            </w:r>
          </w:p>
        </w:tc>
        <w:tc>
          <w:tcPr>
            <w:tcW w:w="1075" w:type="pct"/>
            <w:shd w:val="clear" w:color="auto" w:fill="auto"/>
          </w:tcPr>
          <w:p w14:paraId="10120157"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16,1 (8,7, 23,6)</w:t>
            </w:r>
            <w:r w:rsidRPr="00B74B0F">
              <w:rPr>
                <w:noProof/>
                <w:szCs w:val="22"/>
                <w:vertAlign w:val="superscript"/>
                <w:lang w:val="sr-Latn-ME"/>
              </w:rPr>
              <w:t>e</w:t>
            </w:r>
          </w:p>
        </w:tc>
        <w:tc>
          <w:tcPr>
            <w:tcW w:w="1049" w:type="pct"/>
          </w:tcPr>
          <w:p w14:paraId="1DCA1823" w14:textId="77777777" w:rsidR="004E3BE3" w:rsidRPr="00B74B0F" w:rsidRDefault="004E3BE3" w:rsidP="00A30C3C">
            <w:pPr>
              <w:spacing w:line="240" w:lineRule="auto"/>
              <w:contextualSpacing/>
              <w:jc w:val="both"/>
              <w:rPr>
                <w:noProof/>
                <w:szCs w:val="22"/>
                <w:lang w:val="sr-Latn-ME"/>
              </w:rPr>
            </w:pPr>
            <w:r w:rsidRPr="00B74B0F">
              <w:rPr>
                <w:szCs w:val="22"/>
                <w:lang w:val="sr-Latn-ME"/>
              </w:rPr>
              <w:t>1,9 (0,1; 3,8)</w:t>
            </w:r>
          </w:p>
        </w:tc>
        <w:tc>
          <w:tcPr>
            <w:tcW w:w="969" w:type="pct"/>
          </w:tcPr>
          <w:p w14:paraId="6D0CACA9" w14:textId="77777777" w:rsidR="004E3BE3" w:rsidRPr="00B74B0F" w:rsidRDefault="004E3BE3" w:rsidP="00A30C3C">
            <w:pPr>
              <w:spacing w:line="240" w:lineRule="auto"/>
              <w:contextualSpacing/>
              <w:jc w:val="both"/>
              <w:rPr>
                <w:noProof/>
                <w:szCs w:val="22"/>
                <w:lang w:val="sr-Latn-ME"/>
              </w:rPr>
            </w:pPr>
            <w:r w:rsidRPr="00B74B0F">
              <w:rPr>
                <w:szCs w:val="22"/>
                <w:lang w:val="sr-Latn-ME"/>
              </w:rPr>
              <w:t>12,8 (8,3; 17,3)</w:t>
            </w:r>
            <w:r w:rsidRPr="00B74B0F">
              <w:rPr>
                <w:szCs w:val="22"/>
                <w:vertAlign w:val="superscript"/>
                <w:lang w:val="sr-Latn-ME"/>
              </w:rPr>
              <w:t>c</w:t>
            </w:r>
          </w:p>
        </w:tc>
      </w:tr>
      <w:tr w:rsidR="00BF75A1" w:rsidRPr="00B74B0F" w14:paraId="5B9F0D1E" w14:textId="77777777" w:rsidTr="00F22B92">
        <w:tc>
          <w:tcPr>
            <w:tcW w:w="5000" w:type="pct"/>
            <w:gridSpan w:val="5"/>
            <w:shd w:val="clear" w:color="auto" w:fill="auto"/>
          </w:tcPr>
          <w:p w14:paraId="750F00CF" w14:textId="246B78D0"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 xml:space="preserve">ASDAS niska aktivnost bolesti, % </w:t>
            </w:r>
            <w:r w:rsidR="00181042" w:rsidRPr="00B74B0F">
              <w:rPr>
                <w:b/>
                <w:bCs/>
                <w:noProof/>
                <w:szCs w:val="22"/>
                <w:lang w:val="sr-Latn-ME"/>
              </w:rPr>
              <w:t>pacijenata</w:t>
            </w:r>
            <w:r w:rsidRPr="00B74B0F">
              <w:rPr>
                <w:b/>
                <w:bCs/>
                <w:noProof/>
                <w:szCs w:val="22"/>
                <w:lang w:val="sr-Latn-ME"/>
              </w:rPr>
              <w:t xml:space="preserve"> (interval pouzdanosti od 95%)</w:t>
            </w:r>
          </w:p>
        </w:tc>
      </w:tr>
      <w:tr w:rsidR="00BF75A1" w:rsidRPr="00B74B0F" w14:paraId="51FFB56E" w14:textId="77777777" w:rsidTr="00F22B92">
        <w:tc>
          <w:tcPr>
            <w:tcW w:w="1110" w:type="pct"/>
            <w:shd w:val="clear" w:color="auto" w:fill="auto"/>
          </w:tcPr>
          <w:p w14:paraId="7FC724EA" w14:textId="5569E63F"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15E0303A"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10,6 (4,4; 16,9)</w:t>
            </w:r>
          </w:p>
        </w:tc>
        <w:tc>
          <w:tcPr>
            <w:tcW w:w="1075" w:type="pct"/>
            <w:shd w:val="clear" w:color="auto" w:fill="auto"/>
          </w:tcPr>
          <w:p w14:paraId="54A6E76D"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49,5 (39,3; 59,6)</w:t>
            </w:r>
            <w:r w:rsidRPr="00B74B0F">
              <w:rPr>
                <w:noProof/>
                <w:szCs w:val="22"/>
                <w:vertAlign w:val="superscript"/>
                <w:lang w:val="sr-Latn-ME"/>
              </w:rPr>
              <w:t xml:space="preserve"> f</w:t>
            </w:r>
          </w:p>
        </w:tc>
        <w:tc>
          <w:tcPr>
            <w:tcW w:w="1049" w:type="pct"/>
          </w:tcPr>
          <w:p w14:paraId="22092FF1" w14:textId="77777777" w:rsidR="004E3BE3" w:rsidRPr="00B74B0F" w:rsidRDefault="004E3BE3" w:rsidP="00A30C3C">
            <w:pPr>
              <w:spacing w:line="240" w:lineRule="auto"/>
              <w:contextualSpacing/>
              <w:jc w:val="both"/>
              <w:rPr>
                <w:noProof/>
                <w:szCs w:val="22"/>
                <w:lang w:val="sr-Latn-ME"/>
              </w:rPr>
            </w:pPr>
            <w:r w:rsidRPr="00B74B0F">
              <w:rPr>
                <w:szCs w:val="22"/>
                <w:lang w:val="sr-Latn-ME"/>
              </w:rPr>
              <w:t>10,1 (6,0; 14,2)</w:t>
            </w:r>
          </w:p>
        </w:tc>
        <w:tc>
          <w:tcPr>
            <w:tcW w:w="969" w:type="pct"/>
          </w:tcPr>
          <w:p w14:paraId="5581073E" w14:textId="77777777" w:rsidR="004E3BE3" w:rsidRPr="00B74B0F" w:rsidRDefault="004E3BE3" w:rsidP="00A30C3C">
            <w:pPr>
              <w:spacing w:line="240" w:lineRule="auto"/>
              <w:contextualSpacing/>
              <w:jc w:val="both"/>
              <w:rPr>
                <w:noProof/>
                <w:szCs w:val="22"/>
                <w:lang w:val="sr-Latn-ME"/>
              </w:rPr>
            </w:pPr>
            <w:r w:rsidRPr="00B74B0F">
              <w:rPr>
                <w:szCs w:val="22"/>
                <w:lang w:val="sr-Latn-ME"/>
              </w:rPr>
              <w:t>44,1 (37,4; 50,8)</w:t>
            </w:r>
            <w:r w:rsidRPr="00B74B0F">
              <w:rPr>
                <w:szCs w:val="22"/>
                <w:vertAlign w:val="superscript"/>
                <w:lang w:val="sr-Latn-ME"/>
              </w:rPr>
              <w:t>c</w:t>
            </w:r>
          </w:p>
        </w:tc>
      </w:tr>
      <w:tr w:rsidR="00BF75A1" w:rsidRPr="00B74B0F" w14:paraId="07B7670A" w14:textId="77777777" w:rsidTr="00F22B92">
        <w:tc>
          <w:tcPr>
            <w:tcW w:w="5000" w:type="pct"/>
            <w:gridSpan w:val="5"/>
            <w:shd w:val="clear" w:color="auto" w:fill="auto"/>
          </w:tcPr>
          <w:p w14:paraId="59E029FB" w14:textId="78338838" w:rsidR="004E3BE3" w:rsidRPr="00B74B0F" w:rsidRDefault="004E3BE3" w:rsidP="007F3A04">
            <w:pPr>
              <w:spacing w:line="240" w:lineRule="auto"/>
              <w:contextualSpacing/>
              <w:jc w:val="center"/>
              <w:rPr>
                <w:b/>
                <w:bCs/>
                <w:noProof/>
                <w:szCs w:val="22"/>
                <w:lang w:val="sr-Latn-ME"/>
              </w:rPr>
            </w:pPr>
            <w:r w:rsidRPr="00B74B0F">
              <w:rPr>
                <w:b/>
                <w:bCs/>
                <w:noProof/>
                <w:szCs w:val="22"/>
                <w:lang w:val="sr-Latn-ME"/>
              </w:rPr>
              <w:t xml:space="preserve">ASDAS veliko poboljšanje, % </w:t>
            </w:r>
            <w:r w:rsidR="00181042" w:rsidRPr="00B74B0F">
              <w:rPr>
                <w:b/>
                <w:bCs/>
                <w:noProof/>
                <w:szCs w:val="22"/>
                <w:lang w:val="sr-Latn-ME"/>
              </w:rPr>
              <w:t>pacijenata</w:t>
            </w:r>
            <w:r w:rsidRPr="00B74B0F">
              <w:rPr>
                <w:b/>
                <w:bCs/>
                <w:noProof/>
                <w:szCs w:val="22"/>
                <w:lang w:val="sr-Latn-ME"/>
              </w:rPr>
              <w:t xml:space="preserve"> (interval pouzdanosti od 95%)</w:t>
            </w:r>
          </w:p>
        </w:tc>
      </w:tr>
      <w:tr w:rsidR="00BF75A1" w:rsidRPr="00B74B0F" w14:paraId="2B883B8A" w14:textId="77777777" w:rsidTr="00F22B92">
        <w:tc>
          <w:tcPr>
            <w:tcW w:w="1110" w:type="pct"/>
            <w:shd w:val="clear" w:color="auto" w:fill="auto"/>
          </w:tcPr>
          <w:p w14:paraId="21F8B0D8" w14:textId="5AB2E5D6" w:rsidR="004E3BE3" w:rsidRPr="00B74B0F" w:rsidRDefault="004E3BE3">
            <w:pPr>
              <w:spacing w:line="240" w:lineRule="auto"/>
              <w:contextualSpacing/>
              <w:jc w:val="both"/>
              <w:rPr>
                <w:noProof/>
                <w:szCs w:val="22"/>
                <w:lang w:val="sr-Latn-ME"/>
              </w:rPr>
            </w:pPr>
            <w:r w:rsidRPr="00B74B0F">
              <w:rPr>
                <w:noProof/>
                <w:szCs w:val="22"/>
                <w:lang w:val="sr-Latn-ME"/>
              </w:rPr>
              <w:t>14. </w:t>
            </w:r>
            <w:r w:rsidR="00A4774A" w:rsidRPr="00B74B0F">
              <w:rPr>
                <w:noProof/>
                <w:szCs w:val="22"/>
                <w:lang w:val="sr-Latn-ME"/>
              </w:rPr>
              <w:t>nedjelja</w:t>
            </w:r>
          </w:p>
        </w:tc>
        <w:tc>
          <w:tcPr>
            <w:tcW w:w="797" w:type="pct"/>
            <w:shd w:val="clear" w:color="auto" w:fill="auto"/>
          </w:tcPr>
          <w:p w14:paraId="5CA50983"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5,3 (0,8; 9,9)</w:t>
            </w:r>
          </w:p>
        </w:tc>
        <w:tc>
          <w:tcPr>
            <w:tcW w:w="1075" w:type="pct"/>
            <w:shd w:val="clear" w:color="auto" w:fill="auto"/>
          </w:tcPr>
          <w:p w14:paraId="426AC586" w14:textId="77777777" w:rsidR="004E3BE3" w:rsidRPr="00B74B0F" w:rsidRDefault="004E3BE3" w:rsidP="00A30C3C">
            <w:pPr>
              <w:spacing w:line="240" w:lineRule="auto"/>
              <w:contextualSpacing/>
              <w:jc w:val="both"/>
              <w:rPr>
                <w:noProof/>
                <w:szCs w:val="22"/>
                <w:lang w:val="sr-Latn-ME"/>
              </w:rPr>
            </w:pPr>
            <w:r w:rsidRPr="00B74B0F">
              <w:rPr>
                <w:noProof/>
                <w:szCs w:val="22"/>
                <w:lang w:val="sr-Latn-ME"/>
              </w:rPr>
              <w:t>32,3 (22,8; 41,8)</w:t>
            </w:r>
            <w:r w:rsidRPr="00B74B0F">
              <w:rPr>
                <w:noProof/>
                <w:szCs w:val="22"/>
                <w:vertAlign w:val="superscript"/>
                <w:lang w:val="sr-Latn-ME"/>
              </w:rPr>
              <w:t>e</w:t>
            </w:r>
          </w:p>
        </w:tc>
        <w:tc>
          <w:tcPr>
            <w:tcW w:w="1049" w:type="pct"/>
          </w:tcPr>
          <w:p w14:paraId="152884D7" w14:textId="77777777" w:rsidR="004E3BE3" w:rsidRPr="00B74B0F" w:rsidRDefault="004E3BE3" w:rsidP="00A30C3C">
            <w:pPr>
              <w:spacing w:line="240" w:lineRule="auto"/>
              <w:contextualSpacing/>
              <w:jc w:val="both"/>
              <w:rPr>
                <w:noProof/>
                <w:szCs w:val="22"/>
                <w:lang w:val="sr-Latn-ME"/>
              </w:rPr>
            </w:pPr>
            <w:r w:rsidRPr="00B74B0F">
              <w:rPr>
                <w:szCs w:val="22"/>
                <w:lang w:val="sr-Latn-ME"/>
              </w:rPr>
              <w:t>4,8 (1,9; 7,7)</w:t>
            </w:r>
          </w:p>
        </w:tc>
        <w:tc>
          <w:tcPr>
            <w:tcW w:w="969" w:type="pct"/>
          </w:tcPr>
          <w:p w14:paraId="4E7CF9CE" w14:textId="77777777" w:rsidR="004E3BE3" w:rsidRPr="00B74B0F" w:rsidRDefault="004E3BE3" w:rsidP="00A30C3C">
            <w:pPr>
              <w:spacing w:line="240" w:lineRule="auto"/>
              <w:contextualSpacing/>
              <w:jc w:val="both"/>
              <w:rPr>
                <w:noProof/>
                <w:szCs w:val="22"/>
                <w:lang w:val="sr-Latn-ME"/>
              </w:rPr>
            </w:pPr>
            <w:r w:rsidRPr="00B74B0F">
              <w:rPr>
                <w:szCs w:val="22"/>
                <w:lang w:val="sr-Latn-ME"/>
              </w:rPr>
              <w:t>30,3 (24,1; 36,5)</w:t>
            </w:r>
            <w:r w:rsidRPr="00B74B0F">
              <w:rPr>
                <w:szCs w:val="22"/>
                <w:vertAlign w:val="superscript"/>
                <w:lang w:val="sr-Latn-ME"/>
              </w:rPr>
              <w:t>e</w:t>
            </w:r>
          </w:p>
        </w:tc>
      </w:tr>
      <w:tr w:rsidR="004E3BE3" w:rsidRPr="00B74B0F" w14:paraId="27F5DEFE" w14:textId="77777777" w:rsidTr="00F22B92">
        <w:tc>
          <w:tcPr>
            <w:tcW w:w="5000" w:type="pct"/>
            <w:gridSpan w:val="5"/>
            <w:shd w:val="clear" w:color="auto" w:fill="auto"/>
          </w:tcPr>
          <w:p w14:paraId="2460DF99" w14:textId="4B386D2E" w:rsidR="004E3BE3" w:rsidRPr="00B74B0F" w:rsidRDefault="004E3BE3">
            <w:pPr>
              <w:tabs>
                <w:tab w:val="clear" w:pos="567"/>
              </w:tabs>
              <w:spacing w:line="240" w:lineRule="auto"/>
              <w:ind w:left="142" w:hanging="142"/>
              <w:contextualSpacing/>
              <w:jc w:val="both"/>
              <w:rPr>
                <w:noProof/>
                <w:szCs w:val="22"/>
                <w:lang w:val="sr-Latn-ME"/>
              </w:rPr>
            </w:pPr>
            <w:r w:rsidRPr="00B74B0F">
              <w:rPr>
                <w:noProof/>
                <w:szCs w:val="22"/>
                <w:vertAlign w:val="superscript"/>
                <w:lang w:val="sr-Latn-ME"/>
              </w:rPr>
              <w:t>a</w:t>
            </w:r>
            <w:r w:rsidRPr="00B74B0F">
              <w:rPr>
                <w:noProof/>
                <w:szCs w:val="22"/>
                <w:lang w:val="sr-Latn-ME"/>
              </w:rPr>
              <w:t xml:space="preserve"> ASAS20 (ASAS40) odgovor defini</w:t>
            </w:r>
            <w:r w:rsidR="00181042" w:rsidRPr="00B74B0F">
              <w:rPr>
                <w:noProof/>
                <w:szCs w:val="22"/>
                <w:lang w:val="sr-Latn-ME"/>
              </w:rPr>
              <w:t>š</w:t>
            </w:r>
            <w:r w:rsidRPr="00B74B0F">
              <w:rPr>
                <w:noProof/>
                <w:szCs w:val="22"/>
                <w:lang w:val="sr-Latn-ME"/>
              </w:rPr>
              <w:t>e kao poboljšanje za ≥ 20% (≥ 40%) i apsolutno poboljšanje od početnih vrijednosti za ≥ 1 (≥ 2) jedinicu/e (raspon 0 do 10) u ≥ 3 od 4 domene (</w:t>
            </w:r>
            <w:r w:rsidR="00181042" w:rsidRPr="00B74B0F">
              <w:rPr>
                <w:noProof/>
                <w:szCs w:val="22"/>
                <w:lang w:val="sr-Latn-ME"/>
              </w:rPr>
              <w:t>pacijent</w:t>
            </w:r>
            <w:r w:rsidRPr="00B74B0F">
              <w:rPr>
                <w:noProof/>
                <w:szCs w:val="22"/>
                <w:lang w:val="sr-Latn-ME"/>
              </w:rPr>
              <w:t>ova globalna ocjena aktivnosti bolesti, ukupna ocjena bol</w:t>
            </w:r>
            <w:r w:rsidR="00A4774A" w:rsidRPr="00B74B0F">
              <w:rPr>
                <w:noProof/>
                <w:szCs w:val="22"/>
                <w:lang w:val="sr-Latn-ME"/>
              </w:rPr>
              <w:t>a</w:t>
            </w:r>
            <w:r w:rsidRPr="00B74B0F">
              <w:rPr>
                <w:noProof/>
                <w:szCs w:val="22"/>
                <w:lang w:val="sr-Latn-ME"/>
              </w:rPr>
              <w:t xml:space="preserve"> u leđima, funkcija i upala) i bez pogoršanja u potencijalno</w:t>
            </w:r>
            <w:r w:rsidR="00A4774A" w:rsidRPr="00B74B0F">
              <w:rPr>
                <w:noProof/>
                <w:szCs w:val="22"/>
                <w:lang w:val="sr-Latn-ME"/>
              </w:rPr>
              <w:t>m</w:t>
            </w:r>
            <w:r w:rsidRPr="00B74B0F">
              <w:rPr>
                <w:noProof/>
                <w:szCs w:val="22"/>
                <w:lang w:val="sr-Latn-ME"/>
              </w:rPr>
              <w:t xml:space="preserve"> preostalo</w:t>
            </w:r>
            <w:r w:rsidR="00A4774A" w:rsidRPr="00B74B0F">
              <w:rPr>
                <w:noProof/>
                <w:szCs w:val="22"/>
                <w:lang w:val="sr-Latn-ME"/>
              </w:rPr>
              <w:t>m</w:t>
            </w:r>
            <w:r w:rsidRPr="00B74B0F">
              <w:rPr>
                <w:noProof/>
                <w:szCs w:val="22"/>
                <w:lang w:val="sr-Latn-ME"/>
              </w:rPr>
              <w:t xml:space="preserve"> domen</w:t>
            </w:r>
            <w:r w:rsidR="00A4774A" w:rsidRPr="00B74B0F">
              <w:rPr>
                <w:noProof/>
                <w:szCs w:val="22"/>
                <w:lang w:val="sr-Latn-ME"/>
              </w:rPr>
              <w:t>u</w:t>
            </w:r>
            <w:r w:rsidRPr="00B74B0F">
              <w:rPr>
                <w:noProof/>
                <w:szCs w:val="22"/>
                <w:lang w:val="sr-Latn-ME"/>
              </w:rPr>
              <w:t> (</w:t>
            </w:r>
            <w:r w:rsidR="00181042" w:rsidRPr="00B74B0F">
              <w:rPr>
                <w:noProof/>
                <w:szCs w:val="22"/>
                <w:lang w:val="sr-Latn-ME"/>
              </w:rPr>
              <w:t>defini</w:t>
            </w:r>
            <w:r w:rsidR="00A4774A" w:rsidRPr="00B74B0F">
              <w:rPr>
                <w:noProof/>
                <w:szCs w:val="22"/>
                <w:lang w:val="sr-Latn-ME"/>
              </w:rPr>
              <w:t>sa</w:t>
            </w:r>
            <w:r w:rsidRPr="00B74B0F">
              <w:rPr>
                <w:noProof/>
                <w:szCs w:val="22"/>
                <w:lang w:val="sr-Latn-ME"/>
              </w:rPr>
              <w:t xml:space="preserve">no kao pogoršanje za ≥ 20% i ≥ 1 jedinice za ASAS20 ili </w:t>
            </w:r>
            <w:r w:rsidR="00181042" w:rsidRPr="00B74B0F">
              <w:rPr>
                <w:noProof/>
                <w:szCs w:val="22"/>
                <w:lang w:val="sr-Latn-ME"/>
              </w:rPr>
              <w:t>defini</w:t>
            </w:r>
            <w:r w:rsidR="00A4774A" w:rsidRPr="00B74B0F">
              <w:rPr>
                <w:noProof/>
                <w:szCs w:val="22"/>
                <w:lang w:val="sr-Latn-ME"/>
              </w:rPr>
              <w:t>sa</w:t>
            </w:r>
            <w:r w:rsidRPr="00B74B0F">
              <w:rPr>
                <w:noProof/>
                <w:szCs w:val="22"/>
                <w:lang w:val="sr-Latn-ME"/>
              </w:rPr>
              <w:t>no kao pogoršanje za &gt; 0 jedinica za ASAS40).</w:t>
            </w:r>
          </w:p>
          <w:p w14:paraId="336EA87B" w14:textId="658E679A" w:rsidR="004E3BE3" w:rsidRPr="00B74B0F" w:rsidRDefault="004E3BE3">
            <w:pPr>
              <w:tabs>
                <w:tab w:val="clear" w:pos="567"/>
              </w:tabs>
              <w:spacing w:line="240" w:lineRule="auto"/>
              <w:ind w:left="142" w:hanging="142"/>
              <w:contextualSpacing/>
              <w:jc w:val="both"/>
              <w:rPr>
                <w:noProof/>
                <w:szCs w:val="22"/>
                <w:lang w:val="sr-Latn-ME"/>
              </w:rPr>
            </w:pPr>
            <w:r w:rsidRPr="00B74B0F">
              <w:rPr>
                <w:noProof/>
                <w:szCs w:val="22"/>
                <w:vertAlign w:val="superscript"/>
                <w:lang w:val="sr-Latn-ME"/>
              </w:rPr>
              <w:t>b</w:t>
            </w:r>
            <w:r w:rsidRPr="00B74B0F">
              <w:rPr>
                <w:noProof/>
                <w:szCs w:val="22"/>
                <w:lang w:val="sr-Latn-ME"/>
              </w:rPr>
              <w:t xml:space="preserve"> </w:t>
            </w:r>
            <w:r w:rsidR="002602C0" w:rsidRPr="00B74B0F">
              <w:rPr>
                <w:noProof/>
                <w:szCs w:val="22"/>
                <w:lang w:val="sr-Latn-ME"/>
              </w:rPr>
              <w:t>Primarni parametar praćenja</w:t>
            </w:r>
          </w:p>
          <w:p w14:paraId="37423D7E" w14:textId="4EC163FD" w:rsidR="004E3BE3" w:rsidRPr="00B74B0F" w:rsidRDefault="004E3BE3">
            <w:pPr>
              <w:tabs>
                <w:tab w:val="clear" w:pos="567"/>
              </w:tabs>
              <w:spacing w:line="240" w:lineRule="auto"/>
              <w:ind w:left="142" w:hanging="142"/>
              <w:contextualSpacing/>
              <w:jc w:val="both"/>
              <w:rPr>
                <w:noProof/>
                <w:szCs w:val="22"/>
                <w:lang w:val="sr-Latn-ME"/>
              </w:rPr>
            </w:pPr>
            <w:r w:rsidRPr="00B74B0F">
              <w:rPr>
                <w:noProof/>
                <w:szCs w:val="22"/>
                <w:vertAlign w:val="superscript"/>
                <w:lang w:val="sr-Latn-ME"/>
              </w:rPr>
              <w:t>c</w:t>
            </w:r>
            <w:r w:rsidRPr="00B74B0F">
              <w:rPr>
                <w:noProof/>
                <w:szCs w:val="22"/>
                <w:lang w:val="sr-Latn-ME"/>
              </w:rPr>
              <w:t xml:space="preserve"> p-vrijednost kontroli</w:t>
            </w:r>
            <w:r w:rsidR="00A4774A" w:rsidRPr="00B74B0F">
              <w:rPr>
                <w:noProof/>
                <w:szCs w:val="22"/>
                <w:lang w:val="sr-Latn-ME"/>
              </w:rPr>
              <w:t>s</w:t>
            </w:r>
            <w:r w:rsidRPr="00B74B0F">
              <w:rPr>
                <w:noProof/>
                <w:szCs w:val="22"/>
                <w:lang w:val="sr-Latn-ME"/>
              </w:rPr>
              <w:t>ana za multiplicitet ≤ 0,001 za upadacitinib u odnosu na placebo</w:t>
            </w:r>
          </w:p>
          <w:p w14:paraId="033DD734" w14:textId="6C25B86D" w:rsidR="004E3BE3" w:rsidRPr="00B74B0F" w:rsidRDefault="004E3BE3">
            <w:pPr>
              <w:tabs>
                <w:tab w:val="clear" w:pos="567"/>
              </w:tabs>
              <w:spacing w:line="240" w:lineRule="auto"/>
              <w:ind w:left="142" w:hanging="142"/>
              <w:contextualSpacing/>
              <w:jc w:val="both"/>
              <w:rPr>
                <w:noProof/>
                <w:szCs w:val="22"/>
                <w:lang w:val="sr-Latn-ME"/>
              </w:rPr>
            </w:pPr>
            <w:r w:rsidRPr="00B74B0F">
              <w:rPr>
                <w:noProof/>
                <w:szCs w:val="22"/>
                <w:vertAlign w:val="superscript"/>
                <w:lang w:val="sr-Latn-ME"/>
              </w:rPr>
              <w:t>d</w:t>
            </w:r>
            <w:r w:rsidRPr="00B74B0F">
              <w:rPr>
                <w:noProof/>
                <w:szCs w:val="22"/>
                <w:lang w:val="sr-Latn-ME"/>
              </w:rPr>
              <w:t xml:space="preserve"> p-vrijednost kontroli</w:t>
            </w:r>
            <w:r w:rsidR="00A4774A" w:rsidRPr="00B74B0F">
              <w:rPr>
                <w:noProof/>
                <w:szCs w:val="22"/>
                <w:lang w:val="sr-Latn-ME"/>
              </w:rPr>
              <w:t>s</w:t>
            </w:r>
            <w:r w:rsidRPr="00B74B0F">
              <w:rPr>
                <w:noProof/>
                <w:szCs w:val="22"/>
                <w:lang w:val="sr-Latn-ME"/>
              </w:rPr>
              <w:t>ana za multiplicitet ≤ 0,01 za upadacitinib u odnosu na placebo</w:t>
            </w:r>
          </w:p>
          <w:p w14:paraId="7675A3DA" w14:textId="3A63D850" w:rsidR="004E3BE3" w:rsidRPr="00B74B0F" w:rsidRDefault="004E3BE3">
            <w:pPr>
              <w:tabs>
                <w:tab w:val="clear" w:pos="567"/>
              </w:tabs>
              <w:spacing w:line="240" w:lineRule="auto"/>
              <w:ind w:left="142" w:hanging="142"/>
              <w:contextualSpacing/>
              <w:jc w:val="both"/>
              <w:rPr>
                <w:noProof/>
                <w:szCs w:val="22"/>
                <w:lang w:val="sr-Latn-ME"/>
              </w:rPr>
            </w:pPr>
            <w:r w:rsidRPr="00B74B0F">
              <w:rPr>
                <w:noProof/>
                <w:szCs w:val="22"/>
                <w:vertAlign w:val="superscript"/>
                <w:lang w:val="sr-Latn-ME"/>
              </w:rPr>
              <w:t>e</w:t>
            </w:r>
            <w:r w:rsidRPr="00B74B0F">
              <w:rPr>
                <w:noProof/>
                <w:szCs w:val="22"/>
                <w:lang w:val="sr-Latn-ME"/>
              </w:rPr>
              <w:t xml:space="preserve"> </w:t>
            </w:r>
            <w:r w:rsidR="00181042" w:rsidRPr="00B74B0F">
              <w:rPr>
                <w:noProof/>
                <w:szCs w:val="22"/>
                <w:lang w:val="sr-Latn-ME"/>
              </w:rPr>
              <w:t xml:space="preserve">poređenje </w:t>
            </w:r>
            <w:r w:rsidRPr="00B74B0F">
              <w:rPr>
                <w:noProof/>
                <w:szCs w:val="22"/>
                <w:lang w:val="sr-Latn-ME"/>
              </w:rPr>
              <w:t>koj</w:t>
            </w:r>
            <w:r w:rsidR="00181042" w:rsidRPr="00B74B0F">
              <w:rPr>
                <w:noProof/>
                <w:szCs w:val="22"/>
                <w:lang w:val="sr-Latn-ME"/>
              </w:rPr>
              <w:t>e</w:t>
            </w:r>
            <w:r w:rsidRPr="00B74B0F">
              <w:rPr>
                <w:noProof/>
                <w:szCs w:val="22"/>
                <w:lang w:val="sr-Latn-ME"/>
              </w:rPr>
              <w:t xml:space="preserve"> nije kontroli</w:t>
            </w:r>
            <w:r w:rsidR="00181042" w:rsidRPr="00B74B0F">
              <w:rPr>
                <w:noProof/>
                <w:szCs w:val="22"/>
                <w:lang w:val="sr-Latn-ME"/>
              </w:rPr>
              <w:t xml:space="preserve">sano </w:t>
            </w:r>
            <w:r w:rsidRPr="00B74B0F">
              <w:rPr>
                <w:noProof/>
                <w:szCs w:val="22"/>
                <w:lang w:val="sr-Latn-ME"/>
              </w:rPr>
              <w:t>za multiplicitet</w:t>
            </w:r>
          </w:p>
          <w:p w14:paraId="1A1BEAB8" w14:textId="1A9C08C0" w:rsidR="004E3BE3" w:rsidRPr="00B74B0F" w:rsidRDefault="004E3BE3">
            <w:pPr>
              <w:tabs>
                <w:tab w:val="clear" w:pos="567"/>
              </w:tabs>
              <w:spacing w:line="240" w:lineRule="auto"/>
              <w:ind w:left="142" w:hanging="142"/>
              <w:contextualSpacing/>
              <w:jc w:val="both"/>
              <w:rPr>
                <w:noProof/>
                <w:szCs w:val="22"/>
                <w:lang w:val="sr-Latn-ME"/>
              </w:rPr>
            </w:pPr>
            <w:r w:rsidRPr="00B74B0F">
              <w:rPr>
                <w:noProof/>
                <w:szCs w:val="22"/>
                <w:vertAlign w:val="superscript"/>
                <w:lang w:val="sr-Latn-ME"/>
              </w:rPr>
              <w:t>f</w:t>
            </w:r>
            <w:r w:rsidRPr="00B74B0F">
              <w:rPr>
                <w:noProof/>
                <w:szCs w:val="22"/>
                <w:lang w:val="sr-Latn-ME"/>
              </w:rPr>
              <w:t xml:space="preserve"> post-hoc analiza </w:t>
            </w:r>
            <w:r w:rsidRPr="00B74B0F">
              <w:rPr>
                <w:szCs w:val="22"/>
                <w:lang w:val="sr-Latn-ME"/>
              </w:rPr>
              <w:t>za SELECT-AXIS 1</w:t>
            </w:r>
            <w:r w:rsidRPr="00B74B0F">
              <w:rPr>
                <w:noProof/>
                <w:szCs w:val="22"/>
                <w:lang w:val="sr-Latn-ME"/>
              </w:rPr>
              <w:t>, nije kontrol</w:t>
            </w:r>
            <w:r w:rsidR="00181042" w:rsidRPr="00B74B0F">
              <w:rPr>
                <w:noProof/>
                <w:szCs w:val="22"/>
                <w:lang w:val="sr-Latn-ME"/>
              </w:rPr>
              <w:t>isana</w:t>
            </w:r>
            <w:r w:rsidRPr="00B74B0F">
              <w:rPr>
                <w:noProof/>
                <w:szCs w:val="22"/>
                <w:lang w:val="sr-Latn-ME"/>
              </w:rPr>
              <w:t xml:space="preserve"> za multiplicitet</w:t>
            </w:r>
          </w:p>
          <w:p w14:paraId="3C085D73" w14:textId="3C23CE0E" w:rsidR="004E3BE3" w:rsidRPr="00B74B0F" w:rsidRDefault="004E3BE3" w:rsidP="007F3A04">
            <w:pPr>
              <w:spacing w:line="240" w:lineRule="auto"/>
              <w:contextualSpacing/>
              <w:jc w:val="both"/>
              <w:rPr>
                <w:noProof/>
                <w:szCs w:val="22"/>
                <w:lang w:val="sr-Latn-ME"/>
              </w:rPr>
            </w:pPr>
            <w:r w:rsidRPr="00B74B0F">
              <w:rPr>
                <w:noProof/>
                <w:szCs w:val="22"/>
                <w:lang w:val="sr-Latn-ME"/>
              </w:rPr>
              <w:t>Za binarne mjere ishoda rezultati</w:t>
            </w:r>
            <w:r w:rsidR="00A4774A" w:rsidRPr="00B74B0F">
              <w:rPr>
                <w:noProof/>
                <w:szCs w:val="22"/>
                <w:lang w:val="sr-Latn-ME"/>
              </w:rPr>
              <w:t xml:space="preserve"> u</w:t>
            </w:r>
            <w:r w:rsidRPr="00B74B0F">
              <w:rPr>
                <w:noProof/>
                <w:szCs w:val="22"/>
                <w:lang w:val="sr-Latn-ME"/>
              </w:rPr>
              <w:t xml:space="preserve"> 14. </w:t>
            </w:r>
            <w:r w:rsidR="00A4774A" w:rsidRPr="00B74B0F">
              <w:rPr>
                <w:noProof/>
                <w:szCs w:val="22"/>
                <w:lang w:val="sr-Latn-ME"/>
              </w:rPr>
              <w:t xml:space="preserve">nedjelji </w:t>
            </w:r>
            <w:r w:rsidR="00343D6C" w:rsidRPr="00B74B0F">
              <w:rPr>
                <w:noProof/>
                <w:szCs w:val="22"/>
                <w:lang w:val="sr-Latn-ME"/>
              </w:rPr>
              <w:t>zasnivaju</w:t>
            </w:r>
            <w:r w:rsidRPr="00B74B0F">
              <w:rPr>
                <w:noProof/>
                <w:szCs w:val="22"/>
                <w:lang w:val="sr-Latn-ME"/>
              </w:rPr>
              <w:t xml:space="preserve"> se na analizi u kojoj su nedostajući podaci imputirani kao izostanak odgovora </w:t>
            </w:r>
            <w:r w:rsidRPr="00B74B0F">
              <w:rPr>
                <w:szCs w:val="22"/>
                <w:lang w:val="sr-Latn-ME"/>
              </w:rPr>
              <w:t>(SELECT-AXIS 1) i analizi u kojoj su nedostajući podaci imputirani kao izostanak odgovora u kombinaciji s</w:t>
            </w:r>
            <w:r w:rsidR="00343D6C" w:rsidRPr="00B74B0F">
              <w:rPr>
                <w:szCs w:val="22"/>
                <w:lang w:val="sr-Latn-ME"/>
              </w:rPr>
              <w:t>a</w:t>
            </w:r>
            <w:r w:rsidRPr="00B74B0F">
              <w:rPr>
                <w:szCs w:val="22"/>
                <w:lang w:val="sr-Latn-ME"/>
              </w:rPr>
              <w:t xml:space="preserve"> višestrukom imputacijom (SELECT-AXIS 2 [AS])</w:t>
            </w:r>
            <w:r w:rsidRPr="00B74B0F">
              <w:rPr>
                <w:noProof/>
                <w:szCs w:val="22"/>
                <w:lang w:val="sr-Latn-ME"/>
              </w:rPr>
              <w:t xml:space="preserve">. Za kontinuirane </w:t>
            </w:r>
            <w:r w:rsidR="00343D6C" w:rsidRPr="00B74B0F">
              <w:rPr>
                <w:noProof/>
                <w:szCs w:val="22"/>
                <w:lang w:val="sr-Latn-ME"/>
              </w:rPr>
              <w:t>parametre praćenja</w:t>
            </w:r>
            <w:r w:rsidRPr="00B74B0F">
              <w:rPr>
                <w:noProof/>
                <w:szCs w:val="22"/>
                <w:lang w:val="sr-Latn-ME"/>
              </w:rPr>
              <w:t xml:space="preserve"> rezultati </w:t>
            </w:r>
            <w:r w:rsidR="00A4774A" w:rsidRPr="00B74B0F">
              <w:rPr>
                <w:noProof/>
                <w:szCs w:val="22"/>
                <w:lang w:val="sr-Latn-ME"/>
              </w:rPr>
              <w:t xml:space="preserve">u </w:t>
            </w:r>
            <w:r w:rsidRPr="00B74B0F">
              <w:rPr>
                <w:noProof/>
                <w:szCs w:val="22"/>
                <w:lang w:val="sr-Latn-ME"/>
              </w:rPr>
              <w:t xml:space="preserve">14. </w:t>
            </w:r>
            <w:r w:rsidR="00A4774A" w:rsidRPr="00B74B0F">
              <w:rPr>
                <w:noProof/>
                <w:szCs w:val="22"/>
                <w:lang w:val="sr-Latn-ME"/>
              </w:rPr>
              <w:t>nedjelji</w:t>
            </w:r>
            <w:r w:rsidRPr="00B74B0F">
              <w:rPr>
                <w:noProof/>
                <w:szCs w:val="22"/>
                <w:lang w:val="sr-Latn-ME"/>
              </w:rPr>
              <w:t xml:space="preserve"> </w:t>
            </w:r>
            <w:r w:rsidR="00343D6C" w:rsidRPr="00B74B0F">
              <w:rPr>
                <w:noProof/>
                <w:szCs w:val="22"/>
                <w:lang w:val="sr-Latn-ME"/>
              </w:rPr>
              <w:t>zasnivaju</w:t>
            </w:r>
            <w:r w:rsidRPr="00B74B0F">
              <w:rPr>
                <w:noProof/>
                <w:szCs w:val="22"/>
                <w:lang w:val="sr-Latn-ME"/>
              </w:rPr>
              <w:t xml:space="preserve"> se na srednjoj vrijednosti promjene od početnih vrijednosti prema metodi najmanjih kvadrata, pomoću miješanih modela za analizu ponovljenih mjerenja.</w:t>
            </w:r>
          </w:p>
        </w:tc>
      </w:tr>
    </w:tbl>
    <w:p w14:paraId="1E78846D" w14:textId="77777777" w:rsidR="004E3BE3" w:rsidRPr="00B74B0F" w:rsidRDefault="004E3BE3">
      <w:pPr>
        <w:spacing w:line="240" w:lineRule="auto"/>
        <w:contextualSpacing/>
        <w:jc w:val="both"/>
        <w:rPr>
          <w:noProof/>
          <w:szCs w:val="22"/>
          <w:lang w:val="sr-Latn-ME"/>
        </w:rPr>
      </w:pPr>
    </w:p>
    <w:p w14:paraId="107D0E63" w14:textId="44A4CC86" w:rsidR="004E3BE3" w:rsidRPr="00B74B0F" w:rsidRDefault="004E3BE3">
      <w:pPr>
        <w:numPr>
          <w:ilvl w:val="0"/>
          <w:numId w:val="53"/>
        </w:numPr>
        <w:spacing w:line="240" w:lineRule="auto"/>
        <w:contextualSpacing/>
        <w:jc w:val="both"/>
        <w:rPr>
          <w:szCs w:val="22"/>
          <w:lang w:val="sr-Latn-ME"/>
        </w:rPr>
      </w:pPr>
      <w:r w:rsidRPr="00B74B0F">
        <w:rPr>
          <w:szCs w:val="22"/>
          <w:lang w:val="sr-Latn-ME"/>
        </w:rPr>
        <w:t>U ispitivanju SELECT</w:t>
      </w:r>
      <w:r w:rsidRPr="00B74B0F">
        <w:rPr>
          <w:szCs w:val="22"/>
          <w:lang w:val="sr-Latn-ME"/>
        </w:rPr>
        <w:noBreakHyphen/>
        <w:t xml:space="preserve">AXIS 1 </w:t>
      </w:r>
      <w:r w:rsidR="000E09B3" w:rsidRPr="00B74B0F">
        <w:rPr>
          <w:szCs w:val="22"/>
          <w:lang w:val="sr-Latn-ME"/>
        </w:rPr>
        <w:t xml:space="preserve">efikasnost </w:t>
      </w:r>
      <w:r w:rsidRPr="00B74B0F">
        <w:rPr>
          <w:szCs w:val="22"/>
          <w:lang w:val="sr-Latn-ME"/>
        </w:rPr>
        <w:t xml:space="preserve">je održana </w:t>
      </w:r>
      <w:r w:rsidR="00181042" w:rsidRPr="00B74B0F">
        <w:rPr>
          <w:szCs w:val="22"/>
          <w:lang w:val="sr-Latn-ME"/>
        </w:rPr>
        <w:t>tokom</w:t>
      </w:r>
      <w:r w:rsidRPr="00B74B0F">
        <w:rPr>
          <w:szCs w:val="22"/>
          <w:lang w:val="sr-Latn-ME"/>
        </w:rPr>
        <w:t xml:space="preserve"> 2 godine prema procjenama iz </w:t>
      </w:r>
      <w:r w:rsidR="00343D6C" w:rsidRPr="00B74B0F">
        <w:rPr>
          <w:szCs w:val="22"/>
          <w:lang w:val="sr-Latn-ME"/>
        </w:rPr>
        <w:t>parametara praćenja</w:t>
      </w:r>
      <w:r w:rsidRPr="00B74B0F">
        <w:rPr>
          <w:szCs w:val="22"/>
          <w:lang w:val="sr-Latn-ME"/>
        </w:rPr>
        <w:t xml:space="preserve"> prikazanih u </w:t>
      </w:r>
      <w:r w:rsidR="000E09B3" w:rsidRPr="00B74B0F">
        <w:rPr>
          <w:szCs w:val="22"/>
          <w:lang w:val="sr-Latn-ME"/>
        </w:rPr>
        <w:t>T</w:t>
      </w:r>
      <w:r w:rsidRPr="00B74B0F">
        <w:rPr>
          <w:szCs w:val="22"/>
          <w:lang w:val="sr-Latn-ME"/>
        </w:rPr>
        <w:t>ab</w:t>
      </w:r>
      <w:r w:rsidR="000E09B3" w:rsidRPr="00B74B0F">
        <w:rPr>
          <w:szCs w:val="22"/>
          <w:lang w:val="sr-Latn-ME"/>
        </w:rPr>
        <w:t>eli</w:t>
      </w:r>
      <w:r w:rsidRPr="00B74B0F">
        <w:rPr>
          <w:szCs w:val="22"/>
          <w:lang w:val="sr-Latn-ME"/>
        </w:rPr>
        <w:t> 11.</w:t>
      </w:r>
    </w:p>
    <w:p w14:paraId="625412AC" w14:textId="77777777" w:rsidR="000E09B3" w:rsidRPr="00B74B0F" w:rsidRDefault="000E09B3">
      <w:pPr>
        <w:spacing w:line="240" w:lineRule="auto"/>
        <w:contextualSpacing/>
        <w:jc w:val="both"/>
        <w:rPr>
          <w:i/>
          <w:iCs/>
          <w:noProof/>
          <w:szCs w:val="22"/>
          <w:lang w:val="sr-Latn-ME"/>
        </w:rPr>
      </w:pPr>
    </w:p>
    <w:p w14:paraId="42DA63CF" w14:textId="400459F7" w:rsidR="004E3BE3" w:rsidRPr="00B74B0F" w:rsidRDefault="004E3BE3">
      <w:pPr>
        <w:spacing w:line="240" w:lineRule="auto"/>
        <w:contextualSpacing/>
        <w:jc w:val="both"/>
        <w:rPr>
          <w:noProof/>
          <w:szCs w:val="22"/>
          <w:lang w:val="sr-Latn-ME"/>
        </w:rPr>
      </w:pPr>
      <w:r w:rsidRPr="00B74B0F">
        <w:rPr>
          <w:i/>
          <w:iCs/>
          <w:noProof/>
          <w:szCs w:val="22"/>
          <w:lang w:val="sr-Latn-ME"/>
        </w:rPr>
        <w:t xml:space="preserve">Odgovor tjelesne funkcije </w:t>
      </w:r>
      <w:r w:rsidRPr="00B74B0F">
        <w:rPr>
          <w:i/>
          <w:iCs/>
          <w:szCs w:val="22"/>
          <w:lang w:val="sr-Latn-ME"/>
        </w:rPr>
        <w:t>i ishodi vezani uz zdravlje</w:t>
      </w:r>
    </w:p>
    <w:p w14:paraId="4F33E672" w14:textId="5A73421C" w:rsidR="004E3BE3" w:rsidRPr="00B74B0F" w:rsidRDefault="004E3BE3">
      <w:pPr>
        <w:spacing w:line="240" w:lineRule="auto"/>
        <w:contextualSpacing/>
        <w:jc w:val="both"/>
        <w:rPr>
          <w:szCs w:val="22"/>
          <w:lang w:val="sr-Latn-ME"/>
        </w:rPr>
      </w:pPr>
      <w:r w:rsidRPr="00B74B0F">
        <w:rPr>
          <w:szCs w:val="22"/>
          <w:lang w:val="sr-Latn-ME"/>
        </w:rPr>
        <w:lastRenderedPageBreak/>
        <w:t xml:space="preserve">U oba ispitivanja </w:t>
      </w:r>
      <w:r w:rsidR="00181042" w:rsidRPr="00B74B0F">
        <w:rPr>
          <w:noProof/>
          <w:szCs w:val="22"/>
          <w:lang w:val="sr-Latn-ME"/>
        </w:rPr>
        <w:t>pacijenti</w:t>
      </w:r>
      <w:r w:rsidRPr="00B74B0F">
        <w:rPr>
          <w:noProof/>
          <w:szCs w:val="22"/>
          <w:lang w:val="sr-Latn-ME"/>
        </w:rPr>
        <w:t xml:space="preserve"> liječeni upadacitinibom u dozi od 15 mg pokazali su značajno poboljšanje tjelesne funkcije u odnosu na početne vrijednosti u </w:t>
      </w:r>
      <w:r w:rsidR="00181042" w:rsidRPr="00B74B0F">
        <w:rPr>
          <w:noProof/>
          <w:szCs w:val="22"/>
          <w:lang w:val="sr-Latn-ME"/>
        </w:rPr>
        <w:t>poređenju</w:t>
      </w:r>
      <w:r w:rsidRPr="00B74B0F">
        <w:rPr>
          <w:noProof/>
          <w:szCs w:val="22"/>
          <w:lang w:val="sr-Latn-ME"/>
        </w:rPr>
        <w:t xml:space="preserve"> s</w:t>
      </w:r>
      <w:r w:rsidR="00343D6C" w:rsidRPr="00B74B0F">
        <w:rPr>
          <w:noProof/>
          <w:szCs w:val="22"/>
          <w:lang w:val="sr-Latn-ME"/>
        </w:rPr>
        <w:t>a</w:t>
      </w:r>
      <w:r w:rsidRPr="00B74B0F">
        <w:rPr>
          <w:noProof/>
          <w:szCs w:val="22"/>
          <w:lang w:val="sr-Latn-ME"/>
        </w:rPr>
        <w:t xml:space="preserve"> placebom prema </w:t>
      </w:r>
      <w:r w:rsidRPr="00B74B0F">
        <w:rPr>
          <w:szCs w:val="22"/>
          <w:lang w:val="sr-Latn-ME"/>
        </w:rPr>
        <w:t xml:space="preserve">Bath funkcionalnom indeksu ankilozantnog spondilitisa (engl. </w:t>
      </w:r>
      <w:r w:rsidRPr="00B74B0F">
        <w:rPr>
          <w:i/>
          <w:iCs/>
          <w:szCs w:val="22"/>
          <w:lang w:val="sr-Latn-ME"/>
        </w:rPr>
        <w:t>Bath Ankylosing Spondylitis Functional Index</w:t>
      </w:r>
      <w:r w:rsidRPr="00B74B0F">
        <w:rPr>
          <w:szCs w:val="22"/>
          <w:lang w:val="sr-Latn-ME"/>
        </w:rPr>
        <w:t xml:space="preserve">, </w:t>
      </w:r>
      <w:r w:rsidRPr="00B74B0F">
        <w:rPr>
          <w:noProof/>
          <w:szCs w:val="22"/>
          <w:lang w:val="sr-Latn-ME"/>
        </w:rPr>
        <w:t xml:space="preserve">BASFI) u 14. </w:t>
      </w:r>
      <w:r w:rsidR="00181042" w:rsidRPr="00B74B0F">
        <w:rPr>
          <w:noProof/>
          <w:szCs w:val="22"/>
          <w:lang w:val="sr-Latn-ME"/>
        </w:rPr>
        <w:t>ned</w:t>
      </w:r>
      <w:r w:rsidR="000E09B3" w:rsidRPr="00B74B0F">
        <w:rPr>
          <w:noProof/>
          <w:szCs w:val="22"/>
          <w:lang w:val="sr-Latn-ME"/>
        </w:rPr>
        <w:t>j</w:t>
      </w:r>
      <w:r w:rsidR="00181042" w:rsidRPr="00B74B0F">
        <w:rPr>
          <w:noProof/>
          <w:szCs w:val="22"/>
          <w:lang w:val="sr-Latn-ME"/>
        </w:rPr>
        <w:t>elji</w:t>
      </w:r>
      <w:r w:rsidRPr="00B74B0F">
        <w:rPr>
          <w:noProof/>
          <w:szCs w:val="22"/>
          <w:lang w:val="sr-Latn-ME"/>
        </w:rPr>
        <w:t>.</w:t>
      </w:r>
      <w:r w:rsidRPr="00B74B0F">
        <w:rPr>
          <w:szCs w:val="22"/>
          <w:lang w:val="sr-Latn-ME"/>
        </w:rPr>
        <w:t xml:space="preserve"> Za ispitivanje SELECT-AXIS 1 poboljšanje indeksa BASFI održano je </w:t>
      </w:r>
      <w:r w:rsidR="00181042" w:rsidRPr="00B74B0F">
        <w:rPr>
          <w:szCs w:val="22"/>
          <w:lang w:val="sr-Latn-ME"/>
        </w:rPr>
        <w:t>tokom</w:t>
      </w:r>
      <w:r w:rsidRPr="00B74B0F">
        <w:rPr>
          <w:szCs w:val="22"/>
          <w:lang w:val="sr-Latn-ME"/>
        </w:rPr>
        <w:t xml:space="preserve"> 2 godine.</w:t>
      </w:r>
    </w:p>
    <w:p w14:paraId="151C92FC" w14:textId="77777777" w:rsidR="004E3BE3" w:rsidRPr="00B74B0F" w:rsidRDefault="004E3BE3">
      <w:pPr>
        <w:spacing w:line="240" w:lineRule="auto"/>
        <w:contextualSpacing/>
        <w:jc w:val="both"/>
        <w:rPr>
          <w:szCs w:val="22"/>
          <w:lang w:val="sr-Latn-ME"/>
        </w:rPr>
      </w:pPr>
    </w:p>
    <w:p w14:paraId="043F92C9" w14:textId="2EBF4B89" w:rsidR="004E3BE3" w:rsidRPr="00B74B0F" w:rsidRDefault="004E3BE3">
      <w:pPr>
        <w:spacing w:line="240" w:lineRule="auto"/>
        <w:contextualSpacing/>
        <w:jc w:val="both"/>
        <w:rPr>
          <w:szCs w:val="22"/>
          <w:lang w:val="sr-Latn-ME"/>
        </w:rPr>
      </w:pPr>
      <w:r w:rsidRPr="00B74B0F">
        <w:rPr>
          <w:szCs w:val="22"/>
          <w:lang w:val="sr-Latn-ME"/>
        </w:rPr>
        <w:t>U ispitivanju SELECT</w:t>
      </w:r>
      <w:r w:rsidRPr="00B74B0F">
        <w:rPr>
          <w:szCs w:val="22"/>
          <w:lang w:val="sr-Latn-ME"/>
        </w:rPr>
        <w:noBreakHyphen/>
        <w:t xml:space="preserve">AXIS 2 (AS) </w:t>
      </w:r>
      <w:r w:rsidR="00181042" w:rsidRPr="00B74B0F">
        <w:rPr>
          <w:szCs w:val="22"/>
          <w:lang w:val="sr-Latn-ME"/>
        </w:rPr>
        <w:t>pacijenti</w:t>
      </w:r>
      <w:r w:rsidRPr="00B74B0F">
        <w:rPr>
          <w:szCs w:val="22"/>
          <w:lang w:val="sr-Latn-ME"/>
        </w:rPr>
        <w:t xml:space="preserve"> liječeni upadacitinibom u dozi od 15 mg pokazali su u 14. </w:t>
      </w:r>
      <w:r w:rsidR="00181042" w:rsidRPr="00B74B0F">
        <w:rPr>
          <w:szCs w:val="22"/>
          <w:lang w:val="sr-Latn-ME"/>
        </w:rPr>
        <w:t>ned</w:t>
      </w:r>
      <w:r w:rsidR="000E09B3" w:rsidRPr="00B74B0F">
        <w:rPr>
          <w:szCs w:val="22"/>
          <w:lang w:val="sr-Latn-ME"/>
        </w:rPr>
        <w:t>j</w:t>
      </w:r>
      <w:r w:rsidR="00181042" w:rsidRPr="00B74B0F">
        <w:rPr>
          <w:szCs w:val="22"/>
          <w:lang w:val="sr-Latn-ME"/>
        </w:rPr>
        <w:t>elji</w:t>
      </w:r>
      <w:r w:rsidRPr="00B74B0F">
        <w:rPr>
          <w:szCs w:val="22"/>
          <w:lang w:val="sr-Latn-ME"/>
        </w:rPr>
        <w:t xml:space="preserve"> značajno smanjenje ukupnih bolova u leđima i bolova u leđima </w:t>
      </w:r>
      <w:r w:rsidR="00181042" w:rsidRPr="00B74B0F">
        <w:rPr>
          <w:szCs w:val="22"/>
          <w:lang w:val="sr-Latn-ME"/>
        </w:rPr>
        <w:t>tokom</w:t>
      </w:r>
      <w:r w:rsidRPr="00B74B0F">
        <w:rPr>
          <w:szCs w:val="22"/>
          <w:lang w:val="sr-Latn-ME"/>
        </w:rPr>
        <w:t xml:space="preserve"> noći u </w:t>
      </w:r>
      <w:r w:rsidR="00181042" w:rsidRPr="00B74B0F">
        <w:rPr>
          <w:szCs w:val="22"/>
          <w:lang w:val="sr-Latn-ME"/>
        </w:rPr>
        <w:t>poređenju</w:t>
      </w:r>
      <w:r w:rsidRPr="00B74B0F">
        <w:rPr>
          <w:szCs w:val="22"/>
          <w:lang w:val="sr-Latn-ME"/>
        </w:rPr>
        <w:t xml:space="preserve"> s</w:t>
      </w:r>
      <w:r w:rsidR="00343D6C" w:rsidRPr="00B74B0F">
        <w:rPr>
          <w:szCs w:val="22"/>
          <w:lang w:val="sr-Latn-ME"/>
        </w:rPr>
        <w:t>a</w:t>
      </w:r>
      <w:r w:rsidRPr="00B74B0F">
        <w:rPr>
          <w:szCs w:val="22"/>
          <w:lang w:val="sr-Latn-ME"/>
        </w:rPr>
        <w:t xml:space="preserve"> </w:t>
      </w:r>
      <w:r w:rsidR="00181042" w:rsidRPr="00B74B0F">
        <w:rPr>
          <w:szCs w:val="22"/>
          <w:lang w:val="sr-Latn-ME"/>
        </w:rPr>
        <w:t>pacijenti</w:t>
      </w:r>
      <w:r w:rsidRPr="00B74B0F">
        <w:rPr>
          <w:szCs w:val="22"/>
          <w:lang w:val="sr-Latn-ME"/>
        </w:rPr>
        <w:t xml:space="preserve">ma koji su primali placebo. </w:t>
      </w:r>
    </w:p>
    <w:p w14:paraId="15EED634" w14:textId="77777777" w:rsidR="004E3BE3" w:rsidRPr="00B74B0F" w:rsidRDefault="004E3BE3">
      <w:pPr>
        <w:spacing w:line="240" w:lineRule="auto"/>
        <w:contextualSpacing/>
        <w:jc w:val="both"/>
        <w:rPr>
          <w:szCs w:val="22"/>
          <w:lang w:val="sr-Latn-ME"/>
        </w:rPr>
      </w:pPr>
    </w:p>
    <w:p w14:paraId="069C50AD" w14:textId="7AB737F4" w:rsidR="004E3BE3" w:rsidRPr="00B74B0F" w:rsidRDefault="004E3BE3">
      <w:pPr>
        <w:spacing w:line="240" w:lineRule="auto"/>
        <w:contextualSpacing/>
        <w:jc w:val="both"/>
        <w:rPr>
          <w:szCs w:val="22"/>
          <w:lang w:val="sr-Latn-ME"/>
        </w:rPr>
      </w:pPr>
      <w:bookmarkStart w:id="4" w:name="_Hlk95727386"/>
      <w:r w:rsidRPr="00B74B0F">
        <w:rPr>
          <w:szCs w:val="22"/>
          <w:lang w:val="sr-Latn-ME"/>
        </w:rPr>
        <w:t>U ispitivanju SELECT</w:t>
      </w:r>
      <w:r w:rsidRPr="00B74B0F">
        <w:rPr>
          <w:szCs w:val="22"/>
          <w:lang w:val="sr-Latn-ME"/>
        </w:rPr>
        <w:noBreakHyphen/>
        <w:t xml:space="preserve">AXIS 2 (AS) </w:t>
      </w:r>
      <w:r w:rsidR="00181042" w:rsidRPr="00B74B0F">
        <w:rPr>
          <w:szCs w:val="22"/>
          <w:lang w:val="sr-Latn-ME"/>
        </w:rPr>
        <w:t>pacijenti</w:t>
      </w:r>
      <w:r w:rsidRPr="00B74B0F">
        <w:rPr>
          <w:szCs w:val="22"/>
          <w:lang w:val="sr-Latn-ME"/>
        </w:rPr>
        <w:t xml:space="preserve"> liječeni upadacitinibom u dozi od 15 mg pokazali su u 14. </w:t>
      </w:r>
      <w:r w:rsidR="00181042" w:rsidRPr="00B74B0F">
        <w:rPr>
          <w:szCs w:val="22"/>
          <w:lang w:val="sr-Latn-ME"/>
        </w:rPr>
        <w:t>ned</w:t>
      </w:r>
      <w:r w:rsidR="000E09B3" w:rsidRPr="00B74B0F">
        <w:rPr>
          <w:szCs w:val="22"/>
          <w:lang w:val="sr-Latn-ME"/>
        </w:rPr>
        <w:t>j</w:t>
      </w:r>
      <w:r w:rsidR="00181042" w:rsidRPr="00B74B0F">
        <w:rPr>
          <w:szCs w:val="22"/>
          <w:lang w:val="sr-Latn-ME"/>
        </w:rPr>
        <w:t>elji</w:t>
      </w:r>
      <w:r w:rsidRPr="00B74B0F">
        <w:rPr>
          <w:szCs w:val="22"/>
          <w:lang w:val="sr-Latn-ME"/>
        </w:rPr>
        <w:t xml:space="preserve"> značajno poboljšanje kvalitet</w:t>
      </w:r>
      <w:r w:rsidR="000E09B3" w:rsidRPr="00B74B0F">
        <w:rPr>
          <w:szCs w:val="22"/>
          <w:lang w:val="sr-Latn-ME"/>
        </w:rPr>
        <w:t>a</w:t>
      </w:r>
      <w:r w:rsidRPr="00B74B0F">
        <w:rPr>
          <w:szCs w:val="22"/>
          <w:lang w:val="sr-Latn-ME"/>
        </w:rPr>
        <w:t xml:space="preserve"> života povezan</w:t>
      </w:r>
      <w:r w:rsidR="000E09B3" w:rsidRPr="00B74B0F">
        <w:rPr>
          <w:szCs w:val="22"/>
          <w:lang w:val="sr-Latn-ME"/>
        </w:rPr>
        <w:t>og</w:t>
      </w:r>
      <w:r w:rsidRPr="00B74B0F">
        <w:rPr>
          <w:szCs w:val="22"/>
          <w:lang w:val="sr-Latn-ME"/>
        </w:rPr>
        <w:t xml:space="preserve"> sa zdravljem, kao i sveukupno poboljšanje zdravstvenog stanja izmjereno prema ASQoL-u i indeksu zdravlja ASAS, u </w:t>
      </w:r>
      <w:r w:rsidR="00181042" w:rsidRPr="00B74B0F">
        <w:rPr>
          <w:szCs w:val="22"/>
          <w:lang w:val="sr-Latn-ME"/>
        </w:rPr>
        <w:t>poređenju</w:t>
      </w:r>
      <w:r w:rsidRPr="00B74B0F">
        <w:rPr>
          <w:szCs w:val="22"/>
          <w:lang w:val="sr-Latn-ME"/>
        </w:rPr>
        <w:t xml:space="preserve"> s</w:t>
      </w:r>
      <w:r w:rsidR="00343D6C" w:rsidRPr="00B74B0F">
        <w:rPr>
          <w:szCs w:val="22"/>
          <w:lang w:val="sr-Latn-ME"/>
        </w:rPr>
        <w:t>a</w:t>
      </w:r>
      <w:r w:rsidRPr="00B74B0F">
        <w:rPr>
          <w:szCs w:val="22"/>
          <w:lang w:val="sr-Latn-ME"/>
        </w:rPr>
        <w:t xml:space="preserve"> </w:t>
      </w:r>
      <w:r w:rsidR="00181042" w:rsidRPr="00B74B0F">
        <w:rPr>
          <w:szCs w:val="22"/>
          <w:lang w:val="sr-Latn-ME"/>
        </w:rPr>
        <w:t>pacijenti</w:t>
      </w:r>
      <w:r w:rsidRPr="00B74B0F">
        <w:rPr>
          <w:szCs w:val="22"/>
          <w:lang w:val="sr-Latn-ME"/>
        </w:rPr>
        <w:t>ma koji su primali placebo.</w:t>
      </w:r>
    </w:p>
    <w:bookmarkEnd w:id="4"/>
    <w:p w14:paraId="35CFB0C6" w14:textId="77777777" w:rsidR="004E3BE3" w:rsidRPr="00B74B0F" w:rsidRDefault="004E3BE3">
      <w:pPr>
        <w:spacing w:line="240" w:lineRule="auto"/>
        <w:contextualSpacing/>
        <w:jc w:val="both"/>
        <w:rPr>
          <w:szCs w:val="22"/>
          <w:lang w:val="sr-Latn-ME"/>
        </w:rPr>
      </w:pPr>
    </w:p>
    <w:p w14:paraId="7BBD710B" w14:textId="48AF3EC9" w:rsidR="004E3BE3" w:rsidRPr="00B74B0F" w:rsidRDefault="004E3BE3">
      <w:pPr>
        <w:spacing w:line="240" w:lineRule="auto"/>
        <w:contextualSpacing/>
        <w:jc w:val="both"/>
        <w:rPr>
          <w:i/>
          <w:szCs w:val="22"/>
          <w:lang w:val="sr-Latn-ME"/>
        </w:rPr>
      </w:pPr>
      <w:r w:rsidRPr="00B74B0F">
        <w:rPr>
          <w:i/>
          <w:szCs w:val="22"/>
          <w:lang w:val="sr-Latn-ME"/>
        </w:rPr>
        <w:t>Entezitis</w:t>
      </w:r>
    </w:p>
    <w:p w14:paraId="06088AB3" w14:textId="77777777" w:rsidR="00D27392" w:rsidRPr="00B74B0F" w:rsidRDefault="00D27392">
      <w:pPr>
        <w:spacing w:line="240" w:lineRule="auto"/>
        <w:contextualSpacing/>
        <w:jc w:val="both"/>
        <w:rPr>
          <w:i/>
          <w:szCs w:val="22"/>
          <w:lang w:val="sr-Latn-ME"/>
        </w:rPr>
      </w:pPr>
    </w:p>
    <w:p w14:paraId="2DA6C063" w14:textId="454B9B3B" w:rsidR="004E3BE3" w:rsidRPr="00B74B0F" w:rsidRDefault="004E3BE3">
      <w:pPr>
        <w:spacing w:line="240" w:lineRule="auto"/>
        <w:contextualSpacing/>
        <w:jc w:val="both"/>
        <w:rPr>
          <w:szCs w:val="22"/>
          <w:lang w:val="sr-Latn-ME"/>
        </w:rPr>
      </w:pPr>
      <w:r w:rsidRPr="00B74B0F">
        <w:rPr>
          <w:szCs w:val="22"/>
          <w:lang w:val="sr-Latn-ME"/>
        </w:rPr>
        <w:t>U ispitivanju SELECT</w:t>
      </w:r>
      <w:r w:rsidRPr="00B74B0F">
        <w:rPr>
          <w:szCs w:val="22"/>
          <w:lang w:val="sr-Latn-ME"/>
        </w:rPr>
        <w:noBreakHyphen/>
        <w:t xml:space="preserve">AXIS 2 (AS) </w:t>
      </w:r>
      <w:r w:rsidR="00181042" w:rsidRPr="00B74B0F">
        <w:rPr>
          <w:szCs w:val="22"/>
          <w:lang w:val="sr-Latn-ME"/>
        </w:rPr>
        <w:t>pacijenti</w:t>
      </w:r>
      <w:r w:rsidRPr="00B74B0F">
        <w:rPr>
          <w:szCs w:val="22"/>
          <w:lang w:val="sr-Latn-ME"/>
        </w:rPr>
        <w:t xml:space="preserve"> s postojećim entezitisom (n=310) liječeni upadacitinibom u dozi od 15 mg pokazali su značajno poboljšanje postojećeg entezitisa u 14. </w:t>
      </w:r>
      <w:r w:rsidR="00181042" w:rsidRPr="00B74B0F">
        <w:rPr>
          <w:szCs w:val="22"/>
          <w:lang w:val="sr-Latn-ME"/>
        </w:rPr>
        <w:t>ned</w:t>
      </w:r>
      <w:r w:rsidR="000E09B3" w:rsidRPr="00B74B0F">
        <w:rPr>
          <w:szCs w:val="22"/>
          <w:lang w:val="sr-Latn-ME"/>
        </w:rPr>
        <w:t>j</w:t>
      </w:r>
      <w:r w:rsidR="00181042" w:rsidRPr="00B74B0F">
        <w:rPr>
          <w:szCs w:val="22"/>
          <w:lang w:val="sr-Latn-ME"/>
        </w:rPr>
        <w:t>elji</w:t>
      </w:r>
      <w:r w:rsidRPr="00B74B0F">
        <w:rPr>
          <w:szCs w:val="22"/>
          <w:lang w:val="sr-Latn-ME"/>
        </w:rPr>
        <w:t xml:space="preserve"> u odnosu na </w:t>
      </w:r>
      <w:r w:rsidR="00181042" w:rsidRPr="00B74B0F">
        <w:rPr>
          <w:szCs w:val="22"/>
          <w:lang w:val="sr-Latn-ME"/>
        </w:rPr>
        <w:t>pacijent</w:t>
      </w:r>
      <w:r w:rsidRPr="00B74B0F">
        <w:rPr>
          <w:szCs w:val="22"/>
          <w:lang w:val="sr-Latn-ME"/>
        </w:rPr>
        <w:t xml:space="preserve">e koji su primali placebo, na </w:t>
      </w:r>
      <w:r w:rsidR="00343D6C" w:rsidRPr="00B74B0F">
        <w:rPr>
          <w:szCs w:val="22"/>
          <w:lang w:val="sr-Latn-ME"/>
        </w:rPr>
        <w:t>osnovu</w:t>
      </w:r>
      <w:r w:rsidRPr="00B74B0F">
        <w:rPr>
          <w:szCs w:val="22"/>
          <w:lang w:val="sr-Latn-ME"/>
        </w:rPr>
        <w:t xml:space="preserve"> promjena u odnosu na početne vrijednosti prema Maastricht ocjeni entezitisa kod ankiloznog spondilitisa (engl. </w:t>
      </w:r>
      <w:r w:rsidRPr="00B74B0F">
        <w:rPr>
          <w:i/>
          <w:iCs/>
          <w:szCs w:val="22"/>
          <w:lang w:val="sr-Latn-ME"/>
        </w:rPr>
        <w:t>Maastricht Ankylosing Spondylitis Enthesitis Score</w:t>
      </w:r>
      <w:r w:rsidRPr="00B74B0F">
        <w:rPr>
          <w:szCs w:val="22"/>
          <w:lang w:val="sr-Latn-ME"/>
        </w:rPr>
        <w:t xml:space="preserve">, MASES). </w:t>
      </w:r>
    </w:p>
    <w:p w14:paraId="712F6683" w14:textId="77777777" w:rsidR="004E3BE3" w:rsidRPr="00B74B0F" w:rsidRDefault="004E3BE3">
      <w:pPr>
        <w:spacing w:line="240" w:lineRule="auto"/>
        <w:contextualSpacing/>
        <w:jc w:val="both"/>
        <w:rPr>
          <w:szCs w:val="22"/>
          <w:lang w:val="sr-Latn-ME"/>
        </w:rPr>
      </w:pPr>
    </w:p>
    <w:p w14:paraId="427C938B" w14:textId="18831F41" w:rsidR="004E3BE3" w:rsidRPr="00B74B0F" w:rsidRDefault="004E3BE3">
      <w:pPr>
        <w:spacing w:line="240" w:lineRule="auto"/>
        <w:contextualSpacing/>
        <w:jc w:val="both"/>
        <w:rPr>
          <w:i/>
          <w:iCs/>
          <w:szCs w:val="22"/>
          <w:lang w:val="sr-Latn-ME"/>
        </w:rPr>
      </w:pPr>
      <w:r w:rsidRPr="00B74B0F">
        <w:rPr>
          <w:i/>
          <w:iCs/>
          <w:szCs w:val="22"/>
          <w:lang w:val="sr-Latn-ME"/>
        </w:rPr>
        <w:t>Spinalna mobilnost</w:t>
      </w:r>
    </w:p>
    <w:p w14:paraId="7952CBC3" w14:textId="77777777" w:rsidR="00D27392" w:rsidRPr="00B74B0F" w:rsidRDefault="00D27392">
      <w:pPr>
        <w:spacing w:line="240" w:lineRule="auto"/>
        <w:contextualSpacing/>
        <w:jc w:val="both"/>
        <w:rPr>
          <w:i/>
          <w:iCs/>
          <w:szCs w:val="22"/>
          <w:lang w:val="sr-Latn-ME"/>
        </w:rPr>
      </w:pPr>
    </w:p>
    <w:p w14:paraId="40352153" w14:textId="008EF350" w:rsidR="004E3BE3" w:rsidRPr="00B74B0F" w:rsidRDefault="004E3BE3">
      <w:pPr>
        <w:spacing w:line="240" w:lineRule="auto"/>
        <w:contextualSpacing/>
        <w:jc w:val="both"/>
        <w:rPr>
          <w:i/>
          <w:iCs/>
          <w:szCs w:val="22"/>
          <w:lang w:val="sr-Latn-ME"/>
        </w:rPr>
      </w:pPr>
      <w:r w:rsidRPr="00B74B0F">
        <w:rPr>
          <w:szCs w:val="22"/>
          <w:lang w:val="sr-Latn-ME"/>
        </w:rPr>
        <w:t>U ispitivanju SELECT</w:t>
      </w:r>
      <w:r w:rsidRPr="00B74B0F">
        <w:rPr>
          <w:szCs w:val="22"/>
          <w:lang w:val="sr-Latn-ME"/>
        </w:rPr>
        <w:noBreakHyphen/>
        <w:t xml:space="preserve">AXIS 2 (AS) </w:t>
      </w:r>
      <w:r w:rsidR="00181042" w:rsidRPr="00B74B0F">
        <w:rPr>
          <w:szCs w:val="22"/>
          <w:lang w:val="sr-Latn-ME"/>
        </w:rPr>
        <w:t>pacijenti</w:t>
      </w:r>
      <w:r w:rsidRPr="00B74B0F">
        <w:rPr>
          <w:szCs w:val="22"/>
          <w:lang w:val="sr-Latn-ME"/>
        </w:rPr>
        <w:t xml:space="preserve"> liječeni upadacitinibom u dozi od 15 mg pokazali su značajna poboljšanja u pogledu spinalne mobilnosti u 14. </w:t>
      </w:r>
      <w:r w:rsidR="00181042" w:rsidRPr="00B74B0F">
        <w:rPr>
          <w:szCs w:val="22"/>
          <w:lang w:val="sr-Latn-ME"/>
        </w:rPr>
        <w:t>ned</w:t>
      </w:r>
      <w:r w:rsidR="000E09B3" w:rsidRPr="00B74B0F">
        <w:rPr>
          <w:szCs w:val="22"/>
          <w:lang w:val="sr-Latn-ME"/>
        </w:rPr>
        <w:t>j</w:t>
      </w:r>
      <w:r w:rsidR="00181042" w:rsidRPr="00B74B0F">
        <w:rPr>
          <w:szCs w:val="22"/>
          <w:lang w:val="sr-Latn-ME"/>
        </w:rPr>
        <w:t>elji</w:t>
      </w:r>
      <w:r w:rsidRPr="00B74B0F">
        <w:rPr>
          <w:szCs w:val="22"/>
          <w:lang w:val="sr-Latn-ME"/>
        </w:rPr>
        <w:t xml:space="preserve"> u odnosu na </w:t>
      </w:r>
      <w:r w:rsidR="00181042" w:rsidRPr="00B74B0F">
        <w:rPr>
          <w:szCs w:val="22"/>
          <w:lang w:val="sr-Latn-ME"/>
        </w:rPr>
        <w:t>pacijent</w:t>
      </w:r>
      <w:r w:rsidRPr="00B74B0F">
        <w:rPr>
          <w:szCs w:val="22"/>
          <w:lang w:val="sr-Latn-ME"/>
        </w:rPr>
        <w:t xml:space="preserve">e koji su primali placebo, na </w:t>
      </w:r>
      <w:r w:rsidR="00343D6C" w:rsidRPr="00B74B0F">
        <w:rPr>
          <w:szCs w:val="22"/>
          <w:lang w:val="sr-Latn-ME"/>
        </w:rPr>
        <w:t>osnovu</w:t>
      </w:r>
      <w:r w:rsidRPr="00B74B0F">
        <w:rPr>
          <w:szCs w:val="22"/>
          <w:lang w:val="sr-Latn-ME"/>
        </w:rPr>
        <w:t xml:space="preserve"> promjena u odnosu na početne vrijednosti prema Bath metrološkom indeksu ankiloznog spondilitisa (engl. </w:t>
      </w:r>
      <w:r w:rsidRPr="00B74B0F">
        <w:rPr>
          <w:i/>
          <w:iCs/>
          <w:szCs w:val="22"/>
          <w:lang w:val="sr-Latn-ME"/>
        </w:rPr>
        <w:t>Bath Ankylosing Spondylitis Metrology Index</w:t>
      </w:r>
      <w:r w:rsidRPr="00B74B0F">
        <w:rPr>
          <w:szCs w:val="22"/>
          <w:lang w:val="sr-Latn-ME"/>
        </w:rPr>
        <w:t xml:space="preserve">, BASMI). </w:t>
      </w:r>
    </w:p>
    <w:p w14:paraId="514C4139" w14:textId="77777777" w:rsidR="004E3BE3" w:rsidRPr="00B74B0F" w:rsidRDefault="004E3BE3">
      <w:pPr>
        <w:spacing w:line="240" w:lineRule="auto"/>
        <w:contextualSpacing/>
        <w:jc w:val="both"/>
        <w:rPr>
          <w:noProof/>
          <w:szCs w:val="22"/>
          <w:lang w:val="sr-Latn-ME"/>
        </w:rPr>
      </w:pPr>
    </w:p>
    <w:p w14:paraId="756EF9E7" w14:textId="77777777" w:rsidR="004E3BE3" w:rsidRPr="00B74B0F" w:rsidRDefault="004E3BE3">
      <w:pPr>
        <w:spacing w:line="240" w:lineRule="auto"/>
        <w:contextualSpacing/>
        <w:jc w:val="both"/>
        <w:rPr>
          <w:i/>
          <w:iCs/>
          <w:noProof/>
          <w:szCs w:val="22"/>
          <w:lang w:val="sr-Latn-ME"/>
        </w:rPr>
      </w:pPr>
      <w:r w:rsidRPr="00B74B0F">
        <w:rPr>
          <w:i/>
          <w:iCs/>
          <w:noProof/>
          <w:szCs w:val="22"/>
          <w:lang w:val="sr-Latn-ME"/>
        </w:rPr>
        <w:t>Objektivna mjera upale</w:t>
      </w:r>
    </w:p>
    <w:p w14:paraId="3D75F6B9" w14:textId="77777777" w:rsidR="004E3BE3" w:rsidRPr="00B74B0F" w:rsidRDefault="004E3BE3">
      <w:pPr>
        <w:spacing w:line="240" w:lineRule="auto"/>
        <w:contextualSpacing/>
        <w:jc w:val="both"/>
        <w:rPr>
          <w:noProof/>
          <w:szCs w:val="22"/>
          <w:lang w:val="sr-Latn-ME"/>
        </w:rPr>
      </w:pPr>
    </w:p>
    <w:p w14:paraId="7186EEF2" w14:textId="0719057B" w:rsidR="004E3BE3" w:rsidRPr="00B74B0F" w:rsidRDefault="004E3BE3">
      <w:pPr>
        <w:spacing w:line="240" w:lineRule="auto"/>
        <w:contextualSpacing/>
        <w:jc w:val="both"/>
        <w:rPr>
          <w:noProof/>
          <w:szCs w:val="22"/>
          <w:lang w:val="sr-Latn-ME"/>
        </w:rPr>
      </w:pPr>
      <w:r w:rsidRPr="00B74B0F">
        <w:rPr>
          <w:noProof/>
          <w:szCs w:val="22"/>
          <w:lang w:val="sr-Latn-ME"/>
        </w:rPr>
        <w:t>Zn</w:t>
      </w:r>
      <w:r w:rsidR="000E09B3" w:rsidRPr="00B74B0F">
        <w:rPr>
          <w:noProof/>
          <w:szCs w:val="22"/>
          <w:lang w:val="sr-Latn-ME"/>
        </w:rPr>
        <w:t>ac</w:t>
      </w:r>
      <w:r w:rsidRPr="00B74B0F">
        <w:rPr>
          <w:noProof/>
          <w:szCs w:val="22"/>
          <w:lang w:val="sr-Latn-ME"/>
        </w:rPr>
        <w:t>i upale procijenjeni su magnet</w:t>
      </w:r>
      <w:r w:rsidR="000E09B3" w:rsidRPr="00B74B0F">
        <w:rPr>
          <w:noProof/>
          <w:szCs w:val="22"/>
          <w:lang w:val="sr-Latn-ME"/>
        </w:rPr>
        <w:t>n</w:t>
      </w:r>
      <w:r w:rsidRPr="00B74B0F">
        <w:rPr>
          <w:noProof/>
          <w:szCs w:val="22"/>
          <w:lang w:val="sr-Latn-ME"/>
        </w:rPr>
        <w:t xml:space="preserve">om rezonancom (MR) i izraženi su kao promjena u odnosu na početne vrijednosti prema SPARCC rezultatu za </w:t>
      </w:r>
      <w:r w:rsidR="000E09B3" w:rsidRPr="00B74B0F">
        <w:rPr>
          <w:noProof/>
          <w:szCs w:val="22"/>
          <w:lang w:val="sr-Latn-ME"/>
        </w:rPr>
        <w:t>kičm</w:t>
      </w:r>
      <w:r w:rsidRPr="00B74B0F">
        <w:rPr>
          <w:noProof/>
          <w:szCs w:val="22"/>
          <w:lang w:val="sr-Latn-ME"/>
        </w:rPr>
        <w:t xml:space="preserve">u. </w:t>
      </w:r>
      <w:r w:rsidRPr="00B74B0F">
        <w:rPr>
          <w:szCs w:val="22"/>
          <w:lang w:val="sr-Latn-ME"/>
        </w:rPr>
        <w:t xml:space="preserve">U oba ispitivanja </w:t>
      </w:r>
      <w:r w:rsidRPr="00B74B0F">
        <w:rPr>
          <w:noProof/>
          <w:szCs w:val="22"/>
          <w:lang w:val="sr-Latn-ME"/>
        </w:rPr>
        <w:t xml:space="preserve">u 14. </w:t>
      </w:r>
      <w:r w:rsidR="00181042" w:rsidRPr="00B74B0F">
        <w:rPr>
          <w:noProof/>
          <w:szCs w:val="22"/>
          <w:lang w:val="sr-Latn-ME"/>
        </w:rPr>
        <w:t>ned</w:t>
      </w:r>
      <w:r w:rsidR="000E09B3" w:rsidRPr="00B74B0F">
        <w:rPr>
          <w:noProof/>
          <w:szCs w:val="22"/>
          <w:lang w:val="sr-Latn-ME"/>
        </w:rPr>
        <w:t>j</w:t>
      </w:r>
      <w:r w:rsidR="00181042" w:rsidRPr="00B74B0F">
        <w:rPr>
          <w:noProof/>
          <w:szCs w:val="22"/>
          <w:lang w:val="sr-Latn-ME"/>
        </w:rPr>
        <w:t>elji</w:t>
      </w:r>
      <w:r w:rsidRPr="00B74B0F">
        <w:rPr>
          <w:noProof/>
          <w:szCs w:val="22"/>
          <w:lang w:val="sr-Latn-ME"/>
        </w:rPr>
        <w:t xml:space="preserve"> </w:t>
      </w:r>
      <w:r w:rsidR="007F3A04" w:rsidRPr="00B74B0F">
        <w:rPr>
          <w:noProof/>
          <w:szCs w:val="22"/>
          <w:lang w:val="sr-Latn-ME"/>
        </w:rPr>
        <w:t>primijećeno</w:t>
      </w:r>
      <w:r w:rsidRPr="00B74B0F">
        <w:rPr>
          <w:noProof/>
          <w:szCs w:val="22"/>
          <w:lang w:val="sr-Latn-ME"/>
        </w:rPr>
        <w:t xml:space="preserve"> je značajno poboljšanje upalnih </w:t>
      </w:r>
      <w:r w:rsidR="000E09B3" w:rsidRPr="00B74B0F">
        <w:rPr>
          <w:noProof/>
          <w:szCs w:val="22"/>
          <w:lang w:val="sr-Latn-ME"/>
        </w:rPr>
        <w:t>simptoma</w:t>
      </w:r>
      <w:r w:rsidRPr="00B74B0F">
        <w:rPr>
          <w:noProof/>
          <w:szCs w:val="22"/>
          <w:lang w:val="sr-Latn-ME"/>
        </w:rPr>
        <w:t xml:space="preserve"> u k</w:t>
      </w:r>
      <w:r w:rsidR="000E09B3" w:rsidRPr="00B74B0F">
        <w:rPr>
          <w:noProof/>
          <w:szCs w:val="22"/>
          <w:lang w:val="sr-Latn-ME"/>
        </w:rPr>
        <w:t>ičmi</w:t>
      </w:r>
      <w:r w:rsidRPr="00B74B0F">
        <w:rPr>
          <w:noProof/>
          <w:szCs w:val="22"/>
          <w:lang w:val="sr-Latn-ME"/>
        </w:rPr>
        <w:t xml:space="preserve"> </w:t>
      </w:r>
      <w:r w:rsidR="000E09B3" w:rsidRPr="00B74B0F">
        <w:rPr>
          <w:noProof/>
          <w:szCs w:val="22"/>
          <w:lang w:val="sr-Latn-ME"/>
        </w:rPr>
        <w:t>kod</w:t>
      </w:r>
      <w:r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liječenih upadacitinibom u dozi od 15 mg u </w:t>
      </w:r>
      <w:r w:rsidR="00181042" w:rsidRPr="00B74B0F">
        <w:rPr>
          <w:noProof/>
          <w:szCs w:val="22"/>
          <w:lang w:val="sr-Latn-ME"/>
        </w:rPr>
        <w:t>poređenju</w:t>
      </w:r>
      <w:r w:rsidRPr="00B74B0F">
        <w:rPr>
          <w:noProof/>
          <w:szCs w:val="22"/>
          <w:lang w:val="sr-Latn-ME"/>
        </w:rPr>
        <w:t xml:space="preserve"> s</w:t>
      </w:r>
      <w:r w:rsidR="007F3A04" w:rsidRPr="00B74B0F">
        <w:rPr>
          <w:noProof/>
          <w:szCs w:val="22"/>
          <w:lang w:val="sr-Latn-ME"/>
        </w:rPr>
        <w:t>a</w:t>
      </w:r>
      <w:r w:rsidRPr="00B74B0F">
        <w:rPr>
          <w:noProof/>
          <w:szCs w:val="22"/>
          <w:lang w:val="sr-Latn-ME"/>
        </w:rPr>
        <w:t xml:space="preserve"> placebom</w:t>
      </w:r>
      <w:r w:rsidRPr="00B74B0F">
        <w:rPr>
          <w:szCs w:val="22"/>
          <w:lang w:val="sr-Latn-ME"/>
        </w:rPr>
        <w:t>. U ispitivanju SELECT-AXIS 1, poboljšanje upale prema procjeni magnet</w:t>
      </w:r>
      <w:r w:rsidR="000E09B3" w:rsidRPr="00B74B0F">
        <w:rPr>
          <w:szCs w:val="22"/>
          <w:lang w:val="sr-Latn-ME"/>
        </w:rPr>
        <w:t>n</w:t>
      </w:r>
      <w:r w:rsidRPr="00B74B0F">
        <w:rPr>
          <w:szCs w:val="22"/>
          <w:lang w:val="sr-Latn-ME"/>
        </w:rPr>
        <w:t xml:space="preserve">om rezonancom (MR) održano je </w:t>
      </w:r>
      <w:r w:rsidR="00181042" w:rsidRPr="00B74B0F">
        <w:rPr>
          <w:szCs w:val="22"/>
          <w:lang w:val="sr-Latn-ME"/>
        </w:rPr>
        <w:t>tokom</w:t>
      </w:r>
      <w:r w:rsidRPr="00B74B0F">
        <w:rPr>
          <w:szCs w:val="22"/>
          <w:lang w:val="sr-Latn-ME"/>
        </w:rPr>
        <w:t xml:space="preserve"> 2 godine.</w:t>
      </w:r>
    </w:p>
    <w:p w14:paraId="6089AEA7" w14:textId="77777777" w:rsidR="004E3BE3" w:rsidRPr="00B74B0F" w:rsidRDefault="004E3BE3">
      <w:pPr>
        <w:autoSpaceDE w:val="0"/>
        <w:autoSpaceDN w:val="0"/>
        <w:adjustRightInd w:val="0"/>
        <w:spacing w:line="240" w:lineRule="auto"/>
        <w:jc w:val="both"/>
        <w:rPr>
          <w:noProof/>
          <w:szCs w:val="22"/>
          <w:lang w:val="sr-Latn-ME"/>
        </w:rPr>
      </w:pPr>
    </w:p>
    <w:p w14:paraId="1CFE1682" w14:textId="77777777" w:rsidR="004E3BE3" w:rsidRPr="00B74B0F" w:rsidRDefault="004E3BE3">
      <w:pPr>
        <w:autoSpaceDE w:val="0"/>
        <w:autoSpaceDN w:val="0"/>
        <w:adjustRightInd w:val="0"/>
        <w:spacing w:line="240" w:lineRule="auto"/>
        <w:jc w:val="both"/>
        <w:rPr>
          <w:i/>
          <w:iCs/>
          <w:noProof/>
          <w:szCs w:val="22"/>
          <w:lang w:val="sr-Latn-ME"/>
        </w:rPr>
      </w:pPr>
      <w:r w:rsidRPr="00B74B0F">
        <w:rPr>
          <w:i/>
          <w:iCs/>
          <w:noProof/>
          <w:szCs w:val="22"/>
          <w:lang w:val="sr-Latn-ME"/>
        </w:rPr>
        <w:t>Atopijski dermatitis</w:t>
      </w:r>
    </w:p>
    <w:p w14:paraId="5AB24AE6" w14:textId="77777777" w:rsidR="004E3BE3" w:rsidRPr="00B74B0F" w:rsidRDefault="004E3BE3">
      <w:pPr>
        <w:spacing w:line="240" w:lineRule="auto"/>
        <w:jc w:val="both"/>
        <w:rPr>
          <w:noProof/>
          <w:szCs w:val="22"/>
          <w:lang w:val="sr-Latn-ME"/>
        </w:rPr>
      </w:pPr>
    </w:p>
    <w:p w14:paraId="04F032F3" w14:textId="05C385AC" w:rsidR="004E3BE3" w:rsidRPr="00B74B0F" w:rsidRDefault="000E09B3">
      <w:pPr>
        <w:spacing w:line="240" w:lineRule="auto"/>
        <w:jc w:val="both"/>
        <w:rPr>
          <w:noProof/>
          <w:szCs w:val="22"/>
          <w:lang w:val="sr-Latn-ME"/>
        </w:rPr>
      </w:pPr>
      <w:r w:rsidRPr="00B74B0F">
        <w:rPr>
          <w:rFonts w:eastAsia="+mn-ea"/>
          <w:noProof/>
          <w:kern w:val="24"/>
          <w:szCs w:val="22"/>
          <w:lang w:val="sr-Latn-ME"/>
        </w:rPr>
        <w:t xml:space="preserve">Efikasnost </w:t>
      </w:r>
      <w:r w:rsidR="004E3BE3" w:rsidRPr="00B74B0F">
        <w:rPr>
          <w:rFonts w:eastAsia="+mn-ea"/>
          <w:noProof/>
          <w:kern w:val="24"/>
          <w:szCs w:val="22"/>
          <w:lang w:val="sr-Latn-ME"/>
        </w:rPr>
        <w:t xml:space="preserve">i </w:t>
      </w:r>
      <w:r w:rsidRPr="00B74B0F">
        <w:rPr>
          <w:rFonts w:eastAsia="+mn-ea"/>
          <w:noProof/>
          <w:kern w:val="24"/>
          <w:szCs w:val="22"/>
          <w:lang w:val="sr-Latn-ME"/>
        </w:rPr>
        <w:t>bezbjednost</w:t>
      </w:r>
      <w:r w:rsidR="004E3BE3" w:rsidRPr="00B74B0F">
        <w:rPr>
          <w:rFonts w:eastAsia="+mn-ea"/>
          <w:noProof/>
          <w:kern w:val="24"/>
          <w:szCs w:val="22"/>
          <w:lang w:val="sr-Latn-ME"/>
        </w:rPr>
        <w:t xml:space="preserve"> upadacitiniba u dozi od 15 mg i 30 mg jedanput na dan ocjenjivale su se u tri randomiz</w:t>
      </w:r>
      <w:r w:rsidRPr="00B74B0F">
        <w:rPr>
          <w:rFonts w:eastAsia="+mn-ea"/>
          <w:noProof/>
          <w:kern w:val="24"/>
          <w:szCs w:val="22"/>
          <w:lang w:val="sr-Latn-ME"/>
        </w:rPr>
        <w:t>ova</w:t>
      </w:r>
      <w:r w:rsidR="004E3BE3" w:rsidRPr="00B74B0F">
        <w:rPr>
          <w:rFonts w:eastAsia="+mn-ea"/>
          <w:noProof/>
          <w:kern w:val="24"/>
          <w:szCs w:val="22"/>
          <w:lang w:val="sr-Latn-ME"/>
        </w:rPr>
        <w:t xml:space="preserve">na, dvostruko slijepa, multicentrična ispitivanja faze 3 (MEASURE UP 1, MEASURE UP 2 i AD UP) </w:t>
      </w:r>
      <w:r w:rsidRPr="00B74B0F">
        <w:rPr>
          <w:rFonts w:eastAsia="+mn-ea"/>
          <w:noProof/>
          <w:kern w:val="24"/>
          <w:szCs w:val="22"/>
          <w:lang w:val="sr-Latn-ME"/>
        </w:rPr>
        <w:t>s</w:t>
      </w:r>
      <w:r w:rsidR="004E3BE3" w:rsidRPr="00B74B0F">
        <w:rPr>
          <w:rFonts w:eastAsia="+mn-ea"/>
          <w:noProof/>
          <w:kern w:val="24"/>
          <w:szCs w:val="22"/>
          <w:lang w:val="sr-Latn-ME"/>
        </w:rPr>
        <w:t xml:space="preserve">provedena </w:t>
      </w:r>
      <w:r w:rsidR="00B64B6A">
        <w:rPr>
          <w:rFonts w:eastAsia="+mn-ea"/>
          <w:noProof/>
          <w:kern w:val="24"/>
          <w:szCs w:val="22"/>
          <w:lang w:val="sr-Latn-ME"/>
        </w:rPr>
        <w:t>kod</w:t>
      </w:r>
      <w:r w:rsidR="00B64B6A" w:rsidRPr="00B74B0F">
        <w:rPr>
          <w:rFonts w:eastAsia="+mn-ea"/>
          <w:noProof/>
          <w:kern w:val="24"/>
          <w:szCs w:val="22"/>
          <w:lang w:val="sr-Latn-ME"/>
        </w:rPr>
        <w:t xml:space="preserve"> </w:t>
      </w:r>
      <w:r w:rsidR="004E3BE3" w:rsidRPr="00B74B0F">
        <w:rPr>
          <w:rFonts w:eastAsia="+mn-ea"/>
          <w:noProof/>
          <w:kern w:val="24"/>
          <w:szCs w:val="22"/>
          <w:lang w:val="sr-Latn-ME"/>
        </w:rPr>
        <w:t xml:space="preserve">ukupno </w:t>
      </w:r>
      <w:r w:rsidR="00B64B6A">
        <w:rPr>
          <w:rFonts w:eastAsia="+mn-ea"/>
          <w:noProof/>
          <w:kern w:val="24"/>
          <w:szCs w:val="22"/>
          <w:lang w:val="sr-Latn-ME"/>
        </w:rPr>
        <w:t>2782</w:t>
      </w:r>
      <w:r w:rsidR="00B64B6A" w:rsidRPr="00B74B0F">
        <w:rPr>
          <w:rFonts w:eastAsia="+mn-ea"/>
          <w:noProof/>
          <w:kern w:val="24"/>
          <w:szCs w:val="22"/>
          <w:lang w:val="sr-Latn-ME"/>
        </w:rPr>
        <w:t xml:space="preserve"> </w:t>
      </w:r>
      <w:r w:rsidR="00181042" w:rsidRPr="00B74B0F">
        <w:rPr>
          <w:rFonts w:eastAsia="+mn-ea"/>
          <w:noProof/>
          <w:kern w:val="24"/>
          <w:szCs w:val="22"/>
          <w:lang w:val="sr-Latn-ME"/>
        </w:rPr>
        <w:t>pacijenta</w:t>
      </w:r>
      <w:r w:rsidR="004E3BE3" w:rsidRPr="00B74B0F">
        <w:rPr>
          <w:rFonts w:eastAsia="+mn-ea"/>
          <w:noProof/>
          <w:kern w:val="24"/>
          <w:szCs w:val="22"/>
          <w:lang w:val="sr-Latn-ME"/>
        </w:rPr>
        <w:t xml:space="preserve"> (u dobi od 12 i više godina). Upadacitinib je procijenjen </w:t>
      </w:r>
      <w:r w:rsidR="007F3A04" w:rsidRPr="00B74B0F">
        <w:rPr>
          <w:rFonts w:eastAsia="+mn-ea"/>
          <w:noProof/>
          <w:kern w:val="24"/>
          <w:szCs w:val="22"/>
          <w:lang w:val="sr-Latn-ME"/>
        </w:rPr>
        <w:t>kod</w:t>
      </w:r>
      <w:r w:rsidR="004E3BE3" w:rsidRPr="00B74B0F">
        <w:rPr>
          <w:rFonts w:eastAsia="+mn-ea"/>
          <w:noProof/>
          <w:kern w:val="24"/>
          <w:szCs w:val="22"/>
          <w:lang w:val="sr-Latn-ME"/>
        </w:rPr>
        <w:t xml:space="preserve"> </w:t>
      </w:r>
      <w:r w:rsidR="00B64B6A">
        <w:rPr>
          <w:rFonts w:eastAsia="+mn-ea"/>
          <w:noProof/>
          <w:kern w:val="24"/>
          <w:szCs w:val="22"/>
          <w:lang w:val="sr-Latn-ME"/>
        </w:rPr>
        <w:t>542 (344 u primarnim ispitivanjima)</w:t>
      </w:r>
      <w:r w:rsidR="00B64B6A" w:rsidRPr="00B74B0F">
        <w:rPr>
          <w:rFonts w:eastAsia="+mn-ea"/>
          <w:noProof/>
          <w:kern w:val="24"/>
          <w:szCs w:val="22"/>
          <w:lang w:val="sr-Latn-ME"/>
        </w:rPr>
        <w:t> </w:t>
      </w:r>
      <w:r w:rsidR="004E3BE3" w:rsidRPr="00B74B0F">
        <w:rPr>
          <w:rFonts w:eastAsia="+mn-ea"/>
          <w:noProof/>
          <w:kern w:val="24"/>
          <w:szCs w:val="22"/>
          <w:lang w:val="sr-Latn-ME"/>
        </w:rPr>
        <w:t xml:space="preserve">adolescentnih i 2240 odraslih </w:t>
      </w:r>
      <w:r w:rsidR="00181042" w:rsidRPr="00B74B0F">
        <w:rPr>
          <w:rFonts w:eastAsia="+mn-ea"/>
          <w:noProof/>
          <w:kern w:val="24"/>
          <w:szCs w:val="22"/>
          <w:lang w:val="sr-Latn-ME"/>
        </w:rPr>
        <w:t>pacijenata</w:t>
      </w:r>
      <w:r w:rsidR="004E3BE3" w:rsidRPr="00B74B0F">
        <w:rPr>
          <w:rFonts w:eastAsia="+mn-ea"/>
          <w:noProof/>
          <w:kern w:val="24"/>
          <w:szCs w:val="22"/>
          <w:lang w:val="sr-Latn-ME"/>
        </w:rPr>
        <w:t xml:space="preserve"> s</w:t>
      </w:r>
      <w:r w:rsidR="007F3A04" w:rsidRPr="00B74B0F">
        <w:rPr>
          <w:rFonts w:eastAsia="+mn-ea"/>
          <w:noProof/>
          <w:kern w:val="24"/>
          <w:szCs w:val="22"/>
          <w:lang w:val="sr-Latn-ME"/>
        </w:rPr>
        <w:t>a</w:t>
      </w:r>
      <w:r w:rsidR="004E3BE3" w:rsidRPr="00B74B0F">
        <w:rPr>
          <w:rFonts w:eastAsia="+mn-ea"/>
          <w:noProof/>
          <w:kern w:val="24"/>
          <w:szCs w:val="22"/>
          <w:lang w:val="sr-Latn-ME"/>
        </w:rPr>
        <w:t xml:space="preserve"> umjerenim do teškim atopijskim dermatitisom (AD) koji nije adekvatno kontroli</w:t>
      </w:r>
      <w:r w:rsidR="003A3FEB" w:rsidRPr="00B74B0F">
        <w:rPr>
          <w:rFonts w:eastAsia="+mn-ea"/>
          <w:noProof/>
          <w:kern w:val="24"/>
          <w:szCs w:val="22"/>
          <w:lang w:val="sr-Latn-ME"/>
        </w:rPr>
        <w:t>s</w:t>
      </w:r>
      <w:r w:rsidR="004E3BE3" w:rsidRPr="00B74B0F">
        <w:rPr>
          <w:rFonts w:eastAsia="+mn-ea"/>
          <w:noProof/>
          <w:kern w:val="24"/>
          <w:szCs w:val="22"/>
          <w:lang w:val="sr-Latn-ME"/>
        </w:rPr>
        <w:t xml:space="preserve">an topikalnim </w:t>
      </w:r>
      <w:r w:rsidR="00181042" w:rsidRPr="00B74B0F">
        <w:rPr>
          <w:rFonts w:eastAsia="+mn-ea"/>
          <w:noProof/>
          <w:kern w:val="24"/>
          <w:szCs w:val="22"/>
          <w:lang w:val="sr-Latn-ME"/>
        </w:rPr>
        <w:t>ljekovima</w:t>
      </w:r>
      <w:r w:rsidR="004E3BE3" w:rsidRPr="00B74B0F">
        <w:rPr>
          <w:rFonts w:eastAsia="+mn-ea"/>
          <w:noProof/>
          <w:kern w:val="24"/>
          <w:szCs w:val="22"/>
          <w:lang w:val="sr-Latn-ME"/>
        </w:rPr>
        <w:t xml:space="preserve">. Na početku ispitivanja </w:t>
      </w:r>
      <w:r w:rsidR="00181042" w:rsidRPr="00B74B0F">
        <w:rPr>
          <w:rFonts w:eastAsia="+mn-ea"/>
          <w:noProof/>
          <w:kern w:val="24"/>
          <w:szCs w:val="22"/>
          <w:lang w:val="sr-Latn-ME"/>
        </w:rPr>
        <w:t>pacijenti</w:t>
      </w:r>
      <w:r w:rsidR="004E3BE3" w:rsidRPr="00B74B0F">
        <w:rPr>
          <w:rFonts w:eastAsia="+mn-ea"/>
          <w:noProof/>
          <w:kern w:val="24"/>
          <w:szCs w:val="22"/>
          <w:lang w:val="sr-Latn-ME"/>
        </w:rPr>
        <w:t xml:space="preserve"> su morali imati sve od sljedećeg: rezultat ≥ 3 prema op</w:t>
      </w:r>
      <w:r w:rsidR="00181042" w:rsidRPr="00B74B0F">
        <w:rPr>
          <w:rFonts w:eastAsia="+mn-ea"/>
          <w:noProof/>
          <w:kern w:val="24"/>
          <w:szCs w:val="22"/>
          <w:lang w:val="sr-Latn-ME"/>
        </w:rPr>
        <w:t xml:space="preserve">štoj </w:t>
      </w:r>
      <w:r w:rsidR="004E3BE3" w:rsidRPr="00B74B0F">
        <w:rPr>
          <w:rFonts w:eastAsia="+mn-ea"/>
          <w:noProof/>
          <w:kern w:val="24"/>
          <w:szCs w:val="22"/>
          <w:lang w:val="sr-Latn-ME"/>
        </w:rPr>
        <w:t>ocjeni ispitivača (engl. </w:t>
      </w:r>
      <w:r w:rsidR="004E3BE3" w:rsidRPr="00B74B0F">
        <w:rPr>
          <w:rFonts w:eastAsia="+mn-ea"/>
          <w:i/>
          <w:iCs/>
          <w:noProof/>
          <w:kern w:val="24"/>
          <w:szCs w:val="22"/>
          <w:lang w:val="sr-Latn-ME"/>
        </w:rPr>
        <w:t>Investigator’s Global Assessment</w:t>
      </w:r>
      <w:r w:rsidR="004E3BE3" w:rsidRPr="00B74B0F">
        <w:rPr>
          <w:rFonts w:eastAsia="+mn-ea"/>
          <w:noProof/>
          <w:kern w:val="24"/>
          <w:szCs w:val="22"/>
          <w:lang w:val="sr-Latn-ME"/>
        </w:rPr>
        <w:t>, IGA) (vIGA</w:t>
      </w:r>
      <w:r w:rsidR="004E3BE3" w:rsidRPr="00B74B0F">
        <w:rPr>
          <w:rFonts w:eastAsia="+mn-ea"/>
          <w:noProof/>
          <w:kern w:val="24"/>
          <w:szCs w:val="22"/>
          <w:lang w:val="sr-Latn-ME"/>
        </w:rPr>
        <w:noBreakHyphen/>
        <w:t xml:space="preserve">AD) u ukupnoj procjeni AD (eritem, otvrdnuće/papulacija i curenje/stvaranje kraste) na rastućoj ljestvici težine bolesti od 0 do 4, rezultat ≥ 16 prema indeksu proširenosti i težine ekcema (engl. </w:t>
      </w:r>
      <w:r w:rsidR="004E3BE3" w:rsidRPr="00B74B0F">
        <w:rPr>
          <w:rFonts w:eastAsia="+mn-ea"/>
          <w:i/>
          <w:iCs/>
          <w:noProof/>
          <w:kern w:val="24"/>
          <w:szCs w:val="22"/>
          <w:lang w:val="sr-Latn-ME"/>
        </w:rPr>
        <w:t>Eczema Area and Severity Index</w:t>
      </w:r>
      <w:r w:rsidR="004E3BE3" w:rsidRPr="00B74B0F">
        <w:rPr>
          <w:rFonts w:eastAsia="+mn-ea"/>
          <w:noProof/>
          <w:kern w:val="24"/>
          <w:szCs w:val="22"/>
          <w:lang w:val="sr-Latn-ME"/>
        </w:rPr>
        <w:t xml:space="preserve">, EASI) (kompozitni rezultat koji procjenjuje proširenost i težinu eritema, edema/papulacije, ogrebotina i lihenifikacije na 4 različita područja tijela), minimalna zahvaćenost tjelesne površine ≥ 10% i rezultat ≥ 4 za </w:t>
      </w:r>
      <w:r w:rsidR="00181042" w:rsidRPr="00B74B0F">
        <w:rPr>
          <w:rFonts w:eastAsia="+mn-ea"/>
          <w:noProof/>
          <w:kern w:val="24"/>
          <w:szCs w:val="22"/>
          <w:lang w:val="sr-Latn-ME"/>
        </w:rPr>
        <w:t>ned</w:t>
      </w:r>
      <w:r w:rsidR="003A3FEB" w:rsidRPr="00B74B0F">
        <w:rPr>
          <w:rFonts w:eastAsia="+mn-ea"/>
          <w:noProof/>
          <w:kern w:val="24"/>
          <w:szCs w:val="22"/>
          <w:lang w:val="sr-Latn-ME"/>
        </w:rPr>
        <w:t>j</w:t>
      </w:r>
      <w:r w:rsidR="00181042" w:rsidRPr="00B74B0F">
        <w:rPr>
          <w:rFonts w:eastAsia="+mn-ea"/>
          <w:noProof/>
          <w:kern w:val="24"/>
          <w:szCs w:val="22"/>
          <w:lang w:val="sr-Latn-ME"/>
        </w:rPr>
        <w:t>eljni</w:t>
      </w:r>
      <w:r w:rsidR="004E3BE3" w:rsidRPr="00B74B0F">
        <w:rPr>
          <w:rFonts w:eastAsia="+mn-ea"/>
          <w:noProof/>
          <w:kern w:val="24"/>
          <w:szCs w:val="22"/>
          <w:lang w:val="sr-Latn-ME"/>
        </w:rPr>
        <w:t xml:space="preserve"> prosjek najgoreg pruritusa prema brojčanoj ljestvici</w:t>
      </w:r>
      <w:r w:rsidR="007F3A04" w:rsidRPr="00B74B0F">
        <w:rPr>
          <w:rFonts w:eastAsia="+mn-ea"/>
          <w:noProof/>
          <w:kern w:val="24"/>
          <w:szCs w:val="22"/>
          <w:lang w:val="sr-Latn-ME"/>
        </w:rPr>
        <w:t xml:space="preserve"> za procjenu</w:t>
      </w:r>
      <w:r w:rsidR="004E3BE3" w:rsidRPr="00B74B0F">
        <w:rPr>
          <w:rFonts w:eastAsia="+mn-ea"/>
          <w:noProof/>
          <w:kern w:val="24"/>
          <w:szCs w:val="22"/>
          <w:lang w:val="sr-Latn-ME"/>
        </w:rPr>
        <w:t xml:space="preserve"> (engl. </w:t>
      </w:r>
      <w:r w:rsidR="004E3BE3" w:rsidRPr="00B74B0F">
        <w:rPr>
          <w:rFonts w:eastAsia="+mn-ea"/>
          <w:i/>
          <w:iCs/>
          <w:noProof/>
          <w:kern w:val="24"/>
          <w:szCs w:val="22"/>
          <w:lang w:val="sr-Latn-ME"/>
        </w:rPr>
        <w:t>Numerical Rating Scale</w:t>
      </w:r>
      <w:r w:rsidR="004E3BE3" w:rsidRPr="00B74B0F">
        <w:rPr>
          <w:rFonts w:eastAsia="+mn-ea"/>
          <w:noProof/>
          <w:kern w:val="24"/>
          <w:szCs w:val="22"/>
          <w:lang w:val="sr-Latn-ME"/>
        </w:rPr>
        <w:t>, NRS).</w:t>
      </w:r>
    </w:p>
    <w:p w14:paraId="0DDF3C25" w14:textId="77777777" w:rsidR="004E3BE3" w:rsidRPr="00B74B0F" w:rsidRDefault="004E3BE3">
      <w:pPr>
        <w:spacing w:line="240" w:lineRule="auto"/>
        <w:jc w:val="both"/>
        <w:rPr>
          <w:rFonts w:eastAsia="+mn-ea"/>
          <w:noProof/>
          <w:kern w:val="24"/>
          <w:szCs w:val="22"/>
          <w:lang w:val="sr-Latn-ME"/>
        </w:rPr>
      </w:pPr>
    </w:p>
    <w:p w14:paraId="4812FCD5" w14:textId="60BB580A" w:rsidR="004E3BE3" w:rsidRPr="00B74B0F" w:rsidRDefault="00181042">
      <w:pPr>
        <w:spacing w:line="240" w:lineRule="auto"/>
        <w:jc w:val="both"/>
        <w:rPr>
          <w:rFonts w:eastAsia="+mn-ea"/>
          <w:noProof/>
          <w:kern w:val="24"/>
          <w:szCs w:val="22"/>
          <w:lang w:val="sr-Latn-ME"/>
        </w:rPr>
      </w:pPr>
      <w:r w:rsidRPr="00B74B0F">
        <w:rPr>
          <w:rFonts w:eastAsia="+mn-ea"/>
          <w:noProof/>
          <w:kern w:val="24"/>
          <w:szCs w:val="22"/>
          <w:lang w:val="sr-Latn-ME"/>
        </w:rPr>
        <w:t>Pacijenti</w:t>
      </w:r>
      <w:r w:rsidR="004E3BE3" w:rsidRPr="00B74B0F">
        <w:rPr>
          <w:rFonts w:eastAsia="+mn-ea"/>
          <w:noProof/>
          <w:kern w:val="24"/>
          <w:szCs w:val="22"/>
          <w:lang w:val="sr-Latn-ME"/>
        </w:rPr>
        <w:t xml:space="preserve"> su u sva tri ispitivanja primali upadacitinib jedanput na dan u dozi od 15 mg, 30 mg ili ekvivalentnu dozu placeba </w:t>
      </w:r>
      <w:r w:rsidRPr="00B74B0F">
        <w:rPr>
          <w:rFonts w:eastAsia="+mn-ea"/>
          <w:noProof/>
          <w:kern w:val="24"/>
          <w:szCs w:val="22"/>
          <w:lang w:val="sr-Latn-ME"/>
        </w:rPr>
        <w:t>tokom</w:t>
      </w:r>
      <w:r w:rsidR="004E3BE3" w:rsidRPr="00B74B0F">
        <w:rPr>
          <w:rFonts w:eastAsia="+mn-ea"/>
          <w:noProof/>
          <w:kern w:val="24"/>
          <w:szCs w:val="22"/>
          <w:lang w:val="sr-Latn-ME"/>
        </w:rPr>
        <w:t xml:space="preserve"> 16 </w:t>
      </w:r>
      <w:r w:rsidR="003A3FEB" w:rsidRPr="00B74B0F">
        <w:rPr>
          <w:rFonts w:eastAsia="+mn-ea"/>
          <w:noProof/>
          <w:kern w:val="24"/>
          <w:szCs w:val="22"/>
          <w:lang w:val="sr-Latn-ME"/>
        </w:rPr>
        <w:t>nedjelja</w:t>
      </w:r>
      <w:r w:rsidR="004E3BE3" w:rsidRPr="00B74B0F">
        <w:rPr>
          <w:rFonts w:eastAsia="+mn-ea"/>
          <w:noProof/>
          <w:kern w:val="24"/>
          <w:szCs w:val="22"/>
          <w:lang w:val="sr-Latn-ME"/>
        </w:rPr>
        <w:t xml:space="preserve">. U ispitivanju AD UP, </w:t>
      </w:r>
      <w:r w:rsidRPr="00B74B0F">
        <w:rPr>
          <w:rFonts w:eastAsia="+mn-ea"/>
          <w:noProof/>
          <w:kern w:val="24"/>
          <w:szCs w:val="22"/>
          <w:lang w:val="sr-Latn-ME"/>
        </w:rPr>
        <w:t>pacijenti</w:t>
      </w:r>
      <w:r w:rsidR="004E3BE3" w:rsidRPr="00B74B0F">
        <w:rPr>
          <w:rFonts w:eastAsia="+mn-ea"/>
          <w:noProof/>
          <w:kern w:val="24"/>
          <w:szCs w:val="22"/>
          <w:lang w:val="sr-Latn-ME"/>
        </w:rPr>
        <w:t xml:space="preserve"> su takođe primali isto</w:t>
      </w:r>
      <w:r w:rsidR="003A3FEB" w:rsidRPr="00B74B0F">
        <w:rPr>
          <w:rFonts w:eastAsia="+mn-ea"/>
          <w:noProof/>
          <w:kern w:val="24"/>
          <w:szCs w:val="22"/>
          <w:lang w:val="sr-Latn-ME"/>
        </w:rPr>
        <w:t>vremeno</w:t>
      </w:r>
      <w:r w:rsidR="004E3BE3" w:rsidRPr="00B74B0F">
        <w:rPr>
          <w:rFonts w:eastAsia="+mn-ea"/>
          <w:noProof/>
          <w:kern w:val="24"/>
          <w:szCs w:val="22"/>
          <w:lang w:val="sr-Latn-ME"/>
        </w:rPr>
        <w:t xml:space="preserve"> topikalne kortikosteroide (TKS). Nakon završetka dvostruko slijepog </w:t>
      </w:r>
      <w:r w:rsidR="003A3FEB" w:rsidRPr="00B74B0F">
        <w:rPr>
          <w:rFonts w:eastAsia="+mn-ea"/>
          <w:noProof/>
          <w:kern w:val="24"/>
          <w:szCs w:val="22"/>
          <w:lang w:val="sr-Latn-ME"/>
        </w:rPr>
        <w:t>perioda</w:t>
      </w:r>
      <w:r w:rsidR="004E3BE3" w:rsidRPr="00B74B0F">
        <w:rPr>
          <w:rFonts w:eastAsia="+mn-ea"/>
          <w:noProof/>
          <w:kern w:val="24"/>
          <w:szCs w:val="22"/>
          <w:lang w:val="sr-Latn-ME"/>
        </w:rPr>
        <w:t xml:space="preserve">, </w:t>
      </w:r>
      <w:r w:rsidRPr="00B74B0F">
        <w:rPr>
          <w:rFonts w:eastAsia="+mn-ea"/>
          <w:noProof/>
          <w:kern w:val="24"/>
          <w:szCs w:val="22"/>
          <w:lang w:val="sr-Latn-ME"/>
        </w:rPr>
        <w:t>pacijenti</w:t>
      </w:r>
      <w:r w:rsidR="004E3BE3" w:rsidRPr="00B74B0F">
        <w:rPr>
          <w:rFonts w:eastAsia="+mn-ea"/>
          <w:noProof/>
          <w:kern w:val="24"/>
          <w:szCs w:val="22"/>
          <w:lang w:val="sr-Latn-ME"/>
        </w:rPr>
        <w:t xml:space="preserve"> koji su prvobitno randomiz</w:t>
      </w:r>
      <w:r w:rsidR="003A3FEB" w:rsidRPr="00B74B0F">
        <w:rPr>
          <w:rFonts w:eastAsia="+mn-ea"/>
          <w:noProof/>
          <w:kern w:val="24"/>
          <w:szCs w:val="22"/>
          <w:lang w:val="sr-Latn-ME"/>
        </w:rPr>
        <w:t>ov</w:t>
      </w:r>
      <w:r w:rsidR="004E3BE3" w:rsidRPr="00B74B0F">
        <w:rPr>
          <w:rFonts w:eastAsia="+mn-ea"/>
          <w:noProof/>
          <w:kern w:val="24"/>
          <w:szCs w:val="22"/>
          <w:lang w:val="sr-Latn-ME"/>
        </w:rPr>
        <w:t xml:space="preserve">ani za primanje upadacitiniba trebali su nastaviti </w:t>
      </w:r>
      <w:r w:rsidR="003A3FEB" w:rsidRPr="00B74B0F">
        <w:rPr>
          <w:rFonts w:eastAsia="+mn-ea"/>
          <w:noProof/>
          <w:kern w:val="24"/>
          <w:szCs w:val="22"/>
          <w:lang w:val="sr-Latn-ME"/>
        </w:rPr>
        <w:t xml:space="preserve">sa </w:t>
      </w:r>
      <w:r w:rsidR="004E3BE3" w:rsidRPr="00B74B0F">
        <w:rPr>
          <w:rFonts w:eastAsia="+mn-ea"/>
          <w:noProof/>
          <w:kern w:val="24"/>
          <w:szCs w:val="22"/>
          <w:lang w:val="sr-Latn-ME"/>
        </w:rPr>
        <w:t>prim</w:t>
      </w:r>
      <w:r w:rsidR="003A3FEB" w:rsidRPr="00B74B0F">
        <w:rPr>
          <w:rFonts w:eastAsia="+mn-ea"/>
          <w:noProof/>
          <w:kern w:val="24"/>
          <w:szCs w:val="22"/>
          <w:lang w:val="sr-Latn-ME"/>
        </w:rPr>
        <w:t>anjem</w:t>
      </w:r>
      <w:r w:rsidR="004E3BE3" w:rsidRPr="00B74B0F">
        <w:rPr>
          <w:rFonts w:eastAsia="+mn-ea"/>
          <w:noProof/>
          <w:kern w:val="24"/>
          <w:szCs w:val="22"/>
          <w:lang w:val="sr-Latn-ME"/>
        </w:rPr>
        <w:t xml:space="preserve"> ist</w:t>
      </w:r>
      <w:r w:rsidR="003A3FEB" w:rsidRPr="00B74B0F">
        <w:rPr>
          <w:rFonts w:eastAsia="+mn-ea"/>
          <w:noProof/>
          <w:kern w:val="24"/>
          <w:szCs w:val="22"/>
          <w:lang w:val="sr-Latn-ME"/>
        </w:rPr>
        <w:t>e</w:t>
      </w:r>
      <w:r w:rsidR="004E3BE3" w:rsidRPr="00B74B0F">
        <w:rPr>
          <w:rFonts w:eastAsia="+mn-ea"/>
          <w:noProof/>
          <w:kern w:val="24"/>
          <w:szCs w:val="22"/>
          <w:lang w:val="sr-Latn-ME"/>
        </w:rPr>
        <w:t xml:space="preserve"> doz</w:t>
      </w:r>
      <w:r w:rsidR="003A3FEB" w:rsidRPr="00B74B0F">
        <w:rPr>
          <w:rFonts w:eastAsia="+mn-ea"/>
          <w:noProof/>
          <w:kern w:val="24"/>
          <w:szCs w:val="22"/>
          <w:lang w:val="sr-Latn-ME"/>
        </w:rPr>
        <w:t>e</w:t>
      </w:r>
      <w:r w:rsidR="004E3BE3" w:rsidRPr="00B74B0F">
        <w:rPr>
          <w:rFonts w:eastAsia="+mn-ea"/>
          <w:noProof/>
          <w:kern w:val="24"/>
          <w:szCs w:val="22"/>
          <w:lang w:val="sr-Latn-ME"/>
        </w:rPr>
        <w:t xml:space="preserve"> </w:t>
      </w:r>
      <w:r w:rsidR="004E3BE3" w:rsidRPr="00B74B0F">
        <w:rPr>
          <w:rFonts w:eastAsia="+mn-ea"/>
          <w:noProof/>
          <w:kern w:val="24"/>
          <w:szCs w:val="22"/>
          <w:lang w:val="sr-Latn-ME"/>
        </w:rPr>
        <w:lastRenderedPageBreak/>
        <w:t>do 260. </w:t>
      </w:r>
      <w:r w:rsidR="003A3FEB" w:rsidRPr="00B74B0F">
        <w:rPr>
          <w:rFonts w:eastAsia="+mn-ea"/>
          <w:noProof/>
          <w:kern w:val="24"/>
          <w:szCs w:val="22"/>
          <w:lang w:val="sr-Latn-ME"/>
        </w:rPr>
        <w:t>nedjelje</w:t>
      </w:r>
      <w:r w:rsidR="004E3BE3" w:rsidRPr="00B74B0F">
        <w:rPr>
          <w:rFonts w:eastAsia="+mn-ea"/>
          <w:noProof/>
          <w:kern w:val="24"/>
          <w:szCs w:val="22"/>
          <w:lang w:val="sr-Latn-ME"/>
        </w:rPr>
        <w:t xml:space="preserve">. </w:t>
      </w:r>
      <w:r w:rsidRPr="00B74B0F">
        <w:rPr>
          <w:rFonts w:eastAsia="+mn-ea"/>
          <w:noProof/>
          <w:kern w:val="24"/>
          <w:szCs w:val="22"/>
          <w:lang w:val="sr-Latn-ME"/>
        </w:rPr>
        <w:t>Pacijenti</w:t>
      </w:r>
      <w:r w:rsidR="004E3BE3" w:rsidRPr="00B74B0F">
        <w:rPr>
          <w:rFonts w:eastAsia="+mn-ea"/>
          <w:noProof/>
          <w:kern w:val="24"/>
          <w:szCs w:val="22"/>
          <w:lang w:val="sr-Latn-ME"/>
        </w:rPr>
        <w:t xml:space="preserve"> u </w:t>
      </w:r>
      <w:r w:rsidR="003A3FEB" w:rsidRPr="00B74B0F">
        <w:rPr>
          <w:rFonts w:eastAsia="+mn-ea"/>
          <w:noProof/>
          <w:kern w:val="24"/>
          <w:szCs w:val="22"/>
          <w:lang w:val="sr-Latn-ME"/>
        </w:rPr>
        <w:t xml:space="preserve">grupi </w:t>
      </w:r>
      <w:r w:rsidR="004E3BE3" w:rsidRPr="00B74B0F">
        <w:rPr>
          <w:rFonts w:eastAsia="+mn-ea"/>
          <w:noProof/>
          <w:kern w:val="24"/>
          <w:szCs w:val="22"/>
          <w:lang w:val="sr-Latn-ME"/>
        </w:rPr>
        <w:t>koja je primala placebo ponovno su randomiz</w:t>
      </w:r>
      <w:r w:rsidR="003A3FEB" w:rsidRPr="00B74B0F">
        <w:rPr>
          <w:rFonts w:eastAsia="+mn-ea"/>
          <w:noProof/>
          <w:kern w:val="24"/>
          <w:szCs w:val="22"/>
          <w:lang w:val="sr-Latn-ME"/>
        </w:rPr>
        <w:t>ov</w:t>
      </w:r>
      <w:r w:rsidR="004E3BE3" w:rsidRPr="00B74B0F">
        <w:rPr>
          <w:rFonts w:eastAsia="+mn-ea"/>
          <w:noProof/>
          <w:kern w:val="24"/>
          <w:szCs w:val="22"/>
          <w:lang w:val="sr-Latn-ME"/>
        </w:rPr>
        <w:t xml:space="preserve">ani u </w:t>
      </w:r>
      <w:r w:rsidR="003A3FEB" w:rsidRPr="00B74B0F">
        <w:rPr>
          <w:rFonts w:eastAsia="+mn-ea"/>
          <w:noProof/>
          <w:kern w:val="24"/>
          <w:szCs w:val="22"/>
          <w:lang w:val="sr-Latn-ME"/>
        </w:rPr>
        <w:t xml:space="preserve">odnosu </w:t>
      </w:r>
      <w:r w:rsidR="004E3BE3" w:rsidRPr="00B74B0F">
        <w:rPr>
          <w:rFonts w:eastAsia="+mn-ea"/>
          <w:noProof/>
          <w:kern w:val="24"/>
          <w:szCs w:val="22"/>
          <w:lang w:val="sr-Latn-ME"/>
        </w:rPr>
        <w:t>1:1 za primanje upadacitiniba u dozi od 15 mg ili 30 mg do 260. </w:t>
      </w:r>
      <w:r w:rsidR="003A3FEB" w:rsidRPr="00B74B0F">
        <w:rPr>
          <w:rFonts w:eastAsia="+mn-ea"/>
          <w:noProof/>
          <w:kern w:val="24"/>
          <w:szCs w:val="22"/>
          <w:lang w:val="sr-Latn-ME"/>
        </w:rPr>
        <w:t>nedjelje</w:t>
      </w:r>
      <w:r w:rsidR="004E3BE3" w:rsidRPr="00B74B0F">
        <w:rPr>
          <w:rFonts w:eastAsia="+mn-ea"/>
          <w:noProof/>
          <w:kern w:val="24"/>
          <w:szCs w:val="22"/>
          <w:lang w:val="sr-Latn-ME"/>
        </w:rPr>
        <w:t>.</w:t>
      </w:r>
    </w:p>
    <w:p w14:paraId="1B7A435C" w14:textId="77777777" w:rsidR="004E3BE3" w:rsidRPr="00B74B0F" w:rsidRDefault="004E3BE3">
      <w:pPr>
        <w:spacing w:line="240" w:lineRule="auto"/>
        <w:jc w:val="both"/>
        <w:rPr>
          <w:rFonts w:eastAsia="+mn-ea"/>
          <w:noProof/>
          <w:kern w:val="24"/>
          <w:szCs w:val="22"/>
          <w:lang w:val="sr-Latn-ME"/>
        </w:rPr>
      </w:pPr>
    </w:p>
    <w:p w14:paraId="3C76DAF1" w14:textId="0E2D5778" w:rsidR="004E3BE3" w:rsidRPr="00B74B0F" w:rsidRDefault="004E3BE3">
      <w:pPr>
        <w:tabs>
          <w:tab w:val="clear" w:pos="567"/>
        </w:tabs>
        <w:autoSpaceDE w:val="0"/>
        <w:autoSpaceDN w:val="0"/>
        <w:adjustRightInd w:val="0"/>
        <w:spacing w:line="240" w:lineRule="auto"/>
        <w:jc w:val="both"/>
        <w:rPr>
          <w:rFonts w:eastAsia="SimSun"/>
          <w:i/>
          <w:iCs/>
          <w:noProof/>
          <w:szCs w:val="22"/>
          <w:lang w:val="sr-Latn-ME" w:eastAsia="hr-HR"/>
        </w:rPr>
      </w:pPr>
      <w:r w:rsidRPr="00B74B0F">
        <w:rPr>
          <w:rFonts w:eastAsia="SimSun"/>
          <w:i/>
          <w:iCs/>
          <w:noProof/>
          <w:szCs w:val="22"/>
          <w:lang w:val="sr-Latn-ME" w:eastAsia="hr-HR"/>
        </w:rPr>
        <w:t xml:space="preserve">Početne </w:t>
      </w:r>
      <w:r w:rsidR="003A3FEB" w:rsidRPr="00B74B0F">
        <w:rPr>
          <w:rFonts w:eastAsia="SimSun"/>
          <w:i/>
          <w:iCs/>
          <w:noProof/>
          <w:szCs w:val="22"/>
          <w:lang w:val="sr-Latn-ME" w:eastAsia="hr-HR"/>
        </w:rPr>
        <w:t>karakteristike</w:t>
      </w:r>
    </w:p>
    <w:p w14:paraId="36BA2412" w14:textId="77777777" w:rsidR="004E3BE3" w:rsidRPr="00B74B0F" w:rsidRDefault="004E3BE3">
      <w:pPr>
        <w:tabs>
          <w:tab w:val="clear" w:pos="567"/>
        </w:tabs>
        <w:autoSpaceDE w:val="0"/>
        <w:autoSpaceDN w:val="0"/>
        <w:adjustRightInd w:val="0"/>
        <w:spacing w:line="240" w:lineRule="auto"/>
        <w:jc w:val="both"/>
        <w:rPr>
          <w:rFonts w:eastAsia="SimSun"/>
          <w:i/>
          <w:iCs/>
          <w:noProof/>
          <w:szCs w:val="22"/>
          <w:lang w:val="sr-Latn-ME" w:eastAsia="hr-HR"/>
        </w:rPr>
      </w:pPr>
    </w:p>
    <w:p w14:paraId="1E069C2F" w14:textId="20A6FB50" w:rsidR="004E3BE3" w:rsidRPr="00B74B0F" w:rsidRDefault="004E3BE3">
      <w:pPr>
        <w:tabs>
          <w:tab w:val="clear" w:pos="567"/>
        </w:tabs>
        <w:autoSpaceDE w:val="0"/>
        <w:autoSpaceDN w:val="0"/>
        <w:adjustRightInd w:val="0"/>
        <w:spacing w:line="240" w:lineRule="auto"/>
        <w:jc w:val="both"/>
        <w:rPr>
          <w:rFonts w:eastAsia="SimSun"/>
          <w:noProof/>
          <w:szCs w:val="22"/>
          <w:lang w:val="sr-Latn-ME" w:eastAsia="hr-HR"/>
        </w:rPr>
      </w:pPr>
      <w:r w:rsidRPr="00B74B0F">
        <w:rPr>
          <w:rFonts w:eastAsia="SimSun"/>
          <w:noProof/>
          <w:szCs w:val="22"/>
          <w:lang w:val="sr-Latn-ME" w:eastAsia="hr-HR"/>
        </w:rPr>
        <w:t xml:space="preserve">U ispitivanjima monoterapije (MEASURE UP 1 i 2), 50,0% </w:t>
      </w:r>
      <w:r w:rsidR="00181042" w:rsidRPr="00B74B0F">
        <w:rPr>
          <w:rFonts w:eastAsia="SimSun"/>
          <w:noProof/>
          <w:szCs w:val="22"/>
          <w:lang w:val="sr-Latn-ME" w:eastAsia="hr-HR"/>
        </w:rPr>
        <w:t>pacijenata</w:t>
      </w:r>
      <w:r w:rsidRPr="00B74B0F">
        <w:rPr>
          <w:rFonts w:eastAsia="SimSun"/>
          <w:noProof/>
          <w:szCs w:val="22"/>
          <w:lang w:val="sr-Latn-ME" w:eastAsia="hr-HR"/>
        </w:rPr>
        <w:t xml:space="preserve"> imalo je početni vIGA</w:t>
      </w:r>
      <w:r w:rsidRPr="00B74B0F">
        <w:rPr>
          <w:rFonts w:eastAsia="SimSun"/>
          <w:noProof/>
          <w:szCs w:val="22"/>
          <w:lang w:val="sr-Latn-ME" w:eastAsia="hr-HR"/>
        </w:rPr>
        <w:noBreakHyphen/>
        <w:t xml:space="preserve">AD rezultat 3 (umjeren), a 50,0% </w:t>
      </w:r>
      <w:r w:rsidR="00181042" w:rsidRPr="00B74B0F">
        <w:rPr>
          <w:rFonts w:eastAsia="SimSun"/>
          <w:noProof/>
          <w:szCs w:val="22"/>
          <w:lang w:val="sr-Latn-ME" w:eastAsia="hr-HR"/>
        </w:rPr>
        <w:t>pacijenata</w:t>
      </w:r>
      <w:r w:rsidRPr="00B74B0F">
        <w:rPr>
          <w:rFonts w:eastAsia="SimSun"/>
          <w:noProof/>
          <w:szCs w:val="22"/>
          <w:lang w:val="sr-Latn-ME" w:eastAsia="hr-HR"/>
        </w:rPr>
        <w:t xml:space="preserve"> imalo je početni vIGA</w:t>
      </w:r>
      <w:r w:rsidRPr="00B74B0F">
        <w:rPr>
          <w:rFonts w:eastAsia="SimSun"/>
          <w:noProof/>
          <w:szCs w:val="22"/>
          <w:lang w:val="sr-Latn-ME" w:eastAsia="hr-HR"/>
        </w:rPr>
        <w:noBreakHyphen/>
        <w:t xml:space="preserve">AD rezultat 4 (težak). Početna srednja vrijednost EASI rezultata iznosila je 29,3, a početni </w:t>
      </w:r>
      <w:r w:rsidR="00181042" w:rsidRPr="00B74B0F">
        <w:rPr>
          <w:rFonts w:eastAsia="SimSun"/>
          <w:noProof/>
          <w:szCs w:val="22"/>
          <w:lang w:val="sr-Latn-ME" w:eastAsia="hr-HR"/>
        </w:rPr>
        <w:t>ned</w:t>
      </w:r>
      <w:r w:rsidR="003D3CD0" w:rsidRPr="00B74B0F">
        <w:rPr>
          <w:rFonts w:eastAsia="SimSun"/>
          <w:noProof/>
          <w:szCs w:val="22"/>
          <w:lang w:val="sr-Latn-ME" w:eastAsia="hr-HR"/>
        </w:rPr>
        <w:t>j</w:t>
      </w:r>
      <w:r w:rsidR="00181042" w:rsidRPr="00B74B0F">
        <w:rPr>
          <w:rFonts w:eastAsia="SimSun"/>
          <w:noProof/>
          <w:szCs w:val="22"/>
          <w:lang w:val="sr-Latn-ME" w:eastAsia="hr-HR"/>
        </w:rPr>
        <w:t xml:space="preserve">eljni </w:t>
      </w:r>
      <w:r w:rsidRPr="00B74B0F">
        <w:rPr>
          <w:rFonts w:eastAsia="SimSun"/>
          <w:noProof/>
          <w:szCs w:val="22"/>
          <w:lang w:val="sr-Latn-ME" w:eastAsia="hr-HR"/>
        </w:rPr>
        <w:t>prosječni NRS rezultat za najgori pruritus bio je 7,3. U ispitivanju s</w:t>
      </w:r>
      <w:r w:rsidR="005845E0" w:rsidRPr="00B74B0F">
        <w:rPr>
          <w:rFonts w:eastAsia="SimSun"/>
          <w:noProof/>
          <w:szCs w:val="22"/>
          <w:lang w:val="sr-Latn-ME" w:eastAsia="hr-HR"/>
        </w:rPr>
        <w:t>a</w:t>
      </w:r>
      <w:r w:rsidRPr="00B74B0F">
        <w:rPr>
          <w:rFonts w:eastAsia="SimSun"/>
          <w:noProof/>
          <w:szCs w:val="22"/>
          <w:lang w:val="sr-Latn-ME" w:eastAsia="hr-HR"/>
        </w:rPr>
        <w:t xml:space="preserve"> </w:t>
      </w:r>
      <w:r w:rsidR="003A3FEB" w:rsidRPr="00B74B0F">
        <w:rPr>
          <w:rFonts w:eastAsia="SimSun"/>
          <w:noProof/>
          <w:szCs w:val="22"/>
          <w:lang w:val="sr-Latn-ME" w:eastAsia="hr-HR"/>
        </w:rPr>
        <w:t xml:space="preserve">istovremenom </w:t>
      </w:r>
      <w:r w:rsidRPr="00B74B0F">
        <w:rPr>
          <w:rFonts w:eastAsia="SimSun"/>
          <w:noProof/>
          <w:szCs w:val="22"/>
          <w:lang w:val="sr-Latn-ME" w:eastAsia="hr-HR"/>
        </w:rPr>
        <w:t>primjenom TKS</w:t>
      </w:r>
      <w:r w:rsidRPr="00B74B0F">
        <w:rPr>
          <w:rFonts w:eastAsia="SimSun"/>
          <w:noProof/>
          <w:szCs w:val="22"/>
          <w:lang w:val="sr-Latn-ME" w:eastAsia="hr-HR"/>
        </w:rPr>
        <w:noBreakHyphen/>
        <w:t xml:space="preserve">a (AD UP), 47,1% </w:t>
      </w:r>
      <w:r w:rsidR="00181042" w:rsidRPr="00B74B0F">
        <w:rPr>
          <w:rFonts w:eastAsia="SimSun"/>
          <w:noProof/>
          <w:szCs w:val="22"/>
          <w:lang w:val="sr-Latn-ME" w:eastAsia="hr-HR"/>
        </w:rPr>
        <w:t>pacijenata</w:t>
      </w:r>
      <w:r w:rsidRPr="00B74B0F">
        <w:rPr>
          <w:rFonts w:eastAsia="SimSun"/>
          <w:noProof/>
          <w:szCs w:val="22"/>
          <w:lang w:val="sr-Latn-ME" w:eastAsia="hr-HR"/>
        </w:rPr>
        <w:t xml:space="preserve"> imalo je početni vIGA</w:t>
      </w:r>
      <w:r w:rsidRPr="00B74B0F">
        <w:rPr>
          <w:rFonts w:eastAsia="SimSun"/>
          <w:noProof/>
          <w:szCs w:val="22"/>
          <w:lang w:val="sr-Latn-ME" w:eastAsia="hr-HR"/>
        </w:rPr>
        <w:noBreakHyphen/>
        <w:t xml:space="preserve">AD rezultat 3 (umjeren), a 52,9% </w:t>
      </w:r>
      <w:r w:rsidR="00181042" w:rsidRPr="00B74B0F">
        <w:rPr>
          <w:rFonts w:eastAsia="SimSun"/>
          <w:noProof/>
          <w:szCs w:val="22"/>
          <w:lang w:val="sr-Latn-ME" w:eastAsia="hr-HR"/>
        </w:rPr>
        <w:t>pacijenata</w:t>
      </w:r>
      <w:r w:rsidRPr="00B74B0F">
        <w:rPr>
          <w:rFonts w:eastAsia="SimSun"/>
          <w:noProof/>
          <w:szCs w:val="22"/>
          <w:lang w:val="sr-Latn-ME" w:eastAsia="hr-HR"/>
        </w:rPr>
        <w:t xml:space="preserve"> imalo je početni vIGA</w:t>
      </w:r>
      <w:r w:rsidRPr="00B74B0F">
        <w:rPr>
          <w:rFonts w:eastAsia="SimSun"/>
          <w:noProof/>
          <w:szCs w:val="22"/>
          <w:lang w:val="sr-Latn-ME" w:eastAsia="hr-HR"/>
        </w:rPr>
        <w:noBreakHyphen/>
        <w:t xml:space="preserve">AD rezultat 4 (težak). Početna srednja vrijednost EASI rezultata iznosila je 29,7, a početni </w:t>
      </w:r>
      <w:r w:rsidR="00181042" w:rsidRPr="00B74B0F">
        <w:rPr>
          <w:rFonts w:eastAsia="SimSun"/>
          <w:noProof/>
          <w:szCs w:val="22"/>
          <w:lang w:val="sr-Latn-ME" w:eastAsia="hr-HR"/>
        </w:rPr>
        <w:t>ned</w:t>
      </w:r>
      <w:r w:rsidR="003D3CD0" w:rsidRPr="00B74B0F">
        <w:rPr>
          <w:rFonts w:eastAsia="SimSun"/>
          <w:noProof/>
          <w:szCs w:val="22"/>
          <w:lang w:val="sr-Latn-ME" w:eastAsia="hr-HR"/>
        </w:rPr>
        <w:t>j</w:t>
      </w:r>
      <w:r w:rsidR="00181042" w:rsidRPr="00B74B0F">
        <w:rPr>
          <w:rFonts w:eastAsia="SimSun"/>
          <w:noProof/>
          <w:szCs w:val="22"/>
          <w:lang w:val="sr-Latn-ME" w:eastAsia="hr-HR"/>
        </w:rPr>
        <w:t>eljni</w:t>
      </w:r>
      <w:r w:rsidRPr="00B74B0F">
        <w:rPr>
          <w:rFonts w:eastAsia="SimSun"/>
          <w:noProof/>
          <w:szCs w:val="22"/>
          <w:lang w:val="sr-Latn-ME" w:eastAsia="hr-HR"/>
        </w:rPr>
        <w:t xml:space="preserve"> prosječni NRS rezultat za najgori pruritus bio je 7,2.</w:t>
      </w:r>
    </w:p>
    <w:p w14:paraId="7EA28226" w14:textId="77777777" w:rsidR="004E3BE3" w:rsidRPr="00B74B0F" w:rsidRDefault="004E3BE3">
      <w:pPr>
        <w:spacing w:line="240" w:lineRule="auto"/>
        <w:jc w:val="both"/>
        <w:rPr>
          <w:noProof/>
          <w:szCs w:val="22"/>
          <w:lang w:val="sr-Latn-ME"/>
        </w:rPr>
      </w:pPr>
    </w:p>
    <w:p w14:paraId="3B67EC28" w14:textId="77777777" w:rsidR="004E3BE3" w:rsidRPr="00B74B0F" w:rsidRDefault="004E3BE3">
      <w:pPr>
        <w:keepNext/>
        <w:keepLines/>
        <w:spacing w:line="240" w:lineRule="auto"/>
        <w:jc w:val="both"/>
        <w:rPr>
          <w:i/>
          <w:iCs/>
          <w:noProof/>
          <w:szCs w:val="22"/>
          <w:u w:val="single"/>
          <w:lang w:val="sr-Latn-ME"/>
        </w:rPr>
      </w:pPr>
      <w:r w:rsidRPr="00B74B0F">
        <w:rPr>
          <w:i/>
          <w:iCs/>
          <w:noProof/>
          <w:szCs w:val="22"/>
          <w:u w:val="single"/>
          <w:lang w:val="sr-Latn-ME"/>
        </w:rPr>
        <w:t>Klinički odgovor</w:t>
      </w:r>
    </w:p>
    <w:p w14:paraId="1CDB9A38" w14:textId="77777777" w:rsidR="004E3BE3" w:rsidRPr="00B74B0F" w:rsidRDefault="004E3BE3">
      <w:pPr>
        <w:keepNext/>
        <w:keepLines/>
        <w:spacing w:line="240" w:lineRule="auto"/>
        <w:jc w:val="both"/>
        <w:rPr>
          <w:rFonts w:eastAsia="+mn-ea"/>
          <w:i/>
          <w:iCs/>
          <w:noProof/>
          <w:kern w:val="24"/>
          <w:szCs w:val="22"/>
          <w:lang w:val="sr-Latn-ME"/>
        </w:rPr>
      </w:pPr>
    </w:p>
    <w:p w14:paraId="2FB80819" w14:textId="4347EA49" w:rsidR="004E3BE3" w:rsidRPr="00B74B0F" w:rsidRDefault="004E3BE3">
      <w:pPr>
        <w:keepNext/>
        <w:keepLines/>
        <w:spacing w:line="240" w:lineRule="auto"/>
        <w:jc w:val="both"/>
        <w:rPr>
          <w:rFonts w:eastAsia="+mn-ea"/>
          <w:i/>
          <w:iCs/>
          <w:noProof/>
          <w:kern w:val="24"/>
          <w:szCs w:val="22"/>
          <w:u w:val="single"/>
          <w:lang w:val="sr-Latn-ME"/>
        </w:rPr>
      </w:pPr>
      <w:r w:rsidRPr="00B74B0F">
        <w:rPr>
          <w:rFonts w:eastAsia="+mn-ea"/>
          <w:i/>
          <w:iCs/>
          <w:noProof/>
          <w:kern w:val="24"/>
          <w:szCs w:val="22"/>
          <w:u w:val="single"/>
          <w:lang w:val="sr-Latn-ME"/>
        </w:rPr>
        <w:t>Ispitivanja monoterapije (MEASURE UP 1 I MEASURE UP 2) i ispitivanje s</w:t>
      </w:r>
      <w:r w:rsidR="005845E0" w:rsidRPr="00B74B0F">
        <w:rPr>
          <w:rFonts w:eastAsia="+mn-ea"/>
          <w:i/>
          <w:iCs/>
          <w:noProof/>
          <w:kern w:val="24"/>
          <w:szCs w:val="22"/>
          <w:u w:val="single"/>
          <w:lang w:val="sr-Latn-ME"/>
        </w:rPr>
        <w:t>a</w:t>
      </w:r>
      <w:r w:rsidRPr="00B74B0F">
        <w:rPr>
          <w:rFonts w:eastAsia="+mn-ea"/>
          <w:i/>
          <w:iCs/>
          <w:noProof/>
          <w:kern w:val="24"/>
          <w:szCs w:val="22"/>
          <w:u w:val="single"/>
          <w:lang w:val="sr-Latn-ME"/>
        </w:rPr>
        <w:t xml:space="preserve"> isto</w:t>
      </w:r>
      <w:r w:rsidR="00C56097" w:rsidRPr="00B74B0F">
        <w:rPr>
          <w:rFonts w:eastAsia="+mn-ea"/>
          <w:i/>
          <w:iCs/>
          <w:noProof/>
          <w:kern w:val="24"/>
          <w:szCs w:val="22"/>
          <w:u w:val="single"/>
          <w:lang w:val="sr-Latn-ME"/>
        </w:rPr>
        <w:t>vremenom</w:t>
      </w:r>
      <w:r w:rsidRPr="00B74B0F">
        <w:rPr>
          <w:rFonts w:eastAsia="+mn-ea"/>
          <w:i/>
          <w:iCs/>
          <w:noProof/>
          <w:kern w:val="24"/>
          <w:szCs w:val="22"/>
          <w:u w:val="single"/>
          <w:lang w:val="sr-Latn-ME"/>
        </w:rPr>
        <w:t xml:space="preserve"> primjenom TKS</w:t>
      </w:r>
      <w:r w:rsidRPr="00B74B0F">
        <w:rPr>
          <w:rFonts w:eastAsia="+mn-ea"/>
          <w:i/>
          <w:iCs/>
          <w:noProof/>
          <w:kern w:val="24"/>
          <w:szCs w:val="22"/>
          <w:u w:val="single"/>
          <w:lang w:val="sr-Latn-ME"/>
        </w:rPr>
        <w:noBreakHyphen/>
        <w:t>a (AD UP)</w:t>
      </w:r>
    </w:p>
    <w:p w14:paraId="421B71F0" w14:textId="77777777" w:rsidR="004E3BE3" w:rsidRPr="00B74B0F" w:rsidRDefault="004E3BE3">
      <w:pPr>
        <w:keepNext/>
        <w:keepLines/>
        <w:spacing w:line="240" w:lineRule="auto"/>
        <w:jc w:val="both"/>
        <w:rPr>
          <w:rFonts w:eastAsia="+mn-ea"/>
          <w:i/>
          <w:iCs/>
          <w:noProof/>
          <w:kern w:val="24"/>
          <w:szCs w:val="22"/>
          <w:u w:val="single"/>
          <w:lang w:val="sr-Latn-ME"/>
        </w:rPr>
      </w:pPr>
    </w:p>
    <w:p w14:paraId="31EEC946" w14:textId="54D4A52E" w:rsidR="004E3BE3" w:rsidRPr="00B74B0F" w:rsidRDefault="004E3BE3">
      <w:pPr>
        <w:keepNext/>
        <w:keepLines/>
        <w:spacing w:line="240" w:lineRule="auto"/>
        <w:jc w:val="both"/>
        <w:rPr>
          <w:noProof/>
          <w:szCs w:val="22"/>
          <w:lang w:val="sr-Latn-ME"/>
        </w:rPr>
      </w:pPr>
      <w:r w:rsidRPr="00B74B0F">
        <w:rPr>
          <w:noProof/>
          <w:szCs w:val="22"/>
          <w:lang w:val="sr-Latn-ME"/>
        </w:rPr>
        <w:t xml:space="preserve">Značajno je veći udio </w:t>
      </w:r>
      <w:r w:rsidR="00181042" w:rsidRPr="00B74B0F">
        <w:rPr>
          <w:noProof/>
          <w:szCs w:val="22"/>
          <w:lang w:val="sr-Latn-ME"/>
        </w:rPr>
        <w:t>pacijenata</w:t>
      </w:r>
      <w:r w:rsidRPr="00B74B0F">
        <w:rPr>
          <w:noProof/>
          <w:szCs w:val="22"/>
          <w:lang w:val="sr-Latn-ME"/>
        </w:rPr>
        <w:t xml:space="preserve"> liječenih upadacitinibom u dozi od 15 mg i 30 mg u </w:t>
      </w:r>
      <w:r w:rsidR="00181042" w:rsidRPr="00B74B0F">
        <w:rPr>
          <w:noProof/>
          <w:szCs w:val="22"/>
          <w:lang w:val="sr-Latn-ME"/>
        </w:rPr>
        <w:t>poređenju</w:t>
      </w:r>
      <w:r w:rsidRPr="00B74B0F">
        <w:rPr>
          <w:noProof/>
          <w:szCs w:val="22"/>
          <w:lang w:val="sr-Latn-ME"/>
        </w:rPr>
        <w:t xml:space="preserve"> s</w:t>
      </w:r>
      <w:r w:rsidR="005845E0" w:rsidRPr="00B74B0F">
        <w:rPr>
          <w:noProof/>
          <w:szCs w:val="22"/>
          <w:lang w:val="sr-Latn-ME"/>
        </w:rPr>
        <w:t>a</w:t>
      </w:r>
      <w:r w:rsidRPr="00B74B0F">
        <w:rPr>
          <w:noProof/>
          <w:szCs w:val="22"/>
          <w:lang w:val="sr-Latn-ME"/>
        </w:rPr>
        <w:t> onima koji su primali placebo postigao odgovor vIGA</w:t>
      </w:r>
      <w:r w:rsidRPr="00B74B0F">
        <w:rPr>
          <w:noProof/>
          <w:szCs w:val="22"/>
          <w:lang w:val="sr-Latn-ME"/>
        </w:rPr>
        <w:noBreakHyphen/>
        <w:t>AD 0 ili 1, EASI 75 ili poboljšanje NRS rezultata za najgori pruritus za ≥ 4 boda u 16. </w:t>
      </w:r>
      <w:r w:rsidR="00181042" w:rsidRPr="00B74B0F">
        <w:rPr>
          <w:noProof/>
          <w:szCs w:val="22"/>
          <w:lang w:val="sr-Latn-ME"/>
        </w:rPr>
        <w:t>ned</w:t>
      </w:r>
      <w:r w:rsidR="00F531D9" w:rsidRPr="00B74B0F">
        <w:rPr>
          <w:noProof/>
          <w:szCs w:val="22"/>
          <w:lang w:val="sr-Latn-ME"/>
        </w:rPr>
        <w:t>j</w:t>
      </w:r>
      <w:r w:rsidR="00181042" w:rsidRPr="00B74B0F">
        <w:rPr>
          <w:noProof/>
          <w:szCs w:val="22"/>
          <w:lang w:val="sr-Latn-ME"/>
        </w:rPr>
        <w:t>elji</w:t>
      </w:r>
      <w:r w:rsidRPr="00B74B0F">
        <w:rPr>
          <w:noProof/>
          <w:szCs w:val="22"/>
          <w:lang w:val="sr-Latn-ME"/>
        </w:rPr>
        <w:t>. Postignuta su i brza poboljšanja čišćenja kože i svr</w:t>
      </w:r>
      <w:r w:rsidR="00F531D9" w:rsidRPr="00B74B0F">
        <w:rPr>
          <w:noProof/>
          <w:szCs w:val="22"/>
          <w:lang w:val="sr-Latn-ME"/>
        </w:rPr>
        <w:t>aba</w:t>
      </w:r>
      <w:r w:rsidRPr="00B74B0F">
        <w:rPr>
          <w:noProof/>
          <w:szCs w:val="22"/>
          <w:lang w:val="sr-Latn-ME"/>
        </w:rPr>
        <w:t xml:space="preserve"> (vidjeti Tab</w:t>
      </w:r>
      <w:r w:rsidR="00F531D9" w:rsidRPr="00B74B0F">
        <w:rPr>
          <w:noProof/>
          <w:szCs w:val="22"/>
          <w:lang w:val="sr-Latn-ME"/>
        </w:rPr>
        <w:t>el</w:t>
      </w:r>
      <w:r w:rsidRPr="00B74B0F">
        <w:rPr>
          <w:noProof/>
          <w:szCs w:val="22"/>
          <w:lang w:val="sr-Latn-ME"/>
        </w:rPr>
        <w:t>u </w:t>
      </w:r>
      <w:r w:rsidRPr="00B74B0F">
        <w:rPr>
          <w:szCs w:val="22"/>
          <w:lang w:val="sr-Latn-ME"/>
        </w:rPr>
        <w:t>12</w:t>
      </w:r>
      <w:r w:rsidRPr="00B74B0F">
        <w:rPr>
          <w:noProof/>
          <w:szCs w:val="22"/>
          <w:lang w:val="sr-Latn-ME"/>
        </w:rPr>
        <w:t xml:space="preserve">). </w:t>
      </w:r>
    </w:p>
    <w:p w14:paraId="30AC480A" w14:textId="77777777" w:rsidR="004E3BE3" w:rsidRPr="00B74B0F" w:rsidRDefault="004E3BE3">
      <w:pPr>
        <w:spacing w:line="240" w:lineRule="auto"/>
        <w:jc w:val="both"/>
        <w:rPr>
          <w:noProof/>
          <w:szCs w:val="22"/>
          <w:lang w:val="sr-Latn-ME"/>
        </w:rPr>
      </w:pPr>
    </w:p>
    <w:p w14:paraId="5C5477A8" w14:textId="6C9E906D" w:rsidR="004E3BE3" w:rsidRPr="00B74B0F" w:rsidRDefault="004E3BE3">
      <w:pPr>
        <w:spacing w:line="240" w:lineRule="auto"/>
        <w:jc w:val="both"/>
        <w:rPr>
          <w:rFonts w:eastAsia="+mn-ea"/>
          <w:noProof/>
          <w:kern w:val="24"/>
          <w:szCs w:val="22"/>
          <w:lang w:val="sr-Latn-ME"/>
        </w:rPr>
      </w:pPr>
      <w:r w:rsidRPr="00B74B0F">
        <w:rPr>
          <w:rFonts w:eastAsia="+mn-ea"/>
          <w:noProof/>
          <w:kern w:val="24"/>
          <w:szCs w:val="22"/>
          <w:lang w:val="sr-Latn-ME"/>
        </w:rPr>
        <w:t xml:space="preserve">Slika 1 prikazuje udio </w:t>
      </w:r>
      <w:r w:rsidR="00181042" w:rsidRPr="00B74B0F">
        <w:rPr>
          <w:rFonts w:eastAsia="+mn-ea"/>
          <w:noProof/>
          <w:kern w:val="24"/>
          <w:szCs w:val="22"/>
          <w:lang w:val="sr-Latn-ME"/>
        </w:rPr>
        <w:t>pacijenata</w:t>
      </w:r>
      <w:r w:rsidRPr="00B74B0F">
        <w:rPr>
          <w:rFonts w:eastAsia="+mn-ea"/>
          <w:noProof/>
          <w:kern w:val="24"/>
          <w:szCs w:val="22"/>
          <w:lang w:val="sr-Latn-ME"/>
        </w:rPr>
        <w:t xml:space="preserve"> koji su postigli odgovor EASI </w:t>
      </w:r>
      <w:bookmarkStart w:id="5" w:name="_Hlk73638345"/>
      <w:r w:rsidRPr="00B74B0F">
        <w:rPr>
          <w:rFonts w:eastAsia="+mn-ea"/>
          <w:noProof/>
          <w:kern w:val="24"/>
          <w:szCs w:val="22"/>
          <w:lang w:val="sr-Latn-ME"/>
        </w:rPr>
        <w:t>75 i srednju vrijednost postotne promjene NRS rezultata za najgori pruritus od početka ispitivanja do 16. </w:t>
      </w:r>
      <w:r w:rsidR="00F531D9" w:rsidRPr="00B74B0F">
        <w:rPr>
          <w:rFonts w:eastAsia="+mn-ea"/>
          <w:noProof/>
          <w:kern w:val="24"/>
          <w:szCs w:val="22"/>
          <w:lang w:val="sr-Latn-ME"/>
        </w:rPr>
        <w:t xml:space="preserve">nedjelje </w:t>
      </w:r>
      <w:r w:rsidRPr="00B74B0F">
        <w:rPr>
          <w:rFonts w:eastAsia="+mn-ea"/>
          <w:noProof/>
          <w:kern w:val="24"/>
          <w:szCs w:val="22"/>
          <w:lang w:val="sr-Latn-ME"/>
        </w:rPr>
        <w:t xml:space="preserve">za </w:t>
      </w:r>
      <w:r w:rsidRPr="00B74B0F">
        <w:rPr>
          <w:rFonts w:eastAsia="+mn-ea"/>
          <w:noProof/>
          <w:kern w:val="24"/>
          <w:szCs w:val="22"/>
          <w:lang w:val="sr-Latn-ME"/>
        </w:rPr>
        <w:br/>
        <w:t>MEASURE UP 1 i 2</w:t>
      </w:r>
      <w:bookmarkEnd w:id="5"/>
      <w:r w:rsidRPr="00B74B0F">
        <w:rPr>
          <w:rFonts w:eastAsia="+mn-ea"/>
          <w:noProof/>
          <w:kern w:val="24"/>
          <w:szCs w:val="22"/>
          <w:lang w:val="sr-Latn-ME"/>
        </w:rPr>
        <w:t>.</w:t>
      </w:r>
    </w:p>
    <w:p w14:paraId="2F7F4192" w14:textId="77777777" w:rsidR="004E3BE3" w:rsidRPr="00B74B0F" w:rsidRDefault="004E3BE3">
      <w:pPr>
        <w:spacing w:line="240" w:lineRule="auto"/>
        <w:jc w:val="both"/>
        <w:rPr>
          <w:noProof/>
          <w:szCs w:val="22"/>
          <w:lang w:val="sr-Latn-ME"/>
        </w:rPr>
      </w:pPr>
    </w:p>
    <w:p w14:paraId="40035A34" w14:textId="60F76332" w:rsidR="004E3BE3" w:rsidRPr="00B74B0F" w:rsidRDefault="004E3BE3">
      <w:pPr>
        <w:keepNext/>
        <w:autoSpaceDE w:val="0"/>
        <w:autoSpaceDN w:val="0"/>
        <w:adjustRightInd w:val="0"/>
        <w:spacing w:line="240" w:lineRule="auto"/>
        <w:jc w:val="both"/>
        <w:rPr>
          <w:rFonts w:eastAsia="Calibri"/>
          <w:b/>
          <w:szCs w:val="22"/>
          <w:lang w:val="sr-Latn-ME"/>
        </w:rPr>
      </w:pPr>
      <w:r w:rsidRPr="00B74B0F">
        <w:rPr>
          <w:rFonts w:eastAsia="Calibri"/>
          <w:b/>
          <w:szCs w:val="22"/>
          <w:lang w:val="sr-Latn-ME"/>
        </w:rPr>
        <w:t>Tab</w:t>
      </w:r>
      <w:r w:rsidR="005845E0" w:rsidRPr="00B74B0F">
        <w:rPr>
          <w:rFonts w:eastAsia="Calibri"/>
          <w:b/>
          <w:szCs w:val="22"/>
          <w:lang w:val="sr-Latn-ME"/>
        </w:rPr>
        <w:t>ela</w:t>
      </w:r>
      <w:r w:rsidRPr="00B74B0F">
        <w:rPr>
          <w:rFonts w:eastAsia="Calibri"/>
          <w:b/>
          <w:szCs w:val="22"/>
          <w:lang w:val="sr-Latn-ME"/>
        </w:rPr>
        <w:t> 1</w:t>
      </w:r>
      <w:r w:rsidR="00F531D9" w:rsidRPr="00B74B0F">
        <w:rPr>
          <w:rFonts w:eastAsia="Calibri"/>
          <w:b/>
          <w:szCs w:val="22"/>
          <w:lang w:val="sr-Latn-ME"/>
        </w:rPr>
        <w:t>2:</w:t>
      </w:r>
      <w:r w:rsidRPr="00B74B0F">
        <w:rPr>
          <w:rFonts w:eastAsia="Calibri"/>
          <w:b/>
          <w:szCs w:val="22"/>
          <w:lang w:val="sr-Latn-ME"/>
        </w:rPr>
        <w:t xml:space="preserve"> Rezultati </w:t>
      </w:r>
      <w:r w:rsidR="003D3CD0" w:rsidRPr="00B74B0F">
        <w:rPr>
          <w:rFonts w:eastAsia="Calibri"/>
          <w:b/>
          <w:szCs w:val="22"/>
          <w:lang w:val="sr-Latn-ME"/>
        </w:rPr>
        <w:t xml:space="preserve">efikasnosti </w:t>
      </w:r>
      <w:r w:rsidRPr="00B74B0F">
        <w:rPr>
          <w:rFonts w:eastAsia="Calibri"/>
          <w:b/>
          <w:szCs w:val="22"/>
          <w:lang w:val="sr-Latn-ME"/>
        </w:rPr>
        <w:t>upadacitiniba</w:t>
      </w:r>
    </w:p>
    <w:p w14:paraId="5BA84066" w14:textId="77777777" w:rsidR="004E3BE3" w:rsidRPr="00B74B0F" w:rsidRDefault="004E3BE3">
      <w:pPr>
        <w:keepNext/>
        <w:spacing w:line="240" w:lineRule="auto"/>
        <w:jc w:val="both"/>
        <w:rPr>
          <w:noProof/>
          <w:szCs w:val="22"/>
          <w:lang w:val="sr-Latn-ME"/>
        </w:rPr>
      </w:pP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821"/>
        <w:gridCol w:w="936"/>
        <w:gridCol w:w="995"/>
        <w:gridCol w:w="565"/>
        <w:gridCol w:w="689"/>
        <w:gridCol w:w="822"/>
        <w:gridCol w:w="820"/>
        <w:gridCol w:w="820"/>
        <w:gridCol w:w="962"/>
      </w:tblGrid>
      <w:tr w:rsidR="00BF75A1" w:rsidRPr="00B74B0F" w14:paraId="7EF5B201" w14:textId="77777777" w:rsidTr="00200D71">
        <w:trPr>
          <w:trHeight w:val="300"/>
          <w:tblHeader/>
        </w:trPr>
        <w:tc>
          <w:tcPr>
            <w:tcW w:w="967" w:type="pct"/>
            <w:shd w:val="clear" w:color="auto" w:fill="auto"/>
          </w:tcPr>
          <w:p w14:paraId="60BB7C25" w14:textId="77777777" w:rsidR="004E3BE3" w:rsidRPr="00B74B0F" w:rsidRDefault="004E3BE3">
            <w:pPr>
              <w:keepNext/>
              <w:spacing w:line="240" w:lineRule="auto"/>
              <w:jc w:val="both"/>
              <w:rPr>
                <w:b/>
                <w:bCs/>
                <w:noProof/>
                <w:szCs w:val="22"/>
                <w:lang w:val="sr-Latn-ME"/>
              </w:rPr>
            </w:pPr>
            <w:bookmarkStart w:id="6" w:name="_Hlk65703687"/>
            <w:r w:rsidRPr="00B74B0F">
              <w:rPr>
                <w:b/>
                <w:bCs/>
                <w:noProof/>
                <w:szCs w:val="22"/>
                <w:lang w:val="sr-Latn-ME"/>
              </w:rPr>
              <w:t>Ispitivanje</w:t>
            </w:r>
          </w:p>
        </w:tc>
        <w:tc>
          <w:tcPr>
            <w:tcW w:w="1493" w:type="pct"/>
            <w:gridSpan w:val="3"/>
            <w:shd w:val="clear" w:color="auto" w:fill="auto"/>
          </w:tcPr>
          <w:p w14:paraId="13967149" w14:textId="77777777" w:rsidR="004E3BE3" w:rsidRPr="00B74B0F" w:rsidRDefault="004E3BE3" w:rsidP="00A30C3C">
            <w:pPr>
              <w:keepNext/>
              <w:spacing w:line="240" w:lineRule="auto"/>
              <w:jc w:val="both"/>
              <w:rPr>
                <w:b/>
                <w:bCs/>
                <w:noProof/>
                <w:szCs w:val="22"/>
                <w:lang w:val="sr-Latn-ME"/>
              </w:rPr>
            </w:pPr>
            <w:r w:rsidRPr="00B74B0F">
              <w:rPr>
                <w:b/>
                <w:bCs/>
                <w:noProof/>
                <w:szCs w:val="22"/>
                <w:lang w:val="sr-Latn-ME"/>
              </w:rPr>
              <w:t>MEASURE UP 1</w:t>
            </w:r>
          </w:p>
        </w:tc>
        <w:tc>
          <w:tcPr>
            <w:tcW w:w="1126" w:type="pct"/>
            <w:gridSpan w:val="3"/>
            <w:shd w:val="clear" w:color="auto" w:fill="auto"/>
          </w:tcPr>
          <w:p w14:paraId="0D84A8D5" w14:textId="77777777" w:rsidR="004E3BE3" w:rsidRPr="00B74B0F" w:rsidRDefault="004E3BE3" w:rsidP="00A30C3C">
            <w:pPr>
              <w:keepNext/>
              <w:spacing w:line="240" w:lineRule="auto"/>
              <w:jc w:val="both"/>
              <w:rPr>
                <w:b/>
                <w:bCs/>
                <w:noProof/>
                <w:szCs w:val="22"/>
                <w:lang w:val="sr-Latn-ME"/>
              </w:rPr>
            </w:pPr>
            <w:r w:rsidRPr="00B74B0F">
              <w:rPr>
                <w:b/>
                <w:bCs/>
                <w:noProof/>
                <w:szCs w:val="22"/>
                <w:lang w:val="sr-Latn-ME"/>
              </w:rPr>
              <w:t>MEASURE UP 2</w:t>
            </w:r>
          </w:p>
        </w:tc>
        <w:tc>
          <w:tcPr>
            <w:tcW w:w="1413" w:type="pct"/>
            <w:gridSpan w:val="3"/>
          </w:tcPr>
          <w:p w14:paraId="354DA668" w14:textId="77777777" w:rsidR="004E3BE3" w:rsidRPr="00B74B0F" w:rsidRDefault="004E3BE3" w:rsidP="00A30C3C">
            <w:pPr>
              <w:keepNext/>
              <w:spacing w:line="240" w:lineRule="auto"/>
              <w:jc w:val="both"/>
              <w:rPr>
                <w:b/>
                <w:bCs/>
                <w:noProof/>
                <w:szCs w:val="22"/>
                <w:lang w:val="sr-Latn-ME"/>
              </w:rPr>
            </w:pPr>
            <w:r w:rsidRPr="00B74B0F">
              <w:rPr>
                <w:b/>
                <w:bCs/>
                <w:noProof/>
                <w:szCs w:val="22"/>
                <w:lang w:val="sr-Latn-ME"/>
              </w:rPr>
              <w:t>AD UP</w:t>
            </w:r>
          </w:p>
        </w:tc>
      </w:tr>
      <w:tr w:rsidR="00D363CA" w:rsidRPr="00B74B0F" w14:paraId="0CB968B4" w14:textId="77777777" w:rsidTr="00200D71">
        <w:trPr>
          <w:trHeight w:val="525"/>
        </w:trPr>
        <w:tc>
          <w:tcPr>
            <w:tcW w:w="967" w:type="pct"/>
            <w:shd w:val="clear" w:color="auto" w:fill="auto"/>
          </w:tcPr>
          <w:p w14:paraId="32BAC27B" w14:textId="5A18FDD8" w:rsidR="004E3BE3" w:rsidRPr="00B74B0F" w:rsidRDefault="004E3BE3">
            <w:pPr>
              <w:keepNext/>
              <w:spacing w:line="240" w:lineRule="auto"/>
              <w:jc w:val="both"/>
              <w:rPr>
                <w:b/>
                <w:bCs/>
                <w:noProof/>
                <w:szCs w:val="22"/>
                <w:lang w:val="sr-Latn-ME"/>
              </w:rPr>
            </w:pPr>
            <w:r w:rsidRPr="00B74B0F">
              <w:rPr>
                <w:rFonts w:eastAsia="Calibri"/>
                <w:noProof/>
                <w:szCs w:val="22"/>
                <w:lang w:val="sr-Latn-ME"/>
              </w:rPr>
              <w:t xml:space="preserve">Liječena </w:t>
            </w:r>
            <w:r w:rsidR="00181042" w:rsidRPr="00B74B0F">
              <w:rPr>
                <w:rFonts w:eastAsia="Calibri"/>
                <w:noProof/>
                <w:szCs w:val="22"/>
                <w:lang w:val="sr-Latn-ME"/>
              </w:rPr>
              <w:t>grupa</w:t>
            </w:r>
          </w:p>
        </w:tc>
        <w:tc>
          <w:tcPr>
            <w:tcW w:w="446" w:type="pct"/>
            <w:shd w:val="clear" w:color="auto" w:fill="auto"/>
          </w:tcPr>
          <w:p w14:paraId="41C3B4BC" w14:textId="0B8A3FAB" w:rsidR="004E3BE3" w:rsidRPr="00B74B0F" w:rsidRDefault="004E3BE3" w:rsidP="00A30C3C">
            <w:pPr>
              <w:keepNext/>
              <w:spacing w:line="240" w:lineRule="auto"/>
              <w:jc w:val="both"/>
              <w:rPr>
                <w:noProof/>
                <w:szCs w:val="22"/>
                <w:lang w:val="sr-Latn-ME"/>
              </w:rPr>
            </w:pPr>
            <w:r w:rsidRPr="00B74B0F">
              <w:rPr>
                <w:noProof/>
                <w:szCs w:val="22"/>
                <w:lang w:val="sr-Latn-ME"/>
              </w:rPr>
              <w:t>PBO</w:t>
            </w:r>
          </w:p>
        </w:tc>
        <w:tc>
          <w:tcPr>
            <w:tcW w:w="508" w:type="pct"/>
            <w:shd w:val="clear" w:color="auto" w:fill="auto"/>
          </w:tcPr>
          <w:p w14:paraId="0BF97827" w14:textId="77777777" w:rsidR="004E3BE3" w:rsidRPr="00B74B0F" w:rsidRDefault="004E3BE3" w:rsidP="00A30C3C">
            <w:pPr>
              <w:keepNext/>
              <w:spacing w:line="240" w:lineRule="auto"/>
              <w:jc w:val="both"/>
              <w:rPr>
                <w:noProof/>
                <w:szCs w:val="22"/>
                <w:lang w:val="sr-Latn-ME"/>
              </w:rPr>
            </w:pPr>
            <w:r w:rsidRPr="00B74B0F">
              <w:rPr>
                <w:noProof/>
                <w:szCs w:val="22"/>
                <w:lang w:val="sr-Latn-ME"/>
              </w:rPr>
              <w:t>UPA</w:t>
            </w:r>
          </w:p>
          <w:p w14:paraId="7C831A33" w14:textId="51B941D6" w:rsidR="004E3BE3" w:rsidRPr="00B74B0F" w:rsidRDefault="004E3BE3" w:rsidP="00A30C3C">
            <w:pPr>
              <w:keepNext/>
              <w:spacing w:line="240" w:lineRule="auto"/>
              <w:jc w:val="both"/>
              <w:rPr>
                <w:noProof/>
                <w:szCs w:val="22"/>
                <w:lang w:val="sr-Latn-ME"/>
              </w:rPr>
            </w:pPr>
            <w:r w:rsidRPr="00B74B0F">
              <w:rPr>
                <w:noProof/>
                <w:szCs w:val="22"/>
                <w:lang w:val="sr-Latn-ME"/>
              </w:rPr>
              <w:t>15 mg</w:t>
            </w:r>
          </w:p>
        </w:tc>
        <w:tc>
          <w:tcPr>
            <w:tcW w:w="540" w:type="pct"/>
            <w:shd w:val="clear" w:color="auto" w:fill="auto"/>
          </w:tcPr>
          <w:p w14:paraId="4C9112E8" w14:textId="77777777" w:rsidR="004E3BE3" w:rsidRPr="00B74B0F" w:rsidRDefault="004E3BE3" w:rsidP="00A30C3C">
            <w:pPr>
              <w:keepNext/>
              <w:spacing w:line="240" w:lineRule="auto"/>
              <w:jc w:val="both"/>
              <w:rPr>
                <w:noProof/>
                <w:szCs w:val="22"/>
                <w:lang w:val="sr-Latn-ME"/>
              </w:rPr>
            </w:pPr>
            <w:r w:rsidRPr="00B74B0F">
              <w:rPr>
                <w:noProof/>
                <w:szCs w:val="22"/>
                <w:lang w:val="sr-Latn-ME"/>
              </w:rPr>
              <w:t>UPA</w:t>
            </w:r>
          </w:p>
          <w:p w14:paraId="748F3C33" w14:textId="77777777" w:rsidR="004E3BE3" w:rsidRPr="00B74B0F" w:rsidRDefault="004E3BE3" w:rsidP="00A30C3C">
            <w:pPr>
              <w:keepNext/>
              <w:spacing w:line="240" w:lineRule="auto"/>
              <w:jc w:val="both"/>
              <w:rPr>
                <w:noProof/>
                <w:szCs w:val="22"/>
                <w:lang w:val="sr-Latn-ME"/>
              </w:rPr>
            </w:pPr>
            <w:r w:rsidRPr="00B74B0F">
              <w:rPr>
                <w:noProof/>
                <w:szCs w:val="22"/>
                <w:lang w:val="sr-Latn-ME"/>
              </w:rPr>
              <w:t>30 mg</w:t>
            </w:r>
          </w:p>
        </w:tc>
        <w:tc>
          <w:tcPr>
            <w:tcW w:w="307" w:type="pct"/>
            <w:shd w:val="clear" w:color="auto" w:fill="auto"/>
          </w:tcPr>
          <w:p w14:paraId="36055C46" w14:textId="4B1F89DB" w:rsidR="004E3BE3" w:rsidRPr="00B74B0F" w:rsidRDefault="004E3BE3" w:rsidP="00A30C3C">
            <w:pPr>
              <w:keepNext/>
              <w:spacing w:line="240" w:lineRule="auto"/>
              <w:jc w:val="both"/>
              <w:rPr>
                <w:noProof/>
                <w:szCs w:val="22"/>
                <w:lang w:val="sr-Latn-ME"/>
              </w:rPr>
            </w:pPr>
            <w:r w:rsidRPr="00B74B0F">
              <w:rPr>
                <w:noProof/>
                <w:szCs w:val="22"/>
                <w:lang w:val="sr-Latn-ME"/>
              </w:rPr>
              <w:t>PBO</w:t>
            </w:r>
          </w:p>
        </w:tc>
        <w:tc>
          <w:tcPr>
            <w:tcW w:w="374" w:type="pct"/>
            <w:shd w:val="clear" w:color="auto" w:fill="auto"/>
          </w:tcPr>
          <w:p w14:paraId="06B1CB11" w14:textId="77777777" w:rsidR="004E3BE3" w:rsidRPr="00B74B0F" w:rsidRDefault="004E3BE3" w:rsidP="00A30C3C">
            <w:pPr>
              <w:keepNext/>
              <w:spacing w:line="240" w:lineRule="auto"/>
              <w:jc w:val="both"/>
              <w:rPr>
                <w:noProof/>
                <w:szCs w:val="22"/>
                <w:lang w:val="sr-Latn-ME"/>
              </w:rPr>
            </w:pPr>
            <w:r w:rsidRPr="00B74B0F">
              <w:rPr>
                <w:noProof/>
                <w:szCs w:val="22"/>
                <w:lang w:val="sr-Latn-ME"/>
              </w:rPr>
              <w:t>UPA</w:t>
            </w:r>
          </w:p>
          <w:p w14:paraId="6DC7F249" w14:textId="77777777" w:rsidR="004E3BE3" w:rsidRPr="00B74B0F" w:rsidRDefault="004E3BE3" w:rsidP="00A30C3C">
            <w:pPr>
              <w:keepNext/>
              <w:spacing w:line="240" w:lineRule="auto"/>
              <w:jc w:val="both"/>
              <w:rPr>
                <w:noProof/>
                <w:szCs w:val="22"/>
                <w:lang w:val="sr-Latn-ME"/>
              </w:rPr>
            </w:pPr>
            <w:r w:rsidRPr="00B74B0F">
              <w:rPr>
                <w:noProof/>
                <w:szCs w:val="22"/>
                <w:lang w:val="sr-Latn-ME"/>
              </w:rPr>
              <w:t>15 mg</w:t>
            </w:r>
          </w:p>
        </w:tc>
        <w:tc>
          <w:tcPr>
            <w:tcW w:w="446" w:type="pct"/>
            <w:shd w:val="clear" w:color="auto" w:fill="auto"/>
          </w:tcPr>
          <w:p w14:paraId="2AA6D3AE" w14:textId="77777777" w:rsidR="004E3BE3" w:rsidRPr="00B74B0F" w:rsidRDefault="004E3BE3" w:rsidP="00A30C3C">
            <w:pPr>
              <w:keepNext/>
              <w:spacing w:line="240" w:lineRule="auto"/>
              <w:jc w:val="both"/>
              <w:rPr>
                <w:noProof/>
                <w:szCs w:val="22"/>
                <w:lang w:val="sr-Latn-ME"/>
              </w:rPr>
            </w:pPr>
            <w:r w:rsidRPr="00B74B0F">
              <w:rPr>
                <w:noProof/>
                <w:szCs w:val="22"/>
                <w:lang w:val="sr-Latn-ME"/>
              </w:rPr>
              <w:t>UPA</w:t>
            </w:r>
          </w:p>
          <w:p w14:paraId="5D13891C" w14:textId="77777777" w:rsidR="004E3BE3" w:rsidRPr="00B74B0F" w:rsidRDefault="004E3BE3" w:rsidP="00A30C3C">
            <w:pPr>
              <w:keepNext/>
              <w:spacing w:line="240" w:lineRule="auto"/>
              <w:jc w:val="both"/>
              <w:rPr>
                <w:noProof/>
                <w:szCs w:val="22"/>
                <w:lang w:val="sr-Latn-ME"/>
              </w:rPr>
            </w:pPr>
            <w:r w:rsidRPr="00B74B0F">
              <w:rPr>
                <w:noProof/>
                <w:szCs w:val="22"/>
                <w:lang w:val="sr-Latn-ME"/>
              </w:rPr>
              <w:t>30 mg</w:t>
            </w:r>
          </w:p>
        </w:tc>
        <w:tc>
          <w:tcPr>
            <w:tcW w:w="445" w:type="pct"/>
            <w:vAlign w:val="center"/>
          </w:tcPr>
          <w:p w14:paraId="517FDB46" w14:textId="77777777" w:rsidR="004E3BE3" w:rsidRPr="00B74B0F" w:rsidRDefault="004E3BE3" w:rsidP="00A30C3C">
            <w:pPr>
              <w:keepNext/>
              <w:spacing w:line="240" w:lineRule="auto"/>
              <w:jc w:val="both"/>
              <w:rPr>
                <w:noProof/>
                <w:szCs w:val="22"/>
                <w:lang w:val="sr-Latn-ME"/>
              </w:rPr>
            </w:pPr>
            <w:r w:rsidRPr="00B74B0F">
              <w:rPr>
                <w:noProof/>
                <w:szCs w:val="22"/>
                <w:lang w:val="sr-Latn-ME"/>
              </w:rPr>
              <w:t>PBO + TKS</w:t>
            </w:r>
          </w:p>
          <w:p w14:paraId="310C000C" w14:textId="77777777" w:rsidR="004E3BE3" w:rsidRPr="00B74B0F" w:rsidRDefault="004E3BE3" w:rsidP="00A30C3C">
            <w:pPr>
              <w:keepNext/>
              <w:spacing w:line="240" w:lineRule="auto"/>
              <w:jc w:val="both"/>
              <w:rPr>
                <w:noProof/>
                <w:szCs w:val="22"/>
                <w:lang w:val="sr-Latn-ME"/>
              </w:rPr>
            </w:pPr>
          </w:p>
        </w:tc>
        <w:tc>
          <w:tcPr>
            <w:tcW w:w="445" w:type="pct"/>
            <w:vAlign w:val="center"/>
          </w:tcPr>
          <w:p w14:paraId="346A8A40" w14:textId="77777777" w:rsidR="004E3BE3" w:rsidRPr="00B74B0F" w:rsidRDefault="004E3BE3" w:rsidP="00A30C3C">
            <w:pPr>
              <w:keepNext/>
              <w:spacing w:line="240" w:lineRule="auto"/>
              <w:jc w:val="both"/>
              <w:rPr>
                <w:noProof/>
                <w:szCs w:val="22"/>
                <w:lang w:val="sr-Latn-ME"/>
              </w:rPr>
            </w:pPr>
            <w:r w:rsidRPr="00B74B0F">
              <w:rPr>
                <w:noProof/>
                <w:szCs w:val="22"/>
                <w:lang w:val="sr-Latn-ME"/>
              </w:rPr>
              <w:t>UPA 15 mg + TKS</w:t>
            </w:r>
          </w:p>
        </w:tc>
        <w:tc>
          <w:tcPr>
            <w:tcW w:w="522" w:type="pct"/>
            <w:vAlign w:val="center"/>
          </w:tcPr>
          <w:p w14:paraId="7646946F" w14:textId="77777777" w:rsidR="004E3BE3" w:rsidRPr="00B74B0F" w:rsidRDefault="004E3BE3" w:rsidP="00A30C3C">
            <w:pPr>
              <w:keepNext/>
              <w:spacing w:line="240" w:lineRule="auto"/>
              <w:jc w:val="both"/>
              <w:rPr>
                <w:noProof/>
                <w:szCs w:val="22"/>
                <w:lang w:val="sr-Latn-ME"/>
              </w:rPr>
            </w:pPr>
            <w:r w:rsidRPr="00B74B0F">
              <w:rPr>
                <w:noProof/>
                <w:szCs w:val="22"/>
                <w:lang w:val="sr-Latn-ME"/>
              </w:rPr>
              <w:t>UPA 30 mg + TKS</w:t>
            </w:r>
          </w:p>
        </w:tc>
      </w:tr>
      <w:tr w:rsidR="00D363CA" w:rsidRPr="00B74B0F" w14:paraId="02A7EEE1" w14:textId="77777777" w:rsidTr="00200D71">
        <w:trPr>
          <w:trHeight w:val="525"/>
        </w:trPr>
        <w:tc>
          <w:tcPr>
            <w:tcW w:w="967" w:type="pct"/>
            <w:shd w:val="clear" w:color="auto" w:fill="auto"/>
          </w:tcPr>
          <w:p w14:paraId="3FF276F7" w14:textId="77777777" w:rsidR="004E3BE3" w:rsidRPr="00B74B0F" w:rsidRDefault="004E3BE3">
            <w:pPr>
              <w:keepNext/>
              <w:tabs>
                <w:tab w:val="clear" w:pos="567"/>
              </w:tabs>
              <w:autoSpaceDE w:val="0"/>
              <w:autoSpaceDN w:val="0"/>
              <w:adjustRightInd w:val="0"/>
              <w:spacing w:line="240" w:lineRule="auto"/>
              <w:jc w:val="both"/>
              <w:rPr>
                <w:rFonts w:eastAsia="SimSun"/>
                <w:noProof/>
                <w:szCs w:val="22"/>
                <w:lang w:val="sr-Latn-ME"/>
              </w:rPr>
            </w:pPr>
            <w:r w:rsidRPr="00B74B0F">
              <w:rPr>
                <w:rFonts w:eastAsia="SimSun"/>
                <w:noProof/>
                <w:szCs w:val="22"/>
                <w:lang w:val="sr-Latn-ME"/>
              </w:rPr>
              <w:t>Broj ispitanika</w:t>
            </w:r>
          </w:p>
          <w:p w14:paraId="53CAB6B3" w14:textId="74CDEBFE" w:rsidR="004E3BE3" w:rsidRPr="00B74B0F" w:rsidRDefault="004E3BE3">
            <w:pPr>
              <w:keepNext/>
              <w:spacing w:line="240" w:lineRule="auto"/>
              <w:ind w:right="-68"/>
              <w:jc w:val="both"/>
              <w:rPr>
                <w:rFonts w:eastAsia="SimSun"/>
                <w:noProof/>
                <w:szCs w:val="22"/>
                <w:lang w:val="sr-Latn-ME"/>
              </w:rPr>
            </w:pPr>
            <w:r w:rsidRPr="00B74B0F">
              <w:rPr>
                <w:rFonts w:eastAsia="SimSun"/>
                <w:noProof/>
                <w:szCs w:val="22"/>
                <w:lang w:val="sr-Latn-ME"/>
              </w:rPr>
              <w:t xml:space="preserve">koji </w:t>
            </w:r>
            <w:r w:rsidR="00D363CA" w:rsidRPr="00B74B0F">
              <w:rPr>
                <w:rFonts w:eastAsia="SimSun"/>
                <w:noProof/>
                <w:szCs w:val="22"/>
                <w:lang w:val="sr-Latn-ME"/>
              </w:rPr>
              <w:t>je</w:t>
            </w:r>
            <w:r w:rsidRPr="00B74B0F">
              <w:rPr>
                <w:rFonts w:eastAsia="SimSun"/>
                <w:noProof/>
                <w:szCs w:val="22"/>
                <w:lang w:val="sr-Latn-ME"/>
              </w:rPr>
              <w:t xml:space="preserve"> randomiz</w:t>
            </w:r>
            <w:r w:rsidR="00D363CA" w:rsidRPr="00B74B0F">
              <w:rPr>
                <w:rFonts w:eastAsia="SimSun"/>
                <w:noProof/>
                <w:szCs w:val="22"/>
                <w:lang w:val="sr-Latn-ME"/>
              </w:rPr>
              <w:t>ovan</w:t>
            </w:r>
          </w:p>
          <w:p w14:paraId="22CFCA1F" w14:textId="77777777" w:rsidR="004E3BE3" w:rsidRPr="00B74B0F" w:rsidRDefault="004E3BE3">
            <w:pPr>
              <w:keepNext/>
              <w:spacing w:line="240" w:lineRule="auto"/>
              <w:jc w:val="both"/>
              <w:rPr>
                <w:rFonts w:eastAsia="Calibri"/>
                <w:noProof/>
                <w:szCs w:val="22"/>
                <w:lang w:val="sr-Latn-ME"/>
              </w:rPr>
            </w:pPr>
          </w:p>
        </w:tc>
        <w:tc>
          <w:tcPr>
            <w:tcW w:w="446" w:type="pct"/>
            <w:shd w:val="clear" w:color="auto" w:fill="auto"/>
            <w:vAlign w:val="center"/>
          </w:tcPr>
          <w:p w14:paraId="1889B99E" w14:textId="77777777" w:rsidR="004E3BE3" w:rsidRPr="00B74B0F" w:rsidRDefault="004E3BE3" w:rsidP="00A30C3C">
            <w:pPr>
              <w:keepNext/>
              <w:spacing w:line="240" w:lineRule="auto"/>
              <w:jc w:val="both"/>
              <w:rPr>
                <w:noProof/>
                <w:szCs w:val="22"/>
                <w:lang w:val="sr-Latn-ME"/>
              </w:rPr>
            </w:pPr>
            <w:r w:rsidRPr="00B74B0F">
              <w:rPr>
                <w:noProof/>
                <w:szCs w:val="22"/>
                <w:lang w:val="sr-Latn-ME"/>
              </w:rPr>
              <w:t>281</w:t>
            </w:r>
          </w:p>
        </w:tc>
        <w:tc>
          <w:tcPr>
            <w:tcW w:w="508" w:type="pct"/>
            <w:shd w:val="clear" w:color="auto" w:fill="auto"/>
            <w:vAlign w:val="center"/>
          </w:tcPr>
          <w:p w14:paraId="76A29845" w14:textId="77777777" w:rsidR="004E3BE3" w:rsidRPr="00B74B0F" w:rsidRDefault="004E3BE3" w:rsidP="00A30C3C">
            <w:pPr>
              <w:keepNext/>
              <w:spacing w:line="240" w:lineRule="auto"/>
              <w:jc w:val="both"/>
              <w:rPr>
                <w:noProof/>
                <w:szCs w:val="22"/>
                <w:lang w:val="sr-Latn-ME"/>
              </w:rPr>
            </w:pPr>
            <w:r w:rsidRPr="00B74B0F">
              <w:rPr>
                <w:noProof/>
                <w:szCs w:val="22"/>
                <w:lang w:val="sr-Latn-ME"/>
              </w:rPr>
              <w:t>281</w:t>
            </w:r>
          </w:p>
        </w:tc>
        <w:tc>
          <w:tcPr>
            <w:tcW w:w="540" w:type="pct"/>
            <w:shd w:val="clear" w:color="auto" w:fill="auto"/>
            <w:vAlign w:val="center"/>
          </w:tcPr>
          <w:p w14:paraId="56B87FE8" w14:textId="77777777" w:rsidR="004E3BE3" w:rsidRPr="00B74B0F" w:rsidRDefault="004E3BE3" w:rsidP="00A30C3C">
            <w:pPr>
              <w:keepNext/>
              <w:spacing w:line="240" w:lineRule="auto"/>
              <w:jc w:val="both"/>
              <w:rPr>
                <w:noProof/>
                <w:szCs w:val="22"/>
                <w:lang w:val="sr-Latn-ME"/>
              </w:rPr>
            </w:pPr>
            <w:r w:rsidRPr="00B74B0F">
              <w:rPr>
                <w:noProof/>
                <w:szCs w:val="22"/>
                <w:lang w:val="sr-Latn-ME"/>
              </w:rPr>
              <w:t>285</w:t>
            </w:r>
          </w:p>
        </w:tc>
        <w:tc>
          <w:tcPr>
            <w:tcW w:w="307" w:type="pct"/>
            <w:shd w:val="clear" w:color="auto" w:fill="auto"/>
            <w:vAlign w:val="center"/>
          </w:tcPr>
          <w:p w14:paraId="7F0FD665" w14:textId="77777777" w:rsidR="004E3BE3" w:rsidRPr="00B74B0F" w:rsidRDefault="004E3BE3" w:rsidP="00A30C3C">
            <w:pPr>
              <w:keepNext/>
              <w:spacing w:line="240" w:lineRule="auto"/>
              <w:jc w:val="both"/>
              <w:rPr>
                <w:noProof/>
                <w:szCs w:val="22"/>
                <w:lang w:val="sr-Latn-ME"/>
              </w:rPr>
            </w:pPr>
            <w:r w:rsidRPr="00B74B0F">
              <w:rPr>
                <w:noProof/>
                <w:szCs w:val="22"/>
                <w:lang w:val="sr-Latn-ME"/>
              </w:rPr>
              <w:t>278</w:t>
            </w:r>
          </w:p>
        </w:tc>
        <w:tc>
          <w:tcPr>
            <w:tcW w:w="374" w:type="pct"/>
            <w:shd w:val="clear" w:color="auto" w:fill="auto"/>
            <w:vAlign w:val="center"/>
          </w:tcPr>
          <w:p w14:paraId="1DA0EF35" w14:textId="77777777" w:rsidR="004E3BE3" w:rsidRPr="00B74B0F" w:rsidRDefault="004E3BE3" w:rsidP="00A30C3C">
            <w:pPr>
              <w:keepNext/>
              <w:spacing w:line="240" w:lineRule="auto"/>
              <w:jc w:val="both"/>
              <w:rPr>
                <w:noProof/>
                <w:szCs w:val="22"/>
                <w:lang w:val="sr-Latn-ME"/>
              </w:rPr>
            </w:pPr>
            <w:r w:rsidRPr="00B74B0F">
              <w:rPr>
                <w:noProof/>
                <w:szCs w:val="22"/>
                <w:lang w:val="sr-Latn-ME"/>
              </w:rPr>
              <w:t>276</w:t>
            </w:r>
          </w:p>
        </w:tc>
        <w:tc>
          <w:tcPr>
            <w:tcW w:w="446" w:type="pct"/>
            <w:shd w:val="clear" w:color="auto" w:fill="auto"/>
            <w:vAlign w:val="center"/>
          </w:tcPr>
          <w:p w14:paraId="42058A50" w14:textId="77777777" w:rsidR="004E3BE3" w:rsidRPr="00B74B0F" w:rsidRDefault="004E3BE3" w:rsidP="00A30C3C">
            <w:pPr>
              <w:keepNext/>
              <w:spacing w:line="240" w:lineRule="auto"/>
              <w:jc w:val="both"/>
              <w:rPr>
                <w:noProof/>
                <w:szCs w:val="22"/>
                <w:lang w:val="sr-Latn-ME"/>
              </w:rPr>
            </w:pPr>
            <w:r w:rsidRPr="00B74B0F">
              <w:rPr>
                <w:noProof/>
                <w:szCs w:val="22"/>
                <w:lang w:val="sr-Latn-ME"/>
              </w:rPr>
              <w:t>282</w:t>
            </w:r>
          </w:p>
        </w:tc>
        <w:tc>
          <w:tcPr>
            <w:tcW w:w="445" w:type="pct"/>
            <w:vAlign w:val="center"/>
          </w:tcPr>
          <w:p w14:paraId="6997F288" w14:textId="77777777" w:rsidR="004E3BE3" w:rsidRPr="00B74B0F" w:rsidRDefault="004E3BE3" w:rsidP="00A30C3C">
            <w:pPr>
              <w:keepNext/>
              <w:spacing w:line="240" w:lineRule="auto"/>
              <w:jc w:val="both"/>
              <w:rPr>
                <w:noProof/>
                <w:szCs w:val="22"/>
                <w:lang w:val="sr-Latn-ME"/>
              </w:rPr>
            </w:pPr>
            <w:r w:rsidRPr="00B74B0F">
              <w:rPr>
                <w:noProof/>
                <w:szCs w:val="22"/>
                <w:lang w:val="sr-Latn-ME"/>
              </w:rPr>
              <w:t>304</w:t>
            </w:r>
          </w:p>
        </w:tc>
        <w:tc>
          <w:tcPr>
            <w:tcW w:w="445" w:type="pct"/>
            <w:vAlign w:val="center"/>
          </w:tcPr>
          <w:p w14:paraId="05403296" w14:textId="77777777" w:rsidR="004E3BE3" w:rsidRPr="00B74B0F" w:rsidRDefault="004E3BE3" w:rsidP="00A30C3C">
            <w:pPr>
              <w:keepNext/>
              <w:spacing w:line="240" w:lineRule="auto"/>
              <w:jc w:val="both"/>
              <w:rPr>
                <w:noProof/>
                <w:szCs w:val="22"/>
                <w:lang w:val="sr-Latn-ME"/>
              </w:rPr>
            </w:pPr>
            <w:r w:rsidRPr="00B74B0F">
              <w:rPr>
                <w:noProof/>
                <w:szCs w:val="22"/>
                <w:lang w:val="sr-Latn-ME"/>
              </w:rPr>
              <w:t>300</w:t>
            </w:r>
          </w:p>
        </w:tc>
        <w:tc>
          <w:tcPr>
            <w:tcW w:w="522" w:type="pct"/>
            <w:vAlign w:val="center"/>
          </w:tcPr>
          <w:p w14:paraId="0AE15C8B" w14:textId="77777777" w:rsidR="004E3BE3" w:rsidRPr="00B74B0F" w:rsidRDefault="004E3BE3" w:rsidP="00A30C3C">
            <w:pPr>
              <w:keepNext/>
              <w:spacing w:line="240" w:lineRule="auto"/>
              <w:jc w:val="both"/>
              <w:rPr>
                <w:noProof/>
                <w:szCs w:val="22"/>
                <w:lang w:val="sr-Latn-ME"/>
              </w:rPr>
            </w:pPr>
            <w:r w:rsidRPr="00B74B0F">
              <w:rPr>
                <w:noProof/>
                <w:szCs w:val="22"/>
                <w:lang w:val="sr-Latn-ME"/>
              </w:rPr>
              <w:t>297</w:t>
            </w:r>
          </w:p>
        </w:tc>
      </w:tr>
      <w:tr w:rsidR="00BF75A1" w:rsidRPr="00B74B0F" w14:paraId="03E4CFD2" w14:textId="77777777" w:rsidTr="00200D71">
        <w:trPr>
          <w:trHeight w:val="237"/>
        </w:trPr>
        <w:tc>
          <w:tcPr>
            <w:tcW w:w="5000" w:type="pct"/>
            <w:gridSpan w:val="10"/>
            <w:shd w:val="clear" w:color="auto" w:fill="auto"/>
          </w:tcPr>
          <w:p w14:paraId="7F83F1EB" w14:textId="0DA55527" w:rsidR="004E3BE3" w:rsidRPr="00B74B0F" w:rsidRDefault="005845E0">
            <w:pPr>
              <w:keepNext/>
              <w:spacing w:line="240" w:lineRule="auto"/>
              <w:jc w:val="both"/>
              <w:rPr>
                <w:b/>
                <w:bCs/>
                <w:noProof/>
                <w:szCs w:val="22"/>
                <w:lang w:val="sr-Latn-ME"/>
              </w:rPr>
            </w:pPr>
            <w:r w:rsidRPr="00B74B0F">
              <w:rPr>
                <w:rFonts w:eastAsia="Calibri"/>
                <w:b/>
                <w:bCs/>
                <w:noProof/>
                <w:szCs w:val="22"/>
                <w:lang w:val="sr-Latn-ME"/>
              </w:rPr>
              <w:t>Parametri praćenja</w:t>
            </w:r>
            <w:r w:rsidR="004E3BE3" w:rsidRPr="00B74B0F">
              <w:rPr>
                <w:rFonts w:eastAsia="Calibri"/>
                <w:b/>
                <w:bCs/>
                <w:noProof/>
                <w:szCs w:val="22"/>
                <w:lang w:val="sr-Latn-ME"/>
              </w:rPr>
              <w:t xml:space="preserve"> u 16. </w:t>
            </w:r>
            <w:r w:rsidR="00181042" w:rsidRPr="00B74B0F">
              <w:rPr>
                <w:rFonts w:eastAsia="Calibri"/>
                <w:b/>
                <w:bCs/>
                <w:noProof/>
                <w:szCs w:val="22"/>
                <w:lang w:val="sr-Latn-ME"/>
              </w:rPr>
              <w:t>ned</w:t>
            </w:r>
            <w:r w:rsidR="00D363CA" w:rsidRPr="00B74B0F">
              <w:rPr>
                <w:rFonts w:eastAsia="Calibri"/>
                <w:b/>
                <w:bCs/>
                <w:noProof/>
                <w:szCs w:val="22"/>
                <w:lang w:val="sr-Latn-ME"/>
              </w:rPr>
              <w:t>j</w:t>
            </w:r>
            <w:r w:rsidR="00181042" w:rsidRPr="00B74B0F">
              <w:rPr>
                <w:rFonts w:eastAsia="Calibri"/>
                <w:b/>
                <w:bCs/>
                <w:noProof/>
                <w:szCs w:val="22"/>
                <w:lang w:val="sr-Latn-ME"/>
              </w:rPr>
              <w:t>elji</w:t>
            </w:r>
            <w:r w:rsidR="004E3BE3" w:rsidRPr="00B74B0F">
              <w:rPr>
                <w:rFonts w:eastAsia="Calibri"/>
                <w:b/>
                <w:bCs/>
                <w:noProof/>
                <w:szCs w:val="22"/>
                <w:lang w:val="sr-Latn-ME"/>
              </w:rPr>
              <w:t xml:space="preserve">, % </w:t>
            </w:r>
            <w:r w:rsidR="00181042" w:rsidRPr="00B74B0F">
              <w:rPr>
                <w:rFonts w:eastAsia="Calibri"/>
                <w:b/>
                <w:bCs/>
                <w:noProof/>
                <w:szCs w:val="22"/>
                <w:lang w:val="sr-Latn-ME"/>
              </w:rPr>
              <w:t>pacijenata</w:t>
            </w:r>
            <w:r w:rsidR="004E3BE3" w:rsidRPr="00B74B0F">
              <w:rPr>
                <w:rFonts w:eastAsia="Calibri"/>
                <w:b/>
                <w:bCs/>
                <w:noProof/>
                <w:szCs w:val="22"/>
                <w:lang w:val="sr-Latn-ME"/>
              </w:rPr>
              <w:t xml:space="preserve"> s odgovorom (95% CI)</w:t>
            </w:r>
          </w:p>
        </w:tc>
      </w:tr>
      <w:tr w:rsidR="00D363CA" w:rsidRPr="00B74B0F" w14:paraId="229191F0" w14:textId="77777777" w:rsidTr="00200D71">
        <w:trPr>
          <w:trHeight w:val="210"/>
        </w:trPr>
        <w:tc>
          <w:tcPr>
            <w:tcW w:w="967" w:type="pct"/>
            <w:shd w:val="clear" w:color="auto" w:fill="auto"/>
          </w:tcPr>
          <w:p w14:paraId="7C0550AD" w14:textId="77777777" w:rsidR="004E3BE3" w:rsidRPr="00B74B0F" w:rsidRDefault="004E3BE3">
            <w:pPr>
              <w:keepNext/>
              <w:autoSpaceDE w:val="0"/>
              <w:autoSpaceDN w:val="0"/>
              <w:adjustRightInd w:val="0"/>
              <w:spacing w:line="240" w:lineRule="auto"/>
              <w:jc w:val="both"/>
              <w:rPr>
                <w:rFonts w:eastAsia="Calibri"/>
                <w:noProof/>
                <w:szCs w:val="22"/>
                <w:vertAlign w:val="superscript"/>
                <w:lang w:val="sr-Latn-ME"/>
              </w:rPr>
            </w:pPr>
            <w:r w:rsidRPr="00B74B0F">
              <w:rPr>
                <w:rFonts w:eastAsia="Calibri"/>
                <w:noProof/>
                <w:szCs w:val="22"/>
                <w:lang w:val="sr-Latn-ME"/>
              </w:rPr>
              <w:t>vIGA</w:t>
            </w:r>
            <w:r w:rsidRPr="00B74B0F">
              <w:rPr>
                <w:rFonts w:eastAsia="Calibri"/>
                <w:noProof/>
                <w:szCs w:val="22"/>
                <w:lang w:val="sr-Latn-ME"/>
              </w:rPr>
              <w:noBreakHyphen/>
              <w:t>AD 0/1</w:t>
            </w:r>
            <w:r w:rsidRPr="00B74B0F">
              <w:rPr>
                <w:rFonts w:eastAsia="Calibri"/>
                <w:noProof/>
                <w:szCs w:val="22"/>
                <w:vertAlign w:val="superscript"/>
                <w:lang w:val="sr-Latn-ME"/>
              </w:rPr>
              <w:t>a</w:t>
            </w:r>
            <w:r w:rsidRPr="00B74B0F">
              <w:rPr>
                <w:rFonts w:eastAsia="Calibri"/>
                <w:b/>
                <w:noProof/>
                <w:szCs w:val="22"/>
                <w:vertAlign w:val="superscript"/>
                <w:lang w:val="sr-Latn-ME"/>
              </w:rPr>
              <w:t>,</w:t>
            </w:r>
            <w:r w:rsidRPr="00B74B0F">
              <w:rPr>
                <w:rFonts w:eastAsia="Calibri"/>
                <w:noProof/>
                <w:szCs w:val="22"/>
                <w:vertAlign w:val="superscript"/>
                <w:lang w:val="sr-Latn-ME"/>
              </w:rPr>
              <w:t>b</w:t>
            </w:r>
          </w:p>
          <w:p w14:paraId="72F4EF2F" w14:textId="36FAA49E" w:rsidR="004E3BE3" w:rsidRPr="00B74B0F" w:rsidRDefault="004E3BE3">
            <w:pPr>
              <w:keepNext/>
              <w:autoSpaceDE w:val="0"/>
              <w:autoSpaceDN w:val="0"/>
              <w:adjustRightInd w:val="0"/>
              <w:spacing w:line="240" w:lineRule="auto"/>
              <w:jc w:val="both"/>
              <w:rPr>
                <w:noProof/>
                <w:szCs w:val="22"/>
                <w:lang w:val="sr-Latn-ME"/>
              </w:rPr>
            </w:pPr>
            <w:r w:rsidRPr="00B74B0F">
              <w:rPr>
                <w:rFonts w:eastAsia="Calibri"/>
                <w:noProof/>
                <w:szCs w:val="22"/>
                <w:lang w:val="sr-Latn-ME"/>
              </w:rPr>
              <w:t>(ko</w:t>
            </w:r>
            <w:r w:rsidR="00D363CA" w:rsidRPr="00B74B0F">
              <w:rPr>
                <w:rFonts w:eastAsia="Calibri"/>
                <w:noProof/>
                <w:szCs w:val="22"/>
                <w:lang w:val="sr-Latn-ME"/>
              </w:rPr>
              <w:t>-</w:t>
            </w:r>
            <w:r w:rsidRPr="00B74B0F">
              <w:rPr>
                <w:rFonts w:eastAsia="Calibri"/>
                <w:noProof/>
                <w:szCs w:val="22"/>
                <w:lang w:val="sr-Latn-ME"/>
              </w:rPr>
              <w:t>primarni)</w:t>
            </w:r>
          </w:p>
        </w:tc>
        <w:tc>
          <w:tcPr>
            <w:tcW w:w="446" w:type="pct"/>
            <w:shd w:val="clear" w:color="auto" w:fill="auto"/>
            <w:vAlign w:val="center"/>
          </w:tcPr>
          <w:p w14:paraId="3988E578" w14:textId="77777777" w:rsidR="004E3BE3" w:rsidRPr="00B74B0F" w:rsidRDefault="004E3BE3" w:rsidP="00A30C3C">
            <w:pPr>
              <w:keepNext/>
              <w:spacing w:line="240" w:lineRule="auto"/>
              <w:jc w:val="both"/>
              <w:rPr>
                <w:noProof/>
                <w:szCs w:val="22"/>
                <w:lang w:val="sr-Latn-ME"/>
              </w:rPr>
            </w:pPr>
            <w:r w:rsidRPr="00B74B0F">
              <w:rPr>
                <w:noProof/>
                <w:szCs w:val="22"/>
                <w:lang w:val="sr-Latn-ME"/>
              </w:rPr>
              <w:t>8</w:t>
            </w:r>
          </w:p>
          <w:p w14:paraId="53D80F2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(5,12)</w:t>
            </w:r>
          </w:p>
          <w:p w14:paraId="22C912FF" w14:textId="77777777" w:rsidR="004E3BE3" w:rsidRPr="00B74B0F" w:rsidRDefault="004E3BE3" w:rsidP="00A30C3C">
            <w:pPr>
              <w:keepNext/>
              <w:spacing w:line="240" w:lineRule="auto"/>
              <w:jc w:val="both"/>
              <w:rPr>
                <w:noProof/>
                <w:szCs w:val="22"/>
                <w:lang w:val="sr-Latn-ME"/>
              </w:rPr>
            </w:pPr>
          </w:p>
        </w:tc>
        <w:tc>
          <w:tcPr>
            <w:tcW w:w="508" w:type="pct"/>
            <w:shd w:val="clear" w:color="auto" w:fill="auto"/>
            <w:vAlign w:val="center"/>
          </w:tcPr>
          <w:p w14:paraId="16EA8859" w14:textId="77777777" w:rsidR="004E3BE3" w:rsidRPr="00B74B0F" w:rsidRDefault="004E3BE3" w:rsidP="00A30C3C">
            <w:pPr>
              <w:keepNext/>
              <w:spacing w:line="240" w:lineRule="auto"/>
              <w:jc w:val="both"/>
              <w:rPr>
                <w:noProof/>
                <w:szCs w:val="22"/>
                <w:lang w:val="sr-Latn-ME"/>
              </w:rPr>
            </w:pPr>
            <w:r w:rsidRPr="00B74B0F">
              <w:rPr>
                <w:noProof/>
                <w:szCs w:val="22"/>
                <w:lang w:val="sr-Latn-ME"/>
              </w:rPr>
              <w:t>48</w:t>
            </w:r>
            <w:r w:rsidRPr="00B74B0F">
              <w:rPr>
                <w:noProof/>
                <w:szCs w:val="22"/>
                <w:vertAlign w:val="superscript"/>
                <w:lang w:val="sr-Latn-ME"/>
              </w:rPr>
              <w:t>d</w:t>
            </w:r>
          </w:p>
          <w:p w14:paraId="3E7D6B4A"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(42,54)</w:t>
            </w:r>
          </w:p>
          <w:p w14:paraId="6C89CF1F" w14:textId="77777777" w:rsidR="004E3BE3" w:rsidRPr="00B74B0F" w:rsidRDefault="004E3BE3" w:rsidP="00A30C3C">
            <w:pPr>
              <w:keepNext/>
              <w:spacing w:line="240" w:lineRule="auto"/>
              <w:jc w:val="both"/>
              <w:rPr>
                <w:noProof/>
                <w:szCs w:val="22"/>
                <w:lang w:val="sr-Latn-ME"/>
              </w:rPr>
            </w:pPr>
          </w:p>
        </w:tc>
        <w:tc>
          <w:tcPr>
            <w:tcW w:w="540" w:type="pct"/>
            <w:shd w:val="clear" w:color="auto" w:fill="auto"/>
            <w:vAlign w:val="center"/>
          </w:tcPr>
          <w:p w14:paraId="7DDBBEE9" w14:textId="77777777" w:rsidR="004E3BE3" w:rsidRPr="00B74B0F" w:rsidRDefault="004E3BE3" w:rsidP="00A30C3C">
            <w:pPr>
              <w:keepNext/>
              <w:spacing w:line="240" w:lineRule="auto"/>
              <w:jc w:val="both"/>
              <w:rPr>
                <w:noProof/>
                <w:szCs w:val="22"/>
                <w:lang w:val="sr-Latn-ME"/>
              </w:rPr>
            </w:pPr>
            <w:r w:rsidRPr="00B74B0F">
              <w:rPr>
                <w:noProof/>
                <w:szCs w:val="22"/>
                <w:lang w:val="sr-Latn-ME"/>
              </w:rPr>
              <w:t>62</w:t>
            </w:r>
            <w:r w:rsidRPr="00B74B0F">
              <w:rPr>
                <w:noProof/>
                <w:szCs w:val="22"/>
                <w:vertAlign w:val="superscript"/>
                <w:lang w:val="sr-Latn-ME"/>
              </w:rPr>
              <w:t>d</w:t>
            </w:r>
          </w:p>
          <w:p w14:paraId="7237EB26"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(56,68)</w:t>
            </w:r>
          </w:p>
          <w:p w14:paraId="66451068" w14:textId="77777777" w:rsidR="004E3BE3" w:rsidRPr="00B74B0F" w:rsidRDefault="004E3BE3" w:rsidP="00A30C3C">
            <w:pPr>
              <w:keepNext/>
              <w:spacing w:line="240" w:lineRule="auto"/>
              <w:jc w:val="both"/>
              <w:rPr>
                <w:noProof/>
                <w:szCs w:val="22"/>
                <w:lang w:val="sr-Latn-ME"/>
              </w:rPr>
            </w:pPr>
          </w:p>
        </w:tc>
        <w:tc>
          <w:tcPr>
            <w:tcW w:w="307" w:type="pct"/>
            <w:shd w:val="clear" w:color="auto" w:fill="auto"/>
            <w:vAlign w:val="center"/>
          </w:tcPr>
          <w:p w14:paraId="02934C83" w14:textId="77777777" w:rsidR="004E3BE3" w:rsidRPr="00B74B0F" w:rsidRDefault="004E3BE3" w:rsidP="00A30C3C">
            <w:pPr>
              <w:keepNext/>
              <w:spacing w:line="240" w:lineRule="auto"/>
              <w:jc w:val="both"/>
              <w:rPr>
                <w:noProof/>
                <w:szCs w:val="22"/>
                <w:lang w:val="sr-Latn-ME"/>
              </w:rPr>
            </w:pPr>
            <w:r w:rsidRPr="00B74B0F">
              <w:rPr>
                <w:noProof/>
                <w:szCs w:val="22"/>
                <w:lang w:val="sr-Latn-ME"/>
              </w:rPr>
              <w:t>5</w:t>
            </w:r>
          </w:p>
          <w:p w14:paraId="67EAF23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(2,7)</w:t>
            </w:r>
          </w:p>
          <w:p w14:paraId="3B5A08E9" w14:textId="77777777" w:rsidR="004E3BE3" w:rsidRPr="00B74B0F" w:rsidRDefault="004E3BE3" w:rsidP="00A30C3C">
            <w:pPr>
              <w:keepNext/>
              <w:spacing w:line="240" w:lineRule="auto"/>
              <w:jc w:val="both"/>
              <w:rPr>
                <w:noProof/>
                <w:szCs w:val="22"/>
                <w:lang w:val="sr-Latn-ME"/>
              </w:rPr>
            </w:pPr>
          </w:p>
        </w:tc>
        <w:tc>
          <w:tcPr>
            <w:tcW w:w="374" w:type="pct"/>
            <w:shd w:val="clear" w:color="auto" w:fill="auto"/>
            <w:vAlign w:val="center"/>
          </w:tcPr>
          <w:p w14:paraId="0814AB97" w14:textId="77777777" w:rsidR="004E3BE3" w:rsidRPr="00B74B0F" w:rsidRDefault="004E3BE3" w:rsidP="00A30C3C">
            <w:pPr>
              <w:keepNext/>
              <w:spacing w:line="240" w:lineRule="auto"/>
              <w:jc w:val="both"/>
              <w:rPr>
                <w:noProof/>
                <w:szCs w:val="22"/>
                <w:lang w:val="sr-Latn-ME"/>
              </w:rPr>
            </w:pPr>
            <w:r w:rsidRPr="00B74B0F">
              <w:rPr>
                <w:noProof/>
                <w:szCs w:val="22"/>
                <w:lang w:val="sr-Latn-ME"/>
              </w:rPr>
              <w:t>39</w:t>
            </w:r>
            <w:r w:rsidRPr="00B74B0F">
              <w:rPr>
                <w:noProof/>
                <w:szCs w:val="22"/>
                <w:vertAlign w:val="superscript"/>
                <w:lang w:val="sr-Latn-ME"/>
              </w:rPr>
              <w:t>d</w:t>
            </w:r>
          </w:p>
          <w:p w14:paraId="1C076446"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(33,45)</w:t>
            </w:r>
          </w:p>
          <w:p w14:paraId="629E8F8B" w14:textId="77777777" w:rsidR="004E3BE3" w:rsidRPr="00B74B0F" w:rsidRDefault="004E3BE3" w:rsidP="00A30C3C">
            <w:pPr>
              <w:keepNext/>
              <w:spacing w:line="240" w:lineRule="auto"/>
              <w:jc w:val="both"/>
              <w:rPr>
                <w:noProof/>
                <w:szCs w:val="22"/>
                <w:lang w:val="sr-Latn-ME"/>
              </w:rPr>
            </w:pPr>
          </w:p>
        </w:tc>
        <w:tc>
          <w:tcPr>
            <w:tcW w:w="446" w:type="pct"/>
            <w:shd w:val="clear" w:color="auto" w:fill="auto"/>
            <w:vAlign w:val="center"/>
          </w:tcPr>
          <w:p w14:paraId="77F5B796" w14:textId="77777777" w:rsidR="004E3BE3" w:rsidRPr="00B74B0F" w:rsidRDefault="004E3BE3" w:rsidP="00A30C3C">
            <w:pPr>
              <w:keepNext/>
              <w:spacing w:line="240" w:lineRule="auto"/>
              <w:jc w:val="both"/>
              <w:rPr>
                <w:noProof/>
                <w:szCs w:val="22"/>
                <w:lang w:val="sr-Latn-ME"/>
              </w:rPr>
            </w:pPr>
            <w:r w:rsidRPr="00B74B0F">
              <w:rPr>
                <w:noProof/>
                <w:szCs w:val="22"/>
                <w:lang w:val="sr-Latn-ME"/>
              </w:rPr>
              <w:t>52</w:t>
            </w:r>
            <w:r w:rsidRPr="00B74B0F">
              <w:rPr>
                <w:noProof/>
                <w:szCs w:val="22"/>
                <w:vertAlign w:val="superscript"/>
                <w:lang w:val="sr-Latn-ME"/>
              </w:rPr>
              <w:t>d</w:t>
            </w:r>
          </w:p>
          <w:p w14:paraId="2890EB82"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(46,58)</w:t>
            </w:r>
          </w:p>
          <w:p w14:paraId="5AA790FF" w14:textId="77777777" w:rsidR="004E3BE3" w:rsidRPr="00B74B0F" w:rsidRDefault="004E3BE3" w:rsidP="00A30C3C">
            <w:pPr>
              <w:keepNext/>
              <w:spacing w:line="240" w:lineRule="auto"/>
              <w:jc w:val="both"/>
              <w:rPr>
                <w:noProof/>
                <w:szCs w:val="22"/>
                <w:lang w:val="sr-Latn-ME"/>
              </w:rPr>
            </w:pPr>
          </w:p>
        </w:tc>
        <w:tc>
          <w:tcPr>
            <w:tcW w:w="445" w:type="pct"/>
            <w:vAlign w:val="center"/>
          </w:tcPr>
          <w:p w14:paraId="69727E5F" w14:textId="77777777" w:rsidR="004E3BE3" w:rsidRPr="00B74B0F" w:rsidRDefault="004E3BE3" w:rsidP="00A30C3C">
            <w:pPr>
              <w:keepNext/>
              <w:spacing w:line="240" w:lineRule="auto"/>
              <w:jc w:val="both"/>
              <w:rPr>
                <w:noProof/>
                <w:szCs w:val="22"/>
                <w:lang w:val="sr-Latn-ME"/>
              </w:rPr>
            </w:pPr>
            <w:r w:rsidRPr="00B74B0F">
              <w:rPr>
                <w:noProof/>
                <w:szCs w:val="22"/>
                <w:lang w:val="sr-Latn-ME"/>
              </w:rPr>
              <w:t>11</w:t>
            </w:r>
          </w:p>
          <w:p w14:paraId="6866E664"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(7,14)</w:t>
            </w:r>
          </w:p>
          <w:p w14:paraId="4EA16909" w14:textId="77777777" w:rsidR="004E3BE3" w:rsidRPr="00B74B0F" w:rsidRDefault="004E3BE3" w:rsidP="00A30C3C">
            <w:pPr>
              <w:keepNext/>
              <w:spacing w:line="240" w:lineRule="auto"/>
              <w:jc w:val="both"/>
              <w:rPr>
                <w:noProof/>
                <w:szCs w:val="22"/>
                <w:lang w:val="sr-Latn-ME"/>
              </w:rPr>
            </w:pPr>
          </w:p>
        </w:tc>
        <w:tc>
          <w:tcPr>
            <w:tcW w:w="445" w:type="pct"/>
            <w:vAlign w:val="center"/>
          </w:tcPr>
          <w:p w14:paraId="21476EE4" w14:textId="77777777" w:rsidR="004E3BE3" w:rsidRPr="00B74B0F" w:rsidRDefault="004E3BE3" w:rsidP="00A30C3C">
            <w:pPr>
              <w:keepNext/>
              <w:spacing w:line="240" w:lineRule="auto"/>
              <w:jc w:val="both"/>
              <w:rPr>
                <w:noProof/>
                <w:szCs w:val="22"/>
                <w:vertAlign w:val="superscript"/>
                <w:lang w:val="sr-Latn-ME"/>
              </w:rPr>
            </w:pPr>
            <w:r w:rsidRPr="00B74B0F">
              <w:rPr>
                <w:noProof/>
                <w:szCs w:val="22"/>
                <w:lang w:val="sr-Latn-ME"/>
              </w:rPr>
              <w:t>40</w:t>
            </w:r>
            <w:r w:rsidRPr="00B74B0F">
              <w:rPr>
                <w:noProof/>
                <w:szCs w:val="22"/>
                <w:vertAlign w:val="superscript"/>
                <w:lang w:val="sr-Latn-ME"/>
              </w:rPr>
              <w:t>d</w:t>
            </w:r>
          </w:p>
          <w:p w14:paraId="4C75D48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(34,45)</w:t>
            </w:r>
          </w:p>
          <w:p w14:paraId="5F67259E" w14:textId="77777777" w:rsidR="004E3BE3" w:rsidRPr="00B74B0F" w:rsidRDefault="004E3BE3" w:rsidP="00A30C3C">
            <w:pPr>
              <w:keepNext/>
              <w:spacing w:line="240" w:lineRule="auto"/>
              <w:jc w:val="both"/>
              <w:rPr>
                <w:noProof/>
                <w:szCs w:val="22"/>
                <w:lang w:val="sr-Latn-ME"/>
              </w:rPr>
            </w:pPr>
          </w:p>
        </w:tc>
        <w:tc>
          <w:tcPr>
            <w:tcW w:w="522" w:type="pct"/>
            <w:vAlign w:val="center"/>
          </w:tcPr>
          <w:p w14:paraId="131B11CB" w14:textId="77777777" w:rsidR="004E3BE3" w:rsidRPr="00B74B0F" w:rsidRDefault="004E3BE3" w:rsidP="00A30C3C">
            <w:pPr>
              <w:keepNext/>
              <w:spacing w:line="240" w:lineRule="auto"/>
              <w:jc w:val="both"/>
              <w:rPr>
                <w:noProof/>
                <w:szCs w:val="22"/>
                <w:lang w:val="sr-Latn-ME"/>
              </w:rPr>
            </w:pPr>
            <w:r w:rsidRPr="00B74B0F">
              <w:rPr>
                <w:noProof/>
                <w:szCs w:val="22"/>
                <w:lang w:val="sr-Latn-ME"/>
              </w:rPr>
              <w:t>59</w:t>
            </w:r>
            <w:r w:rsidRPr="00B74B0F">
              <w:rPr>
                <w:noProof/>
                <w:szCs w:val="22"/>
                <w:vertAlign w:val="superscript"/>
                <w:lang w:val="sr-Latn-ME"/>
              </w:rPr>
              <w:t>d</w:t>
            </w:r>
          </w:p>
          <w:p w14:paraId="108641BC"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(53,64)</w:t>
            </w:r>
          </w:p>
          <w:p w14:paraId="09948A7D" w14:textId="77777777" w:rsidR="004E3BE3" w:rsidRPr="00B74B0F" w:rsidRDefault="004E3BE3" w:rsidP="00A30C3C">
            <w:pPr>
              <w:keepNext/>
              <w:spacing w:line="240" w:lineRule="auto"/>
              <w:jc w:val="both"/>
              <w:rPr>
                <w:noProof/>
                <w:szCs w:val="22"/>
                <w:lang w:val="sr-Latn-ME"/>
              </w:rPr>
            </w:pPr>
          </w:p>
        </w:tc>
      </w:tr>
      <w:tr w:rsidR="00D363CA" w:rsidRPr="00B74B0F" w14:paraId="2E146C13" w14:textId="77777777" w:rsidTr="00200D71">
        <w:trPr>
          <w:trHeight w:val="665"/>
        </w:trPr>
        <w:tc>
          <w:tcPr>
            <w:tcW w:w="967" w:type="pct"/>
            <w:shd w:val="clear" w:color="auto" w:fill="auto"/>
          </w:tcPr>
          <w:p w14:paraId="45986453" w14:textId="77777777" w:rsidR="004E3BE3" w:rsidRPr="00B74B0F" w:rsidRDefault="004E3BE3">
            <w:pPr>
              <w:autoSpaceDE w:val="0"/>
              <w:autoSpaceDN w:val="0"/>
              <w:adjustRightInd w:val="0"/>
              <w:spacing w:line="240" w:lineRule="auto"/>
              <w:jc w:val="both"/>
              <w:rPr>
                <w:rFonts w:eastAsia="Calibri"/>
                <w:noProof/>
                <w:szCs w:val="22"/>
                <w:lang w:val="sr-Latn-ME"/>
              </w:rPr>
            </w:pPr>
            <w:r w:rsidRPr="00B74B0F">
              <w:rPr>
                <w:rFonts w:eastAsia="Calibri"/>
                <w:noProof/>
                <w:szCs w:val="22"/>
                <w:lang w:val="sr-Latn-ME"/>
              </w:rPr>
              <w:t>EASI 75</w:t>
            </w:r>
            <w:r w:rsidRPr="00B74B0F">
              <w:rPr>
                <w:rFonts w:eastAsia="Calibri"/>
                <w:noProof/>
                <w:szCs w:val="22"/>
                <w:vertAlign w:val="superscript"/>
                <w:lang w:val="sr-Latn-ME"/>
              </w:rPr>
              <w:t>a</w:t>
            </w:r>
          </w:p>
          <w:p w14:paraId="024DB094" w14:textId="2F4648D2" w:rsidR="004E3BE3" w:rsidRPr="00B74B0F" w:rsidRDefault="004E3BE3">
            <w:pPr>
              <w:autoSpaceDE w:val="0"/>
              <w:autoSpaceDN w:val="0"/>
              <w:adjustRightInd w:val="0"/>
              <w:spacing w:line="240" w:lineRule="auto"/>
              <w:jc w:val="both"/>
              <w:rPr>
                <w:noProof/>
                <w:szCs w:val="22"/>
                <w:lang w:val="sr-Latn-ME"/>
              </w:rPr>
            </w:pPr>
            <w:r w:rsidRPr="00B74B0F">
              <w:rPr>
                <w:rFonts w:eastAsia="Calibri"/>
                <w:noProof/>
                <w:szCs w:val="22"/>
                <w:lang w:val="sr-Latn-ME"/>
              </w:rPr>
              <w:t>(ko</w:t>
            </w:r>
            <w:r w:rsidR="00D363CA" w:rsidRPr="00B74B0F">
              <w:rPr>
                <w:rFonts w:eastAsia="Calibri"/>
                <w:noProof/>
                <w:szCs w:val="22"/>
                <w:lang w:val="sr-Latn-ME"/>
              </w:rPr>
              <w:t>-</w:t>
            </w:r>
            <w:r w:rsidRPr="00B74B0F">
              <w:rPr>
                <w:rFonts w:eastAsia="Calibri"/>
                <w:noProof/>
                <w:szCs w:val="22"/>
                <w:lang w:val="sr-Latn-ME"/>
              </w:rPr>
              <w:t>primarni)</w:t>
            </w:r>
          </w:p>
        </w:tc>
        <w:tc>
          <w:tcPr>
            <w:tcW w:w="446" w:type="pct"/>
            <w:shd w:val="clear" w:color="auto" w:fill="auto"/>
          </w:tcPr>
          <w:p w14:paraId="797BCADF" w14:textId="77777777" w:rsidR="004E3BE3" w:rsidRPr="00B74B0F" w:rsidRDefault="004E3BE3" w:rsidP="00A30C3C">
            <w:pPr>
              <w:spacing w:line="240" w:lineRule="auto"/>
              <w:jc w:val="both"/>
              <w:rPr>
                <w:noProof/>
                <w:szCs w:val="22"/>
                <w:lang w:val="sr-Latn-ME"/>
              </w:rPr>
            </w:pPr>
            <w:r w:rsidRPr="00B74B0F">
              <w:rPr>
                <w:noProof/>
                <w:szCs w:val="22"/>
                <w:lang w:val="sr-Latn-ME"/>
              </w:rPr>
              <w:t>16</w:t>
            </w:r>
          </w:p>
          <w:p w14:paraId="1D22B431"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(12,21)</w:t>
            </w:r>
          </w:p>
        </w:tc>
        <w:tc>
          <w:tcPr>
            <w:tcW w:w="508" w:type="pct"/>
            <w:shd w:val="clear" w:color="auto" w:fill="auto"/>
          </w:tcPr>
          <w:p w14:paraId="57678AD9" w14:textId="77777777" w:rsidR="004E3BE3" w:rsidRPr="00B74B0F" w:rsidRDefault="004E3BE3" w:rsidP="00A30C3C">
            <w:pPr>
              <w:spacing w:line="240" w:lineRule="auto"/>
              <w:jc w:val="both"/>
              <w:rPr>
                <w:noProof/>
                <w:szCs w:val="22"/>
                <w:lang w:val="sr-Latn-ME"/>
              </w:rPr>
            </w:pPr>
            <w:r w:rsidRPr="00B74B0F">
              <w:rPr>
                <w:noProof/>
                <w:szCs w:val="22"/>
                <w:lang w:val="sr-Latn-ME"/>
              </w:rPr>
              <w:t>70</w:t>
            </w:r>
            <w:r w:rsidRPr="00B74B0F">
              <w:rPr>
                <w:noProof/>
                <w:szCs w:val="22"/>
                <w:vertAlign w:val="superscript"/>
                <w:lang w:val="sr-Latn-ME"/>
              </w:rPr>
              <w:t>d</w:t>
            </w:r>
          </w:p>
          <w:p w14:paraId="3A4698E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(64,75)</w:t>
            </w:r>
          </w:p>
        </w:tc>
        <w:tc>
          <w:tcPr>
            <w:tcW w:w="540" w:type="pct"/>
            <w:shd w:val="clear" w:color="auto" w:fill="auto"/>
          </w:tcPr>
          <w:p w14:paraId="41638E62" w14:textId="77777777" w:rsidR="004E3BE3" w:rsidRPr="00B74B0F" w:rsidRDefault="004E3BE3" w:rsidP="00A30C3C">
            <w:pPr>
              <w:spacing w:line="240" w:lineRule="auto"/>
              <w:jc w:val="both"/>
              <w:rPr>
                <w:noProof/>
                <w:szCs w:val="22"/>
                <w:lang w:val="sr-Latn-ME"/>
              </w:rPr>
            </w:pPr>
            <w:r w:rsidRPr="00B74B0F">
              <w:rPr>
                <w:noProof/>
                <w:szCs w:val="22"/>
                <w:lang w:val="sr-Latn-ME"/>
              </w:rPr>
              <w:t>80</w:t>
            </w:r>
            <w:r w:rsidRPr="00B74B0F">
              <w:rPr>
                <w:noProof/>
                <w:szCs w:val="22"/>
                <w:vertAlign w:val="superscript"/>
                <w:lang w:val="sr-Latn-ME"/>
              </w:rPr>
              <w:t>d</w:t>
            </w:r>
          </w:p>
          <w:p w14:paraId="235A2A9B"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(75,84)</w:t>
            </w:r>
          </w:p>
        </w:tc>
        <w:tc>
          <w:tcPr>
            <w:tcW w:w="307" w:type="pct"/>
            <w:shd w:val="clear" w:color="auto" w:fill="auto"/>
          </w:tcPr>
          <w:p w14:paraId="55215074" w14:textId="77777777" w:rsidR="004E3BE3" w:rsidRPr="00B74B0F" w:rsidRDefault="004E3BE3" w:rsidP="00A30C3C">
            <w:pPr>
              <w:spacing w:line="240" w:lineRule="auto"/>
              <w:jc w:val="both"/>
              <w:rPr>
                <w:noProof/>
                <w:szCs w:val="22"/>
                <w:lang w:val="sr-Latn-ME"/>
              </w:rPr>
            </w:pPr>
            <w:r w:rsidRPr="00B74B0F">
              <w:rPr>
                <w:noProof/>
                <w:szCs w:val="22"/>
                <w:lang w:val="sr-Latn-ME"/>
              </w:rPr>
              <w:t>13</w:t>
            </w:r>
          </w:p>
          <w:p w14:paraId="7A184B4D"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(9,17)</w:t>
            </w:r>
          </w:p>
        </w:tc>
        <w:tc>
          <w:tcPr>
            <w:tcW w:w="374" w:type="pct"/>
            <w:shd w:val="clear" w:color="auto" w:fill="auto"/>
          </w:tcPr>
          <w:p w14:paraId="110DCF06" w14:textId="77777777" w:rsidR="004E3BE3" w:rsidRPr="00B74B0F" w:rsidRDefault="004E3BE3" w:rsidP="00A30C3C">
            <w:pPr>
              <w:spacing w:line="240" w:lineRule="auto"/>
              <w:jc w:val="both"/>
              <w:rPr>
                <w:noProof/>
                <w:szCs w:val="22"/>
                <w:lang w:val="sr-Latn-ME"/>
              </w:rPr>
            </w:pPr>
            <w:r w:rsidRPr="00B74B0F">
              <w:rPr>
                <w:noProof/>
                <w:szCs w:val="22"/>
                <w:lang w:val="sr-Latn-ME"/>
              </w:rPr>
              <w:t>60</w:t>
            </w:r>
            <w:r w:rsidRPr="00B74B0F">
              <w:rPr>
                <w:noProof/>
                <w:szCs w:val="22"/>
                <w:vertAlign w:val="superscript"/>
                <w:lang w:val="sr-Latn-ME"/>
              </w:rPr>
              <w:t>d</w:t>
            </w:r>
          </w:p>
          <w:p w14:paraId="59CBCB01"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(54,66)</w:t>
            </w:r>
          </w:p>
          <w:p w14:paraId="7A37DD8C" w14:textId="77777777" w:rsidR="004E3BE3" w:rsidRPr="00B74B0F" w:rsidRDefault="004E3BE3" w:rsidP="00A30C3C">
            <w:pPr>
              <w:spacing w:line="240" w:lineRule="auto"/>
              <w:jc w:val="both"/>
              <w:rPr>
                <w:noProof/>
                <w:szCs w:val="22"/>
                <w:lang w:val="sr-Latn-ME"/>
              </w:rPr>
            </w:pPr>
          </w:p>
        </w:tc>
        <w:tc>
          <w:tcPr>
            <w:tcW w:w="446" w:type="pct"/>
            <w:shd w:val="clear" w:color="auto" w:fill="auto"/>
          </w:tcPr>
          <w:p w14:paraId="4C3B2B2F" w14:textId="77777777" w:rsidR="004E3BE3" w:rsidRPr="00B74B0F" w:rsidRDefault="004E3BE3" w:rsidP="00A30C3C">
            <w:pPr>
              <w:spacing w:line="240" w:lineRule="auto"/>
              <w:jc w:val="both"/>
              <w:rPr>
                <w:noProof/>
                <w:szCs w:val="22"/>
                <w:lang w:val="sr-Latn-ME"/>
              </w:rPr>
            </w:pPr>
            <w:r w:rsidRPr="00B74B0F">
              <w:rPr>
                <w:noProof/>
                <w:szCs w:val="22"/>
                <w:lang w:val="sr-Latn-ME"/>
              </w:rPr>
              <w:t>73</w:t>
            </w:r>
            <w:r w:rsidRPr="00B74B0F">
              <w:rPr>
                <w:noProof/>
                <w:szCs w:val="22"/>
                <w:vertAlign w:val="superscript"/>
                <w:lang w:val="sr-Latn-ME"/>
              </w:rPr>
              <w:t>d</w:t>
            </w:r>
          </w:p>
          <w:p w14:paraId="14F4968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(68,78)</w:t>
            </w:r>
          </w:p>
          <w:p w14:paraId="063E599C" w14:textId="77777777" w:rsidR="004E3BE3" w:rsidRPr="00B74B0F" w:rsidRDefault="004E3BE3" w:rsidP="00A30C3C">
            <w:pPr>
              <w:spacing w:line="240" w:lineRule="auto"/>
              <w:jc w:val="both"/>
              <w:rPr>
                <w:noProof/>
                <w:szCs w:val="22"/>
                <w:lang w:val="sr-Latn-ME"/>
              </w:rPr>
            </w:pPr>
          </w:p>
        </w:tc>
        <w:tc>
          <w:tcPr>
            <w:tcW w:w="445" w:type="pct"/>
          </w:tcPr>
          <w:p w14:paraId="2100767D" w14:textId="77777777" w:rsidR="004E3BE3" w:rsidRPr="00B74B0F" w:rsidRDefault="004E3BE3" w:rsidP="00A30C3C">
            <w:pPr>
              <w:spacing w:line="240" w:lineRule="auto"/>
              <w:jc w:val="both"/>
              <w:rPr>
                <w:noProof/>
                <w:szCs w:val="22"/>
                <w:lang w:val="sr-Latn-ME"/>
              </w:rPr>
            </w:pPr>
            <w:r w:rsidRPr="00B74B0F">
              <w:rPr>
                <w:noProof/>
                <w:szCs w:val="22"/>
                <w:lang w:val="sr-Latn-ME"/>
              </w:rPr>
              <w:t>26</w:t>
            </w:r>
          </w:p>
          <w:p w14:paraId="29CE5175"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(21,31)</w:t>
            </w:r>
          </w:p>
          <w:p w14:paraId="6B17CA3F" w14:textId="77777777" w:rsidR="004E3BE3" w:rsidRPr="00B74B0F" w:rsidRDefault="004E3BE3" w:rsidP="00A30C3C">
            <w:pPr>
              <w:spacing w:line="240" w:lineRule="auto"/>
              <w:jc w:val="both"/>
              <w:rPr>
                <w:noProof/>
                <w:szCs w:val="22"/>
                <w:lang w:val="sr-Latn-ME"/>
              </w:rPr>
            </w:pPr>
          </w:p>
        </w:tc>
        <w:tc>
          <w:tcPr>
            <w:tcW w:w="445" w:type="pct"/>
          </w:tcPr>
          <w:p w14:paraId="0AB6BD70" w14:textId="77777777" w:rsidR="004E3BE3" w:rsidRPr="00B74B0F" w:rsidRDefault="004E3BE3" w:rsidP="00A30C3C">
            <w:pPr>
              <w:spacing w:line="240" w:lineRule="auto"/>
              <w:jc w:val="both"/>
              <w:rPr>
                <w:noProof/>
                <w:szCs w:val="22"/>
                <w:lang w:val="sr-Latn-ME"/>
              </w:rPr>
            </w:pPr>
            <w:r w:rsidRPr="00B74B0F">
              <w:rPr>
                <w:noProof/>
                <w:szCs w:val="22"/>
                <w:lang w:val="sr-Latn-ME"/>
              </w:rPr>
              <w:t>65</w:t>
            </w:r>
            <w:r w:rsidRPr="00B74B0F">
              <w:rPr>
                <w:noProof/>
                <w:szCs w:val="22"/>
                <w:vertAlign w:val="superscript"/>
                <w:lang w:val="sr-Latn-ME"/>
              </w:rPr>
              <w:t>d</w:t>
            </w:r>
          </w:p>
          <w:p w14:paraId="1F8E308E"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(59,70)</w:t>
            </w:r>
          </w:p>
          <w:p w14:paraId="2CE97A46" w14:textId="77777777" w:rsidR="004E3BE3" w:rsidRPr="00B74B0F" w:rsidRDefault="004E3BE3" w:rsidP="00A30C3C">
            <w:pPr>
              <w:spacing w:line="240" w:lineRule="auto"/>
              <w:jc w:val="both"/>
              <w:rPr>
                <w:noProof/>
                <w:szCs w:val="22"/>
                <w:lang w:val="sr-Latn-ME"/>
              </w:rPr>
            </w:pPr>
          </w:p>
        </w:tc>
        <w:tc>
          <w:tcPr>
            <w:tcW w:w="522" w:type="pct"/>
          </w:tcPr>
          <w:p w14:paraId="14049C3C" w14:textId="77777777" w:rsidR="004E3BE3" w:rsidRPr="00B74B0F" w:rsidRDefault="004E3BE3" w:rsidP="00A30C3C">
            <w:pPr>
              <w:spacing w:line="240" w:lineRule="auto"/>
              <w:jc w:val="both"/>
              <w:rPr>
                <w:noProof/>
                <w:szCs w:val="22"/>
                <w:lang w:val="sr-Latn-ME"/>
              </w:rPr>
            </w:pPr>
            <w:r w:rsidRPr="00B74B0F">
              <w:rPr>
                <w:noProof/>
                <w:szCs w:val="22"/>
                <w:lang w:val="sr-Latn-ME"/>
              </w:rPr>
              <w:t>77</w:t>
            </w:r>
            <w:r w:rsidRPr="00B74B0F">
              <w:rPr>
                <w:noProof/>
                <w:szCs w:val="22"/>
                <w:vertAlign w:val="superscript"/>
                <w:lang w:val="sr-Latn-ME"/>
              </w:rPr>
              <w:t>d</w:t>
            </w:r>
          </w:p>
          <w:p w14:paraId="0FEA643F"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(72,82)</w:t>
            </w:r>
          </w:p>
        </w:tc>
      </w:tr>
      <w:tr w:rsidR="00D363CA" w:rsidRPr="00B74B0F" w14:paraId="29B3BAA8" w14:textId="77777777" w:rsidTr="00200D71">
        <w:trPr>
          <w:trHeight w:val="197"/>
        </w:trPr>
        <w:tc>
          <w:tcPr>
            <w:tcW w:w="967" w:type="pct"/>
            <w:shd w:val="clear" w:color="auto" w:fill="auto"/>
          </w:tcPr>
          <w:p w14:paraId="6082EEAA" w14:textId="77777777" w:rsidR="004E3BE3" w:rsidRPr="00B74B0F" w:rsidRDefault="004E3BE3">
            <w:pPr>
              <w:autoSpaceDE w:val="0"/>
              <w:autoSpaceDN w:val="0"/>
              <w:adjustRightInd w:val="0"/>
              <w:spacing w:line="240" w:lineRule="auto"/>
              <w:jc w:val="both"/>
              <w:rPr>
                <w:noProof/>
                <w:szCs w:val="22"/>
                <w:lang w:val="sr-Latn-ME"/>
              </w:rPr>
            </w:pPr>
            <w:r w:rsidRPr="00B74B0F">
              <w:rPr>
                <w:rFonts w:eastAsia="Calibri"/>
                <w:noProof/>
                <w:szCs w:val="22"/>
                <w:lang w:val="sr-Latn-ME"/>
              </w:rPr>
              <w:t>EASI 90</w:t>
            </w:r>
            <w:r w:rsidRPr="00B74B0F">
              <w:rPr>
                <w:rFonts w:eastAsia="Calibri"/>
                <w:noProof/>
                <w:szCs w:val="22"/>
                <w:vertAlign w:val="superscript"/>
                <w:lang w:val="sr-Latn-ME"/>
              </w:rPr>
              <w:t>a</w:t>
            </w:r>
          </w:p>
        </w:tc>
        <w:tc>
          <w:tcPr>
            <w:tcW w:w="446" w:type="pct"/>
            <w:shd w:val="clear" w:color="auto" w:fill="auto"/>
          </w:tcPr>
          <w:p w14:paraId="1A0AE0D4" w14:textId="77777777" w:rsidR="004E3BE3" w:rsidRPr="00B74B0F" w:rsidRDefault="004E3BE3" w:rsidP="00A30C3C">
            <w:pPr>
              <w:spacing w:line="240" w:lineRule="auto"/>
              <w:jc w:val="both"/>
              <w:rPr>
                <w:noProof/>
                <w:szCs w:val="22"/>
                <w:lang w:val="sr-Latn-ME"/>
              </w:rPr>
            </w:pPr>
            <w:r w:rsidRPr="00B74B0F">
              <w:rPr>
                <w:noProof/>
                <w:szCs w:val="22"/>
                <w:lang w:val="sr-Latn-ME"/>
              </w:rPr>
              <w:t>8</w:t>
            </w:r>
          </w:p>
          <w:p w14:paraId="2E5FDC2A"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(5,11)</w:t>
            </w:r>
          </w:p>
          <w:p w14:paraId="2E8E051C" w14:textId="77777777" w:rsidR="004E3BE3" w:rsidRPr="00B74B0F" w:rsidRDefault="004E3BE3" w:rsidP="00A30C3C">
            <w:pPr>
              <w:spacing w:line="240" w:lineRule="auto"/>
              <w:jc w:val="both"/>
              <w:rPr>
                <w:noProof/>
                <w:szCs w:val="22"/>
                <w:lang w:val="sr-Latn-ME"/>
              </w:rPr>
            </w:pPr>
          </w:p>
        </w:tc>
        <w:tc>
          <w:tcPr>
            <w:tcW w:w="508" w:type="pct"/>
            <w:shd w:val="clear" w:color="auto" w:fill="auto"/>
          </w:tcPr>
          <w:p w14:paraId="1966D273" w14:textId="77777777" w:rsidR="004E3BE3" w:rsidRPr="00B74B0F" w:rsidRDefault="004E3BE3" w:rsidP="00A30C3C">
            <w:pPr>
              <w:spacing w:line="240" w:lineRule="auto"/>
              <w:jc w:val="both"/>
              <w:rPr>
                <w:noProof/>
                <w:szCs w:val="22"/>
                <w:lang w:val="sr-Latn-ME"/>
              </w:rPr>
            </w:pPr>
            <w:r w:rsidRPr="00B74B0F">
              <w:rPr>
                <w:noProof/>
                <w:szCs w:val="22"/>
                <w:lang w:val="sr-Latn-ME"/>
              </w:rPr>
              <w:t>53</w:t>
            </w:r>
            <w:r w:rsidRPr="00B74B0F">
              <w:rPr>
                <w:noProof/>
                <w:szCs w:val="22"/>
                <w:vertAlign w:val="superscript"/>
                <w:lang w:val="sr-Latn-ME"/>
              </w:rPr>
              <w:t>d</w:t>
            </w:r>
          </w:p>
          <w:p w14:paraId="18A4400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(47,59)</w:t>
            </w:r>
          </w:p>
          <w:p w14:paraId="7037F8A5" w14:textId="77777777" w:rsidR="004E3BE3" w:rsidRPr="00B74B0F" w:rsidRDefault="004E3BE3" w:rsidP="00A30C3C">
            <w:pPr>
              <w:spacing w:line="240" w:lineRule="auto"/>
              <w:jc w:val="both"/>
              <w:rPr>
                <w:noProof/>
                <w:szCs w:val="22"/>
                <w:lang w:val="sr-Latn-ME"/>
              </w:rPr>
            </w:pPr>
          </w:p>
        </w:tc>
        <w:tc>
          <w:tcPr>
            <w:tcW w:w="540" w:type="pct"/>
            <w:shd w:val="clear" w:color="auto" w:fill="auto"/>
          </w:tcPr>
          <w:p w14:paraId="2E4AB812" w14:textId="77777777" w:rsidR="004E3BE3" w:rsidRPr="00B74B0F" w:rsidRDefault="004E3BE3" w:rsidP="00A30C3C">
            <w:pPr>
              <w:spacing w:line="240" w:lineRule="auto"/>
              <w:jc w:val="both"/>
              <w:rPr>
                <w:noProof/>
                <w:szCs w:val="22"/>
                <w:lang w:val="sr-Latn-ME"/>
              </w:rPr>
            </w:pPr>
            <w:r w:rsidRPr="00B74B0F">
              <w:rPr>
                <w:noProof/>
                <w:szCs w:val="22"/>
                <w:lang w:val="sr-Latn-ME"/>
              </w:rPr>
              <w:t>66</w:t>
            </w:r>
            <w:r w:rsidRPr="00B74B0F">
              <w:rPr>
                <w:noProof/>
                <w:szCs w:val="22"/>
                <w:vertAlign w:val="superscript"/>
                <w:lang w:val="sr-Latn-ME"/>
              </w:rPr>
              <w:t>d</w:t>
            </w:r>
          </w:p>
          <w:p w14:paraId="03845433"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(60,71)</w:t>
            </w:r>
          </w:p>
          <w:p w14:paraId="069ECAD9" w14:textId="77777777" w:rsidR="004E3BE3" w:rsidRPr="00B74B0F" w:rsidRDefault="004E3BE3" w:rsidP="00A30C3C">
            <w:pPr>
              <w:spacing w:line="240" w:lineRule="auto"/>
              <w:jc w:val="both"/>
              <w:rPr>
                <w:noProof/>
                <w:szCs w:val="22"/>
                <w:lang w:val="sr-Latn-ME"/>
              </w:rPr>
            </w:pPr>
          </w:p>
        </w:tc>
        <w:tc>
          <w:tcPr>
            <w:tcW w:w="307" w:type="pct"/>
            <w:shd w:val="clear" w:color="auto" w:fill="auto"/>
          </w:tcPr>
          <w:p w14:paraId="14D8A1A7" w14:textId="77777777" w:rsidR="004E3BE3" w:rsidRPr="00B74B0F" w:rsidRDefault="004E3BE3" w:rsidP="00A30C3C">
            <w:pPr>
              <w:spacing w:line="240" w:lineRule="auto"/>
              <w:jc w:val="both"/>
              <w:rPr>
                <w:noProof/>
                <w:szCs w:val="22"/>
                <w:lang w:val="sr-Latn-ME"/>
              </w:rPr>
            </w:pPr>
            <w:r w:rsidRPr="00B74B0F">
              <w:rPr>
                <w:noProof/>
                <w:szCs w:val="22"/>
                <w:lang w:val="sr-Latn-ME"/>
              </w:rPr>
              <w:t>5</w:t>
            </w:r>
          </w:p>
          <w:p w14:paraId="55BE4DB2"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(3,8)</w:t>
            </w:r>
          </w:p>
          <w:p w14:paraId="00B79131" w14:textId="77777777" w:rsidR="004E3BE3" w:rsidRPr="00B74B0F" w:rsidRDefault="004E3BE3" w:rsidP="00A30C3C">
            <w:pPr>
              <w:spacing w:line="240" w:lineRule="auto"/>
              <w:jc w:val="both"/>
              <w:rPr>
                <w:noProof/>
                <w:szCs w:val="22"/>
                <w:lang w:val="sr-Latn-ME"/>
              </w:rPr>
            </w:pPr>
          </w:p>
        </w:tc>
        <w:tc>
          <w:tcPr>
            <w:tcW w:w="374" w:type="pct"/>
            <w:shd w:val="clear" w:color="auto" w:fill="auto"/>
          </w:tcPr>
          <w:p w14:paraId="1D49AB04" w14:textId="77777777" w:rsidR="004E3BE3" w:rsidRPr="00B74B0F" w:rsidRDefault="004E3BE3" w:rsidP="00A30C3C">
            <w:pPr>
              <w:spacing w:line="240" w:lineRule="auto"/>
              <w:jc w:val="both"/>
              <w:rPr>
                <w:noProof/>
                <w:szCs w:val="22"/>
                <w:lang w:val="sr-Latn-ME"/>
              </w:rPr>
            </w:pPr>
            <w:r w:rsidRPr="00B74B0F">
              <w:rPr>
                <w:noProof/>
                <w:szCs w:val="22"/>
                <w:lang w:val="sr-Latn-ME"/>
              </w:rPr>
              <w:t>42</w:t>
            </w:r>
            <w:r w:rsidRPr="00B74B0F">
              <w:rPr>
                <w:noProof/>
                <w:szCs w:val="22"/>
                <w:vertAlign w:val="superscript"/>
                <w:lang w:val="sr-Latn-ME"/>
              </w:rPr>
              <w:t>d</w:t>
            </w:r>
          </w:p>
          <w:p w14:paraId="2E32845C"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(37,48)</w:t>
            </w:r>
          </w:p>
          <w:p w14:paraId="630C7C79" w14:textId="77777777" w:rsidR="004E3BE3" w:rsidRPr="00B74B0F" w:rsidRDefault="004E3BE3" w:rsidP="00A30C3C">
            <w:pPr>
              <w:spacing w:line="240" w:lineRule="auto"/>
              <w:jc w:val="both"/>
              <w:rPr>
                <w:noProof/>
                <w:szCs w:val="22"/>
                <w:lang w:val="sr-Latn-ME"/>
              </w:rPr>
            </w:pPr>
          </w:p>
        </w:tc>
        <w:tc>
          <w:tcPr>
            <w:tcW w:w="446" w:type="pct"/>
            <w:shd w:val="clear" w:color="auto" w:fill="auto"/>
          </w:tcPr>
          <w:p w14:paraId="7110153E" w14:textId="77777777" w:rsidR="004E3BE3" w:rsidRPr="00B74B0F" w:rsidRDefault="004E3BE3" w:rsidP="00A30C3C">
            <w:pPr>
              <w:spacing w:line="240" w:lineRule="auto"/>
              <w:jc w:val="both"/>
              <w:rPr>
                <w:noProof/>
                <w:szCs w:val="22"/>
                <w:lang w:val="sr-Latn-ME"/>
              </w:rPr>
            </w:pPr>
            <w:r w:rsidRPr="00B74B0F">
              <w:rPr>
                <w:noProof/>
                <w:szCs w:val="22"/>
                <w:lang w:val="sr-Latn-ME"/>
              </w:rPr>
              <w:t>58</w:t>
            </w:r>
            <w:r w:rsidRPr="00B74B0F">
              <w:rPr>
                <w:noProof/>
                <w:szCs w:val="22"/>
                <w:vertAlign w:val="superscript"/>
                <w:lang w:val="sr-Latn-ME"/>
              </w:rPr>
              <w:t>d</w:t>
            </w:r>
          </w:p>
          <w:p w14:paraId="110BE79C"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(53,64)</w:t>
            </w:r>
          </w:p>
          <w:p w14:paraId="10C0F75C" w14:textId="77777777" w:rsidR="004E3BE3" w:rsidRPr="00B74B0F" w:rsidRDefault="004E3BE3" w:rsidP="00A30C3C">
            <w:pPr>
              <w:spacing w:line="240" w:lineRule="auto"/>
              <w:jc w:val="both"/>
              <w:rPr>
                <w:noProof/>
                <w:szCs w:val="22"/>
                <w:lang w:val="sr-Latn-ME"/>
              </w:rPr>
            </w:pPr>
          </w:p>
        </w:tc>
        <w:tc>
          <w:tcPr>
            <w:tcW w:w="445" w:type="pct"/>
            <w:vAlign w:val="center"/>
          </w:tcPr>
          <w:p w14:paraId="55DE33ED" w14:textId="77777777" w:rsidR="004E3BE3" w:rsidRPr="00B74B0F" w:rsidRDefault="004E3BE3" w:rsidP="00A30C3C">
            <w:pPr>
              <w:spacing w:line="240" w:lineRule="auto"/>
              <w:jc w:val="both"/>
              <w:rPr>
                <w:noProof/>
                <w:szCs w:val="22"/>
                <w:lang w:val="sr-Latn-ME"/>
              </w:rPr>
            </w:pPr>
            <w:r w:rsidRPr="00B74B0F">
              <w:rPr>
                <w:noProof/>
                <w:szCs w:val="22"/>
                <w:lang w:val="sr-Latn-ME"/>
              </w:rPr>
              <w:t>13</w:t>
            </w:r>
          </w:p>
          <w:p w14:paraId="487AEB15"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(9,17)</w:t>
            </w:r>
          </w:p>
          <w:p w14:paraId="2E995242" w14:textId="77777777" w:rsidR="004E3BE3" w:rsidRPr="00B74B0F" w:rsidRDefault="004E3BE3" w:rsidP="00A30C3C">
            <w:pPr>
              <w:spacing w:line="240" w:lineRule="auto"/>
              <w:jc w:val="both"/>
              <w:rPr>
                <w:noProof/>
                <w:szCs w:val="22"/>
                <w:lang w:val="sr-Latn-ME"/>
              </w:rPr>
            </w:pPr>
          </w:p>
        </w:tc>
        <w:tc>
          <w:tcPr>
            <w:tcW w:w="445" w:type="pct"/>
            <w:vAlign w:val="center"/>
          </w:tcPr>
          <w:p w14:paraId="4AF56858" w14:textId="77777777" w:rsidR="004E3BE3" w:rsidRPr="00B74B0F" w:rsidRDefault="004E3BE3" w:rsidP="00A30C3C">
            <w:pPr>
              <w:spacing w:line="240" w:lineRule="auto"/>
              <w:jc w:val="both"/>
              <w:rPr>
                <w:noProof/>
                <w:szCs w:val="22"/>
                <w:lang w:val="sr-Latn-ME"/>
              </w:rPr>
            </w:pPr>
            <w:r w:rsidRPr="00B74B0F">
              <w:rPr>
                <w:noProof/>
                <w:szCs w:val="22"/>
                <w:lang w:val="sr-Latn-ME"/>
              </w:rPr>
              <w:t>43</w:t>
            </w:r>
            <w:r w:rsidRPr="00B74B0F">
              <w:rPr>
                <w:noProof/>
                <w:szCs w:val="22"/>
                <w:vertAlign w:val="superscript"/>
                <w:lang w:val="sr-Latn-ME"/>
              </w:rPr>
              <w:t>d</w:t>
            </w:r>
          </w:p>
          <w:p w14:paraId="43B0E4EA"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(37,48)</w:t>
            </w:r>
          </w:p>
          <w:p w14:paraId="744AC2E4" w14:textId="77777777" w:rsidR="004E3BE3" w:rsidRPr="00B74B0F" w:rsidRDefault="004E3BE3" w:rsidP="00A30C3C">
            <w:pPr>
              <w:spacing w:line="240" w:lineRule="auto"/>
              <w:jc w:val="both"/>
              <w:rPr>
                <w:noProof/>
                <w:szCs w:val="22"/>
                <w:lang w:val="sr-Latn-ME"/>
              </w:rPr>
            </w:pPr>
          </w:p>
        </w:tc>
        <w:tc>
          <w:tcPr>
            <w:tcW w:w="522" w:type="pct"/>
            <w:vAlign w:val="center"/>
          </w:tcPr>
          <w:p w14:paraId="73239584" w14:textId="77777777" w:rsidR="004E3BE3" w:rsidRPr="00B74B0F" w:rsidRDefault="004E3BE3" w:rsidP="00A30C3C">
            <w:pPr>
              <w:spacing w:line="240" w:lineRule="auto"/>
              <w:jc w:val="both"/>
              <w:rPr>
                <w:noProof/>
                <w:szCs w:val="22"/>
                <w:vertAlign w:val="superscript"/>
                <w:lang w:val="sr-Latn-ME"/>
              </w:rPr>
            </w:pPr>
            <w:r w:rsidRPr="00B74B0F">
              <w:rPr>
                <w:noProof/>
                <w:szCs w:val="22"/>
                <w:lang w:val="sr-Latn-ME"/>
              </w:rPr>
              <w:t>63</w:t>
            </w:r>
            <w:r w:rsidRPr="00B74B0F">
              <w:rPr>
                <w:noProof/>
                <w:szCs w:val="22"/>
                <w:vertAlign w:val="superscript"/>
                <w:lang w:val="sr-Latn-ME"/>
              </w:rPr>
              <w:t>d</w:t>
            </w:r>
          </w:p>
          <w:p w14:paraId="372BF059"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(58,69)</w:t>
            </w:r>
          </w:p>
          <w:p w14:paraId="2BB068DD" w14:textId="77777777" w:rsidR="004E3BE3" w:rsidRPr="00B74B0F" w:rsidRDefault="004E3BE3" w:rsidP="00A30C3C">
            <w:pPr>
              <w:spacing w:line="240" w:lineRule="auto"/>
              <w:jc w:val="both"/>
              <w:rPr>
                <w:noProof/>
                <w:szCs w:val="22"/>
                <w:lang w:val="sr-Latn-ME"/>
              </w:rPr>
            </w:pPr>
          </w:p>
        </w:tc>
      </w:tr>
      <w:tr w:rsidR="00D363CA" w:rsidRPr="00B74B0F" w14:paraId="5987D99D" w14:textId="77777777" w:rsidTr="00200D71">
        <w:trPr>
          <w:trHeight w:val="197"/>
        </w:trPr>
        <w:tc>
          <w:tcPr>
            <w:tcW w:w="967" w:type="pct"/>
            <w:shd w:val="clear" w:color="auto" w:fill="auto"/>
          </w:tcPr>
          <w:p w14:paraId="6F0C86BC" w14:textId="77777777" w:rsidR="004E3BE3" w:rsidRPr="00B74B0F" w:rsidRDefault="004E3BE3">
            <w:pPr>
              <w:autoSpaceDE w:val="0"/>
              <w:autoSpaceDN w:val="0"/>
              <w:adjustRightInd w:val="0"/>
              <w:spacing w:line="240" w:lineRule="auto"/>
              <w:jc w:val="both"/>
              <w:rPr>
                <w:noProof/>
                <w:szCs w:val="22"/>
                <w:lang w:val="sr-Latn-ME"/>
              </w:rPr>
            </w:pPr>
            <w:r w:rsidRPr="00B74B0F">
              <w:rPr>
                <w:rFonts w:eastAsia="Calibri"/>
                <w:noProof/>
                <w:szCs w:val="22"/>
                <w:lang w:val="sr-Latn-ME"/>
              </w:rPr>
              <w:t>EASI 100</w:t>
            </w:r>
            <w:r w:rsidRPr="00B74B0F">
              <w:rPr>
                <w:rFonts w:eastAsia="Calibri"/>
                <w:noProof/>
                <w:szCs w:val="22"/>
                <w:vertAlign w:val="superscript"/>
                <w:lang w:val="sr-Latn-ME"/>
              </w:rPr>
              <w:t>a</w:t>
            </w:r>
          </w:p>
        </w:tc>
        <w:tc>
          <w:tcPr>
            <w:tcW w:w="446" w:type="pct"/>
            <w:shd w:val="clear" w:color="auto" w:fill="auto"/>
          </w:tcPr>
          <w:p w14:paraId="4E99D3FB" w14:textId="13F86B9B" w:rsidR="004E3BE3" w:rsidRPr="00B74B0F" w:rsidRDefault="004E3BE3" w:rsidP="00A30C3C">
            <w:pPr>
              <w:spacing w:line="240" w:lineRule="auto"/>
              <w:jc w:val="both"/>
              <w:rPr>
                <w:noProof/>
                <w:szCs w:val="22"/>
                <w:lang w:val="sr-Latn-ME"/>
              </w:rPr>
            </w:pPr>
            <w:r w:rsidRPr="00B74B0F">
              <w:rPr>
                <w:noProof/>
                <w:szCs w:val="22"/>
                <w:lang w:val="sr-Latn-ME"/>
              </w:rPr>
              <w:t>2</w:t>
            </w:r>
          </w:p>
          <w:p w14:paraId="7E661D6B"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(0,3)</w:t>
            </w:r>
          </w:p>
          <w:p w14:paraId="2E839EE3" w14:textId="77777777" w:rsidR="004E3BE3" w:rsidRPr="00B74B0F" w:rsidRDefault="004E3BE3" w:rsidP="00A30C3C">
            <w:pPr>
              <w:spacing w:line="240" w:lineRule="auto"/>
              <w:jc w:val="both"/>
              <w:rPr>
                <w:noProof/>
                <w:szCs w:val="22"/>
                <w:lang w:val="sr-Latn-ME"/>
              </w:rPr>
            </w:pPr>
          </w:p>
        </w:tc>
        <w:tc>
          <w:tcPr>
            <w:tcW w:w="508" w:type="pct"/>
            <w:shd w:val="clear" w:color="auto" w:fill="auto"/>
          </w:tcPr>
          <w:p w14:paraId="0A733E9D" w14:textId="77777777" w:rsidR="004E3BE3" w:rsidRPr="00B74B0F" w:rsidRDefault="004E3BE3" w:rsidP="00A30C3C">
            <w:pPr>
              <w:spacing w:line="240" w:lineRule="auto"/>
              <w:jc w:val="both"/>
              <w:rPr>
                <w:noProof/>
                <w:szCs w:val="22"/>
                <w:vertAlign w:val="superscript"/>
                <w:lang w:val="sr-Latn-ME"/>
              </w:rPr>
            </w:pPr>
            <w:r w:rsidRPr="00B74B0F">
              <w:rPr>
                <w:noProof/>
                <w:szCs w:val="22"/>
                <w:lang w:val="sr-Latn-ME"/>
              </w:rPr>
              <w:t>17</w:t>
            </w:r>
            <w:r w:rsidRPr="00B74B0F">
              <w:rPr>
                <w:noProof/>
                <w:szCs w:val="22"/>
                <w:vertAlign w:val="superscript"/>
                <w:lang w:val="sr-Latn-ME"/>
              </w:rPr>
              <w:t>d</w:t>
            </w:r>
          </w:p>
          <w:p w14:paraId="0235BFD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(12,21)</w:t>
            </w:r>
          </w:p>
          <w:p w14:paraId="630D546C" w14:textId="77777777" w:rsidR="004E3BE3" w:rsidRPr="00B74B0F" w:rsidRDefault="004E3BE3" w:rsidP="00A30C3C">
            <w:pPr>
              <w:spacing w:line="240" w:lineRule="auto"/>
              <w:jc w:val="both"/>
              <w:rPr>
                <w:noProof/>
                <w:szCs w:val="22"/>
                <w:lang w:val="sr-Latn-ME"/>
              </w:rPr>
            </w:pPr>
          </w:p>
        </w:tc>
        <w:tc>
          <w:tcPr>
            <w:tcW w:w="540" w:type="pct"/>
            <w:shd w:val="clear" w:color="auto" w:fill="auto"/>
          </w:tcPr>
          <w:p w14:paraId="116CB1B8" w14:textId="77777777" w:rsidR="004E3BE3" w:rsidRPr="00B74B0F" w:rsidRDefault="004E3BE3" w:rsidP="00A30C3C">
            <w:pPr>
              <w:spacing w:line="240" w:lineRule="auto"/>
              <w:jc w:val="both"/>
              <w:rPr>
                <w:noProof/>
                <w:szCs w:val="22"/>
                <w:lang w:val="sr-Latn-ME"/>
              </w:rPr>
            </w:pPr>
            <w:r w:rsidRPr="00B74B0F">
              <w:rPr>
                <w:noProof/>
                <w:szCs w:val="22"/>
                <w:lang w:val="sr-Latn-ME"/>
              </w:rPr>
              <w:t>27</w:t>
            </w:r>
            <w:r w:rsidRPr="00B74B0F">
              <w:rPr>
                <w:noProof/>
                <w:szCs w:val="22"/>
                <w:vertAlign w:val="superscript"/>
                <w:lang w:val="sr-Latn-ME"/>
              </w:rPr>
              <w:t>d</w:t>
            </w:r>
          </w:p>
          <w:p w14:paraId="11EA9B5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(22,32)</w:t>
            </w:r>
          </w:p>
          <w:p w14:paraId="7056149F" w14:textId="77777777" w:rsidR="004E3BE3" w:rsidRPr="00B74B0F" w:rsidRDefault="004E3BE3" w:rsidP="00A30C3C">
            <w:pPr>
              <w:spacing w:line="240" w:lineRule="auto"/>
              <w:jc w:val="both"/>
              <w:rPr>
                <w:noProof/>
                <w:szCs w:val="22"/>
                <w:lang w:val="sr-Latn-ME"/>
              </w:rPr>
            </w:pPr>
          </w:p>
        </w:tc>
        <w:tc>
          <w:tcPr>
            <w:tcW w:w="307" w:type="pct"/>
            <w:shd w:val="clear" w:color="auto" w:fill="auto"/>
          </w:tcPr>
          <w:p w14:paraId="3162048F" w14:textId="77777777" w:rsidR="004E3BE3" w:rsidRPr="00B74B0F" w:rsidRDefault="004E3BE3" w:rsidP="00A30C3C">
            <w:pPr>
              <w:spacing w:line="240" w:lineRule="auto"/>
              <w:jc w:val="both"/>
              <w:rPr>
                <w:noProof/>
                <w:szCs w:val="22"/>
                <w:vertAlign w:val="superscript"/>
                <w:lang w:val="sr-Latn-ME"/>
              </w:rPr>
            </w:pPr>
            <w:r w:rsidRPr="00B74B0F">
              <w:rPr>
                <w:noProof/>
                <w:szCs w:val="22"/>
                <w:lang w:val="sr-Latn-ME"/>
              </w:rPr>
              <w:t>1</w:t>
            </w:r>
          </w:p>
          <w:p w14:paraId="1855B1E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(0,2)</w:t>
            </w:r>
          </w:p>
          <w:p w14:paraId="2A969721" w14:textId="77777777" w:rsidR="004E3BE3" w:rsidRPr="00B74B0F" w:rsidRDefault="004E3BE3" w:rsidP="00A30C3C">
            <w:pPr>
              <w:spacing w:line="240" w:lineRule="auto"/>
              <w:jc w:val="both"/>
              <w:rPr>
                <w:noProof/>
                <w:szCs w:val="22"/>
                <w:lang w:val="sr-Latn-ME"/>
              </w:rPr>
            </w:pPr>
          </w:p>
        </w:tc>
        <w:tc>
          <w:tcPr>
            <w:tcW w:w="374" w:type="pct"/>
            <w:shd w:val="clear" w:color="auto" w:fill="auto"/>
          </w:tcPr>
          <w:p w14:paraId="6E3086E8" w14:textId="77777777" w:rsidR="004E3BE3" w:rsidRPr="00B74B0F" w:rsidRDefault="004E3BE3" w:rsidP="00A30C3C">
            <w:pPr>
              <w:spacing w:line="240" w:lineRule="auto"/>
              <w:jc w:val="both"/>
              <w:rPr>
                <w:noProof/>
                <w:szCs w:val="22"/>
                <w:lang w:val="sr-Latn-ME"/>
              </w:rPr>
            </w:pPr>
            <w:r w:rsidRPr="00B74B0F">
              <w:rPr>
                <w:noProof/>
                <w:szCs w:val="22"/>
                <w:lang w:val="sr-Latn-ME"/>
              </w:rPr>
              <w:t>14</w:t>
            </w:r>
            <w:r w:rsidRPr="00B74B0F">
              <w:rPr>
                <w:noProof/>
                <w:szCs w:val="22"/>
                <w:vertAlign w:val="superscript"/>
                <w:lang w:val="sr-Latn-ME"/>
              </w:rPr>
              <w:t>d</w:t>
            </w:r>
          </w:p>
          <w:p w14:paraId="56B45BC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(10,18)</w:t>
            </w:r>
          </w:p>
          <w:p w14:paraId="6031D7E7" w14:textId="77777777" w:rsidR="004E3BE3" w:rsidRPr="00B74B0F" w:rsidRDefault="004E3BE3" w:rsidP="00A30C3C">
            <w:pPr>
              <w:spacing w:line="240" w:lineRule="auto"/>
              <w:jc w:val="both"/>
              <w:rPr>
                <w:noProof/>
                <w:szCs w:val="22"/>
                <w:lang w:val="sr-Latn-ME"/>
              </w:rPr>
            </w:pPr>
          </w:p>
        </w:tc>
        <w:tc>
          <w:tcPr>
            <w:tcW w:w="446" w:type="pct"/>
            <w:shd w:val="clear" w:color="auto" w:fill="auto"/>
          </w:tcPr>
          <w:p w14:paraId="7334A75C" w14:textId="77777777" w:rsidR="004E3BE3" w:rsidRPr="00B74B0F" w:rsidRDefault="004E3BE3" w:rsidP="00A30C3C">
            <w:pPr>
              <w:spacing w:line="240" w:lineRule="auto"/>
              <w:jc w:val="both"/>
              <w:rPr>
                <w:noProof/>
                <w:szCs w:val="22"/>
                <w:lang w:val="sr-Latn-ME"/>
              </w:rPr>
            </w:pPr>
            <w:r w:rsidRPr="00B74B0F">
              <w:rPr>
                <w:noProof/>
                <w:szCs w:val="22"/>
                <w:lang w:val="sr-Latn-ME"/>
              </w:rPr>
              <w:t>19</w:t>
            </w:r>
            <w:r w:rsidRPr="00B74B0F">
              <w:rPr>
                <w:noProof/>
                <w:szCs w:val="22"/>
                <w:vertAlign w:val="superscript"/>
                <w:lang w:val="sr-Latn-ME"/>
              </w:rPr>
              <w:t>d</w:t>
            </w:r>
          </w:p>
          <w:p w14:paraId="46056A95"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(14,23)</w:t>
            </w:r>
          </w:p>
          <w:p w14:paraId="58D6C133" w14:textId="77777777" w:rsidR="004E3BE3" w:rsidRPr="00B74B0F" w:rsidRDefault="004E3BE3" w:rsidP="00A30C3C">
            <w:pPr>
              <w:spacing w:line="240" w:lineRule="auto"/>
              <w:jc w:val="both"/>
              <w:rPr>
                <w:noProof/>
                <w:szCs w:val="22"/>
                <w:lang w:val="sr-Latn-ME"/>
              </w:rPr>
            </w:pPr>
          </w:p>
        </w:tc>
        <w:tc>
          <w:tcPr>
            <w:tcW w:w="445" w:type="pct"/>
            <w:vAlign w:val="center"/>
          </w:tcPr>
          <w:p w14:paraId="41BEB105" w14:textId="77777777" w:rsidR="004E3BE3" w:rsidRPr="00B74B0F" w:rsidRDefault="004E3BE3" w:rsidP="00A30C3C">
            <w:pPr>
              <w:spacing w:line="240" w:lineRule="auto"/>
              <w:jc w:val="both"/>
              <w:rPr>
                <w:noProof/>
                <w:szCs w:val="22"/>
                <w:lang w:val="sr-Latn-ME"/>
              </w:rPr>
            </w:pPr>
            <w:r w:rsidRPr="00B74B0F">
              <w:rPr>
                <w:noProof/>
                <w:szCs w:val="22"/>
                <w:lang w:val="sr-Latn-ME"/>
              </w:rPr>
              <w:t>1</w:t>
            </w:r>
          </w:p>
          <w:p w14:paraId="4B99F172"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(0,3)</w:t>
            </w:r>
          </w:p>
          <w:p w14:paraId="6BD07A14" w14:textId="77777777" w:rsidR="004E3BE3" w:rsidRPr="00B74B0F" w:rsidRDefault="004E3BE3" w:rsidP="00A30C3C">
            <w:pPr>
              <w:spacing w:line="240" w:lineRule="auto"/>
              <w:jc w:val="both"/>
              <w:rPr>
                <w:noProof/>
                <w:szCs w:val="22"/>
                <w:lang w:val="sr-Latn-ME"/>
              </w:rPr>
            </w:pPr>
          </w:p>
        </w:tc>
        <w:tc>
          <w:tcPr>
            <w:tcW w:w="445" w:type="pct"/>
            <w:vAlign w:val="center"/>
          </w:tcPr>
          <w:p w14:paraId="37E83F09" w14:textId="77777777" w:rsidR="004E3BE3" w:rsidRPr="00B74B0F" w:rsidRDefault="004E3BE3" w:rsidP="00A30C3C">
            <w:pPr>
              <w:spacing w:line="240" w:lineRule="auto"/>
              <w:jc w:val="both"/>
              <w:rPr>
                <w:noProof/>
                <w:szCs w:val="22"/>
                <w:vertAlign w:val="superscript"/>
                <w:lang w:val="sr-Latn-ME"/>
              </w:rPr>
            </w:pPr>
            <w:r w:rsidRPr="00B74B0F">
              <w:rPr>
                <w:noProof/>
                <w:szCs w:val="22"/>
                <w:lang w:val="sr-Latn-ME"/>
              </w:rPr>
              <w:t>12</w:t>
            </w:r>
            <w:r w:rsidRPr="00B74B0F">
              <w:rPr>
                <w:noProof/>
                <w:szCs w:val="22"/>
                <w:vertAlign w:val="superscript"/>
                <w:lang w:val="sr-Latn-ME"/>
              </w:rPr>
              <w:t xml:space="preserve"> e</w:t>
            </w:r>
          </w:p>
          <w:p w14:paraId="63C71A2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(8,16)</w:t>
            </w:r>
          </w:p>
          <w:p w14:paraId="68433ADC" w14:textId="77777777" w:rsidR="004E3BE3" w:rsidRPr="00B74B0F" w:rsidRDefault="004E3BE3" w:rsidP="00A30C3C">
            <w:pPr>
              <w:spacing w:line="240" w:lineRule="auto"/>
              <w:jc w:val="both"/>
              <w:rPr>
                <w:noProof/>
                <w:szCs w:val="22"/>
                <w:lang w:val="sr-Latn-ME"/>
              </w:rPr>
            </w:pPr>
          </w:p>
        </w:tc>
        <w:tc>
          <w:tcPr>
            <w:tcW w:w="522" w:type="pct"/>
            <w:vAlign w:val="center"/>
          </w:tcPr>
          <w:p w14:paraId="7635EAF3" w14:textId="77777777" w:rsidR="004E3BE3" w:rsidRPr="00B74B0F" w:rsidRDefault="004E3BE3" w:rsidP="00A30C3C">
            <w:pPr>
              <w:spacing w:line="240" w:lineRule="auto"/>
              <w:jc w:val="both"/>
              <w:rPr>
                <w:noProof/>
                <w:szCs w:val="22"/>
                <w:lang w:val="sr-Latn-ME"/>
              </w:rPr>
            </w:pPr>
            <w:r w:rsidRPr="00B74B0F">
              <w:rPr>
                <w:noProof/>
                <w:szCs w:val="22"/>
                <w:lang w:val="sr-Latn-ME"/>
              </w:rPr>
              <w:t>23</w:t>
            </w:r>
            <w:r w:rsidRPr="00B74B0F">
              <w:rPr>
                <w:noProof/>
                <w:szCs w:val="22"/>
                <w:vertAlign w:val="superscript"/>
                <w:lang w:val="sr-Latn-ME"/>
              </w:rPr>
              <w:t>d</w:t>
            </w:r>
          </w:p>
          <w:p w14:paraId="0D83751A"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(18,27)</w:t>
            </w:r>
          </w:p>
          <w:p w14:paraId="07300DA3" w14:textId="77777777" w:rsidR="004E3BE3" w:rsidRPr="00B74B0F" w:rsidRDefault="004E3BE3" w:rsidP="00A30C3C">
            <w:pPr>
              <w:spacing w:line="240" w:lineRule="auto"/>
              <w:jc w:val="both"/>
              <w:rPr>
                <w:noProof/>
                <w:szCs w:val="22"/>
                <w:lang w:val="sr-Latn-ME"/>
              </w:rPr>
            </w:pPr>
          </w:p>
        </w:tc>
      </w:tr>
      <w:tr w:rsidR="00D363CA" w:rsidRPr="00B74B0F" w14:paraId="3041AC49" w14:textId="77777777" w:rsidTr="00200D71">
        <w:trPr>
          <w:trHeight w:val="197"/>
        </w:trPr>
        <w:tc>
          <w:tcPr>
            <w:tcW w:w="967" w:type="pct"/>
            <w:shd w:val="clear" w:color="auto" w:fill="auto"/>
          </w:tcPr>
          <w:p w14:paraId="4BB44D1A" w14:textId="77777777" w:rsidR="004E3BE3" w:rsidRPr="00B74B0F" w:rsidRDefault="004E3BE3">
            <w:pPr>
              <w:widowControl w:val="0"/>
              <w:spacing w:line="240" w:lineRule="auto"/>
              <w:jc w:val="both"/>
              <w:rPr>
                <w:rFonts w:eastAsia="Calibri"/>
                <w:noProof/>
                <w:szCs w:val="22"/>
                <w:lang w:val="sr-Latn-ME"/>
              </w:rPr>
            </w:pPr>
            <w:r w:rsidRPr="00B74B0F">
              <w:rPr>
                <w:rFonts w:eastAsia="Calibri"/>
                <w:noProof/>
                <w:szCs w:val="22"/>
                <w:lang w:val="sr-Latn-ME"/>
              </w:rPr>
              <w:t>NRS rezultat za najgori pruritus</w:t>
            </w:r>
            <w:r w:rsidRPr="00B74B0F">
              <w:rPr>
                <w:rFonts w:eastAsia="Calibri"/>
                <w:noProof/>
                <w:szCs w:val="22"/>
                <w:vertAlign w:val="superscript"/>
                <w:lang w:val="sr-Latn-ME"/>
              </w:rPr>
              <w:t>c</w:t>
            </w:r>
          </w:p>
          <w:p w14:paraId="5EFEBBF4" w14:textId="77777777" w:rsidR="004E3BE3" w:rsidRPr="00B74B0F" w:rsidRDefault="004E3BE3">
            <w:pPr>
              <w:widowControl w:val="0"/>
              <w:autoSpaceDE w:val="0"/>
              <w:autoSpaceDN w:val="0"/>
              <w:adjustRightInd w:val="0"/>
              <w:spacing w:line="240" w:lineRule="auto"/>
              <w:jc w:val="both"/>
              <w:rPr>
                <w:noProof/>
                <w:szCs w:val="22"/>
                <w:lang w:val="sr-Latn-ME"/>
              </w:rPr>
            </w:pPr>
            <w:r w:rsidRPr="00B74B0F">
              <w:rPr>
                <w:rFonts w:eastAsia="Calibri"/>
                <w:i/>
                <w:noProof/>
                <w:szCs w:val="22"/>
                <w:lang w:val="sr-Latn-ME"/>
              </w:rPr>
              <w:t xml:space="preserve">(poboljšanje od </w:t>
            </w:r>
            <w:r w:rsidRPr="00B74B0F">
              <w:rPr>
                <w:rFonts w:eastAsia="Calibri"/>
                <w:i/>
                <w:noProof/>
                <w:szCs w:val="22"/>
                <w:lang w:val="sr-Latn-ME"/>
              </w:rPr>
              <w:lastRenderedPageBreak/>
              <w:t>≥ 4 boda)</w:t>
            </w:r>
          </w:p>
        </w:tc>
        <w:tc>
          <w:tcPr>
            <w:tcW w:w="446" w:type="pct"/>
            <w:shd w:val="clear" w:color="auto" w:fill="auto"/>
          </w:tcPr>
          <w:p w14:paraId="6D7D73DA" w14:textId="77777777" w:rsidR="004E3BE3" w:rsidRPr="00B74B0F" w:rsidRDefault="004E3BE3" w:rsidP="00A30C3C">
            <w:pPr>
              <w:widowControl w:val="0"/>
              <w:spacing w:line="240" w:lineRule="auto"/>
              <w:jc w:val="both"/>
              <w:rPr>
                <w:noProof/>
                <w:szCs w:val="22"/>
                <w:lang w:val="sr-Latn-ME"/>
              </w:rPr>
            </w:pPr>
            <w:r w:rsidRPr="00B74B0F">
              <w:rPr>
                <w:noProof/>
                <w:szCs w:val="22"/>
                <w:lang w:val="sr-Latn-ME"/>
              </w:rPr>
              <w:lastRenderedPageBreak/>
              <w:t>12</w:t>
            </w:r>
          </w:p>
          <w:p w14:paraId="00D267D6"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(8,16)</w:t>
            </w:r>
          </w:p>
          <w:p w14:paraId="22E6371D" w14:textId="77777777" w:rsidR="004E3BE3" w:rsidRPr="00B74B0F" w:rsidRDefault="004E3BE3" w:rsidP="00A30C3C">
            <w:pPr>
              <w:widowControl w:val="0"/>
              <w:spacing w:line="240" w:lineRule="auto"/>
              <w:jc w:val="both"/>
              <w:rPr>
                <w:noProof/>
                <w:szCs w:val="22"/>
                <w:lang w:val="sr-Latn-ME"/>
              </w:rPr>
            </w:pPr>
          </w:p>
          <w:p w14:paraId="74DD1A1E" w14:textId="77777777" w:rsidR="004E3BE3" w:rsidRPr="00B74B0F" w:rsidRDefault="004E3BE3" w:rsidP="00A30C3C">
            <w:pPr>
              <w:widowControl w:val="0"/>
              <w:spacing w:line="240" w:lineRule="auto"/>
              <w:jc w:val="both"/>
              <w:rPr>
                <w:noProof/>
                <w:szCs w:val="22"/>
                <w:lang w:val="sr-Latn-ME"/>
              </w:rPr>
            </w:pPr>
          </w:p>
        </w:tc>
        <w:tc>
          <w:tcPr>
            <w:tcW w:w="508" w:type="pct"/>
            <w:shd w:val="clear" w:color="auto" w:fill="auto"/>
          </w:tcPr>
          <w:p w14:paraId="613FDA49" w14:textId="77777777" w:rsidR="004E3BE3" w:rsidRPr="00B74B0F" w:rsidRDefault="004E3BE3" w:rsidP="00A30C3C">
            <w:pPr>
              <w:widowControl w:val="0"/>
              <w:spacing w:line="240" w:lineRule="auto"/>
              <w:jc w:val="both"/>
              <w:rPr>
                <w:noProof/>
                <w:szCs w:val="22"/>
                <w:vertAlign w:val="superscript"/>
                <w:lang w:val="sr-Latn-ME"/>
              </w:rPr>
            </w:pPr>
            <w:r w:rsidRPr="00B74B0F">
              <w:rPr>
                <w:noProof/>
                <w:szCs w:val="22"/>
                <w:lang w:val="sr-Latn-ME"/>
              </w:rPr>
              <w:lastRenderedPageBreak/>
              <w:t>52</w:t>
            </w:r>
            <w:r w:rsidRPr="00B74B0F">
              <w:rPr>
                <w:noProof/>
                <w:szCs w:val="22"/>
                <w:vertAlign w:val="superscript"/>
                <w:lang w:val="sr-Latn-ME"/>
              </w:rPr>
              <w:t>d</w:t>
            </w:r>
          </w:p>
          <w:p w14:paraId="69A5FB9B"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(46,58)</w:t>
            </w:r>
          </w:p>
          <w:p w14:paraId="1FB26864" w14:textId="77777777" w:rsidR="004E3BE3" w:rsidRPr="00B74B0F" w:rsidRDefault="004E3BE3" w:rsidP="00A30C3C">
            <w:pPr>
              <w:widowControl w:val="0"/>
              <w:spacing w:line="240" w:lineRule="auto"/>
              <w:jc w:val="both"/>
              <w:rPr>
                <w:noProof/>
                <w:szCs w:val="22"/>
                <w:lang w:val="sr-Latn-ME"/>
              </w:rPr>
            </w:pPr>
          </w:p>
        </w:tc>
        <w:tc>
          <w:tcPr>
            <w:tcW w:w="540" w:type="pct"/>
            <w:shd w:val="clear" w:color="auto" w:fill="auto"/>
          </w:tcPr>
          <w:p w14:paraId="1A5B7A34" w14:textId="77777777" w:rsidR="004E3BE3" w:rsidRPr="00B74B0F" w:rsidRDefault="004E3BE3" w:rsidP="00A30C3C">
            <w:pPr>
              <w:widowControl w:val="0"/>
              <w:spacing w:line="240" w:lineRule="auto"/>
              <w:jc w:val="both"/>
              <w:rPr>
                <w:noProof/>
                <w:szCs w:val="22"/>
                <w:lang w:val="sr-Latn-ME"/>
              </w:rPr>
            </w:pPr>
            <w:r w:rsidRPr="00B74B0F">
              <w:rPr>
                <w:noProof/>
                <w:szCs w:val="22"/>
                <w:lang w:val="sr-Latn-ME"/>
              </w:rPr>
              <w:t>60</w:t>
            </w:r>
            <w:r w:rsidRPr="00B74B0F">
              <w:rPr>
                <w:noProof/>
                <w:szCs w:val="22"/>
                <w:vertAlign w:val="superscript"/>
                <w:lang w:val="sr-Latn-ME"/>
              </w:rPr>
              <w:t>d</w:t>
            </w:r>
          </w:p>
          <w:p w14:paraId="426BE75F"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(54,66)</w:t>
            </w:r>
          </w:p>
          <w:p w14:paraId="4097F01E" w14:textId="77777777" w:rsidR="004E3BE3" w:rsidRPr="00B74B0F" w:rsidRDefault="004E3BE3" w:rsidP="00A30C3C">
            <w:pPr>
              <w:widowControl w:val="0"/>
              <w:spacing w:line="240" w:lineRule="auto"/>
              <w:jc w:val="both"/>
              <w:rPr>
                <w:noProof/>
                <w:szCs w:val="22"/>
                <w:lang w:val="sr-Latn-ME"/>
              </w:rPr>
            </w:pPr>
          </w:p>
        </w:tc>
        <w:tc>
          <w:tcPr>
            <w:tcW w:w="307" w:type="pct"/>
            <w:shd w:val="clear" w:color="auto" w:fill="auto"/>
          </w:tcPr>
          <w:p w14:paraId="1FE3891D" w14:textId="77777777" w:rsidR="004E3BE3" w:rsidRPr="00B74B0F" w:rsidRDefault="004E3BE3" w:rsidP="00A30C3C">
            <w:pPr>
              <w:widowControl w:val="0"/>
              <w:spacing w:line="240" w:lineRule="auto"/>
              <w:jc w:val="both"/>
              <w:rPr>
                <w:noProof/>
                <w:szCs w:val="22"/>
                <w:lang w:val="sr-Latn-ME"/>
              </w:rPr>
            </w:pPr>
            <w:r w:rsidRPr="00B74B0F">
              <w:rPr>
                <w:noProof/>
                <w:szCs w:val="22"/>
                <w:lang w:val="sr-Latn-ME"/>
              </w:rPr>
              <w:t>9</w:t>
            </w:r>
          </w:p>
          <w:p w14:paraId="770FEBAF"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(6,13)</w:t>
            </w:r>
          </w:p>
          <w:p w14:paraId="38D183B9" w14:textId="77777777" w:rsidR="004E3BE3" w:rsidRPr="00B74B0F" w:rsidRDefault="004E3BE3" w:rsidP="00A30C3C">
            <w:pPr>
              <w:widowControl w:val="0"/>
              <w:spacing w:line="240" w:lineRule="auto"/>
              <w:jc w:val="both"/>
              <w:rPr>
                <w:noProof/>
                <w:szCs w:val="22"/>
                <w:lang w:val="sr-Latn-ME"/>
              </w:rPr>
            </w:pPr>
          </w:p>
        </w:tc>
        <w:tc>
          <w:tcPr>
            <w:tcW w:w="374" w:type="pct"/>
            <w:shd w:val="clear" w:color="auto" w:fill="auto"/>
          </w:tcPr>
          <w:p w14:paraId="58B72074" w14:textId="77777777" w:rsidR="004E3BE3" w:rsidRPr="00B74B0F" w:rsidRDefault="004E3BE3" w:rsidP="00A30C3C">
            <w:pPr>
              <w:widowControl w:val="0"/>
              <w:spacing w:line="240" w:lineRule="auto"/>
              <w:jc w:val="both"/>
              <w:rPr>
                <w:noProof/>
                <w:szCs w:val="22"/>
                <w:lang w:val="sr-Latn-ME"/>
              </w:rPr>
            </w:pPr>
            <w:r w:rsidRPr="00B74B0F">
              <w:rPr>
                <w:noProof/>
                <w:szCs w:val="22"/>
                <w:lang w:val="sr-Latn-ME"/>
              </w:rPr>
              <w:lastRenderedPageBreak/>
              <w:t>42</w:t>
            </w:r>
            <w:r w:rsidRPr="00B74B0F">
              <w:rPr>
                <w:noProof/>
                <w:szCs w:val="22"/>
                <w:vertAlign w:val="superscript"/>
                <w:lang w:val="sr-Latn-ME"/>
              </w:rPr>
              <w:t>d</w:t>
            </w:r>
          </w:p>
          <w:p w14:paraId="0464F097"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(36,48)</w:t>
            </w:r>
          </w:p>
          <w:p w14:paraId="2F6E7A4B" w14:textId="77777777" w:rsidR="004E3BE3" w:rsidRPr="00B74B0F" w:rsidRDefault="004E3BE3" w:rsidP="00A30C3C">
            <w:pPr>
              <w:widowControl w:val="0"/>
              <w:spacing w:line="240" w:lineRule="auto"/>
              <w:jc w:val="both"/>
              <w:rPr>
                <w:noProof/>
                <w:szCs w:val="22"/>
                <w:lang w:val="sr-Latn-ME"/>
              </w:rPr>
            </w:pPr>
          </w:p>
          <w:p w14:paraId="3C5653E2" w14:textId="77777777" w:rsidR="004E3BE3" w:rsidRPr="00B74B0F" w:rsidRDefault="004E3BE3" w:rsidP="00A30C3C">
            <w:pPr>
              <w:widowControl w:val="0"/>
              <w:spacing w:line="240" w:lineRule="auto"/>
              <w:jc w:val="both"/>
              <w:rPr>
                <w:noProof/>
                <w:szCs w:val="22"/>
                <w:lang w:val="sr-Latn-ME"/>
              </w:rPr>
            </w:pPr>
          </w:p>
        </w:tc>
        <w:tc>
          <w:tcPr>
            <w:tcW w:w="446" w:type="pct"/>
            <w:shd w:val="clear" w:color="auto" w:fill="auto"/>
          </w:tcPr>
          <w:p w14:paraId="56DCC743" w14:textId="77777777" w:rsidR="004E3BE3" w:rsidRPr="00B74B0F" w:rsidRDefault="004E3BE3" w:rsidP="00A30C3C">
            <w:pPr>
              <w:widowControl w:val="0"/>
              <w:spacing w:line="240" w:lineRule="auto"/>
              <w:jc w:val="both"/>
              <w:rPr>
                <w:noProof/>
                <w:szCs w:val="22"/>
                <w:lang w:val="sr-Latn-ME"/>
              </w:rPr>
            </w:pPr>
            <w:r w:rsidRPr="00B74B0F">
              <w:rPr>
                <w:noProof/>
                <w:szCs w:val="22"/>
                <w:lang w:val="sr-Latn-ME"/>
              </w:rPr>
              <w:lastRenderedPageBreak/>
              <w:t>60</w:t>
            </w:r>
            <w:r w:rsidRPr="00B74B0F">
              <w:rPr>
                <w:noProof/>
                <w:szCs w:val="22"/>
                <w:vertAlign w:val="superscript"/>
                <w:lang w:val="sr-Latn-ME"/>
              </w:rPr>
              <w:t>d</w:t>
            </w:r>
          </w:p>
          <w:p w14:paraId="6ED53E16"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(54,65)</w:t>
            </w:r>
          </w:p>
          <w:p w14:paraId="05BBCFA7" w14:textId="77777777" w:rsidR="004E3BE3" w:rsidRPr="00B74B0F" w:rsidRDefault="004E3BE3" w:rsidP="00A30C3C">
            <w:pPr>
              <w:widowControl w:val="0"/>
              <w:spacing w:line="240" w:lineRule="auto"/>
              <w:jc w:val="both"/>
              <w:rPr>
                <w:noProof/>
                <w:szCs w:val="22"/>
                <w:lang w:val="sr-Latn-ME"/>
              </w:rPr>
            </w:pPr>
          </w:p>
          <w:p w14:paraId="1119DE50" w14:textId="77777777" w:rsidR="004E3BE3" w:rsidRPr="00B74B0F" w:rsidRDefault="004E3BE3" w:rsidP="00A30C3C">
            <w:pPr>
              <w:widowControl w:val="0"/>
              <w:spacing w:line="240" w:lineRule="auto"/>
              <w:jc w:val="both"/>
              <w:rPr>
                <w:noProof/>
                <w:szCs w:val="22"/>
                <w:lang w:val="sr-Latn-ME"/>
              </w:rPr>
            </w:pPr>
          </w:p>
        </w:tc>
        <w:tc>
          <w:tcPr>
            <w:tcW w:w="445" w:type="pct"/>
          </w:tcPr>
          <w:p w14:paraId="28724FB9" w14:textId="77777777" w:rsidR="004E3BE3" w:rsidRPr="00B74B0F" w:rsidRDefault="004E3BE3" w:rsidP="00A30C3C">
            <w:pPr>
              <w:widowControl w:val="0"/>
              <w:spacing w:line="240" w:lineRule="auto"/>
              <w:jc w:val="both"/>
              <w:rPr>
                <w:noProof/>
                <w:szCs w:val="22"/>
                <w:lang w:val="sr-Latn-ME"/>
              </w:rPr>
            </w:pPr>
            <w:r w:rsidRPr="00B74B0F">
              <w:rPr>
                <w:noProof/>
                <w:szCs w:val="22"/>
                <w:lang w:val="sr-Latn-ME"/>
              </w:rPr>
              <w:lastRenderedPageBreak/>
              <w:t>15</w:t>
            </w:r>
          </w:p>
          <w:p w14:paraId="44692993"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(11,19)</w:t>
            </w:r>
          </w:p>
          <w:p w14:paraId="116CBD2E" w14:textId="77777777" w:rsidR="004E3BE3" w:rsidRPr="00B74B0F" w:rsidRDefault="004E3BE3" w:rsidP="00A30C3C">
            <w:pPr>
              <w:widowControl w:val="0"/>
              <w:spacing w:line="240" w:lineRule="auto"/>
              <w:jc w:val="both"/>
              <w:rPr>
                <w:noProof/>
                <w:szCs w:val="22"/>
                <w:lang w:val="sr-Latn-ME"/>
              </w:rPr>
            </w:pPr>
          </w:p>
          <w:p w14:paraId="13A239D9" w14:textId="77777777" w:rsidR="004E3BE3" w:rsidRPr="00B74B0F" w:rsidRDefault="004E3BE3" w:rsidP="00A30C3C">
            <w:pPr>
              <w:widowControl w:val="0"/>
              <w:spacing w:line="240" w:lineRule="auto"/>
              <w:jc w:val="both"/>
              <w:rPr>
                <w:noProof/>
                <w:szCs w:val="22"/>
                <w:lang w:val="sr-Latn-ME"/>
              </w:rPr>
            </w:pPr>
          </w:p>
        </w:tc>
        <w:tc>
          <w:tcPr>
            <w:tcW w:w="445" w:type="pct"/>
          </w:tcPr>
          <w:p w14:paraId="5191ECC8" w14:textId="77777777" w:rsidR="004E3BE3" w:rsidRPr="00B74B0F" w:rsidRDefault="004E3BE3" w:rsidP="00A30C3C">
            <w:pPr>
              <w:widowControl w:val="0"/>
              <w:spacing w:line="240" w:lineRule="auto"/>
              <w:jc w:val="both"/>
              <w:rPr>
                <w:noProof/>
                <w:szCs w:val="22"/>
                <w:vertAlign w:val="superscript"/>
                <w:lang w:val="sr-Latn-ME"/>
              </w:rPr>
            </w:pPr>
            <w:r w:rsidRPr="00B74B0F">
              <w:rPr>
                <w:noProof/>
                <w:szCs w:val="22"/>
                <w:lang w:val="sr-Latn-ME"/>
              </w:rPr>
              <w:lastRenderedPageBreak/>
              <w:t>52</w:t>
            </w:r>
            <w:r w:rsidRPr="00B74B0F">
              <w:rPr>
                <w:noProof/>
                <w:szCs w:val="22"/>
                <w:vertAlign w:val="superscript"/>
                <w:lang w:val="sr-Latn-ME"/>
              </w:rPr>
              <w:t>d</w:t>
            </w:r>
          </w:p>
          <w:p w14:paraId="6635A246"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(46,58)</w:t>
            </w:r>
          </w:p>
          <w:p w14:paraId="329F4DAB" w14:textId="77777777" w:rsidR="004E3BE3" w:rsidRPr="00B74B0F" w:rsidRDefault="004E3BE3" w:rsidP="00A30C3C">
            <w:pPr>
              <w:widowControl w:val="0"/>
              <w:spacing w:line="240" w:lineRule="auto"/>
              <w:jc w:val="both"/>
              <w:rPr>
                <w:noProof/>
                <w:szCs w:val="22"/>
                <w:lang w:val="sr-Latn-ME"/>
              </w:rPr>
            </w:pPr>
          </w:p>
          <w:p w14:paraId="247364BA" w14:textId="77777777" w:rsidR="004E3BE3" w:rsidRPr="00B74B0F" w:rsidRDefault="004E3BE3" w:rsidP="00A30C3C">
            <w:pPr>
              <w:widowControl w:val="0"/>
              <w:spacing w:line="240" w:lineRule="auto"/>
              <w:jc w:val="both"/>
              <w:rPr>
                <w:noProof/>
                <w:szCs w:val="22"/>
                <w:lang w:val="sr-Latn-ME"/>
              </w:rPr>
            </w:pPr>
          </w:p>
        </w:tc>
        <w:tc>
          <w:tcPr>
            <w:tcW w:w="522" w:type="pct"/>
          </w:tcPr>
          <w:p w14:paraId="79EBF19C" w14:textId="77777777" w:rsidR="004E3BE3" w:rsidRPr="00B74B0F" w:rsidRDefault="004E3BE3" w:rsidP="00A30C3C">
            <w:pPr>
              <w:widowControl w:val="0"/>
              <w:spacing w:line="240" w:lineRule="auto"/>
              <w:jc w:val="both"/>
              <w:rPr>
                <w:noProof/>
                <w:szCs w:val="22"/>
                <w:lang w:val="sr-Latn-ME"/>
              </w:rPr>
            </w:pPr>
            <w:r w:rsidRPr="00B74B0F">
              <w:rPr>
                <w:noProof/>
                <w:szCs w:val="22"/>
                <w:lang w:val="sr-Latn-ME"/>
              </w:rPr>
              <w:lastRenderedPageBreak/>
              <w:t>64</w:t>
            </w:r>
            <w:r w:rsidRPr="00B74B0F">
              <w:rPr>
                <w:noProof/>
                <w:szCs w:val="22"/>
                <w:vertAlign w:val="superscript"/>
                <w:lang w:val="sr-Latn-ME"/>
              </w:rPr>
              <w:t>d</w:t>
            </w:r>
          </w:p>
          <w:p w14:paraId="6BA0D6CB" w14:textId="77777777" w:rsidR="004E3BE3" w:rsidRPr="00B74B0F" w:rsidRDefault="004E3BE3" w:rsidP="00A30C3C">
            <w:pPr>
              <w:widowControl w:val="0"/>
              <w:tabs>
                <w:tab w:val="clear" w:pos="567"/>
              </w:tabs>
              <w:spacing w:line="240" w:lineRule="auto"/>
              <w:jc w:val="both"/>
              <w:rPr>
                <w:noProof/>
                <w:szCs w:val="22"/>
                <w:lang w:val="sr-Latn-ME"/>
              </w:rPr>
            </w:pPr>
            <w:r w:rsidRPr="00B74B0F">
              <w:rPr>
                <w:noProof/>
                <w:szCs w:val="22"/>
                <w:lang w:val="sr-Latn-ME"/>
              </w:rPr>
              <w:t>(58,69)</w:t>
            </w:r>
          </w:p>
          <w:p w14:paraId="145D23F5" w14:textId="77777777" w:rsidR="004E3BE3" w:rsidRPr="00B74B0F" w:rsidRDefault="004E3BE3" w:rsidP="00A30C3C">
            <w:pPr>
              <w:widowControl w:val="0"/>
              <w:spacing w:line="240" w:lineRule="auto"/>
              <w:jc w:val="both"/>
              <w:rPr>
                <w:noProof/>
                <w:szCs w:val="22"/>
                <w:lang w:val="sr-Latn-ME"/>
              </w:rPr>
            </w:pPr>
          </w:p>
          <w:p w14:paraId="54392B5F" w14:textId="77777777" w:rsidR="004E3BE3" w:rsidRPr="00B74B0F" w:rsidRDefault="004E3BE3" w:rsidP="00A30C3C">
            <w:pPr>
              <w:widowControl w:val="0"/>
              <w:spacing w:line="240" w:lineRule="auto"/>
              <w:jc w:val="both"/>
              <w:rPr>
                <w:noProof/>
                <w:szCs w:val="22"/>
                <w:lang w:val="sr-Latn-ME"/>
              </w:rPr>
            </w:pPr>
          </w:p>
        </w:tc>
      </w:tr>
      <w:tr w:rsidR="00BF75A1" w:rsidRPr="00B74B0F" w14:paraId="2D2D55C5" w14:textId="77777777" w:rsidTr="00200D71">
        <w:tblPrEx>
          <w:tblLook w:val="07E0" w:firstRow="1" w:lastRow="1" w:firstColumn="1" w:lastColumn="1" w:noHBand="1" w:noVBand="1"/>
        </w:tblPrEx>
        <w:trPr>
          <w:trHeight w:val="197"/>
        </w:trPr>
        <w:tc>
          <w:tcPr>
            <w:tcW w:w="5000" w:type="pct"/>
            <w:gridSpan w:val="10"/>
            <w:shd w:val="clear" w:color="auto" w:fill="auto"/>
          </w:tcPr>
          <w:p w14:paraId="627B3F04" w14:textId="78653F3E" w:rsidR="004E3BE3" w:rsidRPr="00B74B0F" w:rsidRDefault="005845E0">
            <w:pPr>
              <w:keepNext/>
              <w:keepLines/>
              <w:spacing w:line="240" w:lineRule="auto"/>
              <w:jc w:val="both"/>
              <w:rPr>
                <w:strike/>
                <w:noProof/>
                <w:szCs w:val="22"/>
                <w:lang w:val="sr-Latn-ME"/>
              </w:rPr>
            </w:pPr>
            <w:r w:rsidRPr="00B74B0F">
              <w:rPr>
                <w:b/>
                <w:bCs/>
                <w:noProof/>
                <w:szCs w:val="22"/>
                <w:lang w:val="sr-Latn-ME"/>
              </w:rPr>
              <w:lastRenderedPageBreak/>
              <w:t>Parametri praćenja</w:t>
            </w:r>
            <w:r w:rsidR="004E3BE3" w:rsidRPr="00B74B0F">
              <w:rPr>
                <w:b/>
                <w:bCs/>
                <w:noProof/>
                <w:szCs w:val="22"/>
                <w:lang w:val="sr-Latn-ME"/>
              </w:rPr>
              <w:t xml:space="preserve"> ran</w:t>
            </w:r>
            <w:r w:rsidRPr="00B74B0F">
              <w:rPr>
                <w:b/>
                <w:bCs/>
                <w:noProof/>
                <w:szCs w:val="22"/>
                <w:lang w:val="sr-Latn-ME"/>
              </w:rPr>
              <w:t>e</w:t>
            </w:r>
            <w:r w:rsidR="004E3BE3" w:rsidRPr="00B74B0F">
              <w:rPr>
                <w:b/>
                <w:bCs/>
                <w:noProof/>
                <w:szCs w:val="22"/>
                <w:lang w:val="sr-Latn-ME"/>
              </w:rPr>
              <w:t xml:space="preserve"> </w:t>
            </w:r>
            <w:r w:rsidRPr="00B74B0F">
              <w:rPr>
                <w:b/>
                <w:bCs/>
                <w:noProof/>
                <w:szCs w:val="22"/>
                <w:lang w:val="sr-Latn-ME"/>
              </w:rPr>
              <w:t>pojave</w:t>
            </w:r>
            <w:r w:rsidR="004E3BE3" w:rsidRPr="00B74B0F">
              <w:rPr>
                <w:b/>
                <w:bCs/>
                <w:noProof/>
                <w:szCs w:val="22"/>
                <w:lang w:val="sr-Latn-ME"/>
              </w:rPr>
              <w:t xml:space="preserve"> poboljšanja, </w:t>
            </w:r>
            <w:r w:rsidR="004E3BE3" w:rsidRPr="00B74B0F">
              <w:rPr>
                <w:rFonts w:eastAsia="Calibri"/>
                <w:b/>
                <w:bCs/>
                <w:noProof/>
                <w:szCs w:val="22"/>
                <w:lang w:val="sr-Latn-ME"/>
              </w:rPr>
              <w:t xml:space="preserve">% </w:t>
            </w:r>
            <w:r w:rsidR="00181042" w:rsidRPr="00B74B0F">
              <w:rPr>
                <w:rFonts w:eastAsia="Calibri"/>
                <w:b/>
                <w:bCs/>
                <w:noProof/>
                <w:szCs w:val="22"/>
                <w:lang w:val="sr-Latn-ME"/>
              </w:rPr>
              <w:t>pacijenata</w:t>
            </w:r>
            <w:r w:rsidR="004E3BE3" w:rsidRPr="00B74B0F">
              <w:rPr>
                <w:rFonts w:eastAsia="Calibri"/>
                <w:b/>
                <w:bCs/>
                <w:noProof/>
                <w:szCs w:val="22"/>
                <w:lang w:val="sr-Latn-ME"/>
              </w:rPr>
              <w:t xml:space="preserve"> s odgovorom </w:t>
            </w:r>
            <w:r w:rsidR="004E3BE3" w:rsidRPr="00B74B0F">
              <w:rPr>
                <w:b/>
                <w:bCs/>
                <w:noProof/>
                <w:szCs w:val="22"/>
                <w:lang w:val="sr-Latn-ME"/>
              </w:rPr>
              <w:t>(95% CI)</w:t>
            </w:r>
          </w:p>
        </w:tc>
      </w:tr>
      <w:tr w:rsidR="00D363CA" w:rsidRPr="00B74B0F" w14:paraId="4BA81177" w14:textId="77777777" w:rsidTr="00200D71">
        <w:trPr>
          <w:trHeight w:val="197"/>
        </w:trPr>
        <w:tc>
          <w:tcPr>
            <w:tcW w:w="967" w:type="pct"/>
            <w:shd w:val="clear" w:color="auto" w:fill="auto"/>
          </w:tcPr>
          <w:p w14:paraId="3F402DD3" w14:textId="77777777" w:rsidR="004E3BE3" w:rsidRPr="00B74B0F" w:rsidRDefault="004E3BE3">
            <w:pPr>
              <w:keepNext/>
              <w:keepLines/>
              <w:spacing w:line="240" w:lineRule="auto"/>
              <w:jc w:val="both"/>
              <w:rPr>
                <w:noProof/>
                <w:szCs w:val="22"/>
                <w:lang w:val="sr-Latn-ME"/>
              </w:rPr>
            </w:pPr>
            <w:r w:rsidRPr="00B74B0F">
              <w:rPr>
                <w:noProof/>
                <w:szCs w:val="22"/>
                <w:lang w:val="sr-Latn-ME"/>
              </w:rPr>
              <w:t>EASI 75</w:t>
            </w:r>
            <w:r w:rsidRPr="00B74B0F">
              <w:rPr>
                <w:noProof/>
                <w:szCs w:val="22"/>
                <w:vertAlign w:val="superscript"/>
                <w:lang w:val="sr-Latn-ME"/>
              </w:rPr>
              <w:t>a</w:t>
            </w:r>
          </w:p>
          <w:p w14:paraId="1C2AC787" w14:textId="1AE36EBB" w:rsidR="004E3BE3" w:rsidRPr="00B74B0F" w:rsidRDefault="004E3BE3">
            <w:pPr>
              <w:keepNext/>
              <w:keepLines/>
              <w:spacing w:line="240" w:lineRule="auto"/>
              <w:jc w:val="both"/>
              <w:rPr>
                <w:rFonts w:eastAsia="Calibri"/>
                <w:noProof/>
                <w:szCs w:val="22"/>
                <w:lang w:val="sr-Latn-ME"/>
              </w:rPr>
            </w:pPr>
            <w:r w:rsidRPr="00B74B0F">
              <w:rPr>
                <w:rFonts w:eastAsia="Calibri"/>
                <w:i/>
                <w:iCs/>
                <w:noProof/>
                <w:szCs w:val="22"/>
                <w:lang w:val="sr-Latn-ME"/>
              </w:rPr>
              <w:t>(2. </w:t>
            </w:r>
            <w:r w:rsidR="00D363CA" w:rsidRPr="00B74B0F">
              <w:rPr>
                <w:rFonts w:eastAsia="Calibri"/>
                <w:i/>
                <w:iCs/>
                <w:noProof/>
                <w:szCs w:val="22"/>
                <w:lang w:val="sr-Latn-ME"/>
              </w:rPr>
              <w:t>nedjelja</w:t>
            </w:r>
            <w:r w:rsidRPr="00B74B0F">
              <w:rPr>
                <w:rFonts w:eastAsia="Calibri"/>
                <w:i/>
                <w:iCs/>
                <w:noProof/>
                <w:szCs w:val="22"/>
                <w:lang w:val="sr-Latn-ME"/>
              </w:rPr>
              <w:t>)</w:t>
            </w:r>
          </w:p>
        </w:tc>
        <w:tc>
          <w:tcPr>
            <w:tcW w:w="446" w:type="pct"/>
            <w:shd w:val="clear" w:color="auto" w:fill="auto"/>
          </w:tcPr>
          <w:p w14:paraId="303551A6" w14:textId="77777777" w:rsidR="004E3BE3" w:rsidRPr="00B74B0F" w:rsidRDefault="004E3BE3" w:rsidP="00A30C3C">
            <w:pPr>
              <w:keepNext/>
              <w:keepLines/>
              <w:spacing w:line="240" w:lineRule="auto"/>
              <w:jc w:val="both"/>
              <w:rPr>
                <w:noProof/>
                <w:szCs w:val="22"/>
                <w:lang w:val="sr-Latn-ME"/>
              </w:rPr>
            </w:pPr>
            <w:r w:rsidRPr="00B74B0F">
              <w:rPr>
                <w:noProof/>
                <w:szCs w:val="22"/>
                <w:lang w:val="sr-Latn-ME"/>
              </w:rPr>
              <w:t>4</w:t>
            </w:r>
          </w:p>
          <w:p w14:paraId="088A0B59"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(1,6)</w:t>
            </w:r>
          </w:p>
          <w:p w14:paraId="32E21818" w14:textId="77777777" w:rsidR="004E3BE3" w:rsidRPr="00B74B0F" w:rsidRDefault="004E3BE3" w:rsidP="00A30C3C">
            <w:pPr>
              <w:keepNext/>
              <w:keepLines/>
              <w:spacing w:line="240" w:lineRule="auto"/>
              <w:jc w:val="both"/>
              <w:rPr>
                <w:noProof/>
                <w:szCs w:val="22"/>
                <w:lang w:val="sr-Latn-ME"/>
              </w:rPr>
            </w:pPr>
          </w:p>
        </w:tc>
        <w:tc>
          <w:tcPr>
            <w:tcW w:w="508" w:type="pct"/>
            <w:shd w:val="clear" w:color="auto" w:fill="auto"/>
          </w:tcPr>
          <w:p w14:paraId="26C3247E" w14:textId="77777777" w:rsidR="004E3BE3" w:rsidRPr="00B74B0F" w:rsidRDefault="004E3BE3" w:rsidP="00A30C3C">
            <w:pPr>
              <w:keepNext/>
              <w:keepLines/>
              <w:spacing w:line="240" w:lineRule="auto"/>
              <w:jc w:val="both"/>
              <w:rPr>
                <w:noProof/>
                <w:szCs w:val="22"/>
                <w:vertAlign w:val="superscript"/>
                <w:lang w:val="sr-Latn-ME"/>
              </w:rPr>
            </w:pPr>
            <w:r w:rsidRPr="00B74B0F">
              <w:rPr>
                <w:noProof/>
                <w:szCs w:val="22"/>
                <w:lang w:val="sr-Latn-ME"/>
              </w:rPr>
              <w:t>38</w:t>
            </w:r>
            <w:r w:rsidRPr="00B74B0F">
              <w:rPr>
                <w:noProof/>
                <w:szCs w:val="22"/>
                <w:vertAlign w:val="superscript"/>
                <w:lang w:val="sr-Latn-ME"/>
              </w:rPr>
              <w:t>d</w:t>
            </w:r>
          </w:p>
          <w:p w14:paraId="275BAC19"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(32,44)</w:t>
            </w:r>
          </w:p>
          <w:p w14:paraId="02E60903" w14:textId="77777777" w:rsidR="004E3BE3" w:rsidRPr="00B74B0F" w:rsidRDefault="004E3BE3" w:rsidP="00A30C3C">
            <w:pPr>
              <w:keepNext/>
              <w:keepLines/>
              <w:spacing w:line="240" w:lineRule="auto"/>
              <w:jc w:val="both"/>
              <w:rPr>
                <w:noProof/>
                <w:szCs w:val="22"/>
                <w:lang w:val="sr-Latn-ME"/>
              </w:rPr>
            </w:pPr>
          </w:p>
          <w:p w14:paraId="4DF467F8" w14:textId="77777777" w:rsidR="004E3BE3" w:rsidRPr="00B74B0F" w:rsidRDefault="004E3BE3" w:rsidP="00A30C3C">
            <w:pPr>
              <w:keepNext/>
              <w:keepLines/>
              <w:spacing w:line="240" w:lineRule="auto"/>
              <w:jc w:val="both"/>
              <w:rPr>
                <w:noProof/>
                <w:szCs w:val="22"/>
                <w:lang w:val="sr-Latn-ME"/>
              </w:rPr>
            </w:pPr>
          </w:p>
        </w:tc>
        <w:tc>
          <w:tcPr>
            <w:tcW w:w="540" w:type="pct"/>
            <w:shd w:val="clear" w:color="auto" w:fill="auto"/>
          </w:tcPr>
          <w:p w14:paraId="3445718F" w14:textId="77777777" w:rsidR="004E3BE3" w:rsidRPr="00B74B0F" w:rsidRDefault="004E3BE3" w:rsidP="00A30C3C">
            <w:pPr>
              <w:keepNext/>
              <w:keepLines/>
              <w:spacing w:line="240" w:lineRule="auto"/>
              <w:jc w:val="both"/>
              <w:rPr>
                <w:noProof/>
                <w:szCs w:val="22"/>
                <w:lang w:val="sr-Latn-ME"/>
              </w:rPr>
            </w:pPr>
            <w:r w:rsidRPr="00B74B0F">
              <w:rPr>
                <w:noProof/>
                <w:szCs w:val="22"/>
                <w:lang w:val="sr-Latn-ME"/>
              </w:rPr>
              <w:t>47</w:t>
            </w:r>
            <w:r w:rsidRPr="00B74B0F">
              <w:rPr>
                <w:noProof/>
                <w:szCs w:val="22"/>
                <w:vertAlign w:val="superscript"/>
                <w:lang w:val="sr-Latn-ME"/>
              </w:rPr>
              <w:t>d</w:t>
            </w:r>
          </w:p>
          <w:p w14:paraId="67224AF8"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(42,53)</w:t>
            </w:r>
          </w:p>
          <w:p w14:paraId="29A30BFF" w14:textId="77777777" w:rsidR="004E3BE3" w:rsidRPr="00B74B0F" w:rsidRDefault="004E3BE3" w:rsidP="00A30C3C">
            <w:pPr>
              <w:keepNext/>
              <w:keepLines/>
              <w:spacing w:line="240" w:lineRule="auto"/>
              <w:jc w:val="both"/>
              <w:rPr>
                <w:noProof/>
                <w:szCs w:val="22"/>
                <w:lang w:val="sr-Latn-ME"/>
              </w:rPr>
            </w:pPr>
          </w:p>
        </w:tc>
        <w:tc>
          <w:tcPr>
            <w:tcW w:w="307" w:type="pct"/>
            <w:shd w:val="clear" w:color="auto" w:fill="auto"/>
          </w:tcPr>
          <w:p w14:paraId="6F1011CC" w14:textId="77777777" w:rsidR="004E3BE3" w:rsidRPr="00B74B0F" w:rsidRDefault="004E3BE3" w:rsidP="00A30C3C">
            <w:pPr>
              <w:keepNext/>
              <w:keepLines/>
              <w:spacing w:line="240" w:lineRule="auto"/>
              <w:jc w:val="both"/>
              <w:rPr>
                <w:noProof/>
                <w:szCs w:val="22"/>
                <w:lang w:val="sr-Latn-ME"/>
              </w:rPr>
            </w:pPr>
            <w:r w:rsidRPr="00B74B0F">
              <w:rPr>
                <w:noProof/>
                <w:szCs w:val="22"/>
                <w:lang w:val="sr-Latn-ME"/>
              </w:rPr>
              <w:t>4</w:t>
            </w:r>
          </w:p>
          <w:p w14:paraId="5687A8FB"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(1,6)</w:t>
            </w:r>
          </w:p>
          <w:p w14:paraId="2D6A985A" w14:textId="77777777" w:rsidR="004E3BE3" w:rsidRPr="00B74B0F" w:rsidRDefault="004E3BE3" w:rsidP="00A30C3C">
            <w:pPr>
              <w:keepNext/>
              <w:keepLines/>
              <w:spacing w:line="240" w:lineRule="auto"/>
              <w:jc w:val="both"/>
              <w:rPr>
                <w:noProof/>
                <w:szCs w:val="22"/>
                <w:lang w:val="sr-Latn-ME"/>
              </w:rPr>
            </w:pPr>
          </w:p>
        </w:tc>
        <w:tc>
          <w:tcPr>
            <w:tcW w:w="374" w:type="pct"/>
            <w:shd w:val="clear" w:color="auto" w:fill="auto"/>
          </w:tcPr>
          <w:p w14:paraId="6D636F23" w14:textId="77777777" w:rsidR="004E3BE3" w:rsidRPr="00B74B0F" w:rsidRDefault="004E3BE3" w:rsidP="00A30C3C">
            <w:pPr>
              <w:keepNext/>
              <w:keepLines/>
              <w:spacing w:line="240" w:lineRule="auto"/>
              <w:jc w:val="both"/>
              <w:rPr>
                <w:noProof/>
                <w:szCs w:val="22"/>
                <w:vertAlign w:val="superscript"/>
                <w:lang w:val="sr-Latn-ME"/>
              </w:rPr>
            </w:pPr>
            <w:r w:rsidRPr="00B74B0F">
              <w:rPr>
                <w:noProof/>
                <w:szCs w:val="22"/>
                <w:lang w:val="sr-Latn-ME"/>
              </w:rPr>
              <w:t>33</w:t>
            </w:r>
            <w:r w:rsidRPr="00B74B0F">
              <w:rPr>
                <w:noProof/>
                <w:szCs w:val="22"/>
                <w:vertAlign w:val="superscript"/>
                <w:lang w:val="sr-Latn-ME"/>
              </w:rPr>
              <w:t>d</w:t>
            </w:r>
          </w:p>
          <w:p w14:paraId="1AAB85A2"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(27,39)</w:t>
            </w:r>
          </w:p>
          <w:p w14:paraId="41324B54" w14:textId="77777777" w:rsidR="004E3BE3" w:rsidRPr="00B74B0F" w:rsidRDefault="004E3BE3" w:rsidP="00A30C3C">
            <w:pPr>
              <w:keepNext/>
              <w:keepLines/>
              <w:spacing w:line="240" w:lineRule="auto"/>
              <w:jc w:val="both"/>
              <w:rPr>
                <w:noProof/>
                <w:szCs w:val="22"/>
                <w:lang w:val="sr-Latn-ME"/>
              </w:rPr>
            </w:pPr>
          </w:p>
        </w:tc>
        <w:tc>
          <w:tcPr>
            <w:tcW w:w="446" w:type="pct"/>
            <w:shd w:val="clear" w:color="auto" w:fill="auto"/>
          </w:tcPr>
          <w:p w14:paraId="4180A730" w14:textId="77777777" w:rsidR="004E3BE3" w:rsidRPr="00B74B0F" w:rsidRDefault="004E3BE3" w:rsidP="00A30C3C">
            <w:pPr>
              <w:keepNext/>
              <w:keepLines/>
              <w:spacing w:line="240" w:lineRule="auto"/>
              <w:jc w:val="both"/>
              <w:rPr>
                <w:noProof/>
                <w:szCs w:val="22"/>
                <w:vertAlign w:val="superscript"/>
                <w:lang w:val="sr-Latn-ME"/>
              </w:rPr>
            </w:pPr>
            <w:r w:rsidRPr="00B74B0F">
              <w:rPr>
                <w:noProof/>
                <w:szCs w:val="22"/>
                <w:lang w:val="sr-Latn-ME"/>
              </w:rPr>
              <w:t>44</w:t>
            </w:r>
            <w:r w:rsidRPr="00B74B0F">
              <w:rPr>
                <w:noProof/>
                <w:szCs w:val="22"/>
                <w:vertAlign w:val="superscript"/>
                <w:lang w:val="sr-Latn-ME"/>
              </w:rPr>
              <w:t>d</w:t>
            </w:r>
          </w:p>
          <w:p w14:paraId="7F9AB5D3"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(38,50)</w:t>
            </w:r>
          </w:p>
          <w:p w14:paraId="6D3E543D" w14:textId="77777777" w:rsidR="004E3BE3" w:rsidRPr="00B74B0F" w:rsidRDefault="004E3BE3" w:rsidP="00A30C3C">
            <w:pPr>
              <w:keepNext/>
              <w:keepLines/>
              <w:spacing w:line="240" w:lineRule="auto"/>
              <w:jc w:val="both"/>
              <w:rPr>
                <w:noProof/>
                <w:szCs w:val="22"/>
                <w:vertAlign w:val="superscript"/>
                <w:lang w:val="sr-Latn-ME"/>
              </w:rPr>
            </w:pPr>
          </w:p>
          <w:p w14:paraId="0B329A48" w14:textId="77777777" w:rsidR="004E3BE3" w:rsidRPr="00B74B0F" w:rsidRDefault="004E3BE3" w:rsidP="00A30C3C">
            <w:pPr>
              <w:keepNext/>
              <w:keepLines/>
              <w:spacing w:line="240" w:lineRule="auto"/>
              <w:jc w:val="both"/>
              <w:rPr>
                <w:noProof/>
                <w:szCs w:val="22"/>
                <w:lang w:val="sr-Latn-ME"/>
              </w:rPr>
            </w:pPr>
          </w:p>
        </w:tc>
        <w:tc>
          <w:tcPr>
            <w:tcW w:w="445" w:type="pct"/>
            <w:vAlign w:val="center"/>
          </w:tcPr>
          <w:p w14:paraId="2F5561D9" w14:textId="77777777" w:rsidR="004E3BE3" w:rsidRPr="00B74B0F" w:rsidRDefault="004E3BE3" w:rsidP="00A30C3C">
            <w:pPr>
              <w:keepNext/>
              <w:keepLines/>
              <w:spacing w:line="240" w:lineRule="auto"/>
              <w:jc w:val="both"/>
              <w:rPr>
                <w:noProof/>
                <w:szCs w:val="22"/>
                <w:lang w:val="sr-Latn-ME"/>
              </w:rPr>
            </w:pPr>
            <w:r w:rsidRPr="00B74B0F">
              <w:rPr>
                <w:noProof/>
                <w:szCs w:val="22"/>
                <w:lang w:val="sr-Latn-ME"/>
              </w:rPr>
              <w:t>7</w:t>
            </w:r>
          </w:p>
          <w:p w14:paraId="79978351"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(4,10)</w:t>
            </w:r>
          </w:p>
          <w:p w14:paraId="4495B130" w14:textId="77777777" w:rsidR="004E3BE3" w:rsidRPr="00B74B0F" w:rsidRDefault="004E3BE3" w:rsidP="00A30C3C">
            <w:pPr>
              <w:keepNext/>
              <w:keepLines/>
              <w:spacing w:line="240" w:lineRule="auto"/>
              <w:jc w:val="both"/>
              <w:rPr>
                <w:noProof/>
                <w:szCs w:val="22"/>
                <w:lang w:val="sr-Latn-ME"/>
              </w:rPr>
            </w:pPr>
          </w:p>
          <w:p w14:paraId="3DBB5488" w14:textId="77777777" w:rsidR="004E3BE3" w:rsidRPr="00B74B0F" w:rsidRDefault="004E3BE3" w:rsidP="00A30C3C">
            <w:pPr>
              <w:keepNext/>
              <w:keepLines/>
              <w:spacing w:line="240" w:lineRule="auto"/>
              <w:jc w:val="both"/>
              <w:rPr>
                <w:noProof/>
                <w:szCs w:val="22"/>
                <w:lang w:val="sr-Latn-ME"/>
              </w:rPr>
            </w:pPr>
          </w:p>
        </w:tc>
        <w:tc>
          <w:tcPr>
            <w:tcW w:w="445" w:type="pct"/>
            <w:vAlign w:val="center"/>
          </w:tcPr>
          <w:p w14:paraId="56A6B3EE" w14:textId="77777777" w:rsidR="004E3BE3" w:rsidRPr="00B74B0F" w:rsidRDefault="004E3BE3" w:rsidP="00A30C3C">
            <w:pPr>
              <w:keepNext/>
              <w:keepLines/>
              <w:spacing w:line="240" w:lineRule="auto"/>
              <w:jc w:val="both"/>
              <w:rPr>
                <w:noProof/>
                <w:szCs w:val="22"/>
                <w:vertAlign w:val="superscript"/>
                <w:lang w:val="sr-Latn-ME"/>
              </w:rPr>
            </w:pPr>
            <w:r w:rsidRPr="00B74B0F">
              <w:rPr>
                <w:noProof/>
                <w:szCs w:val="22"/>
                <w:lang w:val="sr-Latn-ME"/>
              </w:rPr>
              <w:t>31</w:t>
            </w:r>
            <w:r w:rsidRPr="00B74B0F">
              <w:rPr>
                <w:noProof/>
                <w:szCs w:val="22"/>
                <w:vertAlign w:val="superscript"/>
                <w:lang w:val="sr-Latn-ME"/>
              </w:rPr>
              <w:t>d</w:t>
            </w:r>
          </w:p>
          <w:p w14:paraId="54519916"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(26,36)</w:t>
            </w:r>
          </w:p>
          <w:p w14:paraId="596AC2D9" w14:textId="77777777" w:rsidR="004E3BE3" w:rsidRPr="00B74B0F" w:rsidRDefault="004E3BE3" w:rsidP="00A30C3C">
            <w:pPr>
              <w:keepNext/>
              <w:keepLines/>
              <w:spacing w:line="240" w:lineRule="auto"/>
              <w:jc w:val="both"/>
              <w:rPr>
                <w:noProof/>
                <w:szCs w:val="22"/>
                <w:vertAlign w:val="superscript"/>
                <w:lang w:val="sr-Latn-ME"/>
              </w:rPr>
            </w:pPr>
          </w:p>
          <w:p w14:paraId="6FC1E136" w14:textId="77777777" w:rsidR="004E3BE3" w:rsidRPr="00B74B0F" w:rsidRDefault="004E3BE3" w:rsidP="00A30C3C">
            <w:pPr>
              <w:keepNext/>
              <w:keepLines/>
              <w:spacing w:line="240" w:lineRule="auto"/>
              <w:jc w:val="both"/>
              <w:rPr>
                <w:noProof/>
                <w:szCs w:val="22"/>
                <w:lang w:val="sr-Latn-ME"/>
              </w:rPr>
            </w:pPr>
          </w:p>
        </w:tc>
        <w:tc>
          <w:tcPr>
            <w:tcW w:w="522" w:type="pct"/>
            <w:vAlign w:val="center"/>
          </w:tcPr>
          <w:p w14:paraId="7BE9C169" w14:textId="77777777" w:rsidR="004E3BE3" w:rsidRPr="00B74B0F" w:rsidRDefault="004E3BE3" w:rsidP="00A30C3C">
            <w:pPr>
              <w:keepNext/>
              <w:keepLines/>
              <w:spacing w:line="240" w:lineRule="auto"/>
              <w:jc w:val="both"/>
              <w:rPr>
                <w:noProof/>
                <w:szCs w:val="22"/>
                <w:vertAlign w:val="superscript"/>
                <w:lang w:val="sr-Latn-ME"/>
              </w:rPr>
            </w:pPr>
            <w:r w:rsidRPr="00B74B0F">
              <w:rPr>
                <w:noProof/>
                <w:szCs w:val="22"/>
                <w:lang w:val="sr-Latn-ME"/>
              </w:rPr>
              <w:t>44</w:t>
            </w:r>
            <w:r w:rsidRPr="00B74B0F">
              <w:rPr>
                <w:noProof/>
                <w:szCs w:val="22"/>
                <w:vertAlign w:val="superscript"/>
                <w:lang w:val="sr-Latn-ME"/>
              </w:rPr>
              <w:t>d</w:t>
            </w:r>
          </w:p>
          <w:p w14:paraId="51ADCF75" w14:textId="77777777" w:rsidR="004E3BE3" w:rsidRPr="00B74B0F" w:rsidRDefault="004E3BE3" w:rsidP="00A30C3C">
            <w:pPr>
              <w:keepNext/>
              <w:keepLines/>
              <w:tabs>
                <w:tab w:val="clear" w:pos="567"/>
              </w:tabs>
              <w:spacing w:line="240" w:lineRule="auto"/>
              <w:jc w:val="both"/>
              <w:rPr>
                <w:noProof/>
                <w:szCs w:val="22"/>
                <w:lang w:val="sr-Latn-ME"/>
              </w:rPr>
            </w:pPr>
            <w:r w:rsidRPr="00B74B0F">
              <w:rPr>
                <w:noProof/>
                <w:szCs w:val="22"/>
                <w:lang w:val="sr-Latn-ME"/>
              </w:rPr>
              <w:t>(38,50)</w:t>
            </w:r>
          </w:p>
          <w:p w14:paraId="13FC8E27" w14:textId="77777777" w:rsidR="004E3BE3" w:rsidRPr="00B74B0F" w:rsidRDefault="004E3BE3" w:rsidP="00A30C3C">
            <w:pPr>
              <w:keepNext/>
              <w:keepLines/>
              <w:spacing w:line="240" w:lineRule="auto"/>
              <w:jc w:val="both"/>
              <w:rPr>
                <w:noProof/>
                <w:szCs w:val="22"/>
                <w:vertAlign w:val="superscript"/>
                <w:lang w:val="sr-Latn-ME"/>
              </w:rPr>
            </w:pPr>
          </w:p>
          <w:p w14:paraId="5AE62F0E" w14:textId="77777777" w:rsidR="004E3BE3" w:rsidRPr="00B74B0F" w:rsidRDefault="004E3BE3" w:rsidP="00A30C3C">
            <w:pPr>
              <w:keepNext/>
              <w:keepLines/>
              <w:spacing w:line="240" w:lineRule="auto"/>
              <w:jc w:val="both"/>
              <w:rPr>
                <w:noProof/>
                <w:szCs w:val="22"/>
                <w:lang w:val="sr-Latn-ME"/>
              </w:rPr>
            </w:pPr>
          </w:p>
        </w:tc>
      </w:tr>
      <w:tr w:rsidR="00D363CA" w:rsidRPr="00B74B0F" w14:paraId="3EC6C75C" w14:textId="77777777" w:rsidTr="00200D71">
        <w:tblPrEx>
          <w:tblLook w:val="07E0" w:firstRow="1" w:lastRow="1" w:firstColumn="1" w:lastColumn="1" w:noHBand="1" w:noVBand="1"/>
        </w:tblPrEx>
        <w:trPr>
          <w:trHeight w:val="197"/>
        </w:trPr>
        <w:tc>
          <w:tcPr>
            <w:tcW w:w="967" w:type="pct"/>
            <w:shd w:val="clear" w:color="auto" w:fill="auto"/>
          </w:tcPr>
          <w:p w14:paraId="09B2D2DB" w14:textId="77777777" w:rsidR="004E3BE3" w:rsidRPr="00B74B0F" w:rsidRDefault="004E3BE3">
            <w:pPr>
              <w:keepNext/>
              <w:spacing w:line="240" w:lineRule="auto"/>
              <w:jc w:val="both"/>
              <w:rPr>
                <w:rFonts w:eastAsia="Calibri"/>
                <w:noProof/>
                <w:szCs w:val="22"/>
                <w:lang w:val="sr-Latn-ME"/>
              </w:rPr>
            </w:pPr>
            <w:r w:rsidRPr="00B74B0F">
              <w:rPr>
                <w:rFonts w:eastAsia="Calibri"/>
                <w:noProof/>
                <w:szCs w:val="22"/>
                <w:lang w:val="sr-Latn-ME"/>
              </w:rPr>
              <w:t>NRS rezultat za najgori pruritus</w:t>
            </w:r>
            <w:r w:rsidRPr="00B74B0F">
              <w:rPr>
                <w:rFonts w:eastAsia="Calibri"/>
                <w:noProof/>
                <w:szCs w:val="22"/>
                <w:vertAlign w:val="superscript"/>
                <w:lang w:val="sr-Latn-ME"/>
              </w:rPr>
              <w:t>c</w:t>
            </w:r>
          </w:p>
          <w:p w14:paraId="2C4FE01F" w14:textId="118E81BB" w:rsidR="004E3BE3" w:rsidRPr="00B74B0F" w:rsidRDefault="004E3BE3">
            <w:pPr>
              <w:spacing w:line="240" w:lineRule="auto"/>
              <w:jc w:val="both"/>
              <w:rPr>
                <w:strike/>
                <w:noProof/>
                <w:szCs w:val="22"/>
                <w:lang w:val="sr-Latn-ME"/>
              </w:rPr>
            </w:pPr>
            <w:r w:rsidRPr="00B74B0F">
              <w:rPr>
                <w:rFonts w:eastAsia="Calibri"/>
                <w:i/>
                <w:noProof/>
                <w:szCs w:val="22"/>
                <w:lang w:val="sr-Latn-ME"/>
              </w:rPr>
              <w:t xml:space="preserve">(poboljšanje od ≥ 4 boda u 1. </w:t>
            </w:r>
            <w:r w:rsidR="00181042" w:rsidRPr="00B74B0F">
              <w:rPr>
                <w:rFonts w:eastAsia="Calibri"/>
                <w:i/>
                <w:noProof/>
                <w:szCs w:val="22"/>
                <w:lang w:val="sr-Latn-ME"/>
              </w:rPr>
              <w:t>ned</w:t>
            </w:r>
            <w:r w:rsidR="00D363CA" w:rsidRPr="00B74B0F">
              <w:rPr>
                <w:rFonts w:eastAsia="Calibri"/>
                <w:i/>
                <w:noProof/>
                <w:szCs w:val="22"/>
                <w:lang w:val="sr-Latn-ME"/>
              </w:rPr>
              <w:t>j</w:t>
            </w:r>
            <w:r w:rsidR="00181042" w:rsidRPr="00B74B0F">
              <w:rPr>
                <w:rFonts w:eastAsia="Calibri"/>
                <w:i/>
                <w:noProof/>
                <w:szCs w:val="22"/>
                <w:lang w:val="sr-Latn-ME"/>
              </w:rPr>
              <w:t>elji</w:t>
            </w:r>
            <w:r w:rsidRPr="00B74B0F">
              <w:rPr>
                <w:rFonts w:eastAsia="Calibri"/>
                <w:i/>
                <w:noProof/>
                <w:szCs w:val="22"/>
                <w:lang w:val="sr-Latn-ME"/>
              </w:rPr>
              <w:t>)</w:t>
            </w:r>
            <w:r w:rsidRPr="00B74B0F">
              <w:rPr>
                <w:noProof/>
                <w:szCs w:val="22"/>
                <w:vertAlign w:val="superscript"/>
                <w:lang w:val="sr-Latn-ME"/>
              </w:rPr>
              <w:t>c,f</w:t>
            </w:r>
          </w:p>
        </w:tc>
        <w:tc>
          <w:tcPr>
            <w:tcW w:w="446" w:type="pct"/>
            <w:shd w:val="clear" w:color="auto" w:fill="auto"/>
          </w:tcPr>
          <w:p w14:paraId="0F55C075" w14:textId="77777777" w:rsidR="004E3BE3" w:rsidRPr="00B74B0F" w:rsidRDefault="004E3BE3" w:rsidP="00A30C3C">
            <w:pPr>
              <w:spacing w:line="240" w:lineRule="auto"/>
              <w:jc w:val="both"/>
              <w:rPr>
                <w:noProof/>
                <w:szCs w:val="22"/>
                <w:lang w:val="sr-Latn-ME"/>
              </w:rPr>
            </w:pPr>
            <w:r w:rsidRPr="00B74B0F">
              <w:rPr>
                <w:noProof/>
                <w:szCs w:val="22"/>
                <w:lang w:val="sr-Latn-ME"/>
              </w:rPr>
              <w:t>0</w:t>
            </w:r>
          </w:p>
          <w:p w14:paraId="67C50F02" w14:textId="77777777" w:rsidR="004E3BE3" w:rsidRPr="00B74B0F" w:rsidRDefault="004E3BE3" w:rsidP="00A30C3C">
            <w:pPr>
              <w:spacing w:line="240" w:lineRule="auto"/>
              <w:jc w:val="both"/>
              <w:rPr>
                <w:noProof/>
                <w:szCs w:val="22"/>
                <w:lang w:val="sr-Latn-ME"/>
              </w:rPr>
            </w:pPr>
            <w:r w:rsidRPr="00B74B0F">
              <w:rPr>
                <w:noProof/>
                <w:szCs w:val="22"/>
                <w:lang w:val="sr-Latn-ME"/>
              </w:rPr>
              <w:t>(0,1)</w:t>
            </w:r>
          </w:p>
        </w:tc>
        <w:tc>
          <w:tcPr>
            <w:tcW w:w="508" w:type="pct"/>
            <w:shd w:val="clear" w:color="auto" w:fill="auto"/>
          </w:tcPr>
          <w:p w14:paraId="0DDDBD03" w14:textId="77777777" w:rsidR="004E3BE3" w:rsidRPr="00B74B0F" w:rsidRDefault="004E3BE3" w:rsidP="00A30C3C">
            <w:pPr>
              <w:spacing w:line="240" w:lineRule="auto"/>
              <w:jc w:val="both"/>
              <w:rPr>
                <w:noProof/>
                <w:szCs w:val="22"/>
                <w:lang w:val="sr-Latn-ME"/>
              </w:rPr>
            </w:pPr>
            <w:r w:rsidRPr="00B74B0F">
              <w:rPr>
                <w:noProof/>
                <w:szCs w:val="22"/>
                <w:lang w:val="sr-Latn-ME"/>
              </w:rPr>
              <w:t>15</w:t>
            </w:r>
            <w:r w:rsidRPr="00B74B0F">
              <w:rPr>
                <w:noProof/>
                <w:szCs w:val="22"/>
                <w:vertAlign w:val="superscript"/>
                <w:lang w:val="sr-Latn-ME"/>
              </w:rPr>
              <w:t>d</w:t>
            </w:r>
          </w:p>
          <w:p w14:paraId="0EA8C42E" w14:textId="77777777" w:rsidR="004E3BE3" w:rsidRPr="00B74B0F" w:rsidRDefault="004E3BE3" w:rsidP="00A30C3C">
            <w:pPr>
              <w:spacing w:line="240" w:lineRule="auto"/>
              <w:jc w:val="both"/>
              <w:rPr>
                <w:noProof/>
                <w:szCs w:val="22"/>
                <w:lang w:val="sr-Latn-ME"/>
              </w:rPr>
            </w:pPr>
            <w:r w:rsidRPr="00B74B0F">
              <w:rPr>
                <w:noProof/>
                <w:szCs w:val="22"/>
                <w:lang w:val="sr-Latn-ME"/>
              </w:rPr>
              <w:t>(11,19)</w:t>
            </w:r>
          </w:p>
        </w:tc>
        <w:tc>
          <w:tcPr>
            <w:tcW w:w="540" w:type="pct"/>
            <w:shd w:val="clear" w:color="auto" w:fill="auto"/>
          </w:tcPr>
          <w:p w14:paraId="7B7AD300" w14:textId="77777777" w:rsidR="004E3BE3" w:rsidRPr="00B74B0F" w:rsidRDefault="004E3BE3" w:rsidP="00A30C3C">
            <w:pPr>
              <w:spacing w:line="240" w:lineRule="auto"/>
              <w:jc w:val="both"/>
              <w:rPr>
                <w:noProof/>
                <w:szCs w:val="22"/>
                <w:lang w:val="sr-Latn-ME"/>
              </w:rPr>
            </w:pPr>
            <w:r w:rsidRPr="00B74B0F">
              <w:rPr>
                <w:noProof/>
                <w:szCs w:val="22"/>
                <w:lang w:val="sr-Latn-ME"/>
              </w:rPr>
              <w:t>20</w:t>
            </w:r>
            <w:r w:rsidRPr="00B74B0F">
              <w:rPr>
                <w:noProof/>
                <w:szCs w:val="22"/>
                <w:vertAlign w:val="superscript"/>
                <w:lang w:val="sr-Latn-ME"/>
              </w:rPr>
              <w:t>d</w:t>
            </w:r>
          </w:p>
          <w:p w14:paraId="31FDB358" w14:textId="77777777" w:rsidR="004E3BE3" w:rsidRPr="00B74B0F" w:rsidRDefault="004E3BE3" w:rsidP="00A30C3C">
            <w:pPr>
              <w:spacing w:line="240" w:lineRule="auto"/>
              <w:jc w:val="both"/>
              <w:rPr>
                <w:noProof/>
                <w:szCs w:val="22"/>
                <w:lang w:val="sr-Latn-ME"/>
              </w:rPr>
            </w:pPr>
            <w:r w:rsidRPr="00B74B0F">
              <w:rPr>
                <w:noProof/>
                <w:szCs w:val="22"/>
                <w:lang w:val="sr-Latn-ME"/>
              </w:rPr>
              <w:t>(15,24)</w:t>
            </w:r>
          </w:p>
        </w:tc>
        <w:tc>
          <w:tcPr>
            <w:tcW w:w="307" w:type="pct"/>
            <w:shd w:val="clear" w:color="auto" w:fill="auto"/>
          </w:tcPr>
          <w:p w14:paraId="6CD5F2AF" w14:textId="77777777" w:rsidR="004E3BE3" w:rsidRPr="00B74B0F" w:rsidRDefault="004E3BE3" w:rsidP="00A30C3C">
            <w:pPr>
              <w:spacing w:line="240" w:lineRule="auto"/>
              <w:jc w:val="both"/>
              <w:rPr>
                <w:noProof/>
                <w:szCs w:val="22"/>
                <w:lang w:val="sr-Latn-ME"/>
              </w:rPr>
            </w:pPr>
            <w:r w:rsidRPr="00B74B0F">
              <w:rPr>
                <w:noProof/>
                <w:szCs w:val="22"/>
                <w:lang w:val="sr-Latn-ME"/>
              </w:rPr>
              <w:t>1</w:t>
            </w:r>
          </w:p>
          <w:p w14:paraId="66CC1ADC" w14:textId="77777777" w:rsidR="004E3BE3" w:rsidRPr="00B74B0F" w:rsidRDefault="004E3BE3" w:rsidP="00A30C3C">
            <w:pPr>
              <w:spacing w:line="240" w:lineRule="auto"/>
              <w:jc w:val="both"/>
              <w:rPr>
                <w:noProof/>
                <w:szCs w:val="22"/>
                <w:lang w:val="sr-Latn-ME"/>
              </w:rPr>
            </w:pPr>
            <w:r w:rsidRPr="00B74B0F">
              <w:rPr>
                <w:noProof/>
                <w:szCs w:val="22"/>
                <w:lang w:val="sr-Latn-ME"/>
              </w:rPr>
              <w:t>(0,2)</w:t>
            </w:r>
          </w:p>
        </w:tc>
        <w:tc>
          <w:tcPr>
            <w:tcW w:w="374" w:type="pct"/>
            <w:shd w:val="clear" w:color="auto" w:fill="auto"/>
          </w:tcPr>
          <w:p w14:paraId="3F2F4A5B" w14:textId="77777777" w:rsidR="004E3BE3" w:rsidRPr="00B74B0F" w:rsidRDefault="004E3BE3" w:rsidP="00A30C3C">
            <w:pPr>
              <w:spacing w:line="240" w:lineRule="auto"/>
              <w:jc w:val="both"/>
              <w:rPr>
                <w:noProof/>
                <w:szCs w:val="22"/>
                <w:lang w:val="sr-Latn-ME"/>
              </w:rPr>
            </w:pPr>
            <w:r w:rsidRPr="00B74B0F">
              <w:rPr>
                <w:noProof/>
                <w:szCs w:val="22"/>
                <w:lang w:val="sr-Latn-ME"/>
              </w:rPr>
              <w:t>7</w:t>
            </w:r>
            <w:r w:rsidRPr="00B74B0F">
              <w:rPr>
                <w:noProof/>
                <w:szCs w:val="22"/>
                <w:vertAlign w:val="superscript"/>
                <w:lang w:val="sr-Latn-ME"/>
              </w:rPr>
              <w:t>d</w:t>
            </w:r>
          </w:p>
          <w:p w14:paraId="14445622" w14:textId="77777777" w:rsidR="004E3BE3" w:rsidRPr="00B74B0F" w:rsidRDefault="004E3BE3" w:rsidP="00A30C3C">
            <w:pPr>
              <w:spacing w:line="240" w:lineRule="auto"/>
              <w:jc w:val="both"/>
              <w:rPr>
                <w:noProof/>
                <w:szCs w:val="22"/>
                <w:lang w:val="sr-Latn-ME"/>
              </w:rPr>
            </w:pPr>
            <w:r w:rsidRPr="00B74B0F">
              <w:rPr>
                <w:noProof/>
                <w:szCs w:val="22"/>
                <w:lang w:val="sr-Latn-ME"/>
              </w:rPr>
              <w:t>(4,11)</w:t>
            </w:r>
          </w:p>
        </w:tc>
        <w:tc>
          <w:tcPr>
            <w:tcW w:w="446" w:type="pct"/>
            <w:shd w:val="clear" w:color="auto" w:fill="auto"/>
          </w:tcPr>
          <w:p w14:paraId="1CA91E5C" w14:textId="77777777" w:rsidR="004E3BE3" w:rsidRPr="00B74B0F" w:rsidRDefault="004E3BE3" w:rsidP="00A30C3C">
            <w:pPr>
              <w:spacing w:line="240" w:lineRule="auto"/>
              <w:jc w:val="both"/>
              <w:rPr>
                <w:noProof/>
                <w:szCs w:val="22"/>
                <w:lang w:val="sr-Latn-ME"/>
              </w:rPr>
            </w:pPr>
            <w:r w:rsidRPr="00B74B0F">
              <w:rPr>
                <w:noProof/>
                <w:szCs w:val="22"/>
                <w:lang w:val="sr-Latn-ME"/>
              </w:rPr>
              <w:t>16</w:t>
            </w:r>
            <w:r w:rsidRPr="00B74B0F">
              <w:rPr>
                <w:noProof/>
                <w:szCs w:val="22"/>
                <w:vertAlign w:val="superscript"/>
                <w:lang w:val="sr-Latn-ME"/>
              </w:rPr>
              <w:t>d</w:t>
            </w:r>
          </w:p>
          <w:p w14:paraId="1EFE7841" w14:textId="77777777" w:rsidR="004E3BE3" w:rsidRPr="00B74B0F" w:rsidRDefault="004E3BE3" w:rsidP="00A30C3C">
            <w:pPr>
              <w:spacing w:line="240" w:lineRule="auto"/>
              <w:jc w:val="both"/>
              <w:rPr>
                <w:noProof/>
                <w:szCs w:val="22"/>
                <w:lang w:val="sr-Latn-ME"/>
              </w:rPr>
            </w:pPr>
            <w:r w:rsidRPr="00B74B0F">
              <w:rPr>
                <w:noProof/>
                <w:szCs w:val="22"/>
                <w:lang w:val="sr-Latn-ME"/>
              </w:rPr>
              <w:t>(11,20)</w:t>
            </w:r>
          </w:p>
        </w:tc>
        <w:tc>
          <w:tcPr>
            <w:tcW w:w="445" w:type="pct"/>
          </w:tcPr>
          <w:p w14:paraId="23581E5F" w14:textId="77777777" w:rsidR="004E3BE3" w:rsidRPr="00B74B0F" w:rsidRDefault="004E3BE3" w:rsidP="00A30C3C">
            <w:pPr>
              <w:spacing w:line="240" w:lineRule="auto"/>
              <w:jc w:val="both"/>
              <w:rPr>
                <w:noProof/>
                <w:szCs w:val="22"/>
                <w:lang w:val="sr-Latn-ME"/>
              </w:rPr>
            </w:pPr>
            <w:r w:rsidRPr="00B74B0F">
              <w:rPr>
                <w:noProof/>
                <w:szCs w:val="22"/>
                <w:lang w:val="sr-Latn-ME"/>
              </w:rPr>
              <w:t>3</w:t>
            </w:r>
          </w:p>
          <w:p w14:paraId="0691E44D" w14:textId="77777777" w:rsidR="004E3BE3" w:rsidRPr="00B74B0F" w:rsidRDefault="004E3BE3" w:rsidP="00A30C3C">
            <w:pPr>
              <w:spacing w:line="240" w:lineRule="auto"/>
              <w:jc w:val="both"/>
              <w:rPr>
                <w:noProof/>
                <w:szCs w:val="22"/>
                <w:lang w:val="sr-Latn-ME"/>
              </w:rPr>
            </w:pPr>
            <w:r w:rsidRPr="00B74B0F">
              <w:rPr>
                <w:noProof/>
                <w:szCs w:val="22"/>
                <w:lang w:val="sr-Latn-ME"/>
              </w:rPr>
              <w:t>(1,5)</w:t>
            </w:r>
          </w:p>
        </w:tc>
        <w:tc>
          <w:tcPr>
            <w:tcW w:w="445" w:type="pct"/>
          </w:tcPr>
          <w:p w14:paraId="25F023E2" w14:textId="77777777" w:rsidR="004E3BE3" w:rsidRPr="00B74B0F" w:rsidRDefault="004E3BE3" w:rsidP="00A30C3C">
            <w:pPr>
              <w:spacing w:line="240" w:lineRule="auto"/>
              <w:jc w:val="both"/>
              <w:rPr>
                <w:noProof/>
                <w:szCs w:val="22"/>
                <w:lang w:val="sr-Latn-ME"/>
              </w:rPr>
            </w:pPr>
            <w:r w:rsidRPr="00B74B0F">
              <w:rPr>
                <w:noProof/>
                <w:szCs w:val="22"/>
                <w:lang w:val="sr-Latn-ME"/>
              </w:rPr>
              <w:t>12</w:t>
            </w:r>
            <w:r w:rsidRPr="00B74B0F">
              <w:rPr>
                <w:noProof/>
                <w:szCs w:val="22"/>
                <w:vertAlign w:val="superscript"/>
                <w:lang w:val="sr-Latn-ME"/>
              </w:rPr>
              <w:t>d</w:t>
            </w:r>
          </w:p>
          <w:p w14:paraId="089D5AA4" w14:textId="77777777" w:rsidR="004E3BE3" w:rsidRPr="00B74B0F" w:rsidRDefault="004E3BE3" w:rsidP="00A30C3C">
            <w:pPr>
              <w:spacing w:line="240" w:lineRule="auto"/>
              <w:jc w:val="both"/>
              <w:rPr>
                <w:noProof/>
                <w:szCs w:val="22"/>
                <w:lang w:val="sr-Latn-ME"/>
              </w:rPr>
            </w:pPr>
            <w:r w:rsidRPr="00B74B0F">
              <w:rPr>
                <w:noProof/>
                <w:szCs w:val="22"/>
                <w:lang w:val="sr-Latn-ME"/>
              </w:rPr>
              <w:t>(8,16)</w:t>
            </w:r>
          </w:p>
        </w:tc>
        <w:tc>
          <w:tcPr>
            <w:tcW w:w="522" w:type="pct"/>
          </w:tcPr>
          <w:p w14:paraId="17AAE846" w14:textId="77777777" w:rsidR="004E3BE3" w:rsidRPr="00B74B0F" w:rsidRDefault="004E3BE3" w:rsidP="00A30C3C">
            <w:pPr>
              <w:spacing w:line="240" w:lineRule="auto"/>
              <w:jc w:val="both"/>
              <w:rPr>
                <w:noProof/>
                <w:szCs w:val="22"/>
                <w:lang w:val="sr-Latn-ME"/>
              </w:rPr>
            </w:pPr>
            <w:r w:rsidRPr="00B74B0F">
              <w:rPr>
                <w:noProof/>
                <w:szCs w:val="22"/>
                <w:lang w:val="sr-Latn-ME"/>
              </w:rPr>
              <w:t>19</w:t>
            </w:r>
            <w:r w:rsidRPr="00B74B0F">
              <w:rPr>
                <w:noProof/>
                <w:szCs w:val="22"/>
                <w:vertAlign w:val="superscript"/>
                <w:lang w:val="sr-Latn-ME"/>
              </w:rPr>
              <w:t>d</w:t>
            </w:r>
          </w:p>
          <w:p w14:paraId="129D7CBB" w14:textId="77777777" w:rsidR="004E3BE3" w:rsidRPr="00B74B0F" w:rsidRDefault="004E3BE3" w:rsidP="00A30C3C">
            <w:pPr>
              <w:spacing w:line="240" w:lineRule="auto"/>
              <w:jc w:val="both"/>
              <w:rPr>
                <w:noProof/>
                <w:szCs w:val="22"/>
                <w:lang w:val="sr-Latn-ME"/>
              </w:rPr>
            </w:pPr>
            <w:r w:rsidRPr="00B74B0F">
              <w:rPr>
                <w:noProof/>
                <w:szCs w:val="22"/>
                <w:lang w:val="sr-Latn-ME"/>
              </w:rPr>
              <w:t>(15,24)</w:t>
            </w:r>
          </w:p>
        </w:tc>
      </w:tr>
      <w:tr w:rsidR="00BF75A1" w:rsidRPr="00B74B0F" w14:paraId="650D9576" w14:textId="77777777" w:rsidTr="00200D71">
        <w:trPr>
          <w:trHeight w:val="190"/>
        </w:trPr>
        <w:tc>
          <w:tcPr>
            <w:tcW w:w="5000" w:type="pct"/>
            <w:gridSpan w:val="10"/>
            <w:shd w:val="clear" w:color="auto" w:fill="FFFFFF"/>
          </w:tcPr>
          <w:p w14:paraId="6ADADB74" w14:textId="2A251904" w:rsidR="004E3BE3" w:rsidRPr="00B74B0F" w:rsidRDefault="00181042">
            <w:pPr>
              <w:keepNext/>
              <w:spacing w:line="240" w:lineRule="auto"/>
              <w:jc w:val="both"/>
              <w:rPr>
                <w:noProof/>
                <w:szCs w:val="22"/>
                <w:lang w:val="sr-Latn-ME"/>
              </w:rPr>
            </w:pPr>
            <w:r w:rsidRPr="00B74B0F">
              <w:rPr>
                <w:noProof/>
                <w:szCs w:val="22"/>
                <w:lang w:val="sr-Latn-ME"/>
              </w:rPr>
              <w:t>Skraćenice</w:t>
            </w:r>
            <w:r w:rsidR="004E3BE3" w:rsidRPr="00B74B0F">
              <w:rPr>
                <w:noProof/>
                <w:szCs w:val="22"/>
                <w:lang w:val="sr-Latn-ME"/>
              </w:rPr>
              <w:t>: UPA = upadacitinib (RINVOQ); PBO = placebo</w:t>
            </w:r>
          </w:p>
          <w:p w14:paraId="6921D278" w14:textId="453C6E7B" w:rsidR="004E3BE3" w:rsidRPr="00B74B0F" w:rsidRDefault="004E3BE3">
            <w:pPr>
              <w:keepNext/>
              <w:spacing w:line="240" w:lineRule="auto"/>
              <w:jc w:val="both"/>
              <w:rPr>
                <w:noProof/>
                <w:szCs w:val="22"/>
                <w:lang w:val="sr-Latn-ME"/>
              </w:rPr>
            </w:pPr>
            <w:r w:rsidRPr="00B74B0F">
              <w:rPr>
                <w:noProof/>
                <w:szCs w:val="22"/>
                <w:lang w:val="sr-Latn-ME"/>
              </w:rPr>
              <w:t xml:space="preserve">Ispitanici liječeni lijekom za hitno ublažavanje simptoma ili za koje su nedostajali podaci, navedeni su kao </w:t>
            </w:r>
            <w:r w:rsidR="00181042" w:rsidRPr="00B74B0F">
              <w:rPr>
                <w:noProof/>
                <w:szCs w:val="22"/>
                <w:lang w:val="sr-Latn-ME"/>
              </w:rPr>
              <w:t>pacijenti</w:t>
            </w:r>
            <w:r w:rsidRPr="00B74B0F">
              <w:rPr>
                <w:noProof/>
                <w:szCs w:val="22"/>
                <w:lang w:val="sr-Latn-ME"/>
              </w:rPr>
              <w:t xml:space="preserve"> bez odgovora na terapiju. </w:t>
            </w:r>
            <w:bookmarkStart w:id="7" w:name="_Hlk75522341"/>
            <w:r w:rsidRPr="00B74B0F">
              <w:rPr>
                <w:noProof/>
                <w:szCs w:val="22"/>
                <w:lang w:val="sr-Latn-ME"/>
              </w:rPr>
              <w:t xml:space="preserve">Broj i postotak ispitanika koji su zbog liječenja lijekom za hitno ublažavanje simptoma navedeni kao </w:t>
            </w:r>
            <w:r w:rsidR="00181042" w:rsidRPr="00B74B0F">
              <w:rPr>
                <w:noProof/>
                <w:szCs w:val="22"/>
                <w:lang w:val="sr-Latn-ME"/>
              </w:rPr>
              <w:t>pacijenti</w:t>
            </w:r>
            <w:r w:rsidRPr="00B74B0F">
              <w:rPr>
                <w:noProof/>
                <w:szCs w:val="22"/>
                <w:lang w:val="sr-Latn-ME"/>
              </w:rPr>
              <w:t xml:space="preserve"> bez odgovora na terapiju za EASI 75 i vIGA-AD 0/1 u 16. </w:t>
            </w:r>
            <w:r w:rsidR="00181042" w:rsidRPr="00B74B0F">
              <w:rPr>
                <w:noProof/>
                <w:szCs w:val="22"/>
                <w:lang w:val="sr-Latn-ME"/>
              </w:rPr>
              <w:t>ned</w:t>
            </w:r>
            <w:r w:rsidR="00D363CA" w:rsidRPr="00B74B0F">
              <w:rPr>
                <w:noProof/>
                <w:szCs w:val="22"/>
                <w:lang w:val="sr-Latn-ME"/>
              </w:rPr>
              <w:t>j</w:t>
            </w:r>
            <w:r w:rsidR="00181042" w:rsidRPr="00B74B0F">
              <w:rPr>
                <w:noProof/>
                <w:szCs w:val="22"/>
                <w:lang w:val="sr-Latn-ME"/>
              </w:rPr>
              <w:t>elji</w:t>
            </w:r>
            <w:r w:rsidRPr="00B74B0F">
              <w:rPr>
                <w:noProof/>
                <w:szCs w:val="22"/>
                <w:lang w:val="sr-Latn-ME"/>
              </w:rPr>
              <w:t xml:space="preserve">, u </w:t>
            </w:r>
            <w:r w:rsidR="00181042" w:rsidRPr="00B74B0F">
              <w:rPr>
                <w:noProof/>
                <w:szCs w:val="22"/>
                <w:lang w:val="sr-Latn-ME"/>
              </w:rPr>
              <w:t>grupa</w:t>
            </w:r>
            <w:r w:rsidRPr="00B74B0F">
              <w:rPr>
                <w:noProof/>
                <w:szCs w:val="22"/>
                <w:lang w:val="sr-Latn-ME"/>
              </w:rPr>
              <w:t>ma koje su primale placebo, upadacitinib 15 mg i upadacitinib 30 mg bili su 132 (47,0%), 31 (11,0%), 16 (5,6%) u MEASURE UP 1, 119 (42,8%), 24 (8,7%), 16 (5,7%) u MEASURE UP 2, i 78 (25,7%), 15 (5,0%), 14 (4,7%) u AD UP.</w:t>
            </w:r>
          </w:p>
          <w:bookmarkEnd w:id="7"/>
          <w:p w14:paraId="519443FF" w14:textId="5F3831C5" w:rsidR="004E3BE3" w:rsidRPr="00B74B0F" w:rsidRDefault="004E3BE3">
            <w:pPr>
              <w:tabs>
                <w:tab w:val="clear" w:pos="567"/>
              </w:tabs>
              <w:spacing w:line="240" w:lineRule="auto"/>
              <w:ind w:left="142" w:hanging="142"/>
              <w:jc w:val="both"/>
              <w:rPr>
                <w:noProof/>
                <w:szCs w:val="22"/>
                <w:lang w:val="sr-Latn-ME"/>
              </w:rPr>
            </w:pPr>
            <w:r w:rsidRPr="00B74B0F">
              <w:rPr>
                <w:noProof/>
                <w:szCs w:val="22"/>
                <w:vertAlign w:val="superscript"/>
                <w:lang w:val="sr-Latn-ME"/>
              </w:rPr>
              <w:t>a</w:t>
            </w:r>
            <w:r w:rsidRPr="00B74B0F">
              <w:rPr>
                <w:noProof/>
                <w:szCs w:val="22"/>
                <w:lang w:val="sr-Latn-ME"/>
              </w:rPr>
              <w:t xml:space="preserve"> Na </w:t>
            </w:r>
            <w:r w:rsidR="005845E0" w:rsidRPr="00B74B0F">
              <w:rPr>
                <w:noProof/>
                <w:szCs w:val="22"/>
                <w:lang w:val="sr-Latn-ME"/>
              </w:rPr>
              <w:t>osnovu</w:t>
            </w:r>
            <w:r w:rsidRPr="00B74B0F">
              <w:rPr>
                <w:noProof/>
                <w:szCs w:val="22"/>
                <w:lang w:val="sr-Latn-ME"/>
              </w:rPr>
              <w:t xml:space="preserve"> broja randomiz</w:t>
            </w:r>
            <w:r w:rsidR="00D363CA" w:rsidRPr="00B74B0F">
              <w:rPr>
                <w:noProof/>
                <w:szCs w:val="22"/>
                <w:lang w:val="sr-Latn-ME"/>
              </w:rPr>
              <w:t>ova</w:t>
            </w:r>
            <w:r w:rsidRPr="00B74B0F">
              <w:rPr>
                <w:noProof/>
                <w:szCs w:val="22"/>
                <w:lang w:val="sr-Latn-ME"/>
              </w:rPr>
              <w:t xml:space="preserve">nih ispitanika </w:t>
            </w:r>
          </w:p>
          <w:p w14:paraId="400177E3" w14:textId="581DE2B5" w:rsidR="004E3BE3" w:rsidRPr="00B74B0F" w:rsidRDefault="004E3BE3">
            <w:pPr>
              <w:tabs>
                <w:tab w:val="clear" w:pos="567"/>
              </w:tabs>
              <w:spacing w:line="240" w:lineRule="auto"/>
              <w:ind w:left="142" w:hanging="142"/>
              <w:jc w:val="both"/>
              <w:rPr>
                <w:noProof/>
                <w:szCs w:val="22"/>
                <w:lang w:val="sr-Latn-ME"/>
              </w:rPr>
            </w:pPr>
            <w:r w:rsidRPr="00B74B0F">
              <w:rPr>
                <w:noProof/>
                <w:szCs w:val="22"/>
                <w:vertAlign w:val="superscript"/>
                <w:lang w:val="sr-Latn-ME"/>
              </w:rPr>
              <w:t>b</w:t>
            </w:r>
            <w:r w:rsidRPr="00B74B0F">
              <w:rPr>
                <w:noProof/>
                <w:szCs w:val="22"/>
                <w:lang w:val="sr-Latn-ME"/>
              </w:rPr>
              <w:t xml:space="preserve"> </w:t>
            </w:r>
            <w:r w:rsidR="00181042" w:rsidRPr="00B74B0F">
              <w:rPr>
                <w:noProof/>
                <w:szCs w:val="22"/>
                <w:lang w:val="sr-Latn-ME"/>
              </w:rPr>
              <w:t>Pacijent</w:t>
            </w:r>
            <w:r w:rsidRPr="00B74B0F">
              <w:rPr>
                <w:noProof/>
                <w:szCs w:val="22"/>
                <w:lang w:val="sr-Latn-ME"/>
              </w:rPr>
              <w:t xml:space="preserve"> s</w:t>
            </w:r>
            <w:r w:rsidR="005845E0" w:rsidRPr="00B74B0F">
              <w:rPr>
                <w:noProof/>
                <w:szCs w:val="22"/>
                <w:lang w:val="sr-Latn-ME"/>
              </w:rPr>
              <w:t>a</w:t>
            </w:r>
            <w:r w:rsidRPr="00B74B0F">
              <w:rPr>
                <w:noProof/>
                <w:szCs w:val="22"/>
                <w:lang w:val="sr-Latn-ME"/>
              </w:rPr>
              <w:t xml:space="preserve"> odgovorom </w:t>
            </w:r>
            <w:r w:rsidR="00181042" w:rsidRPr="00B74B0F">
              <w:rPr>
                <w:noProof/>
                <w:szCs w:val="22"/>
                <w:lang w:val="sr-Latn-ME"/>
              </w:rPr>
              <w:t>definiše</w:t>
            </w:r>
            <w:r w:rsidRPr="00B74B0F">
              <w:rPr>
                <w:noProof/>
                <w:szCs w:val="22"/>
                <w:lang w:val="sr-Latn-ME"/>
              </w:rPr>
              <w:t xml:space="preserve"> se kao </w:t>
            </w:r>
            <w:r w:rsidR="00181042" w:rsidRPr="00B74B0F">
              <w:rPr>
                <w:noProof/>
                <w:szCs w:val="22"/>
                <w:lang w:val="sr-Latn-ME"/>
              </w:rPr>
              <w:t>pacijent</w:t>
            </w:r>
            <w:r w:rsidRPr="00B74B0F">
              <w:rPr>
                <w:noProof/>
                <w:szCs w:val="22"/>
                <w:lang w:val="sr-Latn-ME"/>
              </w:rPr>
              <w:t xml:space="preserve"> s</w:t>
            </w:r>
            <w:r w:rsidR="005845E0" w:rsidRPr="00B74B0F">
              <w:rPr>
                <w:noProof/>
                <w:szCs w:val="22"/>
                <w:lang w:val="sr-Latn-ME"/>
              </w:rPr>
              <w:t>a</w:t>
            </w:r>
            <w:r w:rsidRPr="00B74B0F">
              <w:rPr>
                <w:noProof/>
                <w:szCs w:val="22"/>
                <w:lang w:val="sr-Latn-ME"/>
              </w:rPr>
              <w:t xml:space="preserve"> vIGA</w:t>
            </w:r>
            <w:r w:rsidRPr="00B74B0F">
              <w:rPr>
                <w:noProof/>
                <w:szCs w:val="22"/>
                <w:lang w:val="sr-Latn-ME"/>
              </w:rPr>
              <w:noBreakHyphen/>
              <w:t>AD rezultatom 0 ili 1 („čisto“ ili „gotovo čisto“) sa smanjenjem od ≥ 2 boda na ljestvici od 0 do 4 boda</w:t>
            </w:r>
          </w:p>
          <w:p w14:paraId="136108AC" w14:textId="728F00D8" w:rsidR="004E3BE3" w:rsidRPr="00B74B0F" w:rsidRDefault="004E3BE3">
            <w:pPr>
              <w:tabs>
                <w:tab w:val="clear" w:pos="567"/>
              </w:tabs>
              <w:spacing w:line="240" w:lineRule="auto"/>
              <w:ind w:left="142" w:hanging="142"/>
              <w:jc w:val="both"/>
              <w:rPr>
                <w:noProof/>
                <w:szCs w:val="22"/>
                <w:lang w:val="sr-Latn-ME"/>
              </w:rPr>
            </w:pPr>
            <w:r w:rsidRPr="00B74B0F">
              <w:rPr>
                <w:noProof/>
                <w:szCs w:val="22"/>
                <w:vertAlign w:val="superscript"/>
                <w:lang w:val="sr-Latn-ME"/>
              </w:rPr>
              <w:t>c</w:t>
            </w:r>
            <w:r w:rsidRPr="00B74B0F">
              <w:rPr>
                <w:noProof/>
                <w:szCs w:val="22"/>
                <w:lang w:val="sr-Latn-ME"/>
              </w:rPr>
              <w:t xml:space="preserve"> Rezultati prikazani u pod</w:t>
            </w:r>
            <w:r w:rsidR="00D363CA" w:rsidRPr="00B74B0F">
              <w:rPr>
                <w:noProof/>
                <w:szCs w:val="22"/>
                <w:lang w:val="sr-Latn-ME"/>
              </w:rPr>
              <w:t>grupi</w:t>
            </w:r>
            <w:r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koji su ispunjavali u</w:t>
            </w:r>
            <w:r w:rsidR="00181042" w:rsidRPr="00B74B0F">
              <w:rPr>
                <w:noProof/>
                <w:szCs w:val="22"/>
                <w:lang w:val="sr-Latn-ME"/>
              </w:rPr>
              <w:t>slove</w:t>
            </w:r>
            <w:r w:rsidRPr="00B74B0F">
              <w:rPr>
                <w:noProof/>
                <w:szCs w:val="22"/>
                <w:lang w:val="sr-Latn-ME"/>
              </w:rPr>
              <w:t xml:space="preserve"> za procjenu (</w:t>
            </w:r>
            <w:r w:rsidR="00181042" w:rsidRPr="00B74B0F">
              <w:rPr>
                <w:noProof/>
                <w:szCs w:val="22"/>
                <w:lang w:val="sr-Latn-ME"/>
              </w:rPr>
              <w:t>pacijenti</w:t>
            </w:r>
            <w:r w:rsidRPr="00B74B0F">
              <w:rPr>
                <w:noProof/>
                <w:szCs w:val="22"/>
                <w:lang w:val="sr-Latn-ME"/>
              </w:rPr>
              <w:t xml:space="preserve"> s NRS rezultatom za najgori pruritus od ≥ 4 na početku)</w:t>
            </w:r>
          </w:p>
          <w:p w14:paraId="0C9673B9" w14:textId="18F65D5A" w:rsidR="004E3BE3" w:rsidRPr="00B74B0F" w:rsidRDefault="004E3BE3">
            <w:pPr>
              <w:tabs>
                <w:tab w:val="clear" w:pos="567"/>
              </w:tabs>
              <w:spacing w:line="240" w:lineRule="auto"/>
              <w:ind w:left="142" w:hanging="142"/>
              <w:jc w:val="both"/>
              <w:rPr>
                <w:noProof/>
                <w:szCs w:val="22"/>
                <w:lang w:val="sr-Latn-ME"/>
              </w:rPr>
            </w:pPr>
            <w:r w:rsidRPr="00B74B0F">
              <w:rPr>
                <w:noProof/>
                <w:szCs w:val="22"/>
                <w:vertAlign w:val="superscript"/>
                <w:lang w:val="sr-Latn-ME"/>
              </w:rPr>
              <w:t>d</w:t>
            </w:r>
            <w:r w:rsidRPr="00B74B0F">
              <w:rPr>
                <w:noProof/>
                <w:szCs w:val="22"/>
                <w:lang w:val="sr-Latn-ME"/>
              </w:rPr>
              <w:t xml:space="preserve"> Statistički značajno u odnosu na placebo s</w:t>
            </w:r>
            <w:r w:rsidR="005845E0" w:rsidRPr="00B74B0F">
              <w:rPr>
                <w:noProof/>
                <w:szCs w:val="22"/>
                <w:lang w:val="sr-Latn-ME"/>
              </w:rPr>
              <w:t>a</w:t>
            </w:r>
            <w:r w:rsidRPr="00B74B0F">
              <w:rPr>
                <w:noProof/>
                <w:szCs w:val="22"/>
                <w:lang w:val="sr-Latn-ME"/>
              </w:rPr>
              <w:t xml:space="preserve"> p</w:t>
            </w:r>
            <w:r w:rsidRPr="00B74B0F">
              <w:rPr>
                <w:noProof/>
                <w:szCs w:val="22"/>
                <w:lang w:val="sr-Latn-ME"/>
              </w:rPr>
              <w:noBreakHyphen/>
              <w:t>vrijednošću &lt; 0,001</w:t>
            </w:r>
          </w:p>
          <w:p w14:paraId="02E22D65" w14:textId="77777777" w:rsidR="004E3BE3" w:rsidRPr="00B74B0F" w:rsidRDefault="004E3BE3">
            <w:pPr>
              <w:tabs>
                <w:tab w:val="clear" w:pos="567"/>
              </w:tabs>
              <w:spacing w:line="240" w:lineRule="auto"/>
              <w:ind w:left="142" w:hanging="142"/>
              <w:jc w:val="both"/>
              <w:rPr>
                <w:noProof/>
                <w:szCs w:val="22"/>
                <w:lang w:val="sr-Latn-ME"/>
              </w:rPr>
            </w:pPr>
            <w:r w:rsidRPr="00B74B0F">
              <w:rPr>
                <w:noProof/>
                <w:szCs w:val="22"/>
                <w:vertAlign w:val="superscript"/>
                <w:lang w:val="sr-Latn-ME"/>
              </w:rPr>
              <w:t>e</w:t>
            </w:r>
            <w:r w:rsidRPr="00B74B0F">
              <w:rPr>
                <w:noProof/>
                <w:szCs w:val="22"/>
                <w:lang w:val="sr-Latn-ME"/>
              </w:rPr>
              <w:t xml:space="preserve"> p</w:t>
            </w:r>
            <w:r w:rsidRPr="00B74B0F">
              <w:rPr>
                <w:noProof/>
                <w:szCs w:val="22"/>
                <w:lang w:val="sr-Latn-ME"/>
              </w:rPr>
              <w:noBreakHyphen/>
              <w:t>vrijednost &lt; 0,001 u odnosu na placebo, bez kontrole za multiplicitet</w:t>
            </w:r>
          </w:p>
          <w:p w14:paraId="39F41D1C" w14:textId="77777777" w:rsidR="004E3BE3" w:rsidRPr="00B74B0F" w:rsidRDefault="004E3BE3">
            <w:pPr>
              <w:tabs>
                <w:tab w:val="clear" w:pos="567"/>
              </w:tabs>
              <w:spacing w:line="240" w:lineRule="auto"/>
              <w:ind w:left="109" w:hanging="109"/>
              <w:jc w:val="both"/>
              <w:rPr>
                <w:noProof/>
                <w:szCs w:val="22"/>
                <w:lang w:val="sr-Latn-ME"/>
              </w:rPr>
            </w:pPr>
            <w:r w:rsidRPr="00B74B0F">
              <w:rPr>
                <w:noProof/>
                <w:szCs w:val="22"/>
                <w:vertAlign w:val="superscript"/>
                <w:lang w:val="sr-Latn-ME"/>
              </w:rPr>
              <w:t>f</w:t>
            </w:r>
            <w:r w:rsidRPr="00B74B0F">
              <w:rPr>
                <w:noProof/>
                <w:szCs w:val="22"/>
                <w:lang w:val="sr-Latn-ME"/>
              </w:rPr>
              <w:t xml:space="preserve"> Statistički značajna poboljšanja u odnosu na placebo uočena su već 1 dan nakon uvođenja upadacitiniba u dozi od 30 mg i 2 dana nakon uvođenja upadacitiniba u dozi od 15 mg u ispitivanjima MEASURE UP 1 i 2</w:t>
            </w:r>
          </w:p>
        </w:tc>
      </w:tr>
    </w:tbl>
    <w:p w14:paraId="1E88F391" w14:textId="77777777" w:rsidR="00AD1453" w:rsidRPr="00B74B0F" w:rsidRDefault="00AD1453">
      <w:pPr>
        <w:widowControl w:val="0"/>
        <w:spacing w:line="240" w:lineRule="auto"/>
        <w:jc w:val="both"/>
        <w:rPr>
          <w:b/>
          <w:noProof/>
          <w:szCs w:val="22"/>
          <w:lang w:val="sr-Latn-ME"/>
        </w:rPr>
      </w:pPr>
      <w:bookmarkStart w:id="8" w:name="_Hlk37109280"/>
      <w:bookmarkEnd w:id="6"/>
    </w:p>
    <w:p w14:paraId="5BE9246F" w14:textId="713538D3" w:rsidR="00AD1453" w:rsidRPr="00B74B0F" w:rsidRDefault="00AD1453">
      <w:pPr>
        <w:widowControl w:val="0"/>
        <w:spacing w:line="240" w:lineRule="auto"/>
        <w:jc w:val="both"/>
        <w:rPr>
          <w:b/>
          <w:noProof/>
          <w:szCs w:val="22"/>
          <w:lang w:val="sr-Latn-ME"/>
        </w:rPr>
      </w:pPr>
    </w:p>
    <w:p w14:paraId="4BC9507F" w14:textId="4B3F010B" w:rsidR="00AD1453" w:rsidRPr="00B74B0F" w:rsidRDefault="004E3BE3">
      <w:pPr>
        <w:widowControl w:val="0"/>
        <w:spacing w:line="240" w:lineRule="auto"/>
        <w:jc w:val="both"/>
        <w:rPr>
          <w:bCs/>
          <w:noProof/>
          <w:szCs w:val="22"/>
          <w:lang w:val="sr-Latn-ME"/>
        </w:rPr>
      </w:pPr>
      <w:r w:rsidRPr="00B74B0F">
        <w:rPr>
          <w:b/>
          <w:noProof/>
          <w:szCs w:val="22"/>
          <w:lang w:val="sr-Latn-ME"/>
        </w:rPr>
        <w:t xml:space="preserve">Slika 1 Udio </w:t>
      </w:r>
      <w:r w:rsidR="00181042" w:rsidRPr="00B74B0F">
        <w:rPr>
          <w:b/>
          <w:noProof/>
          <w:szCs w:val="22"/>
          <w:lang w:val="sr-Latn-ME"/>
        </w:rPr>
        <w:t>pacijenata</w:t>
      </w:r>
      <w:r w:rsidRPr="00B74B0F">
        <w:rPr>
          <w:b/>
          <w:noProof/>
          <w:szCs w:val="22"/>
          <w:lang w:val="sr-Latn-ME"/>
        </w:rPr>
        <w:t xml:space="preserve"> koji su postigli odgovor EASI 75 i srednja vrijednost postotne promjene NRS rezultata za najgori pruritus od početka ispitivanja za MEASURE UP 1 i MEASURE UP 2</w:t>
      </w:r>
    </w:p>
    <w:p w14:paraId="75F0C531" w14:textId="3FB50027" w:rsidR="00AD1453" w:rsidRPr="00B74B0F" w:rsidRDefault="00AD1453">
      <w:pPr>
        <w:widowControl w:val="0"/>
        <w:spacing w:line="240" w:lineRule="auto"/>
        <w:jc w:val="both"/>
        <w:rPr>
          <w:bCs/>
          <w:noProof/>
          <w:szCs w:val="22"/>
          <w:lang w:val="sr-Latn-ME"/>
        </w:rPr>
      </w:pPr>
    </w:p>
    <w:tbl>
      <w:tblPr>
        <w:tblW w:w="10365" w:type="dxa"/>
        <w:tblInd w:w="-641" w:type="dxa"/>
        <w:tblLayout w:type="fixed"/>
        <w:tblLook w:val="04A0" w:firstRow="1" w:lastRow="0" w:firstColumn="1" w:lastColumn="0" w:noHBand="0" w:noVBand="1"/>
      </w:tblPr>
      <w:tblGrid>
        <w:gridCol w:w="624"/>
        <w:gridCol w:w="4596"/>
        <w:gridCol w:w="274"/>
        <w:gridCol w:w="392"/>
        <w:gridCol w:w="2126"/>
        <w:gridCol w:w="2353"/>
      </w:tblGrid>
      <w:tr w:rsidR="00BF75A1" w:rsidRPr="00B74B0F" w14:paraId="79293DEC" w14:textId="77777777" w:rsidTr="00F22B92">
        <w:trPr>
          <w:trHeight w:val="250"/>
        </w:trPr>
        <w:tc>
          <w:tcPr>
            <w:tcW w:w="624" w:type="dxa"/>
            <w:shd w:val="clear" w:color="auto" w:fill="auto"/>
            <w:textDirection w:val="btLr"/>
          </w:tcPr>
          <w:p w14:paraId="1D88659D" w14:textId="77777777" w:rsidR="004E3BE3" w:rsidRPr="00B74B0F" w:rsidRDefault="004E3BE3">
            <w:pPr>
              <w:widowControl w:val="0"/>
              <w:tabs>
                <w:tab w:val="clear" w:pos="567"/>
              </w:tabs>
              <w:spacing w:line="240" w:lineRule="auto"/>
              <w:ind w:left="113" w:right="113"/>
              <w:jc w:val="both"/>
              <w:rPr>
                <w:rFonts w:eastAsia="MS Mincho"/>
                <w:b/>
                <w:noProof/>
                <w:szCs w:val="22"/>
                <w:lang w:val="sr-Latn-ME" w:eastAsia="ja-JP"/>
              </w:rPr>
            </w:pPr>
          </w:p>
        </w:tc>
        <w:tc>
          <w:tcPr>
            <w:tcW w:w="5262" w:type="dxa"/>
            <w:gridSpan w:val="3"/>
            <w:shd w:val="clear" w:color="auto" w:fill="auto"/>
          </w:tcPr>
          <w:p w14:paraId="14AEF481" w14:textId="089400E6" w:rsidR="004E3BE3" w:rsidRPr="00B74B0F" w:rsidRDefault="004E3BE3" w:rsidP="00A30C3C">
            <w:pPr>
              <w:widowControl w:val="0"/>
              <w:spacing w:line="240" w:lineRule="auto"/>
              <w:jc w:val="both"/>
              <w:rPr>
                <w:b/>
                <w:bCs/>
                <w:noProof/>
                <w:szCs w:val="22"/>
                <w:lang w:val="sr-Latn-ME"/>
              </w:rPr>
            </w:pPr>
            <w:r w:rsidRPr="00B74B0F">
              <w:rPr>
                <w:b/>
                <w:bCs/>
                <w:noProof/>
                <w:szCs w:val="22"/>
                <w:lang w:val="sr-Latn-ME"/>
              </w:rPr>
              <w:t xml:space="preserve">Udio </w:t>
            </w:r>
            <w:r w:rsidR="00181042" w:rsidRPr="00B74B0F">
              <w:rPr>
                <w:b/>
                <w:bCs/>
                <w:noProof/>
                <w:szCs w:val="22"/>
                <w:lang w:val="sr-Latn-ME"/>
              </w:rPr>
              <w:t>pacijenata</w:t>
            </w:r>
            <w:r w:rsidRPr="00B74B0F">
              <w:rPr>
                <w:b/>
                <w:bCs/>
                <w:noProof/>
                <w:szCs w:val="22"/>
                <w:lang w:val="sr-Latn-ME"/>
              </w:rPr>
              <w:t xml:space="preserve"> koji su postigli</w:t>
            </w:r>
          </w:p>
          <w:p w14:paraId="16E6C2BF" w14:textId="77777777" w:rsidR="004E3BE3" w:rsidRPr="00B74B0F" w:rsidRDefault="004E3BE3" w:rsidP="00A30C3C">
            <w:pPr>
              <w:widowControl w:val="0"/>
              <w:spacing w:line="240" w:lineRule="auto"/>
              <w:jc w:val="both"/>
              <w:rPr>
                <w:b/>
                <w:bCs/>
                <w:noProof/>
                <w:szCs w:val="22"/>
                <w:lang w:val="sr-Latn-ME"/>
              </w:rPr>
            </w:pPr>
            <w:r w:rsidRPr="00B74B0F">
              <w:rPr>
                <w:b/>
                <w:bCs/>
                <w:noProof/>
                <w:szCs w:val="22"/>
                <w:lang w:val="sr-Latn-ME"/>
              </w:rPr>
              <w:t>odgovor EASI 75</w:t>
            </w:r>
          </w:p>
        </w:tc>
        <w:tc>
          <w:tcPr>
            <w:tcW w:w="4479" w:type="dxa"/>
            <w:gridSpan w:val="2"/>
            <w:shd w:val="clear" w:color="auto" w:fill="auto"/>
          </w:tcPr>
          <w:p w14:paraId="2DC9D09C" w14:textId="77777777" w:rsidR="004E3BE3" w:rsidRPr="00B74B0F" w:rsidRDefault="004E3BE3" w:rsidP="00A30C3C">
            <w:pPr>
              <w:widowControl w:val="0"/>
              <w:tabs>
                <w:tab w:val="center" w:pos="2248"/>
              </w:tabs>
              <w:spacing w:line="240" w:lineRule="auto"/>
              <w:jc w:val="both"/>
              <w:rPr>
                <w:b/>
                <w:bCs/>
                <w:noProof/>
                <w:szCs w:val="22"/>
                <w:lang w:val="sr-Latn-ME"/>
              </w:rPr>
            </w:pPr>
            <w:r w:rsidRPr="00B74B0F">
              <w:rPr>
                <w:b/>
                <w:bCs/>
                <w:noProof/>
                <w:szCs w:val="22"/>
                <w:lang w:val="sr-Latn-ME"/>
              </w:rPr>
              <w:t>Srednja vrijednost postotne promjene</w:t>
            </w:r>
          </w:p>
          <w:p w14:paraId="3254C57E" w14:textId="77777777" w:rsidR="004E3BE3" w:rsidRPr="00B74B0F" w:rsidRDefault="004E3BE3" w:rsidP="00A30C3C">
            <w:pPr>
              <w:widowControl w:val="0"/>
              <w:tabs>
                <w:tab w:val="center" w:pos="2248"/>
              </w:tabs>
              <w:spacing w:line="240" w:lineRule="auto"/>
              <w:jc w:val="both"/>
              <w:rPr>
                <w:b/>
                <w:bCs/>
                <w:noProof/>
                <w:szCs w:val="22"/>
                <w:lang w:val="sr-Latn-ME"/>
              </w:rPr>
            </w:pPr>
            <w:r w:rsidRPr="00B74B0F">
              <w:rPr>
                <w:b/>
                <w:bCs/>
                <w:noProof/>
                <w:szCs w:val="22"/>
                <w:lang w:val="sr-Latn-ME"/>
              </w:rPr>
              <w:t>NRS rezultata za najgori pruritus od početka ispitivanja</w:t>
            </w:r>
          </w:p>
        </w:tc>
      </w:tr>
      <w:tr w:rsidR="00BF75A1" w:rsidRPr="00B74B0F" w14:paraId="038A7410" w14:textId="77777777" w:rsidTr="00F22B92">
        <w:trPr>
          <w:trHeight w:val="4311"/>
        </w:trPr>
        <w:tc>
          <w:tcPr>
            <w:tcW w:w="624" w:type="dxa"/>
            <w:shd w:val="clear" w:color="auto" w:fill="auto"/>
            <w:textDirection w:val="btLr"/>
          </w:tcPr>
          <w:p w14:paraId="3E398E0E" w14:textId="77777777" w:rsidR="004E3BE3" w:rsidRPr="00B74B0F" w:rsidRDefault="004E3BE3" w:rsidP="00144C74">
            <w:pPr>
              <w:widowControl w:val="0"/>
              <w:tabs>
                <w:tab w:val="clear" w:pos="567"/>
              </w:tabs>
              <w:spacing w:line="240" w:lineRule="auto"/>
              <w:ind w:left="113" w:right="113"/>
              <w:jc w:val="center"/>
              <w:rPr>
                <w:rFonts w:eastAsia="MS Mincho"/>
                <w:b/>
                <w:noProof/>
                <w:szCs w:val="22"/>
                <w:lang w:val="sr-Latn-ME" w:eastAsia="ja-JP"/>
              </w:rPr>
            </w:pPr>
            <w:r w:rsidRPr="00B74B0F">
              <w:rPr>
                <w:rFonts w:eastAsia="MS Mincho"/>
                <w:b/>
                <w:noProof/>
                <w:szCs w:val="22"/>
                <w:lang w:val="sr-Latn-ME" w:eastAsia="ja-JP"/>
              </w:rPr>
              <w:t xml:space="preserve">Stopa odgovora (%) i interval </w:t>
            </w:r>
            <w:r w:rsidRPr="00B74B0F">
              <w:rPr>
                <w:rFonts w:eastAsia="MS Mincho"/>
                <w:b/>
                <w:noProof/>
                <w:szCs w:val="22"/>
                <w:lang w:val="sr-Latn-ME" w:eastAsia="ja-JP"/>
              </w:rPr>
              <w:br/>
              <w:t>pouzdanosti 95 %</w:t>
            </w:r>
          </w:p>
          <w:p w14:paraId="410B8AB9" w14:textId="77777777" w:rsidR="004E3BE3" w:rsidRPr="00B74B0F" w:rsidRDefault="004E3BE3" w:rsidP="00A30C3C">
            <w:pPr>
              <w:widowControl w:val="0"/>
              <w:tabs>
                <w:tab w:val="clear" w:pos="567"/>
              </w:tabs>
              <w:spacing w:line="240" w:lineRule="auto"/>
              <w:ind w:left="113" w:right="113"/>
              <w:jc w:val="center"/>
              <w:rPr>
                <w:rFonts w:eastAsia="MS Mincho"/>
                <w:b/>
                <w:noProof/>
                <w:szCs w:val="22"/>
                <w:lang w:val="sr-Latn-ME" w:eastAsia="ja-JP"/>
              </w:rPr>
            </w:pPr>
          </w:p>
        </w:tc>
        <w:tc>
          <w:tcPr>
            <w:tcW w:w="4596" w:type="dxa"/>
            <w:shd w:val="clear" w:color="auto" w:fill="auto"/>
          </w:tcPr>
          <w:p w14:paraId="72D5BAAA" w14:textId="77777777" w:rsidR="004E3BE3" w:rsidRPr="00B74B0F" w:rsidRDefault="004E3BE3">
            <w:pPr>
              <w:widowControl w:val="0"/>
              <w:tabs>
                <w:tab w:val="clear" w:pos="567"/>
                <w:tab w:val="left" w:pos="6806"/>
              </w:tabs>
              <w:spacing w:line="240" w:lineRule="auto"/>
              <w:jc w:val="both"/>
              <w:rPr>
                <w:noProof/>
                <w:szCs w:val="22"/>
                <w:lang w:val="sr-Latn-ME"/>
              </w:rPr>
            </w:pPr>
            <w:r w:rsidRPr="00B74B0F">
              <w:rPr>
                <w:noProof/>
                <w:szCs w:val="22"/>
                <w:lang w:val="sr-Latn-ME"/>
              </w:rPr>
              <w:t xml:space="preserve"> </w:t>
            </w:r>
            <w:r w:rsidRPr="00B74B0F">
              <w:rPr>
                <w:noProof/>
                <w:szCs w:val="22"/>
                <w:lang w:val="en-US"/>
              </w:rPr>
              <w:drawing>
                <wp:anchor distT="0" distB="0" distL="114300" distR="114300" simplePos="0" relativeHeight="251660288" behindDoc="1" locked="0" layoutInCell="1" allowOverlap="1" wp14:anchorId="7BEFACE4" wp14:editId="34C8AB3A">
                  <wp:simplePos x="0" y="0"/>
                  <wp:positionH relativeFrom="column">
                    <wp:posOffset>1905</wp:posOffset>
                  </wp:positionH>
                  <wp:positionV relativeFrom="paragraph">
                    <wp:posOffset>170180</wp:posOffset>
                  </wp:positionV>
                  <wp:extent cx="2528570" cy="2089150"/>
                  <wp:effectExtent l="0" t="0" r="0" b="0"/>
                  <wp:wrapSquare wrapText="bothSides"/>
                  <wp:docPr id="14"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528570" cy="2089150"/>
                          </a:xfrm>
                          <a:prstGeom prst="rect">
                            <a:avLst/>
                          </a:prstGeom>
                          <a:noFill/>
                        </pic:spPr>
                      </pic:pic>
                    </a:graphicData>
                  </a:graphic>
                  <wp14:sizeRelH relativeFrom="margin">
                    <wp14:pctWidth>0</wp14:pctWidth>
                  </wp14:sizeRelH>
                  <wp14:sizeRelV relativeFrom="margin">
                    <wp14:pctHeight>0</wp14:pctHeight>
                  </wp14:sizeRelV>
                </wp:anchor>
              </w:drawing>
            </w:r>
          </w:p>
        </w:tc>
        <w:tc>
          <w:tcPr>
            <w:tcW w:w="666" w:type="dxa"/>
            <w:gridSpan w:val="2"/>
            <w:shd w:val="clear" w:color="auto" w:fill="auto"/>
            <w:textDirection w:val="btLr"/>
          </w:tcPr>
          <w:p w14:paraId="0C66F556" w14:textId="77777777" w:rsidR="004E3BE3" w:rsidRPr="00B74B0F" w:rsidRDefault="004E3BE3" w:rsidP="00144C74">
            <w:pPr>
              <w:widowControl w:val="0"/>
              <w:spacing w:line="240" w:lineRule="auto"/>
              <w:jc w:val="center"/>
              <w:rPr>
                <w:rFonts w:eastAsia="MS Mincho"/>
                <w:b/>
                <w:noProof/>
                <w:szCs w:val="22"/>
                <w:lang w:val="sr-Latn-ME" w:eastAsia="ja-JP"/>
              </w:rPr>
            </w:pPr>
            <w:r w:rsidRPr="00B74B0F">
              <w:rPr>
                <w:rFonts w:eastAsia="MS Mincho"/>
                <w:b/>
                <w:noProof/>
                <w:szCs w:val="22"/>
                <w:lang w:val="sr-Latn-ME" w:eastAsia="ja-JP"/>
              </w:rPr>
              <w:t xml:space="preserve">Postotna promjena od </w:t>
            </w:r>
            <w:r w:rsidRPr="00B74B0F">
              <w:rPr>
                <w:rFonts w:eastAsia="MS Mincho"/>
                <w:b/>
                <w:noProof/>
                <w:szCs w:val="22"/>
                <w:lang w:val="sr-Latn-ME" w:eastAsia="ja-JP"/>
              </w:rPr>
              <w:br/>
              <w:t>početka ispitivanja (%)</w:t>
            </w:r>
          </w:p>
          <w:p w14:paraId="64DE952B" w14:textId="77777777" w:rsidR="004E3BE3" w:rsidRPr="00B74B0F" w:rsidRDefault="004E3BE3" w:rsidP="00A30C3C">
            <w:pPr>
              <w:widowControl w:val="0"/>
              <w:spacing w:line="240" w:lineRule="auto"/>
              <w:jc w:val="center"/>
              <w:rPr>
                <w:rFonts w:eastAsia="MS Mincho"/>
                <w:noProof/>
                <w:szCs w:val="22"/>
                <w:lang w:val="sr-Latn-ME" w:eastAsia="ja-JP"/>
              </w:rPr>
            </w:pPr>
            <w:r w:rsidRPr="00B74B0F">
              <w:rPr>
                <w:rFonts w:eastAsia="MS Mincho"/>
                <w:b/>
                <w:noProof/>
                <w:szCs w:val="22"/>
                <w:lang w:val="sr-Latn-ME" w:eastAsia="ja-JP"/>
              </w:rPr>
              <w:t>i interval pouzdanosti 95%</w:t>
            </w:r>
          </w:p>
        </w:tc>
        <w:tc>
          <w:tcPr>
            <w:tcW w:w="4479" w:type="dxa"/>
            <w:gridSpan w:val="2"/>
            <w:shd w:val="clear" w:color="auto" w:fill="auto"/>
          </w:tcPr>
          <w:p w14:paraId="4A0D83EA" w14:textId="77777777" w:rsidR="004E3BE3" w:rsidRPr="00B74B0F" w:rsidRDefault="004E3BE3">
            <w:pPr>
              <w:widowControl w:val="0"/>
              <w:spacing w:line="240" w:lineRule="auto"/>
              <w:jc w:val="both"/>
              <w:rPr>
                <w:rFonts w:eastAsia="MS Mincho"/>
                <w:noProof/>
                <w:szCs w:val="22"/>
                <w:lang w:val="sr-Latn-ME" w:eastAsia="ja-JP"/>
              </w:rPr>
            </w:pPr>
            <w:r w:rsidRPr="00B74B0F">
              <w:rPr>
                <w:noProof/>
                <w:szCs w:val="22"/>
                <w:lang w:val="en-US"/>
              </w:rPr>
              <w:drawing>
                <wp:anchor distT="0" distB="0" distL="114300" distR="114300" simplePos="0" relativeHeight="251659264" behindDoc="0" locked="0" layoutInCell="1" allowOverlap="1" wp14:anchorId="115DA86A" wp14:editId="5112A3E7">
                  <wp:simplePos x="0" y="0"/>
                  <wp:positionH relativeFrom="column">
                    <wp:posOffset>-68580</wp:posOffset>
                  </wp:positionH>
                  <wp:positionV relativeFrom="paragraph">
                    <wp:posOffset>170180</wp:posOffset>
                  </wp:positionV>
                  <wp:extent cx="2844165" cy="2232025"/>
                  <wp:effectExtent l="0" t="0" r="0" b="0"/>
                  <wp:wrapSquare wrapText="bothSides"/>
                  <wp:docPr id="13" name="Picture 4"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A picture containing chart&#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844165" cy="2232025"/>
                          </a:xfrm>
                          <a:prstGeom prst="rect">
                            <a:avLst/>
                          </a:prstGeom>
                          <a:noFill/>
                        </pic:spPr>
                      </pic:pic>
                    </a:graphicData>
                  </a:graphic>
                  <wp14:sizeRelH relativeFrom="page">
                    <wp14:pctWidth>0</wp14:pctWidth>
                  </wp14:sizeRelH>
                  <wp14:sizeRelV relativeFrom="page">
                    <wp14:pctHeight>0</wp14:pctHeight>
                  </wp14:sizeRelV>
                </wp:anchor>
              </w:drawing>
            </w:r>
          </w:p>
        </w:tc>
      </w:tr>
      <w:tr w:rsidR="00BF75A1" w:rsidRPr="00B74B0F" w14:paraId="7AAEB3D5" w14:textId="77777777" w:rsidTr="00200D71">
        <w:trPr>
          <w:trHeight w:val="216"/>
        </w:trPr>
        <w:tc>
          <w:tcPr>
            <w:tcW w:w="624" w:type="dxa"/>
            <w:vMerge w:val="restart"/>
            <w:shd w:val="clear" w:color="auto" w:fill="auto"/>
          </w:tcPr>
          <w:p w14:paraId="71934B4C" w14:textId="77777777" w:rsidR="004E3BE3" w:rsidRPr="00B74B0F" w:rsidRDefault="004E3BE3">
            <w:pPr>
              <w:widowControl w:val="0"/>
              <w:tabs>
                <w:tab w:val="clear" w:pos="567"/>
              </w:tabs>
              <w:spacing w:line="240" w:lineRule="auto"/>
              <w:jc w:val="both"/>
              <w:rPr>
                <w:rFonts w:eastAsia="MS Mincho"/>
                <w:b/>
                <w:noProof/>
                <w:szCs w:val="22"/>
                <w:lang w:val="sr-Latn-ME" w:eastAsia="ja-JP"/>
              </w:rPr>
            </w:pPr>
          </w:p>
        </w:tc>
        <w:tc>
          <w:tcPr>
            <w:tcW w:w="7388" w:type="dxa"/>
            <w:gridSpan w:val="4"/>
            <w:shd w:val="clear" w:color="auto" w:fill="auto"/>
          </w:tcPr>
          <w:p w14:paraId="3ABC995F" w14:textId="21843566" w:rsidR="004E3BE3" w:rsidRPr="00B74B0F" w:rsidRDefault="00D363CA">
            <w:pPr>
              <w:widowControl w:val="0"/>
              <w:tabs>
                <w:tab w:val="left" w:pos="6534"/>
              </w:tabs>
              <w:spacing w:line="240" w:lineRule="auto"/>
              <w:jc w:val="both"/>
              <w:rPr>
                <w:rFonts w:eastAsia="MS Mincho"/>
                <w:b/>
                <w:noProof/>
                <w:szCs w:val="22"/>
                <w:lang w:val="sr-Latn-ME" w:eastAsia="ja-JP"/>
              </w:rPr>
            </w:pPr>
            <w:r w:rsidRPr="00B74B0F">
              <w:rPr>
                <w:rFonts w:eastAsia="MS Mincho"/>
                <w:b/>
                <w:noProof/>
                <w:szCs w:val="22"/>
                <w:lang w:val="sr-Latn-ME" w:eastAsia="ja-JP"/>
              </w:rPr>
              <w:t xml:space="preserve">                              </w:t>
            </w:r>
            <w:r w:rsidR="00181042" w:rsidRPr="00B74B0F">
              <w:rPr>
                <w:rFonts w:eastAsia="MS Mincho"/>
                <w:b/>
                <w:noProof/>
                <w:szCs w:val="22"/>
                <w:lang w:val="sr-Latn-ME" w:eastAsia="ja-JP"/>
              </w:rPr>
              <w:t>Ned</w:t>
            </w:r>
            <w:r w:rsidRPr="00B74B0F">
              <w:rPr>
                <w:rFonts w:eastAsia="MS Mincho"/>
                <w:b/>
                <w:noProof/>
                <w:szCs w:val="22"/>
                <w:lang w:val="sr-Latn-ME" w:eastAsia="ja-JP"/>
              </w:rPr>
              <w:t>j</w:t>
            </w:r>
            <w:r w:rsidR="00181042" w:rsidRPr="00B74B0F">
              <w:rPr>
                <w:rFonts w:eastAsia="MS Mincho"/>
                <w:b/>
                <w:noProof/>
                <w:szCs w:val="22"/>
                <w:lang w:val="sr-Latn-ME" w:eastAsia="ja-JP"/>
              </w:rPr>
              <w:t>elj</w:t>
            </w:r>
            <w:r w:rsidR="005C649D" w:rsidRPr="00B74B0F">
              <w:rPr>
                <w:rFonts w:eastAsia="MS Mincho"/>
                <w:b/>
                <w:noProof/>
                <w:szCs w:val="22"/>
                <w:lang w:val="sr-Latn-ME" w:eastAsia="ja-JP"/>
              </w:rPr>
              <w:t>e</w:t>
            </w:r>
          </w:p>
        </w:tc>
        <w:tc>
          <w:tcPr>
            <w:tcW w:w="2353" w:type="dxa"/>
            <w:shd w:val="clear" w:color="auto" w:fill="auto"/>
          </w:tcPr>
          <w:p w14:paraId="7054A79A" w14:textId="6801434C" w:rsidR="004E3BE3" w:rsidRPr="00B74B0F" w:rsidRDefault="00181042">
            <w:pPr>
              <w:widowControl w:val="0"/>
              <w:tabs>
                <w:tab w:val="left" w:pos="6534"/>
              </w:tabs>
              <w:spacing w:line="240" w:lineRule="auto"/>
              <w:jc w:val="both"/>
              <w:rPr>
                <w:rFonts w:eastAsia="MS Mincho"/>
                <w:b/>
                <w:noProof/>
                <w:szCs w:val="22"/>
                <w:lang w:val="sr-Latn-ME" w:eastAsia="ja-JP"/>
              </w:rPr>
            </w:pPr>
            <w:r w:rsidRPr="00B74B0F">
              <w:rPr>
                <w:rFonts w:eastAsia="MS Mincho"/>
                <w:b/>
                <w:noProof/>
                <w:szCs w:val="22"/>
                <w:lang w:val="sr-Latn-ME" w:eastAsia="ja-JP"/>
              </w:rPr>
              <w:t>Ned</w:t>
            </w:r>
            <w:r w:rsidR="00D363CA" w:rsidRPr="00B74B0F">
              <w:rPr>
                <w:rFonts w:eastAsia="MS Mincho"/>
                <w:b/>
                <w:noProof/>
                <w:szCs w:val="22"/>
                <w:lang w:val="sr-Latn-ME" w:eastAsia="ja-JP"/>
              </w:rPr>
              <w:t>j</w:t>
            </w:r>
            <w:r w:rsidRPr="00B74B0F">
              <w:rPr>
                <w:rFonts w:eastAsia="MS Mincho"/>
                <w:b/>
                <w:noProof/>
                <w:szCs w:val="22"/>
                <w:lang w:val="sr-Latn-ME" w:eastAsia="ja-JP"/>
              </w:rPr>
              <w:t>elj</w:t>
            </w:r>
            <w:r w:rsidR="005C649D" w:rsidRPr="00B74B0F">
              <w:rPr>
                <w:rFonts w:eastAsia="MS Mincho"/>
                <w:b/>
                <w:noProof/>
                <w:szCs w:val="22"/>
                <w:lang w:val="sr-Latn-ME" w:eastAsia="ja-JP"/>
              </w:rPr>
              <w:t>e</w:t>
            </w:r>
          </w:p>
        </w:tc>
      </w:tr>
      <w:tr w:rsidR="00BF75A1" w:rsidRPr="00B74B0F" w14:paraId="250E080C" w14:textId="77777777" w:rsidTr="00F22B92">
        <w:trPr>
          <w:trHeight w:val="213"/>
        </w:trPr>
        <w:tc>
          <w:tcPr>
            <w:tcW w:w="624" w:type="dxa"/>
            <w:vMerge/>
            <w:shd w:val="clear" w:color="auto" w:fill="auto"/>
          </w:tcPr>
          <w:p w14:paraId="1B35DA02" w14:textId="77777777" w:rsidR="004E3BE3" w:rsidRPr="00B74B0F" w:rsidRDefault="004E3BE3">
            <w:pPr>
              <w:widowControl w:val="0"/>
              <w:tabs>
                <w:tab w:val="clear" w:pos="567"/>
              </w:tabs>
              <w:spacing w:line="240" w:lineRule="auto"/>
              <w:jc w:val="both"/>
              <w:rPr>
                <w:rFonts w:eastAsia="MS Mincho"/>
                <w:b/>
                <w:noProof/>
                <w:szCs w:val="22"/>
                <w:lang w:val="sr-Latn-ME" w:eastAsia="ja-JP"/>
              </w:rPr>
            </w:pPr>
          </w:p>
        </w:tc>
        <w:tc>
          <w:tcPr>
            <w:tcW w:w="4870" w:type="dxa"/>
            <w:gridSpan w:val="2"/>
            <w:shd w:val="clear" w:color="auto" w:fill="auto"/>
          </w:tcPr>
          <w:p w14:paraId="7BF93A4B" w14:textId="77777777" w:rsidR="004E3BE3" w:rsidRPr="00B74B0F" w:rsidRDefault="004E3BE3">
            <w:pPr>
              <w:widowControl w:val="0"/>
              <w:tabs>
                <w:tab w:val="left" w:pos="1305"/>
                <w:tab w:val="center" w:pos="2327"/>
                <w:tab w:val="left" w:pos="6534"/>
              </w:tabs>
              <w:spacing w:line="240" w:lineRule="auto"/>
              <w:jc w:val="both"/>
              <w:rPr>
                <w:b/>
                <w:bCs/>
                <w:noProof/>
                <w:szCs w:val="22"/>
                <w:lang w:val="sr-Latn-ME"/>
              </w:rPr>
            </w:pPr>
            <w:r w:rsidRPr="00B74B0F">
              <w:rPr>
                <w:b/>
                <w:noProof/>
                <w:szCs w:val="22"/>
                <w:lang w:val="sr-Latn-ME"/>
              </w:rPr>
              <w:tab/>
            </w:r>
            <w:r w:rsidRPr="00B74B0F">
              <w:rPr>
                <w:b/>
                <w:noProof/>
                <w:szCs w:val="22"/>
                <w:lang w:val="sr-Latn-ME"/>
              </w:rPr>
              <w:tab/>
            </w:r>
            <w:r w:rsidRPr="00B74B0F">
              <w:rPr>
                <w:noProof/>
                <w:szCs w:val="22"/>
                <w:lang w:val="en-US"/>
              </w:rPr>
              <w:drawing>
                <wp:inline distT="0" distB="0" distL="0" distR="0" wp14:anchorId="5326B400" wp14:editId="0ED45119">
                  <wp:extent cx="323850" cy="104775"/>
                  <wp:effectExtent l="0" t="0" r="0" b="0"/>
                  <wp:docPr id="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flipH="1">
                            <a:off x="0" y="0"/>
                            <a:ext cx="323850" cy="104775"/>
                          </a:xfrm>
                          <a:prstGeom prst="rect">
                            <a:avLst/>
                          </a:prstGeom>
                          <a:noFill/>
                          <a:ln>
                            <a:noFill/>
                          </a:ln>
                        </pic:spPr>
                      </pic:pic>
                    </a:graphicData>
                  </a:graphic>
                </wp:inline>
              </w:drawing>
            </w:r>
            <w:r w:rsidRPr="00B74B0F">
              <w:rPr>
                <w:b/>
                <w:noProof/>
                <w:szCs w:val="22"/>
                <w:lang w:val="sr-Latn-ME"/>
              </w:rPr>
              <w:t>Placebo</w:t>
            </w:r>
          </w:p>
        </w:tc>
        <w:tc>
          <w:tcPr>
            <w:tcW w:w="4871" w:type="dxa"/>
            <w:gridSpan w:val="3"/>
            <w:shd w:val="clear" w:color="auto" w:fill="auto"/>
          </w:tcPr>
          <w:p w14:paraId="233E3899" w14:textId="77777777" w:rsidR="004E3BE3" w:rsidRPr="00B74B0F" w:rsidRDefault="004E3BE3">
            <w:pPr>
              <w:widowControl w:val="0"/>
              <w:tabs>
                <w:tab w:val="left" w:pos="1080"/>
                <w:tab w:val="center" w:pos="2327"/>
                <w:tab w:val="left" w:pos="6534"/>
              </w:tabs>
              <w:spacing w:line="240" w:lineRule="auto"/>
              <w:jc w:val="both"/>
              <w:rPr>
                <w:rFonts w:eastAsia="MS Mincho"/>
                <w:b/>
                <w:noProof/>
                <w:szCs w:val="22"/>
                <w:lang w:val="sr-Latn-ME" w:eastAsia="ja-JP"/>
              </w:rPr>
            </w:pPr>
            <w:r w:rsidRPr="00B74B0F">
              <w:rPr>
                <w:b/>
                <w:noProof/>
                <w:szCs w:val="22"/>
                <w:lang w:val="sr-Latn-ME"/>
              </w:rPr>
              <w:tab/>
            </w:r>
            <w:r w:rsidRPr="00B74B0F">
              <w:rPr>
                <w:b/>
                <w:noProof/>
                <w:szCs w:val="22"/>
                <w:lang w:val="sr-Latn-ME"/>
              </w:rPr>
              <w:tab/>
            </w:r>
            <w:r w:rsidRPr="00B74B0F">
              <w:rPr>
                <w:noProof/>
                <w:szCs w:val="22"/>
                <w:lang w:val="en-US"/>
              </w:rPr>
              <w:drawing>
                <wp:inline distT="0" distB="0" distL="0" distR="0" wp14:anchorId="0237F18B" wp14:editId="373A2395">
                  <wp:extent cx="323850" cy="104775"/>
                  <wp:effectExtent l="0" t="0" r="0" b="0"/>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flipH="1">
                            <a:off x="0" y="0"/>
                            <a:ext cx="323850" cy="104775"/>
                          </a:xfrm>
                          <a:prstGeom prst="rect">
                            <a:avLst/>
                          </a:prstGeom>
                          <a:noFill/>
                          <a:ln>
                            <a:noFill/>
                          </a:ln>
                        </pic:spPr>
                      </pic:pic>
                    </a:graphicData>
                  </a:graphic>
                </wp:inline>
              </w:drawing>
            </w:r>
            <w:r w:rsidRPr="00B74B0F">
              <w:rPr>
                <w:b/>
                <w:noProof/>
                <w:szCs w:val="22"/>
                <w:lang w:val="sr-Latn-ME"/>
              </w:rPr>
              <w:t>Placebo </w:t>
            </w:r>
          </w:p>
        </w:tc>
      </w:tr>
      <w:tr w:rsidR="00BF75A1" w:rsidRPr="00B74B0F" w14:paraId="3EF9EEBF" w14:textId="77777777" w:rsidTr="00F22B92">
        <w:trPr>
          <w:trHeight w:val="213"/>
        </w:trPr>
        <w:tc>
          <w:tcPr>
            <w:tcW w:w="624" w:type="dxa"/>
            <w:vMerge/>
            <w:shd w:val="clear" w:color="auto" w:fill="auto"/>
          </w:tcPr>
          <w:p w14:paraId="26576C42" w14:textId="77777777" w:rsidR="004E3BE3" w:rsidRPr="00B74B0F" w:rsidRDefault="004E3BE3">
            <w:pPr>
              <w:widowControl w:val="0"/>
              <w:tabs>
                <w:tab w:val="clear" w:pos="567"/>
              </w:tabs>
              <w:spacing w:line="240" w:lineRule="auto"/>
              <w:jc w:val="both"/>
              <w:rPr>
                <w:rFonts w:eastAsia="MS Mincho"/>
                <w:b/>
                <w:noProof/>
                <w:szCs w:val="22"/>
                <w:lang w:val="sr-Latn-ME" w:eastAsia="ja-JP"/>
              </w:rPr>
            </w:pPr>
          </w:p>
        </w:tc>
        <w:tc>
          <w:tcPr>
            <w:tcW w:w="4870" w:type="dxa"/>
            <w:gridSpan w:val="2"/>
            <w:shd w:val="clear" w:color="auto" w:fill="auto"/>
          </w:tcPr>
          <w:p w14:paraId="02E0E6CA" w14:textId="77777777" w:rsidR="004E3BE3" w:rsidRPr="00B74B0F" w:rsidRDefault="004E3BE3">
            <w:pPr>
              <w:widowControl w:val="0"/>
              <w:tabs>
                <w:tab w:val="left" w:pos="6534"/>
              </w:tabs>
              <w:spacing w:line="240" w:lineRule="auto"/>
              <w:jc w:val="both"/>
              <w:rPr>
                <w:b/>
                <w:bCs/>
                <w:noProof/>
                <w:szCs w:val="22"/>
                <w:lang w:val="sr-Latn-ME"/>
              </w:rPr>
            </w:pPr>
            <w:r w:rsidRPr="00B74B0F">
              <w:rPr>
                <w:noProof/>
                <w:szCs w:val="22"/>
                <w:lang w:val="en-US"/>
              </w:rPr>
              <w:drawing>
                <wp:inline distT="0" distB="0" distL="0" distR="0" wp14:anchorId="4C73ECEA" wp14:editId="16549910">
                  <wp:extent cx="304800" cy="1143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20">
                            <a:extLst>
                              <a:ext uri="{28A0092B-C50C-407E-A947-70E740481C1C}">
                                <a14:useLocalDpi xmlns:a14="http://schemas.microsoft.com/office/drawing/2010/main" val="0"/>
                              </a:ext>
                            </a:extLst>
                          </a:blip>
                          <a:srcRect l="13834" t="13834"/>
                          <a:stretch>
                            <a:fillRect/>
                          </a:stretch>
                        </pic:blipFill>
                        <pic:spPr bwMode="auto">
                          <a:xfrm>
                            <a:off x="0" y="0"/>
                            <a:ext cx="304800" cy="114300"/>
                          </a:xfrm>
                          <a:prstGeom prst="rect">
                            <a:avLst/>
                          </a:prstGeom>
                          <a:noFill/>
                          <a:ln>
                            <a:noFill/>
                          </a:ln>
                        </pic:spPr>
                      </pic:pic>
                    </a:graphicData>
                  </a:graphic>
                </wp:inline>
              </w:drawing>
            </w:r>
            <w:r w:rsidRPr="00B74B0F">
              <w:rPr>
                <w:b/>
                <w:bCs/>
                <w:noProof/>
                <w:szCs w:val="22"/>
                <w:lang w:val="sr-Latn-ME"/>
              </w:rPr>
              <w:t xml:space="preserve"> RINVOQ 15 mg jedanput na dan</w:t>
            </w:r>
          </w:p>
        </w:tc>
        <w:tc>
          <w:tcPr>
            <w:tcW w:w="4871" w:type="dxa"/>
            <w:gridSpan w:val="3"/>
            <w:shd w:val="clear" w:color="auto" w:fill="auto"/>
          </w:tcPr>
          <w:p w14:paraId="09027973" w14:textId="77777777" w:rsidR="004E3BE3" w:rsidRPr="00B74B0F" w:rsidRDefault="004E3BE3">
            <w:pPr>
              <w:widowControl w:val="0"/>
              <w:tabs>
                <w:tab w:val="left" w:pos="6534"/>
              </w:tabs>
              <w:spacing w:line="240" w:lineRule="auto"/>
              <w:jc w:val="both"/>
              <w:rPr>
                <w:rFonts w:eastAsia="MS Mincho"/>
                <w:b/>
                <w:noProof/>
                <w:szCs w:val="22"/>
                <w:lang w:val="sr-Latn-ME" w:eastAsia="ja-JP"/>
              </w:rPr>
            </w:pPr>
            <w:r w:rsidRPr="00B74B0F">
              <w:rPr>
                <w:noProof/>
                <w:szCs w:val="22"/>
                <w:lang w:val="en-US"/>
              </w:rPr>
              <w:drawing>
                <wp:inline distT="0" distB="0" distL="0" distR="0" wp14:anchorId="4680BC4D" wp14:editId="53C4A65F">
                  <wp:extent cx="304800" cy="11430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20">
                            <a:extLst>
                              <a:ext uri="{28A0092B-C50C-407E-A947-70E740481C1C}">
                                <a14:useLocalDpi xmlns:a14="http://schemas.microsoft.com/office/drawing/2010/main" val="0"/>
                              </a:ext>
                            </a:extLst>
                          </a:blip>
                          <a:srcRect l="13834" t="13834"/>
                          <a:stretch>
                            <a:fillRect/>
                          </a:stretch>
                        </pic:blipFill>
                        <pic:spPr bwMode="auto">
                          <a:xfrm>
                            <a:off x="0" y="0"/>
                            <a:ext cx="304800" cy="114300"/>
                          </a:xfrm>
                          <a:prstGeom prst="rect">
                            <a:avLst/>
                          </a:prstGeom>
                          <a:noFill/>
                          <a:ln>
                            <a:noFill/>
                          </a:ln>
                        </pic:spPr>
                      </pic:pic>
                    </a:graphicData>
                  </a:graphic>
                </wp:inline>
              </w:drawing>
            </w:r>
            <w:r w:rsidRPr="00B74B0F">
              <w:rPr>
                <w:b/>
                <w:bCs/>
                <w:noProof/>
                <w:szCs w:val="22"/>
                <w:lang w:val="sr-Latn-ME"/>
              </w:rPr>
              <w:t xml:space="preserve"> RINVOQ 15 mg jedanput na dan </w:t>
            </w:r>
          </w:p>
        </w:tc>
      </w:tr>
      <w:tr w:rsidR="00BF75A1" w:rsidRPr="00B74B0F" w14:paraId="7083D2F0" w14:textId="77777777" w:rsidTr="00F22B92">
        <w:trPr>
          <w:trHeight w:val="213"/>
        </w:trPr>
        <w:tc>
          <w:tcPr>
            <w:tcW w:w="624" w:type="dxa"/>
            <w:vMerge/>
            <w:shd w:val="clear" w:color="auto" w:fill="auto"/>
          </w:tcPr>
          <w:p w14:paraId="1548E82D" w14:textId="77777777" w:rsidR="004E3BE3" w:rsidRPr="00B74B0F" w:rsidRDefault="004E3BE3">
            <w:pPr>
              <w:widowControl w:val="0"/>
              <w:tabs>
                <w:tab w:val="clear" w:pos="567"/>
              </w:tabs>
              <w:spacing w:line="240" w:lineRule="auto"/>
              <w:jc w:val="both"/>
              <w:rPr>
                <w:rFonts w:eastAsia="MS Mincho"/>
                <w:b/>
                <w:noProof/>
                <w:szCs w:val="22"/>
                <w:lang w:val="sr-Latn-ME" w:eastAsia="ja-JP"/>
              </w:rPr>
            </w:pPr>
          </w:p>
        </w:tc>
        <w:tc>
          <w:tcPr>
            <w:tcW w:w="4870" w:type="dxa"/>
            <w:gridSpan w:val="2"/>
            <w:shd w:val="clear" w:color="auto" w:fill="auto"/>
          </w:tcPr>
          <w:p w14:paraId="28FFC5E3" w14:textId="77777777" w:rsidR="004E3BE3" w:rsidRPr="00B74B0F" w:rsidRDefault="004E3BE3">
            <w:pPr>
              <w:widowControl w:val="0"/>
              <w:tabs>
                <w:tab w:val="left" w:pos="6534"/>
              </w:tabs>
              <w:spacing w:line="240" w:lineRule="auto"/>
              <w:jc w:val="both"/>
              <w:rPr>
                <w:b/>
                <w:bCs/>
                <w:noProof/>
                <w:szCs w:val="22"/>
                <w:lang w:val="sr-Latn-ME"/>
              </w:rPr>
            </w:pPr>
            <w:r w:rsidRPr="00B74B0F">
              <w:rPr>
                <w:noProof/>
                <w:szCs w:val="22"/>
                <w:lang w:val="en-US"/>
              </w:rPr>
              <w:drawing>
                <wp:inline distT="0" distB="0" distL="0" distR="0" wp14:anchorId="3A2F6088" wp14:editId="469708F6">
                  <wp:extent cx="295275" cy="114300"/>
                  <wp:effectExtent l="0" t="0" r="0" b="0"/>
                  <wp:docPr id="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95275" cy="114300"/>
                          </a:xfrm>
                          <a:prstGeom prst="rect">
                            <a:avLst/>
                          </a:prstGeom>
                          <a:noFill/>
                          <a:ln>
                            <a:noFill/>
                          </a:ln>
                        </pic:spPr>
                      </pic:pic>
                    </a:graphicData>
                  </a:graphic>
                </wp:inline>
              </w:drawing>
            </w:r>
            <w:r w:rsidRPr="00B74B0F">
              <w:rPr>
                <w:b/>
                <w:bCs/>
                <w:noProof/>
                <w:szCs w:val="22"/>
                <w:lang w:val="sr-Latn-ME"/>
              </w:rPr>
              <w:t xml:space="preserve"> RINVOQ 30 mg jedanput na dan</w:t>
            </w:r>
          </w:p>
        </w:tc>
        <w:tc>
          <w:tcPr>
            <w:tcW w:w="4871" w:type="dxa"/>
            <w:gridSpan w:val="3"/>
            <w:shd w:val="clear" w:color="auto" w:fill="auto"/>
          </w:tcPr>
          <w:p w14:paraId="77577080" w14:textId="77777777" w:rsidR="004E3BE3" w:rsidRPr="00B74B0F" w:rsidRDefault="004E3BE3">
            <w:pPr>
              <w:widowControl w:val="0"/>
              <w:tabs>
                <w:tab w:val="left" w:pos="6534"/>
              </w:tabs>
              <w:spacing w:line="240" w:lineRule="auto"/>
              <w:jc w:val="both"/>
              <w:rPr>
                <w:rFonts w:eastAsia="MS Mincho"/>
                <w:b/>
                <w:noProof/>
                <w:szCs w:val="22"/>
                <w:lang w:val="sr-Latn-ME" w:eastAsia="ja-JP"/>
              </w:rPr>
            </w:pPr>
            <w:r w:rsidRPr="00B74B0F">
              <w:rPr>
                <w:noProof/>
                <w:szCs w:val="22"/>
                <w:lang w:val="en-US"/>
              </w:rPr>
              <w:drawing>
                <wp:inline distT="0" distB="0" distL="0" distR="0" wp14:anchorId="2B3FB11E" wp14:editId="457A8704">
                  <wp:extent cx="295275" cy="114300"/>
                  <wp:effectExtent l="0" t="0" r="0" b="0"/>
                  <wp:docPr id="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295275" cy="114300"/>
                          </a:xfrm>
                          <a:prstGeom prst="rect">
                            <a:avLst/>
                          </a:prstGeom>
                          <a:noFill/>
                          <a:ln>
                            <a:noFill/>
                          </a:ln>
                        </pic:spPr>
                      </pic:pic>
                    </a:graphicData>
                  </a:graphic>
                </wp:inline>
              </w:drawing>
            </w:r>
            <w:r w:rsidRPr="00B74B0F">
              <w:rPr>
                <w:b/>
                <w:bCs/>
                <w:noProof/>
                <w:szCs w:val="22"/>
                <w:lang w:val="sr-Latn-ME"/>
              </w:rPr>
              <w:t xml:space="preserve"> RINVOQ 30 mg jedanput na dan </w:t>
            </w:r>
          </w:p>
        </w:tc>
      </w:tr>
    </w:tbl>
    <w:p w14:paraId="1924B9EF" w14:textId="77777777" w:rsidR="00AD1453" w:rsidRPr="00B74B0F" w:rsidRDefault="00AD1453">
      <w:pPr>
        <w:widowControl w:val="0"/>
        <w:spacing w:line="240" w:lineRule="auto"/>
        <w:jc w:val="both"/>
        <w:rPr>
          <w:noProof/>
          <w:szCs w:val="22"/>
          <w:lang w:val="sr-Latn-ME"/>
        </w:rPr>
      </w:pPr>
    </w:p>
    <w:p w14:paraId="13EC1B30" w14:textId="77777777" w:rsidR="004E3BE3" w:rsidRPr="00B74B0F" w:rsidRDefault="004E3BE3">
      <w:pPr>
        <w:widowControl w:val="0"/>
        <w:spacing w:line="240" w:lineRule="auto"/>
        <w:jc w:val="both"/>
        <w:rPr>
          <w:noProof/>
          <w:szCs w:val="22"/>
          <w:lang w:val="sr-Latn-ME"/>
        </w:rPr>
      </w:pPr>
      <w:r w:rsidRPr="00B74B0F">
        <w:rPr>
          <w:noProof/>
          <w:szCs w:val="22"/>
          <w:lang w:val="sr-Latn-ME"/>
        </w:rPr>
        <w:t>*: p‑vrijednost &lt; 0,001 u odnosu na placebo, bez kontrole za multiplicitet</w:t>
      </w:r>
    </w:p>
    <w:p w14:paraId="63DBB8EE" w14:textId="3AC6AD0A" w:rsidR="004E3BE3" w:rsidRPr="00B74B0F" w:rsidRDefault="004E3BE3">
      <w:pPr>
        <w:widowControl w:val="0"/>
        <w:spacing w:line="240" w:lineRule="auto"/>
        <w:jc w:val="both"/>
        <w:rPr>
          <w:noProof/>
          <w:szCs w:val="22"/>
          <w:lang w:val="sr-Latn-ME"/>
        </w:rPr>
      </w:pPr>
      <w:r w:rsidRPr="00B74B0F">
        <w:rPr>
          <w:noProof/>
          <w:szCs w:val="22"/>
          <w:lang w:val="sr-Latn-ME"/>
        </w:rPr>
        <w:t>**: statistički značajno u odnosu na placebo s</w:t>
      </w:r>
      <w:r w:rsidR="005845E0" w:rsidRPr="00B74B0F">
        <w:rPr>
          <w:noProof/>
          <w:szCs w:val="22"/>
          <w:lang w:val="sr-Latn-ME"/>
        </w:rPr>
        <w:t>a</w:t>
      </w:r>
      <w:r w:rsidRPr="00B74B0F">
        <w:rPr>
          <w:noProof/>
          <w:szCs w:val="22"/>
          <w:lang w:val="sr-Latn-ME"/>
        </w:rPr>
        <w:t xml:space="preserve"> p</w:t>
      </w:r>
      <w:r w:rsidRPr="00B74B0F">
        <w:rPr>
          <w:noProof/>
          <w:szCs w:val="22"/>
          <w:lang w:val="sr-Latn-ME"/>
        </w:rPr>
        <w:noBreakHyphen/>
        <w:t>vrijednošću &lt; 0,001</w:t>
      </w:r>
    </w:p>
    <w:p w14:paraId="7F528103" w14:textId="77777777" w:rsidR="004E3BE3" w:rsidRPr="00B74B0F" w:rsidRDefault="004E3BE3">
      <w:pPr>
        <w:widowControl w:val="0"/>
        <w:spacing w:line="240" w:lineRule="auto"/>
        <w:jc w:val="both"/>
        <w:rPr>
          <w:noProof/>
          <w:szCs w:val="22"/>
          <w:lang w:val="sr-Latn-ME"/>
        </w:rPr>
      </w:pPr>
    </w:p>
    <w:bookmarkEnd w:id="8"/>
    <w:p w14:paraId="1B2C4847" w14:textId="329A8C57" w:rsidR="004E3BE3" w:rsidRPr="00B74B0F" w:rsidRDefault="004E3BE3">
      <w:pPr>
        <w:spacing w:line="240" w:lineRule="auto"/>
        <w:jc w:val="both"/>
        <w:rPr>
          <w:noProof/>
          <w:szCs w:val="22"/>
          <w:lang w:val="sr-Latn-ME"/>
        </w:rPr>
      </w:pPr>
      <w:r w:rsidRPr="00B74B0F">
        <w:rPr>
          <w:noProof/>
          <w:szCs w:val="22"/>
          <w:lang w:val="sr-Latn-ME"/>
        </w:rPr>
        <w:t xml:space="preserve">Terapijski </w:t>
      </w:r>
      <w:r w:rsidR="004F1096" w:rsidRPr="00B74B0F">
        <w:rPr>
          <w:noProof/>
          <w:szCs w:val="22"/>
          <w:lang w:val="sr-Latn-ME"/>
        </w:rPr>
        <w:t>efekti</w:t>
      </w:r>
      <w:r w:rsidRPr="00B74B0F">
        <w:rPr>
          <w:noProof/>
          <w:szCs w:val="22"/>
          <w:lang w:val="sr-Latn-ME"/>
        </w:rPr>
        <w:t xml:space="preserve"> u pod</w:t>
      </w:r>
      <w:r w:rsidR="00181042" w:rsidRPr="00B74B0F">
        <w:rPr>
          <w:noProof/>
          <w:szCs w:val="22"/>
          <w:lang w:val="sr-Latn-ME"/>
        </w:rPr>
        <w:t>grupama</w:t>
      </w:r>
      <w:r w:rsidRPr="00B74B0F">
        <w:rPr>
          <w:noProof/>
          <w:szCs w:val="22"/>
          <w:lang w:val="sr-Latn-ME"/>
        </w:rPr>
        <w:t xml:space="preserve"> (tjelesna težina, dob, pol, rasa i prethodno sistemsko liječenje imunosupresivima) bili su u skladu s rezultatima u cjelokupnoj ispitivanoj populaciji.</w:t>
      </w:r>
    </w:p>
    <w:p w14:paraId="0CDD8CC2" w14:textId="77777777" w:rsidR="004E3BE3" w:rsidRPr="00B74B0F" w:rsidRDefault="004E3BE3">
      <w:pPr>
        <w:spacing w:line="240" w:lineRule="auto"/>
        <w:jc w:val="both"/>
        <w:rPr>
          <w:noProof/>
          <w:szCs w:val="22"/>
          <w:lang w:val="sr-Latn-ME"/>
        </w:rPr>
      </w:pPr>
    </w:p>
    <w:p w14:paraId="2A6DB476" w14:textId="10DA8D65" w:rsidR="004E3BE3" w:rsidRPr="00B74B0F" w:rsidRDefault="004E3BE3">
      <w:pPr>
        <w:spacing w:line="240" w:lineRule="auto"/>
        <w:jc w:val="both"/>
        <w:rPr>
          <w:noProof/>
          <w:szCs w:val="22"/>
          <w:lang w:val="sr-Latn-ME"/>
        </w:rPr>
      </w:pPr>
      <w:bookmarkStart w:id="9" w:name="_Hlk49193323"/>
      <w:r w:rsidRPr="00B74B0F">
        <w:rPr>
          <w:noProof/>
          <w:szCs w:val="22"/>
          <w:lang w:val="sr-Latn-ME"/>
        </w:rPr>
        <w:t>Rezultati u 16. </w:t>
      </w:r>
      <w:r w:rsidR="00181042" w:rsidRPr="00B74B0F">
        <w:rPr>
          <w:noProof/>
          <w:szCs w:val="22"/>
          <w:lang w:val="sr-Latn-ME"/>
        </w:rPr>
        <w:t>ned</w:t>
      </w:r>
      <w:r w:rsidR="004F1096" w:rsidRPr="00B74B0F">
        <w:rPr>
          <w:noProof/>
          <w:szCs w:val="22"/>
          <w:lang w:val="sr-Latn-ME"/>
        </w:rPr>
        <w:t>j</w:t>
      </w:r>
      <w:r w:rsidR="00181042" w:rsidRPr="00B74B0F">
        <w:rPr>
          <w:noProof/>
          <w:szCs w:val="22"/>
          <w:lang w:val="sr-Latn-ME"/>
        </w:rPr>
        <w:t>elji</w:t>
      </w:r>
      <w:r w:rsidRPr="00B74B0F">
        <w:rPr>
          <w:noProof/>
          <w:szCs w:val="22"/>
          <w:lang w:val="sr-Latn-ME"/>
        </w:rPr>
        <w:t xml:space="preserve"> održali su se do 52. </w:t>
      </w:r>
      <w:r w:rsidR="004F1096" w:rsidRPr="00B74B0F">
        <w:rPr>
          <w:noProof/>
          <w:szCs w:val="22"/>
          <w:lang w:val="sr-Latn-ME"/>
        </w:rPr>
        <w:t>nedjelje</w:t>
      </w:r>
      <w:r w:rsidRPr="00B74B0F">
        <w:rPr>
          <w:noProof/>
          <w:szCs w:val="22"/>
          <w:lang w:val="sr-Latn-ME"/>
        </w:rPr>
        <w:t xml:space="preserve"> </w:t>
      </w:r>
      <w:r w:rsidR="004F1096" w:rsidRPr="00B74B0F">
        <w:rPr>
          <w:noProof/>
          <w:szCs w:val="22"/>
          <w:lang w:val="sr-Latn-ME"/>
        </w:rPr>
        <w:t>kod</w:t>
      </w:r>
      <w:r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liječenih upadacitinibom u dozi od </w:t>
      </w:r>
      <w:r w:rsidRPr="00B74B0F">
        <w:rPr>
          <w:noProof/>
          <w:szCs w:val="22"/>
          <w:lang w:val="sr-Latn-ME"/>
        </w:rPr>
        <w:br/>
        <w:t>15 mg ili 30 mg.</w:t>
      </w:r>
    </w:p>
    <w:p w14:paraId="4DB0DF5E" w14:textId="77777777" w:rsidR="004E3BE3" w:rsidRPr="00B74B0F" w:rsidRDefault="004E3BE3">
      <w:pPr>
        <w:spacing w:line="240" w:lineRule="auto"/>
        <w:jc w:val="both"/>
        <w:rPr>
          <w:noProof/>
          <w:szCs w:val="22"/>
          <w:lang w:val="sr-Latn-ME"/>
        </w:rPr>
      </w:pPr>
    </w:p>
    <w:p w14:paraId="15760473" w14:textId="2B6F1B4F" w:rsidR="004E3BE3" w:rsidRPr="00B74B0F" w:rsidRDefault="004E3BE3">
      <w:pPr>
        <w:keepNext/>
        <w:spacing w:line="240" w:lineRule="auto"/>
        <w:jc w:val="both"/>
        <w:rPr>
          <w:rFonts w:eastAsia="+mn-ea"/>
          <w:i/>
          <w:iCs/>
          <w:noProof/>
          <w:kern w:val="24"/>
          <w:szCs w:val="22"/>
          <w:lang w:val="sr-Latn-ME"/>
        </w:rPr>
      </w:pPr>
      <w:r w:rsidRPr="00B74B0F">
        <w:rPr>
          <w:rFonts w:eastAsia="+mn-ea"/>
          <w:i/>
          <w:iCs/>
          <w:noProof/>
          <w:kern w:val="24"/>
          <w:szCs w:val="22"/>
          <w:lang w:val="sr-Latn-ME"/>
        </w:rPr>
        <w:t xml:space="preserve">Kvalitet života/ishodi koje prijavljuju </w:t>
      </w:r>
      <w:r w:rsidR="00181042" w:rsidRPr="00B74B0F">
        <w:rPr>
          <w:rFonts w:eastAsia="+mn-ea"/>
          <w:i/>
          <w:iCs/>
          <w:noProof/>
          <w:kern w:val="24"/>
          <w:szCs w:val="22"/>
          <w:lang w:val="sr-Latn-ME"/>
        </w:rPr>
        <w:t>pacijenti</w:t>
      </w:r>
    </w:p>
    <w:p w14:paraId="6B956772" w14:textId="77777777" w:rsidR="004E3BE3" w:rsidRPr="00B74B0F" w:rsidRDefault="004E3BE3">
      <w:pPr>
        <w:keepNext/>
        <w:spacing w:line="240" w:lineRule="auto"/>
        <w:jc w:val="both"/>
        <w:rPr>
          <w:noProof/>
          <w:szCs w:val="22"/>
          <w:lang w:val="sr-Latn-ME"/>
        </w:rPr>
      </w:pPr>
    </w:p>
    <w:p w14:paraId="5DAE7F0B" w14:textId="5EDE36EC" w:rsidR="004E3BE3" w:rsidRPr="00B74B0F" w:rsidRDefault="004E3BE3">
      <w:pPr>
        <w:keepNext/>
        <w:autoSpaceDE w:val="0"/>
        <w:autoSpaceDN w:val="0"/>
        <w:adjustRightInd w:val="0"/>
        <w:spacing w:line="240" w:lineRule="auto"/>
        <w:jc w:val="both"/>
        <w:rPr>
          <w:rFonts w:eastAsia="Calibri"/>
          <w:bCs/>
          <w:szCs w:val="22"/>
          <w:lang w:val="sr-Latn-ME"/>
        </w:rPr>
      </w:pPr>
      <w:r w:rsidRPr="00B74B0F">
        <w:rPr>
          <w:rFonts w:eastAsia="+mn-ea"/>
          <w:b/>
          <w:bCs/>
          <w:kern w:val="24"/>
          <w:szCs w:val="22"/>
          <w:lang w:val="sr-Latn-ME"/>
        </w:rPr>
        <w:t>Tab</w:t>
      </w:r>
      <w:r w:rsidR="004F1096" w:rsidRPr="00B74B0F">
        <w:rPr>
          <w:rFonts w:eastAsia="+mn-ea"/>
          <w:b/>
          <w:bCs/>
          <w:kern w:val="24"/>
          <w:szCs w:val="22"/>
          <w:lang w:val="sr-Latn-ME"/>
        </w:rPr>
        <w:t>ela</w:t>
      </w:r>
      <w:r w:rsidRPr="00B74B0F">
        <w:rPr>
          <w:rFonts w:eastAsia="+mn-ea"/>
          <w:b/>
          <w:bCs/>
          <w:kern w:val="24"/>
          <w:szCs w:val="22"/>
          <w:lang w:val="sr-Latn-ME"/>
        </w:rPr>
        <w:t> 1</w:t>
      </w:r>
      <w:r w:rsidR="004F1096" w:rsidRPr="00B74B0F">
        <w:rPr>
          <w:rFonts w:eastAsia="+mn-ea"/>
          <w:b/>
          <w:bCs/>
          <w:kern w:val="24"/>
          <w:szCs w:val="22"/>
          <w:lang w:val="sr-Latn-ME"/>
        </w:rPr>
        <w:t>3:</w:t>
      </w:r>
      <w:r w:rsidRPr="00B74B0F">
        <w:rPr>
          <w:rFonts w:eastAsia="+mn-ea"/>
          <w:b/>
          <w:bCs/>
          <w:kern w:val="24"/>
          <w:szCs w:val="22"/>
          <w:lang w:val="sr-Latn-ME"/>
        </w:rPr>
        <w:t xml:space="preserve"> Ishodi koje prijavljuju </w:t>
      </w:r>
      <w:r w:rsidR="00181042" w:rsidRPr="00B74B0F">
        <w:rPr>
          <w:rFonts w:eastAsia="+mn-ea"/>
          <w:b/>
          <w:bCs/>
          <w:kern w:val="24"/>
          <w:szCs w:val="22"/>
          <w:lang w:val="sr-Latn-ME"/>
        </w:rPr>
        <w:t>pacijenti</w:t>
      </w:r>
      <w:r w:rsidRPr="00B74B0F">
        <w:rPr>
          <w:rFonts w:eastAsia="+mn-ea"/>
          <w:b/>
          <w:bCs/>
          <w:kern w:val="24"/>
          <w:szCs w:val="22"/>
          <w:lang w:val="sr-Latn-ME"/>
        </w:rPr>
        <w:t>, rezultati za upadacitinib u 16. </w:t>
      </w:r>
      <w:r w:rsidR="00181042" w:rsidRPr="00B74B0F">
        <w:rPr>
          <w:rFonts w:eastAsia="+mn-ea"/>
          <w:b/>
          <w:bCs/>
          <w:kern w:val="24"/>
          <w:szCs w:val="22"/>
          <w:lang w:val="sr-Latn-ME"/>
        </w:rPr>
        <w:t>ned</w:t>
      </w:r>
      <w:r w:rsidR="004F1096" w:rsidRPr="00B74B0F">
        <w:rPr>
          <w:rFonts w:eastAsia="+mn-ea"/>
          <w:b/>
          <w:bCs/>
          <w:kern w:val="24"/>
          <w:szCs w:val="22"/>
          <w:lang w:val="sr-Latn-ME"/>
        </w:rPr>
        <w:t>j</w:t>
      </w:r>
      <w:r w:rsidR="00181042" w:rsidRPr="00B74B0F">
        <w:rPr>
          <w:rFonts w:eastAsia="+mn-ea"/>
          <w:b/>
          <w:bCs/>
          <w:kern w:val="24"/>
          <w:szCs w:val="22"/>
          <w:lang w:val="sr-Latn-ME"/>
        </w:rPr>
        <w:t>elji</w:t>
      </w:r>
    </w:p>
    <w:p w14:paraId="0A4CA1F1" w14:textId="77777777" w:rsidR="004E3BE3" w:rsidRPr="00B74B0F" w:rsidRDefault="004E3BE3">
      <w:pPr>
        <w:keepNext/>
        <w:autoSpaceDE w:val="0"/>
        <w:autoSpaceDN w:val="0"/>
        <w:adjustRightInd w:val="0"/>
        <w:spacing w:line="240" w:lineRule="auto"/>
        <w:jc w:val="both"/>
        <w:rPr>
          <w:rFonts w:eastAsia="Calibri"/>
          <w:bCs/>
          <w:noProof/>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2942"/>
        <w:gridCol w:w="940"/>
        <w:gridCol w:w="988"/>
        <w:gridCol w:w="1131"/>
        <w:gridCol w:w="988"/>
        <w:gridCol w:w="941"/>
        <w:gridCol w:w="1131"/>
      </w:tblGrid>
      <w:tr w:rsidR="00BF75A1" w:rsidRPr="00B74B0F" w14:paraId="649F40FB" w14:textId="77777777" w:rsidTr="00F22B92">
        <w:trPr>
          <w:trHeight w:val="298"/>
        </w:trPr>
        <w:tc>
          <w:tcPr>
            <w:tcW w:w="1624" w:type="pct"/>
            <w:shd w:val="clear" w:color="auto" w:fill="auto"/>
          </w:tcPr>
          <w:p w14:paraId="38ED3EF7" w14:textId="77777777" w:rsidR="004E3BE3" w:rsidRPr="00B74B0F" w:rsidRDefault="004E3BE3">
            <w:pPr>
              <w:keepNext/>
              <w:spacing w:line="240" w:lineRule="auto"/>
              <w:jc w:val="both"/>
              <w:rPr>
                <w:b/>
                <w:bCs/>
                <w:noProof/>
                <w:szCs w:val="22"/>
                <w:lang w:val="sr-Latn-ME"/>
              </w:rPr>
            </w:pPr>
            <w:r w:rsidRPr="00B74B0F">
              <w:rPr>
                <w:b/>
                <w:bCs/>
                <w:noProof/>
                <w:szCs w:val="22"/>
                <w:lang w:val="sr-Latn-ME"/>
              </w:rPr>
              <w:t>Ispitivanje</w:t>
            </w:r>
          </w:p>
        </w:tc>
        <w:tc>
          <w:tcPr>
            <w:tcW w:w="1688" w:type="pct"/>
            <w:gridSpan w:val="3"/>
            <w:shd w:val="clear" w:color="auto" w:fill="auto"/>
          </w:tcPr>
          <w:p w14:paraId="00956E37" w14:textId="77777777" w:rsidR="004E3BE3" w:rsidRPr="00B74B0F" w:rsidRDefault="004E3BE3">
            <w:pPr>
              <w:keepNext/>
              <w:spacing w:line="240" w:lineRule="auto"/>
              <w:jc w:val="both"/>
              <w:rPr>
                <w:b/>
                <w:bCs/>
                <w:noProof/>
                <w:szCs w:val="22"/>
                <w:lang w:val="sr-Latn-ME"/>
              </w:rPr>
            </w:pPr>
            <w:r w:rsidRPr="00B74B0F">
              <w:rPr>
                <w:b/>
                <w:bCs/>
                <w:noProof/>
                <w:szCs w:val="22"/>
                <w:lang w:val="sr-Latn-ME"/>
              </w:rPr>
              <w:t>MEASURE UP 1</w:t>
            </w:r>
          </w:p>
        </w:tc>
        <w:tc>
          <w:tcPr>
            <w:tcW w:w="1688" w:type="pct"/>
            <w:gridSpan w:val="3"/>
            <w:shd w:val="clear" w:color="auto" w:fill="auto"/>
          </w:tcPr>
          <w:p w14:paraId="7FB1D758" w14:textId="77777777" w:rsidR="004E3BE3" w:rsidRPr="00B74B0F" w:rsidRDefault="004E3BE3">
            <w:pPr>
              <w:keepNext/>
              <w:spacing w:line="240" w:lineRule="auto"/>
              <w:jc w:val="both"/>
              <w:rPr>
                <w:b/>
                <w:bCs/>
                <w:noProof/>
                <w:szCs w:val="22"/>
                <w:lang w:val="sr-Latn-ME"/>
              </w:rPr>
            </w:pPr>
            <w:r w:rsidRPr="00B74B0F">
              <w:rPr>
                <w:b/>
                <w:bCs/>
                <w:noProof/>
                <w:szCs w:val="22"/>
                <w:lang w:val="sr-Latn-ME"/>
              </w:rPr>
              <w:t>MEASURE UP 2</w:t>
            </w:r>
          </w:p>
        </w:tc>
      </w:tr>
      <w:tr w:rsidR="00BF75A1" w:rsidRPr="00B74B0F" w14:paraId="2A959532" w14:textId="77777777" w:rsidTr="00F22B92">
        <w:trPr>
          <w:trHeight w:val="525"/>
        </w:trPr>
        <w:tc>
          <w:tcPr>
            <w:tcW w:w="1624" w:type="pct"/>
            <w:shd w:val="clear" w:color="auto" w:fill="auto"/>
          </w:tcPr>
          <w:p w14:paraId="4C8CC5DC" w14:textId="54D3CA8A" w:rsidR="004E3BE3" w:rsidRPr="00B74B0F" w:rsidRDefault="004E3BE3">
            <w:pPr>
              <w:spacing w:line="240" w:lineRule="auto"/>
              <w:jc w:val="both"/>
              <w:rPr>
                <w:i/>
                <w:iCs/>
                <w:noProof/>
                <w:szCs w:val="22"/>
                <w:lang w:val="sr-Latn-ME"/>
              </w:rPr>
            </w:pPr>
            <w:r w:rsidRPr="00B74B0F">
              <w:rPr>
                <w:noProof/>
                <w:szCs w:val="22"/>
                <w:lang w:val="sr-Latn-ME"/>
              </w:rPr>
              <w:t xml:space="preserve">Liječena </w:t>
            </w:r>
            <w:r w:rsidR="00181042" w:rsidRPr="00B74B0F">
              <w:rPr>
                <w:noProof/>
                <w:szCs w:val="22"/>
                <w:lang w:val="sr-Latn-ME"/>
              </w:rPr>
              <w:t>grupa</w:t>
            </w:r>
          </w:p>
        </w:tc>
        <w:tc>
          <w:tcPr>
            <w:tcW w:w="519" w:type="pct"/>
            <w:shd w:val="clear" w:color="auto" w:fill="auto"/>
          </w:tcPr>
          <w:p w14:paraId="4F8F593F" w14:textId="77777777" w:rsidR="004E3BE3" w:rsidRPr="00B74B0F" w:rsidRDefault="004E3BE3" w:rsidP="00A30C3C">
            <w:pPr>
              <w:spacing w:line="240" w:lineRule="auto"/>
              <w:jc w:val="both"/>
              <w:rPr>
                <w:noProof/>
                <w:szCs w:val="22"/>
                <w:lang w:val="sr-Latn-ME"/>
              </w:rPr>
            </w:pPr>
            <w:r w:rsidRPr="00B74B0F">
              <w:rPr>
                <w:noProof/>
                <w:szCs w:val="22"/>
                <w:lang w:val="sr-Latn-ME"/>
              </w:rPr>
              <w:t>PBO</w:t>
            </w:r>
          </w:p>
        </w:tc>
        <w:tc>
          <w:tcPr>
            <w:tcW w:w="545" w:type="pct"/>
            <w:shd w:val="clear" w:color="auto" w:fill="auto"/>
          </w:tcPr>
          <w:p w14:paraId="495F94F0" w14:textId="77777777" w:rsidR="004E3BE3" w:rsidRPr="00B74B0F" w:rsidRDefault="004E3BE3" w:rsidP="00A30C3C">
            <w:pPr>
              <w:spacing w:line="240" w:lineRule="auto"/>
              <w:jc w:val="both"/>
              <w:rPr>
                <w:noProof/>
                <w:szCs w:val="22"/>
                <w:lang w:val="sr-Latn-ME"/>
              </w:rPr>
            </w:pPr>
            <w:r w:rsidRPr="00B74B0F">
              <w:rPr>
                <w:noProof/>
                <w:szCs w:val="22"/>
                <w:lang w:val="sr-Latn-ME"/>
              </w:rPr>
              <w:t>UPA</w:t>
            </w:r>
          </w:p>
          <w:p w14:paraId="72E186DD" w14:textId="77777777" w:rsidR="004E3BE3" w:rsidRPr="00B74B0F" w:rsidRDefault="004E3BE3" w:rsidP="00A30C3C">
            <w:pPr>
              <w:spacing w:line="240" w:lineRule="auto"/>
              <w:jc w:val="both"/>
              <w:rPr>
                <w:noProof/>
                <w:szCs w:val="22"/>
                <w:lang w:val="sr-Latn-ME"/>
              </w:rPr>
            </w:pPr>
            <w:r w:rsidRPr="00B74B0F">
              <w:rPr>
                <w:noProof/>
                <w:szCs w:val="22"/>
                <w:lang w:val="sr-Latn-ME"/>
              </w:rPr>
              <w:t>15 mg</w:t>
            </w:r>
          </w:p>
        </w:tc>
        <w:tc>
          <w:tcPr>
            <w:tcW w:w="624" w:type="pct"/>
            <w:shd w:val="clear" w:color="auto" w:fill="auto"/>
          </w:tcPr>
          <w:p w14:paraId="50FFB7A8" w14:textId="77777777" w:rsidR="004E3BE3" w:rsidRPr="00B74B0F" w:rsidRDefault="004E3BE3" w:rsidP="00A30C3C">
            <w:pPr>
              <w:spacing w:line="240" w:lineRule="auto"/>
              <w:jc w:val="both"/>
              <w:rPr>
                <w:noProof/>
                <w:szCs w:val="22"/>
                <w:lang w:val="sr-Latn-ME"/>
              </w:rPr>
            </w:pPr>
            <w:r w:rsidRPr="00B74B0F">
              <w:rPr>
                <w:noProof/>
                <w:szCs w:val="22"/>
                <w:lang w:val="sr-Latn-ME"/>
              </w:rPr>
              <w:t>UPA</w:t>
            </w:r>
          </w:p>
          <w:p w14:paraId="7D358D1B" w14:textId="77777777" w:rsidR="004E3BE3" w:rsidRPr="00B74B0F" w:rsidRDefault="004E3BE3" w:rsidP="00A30C3C">
            <w:pPr>
              <w:spacing w:line="240" w:lineRule="auto"/>
              <w:jc w:val="both"/>
              <w:rPr>
                <w:noProof/>
                <w:szCs w:val="22"/>
                <w:lang w:val="sr-Latn-ME"/>
              </w:rPr>
            </w:pPr>
            <w:r w:rsidRPr="00B74B0F">
              <w:rPr>
                <w:noProof/>
                <w:szCs w:val="22"/>
                <w:lang w:val="sr-Latn-ME"/>
              </w:rPr>
              <w:t>30 mg</w:t>
            </w:r>
          </w:p>
        </w:tc>
        <w:tc>
          <w:tcPr>
            <w:tcW w:w="545" w:type="pct"/>
            <w:shd w:val="clear" w:color="auto" w:fill="auto"/>
          </w:tcPr>
          <w:p w14:paraId="0A73464A" w14:textId="77777777" w:rsidR="004E3BE3" w:rsidRPr="00B74B0F" w:rsidRDefault="004E3BE3" w:rsidP="00A30C3C">
            <w:pPr>
              <w:spacing w:line="240" w:lineRule="auto"/>
              <w:jc w:val="both"/>
              <w:rPr>
                <w:noProof/>
                <w:szCs w:val="22"/>
                <w:lang w:val="sr-Latn-ME"/>
              </w:rPr>
            </w:pPr>
            <w:r w:rsidRPr="00B74B0F">
              <w:rPr>
                <w:noProof/>
                <w:szCs w:val="22"/>
                <w:lang w:val="sr-Latn-ME"/>
              </w:rPr>
              <w:t>PBO</w:t>
            </w:r>
          </w:p>
        </w:tc>
        <w:tc>
          <w:tcPr>
            <w:tcW w:w="519" w:type="pct"/>
            <w:shd w:val="clear" w:color="auto" w:fill="auto"/>
          </w:tcPr>
          <w:p w14:paraId="035C3391" w14:textId="77777777" w:rsidR="004E3BE3" w:rsidRPr="00B74B0F" w:rsidRDefault="004E3BE3" w:rsidP="00A30C3C">
            <w:pPr>
              <w:spacing w:line="240" w:lineRule="auto"/>
              <w:jc w:val="both"/>
              <w:rPr>
                <w:noProof/>
                <w:szCs w:val="22"/>
                <w:lang w:val="sr-Latn-ME"/>
              </w:rPr>
            </w:pPr>
            <w:r w:rsidRPr="00B74B0F">
              <w:rPr>
                <w:noProof/>
                <w:szCs w:val="22"/>
                <w:lang w:val="sr-Latn-ME"/>
              </w:rPr>
              <w:t>UPA</w:t>
            </w:r>
          </w:p>
          <w:p w14:paraId="0332FB60" w14:textId="77777777" w:rsidR="004E3BE3" w:rsidRPr="00B74B0F" w:rsidRDefault="004E3BE3" w:rsidP="00A30C3C">
            <w:pPr>
              <w:spacing w:line="240" w:lineRule="auto"/>
              <w:jc w:val="both"/>
              <w:rPr>
                <w:noProof/>
                <w:szCs w:val="22"/>
                <w:lang w:val="sr-Latn-ME"/>
              </w:rPr>
            </w:pPr>
            <w:r w:rsidRPr="00B74B0F">
              <w:rPr>
                <w:noProof/>
                <w:szCs w:val="22"/>
                <w:lang w:val="sr-Latn-ME"/>
              </w:rPr>
              <w:t>15 mg</w:t>
            </w:r>
          </w:p>
        </w:tc>
        <w:tc>
          <w:tcPr>
            <w:tcW w:w="623" w:type="pct"/>
            <w:shd w:val="clear" w:color="auto" w:fill="auto"/>
          </w:tcPr>
          <w:p w14:paraId="55E2401B" w14:textId="77777777" w:rsidR="004E3BE3" w:rsidRPr="00B74B0F" w:rsidRDefault="004E3BE3" w:rsidP="00A30C3C">
            <w:pPr>
              <w:spacing w:line="240" w:lineRule="auto"/>
              <w:jc w:val="both"/>
              <w:rPr>
                <w:noProof/>
                <w:szCs w:val="22"/>
                <w:lang w:val="sr-Latn-ME"/>
              </w:rPr>
            </w:pPr>
            <w:r w:rsidRPr="00B74B0F">
              <w:rPr>
                <w:noProof/>
                <w:szCs w:val="22"/>
                <w:lang w:val="sr-Latn-ME"/>
              </w:rPr>
              <w:t>UPA</w:t>
            </w:r>
          </w:p>
          <w:p w14:paraId="63C2286C" w14:textId="77777777" w:rsidR="004E3BE3" w:rsidRPr="00B74B0F" w:rsidRDefault="004E3BE3" w:rsidP="00A30C3C">
            <w:pPr>
              <w:spacing w:line="240" w:lineRule="auto"/>
              <w:jc w:val="both"/>
              <w:rPr>
                <w:noProof/>
                <w:szCs w:val="22"/>
                <w:lang w:val="sr-Latn-ME"/>
              </w:rPr>
            </w:pPr>
            <w:r w:rsidRPr="00B74B0F">
              <w:rPr>
                <w:noProof/>
                <w:szCs w:val="22"/>
                <w:lang w:val="sr-Latn-ME"/>
              </w:rPr>
              <w:t>30 mg</w:t>
            </w:r>
          </w:p>
        </w:tc>
      </w:tr>
      <w:tr w:rsidR="00BF75A1" w:rsidRPr="00B74B0F" w14:paraId="0F92446A" w14:textId="77777777" w:rsidTr="00F22B92">
        <w:trPr>
          <w:trHeight w:val="525"/>
        </w:trPr>
        <w:tc>
          <w:tcPr>
            <w:tcW w:w="1624" w:type="pct"/>
            <w:shd w:val="clear" w:color="auto" w:fill="auto"/>
            <w:vAlign w:val="center"/>
          </w:tcPr>
          <w:p w14:paraId="47897076" w14:textId="77777777" w:rsidR="004E3BE3" w:rsidRPr="00B74B0F" w:rsidRDefault="004E3BE3">
            <w:pPr>
              <w:keepNext/>
              <w:autoSpaceDE w:val="0"/>
              <w:autoSpaceDN w:val="0"/>
              <w:adjustRightInd w:val="0"/>
              <w:spacing w:line="240" w:lineRule="auto"/>
              <w:jc w:val="both"/>
              <w:rPr>
                <w:rFonts w:eastAsia="SimSun"/>
                <w:noProof/>
                <w:szCs w:val="22"/>
                <w:lang w:val="sr-Latn-ME"/>
              </w:rPr>
            </w:pPr>
            <w:r w:rsidRPr="00B74B0F">
              <w:rPr>
                <w:rFonts w:eastAsia="SimSun"/>
                <w:noProof/>
                <w:szCs w:val="22"/>
                <w:lang w:val="sr-Latn-ME"/>
              </w:rPr>
              <w:t>Broj ispitanika</w:t>
            </w:r>
          </w:p>
          <w:p w14:paraId="7EAC3BC6" w14:textId="0DEDE04B" w:rsidR="004E3BE3" w:rsidRPr="00B74B0F" w:rsidRDefault="004E3BE3">
            <w:pPr>
              <w:spacing w:line="240" w:lineRule="auto"/>
              <w:jc w:val="both"/>
              <w:rPr>
                <w:noProof/>
                <w:szCs w:val="22"/>
                <w:lang w:val="sr-Latn-ME"/>
              </w:rPr>
            </w:pPr>
            <w:r w:rsidRPr="00B74B0F">
              <w:rPr>
                <w:rFonts w:eastAsia="SimSun"/>
                <w:noProof/>
                <w:szCs w:val="22"/>
                <w:lang w:val="sr-Latn-ME"/>
              </w:rPr>
              <w:t>koji su randomiz</w:t>
            </w:r>
            <w:r w:rsidR="004F1096" w:rsidRPr="00B74B0F">
              <w:rPr>
                <w:rFonts w:eastAsia="SimSun"/>
                <w:noProof/>
                <w:szCs w:val="22"/>
                <w:lang w:val="sr-Latn-ME"/>
              </w:rPr>
              <w:t>ov</w:t>
            </w:r>
            <w:r w:rsidRPr="00B74B0F">
              <w:rPr>
                <w:rFonts w:eastAsia="SimSun"/>
                <w:noProof/>
                <w:szCs w:val="22"/>
                <w:lang w:val="sr-Latn-ME"/>
              </w:rPr>
              <w:t>ani</w:t>
            </w:r>
          </w:p>
        </w:tc>
        <w:tc>
          <w:tcPr>
            <w:tcW w:w="519" w:type="pct"/>
            <w:shd w:val="clear" w:color="auto" w:fill="auto"/>
          </w:tcPr>
          <w:p w14:paraId="307E2420" w14:textId="77777777" w:rsidR="004E3BE3" w:rsidRPr="00B74B0F" w:rsidRDefault="004E3BE3" w:rsidP="00A30C3C">
            <w:pPr>
              <w:spacing w:line="240" w:lineRule="auto"/>
              <w:jc w:val="both"/>
              <w:rPr>
                <w:noProof/>
                <w:szCs w:val="22"/>
                <w:lang w:val="sr-Latn-ME"/>
              </w:rPr>
            </w:pPr>
            <w:r w:rsidRPr="00B74B0F">
              <w:rPr>
                <w:noProof/>
                <w:szCs w:val="22"/>
                <w:lang w:val="sr-Latn-ME"/>
              </w:rPr>
              <w:t>281</w:t>
            </w:r>
          </w:p>
        </w:tc>
        <w:tc>
          <w:tcPr>
            <w:tcW w:w="545" w:type="pct"/>
            <w:shd w:val="clear" w:color="auto" w:fill="auto"/>
          </w:tcPr>
          <w:p w14:paraId="723CA994" w14:textId="77777777" w:rsidR="004E3BE3" w:rsidRPr="00B74B0F" w:rsidRDefault="004E3BE3" w:rsidP="00A30C3C">
            <w:pPr>
              <w:spacing w:line="240" w:lineRule="auto"/>
              <w:jc w:val="both"/>
              <w:rPr>
                <w:noProof/>
                <w:szCs w:val="22"/>
                <w:lang w:val="sr-Latn-ME"/>
              </w:rPr>
            </w:pPr>
            <w:r w:rsidRPr="00B74B0F">
              <w:rPr>
                <w:noProof/>
                <w:szCs w:val="22"/>
                <w:lang w:val="sr-Latn-ME"/>
              </w:rPr>
              <w:t>281</w:t>
            </w:r>
          </w:p>
        </w:tc>
        <w:tc>
          <w:tcPr>
            <w:tcW w:w="624" w:type="pct"/>
            <w:shd w:val="clear" w:color="auto" w:fill="auto"/>
          </w:tcPr>
          <w:p w14:paraId="1C427752" w14:textId="77777777" w:rsidR="004E3BE3" w:rsidRPr="00B74B0F" w:rsidRDefault="004E3BE3" w:rsidP="00A30C3C">
            <w:pPr>
              <w:spacing w:line="240" w:lineRule="auto"/>
              <w:jc w:val="both"/>
              <w:rPr>
                <w:noProof/>
                <w:szCs w:val="22"/>
                <w:lang w:val="sr-Latn-ME"/>
              </w:rPr>
            </w:pPr>
            <w:r w:rsidRPr="00B74B0F">
              <w:rPr>
                <w:noProof/>
                <w:szCs w:val="22"/>
                <w:lang w:val="sr-Latn-ME"/>
              </w:rPr>
              <w:t>285</w:t>
            </w:r>
          </w:p>
        </w:tc>
        <w:tc>
          <w:tcPr>
            <w:tcW w:w="545" w:type="pct"/>
            <w:shd w:val="clear" w:color="auto" w:fill="auto"/>
          </w:tcPr>
          <w:p w14:paraId="3CE855A3" w14:textId="77777777" w:rsidR="004E3BE3" w:rsidRPr="00B74B0F" w:rsidRDefault="004E3BE3" w:rsidP="00A30C3C">
            <w:pPr>
              <w:spacing w:line="240" w:lineRule="auto"/>
              <w:jc w:val="both"/>
              <w:rPr>
                <w:noProof/>
                <w:szCs w:val="22"/>
                <w:lang w:val="sr-Latn-ME"/>
              </w:rPr>
            </w:pPr>
            <w:r w:rsidRPr="00B74B0F">
              <w:rPr>
                <w:noProof/>
                <w:szCs w:val="22"/>
                <w:lang w:val="sr-Latn-ME"/>
              </w:rPr>
              <w:t>278</w:t>
            </w:r>
          </w:p>
        </w:tc>
        <w:tc>
          <w:tcPr>
            <w:tcW w:w="519" w:type="pct"/>
            <w:shd w:val="clear" w:color="auto" w:fill="auto"/>
          </w:tcPr>
          <w:p w14:paraId="382A27AE" w14:textId="77777777" w:rsidR="004E3BE3" w:rsidRPr="00B74B0F" w:rsidRDefault="004E3BE3" w:rsidP="00A30C3C">
            <w:pPr>
              <w:spacing w:line="240" w:lineRule="auto"/>
              <w:jc w:val="both"/>
              <w:rPr>
                <w:noProof/>
                <w:szCs w:val="22"/>
                <w:lang w:val="sr-Latn-ME"/>
              </w:rPr>
            </w:pPr>
            <w:r w:rsidRPr="00B74B0F">
              <w:rPr>
                <w:noProof/>
                <w:szCs w:val="22"/>
                <w:lang w:val="sr-Latn-ME"/>
              </w:rPr>
              <w:t>276</w:t>
            </w:r>
          </w:p>
        </w:tc>
        <w:tc>
          <w:tcPr>
            <w:tcW w:w="623" w:type="pct"/>
            <w:shd w:val="clear" w:color="auto" w:fill="auto"/>
          </w:tcPr>
          <w:p w14:paraId="44411368" w14:textId="77777777" w:rsidR="004E3BE3" w:rsidRPr="00B74B0F" w:rsidRDefault="004E3BE3" w:rsidP="00A30C3C">
            <w:pPr>
              <w:spacing w:line="240" w:lineRule="auto"/>
              <w:jc w:val="both"/>
              <w:rPr>
                <w:noProof/>
                <w:szCs w:val="22"/>
                <w:lang w:val="sr-Latn-ME"/>
              </w:rPr>
            </w:pPr>
            <w:r w:rsidRPr="00B74B0F">
              <w:rPr>
                <w:noProof/>
                <w:szCs w:val="22"/>
                <w:lang w:val="sr-Latn-ME"/>
              </w:rPr>
              <w:t>282</w:t>
            </w:r>
          </w:p>
        </w:tc>
      </w:tr>
      <w:tr w:rsidR="00BF75A1" w:rsidRPr="00B74B0F" w14:paraId="28786F49" w14:textId="77777777" w:rsidTr="00F22B92">
        <w:trPr>
          <w:trHeight w:val="350"/>
        </w:trPr>
        <w:tc>
          <w:tcPr>
            <w:tcW w:w="5000" w:type="pct"/>
            <w:gridSpan w:val="7"/>
            <w:shd w:val="clear" w:color="auto" w:fill="auto"/>
          </w:tcPr>
          <w:p w14:paraId="795762DB" w14:textId="3C74DDDE" w:rsidR="004E3BE3" w:rsidRPr="00B74B0F" w:rsidRDefault="004E3BE3">
            <w:pPr>
              <w:spacing w:line="240" w:lineRule="auto"/>
              <w:jc w:val="both"/>
              <w:rPr>
                <w:b/>
                <w:bCs/>
                <w:noProof/>
                <w:szCs w:val="22"/>
                <w:lang w:val="sr-Latn-ME"/>
              </w:rPr>
            </w:pPr>
            <w:r w:rsidRPr="00B74B0F">
              <w:rPr>
                <w:b/>
                <w:bCs/>
                <w:noProof/>
                <w:szCs w:val="22"/>
                <w:lang w:val="sr-Latn-ME"/>
              </w:rPr>
              <w:t xml:space="preserve">% </w:t>
            </w:r>
            <w:r w:rsidR="00181042" w:rsidRPr="00B74B0F">
              <w:rPr>
                <w:b/>
                <w:bCs/>
                <w:noProof/>
                <w:szCs w:val="22"/>
                <w:lang w:val="sr-Latn-ME"/>
              </w:rPr>
              <w:t>pacijenata</w:t>
            </w:r>
            <w:r w:rsidRPr="00B74B0F">
              <w:rPr>
                <w:b/>
                <w:bCs/>
                <w:noProof/>
                <w:szCs w:val="22"/>
                <w:lang w:val="sr-Latn-ME"/>
              </w:rPr>
              <w:t xml:space="preserve"> s odgovorom (95% CI)</w:t>
            </w:r>
          </w:p>
        </w:tc>
      </w:tr>
      <w:tr w:rsidR="00BF75A1" w:rsidRPr="00B74B0F" w14:paraId="636EBFB1" w14:textId="77777777" w:rsidTr="00F22B92">
        <w:trPr>
          <w:trHeight w:val="598"/>
        </w:trPr>
        <w:tc>
          <w:tcPr>
            <w:tcW w:w="1624" w:type="pct"/>
            <w:shd w:val="clear" w:color="auto" w:fill="auto"/>
          </w:tcPr>
          <w:p w14:paraId="2F520396" w14:textId="77777777" w:rsidR="004E3BE3" w:rsidRPr="00B74B0F" w:rsidRDefault="004E3BE3">
            <w:pPr>
              <w:spacing w:line="240" w:lineRule="auto"/>
              <w:jc w:val="both"/>
              <w:rPr>
                <w:rFonts w:eastAsia="Calibri"/>
                <w:noProof/>
                <w:szCs w:val="22"/>
                <w:lang w:val="sr-Latn-ME"/>
              </w:rPr>
            </w:pPr>
            <w:bookmarkStart w:id="10" w:name="_Hlk36137240"/>
            <w:r w:rsidRPr="00B74B0F">
              <w:rPr>
                <w:rFonts w:eastAsia="Calibri"/>
                <w:noProof/>
                <w:szCs w:val="22"/>
                <w:lang w:val="sr-Latn-ME"/>
              </w:rPr>
              <w:t>ADerm</w:t>
            </w:r>
            <w:r w:rsidRPr="00B74B0F">
              <w:rPr>
                <w:rFonts w:eastAsia="Calibri"/>
                <w:noProof/>
                <w:szCs w:val="22"/>
                <w:lang w:val="sr-Latn-ME"/>
              </w:rPr>
              <w:noBreakHyphen/>
              <w:t>SS Skin Pain</w:t>
            </w:r>
            <w:r w:rsidRPr="00B74B0F">
              <w:rPr>
                <w:noProof/>
                <w:szCs w:val="22"/>
                <w:vertAlign w:val="superscript"/>
                <w:lang w:val="sr-Latn-ME"/>
              </w:rPr>
              <w:t xml:space="preserve"> </w:t>
            </w:r>
          </w:p>
          <w:p w14:paraId="78605094" w14:textId="77777777" w:rsidR="004E3BE3" w:rsidRPr="00B74B0F" w:rsidRDefault="004E3BE3">
            <w:pPr>
              <w:spacing w:line="240" w:lineRule="auto"/>
              <w:jc w:val="both"/>
              <w:rPr>
                <w:i/>
                <w:iCs/>
                <w:noProof/>
                <w:szCs w:val="22"/>
                <w:lang w:val="sr-Latn-ME"/>
              </w:rPr>
            </w:pPr>
            <w:r w:rsidRPr="00B74B0F">
              <w:rPr>
                <w:rFonts w:eastAsia="Calibri"/>
                <w:i/>
                <w:iCs/>
                <w:noProof/>
                <w:szCs w:val="22"/>
                <w:lang w:val="sr-Latn-ME"/>
              </w:rPr>
              <w:t>(poboljšanje od ≥ 4 boda)</w:t>
            </w:r>
            <w:r w:rsidRPr="00B74B0F">
              <w:rPr>
                <w:noProof/>
                <w:szCs w:val="22"/>
                <w:vertAlign w:val="superscript"/>
                <w:lang w:val="sr-Latn-ME"/>
              </w:rPr>
              <w:t>a</w:t>
            </w:r>
          </w:p>
        </w:tc>
        <w:tc>
          <w:tcPr>
            <w:tcW w:w="519" w:type="pct"/>
            <w:shd w:val="clear" w:color="auto" w:fill="auto"/>
          </w:tcPr>
          <w:p w14:paraId="22003BB9" w14:textId="77777777" w:rsidR="004E3BE3" w:rsidRPr="00B74B0F" w:rsidRDefault="004E3BE3" w:rsidP="00A30C3C">
            <w:pPr>
              <w:spacing w:line="240" w:lineRule="auto"/>
              <w:jc w:val="both"/>
              <w:rPr>
                <w:noProof/>
                <w:szCs w:val="22"/>
                <w:lang w:val="sr-Latn-ME"/>
              </w:rPr>
            </w:pPr>
            <w:r w:rsidRPr="00B74B0F">
              <w:rPr>
                <w:noProof/>
                <w:szCs w:val="22"/>
                <w:lang w:val="sr-Latn-ME"/>
              </w:rPr>
              <w:t>15</w:t>
            </w:r>
          </w:p>
          <w:p w14:paraId="7DFFE8B8"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(10,20)</w:t>
            </w:r>
          </w:p>
        </w:tc>
        <w:tc>
          <w:tcPr>
            <w:tcW w:w="545" w:type="pct"/>
            <w:shd w:val="clear" w:color="auto" w:fill="auto"/>
          </w:tcPr>
          <w:p w14:paraId="5D8FC3BE" w14:textId="36DB095F" w:rsidR="004E3BE3" w:rsidRPr="00B74B0F" w:rsidRDefault="004E3BE3" w:rsidP="00A30C3C">
            <w:pPr>
              <w:spacing w:line="240" w:lineRule="auto"/>
              <w:jc w:val="both"/>
              <w:rPr>
                <w:noProof/>
                <w:szCs w:val="22"/>
                <w:lang w:val="sr-Latn-ME"/>
              </w:rPr>
            </w:pPr>
            <w:r w:rsidRPr="00B74B0F">
              <w:rPr>
                <w:noProof/>
                <w:szCs w:val="22"/>
                <w:lang w:val="sr-Latn-ME"/>
              </w:rPr>
              <w:t>54</w:t>
            </w:r>
            <w:r w:rsidRPr="00B74B0F">
              <w:rPr>
                <w:noProof/>
                <w:szCs w:val="22"/>
                <w:vertAlign w:val="superscript"/>
                <w:lang w:val="sr-Latn-ME"/>
              </w:rPr>
              <w:t xml:space="preserve"> e</w:t>
            </w:r>
          </w:p>
          <w:p w14:paraId="6F55354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(47,60)</w:t>
            </w:r>
          </w:p>
        </w:tc>
        <w:tc>
          <w:tcPr>
            <w:tcW w:w="624" w:type="pct"/>
            <w:shd w:val="clear" w:color="auto" w:fill="auto"/>
          </w:tcPr>
          <w:p w14:paraId="32E8C14D" w14:textId="0C0347CC" w:rsidR="004E3BE3" w:rsidRPr="00B74B0F" w:rsidRDefault="004E3BE3" w:rsidP="00A30C3C">
            <w:pPr>
              <w:spacing w:line="240" w:lineRule="auto"/>
              <w:jc w:val="both"/>
              <w:rPr>
                <w:noProof/>
                <w:szCs w:val="22"/>
                <w:lang w:val="sr-Latn-ME"/>
              </w:rPr>
            </w:pPr>
            <w:r w:rsidRPr="00B74B0F">
              <w:rPr>
                <w:noProof/>
                <w:szCs w:val="22"/>
                <w:lang w:val="sr-Latn-ME"/>
              </w:rPr>
              <w:t>63</w:t>
            </w:r>
            <w:r w:rsidRPr="00B74B0F">
              <w:rPr>
                <w:noProof/>
                <w:szCs w:val="22"/>
                <w:vertAlign w:val="superscript"/>
                <w:lang w:val="sr-Latn-ME"/>
              </w:rPr>
              <w:t>e</w:t>
            </w:r>
          </w:p>
          <w:p w14:paraId="264C73ED"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(57,69)</w:t>
            </w:r>
          </w:p>
        </w:tc>
        <w:tc>
          <w:tcPr>
            <w:tcW w:w="545" w:type="pct"/>
            <w:shd w:val="clear" w:color="auto" w:fill="auto"/>
          </w:tcPr>
          <w:p w14:paraId="5E08137A" w14:textId="77777777" w:rsidR="004E3BE3" w:rsidRPr="00B74B0F" w:rsidRDefault="004E3BE3" w:rsidP="00A30C3C">
            <w:pPr>
              <w:spacing w:line="240" w:lineRule="auto"/>
              <w:jc w:val="both"/>
              <w:rPr>
                <w:noProof/>
                <w:szCs w:val="22"/>
                <w:lang w:val="sr-Latn-ME"/>
              </w:rPr>
            </w:pPr>
            <w:r w:rsidRPr="00B74B0F">
              <w:rPr>
                <w:noProof/>
                <w:szCs w:val="22"/>
                <w:lang w:val="sr-Latn-ME"/>
              </w:rPr>
              <w:t>13</w:t>
            </w:r>
          </w:p>
          <w:p w14:paraId="76E01AFD" w14:textId="74E61F1E"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(9,18)</w:t>
            </w:r>
          </w:p>
        </w:tc>
        <w:tc>
          <w:tcPr>
            <w:tcW w:w="519" w:type="pct"/>
            <w:shd w:val="clear" w:color="auto" w:fill="auto"/>
          </w:tcPr>
          <w:p w14:paraId="0E785CCA" w14:textId="3B44C313" w:rsidR="004E3BE3" w:rsidRPr="00B74B0F" w:rsidRDefault="004E3BE3" w:rsidP="00A30C3C">
            <w:pPr>
              <w:spacing w:line="240" w:lineRule="auto"/>
              <w:jc w:val="both"/>
              <w:rPr>
                <w:noProof/>
                <w:szCs w:val="22"/>
                <w:lang w:val="sr-Latn-ME"/>
              </w:rPr>
            </w:pPr>
            <w:r w:rsidRPr="00B74B0F">
              <w:rPr>
                <w:noProof/>
                <w:szCs w:val="22"/>
                <w:lang w:val="sr-Latn-ME"/>
              </w:rPr>
              <w:t>49</w:t>
            </w:r>
            <w:r w:rsidRPr="00B74B0F">
              <w:rPr>
                <w:noProof/>
                <w:szCs w:val="22"/>
                <w:vertAlign w:val="superscript"/>
                <w:lang w:val="sr-Latn-ME"/>
              </w:rPr>
              <w:t>e</w:t>
            </w:r>
          </w:p>
          <w:p w14:paraId="3A8C750B"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(43,56)</w:t>
            </w:r>
          </w:p>
        </w:tc>
        <w:tc>
          <w:tcPr>
            <w:tcW w:w="623" w:type="pct"/>
            <w:shd w:val="clear" w:color="auto" w:fill="auto"/>
          </w:tcPr>
          <w:p w14:paraId="397301A9" w14:textId="57FC8F6F" w:rsidR="004E3BE3" w:rsidRPr="00B74B0F" w:rsidRDefault="004E3BE3" w:rsidP="00A30C3C">
            <w:pPr>
              <w:spacing w:line="240" w:lineRule="auto"/>
              <w:jc w:val="both"/>
              <w:rPr>
                <w:noProof/>
                <w:szCs w:val="22"/>
                <w:lang w:val="sr-Latn-ME"/>
              </w:rPr>
            </w:pPr>
            <w:r w:rsidRPr="00B74B0F">
              <w:rPr>
                <w:noProof/>
                <w:szCs w:val="22"/>
                <w:lang w:val="sr-Latn-ME"/>
              </w:rPr>
              <w:t>65</w:t>
            </w:r>
            <w:r w:rsidRPr="00B74B0F">
              <w:rPr>
                <w:noProof/>
                <w:szCs w:val="22"/>
                <w:vertAlign w:val="superscript"/>
                <w:lang w:val="sr-Latn-ME"/>
              </w:rPr>
              <w:t>e</w:t>
            </w:r>
          </w:p>
          <w:p w14:paraId="0C1381FF"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(59,71)</w:t>
            </w:r>
          </w:p>
        </w:tc>
      </w:tr>
      <w:tr w:rsidR="00BF75A1" w:rsidRPr="00B74B0F" w14:paraId="010AA7ED" w14:textId="77777777" w:rsidTr="00F22B92">
        <w:trPr>
          <w:trHeight w:val="235"/>
        </w:trPr>
        <w:tc>
          <w:tcPr>
            <w:tcW w:w="1624" w:type="pct"/>
            <w:shd w:val="clear" w:color="auto" w:fill="auto"/>
          </w:tcPr>
          <w:p w14:paraId="2ABCE203" w14:textId="77777777" w:rsidR="004E3BE3" w:rsidRPr="00B74B0F" w:rsidRDefault="004E3BE3">
            <w:pPr>
              <w:spacing w:line="240" w:lineRule="auto"/>
              <w:jc w:val="both"/>
              <w:rPr>
                <w:noProof/>
                <w:szCs w:val="22"/>
                <w:vertAlign w:val="superscript"/>
                <w:lang w:val="sr-Latn-ME"/>
              </w:rPr>
            </w:pPr>
            <w:r w:rsidRPr="00B74B0F">
              <w:rPr>
                <w:rFonts w:eastAsia="Calibri"/>
                <w:noProof/>
                <w:szCs w:val="22"/>
                <w:lang w:val="sr-Latn-ME"/>
              </w:rPr>
              <w:t>ADerm</w:t>
            </w:r>
            <w:r w:rsidRPr="00B74B0F">
              <w:rPr>
                <w:rFonts w:eastAsia="Calibri"/>
                <w:noProof/>
                <w:szCs w:val="22"/>
                <w:lang w:val="sr-Latn-ME"/>
              </w:rPr>
              <w:noBreakHyphen/>
              <w:t>IS Sleep</w:t>
            </w:r>
            <w:r w:rsidRPr="00B74B0F">
              <w:rPr>
                <w:noProof/>
                <w:szCs w:val="22"/>
                <w:vertAlign w:val="superscript"/>
                <w:lang w:val="sr-Latn-ME"/>
              </w:rPr>
              <w:t xml:space="preserve"> </w:t>
            </w:r>
          </w:p>
          <w:p w14:paraId="2B375878" w14:textId="77777777" w:rsidR="004E3BE3" w:rsidRPr="00B74B0F" w:rsidRDefault="004E3BE3">
            <w:pPr>
              <w:spacing w:line="240" w:lineRule="auto"/>
              <w:jc w:val="both"/>
              <w:rPr>
                <w:i/>
                <w:iCs/>
                <w:noProof/>
                <w:szCs w:val="22"/>
                <w:lang w:val="sr-Latn-ME"/>
              </w:rPr>
            </w:pPr>
            <w:r w:rsidRPr="00B74B0F">
              <w:rPr>
                <w:rFonts w:eastAsia="Calibri"/>
                <w:i/>
                <w:iCs/>
                <w:noProof/>
                <w:szCs w:val="22"/>
                <w:lang w:val="sr-Latn-ME"/>
              </w:rPr>
              <w:t>(poboljšanje od ≥ 12 bodova)</w:t>
            </w:r>
            <w:r w:rsidRPr="00B74B0F">
              <w:rPr>
                <w:noProof/>
                <w:szCs w:val="22"/>
                <w:vertAlign w:val="superscript"/>
                <w:lang w:val="sr-Latn-ME"/>
              </w:rPr>
              <w:t xml:space="preserve"> a,b</w:t>
            </w:r>
          </w:p>
        </w:tc>
        <w:tc>
          <w:tcPr>
            <w:tcW w:w="519" w:type="pct"/>
            <w:shd w:val="clear" w:color="auto" w:fill="auto"/>
          </w:tcPr>
          <w:p w14:paraId="0549C319" w14:textId="77777777" w:rsidR="004E3BE3" w:rsidRPr="00B74B0F" w:rsidRDefault="004E3BE3" w:rsidP="00A30C3C">
            <w:pPr>
              <w:spacing w:line="240" w:lineRule="auto"/>
              <w:jc w:val="both"/>
              <w:rPr>
                <w:noProof/>
                <w:szCs w:val="22"/>
                <w:lang w:val="sr-Latn-ME"/>
              </w:rPr>
            </w:pPr>
            <w:r w:rsidRPr="00B74B0F">
              <w:rPr>
                <w:noProof/>
                <w:szCs w:val="22"/>
                <w:lang w:val="sr-Latn-ME"/>
              </w:rPr>
              <w:t>13</w:t>
            </w:r>
          </w:p>
          <w:p w14:paraId="79CE3ED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(9,18)</w:t>
            </w:r>
          </w:p>
        </w:tc>
        <w:tc>
          <w:tcPr>
            <w:tcW w:w="545" w:type="pct"/>
            <w:shd w:val="clear" w:color="auto" w:fill="auto"/>
          </w:tcPr>
          <w:p w14:paraId="784DB71D" w14:textId="77777777" w:rsidR="004E3BE3" w:rsidRPr="00B74B0F" w:rsidRDefault="004E3BE3" w:rsidP="00A30C3C">
            <w:pPr>
              <w:spacing w:line="240" w:lineRule="auto"/>
              <w:jc w:val="both"/>
              <w:rPr>
                <w:noProof/>
                <w:szCs w:val="22"/>
                <w:lang w:val="sr-Latn-ME"/>
              </w:rPr>
            </w:pPr>
            <w:r w:rsidRPr="00B74B0F">
              <w:rPr>
                <w:noProof/>
                <w:szCs w:val="22"/>
                <w:lang w:val="sr-Latn-ME"/>
              </w:rPr>
              <w:t>55</w:t>
            </w:r>
            <w:r w:rsidRPr="00B74B0F">
              <w:rPr>
                <w:noProof/>
                <w:szCs w:val="22"/>
                <w:vertAlign w:val="superscript"/>
                <w:lang w:val="sr-Latn-ME"/>
              </w:rPr>
              <w:t>e</w:t>
            </w:r>
          </w:p>
          <w:p w14:paraId="5876BADC" w14:textId="77777777" w:rsidR="004E3BE3" w:rsidRPr="00B74B0F" w:rsidRDefault="004E3BE3" w:rsidP="00A30C3C">
            <w:pPr>
              <w:spacing w:line="240" w:lineRule="auto"/>
              <w:jc w:val="both"/>
              <w:rPr>
                <w:noProof/>
                <w:szCs w:val="22"/>
                <w:lang w:val="sr-Latn-ME"/>
              </w:rPr>
            </w:pPr>
            <w:r w:rsidRPr="00B74B0F">
              <w:rPr>
                <w:noProof/>
                <w:szCs w:val="22"/>
                <w:lang w:val="sr-Latn-ME"/>
              </w:rPr>
              <w:t>(48,62)</w:t>
            </w:r>
          </w:p>
        </w:tc>
        <w:tc>
          <w:tcPr>
            <w:tcW w:w="624" w:type="pct"/>
            <w:shd w:val="clear" w:color="auto" w:fill="auto"/>
          </w:tcPr>
          <w:p w14:paraId="5DEB7657" w14:textId="77777777" w:rsidR="004E3BE3" w:rsidRPr="00B74B0F" w:rsidRDefault="004E3BE3" w:rsidP="00A30C3C">
            <w:pPr>
              <w:spacing w:line="240" w:lineRule="auto"/>
              <w:jc w:val="both"/>
              <w:rPr>
                <w:noProof/>
                <w:szCs w:val="22"/>
                <w:lang w:val="sr-Latn-ME"/>
              </w:rPr>
            </w:pPr>
            <w:r w:rsidRPr="00B74B0F">
              <w:rPr>
                <w:noProof/>
                <w:szCs w:val="22"/>
                <w:lang w:val="sr-Latn-ME"/>
              </w:rPr>
              <w:t>66</w:t>
            </w:r>
            <w:r w:rsidRPr="00B74B0F">
              <w:rPr>
                <w:noProof/>
                <w:szCs w:val="22"/>
                <w:vertAlign w:val="superscript"/>
                <w:lang w:val="sr-Latn-ME"/>
              </w:rPr>
              <w:t>e</w:t>
            </w:r>
          </w:p>
          <w:p w14:paraId="2D27E171" w14:textId="77777777" w:rsidR="004E3BE3" w:rsidRPr="00B74B0F" w:rsidRDefault="004E3BE3" w:rsidP="00A30C3C">
            <w:pPr>
              <w:spacing w:line="240" w:lineRule="auto"/>
              <w:jc w:val="both"/>
              <w:rPr>
                <w:noProof/>
                <w:szCs w:val="22"/>
                <w:lang w:val="sr-Latn-ME"/>
              </w:rPr>
            </w:pPr>
            <w:r w:rsidRPr="00B74B0F">
              <w:rPr>
                <w:noProof/>
                <w:szCs w:val="22"/>
                <w:lang w:val="sr-Latn-ME"/>
              </w:rPr>
              <w:t>(60,72)</w:t>
            </w:r>
          </w:p>
        </w:tc>
        <w:tc>
          <w:tcPr>
            <w:tcW w:w="545" w:type="pct"/>
            <w:shd w:val="clear" w:color="auto" w:fill="auto"/>
          </w:tcPr>
          <w:p w14:paraId="6E006CDC" w14:textId="77777777" w:rsidR="004E3BE3" w:rsidRPr="00B74B0F" w:rsidRDefault="004E3BE3" w:rsidP="00A30C3C">
            <w:pPr>
              <w:spacing w:line="240" w:lineRule="auto"/>
              <w:jc w:val="both"/>
              <w:rPr>
                <w:noProof/>
                <w:szCs w:val="22"/>
                <w:lang w:val="sr-Latn-ME"/>
              </w:rPr>
            </w:pPr>
            <w:r w:rsidRPr="00B74B0F">
              <w:rPr>
                <w:noProof/>
                <w:szCs w:val="22"/>
                <w:lang w:val="sr-Latn-ME"/>
              </w:rPr>
              <w:t>12</w:t>
            </w:r>
          </w:p>
          <w:p w14:paraId="215D38B2" w14:textId="77777777" w:rsidR="004E3BE3" w:rsidRPr="00B74B0F" w:rsidRDefault="004E3BE3" w:rsidP="00A30C3C">
            <w:pPr>
              <w:spacing w:line="240" w:lineRule="auto"/>
              <w:jc w:val="both"/>
              <w:rPr>
                <w:noProof/>
                <w:szCs w:val="22"/>
                <w:lang w:val="sr-Latn-ME"/>
              </w:rPr>
            </w:pPr>
            <w:r w:rsidRPr="00B74B0F">
              <w:rPr>
                <w:noProof/>
                <w:szCs w:val="22"/>
                <w:lang w:val="sr-Latn-ME"/>
              </w:rPr>
              <w:t>(8,17)</w:t>
            </w:r>
          </w:p>
        </w:tc>
        <w:tc>
          <w:tcPr>
            <w:tcW w:w="519" w:type="pct"/>
            <w:shd w:val="clear" w:color="auto" w:fill="auto"/>
          </w:tcPr>
          <w:p w14:paraId="1054D969" w14:textId="77777777" w:rsidR="004E3BE3" w:rsidRPr="00B74B0F" w:rsidRDefault="004E3BE3" w:rsidP="00A30C3C">
            <w:pPr>
              <w:spacing w:line="240" w:lineRule="auto"/>
              <w:jc w:val="both"/>
              <w:rPr>
                <w:noProof/>
                <w:szCs w:val="22"/>
                <w:lang w:val="sr-Latn-ME"/>
              </w:rPr>
            </w:pPr>
            <w:r w:rsidRPr="00B74B0F">
              <w:rPr>
                <w:noProof/>
                <w:szCs w:val="22"/>
                <w:lang w:val="sr-Latn-ME"/>
              </w:rPr>
              <w:t>50</w:t>
            </w:r>
            <w:r w:rsidRPr="00B74B0F">
              <w:rPr>
                <w:noProof/>
                <w:szCs w:val="22"/>
                <w:vertAlign w:val="superscript"/>
                <w:lang w:val="sr-Latn-ME"/>
              </w:rPr>
              <w:t>e</w:t>
            </w:r>
          </w:p>
          <w:p w14:paraId="22255555" w14:textId="77777777" w:rsidR="004E3BE3" w:rsidRPr="00B74B0F" w:rsidRDefault="004E3BE3" w:rsidP="00A30C3C">
            <w:pPr>
              <w:spacing w:line="240" w:lineRule="auto"/>
              <w:jc w:val="both"/>
              <w:rPr>
                <w:noProof/>
                <w:szCs w:val="22"/>
                <w:lang w:val="sr-Latn-ME"/>
              </w:rPr>
            </w:pPr>
            <w:r w:rsidRPr="00B74B0F">
              <w:rPr>
                <w:noProof/>
                <w:szCs w:val="22"/>
                <w:lang w:val="sr-Latn-ME"/>
              </w:rPr>
              <w:t>(44,57)</w:t>
            </w:r>
          </w:p>
        </w:tc>
        <w:tc>
          <w:tcPr>
            <w:tcW w:w="623" w:type="pct"/>
            <w:shd w:val="clear" w:color="auto" w:fill="auto"/>
          </w:tcPr>
          <w:p w14:paraId="0D475C99" w14:textId="77777777" w:rsidR="004E3BE3" w:rsidRPr="00B74B0F" w:rsidRDefault="004E3BE3" w:rsidP="00A30C3C">
            <w:pPr>
              <w:spacing w:line="240" w:lineRule="auto"/>
              <w:jc w:val="both"/>
              <w:rPr>
                <w:noProof/>
                <w:szCs w:val="22"/>
                <w:lang w:val="sr-Latn-ME"/>
              </w:rPr>
            </w:pPr>
            <w:r w:rsidRPr="00B74B0F">
              <w:rPr>
                <w:noProof/>
                <w:szCs w:val="22"/>
                <w:lang w:val="sr-Latn-ME"/>
              </w:rPr>
              <w:t>62</w:t>
            </w:r>
            <w:r w:rsidRPr="00B74B0F">
              <w:rPr>
                <w:noProof/>
                <w:szCs w:val="22"/>
                <w:vertAlign w:val="superscript"/>
                <w:lang w:val="sr-Latn-ME"/>
              </w:rPr>
              <w:t>e</w:t>
            </w:r>
          </w:p>
          <w:p w14:paraId="05B80E56" w14:textId="77777777" w:rsidR="004E3BE3" w:rsidRPr="00B74B0F" w:rsidRDefault="004E3BE3" w:rsidP="00A30C3C">
            <w:pPr>
              <w:spacing w:line="240" w:lineRule="auto"/>
              <w:jc w:val="both"/>
              <w:rPr>
                <w:noProof/>
                <w:szCs w:val="22"/>
                <w:lang w:val="sr-Latn-ME"/>
              </w:rPr>
            </w:pPr>
            <w:r w:rsidRPr="00B74B0F">
              <w:rPr>
                <w:noProof/>
                <w:szCs w:val="22"/>
                <w:lang w:val="sr-Latn-ME"/>
              </w:rPr>
              <w:t>(56,69)</w:t>
            </w:r>
          </w:p>
        </w:tc>
      </w:tr>
      <w:tr w:rsidR="00BF75A1" w:rsidRPr="00B74B0F" w14:paraId="28B0B08D" w14:textId="77777777" w:rsidTr="00F22B92">
        <w:trPr>
          <w:trHeight w:val="235"/>
        </w:trPr>
        <w:tc>
          <w:tcPr>
            <w:tcW w:w="1624" w:type="pct"/>
            <w:shd w:val="clear" w:color="auto" w:fill="auto"/>
          </w:tcPr>
          <w:p w14:paraId="10D8E8CC" w14:textId="77777777" w:rsidR="004E3BE3" w:rsidRPr="00B74B0F" w:rsidRDefault="004E3BE3">
            <w:pPr>
              <w:keepNext/>
              <w:spacing w:line="240" w:lineRule="auto"/>
              <w:jc w:val="both"/>
              <w:rPr>
                <w:i/>
                <w:iCs/>
                <w:noProof/>
                <w:szCs w:val="22"/>
                <w:lang w:val="sr-Latn-ME"/>
              </w:rPr>
            </w:pPr>
            <w:r w:rsidRPr="00B74B0F">
              <w:rPr>
                <w:noProof/>
                <w:szCs w:val="22"/>
                <w:lang w:val="sr-Latn-ME"/>
              </w:rPr>
              <w:t>DLQI 0/1</w:t>
            </w:r>
            <w:r w:rsidRPr="00B74B0F">
              <w:rPr>
                <w:noProof/>
                <w:szCs w:val="22"/>
                <w:vertAlign w:val="superscript"/>
                <w:lang w:val="sr-Latn-ME"/>
              </w:rPr>
              <w:t>c</w:t>
            </w:r>
          </w:p>
        </w:tc>
        <w:tc>
          <w:tcPr>
            <w:tcW w:w="519" w:type="pct"/>
            <w:shd w:val="clear" w:color="auto" w:fill="auto"/>
          </w:tcPr>
          <w:p w14:paraId="6C678857" w14:textId="77777777" w:rsidR="004E3BE3" w:rsidRPr="00B74B0F" w:rsidRDefault="004E3BE3" w:rsidP="00A30C3C">
            <w:pPr>
              <w:keepNext/>
              <w:spacing w:line="240" w:lineRule="auto"/>
              <w:jc w:val="both"/>
              <w:rPr>
                <w:noProof/>
                <w:szCs w:val="22"/>
                <w:lang w:val="sr-Latn-ME"/>
              </w:rPr>
            </w:pPr>
            <w:r w:rsidRPr="00B74B0F">
              <w:rPr>
                <w:noProof/>
                <w:szCs w:val="22"/>
                <w:lang w:val="sr-Latn-ME"/>
              </w:rPr>
              <w:t>4</w:t>
            </w:r>
          </w:p>
          <w:p w14:paraId="5AE659B8" w14:textId="77777777" w:rsidR="004E3BE3" w:rsidRPr="00B74B0F" w:rsidRDefault="004E3BE3" w:rsidP="00A30C3C">
            <w:pPr>
              <w:keepNext/>
              <w:tabs>
                <w:tab w:val="clear" w:pos="567"/>
              </w:tabs>
              <w:spacing w:line="240" w:lineRule="auto"/>
              <w:jc w:val="both"/>
              <w:rPr>
                <w:noProof/>
                <w:szCs w:val="22"/>
                <w:lang w:val="sr-Latn-ME"/>
              </w:rPr>
            </w:pPr>
            <w:r w:rsidRPr="00B74B0F">
              <w:rPr>
                <w:noProof/>
                <w:szCs w:val="22"/>
                <w:lang w:val="sr-Latn-ME"/>
              </w:rPr>
              <w:t>(2,7)</w:t>
            </w:r>
          </w:p>
        </w:tc>
        <w:tc>
          <w:tcPr>
            <w:tcW w:w="545" w:type="pct"/>
            <w:shd w:val="clear" w:color="auto" w:fill="auto"/>
          </w:tcPr>
          <w:p w14:paraId="520CBD7C" w14:textId="77777777" w:rsidR="004E3BE3" w:rsidRPr="00B74B0F" w:rsidRDefault="004E3BE3" w:rsidP="00A30C3C">
            <w:pPr>
              <w:keepNext/>
              <w:spacing w:line="240" w:lineRule="auto"/>
              <w:jc w:val="both"/>
              <w:rPr>
                <w:noProof/>
                <w:szCs w:val="22"/>
                <w:lang w:val="sr-Latn-ME"/>
              </w:rPr>
            </w:pPr>
            <w:r w:rsidRPr="00B74B0F">
              <w:rPr>
                <w:noProof/>
                <w:szCs w:val="22"/>
                <w:lang w:val="sr-Latn-ME"/>
              </w:rPr>
              <w:t>30</w:t>
            </w:r>
            <w:r w:rsidRPr="00B74B0F">
              <w:rPr>
                <w:noProof/>
                <w:szCs w:val="22"/>
                <w:vertAlign w:val="superscript"/>
                <w:lang w:val="sr-Latn-ME"/>
              </w:rPr>
              <w:t>e</w:t>
            </w:r>
          </w:p>
          <w:p w14:paraId="4DCE2F7D" w14:textId="77777777" w:rsidR="004E3BE3" w:rsidRPr="00B74B0F" w:rsidRDefault="004E3BE3" w:rsidP="00A30C3C">
            <w:pPr>
              <w:keepNext/>
              <w:tabs>
                <w:tab w:val="clear" w:pos="567"/>
              </w:tabs>
              <w:spacing w:line="240" w:lineRule="auto"/>
              <w:jc w:val="both"/>
              <w:rPr>
                <w:noProof/>
                <w:szCs w:val="22"/>
                <w:lang w:val="sr-Latn-ME"/>
              </w:rPr>
            </w:pPr>
            <w:r w:rsidRPr="00B74B0F">
              <w:rPr>
                <w:noProof/>
                <w:szCs w:val="22"/>
                <w:lang w:val="sr-Latn-ME"/>
              </w:rPr>
              <w:t>(25,36)</w:t>
            </w:r>
          </w:p>
        </w:tc>
        <w:tc>
          <w:tcPr>
            <w:tcW w:w="624" w:type="pct"/>
            <w:shd w:val="clear" w:color="auto" w:fill="auto"/>
          </w:tcPr>
          <w:p w14:paraId="7A00A865" w14:textId="77777777" w:rsidR="004E3BE3" w:rsidRPr="00B74B0F" w:rsidRDefault="004E3BE3" w:rsidP="00A30C3C">
            <w:pPr>
              <w:keepNext/>
              <w:spacing w:line="240" w:lineRule="auto"/>
              <w:jc w:val="both"/>
              <w:rPr>
                <w:noProof/>
                <w:szCs w:val="22"/>
                <w:lang w:val="sr-Latn-ME"/>
              </w:rPr>
            </w:pPr>
            <w:r w:rsidRPr="00B74B0F">
              <w:rPr>
                <w:noProof/>
                <w:szCs w:val="22"/>
                <w:lang w:val="sr-Latn-ME"/>
              </w:rPr>
              <w:t>41</w:t>
            </w:r>
            <w:r w:rsidRPr="00B74B0F">
              <w:rPr>
                <w:noProof/>
                <w:szCs w:val="22"/>
                <w:vertAlign w:val="superscript"/>
                <w:lang w:val="sr-Latn-ME"/>
              </w:rPr>
              <w:t>e</w:t>
            </w:r>
          </w:p>
          <w:p w14:paraId="064930AB" w14:textId="77777777" w:rsidR="004E3BE3" w:rsidRPr="00B74B0F" w:rsidRDefault="004E3BE3" w:rsidP="00A30C3C">
            <w:pPr>
              <w:keepNext/>
              <w:tabs>
                <w:tab w:val="clear" w:pos="567"/>
              </w:tabs>
              <w:spacing w:line="240" w:lineRule="auto"/>
              <w:jc w:val="both"/>
              <w:rPr>
                <w:noProof/>
                <w:szCs w:val="22"/>
                <w:lang w:val="sr-Latn-ME"/>
              </w:rPr>
            </w:pPr>
            <w:r w:rsidRPr="00B74B0F">
              <w:rPr>
                <w:noProof/>
                <w:szCs w:val="22"/>
                <w:lang w:val="sr-Latn-ME"/>
              </w:rPr>
              <w:t>(35,47)</w:t>
            </w:r>
          </w:p>
        </w:tc>
        <w:tc>
          <w:tcPr>
            <w:tcW w:w="545" w:type="pct"/>
            <w:shd w:val="clear" w:color="auto" w:fill="auto"/>
          </w:tcPr>
          <w:p w14:paraId="40DCBAE8" w14:textId="77777777" w:rsidR="004E3BE3" w:rsidRPr="00B74B0F" w:rsidRDefault="004E3BE3" w:rsidP="00A30C3C">
            <w:pPr>
              <w:keepNext/>
              <w:spacing w:line="240" w:lineRule="auto"/>
              <w:jc w:val="both"/>
              <w:rPr>
                <w:noProof/>
                <w:szCs w:val="22"/>
                <w:lang w:val="sr-Latn-ME"/>
              </w:rPr>
            </w:pPr>
            <w:r w:rsidRPr="00B74B0F">
              <w:rPr>
                <w:noProof/>
                <w:szCs w:val="22"/>
                <w:lang w:val="sr-Latn-ME"/>
              </w:rPr>
              <w:t>5</w:t>
            </w:r>
          </w:p>
          <w:p w14:paraId="6EFB2541" w14:textId="77777777" w:rsidR="004E3BE3" w:rsidRPr="00B74B0F" w:rsidRDefault="004E3BE3" w:rsidP="00A30C3C">
            <w:pPr>
              <w:keepNext/>
              <w:spacing w:line="240" w:lineRule="auto"/>
              <w:jc w:val="both"/>
              <w:rPr>
                <w:noProof/>
                <w:szCs w:val="22"/>
                <w:lang w:val="sr-Latn-ME"/>
              </w:rPr>
            </w:pPr>
            <w:r w:rsidRPr="00B74B0F">
              <w:rPr>
                <w:noProof/>
                <w:szCs w:val="22"/>
                <w:lang w:val="sr-Latn-ME"/>
              </w:rPr>
              <w:t>(2,7)</w:t>
            </w:r>
          </w:p>
        </w:tc>
        <w:tc>
          <w:tcPr>
            <w:tcW w:w="519" w:type="pct"/>
            <w:shd w:val="clear" w:color="auto" w:fill="auto"/>
          </w:tcPr>
          <w:p w14:paraId="33D119B0" w14:textId="77777777" w:rsidR="004E3BE3" w:rsidRPr="00B74B0F" w:rsidRDefault="004E3BE3" w:rsidP="00A30C3C">
            <w:pPr>
              <w:keepNext/>
              <w:spacing w:line="240" w:lineRule="auto"/>
              <w:jc w:val="both"/>
              <w:rPr>
                <w:noProof/>
                <w:szCs w:val="22"/>
                <w:lang w:val="sr-Latn-ME"/>
              </w:rPr>
            </w:pPr>
            <w:r w:rsidRPr="00B74B0F">
              <w:rPr>
                <w:noProof/>
                <w:szCs w:val="22"/>
                <w:lang w:val="sr-Latn-ME"/>
              </w:rPr>
              <w:t>24</w:t>
            </w:r>
            <w:r w:rsidRPr="00B74B0F">
              <w:rPr>
                <w:noProof/>
                <w:szCs w:val="22"/>
                <w:vertAlign w:val="superscript"/>
                <w:lang w:val="sr-Latn-ME"/>
              </w:rPr>
              <w:t>e</w:t>
            </w:r>
          </w:p>
          <w:p w14:paraId="77D33E24" w14:textId="77777777" w:rsidR="004E3BE3" w:rsidRPr="00B74B0F" w:rsidRDefault="004E3BE3" w:rsidP="00A30C3C">
            <w:pPr>
              <w:keepNext/>
              <w:spacing w:line="240" w:lineRule="auto"/>
              <w:jc w:val="both"/>
              <w:rPr>
                <w:noProof/>
                <w:szCs w:val="22"/>
                <w:lang w:val="sr-Latn-ME"/>
              </w:rPr>
            </w:pPr>
            <w:r w:rsidRPr="00B74B0F">
              <w:rPr>
                <w:noProof/>
                <w:szCs w:val="22"/>
                <w:lang w:val="sr-Latn-ME"/>
              </w:rPr>
              <w:t>(19,29)</w:t>
            </w:r>
          </w:p>
        </w:tc>
        <w:tc>
          <w:tcPr>
            <w:tcW w:w="623" w:type="pct"/>
            <w:shd w:val="clear" w:color="auto" w:fill="auto"/>
          </w:tcPr>
          <w:p w14:paraId="7E03D6AC" w14:textId="77777777" w:rsidR="004E3BE3" w:rsidRPr="00B74B0F" w:rsidRDefault="004E3BE3" w:rsidP="00A30C3C">
            <w:pPr>
              <w:keepNext/>
              <w:spacing w:line="240" w:lineRule="auto"/>
              <w:jc w:val="both"/>
              <w:rPr>
                <w:noProof/>
                <w:szCs w:val="22"/>
                <w:lang w:val="sr-Latn-ME"/>
              </w:rPr>
            </w:pPr>
            <w:r w:rsidRPr="00B74B0F">
              <w:rPr>
                <w:noProof/>
                <w:szCs w:val="22"/>
                <w:lang w:val="sr-Latn-ME"/>
              </w:rPr>
              <w:t>38</w:t>
            </w:r>
            <w:r w:rsidRPr="00B74B0F">
              <w:rPr>
                <w:noProof/>
                <w:szCs w:val="22"/>
                <w:vertAlign w:val="superscript"/>
                <w:lang w:val="sr-Latn-ME"/>
              </w:rPr>
              <w:t>e</w:t>
            </w:r>
          </w:p>
          <w:p w14:paraId="744F7E64" w14:textId="77777777" w:rsidR="004E3BE3" w:rsidRPr="00B74B0F" w:rsidRDefault="004E3BE3" w:rsidP="00A30C3C">
            <w:pPr>
              <w:keepNext/>
              <w:spacing w:line="240" w:lineRule="auto"/>
              <w:jc w:val="both"/>
              <w:rPr>
                <w:noProof/>
                <w:szCs w:val="22"/>
                <w:lang w:val="sr-Latn-ME"/>
              </w:rPr>
            </w:pPr>
            <w:r w:rsidRPr="00B74B0F">
              <w:rPr>
                <w:noProof/>
                <w:szCs w:val="22"/>
                <w:lang w:val="sr-Latn-ME"/>
              </w:rPr>
              <w:t>(32,44)</w:t>
            </w:r>
          </w:p>
        </w:tc>
      </w:tr>
      <w:bookmarkEnd w:id="10"/>
      <w:tr w:rsidR="00BF75A1" w:rsidRPr="00B74B0F" w14:paraId="589D4223" w14:textId="77777777" w:rsidTr="00F22B92">
        <w:trPr>
          <w:trHeight w:val="301"/>
        </w:trPr>
        <w:tc>
          <w:tcPr>
            <w:tcW w:w="1624" w:type="pct"/>
            <w:shd w:val="clear" w:color="auto" w:fill="auto"/>
          </w:tcPr>
          <w:p w14:paraId="1D71CC32" w14:textId="14EFB3E8" w:rsidR="004E3BE3" w:rsidRPr="00B74B0F" w:rsidRDefault="004E3BE3">
            <w:pPr>
              <w:autoSpaceDE w:val="0"/>
              <w:autoSpaceDN w:val="0"/>
              <w:adjustRightInd w:val="0"/>
              <w:spacing w:line="240" w:lineRule="auto"/>
              <w:jc w:val="both"/>
              <w:rPr>
                <w:noProof/>
                <w:szCs w:val="22"/>
                <w:lang w:val="sr-Latn-ME"/>
              </w:rPr>
            </w:pPr>
            <w:r w:rsidRPr="00B74B0F">
              <w:rPr>
                <w:noProof/>
                <w:szCs w:val="22"/>
                <w:lang w:val="sr-Latn-ME"/>
              </w:rPr>
              <w:t xml:space="preserve">HADS za </w:t>
            </w:r>
            <w:r w:rsidR="00181042" w:rsidRPr="00B74B0F">
              <w:rPr>
                <w:noProof/>
                <w:szCs w:val="22"/>
                <w:lang w:val="sr-Latn-ME"/>
              </w:rPr>
              <w:t>anksioznost</w:t>
            </w:r>
            <w:r w:rsidR="00853A64" w:rsidRPr="00B74B0F">
              <w:rPr>
                <w:noProof/>
                <w:szCs w:val="22"/>
                <w:lang w:val="sr-Latn-ME"/>
              </w:rPr>
              <w:t xml:space="preserve"> </w:t>
            </w:r>
            <w:r w:rsidRPr="00B74B0F">
              <w:rPr>
                <w:noProof/>
                <w:szCs w:val="22"/>
                <w:lang w:val="sr-Latn-ME"/>
              </w:rPr>
              <w:t xml:space="preserve">&lt; 8 </w:t>
            </w:r>
          </w:p>
          <w:p w14:paraId="31B34BC5" w14:textId="77777777" w:rsidR="004E3BE3" w:rsidRPr="00B74B0F" w:rsidRDefault="004E3BE3">
            <w:pPr>
              <w:autoSpaceDE w:val="0"/>
              <w:autoSpaceDN w:val="0"/>
              <w:adjustRightInd w:val="0"/>
              <w:spacing w:line="240" w:lineRule="auto"/>
              <w:jc w:val="both"/>
              <w:rPr>
                <w:noProof/>
                <w:szCs w:val="22"/>
                <w:lang w:val="sr-Latn-ME"/>
              </w:rPr>
            </w:pPr>
            <w:r w:rsidRPr="00B74B0F">
              <w:rPr>
                <w:noProof/>
                <w:szCs w:val="22"/>
                <w:lang w:val="sr-Latn-ME"/>
              </w:rPr>
              <w:t>i HADS za depresiju &lt; 8</w:t>
            </w:r>
            <w:r w:rsidRPr="00B74B0F">
              <w:rPr>
                <w:noProof/>
                <w:szCs w:val="22"/>
                <w:vertAlign w:val="superscript"/>
                <w:lang w:val="sr-Latn-ME"/>
              </w:rPr>
              <w:t>d</w:t>
            </w:r>
          </w:p>
        </w:tc>
        <w:tc>
          <w:tcPr>
            <w:tcW w:w="519" w:type="pct"/>
            <w:shd w:val="clear" w:color="auto" w:fill="auto"/>
          </w:tcPr>
          <w:p w14:paraId="466E817C" w14:textId="77777777" w:rsidR="004E3BE3" w:rsidRPr="00B74B0F" w:rsidRDefault="004E3BE3" w:rsidP="00A30C3C">
            <w:pPr>
              <w:spacing w:line="240" w:lineRule="auto"/>
              <w:jc w:val="both"/>
              <w:rPr>
                <w:noProof/>
                <w:szCs w:val="22"/>
                <w:lang w:val="sr-Latn-ME"/>
              </w:rPr>
            </w:pPr>
            <w:r w:rsidRPr="00B74B0F">
              <w:rPr>
                <w:noProof/>
                <w:szCs w:val="22"/>
                <w:lang w:val="sr-Latn-ME"/>
              </w:rPr>
              <w:t>14</w:t>
            </w:r>
          </w:p>
          <w:p w14:paraId="186A3F6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(8,20)</w:t>
            </w:r>
          </w:p>
        </w:tc>
        <w:tc>
          <w:tcPr>
            <w:tcW w:w="545" w:type="pct"/>
            <w:shd w:val="clear" w:color="auto" w:fill="auto"/>
          </w:tcPr>
          <w:p w14:paraId="3F0E0ABC" w14:textId="77777777" w:rsidR="004E3BE3" w:rsidRPr="00B74B0F" w:rsidRDefault="004E3BE3" w:rsidP="00A30C3C">
            <w:pPr>
              <w:spacing w:line="240" w:lineRule="auto"/>
              <w:jc w:val="both"/>
              <w:rPr>
                <w:noProof/>
                <w:szCs w:val="22"/>
                <w:lang w:val="sr-Latn-ME"/>
              </w:rPr>
            </w:pPr>
            <w:r w:rsidRPr="00B74B0F">
              <w:rPr>
                <w:noProof/>
                <w:szCs w:val="22"/>
                <w:lang w:val="sr-Latn-ME"/>
              </w:rPr>
              <w:t>46</w:t>
            </w:r>
            <w:r w:rsidRPr="00B74B0F">
              <w:rPr>
                <w:noProof/>
                <w:szCs w:val="22"/>
                <w:vertAlign w:val="superscript"/>
                <w:lang w:val="sr-Latn-ME"/>
              </w:rPr>
              <w:t>e</w:t>
            </w:r>
          </w:p>
          <w:p w14:paraId="18BEA55E"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(37,54)</w:t>
            </w:r>
          </w:p>
        </w:tc>
        <w:tc>
          <w:tcPr>
            <w:tcW w:w="624" w:type="pct"/>
            <w:shd w:val="clear" w:color="auto" w:fill="auto"/>
          </w:tcPr>
          <w:p w14:paraId="64DABD2B" w14:textId="77777777" w:rsidR="004E3BE3" w:rsidRPr="00B74B0F" w:rsidRDefault="004E3BE3" w:rsidP="00A30C3C">
            <w:pPr>
              <w:spacing w:line="240" w:lineRule="auto"/>
              <w:jc w:val="both"/>
              <w:rPr>
                <w:noProof/>
                <w:szCs w:val="22"/>
                <w:lang w:val="sr-Latn-ME"/>
              </w:rPr>
            </w:pPr>
            <w:r w:rsidRPr="00B74B0F">
              <w:rPr>
                <w:noProof/>
                <w:szCs w:val="22"/>
                <w:lang w:val="sr-Latn-ME"/>
              </w:rPr>
              <w:t>49</w:t>
            </w:r>
            <w:r w:rsidRPr="00B74B0F">
              <w:rPr>
                <w:noProof/>
                <w:szCs w:val="22"/>
                <w:vertAlign w:val="superscript"/>
                <w:lang w:val="sr-Latn-ME"/>
              </w:rPr>
              <w:t>e</w:t>
            </w:r>
          </w:p>
          <w:p w14:paraId="36981967"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(41,57)</w:t>
            </w:r>
          </w:p>
        </w:tc>
        <w:tc>
          <w:tcPr>
            <w:tcW w:w="545" w:type="pct"/>
            <w:shd w:val="clear" w:color="auto" w:fill="auto"/>
          </w:tcPr>
          <w:p w14:paraId="041344C9" w14:textId="77777777" w:rsidR="004E3BE3" w:rsidRPr="00B74B0F" w:rsidRDefault="004E3BE3" w:rsidP="00A30C3C">
            <w:pPr>
              <w:spacing w:line="240" w:lineRule="auto"/>
              <w:jc w:val="both"/>
              <w:rPr>
                <w:noProof/>
                <w:szCs w:val="22"/>
                <w:lang w:val="sr-Latn-ME"/>
              </w:rPr>
            </w:pPr>
            <w:r w:rsidRPr="00B74B0F">
              <w:rPr>
                <w:noProof/>
                <w:szCs w:val="22"/>
                <w:lang w:val="sr-Latn-ME"/>
              </w:rPr>
              <w:t>11</w:t>
            </w:r>
          </w:p>
          <w:p w14:paraId="7242879E"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(6,17)</w:t>
            </w:r>
          </w:p>
        </w:tc>
        <w:tc>
          <w:tcPr>
            <w:tcW w:w="519" w:type="pct"/>
            <w:shd w:val="clear" w:color="auto" w:fill="auto"/>
          </w:tcPr>
          <w:p w14:paraId="7D59A5DE" w14:textId="77777777" w:rsidR="004E3BE3" w:rsidRPr="00B74B0F" w:rsidRDefault="004E3BE3" w:rsidP="00A30C3C">
            <w:pPr>
              <w:spacing w:line="240" w:lineRule="auto"/>
              <w:jc w:val="both"/>
              <w:rPr>
                <w:noProof/>
                <w:szCs w:val="22"/>
                <w:lang w:val="sr-Latn-ME"/>
              </w:rPr>
            </w:pPr>
            <w:r w:rsidRPr="00B74B0F">
              <w:rPr>
                <w:noProof/>
                <w:szCs w:val="22"/>
                <w:lang w:val="sr-Latn-ME"/>
              </w:rPr>
              <w:t>46</w:t>
            </w:r>
            <w:r w:rsidRPr="00B74B0F">
              <w:rPr>
                <w:noProof/>
                <w:szCs w:val="22"/>
                <w:vertAlign w:val="superscript"/>
                <w:lang w:val="sr-Latn-ME"/>
              </w:rPr>
              <w:t>e</w:t>
            </w:r>
          </w:p>
          <w:p w14:paraId="733D1E05"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(38,54)</w:t>
            </w:r>
          </w:p>
        </w:tc>
        <w:tc>
          <w:tcPr>
            <w:tcW w:w="623" w:type="pct"/>
            <w:shd w:val="clear" w:color="auto" w:fill="auto"/>
          </w:tcPr>
          <w:p w14:paraId="0AB5A712" w14:textId="77777777" w:rsidR="004E3BE3" w:rsidRPr="00B74B0F" w:rsidRDefault="004E3BE3" w:rsidP="00A30C3C">
            <w:pPr>
              <w:spacing w:line="240" w:lineRule="auto"/>
              <w:jc w:val="both"/>
              <w:rPr>
                <w:noProof/>
                <w:szCs w:val="22"/>
                <w:lang w:val="sr-Latn-ME"/>
              </w:rPr>
            </w:pPr>
            <w:r w:rsidRPr="00B74B0F">
              <w:rPr>
                <w:noProof/>
                <w:szCs w:val="22"/>
                <w:lang w:val="sr-Latn-ME"/>
              </w:rPr>
              <w:t>56</w:t>
            </w:r>
            <w:r w:rsidRPr="00B74B0F">
              <w:rPr>
                <w:noProof/>
                <w:szCs w:val="22"/>
                <w:vertAlign w:val="superscript"/>
                <w:lang w:val="sr-Latn-ME"/>
              </w:rPr>
              <w:t>e</w:t>
            </w:r>
          </w:p>
          <w:p w14:paraId="75D71DC0" w14:textId="77777777" w:rsidR="004E3BE3" w:rsidRPr="00B74B0F" w:rsidRDefault="004E3BE3" w:rsidP="00A30C3C">
            <w:pPr>
              <w:tabs>
                <w:tab w:val="clear" w:pos="567"/>
              </w:tabs>
              <w:spacing w:line="240" w:lineRule="auto"/>
              <w:jc w:val="both"/>
              <w:rPr>
                <w:noProof/>
                <w:szCs w:val="22"/>
                <w:lang w:val="sr-Latn-ME"/>
              </w:rPr>
            </w:pPr>
            <w:r w:rsidRPr="00B74B0F">
              <w:rPr>
                <w:noProof/>
                <w:szCs w:val="22"/>
                <w:lang w:val="sr-Latn-ME"/>
              </w:rPr>
              <w:t>(48,64)</w:t>
            </w:r>
          </w:p>
        </w:tc>
      </w:tr>
      <w:tr w:rsidR="004E3BE3" w:rsidRPr="00B74B0F" w14:paraId="55792C85" w14:textId="77777777" w:rsidTr="00F22B92">
        <w:trPr>
          <w:trHeight w:val="190"/>
        </w:trPr>
        <w:tc>
          <w:tcPr>
            <w:tcW w:w="5000" w:type="pct"/>
            <w:gridSpan w:val="7"/>
            <w:shd w:val="clear" w:color="auto" w:fill="auto"/>
          </w:tcPr>
          <w:p w14:paraId="23FF2E6E" w14:textId="3C7A0A24" w:rsidR="004E3BE3" w:rsidRPr="00B74B0F" w:rsidRDefault="00181042">
            <w:pPr>
              <w:keepNext/>
              <w:spacing w:line="240" w:lineRule="auto"/>
              <w:jc w:val="both"/>
              <w:rPr>
                <w:noProof/>
                <w:szCs w:val="22"/>
                <w:lang w:val="sr-Latn-ME"/>
              </w:rPr>
            </w:pPr>
            <w:r w:rsidRPr="00B74B0F">
              <w:rPr>
                <w:noProof/>
                <w:szCs w:val="22"/>
                <w:lang w:val="sr-Latn-ME"/>
              </w:rPr>
              <w:t>Skraćenice</w:t>
            </w:r>
            <w:r w:rsidR="004E3BE3" w:rsidRPr="00B74B0F">
              <w:rPr>
                <w:noProof/>
                <w:szCs w:val="22"/>
                <w:lang w:val="sr-Latn-ME"/>
              </w:rPr>
              <w:t>: UPA = upadacitinib (RINVOQ); PBO = placebo; DLQI = indeks kvalitet</w:t>
            </w:r>
            <w:r w:rsidR="007F4C66" w:rsidRPr="00B74B0F">
              <w:rPr>
                <w:noProof/>
                <w:szCs w:val="22"/>
                <w:lang w:val="sr-Latn-ME"/>
              </w:rPr>
              <w:t>a</w:t>
            </w:r>
            <w:r w:rsidR="004E3BE3" w:rsidRPr="00B74B0F">
              <w:rPr>
                <w:noProof/>
                <w:szCs w:val="22"/>
                <w:lang w:val="sr-Latn-ME"/>
              </w:rPr>
              <w:t xml:space="preserve"> života kod dermatoloških bolesti (engl. </w:t>
            </w:r>
            <w:r w:rsidR="004E3BE3" w:rsidRPr="00B74B0F">
              <w:rPr>
                <w:i/>
                <w:iCs/>
                <w:noProof/>
                <w:szCs w:val="22"/>
                <w:lang w:val="sr-Latn-ME"/>
              </w:rPr>
              <w:t>Dermatology Life Quality Index</w:t>
            </w:r>
            <w:r w:rsidR="004E3BE3" w:rsidRPr="00B74B0F">
              <w:rPr>
                <w:noProof/>
                <w:szCs w:val="22"/>
                <w:lang w:val="sr-Latn-ME"/>
              </w:rPr>
              <w:t xml:space="preserve">); HADS = bolnička ljestvica za ocjenu </w:t>
            </w:r>
            <w:r w:rsidRPr="00B74B0F">
              <w:rPr>
                <w:noProof/>
                <w:szCs w:val="22"/>
                <w:lang w:val="sr-Latn-ME"/>
              </w:rPr>
              <w:t>anksioznosti</w:t>
            </w:r>
            <w:r w:rsidR="004E3BE3" w:rsidRPr="00B74B0F">
              <w:rPr>
                <w:noProof/>
                <w:szCs w:val="22"/>
                <w:lang w:val="sr-Latn-ME"/>
              </w:rPr>
              <w:t xml:space="preserve"> i depresije (engl. </w:t>
            </w:r>
            <w:r w:rsidR="004E3BE3" w:rsidRPr="00B74B0F">
              <w:rPr>
                <w:i/>
                <w:iCs/>
                <w:noProof/>
                <w:szCs w:val="22"/>
                <w:lang w:val="sr-Latn-ME"/>
              </w:rPr>
              <w:t>Hospital Anxiety and Depression Scale</w:t>
            </w:r>
            <w:r w:rsidR="004E3BE3" w:rsidRPr="00B74B0F">
              <w:rPr>
                <w:noProof/>
                <w:szCs w:val="22"/>
                <w:lang w:val="sr-Latn-ME"/>
              </w:rPr>
              <w:t>)</w:t>
            </w:r>
          </w:p>
          <w:p w14:paraId="0FA4F327" w14:textId="3B082F0B" w:rsidR="004E3BE3" w:rsidRPr="00B74B0F" w:rsidRDefault="004E3BE3">
            <w:pPr>
              <w:keepNext/>
              <w:spacing w:line="240" w:lineRule="auto"/>
              <w:jc w:val="both"/>
              <w:rPr>
                <w:noProof/>
                <w:szCs w:val="22"/>
                <w:lang w:val="sr-Latn-ME"/>
              </w:rPr>
            </w:pPr>
            <w:r w:rsidRPr="00B74B0F">
              <w:rPr>
                <w:noProof/>
                <w:szCs w:val="22"/>
                <w:lang w:val="sr-Latn-ME"/>
              </w:rPr>
              <w:t xml:space="preserve">Ispitanici liječeni lijekom za hitno ublažavanje simptoma ili za koje su nedostajali podaci navedeni su kao </w:t>
            </w:r>
            <w:r w:rsidR="00181042" w:rsidRPr="00B74B0F">
              <w:rPr>
                <w:noProof/>
                <w:szCs w:val="22"/>
                <w:lang w:val="sr-Latn-ME"/>
              </w:rPr>
              <w:t>pacijenti</w:t>
            </w:r>
            <w:r w:rsidRPr="00B74B0F">
              <w:rPr>
                <w:noProof/>
                <w:szCs w:val="22"/>
                <w:lang w:val="sr-Latn-ME"/>
              </w:rPr>
              <w:t xml:space="preserve"> bez odgovora na terapiju.</w:t>
            </w:r>
          </w:p>
          <w:p w14:paraId="4610D3B1" w14:textId="77777777" w:rsidR="004E3BE3" w:rsidRPr="00B74B0F" w:rsidRDefault="004E3BE3">
            <w:pPr>
              <w:spacing w:line="240" w:lineRule="auto"/>
              <w:jc w:val="both"/>
              <w:rPr>
                <w:rFonts w:eastAsia="Calibri"/>
                <w:noProof/>
                <w:szCs w:val="22"/>
                <w:lang w:val="sr-Latn-ME"/>
              </w:rPr>
            </w:pPr>
            <w:r w:rsidRPr="00B74B0F">
              <w:rPr>
                <w:noProof/>
                <w:szCs w:val="22"/>
                <w:lang w:val="sr-Latn-ME"/>
              </w:rPr>
              <w:t xml:space="preserve">Navedene granične vrijednosti odgovaraju minimalnoj klinički značajnoj razlici (engl. </w:t>
            </w:r>
            <w:r w:rsidRPr="00B74B0F">
              <w:rPr>
                <w:i/>
                <w:iCs/>
                <w:noProof/>
                <w:szCs w:val="22"/>
                <w:lang w:val="sr-Latn-ME"/>
              </w:rPr>
              <w:t>Minimal Clinically Important Difference</w:t>
            </w:r>
            <w:r w:rsidRPr="00B74B0F">
              <w:rPr>
                <w:noProof/>
                <w:szCs w:val="22"/>
                <w:lang w:val="sr-Latn-ME"/>
              </w:rPr>
              <w:t>, MCID) i korištene su za određivanje odgovora.</w:t>
            </w:r>
          </w:p>
          <w:p w14:paraId="0E9613CE" w14:textId="79C24794" w:rsidR="004E3BE3" w:rsidRPr="00B74B0F" w:rsidRDefault="004E3BE3">
            <w:pPr>
              <w:spacing w:line="240" w:lineRule="auto"/>
              <w:ind w:left="140" w:hanging="140"/>
              <w:jc w:val="both"/>
              <w:rPr>
                <w:noProof/>
                <w:szCs w:val="22"/>
                <w:lang w:val="sr-Latn-ME"/>
              </w:rPr>
            </w:pPr>
            <w:r w:rsidRPr="00B74B0F">
              <w:rPr>
                <w:noProof/>
                <w:szCs w:val="22"/>
                <w:vertAlign w:val="superscript"/>
                <w:lang w:val="sr-Latn-ME"/>
              </w:rPr>
              <w:t>a</w:t>
            </w:r>
            <w:r w:rsidRPr="00B74B0F">
              <w:rPr>
                <w:noProof/>
                <w:szCs w:val="22"/>
                <w:vertAlign w:val="superscript"/>
                <w:lang w:val="sr-Latn-ME"/>
              </w:rPr>
              <w:tab/>
            </w:r>
            <w:r w:rsidRPr="00B74B0F">
              <w:rPr>
                <w:noProof/>
                <w:szCs w:val="22"/>
                <w:lang w:val="sr-Latn-ME"/>
              </w:rPr>
              <w:t>Rezultati prikazani u pod</w:t>
            </w:r>
            <w:r w:rsidR="004F1096" w:rsidRPr="00B74B0F">
              <w:rPr>
                <w:noProof/>
                <w:szCs w:val="22"/>
                <w:lang w:val="sr-Latn-ME"/>
              </w:rPr>
              <w:t>grupi</w:t>
            </w:r>
            <w:r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koji su ispunjavali </w:t>
            </w:r>
            <w:r w:rsidR="00181042" w:rsidRPr="00B74B0F">
              <w:rPr>
                <w:noProof/>
                <w:szCs w:val="22"/>
                <w:lang w:val="sr-Latn-ME"/>
              </w:rPr>
              <w:t>uslove</w:t>
            </w:r>
            <w:r w:rsidRPr="00B74B0F">
              <w:rPr>
                <w:noProof/>
                <w:szCs w:val="22"/>
                <w:lang w:val="sr-Latn-ME"/>
              </w:rPr>
              <w:t xml:space="preserve"> za procjenu (</w:t>
            </w:r>
            <w:r w:rsidR="00181042" w:rsidRPr="00B74B0F">
              <w:rPr>
                <w:noProof/>
                <w:szCs w:val="22"/>
                <w:lang w:val="sr-Latn-ME"/>
              </w:rPr>
              <w:t>pacijenti</w:t>
            </w:r>
            <w:r w:rsidRPr="00B74B0F">
              <w:rPr>
                <w:noProof/>
                <w:szCs w:val="22"/>
                <w:lang w:val="sr-Latn-ME"/>
              </w:rPr>
              <w:t xml:space="preserve"> s ocjenom &gt; MCID na početku).</w:t>
            </w:r>
          </w:p>
          <w:p w14:paraId="2E828BE5" w14:textId="27924C73" w:rsidR="004E3BE3" w:rsidRPr="00B74B0F" w:rsidRDefault="004E3BE3">
            <w:pPr>
              <w:spacing w:line="240" w:lineRule="auto"/>
              <w:ind w:left="140" w:hanging="140"/>
              <w:jc w:val="both"/>
              <w:rPr>
                <w:noProof/>
                <w:szCs w:val="22"/>
                <w:lang w:val="sr-Latn-ME"/>
              </w:rPr>
            </w:pPr>
            <w:r w:rsidRPr="00B74B0F">
              <w:rPr>
                <w:noProof/>
                <w:szCs w:val="22"/>
                <w:vertAlign w:val="superscript"/>
                <w:lang w:val="sr-Latn-ME"/>
              </w:rPr>
              <w:t>b</w:t>
            </w:r>
            <w:r w:rsidRPr="00B74B0F">
              <w:rPr>
                <w:noProof/>
                <w:szCs w:val="22"/>
                <w:lang w:val="sr-Latn-ME"/>
              </w:rPr>
              <w:t xml:space="preserve"> ADerm</w:t>
            </w:r>
            <w:r w:rsidRPr="00B74B0F">
              <w:rPr>
                <w:noProof/>
                <w:szCs w:val="22"/>
                <w:lang w:val="sr-Latn-ME"/>
              </w:rPr>
              <w:noBreakHyphen/>
              <w:t>IS Sleep procjenjuje poteškoće s</w:t>
            </w:r>
            <w:r w:rsidR="007F4C66" w:rsidRPr="00B74B0F">
              <w:rPr>
                <w:noProof/>
                <w:szCs w:val="22"/>
                <w:lang w:val="sr-Latn-ME"/>
              </w:rPr>
              <w:t>a</w:t>
            </w:r>
            <w:r w:rsidRPr="00B74B0F">
              <w:rPr>
                <w:noProof/>
                <w:szCs w:val="22"/>
                <w:lang w:val="sr-Latn-ME"/>
              </w:rPr>
              <w:t xml:space="preserve"> </w:t>
            </w:r>
            <w:r w:rsidR="004F1096" w:rsidRPr="00B74B0F">
              <w:rPr>
                <w:noProof/>
                <w:szCs w:val="22"/>
                <w:lang w:val="sr-Latn-ME"/>
              </w:rPr>
              <w:t>otpočinjanjem sna</w:t>
            </w:r>
            <w:r w:rsidRPr="00B74B0F">
              <w:rPr>
                <w:noProof/>
                <w:szCs w:val="22"/>
                <w:lang w:val="sr-Latn-ME"/>
              </w:rPr>
              <w:t>, ut</w:t>
            </w:r>
            <w:r w:rsidR="00181042" w:rsidRPr="00B74B0F">
              <w:rPr>
                <w:noProof/>
                <w:szCs w:val="22"/>
                <w:lang w:val="sr-Latn-ME"/>
              </w:rPr>
              <w:t xml:space="preserve">icaj </w:t>
            </w:r>
            <w:r w:rsidRPr="00B74B0F">
              <w:rPr>
                <w:noProof/>
                <w:szCs w:val="22"/>
                <w:lang w:val="sr-Latn-ME"/>
              </w:rPr>
              <w:t xml:space="preserve">na san i buđenje noću zbog atopijskog dermatitisa. </w:t>
            </w:r>
          </w:p>
          <w:p w14:paraId="613DA3A9" w14:textId="2E770C78" w:rsidR="004E3BE3" w:rsidRPr="00B74B0F" w:rsidRDefault="004E3BE3">
            <w:pPr>
              <w:spacing w:line="240" w:lineRule="auto"/>
              <w:jc w:val="both"/>
              <w:rPr>
                <w:noProof/>
                <w:szCs w:val="22"/>
                <w:lang w:val="sr-Latn-ME"/>
              </w:rPr>
            </w:pPr>
            <w:r w:rsidRPr="00B74B0F">
              <w:rPr>
                <w:noProof/>
                <w:szCs w:val="22"/>
                <w:vertAlign w:val="superscript"/>
                <w:lang w:val="sr-Latn-ME"/>
              </w:rPr>
              <w:t>c</w:t>
            </w:r>
            <w:r w:rsidRPr="00B74B0F">
              <w:rPr>
                <w:noProof/>
                <w:szCs w:val="22"/>
                <w:lang w:val="sr-Latn-ME"/>
              </w:rPr>
              <w:t xml:space="preserve"> Rezultati prikazani u pod</w:t>
            </w:r>
            <w:r w:rsidR="004F1096" w:rsidRPr="00B74B0F">
              <w:rPr>
                <w:noProof/>
                <w:szCs w:val="22"/>
                <w:lang w:val="sr-Latn-ME"/>
              </w:rPr>
              <w:t>grupi</w:t>
            </w:r>
            <w:r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koji su ispunjavali </w:t>
            </w:r>
            <w:r w:rsidR="00181042" w:rsidRPr="00B74B0F">
              <w:rPr>
                <w:noProof/>
                <w:szCs w:val="22"/>
                <w:lang w:val="sr-Latn-ME"/>
              </w:rPr>
              <w:t>uslove</w:t>
            </w:r>
            <w:r w:rsidRPr="00B74B0F">
              <w:rPr>
                <w:noProof/>
                <w:szCs w:val="22"/>
                <w:lang w:val="sr-Latn-ME"/>
              </w:rPr>
              <w:t xml:space="preserve"> za procjenu (</w:t>
            </w:r>
            <w:r w:rsidR="00181042" w:rsidRPr="00B74B0F">
              <w:rPr>
                <w:noProof/>
                <w:szCs w:val="22"/>
                <w:lang w:val="sr-Latn-ME"/>
              </w:rPr>
              <w:t>pacijenti</w:t>
            </w:r>
            <w:r w:rsidRPr="00B74B0F">
              <w:rPr>
                <w:noProof/>
                <w:szCs w:val="22"/>
                <w:lang w:val="sr-Latn-ME"/>
              </w:rPr>
              <w:t xml:space="preserve"> s DLQI od &gt; 1 na početku).</w:t>
            </w:r>
          </w:p>
          <w:p w14:paraId="14BC7193" w14:textId="596C01B7" w:rsidR="004E3BE3" w:rsidRPr="00B74B0F" w:rsidRDefault="004E3BE3">
            <w:pPr>
              <w:spacing w:line="240" w:lineRule="auto"/>
              <w:jc w:val="both"/>
              <w:rPr>
                <w:noProof/>
                <w:szCs w:val="22"/>
                <w:lang w:val="sr-Latn-ME"/>
              </w:rPr>
            </w:pPr>
            <w:r w:rsidRPr="00B74B0F">
              <w:rPr>
                <w:noProof/>
                <w:szCs w:val="22"/>
                <w:vertAlign w:val="superscript"/>
                <w:lang w:val="sr-Latn-ME"/>
              </w:rPr>
              <w:t>d</w:t>
            </w:r>
            <w:r w:rsidRPr="00B74B0F">
              <w:rPr>
                <w:noProof/>
                <w:szCs w:val="22"/>
                <w:lang w:val="sr-Latn-ME"/>
              </w:rPr>
              <w:t xml:space="preserve"> Rezultati prikazani u pod</w:t>
            </w:r>
            <w:r w:rsidR="004F1096" w:rsidRPr="00B74B0F">
              <w:rPr>
                <w:noProof/>
                <w:szCs w:val="22"/>
                <w:lang w:val="sr-Latn-ME"/>
              </w:rPr>
              <w:t>grupi</w:t>
            </w:r>
            <w:r w:rsidRPr="00B74B0F">
              <w:rPr>
                <w:noProof/>
                <w:szCs w:val="22"/>
                <w:lang w:val="sr-Latn-ME"/>
              </w:rPr>
              <w:t xml:space="preserve"> </w:t>
            </w:r>
            <w:r w:rsidR="00181042" w:rsidRPr="00B74B0F">
              <w:rPr>
                <w:noProof/>
                <w:szCs w:val="22"/>
                <w:lang w:val="sr-Latn-ME"/>
              </w:rPr>
              <w:t>pacijenata</w:t>
            </w:r>
            <w:r w:rsidRPr="00B74B0F">
              <w:rPr>
                <w:noProof/>
                <w:szCs w:val="22"/>
                <w:lang w:val="sr-Latn-ME"/>
              </w:rPr>
              <w:t xml:space="preserve"> koji su ispunjavali </w:t>
            </w:r>
            <w:r w:rsidR="00181042" w:rsidRPr="00B74B0F">
              <w:rPr>
                <w:noProof/>
                <w:szCs w:val="22"/>
                <w:lang w:val="sr-Latn-ME"/>
              </w:rPr>
              <w:t>uslove</w:t>
            </w:r>
            <w:r w:rsidRPr="00B74B0F">
              <w:rPr>
                <w:noProof/>
                <w:szCs w:val="22"/>
                <w:lang w:val="sr-Latn-ME"/>
              </w:rPr>
              <w:t xml:space="preserve"> za procjenu (</w:t>
            </w:r>
            <w:r w:rsidR="00181042" w:rsidRPr="00B74B0F">
              <w:rPr>
                <w:noProof/>
                <w:szCs w:val="22"/>
                <w:lang w:val="sr-Latn-ME"/>
              </w:rPr>
              <w:t>pacijenti</w:t>
            </w:r>
            <w:r w:rsidRPr="00B74B0F">
              <w:rPr>
                <w:noProof/>
                <w:szCs w:val="22"/>
                <w:lang w:val="sr-Latn-ME"/>
              </w:rPr>
              <w:t xml:space="preserve"> s HADS rezultatom za </w:t>
            </w:r>
            <w:r w:rsidR="004F1096" w:rsidRPr="00B74B0F">
              <w:rPr>
                <w:noProof/>
                <w:szCs w:val="22"/>
                <w:lang w:val="sr-Latn-ME"/>
              </w:rPr>
              <w:t xml:space="preserve">anksioznost </w:t>
            </w:r>
            <w:r w:rsidRPr="00B74B0F">
              <w:rPr>
                <w:noProof/>
                <w:szCs w:val="22"/>
                <w:lang w:val="sr-Latn-ME"/>
              </w:rPr>
              <w:t>≥ 8 ili HADS rezultatom za depresiju ≥ 8 na početku)</w:t>
            </w:r>
          </w:p>
          <w:p w14:paraId="1C5DCC74" w14:textId="77777777" w:rsidR="004E3BE3" w:rsidRPr="00B74B0F" w:rsidRDefault="004E3BE3">
            <w:pPr>
              <w:spacing w:line="240" w:lineRule="auto"/>
              <w:jc w:val="both"/>
              <w:rPr>
                <w:noProof/>
                <w:szCs w:val="22"/>
                <w:lang w:val="sr-Latn-ME"/>
              </w:rPr>
            </w:pPr>
            <w:r w:rsidRPr="00B74B0F">
              <w:rPr>
                <w:noProof/>
                <w:szCs w:val="22"/>
                <w:vertAlign w:val="superscript"/>
                <w:lang w:val="sr-Latn-ME"/>
              </w:rPr>
              <w:t>e</w:t>
            </w:r>
            <w:r w:rsidRPr="00B74B0F">
              <w:rPr>
                <w:noProof/>
                <w:szCs w:val="22"/>
                <w:lang w:val="sr-Latn-ME"/>
              </w:rPr>
              <w:t xml:space="preserve"> Statistički značajno u odnosu na placebo s p</w:t>
            </w:r>
            <w:r w:rsidRPr="00B74B0F">
              <w:rPr>
                <w:noProof/>
                <w:szCs w:val="22"/>
                <w:lang w:val="sr-Latn-ME"/>
              </w:rPr>
              <w:noBreakHyphen/>
              <w:t>vrijednošću &lt; 0,001</w:t>
            </w:r>
          </w:p>
        </w:tc>
      </w:tr>
      <w:bookmarkEnd w:id="9"/>
    </w:tbl>
    <w:p w14:paraId="24ADD4DE" w14:textId="77777777" w:rsidR="004E3BE3" w:rsidRPr="00B74B0F" w:rsidRDefault="004E3BE3">
      <w:pPr>
        <w:spacing w:line="240" w:lineRule="auto"/>
        <w:contextualSpacing/>
        <w:jc w:val="both"/>
        <w:rPr>
          <w:szCs w:val="22"/>
          <w:u w:val="single"/>
          <w:lang w:val="sr-Latn-ME"/>
        </w:rPr>
      </w:pPr>
    </w:p>
    <w:p w14:paraId="28D5892A" w14:textId="77777777" w:rsidR="007F4C66" w:rsidRPr="00B74B0F" w:rsidRDefault="007F4C66">
      <w:pPr>
        <w:autoSpaceDE w:val="0"/>
        <w:autoSpaceDN w:val="0"/>
        <w:adjustRightInd w:val="0"/>
        <w:spacing w:line="240" w:lineRule="auto"/>
        <w:jc w:val="both"/>
        <w:rPr>
          <w:i/>
          <w:iCs/>
          <w:szCs w:val="22"/>
          <w:lang w:val="sr-Latn-ME"/>
        </w:rPr>
      </w:pPr>
    </w:p>
    <w:p w14:paraId="5385D161" w14:textId="77777777" w:rsidR="007F4C66" w:rsidRPr="00B74B0F" w:rsidRDefault="007F4C66">
      <w:pPr>
        <w:autoSpaceDE w:val="0"/>
        <w:autoSpaceDN w:val="0"/>
        <w:adjustRightInd w:val="0"/>
        <w:spacing w:line="240" w:lineRule="auto"/>
        <w:jc w:val="both"/>
        <w:rPr>
          <w:i/>
          <w:iCs/>
          <w:szCs w:val="22"/>
          <w:lang w:val="sr-Latn-ME"/>
        </w:rPr>
      </w:pPr>
    </w:p>
    <w:p w14:paraId="0163C51B" w14:textId="77777777" w:rsidR="007F4C66" w:rsidRPr="00B74B0F" w:rsidRDefault="007F4C66">
      <w:pPr>
        <w:autoSpaceDE w:val="0"/>
        <w:autoSpaceDN w:val="0"/>
        <w:adjustRightInd w:val="0"/>
        <w:spacing w:line="240" w:lineRule="auto"/>
        <w:jc w:val="both"/>
        <w:rPr>
          <w:i/>
          <w:iCs/>
          <w:szCs w:val="22"/>
          <w:lang w:val="sr-Latn-ME"/>
        </w:rPr>
      </w:pPr>
    </w:p>
    <w:p w14:paraId="3BCC075D" w14:textId="62A8D0EB" w:rsidR="004E3BE3" w:rsidRPr="00B74B0F" w:rsidRDefault="004E3BE3">
      <w:pPr>
        <w:autoSpaceDE w:val="0"/>
        <w:autoSpaceDN w:val="0"/>
        <w:adjustRightInd w:val="0"/>
        <w:spacing w:line="240" w:lineRule="auto"/>
        <w:jc w:val="both"/>
        <w:rPr>
          <w:i/>
          <w:iCs/>
          <w:szCs w:val="22"/>
          <w:lang w:val="sr-Latn-ME"/>
        </w:rPr>
      </w:pPr>
      <w:r w:rsidRPr="00B74B0F">
        <w:rPr>
          <w:i/>
          <w:iCs/>
          <w:szCs w:val="22"/>
          <w:lang w:val="sr-Latn-ME"/>
        </w:rPr>
        <w:lastRenderedPageBreak/>
        <w:t xml:space="preserve">Ulcerozni kolitis </w:t>
      </w:r>
    </w:p>
    <w:p w14:paraId="1D4355E7" w14:textId="77777777" w:rsidR="004E3BE3" w:rsidRPr="00B74B0F" w:rsidRDefault="004E3BE3">
      <w:pPr>
        <w:autoSpaceDE w:val="0"/>
        <w:autoSpaceDN w:val="0"/>
        <w:adjustRightInd w:val="0"/>
        <w:spacing w:line="240" w:lineRule="auto"/>
        <w:jc w:val="both"/>
        <w:rPr>
          <w:i/>
          <w:iCs/>
          <w:szCs w:val="22"/>
          <w:lang w:val="sr-Latn-ME"/>
        </w:rPr>
      </w:pPr>
    </w:p>
    <w:p w14:paraId="1B3926A5" w14:textId="57821BE6" w:rsidR="004E3BE3" w:rsidRPr="00B74B0F" w:rsidRDefault="004F1096">
      <w:pPr>
        <w:tabs>
          <w:tab w:val="clear" w:pos="567"/>
        </w:tabs>
        <w:spacing w:line="240" w:lineRule="auto"/>
        <w:jc w:val="both"/>
        <w:rPr>
          <w:szCs w:val="22"/>
          <w:lang w:val="sr-Latn-ME"/>
        </w:rPr>
      </w:pPr>
      <w:r w:rsidRPr="00B74B0F">
        <w:rPr>
          <w:szCs w:val="22"/>
          <w:lang w:val="sr-Latn-ME"/>
        </w:rPr>
        <w:t xml:space="preserve">Efikasnost </w:t>
      </w:r>
      <w:r w:rsidR="004E3BE3" w:rsidRPr="00B74B0F">
        <w:rPr>
          <w:szCs w:val="22"/>
          <w:lang w:val="sr-Latn-ME"/>
        </w:rPr>
        <w:t xml:space="preserve">i </w:t>
      </w:r>
      <w:r w:rsidRPr="00B74B0F">
        <w:rPr>
          <w:szCs w:val="22"/>
          <w:lang w:val="sr-Latn-ME"/>
        </w:rPr>
        <w:t>bezbjednost</w:t>
      </w:r>
      <w:r w:rsidR="004E3BE3" w:rsidRPr="00B74B0F">
        <w:rPr>
          <w:szCs w:val="22"/>
          <w:lang w:val="sr-Latn-ME"/>
        </w:rPr>
        <w:t xml:space="preserve"> upadacitiniba procijenjena je u tri multicentrična, dvostruko slijepa, placebom kontroli</w:t>
      </w:r>
      <w:r w:rsidRPr="00B74B0F">
        <w:rPr>
          <w:szCs w:val="22"/>
          <w:lang w:val="sr-Latn-ME"/>
        </w:rPr>
        <w:t>s</w:t>
      </w:r>
      <w:r w:rsidR="004E3BE3" w:rsidRPr="00B74B0F">
        <w:rPr>
          <w:szCs w:val="22"/>
          <w:lang w:val="sr-Latn-ME"/>
        </w:rPr>
        <w:t xml:space="preserve">ana klinička ispitivanja faze 3: dva ponovljena ispitivanja indukcije, UC-1 </w:t>
      </w:r>
      <w:r w:rsidR="004E3BE3" w:rsidRPr="00B74B0F">
        <w:rPr>
          <w:szCs w:val="22"/>
          <w:lang w:val="sr-Latn-ME"/>
        </w:rPr>
        <w:br/>
        <w:t>(U-ACHIEVE Induction) i UC-2 (U-ACCOMPLISH) te ispitivanje održavanja UC-3 (U-ACHIEVE Maintenance).</w:t>
      </w:r>
    </w:p>
    <w:p w14:paraId="35752531" w14:textId="77777777" w:rsidR="007F4C66" w:rsidRPr="00B74B0F" w:rsidRDefault="007F4C66">
      <w:pPr>
        <w:tabs>
          <w:tab w:val="clear" w:pos="567"/>
        </w:tabs>
        <w:spacing w:line="240" w:lineRule="auto"/>
        <w:jc w:val="both"/>
        <w:rPr>
          <w:szCs w:val="22"/>
          <w:lang w:val="sr-Latn-ME"/>
        </w:rPr>
      </w:pPr>
    </w:p>
    <w:p w14:paraId="7A8C362B" w14:textId="12F65564" w:rsidR="004E3BE3" w:rsidRPr="00B74B0F" w:rsidRDefault="004E3BE3">
      <w:pPr>
        <w:tabs>
          <w:tab w:val="clear" w:pos="567"/>
        </w:tabs>
        <w:spacing w:line="240" w:lineRule="auto"/>
        <w:jc w:val="both"/>
        <w:rPr>
          <w:szCs w:val="22"/>
          <w:lang w:val="sr-Latn-ME"/>
        </w:rPr>
      </w:pPr>
      <w:r w:rsidRPr="00B74B0F">
        <w:rPr>
          <w:rFonts w:eastAsia="Arial"/>
          <w:szCs w:val="22"/>
          <w:lang w:val="sr-Latn-ME"/>
        </w:rPr>
        <w:t xml:space="preserve">Aktivnost </w:t>
      </w:r>
      <w:r w:rsidR="008B7565" w:rsidRPr="00B74B0F">
        <w:rPr>
          <w:rFonts w:eastAsia="Arial"/>
          <w:szCs w:val="22"/>
          <w:lang w:val="sr-Latn-ME"/>
        </w:rPr>
        <w:t xml:space="preserve">oboljenja </w:t>
      </w:r>
      <w:r w:rsidR="007F4C66" w:rsidRPr="00B74B0F">
        <w:rPr>
          <w:szCs w:val="22"/>
          <w:lang w:val="sr-Latn-ME"/>
        </w:rPr>
        <w:t>zasnivala</w:t>
      </w:r>
      <w:r w:rsidRPr="00B74B0F">
        <w:rPr>
          <w:szCs w:val="22"/>
          <w:lang w:val="sr-Latn-ME"/>
        </w:rPr>
        <w:t xml:space="preserve"> se na prilagođenom Mayo rezultatu (engl. </w:t>
      </w:r>
      <w:r w:rsidRPr="00B74B0F">
        <w:rPr>
          <w:i/>
          <w:iCs/>
          <w:szCs w:val="22"/>
          <w:lang w:val="sr-Latn-ME"/>
        </w:rPr>
        <w:t>adapted Mayo score</w:t>
      </w:r>
      <w:r w:rsidRPr="00B74B0F">
        <w:rPr>
          <w:szCs w:val="22"/>
          <w:lang w:val="sr-Latn-ME"/>
        </w:rPr>
        <w:t>, aMS, Mayo s</w:t>
      </w:r>
      <w:r w:rsidR="004F1096" w:rsidRPr="00B74B0F">
        <w:rPr>
          <w:szCs w:val="22"/>
          <w:lang w:val="sr-Latn-ME"/>
        </w:rPr>
        <w:t>istem</w:t>
      </w:r>
      <w:r w:rsidRPr="00B74B0F">
        <w:rPr>
          <w:szCs w:val="22"/>
          <w:lang w:val="sr-Latn-ME"/>
        </w:rPr>
        <w:t xml:space="preserve"> bodovanja isključujući globalnu procjenu </w:t>
      </w:r>
      <w:r w:rsidR="00181042" w:rsidRPr="00B74B0F">
        <w:rPr>
          <w:szCs w:val="22"/>
          <w:lang w:val="sr-Latn-ME"/>
        </w:rPr>
        <w:t>ljekara</w:t>
      </w:r>
      <w:r w:rsidRPr="00B74B0F">
        <w:rPr>
          <w:szCs w:val="22"/>
          <w:lang w:val="sr-Latn-ME"/>
        </w:rPr>
        <w:t xml:space="preserve">), koji se kretao od 0 do 9 i ima tri podrezultata od kojih je svaki bio ocijenjen od 0 (normalno) do 3 (najteže): podrezultat učestalosti stolice (engl. </w:t>
      </w:r>
      <w:r w:rsidRPr="00B74B0F">
        <w:rPr>
          <w:i/>
          <w:iCs/>
          <w:szCs w:val="22"/>
          <w:lang w:val="sr-Latn-ME"/>
        </w:rPr>
        <w:t>stool frequency subscore,</w:t>
      </w:r>
      <w:r w:rsidRPr="00B74B0F">
        <w:rPr>
          <w:szCs w:val="22"/>
          <w:lang w:val="sr-Latn-ME"/>
        </w:rPr>
        <w:t xml:space="preserve"> SFS), podrezultat rektalnog krvarenja (engl. </w:t>
      </w:r>
      <w:r w:rsidRPr="00B74B0F">
        <w:rPr>
          <w:i/>
          <w:iCs/>
          <w:szCs w:val="22"/>
          <w:lang w:val="sr-Latn-ME"/>
        </w:rPr>
        <w:t>rectal bleeding subscore</w:t>
      </w:r>
      <w:r w:rsidRPr="00B74B0F">
        <w:rPr>
          <w:szCs w:val="22"/>
          <w:lang w:val="sr-Latn-ME"/>
        </w:rPr>
        <w:t xml:space="preserve">, RBS) i centralno pregledan podrezultat endoskopije (engl. </w:t>
      </w:r>
      <w:r w:rsidRPr="00B74B0F">
        <w:rPr>
          <w:i/>
          <w:iCs/>
          <w:szCs w:val="22"/>
          <w:lang w:val="sr-Latn-ME"/>
        </w:rPr>
        <w:t>endoscopy subscore</w:t>
      </w:r>
      <w:r w:rsidRPr="00B74B0F">
        <w:rPr>
          <w:szCs w:val="22"/>
          <w:lang w:val="sr-Latn-ME"/>
        </w:rPr>
        <w:t xml:space="preserve">, ES). </w:t>
      </w:r>
    </w:p>
    <w:p w14:paraId="70071298" w14:textId="77777777" w:rsidR="004E3BE3" w:rsidRPr="00B74B0F" w:rsidRDefault="004E3BE3">
      <w:pPr>
        <w:spacing w:line="240" w:lineRule="auto"/>
        <w:jc w:val="both"/>
        <w:outlineLvl w:val="1"/>
        <w:rPr>
          <w:rFonts w:eastAsia="Arial"/>
          <w:b/>
          <w:bCs/>
          <w:iCs/>
          <w:szCs w:val="22"/>
          <w:u w:val="single"/>
          <w:lang w:val="sr-Latn-ME"/>
        </w:rPr>
      </w:pPr>
    </w:p>
    <w:p w14:paraId="5A613E8A" w14:textId="74818EC2" w:rsidR="004E3BE3" w:rsidRPr="00B74B0F" w:rsidRDefault="004E3BE3">
      <w:pPr>
        <w:spacing w:line="240" w:lineRule="auto"/>
        <w:jc w:val="both"/>
        <w:outlineLvl w:val="1"/>
        <w:rPr>
          <w:rFonts w:eastAsia="Arial"/>
          <w:i/>
          <w:szCs w:val="22"/>
          <w:u w:val="single"/>
          <w:lang w:val="sr-Latn-ME"/>
        </w:rPr>
      </w:pPr>
      <w:r w:rsidRPr="00B74B0F">
        <w:rPr>
          <w:rFonts w:eastAsia="Arial"/>
          <w:i/>
          <w:szCs w:val="22"/>
          <w:u w:val="single"/>
          <w:lang w:val="sr-Latn-ME"/>
        </w:rPr>
        <w:t>Ispitivanja indukcije (UC</w:t>
      </w:r>
      <w:r w:rsidRPr="00B74B0F">
        <w:rPr>
          <w:rFonts w:eastAsia="Arial"/>
          <w:i/>
          <w:szCs w:val="22"/>
          <w:u w:val="single"/>
          <w:lang w:val="sr-Latn-ME"/>
        </w:rPr>
        <w:noBreakHyphen/>
        <w:t>1 i UC</w:t>
      </w:r>
      <w:r w:rsidRPr="00B74B0F">
        <w:rPr>
          <w:rFonts w:eastAsia="Arial"/>
          <w:i/>
          <w:szCs w:val="22"/>
          <w:u w:val="single"/>
          <w:lang w:val="sr-Latn-ME"/>
        </w:rPr>
        <w:noBreakHyphen/>
        <w:t>2)</w:t>
      </w:r>
    </w:p>
    <w:p w14:paraId="294E8D68" w14:textId="77777777" w:rsidR="00884BFC" w:rsidRPr="00B74B0F" w:rsidRDefault="00884BFC">
      <w:pPr>
        <w:spacing w:line="240" w:lineRule="auto"/>
        <w:jc w:val="both"/>
        <w:outlineLvl w:val="1"/>
        <w:rPr>
          <w:i/>
          <w:szCs w:val="22"/>
          <w:lang w:val="sr-Latn-ME"/>
        </w:rPr>
      </w:pPr>
    </w:p>
    <w:p w14:paraId="5FA90E92" w14:textId="0F36A0B1" w:rsidR="004E3BE3" w:rsidRPr="00B74B0F" w:rsidRDefault="004E3BE3">
      <w:pPr>
        <w:spacing w:line="240" w:lineRule="auto"/>
        <w:jc w:val="both"/>
        <w:rPr>
          <w:szCs w:val="22"/>
          <w:lang w:val="sr-Latn-ME"/>
        </w:rPr>
      </w:pPr>
      <w:r w:rsidRPr="00B74B0F">
        <w:rPr>
          <w:szCs w:val="22"/>
          <w:lang w:val="sr-Latn-ME"/>
        </w:rPr>
        <w:t>U UC-1 i UC-2 ispitivanjima, 988 </w:t>
      </w:r>
      <w:r w:rsidR="00181042" w:rsidRPr="00B74B0F">
        <w:rPr>
          <w:szCs w:val="22"/>
          <w:lang w:val="sr-Latn-ME"/>
        </w:rPr>
        <w:t>pacijenata</w:t>
      </w:r>
      <w:r w:rsidRPr="00B74B0F">
        <w:rPr>
          <w:szCs w:val="22"/>
          <w:lang w:val="sr-Latn-ME"/>
        </w:rPr>
        <w:t xml:space="preserve"> (473 odnosno 515 </w:t>
      </w:r>
      <w:r w:rsidR="00181042" w:rsidRPr="00B74B0F">
        <w:rPr>
          <w:szCs w:val="22"/>
          <w:lang w:val="sr-Latn-ME"/>
        </w:rPr>
        <w:t>pacijenata</w:t>
      </w:r>
      <w:r w:rsidRPr="00B74B0F">
        <w:rPr>
          <w:szCs w:val="22"/>
          <w:lang w:val="sr-Latn-ME"/>
        </w:rPr>
        <w:t>) randomiz</w:t>
      </w:r>
      <w:r w:rsidR="00B73542" w:rsidRPr="00B74B0F">
        <w:rPr>
          <w:szCs w:val="22"/>
          <w:lang w:val="sr-Latn-ME"/>
        </w:rPr>
        <w:t>ov</w:t>
      </w:r>
      <w:r w:rsidRPr="00B74B0F">
        <w:rPr>
          <w:szCs w:val="22"/>
          <w:lang w:val="sr-Latn-ME"/>
        </w:rPr>
        <w:t xml:space="preserve">ano je na primanje upadacitiniba od 45 mg jedanput na dan ili placeba </w:t>
      </w:r>
      <w:r w:rsidR="00181042" w:rsidRPr="00B74B0F">
        <w:rPr>
          <w:szCs w:val="22"/>
          <w:lang w:val="sr-Latn-ME"/>
        </w:rPr>
        <w:t xml:space="preserve">tokom </w:t>
      </w:r>
      <w:r w:rsidRPr="00B74B0F">
        <w:rPr>
          <w:szCs w:val="22"/>
          <w:lang w:val="sr-Latn-ME"/>
        </w:rPr>
        <w:t>8 </w:t>
      </w:r>
      <w:r w:rsidR="00B73542" w:rsidRPr="00B74B0F">
        <w:rPr>
          <w:szCs w:val="22"/>
          <w:lang w:val="sr-Latn-ME"/>
        </w:rPr>
        <w:t xml:space="preserve">nedjelja </w:t>
      </w:r>
      <w:r w:rsidRPr="00B74B0F">
        <w:rPr>
          <w:szCs w:val="22"/>
          <w:lang w:val="sr-Latn-ME"/>
        </w:rPr>
        <w:t>s</w:t>
      </w:r>
      <w:r w:rsidR="007F4C66" w:rsidRPr="00B74B0F">
        <w:rPr>
          <w:szCs w:val="22"/>
          <w:lang w:val="sr-Latn-ME"/>
        </w:rPr>
        <w:t>a</w:t>
      </w:r>
      <w:r w:rsidRPr="00B74B0F">
        <w:rPr>
          <w:szCs w:val="22"/>
          <w:lang w:val="sr-Latn-ME"/>
        </w:rPr>
        <w:t xml:space="preserve"> o</w:t>
      </w:r>
      <w:r w:rsidR="00B73542" w:rsidRPr="00B74B0F">
        <w:rPr>
          <w:szCs w:val="22"/>
          <w:lang w:val="sr-Latn-ME"/>
        </w:rPr>
        <w:t>dnosom</w:t>
      </w:r>
      <w:r w:rsidRPr="00B74B0F">
        <w:rPr>
          <w:szCs w:val="22"/>
          <w:lang w:val="sr-Latn-ME"/>
        </w:rPr>
        <w:t xml:space="preserve"> raspodjele liječenja 2:1 i uključeno u analizu </w:t>
      </w:r>
      <w:r w:rsidR="00B73542" w:rsidRPr="00B74B0F">
        <w:rPr>
          <w:szCs w:val="22"/>
          <w:lang w:val="sr-Latn-ME"/>
        </w:rPr>
        <w:t>efikasnosti</w:t>
      </w:r>
      <w:r w:rsidRPr="00B74B0F">
        <w:rPr>
          <w:szCs w:val="22"/>
          <w:lang w:val="sr-Latn-ME"/>
        </w:rPr>
        <w:t xml:space="preserve">. Svi uključeni </w:t>
      </w:r>
      <w:r w:rsidR="00181042" w:rsidRPr="00B74B0F">
        <w:rPr>
          <w:szCs w:val="22"/>
          <w:lang w:val="sr-Latn-ME"/>
        </w:rPr>
        <w:t>pacijenti</w:t>
      </w:r>
      <w:r w:rsidRPr="00B74B0F">
        <w:rPr>
          <w:szCs w:val="22"/>
          <w:lang w:val="sr-Latn-ME"/>
        </w:rPr>
        <w:t xml:space="preserve"> imali su umjereno do teško aktivni ulcerozni kolitis </w:t>
      </w:r>
      <w:r w:rsidR="00181042" w:rsidRPr="00B74B0F">
        <w:rPr>
          <w:szCs w:val="22"/>
          <w:lang w:val="sr-Latn-ME"/>
        </w:rPr>
        <w:t>defini</w:t>
      </w:r>
      <w:r w:rsidR="00B73542" w:rsidRPr="00B74B0F">
        <w:rPr>
          <w:szCs w:val="22"/>
          <w:lang w:val="sr-Latn-ME"/>
        </w:rPr>
        <w:t>sa</w:t>
      </w:r>
      <w:r w:rsidRPr="00B74B0F">
        <w:rPr>
          <w:szCs w:val="22"/>
          <w:lang w:val="sr-Latn-ME"/>
        </w:rPr>
        <w:t>n kao aMS od 5 do 9 s</w:t>
      </w:r>
      <w:r w:rsidR="007F4C66" w:rsidRPr="00B74B0F">
        <w:rPr>
          <w:szCs w:val="22"/>
          <w:lang w:val="sr-Latn-ME"/>
        </w:rPr>
        <w:t>a</w:t>
      </w:r>
      <w:r w:rsidRPr="00B74B0F">
        <w:rPr>
          <w:szCs w:val="22"/>
          <w:lang w:val="sr-Latn-ME"/>
        </w:rPr>
        <w:t xml:space="preserve"> ES od 2 ili 3 i pokazali su neuspjeh prethodnog liječenja uključujući neodgovarajući odgovor, gubitak odgovora ili netoleranciju na prethodno konvencionalno i/ili biološko liječenje. Prethodni neuspjeh liječenja najmanje 1 biološkim lijekom (prethodni biološki neuspjeh) uočen je u 52% (246/473) odnosno 51% (262/515) </w:t>
      </w:r>
      <w:r w:rsidR="00181042" w:rsidRPr="00B74B0F">
        <w:rPr>
          <w:szCs w:val="22"/>
          <w:lang w:val="sr-Latn-ME"/>
        </w:rPr>
        <w:t>pacijenata</w:t>
      </w:r>
      <w:r w:rsidRPr="00B74B0F">
        <w:rPr>
          <w:szCs w:val="22"/>
          <w:lang w:val="sr-Latn-ME"/>
        </w:rPr>
        <w:t xml:space="preserve">. Prethodni neuspjeh liječenja konvencionalnom terapijom, ali ne i biološkim </w:t>
      </w:r>
      <w:r w:rsidR="00181042" w:rsidRPr="00B74B0F">
        <w:rPr>
          <w:szCs w:val="22"/>
          <w:lang w:val="sr-Latn-ME"/>
        </w:rPr>
        <w:t>ljekovima</w:t>
      </w:r>
      <w:r w:rsidRPr="00B74B0F">
        <w:rPr>
          <w:szCs w:val="22"/>
          <w:lang w:val="sr-Latn-ME"/>
        </w:rPr>
        <w:t xml:space="preserve"> (</w:t>
      </w:r>
      <w:r w:rsidRPr="00B74B0F">
        <w:rPr>
          <w:rFonts w:eastAsia="MS Mincho"/>
          <w:szCs w:val="22"/>
          <w:lang w:val="sr-Latn-ME"/>
        </w:rPr>
        <w:t>bez prethodnog biološkog neuspjeha)</w:t>
      </w:r>
      <w:r w:rsidRPr="00B74B0F">
        <w:rPr>
          <w:szCs w:val="22"/>
          <w:lang w:val="sr-Latn-ME"/>
        </w:rPr>
        <w:t xml:space="preserve"> uočen je </w:t>
      </w:r>
      <w:r w:rsidR="007F4C66" w:rsidRPr="00B74B0F">
        <w:rPr>
          <w:szCs w:val="22"/>
          <w:lang w:val="sr-Latn-ME"/>
        </w:rPr>
        <w:t>kod</w:t>
      </w:r>
      <w:r w:rsidRPr="00B74B0F">
        <w:rPr>
          <w:szCs w:val="22"/>
          <w:lang w:val="sr-Latn-ME"/>
        </w:rPr>
        <w:t xml:space="preserve"> 48% (227/473) odnosno 49% (253/515) </w:t>
      </w:r>
      <w:r w:rsidR="00181042" w:rsidRPr="00B74B0F">
        <w:rPr>
          <w:szCs w:val="22"/>
          <w:lang w:val="sr-Latn-ME"/>
        </w:rPr>
        <w:t>pacijenata</w:t>
      </w:r>
      <w:r w:rsidRPr="00B74B0F">
        <w:rPr>
          <w:szCs w:val="22"/>
          <w:lang w:val="sr-Latn-ME"/>
        </w:rPr>
        <w:t>.</w:t>
      </w:r>
    </w:p>
    <w:p w14:paraId="73A0DA17" w14:textId="77777777" w:rsidR="004E3BE3" w:rsidRPr="00B74B0F" w:rsidRDefault="004E3BE3">
      <w:pPr>
        <w:spacing w:line="240" w:lineRule="auto"/>
        <w:jc w:val="both"/>
        <w:rPr>
          <w:szCs w:val="22"/>
          <w:lang w:val="sr-Latn-ME"/>
        </w:rPr>
      </w:pPr>
    </w:p>
    <w:p w14:paraId="7CDBA980" w14:textId="7296056F" w:rsidR="004E3BE3" w:rsidRPr="00B74B0F" w:rsidRDefault="004E3BE3">
      <w:pPr>
        <w:spacing w:line="240" w:lineRule="auto"/>
        <w:jc w:val="both"/>
        <w:rPr>
          <w:szCs w:val="22"/>
          <w:lang w:val="sr-Latn-ME"/>
        </w:rPr>
      </w:pPr>
      <w:r w:rsidRPr="00B74B0F">
        <w:rPr>
          <w:szCs w:val="22"/>
          <w:lang w:val="sr-Latn-ME"/>
        </w:rPr>
        <w:t xml:space="preserve">Na početku ispitivanja u UC-1 i UC-2, 39% odnosno 37% </w:t>
      </w:r>
      <w:r w:rsidR="00181042" w:rsidRPr="00B74B0F">
        <w:rPr>
          <w:szCs w:val="22"/>
          <w:lang w:val="sr-Latn-ME"/>
        </w:rPr>
        <w:t>pacijenata</w:t>
      </w:r>
      <w:r w:rsidRPr="00B74B0F">
        <w:rPr>
          <w:szCs w:val="22"/>
          <w:lang w:val="sr-Latn-ME"/>
        </w:rPr>
        <w:t xml:space="preserve"> primalo je kortikosteroide, 1,1% odnosno 0,6% </w:t>
      </w:r>
      <w:r w:rsidR="00181042" w:rsidRPr="00B74B0F">
        <w:rPr>
          <w:szCs w:val="22"/>
          <w:lang w:val="sr-Latn-ME"/>
        </w:rPr>
        <w:t>pacijenata</w:t>
      </w:r>
      <w:r w:rsidRPr="00B74B0F">
        <w:rPr>
          <w:szCs w:val="22"/>
          <w:lang w:val="sr-Latn-ME"/>
        </w:rPr>
        <w:t xml:space="preserve"> primalo je metotreksat, a 68% odnosno 69% </w:t>
      </w:r>
      <w:r w:rsidR="00181042" w:rsidRPr="00B74B0F">
        <w:rPr>
          <w:szCs w:val="22"/>
          <w:lang w:val="sr-Latn-ME"/>
        </w:rPr>
        <w:t>pacijenata</w:t>
      </w:r>
      <w:r w:rsidRPr="00B74B0F">
        <w:rPr>
          <w:szCs w:val="22"/>
          <w:lang w:val="sr-Latn-ME"/>
        </w:rPr>
        <w:t xml:space="preserve"> primalo je aminosalicilate. </w:t>
      </w:r>
      <w:r w:rsidR="00181042" w:rsidRPr="00B74B0F">
        <w:rPr>
          <w:szCs w:val="22"/>
          <w:lang w:val="sr-Latn-ME"/>
        </w:rPr>
        <w:t>Tokom</w:t>
      </w:r>
      <w:r w:rsidRPr="00B74B0F">
        <w:rPr>
          <w:szCs w:val="22"/>
          <w:lang w:val="sr-Latn-ME"/>
        </w:rPr>
        <w:t xml:space="preserve"> ispitivanja nije bila dopuštena </w:t>
      </w:r>
      <w:r w:rsidR="00B73542" w:rsidRPr="00B74B0F">
        <w:rPr>
          <w:szCs w:val="22"/>
          <w:lang w:val="sr-Latn-ME"/>
        </w:rPr>
        <w:t xml:space="preserve">istovremena </w:t>
      </w:r>
      <w:r w:rsidRPr="00B74B0F">
        <w:rPr>
          <w:szCs w:val="22"/>
          <w:lang w:val="sr-Latn-ME"/>
        </w:rPr>
        <w:t xml:space="preserve">primjena tiopurina. Aktivnost bolesti </w:t>
      </w:r>
      <w:r w:rsidR="00181042" w:rsidRPr="00B74B0F">
        <w:rPr>
          <w:szCs w:val="22"/>
          <w:lang w:val="sr-Latn-ME"/>
        </w:rPr>
        <w:t>pacijenata</w:t>
      </w:r>
      <w:r w:rsidRPr="00B74B0F">
        <w:rPr>
          <w:szCs w:val="22"/>
          <w:lang w:val="sr-Latn-ME"/>
        </w:rPr>
        <w:t xml:space="preserve"> bila je umjerena (aMS ≥ 5, ≤ 7) </w:t>
      </w:r>
      <w:r w:rsidR="007F4C66" w:rsidRPr="00B74B0F">
        <w:rPr>
          <w:szCs w:val="22"/>
          <w:lang w:val="sr-Latn-ME"/>
        </w:rPr>
        <w:t>kod</w:t>
      </w:r>
      <w:r w:rsidRPr="00B74B0F">
        <w:rPr>
          <w:szCs w:val="22"/>
          <w:lang w:val="sr-Latn-ME"/>
        </w:rPr>
        <w:t xml:space="preserve"> 61% odnosno 60% </w:t>
      </w:r>
      <w:r w:rsidR="00181042" w:rsidRPr="00B74B0F">
        <w:rPr>
          <w:szCs w:val="22"/>
          <w:lang w:val="sr-Latn-ME"/>
        </w:rPr>
        <w:t>pacijenata</w:t>
      </w:r>
      <w:r w:rsidRPr="00B74B0F">
        <w:rPr>
          <w:szCs w:val="22"/>
          <w:lang w:val="sr-Latn-ME"/>
        </w:rPr>
        <w:t xml:space="preserve"> i teška (aMS &gt; 7) </w:t>
      </w:r>
      <w:r w:rsidR="007F4C66" w:rsidRPr="00B74B0F">
        <w:rPr>
          <w:szCs w:val="22"/>
          <w:lang w:val="sr-Latn-ME"/>
        </w:rPr>
        <w:t>kod</w:t>
      </w:r>
      <w:r w:rsidRPr="00B74B0F">
        <w:rPr>
          <w:szCs w:val="22"/>
          <w:lang w:val="sr-Latn-ME"/>
        </w:rPr>
        <w:t xml:space="preserve"> 39% odnosno 40% </w:t>
      </w:r>
      <w:r w:rsidR="00181042" w:rsidRPr="00B74B0F">
        <w:rPr>
          <w:szCs w:val="22"/>
          <w:lang w:val="sr-Latn-ME"/>
        </w:rPr>
        <w:t>pacijenata</w:t>
      </w:r>
      <w:r w:rsidRPr="00B74B0F">
        <w:rPr>
          <w:szCs w:val="22"/>
          <w:lang w:val="sr-Latn-ME"/>
        </w:rPr>
        <w:t>.</w:t>
      </w:r>
    </w:p>
    <w:p w14:paraId="12028B2A" w14:textId="77777777" w:rsidR="004E3BE3" w:rsidRPr="00B74B0F" w:rsidRDefault="004E3BE3">
      <w:pPr>
        <w:spacing w:line="240" w:lineRule="auto"/>
        <w:jc w:val="both"/>
        <w:rPr>
          <w:szCs w:val="22"/>
          <w:lang w:val="sr-Latn-ME"/>
        </w:rPr>
      </w:pPr>
    </w:p>
    <w:p w14:paraId="06A180E2" w14:textId="4E03BB7E" w:rsidR="004E3BE3" w:rsidRPr="00B74B0F" w:rsidRDefault="002602C0">
      <w:pPr>
        <w:spacing w:line="240" w:lineRule="auto"/>
        <w:jc w:val="both"/>
        <w:outlineLvl w:val="1"/>
        <w:rPr>
          <w:szCs w:val="22"/>
          <w:lang w:val="sr-Latn-ME"/>
        </w:rPr>
      </w:pPr>
      <w:r w:rsidRPr="00B74B0F">
        <w:rPr>
          <w:szCs w:val="22"/>
          <w:lang w:val="sr-Latn-ME"/>
        </w:rPr>
        <w:t>Primarni parametar praćenja</w:t>
      </w:r>
      <w:r w:rsidR="004E3BE3" w:rsidRPr="00B74B0F">
        <w:rPr>
          <w:szCs w:val="22"/>
          <w:lang w:val="sr-Latn-ME"/>
        </w:rPr>
        <w:t xml:space="preserve"> bila je klinička remisija po aMS-u u 8. </w:t>
      </w:r>
      <w:r w:rsidR="00181042" w:rsidRPr="00B74B0F">
        <w:rPr>
          <w:szCs w:val="22"/>
          <w:lang w:val="sr-Latn-ME"/>
        </w:rPr>
        <w:t>ned</w:t>
      </w:r>
      <w:r w:rsidR="00B73542" w:rsidRPr="00B74B0F">
        <w:rPr>
          <w:szCs w:val="22"/>
          <w:lang w:val="sr-Latn-ME"/>
        </w:rPr>
        <w:t>j</w:t>
      </w:r>
      <w:r w:rsidR="00181042" w:rsidRPr="00B74B0F">
        <w:rPr>
          <w:szCs w:val="22"/>
          <w:lang w:val="sr-Latn-ME"/>
        </w:rPr>
        <w:t>elji</w:t>
      </w:r>
      <w:r w:rsidR="004E3BE3" w:rsidRPr="00B74B0F">
        <w:rPr>
          <w:szCs w:val="22"/>
          <w:lang w:val="sr-Latn-ME"/>
        </w:rPr>
        <w:t>. Tab</w:t>
      </w:r>
      <w:r w:rsidR="00B73542" w:rsidRPr="00B74B0F">
        <w:rPr>
          <w:szCs w:val="22"/>
          <w:lang w:val="sr-Latn-ME"/>
        </w:rPr>
        <w:t>ela</w:t>
      </w:r>
      <w:r w:rsidR="004E3BE3" w:rsidRPr="00B74B0F">
        <w:rPr>
          <w:szCs w:val="22"/>
          <w:lang w:val="sr-Latn-ME"/>
        </w:rPr>
        <w:t xml:space="preserve"> 14 prikazuje primarne i ključne sekundarne </w:t>
      </w:r>
      <w:r w:rsidR="007F4C66" w:rsidRPr="00B74B0F">
        <w:rPr>
          <w:szCs w:val="22"/>
          <w:lang w:val="sr-Latn-ME"/>
        </w:rPr>
        <w:t>parametre praćenja</w:t>
      </w:r>
      <w:r w:rsidR="004E3BE3" w:rsidRPr="00B74B0F">
        <w:rPr>
          <w:szCs w:val="22"/>
          <w:lang w:val="sr-Latn-ME"/>
        </w:rPr>
        <w:t xml:space="preserve"> uključujući klinički odgovor, </w:t>
      </w:r>
      <w:r w:rsidR="00181042" w:rsidRPr="00B74B0F">
        <w:rPr>
          <w:szCs w:val="22"/>
          <w:lang w:val="sr-Latn-ME"/>
        </w:rPr>
        <w:t>liječenje</w:t>
      </w:r>
      <w:r w:rsidR="004E3BE3" w:rsidRPr="00B74B0F">
        <w:rPr>
          <w:szCs w:val="22"/>
          <w:lang w:val="sr-Latn-ME"/>
        </w:rPr>
        <w:t xml:space="preserve"> sluznice, histološko-endoskopsko </w:t>
      </w:r>
      <w:r w:rsidR="00B73542" w:rsidRPr="00B74B0F">
        <w:rPr>
          <w:szCs w:val="22"/>
          <w:lang w:val="sr-Latn-ME"/>
        </w:rPr>
        <w:t>za</w:t>
      </w:r>
      <w:r w:rsidR="007F4C66" w:rsidRPr="00B74B0F">
        <w:rPr>
          <w:szCs w:val="22"/>
          <w:lang w:val="sr-Latn-ME"/>
        </w:rPr>
        <w:t>rastanje</w:t>
      </w:r>
      <w:r w:rsidR="00B73542" w:rsidRPr="00B74B0F">
        <w:rPr>
          <w:szCs w:val="22"/>
          <w:lang w:val="sr-Latn-ME"/>
        </w:rPr>
        <w:t xml:space="preserve"> </w:t>
      </w:r>
      <w:r w:rsidR="004E3BE3" w:rsidRPr="00B74B0F">
        <w:rPr>
          <w:szCs w:val="22"/>
          <w:lang w:val="sr-Latn-ME"/>
        </w:rPr>
        <w:t xml:space="preserve">sluznice i duboko </w:t>
      </w:r>
      <w:r w:rsidR="00B73542" w:rsidRPr="00B74B0F">
        <w:rPr>
          <w:szCs w:val="22"/>
          <w:lang w:val="sr-Latn-ME"/>
        </w:rPr>
        <w:t>za</w:t>
      </w:r>
      <w:r w:rsidR="007F4C66" w:rsidRPr="00B74B0F">
        <w:rPr>
          <w:szCs w:val="22"/>
          <w:lang w:val="sr-Latn-ME"/>
        </w:rPr>
        <w:t>rastanje</w:t>
      </w:r>
      <w:r w:rsidR="00B73542" w:rsidRPr="00B74B0F">
        <w:rPr>
          <w:szCs w:val="22"/>
          <w:lang w:val="sr-Latn-ME"/>
        </w:rPr>
        <w:t xml:space="preserve"> </w:t>
      </w:r>
      <w:r w:rsidR="004E3BE3" w:rsidRPr="00B74B0F">
        <w:rPr>
          <w:szCs w:val="22"/>
          <w:lang w:val="sr-Latn-ME"/>
        </w:rPr>
        <w:t>sluznice.</w:t>
      </w:r>
    </w:p>
    <w:p w14:paraId="7CDA2189" w14:textId="77777777" w:rsidR="004E3BE3" w:rsidRPr="00B74B0F" w:rsidRDefault="004E3BE3">
      <w:pPr>
        <w:spacing w:line="240" w:lineRule="auto"/>
        <w:jc w:val="both"/>
        <w:outlineLvl w:val="1"/>
        <w:rPr>
          <w:b/>
          <w:szCs w:val="22"/>
          <w:lang w:val="sr-Latn-ME"/>
        </w:rPr>
      </w:pPr>
    </w:p>
    <w:p w14:paraId="574570E4" w14:textId="003CBB2D" w:rsidR="004E3BE3" w:rsidRPr="00B74B0F" w:rsidRDefault="004E3BE3">
      <w:pPr>
        <w:spacing w:line="240" w:lineRule="auto"/>
        <w:jc w:val="both"/>
        <w:outlineLvl w:val="1"/>
        <w:rPr>
          <w:b/>
          <w:szCs w:val="22"/>
          <w:lang w:val="sr-Latn-ME"/>
        </w:rPr>
      </w:pPr>
      <w:r w:rsidRPr="00B74B0F">
        <w:rPr>
          <w:b/>
          <w:szCs w:val="22"/>
          <w:lang w:val="sr-Latn-ME"/>
        </w:rPr>
        <w:t>Tab</w:t>
      </w:r>
      <w:r w:rsidR="00B73542" w:rsidRPr="00B74B0F">
        <w:rPr>
          <w:b/>
          <w:szCs w:val="22"/>
          <w:lang w:val="sr-Latn-ME"/>
        </w:rPr>
        <w:t>ela</w:t>
      </w:r>
      <w:r w:rsidRPr="00B74B0F">
        <w:rPr>
          <w:b/>
          <w:szCs w:val="22"/>
          <w:lang w:val="sr-Latn-ME"/>
        </w:rPr>
        <w:t> 1</w:t>
      </w:r>
      <w:r w:rsidR="00B73542" w:rsidRPr="00B74B0F">
        <w:rPr>
          <w:b/>
          <w:szCs w:val="22"/>
          <w:lang w:val="sr-Latn-ME"/>
        </w:rPr>
        <w:t>4:</w:t>
      </w:r>
      <w:r w:rsidR="0090678B" w:rsidRPr="00B74B0F">
        <w:rPr>
          <w:b/>
          <w:szCs w:val="22"/>
          <w:lang w:val="sr-Latn-ME"/>
        </w:rPr>
        <w:t xml:space="preserve"> </w:t>
      </w:r>
      <w:r w:rsidRPr="00B74B0F">
        <w:rPr>
          <w:b/>
          <w:szCs w:val="22"/>
          <w:lang w:val="sr-Latn-ME"/>
        </w:rPr>
        <w:t xml:space="preserve">Udio </w:t>
      </w:r>
      <w:r w:rsidR="00181042" w:rsidRPr="00B74B0F">
        <w:rPr>
          <w:b/>
          <w:szCs w:val="22"/>
          <w:lang w:val="sr-Latn-ME"/>
        </w:rPr>
        <w:t>pacijenata</w:t>
      </w:r>
      <w:r w:rsidRPr="00B74B0F">
        <w:rPr>
          <w:b/>
          <w:szCs w:val="22"/>
          <w:lang w:val="sr-Latn-ME"/>
        </w:rPr>
        <w:t xml:space="preserve"> koji su postigli primarne i ključne sekundarne </w:t>
      </w:r>
      <w:r w:rsidR="007F4C66" w:rsidRPr="00B74B0F">
        <w:rPr>
          <w:b/>
          <w:szCs w:val="22"/>
          <w:lang w:val="sr-Latn-ME"/>
        </w:rPr>
        <w:t xml:space="preserve">parametre praćenja </w:t>
      </w:r>
      <w:r w:rsidRPr="00B74B0F">
        <w:rPr>
          <w:b/>
          <w:szCs w:val="22"/>
          <w:lang w:val="sr-Latn-ME"/>
        </w:rPr>
        <w:t xml:space="preserve">u 8. </w:t>
      </w:r>
      <w:r w:rsidR="00181042" w:rsidRPr="00B74B0F">
        <w:rPr>
          <w:b/>
          <w:szCs w:val="22"/>
          <w:lang w:val="sr-Latn-ME"/>
        </w:rPr>
        <w:t>ned</w:t>
      </w:r>
      <w:r w:rsidR="00B73542" w:rsidRPr="00B74B0F">
        <w:rPr>
          <w:b/>
          <w:szCs w:val="22"/>
          <w:lang w:val="sr-Latn-ME"/>
        </w:rPr>
        <w:t>j</w:t>
      </w:r>
      <w:r w:rsidR="00181042" w:rsidRPr="00B74B0F">
        <w:rPr>
          <w:b/>
          <w:szCs w:val="22"/>
          <w:lang w:val="sr-Latn-ME"/>
        </w:rPr>
        <w:t>elji</w:t>
      </w:r>
      <w:r w:rsidRPr="00B74B0F">
        <w:rPr>
          <w:b/>
          <w:szCs w:val="22"/>
          <w:lang w:val="sr-Latn-ME"/>
        </w:rPr>
        <w:t xml:space="preserve"> u ispitivanjima indukcije UC-1 i UC-2</w:t>
      </w:r>
    </w:p>
    <w:p w14:paraId="1E08B8DE" w14:textId="77777777" w:rsidR="004E3BE3" w:rsidRPr="00B74B0F" w:rsidRDefault="004E3BE3">
      <w:pPr>
        <w:spacing w:line="240" w:lineRule="auto"/>
        <w:jc w:val="both"/>
        <w:outlineLvl w:val="1"/>
        <w:rPr>
          <w:b/>
          <w:bCs/>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951"/>
        <w:gridCol w:w="1125"/>
        <w:gridCol w:w="1211"/>
        <w:gridCol w:w="951"/>
        <w:gridCol w:w="1125"/>
        <w:gridCol w:w="1211"/>
      </w:tblGrid>
      <w:tr w:rsidR="00BF75A1" w:rsidRPr="00B74B0F" w14:paraId="3AD8A598" w14:textId="77777777" w:rsidTr="00A30C3C">
        <w:trPr>
          <w:trHeight w:val="170"/>
        </w:trPr>
        <w:tc>
          <w:tcPr>
            <w:tcW w:w="1372" w:type="pct"/>
            <w:shd w:val="clear" w:color="auto" w:fill="auto"/>
            <w:vAlign w:val="bottom"/>
          </w:tcPr>
          <w:p w14:paraId="4FA8CE8D" w14:textId="77777777" w:rsidR="004E3BE3" w:rsidRPr="00B74B0F" w:rsidRDefault="004E3BE3">
            <w:pPr>
              <w:keepLines/>
              <w:spacing w:line="240" w:lineRule="auto"/>
              <w:jc w:val="both"/>
              <w:rPr>
                <w:rFonts w:eastAsia="MS Mincho"/>
                <w:b/>
                <w:szCs w:val="22"/>
                <w:lang w:val="sr-Latn-ME" w:eastAsia="ja-JP"/>
              </w:rPr>
            </w:pPr>
          </w:p>
        </w:tc>
        <w:tc>
          <w:tcPr>
            <w:tcW w:w="1814" w:type="pct"/>
            <w:gridSpan w:val="3"/>
            <w:shd w:val="clear" w:color="auto" w:fill="auto"/>
            <w:vAlign w:val="bottom"/>
          </w:tcPr>
          <w:p w14:paraId="1A08D004"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UC-1</w:t>
            </w:r>
          </w:p>
          <w:p w14:paraId="5F20E64B" w14:textId="7455CD85" w:rsidR="004E3BE3" w:rsidRPr="00B74B0F" w:rsidRDefault="004E3BE3" w:rsidP="00A30C3C">
            <w:pPr>
              <w:keepLines/>
              <w:spacing w:line="240" w:lineRule="auto"/>
              <w:jc w:val="both"/>
              <w:rPr>
                <w:rFonts w:eastAsia="MS Mincho"/>
                <w:b/>
                <w:szCs w:val="22"/>
                <w:lang w:val="sr-Latn-ME" w:eastAsia="ja-JP"/>
              </w:rPr>
            </w:pPr>
            <w:r w:rsidRPr="00B74B0F">
              <w:rPr>
                <w:b/>
                <w:szCs w:val="22"/>
                <w:lang w:val="sr-Latn-ME"/>
              </w:rPr>
              <w:t>(U-ACHIEVE)</w:t>
            </w:r>
          </w:p>
        </w:tc>
        <w:tc>
          <w:tcPr>
            <w:tcW w:w="1814" w:type="pct"/>
            <w:gridSpan w:val="3"/>
            <w:shd w:val="clear" w:color="auto" w:fill="auto"/>
            <w:vAlign w:val="bottom"/>
          </w:tcPr>
          <w:p w14:paraId="0C2FB7F8"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UC-2</w:t>
            </w:r>
          </w:p>
          <w:p w14:paraId="1DB16E14" w14:textId="77777777" w:rsidR="004E3BE3" w:rsidRPr="00B74B0F" w:rsidRDefault="004E3BE3" w:rsidP="00A30C3C">
            <w:pPr>
              <w:keepLines/>
              <w:spacing w:line="240" w:lineRule="auto"/>
              <w:jc w:val="both"/>
              <w:rPr>
                <w:rFonts w:eastAsia="MS Mincho"/>
                <w:b/>
                <w:szCs w:val="22"/>
                <w:lang w:val="sr-Latn-ME" w:eastAsia="ja-JP"/>
              </w:rPr>
            </w:pPr>
            <w:r w:rsidRPr="00B74B0F">
              <w:rPr>
                <w:b/>
                <w:szCs w:val="22"/>
                <w:lang w:val="sr-Latn-ME"/>
              </w:rPr>
              <w:t>(U-ACCOMPLISH)</w:t>
            </w:r>
          </w:p>
        </w:tc>
      </w:tr>
      <w:tr w:rsidR="00BF75A1" w:rsidRPr="00B74B0F" w14:paraId="4C04AE56" w14:textId="77777777" w:rsidTr="00A30C3C">
        <w:trPr>
          <w:trHeight w:val="530"/>
        </w:trPr>
        <w:tc>
          <w:tcPr>
            <w:tcW w:w="1372" w:type="pct"/>
            <w:shd w:val="clear" w:color="auto" w:fill="auto"/>
            <w:vAlign w:val="bottom"/>
          </w:tcPr>
          <w:p w14:paraId="24559821" w14:textId="34E55E21" w:rsidR="004E3BE3" w:rsidRPr="00B74B0F" w:rsidRDefault="007F4C66">
            <w:pPr>
              <w:keepLines/>
              <w:spacing w:line="240" w:lineRule="auto"/>
              <w:jc w:val="both"/>
              <w:rPr>
                <w:rFonts w:eastAsia="MS Mincho"/>
                <w:b/>
                <w:szCs w:val="22"/>
                <w:lang w:val="sr-Latn-ME"/>
              </w:rPr>
            </w:pPr>
            <w:r w:rsidRPr="00B74B0F">
              <w:rPr>
                <w:rFonts w:eastAsia="MS Mincho"/>
                <w:b/>
                <w:szCs w:val="22"/>
                <w:lang w:val="sr-Latn-ME"/>
              </w:rPr>
              <w:t>Parametar praćenja</w:t>
            </w:r>
            <w:r w:rsidR="004E3BE3" w:rsidRPr="00B74B0F">
              <w:rPr>
                <w:rFonts w:eastAsia="MS Mincho"/>
                <w:b/>
                <w:szCs w:val="22"/>
                <w:lang w:val="sr-Latn-ME"/>
              </w:rPr>
              <w:t xml:space="preserve"> </w:t>
            </w:r>
          </w:p>
          <w:p w14:paraId="02B9F0A6" w14:textId="77777777" w:rsidR="004E3BE3" w:rsidRPr="00B74B0F" w:rsidRDefault="004E3BE3">
            <w:pPr>
              <w:keepLines/>
              <w:spacing w:line="240" w:lineRule="auto"/>
              <w:jc w:val="both"/>
              <w:rPr>
                <w:rFonts w:eastAsia="MS Mincho"/>
                <w:b/>
                <w:szCs w:val="22"/>
                <w:lang w:val="sr-Latn-ME" w:eastAsia="ja-JP"/>
              </w:rPr>
            </w:pPr>
          </w:p>
          <w:p w14:paraId="3251CECC" w14:textId="77777777" w:rsidR="004E3BE3" w:rsidRPr="00B74B0F" w:rsidRDefault="004E3BE3">
            <w:pPr>
              <w:keepLines/>
              <w:spacing w:line="240" w:lineRule="auto"/>
              <w:jc w:val="both"/>
              <w:rPr>
                <w:rFonts w:eastAsia="MS Mincho"/>
                <w:b/>
                <w:szCs w:val="22"/>
                <w:lang w:val="sr-Latn-ME" w:eastAsia="ja-JP"/>
              </w:rPr>
            </w:pPr>
          </w:p>
        </w:tc>
        <w:tc>
          <w:tcPr>
            <w:tcW w:w="525" w:type="pct"/>
            <w:shd w:val="clear" w:color="auto" w:fill="auto"/>
            <w:vAlign w:val="bottom"/>
          </w:tcPr>
          <w:p w14:paraId="07772E53"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PBO</w:t>
            </w:r>
          </w:p>
          <w:p w14:paraId="0238D1D7"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N=154</w:t>
            </w:r>
          </w:p>
        </w:tc>
        <w:tc>
          <w:tcPr>
            <w:tcW w:w="621" w:type="pct"/>
            <w:shd w:val="clear" w:color="auto" w:fill="auto"/>
            <w:vAlign w:val="bottom"/>
          </w:tcPr>
          <w:p w14:paraId="58D6D49C"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UPA</w:t>
            </w:r>
          </w:p>
          <w:p w14:paraId="44A744A8"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45 mg</w:t>
            </w:r>
          </w:p>
          <w:p w14:paraId="6001C5A9"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N=319</w:t>
            </w:r>
          </w:p>
        </w:tc>
        <w:tc>
          <w:tcPr>
            <w:tcW w:w="668" w:type="pct"/>
            <w:shd w:val="clear" w:color="auto" w:fill="auto"/>
            <w:vAlign w:val="bottom"/>
          </w:tcPr>
          <w:p w14:paraId="3F08BC10"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Razlika u liječenju</w:t>
            </w:r>
          </w:p>
          <w:p w14:paraId="4D237938" w14:textId="77777777" w:rsidR="004E3BE3" w:rsidRPr="00B74B0F" w:rsidRDefault="004E3BE3" w:rsidP="00A30C3C">
            <w:pPr>
              <w:keepLines/>
              <w:spacing w:line="240" w:lineRule="auto"/>
              <w:jc w:val="both"/>
              <w:rPr>
                <w:rFonts w:eastAsia="MS Mincho"/>
                <w:b/>
                <w:szCs w:val="22"/>
                <w:lang w:val="sr-Latn-ME" w:eastAsia="ja-JP"/>
              </w:rPr>
            </w:pPr>
            <w:r w:rsidRPr="00B74B0F">
              <w:rPr>
                <w:b/>
                <w:szCs w:val="22"/>
                <w:lang w:val="sr-Latn-ME"/>
              </w:rPr>
              <w:t>(95% CI)</w:t>
            </w:r>
          </w:p>
        </w:tc>
        <w:tc>
          <w:tcPr>
            <w:tcW w:w="525" w:type="pct"/>
            <w:shd w:val="clear" w:color="auto" w:fill="auto"/>
            <w:vAlign w:val="bottom"/>
          </w:tcPr>
          <w:p w14:paraId="64EE3727"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PBO</w:t>
            </w:r>
          </w:p>
          <w:p w14:paraId="21C6BCE5"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N=174</w:t>
            </w:r>
          </w:p>
        </w:tc>
        <w:tc>
          <w:tcPr>
            <w:tcW w:w="621" w:type="pct"/>
            <w:shd w:val="clear" w:color="auto" w:fill="auto"/>
            <w:vAlign w:val="bottom"/>
          </w:tcPr>
          <w:p w14:paraId="60495BFB"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UPA</w:t>
            </w:r>
          </w:p>
          <w:p w14:paraId="795A8E43"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45 mg</w:t>
            </w:r>
          </w:p>
          <w:p w14:paraId="221097A1"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N=341</w:t>
            </w:r>
          </w:p>
        </w:tc>
        <w:tc>
          <w:tcPr>
            <w:tcW w:w="668" w:type="pct"/>
            <w:shd w:val="clear" w:color="auto" w:fill="auto"/>
            <w:vAlign w:val="bottom"/>
          </w:tcPr>
          <w:p w14:paraId="7195B58E" w14:textId="77777777" w:rsidR="004E3BE3" w:rsidRPr="00B74B0F" w:rsidRDefault="004E3BE3" w:rsidP="00A30C3C">
            <w:pPr>
              <w:keepLines/>
              <w:spacing w:line="240" w:lineRule="auto"/>
              <w:jc w:val="both"/>
              <w:rPr>
                <w:rFonts w:eastAsia="MS Mincho"/>
                <w:b/>
                <w:szCs w:val="22"/>
                <w:lang w:val="sr-Latn-ME" w:eastAsia="ja-JP"/>
              </w:rPr>
            </w:pPr>
            <w:r w:rsidRPr="00B74B0F">
              <w:rPr>
                <w:rFonts w:eastAsia="MS Mincho"/>
                <w:b/>
                <w:szCs w:val="22"/>
                <w:lang w:val="sr-Latn-ME"/>
              </w:rPr>
              <w:t>Razlika u liječenju</w:t>
            </w:r>
          </w:p>
          <w:p w14:paraId="17630006" w14:textId="77777777" w:rsidR="004E3BE3" w:rsidRPr="00B74B0F" w:rsidRDefault="004E3BE3" w:rsidP="00A30C3C">
            <w:pPr>
              <w:keepLines/>
              <w:spacing w:line="240" w:lineRule="auto"/>
              <w:jc w:val="both"/>
              <w:rPr>
                <w:rFonts w:eastAsia="MS Mincho"/>
                <w:b/>
                <w:szCs w:val="22"/>
                <w:lang w:val="sr-Latn-ME" w:eastAsia="ja-JP"/>
              </w:rPr>
            </w:pPr>
            <w:r w:rsidRPr="00B74B0F">
              <w:rPr>
                <w:b/>
                <w:szCs w:val="22"/>
                <w:lang w:val="sr-Latn-ME"/>
              </w:rPr>
              <w:t>(95% CI)</w:t>
            </w:r>
          </w:p>
        </w:tc>
      </w:tr>
      <w:tr w:rsidR="00BF75A1" w:rsidRPr="00B74B0F" w14:paraId="331DAF56" w14:textId="77777777" w:rsidTr="00A30C3C">
        <w:trPr>
          <w:trHeight w:val="341"/>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6AA0F002" w14:textId="77777777" w:rsidR="004E3BE3" w:rsidRPr="00B74B0F" w:rsidRDefault="004E3BE3">
            <w:pPr>
              <w:keepLines/>
              <w:spacing w:line="240" w:lineRule="auto"/>
              <w:jc w:val="both"/>
              <w:rPr>
                <w:rFonts w:eastAsia="MS Mincho"/>
                <w:b/>
                <w:iCs/>
                <w:szCs w:val="22"/>
                <w:vertAlign w:val="superscript"/>
                <w:lang w:val="sr-Latn-ME" w:eastAsia="ja-JP"/>
              </w:rPr>
            </w:pPr>
            <w:r w:rsidRPr="00B74B0F">
              <w:rPr>
                <w:rFonts w:eastAsia="MS Mincho"/>
                <w:b/>
                <w:szCs w:val="22"/>
                <w:lang w:val="sr-Latn-ME"/>
              </w:rPr>
              <w:t xml:space="preserve">Klinička </w:t>
            </w:r>
            <w:r w:rsidRPr="00B74B0F">
              <w:rPr>
                <w:rFonts w:eastAsia="MS Mincho"/>
                <w:b/>
                <w:iCs/>
                <w:szCs w:val="22"/>
                <w:lang w:val="sr-Latn-ME"/>
              </w:rPr>
              <w:t>r</w:t>
            </w:r>
            <w:r w:rsidRPr="00B74B0F">
              <w:rPr>
                <w:rFonts w:eastAsia="MS Mincho"/>
                <w:b/>
                <w:szCs w:val="22"/>
                <w:lang w:val="sr-Latn-ME"/>
              </w:rPr>
              <w:t>emisija</w:t>
            </w:r>
            <w:r w:rsidRPr="00B74B0F">
              <w:rPr>
                <w:rFonts w:eastAsia="MS Mincho"/>
                <w:b/>
                <w:szCs w:val="22"/>
                <w:vertAlign w:val="superscript"/>
                <w:lang w:val="sr-Latn-ME"/>
              </w:rPr>
              <w:t xml:space="preserve">a </w:t>
            </w:r>
          </w:p>
          <w:p w14:paraId="3B24639B" w14:textId="77777777" w:rsidR="004E3BE3" w:rsidRPr="00B74B0F" w:rsidRDefault="004E3BE3">
            <w:pPr>
              <w:keepLines/>
              <w:spacing w:line="240" w:lineRule="auto"/>
              <w:jc w:val="both"/>
              <w:rPr>
                <w:rFonts w:eastAsia="MS Mincho"/>
                <w:b/>
                <w:szCs w:val="22"/>
                <w:lang w:val="sr-Latn-ME" w:eastAsia="ja-JP"/>
              </w:rPr>
            </w:pP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7E0DF3D7"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4,8%</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78508AB2"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26,1%</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44E5B7C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21,6%*</w:t>
            </w:r>
          </w:p>
          <w:p w14:paraId="3BC8943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(15,8; 27,4)</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8EB58B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4,1%</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17B7A161"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33,5%</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7AB6B67D"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29,0%*</w:t>
            </w:r>
          </w:p>
          <w:p w14:paraId="4E83D8B6"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(23,2; 34,7)</w:t>
            </w:r>
          </w:p>
        </w:tc>
      </w:tr>
      <w:tr w:rsidR="00BF75A1" w:rsidRPr="00B74B0F" w14:paraId="3C431E6E" w14:textId="77777777" w:rsidTr="00A30C3C">
        <w:trPr>
          <w:trHeight w:val="332"/>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14DC3B54"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Prethodni biološki neuspjeh</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5FDCCB1F"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0,4%</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34695AA6"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17,9%</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48C76BD8"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17,5%</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58119A2"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2,4%</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64C11F5C"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29,6%</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FDCFF83"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27,1%</w:t>
            </w:r>
          </w:p>
        </w:tc>
      </w:tr>
      <w:tr w:rsidR="00BF75A1" w:rsidRPr="00B74B0F" w14:paraId="2497BA41" w14:textId="77777777" w:rsidTr="00A30C3C">
        <w:trPr>
          <w:trHeight w:val="413"/>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75F333A1"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Bez prethodnog biološkog neuspjeha</w:t>
            </w:r>
            <w:r w:rsidRPr="00B74B0F">
              <w:rPr>
                <w:rFonts w:eastAsia="MS Mincho"/>
                <w:bCs/>
                <w:iCs/>
                <w:szCs w:val="22"/>
                <w:vertAlign w:val="superscript"/>
                <w:lang w:val="sr-Latn-ME"/>
              </w:rPr>
              <w:t>+</w:t>
            </w:r>
            <w:r w:rsidRPr="00B74B0F">
              <w:rPr>
                <w:rFonts w:eastAsia="MS Mincho"/>
                <w:szCs w:val="22"/>
                <w:lang w:val="sr-Latn-ME"/>
              </w:rPr>
              <w:t xml:space="preserve"> </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E10A73F"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9,2%</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FECC3D3"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35,2%</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9214860"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26,0%</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7CE252B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5,9%</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118CB132"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37,5%</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D7675F2"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31,6%</w:t>
            </w:r>
          </w:p>
        </w:tc>
      </w:tr>
      <w:tr w:rsidR="00BF75A1" w:rsidRPr="00B74B0F" w14:paraId="36B93440" w14:textId="77777777" w:rsidTr="00A30C3C">
        <w:trPr>
          <w:trHeight w:val="341"/>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6BD11452" w14:textId="77777777" w:rsidR="004E3BE3" w:rsidRPr="00B74B0F" w:rsidRDefault="004E3BE3">
            <w:pPr>
              <w:keepLines/>
              <w:spacing w:line="240" w:lineRule="auto"/>
              <w:jc w:val="both"/>
              <w:rPr>
                <w:rFonts w:eastAsia="MS Mincho"/>
                <w:b/>
                <w:szCs w:val="22"/>
                <w:lang w:val="sr-Latn-ME" w:eastAsia="ja-JP"/>
              </w:rPr>
            </w:pPr>
            <w:r w:rsidRPr="00B74B0F">
              <w:rPr>
                <w:rFonts w:eastAsia="MS Mincho"/>
                <w:b/>
                <w:szCs w:val="22"/>
                <w:lang w:val="sr-Latn-ME"/>
              </w:rPr>
              <w:t xml:space="preserve">Klinički </w:t>
            </w:r>
            <w:r w:rsidRPr="00B74B0F">
              <w:rPr>
                <w:rFonts w:eastAsia="MS Mincho"/>
                <w:b/>
                <w:iCs/>
                <w:szCs w:val="22"/>
                <w:lang w:val="sr-Latn-ME"/>
              </w:rPr>
              <w:t>o</w:t>
            </w:r>
            <w:r w:rsidRPr="00B74B0F">
              <w:rPr>
                <w:rFonts w:eastAsia="MS Mincho"/>
                <w:b/>
                <w:szCs w:val="22"/>
                <w:lang w:val="sr-Latn-ME"/>
              </w:rPr>
              <w:t>dgovor</w:t>
            </w:r>
            <w:r w:rsidRPr="00B74B0F">
              <w:rPr>
                <w:rFonts w:eastAsia="MS Mincho"/>
                <w:b/>
                <w:szCs w:val="22"/>
                <w:vertAlign w:val="superscript"/>
                <w:lang w:val="sr-Latn-ME"/>
              </w:rPr>
              <w:t>b</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F057D48"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27,3%</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0A417C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72,6%</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23151AF"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46,3%*</w:t>
            </w:r>
          </w:p>
          <w:p w14:paraId="49179458"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(38,4; 54,2)</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8A2D1C8"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25,4%</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0956A905"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74,5%</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C9EE39B"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49,4%*</w:t>
            </w:r>
          </w:p>
          <w:p w14:paraId="568E9364"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(41,7; 57,1)</w:t>
            </w:r>
          </w:p>
        </w:tc>
      </w:tr>
      <w:tr w:rsidR="00BF75A1" w:rsidRPr="00B74B0F" w14:paraId="5E29B0A2" w14:textId="77777777" w:rsidTr="00A30C3C">
        <w:trPr>
          <w:trHeight w:val="332"/>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7A165BAE"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Prethodni biološki neuspjeh</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6C819A6"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12,8%</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058CBD77"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64,4%</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034D2EA3"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51,6%</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302E3B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19,3%</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60E73F78"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69,4%</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27ADAD4"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50,1%</w:t>
            </w:r>
          </w:p>
        </w:tc>
      </w:tr>
      <w:tr w:rsidR="00BF75A1" w:rsidRPr="00B74B0F" w14:paraId="75B7D7D4" w14:textId="77777777" w:rsidTr="00A30C3C">
        <w:trPr>
          <w:trHeight w:val="332"/>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006A2AD8"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Bez prethodnog biološkog neuspjeha</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03FA5AD8"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42,1%</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367BB0B1"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81,8%</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42363952"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39,7%</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3541D02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31,8%</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38DB98C6"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79,8%</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B80C2A3"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48,0%</w:t>
            </w:r>
          </w:p>
        </w:tc>
      </w:tr>
      <w:tr w:rsidR="00BF75A1" w:rsidRPr="00B74B0F" w14:paraId="7145410A" w14:textId="77777777" w:rsidTr="00A30C3C">
        <w:trPr>
          <w:trHeight w:val="323"/>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28DFE072" w14:textId="68C0167F" w:rsidR="004E3BE3" w:rsidRPr="00B74B0F" w:rsidRDefault="00181042">
            <w:pPr>
              <w:keepLines/>
              <w:spacing w:line="240" w:lineRule="auto"/>
              <w:jc w:val="both"/>
              <w:rPr>
                <w:rFonts w:eastAsia="MS Mincho"/>
                <w:b/>
                <w:szCs w:val="22"/>
                <w:lang w:val="sr-Latn-ME" w:eastAsia="ja-JP"/>
              </w:rPr>
            </w:pPr>
            <w:r w:rsidRPr="00B74B0F">
              <w:rPr>
                <w:rFonts w:eastAsia="MS Mincho"/>
                <w:b/>
                <w:szCs w:val="22"/>
                <w:lang w:val="sr-Latn-ME"/>
              </w:rPr>
              <w:lastRenderedPageBreak/>
              <w:t>Liječenje</w:t>
            </w:r>
            <w:r w:rsidR="004E3BE3" w:rsidRPr="00B74B0F">
              <w:rPr>
                <w:rFonts w:eastAsia="MS Mincho"/>
                <w:b/>
                <w:szCs w:val="22"/>
                <w:lang w:val="sr-Latn-ME"/>
              </w:rPr>
              <w:t xml:space="preserve"> </w:t>
            </w:r>
            <w:r w:rsidR="004E3BE3" w:rsidRPr="00B74B0F">
              <w:rPr>
                <w:rFonts w:eastAsia="MS Mincho"/>
                <w:b/>
                <w:iCs/>
                <w:szCs w:val="22"/>
                <w:lang w:val="sr-Latn-ME"/>
              </w:rPr>
              <w:t>s</w:t>
            </w:r>
            <w:r w:rsidR="004E3BE3" w:rsidRPr="00B74B0F">
              <w:rPr>
                <w:rFonts w:eastAsia="MS Mincho"/>
                <w:b/>
                <w:szCs w:val="22"/>
                <w:lang w:val="sr-Latn-ME"/>
              </w:rPr>
              <w:t>luznice</w:t>
            </w:r>
            <w:r w:rsidR="004E3BE3" w:rsidRPr="00B74B0F">
              <w:rPr>
                <w:rFonts w:eastAsia="MS Mincho"/>
                <w:b/>
                <w:szCs w:val="22"/>
                <w:vertAlign w:val="superscript"/>
                <w:lang w:val="sr-Latn-ME"/>
              </w:rPr>
              <w:t>c</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FB235C7"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7,4%</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62C5EE41"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36,3%</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E522115"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29,3%*</w:t>
            </w:r>
          </w:p>
          <w:p w14:paraId="0FCC0AEF"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(22,6; 35,9)</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1CC204F"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8,3%</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F0033FE"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44,0%</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35D76114"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35,1%*</w:t>
            </w:r>
          </w:p>
          <w:p w14:paraId="22B412E3"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(28,6; 41,6)</w:t>
            </w:r>
          </w:p>
        </w:tc>
      </w:tr>
      <w:tr w:rsidR="00BF75A1" w:rsidRPr="00B74B0F" w14:paraId="07D44FBB" w14:textId="77777777" w:rsidTr="00A30C3C">
        <w:trPr>
          <w:trHeight w:val="404"/>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08DD0DC7"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Prethodni biološki neuspjeh</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366498F"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1,7%</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620CA9E"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27,0%</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309D6CE"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25,3%</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3B827AA6"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4,8%</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17A7F5AB"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37,1%</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1885FEA" w14:textId="77777777" w:rsidR="004E3BE3" w:rsidRPr="00B74B0F" w:rsidRDefault="004E3BE3" w:rsidP="00A30C3C">
            <w:pPr>
              <w:keepLines/>
              <w:spacing w:line="240" w:lineRule="auto"/>
              <w:jc w:val="both"/>
              <w:rPr>
                <w:rFonts w:eastAsia="MS Mincho"/>
                <w:szCs w:val="22"/>
                <w:lang w:val="sr-Latn-ME" w:eastAsia="ja-JP"/>
              </w:rPr>
            </w:pPr>
            <w:r w:rsidRPr="00B74B0F">
              <w:rPr>
                <w:rFonts w:eastAsia="MS Mincho"/>
                <w:szCs w:val="22"/>
                <w:lang w:val="sr-Latn-ME"/>
              </w:rPr>
              <w:t>32,3%</w:t>
            </w:r>
          </w:p>
        </w:tc>
      </w:tr>
      <w:tr w:rsidR="00BF75A1" w:rsidRPr="00B74B0F" w14:paraId="1BE1FA7C" w14:textId="77777777" w:rsidTr="00A30C3C">
        <w:trPr>
          <w:trHeight w:val="350"/>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7703637D"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Bez prethodnog biološkog neuspjeha</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580CB934"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13,2%</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7B29F766"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46,8%</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1404F965"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33,6%</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DE05C8E"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12,0%</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34B644A"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51,2%</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3E534745"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39,2%</w:t>
            </w:r>
          </w:p>
        </w:tc>
      </w:tr>
      <w:tr w:rsidR="00BF75A1" w:rsidRPr="00B74B0F" w14:paraId="43E56820" w14:textId="77777777" w:rsidTr="00A30C3C">
        <w:trPr>
          <w:trHeight w:val="413"/>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47532769" w14:textId="5E58D4FB" w:rsidR="004E3BE3" w:rsidRPr="00B74B0F" w:rsidRDefault="004E3BE3">
            <w:pPr>
              <w:keepLines/>
              <w:spacing w:line="240" w:lineRule="auto"/>
              <w:jc w:val="both"/>
              <w:rPr>
                <w:rFonts w:eastAsia="MS Mincho"/>
                <w:b/>
                <w:szCs w:val="22"/>
                <w:lang w:val="sr-Latn-ME" w:eastAsia="ja-JP"/>
              </w:rPr>
            </w:pPr>
            <w:r w:rsidRPr="00B74B0F">
              <w:rPr>
                <w:rFonts w:eastAsia="MS Mincho"/>
                <w:b/>
                <w:szCs w:val="22"/>
                <w:lang w:val="sr-Latn-ME"/>
              </w:rPr>
              <w:t xml:space="preserve">Histološko-endoskopsko </w:t>
            </w:r>
            <w:r w:rsidR="00AE13A0" w:rsidRPr="00B74B0F">
              <w:rPr>
                <w:rFonts w:eastAsia="MS Mincho"/>
                <w:b/>
                <w:szCs w:val="22"/>
                <w:lang w:val="sr-Latn-ME"/>
              </w:rPr>
              <w:t>liječenje</w:t>
            </w:r>
            <w:r w:rsidR="00B73542" w:rsidRPr="00B74B0F">
              <w:rPr>
                <w:rFonts w:eastAsia="MS Mincho"/>
                <w:b/>
                <w:iCs/>
                <w:szCs w:val="22"/>
                <w:lang w:val="sr-Latn-ME"/>
              </w:rPr>
              <w:t xml:space="preserve"> </w:t>
            </w:r>
            <w:r w:rsidRPr="00B74B0F">
              <w:rPr>
                <w:rFonts w:eastAsia="MS Mincho"/>
                <w:b/>
                <w:szCs w:val="22"/>
                <w:lang w:val="sr-Latn-ME"/>
              </w:rPr>
              <w:t>sluznice</w:t>
            </w:r>
            <w:r w:rsidRPr="00B74B0F">
              <w:rPr>
                <w:rFonts w:eastAsia="MS Mincho"/>
                <w:b/>
                <w:szCs w:val="22"/>
                <w:vertAlign w:val="superscript"/>
                <w:lang w:val="sr-Latn-ME"/>
              </w:rPr>
              <w:t>d</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5C1BC21B"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6,6%</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FF27348"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30,1%</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033D5319"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23,7%*</w:t>
            </w:r>
          </w:p>
          <w:p w14:paraId="62A99390"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(17,5; 30,0)</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1E8EDEF9"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5,9%</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6A0CB0E6"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36,7%</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03EB5B79"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30,1%*</w:t>
            </w:r>
          </w:p>
          <w:p w14:paraId="7720E45B"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(24,1; 36,2)</w:t>
            </w:r>
          </w:p>
        </w:tc>
      </w:tr>
      <w:tr w:rsidR="00BF75A1" w:rsidRPr="00B74B0F" w14:paraId="514F1136" w14:textId="77777777" w:rsidTr="00A30C3C">
        <w:trPr>
          <w:trHeight w:val="215"/>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52D87136"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Prethodni biološki neuspjeh</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547BF96F"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1,4%</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331D08D7"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22,7%</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7BE9010F"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21,3%</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34DA9E4D"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4,6%</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1F7C192"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30,7%</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8C9D076"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26,1%</w:t>
            </w:r>
          </w:p>
        </w:tc>
      </w:tr>
      <w:tr w:rsidR="00BF75A1" w:rsidRPr="00B74B0F" w14:paraId="3B13FD97" w14:textId="77777777" w:rsidTr="00A30C3C">
        <w:trPr>
          <w:trHeight w:val="296"/>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6154365B"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Bez prethodnog biološkog neuspjeha</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76B636EB"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11,8%</w:t>
            </w:r>
          </w:p>
          <w:p w14:paraId="4765CADC" w14:textId="77777777" w:rsidR="004E3BE3" w:rsidRPr="00B74B0F" w:rsidRDefault="004E3BE3">
            <w:pPr>
              <w:keepLines/>
              <w:spacing w:line="240" w:lineRule="auto"/>
              <w:jc w:val="both"/>
              <w:rPr>
                <w:rFonts w:eastAsia="MS Mincho"/>
                <w:szCs w:val="22"/>
                <w:lang w:val="sr-Latn-ME" w:eastAsia="ja-JP"/>
              </w:rPr>
            </w:pP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7242C92"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38,2%</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31CE9DEE"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26,4%</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5E8D7279"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7,2%</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736D82F1"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42,9%</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4B454279"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35,7%</w:t>
            </w:r>
          </w:p>
        </w:tc>
      </w:tr>
      <w:tr w:rsidR="00BF75A1" w:rsidRPr="00B74B0F" w14:paraId="2DB58230" w14:textId="77777777" w:rsidTr="00A30C3C">
        <w:trPr>
          <w:trHeight w:val="296"/>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08F45756" w14:textId="10EF83DE" w:rsidR="004E3BE3" w:rsidRPr="00B74B0F" w:rsidRDefault="004E3BE3" w:rsidP="00144C74">
            <w:pPr>
              <w:keepLines/>
              <w:spacing w:line="240" w:lineRule="auto"/>
              <w:jc w:val="both"/>
              <w:rPr>
                <w:rFonts w:eastAsia="MS Mincho"/>
                <w:b/>
                <w:szCs w:val="22"/>
                <w:lang w:val="sr-Latn-ME" w:eastAsia="ja-JP"/>
              </w:rPr>
            </w:pPr>
            <w:r w:rsidRPr="00B74B0F">
              <w:rPr>
                <w:rFonts w:eastAsia="MS Mincho"/>
                <w:b/>
                <w:szCs w:val="22"/>
                <w:lang w:val="sr-Latn-ME"/>
              </w:rPr>
              <w:t xml:space="preserve">Duboko </w:t>
            </w:r>
            <w:r w:rsidR="00AE13A0" w:rsidRPr="00B74B0F">
              <w:rPr>
                <w:rFonts w:eastAsia="MS Mincho"/>
                <w:b/>
                <w:iCs/>
                <w:szCs w:val="22"/>
                <w:lang w:val="sr-Latn-ME"/>
              </w:rPr>
              <w:t>liječenje</w:t>
            </w:r>
            <w:r w:rsidR="00B73542" w:rsidRPr="00B74B0F">
              <w:rPr>
                <w:rFonts w:eastAsia="MS Mincho"/>
                <w:b/>
                <w:iCs/>
                <w:szCs w:val="22"/>
                <w:lang w:val="sr-Latn-ME"/>
              </w:rPr>
              <w:t xml:space="preserve"> </w:t>
            </w:r>
            <w:r w:rsidRPr="00B74B0F">
              <w:rPr>
                <w:rFonts w:eastAsia="MS Mincho"/>
                <w:b/>
                <w:iCs/>
                <w:szCs w:val="22"/>
                <w:lang w:val="sr-Latn-ME"/>
              </w:rPr>
              <w:t>s</w:t>
            </w:r>
            <w:r w:rsidRPr="00B74B0F">
              <w:rPr>
                <w:rFonts w:eastAsia="MS Mincho"/>
                <w:b/>
                <w:szCs w:val="22"/>
                <w:lang w:val="sr-Latn-ME"/>
              </w:rPr>
              <w:t>luznice</w:t>
            </w:r>
            <w:r w:rsidRPr="00B74B0F">
              <w:rPr>
                <w:rFonts w:eastAsia="MS Mincho"/>
                <w:b/>
                <w:szCs w:val="22"/>
                <w:vertAlign w:val="superscript"/>
                <w:lang w:val="sr-Latn-ME"/>
              </w:rPr>
              <w:t>e</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20C72AAD"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1,3%</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13BCFDAD"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10,7%</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545C8C9F"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9,7%*</w:t>
            </w:r>
          </w:p>
          <w:p w14:paraId="7D8B8121"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(5,7; 13,7)</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6BE5D93B"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1,7%</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6BCB8B37"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13,5%</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7AA8B4A3"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11,3%*</w:t>
            </w:r>
          </w:p>
          <w:p w14:paraId="3526D491"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(7,2; 15,3)</w:t>
            </w:r>
          </w:p>
        </w:tc>
      </w:tr>
      <w:tr w:rsidR="00BF75A1" w:rsidRPr="00B74B0F" w14:paraId="0BB26F90" w14:textId="77777777" w:rsidTr="00A30C3C">
        <w:trPr>
          <w:trHeight w:val="296"/>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2750382A"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Prethodni biološki neuspjeh</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B877D19"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0</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27D6F9C1"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6,5%</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7D383A80"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6,5%</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71293516"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1,1%</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54E67F1B"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9,2%</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29A7213A"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8,1%</w:t>
            </w:r>
          </w:p>
        </w:tc>
      </w:tr>
      <w:tr w:rsidR="00BF75A1" w:rsidRPr="00B74B0F" w14:paraId="751019AA" w14:textId="77777777" w:rsidTr="00A30C3C">
        <w:trPr>
          <w:trHeight w:val="296"/>
        </w:trPr>
        <w:tc>
          <w:tcPr>
            <w:tcW w:w="1372" w:type="pct"/>
            <w:tcBorders>
              <w:top w:val="single" w:sz="4" w:space="0" w:color="auto"/>
              <w:left w:val="single" w:sz="4" w:space="0" w:color="auto"/>
              <w:bottom w:val="single" w:sz="4" w:space="0" w:color="auto"/>
              <w:right w:val="single" w:sz="4" w:space="0" w:color="auto"/>
            </w:tcBorders>
            <w:shd w:val="clear" w:color="auto" w:fill="auto"/>
          </w:tcPr>
          <w:p w14:paraId="576E9159" w14:textId="77777777" w:rsidR="004E3BE3" w:rsidRPr="00B74B0F" w:rsidRDefault="004E3BE3">
            <w:pPr>
              <w:keepLines/>
              <w:spacing w:line="240" w:lineRule="auto"/>
              <w:ind w:left="108"/>
              <w:jc w:val="both"/>
              <w:rPr>
                <w:rFonts w:eastAsia="MS Mincho"/>
                <w:szCs w:val="22"/>
                <w:lang w:val="sr-Latn-ME" w:eastAsia="ja-JP"/>
              </w:rPr>
            </w:pPr>
            <w:r w:rsidRPr="00B74B0F">
              <w:rPr>
                <w:rFonts w:eastAsia="MS Mincho"/>
                <w:szCs w:val="22"/>
                <w:lang w:val="sr-Latn-ME"/>
              </w:rPr>
              <w:t>Bez prethodnog biološkog neuspjeha</w:t>
            </w:r>
            <w:r w:rsidRPr="00B74B0F">
              <w:rPr>
                <w:rFonts w:eastAsia="MS Mincho"/>
                <w:bCs/>
                <w:iCs/>
                <w:szCs w:val="22"/>
                <w:vertAlign w:val="superscript"/>
                <w:lang w:val="sr-Latn-ME"/>
              </w:rPr>
              <w:t>+</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47CAD959"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2,6%</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4C011940"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15,4%</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613297FF"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12,8%</w:t>
            </w:r>
          </w:p>
        </w:tc>
        <w:tc>
          <w:tcPr>
            <w:tcW w:w="525" w:type="pct"/>
            <w:tcBorders>
              <w:top w:val="single" w:sz="4" w:space="0" w:color="auto"/>
              <w:left w:val="single" w:sz="4" w:space="0" w:color="auto"/>
              <w:bottom w:val="single" w:sz="4" w:space="0" w:color="auto"/>
              <w:right w:val="single" w:sz="4" w:space="0" w:color="auto"/>
            </w:tcBorders>
            <w:shd w:val="clear" w:color="auto" w:fill="auto"/>
          </w:tcPr>
          <w:p w14:paraId="6CFDF31E"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2,4%</w:t>
            </w:r>
          </w:p>
        </w:tc>
        <w:tc>
          <w:tcPr>
            <w:tcW w:w="621" w:type="pct"/>
            <w:tcBorders>
              <w:top w:val="single" w:sz="4" w:space="0" w:color="auto"/>
              <w:left w:val="single" w:sz="4" w:space="0" w:color="auto"/>
              <w:bottom w:val="single" w:sz="4" w:space="0" w:color="auto"/>
              <w:right w:val="single" w:sz="4" w:space="0" w:color="auto"/>
            </w:tcBorders>
            <w:shd w:val="clear" w:color="auto" w:fill="auto"/>
          </w:tcPr>
          <w:p w14:paraId="6564ABCD"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17,9%</w:t>
            </w:r>
          </w:p>
        </w:tc>
        <w:tc>
          <w:tcPr>
            <w:tcW w:w="668" w:type="pct"/>
            <w:tcBorders>
              <w:top w:val="single" w:sz="4" w:space="0" w:color="auto"/>
              <w:left w:val="single" w:sz="4" w:space="0" w:color="auto"/>
              <w:bottom w:val="single" w:sz="4" w:space="0" w:color="auto"/>
              <w:right w:val="single" w:sz="4" w:space="0" w:color="auto"/>
            </w:tcBorders>
            <w:shd w:val="clear" w:color="auto" w:fill="auto"/>
          </w:tcPr>
          <w:p w14:paraId="621FB282" w14:textId="77777777" w:rsidR="004E3BE3" w:rsidRPr="00B74B0F" w:rsidRDefault="004E3BE3">
            <w:pPr>
              <w:keepLines/>
              <w:spacing w:line="240" w:lineRule="auto"/>
              <w:jc w:val="both"/>
              <w:rPr>
                <w:rFonts w:eastAsia="MS Mincho"/>
                <w:szCs w:val="22"/>
                <w:lang w:val="sr-Latn-ME" w:eastAsia="ja-JP"/>
              </w:rPr>
            </w:pPr>
            <w:r w:rsidRPr="00B74B0F">
              <w:rPr>
                <w:rFonts w:eastAsia="MS Mincho"/>
                <w:szCs w:val="22"/>
                <w:lang w:val="sr-Latn-ME"/>
              </w:rPr>
              <w:t>15,5%</w:t>
            </w:r>
          </w:p>
        </w:tc>
      </w:tr>
      <w:tr w:rsidR="004E3BE3" w:rsidRPr="00B74B0F" w14:paraId="66B731AB" w14:textId="77777777" w:rsidTr="00A30C3C">
        <w:trPr>
          <w:trHeight w:val="1232"/>
        </w:trPr>
        <w:tc>
          <w:tcPr>
            <w:tcW w:w="5000" w:type="pct"/>
            <w:gridSpan w:val="7"/>
            <w:shd w:val="clear" w:color="auto" w:fill="auto"/>
          </w:tcPr>
          <w:p w14:paraId="05B572F1" w14:textId="4FA29797" w:rsidR="004E3BE3" w:rsidRPr="00B74B0F" w:rsidRDefault="00181042">
            <w:pPr>
              <w:keepNext/>
              <w:spacing w:line="240" w:lineRule="auto"/>
              <w:jc w:val="both"/>
              <w:rPr>
                <w:rFonts w:eastAsia="MS Mincho"/>
                <w:b/>
                <w:szCs w:val="22"/>
                <w:vertAlign w:val="superscript"/>
                <w:lang w:val="sr-Latn-ME" w:eastAsia="ja-JP"/>
              </w:rPr>
            </w:pPr>
            <w:r w:rsidRPr="00B74B0F">
              <w:rPr>
                <w:szCs w:val="22"/>
                <w:lang w:val="sr-Latn-ME"/>
              </w:rPr>
              <w:t>Skraćenice</w:t>
            </w:r>
            <w:r w:rsidR="004E3BE3" w:rsidRPr="00B74B0F">
              <w:rPr>
                <w:szCs w:val="22"/>
                <w:lang w:val="sr-Latn-ME"/>
              </w:rPr>
              <w:t xml:space="preserve">: PBO = placebo; UPA= upadacitinib; aMS= prilagođeni Mayo rezultat, </w:t>
            </w:r>
            <w:r w:rsidR="00AE13A0" w:rsidRPr="00B74B0F">
              <w:rPr>
                <w:szCs w:val="22"/>
                <w:lang w:val="sr-Latn-ME"/>
              </w:rPr>
              <w:t>zasnovan</w:t>
            </w:r>
            <w:r w:rsidR="004E3BE3" w:rsidRPr="00B74B0F">
              <w:rPr>
                <w:szCs w:val="22"/>
                <w:lang w:val="sr-Latn-ME"/>
              </w:rPr>
              <w:t xml:space="preserve"> na Mayo s</w:t>
            </w:r>
            <w:r w:rsidR="00B73542" w:rsidRPr="00B74B0F">
              <w:rPr>
                <w:szCs w:val="22"/>
                <w:lang w:val="sr-Latn-ME"/>
              </w:rPr>
              <w:t>istemu</w:t>
            </w:r>
            <w:r w:rsidR="004E3BE3" w:rsidRPr="00B74B0F">
              <w:rPr>
                <w:szCs w:val="22"/>
                <w:lang w:val="sr-Latn-ME"/>
              </w:rPr>
              <w:t xml:space="preserve"> bodovanja (isključujući globalnu procjenu </w:t>
            </w:r>
            <w:r w:rsidRPr="00B74B0F">
              <w:rPr>
                <w:szCs w:val="22"/>
                <w:lang w:val="sr-Latn-ME"/>
              </w:rPr>
              <w:t>ljekara</w:t>
            </w:r>
            <w:r w:rsidR="004E3BE3" w:rsidRPr="00B74B0F">
              <w:rPr>
                <w:szCs w:val="22"/>
                <w:lang w:val="sr-Latn-ME"/>
              </w:rPr>
              <w:t xml:space="preserve">), koji se kretao od 0 do 9 i ima tri podrezultata od kojih je svaki bio ocijenjen od 0 (normalno) do 3 (najteže): podrezultat učestalosti stolice (engl. </w:t>
            </w:r>
            <w:r w:rsidR="004E3BE3" w:rsidRPr="00B74B0F">
              <w:rPr>
                <w:i/>
                <w:iCs/>
                <w:szCs w:val="22"/>
                <w:lang w:val="sr-Latn-ME"/>
              </w:rPr>
              <w:t>stool frequency subscore</w:t>
            </w:r>
            <w:r w:rsidR="004E3BE3" w:rsidRPr="00B74B0F">
              <w:rPr>
                <w:szCs w:val="22"/>
                <w:lang w:val="sr-Latn-ME"/>
              </w:rPr>
              <w:t xml:space="preserve">, SFS), podrezultat rektalnog krvarenja (engl. </w:t>
            </w:r>
            <w:r w:rsidR="004E3BE3" w:rsidRPr="00B74B0F">
              <w:rPr>
                <w:i/>
                <w:iCs/>
                <w:szCs w:val="22"/>
                <w:lang w:val="sr-Latn-ME"/>
              </w:rPr>
              <w:t>rectal bleeding subscore</w:t>
            </w:r>
            <w:r w:rsidR="004E3BE3" w:rsidRPr="00B74B0F">
              <w:rPr>
                <w:szCs w:val="22"/>
                <w:lang w:val="sr-Latn-ME"/>
              </w:rPr>
              <w:t xml:space="preserve">, RBS) i centralno pregledan podrezultat endoskopije (engl. </w:t>
            </w:r>
            <w:r w:rsidR="004E3BE3" w:rsidRPr="00B74B0F">
              <w:rPr>
                <w:i/>
                <w:iCs/>
                <w:szCs w:val="22"/>
                <w:lang w:val="sr-Latn-ME"/>
              </w:rPr>
              <w:t>endoscopy subscore</w:t>
            </w:r>
            <w:r w:rsidR="004E3BE3" w:rsidRPr="00B74B0F">
              <w:rPr>
                <w:szCs w:val="22"/>
                <w:lang w:val="sr-Latn-ME"/>
              </w:rPr>
              <w:t>, ES).</w:t>
            </w:r>
          </w:p>
          <w:p w14:paraId="1D07357C" w14:textId="72DFEE4A" w:rsidR="004E3BE3" w:rsidRPr="00B74B0F" w:rsidRDefault="004E3BE3">
            <w:pPr>
              <w:keepNext/>
              <w:spacing w:line="240" w:lineRule="auto"/>
              <w:jc w:val="both"/>
              <w:rPr>
                <w:rFonts w:eastAsia="MS Mincho"/>
                <w:szCs w:val="22"/>
                <w:vertAlign w:val="superscript"/>
                <w:lang w:val="sr-Latn-ME" w:eastAsia="ja-JP"/>
              </w:rPr>
            </w:pPr>
            <w:r w:rsidRPr="00B74B0F">
              <w:rPr>
                <w:rFonts w:eastAsia="MS Mincho"/>
                <w:szCs w:val="22"/>
                <w:vertAlign w:val="superscript"/>
                <w:lang w:val="sr-Latn-ME"/>
              </w:rPr>
              <w:t>+</w:t>
            </w:r>
            <w:r w:rsidRPr="00B74B0F">
              <w:rPr>
                <w:szCs w:val="22"/>
                <w:lang w:val="sr-Latn-ME"/>
              </w:rPr>
              <w:t>Broj</w:t>
            </w:r>
            <w:r w:rsidRPr="00B74B0F">
              <w:rPr>
                <w:rFonts w:eastAsia="MS Mincho"/>
                <w:szCs w:val="22"/>
                <w:lang w:val="sr-Latn-ME"/>
              </w:rPr>
              <w:t xml:space="preserve"> </w:t>
            </w:r>
            <w:r w:rsidR="00181042" w:rsidRPr="00B74B0F">
              <w:rPr>
                <w:rFonts w:eastAsia="MS Mincho"/>
                <w:szCs w:val="22"/>
                <w:lang w:val="sr-Latn-ME"/>
              </w:rPr>
              <w:t>pacijenata</w:t>
            </w:r>
            <w:r w:rsidRPr="00B74B0F">
              <w:rPr>
                <w:rFonts w:eastAsia="MS Mincho"/>
                <w:szCs w:val="22"/>
                <w:lang w:val="sr-Latn-ME"/>
              </w:rPr>
              <w:t xml:space="preserve"> s</w:t>
            </w:r>
            <w:r w:rsidR="00B73542" w:rsidRPr="00B74B0F">
              <w:rPr>
                <w:rFonts w:eastAsia="MS Mincho"/>
                <w:szCs w:val="22"/>
                <w:lang w:val="sr-Latn-ME"/>
              </w:rPr>
              <w:t xml:space="preserve"> </w:t>
            </w:r>
            <w:r w:rsidRPr="00B74B0F">
              <w:rPr>
                <w:rFonts w:eastAsia="MS Mincho"/>
                <w:szCs w:val="22"/>
                <w:lang w:val="sr-Latn-ME"/>
              </w:rPr>
              <w:t xml:space="preserve">prethodnim biološkim neuspjehom“ u UC-1 i UC-2 je 78 i 89 u </w:t>
            </w:r>
            <w:r w:rsidR="00B73542" w:rsidRPr="00B74B0F">
              <w:rPr>
                <w:rFonts w:eastAsia="MS Mincho"/>
                <w:szCs w:val="22"/>
                <w:lang w:val="sr-Latn-ME"/>
              </w:rPr>
              <w:t xml:space="preserve">grupi </w:t>
            </w:r>
            <w:r w:rsidRPr="00B74B0F">
              <w:rPr>
                <w:rFonts w:eastAsia="MS Mincho"/>
                <w:szCs w:val="22"/>
                <w:lang w:val="sr-Latn-ME"/>
              </w:rPr>
              <w:t xml:space="preserve">koja je primala placebo odnosno 168 i 173 u </w:t>
            </w:r>
            <w:r w:rsidR="00B73542" w:rsidRPr="00B74B0F">
              <w:rPr>
                <w:rFonts w:eastAsia="MS Mincho"/>
                <w:szCs w:val="22"/>
                <w:lang w:val="sr-Latn-ME"/>
              </w:rPr>
              <w:t xml:space="preserve">grupi </w:t>
            </w:r>
            <w:r w:rsidRPr="00B74B0F">
              <w:rPr>
                <w:rFonts w:eastAsia="MS Mincho"/>
                <w:szCs w:val="22"/>
                <w:lang w:val="sr-Latn-ME"/>
              </w:rPr>
              <w:t>koja je primala upadacitinib od 45 mg; b</w:t>
            </w:r>
            <w:r w:rsidRPr="00B74B0F">
              <w:rPr>
                <w:szCs w:val="22"/>
                <w:lang w:val="sr-Latn-ME"/>
              </w:rPr>
              <w:t xml:space="preserve">roj </w:t>
            </w:r>
            <w:r w:rsidR="00181042" w:rsidRPr="00B74B0F">
              <w:rPr>
                <w:szCs w:val="22"/>
                <w:lang w:val="sr-Latn-ME"/>
              </w:rPr>
              <w:t>pacijenata</w:t>
            </w:r>
            <w:r w:rsidRPr="00B74B0F">
              <w:rPr>
                <w:rFonts w:eastAsia="MS Mincho"/>
                <w:szCs w:val="22"/>
                <w:lang w:val="sr-Latn-ME"/>
              </w:rPr>
              <w:t xml:space="preserve"> „bez prethodnog biološkog neuspjeha“ u UC-1 i UC-2 je 76 i 85 u </w:t>
            </w:r>
            <w:r w:rsidR="00CF4474" w:rsidRPr="00B74B0F">
              <w:rPr>
                <w:rFonts w:eastAsia="MS Mincho"/>
                <w:szCs w:val="22"/>
                <w:lang w:val="sr-Latn-ME"/>
              </w:rPr>
              <w:t xml:space="preserve">grupi </w:t>
            </w:r>
            <w:r w:rsidRPr="00B74B0F">
              <w:rPr>
                <w:rFonts w:eastAsia="MS Mincho"/>
                <w:szCs w:val="22"/>
                <w:lang w:val="sr-Latn-ME"/>
              </w:rPr>
              <w:t xml:space="preserve">koja je primala placebo, odnosno 151 i 168 u </w:t>
            </w:r>
            <w:r w:rsidR="00CF4474" w:rsidRPr="00B74B0F">
              <w:rPr>
                <w:rFonts w:eastAsia="MS Mincho"/>
                <w:szCs w:val="22"/>
                <w:lang w:val="sr-Latn-ME"/>
              </w:rPr>
              <w:t xml:space="preserve">grupi </w:t>
            </w:r>
            <w:r w:rsidRPr="00B74B0F">
              <w:rPr>
                <w:rFonts w:eastAsia="MS Mincho"/>
                <w:szCs w:val="22"/>
                <w:lang w:val="sr-Latn-ME"/>
              </w:rPr>
              <w:t>koja je primala upadacitinib od 45</w:t>
            </w:r>
            <w:r w:rsidRPr="00B74B0F">
              <w:rPr>
                <w:rFonts w:eastAsia="MS Mincho"/>
                <w:bCs/>
                <w:iCs/>
                <w:szCs w:val="22"/>
                <w:lang w:val="sr-Latn-ME"/>
              </w:rPr>
              <w:t> </w:t>
            </w:r>
            <w:r w:rsidRPr="00B74B0F">
              <w:rPr>
                <w:rFonts w:eastAsia="MS Mincho"/>
                <w:szCs w:val="22"/>
                <w:lang w:val="sr-Latn-ME"/>
              </w:rPr>
              <w:t>mg.</w:t>
            </w:r>
          </w:p>
          <w:p w14:paraId="389B96C9" w14:textId="77777777" w:rsidR="004E3BE3" w:rsidRPr="00B74B0F" w:rsidRDefault="004E3BE3">
            <w:pPr>
              <w:keepNext/>
              <w:spacing w:line="240" w:lineRule="auto"/>
              <w:jc w:val="both"/>
              <w:rPr>
                <w:rFonts w:eastAsia="MS Mincho"/>
                <w:b/>
                <w:szCs w:val="22"/>
                <w:vertAlign w:val="superscript"/>
                <w:lang w:val="sr-Latn-ME" w:eastAsia="ja-JP"/>
              </w:rPr>
            </w:pPr>
            <w:r w:rsidRPr="00B74B0F">
              <w:rPr>
                <w:rFonts w:eastAsia="MS Mincho"/>
                <w:b/>
                <w:szCs w:val="22"/>
                <w:vertAlign w:val="superscript"/>
                <w:lang w:val="sr-Latn-ME"/>
              </w:rPr>
              <w:t>*</w:t>
            </w:r>
            <w:r w:rsidRPr="00B74B0F">
              <w:rPr>
                <w:rFonts w:eastAsia="MS Mincho"/>
                <w:szCs w:val="22"/>
                <w:lang w:val="sr-Latn-ME"/>
              </w:rPr>
              <w:t>p &lt;0,001, prilagođena razlika u liječenju (95% CI)</w:t>
            </w:r>
          </w:p>
          <w:p w14:paraId="43F47476" w14:textId="77777777" w:rsidR="004E3BE3" w:rsidRPr="00B74B0F" w:rsidRDefault="004E3BE3">
            <w:pPr>
              <w:keepNext/>
              <w:spacing w:line="240" w:lineRule="auto"/>
              <w:ind w:left="142" w:hanging="142"/>
              <w:jc w:val="both"/>
              <w:rPr>
                <w:szCs w:val="22"/>
                <w:lang w:val="sr-Latn-ME"/>
              </w:rPr>
            </w:pPr>
            <w:r w:rsidRPr="00B74B0F">
              <w:rPr>
                <w:szCs w:val="22"/>
                <w:vertAlign w:val="superscript"/>
                <w:lang w:val="sr-Latn-ME"/>
              </w:rPr>
              <w:t>a</w:t>
            </w:r>
            <w:r w:rsidRPr="00B74B0F">
              <w:rPr>
                <w:noProof/>
                <w:szCs w:val="22"/>
                <w:lang w:val="sr-Latn-ME"/>
              </w:rPr>
              <w:t xml:space="preserve"> </w:t>
            </w:r>
            <w:r w:rsidRPr="00B74B0F">
              <w:rPr>
                <w:szCs w:val="22"/>
                <w:lang w:val="sr-Latn-ME"/>
              </w:rPr>
              <w:t xml:space="preserve">Po aMS-u: SFS≤ 1 i ne veći od početne vrijednosti, RBS = 0, ES ≤ 1 bez lomljivosti </w:t>
            </w:r>
          </w:p>
          <w:p w14:paraId="1424ABBC" w14:textId="77777777" w:rsidR="004E3BE3" w:rsidRPr="00B74B0F" w:rsidRDefault="004E3BE3">
            <w:pPr>
              <w:keepNext/>
              <w:spacing w:line="240" w:lineRule="auto"/>
              <w:ind w:left="142" w:hanging="142"/>
              <w:jc w:val="both"/>
              <w:rPr>
                <w:szCs w:val="22"/>
                <w:lang w:val="sr-Latn-ME"/>
              </w:rPr>
            </w:pPr>
            <w:r w:rsidRPr="00B74B0F">
              <w:rPr>
                <w:szCs w:val="22"/>
                <w:vertAlign w:val="superscript"/>
                <w:lang w:val="sr-Latn-ME"/>
              </w:rPr>
              <w:t>b</w:t>
            </w:r>
            <w:r w:rsidRPr="00B74B0F">
              <w:rPr>
                <w:rFonts w:eastAsia="MS Mincho"/>
                <w:b/>
                <w:szCs w:val="22"/>
                <w:vertAlign w:val="superscript"/>
                <w:lang w:val="sr-Latn-ME"/>
              </w:rPr>
              <w:t xml:space="preserve"> </w:t>
            </w:r>
            <w:r w:rsidRPr="00B74B0F">
              <w:rPr>
                <w:szCs w:val="22"/>
                <w:lang w:val="sr-Latn-ME"/>
              </w:rPr>
              <w:t xml:space="preserve">Po aMS-u: smanjenje ≥ 2 boda i ≥ 30% od početne vrijednosti i smanjenje RBS-a ≥ 1 od početne vrijednosti ili apsolutnog RBS-a ≤ 1. </w:t>
            </w:r>
          </w:p>
          <w:p w14:paraId="5DDD0F1B" w14:textId="77777777" w:rsidR="004E3BE3" w:rsidRPr="00B74B0F" w:rsidRDefault="004E3BE3">
            <w:pPr>
              <w:keepNext/>
              <w:spacing w:line="240" w:lineRule="auto"/>
              <w:ind w:left="142" w:hanging="142"/>
              <w:jc w:val="both"/>
              <w:rPr>
                <w:szCs w:val="22"/>
                <w:lang w:val="sr-Latn-ME"/>
              </w:rPr>
            </w:pPr>
            <w:r w:rsidRPr="00B74B0F">
              <w:rPr>
                <w:szCs w:val="22"/>
                <w:vertAlign w:val="superscript"/>
                <w:lang w:val="sr-Latn-ME"/>
              </w:rPr>
              <w:t>c</w:t>
            </w:r>
            <w:r w:rsidRPr="00B74B0F">
              <w:rPr>
                <w:noProof/>
                <w:szCs w:val="22"/>
                <w:lang w:val="sr-Latn-ME"/>
              </w:rPr>
              <w:t xml:space="preserve"> </w:t>
            </w:r>
            <w:r w:rsidRPr="00B74B0F">
              <w:rPr>
                <w:szCs w:val="22"/>
                <w:lang w:val="sr-Latn-ME"/>
              </w:rPr>
              <w:t>ES ≤ 1 bez lomljivosti</w:t>
            </w:r>
          </w:p>
          <w:p w14:paraId="0499676A" w14:textId="77777777" w:rsidR="004E3BE3" w:rsidRPr="00B74B0F" w:rsidRDefault="004E3BE3">
            <w:pPr>
              <w:keepNext/>
              <w:spacing w:line="240" w:lineRule="auto"/>
              <w:ind w:left="142" w:hanging="142"/>
              <w:jc w:val="both"/>
              <w:rPr>
                <w:szCs w:val="22"/>
                <w:lang w:val="sr-Latn-ME"/>
              </w:rPr>
            </w:pPr>
            <w:r w:rsidRPr="00B74B0F">
              <w:rPr>
                <w:szCs w:val="22"/>
                <w:vertAlign w:val="superscript"/>
                <w:lang w:val="sr-Latn-ME"/>
              </w:rPr>
              <w:t>d</w:t>
            </w:r>
            <w:r w:rsidRPr="00B74B0F">
              <w:rPr>
                <w:noProof/>
                <w:szCs w:val="22"/>
                <w:lang w:val="sr-Latn-ME"/>
              </w:rPr>
              <w:t xml:space="preserve"> </w:t>
            </w:r>
            <w:r w:rsidRPr="00B74B0F">
              <w:rPr>
                <w:rFonts w:eastAsia="Arial"/>
                <w:szCs w:val="22"/>
                <w:lang w:val="sr-Latn-ME"/>
              </w:rPr>
              <w:t>ES ≤ 1 bez lomljivosti i rezultat Geboes</w:t>
            </w:r>
            <w:r w:rsidRPr="00B74B0F">
              <w:rPr>
                <w:szCs w:val="22"/>
                <w:lang w:val="sr-Latn-ME"/>
              </w:rPr>
              <w:t xml:space="preserve"> </w:t>
            </w:r>
            <w:r w:rsidRPr="00B74B0F">
              <w:rPr>
                <w:rFonts w:eastAsia="Arial"/>
                <w:szCs w:val="22"/>
                <w:lang w:val="sr-Latn-ME"/>
              </w:rPr>
              <w:t xml:space="preserve">≤ 3.1 </w:t>
            </w:r>
            <w:r w:rsidRPr="00B74B0F">
              <w:rPr>
                <w:szCs w:val="22"/>
                <w:lang w:val="sr-Latn-ME"/>
              </w:rPr>
              <w:t xml:space="preserve">(što ukazuje na infiltraciju neutrofila u &lt; 5% kripti, bez destrukcije kripti i bez erozija, ulceracija ili granulacijskog tkiva.) </w:t>
            </w:r>
          </w:p>
          <w:p w14:paraId="0C20F081" w14:textId="77777777" w:rsidR="004E3BE3" w:rsidRPr="00B74B0F" w:rsidRDefault="004E3BE3">
            <w:pPr>
              <w:keepNext/>
              <w:spacing w:line="240" w:lineRule="auto"/>
              <w:ind w:left="142" w:hanging="142"/>
              <w:jc w:val="both"/>
              <w:rPr>
                <w:szCs w:val="22"/>
                <w:lang w:val="sr-Latn-ME"/>
              </w:rPr>
            </w:pPr>
            <w:r w:rsidRPr="00B74B0F">
              <w:rPr>
                <w:szCs w:val="22"/>
                <w:vertAlign w:val="superscript"/>
                <w:lang w:val="sr-Latn-ME"/>
              </w:rPr>
              <w:t>e</w:t>
            </w:r>
            <w:r w:rsidRPr="00B74B0F">
              <w:rPr>
                <w:noProof/>
                <w:szCs w:val="22"/>
                <w:lang w:val="sr-Latn-ME"/>
              </w:rPr>
              <w:t xml:space="preserve"> </w:t>
            </w:r>
            <w:r w:rsidRPr="00B74B0F">
              <w:rPr>
                <w:rFonts w:eastAsia="Arial"/>
                <w:szCs w:val="22"/>
                <w:lang w:val="sr-Latn-ME"/>
              </w:rPr>
              <w:t>ES = 0, rezultat Geboes &lt; 2 (što ukazuje da nema neutrofila u kriptama ili lamini propriji i nema povećanja eozinofila, nema destrukcije kripti i nema erozija, ulceracija ili granulacijskog tkiva)</w:t>
            </w:r>
            <w:r w:rsidRPr="00B74B0F">
              <w:rPr>
                <w:rFonts w:eastAsia="Arial"/>
                <w:iCs/>
                <w:szCs w:val="22"/>
                <w:lang w:val="sr-Latn-ME"/>
              </w:rPr>
              <w:t xml:space="preserve"> </w:t>
            </w:r>
          </w:p>
        </w:tc>
      </w:tr>
    </w:tbl>
    <w:p w14:paraId="1CF95ECA" w14:textId="77777777" w:rsidR="004E3BE3" w:rsidRPr="00B74B0F" w:rsidRDefault="004E3BE3">
      <w:pPr>
        <w:spacing w:line="240" w:lineRule="auto"/>
        <w:jc w:val="both"/>
        <w:outlineLvl w:val="1"/>
        <w:rPr>
          <w:szCs w:val="22"/>
          <w:lang w:val="sr-Latn-ME"/>
        </w:rPr>
      </w:pPr>
    </w:p>
    <w:p w14:paraId="25B633EA" w14:textId="77777777" w:rsidR="004E3BE3" w:rsidRPr="00B74B0F" w:rsidRDefault="004E3BE3">
      <w:pPr>
        <w:keepNext/>
        <w:spacing w:line="240" w:lineRule="auto"/>
        <w:jc w:val="both"/>
        <w:outlineLvl w:val="2"/>
        <w:rPr>
          <w:rFonts w:eastAsia="Arial"/>
          <w:i/>
          <w:szCs w:val="22"/>
          <w:lang w:val="sr-Latn-ME"/>
        </w:rPr>
      </w:pPr>
      <w:r w:rsidRPr="00B74B0F">
        <w:rPr>
          <w:rFonts w:eastAsia="Arial"/>
          <w:i/>
          <w:szCs w:val="22"/>
          <w:lang w:val="sr-Latn-ME"/>
        </w:rPr>
        <w:t>Aktivnost i simptomi bolesti</w:t>
      </w:r>
    </w:p>
    <w:p w14:paraId="59F26B40" w14:textId="2B9E61AF" w:rsidR="004E3BE3" w:rsidRPr="00B74B0F" w:rsidRDefault="004E3BE3">
      <w:pPr>
        <w:keepNext/>
        <w:spacing w:line="240" w:lineRule="auto"/>
        <w:jc w:val="both"/>
        <w:rPr>
          <w:rFonts w:eastAsia="Calibri"/>
          <w:szCs w:val="22"/>
          <w:lang w:val="sr-Latn-ME"/>
        </w:rPr>
      </w:pPr>
      <w:r w:rsidRPr="00B74B0F">
        <w:rPr>
          <w:rFonts w:eastAsia="Arial"/>
          <w:szCs w:val="22"/>
          <w:lang w:val="sr-Latn-ME"/>
        </w:rPr>
        <w:t>Djel</w:t>
      </w:r>
      <w:r w:rsidR="00CF4474" w:rsidRPr="00B74B0F">
        <w:rPr>
          <w:rFonts w:eastAsia="Arial"/>
          <w:szCs w:val="22"/>
          <w:lang w:val="sr-Latn-ME"/>
        </w:rPr>
        <w:t>i</w:t>
      </w:r>
      <w:r w:rsidRPr="00B74B0F">
        <w:rPr>
          <w:rFonts w:eastAsia="Arial"/>
          <w:szCs w:val="22"/>
          <w:lang w:val="sr-Latn-ME"/>
        </w:rPr>
        <w:t xml:space="preserve">mično prilagođeni rezultat Mayo (engl. </w:t>
      </w:r>
      <w:r w:rsidRPr="00B74B0F">
        <w:rPr>
          <w:rFonts w:eastAsia="Arial"/>
          <w:i/>
          <w:szCs w:val="22"/>
          <w:lang w:val="sr-Latn-ME"/>
        </w:rPr>
        <w:t>partial adapted Mayo score</w:t>
      </w:r>
      <w:r w:rsidRPr="00B74B0F">
        <w:rPr>
          <w:rFonts w:eastAsia="Arial"/>
          <w:iCs/>
          <w:szCs w:val="22"/>
          <w:lang w:val="sr-Latn-ME"/>
        </w:rPr>
        <w:t xml:space="preserve">, </w:t>
      </w:r>
      <w:r w:rsidRPr="00B74B0F">
        <w:rPr>
          <w:rFonts w:eastAsia="Arial"/>
          <w:szCs w:val="22"/>
          <w:lang w:val="sr-Latn-ME"/>
        </w:rPr>
        <w:t>paMS) sastoji se od SFS-a i RBS-a. Simptomatski odgovor po paMS-u defin</w:t>
      </w:r>
      <w:r w:rsidR="00181042" w:rsidRPr="00B74B0F">
        <w:rPr>
          <w:rFonts w:eastAsia="Arial"/>
          <w:szCs w:val="22"/>
          <w:lang w:val="sr-Latn-ME"/>
        </w:rPr>
        <w:t>iše</w:t>
      </w:r>
      <w:r w:rsidRPr="00B74B0F">
        <w:rPr>
          <w:rFonts w:eastAsia="Arial"/>
          <w:szCs w:val="22"/>
          <w:lang w:val="sr-Latn-ME"/>
        </w:rPr>
        <w:t xml:space="preserve"> se kao smanjenje od ≥ 1 boda i ≥ 30% od početne vrijednosti i smanjenje RBS-a ≥ 1 ili apsolutnog RBS-a ≤ 1. S</w:t>
      </w:r>
      <w:r w:rsidRPr="00B74B0F">
        <w:rPr>
          <w:rFonts w:eastAsia="Calibri"/>
          <w:szCs w:val="22"/>
          <w:lang w:val="sr-Latn-ME"/>
        </w:rPr>
        <w:t xml:space="preserve">tatistički značajno poboljšanje u </w:t>
      </w:r>
      <w:r w:rsidR="00181042" w:rsidRPr="00B74B0F">
        <w:rPr>
          <w:rFonts w:eastAsia="Calibri"/>
          <w:szCs w:val="22"/>
          <w:lang w:val="sr-Latn-ME"/>
        </w:rPr>
        <w:t xml:space="preserve">poređenju </w:t>
      </w:r>
      <w:r w:rsidR="00AE13A0" w:rsidRPr="00B74B0F">
        <w:rPr>
          <w:rFonts w:eastAsia="Calibri"/>
          <w:szCs w:val="22"/>
          <w:lang w:val="sr-Latn-ME"/>
        </w:rPr>
        <w:t>sa</w:t>
      </w:r>
      <w:r w:rsidRPr="00B74B0F">
        <w:rPr>
          <w:rFonts w:eastAsia="Calibri"/>
          <w:szCs w:val="22"/>
          <w:lang w:val="sr-Latn-ME"/>
        </w:rPr>
        <w:t>placebom po paMS-u uočeno je već u 2. </w:t>
      </w:r>
      <w:r w:rsidR="00181042" w:rsidRPr="00B74B0F">
        <w:rPr>
          <w:rFonts w:eastAsia="Calibri"/>
          <w:szCs w:val="22"/>
          <w:lang w:val="sr-Latn-ME"/>
        </w:rPr>
        <w:t>ned</w:t>
      </w:r>
      <w:r w:rsidR="00CF4474" w:rsidRPr="00B74B0F">
        <w:rPr>
          <w:rFonts w:eastAsia="Calibri"/>
          <w:szCs w:val="22"/>
          <w:lang w:val="sr-Latn-ME"/>
        </w:rPr>
        <w:t>j</w:t>
      </w:r>
      <w:r w:rsidR="00181042" w:rsidRPr="00B74B0F">
        <w:rPr>
          <w:rFonts w:eastAsia="Calibri"/>
          <w:szCs w:val="22"/>
          <w:lang w:val="sr-Latn-ME"/>
        </w:rPr>
        <w:t>elji</w:t>
      </w:r>
      <w:r w:rsidRPr="00B74B0F">
        <w:rPr>
          <w:rFonts w:eastAsia="Calibri"/>
          <w:szCs w:val="22"/>
          <w:lang w:val="sr-Latn-ME"/>
        </w:rPr>
        <w:t xml:space="preserve"> (UC-1: 60,1% naspram 27,3% i u UC-2: 63,3% naspram 25,9%). </w:t>
      </w:r>
    </w:p>
    <w:p w14:paraId="44096EE2" w14:textId="77777777" w:rsidR="004E3BE3" w:rsidRPr="00B74B0F" w:rsidRDefault="004E3BE3">
      <w:pPr>
        <w:spacing w:line="240" w:lineRule="auto"/>
        <w:jc w:val="both"/>
        <w:rPr>
          <w:rFonts w:eastAsia="Calibri"/>
          <w:szCs w:val="22"/>
          <w:lang w:val="sr-Latn-ME"/>
        </w:rPr>
      </w:pPr>
    </w:p>
    <w:p w14:paraId="38EFBEE0" w14:textId="77777777" w:rsidR="004E3BE3" w:rsidRPr="00B74B0F" w:rsidRDefault="004E3BE3">
      <w:pPr>
        <w:spacing w:line="240" w:lineRule="auto"/>
        <w:jc w:val="both"/>
        <w:rPr>
          <w:rFonts w:eastAsia="Arial"/>
          <w:i/>
          <w:szCs w:val="22"/>
          <w:lang w:val="sr-Latn-ME"/>
        </w:rPr>
      </w:pPr>
      <w:r w:rsidRPr="00B74B0F">
        <w:rPr>
          <w:rFonts w:eastAsia="Arial"/>
          <w:i/>
          <w:szCs w:val="22"/>
          <w:lang w:val="sr-Latn-ME"/>
        </w:rPr>
        <w:t>Produžena indukcija</w:t>
      </w:r>
    </w:p>
    <w:p w14:paraId="53678763" w14:textId="250C3DB8" w:rsidR="004E3BE3" w:rsidRPr="00B74B0F" w:rsidRDefault="004E3BE3">
      <w:pPr>
        <w:spacing w:line="240" w:lineRule="auto"/>
        <w:jc w:val="both"/>
        <w:rPr>
          <w:szCs w:val="22"/>
          <w:lang w:val="sr-Latn-ME"/>
        </w:rPr>
      </w:pPr>
      <w:r w:rsidRPr="00B74B0F">
        <w:rPr>
          <w:szCs w:val="22"/>
          <w:lang w:val="sr-Latn-ME"/>
        </w:rPr>
        <w:t>Ukupno 125 </w:t>
      </w:r>
      <w:r w:rsidR="00181042" w:rsidRPr="00B74B0F">
        <w:rPr>
          <w:szCs w:val="22"/>
          <w:lang w:val="sr-Latn-ME"/>
        </w:rPr>
        <w:t>pacijenata</w:t>
      </w:r>
      <w:r w:rsidRPr="00B74B0F">
        <w:rPr>
          <w:szCs w:val="22"/>
          <w:lang w:val="sr-Latn-ME"/>
        </w:rPr>
        <w:t xml:space="preserve"> u UC-1 i UC-2 koji ni</w:t>
      </w:r>
      <w:r w:rsidR="00CF4474" w:rsidRPr="00B74B0F">
        <w:rPr>
          <w:szCs w:val="22"/>
          <w:lang w:val="sr-Latn-ME"/>
        </w:rPr>
        <w:t>je</w:t>
      </w:r>
      <w:r w:rsidRPr="00B74B0F">
        <w:rPr>
          <w:szCs w:val="22"/>
          <w:lang w:val="sr-Latn-ME"/>
        </w:rPr>
        <w:t>su postigli klinički odgovor nakon 8 </w:t>
      </w:r>
      <w:r w:rsidR="00181042" w:rsidRPr="00B74B0F">
        <w:rPr>
          <w:szCs w:val="22"/>
          <w:lang w:val="sr-Latn-ME"/>
        </w:rPr>
        <w:t>ned</w:t>
      </w:r>
      <w:r w:rsidR="00CF4474" w:rsidRPr="00B74B0F">
        <w:rPr>
          <w:szCs w:val="22"/>
          <w:lang w:val="sr-Latn-ME"/>
        </w:rPr>
        <w:t>j</w:t>
      </w:r>
      <w:r w:rsidR="00181042" w:rsidRPr="00B74B0F">
        <w:rPr>
          <w:szCs w:val="22"/>
          <w:lang w:val="sr-Latn-ME"/>
        </w:rPr>
        <w:t xml:space="preserve">elja </w:t>
      </w:r>
      <w:r w:rsidRPr="00B74B0F">
        <w:rPr>
          <w:szCs w:val="22"/>
          <w:lang w:val="sr-Latn-ME"/>
        </w:rPr>
        <w:t>liječenja upadacitinibom od 45 mg jedanput na dan ušlo je u 8-</w:t>
      </w:r>
      <w:r w:rsidR="00CF4474" w:rsidRPr="00B74B0F">
        <w:rPr>
          <w:szCs w:val="22"/>
          <w:lang w:val="sr-Latn-ME"/>
        </w:rPr>
        <w:t>nedjeljn</w:t>
      </w:r>
      <w:r w:rsidR="00AE13A0" w:rsidRPr="00B74B0F">
        <w:rPr>
          <w:szCs w:val="22"/>
          <w:lang w:val="sr-Latn-ME"/>
        </w:rPr>
        <w:t>i</w:t>
      </w:r>
      <w:r w:rsidR="00CF4474" w:rsidRPr="00B74B0F">
        <w:rPr>
          <w:szCs w:val="22"/>
          <w:lang w:val="sr-Latn-ME"/>
        </w:rPr>
        <w:t xml:space="preserve"> </w:t>
      </w:r>
      <w:r w:rsidRPr="00B74B0F">
        <w:rPr>
          <w:szCs w:val="22"/>
          <w:lang w:val="sr-Latn-ME"/>
        </w:rPr>
        <w:t>otvoren</w:t>
      </w:r>
      <w:r w:rsidR="00AE13A0" w:rsidRPr="00B74B0F">
        <w:rPr>
          <w:szCs w:val="22"/>
          <w:lang w:val="sr-Latn-ME"/>
        </w:rPr>
        <w:t>i</w:t>
      </w:r>
      <w:r w:rsidRPr="00B74B0F">
        <w:rPr>
          <w:szCs w:val="22"/>
          <w:lang w:val="sr-Latn-ME"/>
        </w:rPr>
        <w:t xml:space="preserve"> produžen</w:t>
      </w:r>
      <w:r w:rsidR="00AE13A0" w:rsidRPr="00B74B0F">
        <w:rPr>
          <w:szCs w:val="22"/>
          <w:lang w:val="sr-Latn-ME"/>
        </w:rPr>
        <w:t>i</w:t>
      </w:r>
      <w:r w:rsidRPr="00B74B0F">
        <w:rPr>
          <w:szCs w:val="22"/>
          <w:lang w:val="sr-Latn-ME"/>
        </w:rPr>
        <w:t xml:space="preserve"> </w:t>
      </w:r>
      <w:r w:rsidR="00AE13A0" w:rsidRPr="00B74B0F">
        <w:rPr>
          <w:szCs w:val="22"/>
          <w:lang w:val="sr-Latn-ME"/>
        </w:rPr>
        <w:t xml:space="preserve">period </w:t>
      </w:r>
      <w:r w:rsidRPr="00B74B0F">
        <w:rPr>
          <w:szCs w:val="22"/>
          <w:lang w:val="sr-Latn-ME"/>
        </w:rPr>
        <w:t>indukcije. Nakon dodatnih 8 </w:t>
      </w:r>
      <w:r w:rsidR="00CF4474" w:rsidRPr="00B74B0F">
        <w:rPr>
          <w:szCs w:val="22"/>
          <w:lang w:val="sr-Latn-ME"/>
        </w:rPr>
        <w:t xml:space="preserve">nedjelja </w:t>
      </w:r>
      <w:r w:rsidRPr="00B74B0F">
        <w:rPr>
          <w:szCs w:val="22"/>
          <w:lang w:val="sr-Latn-ME"/>
        </w:rPr>
        <w:t>(ukupno 16 </w:t>
      </w:r>
      <w:r w:rsidR="00CF4474" w:rsidRPr="00B74B0F">
        <w:rPr>
          <w:szCs w:val="22"/>
          <w:lang w:val="sr-Latn-ME"/>
        </w:rPr>
        <w:t>nedjelja</w:t>
      </w:r>
      <w:r w:rsidRPr="00B74B0F">
        <w:rPr>
          <w:szCs w:val="22"/>
          <w:lang w:val="sr-Latn-ME"/>
        </w:rPr>
        <w:t>) liječenja upadacitinibom od 45 mg jedanput na dan, 48,3% </w:t>
      </w:r>
      <w:r w:rsidR="00181042" w:rsidRPr="00B74B0F">
        <w:rPr>
          <w:szCs w:val="22"/>
          <w:lang w:val="sr-Latn-ME"/>
        </w:rPr>
        <w:t>pacijenata</w:t>
      </w:r>
      <w:r w:rsidRPr="00B74B0F">
        <w:rPr>
          <w:szCs w:val="22"/>
          <w:lang w:val="sr-Latn-ME"/>
        </w:rPr>
        <w:t xml:space="preserve"> postiglo je klinički odgovor po aMS-u. Među </w:t>
      </w:r>
      <w:r w:rsidR="00181042" w:rsidRPr="00B74B0F">
        <w:rPr>
          <w:szCs w:val="22"/>
          <w:lang w:val="sr-Latn-ME"/>
        </w:rPr>
        <w:t>pacijenti</w:t>
      </w:r>
      <w:r w:rsidRPr="00B74B0F">
        <w:rPr>
          <w:szCs w:val="22"/>
          <w:lang w:val="sr-Latn-ME"/>
        </w:rPr>
        <w:t>ma koji su odgovorili na 16-</w:t>
      </w:r>
      <w:r w:rsidR="00CF4474" w:rsidRPr="00B74B0F">
        <w:rPr>
          <w:szCs w:val="22"/>
          <w:lang w:val="sr-Latn-ME"/>
        </w:rPr>
        <w:t xml:space="preserve">nedjeljno </w:t>
      </w:r>
      <w:r w:rsidRPr="00B74B0F">
        <w:rPr>
          <w:szCs w:val="22"/>
          <w:lang w:val="sr-Latn-ME"/>
        </w:rPr>
        <w:t xml:space="preserve">liječenje upadacitinibom od 45 mg jedanput na dan, 35,7% i 66,7% </w:t>
      </w:r>
      <w:r w:rsidR="00181042" w:rsidRPr="00B74B0F">
        <w:rPr>
          <w:szCs w:val="22"/>
          <w:lang w:val="sr-Latn-ME"/>
        </w:rPr>
        <w:t>pacijenata</w:t>
      </w:r>
      <w:r w:rsidRPr="00B74B0F">
        <w:rPr>
          <w:szCs w:val="22"/>
          <w:lang w:val="sr-Latn-ME"/>
        </w:rPr>
        <w:t xml:space="preserve"> zadržalo je klinički odgovor po aMS-u, a 19,0% i 33,3% </w:t>
      </w:r>
      <w:r w:rsidR="00181042" w:rsidRPr="00B74B0F">
        <w:rPr>
          <w:szCs w:val="22"/>
          <w:lang w:val="sr-Latn-ME"/>
        </w:rPr>
        <w:t>pacijenata</w:t>
      </w:r>
      <w:r w:rsidRPr="00B74B0F">
        <w:rPr>
          <w:szCs w:val="22"/>
          <w:lang w:val="sr-Latn-ME"/>
        </w:rPr>
        <w:t xml:space="preserve"> postiglo je kliničku remisiju po aMS-u u 52. </w:t>
      </w:r>
      <w:r w:rsidR="00181042" w:rsidRPr="00B74B0F">
        <w:rPr>
          <w:szCs w:val="22"/>
          <w:lang w:val="sr-Latn-ME"/>
        </w:rPr>
        <w:t>ned</w:t>
      </w:r>
      <w:r w:rsidR="00CF4474" w:rsidRPr="00B74B0F">
        <w:rPr>
          <w:szCs w:val="22"/>
          <w:lang w:val="sr-Latn-ME"/>
        </w:rPr>
        <w:t>j</w:t>
      </w:r>
      <w:r w:rsidR="00181042" w:rsidRPr="00B74B0F">
        <w:rPr>
          <w:szCs w:val="22"/>
          <w:lang w:val="sr-Latn-ME"/>
        </w:rPr>
        <w:t>elji</w:t>
      </w:r>
      <w:r w:rsidRPr="00B74B0F">
        <w:rPr>
          <w:szCs w:val="22"/>
          <w:lang w:val="sr-Latn-ME"/>
        </w:rPr>
        <w:t xml:space="preserve"> uz liječenje održavanja upadacitinibom od 15 mg odnosno 30 mg jedanput na dan.</w:t>
      </w:r>
    </w:p>
    <w:p w14:paraId="4BADF24D" w14:textId="77777777" w:rsidR="00CF4474" w:rsidRPr="00B74B0F" w:rsidRDefault="00CF4474">
      <w:pPr>
        <w:spacing w:line="240" w:lineRule="auto"/>
        <w:jc w:val="both"/>
        <w:rPr>
          <w:i/>
          <w:szCs w:val="22"/>
          <w:u w:val="single"/>
          <w:lang w:val="sr-Latn-ME"/>
        </w:rPr>
      </w:pPr>
    </w:p>
    <w:p w14:paraId="45C1B722" w14:textId="77777777" w:rsidR="004E3BE3" w:rsidRPr="00B74B0F" w:rsidRDefault="004E3BE3">
      <w:pPr>
        <w:spacing w:line="240" w:lineRule="auto"/>
        <w:jc w:val="both"/>
        <w:rPr>
          <w:i/>
          <w:szCs w:val="22"/>
          <w:u w:val="single"/>
          <w:lang w:val="sr-Latn-ME"/>
        </w:rPr>
      </w:pPr>
      <w:r w:rsidRPr="00B74B0F">
        <w:rPr>
          <w:i/>
          <w:szCs w:val="22"/>
          <w:u w:val="single"/>
          <w:lang w:val="sr-Latn-ME"/>
        </w:rPr>
        <w:t>Ispitivanje održavanja (UC-3)</w:t>
      </w:r>
    </w:p>
    <w:p w14:paraId="339B68D9" w14:textId="585EA782" w:rsidR="004E3BE3" w:rsidRPr="00B74B0F" w:rsidRDefault="004E3BE3">
      <w:pPr>
        <w:spacing w:line="240" w:lineRule="auto"/>
        <w:jc w:val="both"/>
        <w:rPr>
          <w:szCs w:val="22"/>
          <w:lang w:val="sr-Latn-ME"/>
        </w:rPr>
      </w:pPr>
      <w:r w:rsidRPr="00B74B0F">
        <w:rPr>
          <w:szCs w:val="22"/>
          <w:lang w:val="sr-Latn-ME"/>
        </w:rPr>
        <w:lastRenderedPageBreak/>
        <w:t xml:space="preserve">Analiza </w:t>
      </w:r>
      <w:r w:rsidR="00CF4474" w:rsidRPr="00B74B0F">
        <w:rPr>
          <w:szCs w:val="22"/>
          <w:lang w:val="sr-Latn-ME"/>
        </w:rPr>
        <w:t xml:space="preserve">efikasnosti </w:t>
      </w:r>
      <w:r w:rsidRPr="00B74B0F">
        <w:rPr>
          <w:szCs w:val="22"/>
          <w:lang w:val="sr-Latn-ME"/>
        </w:rPr>
        <w:t>za UC</w:t>
      </w:r>
      <w:r w:rsidRPr="00B74B0F">
        <w:rPr>
          <w:szCs w:val="22"/>
          <w:lang w:val="sr-Latn-ME"/>
        </w:rPr>
        <w:noBreakHyphen/>
        <w:t xml:space="preserve">3 procijenjena je </w:t>
      </w:r>
      <w:r w:rsidR="00CF4474" w:rsidRPr="00B74B0F">
        <w:rPr>
          <w:szCs w:val="22"/>
          <w:lang w:val="sr-Latn-ME"/>
        </w:rPr>
        <w:t>kod</w:t>
      </w:r>
      <w:r w:rsidRPr="00B74B0F">
        <w:rPr>
          <w:szCs w:val="22"/>
          <w:lang w:val="sr-Latn-ME"/>
        </w:rPr>
        <w:t xml:space="preserve"> 451 </w:t>
      </w:r>
      <w:r w:rsidR="00181042" w:rsidRPr="00B74B0F">
        <w:rPr>
          <w:szCs w:val="22"/>
          <w:lang w:val="sr-Latn-ME"/>
        </w:rPr>
        <w:t>pacijenta</w:t>
      </w:r>
      <w:r w:rsidRPr="00B74B0F">
        <w:rPr>
          <w:szCs w:val="22"/>
          <w:lang w:val="sr-Latn-ME"/>
        </w:rPr>
        <w:t xml:space="preserve"> koji su postigli klinički odgovor po aMS-u uz 8-</w:t>
      </w:r>
      <w:r w:rsidR="00CF4474" w:rsidRPr="00B74B0F">
        <w:rPr>
          <w:szCs w:val="22"/>
          <w:lang w:val="sr-Latn-ME"/>
        </w:rPr>
        <w:t>nedjeljno</w:t>
      </w:r>
      <w:r w:rsidRPr="00B74B0F">
        <w:rPr>
          <w:szCs w:val="22"/>
          <w:lang w:val="sr-Latn-ME"/>
        </w:rPr>
        <w:t xml:space="preserve"> indukcijsko liječenje upadacitinibom od 45 mg jedanput na dan. </w:t>
      </w:r>
      <w:r w:rsidR="00181042" w:rsidRPr="00B74B0F">
        <w:rPr>
          <w:szCs w:val="22"/>
          <w:lang w:val="sr-Latn-ME"/>
        </w:rPr>
        <w:t>Pacijenti</w:t>
      </w:r>
      <w:r w:rsidRPr="00B74B0F">
        <w:rPr>
          <w:szCs w:val="22"/>
          <w:lang w:val="sr-Latn-ME"/>
        </w:rPr>
        <w:t xml:space="preserve"> su randomi</w:t>
      </w:r>
      <w:r w:rsidR="00CF4474" w:rsidRPr="00B74B0F">
        <w:rPr>
          <w:szCs w:val="22"/>
          <w:lang w:val="sr-Latn-ME"/>
        </w:rPr>
        <w:t>zov</w:t>
      </w:r>
      <w:r w:rsidRPr="00B74B0F">
        <w:rPr>
          <w:szCs w:val="22"/>
          <w:lang w:val="sr-Latn-ME"/>
        </w:rPr>
        <w:t>ani za primanje upadacitiniba od 15 mg, 30 mg ili placeba jedanput na dan do 52 </w:t>
      </w:r>
      <w:r w:rsidR="00CF4474" w:rsidRPr="00B74B0F">
        <w:rPr>
          <w:szCs w:val="22"/>
          <w:lang w:val="sr-Latn-ME"/>
        </w:rPr>
        <w:t>nedjelja</w:t>
      </w:r>
      <w:r w:rsidRPr="00B74B0F">
        <w:rPr>
          <w:szCs w:val="22"/>
          <w:lang w:val="sr-Latn-ME"/>
        </w:rPr>
        <w:t>.</w:t>
      </w:r>
    </w:p>
    <w:p w14:paraId="6C1209F9" w14:textId="77777777" w:rsidR="004E3BE3" w:rsidRPr="00B74B0F" w:rsidRDefault="004E3BE3">
      <w:pPr>
        <w:spacing w:line="240" w:lineRule="auto"/>
        <w:jc w:val="both"/>
        <w:rPr>
          <w:szCs w:val="22"/>
          <w:lang w:val="sr-Latn-ME"/>
        </w:rPr>
      </w:pPr>
    </w:p>
    <w:p w14:paraId="0B1577B1" w14:textId="77EA68CF" w:rsidR="004E3BE3" w:rsidRPr="00B74B0F" w:rsidRDefault="002602C0">
      <w:pPr>
        <w:spacing w:line="240" w:lineRule="auto"/>
        <w:jc w:val="both"/>
        <w:rPr>
          <w:szCs w:val="22"/>
          <w:lang w:val="sr-Latn-ME"/>
        </w:rPr>
      </w:pPr>
      <w:r w:rsidRPr="00B74B0F">
        <w:rPr>
          <w:szCs w:val="22"/>
          <w:lang w:val="sr-Latn-ME"/>
        </w:rPr>
        <w:t>Primarni parametar praćenja</w:t>
      </w:r>
      <w:r w:rsidR="004E3BE3" w:rsidRPr="00B74B0F">
        <w:rPr>
          <w:szCs w:val="22"/>
          <w:lang w:val="sr-Latn-ME"/>
        </w:rPr>
        <w:t xml:space="preserve"> bila je klinička remisija po aMS-u u 52. </w:t>
      </w:r>
      <w:r w:rsidR="00181042" w:rsidRPr="00B74B0F">
        <w:rPr>
          <w:szCs w:val="22"/>
          <w:lang w:val="sr-Latn-ME"/>
        </w:rPr>
        <w:t>ned</w:t>
      </w:r>
      <w:r w:rsidR="00CF4474" w:rsidRPr="00B74B0F">
        <w:rPr>
          <w:szCs w:val="22"/>
          <w:lang w:val="sr-Latn-ME"/>
        </w:rPr>
        <w:t>j</w:t>
      </w:r>
      <w:r w:rsidR="00181042" w:rsidRPr="00B74B0F">
        <w:rPr>
          <w:szCs w:val="22"/>
          <w:lang w:val="sr-Latn-ME"/>
        </w:rPr>
        <w:t>elji</w:t>
      </w:r>
      <w:r w:rsidR="004E3BE3" w:rsidRPr="00B74B0F">
        <w:rPr>
          <w:szCs w:val="22"/>
          <w:lang w:val="sr-Latn-ME"/>
        </w:rPr>
        <w:t>. Tab</w:t>
      </w:r>
      <w:r w:rsidR="00CF4474" w:rsidRPr="00B74B0F">
        <w:rPr>
          <w:szCs w:val="22"/>
          <w:lang w:val="sr-Latn-ME"/>
        </w:rPr>
        <w:t>el</w:t>
      </w:r>
      <w:r w:rsidR="004E3BE3" w:rsidRPr="00B74B0F">
        <w:rPr>
          <w:szCs w:val="22"/>
          <w:lang w:val="sr-Latn-ME"/>
        </w:rPr>
        <w:t xml:space="preserve">a 15 prikazuje ključne sekundarne </w:t>
      </w:r>
      <w:r w:rsidR="00AE13A0" w:rsidRPr="00B74B0F">
        <w:rPr>
          <w:szCs w:val="22"/>
          <w:lang w:val="sr-Latn-ME"/>
        </w:rPr>
        <w:t xml:space="preserve">parametre praćenja </w:t>
      </w:r>
      <w:r w:rsidR="004E3BE3" w:rsidRPr="00B74B0F">
        <w:rPr>
          <w:szCs w:val="22"/>
          <w:lang w:val="sr-Latn-ME"/>
        </w:rPr>
        <w:t xml:space="preserve">uključujući održavanje kliničke remisije, kliničku remisiju bez kortikosteroida, </w:t>
      </w:r>
      <w:r w:rsidR="00181042" w:rsidRPr="00B74B0F">
        <w:rPr>
          <w:szCs w:val="22"/>
          <w:lang w:val="sr-Latn-ME"/>
        </w:rPr>
        <w:t>liječenje</w:t>
      </w:r>
      <w:r w:rsidR="004E3BE3" w:rsidRPr="00B74B0F">
        <w:rPr>
          <w:szCs w:val="22"/>
          <w:lang w:val="sr-Latn-ME"/>
        </w:rPr>
        <w:t xml:space="preserve"> sluznice, histološko-endoskopsko</w:t>
      </w:r>
      <w:r w:rsidR="00AE13A0" w:rsidRPr="00B74B0F">
        <w:rPr>
          <w:szCs w:val="22"/>
          <w:lang w:val="sr-Latn-ME"/>
        </w:rPr>
        <w:t xml:space="preserve"> liječenje</w:t>
      </w:r>
      <w:r w:rsidR="004E3BE3" w:rsidRPr="00B74B0F">
        <w:rPr>
          <w:szCs w:val="22"/>
          <w:lang w:val="sr-Latn-ME"/>
        </w:rPr>
        <w:t xml:space="preserve"> sluznice i duboko </w:t>
      </w:r>
      <w:r w:rsidR="00AE13A0" w:rsidRPr="00B74B0F">
        <w:rPr>
          <w:szCs w:val="22"/>
          <w:lang w:val="sr-Latn-ME"/>
        </w:rPr>
        <w:t>liječenje</w:t>
      </w:r>
      <w:r w:rsidR="004E3BE3" w:rsidRPr="00B74B0F">
        <w:rPr>
          <w:szCs w:val="22"/>
          <w:lang w:val="sr-Latn-ME"/>
        </w:rPr>
        <w:t xml:space="preserve"> sluznice. </w:t>
      </w:r>
    </w:p>
    <w:p w14:paraId="519D79DF" w14:textId="77777777" w:rsidR="004E3BE3" w:rsidRPr="00B74B0F" w:rsidRDefault="004E3BE3">
      <w:pPr>
        <w:spacing w:line="240" w:lineRule="auto"/>
        <w:jc w:val="both"/>
        <w:rPr>
          <w:szCs w:val="22"/>
          <w:lang w:val="sr-Latn-ME"/>
        </w:rPr>
      </w:pPr>
    </w:p>
    <w:p w14:paraId="21593F2C" w14:textId="76C3B4BF" w:rsidR="004E3BE3" w:rsidRPr="00B74B0F" w:rsidRDefault="004E3BE3">
      <w:pPr>
        <w:keepNext/>
        <w:spacing w:line="240" w:lineRule="auto"/>
        <w:jc w:val="both"/>
        <w:rPr>
          <w:b/>
          <w:bCs/>
          <w:szCs w:val="22"/>
          <w:lang w:val="sr-Latn-ME"/>
        </w:rPr>
      </w:pPr>
      <w:r w:rsidRPr="00B74B0F">
        <w:rPr>
          <w:b/>
          <w:szCs w:val="22"/>
          <w:lang w:val="sr-Latn-ME"/>
        </w:rPr>
        <w:t>Tab</w:t>
      </w:r>
      <w:r w:rsidR="00CF4474" w:rsidRPr="00B74B0F">
        <w:rPr>
          <w:b/>
          <w:szCs w:val="22"/>
          <w:lang w:val="sr-Latn-ME"/>
        </w:rPr>
        <w:t>ela</w:t>
      </w:r>
      <w:r w:rsidRPr="00B74B0F">
        <w:rPr>
          <w:b/>
          <w:szCs w:val="22"/>
          <w:lang w:val="sr-Latn-ME"/>
        </w:rPr>
        <w:t xml:space="preserve"> 1</w:t>
      </w:r>
      <w:r w:rsidR="00916178" w:rsidRPr="00B74B0F">
        <w:rPr>
          <w:b/>
          <w:szCs w:val="22"/>
          <w:lang w:val="sr-Latn-ME"/>
        </w:rPr>
        <w:t>5</w:t>
      </w:r>
      <w:r w:rsidR="00CF4474" w:rsidRPr="00B74B0F">
        <w:rPr>
          <w:b/>
          <w:szCs w:val="22"/>
          <w:lang w:val="sr-Latn-ME"/>
        </w:rPr>
        <w:t>:</w:t>
      </w:r>
      <w:r w:rsidRPr="00B74B0F">
        <w:rPr>
          <w:b/>
          <w:szCs w:val="22"/>
          <w:lang w:val="sr-Latn-ME"/>
        </w:rPr>
        <w:t xml:space="preserve"> Udio </w:t>
      </w:r>
      <w:r w:rsidR="00181042" w:rsidRPr="00B74B0F">
        <w:rPr>
          <w:b/>
          <w:szCs w:val="22"/>
          <w:lang w:val="sr-Latn-ME"/>
        </w:rPr>
        <w:t>pacijenata</w:t>
      </w:r>
      <w:r w:rsidRPr="00B74B0F">
        <w:rPr>
          <w:b/>
          <w:szCs w:val="22"/>
          <w:lang w:val="sr-Latn-ME"/>
        </w:rPr>
        <w:t xml:space="preserve"> koji su postigli primarne i ključne sekundarne </w:t>
      </w:r>
      <w:r w:rsidR="00AE13A0" w:rsidRPr="00B74B0F">
        <w:rPr>
          <w:b/>
          <w:szCs w:val="22"/>
          <w:lang w:val="sr-Latn-ME"/>
        </w:rPr>
        <w:t xml:space="preserve">parametre praćenja </w:t>
      </w:r>
      <w:r w:rsidRPr="00B74B0F">
        <w:rPr>
          <w:b/>
          <w:bCs/>
          <w:szCs w:val="22"/>
          <w:lang w:val="sr-Latn-ME"/>
        </w:rPr>
        <w:t xml:space="preserve">u 52. </w:t>
      </w:r>
      <w:r w:rsidR="00181042" w:rsidRPr="00B74B0F">
        <w:rPr>
          <w:b/>
          <w:bCs/>
          <w:szCs w:val="22"/>
          <w:lang w:val="sr-Latn-ME"/>
        </w:rPr>
        <w:t>ned</w:t>
      </w:r>
      <w:r w:rsidR="00CF4474" w:rsidRPr="00B74B0F">
        <w:rPr>
          <w:b/>
          <w:bCs/>
          <w:szCs w:val="22"/>
          <w:lang w:val="sr-Latn-ME"/>
        </w:rPr>
        <w:t>j</w:t>
      </w:r>
      <w:r w:rsidR="00181042" w:rsidRPr="00B74B0F">
        <w:rPr>
          <w:b/>
          <w:bCs/>
          <w:szCs w:val="22"/>
          <w:lang w:val="sr-Latn-ME"/>
        </w:rPr>
        <w:t>elji</w:t>
      </w:r>
      <w:r w:rsidRPr="00B74B0F">
        <w:rPr>
          <w:b/>
          <w:bCs/>
          <w:szCs w:val="22"/>
          <w:lang w:val="sr-Latn-ME"/>
        </w:rPr>
        <w:t xml:space="preserve"> u ispitivanju održavanja UC-3</w:t>
      </w:r>
    </w:p>
    <w:p w14:paraId="77D948AF" w14:textId="77777777" w:rsidR="004E3BE3" w:rsidRPr="00B74B0F" w:rsidRDefault="004E3BE3">
      <w:pPr>
        <w:keepNext/>
        <w:spacing w:line="240" w:lineRule="auto"/>
        <w:jc w:val="both"/>
        <w:rPr>
          <w:b/>
          <w:bCs/>
          <w:szCs w:val="22"/>
          <w:lang w:val="sr-Latn-M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200"/>
        <w:gridCol w:w="1200"/>
        <w:gridCol w:w="1200"/>
        <w:gridCol w:w="1620"/>
        <w:gridCol w:w="1076"/>
      </w:tblGrid>
      <w:tr w:rsidR="00BF75A1" w:rsidRPr="00B74B0F" w14:paraId="4F643B41" w14:textId="77777777" w:rsidTr="00200D71">
        <w:trPr>
          <w:trHeight w:val="1187"/>
        </w:trPr>
        <w:tc>
          <w:tcPr>
            <w:tcW w:w="3055" w:type="dxa"/>
            <w:tcBorders>
              <w:top w:val="single" w:sz="4" w:space="0" w:color="auto"/>
              <w:left w:val="single" w:sz="4" w:space="0" w:color="auto"/>
              <w:bottom w:val="single" w:sz="4" w:space="0" w:color="auto"/>
              <w:right w:val="single" w:sz="4" w:space="0" w:color="auto"/>
            </w:tcBorders>
            <w:vAlign w:val="center"/>
          </w:tcPr>
          <w:p w14:paraId="65C64946" w14:textId="77777777" w:rsidR="004E3BE3" w:rsidRPr="00B74B0F" w:rsidRDefault="004E3BE3">
            <w:pPr>
              <w:keepNext/>
              <w:spacing w:line="240" w:lineRule="auto"/>
              <w:jc w:val="both"/>
              <w:rPr>
                <w:b/>
                <w:szCs w:val="22"/>
                <w:lang w:val="sr-Latn-ME"/>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02F5EB42" w14:textId="77777777" w:rsidR="004E3BE3" w:rsidRPr="00B74B0F" w:rsidRDefault="004E3BE3" w:rsidP="00A30C3C">
            <w:pPr>
              <w:keepNext/>
              <w:spacing w:line="240" w:lineRule="auto"/>
              <w:ind w:left="68" w:right="47"/>
              <w:jc w:val="both"/>
              <w:rPr>
                <w:b/>
                <w:spacing w:val="-1"/>
                <w:szCs w:val="22"/>
                <w:lang w:val="sr-Latn-ME"/>
              </w:rPr>
            </w:pPr>
          </w:p>
          <w:p w14:paraId="2F4EFAE0" w14:textId="77777777" w:rsidR="004E3BE3" w:rsidRPr="00B74B0F" w:rsidRDefault="004E3BE3" w:rsidP="00A30C3C">
            <w:pPr>
              <w:keepNext/>
              <w:spacing w:line="240" w:lineRule="auto"/>
              <w:ind w:left="68" w:right="47"/>
              <w:jc w:val="both"/>
              <w:rPr>
                <w:b/>
                <w:spacing w:val="-1"/>
                <w:szCs w:val="22"/>
                <w:lang w:val="sr-Latn-ME"/>
              </w:rPr>
            </w:pPr>
            <w:r w:rsidRPr="00B74B0F">
              <w:rPr>
                <w:b/>
                <w:spacing w:val="-1"/>
                <w:szCs w:val="22"/>
                <w:lang w:val="sr-Latn-ME"/>
              </w:rPr>
              <w:t>PBO</w:t>
            </w:r>
          </w:p>
          <w:p w14:paraId="03FB2A30" w14:textId="77777777" w:rsidR="004E3BE3" w:rsidRPr="00B74B0F" w:rsidRDefault="004E3BE3" w:rsidP="00A30C3C">
            <w:pPr>
              <w:keepNext/>
              <w:spacing w:line="240" w:lineRule="auto"/>
              <w:ind w:left="68" w:right="47"/>
              <w:jc w:val="both"/>
              <w:rPr>
                <w:b/>
                <w:bCs/>
                <w:spacing w:val="-1"/>
                <w:szCs w:val="22"/>
                <w:lang w:val="sr-Latn-ME"/>
              </w:rPr>
            </w:pPr>
            <w:r w:rsidRPr="00B74B0F">
              <w:rPr>
                <w:b/>
                <w:spacing w:val="-1"/>
                <w:szCs w:val="22"/>
                <w:lang w:val="sr-Latn-ME"/>
              </w:rPr>
              <w:t>N=149</w:t>
            </w:r>
          </w:p>
          <w:p w14:paraId="558E3081" w14:textId="77777777" w:rsidR="004E3BE3" w:rsidRPr="00B74B0F" w:rsidRDefault="004E3BE3" w:rsidP="00A30C3C">
            <w:pPr>
              <w:keepNext/>
              <w:spacing w:line="240" w:lineRule="auto"/>
              <w:ind w:left="68" w:right="47"/>
              <w:jc w:val="both"/>
              <w:rPr>
                <w:b/>
                <w:bCs/>
                <w:spacing w:val="-1"/>
                <w:szCs w:val="22"/>
                <w:lang w:val="sr-Latn-ME"/>
              </w:rPr>
            </w:pPr>
          </w:p>
          <w:p w14:paraId="4AE7A020" w14:textId="77777777" w:rsidR="004E3BE3" w:rsidRPr="00B74B0F" w:rsidRDefault="004E3BE3" w:rsidP="00A30C3C">
            <w:pPr>
              <w:keepNext/>
              <w:spacing w:line="240" w:lineRule="auto"/>
              <w:ind w:left="68" w:right="47"/>
              <w:jc w:val="both"/>
              <w:rPr>
                <w:b/>
                <w:bCs/>
                <w:spacing w:val="-1"/>
                <w:szCs w:val="22"/>
                <w:lang w:val="sr-Latn-ME"/>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32F6CE9B" w14:textId="77777777" w:rsidR="004E3BE3" w:rsidRPr="00B74B0F" w:rsidRDefault="004E3BE3" w:rsidP="00A30C3C">
            <w:pPr>
              <w:keepNext/>
              <w:spacing w:line="240" w:lineRule="auto"/>
              <w:ind w:left="68" w:right="47"/>
              <w:jc w:val="both"/>
              <w:rPr>
                <w:b/>
                <w:spacing w:val="-1"/>
                <w:szCs w:val="22"/>
                <w:lang w:val="sr-Latn-ME"/>
              </w:rPr>
            </w:pPr>
            <w:r w:rsidRPr="00B74B0F">
              <w:rPr>
                <w:b/>
                <w:bCs/>
                <w:spacing w:val="-1"/>
                <w:szCs w:val="22"/>
                <w:lang w:val="sr-Latn-ME"/>
              </w:rPr>
              <w:t>UPA</w:t>
            </w:r>
          </w:p>
          <w:p w14:paraId="4160E820" w14:textId="77777777" w:rsidR="004E3BE3" w:rsidRPr="00B74B0F" w:rsidRDefault="004E3BE3" w:rsidP="00A30C3C">
            <w:pPr>
              <w:keepNext/>
              <w:spacing w:line="240" w:lineRule="auto"/>
              <w:ind w:left="68" w:right="47"/>
              <w:jc w:val="both"/>
              <w:rPr>
                <w:b/>
                <w:spacing w:val="-1"/>
                <w:szCs w:val="22"/>
                <w:lang w:val="sr-Latn-ME"/>
              </w:rPr>
            </w:pPr>
            <w:r w:rsidRPr="00B74B0F">
              <w:rPr>
                <w:b/>
                <w:spacing w:val="-1"/>
                <w:szCs w:val="22"/>
                <w:lang w:val="sr-Latn-ME"/>
              </w:rPr>
              <w:t>15 mg</w:t>
            </w:r>
          </w:p>
          <w:p w14:paraId="3DB5E8F8" w14:textId="77777777" w:rsidR="004E3BE3" w:rsidRPr="00B74B0F" w:rsidRDefault="004E3BE3" w:rsidP="00A30C3C">
            <w:pPr>
              <w:keepNext/>
              <w:spacing w:line="240" w:lineRule="auto"/>
              <w:ind w:left="68" w:right="47"/>
              <w:jc w:val="both"/>
              <w:rPr>
                <w:b/>
                <w:spacing w:val="-1"/>
                <w:szCs w:val="22"/>
                <w:lang w:val="sr-Latn-ME"/>
              </w:rPr>
            </w:pPr>
            <w:r w:rsidRPr="00B74B0F">
              <w:rPr>
                <w:b/>
                <w:spacing w:val="-1"/>
                <w:szCs w:val="22"/>
                <w:lang w:val="sr-Latn-ME"/>
              </w:rPr>
              <w:t>N=148</w:t>
            </w:r>
          </w:p>
          <w:p w14:paraId="06B747AA" w14:textId="77777777" w:rsidR="004E3BE3" w:rsidRPr="00B74B0F" w:rsidRDefault="004E3BE3" w:rsidP="00A30C3C">
            <w:pPr>
              <w:keepNext/>
              <w:spacing w:line="240" w:lineRule="auto"/>
              <w:ind w:left="68" w:right="47"/>
              <w:jc w:val="both"/>
              <w:rPr>
                <w:b/>
                <w:spacing w:val="-1"/>
                <w:szCs w:val="22"/>
                <w:lang w:val="sr-Latn-ME"/>
              </w:rPr>
            </w:pPr>
          </w:p>
        </w:tc>
        <w:tc>
          <w:tcPr>
            <w:tcW w:w="1200" w:type="dxa"/>
            <w:tcBorders>
              <w:top w:val="single" w:sz="4" w:space="0" w:color="auto"/>
              <w:left w:val="single" w:sz="4" w:space="0" w:color="auto"/>
              <w:bottom w:val="single" w:sz="4" w:space="0" w:color="auto"/>
              <w:right w:val="single" w:sz="4" w:space="0" w:color="auto"/>
            </w:tcBorders>
            <w:vAlign w:val="center"/>
            <w:hideMark/>
          </w:tcPr>
          <w:p w14:paraId="404508DE" w14:textId="77777777" w:rsidR="004E3BE3" w:rsidRPr="00B74B0F" w:rsidRDefault="004E3BE3" w:rsidP="00A30C3C">
            <w:pPr>
              <w:keepNext/>
              <w:spacing w:line="240" w:lineRule="auto"/>
              <w:ind w:left="68" w:right="47"/>
              <w:jc w:val="both"/>
              <w:rPr>
                <w:b/>
                <w:spacing w:val="-1"/>
                <w:szCs w:val="22"/>
                <w:lang w:val="sr-Latn-ME"/>
              </w:rPr>
            </w:pPr>
            <w:r w:rsidRPr="00B74B0F">
              <w:rPr>
                <w:b/>
                <w:bCs/>
                <w:spacing w:val="-1"/>
                <w:szCs w:val="22"/>
                <w:lang w:val="sr-Latn-ME"/>
              </w:rPr>
              <w:t>UPA</w:t>
            </w:r>
          </w:p>
          <w:p w14:paraId="33720AC2" w14:textId="77777777" w:rsidR="004E3BE3" w:rsidRPr="00B74B0F" w:rsidRDefault="004E3BE3" w:rsidP="00A30C3C">
            <w:pPr>
              <w:keepNext/>
              <w:spacing w:line="240" w:lineRule="auto"/>
              <w:ind w:left="68" w:right="47"/>
              <w:jc w:val="both"/>
              <w:rPr>
                <w:b/>
                <w:spacing w:val="-1"/>
                <w:szCs w:val="22"/>
                <w:lang w:val="sr-Latn-ME"/>
              </w:rPr>
            </w:pPr>
            <w:r w:rsidRPr="00B74B0F">
              <w:rPr>
                <w:b/>
                <w:spacing w:val="-1"/>
                <w:szCs w:val="22"/>
                <w:lang w:val="sr-Latn-ME"/>
              </w:rPr>
              <w:t>30 mg</w:t>
            </w:r>
          </w:p>
          <w:p w14:paraId="391393B6" w14:textId="77777777" w:rsidR="004E3BE3" w:rsidRPr="00B74B0F" w:rsidRDefault="004E3BE3" w:rsidP="00A30C3C">
            <w:pPr>
              <w:keepNext/>
              <w:keepLines/>
              <w:tabs>
                <w:tab w:val="clear" w:pos="567"/>
              </w:tabs>
              <w:spacing w:line="240" w:lineRule="auto"/>
              <w:jc w:val="both"/>
              <w:rPr>
                <w:b/>
                <w:spacing w:val="-1"/>
                <w:szCs w:val="22"/>
                <w:lang w:val="sr-Latn-ME"/>
              </w:rPr>
            </w:pPr>
            <w:r w:rsidRPr="00B74B0F">
              <w:rPr>
                <w:rFonts w:eastAsia="MS Mincho"/>
                <w:b/>
                <w:spacing w:val="-1"/>
                <w:szCs w:val="22"/>
                <w:lang w:val="sr-Latn-ME" w:eastAsia="hr-HR"/>
              </w:rPr>
              <w:t>N=154</w:t>
            </w:r>
          </w:p>
          <w:p w14:paraId="3F1681C9" w14:textId="77777777" w:rsidR="004E3BE3" w:rsidRPr="00B74B0F" w:rsidRDefault="004E3BE3" w:rsidP="00A30C3C">
            <w:pPr>
              <w:keepNext/>
              <w:keepLines/>
              <w:tabs>
                <w:tab w:val="clear" w:pos="567"/>
              </w:tabs>
              <w:spacing w:line="240" w:lineRule="auto"/>
              <w:jc w:val="both"/>
              <w:rPr>
                <w:b/>
                <w:spacing w:val="-1"/>
                <w:szCs w:val="22"/>
                <w:lang w:val="sr-Latn-ME"/>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D7DDF99" w14:textId="5950488A" w:rsidR="004E3BE3" w:rsidRPr="00B74B0F" w:rsidRDefault="004E3BE3" w:rsidP="00A30C3C">
            <w:pPr>
              <w:keepNext/>
              <w:keepLines/>
              <w:tabs>
                <w:tab w:val="clear" w:pos="567"/>
              </w:tabs>
              <w:spacing w:line="240" w:lineRule="auto"/>
              <w:jc w:val="both"/>
              <w:rPr>
                <w:b/>
                <w:bCs/>
                <w:spacing w:val="-1"/>
                <w:szCs w:val="22"/>
                <w:lang w:val="sr-Latn-ME"/>
              </w:rPr>
            </w:pPr>
            <w:r w:rsidRPr="00B74B0F">
              <w:rPr>
                <w:rFonts w:eastAsia="MS Mincho"/>
                <w:b/>
                <w:szCs w:val="22"/>
                <w:lang w:val="sr-Latn-ME" w:eastAsia="hr-HR"/>
              </w:rPr>
              <w:t>Razlika u liječenju</w:t>
            </w:r>
          </w:p>
          <w:p w14:paraId="40F7D9C8" w14:textId="77777777" w:rsidR="004E3BE3" w:rsidRPr="00B74B0F" w:rsidRDefault="004E3BE3" w:rsidP="00A30C3C">
            <w:pPr>
              <w:keepNext/>
              <w:keepLines/>
              <w:tabs>
                <w:tab w:val="clear" w:pos="567"/>
              </w:tabs>
              <w:spacing w:line="240" w:lineRule="auto"/>
              <w:jc w:val="both"/>
              <w:rPr>
                <w:b/>
                <w:spacing w:val="-1"/>
                <w:szCs w:val="22"/>
                <w:lang w:val="sr-Latn-ME"/>
              </w:rPr>
            </w:pPr>
            <w:r w:rsidRPr="00B74B0F">
              <w:rPr>
                <w:rFonts w:eastAsia="MS Mincho"/>
                <w:b/>
                <w:bCs/>
                <w:spacing w:val="-1"/>
                <w:szCs w:val="22"/>
                <w:lang w:val="sr-Latn-ME" w:eastAsia="hr-HR"/>
              </w:rPr>
              <w:t>15 mg naspram</w:t>
            </w:r>
            <w:r w:rsidRPr="00B74B0F">
              <w:rPr>
                <w:rFonts w:eastAsia="MS Mincho"/>
                <w:b/>
                <w:spacing w:val="-1"/>
                <w:szCs w:val="22"/>
                <w:lang w:val="sr-Latn-ME" w:eastAsia="hr-HR"/>
              </w:rPr>
              <w:t xml:space="preserve"> PBO (95% CI)</w:t>
            </w:r>
          </w:p>
        </w:tc>
        <w:tc>
          <w:tcPr>
            <w:tcW w:w="1076" w:type="dxa"/>
            <w:tcBorders>
              <w:top w:val="single" w:sz="4" w:space="0" w:color="auto"/>
              <w:left w:val="single" w:sz="4" w:space="0" w:color="auto"/>
              <w:bottom w:val="single" w:sz="4" w:space="0" w:color="auto"/>
              <w:right w:val="single" w:sz="4" w:space="0" w:color="auto"/>
            </w:tcBorders>
            <w:vAlign w:val="center"/>
            <w:hideMark/>
          </w:tcPr>
          <w:p w14:paraId="7F6AA864" w14:textId="77FBC39A" w:rsidR="004E3BE3" w:rsidRPr="00B74B0F" w:rsidRDefault="004E3BE3" w:rsidP="00A30C3C">
            <w:pPr>
              <w:keepNext/>
              <w:keepLines/>
              <w:tabs>
                <w:tab w:val="clear" w:pos="567"/>
              </w:tabs>
              <w:spacing w:line="240" w:lineRule="auto"/>
              <w:jc w:val="both"/>
              <w:rPr>
                <w:b/>
                <w:bCs/>
                <w:spacing w:val="-1"/>
                <w:szCs w:val="22"/>
                <w:lang w:val="sr-Latn-ME"/>
              </w:rPr>
            </w:pPr>
            <w:r w:rsidRPr="00B74B0F">
              <w:rPr>
                <w:rFonts w:eastAsia="MS Mincho"/>
                <w:b/>
                <w:szCs w:val="22"/>
                <w:lang w:val="sr-Latn-ME" w:eastAsia="hr-HR"/>
              </w:rPr>
              <w:t>Razlika u liječenju</w:t>
            </w:r>
          </w:p>
          <w:p w14:paraId="39CB0342" w14:textId="108BD340" w:rsidR="004E3BE3" w:rsidRPr="00B74B0F" w:rsidRDefault="004E3BE3" w:rsidP="00A30C3C">
            <w:pPr>
              <w:keepNext/>
              <w:keepLines/>
              <w:tabs>
                <w:tab w:val="clear" w:pos="567"/>
              </w:tabs>
              <w:spacing w:line="240" w:lineRule="auto"/>
              <w:jc w:val="both"/>
              <w:rPr>
                <w:b/>
                <w:bCs/>
                <w:spacing w:val="-1"/>
                <w:szCs w:val="22"/>
                <w:lang w:val="sr-Latn-ME"/>
              </w:rPr>
            </w:pPr>
            <w:r w:rsidRPr="00B74B0F">
              <w:rPr>
                <w:b/>
                <w:bCs/>
                <w:spacing w:val="-1"/>
                <w:szCs w:val="22"/>
                <w:lang w:val="sr-Latn-ME"/>
              </w:rPr>
              <w:t>30 mg naspram</w:t>
            </w:r>
            <w:r w:rsidRPr="00B74B0F">
              <w:rPr>
                <w:b/>
                <w:spacing w:val="-1"/>
                <w:szCs w:val="22"/>
                <w:lang w:val="sr-Latn-ME"/>
              </w:rPr>
              <w:t xml:space="preserve"> PBO</w:t>
            </w:r>
          </w:p>
          <w:p w14:paraId="3C48C96D" w14:textId="77777777" w:rsidR="004E3BE3" w:rsidRPr="00B74B0F" w:rsidRDefault="004E3BE3" w:rsidP="00A30C3C">
            <w:pPr>
              <w:keepNext/>
              <w:keepLines/>
              <w:tabs>
                <w:tab w:val="clear" w:pos="567"/>
              </w:tabs>
              <w:spacing w:line="240" w:lineRule="auto"/>
              <w:jc w:val="both"/>
              <w:rPr>
                <w:b/>
                <w:spacing w:val="-1"/>
                <w:szCs w:val="22"/>
                <w:lang w:val="sr-Latn-ME"/>
              </w:rPr>
            </w:pPr>
            <w:r w:rsidRPr="00B74B0F">
              <w:rPr>
                <w:rFonts w:eastAsia="MS Mincho"/>
                <w:b/>
                <w:spacing w:val="-1"/>
                <w:szCs w:val="22"/>
                <w:lang w:val="sr-Latn-ME" w:eastAsia="hr-HR"/>
              </w:rPr>
              <w:t>(95% CI)</w:t>
            </w:r>
          </w:p>
        </w:tc>
      </w:tr>
      <w:tr w:rsidR="00BF75A1" w:rsidRPr="00B74B0F" w14:paraId="2C43C056"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53421297" w14:textId="77777777" w:rsidR="004E3BE3" w:rsidRPr="00B74B0F" w:rsidRDefault="004E3BE3">
            <w:pPr>
              <w:keepNext/>
              <w:keepLines/>
              <w:tabs>
                <w:tab w:val="clear" w:pos="567"/>
              </w:tabs>
              <w:spacing w:line="240" w:lineRule="auto"/>
              <w:jc w:val="both"/>
              <w:rPr>
                <w:rFonts w:eastAsia="MS Mincho"/>
                <w:b/>
                <w:szCs w:val="22"/>
                <w:lang w:val="sr-Latn-ME" w:eastAsia="hr-HR"/>
              </w:rPr>
            </w:pPr>
            <w:r w:rsidRPr="00B74B0F">
              <w:rPr>
                <w:rFonts w:eastAsia="MS Mincho"/>
                <w:b/>
                <w:szCs w:val="22"/>
                <w:lang w:val="sr-Latn-ME" w:eastAsia="hr-HR"/>
              </w:rPr>
              <w:t>Klinička remisija</w:t>
            </w:r>
            <w:r w:rsidRPr="00B74B0F">
              <w:rPr>
                <w:rFonts w:eastAsia="MS Mincho"/>
                <w:b/>
                <w:szCs w:val="22"/>
                <w:vertAlign w:val="superscript"/>
                <w:lang w:val="sr-Latn-ME" w:eastAsia="hr-HR"/>
              </w:rPr>
              <w:t>a</w:t>
            </w:r>
            <w:r w:rsidRPr="00B74B0F">
              <w:rPr>
                <w:rFonts w:eastAsia="MS Mincho"/>
                <w:b/>
                <w:szCs w:val="22"/>
                <w:lang w:val="sr-Latn-ME" w:eastAsia="hr-HR"/>
              </w:rPr>
              <w:t xml:space="preserve"> </w:t>
            </w:r>
          </w:p>
          <w:p w14:paraId="28D00CDD" w14:textId="77777777" w:rsidR="004E3BE3" w:rsidRPr="00B74B0F" w:rsidRDefault="004E3BE3">
            <w:pPr>
              <w:keepNext/>
              <w:keepLines/>
              <w:tabs>
                <w:tab w:val="clear" w:pos="567"/>
              </w:tabs>
              <w:spacing w:line="240" w:lineRule="auto"/>
              <w:jc w:val="both"/>
              <w:rPr>
                <w:rFonts w:eastAsia="MS Mincho"/>
                <w:b/>
                <w:szCs w:val="22"/>
                <w:lang w:val="sr-Latn-ME" w:eastAsia="hr-HR"/>
              </w:rPr>
            </w:pPr>
          </w:p>
        </w:tc>
        <w:tc>
          <w:tcPr>
            <w:tcW w:w="1200" w:type="dxa"/>
            <w:tcBorders>
              <w:top w:val="single" w:sz="4" w:space="0" w:color="auto"/>
              <w:left w:val="single" w:sz="4" w:space="0" w:color="auto"/>
              <w:bottom w:val="single" w:sz="4" w:space="0" w:color="auto"/>
              <w:right w:val="single" w:sz="4" w:space="0" w:color="auto"/>
            </w:tcBorders>
            <w:hideMark/>
          </w:tcPr>
          <w:p w14:paraId="508A443D"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12,1%</w:t>
            </w:r>
          </w:p>
        </w:tc>
        <w:tc>
          <w:tcPr>
            <w:tcW w:w="1200" w:type="dxa"/>
            <w:tcBorders>
              <w:top w:val="single" w:sz="4" w:space="0" w:color="auto"/>
              <w:left w:val="single" w:sz="4" w:space="0" w:color="auto"/>
              <w:bottom w:val="single" w:sz="4" w:space="0" w:color="auto"/>
              <w:right w:val="single" w:sz="4" w:space="0" w:color="auto"/>
            </w:tcBorders>
            <w:hideMark/>
          </w:tcPr>
          <w:p w14:paraId="6368BCB6"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42,3%</w:t>
            </w:r>
          </w:p>
        </w:tc>
        <w:tc>
          <w:tcPr>
            <w:tcW w:w="1200" w:type="dxa"/>
            <w:tcBorders>
              <w:top w:val="single" w:sz="4" w:space="0" w:color="auto"/>
              <w:left w:val="single" w:sz="4" w:space="0" w:color="auto"/>
              <w:bottom w:val="single" w:sz="4" w:space="0" w:color="auto"/>
              <w:right w:val="single" w:sz="4" w:space="0" w:color="auto"/>
            </w:tcBorders>
            <w:hideMark/>
          </w:tcPr>
          <w:p w14:paraId="441C892E"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51,7%</w:t>
            </w:r>
          </w:p>
        </w:tc>
        <w:tc>
          <w:tcPr>
            <w:tcW w:w="1620" w:type="dxa"/>
            <w:tcBorders>
              <w:top w:val="single" w:sz="4" w:space="0" w:color="auto"/>
              <w:left w:val="single" w:sz="4" w:space="0" w:color="auto"/>
              <w:bottom w:val="single" w:sz="4" w:space="0" w:color="auto"/>
              <w:right w:val="single" w:sz="4" w:space="0" w:color="auto"/>
            </w:tcBorders>
            <w:hideMark/>
          </w:tcPr>
          <w:p w14:paraId="15C7753E"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30,7%*</w:t>
            </w:r>
          </w:p>
          <w:p w14:paraId="1FE98299"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(21,7; 39,8)</w:t>
            </w:r>
          </w:p>
        </w:tc>
        <w:tc>
          <w:tcPr>
            <w:tcW w:w="1076" w:type="dxa"/>
            <w:tcBorders>
              <w:top w:val="single" w:sz="4" w:space="0" w:color="auto"/>
              <w:left w:val="single" w:sz="4" w:space="0" w:color="auto"/>
              <w:bottom w:val="single" w:sz="4" w:space="0" w:color="auto"/>
              <w:right w:val="single" w:sz="4" w:space="0" w:color="auto"/>
            </w:tcBorders>
            <w:hideMark/>
          </w:tcPr>
          <w:p w14:paraId="5C43EE76"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39,0%*</w:t>
            </w:r>
          </w:p>
          <w:p w14:paraId="35201EA0"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(29,7; 48,2)</w:t>
            </w:r>
          </w:p>
        </w:tc>
      </w:tr>
      <w:tr w:rsidR="00BF75A1" w:rsidRPr="00B74B0F" w14:paraId="58961221"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3E365F69" w14:textId="77777777" w:rsidR="004E3BE3" w:rsidRPr="00B74B0F" w:rsidRDefault="004E3BE3">
            <w:pPr>
              <w:keepLines/>
              <w:spacing w:line="240" w:lineRule="auto"/>
              <w:ind w:left="108"/>
              <w:jc w:val="both"/>
              <w:rPr>
                <w:b/>
                <w:szCs w:val="22"/>
                <w:lang w:val="sr-Latn-ME"/>
              </w:rPr>
            </w:pPr>
            <w:r w:rsidRPr="00B74B0F">
              <w:rPr>
                <w:szCs w:val="22"/>
                <w:lang w:val="sr-Latn-ME"/>
              </w:rPr>
              <w:t>Prethodni biološki neuspjeh</w:t>
            </w:r>
            <w:r w:rsidRPr="00B74B0F">
              <w:rPr>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46F7138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7,5%</w:t>
            </w:r>
          </w:p>
        </w:tc>
        <w:tc>
          <w:tcPr>
            <w:tcW w:w="1200" w:type="dxa"/>
            <w:tcBorders>
              <w:top w:val="single" w:sz="4" w:space="0" w:color="auto"/>
              <w:left w:val="single" w:sz="4" w:space="0" w:color="auto"/>
              <w:bottom w:val="single" w:sz="4" w:space="0" w:color="auto"/>
              <w:right w:val="single" w:sz="4" w:space="0" w:color="auto"/>
            </w:tcBorders>
            <w:hideMark/>
          </w:tcPr>
          <w:p w14:paraId="0FB476AA"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40,5%</w:t>
            </w:r>
          </w:p>
        </w:tc>
        <w:tc>
          <w:tcPr>
            <w:tcW w:w="1200" w:type="dxa"/>
            <w:tcBorders>
              <w:top w:val="single" w:sz="4" w:space="0" w:color="auto"/>
              <w:left w:val="single" w:sz="4" w:space="0" w:color="auto"/>
              <w:bottom w:val="single" w:sz="4" w:space="0" w:color="auto"/>
              <w:right w:val="single" w:sz="4" w:space="0" w:color="auto"/>
            </w:tcBorders>
            <w:hideMark/>
          </w:tcPr>
          <w:p w14:paraId="193904B8"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49,1%</w:t>
            </w:r>
          </w:p>
        </w:tc>
        <w:tc>
          <w:tcPr>
            <w:tcW w:w="1620" w:type="dxa"/>
            <w:tcBorders>
              <w:top w:val="single" w:sz="4" w:space="0" w:color="auto"/>
              <w:left w:val="single" w:sz="4" w:space="0" w:color="auto"/>
              <w:bottom w:val="single" w:sz="4" w:space="0" w:color="auto"/>
              <w:right w:val="single" w:sz="4" w:space="0" w:color="auto"/>
            </w:tcBorders>
            <w:hideMark/>
          </w:tcPr>
          <w:p w14:paraId="3B76B9B8"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33,0%</w:t>
            </w:r>
          </w:p>
        </w:tc>
        <w:tc>
          <w:tcPr>
            <w:tcW w:w="1076" w:type="dxa"/>
            <w:tcBorders>
              <w:top w:val="single" w:sz="4" w:space="0" w:color="auto"/>
              <w:left w:val="single" w:sz="4" w:space="0" w:color="auto"/>
              <w:bottom w:val="single" w:sz="4" w:space="0" w:color="auto"/>
              <w:right w:val="single" w:sz="4" w:space="0" w:color="auto"/>
            </w:tcBorders>
            <w:hideMark/>
          </w:tcPr>
          <w:p w14:paraId="54BFAE7F"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41,6%</w:t>
            </w:r>
          </w:p>
        </w:tc>
      </w:tr>
      <w:tr w:rsidR="00BF75A1" w:rsidRPr="00B74B0F" w14:paraId="17DF9AEA"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10426D95" w14:textId="77777777" w:rsidR="004E3BE3" w:rsidRPr="00B74B0F" w:rsidRDefault="004E3BE3">
            <w:pPr>
              <w:keepLines/>
              <w:spacing w:line="240" w:lineRule="auto"/>
              <w:ind w:left="108"/>
              <w:jc w:val="both"/>
              <w:rPr>
                <w:b/>
                <w:szCs w:val="22"/>
                <w:lang w:val="sr-Latn-ME"/>
              </w:rPr>
            </w:pPr>
            <w:r w:rsidRPr="00B74B0F">
              <w:rPr>
                <w:szCs w:val="22"/>
                <w:lang w:val="sr-Latn-ME"/>
              </w:rPr>
              <w:t>Bez prethodnog biološkog neuspjeha</w:t>
            </w:r>
            <w:r w:rsidRPr="00B74B0F">
              <w:rPr>
                <w:bCs/>
                <w:iCs/>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5F72AEB1"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17,6%</w:t>
            </w:r>
          </w:p>
        </w:tc>
        <w:tc>
          <w:tcPr>
            <w:tcW w:w="1200" w:type="dxa"/>
            <w:tcBorders>
              <w:top w:val="single" w:sz="4" w:space="0" w:color="auto"/>
              <w:left w:val="single" w:sz="4" w:space="0" w:color="auto"/>
              <w:bottom w:val="single" w:sz="4" w:space="0" w:color="auto"/>
              <w:right w:val="single" w:sz="4" w:space="0" w:color="auto"/>
            </w:tcBorders>
            <w:hideMark/>
          </w:tcPr>
          <w:p w14:paraId="4DA493AB"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43,9%</w:t>
            </w:r>
          </w:p>
        </w:tc>
        <w:tc>
          <w:tcPr>
            <w:tcW w:w="1200" w:type="dxa"/>
            <w:tcBorders>
              <w:top w:val="single" w:sz="4" w:space="0" w:color="auto"/>
              <w:left w:val="single" w:sz="4" w:space="0" w:color="auto"/>
              <w:bottom w:val="single" w:sz="4" w:space="0" w:color="auto"/>
              <w:right w:val="single" w:sz="4" w:space="0" w:color="auto"/>
            </w:tcBorders>
            <w:hideMark/>
          </w:tcPr>
          <w:p w14:paraId="3DC1D90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54,0%</w:t>
            </w:r>
          </w:p>
        </w:tc>
        <w:tc>
          <w:tcPr>
            <w:tcW w:w="1620" w:type="dxa"/>
            <w:tcBorders>
              <w:top w:val="single" w:sz="4" w:space="0" w:color="auto"/>
              <w:left w:val="single" w:sz="4" w:space="0" w:color="auto"/>
              <w:bottom w:val="single" w:sz="4" w:space="0" w:color="auto"/>
              <w:right w:val="single" w:sz="4" w:space="0" w:color="auto"/>
            </w:tcBorders>
            <w:hideMark/>
          </w:tcPr>
          <w:p w14:paraId="50AF5CBF"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26,3%</w:t>
            </w:r>
          </w:p>
        </w:tc>
        <w:tc>
          <w:tcPr>
            <w:tcW w:w="1076" w:type="dxa"/>
            <w:tcBorders>
              <w:top w:val="single" w:sz="4" w:space="0" w:color="auto"/>
              <w:left w:val="single" w:sz="4" w:space="0" w:color="auto"/>
              <w:bottom w:val="single" w:sz="4" w:space="0" w:color="auto"/>
              <w:right w:val="single" w:sz="4" w:space="0" w:color="auto"/>
            </w:tcBorders>
            <w:hideMark/>
          </w:tcPr>
          <w:p w14:paraId="7285F39C"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36,3%</w:t>
            </w:r>
          </w:p>
        </w:tc>
      </w:tr>
      <w:tr w:rsidR="00BF75A1" w:rsidRPr="00B74B0F" w14:paraId="6DEA6621" w14:textId="77777777" w:rsidTr="00200D71">
        <w:tc>
          <w:tcPr>
            <w:tcW w:w="3055" w:type="dxa"/>
            <w:tcBorders>
              <w:top w:val="single" w:sz="6" w:space="0" w:color="000000"/>
              <w:left w:val="single" w:sz="6" w:space="0" w:color="000000"/>
              <w:bottom w:val="single" w:sz="6" w:space="0" w:color="000000"/>
              <w:right w:val="single" w:sz="6" w:space="0" w:color="000000"/>
            </w:tcBorders>
            <w:vAlign w:val="center"/>
          </w:tcPr>
          <w:p w14:paraId="7846C491" w14:textId="77777777" w:rsidR="004E3BE3" w:rsidRPr="00B74B0F" w:rsidRDefault="004E3BE3">
            <w:pPr>
              <w:keepNext/>
              <w:keepLines/>
              <w:tabs>
                <w:tab w:val="clear" w:pos="567"/>
              </w:tabs>
              <w:spacing w:line="240" w:lineRule="auto"/>
              <w:jc w:val="both"/>
              <w:rPr>
                <w:rFonts w:eastAsia="MS Mincho"/>
                <w:szCs w:val="22"/>
                <w:lang w:val="sr-Latn-ME" w:eastAsia="hr-HR"/>
              </w:rPr>
            </w:pPr>
            <w:r w:rsidRPr="00B74B0F">
              <w:rPr>
                <w:rFonts w:eastAsia="MS Mincho"/>
                <w:b/>
                <w:bCs/>
                <w:szCs w:val="22"/>
                <w:lang w:val="sr-Latn-ME" w:eastAsia="hr-HR"/>
              </w:rPr>
              <w:t>Održavanje kliničke remisije</w:t>
            </w:r>
            <w:r w:rsidRPr="00B74B0F">
              <w:rPr>
                <w:rFonts w:eastAsia="MS Mincho"/>
                <w:b/>
                <w:bCs/>
                <w:szCs w:val="22"/>
                <w:vertAlign w:val="superscript"/>
                <w:lang w:val="sr-Latn-ME" w:eastAsia="hr-HR"/>
              </w:rPr>
              <w:t>b</w:t>
            </w:r>
          </w:p>
        </w:tc>
        <w:tc>
          <w:tcPr>
            <w:tcW w:w="1200" w:type="dxa"/>
            <w:tcBorders>
              <w:top w:val="single" w:sz="6" w:space="0" w:color="000000"/>
              <w:left w:val="single" w:sz="6" w:space="0" w:color="000000"/>
              <w:bottom w:val="single" w:sz="6" w:space="0" w:color="000000"/>
              <w:right w:val="single" w:sz="6" w:space="0" w:color="000000"/>
            </w:tcBorders>
            <w:vAlign w:val="center"/>
          </w:tcPr>
          <w:p w14:paraId="4DEFEC68" w14:textId="5F33EBBB"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54</w:t>
            </w:r>
            <w:r w:rsidRPr="00B74B0F">
              <w:rPr>
                <w:rFonts w:eastAsia="MS Mincho"/>
                <w:szCs w:val="22"/>
                <w:lang w:val="sr-Latn-ME" w:eastAsia="hr-HR"/>
              </w:rPr>
              <w:br/>
              <w:t>22,2%</w:t>
            </w:r>
          </w:p>
        </w:tc>
        <w:tc>
          <w:tcPr>
            <w:tcW w:w="1200" w:type="dxa"/>
            <w:tcBorders>
              <w:top w:val="single" w:sz="6" w:space="0" w:color="000000"/>
              <w:left w:val="single" w:sz="6" w:space="0" w:color="000000"/>
              <w:bottom w:val="single" w:sz="6" w:space="0" w:color="000000"/>
              <w:right w:val="single" w:sz="6" w:space="0" w:color="000000"/>
            </w:tcBorders>
            <w:vAlign w:val="center"/>
          </w:tcPr>
          <w:p w14:paraId="084D23D5" w14:textId="65E74896"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47</w:t>
            </w:r>
            <w:r w:rsidRPr="00B74B0F">
              <w:rPr>
                <w:rFonts w:eastAsia="MS Mincho"/>
                <w:szCs w:val="22"/>
                <w:lang w:val="sr-Latn-ME" w:eastAsia="hr-HR"/>
              </w:rPr>
              <w:br/>
              <w:t>59,2%</w:t>
            </w:r>
          </w:p>
        </w:tc>
        <w:tc>
          <w:tcPr>
            <w:tcW w:w="1200" w:type="dxa"/>
            <w:tcBorders>
              <w:top w:val="single" w:sz="6" w:space="0" w:color="000000"/>
              <w:left w:val="single" w:sz="6" w:space="0" w:color="000000"/>
              <w:bottom w:val="single" w:sz="6" w:space="0" w:color="000000"/>
              <w:right w:val="single" w:sz="6" w:space="0" w:color="000000"/>
            </w:tcBorders>
            <w:vAlign w:val="center"/>
          </w:tcPr>
          <w:p w14:paraId="126451E3" w14:textId="74D892A8"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58</w:t>
            </w:r>
            <w:r w:rsidRPr="00B74B0F">
              <w:rPr>
                <w:rFonts w:eastAsia="MS Mincho"/>
                <w:szCs w:val="22"/>
                <w:lang w:val="sr-Latn-ME" w:eastAsia="hr-HR"/>
              </w:rPr>
              <w:br/>
              <w:t>69,7%</w:t>
            </w:r>
          </w:p>
        </w:tc>
        <w:tc>
          <w:tcPr>
            <w:tcW w:w="1620" w:type="dxa"/>
            <w:tcBorders>
              <w:top w:val="single" w:sz="6" w:space="0" w:color="000000"/>
              <w:left w:val="single" w:sz="6" w:space="0" w:color="000000"/>
              <w:bottom w:val="single" w:sz="6" w:space="0" w:color="000000"/>
              <w:right w:val="single" w:sz="6" w:space="0" w:color="000000"/>
            </w:tcBorders>
            <w:vAlign w:val="center"/>
          </w:tcPr>
          <w:p w14:paraId="2DA62B16" w14:textId="337F3403"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37,4%*</w:t>
            </w:r>
            <w:r w:rsidRPr="00B74B0F">
              <w:rPr>
                <w:rFonts w:eastAsia="MS Mincho"/>
                <w:szCs w:val="22"/>
                <w:lang w:val="sr-Latn-ME" w:eastAsia="hr-HR"/>
              </w:rPr>
              <w:br/>
              <w:t>(20,3; 54,6)</w:t>
            </w:r>
          </w:p>
        </w:tc>
        <w:tc>
          <w:tcPr>
            <w:tcW w:w="1076" w:type="dxa"/>
            <w:tcBorders>
              <w:top w:val="single" w:sz="6" w:space="0" w:color="000000"/>
              <w:left w:val="single" w:sz="6" w:space="0" w:color="000000"/>
              <w:bottom w:val="single" w:sz="6" w:space="0" w:color="000000"/>
              <w:right w:val="single" w:sz="6" w:space="0" w:color="000000"/>
            </w:tcBorders>
            <w:vAlign w:val="center"/>
          </w:tcPr>
          <w:p w14:paraId="5ACFB89E" w14:textId="31FB3008"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47,0%*</w:t>
            </w:r>
            <w:r w:rsidRPr="00B74B0F">
              <w:rPr>
                <w:rFonts w:eastAsia="MS Mincho"/>
                <w:szCs w:val="22"/>
                <w:lang w:val="sr-Latn-ME" w:eastAsia="hr-HR"/>
              </w:rPr>
              <w:br/>
              <w:t>(30,7; 63,3)</w:t>
            </w:r>
          </w:p>
        </w:tc>
      </w:tr>
      <w:tr w:rsidR="00BF75A1" w:rsidRPr="00B74B0F" w14:paraId="1F7C7B27" w14:textId="77777777" w:rsidTr="00200D71">
        <w:tc>
          <w:tcPr>
            <w:tcW w:w="3055" w:type="dxa"/>
            <w:tcBorders>
              <w:top w:val="single" w:sz="6" w:space="0" w:color="000000"/>
              <w:left w:val="single" w:sz="6" w:space="0" w:color="000000"/>
              <w:bottom w:val="single" w:sz="6" w:space="0" w:color="000000"/>
              <w:right w:val="single" w:sz="6" w:space="0" w:color="000000"/>
            </w:tcBorders>
            <w:vAlign w:val="center"/>
          </w:tcPr>
          <w:p w14:paraId="545CECEF" w14:textId="77777777" w:rsidR="004E3BE3" w:rsidRPr="00B74B0F" w:rsidRDefault="004E3BE3">
            <w:pPr>
              <w:keepNext/>
              <w:keepLines/>
              <w:tabs>
                <w:tab w:val="clear" w:pos="567"/>
              </w:tabs>
              <w:spacing w:line="240" w:lineRule="auto"/>
              <w:ind w:left="108"/>
              <w:jc w:val="both"/>
              <w:rPr>
                <w:rFonts w:eastAsia="MS Mincho"/>
                <w:szCs w:val="22"/>
                <w:lang w:val="sr-Latn-ME" w:eastAsia="hr-HR"/>
              </w:rPr>
            </w:pPr>
            <w:r w:rsidRPr="00B74B0F">
              <w:rPr>
                <w:rFonts w:eastAsia="MS Mincho"/>
                <w:szCs w:val="22"/>
                <w:lang w:val="sr-Latn-ME" w:eastAsia="hr-HR"/>
              </w:rPr>
              <w:t xml:space="preserve">Prethodni biološki neuspjeh </w:t>
            </w:r>
          </w:p>
        </w:tc>
        <w:tc>
          <w:tcPr>
            <w:tcW w:w="1200" w:type="dxa"/>
            <w:tcBorders>
              <w:top w:val="single" w:sz="6" w:space="0" w:color="000000"/>
              <w:left w:val="single" w:sz="6" w:space="0" w:color="000000"/>
              <w:bottom w:val="single" w:sz="6" w:space="0" w:color="000000"/>
              <w:right w:val="single" w:sz="6" w:space="0" w:color="000000"/>
            </w:tcBorders>
            <w:vAlign w:val="center"/>
          </w:tcPr>
          <w:p w14:paraId="0BFA6ADD" w14:textId="0C6E6DB0"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22</w:t>
            </w:r>
            <w:r w:rsidRPr="00B74B0F">
              <w:rPr>
                <w:rFonts w:eastAsia="MS Mincho"/>
                <w:szCs w:val="22"/>
                <w:lang w:val="sr-Latn-ME" w:eastAsia="hr-HR"/>
              </w:rPr>
              <w:br/>
              <w:t>13,6%</w:t>
            </w:r>
          </w:p>
        </w:tc>
        <w:tc>
          <w:tcPr>
            <w:tcW w:w="1200" w:type="dxa"/>
            <w:tcBorders>
              <w:top w:val="single" w:sz="6" w:space="0" w:color="000000"/>
              <w:left w:val="single" w:sz="6" w:space="0" w:color="000000"/>
              <w:bottom w:val="single" w:sz="6" w:space="0" w:color="000000"/>
              <w:right w:val="single" w:sz="6" w:space="0" w:color="000000"/>
            </w:tcBorders>
            <w:vAlign w:val="center"/>
          </w:tcPr>
          <w:p w14:paraId="20E25231" w14:textId="0372B70F"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17</w:t>
            </w:r>
            <w:r w:rsidRPr="00B74B0F">
              <w:rPr>
                <w:rFonts w:eastAsia="MS Mincho"/>
                <w:szCs w:val="22"/>
                <w:lang w:val="sr-Latn-ME" w:eastAsia="hr-HR"/>
              </w:rPr>
              <w:br/>
              <w:t>76,5%</w:t>
            </w:r>
          </w:p>
        </w:tc>
        <w:tc>
          <w:tcPr>
            <w:tcW w:w="1200" w:type="dxa"/>
            <w:tcBorders>
              <w:top w:val="single" w:sz="6" w:space="0" w:color="000000"/>
              <w:left w:val="single" w:sz="6" w:space="0" w:color="000000"/>
              <w:bottom w:val="single" w:sz="6" w:space="0" w:color="000000"/>
              <w:right w:val="single" w:sz="6" w:space="0" w:color="000000"/>
            </w:tcBorders>
            <w:vAlign w:val="center"/>
          </w:tcPr>
          <w:p w14:paraId="2577D43B" w14:textId="62E55DD0"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20</w:t>
            </w:r>
            <w:r w:rsidRPr="00B74B0F">
              <w:rPr>
                <w:rFonts w:eastAsia="MS Mincho"/>
                <w:szCs w:val="22"/>
                <w:lang w:val="sr-Latn-ME" w:eastAsia="hr-HR"/>
              </w:rPr>
              <w:br/>
              <w:t>73,0%</w:t>
            </w:r>
          </w:p>
        </w:tc>
        <w:tc>
          <w:tcPr>
            <w:tcW w:w="1620" w:type="dxa"/>
            <w:tcBorders>
              <w:top w:val="single" w:sz="6" w:space="0" w:color="000000"/>
              <w:left w:val="single" w:sz="6" w:space="0" w:color="000000"/>
              <w:bottom w:val="single" w:sz="6" w:space="0" w:color="000000"/>
              <w:right w:val="single" w:sz="6" w:space="0" w:color="000000"/>
            </w:tcBorders>
            <w:vAlign w:val="center"/>
          </w:tcPr>
          <w:p w14:paraId="01159848"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62,8%</w:t>
            </w:r>
          </w:p>
        </w:tc>
        <w:tc>
          <w:tcPr>
            <w:tcW w:w="1076" w:type="dxa"/>
            <w:tcBorders>
              <w:top w:val="single" w:sz="6" w:space="0" w:color="000000"/>
              <w:left w:val="single" w:sz="6" w:space="0" w:color="000000"/>
              <w:bottom w:val="single" w:sz="6" w:space="0" w:color="000000"/>
              <w:right w:val="single" w:sz="6" w:space="0" w:color="000000"/>
            </w:tcBorders>
            <w:vAlign w:val="center"/>
          </w:tcPr>
          <w:p w14:paraId="347FA22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59,4%</w:t>
            </w:r>
          </w:p>
        </w:tc>
      </w:tr>
      <w:tr w:rsidR="00BF75A1" w:rsidRPr="00B74B0F" w14:paraId="3CA9B8AD" w14:textId="77777777" w:rsidTr="00200D71">
        <w:tc>
          <w:tcPr>
            <w:tcW w:w="3055" w:type="dxa"/>
            <w:tcBorders>
              <w:top w:val="single" w:sz="6" w:space="0" w:color="000000"/>
              <w:left w:val="single" w:sz="6" w:space="0" w:color="000000"/>
              <w:bottom w:val="single" w:sz="6" w:space="0" w:color="000000"/>
              <w:right w:val="single" w:sz="6" w:space="0" w:color="000000"/>
            </w:tcBorders>
            <w:vAlign w:val="center"/>
          </w:tcPr>
          <w:p w14:paraId="058D4301" w14:textId="77777777" w:rsidR="004E3BE3" w:rsidRPr="00B74B0F" w:rsidRDefault="004E3BE3">
            <w:pPr>
              <w:keepNext/>
              <w:keepLines/>
              <w:tabs>
                <w:tab w:val="clear" w:pos="567"/>
              </w:tabs>
              <w:spacing w:line="240" w:lineRule="auto"/>
              <w:ind w:left="108"/>
              <w:jc w:val="both"/>
              <w:rPr>
                <w:rFonts w:eastAsia="MS Mincho"/>
                <w:szCs w:val="22"/>
                <w:lang w:val="sr-Latn-ME" w:eastAsia="hr-HR"/>
              </w:rPr>
            </w:pPr>
            <w:r w:rsidRPr="00B74B0F">
              <w:rPr>
                <w:rFonts w:eastAsia="MS Mincho"/>
                <w:szCs w:val="22"/>
                <w:lang w:val="sr-Latn-ME" w:eastAsia="hr-HR"/>
              </w:rPr>
              <w:t xml:space="preserve">Bez prethodnog biološkog neuspjeha </w:t>
            </w:r>
          </w:p>
        </w:tc>
        <w:tc>
          <w:tcPr>
            <w:tcW w:w="1200" w:type="dxa"/>
            <w:tcBorders>
              <w:top w:val="single" w:sz="6" w:space="0" w:color="000000"/>
              <w:left w:val="single" w:sz="6" w:space="0" w:color="000000"/>
              <w:bottom w:val="single" w:sz="6" w:space="0" w:color="000000"/>
              <w:right w:val="single" w:sz="6" w:space="0" w:color="000000"/>
            </w:tcBorders>
            <w:vAlign w:val="center"/>
          </w:tcPr>
          <w:p w14:paraId="17501F32" w14:textId="144CEA94"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32</w:t>
            </w:r>
            <w:r w:rsidRPr="00B74B0F">
              <w:rPr>
                <w:rFonts w:eastAsia="MS Mincho"/>
                <w:szCs w:val="22"/>
                <w:lang w:val="sr-Latn-ME" w:eastAsia="hr-HR"/>
              </w:rPr>
              <w:br/>
              <w:t>28,1%</w:t>
            </w:r>
          </w:p>
        </w:tc>
        <w:tc>
          <w:tcPr>
            <w:tcW w:w="1200" w:type="dxa"/>
            <w:tcBorders>
              <w:top w:val="single" w:sz="6" w:space="0" w:color="000000"/>
              <w:left w:val="single" w:sz="6" w:space="0" w:color="000000"/>
              <w:bottom w:val="single" w:sz="6" w:space="0" w:color="000000"/>
              <w:right w:val="single" w:sz="6" w:space="0" w:color="000000"/>
            </w:tcBorders>
            <w:vAlign w:val="center"/>
          </w:tcPr>
          <w:p w14:paraId="77C9883B" w14:textId="65CFE676"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30</w:t>
            </w:r>
            <w:r w:rsidRPr="00B74B0F">
              <w:rPr>
                <w:rFonts w:eastAsia="MS Mincho"/>
                <w:szCs w:val="22"/>
                <w:lang w:val="sr-Latn-ME" w:eastAsia="hr-HR"/>
              </w:rPr>
              <w:br/>
              <w:t>49,4%</w:t>
            </w:r>
          </w:p>
        </w:tc>
        <w:tc>
          <w:tcPr>
            <w:tcW w:w="1200" w:type="dxa"/>
            <w:tcBorders>
              <w:top w:val="single" w:sz="6" w:space="0" w:color="000000"/>
              <w:left w:val="single" w:sz="6" w:space="0" w:color="000000"/>
              <w:bottom w:val="single" w:sz="6" w:space="0" w:color="000000"/>
              <w:right w:val="single" w:sz="6" w:space="0" w:color="000000"/>
            </w:tcBorders>
            <w:vAlign w:val="center"/>
          </w:tcPr>
          <w:p w14:paraId="097C376F" w14:textId="73C92DA2"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38</w:t>
            </w:r>
            <w:r w:rsidRPr="00B74B0F">
              <w:rPr>
                <w:rFonts w:eastAsia="MS Mincho"/>
                <w:szCs w:val="22"/>
                <w:lang w:val="sr-Latn-ME" w:eastAsia="hr-HR"/>
              </w:rPr>
              <w:br/>
              <w:t>68,0%</w:t>
            </w:r>
          </w:p>
        </w:tc>
        <w:tc>
          <w:tcPr>
            <w:tcW w:w="1620" w:type="dxa"/>
            <w:tcBorders>
              <w:top w:val="single" w:sz="6" w:space="0" w:color="000000"/>
              <w:left w:val="single" w:sz="6" w:space="0" w:color="000000"/>
              <w:bottom w:val="single" w:sz="6" w:space="0" w:color="000000"/>
              <w:right w:val="single" w:sz="6" w:space="0" w:color="000000"/>
            </w:tcBorders>
            <w:vAlign w:val="center"/>
          </w:tcPr>
          <w:p w14:paraId="7D67601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21,3%</w:t>
            </w:r>
          </w:p>
        </w:tc>
        <w:tc>
          <w:tcPr>
            <w:tcW w:w="1076" w:type="dxa"/>
            <w:tcBorders>
              <w:top w:val="single" w:sz="6" w:space="0" w:color="000000"/>
              <w:left w:val="single" w:sz="6" w:space="0" w:color="000000"/>
              <w:bottom w:val="single" w:sz="6" w:space="0" w:color="000000"/>
              <w:right w:val="single" w:sz="6" w:space="0" w:color="000000"/>
            </w:tcBorders>
            <w:vAlign w:val="center"/>
          </w:tcPr>
          <w:p w14:paraId="01DDFFC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39,9%</w:t>
            </w:r>
          </w:p>
        </w:tc>
      </w:tr>
      <w:tr w:rsidR="00BF75A1" w:rsidRPr="00B74B0F" w14:paraId="1C058322" w14:textId="77777777" w:rsidTr="00200D71">
        <w:tc>
          <w:tcPr>
            <w:tcW w:w="3055" w:type="dxa"/>
            <w:tcBorders>
              <w:top w:val="single" w:sz="4" w:space="0" w:color="auto"/>
              <w:left w:val="single" w:sz="4" w:space="0" w:color="auto"/>
              <w:bottom w:val="single" w:sz="4" w:space="0" w:color="auto"/>
              <w:right w:val="single" w:sz="4" w:space="0" w:color="auto"/>
            </w:tcBorders>
          </w:tcPr>
          <w:p w14:paraId="561EA0B6" w14:textId="77777777" w:rsidR="004E3BE3" w:rsidRPr="00B74B0F" w:rsidRDefault="004E3BE3">
            <w:pPr>
              <w:keepNext/>
              <w:keepLines/>
              <w:tabs>
                <w:tab w:val="clear" w:pos="567"/>
              </w:tabs>
              <w:spacing w:line="240" w:lineRule="auto"/>
              <w:jc w:val="both"/>
              <w:rPr>
                <w:rFonts w:eastAsia="MS Mincho"/>
                <w:szCs w:val="22"/>
                <w:lang w:val="sr-Latn-ME" w:eastAsia="hr-HR"/>
              </w:rPr>
            </w:pPr>
            <w:r w:rsidRPr="00B74B0F">
              <w:rPr>
                <w:rFonts w:eastAsia="MS Mincho"/>
                <w:b/>
                <w:szCs w:val="22"/>
                <w:lang w:val="sr-Latn-ME" w:eastAsia="hr-HR"/>
              </w:rPr>
              <w:t>Klinička remisija bez kortikosteroida</w:t>
            </w:r>
            <w:r w:rsidRPr="00B74B0F">
              <w:rPr>
                <w:rFonts w:eastAsia="MS Mincho"/>
                <w:b/>
                <w:szCs w:val="22"/>
                <w:vertAlign w:val="superscript"/>
                <w:lang w:val="sr-Latn-ME" w:eastAsia="hr-HR"/>
              </w:rPr>
              <w:t>c</w:t>
            </w:r>
          </w:p>
        </w:tc>
        <w:tc>
          <w:tcPr>
            <w:tcW w:w="1200" w:type="dxa"/>
            <w:tcBorders>
              <w:top w:val="single" w:sz="4" w:space="0" w:color="auto"/>
              <w:left w:val="single" w:sz="4" w:space="0" w:color="auto"/>
              <w:bottom w:val="single" w:sz="4" w:space="0" w:color="auto"/>
              <w:right w:val="single" w:sz="4" w:space="0" w:color="auto"/>
            </w:tcBorders>
          </w:tcPr>
          <w:p w14:paraId="70084B1E"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54</w:t>
            </w:r>
          </w:p>
          <w:p w14:paraId="0936B869"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22,2%</w:t>
            </w:r>
          </w:p>
        </w:tc>
        <w:tc>
          <w:tcPr>
            <w:tcW w:w="1200" w:type="dxa"/>
            <w:tcBorders>
              <w:top w:val="single" w:sz="4" w:space="0" w:color="auto"/>
              <w:left w:val="single" w:sz="4" w:space="0" w:color="auto"/>
              <w:bottom w:val="single" w:sz="4" w:space="0" w:color="auto"/>
              <w:right w:val="single" w:sz="4" w:space="0" w:color="auto"/>
            </w:tcBorders>
          </w:tcPr>
          <w:p w14:paraId="134D4706"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47</w:t>
            </w:r>
          </w:p>
          <w:p w14:paraId="16AA7179"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57,1%</w:t>
            </w:r>
          </w:p>
        </w:tc>
        <w:tc>
          <w:tcPr>
            <w:tcW w:w="1200" w:type="dxa"/>
            <w:tcBorders>
              <w:top w:val="single" w:sz="4" w:space="0" w:color="auto"/>
              <w:left w:val="single" w:sz="4" w:space="0" w:color="auto"/>
              <w:bottom w:val="single" w:sz="4" w:space="0" w:color="auto"/>
              <w:right w:val="single" w:sz="4" w:space="0" w:color="auto"/>
            </w:tcBorders>
          </w:tcPr>
          <w:p w14:paraId="23CFDC9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58</w:t>
            </w:r>
          </w:p>
          <w:p w14:paraId="784E581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68,0%</w:t>
            </w:r>
          </w:p>
        </w:tc>
        <w:tc>
          <w:tcPr>
            <w:tcW w:w="1620" w:type="dxa"/>
            <w:tcBorders>
              <w:top w:val="single" w:sz="4" w:space="0" w:color="auto"/>
              <w:left w:val="single" w:sz="4" w:space="0" w:color="auto"/>
              <w:bottom w:val="single" w:sz="4" w:space="0" w:color="auto"/>
              <w:right w:val="single" w:sz="4" w:space="0" w:color="auto"/>
            </w:tcBorders>
          </w:tcPr>
          <w:p w14:paraId="7096058D"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35,4%*</w:t>
            </w:r>
          </w:p>
          <w:p w14:paraId="465FF00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(18,2; 52,7)</w:t>
            </w:r>
          </w:p>
        </w:tc>
        <w:tc>
          <w:tcPr>
            <w:tcW w:w="1076" w:type="dxa"/>
            <w:tcBorders>
              <w:top w:val="single" w:sz="4" w:space="0" w:color="auto"/>
              <w:left w:val="single" w:sz="4" w:space="0" w:color="auto"/>
              <w:bottom w:val="single" w:sz="4" w:space="0" w:color="auto"/>
              <w:right w:val="single" w:sz="4" w:space="0" w:color="auto"/>
            </w:tcBorders>
          </w:tcPr>
          <w:p w14:paraId="6988157B"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45,1%*</w:t>
            </w:r>
          </w:p>
          <w:p w14:paraId="24AD00D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(28,7; 61,6)</w:t>
            </w:r>
          </w:p>
        </w:tc>
      </w:tr>
      <w:tr w:rsidR="00BF75A1" w:rsidRPr="00B74B0F" w14:paraId="60C8D651" w14:textId="77777777" w:rsidTr="00200D71">
        <w:tc>
          <w:tcPr>
            <w:tcW w:w="3055" w:type="dxa"/>
            <w:tcBorders>
              <w:top w:val="single" w:sz="4" w:space="0" w:color="auto"/>
              <w:left w:val="single" w:sz="4" w:space="0" w:color="auto"/>
              <w:bottom w:val="single" w:sz="4" w:space="0" w:color="auto"/>
              <w:right w:val="single" w:sz="4" w:space="0" w:color="auto"/>
            </w:tcBorders>
          </w:tcPr>
          <w:p w14:paraId="1A847915" w14:textId="77777777" w:rsidR="004E3BE3" w:rsidRPr="00B74B0F" w:rsidRDefault="004E3BE3">
            <w:pPr>
              <w:keepLines/>
              <w:spacing w:line="240" w:lineRule="auto"/>
              <w:ind w:left="108"/>
              <w:jc w:val="both"/>
              <w:rPr>
                <w:szCs w:val="22"/>
                <w:lang w:val="sr-Latn-ME"/>
              </w:rPr>
            </w:pPr>
            <w:r w:rsidRPr="00B74B0F">
              <w:rPr>
                <w:szCs w:val="22"/>
                <w:lang w:val="sr-Latn-ME"/>
              </w:rPr>
              <w:t>Prethodni biološki neuspjeh</w:t>
            </w:r>
          </w:p>
        </w:tc>
        <w:tc>
          <w:tcPr>
            <w:tcW w:w="1200" w:type="dxa"/>
            <w:tcBorders>
              <w:top w:val="single" w:sz="4" w:space="0" w:color="auto"/>
              <w:left w:val="single" w:sz="4" w:space="0" w:color="auto"/>
              <w:bottom w:val="single" w:sz="4" w:space="0" w:color="auto"/>
              <w:right w:val="single" w:sz="4" w:space="0" w:color="auto"/>
            </w:tcBorders>
          </w:tcPr>
          <w:p w14:paraId="6725EA4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22</w:t>
            </w:r>
          </w:p>
          <w:p w14:paraId="349982DB"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13,6%</w:t>
            </w:r>
          </w:p>
        </w:tc>
        <w:tc>
          <w:tcPr>
            <w:tcW w:w="1200" w:type="dxa"/>
            <w:tcBorders>
              <w:top w:val="single" w:sz="4" w:space="0" w:color="auto"/>
              <w:left w:val="single" w:sz="4" w:space="0" w:color="auto"/>
              <w:bottom w:val="single" w:sz="4" w:space="0" w:color="auto"/>
              <w:right w:val="single" w:sz="4" w:space="0" w:color="auto"/>
            </w:tcBorders>
          </w:tcPr>
          <w:p w14:paraId="003DD5F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17</w:t>
            </w:r>
          </w:p>
          <w:p w14:paraId="5F46265E"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70,6%</w:t>
            </w:r>
          </w:p>
        </w:tc>
        <w:tc>
          <w:tcPr>
            <w:tcW w:w="1200" w:type="dxa"/>
            <w:tcBorders>
              <w:top w:val="single" w:sz="4" w:space="0" w:color="auto"/>
              <w:left w:val="single" w:sz="4" w:space="0" w:color="auto"/>
              <w:bottom w:val="single" w:sz="4" w:space="0" w:color="auto"/>
              <w:right w:val="single" w:sz="4" w:space="0" w:color="auto"/>
            </w:tcBorders>
          </w:tcPr>
          <w:p w14:paraId="213AC27D"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20</w:t>
            </w:r>
          </w:p>
          <w:p w14:paraId="6643EB3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73,0%</w:t>
            </w:r>
          </w:p>
        </w:tc>
        <w:tc>
          <w:tcPr>
            <w:tcW w:w="1620" w:type="dxa"/>
            <w:tcBorders>
              <w:top w:val="single" w:sz="4" w:space="0" w:color="auto"/>
              <w:left w:val="single" w:sz="4" w:space="0" w:color="auto"/>
              <w:bottom w:val="single" w:sz="4" w:space="0" w:color="auto"/>
              <w:right w:val="single" w:sz="4" w:space="0" w:color="auto"/>
            </w:tcBorders>
          </w:tcPr>
          <w:p w14:paraId="56A33A20"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57,0%</w:t>
            </w:r>
          </w:p>
        </w:tc>
        <w:tc>
          <w:tcPr>
            <w:tcW w:w="1076" w:type="dxa"/>
            <w:tcBorders>
              <w:top w:val="single" w:sz="4" w:space="0" w:color="auto"/>
              <w:left w:val="single" w:sz="4" w:space="0" w:color="auto"/>
              <w:bottom w:val="single" w:sz="4" w:space="0" w:color="auto"/>
              <w:right w:val="single" w:sz="4" w:space="0" w:color="auto"/>
            </w:tcBorders>
          </w:tcPr>
          <w:p w14:paraId="4EF9D0B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59,4%</w:t>
            </w:r>
          </w:p>
        </w:tc>
      </w:tr>
      <w:tr w:rsidR="00BF75A1" w:rsidRPr="00B74B0F" w14:paraId="02B5C291" w14:textId="77777777" w:rsidTr="00200D71">
        <w:tc>
          <w:tcPr>
            <w:tcW w:w="3055" w:type="dxa"/>
            <w:tcBorders>
              <w:top w:val="single" w:sz="4" w:space="0" w:color="auto"/>
              <w:left w:val="single" w:sz="4" w:space="0" w:color="auto"/>
              <w:bottom w:val="single" w:sz="4" w:space="0" w:color="auto"/>
              <w:right w:val="single" w:sz="4" w:space="0" w:color="auto"/>
            </w:tcBorders>
          </w:tcPr>
          <w:p w14:paraId="13D2D977" w14:textId="77777777" w:rsidR="004E3BE3" w:rsidRPr="00B74B0F" w:rsidRDefault="004E3BE3">
            <w:pPr>
              <w:keepLines/>
              <w:spacing w:line="240" w:lineRule="auto"/>
              <w:ind w:left="108"/>
              <w:jc w:val="both"/>
              <w:rPr>
                <w:szCs w:val="22"/>
                <w:lang w:val="sr-Latn-ME"/>
              </w:rPr>
            </w:pPr>
            <w:r w:rsidRPr="00B74B0F">
              <w:rPr>
                <w:szCs w:val="22"/>
                <w:lang w:val="sr-Latn-ME"/>
              </w:rPr>
              <w:t>Bez prethodnog biološkog neuspjeha</w:t>
            </w:r>
          </w:p>
        </w:tc>
        <w:tc>
          <w:tcPr>
            <w:tcW w:w="1200" w:type="dxa"/>
            <w:tcBorders>
              <w:top w:val="single" w:sz="4" w:space="0" w:color="auto"/>
              <w:left w:val="single" w:sz="4" w:space="0" w:color="auto"/>
              <w:bottom w:val="single" w:sz="4" w:space="0" w:color="auto"/>
              <w:right w:val="single" w:sz="4" w:space="0" w:color="auto"/>
            </w:tcBorders>
          </w:tcPr>
          <w:p w14:paraId="1AED5D42"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32</w:t>
            </w:r>
          </w:p>
          <w:p w14:paraId="1F1F7B3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28,1%</w:t>
            </w:r>
          </w:p>
        </w:tc>
        <w:tc>
          <w:tcPr>
            <w:tcW w:w="1200" w:type="dxa"/>
            <w:tcBorders>
              <w:top w:val="single" w:sz="4" w:space="0" w:color="auto"/>
              <w:left w:val="single" w:sz="4" w:space="0" w:color="auto"/>
              <w:bottom w:val="single" w:sz="4" w:space="0" w:color="auto"/>
              <w:right w:val="single" w:sz="4" w:space="0" w:color="auto"/>
            </w:tcBorders>
          </w:tcPr>
          <w:p w14:paraId="15C645A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30</w:t>
            </w:r>
          </w:p>
          <w:p w14:paraId="726A96EA"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49,4%</w:t>
            </w:r>
          </w:p>
        </w:tc>
        <w:tc>
          <w:tcPr>
            <w:tcW w:w="1200" w:type="dxa"/>
            <w:tcBorders>
              <w:top w:val="single" w:sz="4" w:space="0" w:color="auto"/>
              <w:left w:val="single" w:sz="4" w:space="0" w:color="auto"/>
              <w:bottom w:val="single" w:sz="4" w:space="0" w:color="auto"/>
              <w:right w:val="single" w:sz="4" w:space="0" w:color="auto"/>
            </w:tcBorders>
          </w:tcPr>
          <w:p w14:paraId="7E2C9640"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N = 38</w:t>
            </w:r>
          </w:p>
          <w:p w14:paraId="0F8D1036"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65,4%</w:t>
            </w:r>
          </w:p>
        </w:tc>
        <w:tc>
          <w:tcPr>
            <w:tcW w:w="1620" w:type="dxa"/>
            <w:tcBorders>
              <w:top w:val="single" w:sz="4" w:space="0" w:color="auto"/>
              <w:left w:val="single" w:sz="4" w:space="0" w:color="auto"/>
              <w:bottom w:val="single" w:sz="4" w:space="0" w:color="auto"/>
              <w:right w:val="single" w:sz="4" w:space="0" w:color="auto"/>
            </w:tcBorders>
          </w:tcPr>
          <w:p w14:paraId="31B39DF1"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21,3%</w:t>
            </w:r>
          </w:p>
        </w:tc>
        <w:tc>
          <w:tcPr>
            <w:tcW w:w="1076" w:type="dxa"/>
            <w:tcBorders>
              <w:top w:val="single" w:sz="4" w:space="0" w:color="auto"/>
              <w:left w:val="single" w:sz="4" w:space="0" w:color="auto"/>
              <w:bottom w:val="single" w:sz="4" w:space="0" w:color="auto"/>
              <w:right w:val="single" w:sz="4" w:space="0" w:color="auto"/>
            </w:tcBorders>
          </w:tcPr>
          <w:p w14:paraId="52BEF47A"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37,2%</w:t>
            </w:r>
          </w:p>
        </w:tc>
      </w:tr>
      <w:tr w:rsidR="00BF75A1" w:rsidRPr="00B74B0F" w14:paraId="1603D780"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11F5EAC7" w14:textId="6889A441" w:rsidR="004E3BE3" w:rsidRPr="00B74B0F" w:rsidRDefault="00181042">
            <w:pPr>
              <w:keepNext/>
              <w:keepLines/>
              <w:tabs>
                <w:tab w:val="clear" w:pos="567"/>
              </w:tabs>
              <w:spacing w:line="240" w:lineRule="auto"/>
              <w:jc w:val="both"/>
              <w:rPr>
                <w:rFonts w:eastAsia="MS Mincho"/>
                <w:b/>
                <w:szCs w:val="22"/>
                <w:lang w:val="sr-Latn-ME" w:eastAsia="hr-HR"/>
              </w:rPr>
            </w:pPr>
            <w:r w:rsidRPr="00B74B0F">
              <w:rPr>
                <w:b/>
                <w:szCs w:val="22"/>
                <w:lang w:val="sr-Latn-ME" w:eastAsia="hr-HR"/>
              </w:rPr>
              <w:t>Liječenje</w:t>
            </w:r>
            <w:r w:rsidR="004E3BE3" w:rsidRPr="00B74B0F">
              <w:rPr>
                <w:b/>
                <w:szCs w:val="22"/>
                <w:lang w:val="sr-Latn-ME" w:eastAsia="hr-HR"/>
              </w:rPr>
              <w:t xml:space="preserve"> sluznice</w:t>
            </w:r>
            <w:r w:rsidR="004E3BE3" w:rsidRPr="00B74B0F">
              <w:rPr>
                <w:b/>
                <w:szCs w:val="22"/>
                <w:vertAlign w:val="superscript"/>
                <w:lang w:val="sr-Latn-ME" w:eastAsia="hr-HR"/>
              </w:rPr>
              <w:t>d</w:t>
            </w:r>
          </w:p>
        </w:tc>
        <w:tc>
          <w:tcPr>
            <w:tcW w:w="1200" w:type="dxa"/>
            <w:tcBorders>
              <w:top w:val="single" w:sz="4" w:space="0" w:color="auto"/>
              <w:left w:val="single" w:sz="4" w:space="0" w:color="auto"/>
              <w:bottom w:val="single" w:sz="4" w:space="0" w:color="auto"/>
              <w:right w:val="single" w:sz="4" w:space="0" w:color="auto"/>
            </w:tcBorders>
            <w:hideMark/>
          </w:tcPr>
          <w:p w14:paraId="223C8D51"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14,5%</w:t>
            </w:r>
          </w:p>
        </w:tc>
        <w:tc>
          <w:tcPr>
            <w:tcW w:w="1200" w:type="dxa"/>
            <w:tcBorders>
              <w:top w:val="single" w:sz="4" w:space="0" w:color="auto"/>
              <w:left w:val="single" w:sz="4" w:space="0" w:color="auto"/>
              <w:bottom w:val="single" w:sz="4" w:space="0" w:color="auto"/>
              <w:right w:val="single" w:sz="4" w:space="0" w:color="auto"/>
            </w:tcBorders>
            <w:hideMark/>
          </w:tcPr>
          <w:p w14:paraId="08062FAD"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48,7%</w:t>
            </w:r>
          </w:p>
        </w:tc>
        <w:tc>
          <w:tcPr>
            <w:tcW w:w="1200" w:type="dxa"/>
            <w:tcBorders>
              <w:top w:val="single" w:sz="4" w:space="0" w:color="auto"/>
              <w:left w:val="single" w:sz="4" w:space="0" w:color="auto"/>
              <w:bottom w:val="single" w:sz="4" w:space="0" w:color="auto"/>
              <w:right w:val="single" w:sz="4" w:space="0" w:color="auto"/>
            </w:tcBorders>
            <w:hideMark/>
          </w:tcPr>
          <w:p w14:paraId="705FABC1"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61,6%</w:t>
            </w:r>
          </w:p>
        </w:tc>
        <w:tc>
          <w:tcPr>
            <w:tcW w:w="1620" w:type="dxa"/>
            <w:tcBorders>
              <w:top w:val="single" w:sz="4" w:space="0" w:color="auto"/>
              <w:left w:val="single" w:sz="4" w:space="0" w:color="auto"/>
              <w:bottom w:val="single" w:sz="4" w:space="0" w:color="auto"/>
              <w:right w:val="single" w:sz="4" w:space="0" w:color="auto"/>
            </w:tcBorders>
            <w:hideMark/>
          </w:tcPr>
          <w:p w14:paraId="214CF5E3"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34,4%*</w:t>
            </w:r>
          </w:p>
          <w:p w14:paraId="2081D929"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(25,1; 43,7)</w:t>
            </w:r>
          </w:p>
        </w:tc>
        <w:tc>
          <w:tcPr>
            <w:tcW w:w="1076" w:type="dxa"/>
            <w:tcBorders>
              <w:top w:val="single" w:sz="4" w:space="0" w:color="auto"/>
              <w:left w:val="single" w:sz="4" w:space="0" w:color="auto"/>
              <w:bottom w:val="single" w:sz="4" w:space="0" w:color="auto"/>
              <w:right w:val="single" w:sz="4" w:space="0" w:color="auto"/>
            </w:tcBorders>
            <w:hideMark/>
          </w:tcPr>
          <w:p w14:paraId="3074CF9D"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46,3%*</w:t>
            </w:r>
          </w:p>
          <w:p w14:paraId="0C4D8C16"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(36,7; 55,8)</w:t>
            </w:r>
          </w:p>
        </w:tc>
      </w:tr>
      <w:tr w:rsidR="00BF75A1" w:rsidRPr="00B74B0F" w14:paraId="42BC6953"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2C6F031F" w14:textId="77777777" w:rsidR="004E3BE3" w:rsidRPr="00B74B0F" w:rsidRDefault="004E3BE3">
            <w:pPr>
              <w:keepLines/>
              <w:spacing w:line="240" w:lineRule="auto"/>
              <w:ind w:left="108"/>
              <w:jc w:val="both"/>
              <w:rPr>
                <w:b/>
                <w:szCs w:val="22"/>
                <w:lang w:val="sr-Latn-ME"/>
              </w:rPr>
            </w:pPr>
            <w:r w:rsidRPr="00B74B0F">
              <w:rPr>
                <w:szCs w:val="22"/>
                <w:lang w:val="sr-Latn-ME"/>
              </w:rPr>
              <w:t>Prethodni biološki neuspjeh</w:t>
            </w:r>
            <w:r w:rsidRPr="00B74B0F">
              <w:rPr>
                <w:bCs/>
                <w:iCs/>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39D789E3"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7,8%</w:t>
            </w:r>
          </w:p>
        </w:tc>
        <w:tc>
          <w:tcPr>
            <w:tcW w:w="1200" w:type="dxa"/>
            <w:tcBorders>
              <w:top w:val="single" w:sz="4" w:space="0" w:color="auto"/>
              <w:left w:val="single" w:sz="4" w:space="0" w:color="auto"/>
              <w:bottom w:val="single" w:sz="4" w:space="0" w:color="auto"/>
              <w:right w:val="single" w:sz="4" w:space="0" w:color="auto"/>
            </w:tcBorders>
            <w:hideMark/>
          </w:tcPr>
          <w:p w14:paraId="1CD1AA33"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43,3%</w:t>
            </w:r>
          </w:p>
        </w:tc>
        <w:tc>
          <w:tcPr>
            <w:tcW w:w="1200" w:type="dxa"/>
            <w:tcBorders>
              <w:top w:val="single" w:sz="4" w:space="0" w:color="auto"/>
              <w:left w:val="single" w:sz="4" w:space="0" w:color="auto"/>
              <w:bottom w:val="single" w:sz="4" w:space="0" w:color="auto"/>
              <w:right w:val="single" w:sz="4" w:space="0" w:color="auto"/>
            </w:tcBorders>
            <w:hideMark/>
          </w:tcPr>
          <w:p w14:paraId="327B2D1C"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56,1%</w:t>
            </w:r>
          </w:p>
        </w:tc>
        <w:tc>
          <w:tcPr>
            <w:tcW w:w="1620" w:type="dxa"/>
            <w:tcBorders>
              <w:top w:val="single" w:sz="4" w:space="0" w:color="auto"/>
              <w:left w:val="single" w:sz="4" w:space="0" w:color="auto"/>
              <w:bottom w:val="single" w:sz="4" w:space="0" w:color="auto"/>
              <w:right w:val="single" w:sz="4" w:space="0" w:color="auto"/>
            </w:tcBorders>
            <w:hideMark/>
          </w:tcPr>
          <w:p w14:paraId="3A7E690F"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35,5%</w:t>
            </w:r>
          </w:p>
        </w:tc>
        <w:tc>
          <w:tcPr>
            <w:tcW w:w="1076" w:type="dxa"/>
            <w:tcBorders>
              <w:top w:val="single" w:sz="4" w:space="0" w:color="auto"/>
              <w:left w:val="single" w:sz="4" w:space="0" w:color="auto"/>
              <w:bottom w:val="single" w:sz="4" w:space="0" w:color="auto"/>
              <w:right w:val="single" w:sz="4" w:space="0" w:color="auto"/>
            </w:tcBorders>
            <w:hideMark/>
          </w:tcPr>
          <w:p w14:paraId="1E912EC8"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48,3%</w:t>
            </w:r>
          </w:p>
        </w:tc>
      </w:tr>
      <w:tr w:rsidR="00BF75A1" w:rsidRPr="00B74B0F" w14:paraId="1E8D90E4"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5121779B" w14:textId="77777777" w:rsidR="004E3BE3" w:rsidRPr="00B74B0F" w:rsidRDefault="004E3BE3">
            <w:pPr>
              <w:keepLines/>
              <w:spacing w:line="240" w:lineRule="auto"/>
              <w:ind w:left="108"/>
              <w:jc w:val="both"/>
              <w:rPr>
                <w:b/>
                <w:szCs w:val="22"/>
                <w:lang w:val="sr-Latn-ME"/>
              </w:rPr>
            </w:pPr>
            <w:r w:rsidRPr="00B74B0F">
              <w:rPr>
                <w:szCs w:val="22"/>
                <w:lang w:val="sr-Latn-ME"/>
              </w:rPr>
              <w:t>Bez prethodnog biološkog neuspjeha</w:t>
            </w:r>
            <w:r w:rsidRPr="00B74B0F">
              <w:rPr>
                <w:bCs/>
                <w:iCs/>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0BF6691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22,5%</w:t>
            </w:r>
          </w:p>
        </w:tc>
        <w:tc>
          <w:tcPr>
            <w:tcW w:w="1200" w:type="dxa"/>
            <w:tcBorders>
              <w:top w:val="single" w:sz="4" w:space="0" w:color="auto"/>
              <w:left w:val="single" w:sz="4" w:space="0" w:color="auto"/>
              <w:bottom w:val="single" w:sz="4" w:space="0" w:color="auto"/>
              <w:right w:val="single" w:sz="4" w:space="0" w:color="auto"/>
            </w:tcBorders>
            <w:hideMark/>
          </w:tcPr>
          <w:p w14:paraId="0729C9BC"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53,6%</w:t>
            </w:r>
          </w:p>
        </w:tc>
        <w:tc>
          <w:tcPr>
            <w:tcW w:w="1200" w:type="dxa"/>
            <w:tcBorders>
              <w:top w:val="single" w:sz="4" w:space="0" w:color="auto"/>
              <w:left w:val="single" w:sz="4" w:space="0" w:color="auto"/>
              <w:bottom w:val="single" w:sz="4" w:space="0" w:color="auto"/>
              <w:right w:val="single" w:sz="4" w:space="0" w:color="auto"/>
            </w:tcBorders>
            <w:hideMark/>
          </w:tcPr>
          <w:p w14:paraId="692CDDE1"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66,6%</w:t>
            </w:r>
          </w:p>
        </w:tc>
        <w:tc>
          <w:tcPr>
            <w:tcW w:w="1620" w:type="dxa"/>
            <w:tcBorders>
              <w:top w:val="single" w:sz="4" w:space="0" w:color="auto"/>
              <w:left w:val="single" w:sz="4" w:space="0" w:color="auto"/>
              <w:bottom w:val="single" w:sz="4" w:space="0" w:color="auto"/>
              <w:right w:val="single" w:sz="4" w:space="0" w:color="auto"/>
            </w:tcBorders>
            <w:hideMark/>
          </w:tcPr>
          <w:p w14:paraId="7948DD7F"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31,1%</w:t>
            </w:r>
          </w:p>
        </w:tc>
        <w:tc>
          <w:tcPr>
            <w:tcW w:w="1076" w:type="dxa"/>
            <w:tcBorders>
              <w:top w:val="single" w:sz="4" w:space="0" w:color="auto"/>
              <w:left w:val="single" w:sz="4" w:space="0" w:color="auto"/>
              <w:bottom w:val="single" w:sz="4" w:space="0" w:color="auto"/>
              <w:right w:val="single" w:sz="4" w:space="0" w:color="auto"/>
            </w:tcBorders>
            <w:hideMark/>
          </w:tcPr>
          <w:p w14:paraId="7B664C6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44,1%</w:t>
            </w:r>
          </w:p>
        </w:tc>
      </w:tr>
      <w:tr w:rsidR="00BF75A1" w:rsidRPr="00B74B0F" w14:paraId="39C04C97"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37FC3858" w14:textId="4CFA04CA" w:rsidR="004E3BE3" w:rsidRPr="00B74B0F" w:rsidRDefault="004E3BE3">
            <w:pPr>
              <w:keepNext/>
              <w:keepLines/>
              <w:tabs>
                <w:tab w:val="clear" w:pos="567"/>
              </w:tabs>
              <w:spacing w:line="240" w:lineRule="auto"/>
              <w:jc w:val="both"/>
              <w:rPr>
                <w:b/>
                <w:szCs w:val="22"/>
                <w:lang w:val="sr-Latn-ME" w:eastAsia="hr-HR"/>
              </w:rPr>
            </w:pPr>
            <w:r w:rsidRPr="00B74B0F">
              <w:rPr>
                <w:b/>
                <w:szCs w:val="22"/>
                <w:lang w:val="sr-Latn-ME" w:eastAsia="hr-HR"/>
              </w:rPr>
              <w:t xml:space="preserve">Histološko-endoskopsko </w:t>
            </w:r>
            <w:r w:rsidR="00AE13A0" w:rsidRPr="00B74B0F">
              <w:rPr>
                <w:b/>
                <w:szCs w:val="22"/>
                <w:lang w:val="sr-Latn-ME" w:eastAsia="hr-HR"/>
              </w:rPr>
              <w:t>liječenje</w:t>
            </w:r>
            <w:r w:rsidR="00CF4474" w:rsidRPr="00B74B0F">
              <w:rPr>
                <w:b/>
                <w:szCs w:val="22"/>
                <w:lang w:val="sr-Latn-ME" w:eastAsia="hr-HR"/>
              </w:rPr>
              <w:t xml:space="preserve"> </w:t>
            </w:r>
            <w:r w:rsidRPr="00B74B0F">
              <w:rPr>
                <w:b/>
                <w:szCs w:val="22"/>
                <w:lang w:val="sr-Latn-ME" w:eastAsia="hr-HR"/>
              </w:rPr>
              <w:t>sluznice</w:t>
            </w:r>
            <w:r w:rsidRPr="00B74B0F">
              <w:rPr>
                <w:b/>
                <w:szCs w:val="22"/>
                <w:vertAlign w:val="superscript"/>
                <w:lang w:val="sr-Latn-ME" w:eastAsia="hr-HR"/>
              </w:rPr>
              <w:t>e</w:t>
            </w:r>
            <w:r w:rsidRPr="00B74B0F">
              <w:rPr>
                <w:b/>
                <w:szCs w:val="22"/>
                <w:lang w:val="sr-Latn-ME" w:eastAsia="hr-HR"/>
              </w:rPr>
              <w:t xml:space="preserve"> </w:t>
            </w:r>
          </w:p>
        </w:tc>
        <w:tc>
          <w:tcPr>
            <w:tcW w:w="1200" w:type="dxa"/>
            <w:tcBorders>
              <w:top w:val="single" w:sz="4" w:space="0" w:color="auto"/>
              <w:left w:val="single" w:sz="4" w:space="0" w:color="auto"/>
              <w:bottom w:val="single" w:sz="4" w:space="0" w:color="auto"/>
              <w:right w:val="single" w:sz="4" w:space="0" w:color="auto"/>
            </w:tcBorders>
            <w:hideMark/>
          </w:tcPr>
          <w:p w14:paraId="620A66AD"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11,9%</w:t>
            </w:r>
          </w:p>
        </w:tc>
        <w:tc>
          <w:tcPr>
            <w:tcW w:w="1200" w:type="dxa"/>
            <w:tcBorders>
              <w:top w:val="single" w:sz="4" w:space="0" w:color="auto"/>
              <w:left w:val="single" w:sz="4" w:space="0" w:color="auto"/>
              <w:bottom w:val="single" w:sz="4" w:space="0" w:color="auto"/>
              <w:right w:val="single" w:sz="4" w:space="0" w:color="auto"/>
            </w:tcBorders>
            <w:hideMark/>
          </w:tcPr>
          <w:p w14:paraId="4411EB7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35,0%</w:t>
            </w:r>
          </w:p>
        </w:tc>
        <w:tc>
          <w:tcPr>
            <w:tcW w:w="1200" w:type="dxa"/>
            <w:tcBorders>
              <w:top w:val="single" w:sz="4" w:space="0" w:color="auto"/>
              <w:left w:val="single" w:sz="4" w:space="0" w:color="auto"/>
              <w:bottom w:val="single" w:sz="4" w:space="0" w:color="auto"/>
              <w:right w:val="single" w:sz="4" w:space="0" w:color="auto"/>
            </w:tcBorders>
            <w:hideMark/>
          </w:tcPr>
          <w:p w14:paraId="7E830E4A"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49,8%</w:t>
            </w:r>
          </w:p>
        </w:tc>
        <w:tc>
          <w:tcPr>
            <w:tcW w:w="1620" w:type="dxa"/>
            <w:tcBorders>
              <w:top w:val="single" w:sz="4" w:space="0" w:color="auto"/>
              <w:left w:val="single" w:sz="4" w:space="0" w:color="auto"/>
              <w:bottom w:val="single" w:sz="4" w:space="0" w:color="auto"/>
              <w:right w:val="single" w:sz="4" w:space="0" w:color="auto"/>
            </w:tcBorders>
            <w:hideMark/>
          </w:tcPr>
          <w:p w14:paraId="04C839D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23,8%*</w:t>
            </w:r>
          </w:p>
          <w:p w14:paraId="105F20C2"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(14,8; 32,8)</w:t>
            </w:r>
          </w:p>
        </w:tc>
        <w:tc>
          <w:tcPr>
            <w:tcW w:w="1076" w:type="dxa"/>
            <w:tcBorders>
              <w:top w:val="single" w:sz="4" w:space="0" w:color="auto"/>
              <w:left w:val="single" w:sz="4" w:space="0" w:color="auto"/>
              <w:bottom w:val="single" w:sz="4" w:space="0" w:color="auto"/>
              <w:right w:val="single" w:sz="4" w:space="0" w:color="auto"/>
            </w:tcBorders>
            <w:hideMark/>
          </w:tcPr>
          <w:p w14:paraId="2C78626F"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37,3%*</w:t>
            </w:r>
          </w:p>
          <w:p w14:paraId="2164F96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(27,8; 46,8)</w:t>
            </w:r>
          </w:p>
        </w:tc>
      </w:tr>
      <w:tr w:rsidR="00BF75A1" w:rsidRPr="00B74B0F" w14:paraId="78927278"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21471FD7" w14:textId="77777777" w:rsidR="004E3BE3" w:rsidRPr="00B74B0F" w:rsidRDefault="004E3BE3">
            <w:pPr>
              <w:keepLines/>
              <w:spacing w:line="240" w:lineRule="auto"/>
              <w:ind w:left="108"/>
              <w:jc w:val="both"/>
              <w:rPr>
                <w:b/>
                <w:szCs w:val="22"/>
                <w:lang w:val="sr-Latn-ME"/>
              </w:rPr>
            </w:pPr>
            <w:r w:rsidRPr="00B74B0F">
              <w:rPr>
                <w:szCs w:val="22"/>
                <w:lang w:val="sr-Latn-ME"/>
              </w:rPr>
              <w:t>Prethodni biološki neuspjeh</w:t>
            </w:r>
            <w:r w:rsidRPr="00B74B0F">
              <w:rPr>
                <w:bCs/>
                <w:iCs/>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409D2C8F"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5,2%</w:t>
            </w:r>
          </w:p>
        </w:tc>
        <w:tc>
          <w:tcPr>
            <w:tcW w:w="1200" w:type="dxa"/>
            <w:tcBorders>
              <w:top w:val="single" w:sz="4" w:space="0" w:color="auto"/>
              <w:left w:val="single" w:sz="4" w:space="0" w:color="auto"/>
              <w:bottom w:val="single" w:sz="4" w:space="0" w:color="auto"/>
              <w:right w:val="single" w:sz="4" w:space="0" w:color="auto"/>
            </w:tcBorders>
            <w:hideMark/>
          </w:tcPr>
          <w:p w14:paraId="68C33F4A"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32,9%</w:t>
            </w:r>
          </w:p>
        </w:tc>
        <w:tc>
          <w:tcPr>
            <w:tcW w:w="1200" w:type="dxa"/>
            <w:tcBorders>
              <w:top w:val="single" w:sz="4" w:space="0" w:color="auto"/>
              <w:left w:val="single" w:sz="4" w:space="0" w:color="auto"/>
              <w:bottom w:val="single" w:sz="4" w:space="0" w:color="auto"/>
              <w:right w:val="single" w:sz="4" w:space="0" w:color="auto"/>
            </w:tcBorders>
            <w:hideMark/>
          </w:tcPr>
          <w:p w14:paraId="255FF5D1"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47,6%</w:t>
            </w:r>
          </w:p>
        </w:tc>
        <w:tc>
          <w:tcPr>
            <w:tcW w:w="1620" w:type="dxa"/>
            <w:tcBorders>
              <w:top w:val="single" w:sz="4" w:space="0" w:color="auto"/>
              <w:left w:val="single" w:sz="4" w:space="0" w:color="auto"/>
              <w:bottom w:val="single" w:sz="4" w:space="0" w:color="auto"/>
              <w:right w:val="single" w:sz="4" w:space="0" w:color="auto"/>
            </w:tcBorders>
            <w:hideMark/>
          </w:tcPr>
          <w:p w14:paraId="6D661708"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27,7%</w:t>
            </w:r>
          </w:p>
        </w:tc>
        <w:tc>
          <w:tcPr>
            <w:tcW w:w="1076" w:type="dxa"/>
            <w:tcBorders>
              <w:top w:val="single" w:sz="4" w:space="0" w:color="auto"/>
              <w:left w:val="single" w:sz="4" w:space="0" w:color="auto"/>
              <w:bottom w:val="single" w:sz="4" w:space="0" w:color="auto"/>
              <w:right w:val="single" w:sz="4" w:space="0" w:color="auto"/>
            </w:tcBorders>
            <w:hideMark/>
          </w:tcPr>
          <w:p w14:paraId="008E9262"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42,4%</w:t>
            </w:r>
          </w:p>
        </w:tc>
      </w:tr>
      <w:tr w:rsidR="00BF75A1" w:rsidRPr="00B74B0F" w14:paraId="55892E1A"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253E60A1" w14:textId="77777777" w:rsidR="004E3BE3" w:rsidRPr="00B74B0F" w:rsidRDefault="004E3BE3">
            <w:pPr>
              <w:keepLines/>
              <w:spacing w:line="240" w:lineRule="auto"/>
              <w:ind w:left="108"/>
              <w:jc w:val="both"/>
              <w:rPr>
                <w:b/>
                <w:szCs w:val="22"/>
                <w:lang w:val="sr-Latn-ME"/>
              </w:rPr>
            </w:pPr>
            <w:r w:rsidRPr="00B74B0F">
              <w:rPr>
                <w:szCs w:val="22"/>
                <w:lang w:val="sr-Latn-ME"/>
              </w:rPr>
              <w:t>Bez prethodnog biološkog neuspjeha</w:t>
            </w:r>
            <w:r w:rsidRPr="00B74B0F">
              <w:rPr>
                <w:bCs/>
                <w:iCs/>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650DC93E"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20,0%</w:t>
            </w:r>
          </w:p>
        </w:tc>
        <w:tc>
          <w:tcPr>
            <w:tcW w:w="1200" w:type="dxa"/>
            <w:tcBorders>
              <w:top w:val="single" w:sz="4" w:space="0" w:color="auto"/>
              <w:left w:val="single" w:sz="4" w:space="0" w:color="auto"/>
              <w:bottom w:val="single" w:sz="4" w:space="0" w:color="auto"/>
              <w:right w:val="single" w:sz="4" w:space="0" w:color="auto"/>
            </w:tcBorders>
            <w:hideMark/>
          </w:tcPr>
          <w:p w14:paraId="5CEE37AC"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36,9%</w:t>
            </w:r>
          </w:p>
        </w:tc>
        <w:tc>
          <w:tcPr>
            <w:tcW w:w="1200" w:type="dxa"/>
            <w:tcBorders>
              <w:top w:val="single" w:sz="4" w:space="0" w:color="auto"/>
              <w:left w:val="single" w:sz="4" w:space="0" w:color="auto"/>
              <w:bottom w:val="single" w:sz="4" w:space="0" w:color="auto"/>
              <w:right w:val="single" w:sz="4" w:space="0" w:color="auto"/>
            </w:tcBorders>
            <w:hideMark/>
          </w:tcPr>
          <w:p w14:paraId="39DAADC2"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51,8%</w:t>
            </w:r>
          </w:p>
        </w:tc>
        <w:tc>
          <w:tcPr>
            <w:tcW w:w="1620" w:type="dxa"/>
            <w:tcBorders>
              <w:top w:val="single" w:sz="4" w:space="0" w:color="auto"/>
              <w:left w:val="single" w:sz="4" w:space="0" w:color="auto"/>
              <w:bottom w:val="single" w:sz="4" w:space="0" w:color="auto"/>
              <w:right w:val="single" w:sz="4" w:space="0" w:color="auto"/>
            </w:tcBorders>
            <w:hideMark/>
          </w:tcPr>
          <w:p w14:paraId="1548B103"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16,9%</w:t>
            </w:r>
          </w:p>
        </w:tc>
        <w:tc>
          <w:tcPr>
            <w:tcW w:w="1076" w:type="dxa"/>
            <w:tcBorders>
              <w:top w:val="single" w:sz="4" w:space="0" w:color="auto"/>
              <w:left w:val="single" w:sz="4" w:space="0" w:color="auto"/>
              <w:bottom w:val="single" w:sz="4" w:space="0" w:color="auto"/>
              <w:right w:val="single" w:sz="4" w:space="0" w:color="auto"/>
            </w:tcBorders>
            <w:hideMark/>
          </w:tcPr>
          <w:p w14:paraId="20BB8926"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31,8%</w:t>
            </w:r>
          </w:p>
        </w:tc>
      </w:tr>
      <w:tr w:rsidR="00BF75A1" w:rsidRPr="00B74B0F" w14:paraId="17147615"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0ABA773C" w14:textId="2E968789" w:rsidR="004E3BE3" w:rsidRPr="00B74B0F" w:rsidRDefault="004E3BE3">
            <w:pPr>
              <w:keepNext/>
              <w:keepLines/>
              <w:tabs>
                <w:tab w:val="clear" w:pos="567"/>
              </w:tabs>
              <w:spacing w:line="240" w:lineRule="auto"/>
              <w:jc w:val="both"/>
              <w:rPr>
                <w:b/>
                <w:szCs w:val="22"/>
                <w:lang w:val="sr-Latn-ME" w:eastAsia="hr-HR"/>
              </w:rPr>
            </w:pPr>
            <w:r w:rsidRPr="00B74B0F">
              <w:rPr>
                <w:rFonts w:eastAsia="MS Mincho"/>
                <w:b/>
                <w:szCs w:val="22"/>
                <w:lang w:val="sr-Latn-ME" w:eastAsia="hr-HR"/>
              </w:rPr>
              <w:t xml:space="preserve">Duboko </w:t>
            </w:r>
            <w:r w:rsidR="00AE13A0" w:rsidRPr="00B74B0F">
              <w:rPr>
                <w:rFonts w:eastAsia="MS Mincho"/>
                <w:b/>
                <w:szCs w:val="22"/>
                <w:lang w:val="sr-Latn-ME" w:eastAsia="hr-HR"/>
              </w:rPr>
              <w:t>liječenje</w:t>
            </w:r>
            <w:r w:rsidR="00CF4474" w:rsidRPr="00B74B0F">
              <w:rPr>
                <w:rFonts w:eastAsia="MS Mincho"/>
                <w:b/>
                <w:szCs w:val="22"/>
                <w:lang w:val="sr-Latn-ME" w:eastAsia="hr-HR"/>
              </w:rPr>
              <w:t xml:space="preserve"> </w:t>
            </w:r>
            <w:r w:rsidRPr="00B74B0F">
              <w:rPr>
                <w:rFonts w:eastAsia="MS Mincho"/>
                <w:b/>
                <w:szCs w:val="22"/>
                <w:lang w:val="sr-Latn-ME" w:eastAsia="hr-HR"/>
              </w:rPr>
              <w:t>sluznice</w:t>
            </w:r>
            <w:r w:rsidRPr="00B74B0F">
              <w:rPr>
                <w:rFonts w:eastAsia="MS Mincho"/>
                <w:b/>
                <w:szCs w:val="22"/>
                <w:vertAlign w:val="superscript"/>
                <w:lang w:val="sr-Latn-ME" w:eastAsia="hr-HR"/>
              </w:rPr>
              <w:t>f</w:t>
            </w:r>
          </w:p>
        </w:tc>
        <w:tc>
          <w:tcPr>
            <w:tcW w:w="1200" w:type="dxa"/>
            <w:tcBorders>
              <w:top w:val="single" w:sz="4" w:space="0" w:color="auto"/>
              <w:left w:val="single" w:sz="4" w:space="0" w:color="auto"/>
              <w:bottom w:val="single" w:sz="4" w:space="0" w:color="auto"/>
              <w:right w:val="single" w:sz="4" w:space="0" w:color="auto"/>
            </w:tcBorders>
            <w:hideMark/>
          </w:tcPr>
          <w:p w14:paraId="2E7CFFD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4,7%</w:t>
            </w:r>
          </w:p>
        </w:tc>
        <w:tc>
          <w:tcPr>
            <w:tcW w:w="1200" w:type="dxa"/>
            <w:tcBorders>
              <w:top w:val="single" w:sz="4" w:space="0" w:color="auto"/>
              <w:left w:val="single" w:sz="4" w:space="0" w:color="auto"/>
              <w:bottom w:val="single" w:sz="4" w:space="0" w:color="auto"/>
              <w:right w:val="single" w:sz="4" w:space="0" w:color="auto"/>
            </w:tcBorders>
            <w:hideMark/>
          </w:tcPr>
          <w:p w14:paraId="0C6F495A"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17,6%</w:t>
            </w:r>
          </w:p>
        </w:tc>
        <w:tc>
          <w:tcPr>
            <w:tcW w:w="1200" w:type="dxa"/>
            <w:tcBorders>
              <w:top w:val="single" w:sz="4" w:space="0" w:color="auto"/>
              <w:left w:val="single" w:sz="4" w:space="0" w:color="auto"/>
              <w:bottom w:val="single" w:sz="4" w:space="0" w:color="auto"/>
              <w:right w:val="single" w:sz="4" w:space="0" w:color="auto"/>
            </w:tcBorders>
            <w:hideMark/>
          </w:tcPr>
          <w:p w14:paraId="245DB34D"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19,0%</w:t>
            </w:r>
          </w:p>
        </w:tc>
        <w:tc>
          <w:tcPr>
            <w:tcW w:w="1620" w:type="dxa"/>
            <w:tcBorders>
              <w:top w:val="single" w:sz="4" w:space="0" w:color="auto"/>
              <w:left w:val="single" w:sz="4" w:space="0" w:color="auto"/>
              <w:bottom w:val="single" w:sz="4" w:space="0" w:color="auto"/>
              <w:right w:val="single" w:sz="4" w:space="0" w:color="auto"/>
            </w:tcBorders>
            <w:hideMark/>
          </w:tcPr>
          <w:p w14:paraId="39B44DE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13,0%*</w:t>
            </w:r>
          </w:p>
          <w:p w14:paraId="551CF12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(6,0; 20,0)</w:t>
            </w:r>
          </w:p>
        </w:tc>
        <w:tc>
          <w:tcPr>
            <w:tcW w:w="1076" w:type="dxa"/>
            <w:tcBorders>
              <w:top w:val="single" w:sz="4" w:space="0" w:color="auto"/>
              <w:left w:val="single" w:sz="4" w:space="0" w:color="auto"/>
              <w:bottom w:val="single" w:sz="4" w:space="0" w:color="auto"/>
              <w:right w:val="single" w:sz="4" w:space="0" w:color="auto"/>
            </w:tcBorders>
            <w:hideMark/>
          </w:tcPr>
          <w:p w14:paraId="525C5064"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13,6%*</w:t>
            </w:r>
          </w:p>
          <w:p w14:paraId="3A84E365"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(6,6; 20,6)</w:t>
            </w:r>
          </w:p>
        </w:tc>
      </w:tr>
      <w:tr w:rsidR="00BF75A1" w:rsidRPr="00B74B0F" w14:paraId="12599707"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0702B5AF" w14:textId="77777777" w:rsidR="004E3BE3" w:rsidRPr="00B74B0F" w:rsidRDefault="004E3BE3">
            <w:pPr>
              <w:keepLines/>
              <w:spacing w:line="240" w:lineRule="auto"/>
              <w:ind w:left="108"/>
              <w:jc w:val="both"/>
              <w:rPr>
                <w:b/>
                <w:szCs w:val="22"/>
                <w:lang w:val="sr-Latn-ME"/>
              </w:rPr>
            </w:pPr>
            <w:r w:rsidRPr="00B74B0F">
              <w:rPr>
                <w:szCs w:val="22"/>
                <w:lang w:val="sr-Latn-ME"/>
              </w:rPr>
              <w:t>Prethodni biološki neuspjeh</w:t>
            </w:r>
            <w:r w:rsidRPr="00B74B0F">
              <w:rPr>
                <w:bCs/>
                <w:iCs/>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0E00BAF1"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2,5%</w:t>
            </w:r>
          </w:p>
        </w:tc>
        <w:tc>
          <w:tcPr>
            <w:tcW w:w="1200" w:type="dxa"/>
            <w:tcBorders>
              <w:top w:val="single" w:sz="4" w:space="0" w:color="auto"/>
              <w:left w:val="single" w:sz="4" w:space="0" w:color="auto"/>
              <w:bottom w:val="single" w:sz="4" w:space="0" w:color="auto"/>
              <w:right w:val="single" w:sz="4" w:space="0" w:color="auto"/>
            </w:tcBorders>
            <w:hideMark/>
          </w:tcPr>
          <w:p w14:paraId="4D106426"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17,2%</w:t>
            </w:r>
          </w:p>
        </w:tc>
        <w:tc>
          <w:tcPr>
            <w:tcW w:w="1200" w:type="dxa"/>
            <w:tcBorders>
              <w:top w:val="single" w:sz="4" w:space="0" w:color="auto"/>
              <w:left w:val="single" w:sz="4" w:space="0" w:color="auto"/>
              <w:bottom w:val="single" w:sz="4" w:space="0" w:color="auto"/>
              <w:right w:val="single" w:sz="4" w:space="0" w:color="auto"/>
            </w:tcBorders>
            <w:hideMark/>
          </w:tcPr>
          <w:p w14:paraId="08DEF34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16,1%</w:t>
            </w:r>
          </w:p>
        </w:tc>
        <w:tc>
          <w:tcPr>
            <w:tcW w:w="1620" w:type="dxa"/>
            <w:tcBorders>
              <w:top w:val="single" w:sz="4" w:space="0" w:color="auto"/>
              <w:left w:val="single" w:sz="4" w:space="0" w:color="auto"/>
              <w:bottom w:val="single" w:sz="4" w:space="0" w:color="auto"/>
              <w:right w:val="single" w:sz="4" w:space="0" w:color="auto"/>
            </w:tcBorders>
            <w:hideMark/>
          </w:tcPr>
          <w:p w14:paraId="6C27ACBA"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14,7%</w:t>
            </w:r>
          </w:p>
        </w:tc>
        <w:tc>
          <w:tcPr>
            <w:tcW w:w="1076" w:type="dxa"/>
            <w:tcBorders>
              <w:top w:val="single" w:sz="4" w:space="0" w:color="auto"/>
              <w:left w:val="single" w:sz="4" w:space="0" w:color="auto"/>
              <w:bottom w:val="single" w:sz="4" w:space="0" w:color="auto"/>
              <w:right w:val="single" w:sz="4" w:space="0" w:color="auto"/>
            </w:tcBorders>
            <w:hideMark/>
          </w:tcPr>
          <w:p w14:paraId="491A55C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13,6%</w:t>
            </w:r>
          </w:p>
        </w:tc>
      </w:tr>
      <w:tr w:rsidR="00BF75A1" w:rsidRPr="00B74B0F" w14:paraId="34F128CA" w14:textId="77777777" w:rsidTr="00200D71">
        <w:tc>
          <w:tcPr>
            <w:tcW w:w="3055" w:type="dxa"/>
            <w:tcBorders>
              <w:top w:val="single" w:sz="4" w:space="0" w:color="auto"/>
              <w:left w:val="single" w:sz="4" w:space="0" w:color="auto"/>
              <w:bottom w:val="single" w:sz="4" w:space="0" w:color="auto"/>
              <w:right w:val="single" w:sz="4" w:space="0" w:color="auto"/>
            </w:tcBorders>
            <w:hideMark/>
          </w:tcPr>
          <w:p w14:paraId="120391F5" w14:textId="77777777" w:rsidR="004E3BE3" w:rsidRPr="00B74B0F" w:rsidRDefault="004E3BE3">
            <w:pPr>
              <w:keepLines/>
              <w:spacing w:line="240" w:lineRule="auto"/>
              <w:ind w:left="108"/>
              <w:jc w:val="both"/>
              <w:rPr>
                <w:b/>
                <w:szCs w:val="22"/>
                <w:lang w:val="sr-Latn-ME"/>
              </w:rPr>
            </w:pPr>
            <w:r w:rsidRPr="00B74B0F">
              <w:rPr>
                <w:szCs w:val="22"/>
                <w:lang w:val="sr-Latn-ME"/>
              </w:rPr>
              <w:lastRenderedPageBreak/>
              <w:t>Bez prethodnog biološkog neuspjeha</w:t>
            </w:r>
            <w:r w:rsidRPr="00B74B0F">
              <w:rPr>
                <w:bCs/>
                <w:iCs/>
                <w:szCs w:val="22"/>
                <w:vertAlign w:val="superscript"/>
                <w:lang w:val="sr-Latn-ME"/>
              </w:rPr>
              <w:t>+</w:t>
            </w:r>
          </w:p>
        </w:tc>
        <w:tc>
          <w:tcPr>
            <w:tcW w:w="1200" w:type="dxa"/>
            <w:tcBorders>
              <w:top w:val="single" w:sz="4" w:space="0" w:color="auto"/>
              <w:left w:val="single" w:sz="4" w:space="0" w:color="auto"/>
              <w:bottom w:val="single" w:sz="4" w:space="0" w:color="auto"/>
              <w:right w:val="single" w:sz="4" w:space="0" w:color="auto"/>
            </w:tcBorders>
            <w:hideMark/>
          </w:tcPr>
          <w:p w14:paraId="2E031023"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7,5%</w:t>
            </w:r>
          </w:p>
        </w:tc>
        <w:tc>
          <w:tcPr>
            <w:tcW w:w="1200" w:type="dxa"/>
            <w:tcBorders>
              <w:top w:val="single" w:sz="4" w:space="0" w:color="auto"/>
              <w:left w:val="single" w:sz="4" w:space="0" w:color="auto"/>
              <w:bottom w:val="single" w:sz="4" w:space="0" w:color="auto"/>
              <w:right w:val="single" w:sz="4" w:space="0" w:color="auto"/>
            </w:tcBorders>
            <w:hideMark/>
          </w:tcPr>
          <w:p w14:paraId="468EE807"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18,0%</w:t>
            </w:r>
          </w:p>
        </w:tc>
        <w:tc>
          <w:tcPr>
            <w:tcW w:w="1200" w:type="dxa"/>
            <w:tcBorders>
              <w:top w:val="single" w:sz="4" w:space="0" w:color="auto"/>
              <w:left w:val="single" w:sz="4" w:space="0" w:color="auto"/>
              <w:bottom w:val="single" w:sz="4" w:space="0" w:color="auto"/>
              <w:right w:val="single" w:sz="4" w:space="0" w:color="auto"/>
            </w:tcBorders>
            <w:hideMark/>
          </w:tcPr>
          <w:p w14:paraId="73684229"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21,6%</w:t>
            </w:r>
          </w:p>
        </w:tc>
        <w:tc>
          <w:tcPr>
            <w:tcW w:w="1620" w:type="dxa"/>
            <w:tcBorders>
              <w:top w:val="single" w:sz="4" w:space="0" w:color="auto"/>
              <w:left w:val="single" w:sz="4" w:space="0" w:color="auto"/>
              <w:bottom w:val="single" w:sz="4" w:space="0" w:color="auto"/>
              <w:right w:val="single" w:sz="4" w:space="0" w:color="auto"/>
            </w:tcBorders>
            <w:hideMark/>
          </w:tcPr>
          <w:p w14:paraId="01BF1523"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10,6%</w:t>
            </w:r>
          </w:p>
        </w:tc>
        <w:tc>
          <w:tcPr>
            <w:tcW w:w="1076" w:type="dxa"/>
            <w:tcBorders>
              <w:top w:val="single" w:sz="4" w:space="0" w:color="auto"/>
              <w:left w:val="single" w:sz="4" w:space="0" w:color="auto"/>
              <w:bottom w:val="single" w:sz="4" w:space="0" w:color="auto"/>
              <w:right w:val="single" w:sz="4" w:space="0" w:color="auto"/>
            </w:tcBorders>
            <w:hideMark/>
          </w:tcPr>
          <w:p w14:paraId="1A9A851B" w14:textId="77777777" w:rsidR="004E3BE3" w:rsidRPr="00B74B0F" w:rsidRDefault="004E3BE3" w:rsidP="00A30C3C">
            <w:pPr>
              <w:keepNext/>
              <w:keepLines/>
              <w:tabs>
                <w:tab w:val="clear" w:pos="567"/>
              </w:tabs>
              <w:spacing w:line="240" w:lineRule="auto"/>
              <w:jc w:val="both"/>
              <w:rPr>
                <w:rFonts w:eastAsia="MS Mincho"/>
                <w:szCs w:val="22"/>
                <w:lang w:val="sr-Latn-ME" w:eastAsia="hr-HR"/>
              </w:rPr>
            </w:pPr>
            <w:r w:rsidRPr="00B74B0F">
              <w:rPr>
                <w:rFonts w:eastAsia="MS Mincho"/>
                <w:szCs w:val="22"/>
                <w:lang w:val="sr-Latn-ME" w:eastAsia="hr-HR"/>
              </w:rPr>
              <w:t>14,2%</w:t>
            </w:r>
          </w:p>
        </w:tc>
      </w:tr>
      <w:tr w:rsidR="004E3BE3" w:rsidRPr="00B74B0F" w14:paraId="499DE231" w14:textId="77777777" w:rsidTr="00200D71">
        <w:tc>
          <w:tcPr>
            <w:tcW w:w="9351" w:type="dxa"/>
            <w:gridSpan w:val="6"/>
            <w:tcBorders>
              <w:top w:val="single" w:sz="4" w:space="0" w:color="auto"/>
              <w:left w:val="single" w:sz="4" w:space="0" w:color="auto"/>
              <w:bottom w:val="single" w:sz="4" w:space="0" w:color="auto"/>
              <w:right w:val="single" w:sz="4" w:space="0" w:color="auto"/>
            </w:tcBorders>
          </w:tcPr>
          <w:p w14:paraId="22B69EE8" w14:textId="5FDA578D" w:rsidR="004E3BE3" w:rsidRPr="00B74B0F" w:rsidRDefault="00181042">
            <w:pPr>
              <w:spacing w:line="240" w:lineRule="auto"/>
              <w:jc w:val="both"/>
              <w:rPr>
                <w:rFonts w:eastAsia="MS Mincho"/>
                <w:szCs w:val="22"/>
                <w:lang w:val="sr-Latn-ME"/>
              </w:rPr>
            </w:pPr>
            <w:r w:rsidRPr="00B74B0F">
              <w:rPr>
                <w:szCs w:val="22"/>
                <w:lang w:val="sr-Latn-ME"/>
              </w:rPr>
              <w:t>Skraćenice</w:t>
            </w:r>
            <w:r w:rsidR="004E3BE3" w:rsidRPr="00B74B0F">
              <w:rPr>
                <w:szCs w:val="22"/>
                <w:lang w:val="sr-Latn-ME"/>
              </w:rPr>
              <w:t xml:space="preserve">: PBO = placebo; UPA= upadacitinib; aMS= prilagođeni Mayo rezultat, </w:t>
            </w:r>
            <w:r w:rsidR="00144C74" w:rsidRPr="00B74B0F">
              <w:rPr>
                <w:szCs w:val="22"/>
                <w:lang w:val="sr-Latn-ME"/>
              </w:rPr>
              <w:t>zasnovan</w:t>
            </w:r>
            <w:r w:rsidR="004E3BE3" w:rsidRPr="00B74B0F">
              <w:rPr>
                <w:szCs w:val="22"/>
                <w:lang w:val="sr-Latn-ME"/>
              </w:rPr>
              <w:t xml:space="preserve"> na Mayo </w:t>
            </w:r>
            <w:r w:rsidR="00CF4474" w:rsidRPr="00B74B0F">
              <w:rPr>
                <w:szCs w:val="22"/>
                <w:lang w:val="sr-Latn-ME"/>
              </w:rPr>
              <w:t xml:space="preserve">sistemu </w:t>
            </w:r>
            <w:r w:rsidR="004E3BE3" w:rsidRPr="00B74B0F">
              <w:rPr>
                <w:szCs w:val="22"/>
                <w:lang w:val="sr-Latn-ME"/>
              </w:rPr>
              <w:t>bodovanja (isključujući globalnu procjenu l</w:t>
            </w:r>
            <w:r w:rsidRPr="00B74B0F">
              <w:rPr>
                <w:szCs w:val="22"/>
                <w:lang w:val="sr-Latn-ME"/>
              </w:rPr>
              <w:t>jekara</w:t>
            </w:r>
            <w:r w:rsidR="004E3BE3" w:rsidRPr="00B74B0F">
              <w:rPr>
                <w:szCs w:val="22"/>
                <w:lang w:val="sr-Latn-ME"/>
              </w:rPr>
              <w:t xml:space="preserve">), koji se kretao od 0 do 9 i ima tri podrezultata od kojih je svaki bio ocijenjen od 0 (normalno) do 3 (najteže): podrezultat učestalosti stolice (SFS), podrezultat rektalnog krvarenja (engl. </w:t>
            </w:r>
            <w:r w:rsidR="004E3BE3" w:rsidRPr="00B74B0F">
              <w:rPr>
                <w:i/>
                <w:iCs/>
                <w:szCs w:val="22"/>
                <w:lang w:val="sr-Latn-ME"/>
              </w:rPr>
              <w:t>rectal bleeding subscore</w:t>
            </w:r>
            <w:r w:rsidR="004E3BE3" w:rsidRPr="00B74B0F">
              <w:rPr>
                <w:szCs w:val="22"/>
                <w:lang w:val="sr-Latn-ME"/>
              </w:rPr>
              <w:t xml:space="preserve">, RBS) i centralno pregledan podrezultat endoskopije (engl. </w:t>
            </w:r>
            <w:r w:rsidR="004E3BE3" w:rsidRPr="00B74B0F">
              <w:rPr>
                <w:i/>
                <w:iCs/>
                <w:szCs w:val="22"/>
                <w:lang w:val="sr-Latn-ME"/>
              </w:rPr>
              <w:t>endoscopy subscore</w:t>
            </w:r>
            <w:r w:rsidR="004E3BE3" w:rsidRPr="00B74B0F">
              <w:rPr>
                <w:szCs w:val="22"/>
                <w:lang w:val="sr-Latn-ME"/>
              </w:rPr>
              <w:t>, ES).</w:t>
            </w:r>
          </w:p>
          <w:p w14:paraId="52FAF5BC" w14:textId="1B77DAB9" w:rsidR="004E3BE3" w:rsidRPr="00B74B0F" w:rsidRDefault="004E3BE3">
            <w:pPr>
              <w:keepNext/>
              <w:keepLines/>
              <w:tabs>
                <w:tab w:val="clear" w:pos="567"/>
              </w:tabs>
              <w:spacing w:line="240" w:lineRule="auto"/>
              <w:jc w:val="both"/>
              <w:rPr>
                <w:rFonts w:eastAsia="MS Mincho"/>
                <w:szCs w:val="22"/>
                <w:lang w:val="sr-Latn-ME" w:eastAsia="hr-HR"/>
              </w:rPr>
            </w:pPr>
            <w:r w:rsidRPr="00B74B0F">
              <w:rPr>
                <w:rFonts w:eastAsia="MS Mincho"/>
                <w:szCs w:val="22"/>
                <w:vertAlign w:val="superscript"/>
                <w:lang w:val="sr-Latn-ME" w:eastAsia="hr-HR"/>
              </w:rPr>
              <w:t>+</w:t>
            </w:r>
            <w:r w:rsidRPr="00B74B0F">
              <w:rPr>
                <w:rFonts w:eastAsia="MS Mincho"/>
                <w:szCs w:val="22"/>
                <w:lang w:val="sr-Latn-ME" w:eastAsia="hr-HR"/>
              </w:rPr>
              <w:t xml:space="preserve">Broj </w:t>
            </w:r>
            <w:r w:rsidR="00181042" w:rsidRPr="00B74B0F">
              <w:rPr>
                <w:rFonts w:eastAsia="MS Mincho"/>
                <w:szCs w:val="22"/>
                <w:lang w:val="sr-Latn-ME" w:eastAsia="hr-HR"/>
              </w:rPr>
              <w:t>pacijenata</w:t>
            </w:r>
            <w:r w:rsidRPr="00B74B0F">
              <w:rPr>
                <w:rFonts w:eastAsia="MS Mincho"/>
                <w:szCs w:val="22"/>
                <w:lang w:val="sr-Latn-ME" w:eastAsia="hr-HR"/>
              </w:rPr>
              <w:t xml:space="preserve"> s „prethodnim biološkim neuspjehom“ je 81, 71 i 73 u </w:t>
            </w:r>
            <w:r w:rsidR="00CF4474" w:rsidRPr="00B74B0F">
              <w:rPr>
                <w:rFonts w:eastAsia="MS Mincho"/>
                <w:szCs w:val="22"/>
                <w:lang w:val="sr-Latn-ME" w:eastAsia="hr-HR"/>
              </w:rPr>
              <w:t xml:space="preserve">grupi </w:t>
            </w:r>
            <w:r w:rsidRPr="00B74B0F">
              <w:rPr>
                <w:rFonts w:eastAsia="MS Mincho"/>
                <w:szCs w:val="22"/>
                <w:lang w:val="sr-Latn-ME" w:eastAsia="hr-HR"/>
              </w:rPr>
              <w:t xml:space="preserve">koja je primala placebo, upadacitinib od 15 mg odnosno 30 mg. Broj </w:t>
            </w:r>
            <w:r w:rsidR="00181042" w:rsidRPr="00B74B0F">
              <w:rPr>
                <w:rFonts w:eastAsia="MS Mincho"/>
                <w:szCs w:val="22"/>
                <w:lang w:val="sr-Latn-ME" w:eastAsia="hr-HR"/>
              </w:rPr>
              <w:t>pacijenata</w:t>
            </w:r>
            <w:r w:rsidRPr="00B74B0F">
              <w:rPr>
                <w:rFonts w:eastAsia="MS Mincho"/>
                <w:szCs w:val="22"/>
                <w:lang w:val="sr-Latn-ME" w:eastAsia="hr-HR"/>
              </w:rPr>
              <w:t xml:space="preserve"> „bez prethodnog biološkog neuspjeha“ je 68, 77 i 81 u </w:t>
            </w:r>
            <w:r w:rsidR="00CF4474" w:rsidRPr="00B74B0F">
              <w:rPr>
                <w:rFonts w:eastAsia="MS Mincho"/>
                <w:szCs w:val="22"/>
                <w:lang w:val="sr-Latn-ME" w:eastAsia="hr-HR"/>
              </w:rPr>
              <w:t xml:space="preserve">grupi </w:t>
            </w:r>
            <w:r w:rsidRPr="00B74B0F">
              <w:rPr>
                <w:rFonts w:eastAsia="MS Mincho"/>
                <w:szCs w:val="22"/>
                <w:lang w:val="sr-Latn-ME" w:eastAsia="hr-HR"/>
              </w:rPr>
              <w:t>koja je primala placebo, upadacitinib od 15 mg odnosno 30 mg.</w:t>
            </w:r>
          </w:p>
          <w:p w14:paraId="00B203C5" w14:textId="77777777" w:rsidR="004E3BE3" w:rsidRPr="00B74B0F" w:rsidRDefault="004E3BE3">
            <w:pPr>
              <w:spacing w:line="240" w:lineRule="auto"/>
              <w:jc w:val="both"/>
              <w:rPr>
                <w:rFonts w:eastAsia="MS Mincho"/>
                <w:szCs w:val="22"/>
                <w:lang w:val="sr-Latn-ME"/>
              </w:rPr>
            </w:pPr>
            <w:r w:rsidRPr="00B74B0F">
              <w:rPr>
                <w:rFonts w:eastAsia="MS Mincho"/>
                <w:szCs w:val="22"/>
                <w:lang w:val="sr-Latn-ME"/>
              </w:rPr>
              <w:t>*</w:t>
            </w:r>
            <w:r w:rsidRPr="00B74B0F">
              <w:rPr>
                <w:szCs w:val="22"/>
                <w:lang w:val="sr-Latn-ME"/>
              </w:rPr>
              <w:t xml:space="preserve"> </w:t>
            </w:r>
            <w:r w:rsidRPr="00B74B0F">
              <w:rPr>
                <w:rFonts w:eastAsia="MS Mincho"/>
                <w:szCs w:val="22"/>
                <w:lang w:val="sr-Latn-ME"/>
              </w:rPr>
              <w:t>p &lt;0,001, prilagođena razlika u liječenju (95% CI)</w:t>
            </w:r>
          </w:p>
          <w:p w14:paraId="48474135" w14:textId="77777777" w:rsidR="004E3BE3" w:rsidRPr="00B74B0F" w:rsidRDefault="004E3BE3">
            <w:pPr>
              <w:spacing w:line="240" w:lineRule="auto"/>
              <w:ind w:left="125" w:hanging="125"/>
              <w:jc w:val="both"/>
              <w:rPr>
                <w:szCs w:val="22"/>
                <w:lang w:val="sr-Latn-ME"/>
              </w:rPr>
            </w:pPr>
            <w:r w:rsidRPr="00B74B0F">
              <w:rPr>
                <w:szCs w:val="22"/>
                <w:vertAlign w:val="superscript"/>
                <w:lang w:val="sr-Latn-ME"/>
              </w:rPr>
              <w:t xml:space="preserve">a </w:t>
            </w:r>
            <w:r w:rsidRPr="00B74B0F">
              <w:rPr>
                <w:szCs w:val="22"/>
                <w:lang w:val="sr-Latn-ME"/>
              </w:rPr>
              <w:t>Po aMS-u: SFS≤ 1 i ne veći od početne vrijednosti, RBS = 0, ES ≤ 1 bez lomljivosti</w:t>
            </w:r>
          </w:p>
          <w:p w14:paraId="709D6146" w14:textId="6B064F09" w:rsidR="004E3BE3" w:rsidRPr="00B74B0F" w:rsidRDefault="004E3BE3">
            <w:pPr>
              <w:keepNext/>
              <w:keepLines/>
              <w:tabs>
                <w:tab w:val="clear" w:pos="567"/>
              </w:tabs>
              <w:spacing w:line="240" w:lineRule="auto"/>
              <w:ind w:left="125" w:hanging="125"/>
              <w:jc w:val="both"/>
              <w:rPr>
                <w:rFonts w:eastAsia="MS Mincho"/>
                <w:szCs w:val="22"/>
                <w:lang w:val="sr-Latn-ME" w:eastAsia="hr-HR"/>
              </w:rPr>
            </w:pPr>
            <w:r w:rsidRPr="00B74B0F">
              <w:rPr>
                <w:rFonts w:eastAsia="MS Mincho"/>
                <w:szCs w:val="22"/>
                <w:vertAlign w:val="superscript"/>
                <w:lang w:val="sr-Latn-ME" w:eastAsia="hr-HR"/>
              </w:rPr>
              <w:t xml:space="preserve">b </w:t>
            </w:r>
            <w:r w:rsidRPr="00B74B0F">
              <w:rPr>
                <w:rFonts w:eastAsia="MS Mincho"/>
                <w:szCs w:val="22"/>
                <w:lang w:val="sr-Latn-ME" w:eastAsia="hr-HR"/>
              </w:rPr>
              <w:t>Klinička remisija po aMS-u u 52. </w:t>
            </w:r>
            <w:r w:rsidR="00181042" w:rsidRPr="00B74B0F">
              <w:rPr>
                <w:rFonts w:eastAsia="MS Mincho"/>
                <w:szCs w:val="22"/>
                <w:lang w:val="sr-Latn-ME" w:eastAsia="hr-HR"/>
              </w:rPr>
              <w:t>ned</w:t>
            </w:r>
            <w:r w:rsidR="00CF4474" w:rsidRPr="00B74B0F">
              <w:rPr>
                <w:rFonts w:eastAsia="MS Mincho"/>
                <w:szCs w:val="22"/>
                <w:lang w:val="sr-Latn-ME" w:eastAsia="hr-HR"/>
              </w:rPr>
              <w:t>j</w:t>
            </w:r>
            <w:r w:rsidR="00181042" w:rsidRPr="00B74B0F">
              <w:rPr>
                <w:rFonts w:eastAsia="MS Mincho"/>
                <w:szCs w:val="22"/>
                <w:lang w:val="sr-Latn-ME" w:eastAsia="hr-HR"/>
              </w:rPr>
              <w:t>elji</w:t>
            </w:r>
            <w:r w:rsidRPr="00B74B0F">
              <w:rPr>
                <w:rFonts w:eastAsia="MS Mincho"/>
                <w:szCs w:val="22"/>
                <w:lang w:val="sr-Latn-ME" w:eastAsia="hr-HR"/>
              </w:rPr>
              <w:t xml:space="preserve"> među </w:t>
            </w:r>
            <w:r w:rsidR="00181042" w:rsidRPr="00B74B0F">
              <w:rPr>
                <w:rFonts w:eastAsia="MS Mincho"/>
                <w:szCs w:val="22"/>
                <w:lang w:val="sr-Latn-ME" w:eastAsia="hr-HR"/>
              </w:rPr>
              <w:t>pacijenti</w:t>
            </w:r>
            <w:r w:rsidRPr="00B74B0F">
              <w:rPr>
                <w:rFonts w:eastAsia="MS Mincho"/>
                <w:szCs w:val="22"/>
                <w:lang w:val="sr-Latn-ME" w:eastAsia="hr-HR"/>
              </w:rPr>
              <w:t>ma koji su postigli kliničku remisiju na kraju indukcijskog liječenja.</w:t>
            </w:r>
          </w:p>
          <w:p w14:paraId="60A9A99F" w14:textId="54FC2A66" w:rsidR="004E3BE3" w:rsidRPr="00B74B0F" w:rsidRDefault="004E3BE3">
            <w:pPr>
              <w:keepNext/>
              <w:keepLines/>
              <w:tabs>
                <w:tab w:val="clear" w:pos="567"/>
              </w:tabs>
              <w:spacing w:line="240" w:lineRule="auto"/>
              <w:ind w:left="125" w:hanging="125"/>
              <w:jc w:val="both"/>
              <w:rPr>
                <w:rFonts w:eastAsia="MS Mincho"/>
                <w:szCs w:val="22"/>
                <w:lang w:val="sr-Latn-ME" w:eastAsia="hr-HR"/>
              </w:rPr>
            </w:pPr>
            <w:r w:rsidRPr="00B74B0F">
              <w:rPr>
                <w:rFonts w:eastAsia="MS Mincho"/>
                <w:szCs w:val="22"/>
                <w:vertAlign w:val="superscript"/>
                <w:lang w:val="sr-Latn-ME" w:eastAsia="hr-HR"/>
              </w:rPr>
              <w:t xml:space="preserve">c </w:t>
            </w:r>
            <w:r w:rsidRPr="00B74B0F">
              <w:rPr>
                <w:rFonts w:eastAsia="MS Mincho"/>
                <w:szCs w:val="22"/>
                <w:lang w:val="sr-Latn-ME" w:eastAsia="hr-HR"/>
              </w:rPr>
              <w:t>Klinička remisija po aMS-u u 52. </w:t>
            </w:r>
            <w:r w:rsidR="00181042" w:rsidRPr="00B74B0F">
              <w:rPr>
                <w:rFonts w:eastAsia="MS Mincho"/>
                <w:szCs w:val="22"/>
                <w:lang w:val="sr-Latn-ME" w:eastAsia="hr-HR"/>
              </w:rPr>
              <w:t>ned</w:t>
            </w:r>
            <w:r w:rsidR="00CF4474" w:rsidRPr="00B74B0F">
              <w:rPr>
                <w:rFonts w:eastAsia="MS Mincho"/>
                <w:szCs w:val="22"/>
                <w:lang w:val="sr-Latn-ME" w:eastAsia="hr-HR"/>
              </w:rPr>
              <w:t>j</w:t>
            </w:r>
            <w:r w:rsidR="00181042" w:rsidRPr="00B74B0F">
              <w:rPr>
                <w:rFonts w:eastAsia="MS Mincho"/>
                <w:szCs w:val="22"/>
                <w:lang w:val="sr-Latn-ME" w:eastAsia="hr-HR"/>
              </w:rPr>
              <w:t>elji</w:t>
            </w:r>
            <w:r w:rsidRPr="00B74B0F">
              <w:rPr>
                <w:rFonts w:eastAsia="MS Mincho"/>
                <w:szCs w:val="22"/>
                <w:lang w:val="sr-Latn-ME" w:eastAsia="hr-HR"/>
              </w:rPr>
              <w:t xml:space="preserve"> i bez kortikosteroida ≥ 90 dana neposredno prije 52. </w:t>
            </w:r>
            <w:r w:rsidR="00181042" w:rsidRPr="00B74B0F">
              <w:rPr>
                <w:rFonts w:eastAsia="MS Mincho"/>
                <w:szCs w:val="22"/>
                <w:lang w:val="sr-Latn-ME" w:eastAsia="hr-HR"/>
              </w:rPr>
              <w:t>ned</w:t>
            </w:r>
            <w:r w:rsidR="00CF4474" w:rsidRPr="00B74B0F">
              <w:rPr>
                <w:rFonts w:eastAsia="MS Mincho"/>
                <w:szCs w:val="22"/>
                <w:lang w:val="sr-Latn-ME" w:eastAsia="hr-HR"/>
              </w:rPr>
              <w:t>j</w:t>
            </w:r>
            <w:r w:rsidR="00181042" w:rsidRPr="00B74B0F">
              <w:rPr>
                <w:rFonts w:eastAsia="MS Mincho"/>
                <w:szCs w:val="22"/>
                <w:lang w:val="sr-Latn-ME" w:eastAsia="hr-HR"/>
              </w:rPr>
              <w:t>elje</w:t>
            </w:r>
            <w:r w:rsidRPr="00B74B0F">
              <w:rPr>
                <w:rFonts w:eastAsia="MS Mincho"/>
                <w:szCs w:val="22"/>
                <w:lang w:val="sr-Latn-ME" w:eastAsia="hr-HR"/>
              </w:rPr>
              <w:t xml:space="preserve"> među </w:t>
            </w:r>
            <w:r w:rsidR="00181042" w:rsidRPr="00B74B0F">
              <w:rPr>
                <w:rFonts w:eastAsia="MS Mincho"/>
                <w:szCs w:val="22"/>
                <w:lang w:val="sr-Latn-ME" w:eastAsia="hr-HR"/>
              </w:rPr>
              <w:t>pacijenti</w:t>
            </w:r>
            <w:r w:rsidRPr="00B74B0F">
              <w:rPr>
                <w:rFonts w:eastAsia="MS Mincho"/>
                <w:szCs w:val="22"/>
                <w:lang w:val="sr-Latn-ME" w:eastAsia="hr-HR"/>
              </w:rPr>
              <w:t>ma koji su postigli kliničku remisiju na kraju indukcijskog liječenja.</w:t>
            </w:r>
          </w:p>
          <w:p w14:paraId="67DD27E1" w14:textId="77777777" w:rsidR="004E3BE3" w:rsidRPr="00B74B0F" w:rsidRDefault="004E3BE3">
            <w:pPr>
              <w:keepNext/>
              <w:keepLines/>
              <w:tabs>
                <w:tab w:val="clear" w:pos="567"/>
              </w:tabs>
              <w:spacing w:line="240" w:lineRule="auto"/>
              <w:ind w:left="125" w:hanging="125"/>
              <w:jc w:val="both"/>
              <w:rPr>
                <w:rFonts w:eastAsia="MS Mincho"/>
                <w:szCs w:val="22"/>
                <w:lang w:val="sr-Latn-ME" w:eastAsia="hr-HR"/>
              </w:rPr>
            </w:pPr>
            <w:r w:rsidRPr="00B74B0F">
              <w:rPr>
                <w:rFonts w:eastAsia="MS Mincho"/>
                <w:szCs w:val="22"/>
                <w:vertAlign w:val="superscript"/>
                <w:lang w:val="sr-Latn-ME" w:eastAsia="hr-HR"/>
              </w:rPr>
              <w:t xml:space="preserve">d </w:t>
            </w:r>
            <w:r w:rsidRPr="00B74B0F">
              <w:rPr>
                <w:rFonts w:eastAsia="MS Mincho"/>
                <w:szCs w:val="22"/>
                <w:lang w:val="sr-Latn-ME" w:eastAsia="hr-HR"/>
              </w:rPr>
              <w:t>ES ≤ 1 bez lomljivosti</w:t>
            </w:r>
          </w:p>
          <w:p w14:paraId="2A4FCAE4" w14:textId="77777777" w:rsidR="004E3BE3" w:rsidRPr="00B74B0F" w:rsidRDefault="004E3BE3">
            <w:pPr>
              <w:keepNext/>
              <w:keepLines/>
              <w:tabs>
                <w:tab w:val="clear" w:pos="567"/>
              </w:tabs>
              <w:spacing w:line="240" w:lineRule="auto"/>
              <w:ind w:left="125" w:hanging="125"/>
              <w:jc w:val="both"/>
              <w:rPr>
                <w:rFonts w:eastAsia="MS Mincho"/>
                <w:szCs w:val="22"/>
                <w:lang w:val="sr-Latn-ME" w:eastAsia="hr-HR"/>
              </w:rPr>
            </w:pPr>
            <w:r w:rsidRPr="00B74B0F">
              <w:rPr>
                <w:rFonts w:eastAsia="MS Mincho"/>
                <w:szCs w:val="22"/>
                <w:vertAlign w:val="superscript"/>
                <w:lang w:val="sr-Latn-ME" w:eastAsia="hr-HR"/>
              </w:rPr>
              <w:t>e</w:t>
            </w:r>
            <w:r w:rsidRPr="00B74B0F">
              <w:rPr>
                <w:rFonts w:eastAsia="MS Mincho"/>
                <w:szCs w:val="22"/>
                <w:lang w:val="sr-Latn-ME" w:eastAsia="hr-HR"/>
              </w:rPr>
              <w:t xml:space="preserve"> ES ≤ 1 bez lomljivosti i rezultat Geboes ≤ 3,1 (što ukazuje na infiltraciju neutrofila u &lt; 5% kripti, bez destrukcije kripti i bez erozija, ulceracija ili granulacijskog tkiva.)</w:t>
            </w:r>
          </w:p>
          <w:p w14:paraId="522752BC" w14:textId="77777777" w:rsidR="004E3BE3" w:rsidRPr="00B74B0F" w:rsidRDefault="004E3BE3">
            <w:pPr>
              <w:keepNext/>
              <w:keepLines/>
              <w:tabs>
                <w:tab w:val="clear" w:pos="567"/>
              </w:tabs>
              <w:spacing w:line="240" w:lineRule="auto"/>
              <w:ind w:left="125" w:hanging="125"/>
              <w:jc w:val="both"/>
              <w:rPr>
                <w:rFonts w:eastAsia="MS Mincho"/>
                <w:szCs w:val="22"/>
                <w:lang w:val="sr-Latn-ME" w:eastAsia="hr-HR"/>
              </w:rPr>
            </w:pPr>
            <w:r w:rsidRPr="00B74B0F">
              <w:rPr>
                <w:rFonts w:eastAsia="MS Mincho"/>
                <w:szCs w:val="22"/>
                <w:vertAlign w:val="superscript"/>
                <w:lang w:val="sr-Latn-ME" w:eastAsia="hr-HR"/>
              </w:rPr>
              <w:t>f </w:t>
            </w:r>
            <w:r w:rsidRPr="00B74B0F">
              <w:rPr>
                <w:rFonts w:eastAsia="Arial"/>
                <w:szCs w:val="22"/>
                <w:lang w:val="sr-Latn-ME" w:eastAsia="hr-HR"/>
              </w:rPr>
              <w:t>ES = 0, rezultat Geboes &lt; 2 (što ukazuje da nema neutrofila u kriptama ili lamini propriji i nema povećanja eozinofila, nema destrukcije kripti i nema erozija, ulceracija ili granulacijskog tkiva</w:t>
            </w:r>
            <w:r w:rsidRPr="00B74B0F">
              <w:rPr>
                <w:rFonts w:eastAsia="Arial"/>
                <w:iCs/>
                <w:szCs w:val="22"/>
                <w:lang w:val="sr-Latn-ME" w:eastAsia="hr-HR"/>
              </w:rPr>
              <w:t xml:space="preserve">). </w:t>
            </w:r>
          </w:p>
        </w:tc>
      </w:tr>
    </w:tbl>
    <w:p w14:paraId="48FB6138" w14:textId="77777777" w:rsidR="004E3BE3" w:rsidRPr="00B74B0F" w:rsidRDefault="004E3BE3">
      <w:pPr>
        <w:spacing w:line="240" w:lineRule="auto"/>
        <w:jc w:val="both"/>
        <w:rPr>
          <w:szCs w:val="22"/>
          <w:lang w:val="sr-Latn-ME"/>
        </w:rPr>
      </w:pPr>
    </w:p>
    <w:p w14:paraId="6ECD7F00" w14:textId="63AF32DD" w:rsidR="004E3BE3" w:rsidRPr="00B74B0F" w:rsidRDefault="004E3BE3">
      <w:pPr>
        <w:keepNext/>
        <w:spacing w:line="240" w:lineRule="auto"/>
        <w:jc w:val="both"/>
        <w:rPr>
          <w:i/>
          <w:szCs w:val="22"/>
          <w:lang w:val="sr-Latn-ME"/>
        </w:rPr>
      </w:pPr>
      <w:r w:rsidRPr="00B74B0F">
        <w:rPr>
          <w:i/>
          <w:szCs w:val="22"/>
          <w:lang w:val="sr-Latn-ME"/>
        </w:rPr>
        <w:t>Simptomi bolesti</w:t>
      </w:r>
    </w:p>
    <w:p w14:paraId="533F40C5" w14:textId="77777777" w:rsidR="00144C74" w:rsidRPr="00B74B0F" w:rsidRDefault="00144C74">
      <w:pPr>
        <w:keepNext/>
        <w:spacing w:line="240" w:lineRule="auto"/>
        <w:jc w:val="both"/>
        <w:rPr>
          <w:i/>
          <w:szCs w:val="22"/>
          <w:lang w:val="sr-Latn-ME"/>
        </w:rPr>
      </w:pPr>
    </w:p>
    <w:p w14:paraId="5C8E2526" w14:textId="639CC414" w:rsidR="004E3BE3" w:rsidRPr="00B74B0F" w:rsidRDefault="004E3BE3">
      <w:pPr>
        <w:spacing w:line="240" w:lineRule="auto"/>
        <w:jc w:val="both"/>
        <w:rPr>
          <w:szCs w:val="22"/>
          <w:lang w:val="sr-Latn-ME"/>
        </w:rPr>
      </w:pPr>
      <w:r w:rsidRPr="00B74B0F">
        <w:rPr>
          <w:szCs w:val="22"/>
          <w:lang w:val="sr-Latn-ME"/>
        </w:rPr>
        <w:t xml:space="preserve">Simptomatska remisija po paMS-u, </w:t>
      </w:r>
      <w:r w:rsidR="00181042" w:rsidRPr="00B74B0F">
        <w:rPr>
          <w:szCs w:val="22"/>
          <w:lang w:val="sr-Latn-ME"/>
        </w:rPr>
        <w:t>defin</w:t>
      </w:r>
      <w:r w:rsidR="00CF4474" w:rsidRPr="00B74B0F">
        <w:rPr>
          <w:szCs w:val="22"/>
          <w:lang w:val="sr-Latn-ME"/>
        </w:rPr>
        <w:t>isana</w:t>
      </w:r>
      <w:r w:rsidRPr="00B74B0F">
        <w:rPr>
          <w:szCs w:val="22"/>
          <w:lang w:val="sr-Latn-ME"/>
        </w:rPr>
        <w:t xml:space="preserve"> kao SFS ≤ 1 i RBS = 0, postignuta je </w:t>
      </w:r>
      <w:r w:rsidR="00181042" w:rsidRPr="00B74B0F">
        <w:rPr>
          <w:szCs w:val="22"/>
          <w:lang w:val="sr-Latn-ME"/>
        </w:rPr>
        <w:t>tokom</w:t>
      </w:r>
      <w:r w:rsidRPr="00B74B0F">
        <w:rPr>
          <w:szCs w:val="22"/>
          <w:lang w:val="sr-Latn-ME"/>
        </w:rPr>
        <w:t xml:space="preserve"> vremena do 52. </w:t>
      </w:r>
      <w:r w:rsidR="00916178" w:rsidRPr="00B74B0F">
        <w:rPr>
          <w:szCs w:val="22"/>
          <w:lang w:val="sr-Latn-ME"/>
        </w:rPr>
        <w:t>nedjelje kod</w:t>
      </w:r>
      <w:r w:rsidRPr="00B74B0F">
        <w:rPr>
          <w:szCs w:val="22"/>
          <w:lang w:val="sr-Latn-ME"/>
        </w:rPr>
        <w:t xml:space="preserve"> više </w:t>
      </w:r>
      <w:r w:rsidR="00181042" w:rsidRPr="00B74B0F">
        <w:rPr>
          <w:szCs w:val="22"/>
          <w:lang w:val="sr-Latn-ME"/>
        </w:rPr>
        <w:t>pacijenata</w:t>
      </w:r>
      <w:r w:rsidRPr="00B74B0F">
        <w:rPr>
          <w:szCs w:val="22"/>
          <w:lang w:val="sr-Latn-ME"/>
        </w:rPr>
        <w:t xml:space="preserve"> liječenih kako </w:t>
      </w:r>
      <w:r w:rsidRPr="00B74B0F">
        <w:rPr>
          <w:rFonts w:eastAsia="Arial"/>
          <w:szCs w:val="22"/>
          <w:lang w:val="sr-Latn-ME"/>
        </w:rPr>
        <w:t>upadacitinibom od</w:t>
      </w:r>
      <w:r w:rsidRPr="00B74B0F">
        <w:rPr>
          <w:szCs w:val="22"/>
          <w:lang w:val="sr-Latn-ME"/>
        </w:rPr>
        <w:t xml:space="preserve"> 15 mg tako i </w:t>
      </w:r>
      <w:r w:rsidR="00144C74" w:rsidRPr="00B74B0F">
        <w:rPr>
          <w:szCs w:val="22"/>
          <w:lang w:val="sr-Latn-ME"/>
        </w:rPr>
        <w:t>upadacitinibom</w:t>
      </w:r>
      <w:r w:rsidRPr="00B74B0F">
        <w:rPr>
          <w:szCs w:val="22"/>
          <w:lang w:val="sr-Latn-ME"/>
        </w:rPr>
        <w:t xml:space="preserve"> 30 mg jedanput na dan u </w:t>
      </w:r>
      <w:r w:rsidR="00181042" w:rsidRPr="00B74B0F">
        <w:rPr>
          <w:szCs w:val="22"/>
          <w:lang w:val="sr-Latn-ME"/>
        </w:rPr>
        <w:t>poređenju</w:t>
      </w:r>
      <w:r w:rsidRPr="00B74B0F">
        <w:rPr>
          <w:szCs w:val="22"/>
          <w:lang w:val="sr-Latn-ME"/>
        </w:rPr>
        <w:t xml:space="preserve"> s</w:t>
      </w:r>
      <w:r w:rsidR="00144C74" w:rsidRPr="00B74B0F">
        <w:rPr>
          <w:szCs w:val="22"/>
          <w:lang w:val="sr-Latn-ME"/>
        </w:rPr>
        <w:t>a</w:t>
      </w:r>
      <w:r w:rsidRPr="00B74B0F">
        <w:rPr>
          <w:szCs w:val="22"/>
          <w:lang w:val="sr-Latn-ME"/>
        </w:rPr>
        <w:t xml:space="preserve"> placebom (Slika 2).</w:t>
      </w:r>
    </w:p>
    <w:p w14:paraId="54341046" w14:textId="77777777" w:rsidR="004E3BE3" w:rsidRPr="00B74B0F" w:rsidRDefault="004E3BE3">
      <w:pPr>
        <w:spacing w:line="240" w:lineRule="auto"/>
        <w:jc w:val="both"/>
        <w:rPr>
          <w:bCs/>
          <w:szCs w:val="22"/>
          <w:lang w:val="sr-Latn-ME"/>
        </w:rPr>
      </w:pPr>
    </w:p>
    <w:p w14:paraId="6C6135BA" w14:textId="1FCF1F6E" w:rsidR="004E3BE3" w:rsidRPr="00B74B0F" w:rsidRDefault="004E3BE3">
      <w:pPr>
        <w:spacing w:line="240" w:lineRule="auto"/>
        <w:jc w:val="both"/>
        <w:rPr>
          <w:b/>
          <w:bCs/>
          <w:szCs w:val="22"/>
          <w:lang w:val="sr-Latn-ME"/>
        </w:rPr>
      </w:pPr>
      <w:r w:rsidRPr="00B74B0F">
        <w:rPr>
          <w:b/>
          <w:bCs/>
          <w:szCs w:val="22"/>
          <w:lang w:val="sr-Latn-ME"/>
        </w:rPr>
        <w:t xml:space="preserve">Slika 2 Udio </w:t>
      </w:r>
      <w:r w:rsidR="00181042" w:rsidRPr="00B74B0F">
        <w:rPr>
          <w:b/>
          <w:bCs/>
          <w:szCs w:val="22"/>
          <w:lang w:val="sr-Latn-ME"/>
        </w:rPr>
        <w:t>pacijenata</w:t>
      </w:r>
      <w:r w:rsidRPr="00B74B0F">
        <w:rPr>
          <w:b/>
          <w:bCs/>
          <w:szCs w:val="22"/>
          <w:lang w:val="sr-Latn-ME"/>
        </w:rPr>
        <w:t xml:space="preserve"> sa simptomatskom remisijom po djel</w:t>
      </w:r>
      <w:r w:rsidR="00181042" w:rsidRPr="00B74B0F">
        <w:rPr>
          <w:b/>
          <w:bCs/>
          <w:szCs w:val="22"/>
          <w:lang w:val="sr-Latn-ME"/>
        </w:rPr>
        <w:t>imično</w:t>
      </w:r>
      <w:r w:rsidRPr="00B74B0F">
        <w:rPr>
          <w:b/>
          <w:bCs/>
          <w:szCs w:val="22"/>
          <w:lang w:val="sr-Latn-ME"/>
        </w:rPr>
        <w:t xml:space="preserve"> prilagođenom rezultatu Mayo </w:t>
      </w:r>
      <w:r w:rsidR="00181042" w:rsidRPr="00B74B0F">
        <w:rPr>
          <w:b/>
          <w:bCs/>
          <w:szCs w:val="22"/>
          <w:lang w:val="sr-Latn-ME"/>
        </w:rPr>
        <w:t>tokom</w:t>
      </w:r>
      <w:r w:rsidRPr="00B74B0F">
        <w:rPr>
          <w:b/>
          <w:bCs/>
          <w:szCs w:val="22"/>
          <w:lang w:val="sr-Latn-ME"/>
        </w:rPr>
        <w:t xml:space="preserve"> vremena u ispitivanju održavanja UC-3</w:t>
      </w:r>
    </w:p>
    <w:p w14:paraId="68571AC7" w14:textId="77777777" w:rsidR="004E3BE3" w:rsidRPr="00B74B0F" w:rsidRDefault="004E3BE3">
      <w:pPr>
        <w:spacing w:line="240" w:lineRule="auto"/>
        <w:jc w:val="both"/>
        <w:rPr>
          <w:szCs w:val="22"/>
          <w:lang w:val="sr-Latn-ME"/>
        </w:rPr>
      </w:pPr>
    </w:p>
    <w:p w14:paraId="70AB2805" w14:textId="77777777" w:rsidR="004E3BE3" w:rsidRPr="00B74B0F" w:rsidRDefault="004E3BE3">
      <w:pPr>
        <w:spacing w:line="240" w:lineRule="auto"/>
        <w:jc w:val="both"/>
        <w:rPr>
          <w:szCs w:val="22"/>
          <w:lang w:val="sr-Latn-ME"/>
        </w:rPr>
      </w:pPr>
      <w:r w:rsidRPr="00B74B0F">
        <w:rPr>
          <w:b/>
          <w:bCs/>
          <w:noProof/>
          <w:szCs w:val="22"/>
          <w:lang w:val="en-US"/>
        </w:rPr>
        <mc:AlternateContent>
          <mc:Choice Requires="wpg">
            <w:drawing>
              <wp:inline distT="0" distB="0" distL="0" distR="0" wp14:anchorId="089A8A5C" wp14:editId="62DD0728">
                <wp:extent cx="6394450" cy="2393315"/>
                <wp:effectExtent l="0" t="0" r="6350" b="6985"/>
                <wp:docPr id="2" name="Group 2"/>
                <wp:cNvGraphicFramePr/>
                <a:graphic xmlns:a="http://schemas.openxmlformats.org/drawingml/2006/main">
                  <a:graphicData uri="http://schemas.microsoft.com/office/word/2010/wordprocessingGroup">
                    <wpg:wgp>
                      <wpg:cNvGrpSpPr/>
                      <wpg:grpSpPr>
                        <a:xfrm>
                          <a:off x="0" y="0"/>
                          <a:ext cx="6394450" cy="2393315"/>
                          <a:chOff x="-266600" y="164947"/>
                          <a:chExt cx="6394450" cy="2393315"/>
                        </a:xfrm>
                      </wpg:grpSpPr>
                      <wpg:grpSp>
                        <wpg:cNvPr id="3" name="Group 3"/>
                        <wpg:cNvGrpSpPr/>
                        <wpg:grpSpPr>
                          <a:xfrm>
                            <a:off x="-266600" y="164947"/>
                            <a:ext cx="6394450" cy="2393315"/>
                            <a:chOff x="-266600" y="164947"/>
                            <a:chExt cx="6394450" cy="2393315"/>
                          </a:xfrm>
                        </wpg:grpSpPr>
                        <wpg:grpSp>
                          <wpg:cNvPr id="10" name="Group 10"/>
                          <wpg:cNvGrpSpPr/>
                          <wpg:grpSpPr>
                            <a:xfrm>
                              <a:off x="-266600" y="164947"/>
                              <a:ext cx="6394450" cy="2393315"/>
                              <a:chOff x="128545" y="62761"/>
                              <a:chExt cx="6394978" cy="2393580"/>
                            </a:xfrm>
                          </wpg:grpSpPr>
                          <wps:wsp>
                            <wps:cNvPr id="11" name="Text Box 2"/>
                            <wps:cNvSpPr txBox="1">
                              <a:spLocks noChangeArrowheads="1"/>
                            </wps:cNvSpPr>
                            <wps:spPr bwMode="auto">
                              <a:xfrm rot="16200000">
                                <a:off x="-338564" y="631477"/>
                                <a:ext cx="1898859" cy="761427"/>
                              </a:xfrm>
                              <a:prstGeom prst="rect">
                                <a:avLst/>
                              </a:prstGeom>
                              <a:solidFill>
                                <a:srgbClr val="FFFFFF"/>
                              </a:solidFill>
                              <a:ln w="9525">
                                <a:noFill/>
                                <a:miter lim="800000"/>
                                <a:headEnd/>
                                <a:tailEnd/>
                              </a:ln>
                            </wps:spPr>
                            <wps:txbx>
                              <w:txbxContent>
                                <w:p w14:paraId="118E0CFE" w14:textId="3D479139" w:rsidR="00254E74" w:rsidRPr="00295818" w:rsidRDefault="00254E74" w:rsidP="004E3BE3">
                                  <w:pPr>
                                    <w:jc w:val="center"/>
                                    <w:rPr>
                                      <w:b/>
                                      <w:sz w:val="20"/>
                                      <w:szCs w:val="18"/>
                                      <w:lang w:val="es-ES"/>
                                    </w:rPr>
                                  </w:pPr>
                                  <w:r w:rsidRPr="00295818">
                                    <w:rPr>
                                      <w:b/>
                                      <w:sz w:val="20"/>
                                      <w:szCs w:val="18"/>
                                      <w:lang w:val="es-ES"/>
                                    </w:rPr>
                                    <w:t xml:space="preserve">Postotak </w:t>
                                  </w:r>
                                  <w:r>
                                    <w:rPr>
                                      <w:b/>
                                      <w:sz w:val="20"/>
                                      <w:szCs w:val="18"/>
                                      <w:lang w:val="es-ES"/>
                                    </w:rPr>
                                    <w:t>pacijenata</w:t>
                                  </w:r>
                                  <w:r w:rsidRPr="00295818">
                                    <w:rPr>
                                      <w:b/>
                                      <w:sz w:val="20"/>
                                      <w:szCs w:val="18"/>
                                      <w:lang w:val="es-ES"/>
                                    </w:rPr>
                                    <w:t xml:space="preserve"> koji su odgovorili na liječenje i 95%-tni interval pouzdanosti</w:t>
                                  </w:r>
                                </w:p>
                                <w:p w14:paraId="11951C02" w14:textId="77777777" w:rsidR="00254E74" w:rsidRPr="00295818" w:rsidRDefault="00254E74" w:rsidP="004E3BE3">
                                  <w:pPr>
                                    <w:jc w:val="center"/>
                                    <w:rPr>
                                      <w:b/>
                                      <w:sz w:val="20"/>
                                      <w:szCs w:val="18"/>
                                      <w:lang w:val="es-ES"/>
                                    </w:rPr>
                                  </w:pPr>
                                </w:p>
                              </w:txbxContent>
                            </wps:txbx>
                            <wps:bodyPr rot="0" vert="horz" wrap="square" anchor="t" anchorCtr="0">
                              <a:spAutoFit/>
                            </wps:bodyPr>
                          </wps:wsp>
                          <wps:wsp>
                            <wps:cNvPr id="12" name="Text Box 2"/>
                            <wps:cNvSpPr txBox="1">
                              <a:spLocks noChangeArrowheads="1"/>
                            </wps:cNvSpPr>
                            <wps:spPr bwMode="auto">
                              <a:xfrm>
                                <a:off x="3262868" y="1828436"/>
                                <a:ext cx="762062" cy="266093"/>
                              </a:xfrm>
                              <a:prstGeom prst="rect">
                                <a:avLst/>
                              </a:prstGeom>
                              <a:solidFill>
                                <a:srgbClr val="FFFFFF"/>
                              </a:solidFill>
                              <a:ln w="9525">
                                <a:noFill/>
                                <a:miter lim="800000"/>
                                <a:headEnd/>
                                <a:tailEnd/>
                              </a:ln>
                            </wps:spPr>
                            <wps:txbx>
                              <w:txbxContent>
                                <w:p w14:paraId="22DA8C18" w14:textId="697D08E5" w:rsidR="00254E74" w:rsidRPr="00BF01FE" w:rsidRDefault="00254E74" w:rsidP="004E3BE3">
                                  <w:pPr>
                                    <w:rPr>
                                      <w:b/>
                                      <w:bCs/>
                                    </w:rPr>
                                  </w:pPr>
                                  <w:r>
                                    <w:rPr>
                                      <w:b/>
                                      <w:sz w:val="20"/>
                                      <w:szCs w:val="18"/>
                                    </w:rPr>
                                    <w:t>Nedjelje</w:t>
                                  </w:r>
                                </w:p>
                              </w:txbxContent>
                            </wps:txbx>
                            <wps:bodyPr rot="0" vert="horz" wrap="square" anchor="t" anchorCtr="0">
                              <a:spAutoFit/>
                            </wps:bodyPr>
                          </wps:wsp>
                          <wps:wsp>
                            <wps:cNvPr id="15" name="Text Box 2"/>
                            <wps:cNvSpPr txBox="1">
                              <a:spLocks noChangeArrowheads="1"/>
                            </wps:cNvSpPr>
                            <wps:spPr bwMode="auto">
                              <a:xfrm>
                                <a:off x="128545" y="2058831"/>
                                <a:ext cx="6394978" cy="397510"/>
                              </a:xfrm>
                              <a:prstGeom prst="rect">
                                <a:avLst/>
                              </a:prstGeom>
                              <a:solidFill>
                                <a:srgbClr val="FFFFFF"/>
                              </a:solidFill>
                              <a:ln w="9525">
                                <a:noFill/>
                                <a:miter lim="800000"/>
                                <a:headEnd/>
                                <a:tailEnd/>
                              </a:ln>
                            </wps:spPr>
                            <wps:txbx>
                              <w:txbxContent>
                                <w:p w14:paraId="076F6A00" w14:textId="77777777" w:rsidR="00254E74" w:rsidRPr="00295818" w:rsidRDefault="00254E74" w:rsidP="004E3BE3">
                                  <w:pPr>
                                    <w:rPr>
                                      <w:sz w:val="16"/>
                                      <w:szCs w:val="16"/>
                                      <w:lang w:val="sv-SE"/>
                                    </w:rPr>
                                  </w:pPr>
                                  <w:r w:rsidRPr="00BF01FE">
                                    <w:rPr>
                                      <w:noProof/>
                                      <w:sz w:val="20"/>
                                      <w:szCs w:val="18"/>
                                      <w:lang w:val="en-US"/>
                                    </w:rPr>
                                    <w:drawing>
                                      <wp:inline distT="0" distB="0" distL="0" distR="0" wp14:anchorId="01E19A47" wp14:editId="46E84200">
                                        <wp:extent cx="636105" cy="230314"/>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62120" name=""/>
                                                <pic:cNvPicPr/>
                                              </pic:nvPicPr>
                                              <pic:blipFill>
                                                <a:blip r:embed="rId22"/>
                                                <a:stretch>
                                                  <a:fillRect/>
                                                </a:stretch>
                                              </pic:blipFill>
                                              <pic:spPr>
                                                <a:xfrm>
                                                  <a:off x="0" y="0"/>
                                                  <a:ext cx="660844" cy="239271"/>
                                                </a:xfrm>
                                                <a:prstGeom prst="rect">
                                                  <a:avLst/>
                                                </a:prstGeom>
                                              </pic:spPr>
                                            </pic:pic>
                                          </a:graphicData>
                                        </a:graphic>
                                      </wp:inline>
                                    </w:drawing>
                                  </w:r>
                                  <w:r w:rsidRPr="006634EB">
                                    <w:rPr>
                                      <w:sz w:val="20"/>
                                      <w:szCs w:val="18"/>
                                      <w:lang w:val="sv-SE"/>
                                    </w:rPr>
                                    <w:t xml:space="preserve"> </w:t>
                                  </w:r>
                                  <w:r w:rsidRPr="00295818">
                                    <w:rPr>
                                      <w:sz w:val="16"/>
                                      <w:szCs w:val="16"/>
                                      <w:lang w:val="sv-SE"/>
                                    </w:rPr>
                                    <w:t xml:space="preserve">Placebo (N=149)  </w:t>
                                  </w:r>
                                  <w:r w:rsidRPr="00295818">
                                    <w:rPr>
                                      <w:noProof/>
                                      <w:sz w:val="16"/>
                                      <w:szCs w:val="16"/>
                                      <w:lang w:val="en-US"/>
                                    </w:rPr>
                                    <w:drawing>
                                      <wp:inline distT="0" distB="0" distL="0" distR="0" wp14:anchorId="5738DA49" wp14:editId="3B1AFCA9">
                                        <wp:extent cx="620202" cy="227203"/>
                                        <wp:effectExtent l="0" t="0" r="0" b="1905"/>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79630" name=""/>
                                                <pic:cNvPicPr/>
                                              </pic:nvPicPr>
                                              <pic:blipFill>
                                                <a:blip r:embed="rId23"/>
                                                <a:stretch>
                                                  <a:fillRect/>
                                                </a:stretch>
                                              </pic:blipFill>
                                              <pic:spPr>
                                                <a:xfrm>
                                                  <a:off x="0" y="0"/>
                                                  <a:ext cx="656720" cy="240581"/>
                                                </a:xfrm>
                                                <a:prstGeom prst="rect">
                                                  <a:avLst/>
                                                </a:prstGeom>
                                              </pic:spPr>
                                            </pic:pic>
                                          </a:graphicData>
                                        </a:graphic>
                                      </wp:inline>
                                    </w:drawing>
                                  </w:r>
                                  <w:r w:rsidRPr="00295818">
                                    <w:rPr>
                                      <w:sz w:val="16"/>
                                      <w:szCs w:val="16"/>
                                    </w:rPr>
                                    <w:t>UPA 15 mg jedanput na dan</w:t>
                                  </w:r>
                                  <w:r w:rsidRPr="00295818">
                                    <w:rPr>
                                      <w:sz w:val="16"/>
                                      <w:szCs w:val="16"/>
                                      <w:lang w:val="sv-SE"/>
                                    </w:rPr>
                                    <w:t xml:space="preserve"> (N=148)</w:t>
                                  </w:r>
                                  <w:r w:rsidRPr="00295818">
                                    <w:rPr>
                                      <w:noProof/>
                                      <w:sz w:val="16"/>
                                      <w:szCs w:val="16"/>
                                      <w:lang w:val="en-US"/>
                                    </w:rPr>
                                    <w:drawing>
                                      <wp:inline distT="0" distB="0" distL="0" distR="0" wp14:anchorId="155BA694" wp14:editId="781244AB">
                                        <wp:extent cx="627316" cy="191714"/>
                                        <wp:effectExtent l="0" t="0" r="1905" b="0"/>
                                        <wp:docPr id="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62397" name=""/>
                                                <pic:cNvPicPr/>
                                              </pic:nvPicPr>
                                              <pic:blipFill>
                                                <a:blip r:embed="rId24"/>
                                                <a:stretch>
                                                  <a:fillRect/>
                                                </a:stretch>
                                              </pic:blipFill>
                                              <pic:spPr>
                                                <a:xfrm>
                                                  <a:off x="0" y="0"/>
                                                  <a:ext cx="636818" cy="194618"/>
                                                </a:xfrm>
                                                <a:prstGeom prst="rect">
                                                  <a:avLst/>
                                                </a:prstGeom>
                                              </pic:spPr>
                                            </pic:pic>
                                          </a:graphicData>
                                        </a:graphic>
                                      </wp:inline>
                                    </w:drawing>
                                  </w:r>
                                  <w:r w:rsidRPr="00295818">
                                    <w:rPr>
                                      <w:sz w:val="16"/>
                                      <w:szCs w:val="16"/>
                                    </w:rPr>
                                    <w:t>UPA 30 mg jedanput na dan (N=154)</w:t>
                                  </w:r>
                                </w:p>
                              </w:txbxContent>
                            </wps:txbx>
                            <wps:bodyPr rot="0" vert="horz" wrap="square" anchor="t" anchorCtr="0"/>
                          </wps:wsp>
                        </wpg:grpSp>
                        <pic:pic xmlns:pic="http://schemas.openxmlformats.org/drawingml/2006/picture">
                          <pic:nvPicPr>
                            <pic:cNvPr id="16" name="Picture 16" descr="A picture containing antenna, day&#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466725" y="180975"/>
                              <a:ext cx="5156835" cy="1682115"/>
                            </a:xfrm>
                            <a:prstGeom prst="rect">
                              <a:avLst/>
                            </a:prstGeom>
                          </pic:spPr>
                        </pic:pic>
                      </wpg:grpSp>
                      <wps:wsp>
                        <wps:cNvPr id="17" name="Text Box 2"/>
                        <wps:cNvSpPr txBox="1">
                          <a:spLocks noChangeArrowheads="1"/>
                        </wps:cNvSpPr>
                        <wps:spPr bwMode="auto">
                          <a:xfrm>
                            <a:off x="5444116" y="634266"/>
                            <a:ext cx="263525" cy="140163"/>
                          </a:xfrm>
                          <a:prstGeom prst="rect">
                            <a:avLst/>
                          </a:prstGeom>
                          <a:solidFill>
                            <a:srgbClr val="FFFFFF"/>
                          </a:solidFill>
                          <a:ln w="9525">
                            <a:noFill/>
                            <a:miter lim="800000"/>
                            <a:headEnd/>
                            <a:tailEnd/>
                          </a:ln>
                        </wps:spPr>
                        <wps:txbx>
                          <w:txbxContent>
                            <w:p w14:paraId="6FE14A35" w14:textId="77777777" w:rsidR="00254E74" w:rsidRPr="004C16EE" w:rsidRDefault="00254E74" w:rsidP="004E3BE3">
                              <w:pPr>
                                <w:spacing w:line="240" w:lineRule="auto"/>
                                <w:rPr>
                                  <w:bCs/>
                                  <w:sz w:val="16"/>
                                  <w:szCs w:val="16"/>
                                </w:rPr>
                              </w:pPr>
                              <w:r w:rsidRPr="004C16EE">
                                <w:rPr>
                                  <w:bCs/>
                                  <w:sz w:val="16"/>
                                  <w:szCs w:val="16"/>
                                </w:rPr>
                                <w:t>64</w:t>
                              </w:r>
                              <w:r>
                                <w:rPr>
                                  <w:bCs/>
                                  <w:sz w:val="16"/>
                                  <w:szCs w:val="16"/>
                                </w:rPr>
                                <w:t>,</w:t>
                              </w:r>
                              <w:r w:rsidRPr="004C16EE">
                                <w:rPr>
                                  <w:bCs/>
                                  <w:sz w:val="16"/>
                                  <w:szCs w:val="16"/>
                                </w:rPr>
                                <w:t>5</w:t>
                              </w:r>
                            </w:p>
                          </w:txbxContent>
                        </wps:txbx>
                        <wps:bodyPr rot="0" vert="horz" wrap="square" lIns="0" tIns="0" rIns="0" bIns="0" anchor="t" anchorCtr="0"/>
                      </wps:wsp>
                      <wps:wsp>
                        <wps:cNvPr id="18" name="Text Box 2"/>
                        <wps:cNvSpPr txBox="1">
                          <a:spLocks noChangeArrowheads="1"/>
                        </wps:cNvSpPr>
                        <wps:spPr bwMode="auto">
                          <a:xfrm>
                            <a:off x="5444116" y="819260"/>
                            <a:ext cx="263525" cy="140163"/>
                          </a:xfrm>
                          <a:prstGeom prst="rect">
                            <a:avLst/>
                          </a:prstGeom>
                          <a:solidFill>
                            <a:srgbClr val="FFFFFF"/>
                          </a:solidFill>
                          <a:ln w="9525">
                            <a:noFill/>
                            <a:miter lim="800000"/>
                            <a:headEnd/>
                            <a:tailEnd/>
                          </a:ln>
                        </wps:spPr>
                        <wps:txbx>
                          <w:txbxContent>
                            <w:p w14:paraId="6ACC31E0" w14:textId="77777777" w:rsidR="00254E74" w:rsidRPr="004C16EE" w:rsidRDefault="00254E74" w:rsidP="004E3BE3">
                              <w:pPr>
                                <w:spacing w:line="240" w:lineRule="auto"/>
                                <w:rPr>
                                  <w:bCs/>
                                  <w:sz w:val="16"/>
                                  <w:szCs w:val="16"/>
                                </w:rPr>
                              </w:pPr>
                              <w:r w:rsidRPr="004C16EE">
                                <w:rPr>
                                  <w:bCs/>
                                  <w:sz w:val="16"/>
                                  <w:szCs w:val="16"/>
                                </w:rPr>
                                <w:t>57</w:t>
                              </w:r>
                              <w:r>
                                <w:rPr>
                                  <w:bCs/>
                                  <w:sz w:val="16"/>
                                  <w:szCs w:val="16"/>
                                </w:rPr>
                                <w:t>,</w:t>
                              </w:r>
                              <w:r w:rsidRPr="004C16EE">
                                <w:rPr>
                                  <w:bCs/>
                                  <w:sz w:val="16"/>
                                  <w:szCs w:val="16"/>
                                </w:rPr>
                                <w:t>4</w:t>
                              </w:r>
                            </w:p>
                          </w:txbxContent>
                        </wps:txbx>
                        <wps:bodyPr rot="0" vert="horz" wrap="square" lIns="0" tIns="0" rIns="0" bIns="0" anchor="t" anchorCtr="0"/>
                      </wps:wsp>
                      <wps:wsp>
                        <wps:cNvPr id="19" name="Text Box 2"/>
                        <wps:cNvSpPr txBox="1">
                          <a:spLocks noChangeArrowheads="1"/>
                        </wps:cNvSpPr>
                        <wps:spPr bwMode="auto">
                          <a:xfrm>
                            <a:off x="5449402" y="1300245"/>
                            <a:ext cx="263525" cy="140163"/>
                          </a:xfrm>
                          <a:prstGeom prst="rect">
                            <a:avLst/>
                          </a:prstGeom>
                          <a:solidFill>
                            <a:srgbClr val="FFFFFF"/>
                          </a:solidFill>
                          <a:ln w="9525">
                            <a:noFill/>
                            <a:miter lim="800000"/>
                            <a:headEnd/>
                            <a:tailEnd/>
                          </a:ln>
                        </wps:spPr>
                        <wps:txbx>
                          <w:txbxContent>
                            <w:p w14:paraId="0B8C62B0" w14:textId="77777777" w:rsidR="00254E74" w:rsidRPr="004C16EE" w:rsidRDefault="00254E74" w:rsidP="004E3BE3">
                              <w:pPr>
                                <w:spacing w:line="240" w:lineRule="auto"/>
                                <w:rPr>
                                  <w:bCs/>
                                  <w:sz w:val="16"/>
                                  <w:szCs w:val="16"/>
                                </w:rPr>
                              </w:pPr>
                              <w:r w:rsidRPr="004C16EE">
                                <w:rPr>
                                  <w:bCs/>
                                  <w:sz w:val="16"/>
                                  <w:szCs w:val="16"/>
                                </w:rPr>
                                <w:t>17</w:t>
                              </w:r>
                              <w:r>
                                <w:rPr>
                                  <w:bCs/>
                                  <w:sz w:val="16"/>
                                  <w:szCs w:val="16"/>
                                </w:rPr>
                                <w:t>,</w:t>
                              </w:r>
                              <w:r w:rsidRPr="004C16EE">
                                <w:rPr>
                                  <w:bCs/>
                                  <w:sz w:val="16"/>
                                  <w:szCs w:val="16"/>
                                </w:rPr>
                                <w:t>5</w:t>
                              </w:r>
                            </w:p>
                          </w:txbxContent>
                        </wps:txbx>
                        <wps:bodyPr rot="0" vert="horz" wrap="square" lIns="0" tIns="0" rIns="0" bIns="0" anchor="t" anchorCtr="0"/>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9A8A5C" id="Group 2" o:spid="_x0000_s1027" style="width:503.5pt;height:188.45pt;mso-position-horizontal-relative:char;mso-position-vertical-relative:line" coordorigin="-2666,1649" coordsize="63944,23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A6wAAAABSZ2h0bG9uZwAAAu4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">
                <v:group id="Group 3" o:spid="_x0000_s1028" style="position:absolute;left:-2666;top:1649;width:63944;height:23933" coordorigin="-2666,1649" coordsize="63944,2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0" o:spid="_x0000_s1029" style="position:absolute;left:-2666;top:1649;width:63944;height:23933" coordorigin="1285,627" coordsize="63949,2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_x0000_s1030" type="#_x0000_t202" style="position:absolute;left:-3387;top:6315;width:18989;height:761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" stroked="f">
                      <v:textbox style="mso-fit-shape-to-text:t">
                        <w:txbxContent>
                          <w:p w14:paraId="118E0CFE" w14:textId="3D479139" w:rsidR="00254E74" w:rsidRPr="00295818" w:rsidRDefault="00254E74" w:rsidP="004E3BE3">
                            <w:pPr>
                              <w:jc w:val="center"/>
                              <w:rPr>
                                <w:b/>
                                <w:sz w:val="20"/>
                                <w:szCs w:val="18"/>
                                <w:lang w:val="es-ES"/>
                              </w:rPr>
                            </w:pPr>
                            <w:r w:rsidRPr="00295818">
                              <w:rPr>
                                <w:b/>
                                <w:sz w:val="20"/>
                                <w:szCs w:val="18"/>
                                <w:lang w:val="es-ES"/>
                              </w:rPr>
                              <w:t xml:space="preserve">Postotak </w:t>
                            </w:r>
                            <w:r>
                              <w:rPr>
                                <w:b/>
                                <w:sz w:val="20"/>
                                <w:szCs w:val="18"/>
                                <w:lang w:val="es-ES"/>
                              </w:rPr>
                              <w:t>pacijenata</w:t>
                            </w:r>
                            <w:r w:rsidRPr="00295818">
                              <w:rPr>
                                <w:b/>
                                <w:sz w:val="20"/>
                                <w:szCs w:val="18"/>
                                <w:lang w:val="es-ES"/>
                              </w:rPr>
                              <w:t xml:space="preserve"> koji su odgovorili na liječenje i 95%-tni interval pouzdanosti</w:t>
                            </w:r>
                          </w:p>
                          <w:p w14:paraId="11951C02" w14:textId="77777777" w:rsidR="00254E74" w:rsidRPr="00295818" w:rsidRDefault="00254E74" w:rsidP="004E3BE3">
                            <w:pPr>
                              <w:jc w:val="center"/>
                              <w:rPr>
                                <w:b/>
                                <w:sz w:val="20"/>
                                <w:szCs w:val="18"/>
                                <w:lang w:val="es-ES"/>
                              </w:rPr>
                            </w:pPr>
                          </w:p>
                        </w:txbxContent>
                      </v:textbox>
                    </v:shape>
                    <v:shape id="_x0000_s1031" type="#_x0000_t202" style="position:absolute;left:32628;top:18284;width:7621;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" stroked="f">
                      <v:textbox style="mso-fit-shape-to-text:t">
                        <w:txbxContent>
                          <w:p w14:paraId="22DA8C18" w14:textId="697D08E5" w:rsidR="00254E74" w:rsidRPr="00BF01FE" w:rsidRDefault="00254E74" w:rsidP="004E3BE3">
                            <w:pPr>
                              <w:rPr>
                                <w:b/>
                                <w:bCs/>
                              </w:rPr>
                            </w:pPr>
                            <w:r>
                              <w:rPr>
                                <w:b/>
                                <w:sz w:val="20"/>
                                <w:szCs w:val="18"/>
                              </w:rPr>
                              <w:t>Nedjelje</w:t>
                            </w:r>
                          </w:p>
                        </w:txbxContent>
                      </v:textbox>
                    </v:shape>
                    <v:shape id="_x0000_s1032" type="#_x0000_t202" style="position:absolute;left:1285;top:20588;width:63950;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076F6A00" w14:textId="77777777" w:rsidR="00254E74" w:rsidRPr="00295818" w:rsidRDefault="00254E74" w:rsidP="004E3BE3">
                            <w:pPr>
                              <w:rPr>
                                <w:sz w:val="16"/>
                                <w:szCs w:val="16"/>
                                <w:lang w:val="sv-SE"/>
                              </w:rPr>
                            </w:pPr>
                            <w:r w:rsidRPr="00BF01FE">
                              <w:rPr>
                                <w:noProof/>
                                <w:sz w:val="20"/>
                                <w:szCs w:val="18"/>
                                <w:lang w:val="en-US"/>
                              </w:rPr>
                              <w:drawing>
                                <wp:inline distT="0" distB="0" distL="0" distR="0" wp14:anchorId="01E19A47" wp14:editId="46E84200">
                                  <wp:extent cx="636105" cy="230314"/>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62120" name=""/>
                                          <pic:cNvPicPr/>
                                        </pic:nvPicPr>
                                        <pic:blipFill>
                                          <a:blip r:embed="rId28"/>
                                          <a:stretch>
                                            <a:fillRect/>
                                          </a:stretch>
                                        </pic:blipFill>
                                        <pic:spPr>
                                          <a:xfrm>
                                            <a:off x="0" y="0"/>
                                            <a:ext cx="660844" cy="239271"/>
                                          </a:xfrm>
                                          <a:prstGeom prst="rect">
                                            <a:avLst/>
                                          </a:prstGeom>
                                        </pic:spPr>
                                      </pic:pic>
                                    </a:graphicData>
                                  </a:graphic>
                                </wp:inline>
                              </w:drawing>
                            </w:r>
                            <w:r w:rsidRPr="006634EB">
                              <w:rPr>
                                <w:sz w:val="20"/>
                                <w:szCs w:val="18"/>
                                <w:lang w:val="sv-SE"/>
                              </w:rPr>
                              <w:t xml:space="preserve"> </w:t>
                            </w:r>
                            <w:r w:rsidRPr="00295818">
                              <w:rPr>
                                <w:sz w:val="16"/>
                                <w:szCs w:val="16"/>
                                <w:lang w:val="sv-SE"/>
                              </w:rPr>
                              <w:t xml:space="preserve">Placebo (N=149)  </w:t>
                            </w:r>
                            <w:r w:rsidRPr="00295818">
                              <w:rPr>
                                <w:noProof/>
                                <w:sz w:val="16"/>
                                <w:szCs w:val="16"/>
                                <w:lang w:val="en-US"/>
                              </w:rPr>
                              <w:drawing>
                                <wp:inline distT="0" distB="0" distL="0" distR="0" wp14:anchorId="5738DA49" wp14:editId="3B1AFCA9">
                                  <wp:extent cx="620202" cy="227203"/>
                                  <wp:effectExtent l="0" t="0" r="0" b="1905"/>
                                  <wp:docPr id="2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79630" name=""/>
                                          <pic:cNvPicPr/>
                                        </pic:nvPicPr>
                                        <pic:blipFill>
                                          <a:blip r:embed="rId29"/>
                                          <a:stretch>
                                            <a:fillRect/>
                                          </a:stretch>
                                        </pic:blipFill>
                                        <pic:spPr>
                                          <a:xfrm>
                                            <a:off x="0" y="0"/>
                                            <a:ext cx="656720" cy="240581"/>
                                          </a:xfrm>
                                          <a:prstGeom prst="rect">
                                            <a:avLst/>
                                          </a:prstGeom>
                                        </pic:spPr>
                                      </pic:pic>
                                    </a:graphicData>
                                  </a:graphic>
                                </wp:inline>
                              </w:drawing>
                            </w:r>
                            <w:r w:rsidRPr="00295818">
                              <w:rPr>
                                <w:sz w:val="16"/>
                                <w:szCs w:val="16"/>
                              </w:rPr>
                              <w:t>UPA 15 mg jedanput na dan</w:t>
                            </w:r>
                            <w:r w:rsidRPr="00295818">
                              <w:rPr>
                                <w:sz w:val="16"/>
                                <w:szCs w:val="16"/>
                                <w:lang w:val="sv-SE"/>
                              </w:rPr>
                              <w:t xml:space="preserve"> (N=148)</w:t>
                            </w:r>
                            <w:r w:rsidRPr="00295818">
                              <w:rPr>
                                <w:noProof/>
                                <w:sz w:val="16"/>
                                <w:szCs w:val="16"/>
                                <w:lang w:val="en-US"/>
                              </w:rPr>
                              <w:drawing>
                                <wp:inline distT="0" distB="0" distL="0" distR="0" wp14:anchorId="155BA694" wp14:editId="781244AB">
                                  <wp:extent cx="627316" cy="191714"/>
                                  <wp:effectExtent l="0" t="0" r="1905" b="0"/>
                                  <wp:docPr id="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62397" name=""/>
                                          <pic:cNvPicPr/>
                                        </pic:nvPicPr>
                                        <pic:blipFill>
                                          <a:blip r:embed="rId30"/>
                                          <a:stretch>
                                            <a:fillRect/>
                                          </a:stretch>
                                        </pic:blipFill>
                                        <pic:spPr>
                                          <a:xfrm>
                                            <a:off x="0" y="0"/>
                                            <a:ext cx="636818" cy="194618"/>
                                          </a:xfrm>
                                          <a:prstGeom prst="rect">
                                            <a:avLst/>
                                          </a:prstGeom>
                                        </pic:spPr>
                                      </pic:pic>
                                    </a:graphicData>
                                  </a:graphic>
                                </wp:inline>
                              </w:drawing>
                            </w:r>
                            <w:r w:rsidRPr="00295818">
                              <w:rPr>
                                <w:sz w:val="16"/>
                                <w:szCs w:val="16"/>
                              </w:rPr>
                              <w:t>UPA 30 mg jedanput na dan (N=154)</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3" type="#_x0000_t75" alt="A picture containing antenna, day&#10;&#10;Description automatically generated" style="position:absolute;left:4667;top:1809;width:51568;height:16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">
                    <v:imagedata r:id="rId31" o:title="A picture containing antenna, day&#10;&#10;Description automatically generated"/>
                    <v:path arrowok="t"/>
                  </v:shape>
                </v:group>
                <v:shape id="_x0000_s1034" type="#_x0000_t202" style="position:absolute;left:54441;top:6342;width:2635;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FE14A35" w14:textId="77777777" w:rsidR="00254E74" w:rsidRPr="004C16EE" w:rsidRDefault="00254E74" w:rsidP="004E3BE3">
                        <w:pPr>
                          <w:spacing w:line="240" w:lineRule="auto"/>
                          <w:rPr>
                            <w:bCs/>
                            <w:sz w:val="16"/>
                            <w:szCs w:val="16"/>
                          </w:rPr>
                        </w:pPr>
                        <w:r w:rsidRPr="004C16EE">
                          <w:rPr>
                            <w:bCs/>
                            <w:sz w:val="16"/>
                            <w:szCs w:val="16"/>
                          </w:rPr>
                          <w:t>64</w:t>
                        </w:r>
                        <w:r>
                          <w:rPr>
                            <w:bCs/>
                            <w:sz w:val="16"/>
                            <w:szCs w:val="16"/>
                          </w:rPr>
                          <w:t>,</w:t>
                        </w:r>
                        <w:r w:rsidRPr="004C16EE">
                          <w:rPr>
                            <w:bCs/>
                            <w:sz w:val="16"/>
                            <w:szCs w:val="16"/>
                          </w:rPr>
                          <w:t>5</w:t>
                        </w:r>
                      </w:p>
                    </w:txbxContent>
                  </v:textbox>
                </v:shape>
                <v:shape id="_x0000_s1035" type="#_x0000_t202" style="position:absolute;left:54441;top:8192;width:2635;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ACC31E0" w14:textId="77777777" w:rsidR="00254E74" w:rsidRPr="004C16EE" w:rsidRDefault="00254E74" w:rsidP="004E3BE3">
                        <w:pPr>
                          <w:spacing w:line="240" w:lineRule="auto"/>
                          <w:rPr>
                            <w:bCs/>
                            <w:sz w:val="16"/>
                            <w:szCs w:val="16"/>
                          </w:rPr>
                        </w:pPr>
                        <w:r w:rsidRPr="004C16EE">
                          <w:rPr>
                            <w:bCs/>
                            <w:sz w:val="16"/>
                            <w:szCs w:val="16"/>
                          </w:rPr>
                          <w:t>57</w:t>
                        </w:r>
                        <w:r>
                          <w:rPr>
                            <w:bCs/>
                            <w:sz w:val="16"/>
                            <w:szCs w:val="16"/>
                          </w:rPr>
                          <w:t>,</w:t>
                        </w:r>
                        <w:r w:rsidRPr="004C16EE">
                          <w:rPr>
                            <w:bCs/>
                            <w:sz w:val="16"/>
                            <w:szCs w:val="16"/>
                          </w:rPr>
                          <w:t>4</w:t>
                        </w:r>
                      </w:p>
                    </w:txbxContent>
                  </v:textbox>
                </v:shape>
                <v:shape id="_x0000_s1036" type="#_x0000_t202" style="position:absolute;left:54494;top:13002;width:2635;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0B8C62B0" w14:textId="77777777" w:rsidR="00254E74" w:rsidRPr="004C16EE" w:rsidRDefault="00254E74" w:rsidP="004E3BE3">
                        <w:pPr>
                          <w:spacing w:line="240" w:lineRule="auto"/>
                          <w:rPr>
                            <w:bCs/>
                            <w:sz w:val="16"/>
                            <w:szCs w:val="16"/>
                          </w:rPr>
                        </w:pPr>
                        <w:r w:rsidRPr="004C16EE">
                          <w:rPr>
                            <w:bCs/>
                            <w:sz w:val="16"/>
                            <w:szCs w:val="16"/>
                          </w:rPr>
                          <w:t>17</w:t>
                        </w:r>
                        <w:r>
                          <w:rPr>
                            <w:bCs/>
                            <w:sz w:val="16"/>
                            <w:szCs w:val="16"/>
                          </w:rPr>
                          <w:t>,</w:t>
                        </w:r>
                        <w:r w:rsidRPr="004C16EE">
                          <w:rPr>
                            <w:bCs/>
                            <w:sz w:val="16"/>
                            <w:szCs w:val="16"/>
                          </w:rPr>
                          <w:t>5</w:t>
                        </w:r>
                      </w:p>
                    </w:txbxContent>
                  </v:textbox>
                </v:shape>
                <w10:anchorlock/>
              </v:group>
            </w:pict>
          </mc:Fallback>
        </mc:AlternateContent>
      </w:r>
    </w:p>
    <w:p w14:paraId="712B3EF3" w14:textId="405A7FA3" w:rsidR="004E3BE3" w:rsidRPr="00B74B0F" w:rsidRDefault="004E3BE3">
      <w:pPr>
        <w:spacing w:line="240" w:lineRule="auto"/>
        <w:jc w:val="both"/>
        <w:rPr>
          <w:i/>
          <w:iCs/>
          <w:szCs w:val="22"/>
          <w:lang w:val="sr-Latn-ME"/>
        </w:rPr>
      </w:pPr>
      <w:r w:rsidRPr="00B74B0F">
        <w:rPr>
          <w:i/>
          <w:iCs/>
          <w:szCs w:val="22"/>
          <w:lang w:val="sr-Latn-ME"/>
        </w:rPr>
        <w:t>Endoskopska procjena</w:t>
      </w:r>
    </w:p>
    <w:p w14:paraId="6ADF549F" w14:textId="77777777" w:rsidR="005C649D" w:rsidRPr="00B74B0F" w:rsidRDefault="005C649D">
      <w:pPr>
        <w:spacing w:line="240" w:lineRule="auto"/>
        <w:jc w:val="both"/>
        <w:rPr>
          <w:i/>
          <w:iCs/>
          <w:szCs w:val="22"/>
          <w:u w:val="single"/>
          <w:lang w:val="sr-Latn-ME"/>
        </w:rPr>
      </w:pPr>
    </w:p>
    <w:p w14:paraId="797FD3CC" w14:textId="14D0D6F7" w:rsidR="00916178" w:rsidRPr="008338F7" w:rsidRDefault="004E3BE3">
      <w:pPr>
        <w:spacing w:line="240" w:lineRule="auto"/>
        <w:jc w:val="both"/>
        <w:rPr>
          <w:rFonts w:eastAsia="Arial"/>
          <w:szCs w:val="22"/>
          <w:lang w:val="sr-Latn-ME"/>
        </w:rPr>
      </w:pPr>
      <w:r w:rsidRPr="00B74B0F">
        <w:rPr>
          <w:rFonts w:eastAsia="Arial"/>
          <w:szCs w:val="22"/>
          <w:lang w:val="sr-Latn-ME"/>
        </w:rPr>
        <w:t xml:space="preserve">Endoskopska remisija (normalizacija endoskopskog izgleda sluznice) </w:t>
      </w:r>
      <w:r w:rsidR="00181042" w:rsidRPr="00B74B0F">
        <w:rPr>
          <w:rFonts w:eastAsia="Arial"/>
          <w:szCs w:val="22"/>
          <w:lang w:val="sr-Latn-ME"/>
        </w:rPr>
        <w:t>defini</w:t>
      </w:r>
      <w:r w:rsidR="00144C74" w:rsidRPr="00B74B0F">
        <w:rPr>
          <w:rFonts w:eastAsia="Arial"/>
          <w:szCs w:val="22"/>
          <w:lang w:val="sr-Latn-ME"/>
        </w:rPr>
        <w:t>sa</w:t>
      </w:r>
      <w:r w:rsidRPr="00B74B0F">
        <w:rPr>
          <w:rFonts w:eastAsia="Arial"/>
          <w:szCs w:val="22"/>
          <w:lang w:val="sr-Latn-ME"/>
        </w:rPr>
        <w:t>na je kao ES od 0. U 8. </w:t>
      </w:r>
      <w:r w:rsidR="00181042" w:rsidRPr="00B74B0F">
        <w:rPr>
          <w:rFonts w:eastAsia="Arial"/>
          <w:szCs w:val="22"/>
          <w:lang w:val="sr-Latn-ME"/>
        </w:rPr>
        <w:t>ned</w:t>
      </w:r>
      <w:r w:rsidR="00916178" w:rsidRPr="00B74B0F">
        <w:rPr>
          <w:rFonts w:eastAsia="Arial"/>
          <w:szCs w:val="22"/>
          <w:lang w:val="sr-Latn-ME"/>
        </w:rPr>
        <w:t>j</w:t>
      </w:r>
      <w:r w:rsidR="00181042" w:rsidRPr="00B74B0F">
        <w:rPr>
          <w:rFonts w:eastAsia="Arial"/>
          <w:szCs w:val="22"/>
          <w:lang w:val="sr-Latn-ME"/>
        </w:rPr>
        <w:t>elji</w:t>
      </w:r>
      <w:r w:rsidRPr="00B74B0F">
        <w:rPr>
          <w:rFonts w:eastAsia="Arial"/>
          <w:szCs w:val="22"/>
          <w:lang w:val="sr-Latn-ME"/>
        </w:rPr>
        <w:t xml:space="preserve">, značajno veći udio </w:t>
      </w:r>
      <w:r w:rsidR="00181042" w:rsidRPr="00B74B0F">
        <w:rPr>
          <w:rFonts w:eastAsia="Arial"/>
          <w:szCs w:val="22"/>
          <w:lang w:val="sr-Latn-ME"/>
        </w:rPr>
        <w:t>pacijenata</w:t>
      </w:r>
      <w:r w:rsidRPr="00B74B0F">
        <w:rPr>
          <w:rFonts w:eastAsia="Arial"/>
          <w:szCs w:val="22"/>
          <w:lang w:val="sr-Latn-ME"/>
        </w:rPr>
        <w:t xml:space="preserve"> liječenih upadacitinibom u dozi od 45 mg jedanput na dan</w:t>
      </w:r>
      <w:r w:rsidRPr="00B74B0F">
        <w:rPr>
          <w:rFonts w:eastAsia="Arial"/>
          <w:iCs/>
          <w:szCs w:val="22"/>
          <w:lang w:val="sr-Latn-ME"/>
        </w:rPr>
        <w:t xml:space="preserve"> u </w:t>
      </w:r>
      <w:r w:rsidR="00181042" w:rsidRPr="00B74B0F">
        <w:rPr>
          <w:rFonts w:eastAsia="Arial"/>
          <w:iCs/>
          <w:szCs w:val="22"/>
          <w:lang w:val="sr-Latn-ME"/>
        </w:rPr>
        <w:t>poređenju</w:t>
      </w:r>
      <w:r w:rsidRPr="00B74B0F">
        <w:rPr>
          <w:rFonts w:eastAsia="Arial"/>
          <w:iCs/>
          <w:szCs w:val="22"/>
          <w:lang w:val="sr-Latn-ME"/>
        </w:rPr>
        <w:t xml:space="preserve"> s</w:t>
      </w:r>
      <w:r w:rsidR="00144C74" w:rsidRPr="00B74B0F">
        <w:rPr>
          <w:rFonts w:eastAsia="Arial"/>
          <w:iCs/>
          <w:szCs w:val="22"/>
          <w:lang w:val="sr-Latn-ME"/>
        </w:rPr>
        <w:t>a</w:t>
      </w:r>
      <w:r w:rsidRPr="00B74B0F">
        <w:rPr>
          <w:rFonts w:eastAsia="Arial"/>
          <w:iCs/>
          <w:szCs w:val="22"/>
          <w:lang w:val="sr-Latn-ME"/>
        </w:rPr>
        <w:t xml:space="preserve"> placebom postigao je endoskopsku remisiju</w:t>
      </w:r>
      <w:r w:rsidRPr="00B74B0F">
        <w:rPr>
          <w:rFonts w:eastAsia="Arial"/>
          <w:szCs w:val="22"/>
          <w:lang w:val="sr-Latn-ME"/>
        </w:rPr>
        <w:t xml:space="preserve"> (UC</w:t>
      </w:r>
      <w:r w:rsidRPr="00B74B0F">
        <w:rPr>
          <w:rFonts w:eastAsia="Arial"/>
          <w:szCs w:val="22"/>
          <w:lang w:val="sr-Latn-ME"/>
        </w:rPr>
        <w:noBreakHyphen/>
        <w:t>1: 13,7% naspram 1,3%, UC</w:t>
      </w:r>
      <w:r w:rsidRPr="00B74B0F">
        <w:rPr>
          <w:rFonts w:eastAsia="Arial"/>
          <w:szCs w:val="22"/>
          <w:lang w:val="sr-Latn-ME"/>
        </w:rPr>
        <w:noBreakHyphen/>
        <w:t xml:space="preserve">2: 18,2% naspram 1,7%). U UC-3, značajno veći udio </w:t>
      </w:r>
      <w:r w:rsidR="00181042" w:rsidRPr="00B74B0F">
        <w:rPr>
          <w:rFonts w:eastAsia="Arial"/>
          <w:szCs w:val="22"/>
          <w:lang w:val="sr-Latn-ME"/>
        </w:rPr>
        <w:t>pacijenata</w:t>
      </w:r>
      <w:r w:rsidRPr="00B74B0F">
        <w:rPr>
          <w:rFonts w:eastAsia="Arial"/>
          <w:szCs w:val="22"/>
          <w:lang w:val="sr-Latn-ME"/>
        </w:rPr>
        <w:t xml:space="preserve"> liječenih upadacitinibom od 15 mg i 30 mg jedanput na dan u </w:t>
      </w:r>
      <w:r w:rsidR="00181042" w:rsidRPr="00B74B0F">
        <w:rPr>
          <w:rFonts w:eastAsia="Arial"/>
          <w:szCs w:val="22"/>
          <w:lang w:val="sr-Latn-ME"/>
        </w:rPr>
        <w:t>poređenju</w:t>
      </w:r>
      <w:r w:rsidRPr="00B74B0F">
        <w:rPr>
          <w:rFonts w:eastAsia="Arial"/>
          <w:szCs w:val="22"/>
          <w:lang w:val="sr-Latn-ME"/>
        </w:rPr>
        <w:t xml:space="preserve"> s</w:t>
      </w:r>
      <w:r w:rsidR="00144C74" w:rsidRPr="00B74B0F">
        <w:rPr>
          <w:rFonts w:eastAsia="Arial"/>
          <w:szCs w:val="22"/>
          <w:lang w:val="sr-Latn-ME"/>
        </w:rPr>
        <w:t>a</w:t>
      </w:r>
      <w:r w:rsidRPr="00B74B0F">
        <w:rPr>
          <w:rFonts w:eastAsia="Arial"/>
          <w:szCs w:val="22"/>
          <w:lang w:val="sr-Latn-ME"/>
        </w:rPr>
        <w:t xml:space="preserve"> placebom postigao je endoskopsku remisiju u 52. </w:t>
      </w:r>
      <w:r w:rsidR="00181042" w:rsidRPr="00B74B0F">
        <w:rPr>
          <w:rFonts w:eastAsia="Arial"/>
          <w:szCs w:val="22"/>
          <w:lang w:val="sr-Latn-ME"/>
        </w:rPr>
        <w:t>ned</w:t>
      </w:r>
      <w:r w:rsidR="00916178" w:rsidRPr="00B74B0F">
        <w:rPr>
          <w:rFonts w:eastAsia="Arial"/>
          <w:szCs w:val="22"/>
          <w:lang w:val="sr-Latn-ME"/>
        </w:rPr>
        <w:t>j</w:t>
      </w:r>
      <w:r w:rsidR="00181042" w:rsidRPr="00B74B0F">
        <w:rPr>
          <w:rFonts w:eastAsia="Arial"/>
          <w:szCs w:val="22"/>
          <w:lang w:val="sr-Latn-ME"/>
        </w:rPr>
        <w:t>elji</w:t>
      </w:r>
      <w:r w:rsidRPr="00B74B0F">
        <w:rPr>
          <w:rFonts w:eastAsia="Arial"/>
          <w:szCs w:val="22"/>
          <w:lang w:val="sr-Latn-ME"/>
        </w:rPr>
        <w:t xml:space="preserve"> (24,2% i 25,9% naspram 5,6%). Održavanje</w:t>
      </w:r>
      <w:r w:rsidR="00144C74" w:rsidRPr="00B74B0F">
        <w:rPr>
          <w:rFonts w:eastAsia="Arial"/>
          <w:szCs w:val="22"/>
          <w:lang w:val="sr-Latn-ME"/>
        </w:rPr>
        <w:t xml:space="preserve"> liječenj</w:t>
      </w:r>
      <w:r w:rsidRPr="00B74B0F">
        <w:rPr>
          <w:rFonts w:eastAsia="Arial"/>
          <w:szCs w:val="22"/>
          <w:lang w:val="sr-Latn-ME"/>
        </w:rPr>
        <w:t>a sluznice u 52. </w:t>
      </w:r>
      <w:r w:rsidR="00181042" w:rsidRPr="00B74B0F">
        <w:rPr>
          <w:rFonts w:eastAsia="Arial"/>
          <w:szCs w:val="22"/>
          <w:lang w:val="sr-Latn-ME"/>
        </w:rPr>
        <w:t>ned</w:t>
      </w:r>
      <w:r w:rsidR="00916178" w:rsidRPr="00B74B0F">
        <w:rPr>
          <w:rFonts w:eastAsia="Arial"/>
          <w:szCs w:val="22"/>
          <w:lang w:val="sr-Latn-ME"/>
        </w:rPr>
        <w:t>j</w:t>
      </w:r>
      <w:r w:rsidR="00181042" w:rsidRPr="00B74B0F">
        <w:rPr>
          <w:rFonts w:eastAsia="Arial"/>
          <w:szCs w:val="22"/>
          <w:lang w:val="sr-Latn-ME"/>
        </w:rPr>
        <w:t>elji</w:t>
      </w:r>
      <w:r w:rsidRPr="00B74B0F">
        <w:rPr>
          <w:rFonts w:eastAsia="Arial"/>
          <w:szCs w:val="22"/>
          <w:lang w:val="sr-Latn-ME"/>
        </w:rPr>
        <w:t xml:space="preserve"> (ES ≤ 1 bez lomljivosti) uočeno je u značajno većem </w:t>
      </w:r>
      <w:r w:rsidR="00916178" w:rsidRPr="00B74B0F">
        <w:rPr>
          <w:rFonts w:eastAsia="Arial"/>
          <w:szCs w:val="22"/>
          <w:lang w:val="sr-Latn-ME"/>
        </w:rPr>
        <w:t>broju</w:t>
      </w:r>
      <w:r w:rsidRPr="00B74B0F">
        <w:rPr>
          <w:rFonts w:eastAsia="Arial"/>
          <w:szCs w:val="22"/>
          <w:lang w:val="sr-Latn-ME"/>
        </w:rPr>
        <w:t xml:space="preserve"> </w:t>
      </w:r>
      <w:r w:rsidR="00181042" w:rsidRPr="00B74B0F">
        <w:rPr>
          <w:rFonts w:eastAsia="Arial"/>
          <w:szCs w:val="22"/>
          <w:lang w:val="sr-Latn-ME"/>
        </w:rPr>
        <w:t>pacijenata</w:t>
      </w:r>
      <w:r w:rsidRPr="00B74B0F">
        <w:rPr>
          <w:rFonts w:eastAsia="Arial"/>
          <w:szCs w:val="22"/>
          <w:lang w:val="sr-Latn-ME"/>
        </w:rPr>
        <w:t xml:space="preserve"> liječenih upadacitinibom od 15 mg i 30 mg jedanput na dan u </w:t>
      </w:r>
      <w:r w:rsidR="00181042" w:rsidRPr="00B74B0F">
        <w:rPr>
          <w:rFonts w:eastAsia="Arial"/>
          <w:szCs w:val="22"/>
          <w:lang w:val="sr-Latn-ME"/>
        </w:rPr>
        <w:t>poređenju</w:t>
      </w:r>
      <w:r w:rsidRPr="00B74B0F">
        <w:rPr>
          <w:rFonts w:eastAsia="Arial"/>
          <w:szCs w:val="22"/>
          <w:lang w:val="sr-Latn-ME"/>
        </w:rPr>
        <w:t xml:space="preserve"> s</w:t>
      </w:r>
      <w:r w:rsidR="00144C74" w:rsidRPr="00B74B0F">
        <w:rPr>
          <w:rFonts w:eastAsia="Arial"/>
          <w:szCs w:val="22"/>
          <w:lang w:val="sr-Latn-ME"/>
        </w:rPr>
        <w:t>a</w:t>
      </w:r>
      <w:r w:rsidRPr="00B74B0F">
        <w:rPr>
          <w:rFonts w:eastAsia="Arial"/>
          <w:szCs w:val="22"/>
          <w:lang w:val="sr-Latn-ME"/>
        </w:rPr>
        <w:t xml:space="preserve"> placebom (61,6% i 69,5% naspram 19,2%) među </w:t>
      </w:r>
      <w:r w:rsidR="00181042" w:rsidRPr="00B74B0F">
        <w:rPr>
          <w:rFonts w:eastAsia="Arial"/>
          <w:szCs w:val="22"/>
          <w:lang w:val="sr-Latn-ME"/>
        </w:rPr>
        <w:t>pacijenti</w:t>
      </w:r>
      <w:r w:rsidRPr="00B74B0F">
        <w:rPr>
          <w:rFonts w:eastAsia="Arial"/>
          <w:szCs w:val="22"/>
          <w:lang w:val="sr-Latn-ME"/>
        </w:rPr>
        <w:t xml:space="preserve">ma koji su postigli </w:t>
      </w:r>
      <w:r w:rsidR="00181042" w:rsidRPr="00B74B0F">
        <w:rPr>
          <w:rFonts w:eastAsia="Arial"/>
          <w:szCs w:val="22"/>
          <w:lang w:val="sr-Latn-ME"/>
        </w:rPr>
        <w:t>liječenje</w:t>
      </w:r>
      <w:r w:rsidRPr="00B74B0F">
        <w:rPr>
          <w:rFonts w:eastAsia="Arial"/>
          <w:szCs w:val="22"/>
          <w:lang w:val="sr-Latn-ME"/>
        </w:rPr>
        <w:t xml:space="preserve"> sluznice na kraju indukcije. </w:t>
      </w:r>
    </w:p>
    <w:p w14:paraId="41E656D1" w14:textId="6F0FD479" w:rsidR="004E3BE3" w:rsidRPr="00B74B0F" w:rsidRDefault="004E3BE3">
      <w:pPr>
        <w:spacing w:line="240" w:lineRule="auto"/>
        <w:jc w:val="both"/>
        <w:rPr>
          <w:i/>
          <w:szCs w:val="22"/>
          <w:lang w:val="sr-Latn-ME"/>
        </w:rPr>
      </w:pPr>
      <w:r w:rsidRPr="00B74B0F">
        <w:rPr>
          <w:i/>
          <w:szCs w:val="22"/>
          <w:lang w:val="sr-Latn-ME"/>
        </w:rPr>
        <w:lastRenderedPageBreak/>
        <w:t>Kvalitet života</w:t>
      </w:r>
    </w:p>
    <w:p w14:paraId="4D5710E1" w14:textId="77777777" w:rsidR="00144C74" w:rsidRPr="00B74B0F" w:rsidRDefault="00144C74">
      <w:pPr>
        <w:spacing w:line="240" w:lineRule="auto"/>
        <w:jc w:val="both"/>
        <w:rPr>
          <w:rFonts w:eastAsia="Arial"/>
          <w:i/>
          <w:szCs w:val="22"/>
          <w:lang w:val="sr-Latn-ME"/>
        </w:rPr>
      </w:pPr>
    </w:p>
    <w:p w14:paraId="3C9D5C6E" w14:textId="1D45455A" w:rsidR="004E3BE3" w:rsidRPr="00B74B0F" w:rsidRDefault="00181042">
      <w:pPr>
        <w:spacing w:line="240" w:lineRule="auto"/>
        <w:jc w:val="both"/>
        <w:rPr>
          <w:szCs w:val="22"/>
          <w:lang w:val="sr-Latn-ME"/>
        </w:rPr>
      </w:pPr>
      <w:r w:rsidRPr="00B74B0F">
        <w:rPr>
          <w:rFonts w:eastAsia="Arial"/>
          <w:szCs w:val="22"/>
          <w:lang w:val="sr-Latn-ME"/>
        </w:rPr>
        <w:t>Pacijenti</w:t>
      </w:r>
      <w:r w:rsidR="004E3BE3" w:rsidRPr="00B74B0F">
        <w:rPr>
          <w:rFonts w:eastAsia="Arial"/>
          <w:szCs w:val="22"/>
          <w:lang w:val="sr-Latn-ME"/>
        </w:rPr>
        <w:t xml:space="preserve"> liječeni upadacitinibom </w:t>
      </w:r>
      <w:r w:rsidR="001B6B9B" w:rsidRPr="00B74B0F">
        <w:rPr>
          <w:rFonts w:eastAsia="Arial"/>
          <w:szCs w:val="22"/>
          <w:lang w:val="sr-Latn-ME"/>
        </w:rPr>
        <w:t xml:space="preserve">u </w:t>
      </w:r>
      <w:r w:rsidRPr="00B74B0F">
        <w:rPr>
          <w:rFonts w:eastAsia="Arial"/>
          <w:szCs w:val="22"/>
          <w:lang w:val="sr-Latn-ME"/>
        </w:rPr>
        <w:t>poređenju</w:t>
      </w:r>
      <w:r w:rsidR="004E3BE3" w:rsidRPr="00B74B0F">
        <w:rPr>
          <w:rFonts w:eastAsia="Arial"/>
          <w:szCs w:val="22"/>
          <w:lang w:val="sr-Latn-ME"/>
        </w:rPr>
        <w:t xml:space="preserve"> s</w:t>
      </w:r>
      <w:r w:rsidR="00144C74" w:rsidRPr="00B74B0F">
        <w:rPr>
          <w:rFonts w:eastAsia="Arial"/>
          <w:szCs w:val="22"/>
          <w:lang w:val="sr-Latn-ME"/>
        </w:rPr>
        <w:t>a</w:t>
      </w:r>
      <w:r w:rsidR="004E3BE3" w:rsidRPr="00B74B0F">
        <w:rPr>
          <w:rFonts w:eastAsia="Arial"/>
          <w:szCs w:val="22"/>
          <w:lang w:val="sr-Latn-ME"/>
        </w:rPr>
        <w:t xml:space="preserve"> placebom pokazali su znatno veće i klinički značajno poboljšanje kvalitet</w:t>
      </w:r>
      <w:r w:rsidR="00916178" w:rsidRPr="00B74B0F">
        <w:rPr>
          <w:rFonts w:eastAsia="Arial"/>
          <w:szCs w:val="22"/>
          <w:lang w:val="sr-Latn-ME"/>
        </w:rPr>
        <w:t>a</w:t>
      </w:r>
      <w:r w:rsidR="004E3BE3" w:rsidRPr="00B74B0F">
        <w:rPr>
          <w:rFonts w:eastAsia="Arial"/>
          <w:szCs w:val="22"/>
          <w:lang w:val="sr-Latn-ME"/>
        </w:rPr>
        <w:t xml:space="preserve"> života povezanog sa zdravljem mjereno ukupnim rezultatom upitnika za procjenu kvalitet</w:t>
      </w:r>
      <w:r w:rsidR="00916178" w:rsidRPr="00B74B0F">
        <w:rPr>
          <w:rFonts w:eastAsia="Arial"/>
          <w:szCs w:val="22"/>
          <w:lang w:val="sr-Latn-ME"/>
        </w:rPr>
        <w:t>a</w:t>
      </w:r>
      <w:r w:rsidR="004E3BE3" w:rsidRPr="00B74B0F">
        <w:rPr>
          <w:rFonts w:eastAsia="Arial"/>
          <w:szCs w:val="22"/>
          <w:lang w:val="sr-Latn-ME"/>
        </w:rPr>
        <w:t xml:space="preserve"> života </w:t>
      </w:r>
      <w:r w:rsidRPr="00B74B0F">
        <w:rPr>
          <w:rFonts w:eastAsia="Arial"/>
          <w:szCs w:val="22"/>
          <w:lang w:val="sr-Latn-ME"/>
        </w:rPr>
        <w:t>pacijenata</w:t>
      </w:r>
      <w:r w:rsidR="004E3BE3" w:rsidRPr="00B74B0F">
        <w:rPr>
          <w:rFonts w:eastAsia="Arial"/>
          <w:szCs w:val="22"/>
          <w:lang w:val="sr-Latn-ME"/>
        </w:rPr>
        <w:t xml:space="preserve"> s</w:t>
      </w:r>
      <w:r w:rsidR="00144C74" w:rsidRPr="00B74B0F">
        <w:rPr>
          <w:rFonts w:eastAsia="Arial"/>
          <w:szCs w:val="22"/>
          <w:lang w:val="sr-Latn-ME"/>
        </w:rPr>
        <w:t>a</w:t>
      </w:r>
      <w:r w:rsidR="004E3BE3" w:rsidRPr="00B74B0F">
        <w:rPr>
          <w:rFonts w:eastAsia="Arial"/>
          <w:szCs w:val="22"/>
          <w:lang w:val="sr-Latn-ME"/>
        </w:rPr>
        <w:t xml:space="preserve"> upaln</w:t>
      </w:r>
      <w:r w:rsidR="00916178" w:rsidRPr="00B74B0F">
        <w:rPr>
          <w:rFonts w:eastAsia="Arial"/>
          <w:szCs w:val="22"/>
          <w:lang w:val="sr-Latn-ME"/>
        </w:rPr>
        <w:t>i</w:t>
      </w:r>
      <w:r w:rsidR="004E3BE3" w:rsidRPr="00B74B0F">
        <w:rPr>
          <w:rFonts w:eastAsia="Arial"/>
          <w:szCs w:val="22"/>
          <w:lang w:val="sr-Latn-ME"/>
        </w:rPr>
        <w:t xml:space="preserve">m </w:t>
      </w:r>
      <w:r w:rsidR="00916178" w:rsidRPr="00B74B0F">
        <w:rPr>
          <w:rFonts w:eastAsia="Arial"/>
          <w:szCs w:val="22"/>
          <w:lang w:val="sr-Latn-ME"/>
        </w:rPr>
        <w:t>oboljenjem</w:t>
      </w:r>
      <w:r w:rsidR="004E3BE3" w:rsidRPr="00B74B0F">
        <w:rPr>
          <w:rFonts w:eastAsia="Arial"/>
          <w:szCs w:val="22"/>
          <w:lang w:val="sr-Latn-ME"/>
        </w:rPr>
        <w:t xml:space="preserve"> crijeva (</w:t>
      </w:r>
      <w:r w:rsidR="004E3BE3" w:rsidRPr="00B74B0F">
        <w:rPr>
          <w:rFonts w:eastAsia="Arial"/>
          <w:iCs/>
          <w:szCs w:val="22"/>
          <w:lang w:val="sr-Latn-ME"/>
        </w:rPr>
        <w:t>engl.</w:t>
      </w:r>
      <w:r w:rsidR="004E3BE3" w:rsidRPr="00B74B0F">
        <w:rPr>
          <w:rFonts w:eastAsia="Arial"/>
          <w:i/>
          <w:iCs/>
          <w:szCs w:val="22"/>
          <w:lang w:val="sr-Latn-ME"/>
        </w:rPr>
        <w:t xml:space="preserve"> Inflammatory Bowel Disease Questionnaire, </w:t>
      </w:r>
      <w:r w:rsidR="004E3BE3" w:rsidRPr="00B74B0F">
        <w:rPr>
          <w:rFonts w:eastAsia="Arial"/>
          <w:szCs w:val="22"/>
          <w:lang w:val="sr-Latn-ME"/>
        </w:rPr>
        <w:t>IBDQ). Uočena su poboljšanja u rezultatima sv</w:t>
      </w:r>
      <w:r w:rsidR="00916178" w:rsidRPr="00B74B0F">
        <w:rPr>
          <w:rFonts w:eastAsia="Arial"/>
          <w:szCs w:val="22"/>
          <w:lang w:val="sr-Latn-ME"/>
        </w:rPr>
        <w:t>a</w:t>
      </w:r>
      <w:r w:rsidR="004E3BE3" w:rsidRPr="00B74B0F">
        <w:rPr>
          <w:rFonts w:eastAsia="Arial"/>
          <w:szCs w:val="22"/>
          <w:lang w:val="sr-Latn-ME"/>
        </w:rPr>
        <w:t xml:space="preserve"> 4 domen</w:t>
      </w:r>
      <w:r w:rsidR="00916178" w:rsidRPr="00B74B0F">
        <w:rPr>
          <w:rFonts w:eastAsia="Arial"/>
          <w:szCs w:val="22"/>
          <w:lang w:val="sr-Latn-ME"/>
        </w:rPr>
        <w:t>a</w:t>
      </w:r>
      <w:r w:rsidR="004E3BE3" w:rsidRPr="00B74B0F">
        <w:rPr>
          <w:rFonts w:eastAsia="Arial"/>
          <w:szCs w:val="22"/>
          <w:lang w:val="sr-Latn-ME"/>
        </w:rPr>
        <w:t>: sistemski simptomi (uključujući umor), socijalno funkcioni</w:t>
      </w:r>
      <w:r w:rsidRPr="00B74B0F">
        <w:rPr>
          <w:rFonts w:eastAsia="Arial"/>
          <w:szCs w:val="22"/>
          <w:lang w:val="sr-Latn-ME"/>
        </w:rPr>
        <w:t>s</w:t>
      </w:r>
      <w:r w:rsidR="004E3BE3" w:rsidRPr="00B74B0F">
        <w:rPr>
          <w:rFonts w:eastAsia="Arial"/>
          <w:szCs w:val="22"/>
          <w:lang w:val="sr-Latn-ME"/>
        </w:rPr>
        <w:t>anje, emocionalno funk</w:t>
      </w:r>
      <w:r w:rsidRPr="00B74B0F">
        <w:rPr>
          <w:rFonts w:eastAsia="Arial"/>
          <w:szCs w:val="22"/>
          <w:lang w:val="sr-Latn-ME"/>
        </w:rPr>
        <w:t>cionisanje</w:t>
      </w:r>
      <w:r w:rsidR="004E3BE3" w:rsidRPr="00B74B0F">
        <w:rPr>
          <w:rFonts w:eastAsia="Arial"/>
          <w:szCs w:val="22"/>
          <w:lang w:val="sr-Latn-ME"/>
        </w:rPr>
        <w:t xml:space="preserve"> i simptomi </w:t>
      </w:r>
      <w:r w:rsidRPr="00B74B0F">
        <w:rPr>
          <w:rFonts w:eastAsia="Arial"/>
          <w:szCs w:val="22"/>
          <w:lang w:val="sr-Latn-ME"/>
        </w:rPr>
        <w:t>sistema organa za varenje</w:t>
      </w:r>
      <w:r w:rsidR="004E3BE3" w:rsidRPr="00B74B0F">
        <w:rPr>
          <w:rFonts w:eastAsia="Arial"/>
          <w:szCs w:val="22"/>
          <w:lang w:val="sr-Latn-ME"/>
        </w:rPr>
        <w:t xml:space="preserve"> (uključujući bol u abdomenu i hitnost pražnjenja crijeva).</w:t>
      </w:r>
      <w:r w:rsidR="004E3BE3" w:rsidRPr="00B74B0F">
        <w:rPr>
          <w:szCs w:val="22"/>
          <w:lang w:val="sr-Latn-ME"/>
        </w:rPr>
        <w:t xml:space="preserve"> Promjene ukupnog rezultata IBDQ-a u 8. </w:t>
      </w:r>
      <w:r w:rsidRPr="00B74B0F">
        <w:rPr>
          <w:szCs w:val="22"/>
          <w:lang w:val="sr-Latn-ME"/>
        </w:rPr>
        <w:t>ned</w:t>
      </w:r>
      <w:r w:rsidR="00916178" w:rsidRPr="00B74B0F">
        <w:rPr>
          <w:szCs w:val="22"/>
          <w:lang w:val="sr-Latn-ME"/>
        </w:rPr>
        <w:t>j</w:t>
      </w:r>
      <w:r w:rsidRPr="00B74B0F">
        <w:rPr>
          <w:szCs w:val="22"/>
          <w:lang w:val="sr-Latn-ME"/>
        </w:rPr>
        <w:t>elji</w:t>
      </w:r>
      <w:r w:rsidR="004E3BE3" w:rsidRPr="00B74B0F">
        <w:rPr>
          <w:szCs w:val="22"/>
          <w:lang w:val="sr-Latn-ME"/>
        </w:rPr>
        <w:t xml:space="preserve"> u odnosu na početnu vrijednost s</w:t>
      </w:r>
      <w:r w:rsidR="00144C74" w:rsidRPr="00B74B0F">
        <w:rPr>
          <w:szCs w:val="22"/>
          <w:lang w:val="sr-Latn-ME"/>
        </w:rPr>
        <w:t xml:space="preserve">a </w:t>
      </w:r>
      <w:r w:rsidR="004E3BE3" w:rsidRPr="00B74B0F">
        <w:rPr>
          <w:szCs w:val="22"/>
          <w:lang w:val="sr-Latn-ME"/>
        </w:rPr>
        <w:t xml:space="preserve">upadacitinibom od 45 mg jedanput na dan u </w:t>
      </w:r>
      <w:r w:rsidRPr="00B74B0F">
        <w:rPr>
          <w:szCs w:val="22"/>
          <w:lang w:val="sr-Latn-ME"/>
        </w:rPr>
        <w:t>poređenju</w:t>
      </w:r>
      <w:r w:rsidR="004E3BE3" w:rsidRPr="00B74B0F">
        <w:rPr>
          <w:szCs w:val="22"/>
          <w:lang w:val="sr-Latn-ME"/>
        </w:rPr>
        <w:t xml:space="preserve"> s</w:t>
      </w:r>
      <w:r w:rsidR="00144C74" w:rsidRPr="00B74B0F">
        <w:rPr>
          <w:szCs w:val="22"/>
          <w:lang w:val="sr-Latn-ME"/>
        </w:rPr>
        <w:t xml:space="preserve">a </w:t>
      </w:r>
      <w:r w:rsidR="004E3BE3" w:rsidRPr="00B74B0F">
        <w:rPr>
          <w:szCs w:val="22"/>
          <w:lang w:val="sr-Latn-ME"/>
        </w:rPr>
        <w:t>placebom bile su 55,3 i 21,7 u UC-1 odnosno 52,2 i 21,1 u UC-2. Promjene ukupnog rezultata IBDQ-a u 52. </w:t>
      </w:r>
      <w:r w:rsidRPr="00B74B0F">
        <w:rPr>
          <w:szCs w:val="22"/>
          <w:lang w:val="sr-Latn-ME"/>
        </w:rPr>
        <w:t>ned</w:t>
      </w:r>
      <w:r w:rsidR="00916178" w:rsidRPr="00B74B0F">
        <w:rPr>
          <w:szCs w:val="22"/>
          <w:lang w:val="sr-Latn-ME"/>
        </w:rPr>
        <w:t>j</w:t>
      </w:r>
      <w:r w:rsidRPr="00B74B0F">
        <w:rPr>
          <w:szCs w:val="22"/>
          <w:lang w:val="sr-Latn-ME"/>
        </w:rPr>
        <w:t>elji</w:t>
      </w:r>
      <w:r w:rsidR="004E3BE3" w:rsidRPr="00B74B0F">
        <w:rPr>
          <w:szCs w:val="22"/>
          <w:lang w:val="sr-Latn-ME"/>
        </w:rPr>
        <w:t xml:space="preserve"> u odnosu na početnu vrijednost bile su 49,2; 58,9 i 17,9 u </w:t>
      </w:r>
      <w:r w:rsidRPr="00B74B0F">
        <w:rPr>
          <w:szCs w:val="22"/>
          <w:lang w:val="sr-Latn-ME"/>
        </w:rPr>
        <w:t>pacijenata</w:t>
      </w:r>
      <w:r w:rsidR="004E3BE3" w:rsidRPr="00B74B0F">
        <w:rPr>
          <w:szCs w:val="22"/>
          <w:lang w:val="sr-Latn-ME"/>
        </w:rPr>
        <w:t xml:space="preserve"> liječenih upadacitinibom od 15 mg, 30 mg jedanput na dan odnosno placebom.</w:t>
      </w:r>
    </w:p>
    <w:p w14:paraId="407FD926" w14:textId="77777777" w:rsidR="00366107" w:rsidRPr="00B74B0F" w:rsidRDefault="00366107">
      <w:pPr>
        <w:spacing w:line="240" w:lineRule="auto"/>
        <w:jc w:val="both"/>
        <w:rPr>
          <w:szCs w:val="22"/>
          <w:lang w:val="sr-Latn-ME"/>
        </w:rPr>
      </w:pPr>
    </w:p>
    <w:p w14:paraId="3BC30241" w14:textId="77777777" w:rsidR="00366107" w:rsidRPr="00B74B0F" w:rsidRDefault="00366107" w:rsidP="00A30C3C">
      <w:pPr>
        <w:keepNext/>
        <w:tabs>
          <w:tab w:val="clear" w:pos="567"/>
        </w:tabs>
        <w:spacing w:line="240" w:lineRule="auto"/>
        <w:jc w:val="both"/>
        <w:outlineLvl w:val="0"/>
        <w:rPr>
          <w:rFonts w:eastAsia="MS Mincho"/>
          <w:b/>
          <w:bCs/>
          <w:i/>
          <w:iCs/>
          <w:kern w:val="32"/>
          <w:szCs w:val="22"/>
          <w:lang w:val="sr-Latn-ME" w:eastAsia="ja-JP"/>
        </w:rPr>
      </w:pPr>
      <w:r w:rsidRPr="00B74B0F">
        <w:rPr>
          <w:rFonts w:eastAsia="MS Mincho"/>
          <w:bCs/>
          <w:i/>
          <w:kern w:val="32"/>
          <w:szCs w:val="22"/>
          <w:lang w:val="sr-Latn-ME" w:eastAsia="ja-JP"/>
        </w:rPr>
        <w:t>Crohnova bolest</w:t>
      </w:r>
    </w:p>
    <w:p w14:paraId="433A5D4B" w14:textId="77777777" w:rsidR="00366107" w:rsidRPr="00B74B0F" w:rsidRDefault="00366107" w:rsidP="00A30C3C">
      <w:pPr>
        <w:tabs>
          <w:tab w:val="clear" w:pos="567"/>
        </w:tabs>
        <w:spacing w:line="240" w:lineRule="auto"/>
        <w:jc w:val="both"/>
        <w:rPr>
          <w:szCs w:val="22"/>
          <w:lang w:val="sr-Latn-ME"/>
        </w:rPr>
      </w:pPr>
    </w:p>
    <w:p w14:paraId="3119CC61" w14:textId="759CF205" w:rsidR="00366107" w:rsidRPr="00B74B0F" w:rsidRDefault="00366107" w:rsidP="00A30C3C">
      <w:pPr>
        <w:tabs>
          <w:tab w:val="clear" w:pos="567"/>
        </w:tabs>
        <w:spacing w:line="240" w:lineRule="auto"/>
        <w:jc w:val="both"/>
        <w:rPr>
          <w:rFonts w:eastAsia="Arial"/>
          <w:szCs w:val="22"/>
          <w:lang w:val="sr-Latn-ME"/>
        </w:rPr>
      </w:pPr>
      <w:r w:rsidRPr="00B74B0F">
        <w:rPr>
          <w:rFonts w:eastAsia="Calibri"/>
          <w:noProof/>
          <w:szCs w:val="22"/>
          <w:lang w:val="sr-Latn-ME"/>
        </w:rPr>
        <w:t xml:space="preserve">Efikasnost i </w:t>
      </w:r>
      <w:r w:rsidR="00A50622" w:rsidRPr="00B74B0F">
        <w:rPr>
          <w:rFonts w:eastAsia="Calibri"/>
          <w:noProof/>
          <w:szCs w:val="22"/>
          <w:lang w:val="sr-Latn-ME"/>
        </w:rPr>
        <w:t>bezbjednost</w:t>
      </w:r>
      <w:r w:rsidRPr="00B74B0F">
        <w:rPr>
          <w:rFonts w:eastAsia="Calibri"/>
          <w:noProof/>
          <w:szCs w:val="22"/>
          <w:lang w:val="sr-Latn-ME"/>
        </w:rPr>
        <w:t xml:space="preserve"> upadacitiniba procijenjene su u tri multicentrična, dvostruko slijepa, placebom kontrolisana ispitivanja faze 3; dva su bila ispitivanja indukcijskog liječenja, </w:t>
      </w:r>
      <w:r w:rsidRPr="00B74B0F">
        <w:rPr>
          <w:rFonts w:eastAsia="Arial"/>
          <w:color w:val="231F20"/>
          <w:szCs w:val="22"/>
          <w:lang w:val="sr-Latn-ME"/>
        </w:rPr>
        <w:t>CD</w:t>
      </w:r>
      <w:r w:rsidRPr="00B74B0F">
        <w:rPr>
          <w:rFonts w:eastAsia="Arial"/>
          <w:color w:val="231F20"/>
          <w:szCs w:val="22"/>
          <w:lang w:val="sr-Latn-ME"/>
        </w:rPr>
        <w:noBreakHyphen/>
        <w:t>1 (U</w:t>
      </w:r>
      <w:r w:rsidRPr="00B74B0F">
        <w:rPr>
          <w:rFonts w:eastAsia="Arial"/>
          <w:color w:val="231F20"/>
          <w:szCs w:val="22"/>
          <w:lang w:val="sr-Latn-ME"/>
        </w:rPr>
        <w:noBreakHyphen/>
        <w:t>EXCEED) i CD</w:t>
      </w:r>
      <w:r w:rsidRPr="00B74B0F">
        <w:rPr>
          <w:rFonts w:eastAsia="Arial"/>
          <w:color w:val="231F20"/>
          <w:szCs w:val="22"/>
          <w:lang w:val="sr-Latn-ME"/>
        </w:rPr>
        <w:noBreakHyphen/>
        <w:t>2 (U</w:t>
      </w:r>
      <w:r w:rsidRPr="00B74B0F">
        <w:rPr>
          <w:rFonts w:eastAsia="Arial"/>
          <w:color w:val="231F20"/>
          <w:szCs w:val="22"/>
          <w:lang w:val="sr-Latn-ME"/>
        </w:rPr>
        <w:noBreakHyphen/>
        <w:t>EXCEL), a nakon njih je slijedilo 52</w:t>
      </w:r>
      <w:r w:rsidRPr="00B74B0F">
        <w:rPr>
          <w:rFonts w:eastAsia="Arial"/>
          <w:color w:val="231F20"/>
          <w:szCs w:val="22"/>
          <w:lang w:val="sr-Latn-ME"/>
        </w:rPr>
        <w:noBreakHyphen/>
        <w:t>sedmično ispitivanje terapije održavanja i dugotrajni produžetak ispitivanja CD-3 (U-ENDURE). Koprimarn</w:t>
      </w:r>
      <w:r w:rsidR="00144C74" w:rsidRPr="00B74B0F">
        <w:rPr>
          <w:rFonts w:eastAsia="Arial"/>
          <w:color w:val="231F20"/>
          <w:szCs w:val="22"/>
          <w:lang w:val="sr-Latn-ME"/>
        </w:rPr>
        <w:t>i parametri praćenja</w:t>
      </w:r>
      <w:r w:rsidRPr="00B74B0F">
        <w:rPr>
          <w:rFonts w:eastAsia="Arial"/>
          <w:color w:val="231F20"/>
          <w:szCs w:val="22"/>
          <w:lang w:val="sr-Latn-ME"/>
        </w:rPr>
        <w:t xml:space="preserve"> bil</w:t>
      </w:r>
      <w:r w:rsidR="00144C74" w:rsidRPr="00B74B0F">
        <w:rPr>
          <w:rFonts w:eastAsia="Arial"/>
          <w:color w:val="231F20"/>
          <w:szCs w:val="22"/>
          <w:lang w:val="sr-Latn-ME"/>
        </w:rPr>
        <w:t>i</w:t>
      </w:r>
      <w:r w:rsidRPr="00B74B0F">
        <w:rPr>
          <w:rFonts w:eastAsia="Arial"/>
          <w:color w:val="231F20"/>
          <w:szCs w:val="22"/>
          <w:lang w:val="sr-Latn-ME"/>
        </w:rPr>
        <w:t xml:space="preserve"> su klinička remisija i endoskopski odgovor u 12. sedmici u ispitivanjima CD-1 i CD-2 te u 52. sedmici u ispitivanju CD</w:t>
      </w:r>
      <w:r w:rsidRPr="00B74B0F">
        <w:rPr>
          <w:rFonts w:eastAsia="Arial"/>
          <w:color w:val="231F20"/>
          <w:szCs w:val="22"/>
          <w:lang w:val="sr-Latn-ME"/>
        </w:rPr>
        <w:noBreakHyphen/>
        <w:t>3.</w:t>
      </w:r>
    </w:p>
    <w:p w14:paraId="45C27FAD" w14:textId="77777777" w:rsidR="00366107" w:rsidRPr="00B74B0F" w:rsidRDefault="00366107" w:rsidP="00A30C3C">
      <w:pPr>
        <w:keepNext/>
        <w:spacing w:line="240" w:lineRule="auto"/>
        <w:jc w:val="both"/>
        <w:rPr>
          <w:rFonts w:eastAsia="Arial"/>
          <w:color w:val="231F20"/>
          <w:szCs w:val="22"/>
          <w:lang w:val="sr-Latn-ME"/>
        </w:rPr>
      </w:pPr>
    </w:p>
    <w:p w14:paraId="51A8F2E7" w14:textId="425302B3" w:rsidR="00366107" w:rsidRPr="00B74B0F" w:rsidRDefault="00366107">
      <w:pPr>
        <w:tabs>
          <w:tab w:val="clear" w:pos="567"/>
        </w:tabs>
        <w:spacing w:line="240" w:lineRule="auto"/>
        <w:jc w:val="both"/>
        <w:rPr>
          <w:szCs w:val="22"/>
          <w:lang w:val="sr-Latn-ME"/>
        </w:rPr>
      </w:pPr>
      <w:r w:rsidRPr="00B74B0F">
        <w:rPr>
          <w:szCs w:val="22"/>
          <w:lang w:val="sr-Latn-ME"/>
        </w:rPr>
        <w:t xml:space="preserve">Uključeni </w:t>
      </w:r>
      <w:r w:rsidR="009F5809" w:rsidRPr="00B74B0F">
        <w:rPr>
          <w:szCs w:val="22"/>
          <w:lang w:val="sr-Latn-ME"/>
        </w:rPr>
        <w:t xml:space="preserve">pacijenti </w:t>
      </w:r>
      <w:r w:rsidRPr="00B74B0F">
        <w:rPr>
          <w:szCs w:val="22"/>
          <w:lang w:val="sr-Latn-ME"/>
        </w:rPr>
        <w:t>su bili starosti od 18 do 75 godina, s</w:t>
      </w:r>
      <w:r w:rsidR="00144C74" w:rsidRPr="00B74B0F">
        <w:rPr>
          <w:szCs w:val="22"/>
          <w:lang w:val="sr-Latn-ME"/>
        </w:rPr>
        <w:t>a</w:t>
      </w:r>
      <w:r w:rsidRPr="00B74B0F">
        <w:rPr>
          <w:szCs w:val="22"/>
          <w:lang w:val="sr-Latn-ME"/>
        </w:rPr>
        <w:t xml:space="preserve"> umjereno do teško</w:t>
      </w:r>
      <w:r w:rsidR="00144C74" w:rsidRPr="00B74B0F">
        <w:rPr>
          <w:szCs w:val="22"/>
          <w:lang w:val="sr-Latn-ME"/>
        </w:rPr>
        <w:t xml:space="preserve"> </w:t>
      </w:r>
      <w:r w:rsidRPr="00B74B0F">
        <w:rPr>
          <w:szCs w:val="22"/>
          <w:lang w:val="sr-Latn-ME"/>
        </w:rPr>
        <w:t xml:space="preserve">aktivnom </w:t>
      </w:r>
      <w:r w:rsidR="009F5809" w:rsidRPr="00B74B0F">
        <w:rPr>
          <w:szCs w:val="22"/>
          <w:lang w:val="sr-Latn-ME"/>
        </w:rPr>
        <w:t>K</w:t>
      </w:r>
      <w:r w:rsidRPr="00B74B0F">
        <w:rPr>
          <w:szCs w:val="22"/>
          <w:lang w:val="sr-Latn-ME"/>
        </w:rPr>
        <w:t>ronovom bolešću (CD), definisanom kao prosječna dnevna učestalost vrlo mekih ili te</w:t>
      </w:r>
      <w:r w:rsidR="00651C3C" w:rsidRPr="00B74B0F">
        <w:rPr>
          <w:szCs w:val="22"/>
          <w:lang w:val="sr-Latn-ME"/>
        </w:rPr>
        <w:t xml:space="preserve">čnih </w:t>
      </w:r>
      <w:r w:rsidRPr="00B74B0F">
        <w:rPr>
          <w:szCs w:val="22"/>
          <w:lang w:val="sr-Latn-ME"/>
        </w:rPr>
        <w:t xml:space="preserve">stolica (engl. </w:t>
      </w:r>
      <w:r w:rsidRPr="00B74B0F">
        <w:rPr>
          <w:i/>
          <w:szCs w:val="22"/>
          <w:lang w:val="sr-Latn-ME"/>
        </w:rPr>
        <w:t>stool frequency</w:t>
      </w:r>
      <w:r w:rsidRPr="00B74B0F">
        <w:rPr>
          <w:szCs w:val="22"/>
          <w:lang w:val="sr-Latn-ME"/>
        </w:rPr>
        <w:t>, SF) ≥ 4 i/ili prosječan dnevni rezultat ocjene bolova u abdomenu (engl. </w:t>
      </w:r>
      <w:r w:rsidRPr="00B74B0F">
        <w:rPr>
          <w:i/>
          <w:szCs w:val="22"/>
          <w:lang w:val="sr-Latn-ME"/>
        </w:rPr>
        <w:t>abdominal pain score</w:t>
      </w:r>
      <w:r w:rsidRPr="00B74B0F">
        <w:rPr>
          <w:szCs w:val="22"/>
          <w:lang w:val="sr-Latn-ME"/>
        </w:rPr>
        <w:t xml:space="preserve">, APS) ≥ 2 i centralno procijenjen jednostavan endoskopski indeks (engl. </w:t>
      </w:r>
      <w:r w:rsidRPr="00B74B0F">
        <w:rPr>
          <w:i/>
          <w:szCs w:val="22"/>
          <w:lang w:val="sr-Latn-ME"/>
        </w:rPr>
        <w:t>Simple Endoscopic Score</w:t>
      </w:r>
      <w:r w:rsidRPr="00B74B0F">
        <w:rPr>
          <w:szCs w:val="22"/>
          <w:lang w:val="sr-Latn-ME"/>
        </w:rPr>
        <w:t xml:space="preserve">, SES) za </w:t>
      </w:r>
      <w:r w:rsidR="009F5809" w:rsidRPr="00B74B0F">
        <w:rPr>
          <w:szCs w:val="22"/>
          <w:lang w:val="sr-Latn-ME"/>
        </w:rPr>
        <w:t>K</w:t>
      </w:r>
      <w:r w:rsidRPr="00B74B0F">
        <w:rPr>
          <w:szCs w:val="22"/>
          <w:lang w:val="sr-Latn-ME"/>
        </w:rPr>
        <w:t>ronovu bolest SES</w:t>
      </w:r>
      <w:r w:rsidRPr="00B74B0F">
        <w:rPr>
          <w:szCs w:val="22"/>
          <w:lang w:val="sr-Latn-ME"/>
        </w:rPr>
        <w:noBreakHyphen/>
        <w:t xml:space="preserve">CD ≥ 6 ili ≥ 4 ako bolest zahvata samo ileus, isključujući komponentu prisustva strikture. </w:t>
      </w:r>
      <w:r w:rsidR="009F5809" w:rsidRPr="00B74B0F">
        <w:rPr>
          <w:szCs w:val="22"/>
          <w:lang w:val="sr-Latn-ME"/>
        </w:rPr>
        <w:t xml:space="preserve">Pacijenti </w:t>
      </w:r>
      <w:r w:rsidRPr="00B74B0F">
        <w:rPr>
          <w:szCs w:val="22"/>
          <w:lang w:val="sr-Latn-ME"/>
        </w:rPr>
        <w:t xml:space="preserve">sa simptomatskim crijevnim strikturama bili su isključeni iz ispitivanja </w:t>
      </w:r>
      <w:r w:rsidR="009F5809" w:rsidRPr="00B74B0F">
        <w:rPr>
          <w:szCs w:val="22"/>
          <w:lang w:val="sr-Latn-ME"/>
        </w:rPr>
        <w:t>K</w:t>
      </w:r>
      <w:r w:rsidRPr="00B74B0F">
        <w:rPr>
          <w:szCs w:val="22"/>
          <w:lang w:val="sr-Latn-ME"/>
        </w:rPr>
        <w:t>ronove bolesti.</w:t>
      </w:r>
    </w:p>
    <w:p w14:paraId="597B66B3" w14:textId="77777777" w:rsidR="00366107" w:rsidRPr="00B74B0F" w:rsidRDefault="00366107">
      <w:pPr>
        <w:keepNext/>
        <w:spacing w:line="240" w:lineRule="auto"/>
        <w:jc w:val="both"/>
        <w:rPr>
          <w:szCs w:val="22"/>
          <w:u w:val="single"/>
          <w:lang w:val="sr-Latn-ME"/>
        </w:rPr>
      </w:pPr>
    </w:p>
    <w:p w14:paraId="6E1FD89C" w14:textId="77777777" w:rsidR="00366107" w:rsidRPr="00B74B0F" w:rsidRDefault="00366107" w:rsidP="00A30C3C">
      <w:pPr>
        <w:tabs>
          <w:tab w:val="clear" w:pos="567"/>
        </w:tabs>
        <w:spacing w:line="240" w:lineRule="auto"/>
        <w:jc w:val="both"/>
        <w:rPr>
          <w:bCs/>
          <w:i/>
          <w:iCs/>
          <w:szCs w:val="22"/>
          <w:u w:val="single"/>
          <w:lang w:val="sr-Latn-ME"/>
        </w:rPr>
      </w:pPr>
      <w:r w:rsidRPr="00B74B0F">
        <w:rPr>
          <w:bCs/>
          <w:i/>
          <w:iCs/>
          <w:szCs w:val="22"/>
          <w:u w:val="single"/>
          <w:lang w:val="sr-Latn-ME"/>
        </w:rPr>
        <w:t>Ispitivanja indukcijskog liječenja (CD-1 i CD-2)</w:t>
      </w:r>
    </w:p>
    <w:p w14:paraId="56C5D4FA" w14:textId="77777777" w:rsidR="00366107" w:rsidRPr="00B74B0F" w:rsidRDefault="00366107" w:rsidP="00A30C3C">
      <w:pPr>
        <w:tabs>
          <w:tab w:val="clear" w:pos="567"/>
        </w:tabs>
        <w:spacing w:line="240" w:lineRule="auto"/>
        <w:jc w:val="both"/>
        <w:rPr>
          <w:bCs/>
          <w:i/>
          <w:iCs/>
          <w:szCs w:val="22"/>
          <w:u w:val="single"/>
          <w:lang w:val="sr-Latn-ME"/>
        </w:rPr>
      </w:pPr>
    </w:p>
    <w:p w14:paraId="7E8861D8" w14:textId="6771745E" w:rsidR="00366107" w:rsidRPr="00B74B0F" w:rsidRDefault="00366107" w:rsidP="00A30C3C">
      <w:pPr>
        <w:tabs>
          <w:tab w:val="clear" w:pos="567"/>
        </w:tabs>
        <w:spacing w:line="240" w:lineRule="auto"/>
        <w:jc w:val="both"/>
        <w:rPr>
          <w:szCs w:val="22"/>
          <w:lang w:val="sr-Latn-ME"/>
        </w:rPr>
      </w:pPr>
      <w:r w:rsidRPr="00B74B0F">
        <w:rPr>
          <w:szCs w:val="22"/>
          <w:lang w:val="sr-Latn-ME"/>
        </w:rPr>
        <w:t>U ispitivanjima CD-1 i CD-2, 1021 </w:t>
      </w:r>
      <w:r w:rsidR="009F5809" w:rsidRPr="00B74B0F">
        <w:rPr>
          <w:szCs w:val="22"/>
          <w:lang w:val="sr-Latn-ME"/>
        </w:rPr>
        <w:t>pacijent</w:t>
      </w:r>
      <w:r w:rsidRPr="00B74B0F">
        <w:rPr>
          <w:szCs w:val="22"/>
          <w:lang w:val="sr-Latn-ME"/>
        </w:rPr>
        <w:t xml:space="preserve"> (495 odnosno 526 </w:t>
      </w:r>
      <w:r w:rsidR="009F5809" w:rsidRPr="00B74B0F">
        <w:rPr>
          <w:szCs w:val="22"/>
          <w:lang w:val="sr-Latn-ME"/>
        </w:rPr>
        <w:t>pacijenata</w:t>
      </w:r>
      <w:r w:rsidRPr="00B74B0F">
        <w:rPr>
          <w:szCs w:val="22"/>
          <w:lang w:val="sr-Latn-ME"/>
        </w:rPr>
        <w:t>) randomiz</w:t>
      </w:r>
      <w:r w:rsidR="009F5809" w:rsidRPr="00B74B0F">
        <w:rPr>
          <w:szCs w:val="22"/>
          <w:lang w:val="sr-Latn-ME"/>
        </w:rPr>
        <w:t>ov</w:t>
      </w:r>
      <w:r w:rsidRPr="00B74B0F">
        <w:rPr>
          <w:szCs w:val="22"/>
          <w:lang w:val="sr-Latn-ME"/>
        </w:rPr>
        <w:t xml:space="preserve">an je u </w:t>
      </w:r>
      <w:r w:rsidR="009F5809" w:rsidRPr="00B74B0F">
        <w:rPr>
          <w:szCs w:val="22"/>
          <w:lang w:val="sr-Latn-ME"/>
        </w:rPr>
        <w:t xml:space="preserve">odnosu </w:t>
      </w:r>
      <w:r w:rsidRPr="00B74B0F">
        <w:rPr>
          <w:szCs w:val="22"/>
          <w:lang w:val="sr-Latn-ME"/>
        </w:rPr>
        <w:t>2:1 u grupe koje su tokom 12 sedmica primale upadacitinib u dozi od 45 mg jedanput na dan ili placebo.</w:t>
      </w:r>
    </w:p>
    <w:p w14:paraId="511E924E" w14:textId="77777777" w:rsidR="00366107" w:rsidRPr="00B74B0F" w:rsidRDefault="00366107" w:rsidP="00A30C3C">
      <w:pPr>
        <w:tabs>
          <w:tab w:val="clear" w:pos="567"/>
        </w:tabs>
        <w:spacing w:line="240" w:lineRule="auto"/>
        <w:jc w:val="both"/>
        <w:rPr>
          <w:szCs w:val="22"/>
          <w:lang w:val="sr-Latn-ME"/>
        </w:rPr>
      </w:pPr>
    </w:p>
    <w:p w14:paraId="1CDF9779" w14:textId="7CC5A4B4" w:rsidR="00366107" w:rsidRPr="00B74B0F" w:rsidRDefault="00366107" w:rsidP="00A30C3C">
      <w:pPr>
        <w:spacing w:line="240" w:lineRule="auto"/>
        <w:jc w:val="both"/>
        <w:rPr>
          <w:szCs w:val="22"/>
          <w:lang w:val="sr-Latn-ME"/>
        </w:rPr>
      </w:pPr>
      <w:r w:rsidRPr="00B74B0F">
        <w:rPr>
          <w:szCs w:val="22"/>
          <w:lang w:val="sr-Latn-ME"/>
        </w:rPr>
        <w:t xml:space="preserve">U ispitivanju CD-1 svi su </w:t>
      </w:r>
      <w:r w:rsidR="009F5809" w:rsidRPr="00B74B0F">
        <w:rPr>
          <w:szCs w:val="22"/>
          <w:lang w:val="sr-Latn-ME"/>
        </w:rPr>
        <w:t xml:space="preserve">pacijenti </w:t>
      </w:r>
      <w:r w:rsidRPr="00B74B0F">
        <w:rPr>
          <w:szCs w:val="22"/>
          <w:lang w:val="sr-Latn-ME"/>
        </w:rPr>
        <w:t>imali neodgovarajući odgovor ili ni</w:t>
      </w:r>
      <w:r w:rsidR="009F5809" w:rsidRPr="00B74B0F">
        <w:rPr>
          <w:szCs w:val="22"/>
          <w:lang w:val="sr-Latn-ME"/>
        </w:rPr>
        <w:t>je</w:t>
      </w:r>
      <w:r w:rsidRPr="00B74B0F">
        <w:rPr>
          <w:szCs w:val="22"/>
          <w:lang w:val="sr-Latn-ME"/>
        </w:rPr>
        <w:t xml:space="preserve">su podnosili liječenje jednom ili više bioloških terapija (prethodni biološki neuspjeh). Od tih </w:t>
      </w:r>
      <w:r w:rsidR="009F5809" w:rsidRPr="00B74B0F">
        <w:rPr>
          <w:szCs w:val="22"/>
          <w:lang w:val="sr-Latn-ME"/>
        </w:rPr>
        <w:t xml:space="preserve">pacijenata je </w:t>
      </w:r>
      <w:r w:rsidRPr="00B74B0F">
        <w:rPr>
          <w:szCs w:val="22"/>
          <w:lang w:val="sr-Latn-ME"/>
        </w:rPr>
        <w:t>61% (301/495) imalo neodgovarajući odgovor ili ni</w:t>
      </w:r>
      <w:r w:rsidR="009F5809" w:rsidRPr="00B74B0F">
        <w:rPr>
          <w:szCs w:val="22"/>
          <w:lang w:val="sr-Latn-ME"/>
        </w:rPr>
        <w:t>je</w:t>
      </w:r>
      <w:r w:rsidRPr="00B74B0F">
        <w:rPr>
          <w:szCs w:val="22"/>
          <w:lang w:val="sr-Latn-ME"/>
        </w:rPr>
        <w:t>su podnosili dvije ili više bioloških terapija.</w:t>
      </w:r>
    </w:p>
    <w:p w14:paraId="48C2CE54" w14:textId="77777777" w:rsidR="00366107" w:rsidRPr="00B74B0F" w:rsidRDefault="00366107" w:rsidP="00A30C3C">
      <w:pPr>
        <w:spacing w:line="240" w:lineRule="auto"/>
        <w:jc w:val="both"/>
        <w:rPr>
          <w:szCs w:val="22"/>
          <w:lang w:val="sr-Latn-ME"/>
        </w:rPr>
      </w:pPr>
    </w:p>
    <w:p w14:paraId="74725064" w14:textId="25E0A662" w:rsidR="00366107" w:rsidRPr="00B74B0F" w:rsidRDefault="00366107" w:rsidP="00A30C3C">
      <w:pPr>
        <w:tabs>
          <w:tab w:val="clear" w:pos="567"/>
        </w:tabs>
        <w:spacing w:line="240" w:lineRule="auto"/>
        <w:jc w:val="both"/>
        <w:rPr>
          <w:szCs w:val="22"/>
          <w:lang w:val="sr-Latn-ME"/>
        </w:rPr>
      </w:pPr>
      <w:r w:rsidRPr="00B74B0F">
        <w:rPr>
          <w:szCs w:val="22"/>
          <w:lang w:val="sr-Latn-ME"/>
        </w:rPr>
        <w:t>U ispitivanju CD</w:t>
      </w:r>
      <w:r w:rsidRPr="00B74B0F">
        <w:rPr>
          <w:szCs w:val="22"/>
          <w:lang w:val="sr-Latn-ME"/>
        </w:rPr>
        <w:noBreakHyphen/>
        <w:t xml:space="preserve">2, 45% (239/526) </w:t>
      </w:r>
      <w:r w:rsidR="009F5809" w:rsidRPr="00B74B0F">
        <w:rPr>
          <w:szCs w:val="22"/>
          <w:lang w:val="sr-Latn-ME"/>
        </w:rPr>
        <w:t xml:space="preserve">pacijenata </w:t>
      </w:r>
      <w:r w:rsidRPr="00B74B0F">
        <w:rPr>
          <w:szCs w:val="22"/>
          <w:lang w:val="sr-Latn-ME"/>
        </w:rPr>
        <w:t>imalo je neodgovarajući odgovor ili ni</w:t>
      </w:r>
      <w:r w:rsidR="00BE78EF" w:rsidRPr="00B74B0F">
        <w:rPr>
          <w:szCs w:val="22"/>
          <w:lang w:val="sr-Latn-ME"/>
        </w:rPr>
        <w:t>je</w:t>
      </w:r>
      <w:r w:rsidRPr="00B74B0F">
        <w:rPr>
          <w:szCs w:val="22"/>
          <w:lang w:val="sr-Latn-ME"/>
        </w:rPr>
        <w:t xml:space="preserve">su podnosili liječenje jednom ili više bioloških terapija (prethodni biološki neuspjeh), a 55% (287/526) </w:t>
      </w:r>
      <w:r w:rsidR="00BE78EF" w:rsidRPr="00B74B0F">
        <w:rPr>
          <w:szCs w:val="22"/>
          <w:lang w:val="sr-Latn-ME"/>
        </w:rPr>
        <w:t>pacijenat</w:t>
      </w:r>
      <w:r w:rsidRPr="00B74B0F">
        <w:rPr>
          <w:szCs w:val="22"/>
          <w:lang w:val="sr-Latn-ME"/>
        </w:rPr>
        <w:t>a imalo je neodgovarajući odgovor ili ni</w:t>
      </w:r>
      <w:r w:rsidR="00BE78EF" w:rsidRPr="00B74B0F">
        <w:rPr>
          <w:szCs w:val="22"/>
          <w:lang w:val="sr-Latn-ME"/>
        </w:rPr>
        <w:t>je</w:t>
      </w:r>
      <w:r w:rsidRPr="00B74B0F">
        <w:rPr>
          <w:szCs w:val="22"/>
          <w:lang w:val="sr-Latn-ME"/>
        </w:rPr>
        <w:t>su podnosili liječenje konvencionalnim terapijama, ali ne i biološkim terapijama (bez prethodnog biološkog neuspjeha).</w:t>
      </w:r>
    </w:p>
    <w:p w14:paraId="60831166" w14:textId="77777777" w:rsidR="00366107" w:rsidRPr="00B74B0F" w:rsidRDefault="00366107" w:rsidP="00A30C3C">
      <w:pPr>
        <w:tabs>
          <w:tab w:val="clear" w:pos="567"/>
        </w:tabs>
        <w:spacing w:line="240" w:lineRule="auto"/>
        <w:jc w:val="both"/>
        <w:rPr>
          <w:szCs w:val="22"/>
          <w:u w:val="single"/>
          <w:lang w:val="sr-Latn-ME"/>
        </w:rPr>
      </w:pPr>
    </w:p>
    <w:p w14:paraId="1F3F66AD" w14:textId="365BC17D" w:rsidR="00366107" w:rsidRPr="00B74B0F" w:rsidRDefault="00366107" w:rsidP="00A30C3C">
      <w:pPr>
        <w:spacing w:line="240" w:lineRule="auto"/>
        <w:jc w:val="both"/>
        <w:rPr>
          <w:szCs w:val="22"/>
          <w:lang w:val="sr-Latn-ME"/>
        </w:rPr>
      </w:pPr>
      <w:r w:rsidRPr="00B74B0F">
        <w:rPr>
          <w:szCs w:val="22"/>
          <w:lang w:val="sr-Latn-ME"/>
        </w:rPr>
        <w:t xml:space="preserve">Na početku ispitivanja CD-1 i CD-2, 34% odnosno 36% </w:t>
      </w:r>
      <w:r w:rsidR="00BE78EF" w:rsidRPr="00B74B0F">
        <w:rPr>
          <w:szCs w:val="22"/>
          <w:lang w:val="sr-Latn-ME"/>
        </w:rPr>
        <w:t xml:space="preserve">pacijenata </w:t>
      </w:r>
      <w:r w:rsidRPr="00B74B0F">
        <w:rPr>
          <w:szCs w:val="22"/>
          <w:lang w:val="sr-Latn-ME"/>
        </w:rPr>
        <w:t>primalo je kortikosteroide, 7% odnosno 3% imunomodulatore, a 15% odnosno 25% bolesnika primalo je aminosalicilate.</w:t>
      </w:r>
    </w:p>
    <w:p w14:paraId="5E52AE8C" w14:textId="77777777" w:rsidR="00366107" w:rsidRPr="00B74B0F" w:rsidRDefault="00366107" w:rsidP="00A30C3C">
      <w:pPr>
        <w:spacing w:line="240" w:lineRule="auto"/>
        <w:jc w:val="both"/>
        <w:rPr>
          <w:szCs w:val="22"/>
          <w:lang w:val="sr-Latn-ME"/>
        </w:rPr>
      </w:pPr>
    </w:p>
    <w:p w14:paraId="24FF1770" w14:textId="791AA19D" w:rsidR="00366107" w:rsidRPr="00B74B0F" w:rsidRDefault="00366107" w:rsidP="00A30C3C">
      <w:pPr>
        <w:spacing w:line="240" w:lineRule="auto"/>
        <w:jc w:val="both"/>
        <w:rPr>
          <w:szCs w:val="22"/>
          <w:lang w:val="sr-Latn-ME"/>
        </w:rPr>
      </w:pPr>
      <w:r w:rsidRPr="00B74B0F">
        <w:rPr>
          <w:szCs w:val="22"/>
          <w:lang w:val="sr-Latn-ME"/>
        </w:rPr>
        <w:t xml:space="preserve">U oba ispitivanja, </w:t>
      </w:r>
      <w:r w:rsidR="00BE78EF" w:rsidRPr="00B74B0F">
        <w:rPr>
          <w:szCs w:val="22"/>
          <w:lang w:val="sr-Latn-ME"/>
        </w:rPr>
        <w:t xml:space="preserve">pacijenti </w:t>
      </w:r>
      <w:r w:rsidRPr="00B74B0F">
        <w:rPr>
          <w:szCs w:val="22"/>
          <w:lang w:val="sr-Latn-ME"/>
        </w:rPr>
        <w:t>koji su na početku primali kortikosteroide počeli su od 4. sedmice s režimom postupnog smanjenja kortikosteroida.</w:t>
      </w:r>
    </w:p>
    <w:p w14:paraId="6932F0B6" w14:textId="77777777" w:rsidR="00366107" w:rsidRPr="00B74B0F" w:rsidRDefault="00366107" w:rsidP="00A30C3C">
      <w:pPr>
        <w:spacing w:line="240" w:lineRule="auto"/>
        <w:jc w:val="both"/>
        <w:rPr>
          <w:szCs w:val="22"/>
          <w:lang w:val="sr-Latn-ME"/>
        </w:rPr>
      </w:pPr>
    </w:p>
    <w:p w14:paraId="35BA8B91" w14:textId="655CD107" w:rsidR="00366107" w:rsidRPr="00B74B0F" w:rsidRDefault="00366107" w:rsidP="00A30C3C">
      <w:pPr>
        <w:jc w:val="both"/>
        <w:rPr>
          <w:szCs w:val="22"/>
          <w:lang w:val="sr-Latn-ME"/>
        </w:rPr>
      </w:pPr>
      <w:r w:rsidRPr="00B74B0F">
        <w:rPr>
          <w:szCs w:val="22"/>
          <w:lang w:val="sr-Latn-ME"/>
        </w:rPr>
        <w:t>Oba ispitivanja uključivala su 12</w:t>
      </w:r>
      <w:r w:rsidRPr="00B74B0F">
        <w:rPr>
          <w:szCs w:val="22"/>
          <w:lang w:val="sr-Latn-ME"/>
        </w:rPr>
        <w:noBreakHyphen/>
        <w:t xml:space="preserve">sedmični period produženog liječenja upadacitinibom u dozi od 30 mg jedanput na dan za one </w:t>
      </w:r>
      <w:r w:rsidR="00BE78EF" w:rsidRPr="00B74B0F">
        <w:rPr>
          <w:szCs w:val="22"/>
          <w:lang w:val="sr-Latn-ME"/>
        </w:rPr>
        <w:t xml:space="preserve">pacijente </w:t>
      </w:r>
      <w:r w:rsidRPr="00B74B0F">
        <w:rPr>
          <w:szCs w:val="22"/>
          <w:lang w:val="sr-Latn-ME"/>
        </w:rPr>
        <w:t>koji su primali upadacitinib u dozi od 45 mg jedanput na dan, ali u 12. sedmici ni</w:t>
      </w:r>
      <w:r w:rsidR="00DE7D57" w:rsidRPr="00B74B0F">
        <w:rPr>
          <w:szCs w:val="22"/>
          <w:lang w:val="sr-Latn-ME"/>
        </w:rPr>
        <w:t>je</w:t>
      </w:r>
      <w:r w:rsidRPr="00B74B0F">
        <w:rPr>
          <w:szCs w:val="22"/>
          <w:lang w:val="sr-Latn-ME"/>
        </w:rPr>
        <w:t>su postigli klinički odgovor prema rezultatu SF/APS (smanjenje prosječne dnevne učestalosti vrlo mekih ili te</w:t>
      </w:r>
      <w:r w:rsidR="007A7F55" w:rsidRPr="00B74B0F">
        <w:rPr>
          <w:szCs w:val="22"/>
          <w:lang w:val="sr-Latn-ME"/>
        </w:rPr>
        <w:t>čnih</w:t>
      </w:r>
      <w:r w:rsidRPr="00B74B0F">
        <w:rPr>
          <w:szCs w:val="22"/>
          <w:lang w:val="sr-Latn-ME"/>
        </w:rPr>
        <w:t xml:space="preserve"> stolica za ≥ 30% i/ili smanjenje prosječnog dnevnog rezultata APS-a za ≥ 30%, pri čemu nijedna vrijednost nije veća od one na početku ispitivanja).</w:t>
      </w:r>
    </w:p>
    <w:p w14:paraId="50891490" w14:textId="77777777" w:rsidR="00366107" w:rsidRPr="00B74B0F" w:rsidRDefault="00366107" w:rsidP="00A30C3C">
      <w:pPr>
        <w:keepNext/>
        <w:spacing w:line="240" w:lineRule="auto"/>
        <w:jc w:val="both"/>
        <w:rPr>
          <w:i/>
          <w:iCs/>
          <w:szCs w:val="22"/>
          <w:lang w:val="sr-Latn-ME"/>
        </w:rPr>
      </w:pPr>
      <w:r w:rsidRPr="00B74B0F">
        <w:rPr>
          <w:i/>
          <w:iCs/>
          <w:szCs w:val="22"/>
          <w:lang w:val="sr-Latn-ME"/>
        </w:rPr>
        <w:lastRenderedPageBreak/>
        <w:t xml:space="preserve">Klinička aktivnost bolesti i simptomi </w:t>
      </w:r>
    </w:p>
    <w:p w14:paraId="35E6BED1" w14:textId="77777777" w:rsidR="00366107" w:rsidRPr="00B74B0F" w:rsidRDefault="00366107" w:rsidP="00A30C3C">
      <w:pPr>
        <w:keepNext/>
        <w:spacing w:line="240" w:lineRule="auto"/>
        <w:jc w:val="both"/>
        <w:rPr>
          <w:i/>
          <w:szCs w:val="22"/>
          <w:lang w:val="sr-Latn-ME"/>
        </w:rPr>
      </w:pPr>
    </w:p>
    <w:p w14:paraId="70331DFB" w14:textId="2A220C63" w:rsidR="00366107" w:rsidRPr="00B74B0F" w:rsidRDefault="00366107">
      <w:pPr>
        <w:keepNext/>
        <w:tabs>
          <w:tab w:val="clear" w:pos="567"/>
        </w:tabs>
        <w:spacing w:line="240" w:lineRule="auto"/>
        <w:jc w:val="both"/>
        <w:rPr>
          <w:szCs w:val="22"/>
          <w:lang w:val="sr-Latn-ME"/>
        </w:rPr>
      </w:pPr>
      <w:r w:rsidRPr="00B74B0F">
        <w:rPr>
          <w:szCs w:val="22"/>
          <w:lang w:val="sr-Latn-ME"/>
        </w:rPr>
        <w:t xml:space="preserve">U ispitivanjima CD-1 i CD-2, značajno veći udio </w:t>
      </w:r>
      <w:r w:rsidR="00DE7D57" w:rsidRPr="00B74B0F">
        <w:rPr>
          <w:szCs w:val="22"/>
          <w:lang w:val="sr-Latn-ME"/>
        </w:rPr>
        <w:t xml:space="preserve">pacijenata </w:t>
      </w:r>
      <w:r w:rsidRPr="00B74B0F">
        <w:rPr>
          <w:szCs w:val="22"/>
          <w:lang w:val="sr-Latn-ME"/>
        </w:rPr>
        <w:t>liječenih upadacitinibom u dozi od 45 mg postigao je u 12. sedmici kliničku remisiju, kao koprimarn</w:t>
      </w:r>
      <w:r w:rsidR="00C904DA" w:rsidRPr="00B74B0F">
        <w:rPr>
          <w:szCs w:val="22"/>
          <w:lang w:val="sr-Latn-ME"/>
        </w:rPr>
        <w:t>i prametar praćenja</w:t>
      </w:r>
      <w:r w:rsidRPr="00B74B0F">
        <w:rPr>
          <w:szCs w:val="22"/>
          <w:lang w:val="sr-Latn-ME"/>
        </w:rPr>
        <w:t xml:space="preserve"> u poređenju s</w:t>
      </w:r>
      <w:r w:rsidR="00C904DA" w:rsidRPr="00B74B0F">
        <w:rPr>
          <w:szCs w:val="22"/>
          <w:lang w:val="sr-Latn-ME"/>
        </w:rPr>
        <w:t>a</w:t>
      </w:r>
      <w:r w:rsidRPr="00B74B0F">
        <w:rPr>
          <w:szCs w:val="22"/>
          <w:lang w:val="sr-Latn-ME"/>
        </w:rPr>
        <w:t xml:space="preserve"> placebom (tabela 16). Efikasnost je nastupila brzo i postignuta je već u 2. sedmici (</w:t>
      </w:r>
      <w:r w:rsidR="00DE7D57" w:rsidRPr="00B74B0F">
        <w:rPr>
          <w:szCs w:val="22"/>
          <w:lang w:val="sr-Latn-ME"/>
        </w:rPr>
        <w:t>T</w:t>
      </w:r>
      <w:r w:rsidRPr="00B74B0F">
        <w:rPr>
          <w:szCs w:val="22"/>
          <w:lang w:val="sr-Latn-ME"/>
        </w:rPr>
        <w:t>abela 16).</w:t>
      </w:r>
    </w:p>
    <w:p w14:paraId="74122004" w14:textId="77777777" w:rsidR="00366107" w:rsidRPr="00B74B0F" w:rsidRDefault="00366107" w:rsidP="00A30C3C">
      <w:pPr>
        <w:tabs>
          <w:tab w:val="clear" w:pos="567"/>
        </w:tabs>
        <w:spacing w:line="240" w:lineRule="auto"/>
        <w:jc w:val="both"/>
        <w:rPr>
          <w:szCs w:val="22"/>
          <w:lang w:val="sr-Latn-ME"/>
        </w:rPr>
      </w:pPr>
    </w:p>
    <w:p w14:paraId="766320C7" w14:textId="7741F7B8" w:rsidR="00366107" w:rsidRPr="00B74B0F" w:rsidRDefault="00366107" w:rsidP="00A30C3C">
      <w:pPr>
        <w:jc w:val="both"/>
        <w:rPr>
          <w:szCs w:val="22"/>
          <w:lang w:val="sr-Latn-ME"/>
        </w:rPr>
      </w:pPr>
      <w:r w:rsidRPr="00B74B0F">
        <w:rPr>
          <w:szCs w:val="22"/>
          <w:lang w:val="sr-Latn-ME"/>
        </w:rPr>
        <w:t xml:space="preserve">U oba je ispitivanja kod </w:t>
      </w:r>
      <w:r w:rsidR="00DE7D57" w:rsidRPr="00B74B0F">
        <w:rPr>
          <w:szCs w:val="22"/>
          <w:lang w:val="sr-Latn-ME"/>
        </w:rPr>
        <w:t xml:space="preserve">pacijenata </w:t>
      </w:r>
      <w:r w:rsidRPr="00B74B0F">
        <w:rPr>
          <w:szCs w:val="22"/>
          <w:lang w:val="sr-Latn-ME"/>
        </w:rPr>
        <w:t xml:space="preserve">liječenih upadacitinibom u dozi od 45 mg, u poređenju sa onima koji su primali placebo, zabilježeno značajno veće poboljšanje u parametru umora izmjereno upitnikom FACIT-F u 12. sedmici u odnosu na početak ispitivanja. </w:t>
      </w:r>
    </w:p>
    <w:p w14:paraId="53ED5EB7" w14:textId="77777777" w:rsidR="00366107" w:rsidRPr="00B74B0F" w:rsidRDefault="00366107" w:rsidP="00A30C3C">
      <w:pPr>
        <w:jc w:val="both"/>
        <w:rPr>
          <w:szCs w:val="22"/>
          <w:lang w:val="sr-Latn-ME"/>
        </w:rPr>
      </w:pPr>
    </w:p>
    <w:p w14:paraId="54576606" w14:textId="77777777" w:rsidR="00366107" w:rsidRPr="00B74B0F" w:rsidRDefault="00366107">
      <w:pPr>
        <w:keepNext/>
        <w:tabs>
          <w:tab w:val="clear" w:pos="567"/>
        </w:tabs>
        <w:spacing w:line="240" w:lineRule="auto"/>
        <w:jc w:val="both"/>
        <w:rPr>
          <w:i/>
          <w:iCs/>
          <w:szCs w:val="22"/>
          <w:lang w:val="sr-Latn-ME"/>
        </w:rPr>
      </w:pPr>
      <w:r w:rsidRPr="00B74B0F">
        <w:rPr>
          <w:i/>
          <w:iCs/>
          <w:szCs w:val="22"/>
          <w:lang w:val="sr-Latn-ME"/>
        </w:rPr>
        <w:t>Endoskopska procjena</w:t>
      </w:r>
    </w:p>
    <w:p w14:paraId="37F1E253" w14:textId="77777777" w:rsidR="00366107" w:rsidRPr="00B74B0F" w:rsidRDefault="00366107">
      <w:pPr>
        <w:keepNext/>
        <w:tabs>
          <w:tab w:val="clear" w:pos="567"/>
        </w:tabs>
        <w:spacing w:line="240" w:lineRule="auto"/>
        <w:jc w:val="both"/>
        <w:rPr>
          <w:i/>
          <w:iCs/>
          <w:szCs w:val="22"/>
          <w:lang w:val="sr-Latn-ME"/>
        </w:rPr>
      </w:pPr>
    </w:p>
    <w:p w14:paraId="55846471" w14:textId="55BAC032" w:rsidR="00366107" w:rsidRPr="00B74B0F" w:rsidRDefault="00366107">
      <w:pPr>
        <w:spacing w:line="240" w:lineRule="auto"/>
        <w:jc w:val="both"/>
        <w:rPr>
          <w:szCs w:val="22"/>
          <w:lang w:val="sr-Latn-ME"/>
        </w:rPr>
      </w:pPr>
      <w:r w:rsidRPr="00B74B0F">
        <w:rPr>
          <w:szCs w:val="22"/>
          <w:lang w:val="sr-Latn-ME"/>
        </w:rPr>
        <w:t xml:space="preserve">U ispitivanjima CD-1 i CD-2, značajno veći udio </w:t>
      </w:r>
      <w:r w:rsidR="00DE7D57" w:rsidRPr="00B74B0F">
        <w:rPr>
          <w:szCs w:val="22"/>
          <w:lang w:val="sr-Latn-ME"/>
        </w:rPr>
        <w:t xml:space="preserve">pacijenata </w:t>
      </w:r>
      <w:r w:rsidRPr="00B74B0F">
        <w:rPr>
          <w:szCs w:val="22"/>
          <w:lang w:val="sr-Latn-ME"/>
        </w:rPr>
        <w:t>liječenih upadacitinibom u dozi od 45 mg postigao je u 12. sedmici endoskopski odgovor ka</w:t>
      </w:r>
      <w:r w:rsidR="00C904DA" w:rsidRPr="00B74B0F">
        <w:rPr>
          <w:szCs w:val="22"/>
          <w:lang w:val="sr-Latn-ME"/>
        </w:rPr>
        <w:t>o</w:t>
      </w:r>
      <w:r w:rsidRPr="00B74B0F">
        <w:rPr>
          <w:szCs w:val="22"/>
          <w:lang w:val="sr-Latn-ME"/>
        </w:rPr>
        <w:t xml:space="preserve"> koprimarn</w:t>
      </w:r>
      <w:r w:rsidR="00C904DA" w:rsidRPr="00B74B0F">
        <w:rPr>
          <w:szCs w:val="22"/>
          <w:lang w:val="sr-Latn-ME"/>
        </w:rPr>
        <w:t xml:space="preserve">i parametar praćenja </w:t>
      </w:r>
      <w:r w:rsidRPr="00B74B0F">
        <w:rPr>
          <w:szCs w:val="22"/>
          <w:lang w:val="sr-Latn-ME"/>
        </w:rPr>
        <w:t>u poređenju s</w:t>
      </w:r>
      <w:r w:rsidR="00C904DA" w:rsidRPr="00B74B0F">
        <w:rPr>
          <w:szCs w:val="22"/>
          <w:lang w:val="sr-Latn-ME"/>
        </w:rPr>
        <w:t>a</w:t>
      </w:r>
      <w:r w:rsidRPr="00B74B0F">
        <w:rPr>
          <w:szCs w:val="22"/>
          <w:lang w:val="sr-Latn-ME"/>
        </w:rPr>
        <w:t xml:space="preserve"> placebom (</w:t>
      </w:r>
      <w:r w:rsidR="00DE7D57" w:rsidRPr="00B74B0F">
        <w:rPr>
          <w:szCs w:val="22"/>
          <w:lang w:val="sr-Latn-ME"/>
        </w:rPr>
        <w:t>T</w:t>
      </w:r>
      <w:r w:rsidRPr="00B74B0F">
        <w:rPr>
          <w:szCs w:val="22"/>
          <w:lang w:val="sr-Latn-ME"/>
        </w:rPr>
        <w:t xml:space="preserve">abela 16). U ispitivanjima CD-1 i CD-2, veći udio </w:t>
      </w:r>
      <w:r w:rsidR="00DE7D57" w:rsidRPr="00B74B0F">
        <w:rPr>
          <w:szCs w:val="22"/>
          <w:lang w:val="sr-Latn-ME"/>
        </w:rPr>
        <w:t xml:space="preserve">pacijenata </w:t>
      </w:r>
      <w:r w:rsidRPr="00B74B0F">
        <w:rPr>
          <w:szCs w:val="22"/>
          <w:lang w:val="sr-Latn-ME"/>
        </w:rPr>
        <w:t>liječenih upadacitinibom u dozi od 45 mg (14% odnosno 19%) postigao je indeks SES</w:t>
      </w:r>
      <w:r w:rsidRPr="00B74B0F">
        <w:rPr>
          <w:szCs w:val="22"/>
          <w:lang w:val="sr-Latn-ME"/>
        </w:rPr>
        <w:noBreakHyphen/>
        <w:t>CD 0 – 2 u poređenju sa placebom (0% odnosno 5%).</w:t>
      </w:r>
    </w:p>
    <w:p w14:paraId="530E182B" w14:textId="77777777" w:rsidR="00366107" w:rsidRPr="00B74B0F" w:rsidRDefault="00366107" w:rsidP="00A30C3C">
      <w:pPr>
        <w:keepNext/>
        <w:jc w:val="both"/>
        <w:rPr>
          <w:szCs w:val="22"/>
          <w:lang w:val="sr-Latn-ME"/>
        </w:rPr>
      </w:pPr>
    </w:p>
    <w:p w14:paraId="5EC210A5" w14:textId="5F00F193" w:rsidR="00366107" w:rsidRPr="00B74B0F" w:rsidRDefault="00366107" w:rsidP="00A30C3C">
      <w:pPr>
        <w:keepNext/>
        <w:jc w:val="both"/>
        <w:rPr>
          <w:b/>
          <w:bCs/>
          <w:szCs w:val="22"/>
          <w:lang w:val="sr-Latn-ME"/>
        </w:rPr>
      </w:pPr>
      <w:r w:rsidRPr="00B74B0F">
        <w:rPr>
          <w:b/>
          <w:bCs/>
          <w:szCs w:val="22"/>
          <w:lang w:val="sr-Latn-ME"/>
        </w:rPr>
        <w:t>Tabela 16</w:t>
      </w:r>
      <w:r w:rsidR="008338F7">
        <w:rPr>
          <w:b/>
          <w:bCs/>
          <w:szCs w:val="22"/>
          <w:lang w:val="sr-Latn-ME"/>
        </w:rPr>
        <w:t>:</w:t>
      </w:r>
      <w:r w:rsidRPr="00B74B0F">
        <w:rPr>
          <w:b/>
          <w:bCs/>
          <w:szCs w:val="22"/>
          <w:lang w:val="sr-Latn-ME"/>
        </w:rPr>
        <w:t xml:space="preserve"> Udio </w:t>
      </w:r>
      <w:r w:rsidR="00C904DA" w:rsidRPr="00B74B0F">
        <w:rPr>
          <w:b/>
          <w:bCs/>
          <w:szCs w:val="22"/>
          <w:lang w:val="sr-Latn-ME"/>
        </w:rPr>
        <w:t>pacijenata</w:t>
      </w:r>
      <w:r w:rsidRPr="00B74B0F">
        <w:rPr>
          <w:b/>
          <w:bCs/>
          <w:szCs w:val="22"/>
          <w:lang w:val="sr-Latn-ME"/>
        </w:rPr>
        <w:t xml:space="preserve"> koji su postigli primarne i dodatne </w:t>
      </w:r>
      <w:r w:rsidR="00C904DA" w:rsidRPr="00B74B0F">
        <w:rPr>
          <w:b/>
          <w:bCs/>
          <w:szCs w:val="22"/>
          <w:lang w:val="sr-Latn-ME"/>
        </w:rPr>
        <w:t xml:space="preserve">parametre praćenja </w:t>
      </w:r>
      <w:r w:rsidRPr="00B74B0F">
        <w:rPr>
          <w:b/>
          <w:bCs/>
          <w:szCs w:val="22"/>
          <w:lang w:val="sr-Latn-ME"/>
        </w:rPr>
        <w:t>efikasnosti u ispitivanjima indukcijskog liječenja CD-1 i CD-2</w:t>
      </w:r>
    </w:p>
    <w:p w14:paraId="560580C7" w14:textId="77777777" w:rsidR="00366107" w:rsidRPr="00B74B0F" w:rsidRDefault="00366107" w:rsidP="00A30C3C">
      <w:pPr>
        <w:keepNext/>
        <w:jc w:val="both"/>
        <w:rPr>
          <w:b/>
          <w:bCs/>
          <w:szCs w:val="22"/>
          <w:lang w:val="sr-Latn-ME"/>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990"/>
        <w:gridCol w:w="1080"/>
        <w:gridCol w:w="1260"/>
        <w:gridCol w:w="990"/>
        <w:gridCol w:w="1080"/>
        <w:gridCol w:w="1260"/>
      </w:tblGrid>
      <w:tr w:rsidR="00366107" w:rsidRPr="00B74B0F" w14:paraId="2805D0C8" w14:textId="77777777" w:rsidTr="0069063B">
        <w:trPr>
          <w:trHeight w:val="255"/>
        </w:trPr>
        <w:tc>
          <w:tcPr>
            <w:tcW w:w="2335" w:type="dxa"/>
            <w:tcBorders>
              <w:top w:val="single" w:sz="4" w:space="0" w:color="auto"/>
              <w:left w:val="single" w:sz="4" w:space="0" w:color="auto"/>
              <w:bottom w:val="single" w:sz="4" w:space="0" w:color="auto"/>
              <w:right w:val="single" w:sz="4" w:space="0" w:color="auto"/>
            </w:tcBorders>
            <w:hideMark/>
          </w:tcPr>
          <w:p w14:paraId="2C2A2F48" w14:textId="77777777" w:rsidR="00366107" w:rsidRPr="00B74B0F" w:rsidRDefault="00366107" w:rsidP="00A30C3C">
            <w:pPr>
              <w:jc w:val="both"/>
              <w:rPr>
                <w:b/>
                <w:bCs/>
                <w:color w:val="2D2926"/>
                <w:szCs w:val="22"/>
                <w:lang w:val="sr-Latn-ME"/>
              </w:rPr>
            </w:pPr>
            <w:r w:rsidRPr="00B74B0F">
              <w:rPr>
                <w:b/>
                <w:bCs/>
                <w:color w:val="2D2926"/>
                <w:szCs w:val="22"/>
                <w:lang w:val="sr-Latn-ME"/>
              </w:rPr>
              <w:t>Ispitivanje</w:t>
            </w:r>
          </w:p>
        </w:tc>
        <w:tc>
          <w:tcPr>
            <w:tcW w:w="3330" w:type="dxa"/>
            <w:gridSpan w:val="3"/>
            <w:tcBorders>
              <w:top w:val="single" w:sz="4" w:space="0" w:color="auto"/>
              <w:left w:val="single" w:sz="4" w:space="0" w:color="auto"/>
              <w:bottom w:val="single" w:sz="4" w:space="0" w:color="auto"/>
              <w:right w:val="single" w:sz="4" w:space="0" w:color="auto"/>
            </w:tcBorders>
            <w:vAlign w:val="center"/>
            <w:hideMark/>
          </w:tcPr>
          <w:p w14:paraId="6964A097" w14:textId="77777777" w:rsidR="00366107" w:rsidRPr="00B74B0F" w:rsidRDefault="00366107">
            <w:pPr>
              <w:jc w:val="center"/>
              <w:rPr>
                <w:b/>
                <w:bCs/>
                <w:color w:val="2D2926"/>
                <w:szCs w:val="22"/>
                <w:lang w:val="sr-Latn-ME"/>
              </w:rPr>
            </w:pPr>
            <w:r w:rsidRPr="00B74B0F">
              <w:rPr>
                <w:b/>
                <w:szCs w:val="22"/>
                <w:lang w:val="sr-Latn-ME"/>
              </w:rPr>
              <w:t>CD-1</w:t>
            </w:r>
            <w:r w:rsidRPr="00B74B0F">
              <w:rPr>
                <w:szCs w:val="22"/>
                <w:lang w:val="sr-Latn-ME"/>
              </w:rPr>
              <w:br/>
            </w:r>
            <w:r w:rsidRPr="00B74B0F">
              <w:rPr>
                <w:b/>
                <w:szCs w:val="22"/>
                <w:lang w:val="sr-Latn-ME"/>
              </w:rPr>
              <w:t>(U-EXCEED)</w:t>
            </w:r>
          </w:p>
        </w:tc>
        <w:tc>
          <w:tcPr>
            <w:tcW w:w="3330" w:type="dxa"/>
            <w:gridSpan w:val="3"/>
            <w:tcBorders>
              <w:top w:val="single" w:sz="4" w:space="0" w:color="auto"/>
              <w:left w:val="single" w:sz="4" w:space="0" w:color="auto"/>
              <w:bottom w:val="single" w:sz="4" w:space="0" w:color="auto"/>
              <w:right w:val="single" w:sz="4" w:space="0" w:color="auto"/>
            </w:tcBorders>
            <w:vAlign w:val="center"/>
            <w:hideMark/>
          </w:tcPr>
          <w:p w14:paraId="5471ACFA" w14:textId="77777777" w:rsidR="00366107" w:rsidRPr="00B74B0F" w:rsidRDefault="00366107">
            <w:pPr>
              <w:jc w:val="center"/>
              <w:rPr>
                <w:b/>
                <w:bCs/>
                <w:color w:val="2D2926"/>
                <w:szCs w:val="22"/>
                <w:lang w:val="sr-Latn-ME"/>
              </w:rPr>
            </w:pPr>
            <w:r w:rsidRPr="00B74B0F">
              <w:rPr>
                <w:b/>
                <w:szCs w:val="22"/>
                <w:lang w:val="sr-Latn-ME"/>
              </w:rPr>
              <w:t xml:space="preserve">CD-2 </w:t>
            </w:r>
            <w:r w:rsidRPr="00B74B0F">
              <w:rPr>
                <w:szCs w:val="22"/>
                <w:lang w:val="sr-Latn-ME"/>
              </w:rPr>
              <w:br/>
            </w:r>
            <w:r w:rsidRPr="00B74B0F">
              <w:rPr>
                <w:b/>
                <w:szCs w:val="22"/>
                <w:lang w:val="sr-Latn-ME"/>
              </w:rPr>
              <w:t>(U-EXCEL)</w:t>
            </w:r>
          </w:p>
        </w:tc>
      </w:tr>
      <w:tr w:rsidR="00366107" w:rsidRPr="00B74B0F" w14:paraId="0A0EEEC4" w14:textId="77777777" w:rsidTr="0069063B">
        <w:trPr>
          <w:trHeight w:val="447"/>
        </w:trPr>
        <w:tc>
          <w:tcPr>
            <w:tcW w:w="2335" w:type="dxa"/>
            <w:tcBorders>
              <w:top w:val="single" w:sz="4" w:space="0" w:color="auto"/>
              <w:left w:val="single" w:sz="4" w:space="0" w:color="auto"/>
              <w:bottom w:val="single" w:sz="4" w:space="0" w:color="auto"/>
              <w:right w:val="single" w:sz="4" w:space="0" w:color="auto"/>
            </w:tcBorders>
            <w:hideMark/>
          </w:tcPr>
          <w:p w14:paraId="022759F5" w14:textId="77777777" w:rsidR="00366107" w:rsidRPr="00B74B0F" w:rsidRDefault="00366107" w:rsidP="00A30C3C">
            <w:pPr>
              <w:jc w:val="both"/>
              <w:rPr>
                <w:b/>
                <w:bCs/>
                <w:color w:val="2D2926"/>
                <w:szCs w:val="22"/>
                <w:lang w:val="sr-Latn-ME"/>
              </w:rPr>
            </w:pPr>
            <w:r w:rsidRPr="00B74B0F">
              <w:rPr>
                <w:rFonts w:eastAsia="Calibri"/>
                <w:b/>
                <w:bCs/>
                <w:szCs w:val="22"/>
                <w:lang w:val="sr-Latn-ME"/>
              </w:rPr>
              <w:t>Liječena grupa</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B2C28D" w14:textId="77777777" w:rsidR="00366107" w:rsidRPr="00B74B0F" w:rsidRDefault="00366107">
            <w:pPr>
              <w:jc w:val="center"/>
              <w:rPr>
                <w:b/>
                <w:szCs w:val="22"/>
                <w:lang w:val="sr-Latn-ME"/>
              </w:rPr>
            </w:pPr>
            <w:r w:rsidRPr="00B74B0F">
              <w:rPr>
                <w:b/>
                <w:szCs w:val="22"/>
                <w:lang w:val="sr-Latn-ME"/>
              </w:rPr>
              <w:t>PBO</w:t>
            </w:r>
            <w:r w:rsidRPr="00B74B0F">
              <w:rPr>
                <w:szCs w:val="22"/>
                <w:lang w:val="sr-Latn-ME"/>
              </w:rPr>
              <w:br/>
            </w:r>
            <w:r w:rsidRPr="00B74B0F">
              <w:rPr>
                <w:b/>
                <w:szCs w:val="22"/>
                <w:lang w:val="sr-Latn-ME"/>
              </w:rPr>
              <w:t>N = 171</w:t>
            </w:r>
          </w:p>
          <w:p w14:paraId="76DE7E0D" w14:textId="77777777" w:rsidR="00366107" w:rsidRPr="00B74B0F" w:rsidRDefault="00366107">
            <w:pPr>
              <w:jc w:val="center"/>
              <w:rPr>
                <w:b/>
                <w:bCs/>
                <w:color w:val="2D2926"/>
                <w:szCs w:val="22"/>
                <w:lang w:val="sr-Latn-ME"/>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5096BFF8" w14:textId="77777777" w:rsidR="00366107" w:rsidRPr="00B74B0F" w:rsidRDefault="00366107">
            <w:pPr>
              <w:jc w:val="center"/>
              <w:rPr>
                <w:b/>
                <w:szCs w:val="22"/>
                <w:lang w:val="sr-Latn-ME"/>
              </w:rPr>
            </w:pPr>
            <w:r w:rsidRPr="00B74B0F">
              <w:rPr>
                <w:b/>
                <w:szCs w:val="22"/>
                <w:lang w:val="sr-Latn-ME"/>
              </w:rPr>
              <w:t>UPA</w:t>
            </w:r>
            <w:r w:rsidRPr="00B74B0F">
              <w:rPr>
                <w:szCs w:val="22"/>
                <w:lang w:val="sr-Latn-ME"/>
              </w:rPr>
              <w:br/>
            </w:r>
            <w:r w:rsidRPr="00B74B0F">
              <w:rPr>
                <w:b/>
                <w:szCs w:val="22"/>
                <w:lang w:val="sr-Latn-ME"/>
              </w:rPr>
              <w:t>45 mg</w:t>
            </w:r>
            <w:r w:rsidRPr="00B74B0F">
              <w:rPr>
                <w:szCs w:val="22"/>
                <w:lang w:val="sr-Latn-ME"/>
              </w:rPr>
              <w:br/>
            </w:r>
            <w:r w:rsidRPr="00B74B0F">
              <w:rPr>
                <w:b/>
                <w:szCs w:val="22"/>
                <w:lang w:val="sr-Latn-ME"/>
              </w:rPr>
              <w:t>N = 324</w:t>
            </w:r>
          </w:p>
          <w:p w14:paraId="424F61B0" w14:textId="77777777" w:rsidR="00366107" w:rsidRPr="00B74B0F" w:rsidRDefault="00366107">
            <w:pPr>
              <w:jc w:val="center"/>
              <w:rPr>
                <w:color w:val="2D2926"/>
                <w:szCs w:val="22"/>
                <w:lang w:val="sr-Latn-ME"/>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A63798C" w14:textId="77777777" w:rsidR="00366107" w:rsidRPr="00B74B0F" w:rsidRDefault="00366107">
            <w:pPr>
              <w:jc w:val="center"/>
              <w:rPr>
                <w:color w:val="2D2926"/>
                <w:szCs w:val="22"/>
                <w:lang w:val="sr-Latn-ME"/>
              </w:rPr>
            </w:pPr>
            <w:r w:rsidRPr="00B74B0F">
              <w:rPr>
                <w:b/>
                <w:szCs w:val="22"/>
                <w:lang w:val="sr-Latn-ME"/>
              </w:rPr>
              <w:t>Razlika u liječenju</w:t>
            </w:r>
            <w:r w:rsidRPr="00B74B0F">
              <w:rPr>
                <w:szCs w:val="22"/>
                <w:lang w:val="sr-Latn-ME"/>
              </w:rPr>
              <w:br/>
            </w:r>
            <w:r w:rsidRPr="00B74B0F">
              <w:rPr>
                <w:b/>
                <w:szCs w:val="22"/>
                <w:lang w:val="sr-Latn-ME"/>
              </w:rPr>
              <w:t>(95% CI)</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3ADD2E" w14:textId="77777777" w:rsidR="00366107" w:rsidRPr="00B74B0F" w:rsidRDefault="00366107">
            <w:pPr>
              <w:jc w:val="center"/>
              <w:rPr>
                <w:b/>
                <w:szCs w:val="22"/>
                <w:lang w:val="sr-Latn-ME"/>
              </w:rPr>
            </w:pPr>
            <w:r w:rsidRPr="00B74B0F">
              <w:rPr>
                <w:b/>
                <w:szCs w:val="22"/>
                <w:lang w:val="sr-Latn-ME"/>
              </w:rPr>
              <w:t>PBO</w:t>
            </w:r>
            <w:r w:rsidRPr="00B74B0F">
              <w:rPr>
                <w:szCs w:val="22"/>
                <w:lang w:val="sr-Latn-ME"/>
              </w:rPr>
              <w:br/>
            </w:r>
            <w:r w:rsidRPr="00B74B0F">
              <w:rPr>
                <w:b/>
                <w:szCs w:val="22"/>
                <w:lang w:val="sr-Latn-ME"/>
              </w:rPr>
              <w:t>N = 176</w:t>
            </w:r>
          </w:p>
          <w:p w14:paraId="4E440826" w14:textId="77777777" w:rsidR="00366107" w:rsidRPr="00B74B0F" w:rsidRDefault="00366107">
            <w:pPr>
              <w:jc w:val="center"/>
              <w:rPr>
                <w:color w:val="2D2926"/>
                <w:szCs w:val="22"/>
                <w:lang w:val="sr-Latn-ME"/>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22F97CDD" w14:textId="77777777" w:rsidR="00366107" w:rsidRPr="00B74B0F" w:rsidRDefault="00366107">
            <w:pPr>
              <w:jc w:val="center"/>
              <w:rPr>
                <w:b/>
                <w:szCs w:val="22"/>
                <w:lang w:val="sr-Latn-ME"/>
              </w:rPr>
            </w:pPr>
            <w:r w:rsidRPr="00B74B0F">
              <w:rPr>
                <w:b/>
                <w:szCs w:val="22"/>
                <w:lang w:val="sr-Latn-ME"/>
              </w:rPr>
              <w:t>UPA</w:t>
            </w:r>
            <w:r w:rsidRPr="00B74B0F">
              <w:rPr>
                <w:szCs w:val="22"/>
                <w:lang w:val="sr-Latn-ME"/>
              </w:rPr>
              <w:br/>
            </w:r>
            <w:r w:rsidRPr="00B74B0F">
              <w:rPr>
                <w:b/>
                <w:szCs w:val="22"/>
                <w:lang w:val="sr-Latn-ME"/>
              </w:rPr>
              <w:t>45 mg</w:t>
            </w:r>
            <w:r w:rsidRPr="00B74B0F">
              <w:rPr>
                <w:szCs w:val="22"/>
                <w:lang w:val="sr-Latn-ME"/>
              </w:rPr>
              <w:br/>
            </w:r>
            <w:r w:rsidRPr="00B74B0F">
              <w:rPr>
                <w:b/>
                <w:szCs w:val="22"/>
                <w:lang w:val="sr-Latn-ME"/>
              </w:rPr>
              <w:t>N = 350</w:t>
            </w:r>
          </w:p>
          <w:p w14:paraId="5837E2B4" w14:textId="77777777" w:rsidR="00366107" w:rsidRPr="00B74B0F" w:rsidRDefault="00366107">
            <w:pPr>
              <w:jc w:val="center"/>
              <w:rPr>
                <w:color w:val="2D2926"/>
                <w:szCs w:val="22"/>
                <w:lang w:val="sr-Latn-ME"/>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73010AF9" w14:textId="77777777" w:rsidR="00366107" w:rsidRPr="00B74B0F" w:rsidRDefault="00366107">
            <w:pPr>
              <w:jc w:val="center"/>
              <w:rPr>
                <w:color w:val="2D2926"/>
                <w:szCs w:val="22"/>
                <w:lang w:val="sr-Latn-ME"/>
              </w:rPr>
            </w:pPr>
            <w:r w:rsidRPr="00B74B0F">
              <w:rPr>
                <w:b/>
                <w:szCs w:val="22"/>
                <w:lang w:val="sr-Latn-ME"/>
              </w:rPr>
              <w:t>Razlika u liječenju</w:t>
            </w:r>
            <w:r w:rsidRPr="00B74B0F">
              <w:rPr>
                <w:szCs w:val="22"/>
                <w:lang w:val="sr-Latn-ME"/>
              </w:rPr>
              <w:br/>
            </w:r>
            <w:r w:rsidRPr="00B74B0F">
              <w:rPr>
                <w:b/>
                <w:szCs w:val="22"/>
                <w:lang w:val="sr-Latn-ME"/>
              </w:rPr>
              <w:t>(95% CI)</w:t>
            </w:r>
          </w:p>
        </w:tc>
      </w:tr>
      <w:tr w:rsidR="00366107" w:rsidRPr="00B74B0F" w14:paraId="3784361F" w14:textId="77777777" w:rsidTr="0069063B">
        <w:trPr>
          <w:trHeight w:val="200"/>
        </w:trPr>
        <w:tc>
          <w:tcPr>
            <w:tcW w:w="8995" w:type="dxa"/>
            <w:gridSpan w:val="7"/>
            <w:tcBorders>
              <w:top w:val="single" w:sz="4" w:space="0" w:color="auto"/>
              <w:left w:val="single" w:sz="4" w:space="0" w:color="auto"/>
              <w:bottom w:val="single" w:sz="4" w:space="0" w:color="auto"/>
              <w:right w:val="single" w:sz="4" w:space="0" w:color="auto"/>
            </w:tcBorders>
            <w:hideMark/>
          </w:tcPr>
          <w:p w14:paraId="79EA95DD" w14:textId="2A10EF9F" w:rsidR="00366107" w:rsidRPr="00B74B0F" w:rsidRDefault="00366107">
            <w:pPr>
              <w:jc w:val="center"/>
              <w:rPr>
                <w:b/>
                <w:bCs/>
                <w:szCs w:val="22"/>
                <w:lang w:val="sr-Latn-ME"/>
              </w:rPr>
            </w:pPr>
            <w:r w:rsidRPr="00B74B0F">
              <w:rPr>
                <w:rFonts w:eastAsia="Calibri"/>
                <w:b/>
                <w:bCs/>
                <w:szCs w:val="22"/>
                <w:lang w:val="sr-Latn-ME"/>
              </w:rPr>
              <w:t>Koprimarn</w:t>
            </w:r>
            <w:r w:rsidR="00C904DA" w:rsidRPr="00B74B0F">
              <w:rPr>
                <w:rFonts w:eastAsia="Calibri"/>
                <w:b/>
                <w:bCs/>
                <w:szCs w:val="22"/>
                <w:lang w:val="sr-Latn-ME"/>
              </w:rPr>
              <w:t>i parametri praćenja</w:t>
            </w:r>
            <w:r w:rsidRPr="00B74B0F">
              <w:rPr>
                <w:rFonts w:eastAsia="Calibri"/>
                <w:b/>
                <w:bCs/>
                <w:szCs w:val="22"/>
                <w:lang w:val="sr-Latn-ME"/>
              </w:rPr>
              <w:t xml:space="preserve"> u 12. sedmici</w:t>
            </w:r>
          </w:p>
        </w:tc>
      </w:tr>
      <w:tr w:rsidR="00366107" w:rsidRPr="00B74B0F" w14:paraId="619ABFB1" w14:textId="77777777" w:rsidTr="0069063B">
        <w:trPr>
          <w:trHeight w:val="205"/>
        </w:trPr>
        <w:tc>
          <w:tcPr>
            <w:tcW w:w="2335" w:type="dxa"/>
            <w:tcBorders>
              <w:top w:val="single" w:sz="4" w:space="0" w:color="auto"/>
              <w:left w:val="single" w:sz="4" w:space="0" w:color="auto"/>
              <w:bottom w:val="single" w:sz="4" w:space="0" w:color="auto"/>
              <w:right w:val="single" w:sz="4" w:space="0" w:color="auto"/>
            </w:tcBorders>
            <w:hideMark/>
          </w:tcPr>
          <w:p w14:paraId="661D2065" w14:textId="77777777" w:rsidR="00366107" w:rsidRPr="00B74B0F" w:rsidRDefault="00366107" w:rsidP="00A30C3C">
            <w:pPr>
              <w:autoSpaceDE w:val="0"/>
              <w:autoSpaceDN w:val="0"/>
              <w:adjustRightInd w:val="0"/>
              <w:jc w:val="both"/>
              <w:rPr>
                <w:szCs w:val="22"/>
                <w:lang w:val="sr-Latn-ME"/>
              </w:rPr>
            </w:pPr>
            <w:r w:rsidRPr="00B74B0F">
              <w:rPr>
                <w:b/>
                <w:szCs w:val="22"/>
                <w:lang w:val="sr-Latn-ME"/>
              </w:rPr>
              <w:t>Klinička remisija</w:t>
            </w:r>
            <w:r w:rsidRPr="00B74B0F">
              <w:rPr>
                <w:b/>
                <w:szCs w:val="22"/>
                <w:vertAlign w:val="superscript"/>
                <w:lang w:val="sr-Latn-ME"/>
              </w:rPr>
              <w:t>a</w:t>
            </w:r>
          </w:p>
        </w:tc>
        <w:tc>
          <w:tcPr>
            <w:tcW w:w="990" w:type="dxa"/>
            <w:tcBorders>
              <w:top w:val="single" w:sz="4" w:space="0" w:color="auto"/>
              <w:left w:val="single" w:sz="4" w:space="0" w:color="auto"/>
              <w:bottom w:val="single" w:sz="4" w:space="0" w:color="auto"/>
              <w:right w:val="single" w:sz="4" w:space="0" w:color="auto"/>
            </w:tcBorders>
          </w:tcPr>
          <w:p w14:paraId="0670BA6E" w14:textId="77777777" w:rsidR="00366107" w:rsidRPr="00B74B0F" w:rsidRDefault="00366107">
            <w:pPr>
              <w:jc w:val="center"/>
              <w:rPr>
                <w:szCs w:val="22"/>
                <w:lang w:val="sr-Latn-ME"/>
              </w:rPr>
            </w:pPr>
            <w:r w:rsidRPr="00B74B0F">
              <w:rPr>
                <w:szCs w:val="22"/>
                <w:lang w:val="sr-Latn-ME"/>
              </w:rPr>
              <w:t>14%</w:t>
            </w:r>
          </w:p>
        </w:tc>
        <w:tc>
          <w:tcPr>
            <w:tcW w:w="1080" w:type="dxa"/>
            <w:tcBorders>
              <w:top w:val="single" w:sz="4" w:space="0" w:color="auto"/>
              <w:left w:val="single" w:sz="4" w:space="0" w:color="auto"/>
              <w:bottom w:val="single" w:sz="4" w:space="0" w:color="auto"/>
              <w:right w:val="single" w:sz="4" w:space="0" w:color="auto"/>
            </w:tcBorders>
          </w:tcPr>
          <w:p w14:paraId="2DACCB7A" w14:textId="77777777" w:rsidR="00366107" w:rsidRPr="00B74B0F" w:rsidRDefault="00366107">
            <w:pPr>
              <w:jc w:val="center"/>
              <w:rPr>
                <w:szCs w:val="22"/>
                <w:lang w:val="sr-Latn-ME"/>
              </w:rPr>
            </w:pPr>
            <w:r w:rsidRPr="00B74B0F">
              <w:rPr>
                <w:szCs w:val="22"/>
                <w:lang w:val="sr-Latn-ME"/>
              </w:rPr>
              <w:t>40%</w:t>
            </w:r>
          </w:p>
        </w:tc>
        <w:tc>
          <w:tcPr>
            <w:tcW w:w="1260" w:type="dxa"/>
            <w:tcBorders>
              <w:top w:val="single" w:sz="4" w:space="0" w:color="auto"/>
              <w:left w:val="single" w:sz="4" w:space="0" w:color="auto"/>
              <w:bottom w:val="single" w:sz="4" w:space="0" w:color="auto"/>
              <w:right w:val="single" w:sz="4" w:space="0" w:color="auto"/>
            </w:tcBorders>
          </w:tcPr>
          <w:p w14:paraId="5906E607" w14:textId="77777777" w:rsidR="00366107" w:rsidRPr="00B74B0F" w:rsidRDefault="00366107">
            <w:pPr>
              <w:jc w:val="center"/>
              <w:rPr>
                <w:szCs w:val="22"/>
                <w:lang w:val="sr-Latn-ME"/>
              </w:rPr>
            </w:pPr>
            <w:r w:rsidRPr="00B74B0F">
              <w:rPr>
                <w:szCs w:val="22"/>
                <w:lang w:val="sr-Latn-ME"/>
              </w:rPr>
              <w:t>26%</w:t>
            </w:r>
          </w:p>
          <w:p w14:paraId="78B38B28" w14:textId="77777777" w:rsidR="00366107" w:rsidRPr="00B74B0F" w:rsidRDefault="00366107">
            <w:pPr>
              <w:jc w:val="center"/>
              <w:rPr>
                <w:szCs w:val="22"/>
                <w:lang w:val="sr-Latn-ME"/>
              </w:rPr>
            </w:pPr>
            <w:r w:rsidRPr="00B74B0F">
              <w:rPr>
                <w:szCs w:val="22"/>
                <w:lang w:val="sr-Latn-ME"/>
              </w:rPr>
              <w:t>(19; 33)</w:t>
            </w:r>
            <w:r w:rsidRPr="00B74B0F">
              <w:rPr>
                <w:b/>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1AEE7DF6" w14:textId="77777777" w:rsidR="00366107" w:rsidRPr="00B74B0F" w:rsidRDefault="00366107">
            <w:pPr>
              <w:jc w:val="center"/>
              <w:rPr>
                <w:szCs w:val="22"/>
                <w:lang w:val="sr-Latn-ME"/>
              </w:rPr>
            </w:pPr>
            <w:r w:rsidRPr="00B74B0F">
              <w:rPr>
                <w:szCs w:val="22"/>
                <w:lang w:val="sr-Latn-ME"/>
              </w:rPr>
              <w:t>22%</w:t>
            </w:r>
          </w:p>
        </w:tc>
        <w:tc>
          <w:tcPr>
            <w:tcW w:w="1080" w:type="dxa"/>
            <w:tcBorders>
              <w:top w:val="single" w:sz="4" w:space="0" w:color="auto"/>
              <w:left w:val="single" w:sz="4" w:space="0" w:color="auto"/>
              <w:bottom w:val="single" w:sz="4" w:space="0" w:color="auto"/>
              <w:right w:val="single" w:sz="4" w:space="0" w:color="auto"/>
            </w:tcBorders>
          </w:tcPr>
          <w:p w14:paraId="4A6306BB" w14:textId="77777777" w:rsidR="00366107" w:rsidRPr="00B74B0F" w:rsidRDefault="00366107">
            <w:pPr>
              <w:jc w:val="center"/>
              <w:rPr>
                <w:szCs w:val="22"/>
                <w:lang w:val="sr-Latn-ME"/>
              </w:rPr>
            </w:pPr>
            <w:r w:rsidRPr="00B74B0F">
              <w:rPr>
                <w:szCs w:val="22"/>
                <w:lang w:val="sr-Latn-ME"/>
              </w:rPr>
              <w:t>51%</w:t>
            </w:r>
          </w:p>
        </w:tc>
        <w:tc>
          <w:tcPr>
            <w:tcW w:w="1260" w:type="dxa"/>
            <w:tcBorders>
              <w:top w:val="single" w:sz="4" w:space="0" w:color="auto"/>
              <w:left w:val="single" w:sz="4" w:space="0" w:color="auto"/>
              <w:bottom w:val="single" w:sz="4" w:space="0" w:color="auto"/>
              <w:right w:val="single" w:sz="4" w:space="0" w:color="auto"/>
            </w:tcBorders>
          </w:tcPr>
          <w:p w14:paraId="54060EE5" w14:textId="77777777" w:rsidR="00366107" w:rsidRPr="00B74B0F" w:rsidRDefault="00366107">
            <w:pPr>
              <w:jc w:val="center"/>
              <w:rPr>
                <w:szCs w:val="22"/>
                <w:lang w:val="sr-Latn-ME"/>
              </w:rPr>
            </w:pPr>
            <w:r w:rsidRPr="00B74B0F">
              <w:rPr>
                <w:szCs w:val="22"/>
                <w:lang w:val="sr-Latn-ME"/>
              </w:rPr>
              <w:t>29%</w:t>
            </w:r>
          </w:p>
          <w:p w14:paraId="077654AA" w14:textId="77777777" w:rsidR="00366107" w:rsidRPr="00B74B0F" w:rsidRDefault="00366107">
            <w:pPr>
              <w:jc w:val="center"/>
              <w:rPr>
                <w:szCs w:val="22"/>
                <w:lang w:val="sr-Latn-ME"/>
              </w:rPr>
            </w:pPr>
            <w:r w:rsidRPr="00B74B0F">
              <w:rPr>
                <w:szCs w:val="22"/>
                <w:lang w:val="sr-Latn-ME"/>
              </w:rPr>
              <w:t>(21; 36)</w:t>
            </w:r>
            <w:r w:rsidRPr="00B74B0F">
              <w:rPr>
                <w:szCs w:val="22"/>
                <w:vertAlign w:val="superscript"/>
                <w:lang w:val="sr-Latn-ME"/>
              </w:rPr>
              <w:t>*</w:t>
            </w:r>
          </w:p>
        </w:tc>
      </w:tr>
      <w:tr w:rsidR="00366107" w:rsidRPr="00B74B0F" w14:paraId="5A12F629" w14:textId="77777777" w:rsidTr="0069063B">
        <w:trPr>
          <w:trHeight w:val="205"/>
        </w:trPr>
        <w:tc>
          <w:tcPr>
            <w:tcW w:w="2335" w:type="dxa"/>
            <w:tcBorders>
              <w:top w:val="single" w:sz="4" w:space="0" w:color="auto"/>
              <w:left w:val="single" w:sz="4" w:space="0" w:color="auto"/>
              <w:bottom w:val="single" w:sz="4" w:space="0" w:color="auto"/>
              <w:right w:val="single" w:sz="4" w:space="0" w:color="auto"/>
            </w:tcBorders>
          </w:tcPr>
          <w:p w14:paraId="08B8E383" w14:textId="77777777" w:rsidR="00366107" w:rsidRPr="00B74B0F" w:rsidRDefault="00366107" w:rsidP="00A30C3C">
            <w:pPr>
              <w:autoSpaceDE w:val="0"/>
              <w:autoSpaceDN w:val="0"/>
              <w:adjustRightInd w:val="0"/>
              <w:jc w:val="both"/>
              <w:rPr>
                <w:b/>
                <w:szCs w:val="22"/>
                <w:lang w:val="sr-Latn-ME"/>
              </w:rPr>
            </w:pPr>
            <w:r w:rsidRPr="00B74B0F">
              <w:rPr>
                <w:bCs/>
                <w:szCs w:val="22"/>
                <w:lang w:val="sr-Latn-ME"/>
              </w:rPr>
              <w:t>Prethodni biološki neuspjeh</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37FCD5E2" w14:textId="77777777" w:rsidR="00366107" w:rsidRPr="00B74B0F" w:rsidRDefault="00366107">
            <w:pPr>
              <w:jc w:val="center"/>
              <w:rPr>
                <w:szCs w:val="22"/>
                <w:lang w:val="sr-Latn-ME"/>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79A608E7" w14:textId="77777777" w:rsidR="00366107" w:rsidRPr="00B74B0F" w:rsidRDefault="00366107">
            <w:pPr>
              <w:jc w:val="center"/>
              <w:rPr>
                <w:szCs w:val="22"/>
                <w:lang w:val="sr-Latn-ME"/>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71B082E5" w14:textId="77777777" w:rsidR="00366107" w:rsidRPr="00B74B0F" w:rsidRDefault="00366107">
            <w:pPr>
              <w:jc w:val="center"/>
              <w:rPr>
                <w:szCs w:val="22"/>
                <w:lang w:val="sr-Latn-ME"/>
              </w:rPr>
            </w:pPr>
          </w:p>
        </w:tc>
        <w:tc>
          <w:tcPr>
            <w:tcW w:w="990" w:type="dxa"/>
            <w:tcBorders>
              <w:top w:val="single" w:sz="4" w:space="0" w:color="auto"/>
              <w:left w:val="single" w:sz="4" w:space="0" w:color="auto"/>
              <w:bottom w:val="single" w:sz="4" w:space="0" w:color="auto"/>
              <w:right w:val="single" w:sz="4" w:space="0" w:color="auto"/>
            </w:tcBorders>
          </w:tcPr>
          <w:p w14:paraId="1B9A8A7F" w14:textId="77777777" w:rsidR="00366107" w:rsidRPr="00B74B0F" w:rsidRDefault="00366107">
            <w:pPr>
              <w:jc w:val="center"/>
              <w:rPr>
                <w:szCs w:val="22"/>
                <w:lang w:val="sr-Latn-ME"/>
              </w:rPr>
            </w:pPr>
            <w:r w:rsidRPr="00B74B0F">
              <w:rPr>
                <w:szCs w:val="22"/>
                <w:lang w:val="sr-Latn-ME"/>
              </w:rPr>
              <w:t>N = 78</w:t>
            </w:r>
          </w:p>
          <w:p w14:paraId="12BFF4FE" w14:textId="77777777" w:rsidR="00366107" w:rsidRPr="00B74B0F" w:rsidRDefault="00366107">
            <w:pPr>
              <w:jc w:val="center"/>
              <w:rPr>
                <w:szCs w:val="22"/>
                <w:lang w:val="sr-Latn-ME"/>
              </w:rPr>
            </w:pPr>
            <w:r w:rsidRPr="00B74B0F">
              <w:rPr>
                <w:szCs w:val="22"/>
                <w:lang w:val="sr-Latn-ME"/>
              </w:rPr>
              <w:t>14%</w:t>
            </w:r>
          </w:p>
        </w:tc>
        <w:tc>
          <w:tcPr>
            <w:tcW w:w="1080" w:type="dxa"/>
            <w:tcBorders>
              <w:top w:val="single" w:sz="4" w:space="0" w:color="auto"/>
              <w:left w:val="single" w:sz="4" w:space="0" w:color="auto"/>
              <w:bottom w:val="single" w:sz="4" w:space="0" w:color="auto"/>
              <w:right w:val="single" w:sz="4" w:space="0" w:color="auto"/>
            </w:tcBorders>
          </w:tcPr>
          <w:p w14:paraId="6926795B" w14:textId="77777777" w:rsidR="00366107" w:rsidRPr="00B74B0F" w:rsidRDefault="00366107">
            <w:pPr>
              <w:jc w:val="center"/>
              <w:rPr>
                <w:szCs w:val="22"/>
                <w:lang w:val="sr-Latn-ME"/>
              </w:rPr>
            </w:pPr>
            <w:r w:rsidRPr="00B74B0F">
              <w:rPr>
                <w:szCs w:val="22"/>
                <w:lang w:val="sr-Latn-ME"/>
              </w:rPr>
              <w:t>N = 161</w:t>
            </w:r>
          </w:p>
          <w:p w14:paraId="040A8409" w14:textId="77777777" w:rsidR="00366107" w:rsidRPr="00B74B0F" w:rsidRDefault="00366107">
            <w:pPr>
              <w:jc w:val="center"/>
              <w:rPr>
                <w:szCs w:val="22"/>
                <w:lang w:val="sr-Latn-ME"/>
              </w:rPr>
            </w:pPr>
            <w:r w:rsidRPr="00B74B0F">
              <w:rPr>
                <w:szCs w:val="22"/>
                <w:lang w:val="sr-Latn-ME"/>
              </w:rPr>
              <w:t>47%</w:t>
            </w:r>
          </w:p>
        </w:tc>
        <w:tc>
          <w:tcPr>
            <w:tcW w:w="1260" w:type="dxa"/>
            <w:tcBorders>
              <w:top w:val="single" w:sz="4" w:space="0" w:color="auto"/>
              <w:left w:val="single" w:sz="4" w:space="0" w:color="auto"/>
              <w:bottom w:val="single" w:sz="4" w:space="0" w:color="auto"/>
              <w:right w:val="single" w:sz="4" w:space="0" w:color="auto"/>
            </w:tcBorders>
          </w:tcPr>
          <w:p w14:paraId="2277F6EF" w14:textId="77777777" w:rsidR="00366107" w:rsidRPr="00B74B0F" w:rsidRDefault="00366107">
            <w:pPr>
              <w:jc w:val="center"/>
              <w:rPr>
                <w:szCs w:val="22"/>
                <w:lang w:val="sr-Latn-ME"/>
              </w:rPr>
            </w:pPr>
            <w:r w:rsidRPr="00B74B0F">
              <w:rPr>
                <w:szCs w:val="22"/>
                <w:lang w:val="sr-Latn-ME"/>
              </w:rPr>
              <w:t>33%</w:t>
            </w:r>
          </w:p>
          <w:p w14:paraId="6F48E1FF" w14:textId="77777777" w:rsidR="00366107" w:rsidRPr="00B74B0F" w:rsidRDefault="00366107">
            <w:pPr>
              <w:jc w:val="center"/>
              <w:rPr>
                <w:szCs w:val="22"/>
                <w:lang w:val="sr-Latn-ME"/>
              </w:rPr>
            </w:pPr>
            <w:r w:rsidRPr="00B74B0F">
              <w:rPr>
                <w:szCs w:val="22"/>
                <w:lang w:val="sr-Latn-ME"/>
              </w:rPr>
              <w:t>(22; 44)</w:t>
            </w:r>
          </w:p>
        </w:tc>
      </w:tr>
      <w:tr w:rsidR="00366107" w:rsidRPr="00B74B0F" w14:paraId="7FCCE145" w14:textId="77777777" w:rsidTr="0069063B">
        <w:trPr>
          <w:trHeight w:val="205"/>
        </w:trPr>
        <w:tc>
          <w:tcPr>
            <w:tcW w:w="2335" w:type="dxa"/>
            <w:tcBorders>
              <w:top w:val="single" w:sz="4" w:space="0" w:color="auto"/>
              <w:left w:val="single" w:sz="4" w:space="0" w:color="auto"/>
              <w:bottom w:val="single" w:sz="4" w:space="0" w:color="auto"/>
              <w:right w:val="single" w:sz="4" w:space="0" w:color="auto"/>
            </w:tcBorders>
          </w:tcPr>
          <w:p w14:paraId="247A6CEC" w14:textId="77777777" w:rsidR="00366107" w:rsidRPr="00B74B0F" w:rsidRDefault="00366107" w:rsidP="00A30C3C">
            <w:pPr>
              <w:autoSpaceDE w:val="0"/>
              <w:autoSpaceDN w:val="0"/>
              <w:adjustRightInd w:val="0"/>
              <w:jc w:val="both"/>
              <w:rPr>
                <w:b/>
                <w:szCs w:val="22"/>
                <w:lang w:val="sr-Latn-ME"/>
              </w:rPr>
            </w:pPr>
            <w:r w:rsidRPr="00B74B0F">
              <w:rPr>
                <w:bCs/>
                <w:szCs w:val="22"/>
                <w:lang w:val="sr-Latn-ME"/>
              </w:rPr>
              <w:t>Bez prethodnog biološkog neuspjeha</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07B14E0A" w14:textId="77777777" w:rsidR="00366107" w:rsidRPr="00B74B0F" w:rsidRDefault="00366107">
            <w:pPr>
              <w:jc w:val="center"/>
              <w:rPr>
                <w:szCs w:val="22"/>
                <w:lang w:val="sr-Latn-ME"/>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80B80DE" w14:textId="77777777" w:rsidR="00366107" w:rsidRPr="00B74B0F" w:rsidRDefault="00366107">
            <w:pPr>
              <w:jc w:val="center"/>
              <w:rPr>
                <w:szCs w:val="22"/>
                <w:lang w:val="sr-Latn-ME"/>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C5B9712" w14:textId="77777777" w:rsidR="00366107" w:rsidRPr="00B74B0F" w:rsidRDefault="00366107">
            <w:pPr>
              <w:jc w:val="center"/>
              <w:rPr>
                <w:szCs w:val="22"/>
                <w:lang w:val="sr-Latn-ME"/>
              </w:rPr>
            </w:pPr>
          </w:p>
        </w:tc>
        <w:tc>
          <w:tcPr>
            <w:tcW w:w="990" w:type="dxa"/>
            <w:tcBorders>
              <w:top w:val="single" w:sz="4" w:space="0" w:color="auto"/>
              <w:left w:val="single" w:sz="4" w:space="0" w:color="auto"/>
              <w:bottom w:val="single" w:sz="4" w:space="0" w:color="auto"/>
              <w:right w:val="single" w:sz="4" w:space="0" w:color="auto"/>
            </w:tcBorders>
          </w:tcPr>
          <w:p w14:paraId="50BF5FE2" w14:textId="77777777" w:rsidR="00366107" w:rsidRPr="00B74B0F" w:rsidRDefault="00366107">
            <w:pPr>
              <w:jc w:val="center"/>
              <w:rPr>
                <w:szCs w:val="22"/>
                <w:lang w:val="sr-Latn-ME"/>
              </w:rPr>
            </w:pPr>
            <w:r w:rsidRPr="00B74B0F">
              <w:rPr>
                <w:szCs w:val="22"/>
                <w:lang w:val="sr-Latn-ME"/>
              </w:rPr>
              <w:t>N = 98</w:t>
            </w:r>
          </w:p>
          <w:p w14:paraId="58CE52D7" w14:textId="77777777" w:rsidR="00366107" w:rsidRPr="00B74B0F" w:rsidRDefault="00366107">
            <w:pPr>
              <w:jc w:val="center"/>
              <w:rPr>
                <w:szCs w:val="22"/>
                <w:lang w:val="sr-Latn-ME"/>
              </w:rPr>
            </w:pPr>
            <w:r w:rsidRPr="00B74B0F">
              <w:rPr>
                <w:szCs w:val="22"/>
                <w:lang w:val="sr-Latn-ME"/>
              </w:rPr>
              <w:t>29%</w:t>
            </w:r>
          </w:p>
        </w:tc>
        <w:tc>
          <w:tcPr>
            <w:tcW w:w="1080" w:type="dxa"/>
            <w:tcBorders>
              <w:top w:val="single" w:sz="4" w:space="0" w:color="auto"/>
              <w:left w:val="single" w:sz="4" w:space="0" w:color="auto"/>
              <w:bottom w:val="single" w:sz="4" w:space="0" w:color="auto"/>
              <w:right w:val="single" w:sz="4" w:space="0" w:color="auto"/>
            </w:tcBorders>
          </w:tcPr>
          <w:p w14:paraId="7E4CF7F7" w14:textId="77777777" w:rsidR="00366107" w:rsidRPr="00B74B0F" w:rsidRDefault="00366107">
            <w:pPr>
              <w:jc w:val="center"/>
              <w:rPr>
                <w:szCs w:val="22"/>
                <w:lang w:val="sr-Latn-ME"/>
              </w:rPr>
            </w:pPr>
            <w:r w:rsidRPr="00B74B0F">
              <w:rPr>
                <w:szCs w:val="22"/>
                <w:lang w:val="sr-Latn-ME"/>
              </w:rPr>
              <w:t>N = 189</w:t>
            </w:r>
          </w:p>
          <w:p w14:paraId="69D1B437" w14:textId="77777777" w:rsidR="00366107" w:rsidRPr="00B74B0F" w:rsidRDefault="00366107">
            <w:pPr>
              <w:jc w:val="center"/>
              <w:rPr>
                <w:szCs w:val="22"/>
                <w:lang w:val="sr-Latn-ME"/>
              </w:rPr>
            </w:pPr>
            <w:r w:rsidRPr="00B74B0F">
              <w:rPr>
                <w:szCs w:val="22"/>
                <w:lang w:val="sr-Latn-ME"/>
              </w:rPr>
              <w:t>54%</w:t>
            </w:r>
          </w:p>
        </w:tc>
        <w:tc>
          <w:tcPr>
            <w:tcW w:w="1260" w:type="dxa"/>
            <w:tcBorders>
              <w:top w:val="single" w:sz="4" w:space="0" w:color="auto"/>
              <w:left w:val="single" w:sz="4" w:space="0" w:color="auto"/>
              <w:bottom w:val="single" w:sz="4" w:space="0" w:color="auto"/>
              <w:right w:val="single" w:sz="4" w:space="0" w:color="auto"/>
            </w:tcBorders>
          </w:tcPr>
          <w:p w14:paraId="2CFB9AFE" w14:textId="77777777" w:rsidR="00366107" w:rsidRPr="00B74B0F" w:rsidRDefault="00366107">
            <w:pPr>
              <w:jc w:val="center"/>
              <w:rPr>
                <w:szCs w:val="22"/>
                <w:lang w:val="sr-Latn-ME"/>
              </w:rPr>
            </w:pPr>
            <w:r w:rsidRPr="00B74B0F">
              <w:rPr>
                <w:szCs w:val="22"/>
                <w:lang w:val="sr-Latn-ME"/>
              </w:rPr>
              <w:t>26%</w:t>
            </w:r>
          </w:p>
          <w:p w14:paraId="4B75C329" w14:textId="77777777" w:rsidR="00366107" w:rsidRPr="00B74B0F" w:rsidRDefault="00366107">
            <w:pPr>
              <w:jc w:val="center"/>
              <w:rPr>
                <w:szCs w:val="22"/>
                <w:lang w:val="sr-Latn-ME"/>
              </w:rPr>
            </w:pPr>
            <w:r w:rsidRPr="00B74B0F">
              <w:rPr>
                <w:szCs w:val="22"/>
                <w:lang w:val="sr-Latn-ME"/>
              </w:rPr>
              <w:t>(14; 37)</w:t>
            </w:r>
          </w:p>
        </w:tc>
      </w:tr>
      <w:tr w:rsidR="00366107" w:rsidRPr="00B74B0F" w14:paraId="50620AB4" w14:textId="77777777" w:rsidTr="0069063B">
        <w:trPr>
          <w:trHeight w:val="220"/>
        </w:trPr>
        <w:tc>
          <w:tcPr>
            <w:tcW w:w="2335" w:type="dxa"/>
            <w:tcBorders>
              <w:top w:val="single" w:sz="4" w:space="0" w:color="auto"/>
              <w:left w:val="single" w:sz="4" w:space="0" w:color="auto"/>
              <w:bottom w:val="single" w:sz="4" w:space="0" w:color="auto"/>
              <w:right w:val="single" w:sz="4" w:space="0" w:color="auto"/>
            </w:tcBorders>
            <w:hideMark/>
          </w:tcPr>
          <w:p w14:paraId="71EB0B0D" w14:textId="77777777" w:rsidR="00366107" w:rsidRPr="00B74B0F" w:rsidRDefault="00366107" w:rsidP="00A30C3C">
            <w:pPr>
              <w:autoSpaceDE w:val="0"/>
              <w:autoSpaceDN w:val="0"/>
              <w:adjustRightInd w:val="0"/>
              <w:jc w:val="both"/>
              <w:rPr>
                <w:b/>
                <w:szCs w:val="22"/>
                <w:lang w:val="sr-Latn-ME"/>
              </w:rPr>
            </w:pPr>
            <w:r w:rsidRPr="00B74B0F">
              <w:rPr>
                <w:rFonts w:eastAsia="Calibri"/>
                <w:b/>
                <w:bCs/>
                <w:szCs w:val="22"/>
                <w:lang w:val="sr-Latn-ME"/>
              </w:rPr>
              <w:t>Endoskopski odgovor</w:t>
            </w:r>
            <w:r w:rsidRPr="00B74B0F">
              <w:rPr>
                <w:rFonts w:eastAsia="Calibri"/>
                <w:b/>
                <w:bCs/>
                <w:szCs w:val="22"/>
                <w:vertAlign w:val="superscript"/>
                <w:lang w:val="sr-Latn-ME"/>
              </w:rPr>
              <w:t>b</w:t>
            </w:r>
          </w:p>
        </w:tc>
        <w:tc>
          <w:tcPr>
            <w:tcW w:w="990" w:type="dxa"/>
            <w:tcBorders>
              <w:top w:val="single" w:sz="4" w:space="0" w:color="auto"/>
              <w:left w:val="single" w:sz="4" w:space="0" w:color="auto"/>
              <w:bottom w:val="single" w:sz="4" w:space="0" w:color="auto"/>
              <w:right w:val="single" w:sz="4" w:space="0" w:color="auto"/>
            </w:tcBorders>
          </w:tcPr>
          <w:p w14:paraId="6113DCA5" w14:textId="77777777" w:rsidR="00366107" w:rsidRPr="00B74B0F" w:rsidRDefault="00366107">
            <w:pPr>
              <w:jc w:val="center"/>
              <w:rPr>
                <w:szCs w:val="22"/>
                <w:lang w:val="sr-Latn-ME"/>
              </w:rPr>
            </w:pPr>
            <w:r w:rsidRPr="00B74B0F">
              <w:rPr>
                <w:szCs w:val="22"/>
                <w:lang w:val="sr-Latn-ME"/>
              </w:rPr>
              <w:t>4%</w:t>
            </w:r>
          </w:p>
        </w:tc>
        <w:tc>
          <w:tcPr>
            <w:tcW w:w="1080" w:type="dxa"/>
            <w:tcBorders>
              <w:top w:val="single" w:sz="4" w:space="0" w:color="auto"/>
              <w:left w:val="single" w:sz="4" w:space="0" w:color="auto"/>
              <w:bottom w:val="single" w:sz="4" w:space="0" w:color="auto"/>
              <w:right w:val="single" w:sz="4" w:space="0" w:color="auto"/>
            </w:tcBorders>
          </w:tcPr>
          <w:p w14:paraId="52048792" w14:textId="77777777" w:rsidR="00366107" w:rsidRPr="00B74B0F" w:rsidRDefault="00366107">
            <w:pPr>
              <w:jc w:val="center"/>
              <w:rPr>
                <w:szCs w:val="22"/>
                <w:lang w:val="sr-Latn-ME"/>
              </w:rPr>
            </w:pPr>
            <w:r w:rsidRPr="00B74B0F">
              <w:rPr>
                <w:szCs w:val="22"/>
                <w:lang w:val="sr-Latn-ME"/>
              </w:rPr>
              <w:t>35%</w:t>
            </w:r>
          </w:p>
        </w:tc>
        <w:tc>
          <w:tcPr>
            <w:tcW w:w="1260" w:type="dxa"/>
            <w:tcBorders>
              <w:top w:val="single" w:sz="4" w:space="0" w:color="auto"/>
              <w:left w:val="single" w:sz="4" w:space="0" w:color="auto"/>
              <w:bottom w:val="single" w:sz="4" w:space="0" w:color="auto"/>
              <w:right w:val="single" w:sz="4" w:space="0" w:color="auto"/>
            </w:tcBorders>
          </w:tcPr>
          <w:p w14:paraId="12D1DFE2" w14:textId="77777777" w:rsidR="00366107" w:rsidRPr="00B74B0F" w:rsidRDefault="00366107">
            <w:pPr>
              <w:jc w:val="center"/>
              <w:rPr>
                <w:szCs w:val="22"/>
                <w:lang w:val="sr-Latn-ME"/>
              </w:rPr>
            </w:pPr>
            <w:r w:rsidRPr="00B74B0F">
              <w:rPr>
                <w:szCs w:val="22"/>
                <w:lang w:val="sr-Latn-ME"/>
              </w:rPr>
              <w:t>31%</w:t>
            </w:r>
          </w:p>
          <w:p w14:paraId="18868D89" w14:textId="77777777" w:rsidR="00366107" w:rsidRPr="00B74B0F" w:rsidRDefault="00366107">
            <w:pPr>
              <w:jc w:val="center"/>
              <w:rPr>
                <w:szCs w:val="22"/>
                <w:lang w:val="sr-Latn-ME"/>
              </w:rPr>
            </w:pPr>
            <w:r w:rsidRPr="00B74B0F">
              <w:rPr>
                <w:szCs w:val="22"/>
                <w:lang w:val="sr-Latn-ME"/>
              </w:rPr>
              <w:t>(25; 37)</w:t>
            </w:r>
            <w:r w:rsidRPr="00B74B0F">
              <w:rPr>
                <w:b/>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7CF08F97" w14:textId="77777777" w:rsidR="00366107" w:rsidRPr="00B74B0F" w:rsidRDefault="00366107">
            <w:pPr>
              <w:jc w:val="center"/>
              <w:rPr>
                <w:szCs w:val="22"/>
                <w:lang w:val="sr-Latn-ME"/>
              </w:rPr>
            </w:pPr>
            <w:r w:rsidRPr="00B74B0F">
              <w:rPr>
                <w:szCs w:val="22"/>
                <w:lang w:val="sr-Latn-ME"/>
              </w:rPr>
              <w:t>13%</w:t>
            </w:r>
          </w:p>
        </w:tc>
        <w:tc>
          <w:tcPr>
            <w:tcW w:w="1080" w:type="dxa"/>
            <w:tcBorders>
              <w:top w:val="single" w:sz="4" w:space="0" w:color="auto"/>
              <w:left w:val="single" w:sz="4" w:space="0" w:color="auto"/>
              <w:bottom w:val="single" w:sz="4" w:space="0" w:color="auto"/>
              <w:right w:val="single" w:sz="4" w:space="0" w:color="auto"/>
            </w:tcBorders>
          </w:tcPr>
          <w:p w14:paraId="33C1975B" w14:textId="77777777" w:rsidR="00366107" w:rsidRPr="00B74B0F" w:rsidRDefault="00366107">
            <w:pPr>
              <w:jc w:val="center"/>
              <w:rPr>
                <w:szCs w:val="22"/>
                <w:lang w:val="sr-Latn-ME"/>
              </w:rPr>
            </w:pPr>
            <w:r w:rsidRPr="00B74B0F">
              <w:rPr>
                <w:szCs w:val="22"/>
                <w:lang w:val="sr-Latn-ME"/>
              </w:rPr>
              <w:t>46%</w:t>
            </w:r>
          </w:p>
        </w:tc>
        <w:tc>
          <w:tcPr>
            <w:tcW w:w="1260" w:type="dxa"/>
            <w:tcBorders>
              <w:top w:val="single" w:sz="4" w:space="0" w:color="auto"/>
              <w:left w:val="single" w:sz="4" w:space="0" w:color="auto"/>
              <w:bottom w:val="single" w:sz="4" w:space="0" w:color="auto"/>
              <w:right w:val="single" w:sz="4" w:space="0" w:color="auto"/>
            </w:tcBorders>
          </w:tcPr>
          <w:p w14:paraId="24D84F82" w14:textId="77777777" w:rsidR="00366107" w:rsidRPr="00B74B0F" w:rsidRDefault="00366107">
            <w:pPr>
              <w:jc w:val="center"/>
              <w:rPr>
                <w:szCs w:val="22"/>
                <w:lang w:val="sr-Latn-ME"/>
              </w:rPr>
            </w:pPr>
            <w:r w:rsidRPr="00B74B0F">
              <w:rPr>
                <w:szCs w:val="22"/>
                <w:lang w:val="sr-Latn-ME"/>
              </w:rPr>
              <w:t>33%</w:t>
            </w:r>
          </w:p>
          <w:p w14:paraId="196EF2B7" w14:textId="77777777" w:rsidR="00366107" w:rsidRPr="00B74B0F" w:rsidRDefault="00366107">
            <w:pPr>
              <w:ind w:right="-108"/>
              <w:jc w:val="center"/>
              <w:rPr>
                <w:szCs w:val="22"/>
                <w:lang w:val="sr-Latn-ME"/>
              </w:rPr>
            </w:pPr>
            <w:r w:rsidRPr="00B74B0F">
              <w:rPr>
                <w:szCs w:val="22"/>
                <w:lang w:val="sr-Latn-ME"/>
              </w:rPr>
              <w:t>(26; 40)</w:t>
            </w:r>
            <w:r w:rsidRPr="00B74B0F">
              <w:rPr>
                <w:szCs w:val="22"/>
                <w:vertAlign w:val="superscript"/>
                <w:lang w:val="sr-Latn-ME"/>
              </w:rPr>
              <w:t>*</w:t>
            </w:r>
          </w:p>
        </w:tc>
      </w:tr>
      <w:tr w:rsidR="00366107" w:rsidRPr="00B74B0F" w14:paraId="6EC5D002" w14:textId="77777777" w:rsidTr="0069063B">
        <w:trPr>
          <w:trHeight w:val="220"/>
        </w:trPr>
        <w:tc>
          <w:tcPr>
            <w:tcW w:w="2335" w:type="dxa"/>
            <w:tcBorders>
              <w:top w:val="single" w:sz="4" w:space="0" w:color="auto"/>
              <w:left w:val="single" w:sz="4" w:space="0" w:color="auto"/>
              <w:bottom w:val="single" w:sz="4" w:space="0" w:color="auto"/>
              <w:right w:val="single" w:sz="4" w:space="0" w:color="auto"/>
            </w:tcBorders>
          </w:tcPr>
          <w:p w14:paraId="5C418C62" w14:textId="77777777" w:rsidR="00366107" w:rsidRPr="00B74B0F" w:rsidRDefault="00366107" w:rsidP="00A30C3C">
            <w:pPr>
              <w:autoSpaceDE w:val="0"/>
              <w:autoSpaceDN w:val="0"/>
              <w:adjustRightInd w:val="0"/>
              <w:jc w:val="both"/>
              <w:rPr>
                <w:b/>
                <w:szCs w:val="22"/>
                <w:lang w:val="sr-Latn-ME"/>
              </w:rPr>
            </w:pPr>
            <w:r w:rsidRPr="00B74B0F">
              <w:rPr>
                <w:bCs/>
                <w:szCs w:val="22"/>
                <w:lang w:val="sr-Latn-ME"/>
              </w:rPr>
              <w:t>Prethodni biološki neuspjeh</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59B36224" w14:textId="77777777" w:rsidR="00366107" w:rsidRPr="00B74B0F" w:rsidRDefault="00366107">
            <w:pPr>
              <w:jc w:val="center"/>
              <w:rPr>
                <w:szCs w:val="22"/>
                <w:lang w:val="sr-Latn-ME"/>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51C8F76A" w14:textId="77777777" w:rsidR="00366107" w:rsidRPr="00B74B0F" w:rsidRDefault="00366107">
            <w:pPr>
              <w:jc w:val="center"/>
              <w:rPr>
                <w:szCs w:val="22"/>
                <w:lang w:val="sr-Latn-ME"/>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25C86C69" w14:textId="77777777" w:rsidR="00366107" w:rsidRPr="00B74B0F" w:rsidRDefault="00366107">
            <w:pPr>
              <w:jc w:val="center"/>
              <w:rPr>
                <w:szCs w:val="22"/>
                <w:lang w:val="sr-Latn-ME"/>
              </w:rPr>
            </w:pPr>
          </w:p>
        </w:tc>
        <w:tc>
          <w:tcPr>
            <w:tcW w:w="990" w:type="dxa"/>
            <w:tcBorders>
              <w:top w:val="single" w:sz="4" w:space="0" w:color="auto"/>
              <w:left w:val="single" w:sz="4" w:space="0" w:color="auto"/>
              <w:bottom w:val="single" w:sz="4" w:space="0" w:color="auto"/>
              <w:right w:val="single" w:sz="4" w:space="0" w:color="auto"/>
            </w:tcBorders>
          </w:tcPr>
          <w:p w14:paraId="14F3B5E3" w14:textId="77777777" w:rsidR="00366107" w:rsidRPr="00B74B0F" w:rsidRDefault="00366107">
            <w:pPr>
              <w:jc w:val="center"/>
              <w:rPr>
                <w:bCs/>
                <w:szCs w:val="22"/>
                <w:lang w:val="sr-Latn-ME"/>
              </w:rPr>
            </w:pPr>
            <w:r w:rsidRPr="00B74B0F">
              <w:rPr>
                <w:bCs/>
                <w:szCs w:val="22"/>
                <w:lang w:val="sr-Latn-ME"/>
              </w:rPr>
              <w:t>N = 78</w:t>
            </w:r>
          </w:p>
          <w:p w14:paraId="649592B7" w14:textId="77777777" w:rsidR="00366107" w:rsidRPr="00B74B0F" w:rsidRDefault="00366107">
            <w:pPr>
              <w:jc w:val="center"/>
              <w:rPr>
                <w:szCs w:val="22"/>
                <w:lang w:val="sr-Latn-ME"/>
              </w:rPr>
            </w:pPr>
            <w:r w:rsidRPr="00B74B0F">
              <w:rPr>
                <w:bCs/>
                <w:szCs w:val="22"/>
                <w:lang w:val="sr-Latn-ME"/>
              </w:rPr>
              <w:t>9%</w:t>
            </w:r>
          </w:p>
        </w:tc>
        <w:tc>
          <w:tcPr>
            <w:tcW w:w="1080" w:type="dxa"/>
            <w:tcBorders>
              <w:top w:val="single" w:sz="4" w:space="0" w:color="auto"/>
              <w:left w:val="single" w:sz="4" w:space="0" w:color="auto"/>
              <w:bottom w:val="single" w:sz="4" w:space="0" w:color="auto"/>
              <w:right w:val="single" w:sz="4" w:space="0" w:color="auto"/>
            </w:tcBorders>
          </w:tcPr>
          <w:p w14:paraId="592A5ABC" w14:textId="77777777" w:rsidR="00366107" w:rsidRPr="00B74B0F" w:rsidRDefault="00366107">
            <w:pPr>
              <w:jc w:val="center"/>
              <w:rPr>
                <w:bCs/>
                <w:szCs w:val="22"/>
                <w:lang w:val="sr-Latn-ME"/>
              </w:rPr>
            </w:pPr>
            <w:r w:rsidRPr="00B74B0F">
              <w:rPr>
                <w:bCs/>
                <w:szCs w:val="22"/>
                <w:lang w:val="sr-Latn-ME"/>
              </w:rPr>
              <w:t>N = 161</w:t>
            </w:r>
          </w:p>
          <w:p w14:paraId="48E7B97C" w14:textId="77777777" w:rsidR="00366107" w:rsidRPr="00B74B0F" w:rsidRDefault="00366107">
            <w:pPr>
              <w:jc w:val="center"/>
              <w:rPr>
                <w:szCs w:val="22"/>
                <w:lang w:val="sr-Latn-ME"/>
              </w:rPr>
            </w:pPr>
            <w:r w:rsidRPr="00B74B0F">
              <w:rPr>
                <w:bCs/>
                <w:szCs w:val="22"/>
                <w:lang w:val="sr-Latn-ME"/>
              </w:rPr>
              <w:t>38%</w:t>
            </w:r>
          </w:p>
        </w:tc>
        <w:tc>
          <w:tcPr>
            <w:tcW w:w="1260" w:type="dxa"/>
            <w:tcBorders>
              <w:top w:val="single" w:sz="4" w:space="0" w:color="auto"/>
              <w:left w:val="single" w:sz="4" w:space="0" w:color="auto"/>
              <w:bottom w:val="single" w:sz="4" w:space="0" w:color="auto"/>
              <w:right w:val="single" w:sz="4" w:space="0" w:color="auto"/>
            </w:tcBorders>
          </w:tcPr>
          <w:p w14:paraId="7CC3A60E" w14:textId="77777777" w:rsidR="00366107" w:rsidRPr="00B74B0F" w:rsidRDefault="00366107">
            <w:pPr>
              <w:jc w:val="center"/>
              <w:rPr>
                <w:szCs w:val="22"/>
                <w:lang w:val="sr-Latn-ME"/>
              </w:rPr>
            </w:pPr>
            <w:r w:rsidRPr="00B74B0F">
              <w:rPr>
                <w:szCs w:val="22"/>
                <w:lang w:val="sr-Latn-ME"/>
              </w:rPr>
              <w:t>29%</w:t>
            </w:r>
          </w:p>
          <w:p w14:paraId="78C66962" w14:textId="77777777" w:rsidR="00366107" w:rsidRPr="00B74B0F" w:rsidRDefault="00366107">
            <w:pPr>
              <w:ind w:right="-108"/>
              <w:jc w:val="center"/>
              <w:rPr>
                <w:szCs w:val="22"/>
                <w:lang w:val="sr-Latn-ME"/>
              </w:rPr>
            </w:pPr>
            <w:r w:rsidRPr="00B74B0F">
              <w:rPr>
                <w:szCs w:val="22"/>
                <w:lang w:val="sr-Latn-ME"/>
              </w:rPr>
              <w:t>(19; 39)</w:t>
            </w:r>
          </w:p>
        </w:tc>
      </w:tr>
      <w:tr w:rsidR="00366107" w:rsidRPr="00B74B0F" w14:paraId="791070B4" w14:textId="77777777" w:rsidTr="0069063B">
        <w:trPr>
          <w:trHeight w:val="220"/>
        </w:trPr>
        <w:tc>
          <w:tcPr>
            <w:tcW w:w="2335" w:type="dxa"/>
            <w:tcBorders>
              <w:top w:val="single" w:sz="4" w:space="0" w:color="auto"/>
              <w:left w:val="single" w:sz="4" w:space="0" w:color="auto"/>
              <w:bottom w:val="single" w:sz="4" w:space="0" w:color="auto"/>
              <w:right w:val="single" w:sz="4" w:space="0" w:color="auto"/>
            </w:tcBorders>
          </w:tcPr>
          <w:p w14:paraId="35C9BCDC" w14:textId="77777777" w:rsidR="00366107" w:rsidRPr="00B74B0F" w:rsidRDefault="00366107" w:rsidP="00A30C3C">
            <w:pPr>
              <w:autoSpaceDE w:val="0"/>
              <w:autoSpaceDN w:val="0"/>
              <w:adjustRightInd w:val="0"/>
              <w:jc w:val="both"/>
              <w:rPr>
                <w:b/>
                <w:szCs w:val="22"/>
                <w:lang w:val="sr-Latn-ME"/>
              </w:rPr>
            </w:pPr>
            <w:r w:rsidRPr="00B74B0F">
              <w:rPr>
                <w:bCs/>
                <w:szCs w:val="22"/>
                <w:lang w:val="sr-Latn-ME"/>
              </w:rPr>
              <w:t>Bez prethodnog biološkog neuspjeha</w:t>
            </w:r>
          </w:p>
        </w:tc>
        <w:tc>
          <w:tcPr>
            <w:tcW w:w="990" w:type="dxa"/>
            <w:tcBorders>
              <w:top w:val="single" w:sz="4" w:space="0" w:color="auto"/>
              <w:left w:val="single" w:sz="4" w:space="0" w:color="auto"/>
              <w:bottom w:val="single" w:sz="4" w:space="0" w:color="auto"/>
              <w:right w:val="single" w:sz="4" w:space="0" w:color="auto"/>
            </w:tcBorders>
            <w:shd w:val="clear" w:color="auto" w:fill="D9D9D9"/>
          </w:tcPr>
          <w:p w14:paraId="175F1F90" w14:textId="77777777" w:rsidR="00366107" w:rsidRPr="00B74B0F" w:rsidRDefault="00366107">
            <w:pPr>
              <w:jc w:val="center"/>
              <w:rPr>
                <w:szCs w:val="22"/>
                <w:lang w:val="sr-Latn-ME"/>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14:paraId="374A9069" w14:textId="77777777" w:rsidR="00366107" w:rsidRPr="00B74B0F" w:rsidRDefault="00366107">
            <w:pPr>
              <w:jc w:val="center"/>
              <w:rPr>
                <w:szCs w:val="22"/>
                <w:lang w:val="sr-Latn-ME"/>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14:paraId="4292CF5B" w14:textId="77777777" w:rsidR="00366107" w:rsidRPr="00B74B0F" w:rsidRDefault="00366107">
            <w:pPr>
              <w:jc w:val="center"/>
              <w:rPr>
                <w:szCs w:val="22"/>
                <w:lang w:val="sr-Latn-ME"/>
              </w:rPr>
            </w:pPr>
          </w:p>
        </w:tc>
        <w:tc>
          <w:tcPr>
            <w:tcW w:w="990" w:type="dxa"/>
            <w:tcBorders>
              <w:top w:val="single" w:sz="4" w:space="0" w:color="auto"/>
              <w:left w:val="single" w:sz="4" w:space="0" w:color="auto"/>
              <w:bottom w:val="single" w:sz="4" w:space="0" w:color="auto"/>
              <w:right w:val="single" w:sz="4" w:space="0" w:color="auto"/>
            </w:tcBorders>
          </w:tcPr>
          <w:p w14:paraId="1529AD47" w14:textId="77777777" w:rsidR="00366107" w:rsidRPr="00B74B0F" w:rsidRDefault="00366107">
            <w:pPr>
              <w:jc w:val="center"/>
              <w:rPr>
                <w:bCs/>
                <w:szCs w:val="22"/>
                <w:lang w:val="sr-Latn-ME"/>
              </w:rPr>
            </w:pPr>
            <w:r w:rsidRPr="00B74B0F">
              <w:rPr>
                <w:bCs/>
                <w:szCs w:val="22"/>
                <w:lang w:val="sr-Latn-ME"/>
              </w:rPr>
              <w:t>N = 98</w:t>
            </w:r>
          </w:p>
          <w:p w14:paraId="7AE940C0" w14:textId="77777777" w:rsidR="00366107" w:rsidRPr="00B74B0F" w:rsidRDefault="00366107">
            <w:pPr>
              <w:jc w:val="center"/>
              <w:rPr>
                <w:szCs w:val="22"/>
                <w:lang w:val="sr-Latn-ME"/>
              </w:rPr>
            </w:pPr>
            <w:r w:rsidRPr="00B74B0F">
              <w:rPr>
                <w:bCs/>
                <w:szCs w:val="22"/>
                <w:lang w:val="sr-Latn-ME"/>
              </w:rPr>
              <w:t>16%</w:t>
            </w:r>
          </w:p>
        </w:tc>
        <w:tc>
          <w:tcPr>
            <w:tcW w:w="1080" w:type="dxa"/>
            <w:tcBorders>
              <w:top w:val="single" w:sz="4" w:space="0" w:color="auto"/>
              <w:left w:val="single" w:sz="4" w:space="0" w:color="auto"/>
              <w:bottom w:val="single" w:sz="4" w:space="0" w:color="auto"/>
              <w:right w:val="single" w:sz="4" w:space="0" w:color="auto"/>
            </w:tcBorders>
          </w:tcPr>
          <w:p w14:paraId="6165FC49" w14:textId="77777777" w:rsidR="00366107" w:rsidRPr="00B74B0F" w:rsidRDefault="00366107">
            <w:pPr>
              <w:jc w:val="center"/>
              <w:rPr>
                <w:bCs/>
                <w:szCs w:val="22"/>
                <w:lang w:val="sr-Latn-ME"/>
              </w:rPr>
            </w:pPr>
            <w:r w:rsidRPr="00B74B0F">
              <w:rPr>
                <w:bCs/>
                <w:szCs w:val="22"/>
                <w:lang w:val="sr-Latn-ME"/>
              </w:rPr>
              <w:t>N = 189</w:t>
            </w:r>
          </w:p>
          <w:p w14:paraId="208C6426" w14:textId="77777777" w:rsidR="00366107" w:rsidRPr="00B74B0F" w:rsidRDefault="00366107">
            <w:pPr>
              <w:jc w:val="center"/>
              <w:rPr>
                <w:szCs w:val="22"/>
                <w:lang w:val="sr-Latn-ME"/>
              </w:rPr>
            </w:pPr>
            <w:r w:rsidRPr="00B74B0F">
              <w:rPr>
                <w:bCs/>
                <w:szCs w:val="22"/>
                <w:lang w:val="sr-Latn-ME"/>
              </w:rPr>
              <w:t>52%</w:t>
            </w:r>
          </w:p>
        </w:tc>
        <w:tc>
          <w:tcPr>
            <w:tcW w:w="1260" w:type="dxa"/>
            <w:tcBorders>
              <w:top w:val="single" w:sz="4" w:space="0" w:color="auto"/>
              <w:left w:val="single" w:sz="4" w:space="0" w:color="auto"/>
              <w:bottom w:val="single" w:sz="4" w:space="0" w:color="auto"/>
              <w:right w:val="single" w:sz="4" w:space="0" w:color="auto"/>
            </w:tcBorders>
          </w:tcPr>
          <w:p w14:paraId="44EAC14C" w14:textId="77777777" w:rsidR="00366107" w:rsidRPr="00B74B0F" w:rsidRDefault="00366107">
            <w:pPr>
              <w:jc w:val="center"/>
              <w:rPr>
                <w:szCs w:val="22"/>
                <w:lang w:val="sr-Latn-ME"/>
              </w:rPr>
            </w:pPr>
            <w:r w:rsidRPr="00B74B0F">
              <w:rPr>
                <w:szCs w:val="22"/>
                <w:lang w:val="sr-Latn-ME"/>
              </w:rPr>
              <w:t>36%</w:t>
            </w:r>
          </w:p>
          <w:p w14:paraId="7D0662FD" w14:textId="77777777" w:rsidR="00366107" w:rsidRPr="00B74B0F" w:rsidRDefault="00366107">
            <w:pPr>
              <w:ind w:right="-108"/>
              <w:jc w:val="center"/>
              <w:rPr>
                <w:szCs w:val="22"/>
                <w:lang w:val="sr-Latn-ME"/>
              </w:rPr>
            </w:pPr>
            <w:r w:rsidRPr="00B74B0F">
              <w:rPr>
                <w:szCs w:val="22"/>
                <w:lang w:val="sr-Latn-ME"/>
              </w:rPr>
              <w:t>(25; 46)</w:t>
            </w:r>
          </w:p>
        </w:tc>
      </w:tr>
      <w:tr w:rsidR="00366107" w:rsidRPr="00B74B0F" w14:paraId="26BB8F0A" w14:textId="77777777" w:rsidTr="0069063B">
        <w:trPr>
          <w:trHeight w:val="166"/>
        </w:trPr>
        <w:tc>
          <w:tcPr>
            <w:tcW w:w="8995" w:type="dxa"/>
            <w:gridSpan w:val="7"/>
            <w:tcBorders>
              <w:top w:val="single" w:sz="4" w:space="0" w:color="auto"/>
              <w:left w:val="single" w:sz="4" w:space="0" w:color="auto"/>
              <w:bottom w:val="single" w:sz="4" w:space="0" w:color="auto"/>
              <w:right w:val="single" w:sz="4" w:space="0" w:color="auto"/>
            </w:tcBorders>
            <w:hideMark/>
          </w:tcPr>
          <w:p w14:paraId="06C09FB5" w14:textId="3FC41E0F" w:rsidR="00366107" w:rsidRPr="00B74B0F" w:rsidRDefault="00366107">
            <w:pPr>
              <w:jc w:val="center"/>
              <w:rPr>
                <w:szCs w:val="22"/>
                <w:lang w:val="sr-Latn-ME"/>
              </w:rPr>
            </w:pPr>
            <w:r w:rsidRPr="00B74B0F">
              <w:rPr>
                <w:rFonts w:eastAsia="Calibri"/>
                <w:b/>
                <w:bCs/>
                <w:szCs w:val="22"/>
                <w:lang w:val="sr-Latn-ME"/>
              </w:rPr>
              <w:t>Dodatn</w:t>
            </w:r>
            <w:r w:rsidR="00C904DA" w:rsidRPr="00B74B0F">
              <w:rPr>
                <w:rFonts w:eastAsia="Calibri"/>
                <w:b/>
                <w:bCs/>
                <w:szCs w:val="22"/>
                <w:lang w:val="sr-Latn-ME"/>
              </w:rPr>
              <w:t xml:space="preserve">i parametri praćenja </w:t>
            </w:r>
            <w:r w:rsidRPr="00B74B0F">
              <w:rPr>
                <w:rFonts w:eastAsia="Calibri"/>
                <w:b/>
                <w:bCs/>
                <w:szCs w:val="22"/>
                <w:lang w:val="sr-Latn-ME"/>
              </w:rPr>
              <w:t>u 12. </w:t>
            </w:r>
            <w:r w:rsidR="00DE7D57" w:rsidRPr="00B74B0F">
              <w:rPr>
                <w:rFonts w:eastAsia="Calibri"/>
                <w:b/>
                <w:bCs/>
                <w:szCs w:val="22"/>
                <w:lang w:val="sr-Latn-ME"/>
              </w:rPr>
              <w:t>sedmici</w:t>
            </w:r>
          </w:p>
        </w:tc>
      </w:tr>
      <w:tr w:rsidR="00366107" w:rsidRPr="00B74B0F" w14:paraId="4AF36CC2" w14:textId="77777777" w:rsidTr="0069063B">
        <w:trPr>
          <w:trHeight w:val="166"/>
        </w:trPr>
        <w:tc>
          <w:tcPr>
            <w:tcW w:w="2335" w:type="dxa"/>
            <w:tcBorders>
              <w:top w:val="single" w:sz="4" w:space="0" w:color="auto"/>
              <w:left w:val="single" w:sz="4" w:space="0" w:color="auto"/>
              <w:bottom w:val="single" w:sz="4" w:space="0" w:color="auto"/>
              <w:right w:val="single" w:sz="4" w:space="0" w:color="auto"/>
            </w:tcBorders>
            <w:vAlign w:val="center"/>
            <w:hideMark/>
          </w:tcPr>
          <w:p w14:paraId="046B3386" w14:textId="77777777" w:rsidR="00366107" w:rsidRPr="00B74B0F" w:rsidRDefault="00366107" w:rsidP="00A30C3C">
            <w:pPr>
              <w:autoSpaceDE w:val="0"/>
              <w:autoSpaceDN w:val="0"/>
              <w:adjustRightInd w:val="0"/>
              <w:jc w:val="both"/>
              <w:rPr>
                <w:rFonts w:eastAsia="Calibri"/>
                <w:b/>
                <w:bCs/>
                <w:szCs w:val="22"/>
                <w:lang w:val="sr-Latn-ME"/>
              </w:rPr>
            </w:pPr>
            <w:r w:rsidRPr="00B74B0F">
              <w:rPr>
                <w:b/>
                <w:szCs w:val="22"/>
                <w:lang w:val="sr-Latn-ME"/>
              </w:rPr>
              <w:t>Klinička remisija prema CDAI</w:t>
            </w:r>
            <w:r w:rsidRPr="00B74B0F">
              <w:rPr>
                <w:b/>
                <w:szCs w:val="22"/>
                <w:vertAlign w:val="superscript"/>
                <w:lang w:val="sr-Latn-ME"/>
              </w:rPr>
              <w:t>c</w:t>
            </w:r>
          </w:p>
        </w:tc>
        <w:tc>
          <w:tcPr>
            <w:tcW w:w="990" w:type="dxa"/>
            <w:tcBorders>
              <w:top w:val="single" w:sz="4" w:space="0" w:color="auto"/>
              <w:left w:val="single" w:sz="4" w:space="0" w:color="auto"/>
              <w:bottom w:val="single" w:sz="4" w:space="0" w:color="auto"/>
              <w:right w:val="single" w:sz="4" w:space="0" w:color="auto"/>
            </w:tcBorders>
          </w:tcPr>
          <w:p w14:paraId="1FA45AB2" w14:textId="77777777" w:rsidR="00366107" w:rsidRPr="00B74B0F" w:rsidRDefault="00366107">
            <w:pPr>
              <w:jc w:val="center"/>
              <w:rPr>
                <w:szCs w:val="22"/>
                <w:lang w:val="sr-Latn-ME"/>
              </w:rPr>
            </w:pPr>
            <w:r w:rsidRPr="00B74B0F">
              <w:rPr>
                <w:szCs w:val="22"/>
                <w:lang w:val="sr-Latn-ME"/>
              </w:rPr>
              <w:t>21%</w:t>
            </w:r>
          </w:p>
        </w:tc>
        <w:tc>
          <w:tcPr>
            <w:tcW w:w="1080" w:type="dxa"/>
            <w:tcBorders>
              <w:top w:val="single" w:sz="4" w:space="0" w:color="auto"/>
              <w:left w:val="single" w:sz="4" w:space="0" w:color="auto"/>
              <w:bottom w:val="single" w:sz="4" w:space="0" w:color="auto"/>
              <w:right w:val="single" w:sz="4" w:space="0" w:color="auto"/>
            </w:tcBorders>
          </w:tcPr>
          <w:p w14:paraId="7F382F49" w14:textId="77777777" w:rsidR="00366107" w:rsidRPr="00B74B0F" w:rsidRDefault="00366107">
            <w:pPr>
              <w:jc w:val="center"/>
              <w:rPr>
                <w:szCs w:val="22"/>
                <w:lang w:val="sr-Latn-ME"/>
              </w:rPr>
            </w:pPr>
            <w:r w:rsidRPr="00B74B0F">
              <w:rPr>
                <w:szCs w:val="22"/>
                <w:lang w:val="sr-Latn-ME"/>
              </w:rPr>
              <w:t>39%</w:t>
            </w:r>
          </w:p>
        </w:tc>
        <w:tc>
          <w:tcPr>
            <w:tcW w:w="1260" w:type="dxa"/>
            <w:tcBorders>
              <w:top w:val="single" w:sz="4" w:space="0" w:color="auto"/>
              <w:left w:val="single" w:sz="4" w:space="0" w:color="auto"/>
              <w:bottom w:val="single" w:sz="4" w:space="0" w:color="auto"/>
              <w:right w:val="single" w:sz="4" w:space="0" w:color="auto"/>
            </w:tcBorders>
          </w:tcPr>
          <w:p w14:paraId="297AEE72" w14:textId="77777777" w:rsidR="00366107" w:rsidRPr="00B74B0F" w:rsidRDefault="00366107">
            <w:pPr>
              <w:jc w:val="center"/>
              <w:rPr>
                <w:szCs w:val="22"/>
                <w:lang w:val="sr-Latn-ME"/>
              </w:rPr>
            </w:pPr>
            <w:r w:rsidRPr="00B74B0F">
              <w:rPr>
                <w:szCs w:val="22"/>
                <w:lang w:val="sr-Latn-ME"/>
              </w:rPr>
              <w:t>18%</w:t>
            </w:r>
          </w:p>
          <w:p w14:paraId="6C1A46AE" w14:textId="77777777" w:rsidR="00366107" w:rsidRPr="00B74B0F" w:rsidRDefault="00366107">
            <w:pPr>
              <w:jc w:val="center"/>
              <w:rPr>
                <w:szCs w:val="22"/>
                <w:lang w:val="sr-Latn-ME"/>
              </w:rPr>
            </w:pPr>
            <w:r w:rsidRPr="00B74B0F">
              <w:rPr>
                <w:szCs w:val="22"/>
                <w:lang w:val="sr-Latn-ME"/>
              </w:rPr>
              <w:t>(10; 26)</w:t>
            </w:r>
            <w:r w:rsidRPr="00B74B0F">
              <w:rPr>
                <w:b/>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4716750D" w14:textId="77777777" w:rsidR="00366107" w:rsidRPr="00B74B0F" w:rsidRDefault="00366107">
            <w:pPr>
              <w:jc w:val="center"/>
              <w:rPr>
                <w:szCs w:val="22"/>
                <w:lang w:val="sr-Latn-ME"/>
              </w:rPr>
            </w:pPr>
            <w:r w:rsidRPr="00B74B0F">
              <w:rPr>
                <w:szCs w:val="22"/>
                <w:lang w:val="sr-Latn-ME"/>
              </w:rPr>
              <w:t>29%</w:t>
            </w:r>
          </w:p>
        </w:tc>
        <w:tc>
          <w:tcPr>
            <w:tcW w:w="1080" w:type="dxa"/>
            <w:tcBorders>
              <w:top w:val="single" w:sz="4" w:space="0" w:color="auto"/>
              <w:left w:val="single" w:sz="4" w:space="0" w:color="auto"/>
              <w:bottom w:val="single" w:sz="4" w:space="0" w:color="auto"/>
              <w:right w:val="single" w:sz="4" w:space="0" w:color="auto"/>
            </w:tcBorders>
          </w:tcPr>
          <w:p w14:paraId="439546AB" w14:textId="77777777" w:rsidR="00366107" w:rsidRPr="00B74B0F" w:rsidRDefault="00366107">
            <w:pPr>
              <w:jc w:val="center"/>
              <w:rPr>
                <w:szCs w:val="22"/>
                <w:lang w:val="sr-Latn-ME"/>
              </w:rPr>
            </w:pPr>
            <w:r w:rsidRPr="00B74B0F">
              <w:rPr>
                <w:szCs w:val="22"/>
                <w:lang w:val="sr-Latn-ME"/>
              </w:rPr>
              <w:t>49%</w:t>
            </w:r>
          </w:p>
        </w:tc>
        <w:tc>
          <w:tcPr>
            <w:tcW w:w="1260" w:type="dxa"/>
            <w:tcBorders>
              <w:top w:val="single" w:sz="4" w:space="0" w:color="auto"/>
              <w:left w:val="single" w:sz="4" w:space="0" w:color="auto"/>
              <w:bottom w:val="single" w:sz="4" w:space="0" w:color="auto"/>
              <w:right w:val="single" w:sz="4" w:space="0" w:color="auto"/>
            </w:tcBorders>
          </w:tcPr>
          <w:p w14:paraId="50C4EAE2" w14:textId="77777777" w:rsidR="00366107" w:rsidRPr="00B74B0F" w:rsidRDefault="00366107">
            <w:pPr>
              <w:jc w:val="center"/>
              <w:rPr>
                <w:szCs w:val="22"/>
                <w:lang w:val="sr-Latn-ME"/>
              </w:rPr>
            </w:pPr>
            <w:r w:rsidRPr="00B74B0F">
              <w:rPr>
                <w:szCs w:val="22"/>
                <w:lang w:val="sr-Latn-ME"/>
              </w:rPr>
              <w:t>21%</w:t>
            </w:r>
          </w:p>
          <w:p w14:paraId="2D73B4FF" w14:textId="77777777" w:rsidR="00366107" w:rsidRPr="00B74B0F" w:rsidRDefault="00366107">
            <w:pPr>
              <w:jc w:val="center"/>
              <w:rPr>
                <w:szCs w:val="22"/>
                <w:lang w:val="sr-Latn-ME"/>
              </w:rPr>
            </w:pPr>
            <w:r w:rsidRPr="00B74B0F">
              <w:rPr>
                <w:szCs w:val="22"/>
                <w:lang w:val="sr-Latn-ME"/>
              </w:rPr>
              <w:t>(13; 29)</w:t>
            </w:r>
            <w:r w:rsidRPr="00B74B0F">
              <w:rPr>
                <w:szCs w:val="22"/>
                <w:vertAlign w:val="superscript"/>
                <w:lang w:val="sr-Latn-ME"/>
              </w:rPr>
              <w:t>*</w:t>
            </w:r>
          </w:p>
        </w:tc>
      </w:tr>
      <w:tr w:rsidR="00366107" w:rsidRPr="00B74B0F" w14:paraId="60F46917" w14:textId="77777777" w:rsidTr="0069063B">
        <w:trPr>
          <w:trHeight w:val="166"/>
        </w:trPr>
        <w:tc>
          <w:tcPr>
            <w:tcW w:w="2335" w:type="dxa"/>
            <w:tcBorders>
              <w:top w:val="single" w:sz="4" w:space="0" w:color="auto"/>
              <w:left w:val="single" w:sz="4" w:space="0" w:color="auto"/>
              <w:bottom w:val="single" w:sz="4" w:space="0" w:color="auto"/>
              <w:right w:val="single" w:sz="4" w:space="0" w:color="auto"/>
            </w:tcBorders>
            <w:vAlign w:val="center"/>
            <w:hideMark/>
          </w:tcPr>
          <w:p w14:paraId="77A02B4F" w14:textId="77777777" w:rsidR="00366107" w:rsidRPr="00B74B0F" w:rsidRDefault="00366107" w:rsidP="00A30C3C">
            <w:pPr>
              <w:autoSpaceDE w:val="0"/>
              <w:autoSpaceDN w:val="0"/>
              <w:adjustRightInd w:val="0"/>
              <w:jc w:val="both"/>
              <w:rPr>
                <w:rFonts w:eastAsia="Calibri"/>
                <w:b/>
                <w:bCs/>
                <w:szCs w:val="22"/>
                <w:lang w:val="sr-Latn-ME"/>
              </w:rPr>
            </w:pPr>
            <w:r w:rsidRPr="00B74B0F">
              <w:rPr>
                <w:b/>
                <w:bCs/>
                <w:szCs w:val="22"/>
                <w:lang w:val="sr-Latn-ME"/>
              </w:rPr>
              <w:t>Klinički odgovor (CR</w:t>
            </w:r>
            <w:r w:rsidRPr="00B74B0F">
              <w:rPr>
                <w:b/>
                <w:bCs/>
                <w:szCs w:val="22"/>
                <w:lang w:val="sr-Latn-ME"/>
              </w:rPr>
              <w:noBreakHyphen/>
              <w:t>100)</w:t>
            </w:r>
            <w:r w:rsidRPr="00B74B0F">
              <w:rPr>
                <w:b/>
                <w:bCs/>
                <w:szCs w:val="22"/>
                <w:vertAlign w:val="superscript"/>
                <w:lang w:val="sr-Latn-ME"/>
              </w:rPr>
              <w:t>d</w:t>
            </w:r>
          </w:p>
        </w:tc>
        <w:tc>
          <w:tcPr>
            <w:tcW w:w="990" w:type="dxa"/>
            <w:tcBorders>
              <w:top w:val="single" w:sz="4" w:space="0" w:color="auto"/>
              <w:left w:val="single" w:sz="4" w:space="0" w:color="auto"/>
              <w:bottom w:val="single" w:sz="4" w:space="0" w:color="auto"/>
              <w:right w:val="single" w:sz="4" w:space="0" w:color="auto"/>
            </w:tcBorders>
          </w:tcPr>
          <w:p w14:paraId="56AA77EC" w14:textId="77777777" w:rsidR="00366107" w:rsidRPr="00B74B0F" w:rsidRDefault="00366107">
            <w:pPr>
              <w:jc w:val="center"/>
              <w:rPr>
                <w:szCs w:val="22"/>
                <w:lang w:val="sr-Latn-ME"/>
              </w:rPr>
            </w:pPr>
            <w:r w:rsidRPr="00B74B0F">
              <w:rPr>
                <w:szCs w:val="22"/>
                <w:lang w:val="sr-Latn-ME"/>
              </w:rPr>
              <w:t>27%</w:t>
            </w:r>
          </w:p>
        </w:tc>
        <w:tc>
          <w:tcPr>
            <w:tcW w:w="1080" w:type="dxa"/>
            <w:tcBorders>
              <w:top w:val="single" w:sz="4" w:space="0" w:color="auto"/>
              <w:left w:val="single" w:sz="4" w:space="0" w:color="auto"/>
              <w:bottom w:val="single" w:sz="4" w:space="0" w:color="auto"/>
              <w:right w:val="single" w:sz="4" w:space="0" w:color="auto"/>
            </w:tcBorders>
          </w:tcPr>
          <w:p w14:paraId="64C78D3F" w14:textId="77777777" w:rsidR="00366107" w:rsidRPr="00B74B0F" w:rsidRDefault="00366107">
            <w:pPr>
              <w:jc w:val="center"/>
              <w:rPr>
                <w:szCs w:val="22"/>
                <w:lang w:val="sr-Latn-ME"/>
              </w:rPr>
            </w:pPr>
            <w:r w:rsidRPr="00B74B0F">
              <w:rPr>
                <w:szCs w:val="22"/>
                <w:lang w:val="sr-Latn-ME"/>
              </w:rPr>
              <w:t>51%</w:t>
            </w:r>
          </w:p>
        </w:tc>
        <w:tc>
          <w:tcPr>
            <w:tcW w:w="1260" w:type="dxa"/>
            <w:tcBorders>
              <w:top w:val="single" w:sz="4" w:space="0" w:color="auto"/>
              <w:left w:val="single" w:sz="4" w:space="0" w:color="auto"/>
              <w:bottom w:val="single" w:sz="4" w:space="0" w:color="auto"/>
              <w:right w:val="single" w:sz="4" w:space="0" w:color="auto"/>
            </w:tcBorders>
          </w:tcPr>
          <w:p w14:paraId="56829508" w14:textId="77777777" w:rsidR="00366107" w:rsidRPr="00B74B0F" w:rsidRDefault="00366107">
            <w:pPr>
              <w:jc w:val="center"/>
              <w:rPr>
                <w:szCs w:val="22"/>
                <w:lang w:val="sr-Latn-ME"/>
              </w:rPr>
            </w:pPr>
            <w:r w:rsidRPr="00B74B0F">
              <w:rPr>
                <w:szCs w:val="22"/>
                <w:lang w:val="sr-Latn-ME"/>
              </w:rPr>
              <w:t>23%</w:t>
            </w:r>
          </w:p>
          <w:p w14:paraId="6A9C4A5E" w14:textId="77777777" w:rsidR="00366107" w:rsidRPr="00B74B0F" w:rsidRDefault="00366107">
            <w:pPr>
              <w:jc w:val="center"/>
              <w:rPr>
                <w:szCs w:val="22"/>
                <w:lang w:val="sr-Latn-ME"/>
              </w:rPr>
            </w:pPr>
            <w:r w:rsidRPr="00B74B0F">
              <w:rPr>
                <w:szCs w:val="22"/>
                <w:lang w:val="sr-Latn-ME"/>
              </w:rPr>
              <w:t>(14; 31)</w:t>
            </w:r>
            <w:r w:rsidRPr="00B74B0F">
              <w:rPr>
                <w:b/>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08DDD8A9" w14:textId="77777777" w:rsidR="00366107" w:rsidRPr="00B74B0F" w:rsidRDefault="00366107">
            <w:pPr>
              <w:jc w:val="center"/>
              <w:rPr>
                <w:szCs w:val="22"/>
                <w:lang w:val="sr-Latn-ME"/>
              </w:rPr>
            </w:pPr>
            <w:r w:rsidRPr="00B74B0F">
              <w:rPr>
                <w:szCs w:val="22"/>
                <w:lang w:val="sr-Latn-ME"/>
              </w:rPr>
              <w:t>37%</w:t>
            </w:r>
          </w:p>
        </w:tc>
        <w:tc>
          <w:tcPr>
            <w:tcW w:w="1080" w:type="dxa"/>
            <w:tcBorders>
              <w:top w:val="single" w:sz="4" w:space="0" w:color="auto"/>
              <w:left w:val="single" w:sz="4" w:space="0" w:color="auto"/>
              <w:bottom w:val="single" w:sz="4" w:space="0" w:color="auto"/>
              <w:right w:val="single" w:sz="4" w:space="0" w:color="auto"/>
            </w:tcBorders>
          </w:tcPr>
          <w:p w14:paraId="41CD7D12" w14:textId="77777777" w:rsidR="00366107" w:rsidRPr="00B74B0F" w:rsidRDefault="00366107">
            <w:pPr>
              <w:jc w:val="center"/>
              <w:rPr>
                <w:szCs w:val="22"/>
                <w:lang w:val="sr-Latn-ME"/>
              </w:rPr>
            </w:pPr>
            <w:r w:rsidRPr="00B74B0F">
              <w:rPr>
                <w:szCs w:val="22"/>
                <w:lang w:val="sr-Latn-ME"/>
              </w:rPr>
              <w:t>57%</w:t>
            </w:r>
          </w:p>
        </w:tc>
        <w:tc>
          <w:tcPr>
            <w:tcW w:w="1260" w:type="dxa"/>
            <w:tcBorders>
              <w:top w:val="single" w:sz="4" w:space="0" w:color="auto"/>
              <w:left w:val="single" w:sz="4" w:space="0" w:color="auto"/>
              <w:bottom w:val="single" w:sz="4" w:space="0" w:color="auto"/>
              <w:right w:val="single" w:sz="4" w:space="0" w:color="auto"/>
            </w:tcBorders>
          </w:tcPr>
          <w:p w14:paraId="034405CB" w14:textId="77777777" w:rsidR="00366107" w:rsidRPr="00B74B0F" w:rsidRDefault="00366107">
            <w:pPr>
              <w:jc w:val="center"/>
              <w:rPr>
                <w:szCs w:val="22"/>
                <w:lang w:val="sr-Latn-ME"/>
              </w:rPr>
            </w:pPr>
            <w:r w:rsidRPr="00B74B0F">
              <w:rPr>
                <w:szCs w:val="22"/>
                <w:lang w:val="sr-Latn-ME"/>
              </w:rPr>
              <w:t>20%</w:t>
            </w:r>
          </w:p>
          <w:p w14:paraId="639EDF96" w14:textId="77777777" w:rsidR="00366107" w:rsidRPr="00B74B0F" w:rsidRDefault="00366107">
            <w:pPr>
              <w:jc w:val="center"/>
              <w:rPr>
                <w:szCs w:val="22"/>
                <w:lang w:val="sr-Latn-ME"/>
              </w:rPr>
            </w:pPr>
            <w:r w:rsidRPr="00B74B0F">
              <w:rPr>
                <w:szCs w:val="22"/>
                <w:lang w:val="sr-Latn-ME"/>
              </w:rPr>
              <w:t>(11; 28)</w:t>
            </w:r>
            <w:r w:rsidRPr="00B74B0F">
              <w:rPr>
                <w:szCs w:val="22"/>
                <w:vertAlign w:val="superscript"/>
                <w:lang w:val="sr-Latn-ME"/>
              </w:rPr>
              <w:t>*</w:t>
            </w:r>
          </w:p>
        </w:tc>
      </w:tr>
      <w:tr w:rsidR="00366107" w:rsidRPr="00B74B0F" w14:paraId="3B2D2F10" w14:textId="77777777" w:rsidTr="0069063B">
        <w:trPr>
          <w:trHeight w:val="166"/>
        </w:trPr>
        <w:tc>
          <w:tcPr>
            <w:tcW w:w="2335" w:type="dxa"/>
            <w:tcBorders>
              <w:top w:val="single" w:sz="4" w:space="0" w:color="auto"/>
              <w:left w:val="single" w:sz="4" w:space="0" w:color="auto"/>
              <w:bottom w:val="single" w:sz="4" w:space="0" w:color="auto"/>
              <w:right w:val="single" w:sz="4" w:space="0" w:color="auto"/>
            </w:tcBorders>
            <w:vAlign w:val="center"/>
            <w:hideMark/>
          </w:tcPr>
          <w:p w14:paraId="1B7081E8" w14:textId="77777777" w:rsidR="00366107" w:rsidRPr="00B74B0F" w:rsidRDefault="00366107" w:rsidP="00A30C3C">
            <w:pPr>
              <w:autoSpaceDE w:val="0"/>
              <w:autoSpaceDN w:val="0"/>
              <w:adjustRightInd w:val="0"/>
              <w:jc w:val="both"/>
              <w:rPr>
                <w:szCs w:val="22"/>
                <w:lang w:val="sr-Latn-ME"/>
              </w:rPr>
            </w:pPr>
            <w:r w:rsidRPr="00B74B0F">
              <w:rPr>
                <w:b/>
                <w:szCs w:val="22"/>
                <w:lang w:val="sr-Latn-ME"/>
              </w:rPr>
              <w:t>Klinička remisija bez primjene kortikosteroida</w:t>
            </w:r>
            <w:r w:rsidRPr="00B74B0F">
              <w:rPr>
                <w:b/>
                <w:szCs w:val="22"/>
                <w:vertAlign w:val="superscript"/>
                <w:lang w:val="sr-Latn-ME"/>
              </w:rPr>
              <w:t>a,e</w:t>
            </w:r>
          </w:p>
        </w:tc>
        <w:tc>
          <w:tcPr>
            <w:tcW w:w="990" w:type="dxa"/>
            <w:tcBorders>
              <w:top w:val="single" w:sz="4" w:space="0" w:color="auto"/>
              <w:left w:val="single" w:sz="4" w:space="0" w:color="auto"/>
              <w:bottom w:val="single" w:sz="4" w:space="0" w:color="auto"/>
              <w:right w:val="single" w:sz="4" w:space="0" w:color="auto"/>
            </w:tcBorders>
          </w:tcPr>
          <w:p w14:paraId="46345FFF" w14:textId="77777777" w:rsidR="00366107" w:rsidRPr="00B74B0F" w:rsidRDefault="00366107">
            <w:pPr>
              <w:jc w:val="center"/>
              <w:rPr>
                <w:szCs w:val="22"/>
                <w:lang w:val="sr-Latn-ME"/>
              </w:rPr>
            </w:pPr>
            <w:r w:rsidRPr="00B74B0F">
              <w:rPr>
                <w:szCs w:val="22"/>
                <w:lang w:val="sr-Latn-ME"/>
              </w:rPr>
              <w:t>N = 60</w:t>
            </w:r>
          </w:p>
          <w:p w14:paraId="625394BF" w14:textId="77777777" w:rsidR="00366107" w:rsidRPr="00B74B0F" w:rsidRDefault="00366107">
            <w:pPr>
              <w:jc w:val="center"/>
              <w:rPr>
                <w:szCs w:val="22"/>
                <w:lang w:val="sr-Latn-ME"/>
              </w:rPr>
            </w:pPr>
            <w:r w:rsidRPr="00B74B0F">
              <w:rPr>
                <w:szCs w:val="22"/>
                <w:lang w:val="sr-Latn-ME"/>
              </w:rPr>
              <w:t>7%</w:t>
            </w:r>
          </w:p>
        </w:tc>
        <w:tc>
          <w:tcPr>
            <w:tcW w:w="1080" w:type="dxa"/>
            <w:tcBorders>
              <w:top w:val="single" w:sz="4" w:space="0" w:color="auto"/>
              <w:left w:val="single" w:sz="4" w:space="0" w:color="auto"/>
              <w:bottom w:val="single" w:sz="4" w:space="0" w:color="auto"/>
              <w:right w:val="single" w:sz="4" w:space="0" w:color="auto"/>
            </w:tcBorders>
          </w:tcPr>
          <w:p w14:paraId="3B7E5ECB" w14:textId="77777777" w:rsidR="00366107" w:rsidRPr="00B74B0F" w:rsidRDefault="00366107">
            <w:pPr>
              <w:jc w:val="center"/>
              <w:rPr>
                <w:szCs w:val="22"/>
                <w:lang w:val="sr-Latn-ME"/>
              </w:rPr>
            </w:pPr>
            <w:r w:rsidRPr="00B74B0F">
              <w:rPr>
                <w:szCs w:val="22"/>
                <w:lang w:val="sr-Latn-ME"/>
              </w:rPr>
              <w:t>N = 108</w:t>
            </w:r>
          </w:p>
          <w:p w14:paraId="7A0771CD" w14:textId="77777777" w:rsidR="00366107" w:rsidRPr="00B74B0F" w:rsidRDefault="00366107">
            <w:pPr>
              <w:jc w:val="center"/>
              <w:rPr>
                <w:szCs w:val="22"/>
                <w:lang w:val="sr-Latn-ME"/>
              </w:rPr>
            </w:pPr>
            <w:r w:rsidRPr="00B74B0F">
              <w:rPr>
                <w:szCs w:val="22"/>
                <w:lang w:val="sr-Latn-ME"/>
              </w:rPr>
              <w:t>37%</w:t>
            </w:r>
          </w:p>
        </w:tc>
        <w:tc>
          <w:tcPr>
            <w:tcW w:w="1260" w:type="dxa"/>
            <w:tcBorders>
              <w:top w:val="single" w:sz="4" w:space="0" w:color="auto"/>
              <w:left w:val="single" w:sz="4" w:space="0" w:color="auto"/>
              <w:bottom w:val="single" w:sz="4" w:space="0" w:color="auto"/>
              <w:right w:val="single" w:sz="4" w:space="0" w:color="auto"/>
            </w:tcBorders>
          </w:tcPr>
          <w:p w14:paraId="0AA5C06F" w14:textId="77777777" w:rsidR="00366107" w:rsidRPr="00B74B0F" w:rsidRDefault="00366107">
            <w:pPr>
              <w:jc w:val="center"/>
              <w:rPr>
                <w:szCs w:val="22"/>
                <w:lang w:val="sr-Latn-ME"/>
              </w:rPr>
            </w:pPr>
            <w:r w:rsidRPr="00B74B0F">
              <w:rPr>
                <w:szCs w:val="22"/>
                <w:lang w:val="sr-Latn-ME"/>
              </w:rPr>
              <w:t>30%</w:t>
            </w:r>
          </w:p>
          <w:p w14:paraId="13D418A6" w14:textId="77777777" w:rsidR="00366107" w:rsidRPr="00B74B0F" w:rsidRDefault="00366107">
            <w:pPr>
              <w:jc w:val="center"/>
              <w:rPr>
                <w:szCs w:val="22"/>
                <w:lang w:val="sr-Latn-ME"/>
              </w:rPr>
            </w:pPr>
            <w:r w:rsidRPr="00B74B0F">
              <w:rPr>
                <w:szCs w:val="22"/>
                <w:lang w:val="sr-Latn-ME"/>
              </w:rPr>
              <w:t>(19; 41)</w:t>
            </w:r>
            <w:r w:rsidRPr="00B74B0F">
              <w:rPr>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4AC2663B" w14:textId="77777777" w:rsidR="00366107" w:rsidRPr="00B74B0F" w:rsidRDefault="00366107">
            <w:pPr>
              <w:jc w:val="center"/>
              <w:rPr>
                <w:szCs w:val="22"/>
                <w:lang w:val="sr-Latn-ME"/>
              </w:rPr>
            </w:pPr>
            <w:r w:rsidRPr="00B74B0F">
              <w:rPr>
                <w:szCs w:val="22"/>
                <w:lang w:val="sr-Latn-ME"/>
              </w:rPr>
              <w:t>N = 64</w:t>
            </w:r>
          </w:p>
          <w:p w14:paraId="1ED8BBAE" w14:textId="77777777" w:rsidR="00366107" w:rsidRPr="00B74B0F" w:rsidRDefault="00366107">
            <w:pPr>
              <w:jc w:val="center"/>
              <w:rPr>
                <w:szCs w:val="22"/>
                <w:lang w:val="sr-Latn-ME"/>
              </w:rPr>
            </w:pPr>
            <w:r w:rsidRPr="00B74B0F">
              <w:rPr>
                <w:szCs w:val="22"/>
                <w:lang w:val="sr-Latn-ME"/>
              </w:rPr>
              <w:t>13%</w:t>
            </w:r>
          </w:p>
        </w:tc>
        <w:tc>
          <w:tcPr>
            <w:tcW w:w="1080" w:type="dxa"/>
            <w:tcBorders>
              <w:top w:val="single" w:sz="4" w:space="0" w:color="auto"/>
              <w:left w:val="single" w:sz="4" w:space="0" w:color="auto"/>
              <w:bottom w:val="single" w:sz="4" w:space="0" w:color="auto"/>
              <w:right w:val="single" w:sz="4" w:space="0" w:color="auto"/>
            </w:tcBorders>
          </w:tcPr>
          <w:p w14:paraId="7BA4B84E" w14:textId="77777777" w:rsidR="00366107" w:rsidRPr="00B74B0F" w:rsidRDefault="00366107">
            <w:pPr>
              <w:jc w:val="center"/>
              <w:rPr>
                <w:szCs w:val="22"/>
                <w:lang w:val="sr-Latn-ME"/>
              </w:rPr>
            </w:pPr>
            <w:r w:rsidRPr="00B74B0F">
              <w:rPr>
                <w:szCs w:val="22"/>
                <w:lang w:val="sr-Latn-ME"/>
              </w:rPr>
              <w:t>N = 126</w:t>
            </w:r>
          </w:p>
          <w:p w14:paraId="793F8E14" w14:textId="77777777" w:rsidR="00366107" w:rsidRPr="00B74B0F" w:rsidRDefault="00366107">
            <w:pPr>
              <w:jc w:val="center"/>
              <w:rPr>
                <w:szCs w:val="22"/>
                <w:lang w:val="sr-Latn-ME"/>
              </w:rPr>
            </w:pPr>
            <w:r w:rsidRPr="00B74B0F">
              <w:rPr>
                <w:szCs w:val="22"/>
                <w:lang w:val="sr-Latn-ME"/>
              </w:rPr>
              <w:t>44%</w:t>
            </w:r>
          </w:p>
        </w:tc>
        <w:tc>
          <w:tcPr>
            <w:tcW w:w="1260" w:type="dxa"/>
            <w:tcBorders>
              <w:top w:val="single" w:sz="4" w:space="0" w:color="auto"/>
              <w:left w:val="single" w:sz="4" w:space="0" w:color="auto"/>
              <w:bottom w:val="single" w:sz="4" w:space="0" w:color="auto"/>
              <w:right w:val="single" w:sz="4" w:space="0" w:color="auto"/>
            </w:tcBorders>
          </w:tcPr>
          <w:p w14:paraId="163A9E50" w14:textId="77777777" w:rsidR="00366107" w:rsidRPr="00B74B0F" w:rsidRDefault="00366107">
            <w:pPr>
              <w:jc w:val="center"/>
              <w:rPr>
                <w:szCs w:val="22"/>
                <w:lang w:val="sr-Latn-ME"/>
              </w:rPr>
            </w:pPr>
            <w:r w:rsidRPr="00B74B0F">
              <w:rPr>
                <w:szCs w:val="22"/>
                <w:lang w:val="sr-Latn-ME"/>
              </w:rPr>
              <w:t>33%</w:t>
            </w:r>
          </w:p>
          <w:p w14:paraId="61D81F14" w14:textId="77777777" w:rsidR="00366107" w:rsidRPr="00B74B0F" w:rsidRDefault="00366107">
            <w:pPr>
              <w:jc w:val="center"/>
              <w:rPr>
                <w:szCs w:val="22"/>
                <w:lang w:val="sr-Latn-ME"/>
              </w:rPr>
            </w:pPr>
            <w:r w:rsidRPr="00B74B0F">
              <w:rPr>
                <w:szCs w:val="22"/>
                <w:lang w:val="sr-Latn-ME"/>
              </w:rPr>
              <w:t>(22; 44)</w:t>
            </w:r>
            <w:r w:rsidRPr="00B74B0F">
              <w:rPr>
                <w:szCs w:val="22"/>
                <w:vertAlign w:val="superscript"/>
                <w:lang w:val="sr-Latn-ME"/>
              </w:rPr>
              <w:t>*</w:t>
            </w:r>
          </w:p>
        </w:tc>
      </w:tr>
      <w:tr w:rsidR="00366107" w:rsidRPr="00B74B0F" w14:paraId="2E986977" w14:textId="77777777" w:rsidTr="0069063B">
        <w:trPr>
          <w:trHeight w:val="166"/>
        </w:trPr>
        <w:tc>
          <w:tcPr>
            <w:tcW w:w="2335" w:type="dxa"/>
            <w:tcBorders>
              <w:top w:val="single" w:sz="4" w:space="0" w:color="auto"/>
              <w:left w:val="single" w:sz="4" w:space="0" w:color="auto"/>
              <w:bottom w:val="single" w:sz="4" w:space="0" w:color="auto"/>
              <w:right w:val="single" w:sz="4" w:space="0" w:color="auto"/>
            </w:tcBorders>
          </w:tcPr>
          <w:p w14:paraId="4F7348C3" w14:textId="77777777" w:rsidR="00366107" w:rsidRPr="00B74B0F" w:rsidRDefault="00366107" w:rsidP="00A30C3C">
            <w:pPr>
              <w:autoSpaceDE w:val="0"/>
              <w:autoSpaceDN w:val="0"/>
              <w:adjustRightInd w:val="0"/>
              <w:jc w:val="both"/>
              <w:rPr>
                <w:szCs w:val="22"/>
                <w:lang w:val="sr-Latn-ME"/>
              </w:rPr>
            </w:pPr>
            <w:r w:rsidRPr="00B74B0F">
              <w:rPr>
                <w:rFonts w:eastAsia="Calibri"/>
                <w:b/>
                <w:bCs/>
                <w:szCs w:val="22"/>
                <w:lang w:val="sr-Latn-ME"/>
              </w:rPr>
              <w:t>Endoskopska remisija</w:t>
            </w:r>
            <w:r w:rsidRPr="00B74B0F">
              <w:rPr>
                <w:rFonts w:eastAsia="Calibri"/>
                <w:b/>
                <w:bCs/>
                <w:szCs w:val="22"/>
                <w:vertAlign w:val="superscript"/>
                <w:lang w:val="sr-Latn-ME"/>
              </w:rPr>
              <w:t>f</w:t>
            </w:r>
          </w:p>
        </w:tc>
        <w:tc>
          <w:tcPr>
            <w:tcW w:w="990" w:type="dxa"/>
            <w:tcBorders>
              <w:top w:val="single" w:sz="4" w:space="0" w:color="auto"/>
              <w:left w:val="single" w:sz="4" w:space="0" w:color="auto"/>
              <w:bottom w:val="single" w:sz="4" w:space="0" w:color="auto"/>
              <w:right w:val="single" w:sz="4" w:space="0" w:color="auto"/>
            </w:tcBorders>
          </w:tcPr>
          <w:p w14:paraId="14BB336A" w14:textId="77777777" w:rsidR="00366107" w:rsidRPr="00B74B0F" w:rsidRDefault="00366107">
            <w:pPr>
              <w:jc w:val="center"/>
              <w:rPr>
                <w:szCs w:val="22"/>
                <w:lang w:val="sr-Latn-ME"/>
              </w:rPr>
            </w:pPr>
            <w:r w:rsidRPr="00B74B0F">
              <w:rPr>
                <w:szCs w:val="22"/>
                <w:lang w:val="sr-Latn-ME"/>
              </w:rPr>
              <w:t>2%</w:t>
            </w:r>
          </w:p>
        </w:tc>
        <w:tc>
          <w:tcPr>
            <w:tcW w:w="1080" w:type="dxa"/>
            <w:tcBorders>
              <w:top w:val="single" w:sz="4" w:space="0" w:color="auto"/>
              <w:left w:val="single" w:sz="4" w:space="0" w:color="auto"/>
              <w:bottom w:val="single" w:sz="4" w:space="0" w:color="auto"/>
              <w:right w:val="single" w:sz="4" w:space="0" w:color="auto"/>
            </w:tcBorders>
          </w:tcPr>
          <w:p w14:paraId="6CB0236D" w14:textId="77777777" w:rsidR="00366107" w:rsidRPr="00B74B0F" w:rsidRDefault="00366107">
            <w:pPr>
              <w:jc w:val="center"/>
              <w:rPr>
                <w:szCs w:val="22"/>
                <w:lang w:val="sr-Latn-ME"/>
              </w:rPr>
            </w:pPr>
            <w:r w:rsidRPr="00B74B0F">
              <w:rPr>
                <w:szCs w:val="22"/>
                <w:lang w:val="sr-Latn-ME"/>
              </w:rPr>
              <w:t>19%</w:t>
            </w:r>
          </w:p>
        </w:tc>
        <w:tc>
          <w:tcPr>
            <w:tcW w:w="1260" w:type="dxa"/>
            <w:tcBorders>
              <w:top w:val="single" w:sz="4" w:space="0" w:color="auto"/>
              <w:left w:val="single" w:sz="4" w:space="0" w:color="auto"/>
              <w:bottom w:val="single" w:sz="4" w:space="0" w:color="auto"/>
              <w:right w:val="single" w:sz="4" w:space="0" w:color="auto"/>
            </w:tcBorders>
          </w:tcPr>
          <w:p w14:paraId="3C4BF619" w14:textId="77777777" w:rsidR="00366107" w:rsidRPr="00B74B0F" w:rsidRDefault="00366107">
            <w:pPr>
              <w:jc w:val="center"/>
              <w:rPr>
                <w:szCs w:val="22"/>
                <w:lang w:val="sr-Latn-ME"/>
              </w:rPr>
            </w:pPr>
            <w:r w:rsidRPr="00B74B0F">
              <w:rPr>
                <w:szCs w:val="22"/>
                <w:lang w:val="sr-Latn-ME"/>
              </w:rPr>
              <w:t>17%</w:t>
            </w:r>
          </w:p>
          <w:p w14:paraId="492CED54" w14:textId="77777777" w:rsidR="00366107" w:rsidRPr="00B74B0F" w:rsidRDefault="00366107">
            <w:pPr>
              <w:jc w:val="center"/>
              <w:rPr>
                <w:szCs w:val="22"/>
                <w:lang w:val="sr-Latn-ME"/>
              </w:rPr>
            </w:pPr>
            <w:r w:rsidRPr="00B74B0F">
              <w:rPr>
                <w:szCs w:val="22"/>
                <w:lang w:val="sr-Latn-ME"/>
              </w:rPr>
              <w:t>(12; 22)</w:t>
            </w:r>
            <w:r w:rsidRPr="00B74B0F">
              <w:rPr>
                <w:b/>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5B999DF5" w14:textId="77777777" w:rsidR="00366107" w:rsidRPr="00B74B0F" w:rsidRDefault="00366107">
            <w:pPr>
              <w:jc w:val="center"/>
              <w:rPr>
                <w:szCs w:val="22"/>
                <w:lang w:val="sr-Latn-ME"/>
              </w:rPr>
            </w:pPr>
            <w:r w:rsidRPr="00B74B0F">
              <w:rPr>
                <w:szCs w:val="22"/>
                <w:lang w:val="sr-Latn-ME"/>
              </w:rPr>
              <w:t>7%</w:t>
            </w:r>
          </w:p>
        </w:tc>
        <w:tc>
          <w:tcPr>
            <w:tcW w:w="1080" w:type="dxa"/>
            <w:tcBorders>
              <w:top w:val="single" w:sz="4" w:space="0" w:color="auto"/>
              <w:left w:val="single" w:sz="4" w:space="0" w:color="auto"/>
              <w:bottom w:val="single" w:sz="4" w:space="0" w:color="auto"/>
              <w:right w:val="single" w:sz="4" w:space="0" w:color="auto"/>
            </w:tcBorders>
          </w:tcPr>
          <w:p w14:paraId="2F4DB62B" w14:textId="77777777" w:rsidR="00366107" w:rsidRPr="00B74B0F" w:rsidRDefault="00366107">
            <w:pPr>
              <w:jc w:val="center"/>
              <w:rPr>
                <w:szCs w:val="22"/>
                <w:lang w:val="sr-Latn-ME"/>
              </w:rPr>
            </w:pPr>
            <w:r w:rsidRPr="00B74B0F">
              <w:rPr>
                <w:szCs w:val="22"/>
                <w:lang w:val="sr-Latn-ME"/>
              </w:rPr>
              <w:t>29%</w:t>
            </w:r>
          </w:p>
        </w:tc>
        <w:tc>
          <w:tcPr>
            <w:tcW w:w="1260" w:type="dxa"/>
            <w:tcBorders>
              <w:top w:val="single" w:sz="4" w:space="0" w:color="auto"/>
              <w:left w:val="single" w:sz="4" w:space="0" w:color="auto"/>
              <w:bottom w:val="single" w:sz="4" w:space="0" w:color="auto"/>
              <w:right w:val="single" w:sz="4" w:space="0" w:color="auto"/>
            </w:tcBorders>
          </w:tcPr>
          <w:p w14:paraId="53525441" w14:textId="77777777" w:rsidR="00366107" w:rsidRPr="00B74B0F" w:rsidRDefault="00366107">
            <w:pPr>
              <w:jc w:val="center"/>
              <w:rPr>
                <w:szCs w:val="22"/>
                <w:lang w:val="sr-Latn-ME"/>
              </w:rPr>
            </w:pPr>
            <w:r w:rsidRPr="00B74B0F">
              <w:rPr>
                <w:szCs w:val="22"/>
                <w:lang w:val="sr-Latn-ME"/>
              </w:rPr>
              <w:t>22%</w:t>
            </w:r>
          </w:p>
          <w:p w14:paraId="18772A24" w14:textId="77777777" w:rsidR="00366107" w:rsidRPr="00B74B0F" w:rsidRDefault="00366107">
            <w:pPr>
              <w:jc w:val="center"/>
              <w:rPr>
                <w:szCs w:val="22"/>
                <w:lang w:val="sr-Latn-ME"/>
              </w:rPr>
            </w:pPr>
            <w:r w:rsidRPr="00B74B0F">
              <w:rPr>
                <w:szCs w:val="22"/>
                <w:lang w:val="sr-Latn-ME"/>
              </w:rPr>
              <w:t>(16; 28)</w:t>
            </w:r>
            <w:r w:rsidRPr="00B74B0F">
              <w:rPr>
                <w:szCs w:val="22"/>
                <w:vertAlign w:val="superscript"/>
                <w:lang w:val="sr-Latn-ME"/>
              </w:rPr>
              <w:t>*</w:t>
            </w:r>
          </w:p>
        </w:tc>
      </w:tr>
      <w:tr w:rsidR="00366107" w:rsidRPr="00B74B0F" w14:paraId="66ABC2DA" w14:textId="77777777" w:rsidTr="0069063B">
        <w:trPr>
          <w:trHeight w:val="166"/>
        </w:trPr>
        <w:tc>
          <w:tcPr>
            <w:tcW w:w="2335" w:type="dxa"/>
            <w:tcBorders>
              <w:top w:val="single" w:sz="4" w:space="0" w:color="auto"/>
              <w:left w:val="single" w:sz="4" w:space="0" w:color="auto"/>
              <w:bottom w:val="single" w:sz="4" w:space="0" w:color="auto"/>
              <w:right w:val="single" w:sz="4" w:space="0" w:color="auto"/>
            </w:tcBorders>
            <w:hideMark/>
          </w:tcPr>
          <w:p w14:paraId="2812D186" w14:textId="77777777" w:rsidR="00366107" w:rsidRPr="00B74B0F" w:rsidRDefault="00366107" w:rsidP="00A30C3C">
            <w:pPr>
              <w:autoSpaceDE w:val="0"/>
              <w:autoSpaceDN w:val="0"/>
              <w:adjustRightInd w:val="0"/>
              <w:jc w:val="both"/>
              <w:rPr>
                <w:szCs w:val="22"/>
                <w:lang w:val="sr-Latn-ME"/>
              </w:rPr>
            </w:pPr>
            <w:r w:rsidRPr="00B74B0F">
              <w:rPr>
                <w:rFonts w:eastAsia="Calibri"/>
                <w:b/>
                <w:bCs/>
                <w:szCs w:val="22"/>
                <w:lang w:val="sr-Latn-ME"/>
              </w:rPr>
              <w:t>Zarastanje sluznice</w:t>
            </w:r>
            <w:r w:rsidRPr="00B74B0F">
              <w:rPr>
                <w:rFonts w:eastAsia="Calibri"/>
                <w:b/>
                <w:bCs/>
                <w:szCs w:val="22"/>
                <w:vertAlign w:val="superscript"/>
                <w:lang w:val="sr-Latn-ME"/>
              </w:rPr>
              <w:t>g</w:t>
            </w:r>
          </w:p>
        </w:tc>
        <w:tc>
          <w:tcPr>
            <w:tcW w:w="990" w:type="dxa"/>
            <w:tcBorders>
              <w:top w:val="single" w:sz="4" w:space="0" w:color="auto"/>
              <w:left w:val="single" w:sz="4" w:space="0" w:color="auto"/>
              <w:bottom w:val="single" w:sz="4" w:space="0" w:color="auto"/>
              <w:right w:val="single" w:sz="4" w:space="0" w:color="auto"/>
            </w:tcBorders>
          </w:tcPr>
          <w:p w14:paraId="74FCCC9B" w14:textId="77777777" w:rsidR="00366107" w:rsidRPr="00B74B0F" w:rsidRDefault="00366107">
            <w:pPr>
              <w:jc w:val="center"/>
              <w:rPr>
                <w:szCs w:val="22"/>
                <w:lang w:val="sr-Latn-ME"/>
              </w:rPr>
            </w:pPr>
            <w:r w:rsidRPr="00B74B0F">
              <w:rPr>
                <w:szCs w:val="22"/>
                <w:lang w:val="sr-Latn-ME"/>
              </w:rPr>
              <w:t>N = 171</w:t>
            </w:r>
          </w:p>
          <w:p w14:paraId="214248BA" w14:textId="77777777" w:rsidR="00366107" w:rsidRPr="00B74B0F" w:rsidRDefault="00366107">
            <w:pPr>
              <w:jc w:val="center"/>
              <w:rPr>
                <w:szCs w:val="22"/>
                <w:lang w:val="sr-Latn-ME"/>
              </w:rPr>
            </w:pPr>
            <w:r w:rsidRPr="00B74B0F">
              <w:rPr>
                <w:szCs w:val="22"/>
                <w:lang w:val="sr-Latn-ME"/>
              </w:rPr>
              <w:t>0%</w:t>
            </w:r>
          </w:p>
        </w:tc>
        <w:tc>
          <w:tcPr>
            <w:tcW w:w="1080" w:type="dxa"/>
            <w:tcBorders>
              <w:top w:val="single" w:sz="4" w:space="0" w:color="auto"/>
              <w:left w:val="single" w:sz="4" w:space="0" w:color="auto"/>
              <w:bottom w:val="single" w:sz="4" w:space="0" w:color="auto"/>
              <w:right w:val="single" w:sz="4" w:space="0" w:color="auto"/>
            </w:tcBorders>
          </w:tcPr>
          <w:p w14:paraId="06ECC923" w14:textId="77777777" w:rsidR="00366107" w:rsidRPr="00B74B0F" w:rsidRDefault="00366107">
            <w:pPr>
              <w:jc w:val="center"/>
              <w:rPr>
                <w:szCs w:val="22"/>
                <w:lang w:val="sr-Latn-ME"/>
              </w:rPr>
            </w:pPr>
            <w:r w:rsidRPr="00B74B0F">
              <w:rPr>
                <w:szCs w:val="22"/>
                <w:lang w:val="sr-Latn-ME"/>
              </w:rPr>
              <w:t>N = 322</w:t>
            </w:r>
          </w:p>
          <w:p w14:paraId="44ECF4B8" w14:textId="77777777" w:rsidR="00366107" w:rsidRPr="00B74B0F" w:rsidRDefault="00366107">
            <w:pPr>
              <w:jc w:val="center"/>
              <w:rPr>
                <w:szCs w:val="22"/>
                <w:lang w:val="sr-Latn-ME"/>
              </w:rPr>
            </w:pPr>
            <w:r w:rsidRPr="00B74B0F">
              <w:rPr>
                <w:szCs w:val="22"/>
                <w:lang w:val="sr-Latn-ME"/>
              </w:rPr>
              <w:t>17%</w:t>
            </w:r>
          </w:p>
        </w:tc>
        <w:tc>
          <w:tcPr>
            <w:tcW w:w="1260" w:type="dxa"/>
            <w:tcBorders>
              <w:top w:val="single" w:sz="4" w:space="0" w:color="auto"/>
              <w:left w:val="single" w:sz="4" w:space="0" w:color="auto"/>
              <w:bottom w:val="single" w:sz="4" w:space="0" w:color="auto"/>
              <w:right w:val="single" w:sz="4" w:space="0" w:color="auto"/>
            </w:tcBorders>
          </w:tcPr>
          <w:p w14:paraId="517508BD" w14:textId="77777777" w:rsidR="00366107" w:rsidRPr="00B74B0F" w:rsidRDefault="00366107">
            <w:pPr>
              <w:jc w:val="center"/>
              <w:rPr>
                <w:szCs w:val="22"/>
                <w:lang w:val="sr-Latn-ME"/>
              </w:rPr>
            </w:pPr>
            <w:r w:rsidRPr="00B74B0F">
              <w:rPr>
                <w:szCs w:val="22"/>
                <w:lang w:val="sr-Latn-ME"/>
              </w:rPr>
              <w:t>17%</w:t>
            </w:r>
          </w:p>
          <w:p w14:paraId="11DD28F5" w14:textId="77777777" w:rsidR="00366107" w:rsidRPr="00B74B0F" w:rsidRDefault="00366107">
            <w:pPr>
              <w:jc w:val="center"/>
              <w:rPr>
                <w:szCs w:val="22"/>
                <w:lang w:val="sr-Latn-ME"/>
              </w:rPr>
            </w:pPr>
            <w:r w:rsidRPr="00B74B0F">
              <w:rPr>
                <w:szCs w:val="22"/>
                <w:lang w:val="sr-Latn-ME"/>
              </w:rPr>
              <w:t>(13; 21)</w:t>
            </w:r>
            <w:r w:rsidRPr="00B74B0F">
              <w:rPr>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6C7900DD" w14:textId="77777777" w:rsidR="00366107" w:rsidRPr="00B74B0F" w:rsidRDefault="00366107">
            <w:pPr>
              <w:jc w:val="center"/>
              <w:rPr>
                <w:szCs w:val="22"/>
                <w:lang w:val="sr-Latn-ME"/>
              </w:rPr>
            </w:pPr>
            <w:r w:rsidRPr="00B74B0F">
              <w:rPr>
                <w:szCs w:val="22"/>
                <w:lang w:val="sr-Latn-ME"/>
              </w:rPr>
              <w:t>N = 174</w:t>
            </w:r>
          </w:p>
          <w:p w14:paraId="79231186" w14:textId="77777777" w:rsidR="00366107" w:rsidRPr="00B74B0F" w:rsidRDefault="00366107">
            <w:pPr>
              <w:jc w:val="center"/>
              <w:rPr>
                <w:szCs w:val="22"/>
                <w:lang w:val="sr-Latn-ME"/>
              </w:rPr>
            </w:pPr>
            <w:r w:rsidRPr="00B74B0F">
              <w:rPr>
                <w:szCs w:val="22"/>
                <w:lang w:val="sr-Latn-ME"/>
              </w:rPr>
              <w:t>5%</w:t>
            </w:r>
          </w:p>
        </w:tc>
        <w:tc>
          <w:tcPr>
            <w:tcW w:w="1080" w:type="dxa"/>
            <w:tcBorders>
              <w:top w:val="single" w:sz="4" w:space="0" w:color="auto"/>
              <w:left w:val="single" w:sz="4" w:space="0" w:color="auto"/>
              <w:bottom w:val="single" w:sz="4" w:space="0" w:color="auto"/>
              <w:right w:val="single" w:sz="4" w:space="0" w:color="auto"/>
            </w:tcBorders>
          </w:tcPr>
          <w:p w14:paraId="5164299B" w14:textId="77777777" w:rsidR="00366107" w:rsidRPr="00B74B0F" w:rsidRDefault="00366107">
            <w:pPr>
              <w:jc w:val="center"/>
              <w:rPr>
                <w:szCs w:val="22"/>
                <w:lang w:val="sr-Latn-ME"/>
              </w:rPr>
            </w:pPr>
            <w:r w:rsidRPr="00B74B0F">
              <w:rPr>
                <w:szCs w:val="22"/>
                <w:lang w:val="sr-Latn-ME"/>
              </w:rPr>
              <w:t>N = 349</w:t>
            </w:r>
          </w:p>
          <w:p w14:paraId="0A9CF6C1" w14:textId="77777777" w:rsidR="00366107" w:rsidRPr="00B74B0F" w:rsidRDefault="00366107">
            <w:pPr>
              <w:jc w:val="center"/>
              <w:rPr>
                <w:szCs w:val="22"/>
                <w:lang w:val="sr-Latn-ME"/>
              </w:rPr>
            </w:pPr>
            <w:r w:rsidRPr="00B74B0F">
              <w:rPr>
                <w:szCs w:val="22"/>
                <w:lang w:val="sr-Latn-ME"/>
              </w:rPr>
              <w:t>25%</w:t>
            </w:r>
          </w:p>
        </w:tc>
        <w:tc>
          <w:tcPr>
            <w:tcW w:w="1260" w:type="dxa"/>
            <w:tcBorders>
              <w:top w:val="single" w:sz="4" w:space="0" w:color="auto"/>
              <w:left w:val="single" w:sz="4" w:space="0" w:color="auto"/>
              <w:bottom w:val="single" w:sz="4" w:space="0" w:color="auto"/>
              <w:right w:val="single" w:sz="4" w:space="0" w:color="auto"/>
            </w:tcBorders>
          </w:tcPr>
          <w:p w14:paraId="42B2FC9D" w14:textId="77777777" w:rsidR="00366107" w:rsidRPr="00B74B0F" w:rsidRDefault="00366107">
            <w:pPr>
              <w:jc w:val="center"/>
              <w:rPr>
                <w:szCs w:val="22"/>
                <w:lang w:val="sr-Latn-ME"/>
              </w:rPr>
            </w:pPr>
            <w:r w:rsidRPr="00B74B0F">
              <w:rPr>
                <w:szCs w:val="22"/>
                <w:lang w:val="sr-Latn-ME"/>
              </w:rPr>
              <w:t>20%</w:t>
            </w:r>
          </w:p>
          <w:p w14:paraId="6791FD35" w14:textId="77777777" w:rsidR="00366107" w:rsidRPr="00B74B0F" w:rsidRDefault="00366107">
            <w:pPr>
              <w:jc w:val="center"/>
              <w:rPr>
                <w:szCs w:val="22"/>
                <w:lang w:val="sr-Latn-ME"/>
              </w:rPr>
            </w:pPr>
            <w:r w:rsidRPr="00B74B0F">
              <w:rPr>
                <w:szCs w:val="22"/>
                <w:lang w:val="sr-Latn-ME"/>
              </w:rPr>
              <w:t>(14; 25)</w:t>
            </w:r>
            <w:r w:rsidRPr="00B74B0F">
              <w:rPr>
                <w:szCs w:val="22"/>
                <w:vertAlign w:val="superscript"/>
                <w:lang w:val="sr-Latn-ME"/>
              </w:rPr>
              <w:t>***</w:t>
            </w:r>
          </w:p>
        </w:tc>
      </w:tr>
      <w:tr w:rsidR="00366107" w:rsidRPr="00B74B0F" w14:paraId="68B2282D" w14:textId="77777777" w:rsidTr="0069063B">
        <w:trPr>
          <w:trHeight w:val="166"/>
        </w:trPr>
        <w:tc>
          <w:tcPr>
            <w:tcW w:w="8995" w:type="dxa"/>
            <w:gridSpan w:val="7"/>
            <w:tcBorders>
              <w:top w:val="single" w:sz="4" w:space="0" w:color="auto"/>
              <w:left w:val="single" w:sz="4" w:space="0" w:color="auto"/>
              <w:bottom w:val="single" w:sz="4" w:space="0" w:color="auto"/>
              <w:right w:val="single" w:sz="4" w:space="0" w:color="auto"/>
            </w:tcBorders>
            <w:hideMark/>
          </w:tcPr>
          <w:p w14:paraId="665F14E9" w14:textId="77777777" w:rsidR="00366107" w:rsidRPr="00B74B0F" w:rsidRDefault="00366107">
            <w:pPr>
              <w:keepNext/>
              <w:jc w:val="center"/>
              <w:rPr>
                <w:strike/>
                <w:szCs w:val="22"/>
                <w:lang w:val="sr-Latn-ME"/>
              </w:rPr>
            </w:pPr>
            <w:r w:rsidRPr="00B74B0F">
              <w:rPr>
                <w:b/>
                <w:bCs/>
                <w:szCs w:val="22"/>
                <w:lang w:val="sr-Latn-ME"/>
              </w:rPr>
              <w:t>Mjere ishoda s ranim nastupom</w:t>
            </w:r>
          </w:p>
        </w:tc>
      </w:tr>
      <w:tr w:rsidR="00366107" w:rsidRPr="00B74B0F" w14:paraId="3A434B73" w14:textId="77777777" w:rsidTr="0069063B">
        <w:trPr>
          <w:trHeight w:val="166"/>
        </w:trPr>
        <w:tc>
          <w:tcPr>
            <w:tcW w:w="2335" w:type="dxa"/>
            <w:tcBorders>
              <w:top w:val="single" w:sz="4" w:space="0" w:color="auto"/>
              <w:left w:val="single" w:sz="4" w:space="0" w:color="auto"/>
              <w:bottom w:val="single" w:sz="4" w:space="0" w:color="auto"/>
              <w:right w:val="single" w:sz="4" w:space="0" w:color="auto"/>
            </w:tcBorders>
            <w:hideMark/>
          </w:tcPr>
          <w:p w14:paraId="15BC3804" w14:textId="77777777" w:rsidR="00366107" w:rsidRPr="00B74B0F" w:rsidRDefault="00366107" w:rsidP="00A30C3C">
            <w:pPr>
              <w:jc w:val="both"/>
              <w:rPr>
                <w:strike/>
                <w:szCs w:val="22"/>
                <w:lang w:val="sr-Latn-ME"/>
              </w:rPr>
            </w:pPr>
            <w:r w:rsidRPr="00B74B0F">
              <w:rPr>
                <w:b/>
                <w:szCs w:val="22"/>
                <w:lang w:val="sr-Latn-ME"/>
              </w:rPr>
              <w:t>Klinička remisija u 4. sedmici</w:t>
            </w:r>
            <w:r w:rsidRPr="00B74B0F">
              <w:rPr>
                <w:b/>
                <w:szCs w:val="22"/>
                <w:vertAlign w:val="superscript"/>
                <w:lang w:val="sr-Latn-ME"/>
              </w:rPr>
              <w:t>a</w:t>
            </w:r>
          </w:p>
        </w:tc>
        <w:tc>
          <w:tcPr>
            <w:tcW w:w="990" w:type="dxa"/>
            <w:tcBorders>
              <w:top w:val="single" w:sz="4" w:space="0" w:color="auto"/>
              <w:left w:val="single" w:sz="4" w:space="0" w:color="auto"/>
              <w:bottom w:val="single" w:sz="4" w:space="0" w:color="auto"/>
              <w:right w:val="single" w:sz="4" w:space="0" w:color="auto"/>
            </w:tcBorders>
          </w:tcPr>
          <w:p w14:paraId="70BDB9FB" w14:textId="77777777" w:rsidR="00366107" w:rsidRPr="00B74B0F" w:rsidRDefault="00366107">
            <w:pPr>
              <w:jc w:val="center"/>
              <w:rPr>
                <w:color w:val="2D2926"/>
                <w:szCs w:val="22"/>
                <w:lang w:val="sr-Latn-ME"/>
              </w:rPr>
            </w:pPr>
            <w:r w:rsidRPr="00B74B0F">
              <w:rPr>
                <w:color w:val="2D2926"/>
                <w:szCs w:val="22"/>
                <w:lang w:val="sr-Latn-ME"/>
              </w:rPr>
              <w:t>9%</w:t>
            </w:r>
          </w:p>
        </w:tc>
        <w:tc>
          <w:tcPr>
            <w:tcW w:w="1080" w:type="dxa"/>
            <w:tcBorders>
              <w:top w:val="single" w:sz="4" w:space="0" w:color="auto"/>
              <w:left w:val="single" w:sz="4" w:space="0" w:color="auto"/>
              <w:bottom w:val="single" w:sz="4" w:space="0" w:color="auto"/>
              <w:right w:val="single" w:sz="4" w:space="0" w:color="auto"/>
            </w:tcBorders>
          </w:tcPr>
          <w:p w14:paraId="3994CBCB" w14:textId="77777777" w:rsidR="00366107" w:rsidRPr="00B74B0F" w:rsidRDefault="00366107">
            <w:pPr>
              <w:jc w:val="center"/>
              <w:rPr>
                <w:color w:val="2D2926"/>
                <w:szCs w:val="22"/>
                <w:lang w:val="sr-Latn-ME"/>
              </w:rPr>
            </w:pPr>
            <w:r w:rsidRPr="00B74B0F">
              <w:rPr>
                <w:color w:val="2D2926"/>
                <w:szCs w:val="22"/>
                <w:lang w:val="sr-Latn-ME"/>
              </w:rPr>
              <w:t>32%</w:t>
            </w:r>
          </w:p>
        </w:tc>
        <w:tc>
          <w:tcPr>
            <w:tcW w:w="1260" w:type="dxa"/>
            <w:tcBorders>
              <w:top w:val="single" w:sz="4" w:space="0" w:color="auto"/>
              <w:left w:val="single" w:sz="4" w:space="0" w:color="auto"/>
              <w:bottom w:val="single" w:sz="4" w:space="0" w:color="auto"/>
              <w:right w:val="single" w:sz="4" w:space="0" w:color="auto"/>
            </w:tcBorders>
          </w:tcPr>
          <w:p w14:paraId="1C5AFD18" w14:textId="77777777" w:rsidR="00366107" w:rsidRPr="00B74B0F" w:rsidRDefault="00366107">
            <w:pPr>
              <w:keepNext/>
              <w:jc w:val="center"/>
              <w:rPr>
                <w:color w:val="2D2926"/>
                <w:szCs w:val="22"/>
                <w:lang w:val="sr-Latn-ME"/>
              </w:rPr>
            </w:pPr>
            <w:r w:rsidRPr="00B74B0F">
              <w:rPr>
                <w:color w:val="2D2926"/>
                <w:szCs w:val="22"/>
                <w:lang w:val="sr-Latn-ME"/>
              </w:rPr>
              <w:t>23%</w:t>
            </w:r>
          </w:p>
          <w:p w14:paraId="69AC4D18" w14:textId="77777777" w:rsidR="00366107" w:rsidRPr="00B74B0F" w:rsidRDefault="00366107">
            <w:pPr>
              <w:keepNext/>
              <w:jc w:val="center"/>
              <w:rPr>
                <w:color w:val="2D2926"/>
                <w:szCs w:val="22"/>
                <w:lang w:val="sr-Latn-ME"/>
              </w:rPr>
            </w:pPr>
            <w:r w:rsidRPr="00B74B0F">
              <w:rPr>
                <w:color w:val="2D2926"/>
                <w:szCs w:val="22"/>
                <w:lang w:val="sr-Latn-ME"/>
              </w:rPr>
              <w:t>(17; 30)</w:t>
            </w:r>
            <w:r w:rsidRPr="00B74B0F">
              <w:rPr>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12168796" w14:textId="77777777" w:rsidR="00366107" w:rsidRPr="00B74B0F" w:rsidRDefault="00366107">
            <w:pPr>
              <w:keepNext/>
              <w:jc w:val="center"/>
              <w:rPr>
                <w:color w:val="2D2926"/>
                <w:szCs w:val="22"/>
                <w:lang w:val="sr-Latn-ME"/>
              </w:rPr>
            </w:pPr>
            <w:r w:rsidRPr="00B74B0F">
              <w:rPr>
                <w:color w:val="2D2926"/>
                <w:szCs w:val="22"/>
                <w:lang w:val="sr-Latn-ME"/>
              </w:rPr>
              <w:t>15%</w:t>
            </w:r>
          </w:p>
        </w:tc>
        <w:tc>
          <w:tcPr>
            <w:tcW w:w="1080" w:type="dxa"/>
            <w:tcBorders>
              <w:top w:val="single" w:sz="4" w:space="0" w:color="auto"/>
              <w:left w:val="single" w:sz="4" w:space="0" w:color="auto"/>
              <w:bottom w:val="single" w:sz="4" w:space="0" w:color="auto"/>
              <w:right w:val="single" w:sz="4" w:space="0" w:color="auto"/>
            </w:tcBorders>
          </w:tcPr>
          <w:p w14:paraId="055C2E42" w14:textId="77777777" w:rsidR="00366107" w:rsidRPr="00B74B0F" w:rsidRDefault="00366107">
            <w:pPr>
              <w:jc w:val="center"/>
              <w:rPr>
                <w:color w:val="2D2926"/>
                <w:szCs w:val="22"/>
                <w:lang w:val="sr-Latn-ME"/>
              </w:rPr>
            </w:pPr>
            <w:r w:rsidRPr="00B74B0F">
              <w:rPr>
                <w:color w:val="2D2926"/>
                <w:szCs w:val="22"/>
                <w:lang w:val="sr-Latn-ME"/>
              </w:rPr>
              <w:t>36%</w:t>
            </w:r>
          </w:p>
        </w:tc>
        <w:tc>
          <w:tcPr>
            <w:tcW w:w="1260" w:type="dxa"/>
            <w:tcBorders>
              <w:top w:val="single" w:sz="4" w:space="0" w:color="auto"/>
              <w:left w:val="single" w:sz="4" w:space="0" w:color="auto"/>
              <w:bottom w:val="single" w:sz="4" w:space="0" w:color="auto"/>
              <w:right w:val="single" w:sz="4" w:space="0" w:color="auto"/>
            </w:tcBorders>
          </w:tcPr>
          <w:p w14:paraId="3C674642" w14:textId="77777777" w:rsidR="00366107" w:rsidRPr="00B74B0F" w:rsidRDefault="00366107">
            <w:pPr>
              <w:jc w:val="center"/>
              <w:rPr>
                <w:color w:val="2D2926"/>
                <w:szCs w:val="22"/>
                <w:lang w:val="sr-Latn-ME"/>
              </w:rPr>
            </w:pPr>
            <w:r w:rsidRPr="00B74B0F">
              <w:rPr>
                <w:color w:val="2D2926"/>
                <w:szCs w:val="22"/>
                <w:lang w:val="sr-Latn-ME"/>
              </w:rPr>
              <w:t>21%</w:t>
            </w:r>
          </w:p>
          <w:p w14:paraId="60FF393A" w14:textId="77777777" w:rsidR="00366107" w:rsidRPr="00B74B0F" w:rsidRDefault="00366107">
            <w:pPr>
              <w:jc w:val="center"/>
              <w:rPr>
                <w:color w:val="2D2926"/>
                <w:szCs w:val="22"/>
                <w:lang w:val="sr-Latn-ME"/>
              </w:rPr>
            </w:pPr>
            <w:r w:rsidRPr="00B74B0F">
              <w:rPr>
                <w:color w:val="2D2926"/>
                <w:szCs w:val="22"/>
                <w:lang w:val="sr-Latn-ME"/>
              </w:rPr>
              <w:t>(14; 28)</w:t>
            </w:r>
            <w:r w:rsidRPr="00B74B0F">
              <w:rPr>
                <w:szCs w:val="22"/>
                <w:vertAlign w:val="superscript"/>
                <w:lang w:val="sr-Latn-ME"/>
              </w:rPr>
              <w:t>*</w:t>
            </w:r>
          </w:p>
        </w:tc>
      </w:tr>
      <w:tr w:rsidR="00366107" w:rsidRPr="00B74B0F" w14:paraId="0AAB0B22" w14:textId="77777777" w:rsidTr="0069063B">
        <w:trPr>
          <w:trHeight w:val="166"/>
        </w:trPr>
        <w:tc>
          <w:tcPr>
            <w:tcW w:w="2335" w:type="dxa"/>
            <w:tcBorders>
              <w:top w:val="single" w:sz="4" w:space="0" w:color="auto"/>
              <w:left w:val="single" w:sz="4" w:space="0" w:color="auto"/>
              <w:bottom w:val="single" w:sz="4" w:space="0" w:color="auto"/>
              <w:right w:val="single" w:sz="4" w:space="0" w:color="auto"/>
            </w:tcBorders>
            <w:hideMark/>
          </w:tcPr>
          <w:p w14:paraId="42B24B66" w14:textId="77777777" w:rsidR="00366107" w:rsidRPr="00B74B0F" w:rsidRDefault="00366107" w:rsidP="00A30C3C">
            <w:pPr>
              <w:jc w:val="both"/>
              <w:rPr>
                <w:b/>
                <w:szCs w:val="22"/>
                <w:lang w:val="sr-Latn-ME"/>
              </w:rPr>
            </w:pPr>
            <w:r w:rsidRPr="00B74B0F">
              <w:rPr>
                <w:b/>
                <w:szCs w:val="22"/>
                <w:lang w:val="sr-Latn-ME"/>
              </w:rPr>
              <w:lastRenderedPageBreak/>
              <w:t>CR</w:t>
            </w:r>
            <w:r w:rsidRPr="00B74B0F">
              <w:rPr>
                <w:b/>
                <w:szCs w:val="22"/>
                <w:lang w:val="sr-Latn-ME"/>
              </w:rPr>
              <w:noBreakHyphen/>
              <w:t>100 u 2. sedmici</w:t>
            </w:r>
            <w:r w:rsidRPr="00B74B0F">
              <w:rPr>
                <w:b/>
                <w:szCs w:val="22"/>
                <w:vertAlign w:val="superscript"/>
                <w:lang w:val="sr-Latn-ME"/>
              </w:rPr>
              <w:t>d</w:t>
            </w:r>
          </w:p>
        </w:tc>
        <w:tc>
          <w:tcPr>
            <w:tcW w:w="990" w:type="dxa"/>
            <w:tcBorders>
              <w:top w:val="single" w:sz="4" w:space="0" w:color="auto"/>
              <w:left w:val="single" w:sz="4" w:space="0" w:color="auto"/>
              <w:bottom w:val="single" w:sz="4" w:space="0" w:color="auto"/>
              <w:right w:val="single" w:sz="4" w:space="0" w:color="auto"/>
            </w:tcBorders>
          </w:tcPr>
          <w:p w14:paraId="4D0372FA" w14:textId="77777777" w:rsidR="00366107" w:rsidRPr="00B74B0F" w:rsidRDefault="00366107">
            <w:pPr>
              <w:jc w:val="center"/>
              <w:rPr>
                <w:color w:val="2D2926"/>
                <w:szCs w:val="22"/>
                <w:lang w:val="sr-Latn-ME"/>
              </w:rPr>
            </w:pPr>
            <w:r w:rsidRPr="00B74B0F">
              <w:rPr>
                <w:color w:val="2D2926"/>
                <w:szCs w:val="22"/>
                <w:lang w:val="sr-Latn-ME"/>
              </w:rPr>
              <w:t>12%</w:t>
            </w:r>
          </w:p>
        </w:tc>
        <w:tc>
          <w:tcPr>
            <w:tcW w:w="1080" w:type="dxa"/>
            <w:tcBorders>
              <w:top w:val="single" w:sz="4" w:space="0" w:color="auto"/>
              <w:left w:val="single" w:sz="4" w:space="0" w:color="auto"/>
              <w:bottom w:val="single" w:sz="4" w:space="0" w:color="auto"/>
              <w:right w:val="single" w:sz="4" w:space="0" w:color="auto"/>
            </w:tcBorders>
          </w:tcPr>
          <w:p w14:paraId="185EC261" w14:textId="77777777" w:rsidR="00366107" w:rsidRPr="00B74B0F" w:rsidRDefault="00366107">
            <w:pPr>
              <w:jc w:val="center"/>
              <w:rPr>
                <w:color w:val="2D2926"/>
                <w:szCs w:val="22"/>
                <w:lang w:val="sr-Latn-ME"/>
              </w:rPr>
            </w:pPr>
            <w:r w:rsidRPr="00B74B0F">
              <w:rPr>
                <w:color w:val="2D2926"/>
                <w:szCs w:val="22"/>
                <w:lang w:val="sr-Latn-ME"/>
              </w:rPr>
              <w:t>33%</w:t>
            </w:r>
          </w:p>
        </w:tc>
        <w:tc>
          <w:tcPr>
            <w:tcW w:w="1260" w:type="dxa"/>
            <w:tcBorders>
              <w:top w:val="single" w:sz="4" w:space="0" w:color="auto"/>
              <w:left w:val="single" w:sz="4" w:space="0" w:color="auto"/>
              <w:bottom w:val="single" w:sz="4" w:space="0" w:color="auto"/>
              <w:right w:val="single" w:sz="4" w:space="0" w:color="auto"/>
            </w:tcBorders>
          </w:tcPr>
          <w:p w14:paraId="0653C9C0" w14:textId="77777777" w:rsidR="00366107" w:rsidRPr="00B74B0F" w:rsidRDefault="00366107">
            <w:pPr>
              <w:jc w:val="center"/>
              <w:rPr>
                <w:color w:val="2D2926"/>
                <w:szCs w:val="22"/>
                <w:lang w:val="sr-Latn-ME"/>
              </w:rPr>
            </w:pPr>
            <w:r w:rsidRPr="00B74B0F">
              <w:rPr>
                <w:color w:val="2D2926"/>
                <w:szCs w:val="22"/>
                <w:lang w:val="sr-Latn-ME"/>
              </w:rPr>
              <w:t>21%</w:t>
            </w:r>
          </w:p>
          <w:p w14:paraId="576F7B4D" w14:textId="77777777" w:rsidR="00366107" w:rsidRPr="00B74B0F" w:rsidRDefault="00366107">
            <w:pPr>
              <w:jc w:val="center"/>
              <w:rPr>
                <w:color w:val="2D2926"/>
                <w:szCs w:val="22"/>
                <w:lang w:val="sr-Latn-ME"/>
              </w:rPr>
            </w:pPr>
            <w:r w:rsidRPr="00B74B0F">
              <w:rPr>
                <w:color w:val="2D2926"/>
                <w:szCs w:val="22"/>
                <w:lang w:val="sr-Latn-ME"/>
              </w:rPr>
              <w:t>(14; 28)</w:t>
            </w:r>
            <w:r w:rsidRPr="00B74B0F">
              <w:rPr>
                <w:b/>
                <w:szCs w:val="22"/>
                <w:vertAlign w:val="superscript"/>
                <w:lang w:val="sr-Latn-ME"/>
              </w:rPr>
              <w:t>*</w:t>
            </w:r>
          </w:p>
        </w:tc>
        <w:tc>
          <w:tcPr>
            <w:tcW w:w="990" w:type="dxa"/>
            <w:tcBorders>
              <w:top w:val="single" w:sz="4" w:space="0" w:color="auto"/>
              <w:left w:val="single" w:sz="4" w:space="0" w:color="auto"/>
              <w:bottom w:val="single" w:sz="4" w:space="0" w:color="auto"/>
              <w:right w:val="single" w:sz="4" w:space="0" w:color="auto"/>
            </w:tcBorders>
          </w:tcPr>
          <w:p w14:paraId="6ADA2DC9" w14:textId="77777777" w:rsidR="00366107" w:rsidRPr="00B74B0F" w:rsidRDefault="00366107">
            <w:pPr>
              <w:jc w:val="center"/>
              <w:rPr>
                <w:color w:val="2D2926"/>
                <w:szCs w:val="22"/>
                <w:lang w:val="sr-Latn-ME"/>
              </w:rPr>
            </w:pPr>
            <w:r w:rsidRPr="00B74B0F">
              <w:rPr>
                <w:color w:val="2D2926"/>
                <w:szCs w:val="22"/>
                <w:lang w:val="sr-Latn-ME"/>
              </w:rPr>
              <w:t>20%</w:t>
            </w:r>
          </w:p>
        </w:tc>
        <w:tc>
          <w:tcPr>
            <w:tcW w:w="1080" w:type="dxa"/>
            <w:tcBorders>
              <w:top w:val="single" w:sz="4" w:space="0" w:color="auto"/>
              <w:left w:val="single" w:sz="4" w:space="0" w:color="auto"/>
              <w:bottom w:val="single" w:sz="4" w:space="0" w:color="auto"/>
              <w:right w:val="single" w:sz="4" w:space="0" w:color="auto"/>
            </w:tcBorders>
          </w:tcPr>
          <w:p w14:paraId="4F1B58AD" w14:textId="77777777" w:rsidR="00366107" w:rsidRPr="00B74B0F" w:rsidRDefault="00366107">
            <w:pPr>
              <w:jc w:val="center"/>
              <w:rPr>
                <w:color w:val="2D2926"/>
                <w:szCs w:val="22"/>
                <w:lang w:val="sr-Latn-ME"/>
              </w:rPr>
            </w:pPr>
            <w:r w:rsidRPr="00B74B0F">
              <w:rPr>
                <w:color w:val="2D2926"/>
                <w:szCs w:val="22"/>
                <w:lang w:val="sr-Latn-ME"/>
              </w:rPr>
              <w:t>32%</w:t>
            </w:r>
          </w:p>
        </w:tc>
        <w:tc>
          <w:tcPr>
            <w:tcW w:w="1260" w:type="dxa"/>
            <w:tcBorders>
              <w:top w:val="single" w:sz="4" w:space="0" w:color="auto"/>
              <w:left w:val="single" w:sz="4" w:space="0" w:color="auto"/>
              <w:bottom w:val="single" w:sz="4" w:space="0" w:color="auto"/>
              <w:right w:val="single" w:sz="4" w:space="0" w:color="auto"/>
            </w:tcBorders>
          </w:tcPr>
          <w:p w14:paraId="6725CAF9" w14:textId="77777777" w:rsidR="00366107" w:rsidRPr="00B74B0F" w:rsidRDefault="00366107">
            <w:pPr>
              <w:jc w:val="center"/>
              <w:rPr>
                <w:color w:val="2D2926"/>
                <w:szCs w:val="22"/>
                <w:lang w:val="sr-Latn-ME"/>
              </w:rPr>
            </w:pPr>
            <w:r w:rsidRPr="00B74B0F">
              <w:rPr>
                <w:color w:val="2D2926"/>
                <w:szCs w:val="22"/>
                <w:lang w:val="sr-Latn-ME"/>
              </w:rPr>
              <w:t>12%</w:t>
            </w:r>
          </w:p>
          <w:p w14:paraId="2FE8A267" w14:textId="77777777" w:rsidR="00366107" w:rsidRPr="00B74B0F" w:rsidRDefault="00366107">
            <w:pPr>
              <w:jc w:val="center"/>
              <w:rPr>
                <w:color w:val="2D2926"/>
                <w:szCs w:val="22"/>
                <w:lang w:val="sr-Latn-ME"/>
              </w:rPr>
            </w:pPr>
            <w:r w:rsidRPr="00B74B0F">
              <w:rPr>
                <w:color w:val="2D2926"/>
                <w:szCs w:val="22"/>
                <w:lang w:val="sr-Latn-ME"/>
              </w:rPr>
              <w:t>(4; 19)</w:t>
            </w:r>
            <w:r w:rsidRPr="00B74B0F">
              <w:rPr>
                <w:color w:val="2D2926"/>
                <w:szCs w:val="22"/>
                <w:vertAlign w:val="superscript"/>
                <w:lang w:val="sr-Latn-ME"/>
              </w:rPr>
              <w:t>**</w:t>
            </w:r>
          </w:p>
        </w:tc>
      </w:tr>
      <w:tr w:rsidR="00366107" w:rsidRPr="00B74B0F" w14:paraId="740FF33C" w14:textId="77777777" w:rsidTr="0069063B">
        <w:trPr>
          <w:trHeight w:val="161"/>
        </w:trPr>
        <w:tc>
          <w:tcPr>
            <w:tcW w:w="8995"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ED6D64A" w14:textId="6C17D848" w:rsidR="00366107" w:rsidRPr="00B74B0F" w:rsidRDefault="00C904DA" w:rsidP="00A30C3C">
            <w:pPr>
              <w:jc w:val="both"/>
              <w:rPr>
                <w:szCs w:val="22"/>
                <w:lang w:val="sr-Latn-ME"/>
              </w:rPr>
            </w:pPr>
            <w:r w:rsidRPr="00B74B0F">
              <w:rPr>
                <w:szCs w:val="22"/>
                <w:lang w:val="sr-Latn-ME"/>
              </w:rPr>
              <w:t>Sk</w:t>
            </w:r>
            <w:r w:rsidR="00366107" w:rsidRPr="00B74B0F">
              <w:rPr>
                <w:szCs w:val="22"/>
                <w:lang w:val="sr-Latn-ME"/>
              </w:rPr>
              <w:t>ra</w:t>
            </w:r>
            <w:r w:rsidRPr="00B74B0F">
              <w:rPr>
                <w:szCs w:val="22"/>
                <w:lang w:val="sr-Latn-ME"/>
              </w:rPr>
              <w:t>ćenice</w:t>
            </w:r>
            <w:r w:rsidR="00366107" w:rsidRPr="00B74B0F">
              <w:rPr>
                <w:szCs w:val="22"/>
                <w:lang w:val="sr-Latn-ME"/>
              </w:rPr>
              <w:t>: PBO = placebo, UPA = upadacitinib</w:t>
            </w:r>
          </w:p>
          <w:p w14:paraId="72E7C4E6" w14:textId="77777777" w:rsidR="00366107" w:rsidRPr="00B74B0F" w:rsidRDefault="00366107" w:rsidP="00A30C3C">
            <w:pPr>
              <w:jc w:val="both"/>
              <w:rPr>
                <w:szCs w:val="22"/>
                <w:lang w:val="sr-Latn-ME"/>
              </w:rPr>
            </w:pPr>
            <w:r w:rsidRPr="00B74B0F">
              <w:rPr>
                <w:szCs w:val="22"/>
                <w:vertAlign w:val="superscript"/>
                <w:lang w:val="sr-Latn-ME"/>
              </w:rPr>
              <w:t>*</w:t>
            </w:r>
            <w:r w:rsidRPr="00B74B0F">
              <w:rPr>
                <w:szCs w:val="22"/>
                <w:lang w:val="sr-Latn-ME"/>
              </w:rPr>
              <w:t xml:space="preserve"> p &lt; 0,001, </w:t>
            </w:r>
            <w:r w:rsidRPr="00B74B0F">
              <w:rPr>
                <w:rFonts w:eastAsia="MS Mincho"/>
                <w:noProof/>
                <w:szCs w:val="22"/>
                <w:lang w:val="sr-Latn-ME"/>
              </w:rPr>
              <w:t>prilagođena razlika u liječenju</w:t>
            </w:r>
            <w:r w:rsidRPr="00B74B0F">
              <w:rPr>
                <w:szCs w:val="22"/>
                <w:lang w:val="sr-Latn-ME"/>
              </w:rPr>
              <w:t xml:space="preserve"> (95% CI)</w:t>
            </w:r>
          </w:p>
          <w:p w14:paraId="40799A99" w14:textId="77777777" w:rsidR="00366107" w:rsidRPr="00B74B0F" w:rsidRDefault="00366107" w:rsidP="00A30C3C">
            <w:pPr>
              <w:jc w:val="both"/>
              <w:rPr>
                <w:szCs w:val="22"/>
                <w:lang w:val="sr-Latn-ME"/>
              </w:rPr>
            </w:pPr>
            <w:r w:rsidRPr="00B74B0F">
              <w:rPr>
                <w:szCs w:val="22"/>
                <w:vertAlign w:val="superscript"/>
                <w:lang w:val="sr-Latn-ME"/>
              </w:rPr>
              <w:t>**</w:t>
            </w:r>
            <w:r w:rsidRPr="00B74B0F">
              <w:rPr>
                <w:szCs w:val="22"/>
                <w:lang w:val="sr-Latn-ME"/>
              </w:rPr>
              <w:t xml:space="preserve"> p &lt; 0,01, </w:t>
            </w:r>
            <w:r w:rsidRPr="00B74B0F">
              <w:rPr>
                <w:rFonts w:eastAsia="MS Mincho"/>
                <w:noProof/>
                <w:szCs w:val="22"/>
                <w:lang w:val="sr-Latn-ME"/>
              </w:rPr>
              <w:t>prilagođena razlika u liječenju</w:t>
            </w:r>
            <w:r w:rsidRPr="00B74B0F">
              <w:rPr>
                <w:szCs w:val="22"/>
                <w:lang w:val="sr-Latn-ME"/>
              </w:rPr>
              <w:t xml:space="preserve"> (95% CI)</w:t>
            </w:r>
          </w:p>
          <w:p w14:paraId="142CC0EB" w14:textId="77777777" w:rsidR="00366107" w:rsidRPr="00B74B0F" w:rsidRDefault="00366107">
            <w:pPr>
              <w:rPr>
                <w:szCs w:val="22"/>
                <w:lang w:val="sr-Latn-ME"/>
              </w:rPr>
            </w:pPr>
            <w:r w:rsidRPr="00B74B0F">
              <w:rPr>
                <w:szCs w:val="22"/>
                <w:vertAlign w:val="superscript"/>
                <w:lang w:val="sr-Latn-ME"/>
              </w:rPr>
              <w:t>***</w:t>
            </w:r>
            <w:r w:rsidRPr="00B74B0F">
              <w:rPr>
                <w:szCs w:val="22"/>
                <w:lang w:val="sr-Latn-ME"/>
              </w:rPr>
              <w:t xml:space="preserve"> Nominalna p</w:t>
            </w:r>
            <w:r w:rsidRPr="00B74B0F">
              <w:rPr>
                <w:szCs w:val="22"/>
                <w:lang w:val="sr-Latn-ME"/>
              </w:rPr>
              <w:noBreakHyphen/>
              <w:t xml:space="preserve">vrijednost za poređenje UPA u odnosu na PBO &lt; 0,001, </w:t>
            </w:r>
            <w:r w:rsidRPr="00B74B0F">
              <w:rPr>
                <w:rFonts w:eastAsia="MS Mincho"/>
                <w:noProof/>
                <w:szCs w:val="22"/>
                <w:lang w:val="sr-Latn-ME"/>
              </w:rPr>
              <w:t>prilagođena razlika u liječenju</w:t>
            </w:r>
            <w:r w:rsidRPr="00B74B0F">
              <w:rPr>
                <w:szCs w:val="22"/>
                <w:lang w:val="sr-Latn-ME"/>
              </w:rPr>
              <w:t xml:space="preserve"> (95% CI).</w:t>
            </w:r>
            <w:r w:rsidRPr="00B74B0F">
              <w:rPr>
                <w:szCs w:val="22"/>
                <w:lang w:val="sr-Latn-ME"/>
              </w:rPr>
              <w:br/>
            </w:r>
            <w:r w:rsidRPr="00B74B0F">
              <w:rPr>
                <w:szCs w:val="22"/>
                <w:vertAlign w:val="superscript"/>
                <w:lang w:val="sr-Latn-ME"/>
              </w:rPr>
              <w:t>a</w:t>
            </w:r>
            <w:r w:rsidRPr="00B74B0F">
              <w:rPr>
                <w:szCs w:val="22"/>
                <w:lang w:val="sr-Latn-ME"/>
              </w:rPr>
              <w:t xml:space="preserve"> Prosječni dnevni SF ≤ 2,8 i APS ≤ 1,0, s time da nijedna vrijednost nije veća od one na početku ispitivanja.</w:t>
            </w:r>
          </w:p>
          <w:p w14:paraId="13F1A8FA" w14:textId="69D141AF" w:rsidR="00366107" w:rsidRPr="00B74B0F" w:rsidRDefault="00366107" w:rsidP="00A30C3C">
            <w:pPr>
              <w:jc w:val="both"/>
              <w:rPr>
                <w:szCs w:val="22"/>
                <w:lang w:val="sr-Latn-ME"/>
              </w:rPr>
            </w:pPr>
            <w:r w:rsidRPr="00B74B0F">
              <w:rPr>
                <w:szCs w:val="22"/>
                <w:vertAlign w:val="superscript"/>
                <w:lang w:val="sr-Latn-ME"/>
              </w:rPr>
              <w:t>b</w:t>
            </w:r>
            <w:r w:rsidRPr="00B74B0F">
              <w:rPr>
                <w:szCs w:val="22"/>
                <w:lang w:val="sr-Latn-ME"/>
              </w:rPr>
              <w:t xml:space="preserve"> Smanjenje SES-CD &gt; 50% u odnosu na početak ispitivanja indukcijskog liječenja (ili smanjenje za najmanje 2 boda kod </w:t>
            </w:r>
            <w:r w:rsidR="00C979A0" w:rsidRPr="00B74B0F">
              <w:rPr>
                <w:szCs w:val="22"/>
                <w:lang w:val="sr-Latn-ME"/>
              </w:rPr>
              <w:t xml:space="preserve">pacijenata </w:t>
            </w:r>
            <w:r w:rsidRPr="00B74B0F">
              <w:rPr>
                <w:szCs w:val="22"/>
                <w:lang w:val="sr-Latn-ME"/>
              </w:rPr>
              <w:t>kod kojih je na početku ispitivanja indukcijskog liječenja SES-CD iznosio 4.</w:t>
            </w:r>
          </w:p>
          <w:p w14:paraId="38EC3BBD" w14:textId="77777777" w:rsidR="00366107" w:rsidRPr="00B74B0F" w:rsidRDefault="00366107" w:rsidP="00A30C3C">
            <w:pPr>
              <w:jc w:val="both"/>
              <w:rPr>
                <w:szCs w:val="22"/>
                <w:lang w:val="sr-Latn-ME"/>
              </w:rPr>
            </w:pPr>
            <w:r w:rsidRPr="00B74B0F">
              <w:rPr>
                <w:szCs w:val="22"/>
                <w:vertAlign w:val="superscript"/>
                <w:lang w:val="sr-Latn-ME"/>
              </w:rPr>
              <w:t>c</w:t>
            </w:r>
            <w:r w:rsidRPr="00B74B0F">
              <w:rPr>
                <w:szCs w:val="22"/>
                <w:lang w:val="sr-Latn-ME"/>
              </w:rPr>
              <w:t xml:space="preserve"> CDAI &lt; 150</w:t>
            </w:r>
          </w:p>
          <w:p w14:paraId="59BC8EFC" w14:textId="77777777" w:rsidR="00366107" w:rsidRPr="00B74B0F" w:rsidRDefault="00366107" w:rsidP="00A30C3C">
            <w:pPr>
              <w:jc w:val="both"/>
              <w:rPr>
                <w:szCs w:val="22"/>
                <w:lang w:val="sr-Latn-ME"/>
              </w:rPr>
            </w:pPr>
            <w:r w:rsidRPr="00B74B0F">
              <w:rPr>
                <w:szCs w:val="22"/>
                <w:vertAlign w:val="superscript"/>
                <w:lang w:val="sr-Latn-ME"/>
              </w:rPr>
              <w:t>d</w:t>
            </w:r>
            <w:r w:rsidRPr="00B74B0F">
              <w:rPr>
                <w:szCs w:val="22"/>
                <w:lang w:val="sr-Latn-ME"/>
              </w:rPr>
              <w:t xml:space="preserve"> Smanjenje vrijednosti CDAI za najmanje 100 bodova u odnosu na početak ispitivanja</w:t>
            </w:r>
          </w:p>
          <w:p w14:paraId="31C644C5" w14:textId="1BD1B669" w:rsidR="00366107" w:rsidRPr="00B74B0F" w:rsidRDefault="00366107" w:rsidP="00A30C3C">
            <w:pPr>
              <w:jc w:val="both"/>
              <w:rPr>
                <w:szCs w:val="22"/>
                <w:lang w:val="sr-Latn-ME"/>
              </w:rPr>
            </w:pPr>
            <w:r w:rsidRPr="00B74B0F">
              <w:rPr>
                <w:szCs w:val="22"/>
                <w:vertAlign w:val="superscript"/>
                <w:lang w:val="sr-Latn-ME"/>
              </w:rPr>
              <w:t>e</w:t>
            </w:r>
            <w:r w:rsidRPr="00B74B0F">
              <w:rPr>
                <w:szCs w:val="22"/>
                <w:lang w:val="sr-Latn-ME"/>
              </w:rPr>
              <w:t xml:space="preserve"> Prestanak primjene steroida i postizanje kliničke remisije kod </w:t>
            </w:r>
            <w:r w:rsidR="00C979A0" w:rsidRPr="00B74B0F">
              <w:rPr>
                <w:szCs w:val="22"/>
                <w:lang w:val="sr-Latn-ME"/>
              </w:rPr>
              <w:t xml:space="preserve">pacijenata </w:t>
            </w:r>
            <w:r w:rsidRPr="00B74B0F">
              <w:rPr>
                <w:szCs w:val="22"/>
                <w:lang w:val="sr-Latn-ME"/>
              </w:rPr>
              <w:t>koji su na početku ispitivanja primali steroide.</w:t>
            </w:r>
          </w:p>
          <w:p w14:paraId="5DC1665D" w14:textId="77777777" w:rsidR="00C060B0" w:rsidRPr="00B74B0F" w:rsidRDefault="00366107" w:rsidP="00A30C3C">
            <w:pPr>
              <w:jc w:val="both"/>
              <w:rPr>
                <w:szCs w:val="22"/>
                <w:lang w:val="sr-Latn-ME"/>
              </w:rPr>
            </w:pPr>
            <w:r w:rsidRPr="00B74B0F">
              <w:rPr>
                <w:szCs w:val="22"/>
                <w:vertAlign w:val="superscript"/>
                <w:lang w:val="sr-Latn-ME"/>
              </w:rPr>
              <w:t>f</w:t>
            </w:r>
            <w:r w:rsidRPr="00B74B0F">
              <w:rPr>
                <w:szCs w:val="22"/>
                <w:lang w:val="sr-Latn-ME"/>
              </w:rPr>
              <w:t xml:space="preserve"> SES-CD ≤ 4 i smanjenje za najmanje 2 boda u odnosu na vrijednosti na početku ispitivanja i nijedna individualna varijabla nema podrezultat &gt; 1 </w:t>
            </w:r>
          </w:p>
          <w:p w14:paraId="1E4910A3" w14:textId="38279EBF" w:rsidR="00366107" w:rsidRPr="00B74B0F" w:rsidRDefault="00B71CB3" w:rsidP="00A30C3C">
            <w:pPr>
              <w:jc w:val="both"/>
              <w:rPr>
                <w:szCs w:val="22"/>
                <w:lang w:val="sr-Latn-ME"/>
              </w:rPr>
            </w:pPr>
            <w:r w:rsidRPr="00B74B0F">
              <w:rPr>
                <w:szCs w:val="22"/>
                <w:vertAlign w:val="superscript"/>
                <w:lang w:val="sr-Latn-ME"/>
              </w:rPr>
              <w:t>g</w:t>
            </w:r>
            <w:r w:rsidR="00366107" w:rsidRPr="00B74B0F">
              <w:rPr>
                <w:szCs w:val="22"/>
                <w:lang w:val="sr-Latn-ME"/>
              </w:rPr>
              <w:t xml:space="preserve">SES-CD podrezultat za površinske ulceracije 0 kod </w:t>
            </w:r>
            <w:r w:rsidR="00C979A0" w:rsidRPr="00B74B0F">
              <w:rPr>
                <w:szCs w:val="22"/>
                <w:lang w:val="sr-Latn-ME"/>
              </w:rPr>
              <w:t xml:space="preserve">pacijenata </w:t>
            </w:r>
            <w:r w:rsidR="00366107" w:rsidRPr="00B74B0F">
              <w:rPr>
                <w:szCs w:val="22"/>
                <w:lang w:val="sr-Latn-ME"/>
              </w:rPr>
              <w:t xml:space="preserve">kod kojih je na početku ispitivanja taj podrezultat bio ≥ 1. </w:t>
            </w:r>
          </w:p>
        </w:tc>
      </w:tr>
    </w:tbl>
    <w:p w14:paraId="22F34394" w14:textId="77777777" w:rsidR="00366107" w:rsidRPr="00B74B0F" w:rsidRDefault="00366107" w:rsidP="00A30C3C">
      <w:pPr>
        <w:tabs>
          <w:tab w:val="clear" w:pos="567"/>
        </w:tabs>
        <w:spacing w:line="240" w:lineRule="auto"/>
        <w:jc w:val="both"/>
        <w:rPr>
          <w:i/>
          <w:iCs/>
          <w:szCs w:val="22"/>
          <w:lang w:val="sr-Latn-ME"/>
        </w:rPr>
      </w:pPr>
    </w:p>
    <w:p w14:paraId="69744520" w14:textId="77777777" w:rsidR="00366107" w:rsidRPr="00B74B0F" w:rsidRDefault="00366107" w:rsidP="00A30C3C">
      <w:pPr>
        <w:tabs>
          <w:tab w:val="clear" w:pos="567"/>
        </w:tabs>
        <w:spacing w:line="240" w:lineRule="auto"/>
        <w:jc w:val="both"/>
        <w:rPr>
          <w:bCs/>
          <w:i/>
          <w:iCs/>
          <w:szCs w:val="22"/>
          <w:u w:val="single"/>
          <w:lang w:val="sr-Latn-ME"/>
        </w:rPr>
      </w:pPr>
      <w:r w:rsidRPr="00B74B0F">
        <w:rPr>
          <w:bCs/>
          <w:i/>
          <w:iCs/>
          <w:szCs w:val="22"/>
          <w:u w:val="single"/>
          <w:lang w:val="sr-Latn-ME"/>
        </w:rPr>
        <w:t>Ispitivanje terapije održavanja (CD-3)</w:t>
      </w:r>
    </w:p>
    <w:p w14:paraId="2C8CDDF4" w14:textId="77777777" w:rsidR="00366107" w:rsidRPr="00B74B0F" w:rsidRDefault="00366107" w:rsidP="00A30C3C">
      <w:pPr>
        <w:tabs>
          <w:tab w:val="clear" w:pos="567"/>
        </w:tabs>
        <w:spacing w:line="240" w:lineRule="auto"/>
        <w:jc w:val="both"/>
        <w:rPr>
          <w:bCs/>
          <w:i/>
          <w:iCs/>
          <w:szCs w:val="22"/>
          <w:u w:val="single"/>
          <w:lang w:val="sr-Latn-ME"/>
        </w:rPr>
      </w:pPr>
    </w:p>
    <w:p w14:paraId="332BA0C0" w14:textId="790348C1" w:rsidR="00366107" w:rsidRPr="00B74B0F" w:rsidRDefault="00366107" w:rsidP="00A30C3C">
      <w:pPr>
        <w:tabs>
          <w:tab w:val="clear" w:pos="567"/>
        </w:tabs>
        <w:autoSpaceDE w:val="0"/>
        <w:autoSpaceDN w:val="0"/>
        <w:adjustRightInd w:val="0"/>
        <w:spacing w:line="240" w:lineRule="auto"/>
        <w:jc w:val="both"/>
        <w:rPr>
          <w:rFonts w:eastAsia="UniversLTStd-Cn"/>
          <w:szCs w:val="22"/>
          <w:lang w:val="sr-Latn-ME"/>
        </w:rPr>
      </w:pPr>
      <w:r w:rsidRPr="00B74B0F">
        <w:rPr>
          <w:rFonts w:eastAsia="UniversLTStd-Cn"/>
          <w:szCs w:val="22"/>
          <w:lang w:val="sr-Latn-ME"/>
        </w:rPr>
        <w:t xml:space="preserve">Analiza </w:t>
      </w:r>
      <w:r w:rsidR="00C979A0" w:rsidRPr="00B74B0F">
        <w:rPr>
          <w:rFonts w:eastAsia="UniversLTStd-Cn"/>
          <w:szCs w:val="22"/>
          <w:lang w:val="sr-Latn-ME"/>
        </w:rPr>
        <w:t>efikasnosti</w:t>
      </w:r>
      <w:r w:rsidRPr="00B74B0F">
        <w:rPr>
          <w:rFonts w:eastAsia="UniversLTStd-Cn"/>
          <w:szCs w:val="22"/>
          <w:lang w:val="sr-Latn-ME"/>
        </w:rPr>
        <w:t xml:space="preserve"> u ispitivanju CD</w:t>
      </w:r>
      <w:r w:rsidRPr="00B74B0F">
        <w:rPr>
          <w:rFonts w:eastAsia="UniversLTStd-Cn"/>
          <w:szCs w:val="22"/>
          <w:lang w:val="sr-Latn-ME"/>
        </w:rPr>
        <w:noBreakHyphen/>
        <w:t xml:space="preserve">3 </w:t>
      </w:r>
      <w:r w:rsidR="00C979A0" w:rsidRPr="00B74B0F">
        <w:rPr>
          <w:rFonts w:eastAsia="UniversLTStd-Cn"/>
          <w:szCs w:val="22"/>
          <w:lang w:val="sr-Latn-ME"/>
        </w:rPr>
        <w:t>s</w:t>
      </w:r>
      <w:r w:rsidRPr="00B74B0F">
        <w:rPr>
          <w:rFonts w:eastAsia="UniversLTStd-Cn"/>
          <w:szCs w:val="22"/>
          <w:lang w:val="sr-Latn-ME"/>
        </w:rPr>
        <w:t>provedena je kod 502 </w:t>
      </w:r>
      <w:r w:rsidR="00C979A0" w:rsidRPr="00B74B0F">
        <w:rPr>
          <w:rFonts w:eastAsia="UniversLTStd-Cn"/>
          <w:szCs w:val="22"/>
          <w:lang w:val="sr-Latn-ME"/>
        </w:rPr>
        <w:t xml:space="preserve">pacijenta </w:t>
      </w:r>
      <w:r w:rsidRPr="00B74B0F">
        <w:rPr>
          <w:rFonts w:eastAsia="UniversLTStd-Cn"/>
          <w:szCs w:val="22"/>
          <w:lang w:val="sr-Latn-ME"/>
        </w:rPr>
        <w:t>koji su u 12</w:t>
      </w:r>
      <w:r w:rsidRPr="00B74B0F">
        <w:rPr>
          <w:rFonts w:eastAsia="UniversLTStd-Cn"/>
          <w:szCs w:val="22"/>
          <w:lang w:val="sr-Latn-ME"/>
        </w:rPr>
        <w:noBreakHyphen/>
        <w:t xml:space="preserve">sedmičnom indukcijskom liječenju </w:t>
      </w:r>
      <w:r w:rsidRPr="00B74B0F">
        <w:rPr>
          <w:szCs w:val="22"/>
          <w:lang w:val="sr-Latn-ME"/>
        </w:rPr>
        <w:t>upadacitinibom u dozi od</w:t>
      </w:r>
      <w:r w:rsidRPr="00B74B0F">
        <w:rPr>
          <w:rFonts w:eastAsia="UniversLTStd-Cn"/>
          <w:szCs w:val="22"/>
          <w:lang w:val="sr-Latn-ME"/>
        </w:rPr>
        <w:t xml:space="preserve"> 45 mg jedanput na dan postigli klinički odgovor prema rezultatu SF/APS. </w:t>
      </w:r>
      <w:r w:rsidR="00A67432" w:rsidRPr="00B74B0F">
        <w:rPr>
          <w:rFonts w:eastAsia="UniversLTStd-Cn"/>
          <w:szCs w:val="22"/>
          <w:lang w:val="sr-Latn-ME"/>
        </w:rPr>
        <w:t>Pacijenti</w:t>
      </w:r>
      <w:r w:rsidRPr="00B74B0F">
        <w:rPr>
          <w:rFonts w:eastAsia="UniversLTStd-Cn"/>
          <w:szCs w:val="22"/>
          <w:lang w:val="sr-Latn-ME"/>
        </w:rPr>
        <w:t xml:space="preserve"> su bili ponovo randomiz</w:t>
      </w:r>
      <w:r w:rsidR="00C979A0" w:rsidRPr="00B74B0F">
        <w:rPr>
          <w:rFonts w:eastAsia="UniversLTStd-Cn"/>
          <w:szCs w:val="22"/>
          <w:lang w:val="sr-Latn-ME"/>
        </w:rPr>
        <w:t>ov</w:t>
      </w:r>
      <w:r w:rsidRPr="00B74B0F">
        <w:rPr>
          <w:rFonts w:eastAsia="UniversLTStd-Cn"/>
          <w:szCs w:val="22"/>
          <w:lang w:val="sr-Latn-ME"/>
        </w:rPr>
        <w:t xml:space="preserve">ani u grupe koje su tokom 52 sedmice primale ili terapiju održavanja </w:t>
      </w:r>
      <w:r w:rsidRPr="00B74B0F">
        <w:rPr>
          <w:szCs w:val="22"/>
          <w:lang w:val="sr-Latn-ME"/>
        </w:rPr>
        <w:t>upadacitinibom u dozi od</w:t>
      </w:r>
      <w:r w:rsidRPr="00B74B0F">
        <w:rPr>
          <w:rFonts w:eastAsia="UniversLTStd-Cn"/>
          <w:szCs w:val="22"/>
          <w:lang w:val="sr-Latn-ME"/>
        </w:rPr>
        <w:t xml:space="preserve"> 15 mg ili 30 mg jedanput na dan ili placebo.</w:t>
      </w:r>
    </w:p>
    <w:p w14:paraId="2BC2A7B0" w14:textId="77777777" w:rsidR="00366107" w:rsidRPr="00B74B0F" w:rsidRDefault="00366107" w:rsidP="00A30C3C">
      <w:pPr>
        <w:tabs>
          <w:tab w:val="clear" w:pos="567"/>
        </w:tabs>
        <w:autoSpaceDE w:val="0"/>
        <w:autoSpaceDN w:val="0"/>
        <w:adjustRightInd w:val="0"/>
        <w:spacing w:line="240" w:lineRule="auto"/>
        <w:jc w:val="both"/>
        <w:rPr>
          <w:rFonts w:eastAsia="UniversLTStd-Cn"/>
          <w:szCs w:val="22"/>
          <w:lang w:val="sr-Latn-ME"/>
        </w:rPr>
      </w:pPr>
    </w:p>
    <w:p w14:paraId="65A7DEC8" w14:textId="77777777" w:rsidR="00366107" w:rsidRPr="00B74B0F" w:rsidRDefault="00366107" w:rsidP="00A30C3C">
      <w:pPr>
        <w:keepNext/>
        <w:tabs>
          <w:tab w:val="clear" w:pos="567"/>
        </w:tabs>
        <w:spacing w:line="240" w:lineRule="auto"/>
        <w:jc w:val="both"/>
        <w:rPr>
          <w:i/>
          <w:iCs/>
          <w:szCs w:val="22"/>
          <w:lang w:val="sr-Latn-ME"/>
        </w:rPr>
      </w:pPr>
      <w:r w:rsidRPr="00B74B0F">
        <w:rPr>
          <w:i/>
          <w:iCs/>
          <w:szCs w:val="22"/>
          <w:lang w:val="sr-Latn-ME"/>
        </w:rPr>
        <w:t xml:space="preserve">Klinička aktivnost bolesti i simptomi </w:t>
      </w:r>
    </w:p>
    <w:p w14:paraId="741A824F" w14:textId="77777777" w:rsidR="00366107" w:rsidRPr="00B74B0F" w:rsidRDefault="00366107" w:rsidP="00A30C3C">
      <w:pPr>
        <w:keepNext/>
        <w:tabs>
          <w:tab w:val="clear" w:pos="567"/>
        </w:tabs>
        <w:spacing w:line="240" w:lineRule="auto"/>
        <w:jc w:val="both"/>
        <w:rPr>
          <w:iCs/>
          <w:szCs w:val="22"/>
          <w:lang w:val="sr-Latn-ME"/>
        </w:rPr>
      </w:pPr>
    </w:p>
    <w:p w14:paraId="380600DE" w14:textId="7B8025B0" w:rsidR="00366107" w:rsidRPr="00B74B0F" w:rsidRDefault="00366107" w:rsidP="00A30C3C">
      <w:pPr>
        <w:tabs>
          <w:tab w:val="clear" w:pos="567"/>
        </w:tabs>
        <w:spacing w:line="240" w:lineRule="auto"/>
        <w:jc w:val="both"/>
        <w:rPr>
          <w:szCs w:val="22"/>
          <w:lang w:val="sr-Latn-ME"/>
        </w:rPr>
      </w:pPr>
      <w:r w:rsidRPr="00B74B0F">
        <w:rPr>
          <w:szCs w:val="22"/>
          <w:lang w:val="sr-Latn-ME"/>
        </w:rPr>
        <w:t xml:space="preserve">Značajno veći udio </w:t>
      </w:r>
      <w:r w:rsidR="00A67432" w:rsidRPr="00B74B0F">
        <w:rPr>
          <w:szCs w:val="22"/>
          <w:lang w:val="sr-Latn-ME"/>
        </w:rPr>
        <w:t>pacijenata</w:t>
      </w:r>
      <w:r w:rsidRPr="00B74B0F">
        <w:rPr>
          <w:szCs w:val="22"/>
          <w:lang w:val="sr-Latn-ME"/>
        </w:rPr>
        <w:t xml:space="preserve"> liječenih upadacitinibom u dozi od 15 mg i 30 mg postigao je u 52. sedmici kliničku remisiju kao koprimarn</w:t>
      </w:r>
      <w:r w:rsidR="00C904DA" w:rsidRPr="00B74B0F">
        <w:rPr>
          <w:szCs w:val="22"/>
          <w:lang w:val="sr-Latn-ME"/>
        </w:rPr>
        <w:t>i parametar praćenja</w:t>
      </w:r>
      <w:r w:rsidRPr="00B74B0F">
        <w:rPr>
          <w:szCs w:val="22"/>
          <w:lang w:val="sr-Latn-ME"/>
        </w:rPr>
        <w:t xml:space="preserve"> u odnosu na placebo (</w:t>
      </w:r>
      <w:r w:rsidR="00C979A0" w:rsidRPr="00B74B0F">
        <w:rPr>
          <w:szCs w:val="22"/>
          <w:lang w:val="sr-Latn-ME"/>
        </w:rPr>
        <w:t>S</w:t>
      </w:r>
      <w:r w:rsidRPr="00B74B0F">
        <w:rPr>
          <w:szCs w:val="22"/>
          <w:lang w:val="sr-Latn-ME"/>
        </w:rPr>
        <w:t xml:space="preserve">lika 3, </w:t>
      </w:r>
      <w:r w:rsidR="00C979A0" w:rsidRPr="00B74B0F">
        <w:rPr>
          <w:szCs w:val="22"/>
          <w:lang w:val="sr-Latn-ME"/>
        </w:rPr>
        <w:t>T</w:t>
      </w:r>
      <w:r w:rsidRPr="00B74B0F">
        <w:rPr>
          <w:szCs w:val="22"/>
          <w:lang w:val="sr-Latn-ME"/>
        </w:rPr>
        <w:t xml:space="preserve">abela 17). </w:t>
      </w:r>
    </w:p>
    <w:p w14:paraId="595C1B57" w14:textId="77777777" w:rsidR="00366107" w:rsidRPr="00B74B0F" w:rsidRDefault="00366107" w:rsidP="00A30C3C">
      <w:pPr>
        <w:keepNext/>
        <w:tabs>
          <w:tab w:val="clear" w:pos="567"/>
        </w:tabs>
        <w:spacing w:line="240" w:lineRule="auto"/>
        <w:jc w:val="both"/>
        <w:rPr>
          <w:szCs w:val="22"/>
          <w:lang w:val="sr-Latn-ME"/>
        </w:rPr>
      </w:pPr>
    </w:p>
    <w:p w14:paraId="3D91B884" w14:textId="7E32CAB1" w:rsidR="00366107" w:rsidRPr="00B74B0F" w:rsidRDefault="00366107" w:rsidP="00A30C3C">
      <w:pPr>
        <w:keepNext/>
        <w:tabs>
          <w:tab w:val="clear" w:pos="567"/>
        </w:tabs>
        <w:spacing w:line="240" w:lineRule="auto"/>
        <w:jc w:val="both"/>
        <w:rPr>
          <w:b/>
          <w:bCs/>
          <w:szCs w:val="22"/>
          <w:lang w:val="sr-Latn-ME"/>
        </w:rPr>
      </w:pPr>
      <w:r w:rsidRPr="00B74B0F">
        <w:rPr>
          <w:b/>
          <w:bCs/>
          <w:szCs w:val="22"/>
          <w:lang w:val="sr-Latn-ME"/>
        </w:rPr>
        <w:t xml:space="preserve">Slika 3 Udio </w:t>
      </w:r>
      <w:r w:rsidR="00C904DA" w:rsidRPr="00B74B0F">
        <w:rPr>
          <w:b/>
          <w:bCs/>
          <w:szCs w:val="22"/>
          <w:lang w:val="sr-Latn-ME"/>
        </w:rPr>
        <w:t>pacijenata</w:t>
      </w:r>
      <w:r w:rsidRPr="00B74B0F">
        <w:rPr>
          <w:b/>
          <w:bCs/>
          <w:szCs w:val="22"/>
          <w:lang w:val="sr-Latn-ME"/>
        </w:rPr>
        <w:t xml:space="preserve"> koji su postigli kliničku remisiju u ispitivanju terapije održavanja CD</w:t>
      </w:r>
      <w:r w:rsidRPr="00B74B0F">
        <w:rPr>
          <w:b/>
          <w:bCs/>
          <w:szCs w:val="22"/>
          <w:lang w:val="sr-Latn-ME"/>
        </w:rPr>
        <w:noBreakHyphen/>
        <w:t>3</w:t>
      </w:r>
    </w:p>
    <w:p w14:paraId="1A60669D" w14:textId="77777777" w:rsidR="00366107" w:rsidRPr="00B74B0F" w:rsidRDefault="00366107" w:rsidP="00A30C3C">
      <w:pPr>
        <w:keepNext/>
        <w:tabs>
          <w:tab w:val="clear" w:pos="567"/>
        </w:tabs>
        <w:spacing w:after="200" w:line="276" w:lineRule="auto"/>
        <w:contextualSpacing/>
        <w:jc w:val="both"/>
        <w:rPr>
          <w:b/>
          <w:bCs/>
          <w:szCs w:val="22"/>
          <w:lang w:val="sr-Latn-ME"/>
        </w:rPr>
      </w:pPr>
      <w:r w:rsidRPr="00B74B0F">
        <w:rPr>
          <w:b/>
          <w:bCs/>
          <w:noProof/>
          <w:szCs w:val="22"/>
          <w:lang w:val="en-US"/>
        </w:rPr>
        <mc:AlternateContent>
          <mc:Choice Requires="wpg">
            <w:drawing>
              <wp:anchor distT="0" distB="0" distL="114300" distR="114300" simplePos="0" relativeHeight="251664384" behindDoc="0" locked="0" layoutInCell="1" allowOverlap="1" wp14:anchorId="66CFB5D9" wp14:editId="498029F0">
                <wp:simplePos x="0" y="0"/>
                <wp:positionH relativeFrom="column">
                  <wp:posOffset>3810</wp:posOffset>
                </wp:positionH>
                <wp:positionV relativeFrom="paragraph">
                  <wp:posOffset>203200</wp:posOffset>
                </wp:positionV>
                <wp:extent cx="6231255" cy="2557148"/>
                <wp:effectExtent l="0" t="0" r="0" b="0"/>
                <wp:wrapSquare wrapText="bothSides"/>
                <wp:docPr id="61" name="Group 61"/>
                <wp:cNvGraphicFramePr/>
                <a:graphic xmlns:a="http://schemas.openxmlformats.org/drawingml/2006/main">
                  <a:graphicData uri="http://schemas.microsoft.com/office/word/2010/wordprocessingGroup">
                    <wpg:wgp>
                      <wpg:cNvGrpSpPr/>
                      <wpg:grpSpPr>
                        <a:xfrm>
                          <a:off x="0" y="0"/>
                          <a:ext cx="6231255" cy="2557148"/>
                          <a:chOff x="-220095" y="-354"/>
                          <a:chExt cx="6238116" cy="2558833"/>
                        </a:xfrm>
                      </wpg:grpSpPr>
                      <wpg:grpSp>
                        <wpg:cNvPr id="62" name="Group 62"/>
                        <wpg:cNvGrpSpPr/>
                        <wpg:grpSpPr>
                          <a:xfrm>
                            <a:off x="-220095" y="-354"/>
                            <a:ext cx="6238116" cy="2558833"/>
                            <a:chOff x="175054" y="-102556"/>
                            <a:chExt cx="6238618" cy="2559113"/>
                          </a:xfrm>
                        </wpg:grpSpPr>
                        <wps:wsp>
                          <wps:cNvPr id="63" name="Text Box 2"/>
                          <wps:cNvSpPr txBox="1">
                            <a:spLocks noChangeArrowheads="1"/>
                          </wps:cNvSpPr>
                          <wps:spPr bwMode="auto">
                            <a:xfrm rot="16200000">
                              <a:off x="-622054" y="694553"/>
                              <a:ext cx="2117256" cy="523038"/>
                            </a:xfrm>
                            <a:prstGeom prst="rect">
                              <a:avLst/>
                            </a:prstGeom>
                            <a:solidFill>
                              <a:srgbClr val="FFFFFF"/>
                            </a:solidFill>
                            <a:ln w="9525">
                              <a:noFill/>
                              <a:miter lim="800000"/>
                              <a:headEnd/>
                              <a:tailEnd/>
                            </a:ln>
                          </wps:spPr>
                          <wps:txbx>
                            <w:txbxContent>
                              <w:p w14:paraId="18E4070A" w14:textId="7CCB35B8" w:rsidR="00254E74" w:rsidRPr="00295818" w:rsidRDefault="00254E74" w:rsidP="00366107">
                                <w:pPr>
                                  <w:spacing w:line="240" w:lineRule="auto"/>
                                  <w:jc w:val="center"/>
                                  <w:rPr>
                                    <w:b/>
                                    <w:sz w:val="20"/>
                                    <w:szCs w:val="18"/>
                                    <w:lang w:val="es-ES"/>
                                  </w:rPr>
                                </w:pPr>
                                <w:r w:rsidRPr="00295818">
                                  <w:rPr>
                                    <w:b/>
                                    <w:sz w:val="20"/>
                                    <w:szCs w:val="18"/>
                                    <w:lang w:val="es-ES"/>
                                  </w:rPr>
                                  <w:t xml:space="preserve">Postotak </w:t>
                                </w:r>
                                <w:r>
                                  <w:rPr>
                                    <w:b/>
                                    <w:sz w:val="20"/>
                                    <w:szCs w:val="18"/>
                                    <w:lang w:val="es-ES"/>
                                  </w:rPr>
                                  <w:t>p</w:t>
                                </w:r>
                                <w:r w:rsidRPr="00295818">
                                  <w:rPr>
                                    <w:b/>
                                    <w:sz w:val="20"/>
                                    <w:szCs w:val="18"/>
                                    <w:lang w:val="es-ES"/>
                                  </w:rPr>
                                  <w:t>a</w:t>
                                </w:r>
                                <w:r>
                                  <w:rPr>
                                    <w:b/>
                                    <w:sz w:val="20"/>
                                    <w:szCs w:val="18"/>
                                    <w:lang w:val="es-ES"/>
                                  </w:rPr>
                                  <w:t>cijenata</w:t>
                                </w:r>
                                <w:r w:rsidRPr="00295818">
                                  <w:rPr>
                                    <w:b/>
                                    <w:sz w:val="20"/>
                                    <w:szCs w:val="18"/>
                                    <w:lang w:val="es-ES"/>
                                  </w:rPr>
                                  <w:t xml:space="preserve"> koji su odgovorili na liječenje i 95%</w:t>
                                </w:r>
                                <w:r>
                                  <w:rPr>
                                    <w:b/>
                                    <w:sz w:val="20"/>
                                    <w:szCs w:val="18"/>
                                    <w:lang w:val="es-ES"/>
                                  </w:rPr>
                                  <w:noBreakHyphen/>
                                </w:r>
                                <w:r w:rsidRPr="00295818">
                                  <w:rPr>
                                    <w:b/>
                                    <w:sz w:val="20"/>
                                    <w:szCs w:val="18"/>
                                    <w:lang w:val="es-ES"/>
                                  </w:rPr>
                                  <w:t>tni interval pouzdanosti</w:t>
                                </w:r>
                              </w:p>
                              <w:p w14:paraId="7EEEC5BF" w14:textId="77777777" w:rsidR="00254E74" w:rsidRPr="00BF01FE" w:rsidRDefault="00254E74" w:rsidP="00366107">
                                <w:pPr>
                                  <w:jc w:val="center"/>
                                  <w:rPr>
                                    <w:b/>
                                    <w:sz w:val="20"/>
                                    <w:szCs w:val="18"/>
                                  </w:rPr>
                                </w:pPr>
                              </w:p>
                            </w:txbxContent>
                          </wps:txbx>
                          <wps:bodyPr rot="0" vert="horz" wrap="square" anchor="t" anchorCtr="0"/>
                        </wps:wsp>
                        <wps:wsp>
                          <wps:cNvPr id="1618184576" name="Text Box 2"/>
                          <wps:cNvSpPr txBox="1">
                            <a:spLocks noChangeArrowheads="1"/>
                          </wps:cNvSpPr>
                          <wps:spPr bwMode="auto">
                            <a:xfrm>
                              <a:off x="3262344" y="1826679"/>
                              <a:ext cx="666901" cy="266268"/>
                            </a:xfrm>
                            <a:prstGeom prst="rect">
                              <a:avLst/>
                            </a:prstGeom>
                            <a:solidFill>
                              <a:srgbClr val="FFFFFF"/>
                            </a:solidFill>
                            <a:ln w="9525">
                              <a:noFill/>
                              <a:miter lim="800000"/>
                              <a:headEnd/>
                              <a:tailEnd/>
                            </a:ln>
                          </wps:spPr>
                          <wps:txbx>
                            <w:txbxContent>
                              <w:p w14:paraId="1494ADB5" w14:textId="1AD8CFB4" w:rsidR="00254E74" w:rsidRPr="00BF01FE" w:rsidRDefault="00254E74" w:rsidP="00366107">
                                <w:pPr>
                                  <w:rPr>
                                    <w:b/>
                                    <w:bCs/>
                                  </w:rPr>
                                </w:pPr>
                                <w:r>
                                  <w:rPr>
                                    <w:b/>
                                    <w:sz w:val="20"/>
                                    <w:szCs w:val="18"/>
                                  </w:rPr>
                                  <w:t>Nedjelje</w:t>
                                </w:r>
                              </w:p>
                            </w:txbxContent>
                          </wps:txbx>
                          <wps:bodyPr rot="0" vert="horz" wrap="square" anchor="t" anchorCtr="0">
                            <a:spAutoFit/>
                          </wps:bodyPr>
                        </wps:wsp>
                        <wps:wsp>
                          <wps:cNvPr id="1618184577" name="Text Box 2"/>
                          <wps:cNvSpPr txBox="1">
                            <a:spLocks noChangeArrowheads="1"/>
                          </wps:cNvSpPr>
                          <wps:spPr bwMode="auto">
                            <a:xfrm>
                              <a:off x="175054" y="2059047"/>
                              <a:ext cx="6238618" cy="397510"/>
                            </a:xfrm>
                            <a:prstGeom prst="rect">
                              <a:avLst/>
                            </a:prstGeom>
                            <a:solidFill>
                              <a:srgbClr val="FFFFFF"/>
                            </a:solidFill>
                            <a:ln w="9525">
                              <a:noFill/>
                              <a:miter lim="800000"/>
                              <a:headEnd/>
                              <a:tailEnd/>
                            </a:ln>
                          </wps:spPr>
                          <wps:txbx>
                            <w:txbxContent>
                              <w:p w14:paraId="65509731" w14:textId="77777777" w:rsidR="00254E74" w:rsidRPr="00F721B9" w:rsidRDefault="00254E74" w:rsidP="00366107">
                                <w:pPr>
                                  <w:jc w:val="center"/>
                                  <w:rPr>
                                    <w:sz w:val="16"/>
                                    <w:szCs w:val="14"/>
                                    <w:lang w:val="sv-SE"/>
                                  </w:rPr>
                                </w:pPr>
                                <w:r>
                                  <w:rPr>
                                    <w:noProof/>
                                    <w:sz w:val="16"/>
                                    <w:szCs w:val="14"/>
                                    <w:lang w:val="en-US"/>
                                  </w:rPr>
                                  <w:drawing>
                                    <wp:inline distT="0" distB="0" distL="0" distR="0" wp14:anchorId="2A6AE8BC" wp14:editId="626F4FDC">
                                      <wp:extent cx="638264" cy="228632"/>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83887" name="Picture 17"/>
                                              <pic:cNvPicPr/>
                                            </pic:nvPicPr>
                                            <pic:blipFill>
                                              <a:blip r:embed="rId32">
                                                <a:extLst>
                                                  <a:ext uri="{28A0092B-C50C-407E-A947-70E740481C1C}">
                                                    <a14:useLocalDpi xmlns:a14="http://schemas.microsoft.com/office/drawing/2010/main" val="0"/>
                                                  </a:ext>
                                                </a:extLst>
                                              </a:blip>
                                              <a:stretch>
                                                <a:fillRect/>
                                              </a:stretch>
                                            </pic:blipFill>
                                            <pic:spPr>
                                              <a:xfrm>
                                                <a:off x="0" y="0"/>
                                                <a:ext cx="638264" cy="228632"/>
                                              </a:xfrm>
                                              <a:prstGeom prst="rect">
                                                <a:avLst/>
                                              </a:prstGeom>
                                            </pic:spPr>
                                          </pic:pic>
                                        </a:graphicData>
                                      </a:graphic>
                                    </wp:inline>
                                  </w:drawing>
                                </w:r>
                                <w:r w:rsidRPr="00F721B9">
                                  <w:rPr>
                                    <w:sz w:val="16"/>
                                    <w:szCs w:val="14"/>
                                    <w:lang w:val="sv-SE"/>
                                  </w:rPr>
                                  <w:t>Placebo</w:t>
                                </w:r>
                                <w:r>
                                  <w:rPr>
                                    <w:sz w:val="16"/>
                                    <w:szCs w:val="14"/>
                                    <w:lang w:val="sv-SE"/>
                                  </w:rPr>
                                  <w:t xml:space="preserve"> (N = 165)</w:t>
                                </w:r>
                                <w:r w:rsidRPr="00F721B9">
                                  <w:rPr>
                                    <w:sz w:val="16"/>
                                    <w:szCs w:val="14"/>
                                    <w:lang w:val="sv-SE"/>
                                  </w:rPr>
                                  <w:t xml:space="preserve">  </w:t>
                                </w:r>
                                <w:r w:rsidRPr="00F721B9">
                                  <w:rPr>
                                    <w:noProof/>
                                    <w:sz w:val="16"/>
                                    <w:szCs w:val="14"/>
                                    <w:lang w:val="en-US"/>
                                  </w:rPr>
                                  <w:drawing>
                                    <wp:inline distT="0" distB="0" distL="0" distR="0" wp14:anchorId="63578369" wp14:editId="2F5940D7">
                                      <wp:extent cx="636105" cy="23031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26852" name=""/>
                                              <pic:cNvPicPr/>
                                            </pic:nvPicPr>
                                            <pic:blipFill>
                                              <a:blip r:embed="rId23"/>
                                              <a:stretch>
                                                <a:fillRect/>
                                              </a:stretch>
                                            </pic:blipFill>
                                            <pic:spPr>
                                              <a:xfrm>
                                                <a:off x="0" y="0"/>
                                                <a:ext cx="660844" cy="239271"/>
                                              </a:xfrm>
                                              <a:prstGeom prst="rect">
                                                <a:avLst/>
                                              </a:prstGeom>
                                            </pic:spPr>
                                          </pic:pic>
                                        </a:graphicData>
                                      </a:graphic>
                                    </wp:inline>
                                  </w:drawing>
                                </w:r>
                                <w:r w:rsidRPr="00F721B9">
                                  <w:rPr>
                                    <w:sz w:val="16"/>
                                    <w:szCs w:val="14"/>
                                    <w:lang w:val="sv-SE"/>
                                  </w:rPr>
                                  <w:t xml:space="preserve">  UPA 5 mg </w:t>
                                </w:r>
                                <w:r>
                                  <w:rPr>
                                    <w:sz w:val="16"/>
                                    <w:szCs w:val="14"/>
                                    <w:lang w:val="sv-SE"/>
                                  </w:rPr>
                                  <w:t>jedanput na dan (N = 169)</w:t>
                                </w:r>
                                <w:r w:rsidRPr="00F721B9">
                                  <w:rPr>
                                    <w:sz w:val="16"/>
                                    <w:szCs w:val="14"/>
                                    <w:lang w:val="sv-SE"/>
                                  </w:rPr>
                                  <w:t xml:space="preserve"> </w:t>
                                </w:r>
                                <w:r w:rsidRPr="00F721B9">
                                  <w:rPr>
                                    <w:noProof/>
                                    <w:sz w:val="16"/>
                                    <w:szCs w:val="14"/>
                                    <w:lang w:val="en-US"/>
                                  </w:rPr>
                                  <w:drawing>
                                    <wp:inline distT="0" distB="0" distL="0" distR="0" wp14:anchorId="0E194EF3" wp14:editId="7BF687C1">
                                      <wp:extent cx="627316" cy="191714"/>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3512" name=""/>
                                              <pic:cNvPicPr/>
                                            </pic:nvPicPr>
                                            <pic:blipFill>
                                              <a:blip r:embed="rId24"/>
                                              <a:stretch>
                                                <a:fillRect/>
                                              </a:stretch>
                                            </pic:blipFill>
                                            <pic:spPr>
                                              <a:xfrm>
                                                <a:off x="0" y="0"/>
                                                <a:ext cx="636818" cy="194618"/>
                                              </a:xfrm>
                                              <a:prstGeom prst="rect">
                                                <a:avLst/>
                                              </a:prstGeom>
                                            </pic:spPr>
                                          </pic:pic>
                                        </a:graphicData>
                                      </a:graphic>
                                    </wp:inline>
                                  </w:drawing>
                                </w:r>
                                <w:r w:rsidRPr="00F721B9">
                                  <w:rPr>
                                    <w:sz w:val="16"/>
                                    <w:szCs w:val="14"/>
                                    <w:lang w:val="sv-SE"/>
                                  </w:rPr>
                                  <w:t xml:space="preserve">  UPA 30 mg </w:t>
                                </w:r>
                                <w:r>
                                  <w:rPr>
                                    <w:sz w:val="16"/>
                                    <w:szCs w:val="14"/>
                                    <w:lang w:val="sv-SE"/>
                                  </w:rPr>
                                  <w:t>jedanput na dan</w:t>
                                </w:r>
                                <w:r w:rsidRPr="00F721B9">
                                  <w:rPr>
                                    <w:sz w:val="16"/>
                                    <w:szCs w:val="14"/>
                                    <w:lang w:val="sv-SE"/>
                                  </w:rPr>
                                  <w:t xml:space="preserve"> (N</w:t>
                                </w:r>
                                <w:r>
                                  <w:rPr>
                                    <w:sz w:val="16"/>
                                    <w:szCs w:val="14"/>
                                    <w:lang w:val="sv-SE"/>
                                  </w:rPr>
                                  <w:t> </w:t>
                                </w:r>
                                <w:r w:rsidRPr="00F721B9">
                                  <w:rPr>
                                    <w:sz w:val="16"/>
                                    <w:szCs w:val="14"/>
                                    <w:lang w:val="sv-SE"/>
                                  </w:rPr>
                                  <w:t>=</w:t>
                                </w:r>
                                <w:r>
                                  <w:rPr>
                                    <w:sz w:val="16"/>
                                    <w:szCs w:val="14"/>
                                    <w:lang w:val="sv-SE"/>
                                  </w:rPr>
                                  <w:t> 168</w:t>
                                </w:r>
                                <w:r w:rsidRPr="00F721B9">
                                  <w:rPr>
                                    <w:sz w:val="16"/>
                                    <w:szCs w:val="14"/>
                                    <w:lang w:val="sv-SE"/>
                                  </w:rPr>
                                  <w:t>)</w:t>
                                </w:r>
                              </w:p>
                            </w:txbxContent>
                          </wps:txbx>
                          <wps:bodyPr rot="0" vert="horz" wrap="square" anchor="t" anchorCtr="0"/>
                        </wps:wsp>
                      </wpg:grpSp>
                      <pic:pic xmlns:pic="http://schemas.openxmlformats.org/drawingml/2006/picture">
                        <pic:nvPicPr>
                          <pic:cNvPr id="1618184578" name="Picture 1618184578"/>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431242" y="156177"/>
                            <a:ext cx="5241185" cy="1864059"/>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CFB5D9" id="Group 61" o:spid="_x0000_s1037" style="position:absolute;left:0;text-align:left;margin-left:.3pt;margin-top:16pt;width:490.65pt;height:201.35pt;z-index:251664384;mso-position-horizontal-relative:text;mso-position-vertical-relative:text;mso-width-relative:margin;mso-height-relative:margin" coordorigin="-2200,-3" coordsize="62381,255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">
                <v:group id="Group 62" o:spid="_x0000_s1038" style="position:absolute;left:-2200;top:-3;width:62380;height:25587" coordorigin="1750,-1025" coordsize="62386,2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_x0000_s1039" type="#_x0000_t202" style="position:absolute;left:-6221;top:6946;width:21172;height:523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" stroked="f">
                    <v:textbox>
                      <w:txbxContent>
                        <w:p w14:paraId="18E4070A" w14:textId="7CCB35B8" w:rsidR="00254E74" w:rsidRPr="00295818" w:rsidRDefault="00254E74" w:rsidP="00366107">
                          <w:pPr>
                            <w:spacing w:line="240" w:lineRule="auto"/>
                            <w:jc w:val="center"/>
                            <w:rPr>
                              <w:b/>
                              <w:sz w:val="20"/>
                              <w:szCs w:val="18"/>
                              <w:lang w:val="es-ES"/>
                            </w:rPr>
                          </w:pPr>
                          <w:r w:rsidRPr="00295818">
                            <w:rPr>
                              <w:b/>
                              <w:sz w:val="20"/>
                              <w:szCs w:val="18"/>
                              <w:lang w:val="es-ES"/>
                            </w:rPr>
                            <w:t xml:space="preserve">Postotak </w:t>
                          </w:r>
                          <w:r>
                            <w:rPr>
                              <w:b/>
                              <w:sz w:val="20"/>
                              <w:szCs w:val="18"/>
                              <w:lang w:val="es-ES"/>
                            </w:rPr>
                            <w:t>p</w:t>
                          </w:r>
                          <w:r w:rsidRPr="00295818">
                            <w:rPr>
                              <w:b/>
                              <w:sz w:val="20"/>
                              <w:szCs w:val="18"/>
                              <w:lang w:val="es-ES"/>
                            </w:rPr>
                            <w:t>a</w:t>
                          </w:r>
                          <w:r>
                            <w:rPr>
                              <w:b/>
                              <w:sz w:val="20"/>
                              <w:szCs w:val="18"/>
                              <w:lang w:val="es-ES"/>
                            </w:rPr>
                            <w:t>cijenata</w:t>
                          </w:r>
                          <w:r w:rsidRPr="00295818">
                            <w:rPr>
                              <w:b/>
                              <w:sz w:val="20"/>
                              <w:szCs w:val="18"/>
                              <w:lang w:val="es-ES"/>
                            </w:rPr>
                            <w:t xml:space="preserve"> koji su odgovorili na liječenje i 95%</w:t>
                          </w:r>
                          <w:r>
                            <w:rPr>
                              <w:b/>
                              <w:sz w:val="20"/>
                              <w:szCs w:val="18"/>
                              <w:lang w:val="es-ES"/>
                            </w:rPr>
                            <w:noBreakHyphen/>
                          </w:r>
                          <w:r w:rsidRPr="00295818">
                            <w:rPr>
                              <w:b/>
                              <w:sz w:val="20"/>
                              <w:szCs w:val="18"/>
                              <w:lang w:val="es-ES"/>
                            </w:rPr>
                            <w:t>tni interval pouzdanosti</w:t>
                          </w:r>
                        </w:p>
                        <w:p w14:paraId="7EEEC5BF" w14:textId="77777777" w:rsidR="00254E74" w:rsidRPr="00BF01FE" w:rsidRDefault="00254E74" w:rsidP="00366107">
                          <w:pPr>
                            <w:jc w:val="center"/>
                            <w:rPr>
                              <w:b/>
                              <w:sz w:val="20"/>
                              <w:szCs w:val="18"/>
                            </w:rPr>
                          </w:pPr>
                        </w:p>
                      </w:txbxContent>
                    </v:textbox>
                  </v:shape>
                  <v:shape id="_x0000_s1040" type="#_x0000_t202" style="position:absolute;left:32623;top:18266;width:6669;height:2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" stroked="f">
                    <v:textbox style="mso-fit-shape-to-text:t">
                      <w:txbxContent>
                        <w:p w14:paraId="1494ADB5" w14:textId="1AD8CFB4" w:rsidR="00254E74" w:rsidRPr="00BF01FE" w:rsidRDefault="00254E74" w:rsidP="00366107">
                          <w:pPr>
                            <w:rPr>
                              <w:b/>
                              <w:bCs/>
                            </w:rPr>
                          </w:pPr>
                          <w:r>
                            <w:rPr>
                              <w:b/>
                              <w:sz w:val="20"/>
                              <w:szCs w:val="18"/>
                            </w:rPr>
                            <w:t>Nedjelje</w:t>
                          </w:r>
                        </w:p>
                      </w:txbxContent>
                    </v:textbox>
                  </v:shape>
                  <v:shape id="_x0000_s1041" type="#_x0000_t202" style="position:absolute;left:1750;top:20590;width:62386;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" stroked="f">
                    <v:textbox>
                      <w:txbxContent>
                        <w:p w14:paraId="65509731" w14:textId="77777777" w:rsidR="00254E74" w:rsidRPr="00F721B9" w:rsidRDefault="00254E74" w:rsidP="00366107">
                          <w:pPr>
                            <w:jc w:val="center"/>
                            <w:rPr>
                              <w:sz w:val="16"/>
                              <w:szCs w:val="14"/>
                              <w:lang w:val="sv-SE"/>
                            </w:rPr>
                          </w:pPr>
                          <w:r>
                            <w:rPr>
                              <w:noProof/>
                              <w:sz w:val="16"/>
                              <w:szCs w:val="14"/>
                              <w:lang w:val="en-US"/>
                            </w:rPr>
                            <w:drawing>
                              <wp:inline distT="0" distB="0" distL="0" distR="0" wp14:anchorId="2A6AE8BC" wp14:editId="626F4FDC">
                                <wp:extent cx="638264" cy="228632"/>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83887" name="Picture 17"/>
                                        <pic:cNvPicPr/>
                                      </pic:nvPicPr>
                                      <pic:blipFill>
                                        <a:blip r:embed="rId34">
                                          <a:extLst>
                                            <a:ext uri="{28A0092B-C50C-407E-A947-70E740481C1C}">
                                              <a14:useLocalDpi xmlns:a14="http://schemas.microsoft.com/office/drawing/2010/main" val="0"/>
                                            </a:ext>
                                          </a:extLst>
                                        </a:blip>
                                        <a:stretch>
                                          <a:fillRect/>
                                        </a:stretch>
                                      </pic:blipFill>
                                      <pic:spPr>
                                        <a:xfrm>
                                          <a:off x="0" y="0"/>
                                          <a:ext cx="638264" cy="228632"/>
                                        </a:xfrm>
                                        <a:prstGeom prst="rect">
                                          <a:avLst/>
                                        </a:prstGeom>
                                      </pic:spPr>
                                    </pic:pic>
                                  </a:graphicData>
                                </a:graphic>
                              </wp:inline>
                            </w:drawing>
                          </w:r>
                          <w:r w:rsidRPr="00F721B9">
                            <w:rPr>
                              <w:sz w:val="16"/>
                              <w:szCs w:val="14"/>
                              <w:lang w:val="sv-SE"/>
                            </w:rPr>
                            <w:t>Placebo</w:t>
                          </w:r>
                          <w:r>
                            <w:rPr>
                              <w:sz w:val="16"/>
                              <w:szCs w:val="14"/>
                              <w:lang w:val="sv-SE"/>
                            </w:rPr>
                            <w:t xml:space="preserve"> (N = 165)</w:t>
                          </w:r>
                          <w:r w:rsidRPr="00F721B9">
                            <w:rPr>
                              <w:sz w:val="16"/>
                              <w:szCs w:val="14"/>
                              <w:lang w:val="sv-SE"/>
                            </w:rPr>
                            <w:t xml:space="preserve">  </w:t>
                          </w:r>
                          <w:r w:rsidRPr="00F721B9">
                            <w:rPr>
                              <w:noProof/>
                              <w:sz w:val="16"/>
                              <w:szCs w:val="14"/>
                              <w:lang w:val="en-US"/>
                            </w:rPr>
                            <w:drawing>
                              <wp:inline distT="0" distB="0" distL="0" distR="0" wp14:anchorId="63578369" wp14:editId="2F5940D7">
                                <wp:extent cx="636105" cy="23031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26852" name=""/>
                                        <pic:cNvPicPr/>
                                      </pic:nvPicPr>
                                      <pic:blipFill>
                                        <a:blip r:embed="rId29"/>
                                        <a:stretch>
                                          <a:fillRect/>
                                        </a:stretch>
                                      </pic:blipFill>
                                      <pic:spPr>
                                        <a:xfrm>
                                          <a:off x="0" y="0"/>
                                          <a:ext cx="660844" cy="239271"/>
                                        </a:xfrm>
                                        <a:prstGeom prst="rect">
                                          <a:avLst/>
                                        </a:prstGeom>
                                      </pic:spPr>
                                    </pic:pic>
                                  </a:graphicData>
                                </a:graphic>
                              </wp:inline>
                            </w:drawing>
                          </w:r>
                          <w:r w:rsidRPr="00F721B9">
                            <w:rPr>
                              <w:sz w:val="16"/>
                              <w:szCs w:val="14"/>
                              <w:lang w:val="sv-SE"/>
                            </w:rPr>
                            <w:t xml:space="preserve">  UPA 5 mg </w:t>
                          </w:r>
                          <w:r>
                            <w:rPr>
                              <w:sz w:val="16"/>
                              <w:szCs w:val="14"/>
                              <w:lang w:val="sv-SE"/>
                            </w:rPr>
                            <w:t>jedanput na dan (N = 169)</w:t>
                          </w:r>
                          <w:r w:rsidRPr="00F721B9">
                            <w:rPr>
                              <w:sz w:val="16"/>
                              <w:szCs w:val="14"/>
                              <w:lang w:val="sv-SE"/>
                            </w:rPr>
                            <w:t xml:space="preserve"> </w:t>
                          </w:r>
                          <w:r w:rsidRPr="00F721B9">
                            <w:rPr>
                              <w:noProof/>
                              <w:sz w:val="16"/>
                              <w:szCs w:val="14"/>
                              <w:lang w:val="en-US"/>
                            </w:rPr>
                            <w:drawing>
                              <wp:inline distT="0" distB="0" distL="0" distR="0" wp14:anchorId="0E194EF3" wp14:editId="7BF687C1">
                                <wp:extent cx="627316" cy="191714"/>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3512" name=""/>
                                        <pic:cNvPicPr/>
                                      </pic:nvPicPr>
                                      <pic:blipFill>
                                        <a:blip r:embed="rId30"/>
                                        <a:stretch>
                                          <a:fillRect/>
                                        </a:stretch>
                                      </pic:blipFill>
                                      <pic:spPr>
                                        <a:xfrm>
                                          <a:off x="0" y="0"/>
                                          <a:ext cx="636818" cy="194618"/>
                                        </a:xfrm>
                                        <a:prstGeom prst="rect">
                                          <a:avLst/>
                                        </a:prstGeom>
                                      </pic:spPr>
                                    </pic:pic>
                                  </a:graphicData>
                                </a:graphic>
                              </wp:inline>
                            </w:drawing>
                          </w:r>
                          <w:r w:rsidRPr="00F721B9">
                            <w:rPr>
                              <w:sz w:val="16"/>
                              <w:szCs w:val="14"/>
                              <w:lang w:val="sv-SE"/>
                            </w:rPr>
                            <w:t xml:space="preserve">  UPA 30 mg </w:t>
                          </w:r>
                          <w:r>
                            <w:rPr>
                              <w:sz w:val="16"/>
                              <w:szCs w:val="14"/>
                              <w:lang w:val="sv-SE"/>
                            </w:rPr>
                            <w:t>jedanput na dan</w:t>
                          </w:r>
                          <w:r w:rsidRPr="00F721B9">
                            <w:rPr>
                              <w:sz w:val="16"/>
                              <w:szCs w:val="14"/>
                              <w:lang w:val="sv-SE"/>
                            </w:rPr>
                            <w:t xml:space="preserve"> (N</w:t>
                          </w:r>
                          <w:r>
                            <w:rPr>
                              <w:sz w:val="16"/>
                              <w:szCs w:val="14"/>
                              <w:lang w:val="sv-SE"/>
                            </w:rPr>
                            <w:t> </w:t>
                          </w:r>
                          <w:r w:rsidRPr="00F721B9">
                            <w:rPr>
                              <w:sz w:val="16"/>
                              <w:szCs w:val="14"/>
                              <w:lang w:val="sv-SE"/>
                            </w:rPr>
                            <w:t>=</w:t>
                          </w:r>
                          <w:r>
                            <w:rPr>
                              <w:sz w:val="16"/>
                              <w:szCs w:val="14"/>
                              <w:lang w:val="sv-SE"/>
                            </w:rPr>
                            <w:t> 168</w:t>
                          </w:r>
                          <w:r w:rsidRPr="00F721B9">
                            <w:rPr>
                              <w:sz w:val="16"/>
                              <w:szCs w:val="14"/>
                              <w:lang w:val="sv-SE"/>
                            </w:rPr>
                            <w:t>)</w:t>
                          </w:r>
                        </w:p>
                      </w:txbxContent>
                    </v:textbox>
                  </v:shape>
                </v:group>
                <v:shape id="Picture 1618184578" o:spid="_x0000_s1042" type="#_x0000_t75" style="position:absolute;left:4312;top:1561;width:52412;height:18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">
                  <v:imagedata r:id="rId35" o:title=""/>
                  <v:path arrowok="t"/>
                </v:shape>
                <w10:wrap type="square"/>
              </v:group>
            </w:pict>
          </mc:Fallback>
        </mc:AlternateContent>
      </w:r>
    </w:p>
    <w:p w14:paraId="7F4D5386" w14:textId="77777777" w:rsidR="00366107" w:rsidRPr="00B74B0F" w:rsidRDefault="00366107" w:rsidP="00A30C3C">
      <w:pPr>
        <w:tabs>
          <w:tab w:val="clear" w:pos="567"/>
        </w:tabs>
        <w:spacing w:line="240" w:lineRule="auto"/>
        <w:jc w:val="both"/>
        <w:rPr>
          <w:b/>
          <w:bCs/>
          <w:szCs w:val="22"/>
          <w:lang w:val="sr-Latn-ME"/>
        </w:rPr>
      </w:pPr>
    </w:p>
    <w:p w14:paraId="548A2840" w14:textId="727B082F" w:rsidR="00366107" w:rsidRPr="00B74B0F" w:rsidRDefault="00366107" w:rsidP="00A30C3C">
      <w:pPr>
        <w:tabs>
          <w:tab w:val="clear" w:pos="567"/>
        </w:tabs>
        <w:spacing w:line="240" w:lineRule="auto"/>
        <w:jc w:val="both"/>
        <w:rPr>
          <w:szCs w:val="22"/>
          <w:lang w:val="sr-Latn-ME"/>
        </w:rPr>
      </w:pPr>
      <w:r w:rsidRPr="00B74B0F">
        <w:rPr>
          <w:szCs w:val="22"/>
          <w:lang w:val="sr-Latn-ME"/>
        </w:rPr>
        <w:t xml:space="preserve">Kod </w:t>
      </w:r>
      <w:r w:rsidR="0004528B" w:rsidRPr="00B74B0F">
        <w:rPr>
          <w:szCs w:val="22"/>
          <w:lang w:val="sr-Latn-ME"/>
        </w:rPr>
        <w:t>pacijenata</w:t>
      </w:r>
      <w:r w:rsidRPr="00B74B0F">
        <w:rPr>
          <w:szCs w:val="22"/>
          <w:lang w:val="sr-Latn-ME"/>
        </w:rPr>
        <w:t xml:space="preserve"> koji su primali upadacitinib 30 mg, u 52. sedmici je u poređenju s</w:t>
      </w:r>
      <w:r w:rsidR="00C904DA" w:rsidRPr="00B74B0F">
        <w:rPr>
          <w:szCs w:val="22"/>
          <w:lang w:val="sr-Latn-ME"/>
        </w:rPr>
        <w:t>a</w:t>
      </w:r>
      <w:r w:rsidRPr="00B74B0F">
        <w:rPr>
          <w:szCs w:val="22"/>
          <w:lang w:val="sr-Latn-ME"/>
        </w:rPr>
        <w:t xml:space="preserve"> placebom zabilježeno značajno veće poboljšanje u procjeni umora mjereno s FACIT-F u odnosu na početak ispitivanja.</w:t>
      </w:r>
    </w:p>
    <w:p w14:paraId="533700BB" w14:textId="77777777" w:rsidR="00366107" w:rsidRPr="00B74B0F" w:rsidRDefault="00366107" w:rsidP="00A30C3C">
      <w:pPr>
        <w:tabs>
          <w:tab w:val="clear" w:pos="567"/>
        </w:tabs>
        <w:spacing w:line="240" w:lineRule="auto"/>
        <w:jc w:val="both"/>
        <w:rPr>
          <w:szCs w:val="22"/>
          <w:lang w:val="sr-Latn-ME"/>
        </w:rPr>
      </w:pPr>
    </w:p>
    <w:p w14:paraId="0023EBD7" w14:textId="3507DEC3" w:rsidR="00366107" w:rsidRPr="00B74B0F" w:rsidRDefault="00366107" w:rsidP="00A30C3C">
      <w:pPr>
        <w:keepNext/>
        <w:spacing w:line="240" w:lineRule="auto"/>
        <w:jc w:val="both"/>
        <w:rPr>
          <w:b/>
          <w:szCs w:val="22"/>
          <w:lang w:val="sr-Latn-ME"/>
        </w:rPr>
      </w:pPr>
      <w:r w:rsidRPr="00B74B0F">
        <w:rPr>
          <w:b/>
          <w:bCs/>
          <w:szCs w:val="22"/>
          <w:lang w:val="sr-Latn-ME"/>
        </w:rPr>
        <w:lastRenderedPageBreak/>
        <w:t>Tabela 17</w:t>
      </w:r>
      <w:r w:rsidR="00C61CEA">
        <w:rPr>
          <w:b/>
          <w:bCs/>
          <w:szCs w:val="22"/>
          <w:lang w:val="sr-Latn-ME"/>
        </w:rPr>
        <w:t>:</w:t>
      </w:r>
      <w:r w:rsidRPr="00B74B0F">
        <w:rPr>
          <w:b/>
          <w:bCs/>
          <w:szCs w:val="22"/>
          <w:lang w:val="sr-Latn-ME"/>
        </w:rPr>
        <w:t xml:space="preserve"> Udio </w:t>
      </w:r>
      <w:r w:rsidR="00C979A0" w:rsidRPr="00B74B0F">
        <w:rPr>
          <w:b/>
          <w:bCs/>
          <w:szCs w:val="22"/>
          <w:lang w:val="sr-Latn-ME"/>
        </w:rPr>
        <w:t xml:space="preserve">pacijenata </w:t>
      </w:r>
      <w:r w:rsidRPr="00B74B0F">
        <w:rPr>
          <w:b/>
          <w:bCs/>
          <w:szCs w:val="22"/>
          <w:lang w:val="sr-Latn-ME"/>
        </w:rPr>
        <w:t>koji su u ispitivanju terapije održavanja CD</w:t>
      </w:r>
      <w:r w:rsidRPr="00B74B0F">
        <w:rPr>
          <w:b/>
          <w:bCs/>
          <w:szCs w:val="22"/>
          <w:lang w:val="sr-Latn-ME"/>
        </w:rPr>
        <w:noBreakHyphen/>
        <w:t xml:space="preserve">3 postigli primarne i dodatne </w:t>
      </w:r>
      <w:r w:rsidR="00C904DA" w:rsidRPr="00B74B0F">
        <w:rPr>
          <w:b/>
          <w:bCs/>
          <w:szCs w:val="22"/>
          <w:lang w:val="sr-Latn-ME"/>
        </w:rPr>
        <w:t xml:space="preserve">parametre praćenja </w:t>
      </w:r>
      <w:r w:rsidRPr="00B74B0F">
        <w:rPr>
          <w:b/>
          <w:bCs/>
          <w:szCs w:val="22"/>
          <w:lang w:val="sr-Latn-ME"/>
        </w:rPr>
        <w:t>efikasnosti u 52. sedmici</w:t>
      </w:r>
    </w:p>
    <w:p w14:paraId="7D1B4BC7" w14:textId="77777777" w:rsidR="00366107" w:rsidRPr="00B74B0F" w:rsidRDefault="00366107" w:rsidP="00A30C3C">
      <w:pPr>
        <w:keepNext/>
        <w:spacing w:line="240" w:lineRule="auto"/>
        <w:jc w:val="both"/>
        <w:rPr>
          <w:szCs w:val="22"/>
          <w:u w:val="single"/>
          <w:lang w:val="sr-Latn-ME"/>
        </w:rPr>
      </w:pPr>
    </w:p>
    <w:tbl>
      <w:tblPr>
        <w:tblW w:w="496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3"/>
        <w:gridCol w:w="1079"/>
        <w:gridCol w:w="1081"/>
        <w:gridCol w:w="1077"/>
        <w:gridCol w:w="1441"/>
        <w:gridCol w:w="1351"/>
      </w:tblGrid>
      <w:tr w:rsidR="00366107" w:rsidRPr="00B74B0F" w14:paraId="263BE8F9" w14:textId="77777777" w:rsidTr="0069063B">
        <w:tc>
          <w:tcPr>
            <w:tcW w:w="1648" w:type="pct"/>
            <w:tcBorders>
              <w:top w:val="single" w:sz="6" w:space="0" w:color="000000"/>
              <w:left w:val="single" w:sz="6" w:space="0" w:color="000000"/>
              <w:bottom w:val="single" w:sz="6" w:space="0" w:color="000000"/>
              <w:right w:val="single" w:sz="6" w:space="0" w:color="000000"/>
            </w:tcBorders>
            <w:hideMark/>
          </w:tcPr>
          <w:p w14:paraId="1B3705BC" w14:textId="77777777" w:rsidR="00366107" w:rsidRPr="00B74B0F" w:rsidRDefault="00366107" w:rsidP="00A30C3C">
            <w:pPr>
              <w:keepNext/>
              <w:spacing w:line="240" w:lineRule="auto"/>
              <w:jc w:val="both"/>
              <w:rPr>
                <w:b/>
                <w:bCs/>
                <w:szCs w:val="22"/>
                <w:lang w:val="sr-Latn-ME"/>
              </w:rPr>
            </w:pPr>
            <w:r w:rsidRPr="00B74B0F">
              <w:rPr>
                <w:b/>
                <w:bCs/>
                <w:szCs w:val="22"/>
                <w:lang w:val="sr-Latn-ME"/>
              </w:rPr>
              <w:t>Liječena grupa</w:t>
            </w:r>
          </w:p>
        </w:tc>
        <w:tc>
          <w:tcPr>
            <w:tcW w:w="600" w:type="pct"/>
            <w:tcBorders>
              <w:top w:val="single" w:sz="6" w:space="0" w:color="000000"/>
              <w:left w:val="single" w:sz="6" w:space="0" w:color="000000"/>
              <w:bottom w:val="single" w:sz="6" w:space="0" w:color="000000"/>
              <w:right w:val="single" w:sz="6" w:space="0" w:color="000000"/>
            </w:tcBorders>
            <w:hideMark/>
          </w:tcPr>
          <w:p w14:paraId="28E3C980" w14:textId="77777777" w:rsidR="00366107" w:rsidRPr="00B74B0F" w:rsidRDefault="00366107">
            <w:pPr>
              <w:keepNext/>
              <w:spacing w:line="240" w:lineRule="auto"/>
              <w:jc w:val="center"/>
              <w:rPr>
                <w:b/>
                <w:szCs w:val="22"/>
                <w:lang w:val="sr-Latn-ME"/>
              </w:rPr>
            </w:pPr>
            <w:r w:rsidRPr="00B74B0F">
              <w:rPr>
                <w:b/>
                <w:szCs w:val="22"/>
                <w:lang w:val="sr-Latn-ME"/>
              </w:rPr>
              <w:t>PBO</w:t>
            </w:r>
            <w:r w:rsidRPr="00B74B0F">
              <w:rPr>
                <w:b/>
                <w:szCs w:val="22"/>
                <w:vertAlign w:val="superscript"/>
                <w:lang w:val="sr-Latn-ME"/>
              </w:rPr>
              <w:t>+</w:t>
            </w:r>
            <w:r w:rsidRPr="00B74B0F">
              <w:rPr>
                <w:b/>
                <w:szCs w:val="22"/>
                <w:lang w:val="sr-Latn-ME"/>
              </w:rPr>
              <w:br/>
              <w:t>N = 165</w:t>
            </w:r>
          </w:p>
          <w:p w14:paraId="45B602ED" w14:textId="77777777" w:rsidR="00366107" w:rsidRPr="00B74B0F" w:rsidRDefault="00366107">
            <w:pPr>
              <w:keepNext/>
              <w:spacing w:line="240" w:lineRule="auto"/>
              <w:jc w:val="center"/>
              <w:rPr>
                <w:szCs w:val="22"/>
                <w:lang w:val="sr-Latn-ME"/>
              </w:rPr>
            </w:pPr>
          </w:p>
        </w:tc>
        <w:tc>
          <w:tcPr>
            <w:tcW w:w="601" w:type="pct"/>
            <w:tcBorders>
              <w:top w:val="single" w:sz="6" w:space="0" w:color="000000"/>
              <w:left w:val="single" w:sz="6" w:space="0" w:color="000000"/>
              <w:bottom w:val="single" w:sz="6" w:space="0" w:color="000000"/>
              <w:right w:val="single" w:sz="6" w:space="0" w:color="000000"/>
            </w:tcBorders>
            <w:hideMark/>
          </w:tcPr>
          <w:p w14:paraId="729B0640" w14:textId="77777777" w:rsidR="00366107" w:rsidRPr="00B74B0F" w:rsidRDefault="00366107">
            <w:pPr>
              <w:keepNext/>
              <w:spacing w:line="240" w:lineRule="auto"/>
              <w:jc w:val="center"/>
              <w:rPr>
                <w:b/>
                <w:szCs w:val="22"/>
                <w:lang w:val="sr-Latn-ME"/>
              </w:rPr>
            </w:pPr>
            <w:r w:rsidRPr="00B74B0F">
              <w:rPr>
                <w:b/>
                <w:szCs w:val="22"/>
                <w:lang w:val="sr-Latn-ME"/>
              </w:rPr>
              <w:t>UPA</w:t>
            </w:r>
            <w:r w:rsidRPr="00B74B0F">
              <w:rPr>
                <w:b/>
                <w:szCs w:val="22"/>
                <w:lang w:val="sr-Latn-ME"/>
              </w:rPr>
              <w:br/>
              <w:t>15 mg</w:t>
            </w:r>
            <w:r w:rsidRPr="00B74B0F">
              <w:rPr>
                <w:b/>
                <w:szCs w:val="22"/>
                <w:lang w:val="sr-Latn-ME"/>
              </w:rPr>
              <w:br/>
              <w:t>N = 169</w:t>
            </w:r>
          </w:p>
          <w:p w14:paraId="404BC261" w14:textId="77777777" w:rsidR="00366107" w:rsidRPr="00B74B0F" w:rsidRDefault="00366107">
            <w:pPr>
              <w:keepNext/>
              <w:spacing w:line="240" w:lineRule="auto"/>
              <w:jc w:val="center"/>
              <w:rPr>
                <w:szCs w:val="22"/>
                <w:lang w:val="sr-Latn-ME"/>
              </w:rPr>
            </w:pPr>
          </w:p>
        </w:tc>
        <w:tc>
          <w:tcPr>
            <w:tcW w:w="599" w:type="pct"/>
            <w:tcBorders>
              <w:top w:val="single" w:sz="6" w:space="0" w:color="000000"/>
              <w:left w:val="single" w:sz="6" w:space="0" w:color="000000"/>
              <w:bottom w:val="single" w:sz="6" w:space="0" w:color="000000"/>
              <w:right w:val="single" w:sz="6" w:space="0" w:color="000000"/>
            </w:tcBorders>
            <w:hideMark/>
          </w:tcPr>
          <w:p w14:paraId="356CEA44" w14:textId="77777777" w:rsidR="00366107" w:rsidRPr="00B74B0F" w:rsidRDefault="00366107">
            <w:pPr>
              <w:keepNext/>
              <w:spacing w:line="240" w:lineRule="auto"/>
              <w:jc w:val="center"/>
              <w:rPr>
                <w:b/>
                <w:szCs w:val="22"/>
                <w:lang w:val="sr-Latn-ME"/>
              </w:rPr>
            </w:pPr>
            <w:r w:rsidRPr="00B74B0F">
              <w:rPr>
                <w:b/>
                <w:szCs w:val="22"/>
                <w:lang w:val="sr-Latn-ME"/>
              </w:rPr>
              <w:t>UPA</w:t>
            </w:r>
            <w:r w:rsidRPr="00B74B0F">
              <w:rPr>
                <w:b/>
                <w:szCs w:val="22"/>
                <w:lang w:val="sr-Latn-ME"/>
              </w:rPr>
              <w:br/>
              <w:t>30 mg</w:t>
            </w:r>
            <w:r w:rsidRPr="00B74B0F">
              <w:rPr>
                <w:b/>
                <w:szCs w:val="22"/>
                <w:lang w:val="sr-Latn-ME"/>
              </w:rPr>
              <w:br/>
              <w:t>N = 168</w:t>
            </w:r>
          </w:p>
          <w:p w14:paraId="2E64032D" w14:textId="77777777" w:rsidR="00366107" w:rsidRPr="00B74B0F" w:rsidRDefault="00366107">
            <w:pPr>
              <w:keepNext/>
              <w:spacing w:line="240" w:lineRule="auto"/>
              <w:jc w:val="center"/>
              <w:rPr>
                <w:szCs w:val="22"/>
                <w:lang w:val="sr-Latn-ME"/>
              </w:rPr>
            </w:pPr>
          </w:p>
        </w:tc>
        <w:tc>
          <w:tcPr>
            <w:tcW w:w="801" w:type="pct"/>
            <w:tcBorders>
              <w:top w:val="single" w:sz="6" w:space="0" w:color="000000"/>
              <w:left w:val="single" w:sz="6" w:space="0" w:color="000000"/>
              <w:bottom w:val="single" w:sz="6" w:space="0" w:color="000000"/>
              <w:right w:val="single" w:sz="6" w:space="0" w:color="000000"/>
            </w:tcBorders>
            <w:hideMark/>
          </w:tcPr>
          <w:p w14:paraId="4DDAB255" w14:textId="77777777" w:rsidR="00366107" w:rsidRPr="00B74B0F" w:rsidRDefault="00366107">
            <w:pPr>
              <w:keepNext/>
              <w:spacing w:line="240" w:lineRule="auto"/>
              <w:jc w:val="center"/>
              <w:rPr>
                <w:szCs w:val="22"/>
                <w:lang w:val="sr-Latn-ME"/>
              </w:rPr>
            </w:pPr>
            <w:r w:rsidRPr="00B74B0F">
              <w:rPr>
                <w:b/>
                <w:szCs w:val="22"/>
                <w:lang w:val="sr-Latn-ME"/>
              </w:rPr>
              <w:t>Razlika u liječenju</w:t>
            </w:r>
            <w:r w:rsidRPr="00B74B0F">
              <w:rPr>
                <w:b/>
                <w:szCs w:val="22"/>
                <w:lang w:val="sr-Latn-ME"/>
              </w:rPr>
              <w:br/>
              <w:t xml:space="preserve">15 mg u odnosu na </w:t>
            </w:r>
            <w:r w:rsidRPr="00B74B0F">
              <w:rPr>
                <w:b/>
                <w:szCs w:val="22"/>
                <w:lang w:val="sr-Latn-ME"/>
              </w:rPr>
              <w:br/>
              <w:t>PBO</w:t>
            </w:r>
            <w:r w:rsidRPr="00B74B0F">
              <w:rPr>
                <w:b/>
                <w:szCs w:val="22"/>
                <w:lang w:val="sr-Latn-ME"/>
              </w:rPr>
              <w:br/>
              <w:t>(95% CI)</w:t>
            </w:r>
          </w:p>
        </w:tc>
        <w:tc>
          <w:tcPr>
            <w:tcW w:w="751" w:type="pct"/>
            <w:tcBorders>
              <w:top w:val="single" w:sz="6" w:space="0" w:color="000000"/>
              <w:left w:val="single" w:sz="6" w:space="0" w:color="000000"/>
              <w:bottom w:val="single" w:sz="6" w:space="0" w:color="000000"/>
              <w:right w:val="single" w:sz="6" w:space="0" w:color="000000"/>
            </w:tcBorders>
            <w:hideMark/>
          </w:tcPr>
          <w:p w14:paraId="59F850AD" w14:textId="77777777" w:rsidR="00366107" w:rsidRPr="00B74B0F" w:rsidRDefault="00366107">
            <w:pPr>
              <w:keepNext/>
              <w:spacing w:line="240" w:lineRule="auto"/>
              <w:jc w:val="center"/>
              <w:rPr>
                <w:szCs w:val="22"/>
                <w:lang w:val="sr-Latn-ME"/>
              </w:rPr>
            </w:pPr>
            <w:r w:rsidRPr="00B74B0F">
              <w:rPr>
                <w:b/>
                <w:szCs w:val="22"/>
                <w:lang w:val="sr-Latn-ME"/>
              </w:rPr>
              <w:t>Razlika u liječenju</w:t>
            </w:r>
            <w:r w:rsidRPr="00B74B0F">
              <w:rPr>
                <w:b/>
                <w:szCs w:val="22"/>
                <w:lang w:val="sr-Latn-ME"/>
              </w:rPr>
              <w:br/>
              <w:t>30 mg u odnosu na</w:t>
            </w:r>
            <w:r w:rsidRPr="00B74B0F">
              <w:rPr>
                <w:b/>
                <w:szCs w:val="22"/>
                <w:lang w:val="sr-Latn-ME"/>
              </w:rPr>
              <w:br/>
              <w:t>PBO</w:t>
            </w:r>
            <w:r w:rsidRPr="00B74B0F">
              <w:rPr>
                <w:b/>
                <w:szCs w:val="22"/>
                <w:lang w:val="sr-Latn-ME"/>
              </w:rPr>
              <w:br/>
              <w:t>(95% CI)</w:t>
            </w:r>
          </w:p>
        </w:tc>
      </w:tr>
      <w:tr w:rsidR="00366107" w:rsidRPr="00B74B0F" w14:paraId="40BCFA62" w14:textId="77777777" w:rsidTr="0069063B">
        <w:tc>
          <w:tcPr>
            <w:tcW w:w="5000" w:type="pct"/>
            <w:gridSpan w:val="6"/>
            <w:tcBorders>
              <w:top w:val="single" w:sz="6" w:space="0" w:color="000000"/>
              <w:left w:val="single" w:sz="6" w:space="0" w:color="000000"/>
              <w:bottom w:val="single" w:sz="6" w:space="0" w:color="000000"/>
              <w:right w:val="single" w:sz="6" w:space="0" w:color="000000"/>
            </w:tcBorders>
          </w:tcPr>
          <w:p w14:paraId="6365500D" w14:textId="19C591F5" w:rsidR="00366107" w:rsidRPr="00B74B0F" w:rsidRDefault="00366107">
            <w:pPr>
              <w:keepNext/>
              <w:spacing w:line="240" w:lineRule="auto"/>
              <w:jc w:val="center"/>
              <w:rPr>
                <w:b/>
                <w:bCs/>
                <w:szCs w:val="22"/>
                <w:lang w:val="sr-Latn-ME"/>
              </w:rPr>
            </w:pPr>
            <w:r w:rsidRPr="00B74B0F">
              <w:rPr>
                <w:b/>
                <w:bCs/>
                <w:szCs w:val="22"/>
                <w:lang w:val="sr-Latn-ME"/>
              </w:rPr>
              <w:t>Koprimarn</w:t>
            </w:r>
            <w:r w:rsidR="00C904DA" w:rsidRPr="00B74B0F">
              <w:rPr>
                <w:b/>
                <w:bCs/>
                <w:szCs w:val="22"/>
                <w:lang w:val="sr-Latn-ME"/>
              </w:rPr>
              <w:t>i parametri praćenja</w:t>
            </w:r>
          </w:p>
        </w:tc>
      </w:tr>
      <w:tr w:rsidR="00366107" w:rsidRPr="00B74B0F" w14:paraId="23336C47"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hideMark/>
          </w:tcPr>
          <w:p w14:paraId="2CDE5E84" w14:textId="77777777" w:rsidR="00366107" w:rsidRPr="00B74B0F" w:rsidRDefault="00366107" w:rsidP="00A30C3C">
            <w:pPr>
              <w:keepNext/>
              <w:spacing w:line="240" w:lineRule="auto"/>
              <w:jc w:val="both"/>
              <w:rPr>
                <w:b/>
                <w:bCs/>
                <w:szCs w:val="22"/>
                <w:lang w:val="sr-Latn-ME"/>
              </w:rPr>
            </w:pPr>
            <w:r w:rsidRPr="00B74B0F">
              <w:rPr>
                <w:b/>
                <w:szCs w:val="22"/>
                <w:lang w:val="sr-Latn-ME"/>
              </w:rPr>
              <w:t>Klinička remisija</w:t>
            </w:r>
            <w:r w:rsidRPr="00B74B0F">
              <w:rPr>
                <w:b/>
                <w:szCs w:val="22"/>
                <w:vertAlign w:val="superscript"/>
                <w:lang w:val="sr-Latn-ME"/>
              </w:rPr>
              <w:t>a</w:t>
            </w:r>
          </w:p>
        </w:tc>
        <w:tc>
          <w:tcPr>
            <w:tcW w:w="600" w:type="pct"/>
            <w:tcBorders>
              <w:top w:val="single" w:sz="6" w:space="0" w:color="000000"/>
              <w:left w:val="single" w:sz="6" w:space="0" w:color="000000"/>
              <w:bottom w:val="single" w:sz="6" w:space="0" w:color="000000"/>
              <w:right w:val="single" w:sz="6" w:space="0" w:color="000000"/>
            </w:tcBorders>
            <w:vAlign w:val="center"/>
          </w:tcPr>
          <w:p w14:paraId="69DCAA6B" w14:textId="77777777" w:rsidR="00366107" w:rsidRPr="00B74B0F" w:rsidRDefault="00366107">
            <w:pPr>
              <w:keepNext/>
              <w:spacing w:line="240" w:lineRule="auto"/>
              <w:jc w:val="center"/>
              <w:rPr>
                <w:szCs w:val="22"/>
                <w:lang w:val="sr-Latn-ME"/>
              </w:rPr>
            </w:pPr>
            <w:r w:rsidRPr="00B74B0F">
              <w:rPr>
                <w:szCs w:val="22"/>
                <w:lang w:val="sr-Latn-ME"/>
              </w:rPr>
              <w:t>14%</w:t>
            </w:r>
          </w:p>
        </w:tc>
        <w:tc>
          <w:tcPr>
            <w:tcW w:w="601" w:type="pct"/>
            <w:tcBorders>
              <w:top w:val="single" w:sz="6" w:space="0" w:color="000000"/>
              <w:left w:val="single" w:sz="6" w:space="0" w:color="000000"/>
              <w:bottom w:val="single" w:sz="6" w:space="0" w:color="000000"/>
              <w:right w:val="single" w:sz="6" w:space="0" w:color="000000"/>
            </w:tcBorders>
            <w:vAlign w:val="center"/>
          </w:tcPr>
          <w:p w14:paraId="5182BB1D" w14:textId="77777777" w:rsidR="00366107" w:rsidRPr="00B74B0F" w:rsidRDefault="00366107">
            <w:pPr>
              <w:keepNext/>
              <w:spacing w:line="240" w:lineRule="auto"/>
              <w:jc w:val="center"/>
              <w:rPr>
                <w:szCs w:val="22"/>
                <w:lang w:val="sr-Latn-ME"/>
              </w:rPr>
            </w:pPr>
            <w:r w:rsidRPr="00B74B0F">
              <w:rPr>
                <w:szCs w:val="22"/>
                <w:lang w:val="sr-Latn-ME"/>
              </w:rPr>
              <w:t>36%</w:t>
            </w:r>
          </w:p>
        </w:tc>
        <w:tc>
          <w:tcPr>
            <w:tcW w:w="599" w:type="pct"/>
            <w:tcBorders>
              <w:top w:val="single" w:sz="6" w:space="0" w:color="000000"/>
              <w:left w:val="single" w:sz="6" w:space="0" w:color="000000"/>
              <w:bottom w:val="single" w:sz="6" w:space="0" w:color="000000"/>
              <w:right w:val="single" w:sz="6" w:space="0" w:color="000000"/>
            </w:tcBorders>
            <w:vAlign w:val="center"/>
          </w:tcPr>
          <w:p w14:paraId="1F51251F" w14:textId="77777777" w:rsidR="00366107" w:rsidRPr="00B74B0F" w:rsidRDefault="00366107">
            <w:pPr>
              <w:keepNext/>
              <w:spacing w:line="240" w:lineRule="auto"/>
              <w:jc w:val="center"/>
              <w:rPr>
                <w:szCs w:val="22"/>
                <w:lang w:val="sr-Latn-ME"/>
              </w:rPr>
            </w:pPr>
            <w:r w:rsidRPr="00B74B0F">
              <w:rPr>
                <w:szCs w:val="22"/>
                <w:lang w:val="sr-Latn-ME"/>
              </w:rPr>
              <w:t>46%</w:t>
            </w:r>
          </w:p>
        </w:tc>
        <w:tc>
          <w:tcPr>
            <w:tcW w:w="801" w:type="pct"/>
            <w:tcBorders>
              <w:top w:val="single" w:sz="6" w:space="0" w:color="000000"/>
              <w:left w:val="single" w:sz="6" w:space="0" w:color="000000"/>
              <w:bottom w:val="single" w:sz="6" w:space="0" w:color="000000"/>
              <w:right w:val="single" w:sz="6" w:space="0" w:color="000000"/>
            </w:tcBorders>
            <w:vAlign w:val="center"/>
          </w:tcPr>
          <w:p w14:paraId="0709EB16" w14:textId="77777777" w:rsidR="00366107" w:rsidRPr="00B74B0F" w:rsidRDefault="00366107">
            <w:pPr>
              <w:keepNext/>
              <w:spacing w:line="240" w:lineRule="auto"/>
              <w:jc w:val="center"/>
              <w:rPr>
                <w:szCs w:val="22"/>
                <w:lang w:val="sr-Latn-ME"/>
              </w:rPr>
            </w:pPr>
            <w:r w:rsidRPr="00B74B0F">
              <w:rPr>
                <w:szCs w:val="22"/>
                <w:lang w:val="sr-Latn-ME"/>
              </w:rPr>
              <w:t>22%</w:t>
            </w:r>
          </w:p>
          <w:p w14:paraId="228C4FC9" w14:textId="77777777" w:rsidR="00366107" w:rsidRPr="00B74B0F" w:rsidRDefault="00366107">
            <w:pPr>
              <w:keepNext/>
              <w:spacing w:line="240" w:lineRule="auto"/>
              <w:jc w:val="center"/>
              <w:rPr>
                <w:szCs w:val="22"/>
                <w:lang w:val="sr-Latn-ME"/>
              </w:rPr>
            </w:pPr>
            <w:r w:rsidRPr="00B74B0F">
              <w:rPr>
                <w:szCs w:val="22"/>
                <w:lang w:val="sr-Latn-ME"/>
              </w:rPr>
              <w:t>(14; 30)</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7BDD8C9C" w14:textId="77777777" w:rsidR="00366107" w:rsidRPr="00B74B0F" w:rsidRDefault="00366107">
            <w:pPr>
              <w:keepNext/>
              <w:spacing w:line="240" w:lineRule="auto"/>
              <w:jc w:val="center"/>
              <w:rPr>
                <w:szCs w:val="22"/>
                <w:lang w:val="sr-Latn-ME"/>
              </w:rPr>
            </w:pPr>
            <w:r w:rsidRPr="00B74B0F">
              <w:rPr>
                <w:szCs w:val="22"/>
                <w:lang w:val="sr-Latn-ME"/>
              </w:rPr>
              <w:t>32%</w:t>
            </w:r>
          </w:p>
          <w:p w14:paraId="7D683E85" w14:textId="77777777" w:rsidR="00366107" w:rsidRPr="00B74B0F" w:rsidRDefault="00366107">
            <w:pPr>
              <w:keepNext/>
              <w:spacing w:line="240" w:lineRule="auto"/>
              <w:jc w:val="center"/>
              <w:rPr>
                <w:szCs w:val="22"/>
                <w:lang w:val="sr-Latn-ME"/>
              </w:rPr>
            </w:pPr>
            <w:r w:rsidRPr="00B74B0F">
              <w:rPr>
                <w:szCs w:val="22"/>
                <w:lang w:val="sr-Latn-ME"/>
              </w:rPr>
              <w:t>(23; 40)</w:t>
            </w:r>
            <w:r w:rsidRPr="00B74B0F">
              <w:rPr>
                <w:szCs w:val="22"/>
                <w:vertAlign w:val="superscript"/>
                <w:lang w:val="sr-Latn-ME"/>
              </w:rPr>
              <w:t>*</w:t>
            </w:r>
          </w:p>
        </w:tc>
      </w:tr>
      <w:tr w:rsidR="00366107" w:rsidRPr="00B74B0F" w14:paraId="6D12F81E" w14:textId="77777777" w:rsidTr="0069063B">
        <w:tc>
          <w:tcPr>
            <w:tcW w:w="1648" w:type="pct"/>
            <w:tcBorders>
              <w:top w:val="single" w:sz="6" w:space="0" w:color="000000"/>
              <w:left w:val="single" w:sz="6" w:space="0" w:color="000000"/>
              <w:bottom w:val="single" w:sz="6" w:space="0" w:color="000000"/>
              <w:right w:val="single" w:sz="6" w:space="0" w:color="000000"/>
            </w:tcBorders>
            <w:hideMark/>
          </w:tcPr>
          <w:p w14:paraId="06CDB24B" w14:textId="77777777" w:rsidR="00366107" w:rsidRPr="00B74B0F" w:rsidRDefault="00366107" w:rsidP="00A30C3C">
            <w:pPr>
              <w:keepNext/>
              <w:autoSpaceDE w:val="0"/>
              <w:autoSpaceDN w:val="0"/>
              <w:adjustRightInd w:val="0"/>
              <w:spacing w:line="240" w:lineRule="auto"/>
              <w:jc w:val="both"/>
              <w:rPr>
                <w:b/>
                <w:szCs w:val="22"/>
                <w:lang w:val="sr-Latn-ME"/>
              </w:rPr>
            </w:pPr>
            <w:r w:rsidRPr="00B74B0F">
              <w:rPr>
                <w:bCs/>
                <w:szCs w:val="22"/>
                <w:lang w:val="sr-Latn-ME"/>
              </w:rPr>
              <w:t>Prethodni biološki neuspjeh</w:t>
            </w:r>
          </w:p>
        </w:tc>
        <w:tc>
          <w:tcPr>
            <w:tcW w:w="600" w:type="pct"/>
            <w:tcBorders>
              <w:top w:val="single" w:sz="6" w:space="0" w:color="000000"/>
              <w:left w:val="single" w:sz="6" w:space="0" w:color="000000"/>
              <w:bottom w:val="single" w:sz="6" w:space="0" w:color="000000"/>
              <w:right w:val="single" w:sz="6" w:space="0" w:color="000000"/>
            </w:tcBorders>
            <w:vAlign w:val="center"/>
          </w:tcPr>
          <w:p w14:paraId="1C3D9A33" w14:textId="77777777" w:rsidR="00366107" w:rsidRPr="00B74B0F" w:rsidRDefault="00366107">
            <w:pPr>
              <w:keepNext/>
              <w:spacing w:line="240" w:lineRule="auto"/>
              <w:jc w:val="center"/>
              <w:rPr>
                <w:szCs w:val="22"/>
                <w:lang w:val="sr-Latn-ME"/>
              </w:rPr>
            </w:pPr>
            <w:r w:rsidRPr="00B74B0F">
              <w:rPr>
                <w:szCs w:val="22"/>
                <w:lang w:val="sr-Latn-ME"/>
              </w:rPr>
              <w:t>N = 126</w:t>
            </w:r>
          </w:p>
          <w:p w14:paraId="02515DCA" w14:textId="77777777" w:rsidR="00366107" w:rsidRPr="00B74B0F" w:rsidRDefault="00366107">
            <w:pPr>
              <w:keepNext/>
              <w:spacing w:line="240" w:lineRule="auto"/>
              <w:jc w:val="center"/>
              <w:rPr>
                <w:szCs w:val="22"/>
                <w:lang w:val="sr-Latn-ME"/>
              </w:rPr>
            </w:pPr>
            <w:r w:rsidRPr="00B74B0F">
              <w:rPr>
                <w:szCs w:val="22"/>
                <w:lang w:val="sr-Latn-ME"/>
              </w:rPr>
              <w:t>9%</w:t>
            </w:r>
          </w:p>
        </w:tc>
        <w:tc>
          <w:tcPr>
            <w:tcW w:w="601" w:type="pct"/>
            <w:tcBorders>
              <w:top w:val="single" w:sz="6" w:space="0" w:color="000000"/>
              <w:left w:val="single" w:sz="6" w:space="0" w:color="000000"/>
              <w:bottom w:val="single" w:sz="6" w:space="0" w:color="000000"/>
              <w:right w:val="single" w:sz="6" w:space="0" w:color="000000"/>
            </w:tcBorders>
          </w:tcPr>
          <w:p w14:paraId="0687B7E6" w14:textId="77777777" w:rsidR="00366107" w:rsidRPr="00B74B0F" w:rsidRDefault="00366107">
            <w:pPr>
              <w:keepNext/>
              <w:spacing w:line="240" w:lineRule="auto"/>
              <w:jc w:val="center"/>
              <w:rPr>
                <w:szCs w:val="22"/>
                <w:lang w:val="sr-Latn-ME"/>
              </w:rPr>
            </w:pPr>
            <w:r w:rsidRPr="00B74B0F">
              <w:rPr>
                <w:szCs w:val="22"/>
                <w:lang w:val="sr-Latn-ME"/>
              </w:rPr>
              <w:t>N = 124</w:t>
            </w:r>
          </w:p>
          <w:p w14:paraId="1FA697CC" w14:textId="77777777" w:rsidR="00366107" w:rsidRPr="00B74B0F" w:rsidRDefault="00366107">
            <w:pPr>
              <w:keepNext/>
              <w:spacing w:line="240" w:lineRule="auto"/>
              <w:jc w:val="center"/>
              <w:rPr>
                <w:szCs w:val="22"/>
                <w:lang w:val="sr-Latn-ME"/>
              </w:rPr>
            </w:pPr>
            <w:r w:rsidRPr="00B74B0F">
              <w:rPr>
                <w:szCs w:val="22"/>
                <w:lang w:val="sr-Latn-ME"/>
              </w:rPr>
              <w:t>32%</w:t>
            </w:r>
          </w:p>
        </w:tc>
        <w:tc>
          <w:tcPr>
            <w:tcW w:w="599" w:type="pct"/>
            <w:tcBorders>
              <w:top w:val="single" w:sz="6" w:space="0" w:color="000000"/>
              <w:left w:val="single" w:sz="6" w:space="0" w:color="000000"/>
              <w:bottom w:val="single" w:sz="6" w:space="0" w:color="000000"/>
              <w:right w:val="single" w:sz="6" w:space="0" w:color="000000"/>
            </w:tcBorders>
          </w:tcPr>
          <w:p w14:paraId="551A4225" w14:textId="77777777" w:rsidR="00366107" w:rsidRPr="00B74B0F" w:rsidRDefault="00366107">
            <w:pPr>
              <w:keepNext/>
              <w:spacing w:line="240" w:lineRule="auto"/>
              <w:jc w:val="center"/>
              <w:rPr>
                <w:szCs w:val="22"/>
                <w:lang w:val="sr-Latn-ME"/>
              </w:rPr>
            </w:pPr>
            <w:r w:rsidRPr="00B74B0F">
              <w:rPr>
                <w:szCs w:val="22"/>
                <w:lang w:val="sr-Latn-ME"/>
              </w:rPr>
              <w:t>N = 127</w:t>
            </w:r>
          </w:p>
          <w:p w14:paraId="6B685640" w14:textId="77777777" w:rsidR="00366107" w:rsidRPr="00B74B0F" w:rsidRDefault="00366107">
            <w:pPr>
              <w:keepNext/>
              <w:spacing w:line="240" w:lineRule="auto"/>
              <w:jc w:val="center"/>
              <w:rPr>
                <w:szCs w:val="22"/>
                <w:lang w:val="sr-Latn-ME"/>
              </w:rPr>
            </w:pPr>
            <w:r w:rsidRPr="00B74B0F">
              <w:rPr>
                <w:szCs w:val="22"/>
                <w:lang w:val="sr-Latn-ME"/>
              </w:rPr>
              <w:t>43%</w:t>
            </w:r>
          </w:p>
        </w:tc>
        <w:tc>
          <w:tcPr>
            <w:tcW w:w="801" w:type="pct"/>
            <w:tcBorders>
              <w:top w:val="single" w:sz="6" w:space="0" w:color="000000"/>
              <w:left w:val="single" w:sz="6" w:space="0" w:color="000000"/>
              <w:bottom w:val="single" w:sz="6" w:space="0" w:color="000000"/>
              <w:right w:val="single" w:sz="6" w:space="0" w:color="000000"/>
            </w:tcBorders>
            <w:vAlign w:val="center"/>
          </w:tcPr>
          <w:p w14:paraId="1CC1BE74" w14:textId="77777777" w:rsidR="00366107" w:rsidRPr="00B74B0F" w:rsidRDefault="00366107">
            <w:pPr>
              <w:keepNext/>
              <w:spacing w:line="240" w:lineRule="auto"/>
              <w:jc w:val="center"/>
              <w:rPr>
                <w:szCs w:val="22"/>
                <w:lang w:val="sr-Latn-ME"/>
              </w:rPr>
            </w:pPr>
            <w:r w:rsidRPr="00B74B0F">
              <w:rPr>
                <w:szCs w:val="22"/>
                <w:lang w:val="sr-Latn-ME"/>
              </w:rPr>
              <w:t>24%</w:t>
            </w:r>
          </w:p>
          <w:p w14:paraId="4FB41C84" w14:textId="77777777" w:rsidR="00366107" w:rsidRPr="00B74B0F" w:rsidRDefault="00366107">
            <w:pPr>
              <w:keepNext/>
              <w:spacing w:line="240" w:lineRule="auto"/>
              <w:jc w:val="center"/>
              <w:rPr>
                <w:szCs w:val="22"/>
                <w:lang w:val="sr-Latn-ME"/>
              </w:rPr>
            </w:pPr>
            <w:r w:rsidRPr="00B74B0F">
              <w:rPr>
                <w:szCs w:val="22"/>
                <w:lang w:val="sr-Latn-ME"/>
              </w:rPr>
              <w:t>(14; 33)</w:t>
            </w:r>
          </w:p>
        </w:tc>
        <w:tc>
          <w:tcPr>
            <w:tcW w:w="751" w:type="pct"/>
            <w:tcBorders>
              <w:top w:val="single" w:sz="6" w:space="0" w:color="000000"/>
              <w:left w:val="single" w:sz="6" w:space="0" w:color="000000"/>
              <w:bottom w:val="single" w:sz="6" w:space="0" w:color="000000"/>
              <w:right w:val="single" w:sz="6" w:space="0" w:color="000000"/>
            </w:tcBorders>
            <w:vAlign w:val="center"/>
          </w:tcPr>
          <w:p w14:paraId="4BB6CC85" w14:textId="77777777" w:rsidR="00366107" w:rsidRPr="00B74B0F" w:rsidRDefault="00366107">
            <w:pPr>
              <w:keepNext/>
              <w:spacing w:line="240" w:lineRule="auto"/>
              <w:jc w:val="center"/>
              <w:rPr>
                <w:szCs w:val="22"/>
                <w:lang w:val="sr-Latn-ME"/>
              </w:rPr>
            </w:pPr>
            <w:r w:rsidRPr="00B74B0F">
              <w:rPr>
                <w:szCs w:val="22"/>
                <w:lang w:val="sr-Latn-ME"/>
              </w:rPr>
              <w:t>34%</w:t>
            </w:r>
          </w:p>
          <w:p w14:paraId="3ED0D89E" w14:textId="77777777" w:rsidR="00366107" w:rsidRPr="00B74B0F" w:rsidRDefault="00366107">
            <w:pPr>
              <w:keepNext/>
              <w:spacing w:line="240" w:lineRule="auto"/>
              <w:jc w:val="center"/>
              <w:rPr>
                <w:szCs w:val="22"/>
                <w:lang w:val="sr-Latn-ME"/>
              </w:rPr>
            </w:pPr>
            <w:r w:rsidRPr="00B74B0F">
              <w:rPr>
                <w:szCs w:val="22"/>
                <w:lang w:val="sr-Latn-ME"/>
              </w:rPr>
              <w:t>(24; 44)</w:t>
            </w:r>
          </w:p>
        </w:tc>
      </w:tr>
      <w:tr w:rsidR="00366107" w:rsidRPr="00B74B0F" w14:paraId="0AAA652D" w14:textId="77777777" w:rsidTr="0069063B">
        <w:tc>
          <w:tcPr>
            <w:tcW w:w="1648" w:type="pct"/>
            <w:tcBorders>
              <w:top w:val="single" w:sz="6" w:space="0" w:color="000000"/>
              <w:left w:val="single" w:sz="6" w:space="0" w:color="000000"/>
              <w:bottom w:val="single" w:sz="6" w:space="0" w:color="000000"/>
              <w:right w:val="single" w:sz="6" w:space="0" w:color="000000"/>
            </w:tcBorders>
            <w:hideMark/>
          </w:tcPr>
          <w:p w14:paraId="0BC5851F" w14:textId="77777777" w:rsidR="00366107" w:rsidRPr="00B74B0F" w:rsidRDefault="00366107" w:rsidP="00A30C3C">
            <w:pPr>
              <w:autoSpaceDE w:val="0"/>
              <w:autoSpaceDN w:val="0"/>
              <w:adjustRightInd w:val="0"/>
              <w:jc w:val="both"/>
              <w:rPr>
                <w:b/>
                <w:szCs w:val="22"/>
                <w:lang w:val="sr-Latn-ME"/>
              </w:rPr>
            </w:pPr>
            <w:r w:rsidRPr="00B74B0F">
              <w:rPr>
                <w:bCs/>
                <w:szCs w:val="22"/>
                <w:lang w:val="sr-Latn-ME"/>
              </w:rPr>
              <w:t>Bez prethodnog biološkog neuspjeha</w:t>
            </w:r>
          </w:p>
        </w:tc>
        <w:tc>
          <w:tcPr>
            <w:tcW w:w="600" w:type="pct"/>
            <w:tcBorders>
              <w:top w:val="single" w:sz="6" w:space="0" w:color="000000"/>
              <w:left w:val="single" w:sz="6" w:space="0" w:color="000000"/>
              <w:bottom w:val="single" w:sz="6" w:space="0" w:color="000000"/>
              <w:right w:val="single" w:sz="6" w:space="0" w:color="000000"/>
            </w:tcBorders>
          </w:tcPr>
          <w:p w14:paraId="3390B13B" w14:textId="77777777" w:rsidR="00366107" w:rsidRPr="00B74B0F" w:rsidRDefault="00366107">
            <w:pPr>
              <w:jc w:val="center"/>
              <w:rPr>
                <w:szCs w:val="22"/>
                <w:lang w:val="sr-Latn-ME"/>
              </w:rPr>
            </w:pPr>
            <w:r w:rsidRPr="00B74B0F">
              <w:rPr>
                <w:szCs w:val="22"/>
                <w:lang w:val="sr-Latn-ME"/>
              </w:rPr>
              <w:t>N = 39</w:t>
            </w:r>
          </w:p>
          <w:p w14:paraId="50EBFC66" w14:textId="77777777" w:rsidR="00366107" w:rsidRPr="00B74B0F" w:rsidRDefault="00366107">
            <w:pPr>
              <w:jc w:val="center"/>
              <w:rPr>
                <w:szCs w:val="22"/>
                <w:lang w:val="sr-Latn-ME"/>
              </w:rPr>
            </w:pPr>
            <w:r w:rsidRPr="00B74B0F">
              <w:rPr>
                <w:szCs w:val="22"/>
                <w:lang w:val="sr-Latn-ME"/>
              </w:rPr>
              <w:t>33%</w:t>
            </w:r>
          </w:p>
        </w:tc>
        <w:tc>
          <w:tcPr>
            <w:tcW w:w="601" w:type="pct"/>
            <w:tcBorders>
              <w:top w:val="single" w:sz="6" w:space="0" w:color="000000"/>
              <w:left w:val="single" w:sz="6" w:space="0" w:color="000000"/>
              <w:bottom w:val="single" w:sz="6" w:space="0" w:color="000000"/>
              <w:right w:val="single" w:sz="6" w:space="0" w:color="000000"/>
            </w:tcBorders>
          </w:tcPr>
          <w:p w14:paraId="083EB857" w14:textId="77777777" w:rsidR="00366107" w:rsidRPr="00B74B0F" w:rsidRDefault="00366107">
            <w:pPr>
              <w:jc w:val="center"/>
              <w:rPr>
                <w:szCs w:val="22"/>
                <w:lang w:val="sr-Latn-ME"/>
              </w:rPr>
            </w:pPr>
            <w:r w:rsidRPr="00B74B0F">
              <w:rPr>
                <w:szCs w:val="22"/>
                <w:lang w:val="sr-Latn-ME"/>
              </w:rPr>
              <w:t>N = 45</w:t>
            </w:r>
          </w:p>
          <w:p w14:paraId="69328891" w14:textId="77777777" w:rsidR="00366107" w:rsidRPr="00B74B0F" w:rsidRDefault="00366107">
            <w:pPr>
              <w:jc w:val="center"/>
              <w:rPr>
                <w:szCs w:val="22"/>
                <w:lang w:val="sr-Latn-ME"/>
              </w:rPr>
            </w:pPr>
            <w:r w:rsidRPr="00B74B0F">
              <w:rPr>
                <w:szCs w:val="22"/>
                <w:lang w:val="sr-Latn-ME"/>
              </w:rPr>
              <w:t>44%</w:t>
            </w:r>
          </w:p>
        </w:tc>
        <w:tc>
          <w:tcPr>
            <w:tcW w:w="599" w:type="pct"/>
            <w:tcBorders>
              <w:top w:val="single" w:sz="6" w:space="0" w:color="000000"/>
              <w:left w:val="single" w:sz="6" w:space="0" w:color="000000"/>
              <w:bottom w:val="single" w:sz="6" w:space="0" w:color="000000"/>
              <w:right w:val="single" w:sz="6" w:space="0" w:color="000000"/>
            </w:tcBorders>
          </w:tcPr>
          <w:p w14:paraId="52AE0DE6" w14:textId="77777777" w:rsidR="00366107" w:rsidRPr="00B74B0F" w:rsidRDefault="00366107">
            <w:pPr>
              <w:jc w:val="center"/>
              <w:rPr>
                <w:szCs w:val="22"/>
                <w:lang w:val="sr-Latn-ME"/>
              </w:rPr>
            </w:pPr>
            <w:r w:rsidRPr="00B74B0F">
              <w:rPr>
                <w:szCs w:val="22"/>
                <w:lang w:val="sr-Latn-ME"/>
              </w:rPr>
              <w:t>N = 41</w:t>
            </w:r>
          </w:p>
          <w:p w14:paraId="7A58079E" w14:textId="77777777" w:rsidR="00366107" w:rsidRPr="00B74B0F" w:rsidRDefault="00366107">
            <w:pPr>
              <w:jc w:val="center"/>
              <w:rPr>
                <w:szCs w:val="22"/>
                <w:lang w:val="sr-Latn-ME"/>
              </w:rPr>
            </w:pPr>
            <w:r w:rsidRPr="00B74B0F">
              <w:rPr>
                <w:szCs w:val="22"/>
                <w:lang w:val="sr-Latn-ME"/>
              </w:rPr>
              <w:t>59%</w:t>
            </w:r>
          </w:p>
        </w:tc>
        <w:tc>
          <w:tcPr>
            <w:tcW w:w="801" w:type="pct"/>
            <w:tcBorders>
              <w:top w:val="single" w:sz="6" w:space="0" w:color="000000"/>
              <w:left w:val="single" w:sz="6" w:space="0" w:color="000000"/>
              <w:bottom w:val="single" w:sz="6" w:space="0" w:color="000000"/>
              <w:right w:val="single" w:sz="6" w:space="0" w:color="000000"/>
            </w:tcBorders>
            <w:vAlign w:val="center"/>
          </w:tcPr>
          <w:p w14:paraId="1E293B27" w14:textId="77777777" w:rsidR="00366107" w:rsidRPr="00B74B0F" w:rsidRDefault="00366107">
            <w:pPr>
              <w:jc w:val="center"/>
              <w:rPr>
                <w:szCs w:val="22"/>
                <w:lang w:val="sr-Latn-ME"/>
              </w:rPr>
            </w:pPr>
            <w:r w:rsidRPr="00B74B0F">
              <w:rPr>
                <w:szCs w:val="22"/>
                <w:lang w:val="sr-Latn-ME"/>
              </w:rPr>
              <w:t>12%</w:t>
            </w:r>
          </w:p>
          <w:p w14:paraId="2ECEF94C" w14:textId="77777777" w:rsidR="00366107" w:rsidRPr="00B74B0F" w:rsidRDefault="00366107">
            <w:pPr>
              <w:jc w:val="center"/>
              <w:rPr>
                <w:szCs w:val="22"/>
                <w:lang w:val="sr-Latn-ME"/>
              </w:rPr>
            </w:pPr>
            <w:r w:rsidRPr="00B74B0F">
              <w:rPr>
                <w:szCs w:val="22"/>
                <w:lang w:val="sr-Latn-ME"/>
              </w:rPr>
              <w:t>(-9; 33)</w:t>
            </w:r>
          </w:p>
        </w:tc>
        <w:tc>
          <w:tcPr>
            <w:tcW w:w="751" w:type="pct"/>
            <w:tcBorders>
              <w:top w:val="single" w:sz="6" w:space="0" w:color="000000"/>
              <w:left w:val="single" w:sz="6" w:space="0" w:color="000000"/>
              <w:bottom w:val="single" w:sz="6" w:space="0" w:color="000000"/>
              <w:right w:val="single" w:sz="6" w:space="0" w:color="000000"/>
            </w:tcBorders>
            <w:vAlign w:val="center"/>
          </w:tcPr>
          <w:p w14:paraId="553E9FF1" w14:textId="77777777" w:rsidR="00366107" w:rsidRPr="00B74B0F" w:rsidRDefault="00366107">
            <w:pPr>
              <w:jc w:val="center"/>
              <w:rPr>
                <w:szCs w:val="22"/>
                <w:lang w:val="sr-Latn-ME"/>
              </w:rPr>
            </w:pPr>
            <w:r w:rsidRPr="00B74B0F">
              <w:rPr>
                <w:szCs w:val="22"/>
                <w:lang w:val="sr-Latn-ME"/>
              </w:rPr>
              <w:t>26%</w:t>
            </w:r>
          </w:p>
          <w:p w14:paraId="5E8AB764" w14:textId="77777777" w:rsidR="00366107" w:rsidRPr="00B74B0F" w:rsidRDefault="00366107">
            <w:pPr>
              <w:jc w:val="center"/>
              <w:rPr>
                <w:szCs w:val="22"/>
                <w:lang w:val="sr-Latn-ME"/>
              </w:rPr>
            </w:pPr>
            <w:r w:rsidRPr="00B74B0F">
              <w:rPr>
                <w:szCs w:val="22"/>
                <w:lang w:val="sr-Latn-ME"/>
              </w:rPr>
              <w:t>(5; 47)</w:t>
            </w:r>
          </w:p>
        </w:tc>
      </w:tr>
      <w:tr w:rsidR="00366107" w:rsidRPr="00B74B0F" w14:paraId="67127058"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tcPr>
          <w:p w14:paraId="45F82DC3" w14:textId="77777777" w:rsidR="00366107" w:rsidRPr="00B74B0F" w:rsidRDefault="00366107" w:rsidP="00A30C3C">
            <w:pPr>
              <w:jc w:val="both"/>
              <w:rPr>
                <w:b/>
                <w:szCs w:val="22"/>
                <w:lang w:val="sr-Latn-ME"/>
              </w:rPr>
            </w:pPr>
            <w:r w:rsidRPr="00B74B0F">
              <w:rPr>
                <w:b/>
                <w:szCs w:val="22"/>
                <w:lang w:val="sr-Latn-ME"/>
              </w:rPr>
              <w:t>Endoskopski odgovor</w:t>
            </w:r>
            <w:r w:rsidRPr="00B74B0F">
              <w:rPr>
                <w:b/>
                <w:szCs w:val="22"/>
                <w:vertAlign w:val="superscript"/>
                <w:lang w:val="sr-Latn-ME"/>
              </w:rPr>
              <w:t>b</w:t>
            </w:r>
          </w:p>
        </w:tc>
        <w:tc>
          <w:tcPr>
            <w:tcW w:w="600" w:type="pct"/>
            <w:tcBorders>
              <w:top w:val="single" w:sz="6" w:space="0" w:color="000000"/>
              <w:left w:val="single" w:sz="6" w:space="0" w:color="000000"/>
              <w:bottom w:val="single" w:sz="6" w:space="0" w:color="000000"/>
              <w:right w:val="single" w:sz="6" w:space="0" w:color="000000"/>
            </w:tcBorders>
            <w:vAlign w:val="center"/>
          </w:tcPr>
          <w:p w14:paraId="5D007771" w14:textId="77777777" w:rsidR="00366107" w:rsidRPr="00B74B0F" w:rsidRDefault="00366107">
            <w:pPr>
              <w:jc w:val="center"/>
              <w:rPr>
                <w:szCs w:val="22"/>
                <w:lang w:val="sr-Latn-ME"/>
              </w:rPr>
            </w:pPr>
            <w:r w:rsidRPr="00B74B0F">
              <w:rPr>
                <w:bCs/>
                <w:szCs w:val="22"/>
                <w:lang w:val="sr-Latn-ME"/>
              </w:rPr>
              <w:t>7%</w:t>
            </w:r>
          </w:p>
        </w:tc>
        <w:tc>
          <w:tcPr>
            <w:tcW w:w="601" w:type="pct"/>
            <w:tcBorders>
              <w:top w:val="single" w:sz="6" w:space="0" w:color="000000"/>
              <w:left w:val="single" w:sz="6" w:space="0" w:color="000000"/>
              <w:bottom w:val="single" w:sz="6" w:space="0" w:color="000000"/>
              <w:right w:val="single" w:sz="6" w:space="0" w:color="000000"/>
            </w:tcBorders>
            <w:vAlign w:val="center"/>
          </w:tcPr>
          <w:p w14:paraId="75F30F93" w14:textId="77777777" w:rsidR="00366107" w:rsidRPr="00B74B0F" w:rsidRDefault="00366107">
            <w:pPr>
              <w:jc w:val="center"/>
              <w:rPr>
                <w:szCs w:val="22"/>
                <w:lang w:val="sr-Latn-ME"/>
              </w:rPr>
            </w:pPr>
            <w:r w:rsidRPr="00B74B0F">
              <w:rPr>
                <w:bCs/>
                <w:szCs w:val="22"/>
                <w:lang w:val="sr-Latn-ME"/>
              </w:rPr>
              <w:t>28%</w:t>
            </w:r>
          </w:p>
        </w:tc>
        <w:tc>
          <w:tcPr>
            <w:tcW w:w="599" w:type="pct"/>
            <w:tcBorders>
              <w:top w:val="single" w:sz="6" w:space="0" w:color="000000"/>
              <w:left w:val="single" w:sz="6" w:space="0" w:color="000000"/>
              <w:bottom w:val="single" w:sz="6" w:space="0" w:color="000000"/>
              <w:right w:val="single" w:sz="6" w:space="0" w:color="000000"/>
            </w:tcBorders>
            <w:vAlign w:val="center"/>
          </w:tcPr>
          <w:p w14:paraId="08A97F54" w14:textId="77777777" w:rsidR="00366107" w:rsidRPr="00B74B0F" w:rsidRDefault="00366107">
            <w:pPr>
              <w:jc w:val="center"/>
              <w:rPr>
                <w:szCs w:val="22"/>
                <w:lang w:val="sr-Latn-ME"/>
              </w:rPr>
            </w:pPr>
            <w:r w:rsidRPr="00B74B0F">
              <w:rPr>
                <w:bCs/>
                <w:szCs w:val="22"/>
                <w:lang w:val="sr-Latn-ME"/>
              </w:rPr>
              <w:t>40%</w:t>
            </w:r>
          </w:p>
        </w:tc>
        <w:tc>
          <w:tcPr>
            <w:tcW w:w="801" w:type="pct"/>
            <w:tcBorders>
              <w:top w:val="single" w:sz="6" w:space="0" w:color="000000"/>
              <w:left w:val="single" w:sz="6" w:space="0" w:color="000000"/>
              <w:bottom w:val="single" w:sz="6" w:space="0" w:color="000000"/>
              <w:right w:val="single" w:sz="6" w:space="0" w:color="000000"/>
            </w:tcBorders>
            <w:vAlign w:val="center"/>
          </w:tcPr>
          <w:p w14:paraId="698675FB" w14:textId="77777777" w:rsidR="00366107" w:rsidRPr="00B74B0F" w:rsidRDefault="00366107">
            <w:pPr>
              <w:jc w:val="center"/>
              <w:rPr>
                <w:szCs w:val="22"/>
                <w:lang w:val="sr-Latn-ME"/>
              </w:rPr>
            </w:pPr>
            <w:r w:rsidRPr="00B74B0F">
              <w:rPr>
                <w:szCs w:val="22"/>
                <w:lang w:val="sr-Latn-ME"/>
              </w:rPr>
              <w:t>21%</w:t>
            </w:r>
          </w:p>
          <w:p w14:paraId="66690E6D" w14:textId="77777777" w:rsidR="00366107" w:rsidRPr="00B74B0F" w:rsidRDefault="00366107">
            <w:pPr>
              <w:jc w:val="center"/>
              <w:rPr>
                <w:szCs w:val="22"/>
                <w:lang w:val="sr-Latn-ME"/>
              </w:rPr>
            </w:pPr>
            <w:r w:rsidRPr="00B74B0F">
              <w:rPr>
                <w:szCs w:val="22"/>
                <w:lang w:val="sr-Latn-ME"/>
              </w:rPr>
              <w:t>(14; 28)</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675B492E" w14:textId="77777777" w:rsidR="00366107" w:rsidRPr="00B74B0F" w:rsidRDefault="00366107">
            <w:pPr>
              <w:jc w:val="center"/>
              <w:rPr>
                <w:szCs w:val="22"/>
                <w:lang w:val="sr-Latn-ME"/>
              </w:rPr>
            </w:pPr>
            <w:r w:rsidRPr="00B74B0F">
              <w:rPr>
                <w:szCs w:val="22"/>
                <w:lang w:val="sr-Latn-ME"/>
              </w:rPr>
              <w:t>34%</w:t>
            </w:r>
          </w:p>
          <w:p w14:paraId="341364E5" w14:textId="77777777" w:rsidR="00366107" w:rsidRPr="00B74B0F" w:rsidRDefault="00366107">
            <w:pPr>
              <w:jc w:val="center"/>
              <w:rPr>
                <w:szCs w:val="22"/>
                <w:lang w:val="sr-Latn-ME"/>
              </w:rPr>
            </w:pPr>
            <w:r w:rsidRPr="00B74B0F">
              <w:rPr>
                <w:szCs w:val="22"/>
                <w:lang w:val="sr-Latn-ME"/>
              </w:rPr>
              <w:t>(26; 41)</w:t>
            </w:r>
            <w:r w:rsidRPr="00B74B0F">
              <w:rPr>
                <w:szCs w:val="22"/>
                <w:vertAlign w:val="superscript"/>
                <w:lang w:val="sr-Latn-ME"/>
              </w:rPr>
              <w:t>*</w:t>
            </w:r>
          </w:p>
        </w:tc>
      </w:tr>
      <w:tr w:rsidR="00366107" w:rsidRPr="00B74B0F" w14:paraId="0486086A"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tcPr>
          <w:p w14:paraId="496CC0ED" w14:textId="77777777" w:rsidR="00366107" w:rsidRPr="00B74B0F" w:rsidRDefault="00366107" w:rsidP="00A30C3C">
            <w:pPr>
              <w:keepNext/>
              <w:jc w:val="both"/>
              <w:rPr>
                <w:szCs w:val="22"/>
                <w:lang w:val="sr-Latn-ME"/>
              </w:rPr>
            </w:pPr>
            <w:r w:rsidRPr="00B74B0F">
              <w:rPr>
                <w:bCs/>
                <w:szCs w:val="22"/>
                <w:lang w:val="sr-Latn-ME"/>
              </w:rPr>
              <w:t>Prethodni biološki neuspjeh</w:t>
            </w:r>
          </w:p>
        </w:tc>
        <w:tc>
          <w:tcPr>
            <w:tcW w:w="600" w:type="pct"/>
            <w:tcBorders>
              <w:top w:val="single" w:sz="6" w:space="0" w:color="000000"/>
              <w:left w:val="single" w:sz="6" w:space="0" w:color="000000"/>
              <w:bottom w:val="single" w:sz="6" w:space="0" w:color="000000"/>
              <w:right w:val="single" w:sz="6" w:space="0" w:color="000000"/>
            </w:tcBorders>
          </w:tcPr>
          <w:p w14:paraId="6C321F95" w14:textId="77777777" w:rsidR="00366107" w:rsidRPr="00B74B0F" w:rsidRDefault="00366107">
            <w:pPr>
              <w:keepNext/>
              <w:jc w:val="center"/>
              <w:rPr>
                <w:bCs/>
                <w:szCs w:val="22"/>
                <w:lang w:val="sr-Latn-ME"/>
              </w:rPr>
            </w:pPr>
            <w:r w:rsidRPr="00B74B0F">
              <w:rPr>
                <w:bCs/>
                <w:szCs w:val="22"/>
                <w:lang w:val="sr-Latn-ME"/>
              </w:rPr>
              <w:t>N = 126</w:t>
            </w:r>
          </w:p>
          <w:p w14:paraId="59F28F03" w14:textId="77777777" w:rsidR="00366107" w:rsidRPr="00B74B0F" w:rsidRDefault="00366107">
            <w:pPr>
              <w:keepNext/>
              <w:jc w:val="center"/>
              <w:rPr>
                <w:szCs w:val="22"/>
                <w:lang w:val="sr-Latn-ME"/>
              </w:rPr>
            </w:pPr>
            <w:r w:rsidRPr="00B74B0F">
              <w:rPr>
                <w:bCs/>
                <w:szCs w:val="22"/>
                <w:lang w:val="sr-Latn-ME"/>
              </w:rPr>
              <w:t>4%</w:t>
            </w:r>
          </w:p>
        </w:tc>
        <w:tc>
          <w:tcPr>
            <w:tcW w:w="601" w:type="pct"/>
            <w:tcBorders>
              <w:top w:val="single" w:sz="6" w:space="0" w:color="000000"/>
              <w:left w:val="single" w:sz="6" w:space="0" w:color="000000"/>
              <w:bottom w:val="single" w:sz="6" w:space="0" w:color="000000"/>
              <w:right w:val="single" w:sz="6" w:space="0" w:color="000000"/>
            </w:tcBorders>
          </w:tcPr>
          <w:p w14:paraId="496557E8" w14:textId="77777777" w:rsidR="00366107" w:rsidRPr="00B74B0F" w:rsidRDefault="00366107">
            <w:pPr>
              <w:keepNext/>
              <w:jc w:val="center"/>
              <w:rPr>
                <w:bCs/>
                <w:szCs w:val="22"/>
                <w:lang w:val="sr-Latn-ME"/>
              </w:rPr>
            </w:pPr>
            <w:r w:rsidRPr="00B74B0F">
              <w:rPr>
                <w:bCs/>
                <w:szCs w:val="22"/>
                <w:lang w:val="sr-Latn-ME"/>
              </w:rPr>
              <w:t>N = 124</w:t>
            </w:r>
          </w:p>
          <w:p w14:paraId="4FEA35BF" w14:textId="77777777" w:rsidR="00366107" w:rsidRPr="00B74B0F" w:rsidRDefault="00366107">
            <w:pPr>
              <w:keepNext/>
              <w:jc w:val="center"/>
              <w:rPr>
                <w:szCs w:val="22"/>
                <w:lang w:val="sr-Latn-ME"/>
              </w:rPr>
            </w:pPr>
            <w:r w:rsidRPr="00B74B0F">
              <w:rPr>
                <w:bCs/>
                <w:szCs w:val="22"/>
                <w:lang w:val="sr-Latn-ME"/>
              </w:rPr>
              <w:t>23%</w:t>
            </w:r>
          </w:p>
        </w:tc>
        <w:tc>
          <w:tcPr>
            <w:tcW w:w="599" w:type="pct"/>
            <w:tcBorders>
              <w:top w:val="single" w:sz="6" w:space="0" w:color="000000"/>
              <w:left w:val="single" w:sz="6" w:space="0" w:color="000000"/>
              <w:bottom w:val="single" w:sz="6" w:space="0" w:color="000000"/>
              <w:right w:val="single" w:sz="6" w:space="0" w:color="000000"/>
            </w:tcBorders>
          </w:tcPr>
          <w:p w14:paraId="671CD1C0" w14:textId="77777777" w:rsidR="00366107" w:rsidRPr="00B74B0F" w:rsidRDefault="00366107">
            <w:pPr>
              <w:keepNext/>
              <w:jc w:val="center"/>
              <w:rPr>
                <w:bCs/>
                <w:szCs w:val="22"/>
                <w:lang w:val="sr-Latn-ME"/>
              </w:rPr>
            </w:pPr>
            <w:r w:rsidRPr="00B74B0F">
              <w:rPr>
                <w:bCs/>
                <w:szCs w:val="22"/>
                <w:lang w:val="sr-Latn-ME"/>
              </w:rPr>
              <w:t>N = 127</w:t>
            </w:r>
          </w:p>
          <w:p w14:paraId="57A7AC22" w14:textId="77777777" w:rsidR="00366107" w:rsidRPr="00B74B0F" w:rsidRDefault="00366107">
            <w:pPr>
              <w:keepNext/>
              <w:jc w:val="center"/>
              <w:rPr>
                <w:szCs w:val="22"/>
                <w:lang w:val="sr-Latn-ME"/>
              </w:rPr>
            </w:pPr>
            <w:r w:rsidRPr="00B74B0F">
              <w:rPr>
                <w:bCs/>
                <w:szCs w:val="22"/>
                <w:lang w:val="sr-Latn-ME"/>
              </w:rPr>
              <w:t>39%</w:t>
            </w:r>
          </w:p>
        </w:tc>
        <w:tc>
          <w:tcPr>
            <w:tcW w:w="801" w:type="pct"/>
            <w:tcBorders>
              <w:top w:val="single" w:sz="6" w:space="0" w:color="000000"/>
              <w:left w:val="single" w:sz="6" w:space="0" w:color="000000"/>
              <w:bottom w:val="single" w:sz="6" w:space="0" w:color="000000"/>
              <w:right w:val="single" w:sz="6" w:space="0" w:color="000000"/>
            </w:tcBorders>
            <w:vAlign w:val="center"/>
          </w:tcPr>
          <w:p w14:paraId="56837814" w14:textId="77777777" w:rsidR="00366107" w:rsidRPr="00B74B0F" w:rsidRDefault="00366107">
            <w:pPr>
              <w:keepNext/>
              <w:jc w:val="center"/>
              <w:rPr>
                <w:szCs w:val="22"/>
                <w:lang w:val="sr-Latn-ME"/>
              </w:rPr>
            </w:pPr>
            <w:r w:rsidRPr="00B74B0F">
              <w:rPr>
                <w:szCs w:val="22"/>
                <w:lang w:val="sr-Latn-ME"/>
              </w:rPr>
              <w:t>19%</w:t>
            </w:r>
          </w:p>
          <w:p w14:paraId="0CA28E68" w14:textId="77777777" w:rsidR="00366107" w:rsidRPr="00B74B0F" w:rsidRDefault="00366107">
            <w:pPr>
              <w:keepNext/>
              <w:jc w:val="center"/>
              <w:rPr>
                <w:szCs w:val="22"/>
                <w:lang w:val="sr-Latn-ME"/>
              </w:rPr>
            </w:pPr>
            <w:r w:rsidRPr="00B74B0F">
              <w:rPr>
                <w:szCs w:val="22"/>
                <w:lang w:val="sr-Latn-ME"/>
              </w:rPr>
              <w:t>(11; 27)</w:t>
            </w:r>
          </w:p>
        </w:tc>
        <w:tc>
          <w:tcPr>
            <w:tcW w:w="751" w:type="pct"/>
            <w:tcBorders>
              <w:top w:val="single" w:sz="6" w:space="0" w:color="000000"/>
              <w:left w:val="single" w:sz="6" w:space="0" w:color="000000"/>
              <w:bottom w:val="single" w:sz="6" w:space="0" w:color="000000"/>
              <w:right w:val="single" w:sz="6" w:space="0" w:color="000000"/>
            </w:tcBorders>
            <w:vAlign w:val="center"/>
          </w:tcPr>
          <w:p w14:paraId="533DD7EA" w14:textId="77777777" w:rsidR="00366107" w:rsidRPr="00B74B0F" w:rsidRDefault="00366107">
            <w:pPr>
              <w:jc w:val="center"/>
              <w:rPr>
                <w:szCs w:val="22"/>
                <w:lang w:val="sr-Latn-ME"/>
              </w:rPr>
            </w:pPr>
            <w:r w:rsidRPr="00B74B0F">
              <w:rPr>
                <w:szCs w:val="22"/>
                <w:lang w:val="sr-Latn-ME"/>
              </w:rPr>
              <w:t>35%</w:t>
            </w:r>
          </w:p>
          <w:p w14:paraId="06910553" w14:textId="77777777" w:rsidR="00366107" w:rsidRPr="00B74B0F" w:rsidRDefault="00366107">
            <w:pPr>
              <w:jc w:val="center"/>
              <w:rPr>
                <w:szCs w:val="22"/>
                <w:lang w:val="sr-Latn-ME"/>
              </w:rPr>
            </w:pPr>
            <w:r w:rsidRPr="00B74B0F">
              <w:rPr>
                <w:szCs w:val="22"/>
                <w:lang w:val="sr-Latn-ME"/>
              </w:rPr>
              <w:t>(26; 44)</w:t>
            </w:r>
          </w:p>
        </w:tc>
      </w:tr>
      <w:tr w:rsidR="00366107" w:rsidRPr="00B74B0F" w14:paraId="6F40515B"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tcPr>
          <w:p w14:paraId="24FD7405" w14:textId="77777777" w:rsidR="00366107" w:rsidRPr="00B74B0F" w:rsidRDefault="00366107" w:rsidP="00A30C3C">
            <w:pPr>
              <w:jc w:val="both"/>
              <w:rPr>
                <w:b/>
                <w:szCs w:val="22"/>
                <w:lang w:val="sr-Latn-ME"/>
              </w:rPr>
            </w:pPr>
            <w:r w:rsidRPr="00B74B0F">
              <w:rPr>
                <w:bCs/>
                <w:szCs w:val="22"/>
                <w:lang w:val="sr-Latn-ME"/>
              </w:rPr>
              <w:t>Bez prethodnog biološkog neuspjeha</w:t>
            </w:r>
          </w:p>
        </w:tc>
        <w:tc>
          <w:tcPr>
            <w:tcW w:w="600" w:type="pct"/>
            <w:tcBorders>
              <w:top w:val="single" w:sz="6" w:space="0" w:color="000000"/>
              <w:left w:val="single" w:sz="6" w:space="0" w:color="000000"/>
              <w:bottom w:val="single" w:sz="6" w:space="0" w:color="000000"/>
              <w:right w:val="single" w:sz="6" w:space="0" w:color="000000"/>
            </w:tcBorders>
          </w:tcPr>
          <w:p w14:paraId="2A58AF6C" w14:textId="77777777" w:rsidR="00366107" w:rsidRPr="00B74B0F" w:rsidRDefault="00366107">
            <w:pPr>
              <w:jc w:val="center"/>
              <w:rPr>
                <w:bCs/>
                <w:szCs w:val="22"/>
                <w:lang w:val="sr-Latn-ME"/>
              </w:rPr>
            </w:pPr>
            <w:r w:rsidRPr="00B74B0F">
              <w:rPr>
                <w:bCs/>
                <w:szCs w:val="22"/>
                <w:lang w:val="sr-Latn-ME"/>
              </w:rPr>
              <w:t>N = 39</w:t>
            </w:r>
          </w:p>
          <w:p w14:paraId="274E8047" w14:textId="77777777" w:rsidR="00366107" w:rsidRPr="00B74B0F" w:rsidRDefault="00366107">
            <w:pPr>
              <w:jc w:val="center"/>
              <w:rPr>
                <w:szCs w:val="22"/>
                <w:lang w:val="sr-Latn-ME"/>
              </w:rPr>
            </w:pPr>
            <w:r w:rsidRPr="00B74B0F">
              <w:rPr>
                <w:bCs/>
                <w:szCs w:val="22"/>
                <w:lang w:val="sr-Latn-ME"/>
              </w:rPr>
              <w:t>18%</w:t>
            </w:r>
          </w:p>
        </w:tc>
        <w:tc>
          <w:tcPr>
            <w:tcW w:w="601" w:type="pct"/>
            <w:tcBorders>
              <w:top w:val="single" w:sz="6" w:space="0" w:color="000000"/>
              <w:left w:val="single" w:sz="6" w:space="0" w:color="000000"/>
              <w:bottom w:val="single" w:sz="6" w:space="0" w:color="000000"/>
              <w:right w:val="single" w:sz="6" w:space="0" w:color="000000"/>
            </w:tcBorders>
          </w:tcPr>
          <w:p w14:paraId="099BE68F" w14:textId="77777777" w:rsidR="00366107" w:rsidRPr="00B74B0F" w:rsidRDefault="00366107">
            <w:pPr>
              <w:jc w:val="center"/>
              <w:rPr>
                <w:bCs/>
                <w:szCs w:val="22"/>
                <w:lang w:val="sr-Latn-ME"/>
              </w:rPr>
            </w:pPr>
            <w:r w:rsidRPr="00B74B0F">
              <w:rPr>
                <w:bCs/>
                <w:szCs w:val="22"/>
                <w:lang w:val="sr-Latn-ME"/>
              </w:rPr>
              <w:t>N = 45</w:t>
            </w:r>
          </w:p>
          <w:p w14:paraId="3CE8A95B" w14:textId="77777777" w:rsidR="00366107" w:rsidRPr="00B74B0F" w:rsidRDefault="00366107">
            <w:pPr>
              <w:jc w:val="center"/>
              <w:rPr>
                <w:szCs w:val="22"/>
                <w:lang w:val="sr-Latn-ME"/>
              </w:rPr>
            </w:pPr>
            <w:r w:rsidRPr="00B74B0F">
              <w:rPr>
                <w:bCs/>
                <w:szCs w:val="22"/>
                <w:lang w:val="sr-Latn-ME"/>
              </w:rPr>
              <w:t>40%</w:t>
            </w:r>
          </w:p>
        </w:tc>
        <w:tc>
          <w:tcPr>
            <w:tcW w:w="599" w:type="pct"/>
            <w:tcBorders>
              <w:top w:val="single" w:sz="6" w:space="0" w:color="000000"/>
              <w:left w:val="single" w:sz="6" w:space="0" w:color="000000"/>
              <w:bottom w:val="single" w:sz="6" w:space="0" w:color="000000"/>
              <w:right w:val="single" w:sz="6" w:space="0" w:color="000000"/>
            </w:tcBorders>
          </w:tcPr>
          <w:p w14:paraId="44B5E4BF" w14:textId="77777777" w:rsidR="00366107" w:rsidRPr="00B74B0F" w:rsidRDefault="00366107">
            <w:pPr>
              <w:jc w:val="center"/>
              <w:rPr>
                <w:bCs/>
                <w:szCs w:val="22"/>
                <w:lang w:val="sr-Latn-ME"/>
              </w:rPr>
            </w:pPr>
            <w:r w:rsidRPr="00B74B0F">
              <w:rPr>
                <w:bCs/>
                <w:szCs w:val="22"/>
                <w:lang w:val="sr-Latn-ME"/>
              </w:rPr>
              <w:t>N = 41</w:t>
            </w:r>
          </w:p>
          <w:p w14:paraId="11154151" w14:textId="77777777" w:rsidR="00366107" w:rsidRPr="00B74B0F" w:rsidRDefault="00366107">
            <w:pPr>
              <w:jc w:val="center"/>
              <w:rPr>
                <w:szCs w:val="22"/>
                <w:lang w:val="sr-Latn-ME"/>
              </w:rPr>
            </w:pPr>
            <w:r w:rsidRPr="00B74B0F">
              <w:rPr>
                <w:bCs/>
                <w:szCs w:val="22"/>
                <w:lang w:val="sr-Latn-ME"/>
              </w:rPr>
              <w:t>44%</w:t>
            </w:r>
          </w:p>
        </w:tc>
        <w:tc>
          <w:tcPr>
            <w:tcW w:w="801" w:type="pct"/>
            <w:tcBorders>
              <w:top w:val="single" w:sz="6" w:space="0" w:color="000000"/>
              <w:left w:val="single" w:sz="6" w:space="0" w:color="000000"/>
              <w:bottom w:val="single" w:sz="6" w:space="0" w:color="000000"/>
              <w:right w:val="single" w:sz="6" w:space="0" w:color="000000"/>
            </w:tcBorders>
            <w:vAlign w:val="center"/>
          </w:tcPr>
          <w:p w14:paraId="7777704D" w14:textId="77777777" w:rsidR="00366107" w:rsidRPr="00B74B0F" w:rsidRDefault="00366107">
            <w:pPr>
              <w:jc w:val="center"/>
              <w:rPr>
                <w:szCs w:val="22"/>
                <w:lang w:val="sr-Latn-ME"/>
              </w:rPr>
            </w:pPr>
            <w:r w:rsidRPr="00B74B0F">
              <w:rPr>
                <w:szCs w:val="22"/>
                <w:lang w:val="sr-Latn-ME"/>
              </w:rPr>
              <w:t>22%</w:t>
            </w:r>
          </w:p>
          <w:p w14:paraId="3C1C3CCC" w14:textId="77777777" w:rsidR="00366107" w:rsidRPr="00B74B0F" w:rsidRDefault="00366107">
            <w:pPr>
              <w:jc w:val="center"/>
              <w:rPr>
                <w:szCs w:val="22"/>
                <w:lang w:val="sr-Latn-ME"/>
              </w:rPr>
            </w:pPr>
            <w:r w:rsidRPr="00B74B0F">
              <w:rPr>
                <w:szCs w:val="22"/>
                <w:lang w:val="sr-Latn-ME"/>
              </w:rPr>
              <w:t>(3; 41)</w:t>
            </w:r>
          </w:p>
        </w:tc>
        <w:tc>
          <w:tcPr>
            <w:tcW w:w="751" w:type="pct"/>
            <w:tcBorders>
              <w:top w:val="single" w:sz="6" w:space="0" w:color="000000"/>
              <w:left w:val="single" w:sz="6" w:space="0" w:color="000000"/>
              <w:bottom w:val="single" w:sz="6" w:space="0" w:color="000000"/>
              <w:right w:val="single" w:sz="6" w:space="0" w:color="000000"/>
            </w:tcBorders>
            <w:vAlign w:val="center"/>
          </w:tcPr>
          <w:p w14:paraId="22553DA5" w14:textId="77777777" w:rsidR="00366107" w:rsidRPr="00B74B0F" w:rsidRDefault="00366107">
            <w:pPr>
              <w:jc w:val="center"/>
              <w:rPr>
                <w:szCs w:val="22"/>
                <w:lang w:val="sr-Latn-ME"/>
              </w:rPr>
            </w:pPr>
            <w:r w:rsidRPr="00B74B0F">
              <w:rPr>
                <w:szCs w:val="22"/>
                <w:lang w:val="sr-Latn-ME"/>
              </w:rPr>
              <w:t>26%</w:t>
            </w:r>
          </w:p>
          <w:p w14:paraId="3B2AAD1F" w14:textId="77777777" w:rsidR="00366107" w:rsidRPr="00B74B0F" w:rsidRDefault="00366107">
            <w:pPr>
              <w:jc w:val="center"/>
              <w:rPr>
                <w:szCs w:val="22"/>
                <w:lang w:val="sr-Latn-ME"/>
              </w:rPr>
            </w:pPr>
            <w:r w:rsidRPr="00B74B0F">
              <w:rPr>
                <w:szCs w:val="22"/>
                <w:lang w:val="sr-Latn-ME"/>
              </w:rPr>
              <w:t>(7; 45)</w:t>
            </w:r>
          </w:p>
        </w:tc>
      </w:tr>
      <w:tr w:rsidR="00366107" w:rsidRPr="00B74B0F" w14:paraId="2909B121" w14:textId="77777777" w:rsidTr="0069063B">
        <w:tc>
          <w:tcPr>
            <w:tcW w:w="5000" w:type="pct"/>
            <w:gridSpan w:val="6"/>
            <w:tcBorders>
              <w:top w:val="single" w:sz="6" w:space="0" w:color="000000"/>
              <w:left w:val="single" w:sz="6" w:space="0" w:color="000000"/>
              <w:bottom w:val="single" w:sz="6" w:space="0" w:color="000000"/>
              <w:right w:val="single" w:sz="6" w:space="0" w:color="000000"/>
            </w:tcBorders>
            <w:vAlign w:val="center"/>
          </w:tcPr>
          <w:p w14:paraId="117DFAC2" w14:textId="4B7D348D" w:rsidR="00366107" w:rsidRPr="00B74B0F" w:rsidRDefault="00366107">
            <w:pPr>
              <w:jc w:val="center"/>
              <w:rPr>
                <w:szCs w:val="22"/>
                <w:lang w:val="sr-Latn-ME"/>
              </w:rPr>
            </w:pPr>
            <w:r w:rsidRPr="00B74B0F">
              <w:rPr>
                <w:b/>
                <w:szCs w:val="22"/>
                <w:lang w:val="sr-Latn-ME"/>
              </w:rPr>
              <w:t>Dodatn</w:t>
            </w:r>
            <w:r w:rsidR="00C904DA" w:rsidRPr="00B74B0F">
              <w:rPr>
                <w:b/>
                <w:szCs w:val="22"/>
                <w:lang w:val="sr-Latn-ME"/>
              </w:rPr>
              <w:t>i parametri praćenja</w:t>
            </w:r>
          </w:p>
        </w:tc>
      </w:tr>
      <w:tr w:rsidR="00366107" w:rsidRPr="00B74B0F" w14:paraId="3AF5CCFE"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tcPr>
          <w:p w14:paraId="73DD11DB" w14:textId="77777777" w:rsidR="00366107" w:rsidRPr="00B74B0F" w:rsidRDefault="00366107" w:rsidP="00A30C3C">
            <w:pPr>
              <w:jc w:val="both"/>
              <w:rPr>
                <w:b/>
                <w:szCs w:val="22"/>
                <w:lang w:val="sr-Latn-ME"/>
              </w:rPr>
            </w:pPr>
            <w:r w:rsidRPr="00B74B0F">
              <w:rPr>
                <w:b/>
                <w:szCs w:val="22"/>
                <w:lang w:val="sr-Latn-ME"/>
              </w:rPr>
              <w:t>Klinička remisija prema CDAI</w:t>
            </w:r>
            <w:r w:rsidRPr="00B74B0F">
              <w:rPr>
                <w:b/>
                <w:szCs w:val="22"/>
                <w:vertAlign w:val="superscript"/>
                <w:lang w:val="sr-Latn-ME"/>
              </w:rPr>
              <w:t>c</w:t>
            </w:r>
          </w:p>
        </w:tc>
        <w:tc>
          <w:tcPr>
            <w:tcW w:w="600" w:type="pct"/>
            <w:tcBorders>
              <w:top w:val="single" w:sz="6" w:space="0" w:color="000000"/>
              <w:left w:val="single" w:sz="6" w:space="0" w:color="000000"/>
              <w:bottom w:val="single" w:sz="6" w:space="0" w:color="000000"/>
              <w:right w:val="single" w:sz="6" w:space="0" w:color="000000"/>
            </w:tcBorders>
            <w:vAlign w:val="center"/>
          </w:tcPr>
          <w:p w14:paraId="0302FAB8" w14:textId="77777777" w:rsidR="00366107" w:rsidRPr="00B74B0F" w:rsidRDefault="00366107">
            <w:pPr>
              <w:jc w:val="center"/>
              <w:rPr>
                <w:szCs w:val="22"/>
                <w:lang w:val="sr-Latn-ME"/>
              </w:rPr>
            </w:pPr>
            <w:r w:rsidRPr="00B74B0F">
              <w:rPr>
                <w:bCs/>
                <w:szCs w:val="22"/>
                <w:lang w:val="sr-Latn-ME"/>
              </w:rPr>
              <w:t>15%</w:t>
            </w:r>
          </w:p>
        </w:tc>
        <w:tc>
          <w:tcPr>
            <w:tcW w:w="601" w:type="pct"/>
            <w:tcBorders>
              <w:top w:val="single" w:sz="6" w:space="0" w:color="000000"/>
              <w:left w:val="single" w:sz="6" w:space="0" w:color="000000"/>
              <w:bottom w:val="single" w:sz="6" w:space="0" w:color="000000"/>
              <w:right w:val="single" w:sz="6" w:space="0" w:color="000000"/>
            </w:tcBorders>
            <w:vAlign w:val="center"/>
          </w:tcPr>
          <w:p w14:paraId="24591792" w14:textId="77777777" w:rsidR="00366107" w:rsidRPr="00B74B0F" w:rsidRDefault="00366107">
            <w:pPr>
              <w:jc w:val="center"/>
              <w:rPr>
                <w:szCs w:val="22"/>
                <w:lang w:val="sr-Latn-ME"/>
              </w:rPr>
            </w:pPr>
            <w:r w:rsidRPr="00B74B0F">
              <w:rPr>
                <w:bCs/>
                <w:szCs w:val="22"/>
                <w:lang w:val="sr-Latn-ME"/>
              </w:rPr>
              <w:t>37%</w:t>
            </w:r>
          </w:p>
        </w:tc>
        <w:tc>
          <w:tcPr>
            <w:tcW w:w="599" w:type="pct"/>
            <w:tcBorders>
              <w:top w:val="single" w:sz="6" w:space="0" w:color="000000"/>
              <w:left w:val="single" w:sz="6" w:space="0" w:color="000000"/>
              <w:bottom w:val="single" w:sz="6" w:space="0" w:color="000000"/>
              <w:right w:val="single" w:sz="6" w:space="0" w:color="000000"/>
            </w:tcBorders>
            <w:vAlign w:val="center"/>
          </w:tcPr>
          <w:p w14:paraId="08EA14C3" w14:textId="77777777" w:rsidR="00366107" w:rsidRPr="00B74B0F" w:rsidRDefault="00366107">
            <w:pPr>
              <w:jc w:val="center"/>
              <w:rPr>
                <w:szCs w:val="22"/>
                <w:lang w:val="sr-Latn-ME"/>
              </w:rPr>
            </w:pPr>
            <w:r w:rsidRPr="00B74B0F">
              <w:rPr>
                <w:bCs/>
                <w:szCs w:val="22"/>
                <w:lang w:val="sr-Latn-ME"/>
              </w:rPr>
              <w:t>48%</w:t>
            </w:r>
          </w:p>
        </w:tc>
        <w:tc>
          <w:tcPr>
            <w:tcW w:w="801" w:type="pct"/>
            <w:tcBorders>
              <w:top w:val="single" w:sz="6" w:space="0" w:color="000000"/>
              <w:left w:val="single" w:sz="6" w:space="0" w:color="000000"/>
              <w:bottom w:val="single" w:sz="6" w:space="0" w:color="000000"/>
              <w:right w:val="single" w:sz="6" w:space="0" w:color="000000"/>
            </w:tcBorders>
            <w:vAlign w:val="center"/>
          </w:tcPr>
          <w:p w14:paraId="172B235B" w14:textId="77777777" w:rsidR="00366107" w:rsidRPr="00B74B0F" w:rsidRDefault="00366107">
            <w:pPr>
              <w:jc w:val="center"/>
              <w:rPr>
                <w:szCs w:val="22"/>
                <w:lang w:val="sr-Latn-ME"/>
              </w:rPr>
            </w:pPr>
            <w:r w:rsidRPr="00B74B0F">
              <w:rPr>
                <w:szCs w:val="22"/>
                <w:lang w:val="sr-Latn-ME"/>
              </w:rPr>
              <w:t>24%</w:t>
            </w:r>
          </w:p>
          <w:p w14:paraId="6CF81B78" w14:textId="77777777" w:rsidR="00366107" w:rsidRPr="00B74B0F" w:rsidRDefault="00366107">
            <w:pPr>
              <w:jc w:val="center"/>
              <w:rPr>
                <w:szCs w:val="22"/>
                <w:lang w:val="sr-Latn-ME"/>
              </w:rPr>
            </w:pPr>
            <w:r w:rsidRPr="00B74B0F">
              <w:rPr>
                <w:szCs w:val="22"/>
                <w:lang w:val="sr-Latn-ME"/>
              </w:rPr>
              <w:t>(15; 32)</w:t>
            </w:r>
            <w:r w:rsidRPr="00B74B0F">
              <w:rPr>
                <w:b/>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0542BA64" w14:textId="77777777" w:rsidR="00366107" w:rsidRPr="00B74B0F" w:rsidRDefault="00366107">
            <w:pPr>
              <w:jc w:val="center"/>
              <w:rPr>
                <w:szCs w:val="22"/>
                <w:lang w:val="sr-Latn-ME"/>
              </w:rPr>
            </w:pPr>
            <w:r w:rsidRPr="00B74B0F">
              <w:rPr>
                <w:szCs w:val="22"/>
                <w:lang w:val="sr-Latn-ME"/>
              </w:rPr>
              <w:t>33%</w:t>
            </w:r>
          </w:p>
          <w:p w14:paraId="6BF5421A" w14:textId="77777777" w:rsidR="00366107" w:rsidRPr="00B74B0F" w:rsidRDefault="00366107">
            <w:pPr>
              <w:jc w:val="center"/>
              <w:rPr>
                <w:szCs w:val="22"/>
                <w:lang w:val="sr-Latn-ME"/>
              </w:rPr>
            </w:pPr>
            <w:r w:rsidRPr="00B74B0F">
              <w:rPr>
                <w:szCs w:val="22"/>
                <w:lang w:val="sr-Latn-ME"/>
              </w:rPr>
              <w:t>(24; 42)</w:t>
            </w:r>
            <w:r w:rsidRPr="00B74B0F">
              <w:rPr>
                <w:b/>
                <w:szCs w:val="22"/>
                <w:vertAlign w:val="superscript"/>
                <w:lang w:val="sr-Latn-ME"/>
              </w:rPr>
              <w:t>*</w:t>
            </w:r>
          </w:p>
        </w:tc>
      </w:tr>
      <w:tr w:rsidR="00366107" w:rsidRPr="00B74B0F" w14:paraId="662B3E39"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tcPr>
          <w:p w14:paraId="02C5F555" w14:textId="77777777" w:rsidR="00366107" w:rsidRPr="00B74B0F" w:rsidRDefault="00366107" w:rsidP="00A30C3C">
            <w:pPr>
              <w:jc w:val="both"/>
              <w:rPr>
                <w:b/>
                <w:bCs/>
                <w:szCs w:val="22"/>
                <w:lang w:val="sr-Latn-ME"/>
              </w:rPr>
            </w:pPr>
            <w:r w:rsidRPr="00B74B0F">
              <w:rPr>
                <w:b/>
                <w:bCs/>
                <w:szCs w:val="22"/>
                <w:lang w:val="sr-Latn-ME"/>
              </w:rPr>
              <w:t>Klinički odgovor (CR-100)</w:t>
            </w:r>
            <w:r w:rsidRPr="00B74B0F">
              <w:rPr>
                <w:b/>
                <w:bCs/>
                <w:szCs w:val="22"/>
                <w:vertAlign w:val="superscript"/>
                <w:lang w:val="sr-Latn-ME"/>
              </w:rPr>
              <w:t>d</w:t>
            </w:r>
          </w:p>
        </w:tc>
        <w:tc>
          <w:tcPr>
            <w:tcW w:w="600" w:type="pct"/>
            <w:tcBorders>
              <w:top w:val="single" w:sz="6" w:space="0" w:color="000000"/>
              <w:left w:val="single" w:sz="6" w:space="0" w:color="000000"/>
              <w:bottom w:val="single" w:sz="6" w:space="0" w:color="000000"/>
              <w:right w:val="single" w:sz="6" w:space="0" w:color="000000"/>
            </w:tcBorders>
            <w:vAlign w:val="center"/>
          </w:tcPr>
          <w:p w14:paraId="7F61752C" w14:textId="77777777" w:rsidR="00366107" w:rsidRPr="00B74B0F" w:rsidRDefault="00366107">
            <w:pPr>
              <w:jc w:val="center"/>
              <w:rPr>
                <w:szCs w:val="22"/>
                <w:lang w:val="sr-Latn-ME"/>
              </w:rPr>
            </w:pPr>
            <w:r w:rsidRPr="00B74B0F">
              <w:rPr>
                <w:szCs w:val="22"/>
                <w:lang w:val="sr-Latn-ME"/>
              </w:rPr>
              <w:t>15%</w:t>
            </w:r>
          </w:p>
        </w:tc>
        <w:tc>
          <w:tcPr>
            <w:tcW w:w="601" w:type="pct"/>
            <w:tcBorders>
              <w:top w:val="single" w:sz="6" w:space="0" w:color="000000"/>
              <w:left w:val="single" w:sz="6" w:space="0" w:color="000000"/>
              <w:bottom w:val="single" w:sz="6" w:space="0" w:color="000000"/>
              <w:right w:val="single" w:sz="6" w:space="0" w:color="000000"/>
            </w:tcBorders>
            <w:vAlign w:val="center"/>
          </w:tcPr>
          <w:p w14:paraId="58D91B23" w14:textId="77777777" w:rsidR="00366107" w:rsidRPr="00B74B0F" w:rsidRDefault="00366107">
            <w:pPr>
              <w:jc w:val="center"/>
              <w:rPr>
                <w:szCs w:val="22"/>
                <w:lang w:val="sr-Latn-ME"/>
              </w:rPr>
            </w:pPr>
            <w:r w:rsidRPr="00B74B0F">
              <w:rPr>
                <w:szCs w:val="22"/>
                <w:lang w:val="sr-Latn-ME"/>
              </w:rPr>
              <w:t>41%</w:t>
            </w:r>
          </w:p>
        </w:tc>
        <w:tc>
          <w:tcPr>
            <w:tcW w:w="599" w:type="pct"/>
            <w:tcBorders>
              <w:top w:val="single" w:sz="6" w:space="0" w:color="000000"/>
              <w:left w:val="single" w:sz="6" w:space="0" w:color="000000"/>
              <w:bottom w:val="single" w:sz="6" w:space="0" w:color="000000"/>
              <w:right w:val="single" w:sz="6" w:space="0" w:color="000000"/>
            </w:tcBorders>
            <w:vAlign w:val="center"/>
          </w:tcPr>
          <w:p w14:paraId="1BF2EBC1" w14:textId="77777777" w:rsidR="00366107" w:rsidRPr="00B74B0F" w:rsidRDefault="00366107">
            <w:pPr>
              <w:jc w:val="center"/>
              <w:rPr>
                <w:szCs w:val="22"/>
                <w:lang w:val="sr-Latn-ME"/>
              </w:rPr>
            </w:pPr>
            <w:r w:rsidRPr="00B74B0F">
              <w:rPr>
                <w:szCs w:val="22"/>
                <w:lang w:val="sr-Latn-ME"/>
              </w:rPr>
              <w:t>51%</w:t>
            </w:r>
          </w:p>
        </w:tc>
        <w:tc>
          <w:tcPr>
            <w:tcW w:w="801" w:type="pct"/>
            <w:tcBorders>
              <w:top w:val="single" w:sz="6" w:space="0" w:color="000000"/>
              <w:left w:val="single" w:sz="6" w:space="0" w:color="000000"/>
              <w:bottom w:val="single" w:sz="6" w:space="0" w:color="000000"/>
              <w:right w:val="single" w:sz="6" w:space="0" w:color="000000"/>
            </w:tcBorders>
            <w:vAlign w:val="center"/>
          </w:tcPr>
          <w:p w14:paraId="514AFD04" w14:textId="77777777" w:rsidR="00366107" w:rsidRPr="00B74B0F" w:rsidRDefault="00366107">
            <w:pPr>
              <w:jc w:val="center"/>
              <w:rPr>
                <w:szCs w:val="22"/>
                <w:lang w:val="sr-Latn-ME"/>
              </w:rPr>
            </w:pPr>
            <w:r w:rsidRPr="00B74B0F">
              <w:rPr>
                <w:szCs w:val="22"/>
                <w:lang w:val="sr-Latn-ME"/>
              </w:rPr>
              <w:t>27%</w:t>
            </w:r>
          </w:p>
          <w:p w14:paraId="44D95B3E" w14:textId="77777777" w:rsidR="00366107" w:rsidRPr="00B74B0F" w:rsidRDefault="00366107">
            <w:pPr>
              <w:jc w:val="center"/>
              <w:rPr>
                <w:szCs w:val="22"/>
                <w:lang w:val="sr-Latn-ME"/>
              </w:rPr>
            </w:pPr>
            <w:r w:rsidRPr="00B74B0F">
              <w:rPr>
                <w:szCs w:val="22"/>
                <w:lang w:val="sr-Latn-ME"/>
              </w:rPr>
              <w:t>(18; 36)</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618E3CBA" w14:textId="77777777" w:rsidR="00366107" w:rsidRPr="00B74B0F" w:rsidRDefault="00366107">
            <w:pPr>
              <w:jc w:val="center"/>
              <w:rPr>
                <w:szCs w:val="22"/>
                <w:lang w:val="sr-Latn-ME"/>
              </w:rPr>
            </w:pPr>
            <w:r w:rsidRPr="00B74B0F">
              <w:rPr>
                <w:szCs w:val="22"/>
                <w:lang w:val="sr-Latn-ME"/>
              </w:rPr>
              <w:t>36%</w:t>
            </w:r>
          </w:p>
          <w:p w14:paraId="28BC984B" w14:textId="77777777" w:rsidR="00366107" w:rsidRPr="00B74B0F" w:rsidRDefault="00366107">
            <w:pPr>
              <w:jc w:val="center"/>
              <w:rPr>
                <w:szCs w:val="22"/>
                <w:lang w:val="sr-Latn-ME"/>
              </w:rPr>
            </w:pPr>
            <w:r w:rsidRPr="00B74B0F">
              <w:rPr>
                <w:szCs w:val="22"/>
                <w:lang w:val="sr-Latn-ME"/>
              </w:rPr>
              <w:t>(28; 45)</w:t>
            </w:r>
            <w:r w:rsidRPr="00B74B0F">
              <w:rPr>
                <w:szCs w:val="22"/>
                <w:vertAlign w:val="superscript"/>
                <w:lang w:val="sr-Latn-ME"/>
              </w:rPr>
              <w:t>*</w:t>
            </w:r>
          </w:p>
        </w:tc>
      </w:tr>
      <w:tr w:rsidR="00366107" w:rsidRPr="00B74B0F" w14:paraId="4A4ACDF8"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tcPr>
          <w:p w14:paraId="23FF0DC4" w14:textId="77777777" w:rsidR="00366107" w:rsidRPr="00B74B0F" w:rsidRDefault="00366107" w:rsidP="00A30C3C">
            <w:pPr>
              <w:jc w:val="both"/>
              <w:rPr>
                <w:b/>
                <w:szCs w:val="22"/>
                <w:lang w:val="sr-Latn-ME"/>
              </w:rPr>
            </w:pPr>
            <w:r w:rsidRPr="00B74B0F">
              <w:rPr>
                <w:b/>
                <w:szCs w:val="22"/>
                <w:lang w:val="sr-Latn-ME"/>
              </w:rPr>
              <w:t>Klinička remisija bez primjene kortikosteroida</w:t>
            </w:r>
            <w:r w:rsidRPr="00B74B0F">
              <w:rPr>
                <w:b/>
                <w:szCs w:val="22"/>
                <w:vertAlign w:val="superscript"/>
                <w:lang w:val="sr-Latn-ME"/>
              </w:rPr>
              <w:t>a,e</w:t>
            </w:r>
          </w:p>
        </w:tc>
        <w:tc>
          <w:tcPr>
            <w:tcW w:w="600" w:type="pct"/>
            <w:tcBorders>
              <w:top w:val="single" w:sz="6" w:space="0" w:color="000000"/>
              <w:left w:val="single" w:sz="6" w:space="0" w:color="000000"/>
              <w:bottom w:val="single" w:sz="6" w:space="0" w:color="000000"/>
              <w:right w:val="single" w:sz="6" w:space="0" w:color="000000"/>
            </w:tcBorders>
            <w:vAlign w:val="center"/>
          </w:tcPr>
          <w:p w14:paraId="0ABFD1C0" w14:textId="77777777" w:rsidR="00366107" w:rsidRPr="00B74B0F" w:rsidRDefault="00366107">
            <w:pPr>
              <w:jc w:val="center"/>
              <w:rPr>
                <w:szCs w:val="22"/>
                <w:lang w:val="sr-Latn-ME"/>
              </w:rPr>
            </w:pPr>
            <w:r w:rsidRPr="00B74B0F">
              <w:rPr>
                <w:szCs w:val="22"/>
                <w:lang w:val="sr-Latn-ME"/>
              </w:rPr>
              <w:t>14%</w:t>
            </w:r>
          </w:p>
        </w:tc>
        <w:tc>
          <w:tcPr>
            <w:tcW w:w="601" w:type="pct"/>
            <w:tcBorders>
              <w:top w:val="single" w:sz="6" w:space="0" w:color="000000"/>
              <w:left w:val="single" w:sz="6" w:space="0" w:color="000000"/>
              <w:bottom w:val="single" w:sz="6" w:space="0" w:color="000000"/>
              <w:right w:val="single" w:sz="6" w:space="0" w:color="000000"/>
            </w:tcBorders>
            <w:vAlign w:val="center"/>
          </w:tcPr>
          <w:p w14:paraId="7BDE7967" w14:textId="77777777" w:rsidR="00366107" w:rsidRPr="00B74B0F" w:rsidRDefault="00366107">
            <w:pPr>
              <w:jc w:val="center"/>
              <w:rPr>
                <w:szCs w:val="22"/>
                <w:lang w:val="sr-Latn-ME"/>
              </w:rPr>
            </w:pPr>
            <w:r w:rsidRPr="00B74B0F">
              <w:rPr>
                <w:szCs w:val="22"/>
                <w:lang w:val="sr-Latn-ME"/>
              </w:rPr>
              <w:t>35%</w:t>
            </w:r>
          </w:p>
        </w:tc>
        <w:tc>
          <w:tcPr>
            <w:tcW w:w="599" w:type="pct"/>
            <w:tcBorders>
              <w:top w:val="single" w:sz="6" w:space="0" w:color="000000"/>
              <w:left w:val="single" w:sz="6" w:space="0" w:color="000000"/>
              <w:bottom w:val="single" w:sz="6" w:space="0" w:color="000000"/>
              <w:right w:val="single" w:sz="6" w:space="0" w:color="000000"/>
            </w:tcBorders>
            <w:vAlign w:val="center"/>
          </w:tcPr>
          <w:p w14:paraId="20E46FA3" w14:textId="77777777" w:rsidR="00366107" w:rsidRPr="00B74B0F" w:rsidRDefault="00366107">
            <w:pPr>
              <w:jc w:val="center"/>
              <w:rPr>
                <w:szCs w:val="22"/>
                <w:lang w:val="sr-Latn-ME"/>
              </w:rPr>
            </w:pPr>
            <w:r w:rsidRPr="00B74B0F">
              <w:rPr>
                <w:szCs w:val="22"/>
                <w:lang w:val="sr-Latn-ME"/>
              </w:rPr>
              <w:t>45%</w:t>
            </w:r>
          </w:p>
        </w:tc>
        <w:tc>
          <w:tcPr>
            <w:tcW w:w="801" w:type="pct"/>
            <w:tcBorders>
              <w:top w:val="single" w:sz="6" w:space="0" w:color="000000"/>
              <w:left w:val="single" w:sz="6" w:space="0" w:color="000000"/>
              <w:bottom w:val="single" w:sz="6" w:space="0" w:color="000000"/>
              <w:right w:val="single" w:sz="6" w:space="0" w:color="000000"/>
            </w:tcBorders>
            <w:vAlign w:val="center"/>
          </w:tcPr>
          <w:p w14:paraId="769B8692" w14:textId="77777777" w:rsidR="00366107" w:rsidRPr="00B74B0F" w:rsidRDefault="00366107">
            <w:pPr>
              <w:jc w:val="center"/>
              <w:rPr>
                <w:szCs w:val="22"/>
                <w:lang w:val="sr-Latn-ME"/>
              </w:rPr>
            </w:pPr>
            <w:r w:rsidRPr="00B74B0F">
              <w:rPr>
                <w:szCs w:val="22"/>
                <w:lang w:val="sr-Latn-ME"/>
              </w:rPr>
              <w:t>21%</w:t>
            </w:r>
          </w:p>
          <w:p w14:paraId="47867E62" w14:textId="77777777" w:rsidR="00366107" w:rsidRPr="00B74B0F" w:rsidRDefault="00366107">
            <w:pPr>
              <w:jc w:val="center"/>
              <w:rPr>
                <w:szCs w:val="22"/>
                <w:lang w:val="sr-Latn-ME"/>
              </w:rPr>
            </w:pPr>
            <w:r w:rsidRPr="00B74B0F">
              <w:rPr>
                <w:szCs w:val="22"/>
                <w:lang w:val="sr-Latn-ME"/>
              </w:rPr>
              <w:t>(13; 30)</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0DAB4C72" w14:textId="77777777" w:rsidR="00366107" w:rsidRPr="00B74B0F" w:rsidRDefault="00366107">
            <w:pPr>
              <w:jc w:val="center"/>
              <w:rPr>
                <w:szCs w:val="22"/>
                <w:lang w:val="sr-Latn-ME"/>
              </w:rPr>
            </w:pPr>
            <w:r w:rsidRPr="00B74B0F">
              <w:rPr>
                <w:szCs w:val="22"/>
                <w:lang w:val="sr-Latn-ME"/>
              </w:rPr>
              <w:t>30%</w:t>
            </w:r>
          </w:p>
          <w:p w14:paraId="7FA078E4" w14:textId="77777777" w:rsidR="00366107" w:rsidRPr="00B74B0F" w:rsidRDefault="00366107">
            <w:pPr>
              <w:jc w:val="center"/>
              <w:rPr>
                <w:szCs w:val="22"/>
                <w:lang w:val="sr-Latn-ME"/>
              </w:rPr>
            </w:pPr>
            <w:r w:rsidRPr="00B74B0F">
              <w:rPr>
                <w:szCs w:val="22"/>
                <w:lang w:val="sr-Latn-ME"/>
              </w:rPr>
              <w:t>(21; 39)</w:t>
            </w:r>
            <w:r w:rsidRPr="00B74B0F">
              <w:rPr>
                <w:szCs w:val="22"/>
                <w:vertAlign w:val="superscript"/>
                <w:lang w:val="sr-Latn-ME"/>
              </w:rPr>
              <w:t>*</w:t>
            </w:r>
          </w:p>
        </w:tc>
      </w:tr>
      <w:tr w:rsidR="00366107" w:rsidRPr="00B74B0F" w14:paraId="063087BB"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hideMark/>
          </w:tcPr>
          <w:p w14:paraId="32CC88C6" w14:textId="77777777" w:rsidR="00366107" w:rsidRPr="00B74B0F" w:rsidRDefault="00366107" w:rsidP="00A30C3C">
            <w:pPr>
              <w:keepNext/>
              <w:jc w:val="both"/>
              <w:rPr>
                <w:szCs w:val="22"/>
                <w:lang w:val="sr-Latn-ME"/>
              </w:rPr>
            </w:pPr>
            <w:r w:rsidRPr="00B74B0F">
              <w:rPr>
                <w:b/>
                <w:szCs w:val="22"/>
                <w:lang w:val="sr-Latn-ME"/>
              </w:rPr>
              <w:t>Održavanje kliničke remisije</w:t>
            </w:r>
            <w:r w:rsidRPr="00B74B0F">
              <w:rPr>
                <w:b/>
                <w:bCs/>
                <w:szCs w:val="22"/>
                <w:vertAlign w:val="superscript"/>
                <w:lang w:val="sr-Latn-ME"/>
              </w:rPr>
              <w:t>a, </w:t>
            </w:r>
            <w:r w:rsidRPr="00B74B0F">
              <w:rPr>
                <w:b/>
                <w:szCs w:val="22"/>
                <w:vertAlign w:val="superscript"/>
                <w:lang w:val="sr-Latn-ME"/>
              </w:rPr>
              <w:t>f</w:t>
            </w:r>
          </w:p>
        </w:tc>
        <w:tc>
          <w:tcPr>
            <w:tcW w:w="600" w:type="pct"/>
            <w:tcBorders>
              <w:top w:val="single" w:sz="6" w:space="0" w:color="000000"/>
              <w:left w:val="single" w:sz="6" w:space="0" w:color="000000"/>
              <w:bottom w:val="single" w:sz="6" w:space="0" w:color="000000"/>
              <w:right w:val="single" w:sz="6" w:space="0" w:color="000000"/>
            </w:tcBorders>
            <w:vAlign w:val="center"/>
          </w:tcPr>
          <w:p w14:paraId="6BA7DA0F" w14:textId="77777777" w:rsidR="00366107" w:rsidRPr="00B74B0F" w:rsidRDefault="00366107">
            <w:pPr>
              <w:keepNext/>
              <w:jc w:val="center"/>
              <w:rPr>
                <w:szCs w:val="22"/>
                <w:lang w:val="sr-Latn-ME"/>
              </w:rPr>
            </w:pPr>
            <w:r w:rsidRPr="00B74B0F">
              <w:rPr>
                <w:szCs w:val="22"/>
                <w:lang w:val="sr-Latn-ME"/>
              </w:rPr>
              <w:t>N = 101</w:t>
            </w:r>
          </w:p>
          <w:p w14:paraId="21657241" w14:textId="77777777" w:rsidR="00366107" w:rsidRPr="00B74B0F" w:rsidRDefault="00366107">
            <w:pPr>
              <w:keepNext/>
              <w:jc w:val="center"/>
              <w:rPr>
                <w:szCs w:val="22"/>
                <w:lang w:val="sr-Latn-ME"/>
              </w:rPr>
            </w:pPr>
            <w:r w:rsidRPr="00B74B0F">
              <w:rPr>
                <w:szCs w:val="22"/>
                <w:lang w:val="sr-Latn-ME"/>
              </w:rPr>
              <w:t>20%</w:t>
            </w:r>
          </w:p>
        </w:tc>
        <w:tc>
          <w:tcPr>
            <w:tcW w:w="601" w:type="pct"/>
            <w:tcBorders>
              <w:top w:val="single" w:sz="6" w:space="0" w:color="000000"/>
              <w:left w:val="single" w:sz="6" w:space="0" w:color="000000"/>
              <w:bottom w:val="single" w:sz="6" w:space="0" w:color="000000"/>
              <w:right w:val="single" w:sz="6" w:space="0" w:color="000000"/>
            </w:tcBorders>
            <w:vAlign w:val="center"/>
          </w:tcPr>
          <w:p w14:paraId="4BDCE461" w14:textId="77777777" w:rsidR="00366107" w:rsidRPr="00B74B0F" w:rsidRDefault="00366107">
            <w:pPr>
              <w:keepNext/>
              <w:jc w:val="center"/>
              <w:rPr>
                <w:szCs w:val="22"/>
                <w:lang w:val="sr-Latn-ME"/>
              </w:rPr>
            </w:pPr>
            <w:r w:rsidRPr="00B74B0F">
              <w:rPr>
                <w:szCs w:val="22"/>
                <w:lang w:val="sr-Latn-ME"/>
              </w:rPr>
              <w:t>N = 105</w:t>
            </w:r>
          </w:p>
          <w:p w14:paraId="743242FD" w14:textId="77777777" w:rsidR="00366107" w:rsidRPr="00B74B0F" w:rsidRDefault="00366107">
            <w:pPr>
              <w:keepNext/>
              <w:jc w:val="center"/>
              <w:rPr>
                <w:szCs w:val="22"/>
                <w:lang w:val="sr-Latn-ME"/>
              </w:rPr>
            </w:pPr>
            <w:r w:rsidRPr="00B74B0F">
              <w:rPr>
                <w:szCs w:val="22"/>
                <w:lang w:val="sr-Latn-ME"/>
              </w:rPr>
              <w:t>50%</w:t>
            </w:r>
          </w:p>
        </w:tc>
        <w:tc>
          <w:tcPr>
            <w:tcW w:w="599" w:type="pct"/>
            <w:tcBorders>
              <w:top w:val="single" w:sz="6" w:space="0" w:color="000000"/>
              <w:left w:val="single" w:sz="6" w:space="0" w:color="000000"/>
              <w:bottom w:val="single" w:sz="6" w:space="0" w:color="000000"/>
              <w:right w:val="single" w:sz="6" w:space="0" w:color="000000"/>
            </w:tcBorders>
            <w:vAlign w:val="center"/>
          </w:tcPr>
          <w:p w14:paraId="4740D760" w14:textId="77777777" w:rsidR="00366107" w:rsidRPr="00B74B0F" w:rsidRDefault="00366107">
            <w:pPr>
              <w:keepNext/>
              <w:jc w:val="center"/>
              <w:rPr>
                <w:szCs w:val="22"/>
                <w:lang w:val="sr-Latn-ME"/>
              </w:rPr>
            </w:pPr>
            <w:r w:rsidRPr="00B74B0F">
              <w:rPr>
                <w:szCs w:val="22"/>
                <w:lang w:val="sr-Latn-ME"/>
              </w:rPr>
              <w:t>N = 105</w:t>
            </w:r>
          </w:p>
          <w:p w14:paraId="1D935445" w14:textId="77777777" w:rsidR="00366107" w:rsidRPr="00B74B0F" w:rsidRDefault="00366107">
            <w:pPr>
              <w:keepNext/>
              <w:jc w:val="center"/>
              <w:rPr>
                <w:szCs w:val="22"/>
                <w:lang w:val="sr-Latn-ME"/>
              </w:rPr>
            </w:pPr>
            <w:r w:rsidRPr="00B74B0F">
              <w:rPr>
                <w:szCs w:val="22"/>
                <w:lang w:val="sr-Latn-ME"/>
              </w:rPr>
              <w:t>60%</w:t>
            </w:r>
          </w:p>
        </w:tc>
        <w:tc>
          <w:tcPr>
            <w:tcW w:w="801" w:type="pct"/>
            <w:tcBorders>
              <w:top w:val="single" w:sz="6" w:space="0" w:color="000000"/>
              <w:left w:val="single" w:sz="6" w:space="0" w:color="000000"/>
              <w:bottom w:val="single" w:sz="6" w:space="0" w:color="000000"/>
              <w:right w:val="single" w:sz="6" w:space="0" w:color="000000"/>
            </w:tcBorders>
            <w:vAlign w:val="center"/>
          </w:tcPr>
          <w:p w14:paraId="38149F1A" w14:textId="77777777" w:rsidR="00366107" w:rsidRPr="00B74B0F" w:rsidRDefault="00366107">
            <w:pPr>
              <w:keepNext/>
              <w:jc w:val="center"/>
              <w:rPr>
                <w:szCs w:val="22"/>
                <w:lang w:val="sr-Latn-ME"/>
              </w:rPr>
            </w:pPr>
            <w:r w:rsidRPr="00B74B0F">
              <w:rPr>
                <w:szCs w:val="22"/>
                <w:lang w:val="sr-Latn-ME"/>
              </w:rPr>
              <w:t>32%</w:t>
            </w:r>
          </w:p>
          <w:p w14:paraId="0A287F97" w14:textId="77777777" w:rsidR="00366107" w:rsidRPr="00B74B0F" w:rsidRDefault="00366107">
            <w:pPr>
              <w:keepNext/>
              <w:jc w:val="center"/>
              <w:rPr>
                <w:szCs w:val="22"/>
                <w:lang w:val="sr-Latn-ME"/>
              </w:rPr>
            </w:pPr>
            <w:r w:rsidRPr="00B74B0F">
              <w:rPr>
                <w:szCs w:val="22"/>
                <w:lang w:val="sr-Latn-ME"/>
              </w:rPr>
              <w:t>(20; 44)</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4EB380D9" w14:textId="77777777" w:rsidR="00366107" w:rsidRPr="00B74B0F" w:rsidRDefault="00366107">
            <w:pPr>
              <w:keepNext/>
              <w:jc w:val="center"/>
              <w:rPr>
                <w:szCs w:val="22"/>
                <w:lang w:val="sr-Latn-ME"/>
              </w:rPr>
            </w:pPr>
            <w:r w:rsidRPr="00B74B0F">
              <w:rPr>
                <w:szCs w:val="22"/>
                <w:lang w:val="sr-Latn-ME"/>
              </w:rPr>
              <w:t>40%</w:t>
            </w:r>
          </w:p>
          <w:p w14:paraId="5762D920" w14:textId="77777777" w:rsidR="00366107" w:rsidRPr="00B74B0F" w:rsidRDefault="00366107">
            <w:pPr>
              <w:keepNext/>
              <w:jc w:val="center"/>
              <w:rPr>
                <w:szCs w:val="22"/>
                <w:lang w:val="sr-Latn-ME"/>
              </w:rPr>
            </w:pPr>
            <w:r w:rsidRPr="00B74B0F">
              <w:rPr>
                <w:szCs w:val="22"/>
                <w:lang w:val="sr-Latn-ME"/>
              </w:rPr>
              <w:t>(28; 52)</w:t>
            </w:r>
            <w:r w:rsidRPr="00B74B0F">
              <w:rPr>
                <w:szCs w:val="22"/>
                <w:vertAlign w:val="superscript"/>
                <w:lang w:val="sr-Latn-ME"/>
              </w:rPr>
              <w:t>*</w:t>
            </w:r>
          </w:p>
        </w:tc>
      </w:tr>
      <w:tr w:rsidR="00366107" w:rsidRPr="00B74B0F" w14:paraId="2B3C6BD6"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tcPr>
          <w:p w14:paraId="0ED3C204" w14:textId="77777777" w:rsidR="00366107" w:rsidRPr="00B74B0F" w:rsidRDefault="00366107" w:rsidP="00A30C3C">
            <w:pPr>
              <w:jc w:val="both"/>
              <w:rPr>
                <w:b/>
                <w:szCs w:val="22"/>
                <w:lang w:val="sr-Latn-ME"/>
              </w:rPr>
            </w:pPr>
            <w:r w:rsidRPr="00B74B0F">
              <w:rPr>
                <w:b/>
                <w:szCs w:val="22"/>
                <w:lang w:val="sr-Latn-ME"/>
              </w:rPr>
              <w:t>Endoskopska remisija</w:t>
            </w:r>
            <w:r w:rsidRPr="00B74B0F">
              <w:rPr>
                <w:b/>
                <w:szCs w:val="22"/>
                <w:vertAlign w:val="superscript"/>
                <w:lang w:val="sr-Latn-ME"/>
              </w:rPr>
              <w:t>g</w:t>
            </w:r>
          </w:p>
        </w:tc>
        <w:tc>
          <w:tcPr>
            <w:tcW w:w="600" w:type="pct"/>
            <w:tcBorders>
              <w:top w:val="single" w:sz="6" w:space="0" w:color="000000"/>
              <w:left w:val="single" w:sz="6" w:space="0" w:color="000000"/>
              <w:bottom w:val="single" w:sz="6" w:space="0" w:color="000000"/>
              <w:right w:val="single" w:sz="6" w:space="0" w:color="000000"/>
            </w:tcBorders>
            <w:vAlign w:val="center"/>
          </w:tcPr>
          <w:p w14:paraId="6CC6C5F4" w14:textId="77777777" w:rsidR="00366107" w:rsidRPr="00B74B0F" w:rsidRDefault="00366107">
            <w:pPr>
              <w:jc w:val="center"/>
              <w:rPr>
                <w:szCs w:val="22"/>
                <w:lang w:val="sr-Latn-ME"/>
              </w:rPr>
            </w:pPr>
            <w:r w:rsidRPr="00B74B0F">
              <w:rPr>
                <w:szCs w:val="22"/>
                <w:lang w:val="sr-Latn-ME"/>
              </w:rPr>
              <w:t>5%</w:t>
            </w:r>
          </w:p>
        </w:tc>
        <w:tc>
          <w:tcPr>
            <w:tcW w:w="601" w:type="pct"/>
            <w:tcBorders>
              <w:top w:val="single" w:sz="6" w:space="0" w:color="000000"/>
              <w:left w:val="single" w:sz="6" w:space="0" w:color="000000"/>
              <w:bottom w:val="single" w:sz="6" w:space="0" w:color="000000"/>
              <w:right w:val="single" w:sz="6" w:space="0" w:color="000000"/>
            </w:tcBorders>
            <w:vAlign w:val="center"/>
          </w:tcPr>
          <w:p w14:paraId="20A50BD1" w14:textId="77777777" w:rsidR="00366107" w:rsidRPr="00B74B0F" w:rsidRDefault="00366107">
            <w:pPr>
              <w:jc w:val="center"/>
              <w:rPr>
                <w:szCs w:val="22"/>
                <w:lang w:val="sr-Latn-ME"/>
              </w:rPr>
            </w:pPr>
            <w:r w:rsidRPr="00B74B0F">
              <w:rPr>
                <w:szCs w:val="22"/>
                <w:lang w:val="sr-Latn-ME"/>
              </w:rPr>
              <w:t>19%</w:t>
            </w:r>
          </w:p>
        </w:tc>
        <w:tc>
          <w:tcPr>
            <w:tcW w:w="599" w:type="pct"/>
            <w:tcBorders>
              <w:top w:val="single" w:sz="6" w:space="0" w:color="000000"/>
              <w:left w:val="single" w:sz="6" w:space="0" w:color="000000"/>
              <w:bottom w:val="single" w:sz="6" w:space="0" w:color="000000"/>
              <w:right w:val="single" w:sz="6" w:space="0" w:color="000000"/>
            </w:tcBorders>
            <w:vAlign w:val="center"/>
          </w:tcPr>
          <w:p w14:paraId="76C3133C" w14:textId="77777777" w:rsidR="00366107" w:rsidRPr="00B74B0F" w:rsidRDefault="00366107">
            <w:pPr>
              <w:jc w:val="center"/>
              <w:rPr>
                <w:szCs w:val="22"/>
                <w:lang w:val="sr-Latn-ME"/>
              </w:rPr>
            </w:pPr>
            <w:r w:rsidRPr="00B74B0F">
              <w:rPr>
                <w:szCs w:val="22"/>
                <w:lang w:val="sr-Latn-ME"/>
              </w:rPr>
              <w:t>29%</w:t>
            </w:r>
          </w:p>
        </w:tc>
        <w:tc>
          <w:tcPr>
            <w:tcW w:w="801" w:type="pct"/>
            <w:tcBorders>
              <w:top w:val="single" w:sz="6" w:space="0" w:color="000000"/>
              <w:left w:val="single" w:sz="6" w:space="0" w:color="000000"/>
              <w:bottom w:val="single" w:sz="6" w:space="0" w:color="000000"/>
              <w:right w:val="single" w:sz="6" w:space="0" w:color="000000"/>
            </w:tcBorders>
            <w:vAlign w:val="center"/>
          </w:tcPr>
          <w:p w14:paraId="34C5DB7C" w14:textId="77777777" w:rsidR="00366107" w:rsidRPr="00B74B0F" w:rsidRDefault="00366107">
            <w:pPr>
              <w:jc w:val="center"/>
              <w:rPr>
                <w:szCs w:val="22"/>
                <w:lang w:val="sr-Latn-ME"/>
              </w:rPr>
            </w:pPr>
            <w:r w:rsidRPr="00B74B0F">
              <w:rPr>
                <w:szCs w:val="22"/>
                <w:lang w:val="sr-Latn-ME"/>
              </w:rPr>
              <w:t>14%</w:t>
            </w:r>
          </w:p>
          <w:p w14:paraId="2581F319" w14:textId="77777777" w:rsidR="00366107" w:rsidRPr="00B74B0F" w:rsidRDefault="00366107">
            <w:pPr>
              <w:jc w:val="center"/>
              <w:rPr>
                <w:szCs w:val="22"/>
                <w:lang w:val="sr-Latn-ME"/>
              </w:rPr>
            </w:pPr>
            <w:r w:rsidRPr="00B74B0F">
              <w:rPr>
                <w:szCs w:val="22"/>
                <w:lang w:val="sr-Latn-ME"/>
              </w:rPr>
              <w:t>(8; 21)</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0557D1C3" w14:textId="77777777" w:rsidR="00366107" w:rsidRPr="00B74B0F" w:rsidRDefault="00366107">
            <w:pPr>
              <w:jc w:val="center"/>
              <w:rPr>
                <w:szCs w:val="22"/>
                <w:lang w:val="sr-Latn-ME"/>
              </w:rPr>
            </w:pPr>
            <w:r w:rsidRPr="00B74B0F">
              <w:rPr>
                <w:szCs w:val="22"/>
                <w:lang w:val="sr-Latn-ME"/>
              </w:rPr>
              <w:t>24%</w:t>
            </w:r>
          </w:p>
          <w:p w14:paraId="1516EADA" w14:textId="77777777" w:rsidR="00366107" w:rsidRPr="00B74B0F" w:rsidRDefault="00366107">
            <w:pPr>
              <w:jc w:val="center"/>
              <w:rPr>
                <w:szCs w:val="22"/>
                <w:lang w:val="sr-Latn-ME"/>
              </w:rPr>
            </w:pPr>
            <w:r w:rsidRPr="00B74B0F">
              <w:rPr>
                <w:szCs w:val="22"/>
                <w:lang w:val="sr-Latn-ME"/>
              </w:rPr>
              <w:t>(16; 31)</w:t>
            </w:r>
            <w:r w:rsidRPr="00B74B0F">
              <w:rPr>
                <w:szCs w:val="22"/>
                <w:vertAlign w:val="superscript"/>
                <w:lang w:val="sr-Latn-ME"/>
              </w:rPr>
              <w:t>*</w:t>
            </w:r>
          </w:p>
        </w:tc>
      </w:tr>
      <w:tr w:rsidR="00366107" w:rsidRPr="00B74B0F" w14:paraId="0B61D8D9"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hideMark/>
          </w:tcPr>
          <w:p w14:paraId="4801C4E3" w14:textId="77777777" w:rsidR="00366107" w:rsidRPr="00B74B0F" w:rsidRDefault="00366107" w:rsidP="00A30C3C">
            <w:pPr>
              <w:jc w:val="both"/>
              <w:rPr>
                <w:b/>
                <w:bCs/>
                <w:szCs w:val="22"/>
                <w:lang w:val="sr-Latn-ME"/>
              </w:rPr>
            </w:pPr>
            <w:r w:rsidRPr="00B74B0F">
              <w:rPr>
                <w:b/>
                <w:bCs/>
                <w:szCs w:val="22"/>
                <w:lang w:val="sr-Latn-ME"/>
              </w:rPr>
              <w:t>Zarastanje sluznice</w:t>
            </w:r>
            <w:r w:rsidRPr="00B74B0F">
              <w:rPr>
                <w:b/>
                <w:bCs/>
                <w:szCs w:val="22"/>
                <w:vertAlign w:val="superscript"/>
                <w:lang w:val="sr-Latn-ME"/>
              </w:rPr>
              <w:t>h</w:t>
            </w:r>
          </w:p>
        </w:tc>
        <w:tc>
          <w:tcPr>
            <w:tcW w:w="600" w:type="pct"/>
            <w:tcBorders>
              <w:top w:val="single" w:sz="6" w:space="0" w:color="000000"/>
              <w:left w:val="single" w:sz="6" w:space="0" w:color="000000"/>
              <w:bottom w:val="single" w:sz="6" w:space="0" w:color="000000"/>
              <w:right w:val="single" w:sz="6" w:space="0" w:color="000000"/>
            </w:tcBorders>
            <w:vAlign w:val="center"/>
          </w:tcPr>
          <w:p w14:paraId="06EB11A2" w14:textId="77777777" w:rsidR="00366107" w:rsidRPr="00B74B0F" w:rsidRDefault="00366107">
            <w:pPr>
              <w:jc w:val="center"/>
              <w:rPr>
                <w:szCs w:val="22"/>
                <w:lang w:val="sr-Latn-ME"/>
              </w:rPr>
            </w:pPr>
            <w:r w:rsidRPr="00B74B0F">
              <w:rPr>
                <w:szCs w:val="22"/>
                <w:lang w:val="sr-Latn-ME"/>
              </w:rPr>
              <w:t>N = 164</w:t>
            </w:r>
          </w:p>
          <w:p w14:paraId="03102D2D" w14:textId="77777777" w:rsidR="00366107" w:rsidRPr="00B74B0F" w:rsidRDefault="00366107">
            <w:pPr>
              <w:jc w:val="center"/>
              <w:rPr>
                <w:szCs w:val="22"/>
                <w:lang w:val="sr-Latn-ME"/>
              </w:rPr>
            </w:pPr>
            <w:r w:rsidRPr="00B74B0F">
              <w:rPr>
                <w:szCs w:val="22"/>
                <w:lang w:val="sr-Latn-ME"/>
              </w:rPr>
              <w:t>4%</w:t>
            </w:r>
          </w:p>
        </w:tc>
        <w:tc>
          <w:tcPr>
            <w:tcW w:w="601" w:type="pct"/>
            <w:tcBorders>
              <w:top w:val="single" w:sz="6" w:space="0" w:color="000000"/>
              <w:left w:val="single" w:sz="6" w:space="0" w:color="000000"/>
              <w:bottom w:val="single" w:sz="6" w:space="0" w:color="000000"/>
              <w:right w:val="single" w:sz="6" w:space="0" w:color="000000"/>
            </w:tcBorders>
            <w:vAlign w:val="center"/>
          </w:tcPr>
          <w:p w14:paraId="1EA1C91A" w14:textId="77777777" w:rsidR="00366107" w:rsidRPr="00B74B0F" w:rsidRDefault="00366107">
            <w:pPr>
              <w:jc w:val="center"/>
              <w:rPr>
                <w:szCs w:val="22"/>
                <w:lang w:val="sr-Latn-ME"/>
              </w:rPr>
            </w:pPr>
            <w:r w:rsidRPr="00B74B0F">
              <w:rPr>
                <w:szCs w:val="22"/>
                <w:lang w:val="sr-Latn-ME"/>
              </w:rPr>
              <w:t>N = 167</w:t>
            </w:r>
          </w:p>
          <w:p w14:paraId="3FACB54D" w14:textId="77777777" w:rsidR="00366107" w:rsidRPr="00B74B0F" w:rsidRDefault="00366107">
            <w:pPr>
              <w:jc w:val="center"/>
              <w:rPr>
                <w:szCs w:val="22"/>
                <w:lang w:val="sr-Latn-ME"/>
              </w:rPr>
            </w:pPr>
            <w:r w:rsidRPr="00B74B0F">
              <w:rPr>
                <w:szCs w:val="22"/>
                <w:lang w:val="sr-Latn-ME"/>
              </w:rPr>
              <w:t>13%</w:t>
            </w:r>
          </w:p>
        </w:tc>
        <w:tc>
          <w:tcPr>
            <w:tcW w:w="599" w:type="pct"/>
            <w:tcBorders>
              <w:top w:val="single" w:sz="6" w:space="0" w:color="000000"/>
              <w:left w:val="single" w:sz="6" w:space="0" w:color="000000"/>
              <w:bottom w:val="single" w:sz="6" w:space="0" w:color="000000"/>
              <w:right w:val="single" w:sz="6" w:space="0" w:color="000000"/>
            </w:tcBorders>
            <w:vAlign w:val="center"/>
          </w:tcPr>
          <w:p w14:paraId="5FB4270F" w14:textId="77777777" w:rsidR="00366107" w:rsidRPr="00B74B0F" w:rsidRDefault="00366107">
            <w:pPr>
              <w:jc w:val="center"/>
              <w:rPr>
                <w:szCs w:val="22"/>
                <w:lang w:val="sr-Latn-ME"/>
              </w:rPr>
            </w:pPr>
            <w:r w:rsidRPr="00B74B0F">
              <w:rPr>
                <w:szCs w:val="22"/>
                <w:lang w:val="sr-Latn-ME"/>
              </w:rPr>
              <w:t>N = 168</w:t>
            </w:r>
          </w:p>
          <w:p w14:paraId="1D4B4D5B" w14:textId="77777777" w:rsidR="00366107" w:rsidRPr="00B74B0F" w:rsidRDefault="00366107">
            <w:pPr>
              <w:jc w:val="center"/>
              <w:rPr>
                <w:szCs w:val="22"/>
                <w:lang w:val="sr-Latn-ME"/>
              </w:rPr>
            </w:pPr>
            <w:r w:rsidRPr="00B74B0F">
              <w:rPr>
                <w:szCs w:val="22"/>
                <w:lang w:val="sr-Latn-ME"/>
              </w:rPr>
              <w:t>24%</w:t>
            </w:r>
          </w:p>
        </w:tc>
        <w:tc>
          <w:tcPr>
            <w:tcW w:w="801" w:type="pct"/>
            <w:tcBorders>
              <w:top w:val="single" w:sz="6" w:space="0" w:color="000000"/>
              <w:left w:val="single" w:sz="6" w:space="0" w:color="000000"/>
              <w:bottom w:val="single" w:sz="6" w:space="0" w:color="000000"/>
              <w:right w:val="single" w:sz="6" w:space="0" w:color="000000"/>
            </w:tcBorders>
            <w:vAlign w:val="center"/>
          </w:tcPr>
          <w:p w14:paraId="6CE36CE7" w14:textId="77777777" w:rsidR="00366107" w:rsidRPr="00B74B0F" w:rsidRDefault="00366107">
            <w:pPr>
              <w:jc w:val="center"/>
              <w:rPr>
                <w:szCs w:val="22"/>
                <w:lang w:val="sr-Latn-ME"/>
              </w:rPr>
            </w:pPr>
            <w:r w:rsidRPr="00B74B0F">
              <w:rPr>
                <w:szCs w:val="22"/>
                <w:lang w:val="sr-Latn-ME"/>
              </w:rPr>
              <w:t>10%</w:t>
            </w:r>
          </w:p>
          <w:p w14:paraId="6BD5D9BE" w14:textId="77777777" w:rsidR="00366107" w:rsidRPr="00B74B0F" w:rsidRDefault="00366107">
            <w:pPr>
              <w:jc w:val="center"/>
              <w:rPr>
                <w:szCs w:val="22"/>
                <w:lang w:val="sr-Latn-ME"/>
              </w:rPr>
            </w:pPr>
            <w:r w:rsidRPr="00B74B0F">
              <w:rPr>
                <w:szCs w:val="22"/>
                <w:lang w:val="sr-Latn-ME"/>
              </w:rPr>
              <w:t>(4; 16)</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060F49BC" w14:textId="77777777" w:rsidR="00366107" w:rsidRPr="00B74B0F" w:rsidRDefault="00366107">
            <w:pPr>
              <w:jc w:val="center"/>
              <w:rPr>
                <w:szCs w:val="22"/>
                <w:lang w:val="sr-Latn-ME"/>
              </w:rPr>
            </w:pPr>
            <w:r w:rsidRPr="00B74B0F">
              <w:rPr>
                <w:szCs w:val="22"/>
                <w:lang w:val="sr-Latn-ME"/>
              </w:rPr>
              <w:t>21%</w:t>
            </w:r>
          </w:p>
          <w:p w14:paraId="138C6094" w14:textId="77777777" w:rsidR="00366107" w:rsidRPr="00B74B0F" w:rsidRDefault="00366107">
            <w:pPr>
              <w:jc w:val="center"/>
              <w:rPr>
                <w:szCs w:val="22"/>
                <w:lang w:val="sr-Latn-ME"/>
              </w:rPr>
            </w:pPr>
            <w:r w:rsidRPr="00B74B0F">
              <w:rPr>
                <w:szCs w:val="22"/>
                <w:lang w:val="sr-Latn-ME"/>
              </w:rPr>
              <w:t>(14; 27)</w:t>
            </w:r>
            <w:r w:rsidRPr="00B74B0F">
              <w:rPr>
                <w:szCs w:val="22"/>
                <w:vertAlign w:val="superscript"/>
                <w:lang w:val="sr-Latn-ME"/>
              </w:rPr>
              <w:t>***</w:t>
            </w:r>
          </w:p>
        </w:tc>
      </w:tr>
      <w:tr w:rsidR="00366107" w:rsidRPr="00B74B0F" w14:paraId="748169E7" w14:textId="77777777" w:rsidTr="0069063B">
        <w:tc>
          <w:tcPr>
            <w:tcW w:w="1648" w:type="pct"/>
            <w:tcBorders>
              <w:top w:val="single" w:sz="6" w:space="0" w:color="000000"/>
              <w:left w:val="single" w:sz="6" w:space="0" w:color="000000"/>
              <w:bottom w:val="single" w:sz="6" w:space="0" w:color="000000"/>
              <w:right w:val="single" w:sz="6" w:space="0" w:color="000000"/>
            </w:tcBorders>
            <w:vAlign w:val="center"/>
            <w:hideMark/>
          </w:tcPr>
          <w:p w14:paraId="43C8B075" w14:textId="77777777" w:rsidR="00366107" w:rsidRPr="00B74B0F" w:rsidRDefault="00366107" w:rsidP="00A30C3C">
            <w:pPr>
              <w:jc w:val="both"/>
              <w:rPr>
                <w:szCs w:val="22"/>
                <w:lang w:val="sr-Latn-ME"/>
              </w:rPr>
            </w:pPr>
            <w:r w:rsidRPr="00B74B0F">
              <w:rPr>
                <w:b/>
                <w:szCs w:val="22"/>
                <w:lang w:val="sr-Latn-ME"/>
              </w:rPr>
              <w:t>Duboka remisija</w:t>
            </w:r>
            <w:r w:rsidRPr="00B74B0F">
              <w:rPr>
                <w:b/>
                <w:bCs/>
                <w:szCs w:val="22"/>
                <w:vertAlign w:val="superscript"/>
                <w:lang w:val="sr-Latn-ME"/>
              </w:rPr>
              <w:t>a, i</w:t>
            </w:r>
          </w:p>
        </w:tc>
        <w:tc>
          <w:tcPr>
            <w:tcW w:w="600" w:type="pct"/>
            <w:tcBorders>
              <w:top w:val="single" w:sz="6" w:space="0" w:color="000000"/>
              <w:left w:val="single" w:sz="6" w:space="0" w:color="000000"/>
              <w:bottom w:val="single" w:sz="6" w:space="0" w:color="000000"/>
              <w:right w:val="single" w:sz="6" w:space="0" w:color="000000"/>
            </w:tcBorders>
            <w:vAlign w:val="center"/>
          </w:tcPr>
          <w:p w14:paraId="0526581E" w14:textId="77777777" w:rsidR="00366107" w:rsidRPr="00B74B0F" w:rsidRDefault="00366107">
            <w:pPr>
              <w:jc w:val="center"/>
              <w:rPr>
                <w:szCs w:val="22"/>
                <w:lang w:val="sr-Latn-ME"/>
              </w:rPr>
            </w:pPr>
            <w:r w:rsidRPr="00B74B0F">
              <w:rPr>
                <w:szCs w:val="22"/>
                <w:lang w:val="sr-Latn-ME"/>
              </w:rPr>
              <w:t>4%</w:t>
            </w:r>
          </w:p>
        </w:tc>
        <w:tc>
          <w:tcPr>
            <w:tcW w:w="601" w:type="pct"/>
            <w:tcBorders>
              <w:top w:val="single" w:sz="6" w:space="0" w:color="000000"/>
              <w:left w:val="single" w:sz="6" w:space="0" w:color="000000"/>
              <w:bottom w:val="single" w:sz="6" w:space="0" w:color="000000"/>
              <w:right w:val="single" w:sz="6" w:space="0" w:color="000000"/>
            </w:tcBorders>
            <w:vAlign w:val="center"/>
          </w:tcPr>
          <w:p w14:paraId="2B0F21AF" w14:textId="77777777" w:rsidR="00366107" w:rsidRPr="00B74B0F" w:rsidRDefault="00366107">
            <w:pPr>
              <w:jc w:val="center"/>
              <w:rPr>
                <w:szCs w:val="22"/>
                <w:lang w:val="sr-Latn-ME"/>
              </w:rPr>
            </w:pPr>
            <w:r w:rsidRPr="00B74B0F">
              <w:rPr>
                <w:szCs w:val="22"/>
                <w:lang w:val="sr-Latn-ME"/>
              </w:rPr>
              <w:t>14%</w:t>
            </w:r>
          </w:p>
        </w:tc>
        <w:tc>
          <w:tcPr>
            <w:tcW w:w="599" w:type="pct"/>
            <w:tcBorders>
              <w:top w:val="single" w:sz="6" w:space="0" w:color="000000"/>
              <w:left w:val="single" w:sz="6" w:space="0" w:color="000000"/>
              <w:bottom w:val="single" w:sz="6" w:space="0" w:color="000000"/>
              <w:right w:val="single" w:sz="6" w:space="0" w:color="000000"/>
            </w:tcBorders>
            <w:vAlign w:val="center"/>
          </w:tcPr>
          <w:p w14:paraId="7E8C058C" w14:textId="77777777" w:rsidR="00366107" w:rsidRPr="00B74B0F" w:rsidRDefault="00366107">
            <w:pPr>
              <w:jc w:val="center"/>
              <w:rPr>
                <w:szCs w:val="22"/>
                <w:lang w:val="sr-Latn-ME"/>
              </w:rPr>
            </w:pPr>
            <w:r w:rsidRPr="00B74B0F">
              <w:rPr>
                <w:szCs w:val="22"/>
                <w:lang w:val="sr-Latn-ME"/>
              </w:rPr>
              <w:t>23%</w:t>
            </w:r>
          </w:p>
        </w:tc>
        <w:tc>
          <w:tcPr>
            <w:tcW w:w="801" w:type="pct"/>
            <w:tcBorders>
              <w:top w:val="single" w:sz="6" w:space="0" w:color="000000"/>
              <w:left w:val="single" w:sz="6" w:space="0" w:color="000000"/>
              <w:bottom w:val="single" w:sz="6" w:space="0" w:color="000000"/>
              <w:right w:val="single" w:sz="6" w:space="0" w:color="000000"/>
            </w:tcBorders>
            <w:vAlign w:val="center"/>
          </w:tcPr>
          <w:p w14:paraId="5CBDB6EE" w14:textId="77777777" w:rsidR="00366107" w:rsidRPr="00B74B0F" w:rsidRDefault="00366107">
            <w:pPr>
              <w:jc w:val="center"/>
              <w:rPr>
                <w:szCs w:val="22"/>
                <w:lang w:val="sr-Latn-ME"/>
              </w:rPr>
            </w:pPr>
            <w:r w:rsidRPr="00B74B0F">
              <w:rPr>
                <w:szCs w:val="22"/>
                <w:lang w:val="sr-Latn-ME"/>
              </w:rPr>
              <w:t>10%</w:t>
            </w:r>
          </w:p>
          <w:p w14:paraId="751FB807" w14:textId="77777777" w:rsidR="00366107" w:rsidRPr="00B74B0F" w:rsidRDefault="00366107">
            <w:pPr>
              <w:jc w:val="center"/>
              <w:rPr>
                <w:szCs w:val="22"/>
                <w:lang w:val="sr-Latn-ME"/>
              </w:rPr>
            </w:pPr>
            <w:r w:rsidRPr="00B74B0F">
              <w:rPr>
                <w:szCs w:val="22"/>
                <w:lang w:val="sr-Latn-ME"/>
              </w:rPr>
              <w:t>(4; 16)</w:t>
            </w:r>
            <w:r w:rsidRPr="00B74B0F">
              <w:rPr>
                <w:szCs w:val="22"/>
                <w:vertAlign w:val="superscript"/>
                <w:lang w:val="sr-Latn-ME"/>
              </w:rPr>
              <w:t>**</w:t>
            </w:r>
          </w:p>
        </w:tc>
        <w:tc>
          <w:tcPr>
            <w:tcW w:w="751" w:type="pct"/>
            <w:tcBorders>
              <w:top w:val="single" w:sz="6" w:space="0" w:color="000000"/>
              <w:left w:val="single" w:sz="6" w:space="0" w:color="000000"/>
              <w:bottom w:val="single" w:sz="6" w:space="0" w:color="000000"/>
              <w:right w:val="single" w:sz="6" w:space="0" w:color="000000"/>
            </w:tcBorders>
            <w:vAlign w:val="center"/>
          </w:tcPr>
          <w:p w14:paraId="5CE3D023" w14:textId="77777777" w:rsidR="00366107" w:rsidRPr="00B74B0F" w:rsidRDefault="00366107">
            <w:pPr>
              <w:jc w:val="center"/>
              <w:rPr>
                <w:szCs w:val="22"/>
                <w:lang w:val="sr-Latn-ME"/>
              </w:rPr>
            </w:pPr>
            <w:r w:rsidRPr="00B74B0F">
              <w:rPr>
                <w:szCs w:val="22"/>
                <w:lang w:val="sr-Latn-ME"/>
              </w:rPr>
              <w:t>18%</w:t>
            </w:r>
          </w:p>
          <w:p w14:paraId="2AB4C8A0" w14:textId="77777777" w:rsidR="00366107" w:rsidRPr="00B74B0F" w:rsidRDefault="00366107">
            <w:pPr>
              <w:jc w:val="center"/>
              <w:rPr>
                <w:szCs w:val="22"/>
                <w:lang w:val="sr-Latn-ME"/>
              </w:rPr>
            </w:pPr>
            <w:r w:rsidRPr="00B74B0F">
              <w:rPr>
                <w:szCs w:val="22"/>
                <w:lang w:val="sr-Latn-ME"/>
              </w:rPr>
              <w:t>(11; 25)</w:t>
            </w:r>
            <w:r w:rsidRPr="00B74B0F">
              <w:rPr>
                <w:szCs w:val="22"/>
                <w:vertAlign w:val="superscript"/>
                <w:lang w:val="sr-Latn-ME"/>
              </w:rPr>
              <w:t>*</w:t>
            </w:r>
          </w:p>
        </w:tc>
      </w:tr>
      <w:tr w:rsidR="00366107" w:rsidRPr="00B74B0F" w14:paraId="68D5EAE0" w14:textId="77777777" w:rsidTr="0069063B">
        <w:tc>
          <w:tcPr>
            <w:tcW w:w="5000" w:type="pct"/>
            <w:gridSpan w:val="6"/>
            <w:tcBorders>
              <w:top w:val="single" w:sz="6" w:space="0" w:color="000000"/>
              <w:left w:val="single" w:sz="6" w:space="0" w:color="000000"/>
              <w:bottom w:val="single" w:sz="6" w:space="0" w:color="000000"/>
              <w:right w:val="single" w:sz="6" w:space="0" w:color="000000"/>
            </w:tcBorders>
            <w:vAlign w:val="center"/>
            <w:hideMark/>
          </w:tcPr>
          <w:p w14:paraId="23C8C392" w14:textId="03DF4908" w:rsidR="00366107" w:rsidRPr="00B74B0F" w:rsidRDefault="004B1A9B" w:rsidP="00A30C3C">
            <w:pPr>
              <w:jc w:val="both"/>
              <w:rPr>
                <w:szCs w:val="22"/>
                <w:lang w:val="sr-Latn-ME"/>
              </w:rPr>
            </w:pPr>
            <w:r w:rsidRPr="00B74B0F">
              <w:rPr>
                <w:szCs w:val="22"/>
                <w:lang w:val="sr-Latn-ME"/>
              </w:rPr>
              <w:t>Sk</w:t>
            </w:r>
            <w:r w:rsidR="00366107" w:rsidRPr="00B74B0F">
              <w:rPr>
                <w:szCs w:val="22"/>
                <w:lang w:val="sr-Latn-ME"/>
              </w:rPr>
              <w:t>ra</w:t>
            </w:r>
            <w:r w:rsidRPr="00B74B0F">
              <w:rPr>
                <w:szCs w:val="22"/>
                <w:lang w:val="sr-Latn-ME"/>
              </w:rPr>
              <w:t>ćenice:</w:t>
            </w:r>
            <w:r w:rsidR="00366107" w:rsidRPr="00B74B0F">
              <w:rPr>
                <w:szCs w:val="22"/>
                <w:lang w:val="sr-Latn-ME"/>
              </w:rPr>
              <w:t xml:space="preserve"> PBO = placebo, UPA = upadacitinib</w:t>
            </w:r>
          </w:p>
          <w:p w14:paraId="68038D3B" w14:textId="09006D94" w:rsidR="00366107" w:rsidRPr="00B74B0F" w:rsidRDefault="00366107" w:rsidP="00A30C3C">
            <w:pPr>
              <w:jc w:val="both"/>
              <w:rPr>
                <w:szCs w:val="22"/>
                <w:lang w:val="sr-Latn-ME"/>
              </w:rPr>
            </w:pPr>
            <w:r w:rsidRPr="00B74B0F">
              <w:rPr>
                <w:szCs w:val="22"/>
                <w:vertAlign w:val="superscript"/>
                <w:lang w:val="sr-Latn-ME"/>
              </w:rPr>
              <w:t>+</w:t>
            </w:r>
            <w:r w:rsidRPr="00B74B0F">
              <w:rPr>
                <w:szCs w:val="22"/>
                <w:lang w:val="sr-Latn-ME"/>
              </w:rPr>
              <w:t xml:space="preserve"> Grupu koja je je primala placebo činili su </w:t>
            </w:r>
            <w:r w:rsidR="00C979A0" w:rsidRPr="00B74B0F">
              <w:rPr>
                <w:szCs w:val="22"/>
                <w:lang w:val="sr-Latn-ME"/>
              </w:rPr>
              <w:t xml:space="preserve">pacijenti </w:t>
            </w:r>
            <w:r w:rsidRPr="00B74B0F">
              <w:rPr>
                <w:szCs w:val="22"/>
                <w:lang w:val="sr-Latn-ME"/>
              </w:rPr>
              <w:t>koji su na kraju ispitivanja indukcijskog liječenja uz primjenu upadacitiniba u dozi od 45 mg postigli klinički odgovor prema rezultatu SF/APS i koji su na početku kliničkog ispitivanja terapije održavanja randomiz</w:t>
            </w:r>
            <w:r w:rsidR="00C979A0" w:rsidRPr="00B74B0F">
              <w:rPr>
                <w:szCs w:val="22"/>
                <w:lang w:val="sr-Latn-ME"/>
              </w:rPr>
              <w:t>ova</w:t>
            </w:r>
            <w:r w:rsidRPr="00B74B0F">
              <w:rPr>
                <w:szCs w:val="22"/>
                <w:lang w:val="sr-Latn-ME"/>
              </w:rPr>
              <w:t>ni u grup</w:t>
            </w:r>
            <w:r w:rsidR="00C979A0" w:rsidRPr="00B74B0F">
              <w:rPr>
                <w:szCs w:val="22"/>
                <w:lang w:val="sr-Latn-ME"/>
              </w:rPr>
              <w:t>i</w:t>
            </w:r>
            <w:r w:rsidRPr="00B74B0F">
              <w:rPr>
                <w:szCs w:val="22"/>
                <w:lang w:val="sr-Latn-ME"/>
              </w:rPr>
              <w:t xml:space="preserve"> koja je primala placebo.</w:t>
            </w:r>
          </w:p>
          <w:p w14:paraId="6B4DFE6D" w14:textId="77777777" w:rsidR="00366107" w:rsidRPr="00B74B0F" w:rsidRDefault="00366107" w:rsidP="00A30C3C">
            <w:pPr>
              <w:jc w:val="both"/>
              <w:rPr>
                <w:szCs w:val="22"/>
                <w:lang w:val="sr-Latn-ME"/>
              </w:rPr>
            </w:pPr>
            <w:r w:rsidRPr="00B74B0F">
              <w:rPr>
                <w:szCs w:val="22"/>
                <w:vertAlign w:val="superscript"/>
                <w:lang w:val="sr-Latn-ME"/>
              </w:rPr>
              <w:t>*</w:t>
            </w:r>
            <w:r w:rsidRPr="00B74B0F">
              <w:rPr>
                <w:szCs w:val="22"/>
                <w:lang w:val="sr-Latn-ME"/>
              </w:rPr>
              <w:t xml:space="preserve"> p &lt; 0,001, prilagođena razlika u liječenju (95% CI)</w:t>
            </w:r>
          </w:p>
          <w:p w14:paraId="2A268E51" w14:textId="77777777" w:rsidR="00366107" w:rsidRPr="00B74B0F" w:rsidRDefault="00366107" w:rsidP="00A30C3C">
            <w:pPr>
              <w:jc w:val="both"/>
              <w:rPr>
                <w:szCs w:val="22"/>
                <w:lang w:val="sr-Latn-ME"/>
              </w:rPr>
            </w:pPr>
            <w:r w:rsidRPr="00B74B0F">
              <w:rPr>
                <w:szCs w:val="22"/>
                <w:vertAlign w:val="superscript"/>
                <w:lang w:val="sr-Latn-ME"/>
              </w:rPr>
              <w:t>**</w:t>
            </w:r>
            <w:r w:rsidRPr="00B74B0F">
              <w:rPr>
                <w:szCs w:val="22"/>
                <w:lang w:val="sr-Latn-ME"/>
              </w:rPr>
              <w:t xml:space="preserve"> p &lt; 0,01, prilagođena razlika u liječenju (95% CI)</w:t>
            </w:r>
          </w:p>
          <w:p w14:paraId="242E7080" w14:textId="77777777" w:rsidR="00366107" w:rsidRPr="00B74B0F" w:rsidRDefault="00366107" w:rsidP="00A30C3C">
            <w:pPr>
              <w:jc w:val="both"/>
              <w:rPr>
                <w:szCs w:val="22"/>
                <w:lang w:val="sr-Latn-ME"/>
              </w:rPr>
            </w:pPr>
            <w:r w:rsidRPr="00B74B0F">
              <w:rPr>
                <w:szCs w:val="22"/>
                <w:vertAlign w:val="superscript"/>
                <w:lang w:val="sr-Latn-ME"/>
              </w:rPr>
              <w:t>***</w:t>
            </w:r>
            <w:r w:rsidRPr="00B74B0F">
              <w:rPr>
                <w:szCs w:val="22"/>
                <w:lang w:val="sr-Latn-ME"/>
              </w:rPr>
              <w:t xml:space="preserve"> Nominalna p</w:t>
            </w:r>
            <w:r w:rsidRPr="00B74B0F">
              <w:rPr>
                <w:szCs w:val="22"/>
                <w:lang w:val="sr-Latn-ME"/>
              </w:rPr>
              <w:noBreakHyphen/>
              <w:t xml:space="preserve">vrijednost &lt; 0,001 za poređenje UPA u odnosu na PBO, </w:t>
            </w:r>
            <w:r w:rsidRPr="00B74B0F">
              <w:rPr>
                <w:rFonts w:eastAsia="MS Mincho"/>
                <w:noProof/>
                <w:szCs w:val="22"/>
                <w:lang w:val="sr-Latn-ME"/>
              </w:rPr>
              <w:t>prilagođena razlika u liječenju</w:t>
            </w:r>
            <w:r w:rsidRPr="00B74B0F">
              <w:rPr>
                <w:szCs w:val="22"/>
                <w:lang w:val="sr-Latn-ME"/>
              </w:rPr>
              <w:t xml:space="preserve"> (95% CI).</w:t>
            </w:r>
          </w:p>
          <w:p w14:paraId="249EA562" w14:textId="77777777" w:rsidR="00366107" w:rsidRPr="00B74B0F" w:rsidRDefault="00366107" w:rsidP="00A30C3C">
            <w:pPr>
              <w:jc w:val="both"/>
              <w:rPr>
                <w:szCs w:val="22"/>
                <w:lang w:val="sr-Latn-ME"/>
              </w:rPr>
            </w:pPr>
            <w:r w:rsidRPr="00B74B0F">
              <w:rPr>
                <w:szCs w:val="22"/>
                <w:vertAlign w:val="superscript"/>
                <w:lang w:val="sr-Latn-ME"/>
              </w:rPr>
              <w:t>a</w:t>
            </w:r>
            <w:r w:rsidRPr="00B74B0F">
              <w:rPr>
                <w:szCs w:val="22"/>
                <w:lang w:val="sr-Latn-ME"/>
              </w:rPr>
              <w:t xml:space="preserve"> Prosječni dnevni SF ≤ 2,8 i APS ≤ 1,0, s tim da nijedna vrijednost nije veća od one na početku ispitivanja.</w:t>
            </w:r>
          </w:p>
          <w:p w14:paraId="753B73FE" w14:textId="70787F2F" w:rsidR="00366107" w:rsidRPr="00B74B0F" w:rsidRDefault="00366107" w:rsidP="00A30C3C">
            <w:pPr>
              <w:jc w:val="both"/>
              <w:rPr>
                <w:szCs w:val="22"/>
                <w:lang w:val="sr-Latn-ME"/>
              </w:rPr>
            </w:pPr>
            <w:r w:rsidRPr="00B74B0F">
              <w:rPr>
                <w:szCs w:val="22"/>
                <w:vertAlign w:val="superscript"/>
                <w:lang w:val="sr-Latn-ME"/>
              </w:rPr>
              <w:t>b</w:t>
            </w:r>
            <w:r w:rsidRPr="00B74B0F">
              <w:rPr>
                <w:szCs w:val="22"/>
                <w:lang w:val="sr-Latn-ME"/>
              </w:rPr>
              <w:t xml:space="preserve"> Smanjenje indeksa SES-CD &gt; 50% u odnosu na početak ispitivanja indukcijskog liječenja (ili smanjenje za najmanje 2 boda kod </w:t>
            </w:r>
            <w:r w:rsidR="00C979A0" w:rsidRPr="00B74B0F">
              <w:rPr>
                <w:szCs w:val="22"/>
                <w:lang w:val="sr-Latn-ME"/>
              </w:rPr>
              <w:t xml:space="preserve">pacijenata </w:t>
            </w:r>
            <w:r w:rsidRPr="00B74B0F">
              <w:rPr>
                <w:szCs w:val="22"/>
                <w:lang w:val="sr-Latn-ME"/>
              </w:rPr>
              <w:t>kod kojih je na početku ispitivanja indukcijskog liječenja SES</w:t>
            </w:r>
            <w:r w:rsidRPr="00B74B0F">
              <w:rPr>
                <w:szCs w:val="22"/>
                <w:lang w:val="sr-Latn-ME"/>
              </w:rPr>
              <w:noBreakHyphen/>
              <w:t>CD iznosio 4).</w:t>
            </w:r>
          </w:p>
          <w:p w14:paraId="04DDDDD9" w14:textId="77777777" w:rsidR="00366107" w:rsidRPr="00B74B0F" w:rsidRDefault="00366107" w:rsidP="00A30C3C">
            <w:pPr>
              <w:jc w:val="both"/>
              <w:rPr>
                <w:szCs w:val="22"/>
                <w:lang w:val="sr-Latn-ME"/>
              </w:rPr>
            </w:pPr>
            <w:r w:rsidRPr="00B74B0F">
              <w:rPr>
                <w:szCs w:val="22"/>
                <w:vertAlign w:val="superscript"/>
                <w:lang w:val="sr-Latn-ME"/>
              </w:rPr>
              <w:t>c</w:t>
            </w:r>
            <w:r w:rsidRPr="00B74B0F">
              <w:rPr>
                <w:szCs w:val="22"/>
                <w:lang w:val="sr-Latn-ME"/>
              </w:rPr>
              <w:t xml:space="preserve"> CDAI &lt; 150</w:t>
            </w:r>
          </w:p>
          <w:p w14:paraId="4E948A00" w14:textId="77777777" w:rsidR="00366107" w:rsidRPr="00B74B0F" w:rsidRDefault="00366107" w:rsidP="00A30C3C">
            <w:pPr>
              <w:jc w:val="both"/>
              <w:rPr>
                <w:szCs w:val="22"/>
                <w:lang w:val="sr-Latn-ME"/>
              </w:rPr>
            </w:pPr>
            <w:r w:rsidRPr="00B74B0F">
              <w:rPr>
                <w:szCs w:val="22"/>
                <w:vertAlign w:val="superscript"/>
                <w:lang w:val="sr-Latn-ME"/>
              </w:rPr>
              <w:t>d</w:t>
            </w:r>
            <w:r w:rsidRPr="00B74B0F">
              <w:rPr>
                <w:szCs w:val="22"/>
                <w:lang w:val="sr-Latn-ME"/>
              </w:rPr>
              <w:t xml:space="preserve"> Smanjenje CDAI ≥ 100 bodova u odnosu na početak ispitivanja</w:t>
            </w:r>
          </w:p>
          <w:p w14:paraId="337EF65F" w14:textId="59B425A9" w:rsidR="00366107" w:rsidRPr="00B74B0F" w:rsidRDefault="00366107" w:rsidP="00A30C3C">
            <w:pPr>
              <w:jc w:val="both"/>
              <w:rPr>
                <w:szCs w:val="22"/>
                <w:vertAlign w:val="superscript"/>
                <w:lang w:val="sr-Latn-ME"/>
              </w:rPr>
            </w:pPr>
            <w:bookmarkStart w:id="11" w:name="_Hlk103345801"/>
            <w:r w:rsidRPr="00B74B0F">
              <w:rPr>
                <w:szCs w:val="22"/>
                <w:vertAlign w:val="superscript"/>
                <w:lang w:val="sr-Latn-ME"/>
              </w:rPr>
              <w:lastRenderedPageBreak/>
              <w:t>e</w:t>
            </w:r>
            <w:r w:rsidRPr="00B74B0F">
              <w:rPr>
                <w:szCs w:val="22"/>
                <w:lang w:val="sr-Latn-ME"/>
              </w:rPr>
              <w:t xml:space="preserve"> Bez primjene kortikosteroida 90 dana prije 52. sedmice i postignuta klinička remisija. U podgrupi </w:t>
            </w:r>
            <w:r w:rsidR="00C979A0" w:rsidRPr="00B74B0F">
              <w:rPr>
                <w:szCs w:val="22"/>
                <w:lang w:val="sr-Latn-ME"/>
              </w:rPr>
              <w:t xml:space="preserve">pacijenata </w:t>
            </w:r>
            <w:r w:rsidRPr="00B74B0F">
              <w:rPr>
                <w:szCs w:val="22"/>
                <w:lang w:val="sr-Latn-ME"/>
              </w:rPr>
              <w:t>koji su na početku indukcijskog liječenja primali kortikosteroide 38% (N = 63) iz grupe liječene upadacitinibom u dozi od 15 mg, 38% (N = 63) iz grupe liječene upadacitinibom u dozi od 30 mg i 5% (N = 61) iz grupe koja je primala placebo ni</w:t>
            </w:r>
            <w:r w:rsidR="00C979A0" w:rsidRPr="00B74B0F">
              <w:rPr>
                <w:szCs w:val="22"/>
                <w:lang w:val="sr-Latn-ME"/>
              </w:rPr>
              <w:t>je</w:t>
            </w:r>
            <w:r w:rsidRPr="00B74B0F">
              <w:rPr>
                <w:szCs w:val="22"/>
                <w:lang w:val="sr-Latn-ME"/>
              </w:rPr>
              <w:t>su uzimali kortikosteroide 90 dana prije 52. sedmice i bili su u kliničkoj remisiji.</w:t>
            </w:r>
          </w:p>
          <w:bookmarkEnd w:id="11"/>
          <w:p w14:paraId="28BE6238" w14:textId="7531A7F7" w:rsidR="00366107" w:rsidRPr="00B74B0F" w:rsidRDefault="00366107" w:rsidP="00A30C3C">
            <w:pPr>
              <w:jc w:val="both"/>
              <w:rPr>
                <w:szCs w:val="22"/>
                <w:vertAlign w:val="superscript"/>
                <w:lang w:val="sr-Latn-ME"/>
              </w:rPr>
            </w:pPr>
            <w:r w:rsidRPr="00B74B0F">
              <w:rPr>
                <w:szCs w:val="22"/>
                <w:vertAlign w:val="superscript"/>
                <w:lang w:val="sr-Latn-ME"/>
              </w:rPr>
              <w:t>f</w:t>
            </w:r>
            <w:r w:rsidRPr="00B74B0F">
              <w:rPr>
                <w:szCs w:val="22"/>
                <w:lang w:val="sr-Latn-ME"/>
              </w:rPr>
              <w:t xml:space="preserve"> Definisano kao postizanje kliničke remisije u 52. sedmici kod </w:t>
            </w:r>
            <w:r w:rsidR="00C979A0" w:rsidRPr="00B74B0F">
              <w:rPr>
                <w:szCs w:val="22"/>
                <w:lang w:val="sr-Latn-ME"/>
              </w:rPr>
              <w:t xml:space="preserve">pacijenata </w:t>
            </w:r>
            <w:r w:rsidRPr="00B74B0F">
              <w:rPr>
                <w:szCs w:val="22"/>
                <w:lang w:val="sr-Latn-ME"/>
              </w:rPr>
              <w:t>koji su postigli kliničku remisiju pri uključenju u ispitivanje terapije održavanja.</w:t>
            </w:r>
            <w:r w:rsidRPr="00B74B0F">
              <w:rPr>
                <w:szCs w:val="22"/>
                <w:lang w:val="sr-Latn-ME"/>
              </w:rPr>
              <w:br/>
            </w:r>
            <w:r w:rsidRPr="00B74B0F">
              <w:rPr>
                <w:szCs w:val="22"/>
                <w:vertAlign w:val="superscript"/>
                <w:lang w:val="sr-Latn-ME"/>
              </w:rPr>
              <w:t>g</w:t>
            </w:r>
            <w:r w:rsidRPr="00B74B0F">
              <w:rPr>
                <w:szCs w:val="22"/>
                <w:lang w:val="sr-Latn-ME"/>
              </w:rPr>
              <w:t xml:space="preserve"> SES-CD ≤ 4 i smanjenje za najmanje 2 boda u odnosu na vrijednosti na početku ispitivanja i nijedna individualna varijabla nema podrezultat &gt; 1</w:t>
            </w:r>
          </w:p>
          <w:p w14:paraId="2ACAD1AA" w14:textId="0D05B647" w:rsidR="00366107" w:rsidRPr="00B74B0F" w:rsidRDefault="00366107" w:rsidP="00A30C3C">
            <w:pPr>
              <w:jc w:val="both"/>
              <w:rPr>
                <w:szCs w:val="22"/>
                <w:lang w:val="sr-Latn-ME"/>
              </w:rPr>
            </w:pPr>
            <w:r w:rsidRPr="00B74B0F">
              <w:rPr>
                <w:szCs w:val="22"/>
                <w:vertAlign w:val="superscript"/>
                <w:lang w:val="sr-Latn-ME"/>
              </w:rPr>
              <w:t xml:space="preserve">h </w:t>
            </w:r>
            <w:r w:rsidRPr="00B74B0F">
              <w:rPr>
                <w:szCs w:val="22"/>
                <w:lang w:val="sr-Latn-ME"/>
              </w:rPr>
              <w:t xml:space="preserve">SES-CD podrezultat za površinske ulceracije 0 kod </w:t>
            </w:r>
            <w:r w:rsidR="00B15ED0" w:rsidRPr="00B74B0F">
              <w:rPr>
                <w:szCs w:val="22"/>
                <w:lang w:val="sr-Latn-ME"/>
              </w:rPr>
              <w:t xml:space="preserve">pacijenata </w:t>
            </w:r>
            <w:r w:rsidRPr="00B74B0F">
              <w:rPr>
                <w:szCs w:val="22"/>
                <w:lang w:val="sr-Latn-ME"/>
              </w:rPr>
              <w:t>kod kojih je na početku ispitivanja taj podrezultat bio ≥ 1.</w:t>
            </w:r>
          </w:p>
          <w:p w14:paraId="41DA3FFF" w14:textId="77777777" w:rsidR="00366107" w:rsidRPr="00B74B0F" w:rsidRDefault="00366107" w:rsidP="00A30C3C">
            <w:pPr>
              <w:jc w:val="both"/>
              <w:rPr>
                <w:szCs w:val="22"/>
                <w:lang w:val="sr-Latn-ME"/>
              </w:rPr>
            </w:pPr>
            <w:r w:rsidRPr="00B74B0F">
              <w:rPr>
                <w:szCs w:val="22"/>
                <w:vertAlign w:val="superscript"/>
                <w:lang w:val="sr-Latn-ME"/>
              </w:rPr>
              <w:t xml:space="preserve">i </w:t>
            </w:r>
            <w:r w:rsidRPr="00B74B0F">
              <w:rPr>
                <w:bCs/>
                <w:szCs w:val="22"/>
                <w:lang w:val="sr-Latn-ME"/>
              </w:rPr>
              <w:t>Klinička remisija i endoskopska remisija</w:t>
            </w:r>
          </w:p>
          <w:p w14:paraId="6CD60049" w14:textId="77777777" w:rsidR="00366107" w:rsidRPr="00B74B0F" w:rsidRDefault="00366107" w:rsidP="00A30C3C">
            <w:pPr>
              <w:jc w:val="both"/>
              <w:rPr>
                <w:szCs w:val="22"/>
                <w:lang w:val="sr-Latn-ME"/>
              </w:rPr>
            </w:pPr>
          </w:p>
        </w:tc>
      </w:tr>
    </w:tbl>
    <w:p w14:paraId="71A0850A" w14:textId="77777777" w:rsidR="00366107" w:rsidRPr="00B74B0F" w:rsidRDefault="00366107" w:rsidP="00A30C3C">
      <w:pPr>
        <w:keepNext/>
        <w:spacing w:line="240" w:lineRule="auto"/>
        <w:jc w:val="both"/>
        <w:rPr>
          <w:szCs w:val="22"/>
          <w:u w:val="single"/>
          <w:lang w:val="sr-Latn-ME"/>
        </w:rPr>
      </w:pPr>
    </w:p>
    <w:p w14:paraId="361CBF87" w14:textId="4C061FA1" w:rsidR="00366107" w:rsidRPr="00B74B0F" w:rsidRDefault="00B15ED0" w:rsidP="00A30C3C">
      <w:pPr>
        <w:tabs>
          <w:tab w:val="clear" w:pos="567"/>
        </w:tabs>
        <w:spacing w:line="240" w:lineRule="auto"/>
        <w:jc w:val="both"/>
        <w:rPr>
          <w:szCs w:val="22"/>
          <w:lang w:val="sr-Latn-ME"/>
        </w:rPr>
      </w:pPr>
      <w:bookmarkStart w:id="12" w:name="_Hlk103581402"/>
      <w:r w:rsidRPr="00B74B0F">
        <w:rPr>
          <w:color w:val="000000"/>
          <w:szCs w:val="22"/>
          <w:lang w:val="sr-Latn-ME"/>
        </w:rPr>
        <w:t xml:space="preserve">Pacijenti </w:t>
      </w:r>
      <w:r w:rsidR="00366107" w:rsidRPr="00B74B0F">
        <w:rPr>
          <w:color w:val="000000"/>
          <w:szCs w:val="22"/>
          <w:lang w:val="sr-Latn-ME"/>
        </w:rPr>
        <w:t>kod kojih u ispitivanjima CD-1 i CD-2 prema rezultatu SF/APS nije postignut klinički odgovor na indukcijsko liječenje upadacitinibom u 12. sedmici (122 </w:t>
      </w:r>
      <w:r w:rsidRPr="00B74B0F">
        <w:rPr>
          <w:color w:val="000000"/>
          <w:szCs w:val="22"/>
          <w:lang w:val="sr-Latn-ME"/>
        </w:rPr>
        <w:t>pacijenta</w:t>
      </w:r>
      <w:r w:rsidR="00366107" w:rsidRPr="00B74B0F">
        <w:rPr>
          <w:color w:val="000000"/>
          <w:szCs w:val="22"/>
          <w:lang w:val="sr-Latn-ME"/>
        </w:rPr>
        <w:t xml:space="preserve">), primali su upadacitinib u dozi od 30 mg jedanput dnevno dodatnih 12 sedmica. </w:t>
      </w:r>
      <w:r w:rsidR="00366107" w:rsidRPr="00B74B0F">
        <w:rPr>
          <w:szCs w:val="22"/>
          <w:lang w:val="sr-Latn-ME"/>
        </w:rPr>
        <w:t xml:space="preserve">Od tih je </w:t>
      </w:r>
      <w:r w:rsidR="004B1A9B" w:rsidRPr="00B74B0F">
        <w:rPr>
          <w:szCs w:val="22"/>
          <w:lang w:val="sr-Latn-ME"/>
        </w:rPr>
        <w:t>pacijenata</w:t>
      </w:r>
      <w:r w:rsidR="00366107" w:rsidRPr="00B74B0F">
        <w:rPr>
          <w:szCs w:val="22"/>
          <w:lang w:val="sr-Latn-ME"/>
        </w:rPr>
        <w:t xml:space="preserve"> 53% postiglo klinički odgovor u 24. sedmici. Od </w:t>
      </w:r>
      <w:r w:rsidRPr="00B74B0F">
        <w:rPr>
          <w:szCs w:val="22"/>
          <w:lang w:val="sr-Latn-ME"/>
        </w:rPr>
        <w:t xml:space="preserve">pacijenata </w:t>
      </w:r>
      <w:r w:rsidR="00366107" w:rsidRPr="00B74B0F">
        <w:rPr>
          <w:szCs w:val="22"/>
          <w:lang w:val="sr-Latn-ME"/>
        </w:rPr>
        <w:t xml:space="preserve">kod kojih je u </w:t>
      </w:r>
      <w:r w:rsidR="004B1A9B" w:rsidRPr="00B74B0F">
        <w:rPr>
          <w:szCs w:val="22"/>
          <w:lang w:val="sr-Latn-ME"/>
        </w:rPr>
        <w:t>periodu</w:t>
      </w:r>
      <w:r w:rsidR="00366107" w:rsidRPr="00B74B0F">
        <w:rPr>
          <w:szCs w:val="22"/>
          <w:lang w:val="sr-Latn-ME"/>
        </w:rPr>
        <w:t xml:space="preserve"> produženog liječenja postignut odgovor i koji su nastavili primati terapiju održavanja upadacitinibom u dozi od 30 mg, 25% </w:t>
      </w:r>
      <w:r w:rsidR="004B1A9B" w:rsidRPr="00B74B0F">
        <w:rPr>
          <w:szCs w:val="22"/>
          <w:lang w:val="sr-Latn-ME"/>
        </w:rPr>
        <w:t>pacijenat</w:t>
      </w:r>
      <w:r w:rsidR="00366107" w:rsidRPr="00B74B0F">
        <w:rPr>
          <w:szCs w:val="22"/>
          <w:lang w:val="sr-Latn-ME"/>
        </w:rPr>
        <w:t>a postiglo je kliničku remisiju, a 22% endoskopski odgovor u 52. sedmici.</w:t>
      </w:r>
    </w:p>
    <w:bookmarkEnd w:id="12"/>
    <w:p w14:paraId="07EC714B" w14:textId="77777777" w:rsidR="00366107" w:rsidRPr="00B74B0F" w:rsidRDefault="00366107" w:rsidP="00A30C3C">
      <w:pPr>
        <w:tabs>
          <w:tab w:val="clear" w:pos="567"/>
        </w:tabs>
        <w:spacing w:line="240" w:lineRule="auto"/>
        <w:jc w:val="both"/>
        <w:rPr>
          <w:i/>
          <w:iCs/>
          <w:szCs w:val="22"/>
          <w:lang w:val="sr-Latn-ME"/>
        </w:rPr>
      </w:pPr>
    </w:p>
    <w:p w14:paraId="14C2F628" w14:textId="77777777" w:rsidR="00366107" w:rsidRPr="00B74B0F" w:rsidRDefault="00366107" w:rsidP="00A30C3C">
      <w:pPr>
        <w:keepNext/>
        <w:tabs>
          <w:tab w:val="clear" w:pos="567"/>
        </w:tabs>
        <w:spacing w:line="240" w:lineRule="auto"/>
        <w:ind w:right="6944"/>
        <w:jc w:val="both"/>
        <w:rPr>
          <w:i/>
          <w:iCs/>
          <w:szCs w:val="22"/>
          <w:lang w:val="sr-Latn-ME"/>
        </w:rPr>
      </w:pPr>
      <w:r w:rsidRPr="00B74B0F">
        <w:rPr>
          <w:i/>
          <w:iCs/>
          <w:szCs w:val="22"/>
          <w:lang w:val="sr-Latn-ME"/>
        </w:rPr>
        <w:t>Endoskopska procjena</w:t>
      </w:r>
      <w:r w:rsidRPr="00B74B0F">
        <w:rPr>
          <w:i/>
          <w:iCs/>
          <w:szCs w:val="22"/>
          <w:lang w:val="sr-Latn-ME"/>
        </w:rPr>
        <w:br/>
      </w:r>
    </w:p>
    <w:p w14:paraId="166A20F2" w14:textId="20896B6E" w:rsidR="00366107" w:rsidRPr="00B74B0F" w:rsidRDefault="00366107">
      <w:pPr>
        <w:keepNext/>
        <w:tabs>
          <w:tab w:val="clear" w:pos="567"/>
        </w:tabs>
        <w:spacing w:line="240" w:lineRule="auto"/>
        <w:jc w:val="both"/>
        <w:rPr>
          <w:szCs w:val="22"/>
          <w:lang w:val="sr-Latn-ME"/>
        </w:rPr>
      </w:pPr>
      <w:r w:rsidRPr="00B74B0F">
        <w:rPr>
          <w:szCs w:val="22"/>
          <w:lang w:val="sr-Latn-ME"/>
        </w:rPr>
        <w:t xml:space="preserve">U ispitivanju CD-3, značajno je veći udio </w:t>
      </w:r>
      <w:r w:rsidR="00B15ED0" w:rsidRPr="00B74B0F">
        <w:rPr>
          <w:szCs w:val="22"/>
          <w:lang w:val="sr-Latn-ME"/>
        </w:rPr>
        <w:t xml:space="preserve">pacijenata </w:t>
      </w:r>
      <w:r w:rsidRPr="00B74B0F">
        <w:rPr>
          <w:szCs w:val="22"/>
          <w:lang w:val="sr-Latn-ME"/>
        </w:rPr>
        <w:t>liječenih upadacitinibom u dozi od 15 mg i 30 mg postigao endoskopski odgovor kao koprimarn</w:t>
      </w:r>
      <w:r w:rsidR="004B1A9B" w:rsidRPr="00B74B0F">
        <w:rPr>
          <w:szCs w:val="22"/>
          <w:lang w:val="sr-Latn-ME"/>
        </w:rPr>
        <w:t>i parametar praćenja</w:t>
      </w:r>
      <w:r w:rsidRPr="00B74B0F">
        <w:rPr>
          <w:szCs w:val="22"/>
          <w:lang w:val="sr-Latn-ME"/>
        </w:rPr>
        <w:t xml:space="preserve"> u 52. sedmici u odnosu s placebom (</w:t>
      </w:r>
      <w:r w:rsidR="00B15ED0" w:rsidRPr="00B74B0F">
        <w:rPr>
          <w:szCs w:val="22"/>
          <w:lang w:val="sr-Latn-ME"/>
        </w:rPr>
        <w:t>T</w:t>
      </w:r>
      <w:r w:rsidRPr="00B74B0F">
        <w:rPr>
          <w:szCs w:val="22"/>
          <w:lang w:val="sr-Latn-ME"/>
        </w:rPr>
        <w:t xml:space="preserve">abela 17). Osim endoskopskih </w:t>
      </w:r>
      <w:r w:rsidR="004B1A9B" w:rsidRPr="00B74B0F">
        <w:rPr>
          <w:szCs w:val="22"/>
          <w:lang w:val="sr-Latn-ME"/>
        </w:rPr>
        <w:t>parametara praćenja</w:t>
      </w:r>
      <w:r w:rsidRPr="00B74B0F">
        <w:rPr>
          <w:szCs w:val="22"/>
          <w:lang w:val="sr-Latn-ME"/>
        </w:rPr>
        <w:t xml:space="preserve"> prikazanih u </w:t>
      </w:r>
      <w:r w:rsidR="00B15ED0" w:rsidRPr="00B74B0F">
        <w:rPr>
          <w:szCs w:val="22"/>
          <w:lang w:val="sr-Latn-ME"/>
        </w:rPr>
        <w:t>T</w:t>
      </w:r>
      <w:r w:rsidRPr="00B74B0F">
        <w:rPr>
          <w:szCs w:val="22"/>
          <w:lang w:val="sr-Latn-ME"/>
        </w:rPr>
        <w:t xml:space="preserve">abeli 17, veći je udio </w:t>
      </w:r>
      <w:r w:rsidR="00B15ED0" w:rsidRPr="00B74B0F">
        <w:rPr>
          <w:szCs w:val="22"/>
          <w:lang w:val="sr-Latn-ME"/>
        </w:rPr>
        <w:t xml:space="preserve">pacijenata </w:t>
      </w:r>
      <w:r w:rsidRPr="00B74B0F">
        <w:rPr>
          <w:szCs w:val="22"/>
          <w:lang w:val="sr-Latn-ME"/>
        </w:rPr>
        <w:t>liječenih upadacitinibom u dozi od 15 mg i 30 mg (11% odnosno 21%) postigao SES</w:t>
      </w:r>
      <w:r w:rsidRPr="00B74B0F">
        <w:rPr>
          <w:szCs w:val="22"/>
          <w:lang w:val="sr-Latn-ME"/>
        </w:rPr>
        <w:noBreakHyphen/>
        <w:t>CD 0 ‒ 2 u poređenju s</w:t>
      </w:r>
      <w:r w:rsidR="004B1A9B" w:rsidRPr="00B74B0F">
        <w:rPr>
          <w:szCs w:val="22"/>
          <w:lang w:val="sr-Latn-ME"/>
        </w:rPr>
        <w:t>a</w:t>
      </w:r>
      <w:r w:rsidRPr="00B74B0F">
        <w:rPr>
          <w:szCs w:val="22"/>
          <w:lang w:val="sr-Latn-ME"/>
        </w:rPr>
        <w:t xml:space="preserve"> placebom (3%) u 52. sedmici. </w:t>
      </w:r>
      <w:bookmarkStart w:id="13" w:name="_Hlk103346294"/>
      <w:r w:rsidRPr="00B74B0F">
        <w:rPr>
          <w:szCs w:val="22"/>
          <w:lang w:val="sr-Latn-ME"/>
        </w:rPr>
        <w:t xml:space="preserve">Od </w:t>
      </w:r>
      <w:r w:rsidR="00B15ED0" w:rsidRPr="00B74B0F">
        <w:rPr>
          <w:szCs w:val="22"/>
          <w:lang w:val="sr-Latn-ME"/>
        </w:rPr>
        <w:t>pacijenata</w:t>
      </w:r>
      <w:r w:rsidRPr="00B74B0F">
        <w:rPr>
          <w:szCs w:val="22"/>
          <w:lang w:val="sr-Latn-ME"/>
        </w:rPr>
        <w:t xml:space="preserve"> koji su na početku ispitivanja uzimali steroide, endoskopska remisija bez primjene kortikosteroida postignuta je u 52. sedmici u većem udjelu </w:t>
      </w:r>
      <w:r w:rsidR="002E22C7" w:rsidRPr="00B74B0F">
        <w:rPr>
          <w:szCs w:val="22"/>
          <w:lang w:val="sr-Latn-ME"/>
        </w:rPr>
        <w:t>pacijenata</w:t>
      </w:r>
      <w:r w:rsidRPr="00B74B0F">
        <w:rPr>
          <w:szCs w:val="22"/>
          <w:lang w:val="sr-Latn-ME"/>
        </w:rPr>
        <w:t xml:space="preserve"> liječenih upadacitinibom u dozi od 15 mg i 30 mg (17% odnosno 25%) u poređenju s</w:t>
      </w:r>
      <w:r w:rsidR="004B1A9B" w:rsidRPr="00B74B0F">
        <w:rPr>
          <w:szCs w:val="22"/>
          <w:lang w:val="sr-Latn-ME"/>
        </w:rPr>
        <w:t>a</w:t>
      </w:r>
      <w:r w:rsidRPr="00B74B0F">
        <w:rPr>
          <w:szCs w:val="22"/>
          <w:lang w:val="sr-Latn-ME"/>
        </w:rPr>
        <w:t xml:space="preserve"> placebom (3%).</w:t>
      </w:r>
      <w:bookmarkEnd w:id="13"/>
    </w:p>
    <w:p w14:paraId="007E912D" w14:textId="77777777" w:rsidR="00366107" w:rsidRPr="00B74B0F" w:rsidRDefault="00366107" w:rsidP="00A30C3C">
      <w:pPr>
        <w:tabs>
          <w:tab w:val="clear" w:pos="567"/>
        </w:tabs>
        <w:spacing w:line="240" w:lineRule="auto"/>
        <w:jc w:val="both"/>
        <w:rPr>
          <w:i/>
          <w:iCs/>
          <w:szCs w:val="22"/>
          <w:lang w:val="sr-Latn-ME"/>
        </w:rPr>
      </w:pPr>
    </w:p>
    <w:p w14:paraId="129413BD" w14:textId="77777777" w:rsidR="00366107" w:rsidRPr="00B74B0F" w:rsidRDefault="00366107" w:rsidP="00A30C3C">
      <w:pPr>
        <w:tabs>
          <w:tab w:val="clear" w:pos="567"/>
        </w:tabs>
        <w:spacing w:line="240" w:lineRule="auto"/>
        <w:jc w:val="both"/>
        <w:rPr>
          <w:i/>
          <w:iCs/>
          <w:szCs w:val="22"/>
          <w:lang w:val="sr-Latn-ME"/>
        </w:rPr>
      </w:pPr>
      <w:r w:rsidRPr="00B74B0F">
        <w:rPr>
          <w:i/>
          <w:iCs/>
          <w:szCs w:val="22"/>
          <w:lang w:val="sr-Latn-ME"/>
        </w:rPr>
        <w:t>Povlačenje ekstraintestinalnih manifestacija</w:t>
      </w:r>
    </w:p>
    <w:p w14:paraId="55C5E977" w14:textId="77777777" w:rsidR="00366107" w:rsidRPr="00B74B0F" w:rsidRDefault="00366107" w:rsidP="00A30C3C">
      <w:pPr>
        <w:tabs>
          <w:tab w:val="clear" w:pos="567"/>
        </w:tabs>
        <w:spacing w:line="240" w:lineRule="auto"/>
        <w:jc w:val="both"/>
        <w:rPr>
          <w:i/>
          <w:iCs/>
          <w:szCs w:val="22"/>
          <w:lang w:val="sr-Latn-ME"/>
        </w:rPr>
      </w:pPr>
    </w:p>
    <w:p w14:paraId="249A5B3A" w14:textId="27E225E2" w:rsidR="00366107" w:rsidRPr="00B74B0F" w:rsidRDefault="00366107" w:rsidP="00A30C3C">
      <w:pPr>
        <w:tabs>
          <w:tab w:val="clear" w:pos="567"/>
        </w:tabs>
        <w:spacing w:line="240" w:lineRule="auto"/>
        <w:jc w:val="both"/>
        <w:rPr>
          <w:szCs w:val="22"/>
          <w:lang w:val="sr-Latn-ME"/>
        </w:rPr>
      </w:pPr>
      <w:bookmarkStart w:id="14" w:name="_Hlk103581784"/>
      <w:r w:rsidRPr="00B74B0F">
        <w:rPr>
          <w:szCs w:val="22"/>
          <w:lang w:val="sr-Latn-ME"/>
        </w:rPr>
        <w:t xml:space="preserve">Povlačenje ekstraintestinalnih manifestacija uočeno je u većem udjelu </w:t>
      </w:r>
      <w:r w:rsidR="00104364" w:rsidRPr="00B74B0F">
        <w:rPr>
          <w:szCs w:val="22"/>
          <w:lang w:val="sr-Latn-ME"/>
        </w:rPr>
        <w:t>pacijenata</w:t>
      </w:r>
      <w:r w:rsidRPr="00B74B0F">
        <w:rPr>
          <w:szCs w:val="22"/>
          <w:lang w:val="sr-Latn-ME"/>
        </w:rPr>
        <w:t xml:space="preserve"> liječenih upadacitinibom u dozi od 15 mg (25%) i u značajno većem udjelu </w:t>
      </w:r>
      <w:r w:rsidR="00104364" w:rsidRPr="00B74B0F">
        <w:rPr>
          <w:szCs w:val="22"/>
          <w:lang w:val="sr-Latn-ME"/>
        </w:rPr>
        <w:t>pacijenata</w:t>
      </w:r>
      <w:r w:rsidRPr="00B74B0F">
        <w:rPr>
          <w:szCs w:val="22"/>
          <w:lang w:val="sr-Latn-ME"/>
        </w:rPr>
        <w:t xml:space="preserve"> liječenih upadacitinibom u dozi od 30 mg (36%) u poređenju s</w:t>
      </w:r>
      <w:r w:rsidR="004B1A9B" w:rsidRPr="00B74B0F">
        <w:rPr>
          <w:szCs w:val="22"/>
          <w:lang w:val="sr-Latn-ME"/>
        </w:rPr>
        <w:t>a</w:t>
      </w:r>
      <w:r w:rsidRPr="00B74B0F">
        <w:rPr>
          <w:szCs w:val="22"/>
          <w:lang w:val="sr-Latn-ME"/>
        </w:rPr>
        <w:t xml:space="preserve"> placebom (15%) u 52. sedmici.</w:t>
      </w:r>
    </w:p>
    <w:p w14:paraId="50AA8BE6" w14:textId="77777777" w:rsidR="00366107" w:rsidRPr="00B74B0F" w:rsidRDefault="00366107" w:rsidP="00A30C3C">
      <w:pPr>
        <w:jc w:val="both"/>
        <w:rPr>
          <w:szCs w:val="22"/>
          <w:lang w:val="sr-Latn-ME"/>
        </w:rPr>
      </w:pPr>
      <w:bookmarkStart w:id="15" w:name="section_14"/>
      <w:bookmarkEnd w:id="14"/>
      <w:bookmarkEnd w:id="15"/>
    </w:p>
    <w:p w14:paraId="39C5C980" w14:textId="77777777" w:rsidR="00366107" w:rsidRPr="00B74B0F" w:rsidRDefault="00366107" w:rsidP="00A30C3C">
      <w:pPr>
        <w:spacing w:line="240" w:lineRule="auto"/>
        <w:jc w:val="both"/>
        <w:rPr>
          <w:i/>
          <w:szCs w:val="22"/>
          <w:lang w:val="sr-Latn-ME"/>
        </w:rPr>
      </w:pPr>
      <w:r w:rsidRPr="00B74B0F">
        <w:rPr>
          <w:i/>
          <w:szCs w:val="22"/>
          <w:lang w:val="sr-Latn-ME"/>
        </w:rPr>
        <w:t>Terapija za hitno ublažavanje simptoma</w:t>
      </w:r>
    </w:p>
    <w:p w14:paraId="73D01042" w14:textId="77777777" w:rsidR="00366107" w:rsidRPr="00B74B0F" w:rsidRDefault="00366107" w:rsidP="00A30C3C">
      <w:pPr>
        <w:spacing w:line="240" w:lineRule="auto"/>
        <w:jc w:val="both"/>
        <w:rPr>
          <w:i/>
          <w:iCs/>
          <w:szCs w:val="22"/>
          <w:lang w:val="sr-Latn-ME"/>
        </w:rPr>
      </w:pPr>
    </w:p>
    <w:p w14:paraId="51B46D02" w14:textId="19DF72C0" w:rsidR="00366107" w:rsidRPr="00B74B0F" w:rsidRDefault="00366107" w:rsidP="00A30C3C">
      <w:pPr>
        <w:spacing w:line="240" w:lineRule="auto"/>
        <w:jc w:val="both"/>
        <w:rPr>
          <w:i/>
          <w:iCs/>
          <w:szCs w:val="22"/>
          <w:lang w:val="sr-Latn-ME"/>
        </w:rPr>
      </w:pPr>
      <w:r w:rsidRPr="00B74B0F">
        <w:rPr>
          <w:szCs w:val="22"/>
          <w:lang w:val="sr-Latn-ME"/>
        </w:rPr>
        <w:t xml:space="preserve">U ispitivanju CD-3, </w:t>
      </w:r>
      <w:r w:rsidR="00B15ED0" w:rsidRPr="00B74B0F">
        <w:rPr>
          <w:szCs w:val="22"/>
          <w:lang w:val="sr-Latn-ME"/>
        </w:rPr>
        <w:t xml:space="preserve">pacijenti </w:t>
      </w:r>
      <w:r w:rsidRPr="00B74B0F">
        <w:rPr>
          <w:szCs w:val="22"/>
          <w:lang w:val="sr-Latn-ME"/>
        </w:rPr>
        <w:t xml:space="preserve">kod kojih odgovor nije bio odgovarajući ili se izgubio tokom terapije održavanja bili su prikladni za primjenu upadacitiniba u dozi od 30 mg kao terapije za hitno ublažavanje simptoma. Od </w:t>
      </w:r>
      <w:r w:rsidR="00A62A84" w:rsidRPr="00B74B0F">
        <w:rPr>
          <w:szCs w:val="22"/>
          <w:lang w:val="sr-Latn-ME"/>
        </w:rPr>
        <w:t>pacijenata</w:t>
      </w:r>
      <w:r w:rsidRPr="00B74B0F">
        <w:rPr>
          <w:szCs w:val="22"/>
          <w:lang w:val="sr-Latn-ME"/>
        </w:rPr>
        <w:t xml:space="preserve"> randomi</w:t>
      </w:r>
      <w:r w:rsidR="00B15ED0" w:rsidRPr="00B74B0F">
        <w:rPr>
          <w:szCs w:val="22"/>
          <w:lang w:val="sr-Latn-ME"/>
        </w:rPr>
        <w:t>zova</w:t>
      </w:r>
      <w:r w:rsidRPr="00B74B0F">
        <w:rPr>
          <w:szCs w:val="22"/>
          <w:lang w:val="sr-Latn-ME"/>
        </w:rPr>
        <w:t>nih u grup</w:t>
      </w:r>
      <w:r w:rsidR="00B15ED0" w:rsidRPr="00B74B0F">
        <w:rPr>
          <w:szCs w:val="22"/>
          <w:lang w:val="sr-Latn-ME"/>
        </w:rPr>
        <w:t>i</w:t>
      </w:r>
      <w:r w:rsidRPr="00B74B0F">
        <w:rPr>
          <w:szCs w:val="22"/>
          <w:lang w:val="sr-Latn-ME"/>
        </w:rPr>
        <w:t xml:space="preserve"> liječ</w:t>
      </w:r>
      <w:r w:rsidR="00B15ED0" w:rsidRPr="00B74B0F">
        <w:rPr>
          <w:szCs w:val="22"/>
          <w:lang w:val="sr-Latn-ME"/>
        </w:rPr>
        <w:t>enoj</w:t>
      </w:r>
      <w:r w:rsidRPr="00B74B0F">
        <w:rPr>
          <w:szCs w:val="22"/>
          <w:lang w:val="sr-Latn-ME"/>
        </w:rPr>
        <w:t xml:space="preserve"> upadacitinibom u dozi od 15 mg koji su primali dozu upadacitiniba od 30 mg kao terapiju za ublažavanje simptoma najmanje 12 sedmica, 84% (76/90) </w:t>
      </w:r>
      <w:r w:rsidR="00A62A84" w:rsidRPr="00B74B0F">
        <w:rPr>
          <w:szCs w:val="22"/>
          <w:lang w:val="sr-Latn-ME"/>
        </w:rPr>
        <w:t>pacijenata</w:t>
      </w:r>
      <w:r w:rsidRPr="00B74B0F">
        <w:rPr>
          <w:szCs w:val="22"/>
          <w:lang w:val="sr-Latn-ME"/>
        </w:rPr>
        <w:t xml:space="preserve"> postiglo je klinički odgovor prema rezultatu SF/APS, a 48% (43/90) kliničku remisiju 12 sedmica nakon započete terapije za hitno ublažavanje simptoma. </w:t>
      </w:r>
    </w:p>
    <w:p w14:paraId="11C6B41B" w14:textId="77777777" w:rsidR="00366107" w:rsidRPr="00B74B0F" w:rsidRDefault="00366107" w:rsidP="00A30C3C">
      <w:pPr>
        <w:tabs>
          <w:tab w:val="clear" w:pos="567"/>
        </w:tabs>
        <w:spacing w:line="240" w:lineRule="auto"/>
        <w:jc w:val="both"/>
        <w:rPr>
          <w:i/>
          <w:iCs/>
          <w:szCs w:val="22"/>
          <w:lang w:val="sr-Latn-ME"/>
        </w:rPr>
      </w:pPr>
    </w:p>
    <w:p w14:paraId="0EF82323" w14:textId="77777777" w:rsidR="00366107" w:rsidRPr="00B74B0F" w:rsidRDefault="00366107" w:rsidP="00A30C3C">
      <w:pPr>
        <w:tabs>
          <w:tab w:val="clear" w:pos="567"/>
        </w:tabs>
        <w:spacing w:line="240" w:lineRule="auto"/>
        <w:jc w:val="both"/>
        <w:rPr>
          <w:i/>
          <w:iCs/>
          <w:szCs w:val="22"/>
          <w:lang w:val="sr-Latn-ME"/>
        </w:rPr>
      </w:pPr>
      <w:r w:rsidRPr="00B74B0F">
        <w:rPr>
          <w:i/>
          <w:iCs/>
          <w:szCs w:val="22"/>
          <w:lang w:val="sr-Latn-ME"/>
        </w:rPr>
        <w:t>Ishodi za kvalitet života povezani sa zdravljem</w:t>
      </w:r>
    </w:p>
    <w:p w14:paraId="6068B973" w14:textId="77777777" w:rsidR="00366107" w:rsidRPr="00B74B0F" w:rsidRDefault="00366107" w:rsidP="00A30C3C">
      <w:pPr>
        <w:tabs>
          <w:tab w:val="clear" w:pos="567"/>
        </w:tabs>
        <w:spacing w:line="240" w:lineRule="auto"/>
        <w:jc w:val="both"/>
        <w:rPr>
          <w:i/>
          <w:iCs/>
          <w:szCs w:val="22"/>
          <w:lang w:val="sr-Latn-ME"/>
        </w:rPr>
      </w:pPr>
    </w:p>
    <w:p w14:paraId="5C94784E" w14:textId="3E1C5415" w:rsidR="00C628A9" w:rsidRPr="00B74B0F" w:rsidRDefault="00A62A84">
      <w:pPr>
        <w:keepNext/>
        <w:spacing w:line="240" w:lineRule="auto"/>
        <w:contextualSpacing/>
        <w:jc w:val="both"/>
        <w:rPr>
          <w:szCs w:val="22"/>
          <w:lang w:val="sr-Latn-ME"/>
        </w:rPr>
      </w:pPr>
      <w:r w:rsidRPr="00B74B0F">
        <w:rPr>
          <w:szCs w:val="22"/>
          <w:lang w:val="sr-Latn-ME"/>
        </w:rPr>
        <w:t>Pacijent</w:t>
      </w:r>
      <w:r w:rsidR="00366107" w:rsidRPr="00B74B0F">
        <w:rPr>
          <w:szCs w:val="22"/>
          <w:lang w:val="sr-Latn-ME"/>
        </w:rPr>
        <w:t xml:space="preserve">i liječeni upadacitinibom pokazali su u poređenju s placebom veće poboljšanje kvaliteta života povezanog sa zdravljem (HRQOL, engl. </w:t>
      </w:r>
      <w:r w:rsidR="00366107" w:rsidRPr="00B74B0F">
        <w:rPr>
          <w:i/>
          <w:iCs/>
          <w:szCs w:val="22"/>
          <w:lang w:val="sr-Latn-ME"/>
        </w:rPr>
        <w:t>health-related quality of life</w:t>
      </w:r>
      <w:r w:rsidR="00366107" w:rsidRPr="00B74B0F">
        <w:rPr>
          <w:szCs w:val="22"/>
          <w:lang w:val="sr-Latn-ME"/>
        </w:rPr>
        <w:t>), mjerene ukupnim rezultatom IBDQ. Poboljšanja su zabilježena u rezultatima sv</w:t>
      </w:r>
      <w:r w:rsidR="004B1A9B" w:rsidRPr="00B74B0F">
        <w:rPr>
          <w:szCs w:val="22"/>
          <w:lang w:val="sr-Latn-ME"/>
        </w:rPr>
        <w:t>a</w:t>
      </w:r>
      <w:r w:rsidR="00366107" w:rsidRPr="00B74B0F">
        <w:rPr>
          <w:szCs w:val="22"/>
          <w:lang w:val="sr-Latn-ME"/>
        </w:rPr>
        <w:t xml:space="preserve"> 4 domen</w:t>
      </w:r>
      <w:r w:rsidR="004B1A9B" w:rsidRPr="00B74B0F">
        <w:rPr>
          <w:szCs w:val="22"/>
          <w:lang w:val="sr-Latn-ME"/>
        </w:rPr>
        <w:t>a</w:t>
      </w:r>
      <w:r w:rsidR="00366107" w:rsidRPr="00B74B0F">
        <w:rPr>
          <w:szCs w:val="22"/>
          <w:lang w:val="sr-Latn-ME"/>
        </w:rPr>
        <w:t>: sistemski simptomi (uključujući umor) i crijevni simptomi (uključujući bol u abdomenu i hitnost pražnjenja crijeva), kao i društveno i emocionalno funkcionisanje. Promjene ukupnog rezultata IBDQ</w:t>
      </w:r>
      <w:r w:rsidR="00366107" w:rsidRPr="00B74B0F">
        <w:rPr>
          <w:szCs w:val="22"/>
          <w:lang w:val="sr-Latn-ME"/>
        </w:rPr>
        <w:noBreakHyphen/>
        <w:t>a u 12. sedmici u odnosu na početak ispitivanja iznosile su uz upadacitinib od 45 mg jedanput na dan u poređenju s placebom 46,0 odnosno 21,6 u ispitivanju CD</w:t>
      </w:r>
      <w:r w:rsidR="00366107" w:rsidRPr="00B74B0F">
        <w:rPr>
          <w:szCs w:val="22"/>
          <w:lang w:val="sr-Latn-ME"/>
        </w:rPr>
        <w:noBreakHyphen/>
        <w:t>1 i 46,3 odnosno 24,4 u ispitivanju CD-2. Promjene ukupnog rezultata IBDQ</w:t>
      </w:r>
      <w:r w:rsidR="00366107" w:rsidRPr="00B74B0F">
        <w:rPr>
          <w:szCs w:val="22"/>
          <w:lang w:val="sr-Latn-ME"/>
        </w:rPr>
        <w:noBreakHyphen/>
        <w:t xml:space="preserve">a u </w:t>
      </w:r>
      <w:r w:rsidR="00366107" w:rsidRPr="00B74B0F">
        <w:rPr>
          <w:szCs w:val="22"/>
          <w:lang w:val="sr-Latn-ME"/>
        </w:rPr>
        <w:lastRenderedPageBreak/>
        <w:t xml:space="preserve">52. sedmici u odnosu na početnu vrijednost iznosile su 59,3 i 64,5 kod </w:t>
      </w:r>
      <w:r w:rsidR="00B15ED0" w:rsidRPr="00B74B0F">
        <w:rPr>
          <w:szCs w:val="22"/>
          <w:lang w:val="sr-Latn-ME"/>
        </w:rPr>
        <w:t xml:space="preserve">pacijenata </w:t>
      </w:r>
      <w:r w:rsidR="00366107" w:rsidRPr="00B74B0F">
        <w:rPr>
          <w:szCs w:val="22"/>
          <w:lang w:val="sr-Latn-ME"/>
        </w:rPr>
        <w:t xml:space="preserve">liječenih upadacitinibom od 15 mg odnosno 30 mg jedanput na dan i 46,4 kod </w:t>
      </w:r>
      <w:r w:rsidR="00B15ED0" w:rsidRPr="00B74B0F">
        <w:rPr>
          <w:szCs w:val="22"/>
          <w:lang w:val="sr-Latn-ME"/>
        </w:rPr>
        <w:t xml:space="preserve">pacijenata </w:t>
      </w:r>
      <w:r w:rsidR="00366107" w:rsidRPr="00B74B0F">
        <w:rPr>
          <w:szCs w:val="22"/>
          <w:lang w:val="sr-Latn-ME"/>
        </w:rPr>
        <w:t>koji su primali placebo.</w:t>
      </w:r>
    </w:p>
    <w:p w14:paraId="6CA46742" w14:textId="77777777" w:rsidR="00B15ED0" w:rsidRPr="00B74B0F" w:rsidRDefault="00B15ED0">
      <w:pPr>
        <w:keepNext/>
        <w:spacing w:line="240" w:lineRule="auto"/>
        <w:contextualSpacing/>
        <w:jc w:val="both"/>
        <w:rPr>
          <w:szCs w:val="22"/>
          <w:u w:val="single"/>
          <w:lang w:val="sr-Latn-ME"/>
        </w:rPr>
      </w:pPr>
    </w:p>
    <w:p w14:paraId="69A3E564" w14:textId="77777777" w:rsidR="00ED61EB" w:rsidRPr="00B74B0F" w:rsidRDefault="00ED61EB">
      <w:pPr>
        <w:keepNext/>
        <w:spacing w:line="240" w:lineRule="auto"/>
        <w:contextualSpacing/>
        <w:jc w:val="both"/>
        <w:rPr>
          <w:szCs w:val="22"/>
          <w:u w:val="single"/>
          <w:lang w:val="sr-Latn-ME"/>
        </w:rPr>
      </w:pPr>
      <w:r w:rsidRPr="00B74B0F">
        <w:rPr>
          <w:szCs w:val="22"/>
          <w:u w:val="single"/>
          <w:lang w:val="sr-Latn-ME"/>
        </w:rPr>
        <w:t>Pedijatrijska populacija</w:t>
      </w:r>
    </w:p>
    <w:p w14:paraId="4FA42A88" w14:textId="77777777" w:rsidR="00ED61EB" w:rsidRPr="00B74B0F" w:rsidRDefault="00ED61EB">
      <w:pPr>
        <w:keepNext/>
        <w:spacing w:line="240" w:lineRule="auto"/>
        <w:jc w:val="both"/>
        <w:rPr>
          <w:szCs w:val="22"/>
          <w:u w:val="single"/>
          <w:lang w:val="sr-Latn-ME"/>
        </w:rPr>
      </w:pPr>
    </w:p>
    <w:p w14:paraId="68009140" w14:textId="3D41BA3E" w:rsidR="00ED61EB" w:rsidRPr="00B74B0F" w:rsidRDefault="00ED61EB">
      <w:pPr>
        <w:autoSpaceDE w:val="0"/>
        <w:autoSpaceDN w:val="0"/>
        <w:adjustRightInd w:val="0"/>
        <w:spacing w:line="240" w:lineRule="auto"/>
        <w:jc w:val="both"/>
        <w:rPr>
          <w:szCs w:val="22"/>
          <w:lang w:val="sr-Latn-ME"/>
        </w:rPr>
      </w:pPr>
      <w:r w:rsidRPr="00B74B0F">
        <w:rPr>
          <w:szCs w:val="22"/>
          <w:lang w:val="sr-Latn-ME"/>
        </w:rPr>
        <w:t xml:space="preserve">Ukupno </w:t>
      </w:r>
      <w:r w:rsidR="002F4F77">
        <w:rPr>
          <w:szCs w:val="22"/>
          <w:lang w:val="sr-Latn-ME"/>
        </w:rPr>
        <w:t>542</w:t>
      </w:r>
      <w:r w:rsidR="002F4F77" w:rsidRPr="00B74B0F">
        <w:rPr>
          <w:szCs w:val="22"/>
          <w:lang w:val="sr-Latn-ME"/>
        </w:rPr>
        <w:t> </w:t>
      </w:r>
      <w:r w:rsidRPr="00B74B0F">
        <w:rPr>
          <w:szCs w:val="22"/>
          <w:lang w:val="sr-Latn-ME"/>
        </w:rPr>
        <w:t>adolescenta u dobi od 12 do 17 godina s</w:t>
      </w:r>
      <w:r w:rsidR="004B1A9B" w:rsidRPr="00B74B0F">
        <w:rPr>
          <w:szCs w:val="22"/>
          <w:lang w:val="sr-Latn-ME"/>
        </w:rPr>
        <w:t>a</w:t>
      </w:r>
      <w:r w:rsidRPr="00B74B0F">
        <w:rPr>
          <w:szCs w:val="22"/>
          <w:lang w:val="sr-Latn-ME"/>
        </w:rPr>
        <w:t xml:space="preserve"> umjerenim do teškim atopijskim dermatitisom randomiz</w:t>
      </w:r>
      <w:r w:rsidR="00916178" w:rsidRPr="00B74B0F">
        <w:rPr>
          <w:szCs w:val="22"/>
          <w:lang w:val="sr-Latn-ME"/>
        </w:rPr>
        <w:t>ov</w:t>
      </w:r>
      <w:r w:rsidRPr="00B74B0F">
        <w:rPr>
          <w:szCs w:val="22"/>
          <w:lang w:val="sr-Latn-ME"/>
        </w:rPr>
        <w:t xml:space="preserve">ano </w:t>
      </w:r>
      <w:r w:rsidR="00652C8C">
        <w:rPr>
          <w:szCs w:val="22"/>
          <w:lang w:val="sr-Latn-ME"/>
        </w:rPr>
        <w:t xml:space="preserve">je </w:t>
      </w:r>
      <w:r w:rsidRPr="00B74B0F">
        <w:rPr>
          <w:szCs w:val="22"/>
          <w:lang w:val="sr-Latn-ME"/>
        </w:rPr>
        <w:t xml:space="preserve">u tri </w:t>
      </w:r>
      <w:r w:rsidR="002F4F77">
        <w:rPr>
          <w:szCs w:val="22"/>
          <w:lang w:val="sr-Latn-ME"/>
        </w:rPr>
        <w:t xml:space="preserve">globalna </w:t>
      </w:r>
      <w:r w:rsidRPr="00B74B0F">
        <w:rPr>
          <w:szCs w:val="22"/>
          <w:lang w:val="sr-Latn-ME"/>
        </w:rPr>
        <w:t>ispitivanja faze 3</w:t>
      </w:r>
      <w:r w:rsidR="002F4F77">
        <w:rPr>
          <w:szCs w:val="22"/>
          <w:lang w:val="sr-Latn-ME"/>
        </w:rPr>
        <w:t xml:space="preserve">, od kojih </w:t>
      </w:r>
      <w:r w:rsidR="002F4F77">
        <w:rPr>
          <w:szCs w:val="22"/>
          <w:lang w:val="es-ES"/>
        </w:rPr>
        <w:t>je 344 ocijenjeno u primarnoj analizi. Adolescenti u primarnoj analizi randomizovani su</w:t>
      </w:r>
      <w:r w:rsidR="002F4F77" w:rsidRPr="000D2E21">
        <w:rPr>
          <w:szCs w:val="22"/>
          <w:lang w:val="es-ES"/>
        </w:rPr>
        <w:t xml:space="preserve"> </w:t>
      </w:r>
      <w:r w:rsidRPr="00B74B0F">
        <w:rPr>
          <w:szCs w:val="22"/>
          <w:lang w:val="sr-Latn-ME"/>
        </w:rPr>
        <w:t>za primanje upadacitiniba u dozi od 15 mg (N = 114) ili 30 mg (N = 114) ili odgovarajućeg placeba (N = 116)</w:t>
      </w:r>
      <w:r w:rsidR="00652C8C">
        <w:rPr>
          <w:szCs w:val="22"/>
          <w:lang w:val="sr-Latn-ME"/>
        </w:rPr>
        <w:t>,</w:t>
      </w:r>
      <w:r w:rsidRPr="00B74B0F">
        <w:rPr>
          <w:szCs w:val="22"/>
          <w:lang w:val="sr-Latn-ME"/>
        </w:rPr>
        <w:t xml:space="preserve"> u monoterapiji ili u kombinaciji s</w:t>
      </w:r>
      <w:r w:rsidR="004B1A9B" w:rsidRPr="00B74B0F">
        <w:rPr>
          <w:szCs w:val="22"/>
          <w:lang w:val="sr-Latn-ME"/>
        </w:rPr>
        <w:t>a</w:t>
      </w:r>
      <w:r w:rsidRPr="00B74B0F">
        <w:rPr>
          <w:szCs w:val="22"/>
          <w:lang w:val="sr-Latn-ME"/>
        </w:rPr>
        <w:t xml:space="preserve"> topikalnim kortikosteroidima. </w:t>
      </w:r>
      <w:r w:rsidR="00916178" w:rsidRPr="00B74B0F">
        <w:rPr>
          <w:szCs w:val="22"/>
          <w:lang w:val="sr-Latn-ME"/>
        </w:rPr>
        <w:t xml:space="preserve">Efikasnost </w:t>
      </w:r>
      <w:r w:rsidRPr="00B74B0F">
        <w:rPr>
          <w:szCs w:val="22"/>
          <w:lang w:val="sr-Latn-ME"/>
        </w:rPr>
        <w:t xml:space="preserve">je bila dosljedna između adolescenata i odraslih. </w:t>
      </w:r>
      <w:r w:rsidR="00916178" w:rsidRPr="00B74B0F">
        <w:rPr>
          <w:szCs w:val="22"/>
          <w:lang w:val="sr-Latn-ME"/>
        </w:rPr>
        <w:t xml:space="preserve">Bezbjednosni </w:t>
      </w:r>
      <w:r w:rsidRPr="00B74B0F">
        <w:rPr>
          <w:szCs w:val="22"/>
          <w:lang w:val="sr-Latn-ME"/>
        </w:rPr>
        <w:t xml:space="preserve">profil </w:t>
      </w:r>
      <w:r w:rsidR="00916178" w:rsidRPr="00B74B0F">
        <w:rPr>
          <w:szCs w:val="22"/>
          <w:lang w:val="sr-Latn-ME"/>
        </w:rPr>
        <w:t>kod</w:t>
      </w:r>
      <w:r w:rsidRPr="00B74B0F">
        <w:rPr>
          <w:szCs w:val="22"/>
          <w:lang w:val="sr-Latn-ME"/>
        </w:rPr>
        <w:t xml:space="preserve"> adolescenata bio je </w:t>
      </w:r>
      <w:r w:rsidR="00E91282" w:rsidRPr="00B74B0F">
        <w:rPr>
          <w:szCs w:val="22"/>
          <w:lang w:val="sr-Latn-ME"/>
        </w:rPr>
        <w:t>uopšteno</w:t>
      </w:r>
      <w:r w:rsidRPr="00B74B0F">
        <w:rPr>
          <w:szCs w:val="22"/>
          <w:lang w:val="sr-Latn-ME"/>
        </w:rPr>
        <w:t xml:space="preserve"> sličan onome </w:t>
      </w:r>
      <w:r w:rsidR="00916178" w:rsidRPr="00B74B0F">
        <w:rPr>
          <w:szCs w:val="22"/>
          <w:lang w:val="sr-Latn-ME"/>
        </w:rPr>
        <w:t>kod</w:t>
      </w:r>
      <w:r w:rsidRPr="00B74B0F">
        <w:rPr>
          <w:szCs w:val="22"/>
          <w:lang w:val="sr-Latn-ME"/>
        </w:rPr>
        <w:t xml:space="preserve"> odraslih, s</w:t>
      </w:r>
      <w:r w:rsidR="004B1A9B" w:rsidRPr="00B74B0F">
        <w:rPr>
          <w:szCs w:val="22"/>
          <w:lang w:val="sr-Latn-ME"/>
        </w:rPr>
        <w:t>a</w:t>
      </w:r>
      <w:r w:rsidRPr="00B74B0F">
        <w:rPr>
          <w:szCs w:val="22"/>
          <w:lang w:val="sr-Latn-ME"/>
        </w:rPr>
        <w:t xml:space="preserve"> povećanjima </w:t>
      </w:r>
      <w:r w:rsidR="00916178" w:rsidRPr="00B74B0F">
        <w:rPr>
          <w:szCs w:val="22"/>
          <w:lang w:val="sr-Latn-ME"/>
        </w:rPr>
        <w:t>zavisnim</w:t>
      </w:r>
      <w:r w:rsidRPr="00B74B0F">
        <w:rPr>
          <w:szCs w:val="22"/>
          <w:lang w:val="sr-Latn-ME"/>
        </w:rPr>
        <w:t xml:space="preserve"> o</w:t>
      </w:r>
      <w:r w:rsidR="00916178" w:rsidRPr="00B74B0F">
        <w:rPr>
          <w:szCs w:val="22"/>
          <w:lang w:val="sr-Latn-ME"/>
        </w:rPr>
        <w:t>d</w:t>
      </w:r>
      <w:r w:rsidRPr="00B74B0F">
        <w:rPr>
          <w:szCs w:val="22"/>
          <w:lang w:val="sr-Latn-ME"/>
        </w:rPr>
        <w:t xml:space="preserve"> doz</w:t>
      </w:r>
      <w:r w:rsidR="00916178" w:rsidRPr="00B74B0F">
        <w:rPr>
          <w:szCs w:val="22"/>
          <w:lang w:val="sr-Latn-ME"/>
        </w:rPr>
        <w:t>e</w:t>
      </w:r>
      <w:r w:rsidRPr="00B74B0F">
        <w:rPr>
          <w:szCs w:val="22"/>
          <w:lang w:val="sr-Latn-ME"/>
        </w:rPr>
        <w:t xml:space="preserve"> u stopi nekih </w:t>
      </w:r>
      <w:r w:rsidR="00916178" w:rsidRPr="00B74B0F">
        <w:rPr>
          <w:szCs w:val="22"/>
          <w:lang w:val="sr-Latn-ME"/>
        </w:rPr>
        <w:t>neželjenih dejstava</w:t>
      </w:r>
      <w:r w:rsidRPr="00B74B0F">
        <w:rPr>
          <w:szCs w:val="22"/>
          <w:lang w:val="sr-Latn-ME"/>
        </w:rPr>
        <w:t xml:space="preserve">, uključujući neutropeniju i herpes zoster. Za obje doze stopa neutropenije bila je blago povećana </w:t>
      </w:r>
      <w:r w:rsidR="00916178" w:rsidRPr="00B74B0F">
        <w:rPr>
          <w:szCs w:val="22"/>
          <w:lang w:val="sr-Latn-ME"/>
        </w:rPr>
        <w:t>kod</w:t>
      </w:r>
      <w:r w:rsidRPr="00B74B0F">
        <w:rPr>
          <w:szCs w:val="22"/>
          <w:lang w:val="sr-Latn-ME"/>
        </w:rPr>
        <w:t xml:space="preserve"> adolescenata u odnosu na odrasle. Stopa herpes zostera </w:t>
      </w:r>
      <w:r w:rsidR="002F4F77">
        <w:rPr>
          <w:szCs w:val="22"/>
          <w:lang w:val="sr-Latn-ME"/>
        </w:rPr>
        <w:t xml:space="preserve">je </w:t>
      </w:r>
      <w:r w:rsidRPr="00B74B0F">
        <w:rPr>
          <w:szCs w:val="22"/>
          <w:lang w:val="sr-Latn-ME"/>
        </w:rPr>
        <w:t xml:space="preserve">pri </w:t>
      </w:r>
      <w:r w:rsidR="002F4F77">
        <w:rPr>
          <w:szCs w:val="22"/>
          <w:lang w:val="sr-Latn-ME"/>
        </w:rPr>
        <w:t xml:space="preserve">obje </w:t>
      </w:r>
      <w:r w:rsidR="002F4F77" w:rsidRPr="00B74B0F">
        <w:rPr>
          <w:szCs w:val="22"/>
          <w:lang w:val="sr-Latn-ME"/>
        </w:rPr>
        <w:t>doz</w:t>
      </w:r>
      <w:r w:rsidR="002F4F77">
        <w:rPr>
          <w:szCs w:val="22"/>
          <w:lang w:val="sr-Latn-ME"/>
        </w:rPr>
        <w:t>e</w:t>
      </w:r>
      <w:r w:rsidR="002F4F77" w:rsidRPr="00B74B0F">
        <w:rPr>
          <w:szCs w:val="22"/>
          <w:lang w:val="sr-Latn-ME"/>
        </w:rPr>
        <w:t xml:space="preserve"> </w:t>
      </w:r>
      <w:r w:rsidRPr="00B74B0F">
        <w:rPr>
          <w:szCs w:val="22"/>
          <w:lang w:val="sr-Latn-ME"/>
        </w:rPr>
        <w:t>bila</w:t>
      </w:r>
      <w:r w:rsidR="002F4F77" w:rsidRPr="000D2E21">
        <w:rPr>
          <w:szCs w:val="22"/>
          <w:lang w:val="es-ES"/>
        </w:rPr>
        <w:t xml:space="preserve"> blago povećana kod odrasl</w:t>
      </w:r>
      <w:r w:rsidR="00652C8C">
        <w:rPr>
          <w:szCs w:val="22"/>
          <w:lang w:val="es-ES"/>
        </w:rPr>
        <w:t>ih</w:t>
      </w:r>
      <w:r w:rsidR="00652C8C">
        <w:rPr>
          <w:szCs w:val="22"/>
          <w:lang w:val="sr-Latn-ME"/>
        </w:rPr>
        <w:t xml:space="preserve"> u odnosu na adolescente.</w:t>
      </w:r>
    </w:p>
    <w:p w14:paraId="78D12907" w14:textId="77777777" w:rsidR="00ED61EB" w:rsidRPr="00B74B0F" w:rsidRDefault="00ED61EB" w:rsidP="00B64B6A">
      <w:pPr>
        <w:autoSpaceDE w:val="0"/>
        <w:autoSpaceDN w:val="0"/>
        <w:adjustRightInd w:val="0"/>
        <w:spacing w:line="240" w:lineRule="auto"/>
        <w:jc w:val="both"/>
        <w:rPr>
          <w:rFonts w:eastAsia="Calibri"/>
          <w:bCs/>
          <w:szCs w:val="22"/>
          <w:lang w:val="sr-Latn-ME"/>
        </w:rPr>
      </w:pPr>
    </w:p>
    <w:p w14:paraId="0B1FD726" w14:textId="5FBC6F36" w:rsidR="00ED61EB" w:rsidRPr="00B74B0F" w:rsidRDefault="00ED61EB">
      <w:pPr>
        <w:keepNext/>
        <w:autoSpaceDE w:val="0"/>
        <w:autoSpaceDN w:val="0"/>
        <w:adjustRightInd w:val="0"/>
        <w:spacing w:line="240" w:lineRule="auto"/>
        <w:jc w:val="both"/>
        <w:rPr>
          <w:rFonts w:eastAsia="Calibri"/>
          <w:b/>
          <w:szCs w:val="22"/>
          <w:lang w:val="sr-Latn-ME"/>
        </w:rPr>
      </w:pPr>
      <w:r w:rsidRPr="00B74B0F">
        <w:rPr>
          <w:rFonts w:eastAsia="Calibri"/>
          <w:b/>
          <w:szCs w:val="22"/>
          <w:lang w:val="sr-Latn-ME"/>
        </w:rPr>
        <w:t>Tab</w:t>
      </w:r>
      <w:r w:rsidR="00916178" w:rsidRPr="00B74B0F">
        <w:rPr>
          <w:rFonts w:eastAsia="Calibri"/>
          <w:b/>
          <w:szCs w:val="22"/>
          <w:lang w:val="sr-Latn-ME"/>
        </w:rPr>
        <w:t>el</w:t>
      </w:r>
      <w:r w:rsidRPr="00B74B0F">
        <w:rPr>
          <w:rFonts w:eastAsia="Calibri"/>
          <w:b/>
          <w:szCs w:val="22"/>
          <w:lang w:val="sr-Latn-ME"/>
        </w:rPr>
        <w:t>a 1</w:t>
      </w:r>
      <w:r w:rsidR="005604D8" w:rsidRPr="00B74B0F">
        <w:rPr>
          <w:rFonts w:eastAsia="Calibri"/>
          <w:b/>
          <w:szCs w:val="22"/>
          <w:lang w:val="sr-Latn-ME"/>
        </w:rPr>
        <w:t>8</w:t>
      </w:r>
      <w:r w:rsidR="00916178" w:rsidRPr="00B74B0F">
        <w:rPr>
          <w:rFonts w:eastAsia="Calibri"/>
          <w:b/>
          <w:szCs w:val="22"/>
          <w:lang w:val="sr-Latn-ME"/>
        </w:rPr>
        <w:t>:</w:t>
      </w:r>
      <w:r w:rsidRPr="00B74B0F">
        <w:rPr>
          <w:rFonts w:eastAsia="Calibri"/>
          <w:b/>
          <w:szCs w:val="22"/>
          <w:lang w:val="sr-Latn-ME"/>
        </w:rPr>
        <w:t xml:space="preserve"> Rezultati </w:t>
      </w:r>
      <w:r w:rsidR="00916178" w:rsidRPr="00B74B0F">
        <w:rPr>
          <w:rFonts w:eastAsia="Calibri"/>
          <w:b/>
          <w:szCs w:val="22"/>
          <w:lang w:val="sr-Latn-ME"/>
        </w:rPr>
        <w:t xml:space="preserve">efikasnosti </w:t>
      </w:r>
      <w:r w:rsidRPr="00B74B0F">
        <w:rPr>
          <w:rFonts w:eastAsia="Calibri"/>
          <w:b/>
          <w:szCs w:val="22"/>
          <w:lang w:val="sr-Latn-ME"/>
        </w:rPr>
        <w:t>upadacitiniba kod adolescenata u 16. </w:t>
      </w:r>
      <w:r w:rsidR="00541311" w:rsidRPr="00B74B0F">
        <w:rPr>
          <w:rFonts w:eastAsia="Calibri"/>
          <w:b/>
          <w:szCs w:val="22"/>
          <w:lang w:val="sr-Latn-ME"/>
        </w:rPr>
        <w:t>ned</w:t>
      </w:r>
      <w:r w:rsidR="00916178" w:rsidRPr="00B74B0F">
        <w:rPr>
          <w:rFonts w:eastAsia="Calibri"/>
          <w:b/>
          <w:szCs w:val="22"/>
          <w:lang w:val="sr-Latn-ME"/>
        </w:rPr>
        <w:t>j</w:t>
      </w:r>
      <w:r w:rsidR="00541311" w:rsidRPr="00B74B0F">
        <w:rPr>
          <w:rFonts w:eastAsia="Calibri"/>
          <w:b/>
          <w:szCs w:val="22"/>
          <w:lang w:val="sr-Latn-ME"/>
        </w:rPr>
        <w:t>elji</w:t>
      </w:r>
    </w:p>
    <w:p w14:paraId="5F8D8BF8" w14:textId="77777777" w:rsidR="00ED61EB" w:rsidRPr="00B74B0F" w:rsidRDefault="00ED61EB">
      <w:pPr>
        <w:keepNext/>
        <w:autoSpaceDE w:val="0"/>
        <w:autoSpaceDN w:val="0"/>
        <w:adjustRightInd w:val="0"/>
        <w:spacing w:line="240" w:lineRule="auto"/>
        <w:jc w:val="both"/>
        <w:rPr>
          <w:bCs/>
          <w:szCs w:val="22"/>
          <w:lang w:val="sr-Latn-ME"/>
        </w:rP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754"/>
        <w:gridCol w:w="864"/>
        <w:gridCol w:w="864"/>
        <w:gridCol w:w="754"/>
        <w:gridCol w:w="864"/>
        <w:gridCol w:w="864"/>
        <w:gridCol w:w="864"/>
        <w:gridCol w:w="864"/>
        <w:gridCol w:w="1123"/>
      </w:tblGrid>
      <w:tr w:rsidR="00673C0D" w:rsidRPr="00636A8C" w14:paraId="5D3F4D57" w14:textId="77777777" w:rsidTr="00673C0D">
        <w:trPr>
          <w:trHeight w:val="39"/>
        </w:trPr>
        <w:tc>
          <w:tcPr>
            <w:tcW w:w="818" w:type="pct"/>
            <w:shd w:val="clear" w:color="auto" w:fill="auto"/>
          </w:tcPr>
          <w:p w14:paraId="7ADA7A38" w14:textId="77777777" w:rsidR="00673C0D" w:rsidRPr="00636A8C" w:rsidRDefault="00673C0D" w:rsidP="00254E74">
            <w:pPr>
              <w:keepNext/>
              <w:spacing w:line="240" w:lineRule="auto"/>
              <w:rPr>
                <w:b/>
                <w:bCs/>
                <w:noProof/>
                <w:color w:val="2D2926"/>
              </w:rPr>
            </w:pPr>
            <w:r w:rsidRPr="00636A8C">
              <w:rPr>
                <w:b/>
                <w:bCs/>
                <w:noProof/>
                <w:color w:val="2D2926"/>
              </w:rPr>
              <w:t>Ispitivanje</w:t>
            </w:r>
          </w:p>
        </w:tc>
        <w:tc>
          <w:tcPr>
            <w:tcW w:w="1323" w:type="pct"/>
            <w:gridSpan w:val="3"/>
            <w:shd w:val="clear" w:color="auto" w:fill="auto"/>
          </w:tcPr>
          <w:p w14:paraId="2A8FBF17" w14:textId="77777777" w:rsidR="00673C0D" w:rsidRPr="00636A8C" w:rsidRDefault="00673C0D" w:rsidP="00254E74">
            <w:pPr>
              <w:keepNext/>
              <w:spacing w:line="240" w:lineRule="auto"/>
              <w:jc w:val="center"/>
              <w:rPr>
                <w:b/>
                <w:bCs/>
                <w:noProof/>
                <w:color w:val="2D2926"/>
                <w:szCs w:val="22"/>
              </w:rPr>
            </w:pPr>
            <w:r w:rsidRPr="00636A8C">
              <w:rPr>
                <w:b/>
                <w:bCs/>
                <w:noProof/>
                <w:color w:val="2D2926"/>
                <w:szCs w:val="22"/>
              </w:rPr>
              <w:t>MEASURE UP 1</w:t>
            </w:r>
          </w:p>
        </w:tc>
        <w:tc>
          <w:tcPr>
            <w:tcW w:w="1323" w:type="pct"/>
            <w:gridSpan w:val="3"/>
          </w:tcPr>
          <w:p w14:paraId="67A29BDC" w14:textId="77777777" w:rsidR="00673C0D" w:rsidRPr="00636A8C" w:rsidRDefault="00673C0D" w:rsidP="00254E74">
            <w:pPr>
              <w:keepNext/>
              <w:spacing w:line="240" w:lineRule="auto"/>
              <w:jc w:val="center"/>
              <w:rPr>
                <w:b/>
                <w:bCs/>
                <w:noProof/>
                <w:color w:val="2D2926"/>
              </w:rPr>
            </w:pPr>
            <w:r w:rsidRPr="00636A8C">
              <w:rPr>
                <w:b/>
                <w:bCs/>
                <w:noProof/>
                <w:color w:val="2D2926"/>
                <w:szCs w:val="22"/>
              </w:rPr>
              <w:t>MEASURE UP 2</w:t>
            </w:r>
          </w:p>
        </w:tc>
        <w:tc>
          <w:tcPr>
            <w:tcW w:w="1537" w:type="pct"/>
            <w:gridSpan w:val="3"/>
            <w:shd w:val="clear" w:color="auto" w:fill="auto"/>
          </w:tcPr>
          <w:p w14:paraId="64424433" w14:textId="77777777" w:rsidR="00673C0D" w:rsidRPr="00636A8C" w:rsidRDefault="00673C0D" w:rsidP="00254E74">
            <w:pPr>
              <w:tabs>
                <w:tab w:val="clear" w:pos="567"/>
              </w:tabs>
              <w:spacing w:line="240" w:lineRule="auto"/>
              <w:jc w:val="center"/>
              <w:rPr>
                <w:lang w:val="en-GB"/>
              </w:rPr>
            </w:pPr>
            <w:r w:rsidRPr="00636A8C">
              <w:rPr>
                <w:b/>
                <w:bCs/>
                <w:noProof/>
                <w:color w:val="2D2926"/>
              </w:rPr>
              <w:t>AD UP</w:t>
            </w:r>
          </w:p>
        </w:tc>
      </w:tr>
      <w:tr w:rsidR="00673C0D" w:rsidRPr="00636A8C" w14:paraId="00D88102" w14:textId="77777777" w:rsidTr="00254E74">
        <w:tc>
          <w:tcPr>
            <w:tcW w:w="818" w:type="pct"/>
            <w:shd w:val="clear" w:color="auto" w:fill="auto"/>
          </w:tcPr>
          <w:p w14:paraId="6086E343" w14:textId="77777777" w:rsidR="00673C0D" w:rsidRPr="00636A8C" w:rsidRDefault="00673C0D" w:rsidP="00254E74">
            <w:pPr>
              <w:keepNext/>
              <w:spacing w:line="240" w:lineRule="auto"/>
              <w:rPr>
                <w:b/>
                <w:bCs/>
                <w:noProof/>
                <w:color w:val="2D2926"/>
              </w:rPr>
            </w:pPr>
            <w:r w:rsidRPr="00636A8C">
              <w:rPr>
                <w:rFonts w:eastAsia="Calibri"/>
                <w:noProof/>
              </w:rPr>
              <w:t xml:space="preserve">Liječena </w:t>
            </w:r>
            <w:r>
              <w:rPr>
                <w:rFonts w:eastAsia="Calibri"/>
                <w:noProof/>
              </w:rPr>
              <w:t>grupa</w:t>
            </w:r>
          </w:p>
        </w:tc>
        <w:tc>
          <w:tcPr>
            <w:tcW w:w="402" w:type="pct"/>
            <w:shd w:val="clear" w:color="auto" w:fill="auto"/>
          </w:tcPr>
          <w:p w14:paraId="31C96752" w14:textId="77777777" w:rsidR="00673C0D" w:rsidRPr="00636A8C" w:rsidRDefault="00673C0D" w:rsidP="00254E74">
            <w:pPr>
              <w:keepNext/>
              <w:spacing w:line="240" w:lineRule="auto"/>
              <w:jc w:val="center"/>
              <w:rPr>
                <w:noProof/>
                <w:color w:val="2D2926"/>
              </w:rPr>
            </w:pPr>
            <w:r w:rsidRPr="00636A8C">
              <w:rPr>
                <w:noProof/>
                <w:color w:val="2D2926"/>
              </w:rPr>
              <w:t>PBO</w:t>
            </w:r>
          </w:p>
          <w:p w14:paraId="168D706F" w14:textId="77777777" w:rsidR="00673C0D" w:rsidRPr="00636A8C" w:rsidRDefault="00673C0D" w:rsidP="00254E74">
            <w:pPr>
              <w:keepNext/>
              <w:spacing w:line="240" w:lineRule="auto"/>
              <w:jc w:val="center"/>
              <w:rPr>
                <w:noProof/>
                <w:color w:val="2D2926"/>
              </w:rPr>
            </w:pPr>
          </w:p>
        </w:tc>
        <w:tc>
          <w:tcPr>
            <w:tcW w:w="460" w:type="pct"/>
            <w:shd w:val="clear" w:color="auto" w:fill="auto"/>
          </w:tcPr>
          <w:p w14:paraId="4B1F1C47" w14:textId="77777777" w:rsidR="00673C0D" w:rsidRPr="00636A8C" w:rsidRDefault="00673C0D" w:rsidP="00254E74">
            <w:pPr>
              <w:keepNext/>
              <w:spacing w:line="240" w:lineRule="auto"/>
              <w:jc w:val="center"/>
              <w:rPr>
                <w:noProof/>
                <w:color w:val="2D2926"/>
              </w:rPr>
            </w:pPr>
            <w:r w:rsidRPr="00636A8C">
              <w:rPr>
                <w:noProof/>
                <w:color w:val="2D2926"/>
              </w:rPr>
              <w:t>UPA</w:t>
            </w:r>
          </w:p>
          <w:p w14:paraId="038CB45A" w14:textId="77777777" w:rsidR="00673C0D" w:rsidRPr="00636A8C" w:rsidRDefault="00673C0D" w:rsidP="00254E74">
            <w:pPr>
              <w:keepNext/>
              <w:spacing w:line="240" w:lineRule="auto"/>
              <w:jc w:val="center"/>
              <w:rPr>
                <w:noProof/>
                <w:color w:val="2D2926"/>
              </w:rPr>
            </w:pPr>
            <w:r w:rsidRPr="00636A8C">
              <w:rPr>
                <w:noProof/>
                <w:color w:val="2D2926"/>
              </w:rPr>
              <w:t>15 mg</w:t>
            </w:r>
          </w:p>
        </w:tc>
        <w:tc>
          <w:tcPr>
            <w:tcW w:w="460" w:type="pct"/>
          </w:tcPr>
          <w:p w14:paraId="47EF8B08" w14:textId="77777777" w:rsidR="00673C0D" w:rsidRPr="00636A8C" w:rsidRDefault="00673C0D" w:rsidP="00254E74">
            <w:pPr>
              <w:keepNext/>
              <w:spacing w:line="240" w:lineRule="auto"/>
              <w:jc w:val="center"/>
              <w:rPr>
                <w:noProof/>
                <w:color w:val="2D2926"/>
              </w:rPr>
            </w:pPr>
            <w:r w:rsidRPr="00636A8C">
              <w:rPr>
                <w:color w:val="2D2926"/>
                <w:lang w:val="en-GB"/>
              </w:rPr>
              <w:t>UPA 30 mg</w:t>
            </w:r>
          </w:p>
        </w:tc>
        <w:tc>
          <w:tcPr>
            <w:tcW w:w="402" w:type="pct"/>
            <w:shd w:val="clear" w:color="auto" w:fill="auto"/>
          </w:tcPr>
          <w:p w14:paraId="4BB57D6F" w14:textId="77777777" w:rsidR="00673C0D" w:rsidRPr="00636A8C" w:rsidRDefault="00673C0D" w:rsidP="00254E74">
            <w:pPr>
              <w:keepNext/>
              <w:spacing w:line="240" w:lineRule="auto"/>
              <w:jc w:val="center"/>
              <w:rPr>
                <w:noProof/>
                <w:color w:val="2D2926"/>
              </w:rPr>
            </w:pPr>
            <w:r w:rsidRPr="00636A8C">
              <w:rPr>
                <w:noProof/>
                <w:color w:val="2D2926"/>
              </w:rPr>
              <w:t>PBO</w:t>
            </w:r>
          </w:p>
          <w:p w14:paraId="0C99E8C3" w14:textId="77777777" w:rsidR="00673C0D" w:rsidRPr="00636A8C" w:rsidRDefault="00673C0D" w:rsidP="00254E74">
            <w:pPr>
              <w:keepNext/>
              <w:spacing w:line="240" w:lineRule="auto"/>
              <w:jc w:val="center"/>
              <w:rPr>
                <w:noProof/>
                <w:color w:val="2D2926"/>
              </w:rPr>
            </w:pPr>
          </w:p>
        </w:tc>
        <w:tc>
          <w:tcPr>
            <w:tcW w:w="460" w:type="pct"/>
          </w:tcPr>
          <w:p w14:paraId="078347BA" w14:textId="77777777" w:rsidR="00673C0D" w:rsidRPr="00636A8C" w:rsidRDefault="00673C0D" w:rsidP="00254E74">
            <w:pPr>
              <w:keepNext/>
              <w:spacing w:line="240" w:lineRule="auto"/>
              <w:jc w:val="center"/>
              <w:rPr>
                <w:noProof/>
                <w:color w:val="2D2926"/>
              </w:rPr>
            </w:pPr>
            <w:r w:rsidRPr="00636A8C">
              <w:rPr>
                <w:noProof/>
                <w:color w:val="2D2926"/>
              </w:rPr>
              <w:t>UPA</w:t>
            </w:r>
          </w:p>
          <w:p w14:paraId="5263579A" w14:textId="77777777" w:rsidR="00673C0D" w:rsidRPr="00636A8C" w:rsidRDefault="00673C0D" w:rsidP="00254E74">
            <w:pPr>
              <w:keepNext/>
              <w:spacing w:line="240" w:lineRule="auto"/>
              <w:jc w:val="center"/>
              <w:rPr>
                <w:noProof/>
                <w:color w:val="2D2926"/>
              </w:rPr>
            </w:pPr>
            <w:r w:rsidRPr="00636A8C">
              <w:rPr>
                <w:noProof/>
                <w:color w:val="2D2926"/>
              </w:rPr>
              <w:t>15 mg</w:t>
            </w:r>
          </w:p>
        </w:tc>
        <w:tc>
          <w:tcPr>
            <w:tcW w:w="460" w:type="pct"/>
          </w:tcPr>
          <w:p w14:paraId="48248F27" w14:textId="77777777" w:rsidR="00673C0D" w:rsidRPr="00636A8C" w:rsidRDefault="00673C0D" w:rsidP="00254E74">
            <w:pPr>
              <w:keepNext/>
              <w:spacing w:line="240" w:lineRule="auto"/>
              <w:jc w:val="center"/>
              <w:rPr>
                <w:noProof/>
                <w:color w:val="2D2926"/>
              </w:rPr>
            </w:pPr>
            <w:r w:rsidRPr="00636A8C">
              <w:rPr>
                <w:color w:val="2D2926"/>
                <w:lang w:val="en-GB"/>
              </w:rPr>
              <w:t>UPA 30  mg</w:t>
            </w:r>
          </w:p>
        </w:tc>
        <w:tc>
          <w:tcPr>
            <w:tcW w:w="460" w:type="pct"/>
          </w:tcPr>
          <w:p w14:paraId="3D94ADB3" w14:textId="77777777" w:rsidR="00673C0D" w:rsidRPr="00636A8C" w:rsidRDefault="00673C0D" w:rsidP="00254E74">
            <w:pPr>
              <w:keepNext/>
              <w:spacing w:line="240" w:lineRule="auto"/>
              <w:jc w:val="center"/>
              <w:rPr>
                <w:noProof/>
                <w:color w:val="2D2926"/>
              </w:rPr>
            </w:pPr>
            <w:r w:rsidRPr="00636A8C">
              <w:rPr>
                <w:noProof/>
                <w:color w:val="2D2926"/>
              </w:rPr>
              <w:t>PBO +</w:t>
            </w:r>
          </w:p>
          <w:p w14:paraId="0BD88066" w14:textId="77777777" w:rsidR="00673C0D" w:rsidRPr="00636A8C" w:rsidRDefault="00673C0D" w:rsidP="00254E74">
            <w:pPr>
              <w:keepNext/>
              <w:spacing w:line="240" w:lineRule="auto"/>
              <w:jc w:val="center"/>
              <w:rPr>
                <w:noProof/>
                <w:color w:val="2D2926"/>
              </w:rPr>
            </w:pPr>
            <w:r w:rsidRPr="00636A8C">
              <w:rPr>
                <w:noProof/>
                <w:color w:val="2D2926"/>
              </w:rPr>
              <w:t>TKS</w:t>
            </w:r>
          </w:p>
        </w:tc>
        <w:tc>
          <w:tcPr>
            <w:tcW w:w="460" w:type="pct"/>
            <w:shd w:val="clear" w:color="auto" w:fill="auto"/>
          </w:tcPr>
          <w:p w14:paraId="0BC290C4" w14:textId="77777777" w:rsidR="00673C0D" w:rsidRPr="00636A8C" w:rsidRDefault="00673C0D" w:rsidP="00254E74">
            <w:pPr>
              <w:keepNext/>
              <w:spacing w:line="240" w:lineRule="auto"/>
              <w:jc w:val="center"/>
              <w:rPr>
                <w:noProof/>
                <w:color w:val="2D2926"/>
              </w:rPr>
            </w:pPr>
            <w:r w:rsidRPr="00636A8C">
              <w:rPr>
                <w:noProof/>
                <w:color w:val="2D2926"/>
              </w:rPr>
              <w:t>UPA</w:t>
            </w:r>
          </w:p>
          <w:p w14:paraId="42385C29" w14:textId="77777777" w:rsidR="00673C0D" w:rsidRPr="00636A8C" w:rsidRDefault="00673C0D" w:rsidP="00254E74">
            <w:pPr>
              <w:keepNext/>
              <w:spacing w:line="240" w:lineRule="auto"/>
              <w:jc w:val="center"/>
              <w:rPr>
                <w:noProof/>
                <w:color w:val="2D2926"/>
              </w:rPr>
            </w:pPr>
            <w:r w:rsidRPr="00636A8C">
              <w:rPr>
                <w:noProof/>
                <w:color w:val="2D2926"/>
              </w:rPr>
              <w:t>15 mg + TKS</w:t>
            </w:r>
          </w:p>
        </w:tc>
        <w:tc>
          <w:tcPr>
            <w:tcW w:w="616" w:type="pct"/>
          </w:tcPr>
          <w:p w14:paraId="07346A23" w14:textId="77777777" w:rsidR="00673C0D" w:rsidRPr="00636A8C" w:rsidRDefault="00673C0D" w:rsidP="00254E74">
            <w:pPr>
              <w:keepNext/>
              <w:spacing w:line="240" w:lineRule="auto"/>
              <w:jc w:val="center"/>
              <w:rPr>
                <w:noProof/>
                <w:color w:val="2D2926"/>
              </w:rPr>
            </w:pPr>
            <w:r w:rsidRPr="00636A8C">
              <w:rPr>
                <w:color w:val="2D2926"/>
                <w:lang w:val="en-GB"/>
              </w:rPr>
              <w:t>UPA 30 mg + TKS</w:t>
            </w:r>
          </w:p>
        </w:tc>
      </w:tr>
      <w:tr w:rsidR="00673C0D" w:rsidRPr="00636A8C" w14:paraId="0EB034B5" w14:textId="77777777" w:rsidTr="00254E74">
        <w:tc>
          <w:tcPr>
            <w:tcW w:w="818" w:type="pct"/>
            <w:shd w:val="clear" w:color="auto" w:fill="auto"/>
          </w:tcPr>
          <w:p w14:paraId="0CD9D75D" w14:textId="77777777" w:rsidR="00673C0D" w:rsidRPr="00636A8C" w:rsidRDefault="00673C0D" w:rsidP="00254E74">
            <w:pPr>
              <w:keepNext/>
              <w:autoSpaceDE w:val="0"/>
              <w:autoSpaceDN w:val="0"/>
              <w:adjustRightInd w:val="0"/>
              <w:spacing w:line="240" w:lineRule="auto"/>
              <w:rPr>
                <w:rFonts w:eastAsia="SimSun"/>
                <w:noProof/>
              </w:rPr>
            </w:pPr>
            <w:r w:rsidRPr="00636A8C">
              <w:rPr>
                <w:rFonts w:eastAsia="SimSun"/>
                <w:noProof/>
              </w:rPr>
              <w:t>Broj adolescentnih ispitanika</w:t>
            </w:r>
          </w:p>
          <w:p w14:paraId="1C27AFA7" w14:textId="77777777" w:rsidR="00673C0D" w:rsidRPr="00636A8C" w:rsidRDefault="00673C0D" w:rsidP="00254E74">
            <w:pPr>
              <w:keepNext/>
              <w:spacing w:line="240" w:lineRule="auto"/>
              <w:rPr>
                <w:rFonts w:eastAsia="Calibri"/>
                <w:noProof/>
              </w:rPr>
            </w:pPr>
            <w:r w:rsidRPr="00636A8C">
              <w:rPr>
                <w:rFonts w:eastAsia="SimSun"/>
                <w:noProof/>
              </w:rPr>
              <w:t>koji su randomiz</w:t>
            </w:r>
            <w:r>
              <w:rPr>
                <w:rFonts w:eastAsia="SimSun"/>
                <w:noProof/>
              </w:rPr>
              <w:t>ovani</w:t>
            </w:r>
          </w:p>
        </w:tc>
        <w:tc>
          <w:tcPr>
            <w:tcW w:w="402" w:type="pct"/>
            <w:shd w:val="clear" w:color="auto" w:fill="auto"/>
          </w:tcPr>
          <w:p w14:paraId="398A66BC" w14:textId="77777777" w:rsidR="00673C0D" w:rsidRPr="00636A8C" w:rsidRDefault="00673C0D" w:rsidP="00254E74">
            <w:pPr>
              <w:keepNext/>
              <w:spacing w:line="240" w:lineRule="auto"/>
              <w:jc w:val="center"/>
              <w:rPr>
                <w:noProof/>
                <w:color w:val="2D2926"/>
              </w:rPr>
            </w:pPr>
          </w:p>
          <w:p w14:paraId="0D93F9F4" w14:textId="77777777" w:rsidR="00673C0D" w:rsidRPr="00636A8C" w:rsidRDefault="00673C0D" w:rsidP="00254E74">
            <w:pPr>
              <w:keepNext/>
              <w:spacing w:line="240" w:lineRule="auto"/>
              <w:jc w:val="center"/>
              <w:rPr>
                <w:noProof/>
                <w:color w:val="2D2926"/>
              </w:rPr>
            </w:pPr>
            <w:r w:rsidRPr="00636A8C">
              <w:rPr>
                <w:noProof/>
                <w:color w:val="2D2926"/>
              </w:rPr>
              <w:t>40</w:t>
            </w:r>
          </w:p>
        </w:tc>
        <w:tc>
          <w:tcPr>
            <w:tcW w:w="460" w:type="pct"/>
            <w:shd w:val="clear" w:color="auto" w:fill="auto"/>
          </w:tcPr>
          <w:p w14:paraId="00E8B18E" w14:textId="77777777" w:rsidR="00673C0D" w:rsidRPr="00636A8C" w:rsidRDefault="00673C0D" w:rsidP="00254E74">
            <w:pPr>
              <w:keepNext/>
              <w:spacing w:line="240" w:lineRule="auto"/>
              <w:jc w:val="center"/>
              <w:rPr>
                <w:noProof/>
                <w:color w:val="2D2926"/>
              </w:rPr>
            </w:pPr>
          </w:p>
          <w:p w14:paraId="79F032A1" w14:textId="77777777" w:rsidR="00673C0D" w:rsidRPr="00636A8C" w:rsidRDefault="00673C0D" w:rsidP="00254E74">
            <w:pPr>
              <w:keepNext/>
              <w:spacing w:line="240" w:lineRule="auto"/>
              <w:jc w:val="center"/>
              <w:rPr>
                <w:noProof/>
                <w:color w:val="2D2926"/>
              </w:rPr>
            </w:pPr>
            <w:r w:rsidRPr="00636A8C">
              <w:rPr>
                <w:noProof/>
                <w:color w:val="2D2926"/>
              </w:rPr>
              <w:t>42</w:t>
            </w:r>
          </w:p>
        </w:tc>
        <w:tc>
          <w:tcPr>
            <w:tcW w:w="460" w:type="pct"/>
          </w:tcPr>
          <w:p w14:paraId="0ED3447A" w14:textId="77777777" w:rsidR="00673C0D" w:rsidRPr="00636A8C" w:rsidRDefault="00673C0D" w:rsidP="00254E74">
            <w:pPr>
              <w:keepNext/>
              <w:jc w:val="center"/>
              <w:rPr>
                <w:color w:val="2D2926"/>
                <w:lang w:val="en-GB"/>
              </w:rPr>
            </w:pPr>
          </w:p>
          <w:p w14:paraId="59F6B03F" w14:textId="77777777" w:rsidR="00673C0D" w:rsidRPr="00636A8C" w:rsidRDefault="00673C0D" w:rsidP="00254E74">
            <w:pPr>
              <w:keepNext/>
              <w:spacing w:line="240" w:lineRule="auto"/>
              <w:jc w:val="center"/>
              <w:rPr>
                <w:noProof/>
                <w:color w:val="2D2926"/>
              </w:rPr>
            </w:pPr>
            <w:r w:rsidRPr="00636A8C">
              <w:rPr>
                <w:color w:val="2D2926"/>
                <w:lang w:val="en-GB"/>
              </w:rPr>
              <w:t>42</w:t>
            </w:r>
          </w:p>
        </w:tc>
        <w:tc>
          <w:tcPr>
            <w:tcW w:w="402" w:type="pct"/>
            <w:shd w:val="clear" w:color="auto" w:fill="auto"/>
          </w:tcPr>
          <w:p w14:paraId="67D43601" w14:textId="77777777" w:rsidR="00673C0D" w:rsidRPr="00636A8C" w:rsidRDefault="00673C0D" w:rsidP="00254E74">
            <w:pPr>
              <w:keepNext/>
              <w:spacing w:line="240" w:lineRule="auto"/>
              <w:jc w:val="center"/>
              <w:rPr>
                <w:noProof/>
                <w:color w:val="2D2926"/>
              </w:rPr>
            </w:pPr>
          </w:p>
          <w:p w14:paraId="5328AB64" w14:textId="77777777" w:rsidR="00673C0D" w:rsidRPr="00636A8C" w:rsidRDefault="00673C0D" w:rsidP="00254E74">
            <w:pPr>
              <w:keepNext/>
              <w:spacing w:line="240" w:lineRule="auto"/>
              <w:jc w:val="center"/>
              <w:rPr>
                <w:noProof/>
                <w:color w:val="2D2926"/>
              </w:rPr>
            </w:pPr>
            <w:r w:rsidRPr="00636A8C">
              <w:rPr>
                <w:noProof/>
                <w:color w:val="2D2926"/>
              </w:rPr>
              <w:t>36</w:t>
            </w:r>
          </w:p>
        </w:tc>
        <w:tc>
          <w:tcPr>
            <w:tcW w:w="460" w:type="pct"/>
          </w:tcPr>
          <w:p w14:paraId="5A43EBCD" w14:textId="77777777" w:rsidR="00673C0D" w:rsidRPr="00636A8C" w:rsidRDefault="00673C0D" w:rsidP="00254E74">
            <w:pPr>
              <w:keepNext/>
              <w:spacing w:line="240" w:lineRule="auto"/>
              <w:jc w:val="center"/>
              <w:rPr>
                <w:noProof/>
                <w:color w:val="2D2926"/>
              </w:rPr>
            </w:pPr>
          </w:p>
          <w:p w14:paraId="7AB9F475" w14:textId="77777777" w:rsidR="00673C0D" w:rsidRPr="00636A8C" w:rsidRDefault="00673C0D" w:rsidP="00254E74">
            <w:pPr>
              <w:keepNext/>
              <w:spacing w:line="240" w:lineRule="auto"/>
              <w:jc w:val="center"/>
              <w:rPr>
                <w:noProof/>
                <w:color w:val="2D2926"/>
              </w:rPr>
            </w:pPr>
            <w:r w:rsidRPr="00636A8C">
              <w:rPr>
                <w:noProof/>
                <w:color w:val="2D2926"/>
              </w:rPr>
              <w:t>33</w:t>
            </w:r>
          </w:p>
        </w:tc>
        <w:tc>
          <w:tcPr>
            <w:tcW w:w="460" w:type="pct"/>
          </w:tcPr>
          <w:p w14:paraId="4AE4164D" w14:textId="77777777" w:rsidR="00673C0D" w:rsidRPr="00636A8C" w:rsidRDefault="00673C0D" w:rsidP="00254E74">
            <w:pPr>
              <w:keepNext/>
              <w:jc w:val="center"/>
              <w:rPr>
                <w:color w:val="2D2926"/>
                <w:lang w:val="en-GB"/>
              </w:rPr>
            </w:pPr>
          </w:p>
          <w:p w14:paraId="2B387419" w14:textId="77777777" w:rsidR="00673C0D" w:rsidRPr="00636A8C" w:rsidRDefault="00673C0D" w:rsidP="00254E74">
            <w:pPr>
              <w:keepNext/>
              <w:spacing w:line="240" w:lineRule="auto"/>
              <w:jc w:val="center"/>
              <w:rPr>
                <w:noProof/>
                <w:color w:val="2D2926"/>
              </w:rPr>
            </w:pPr>
            <w:r w:rsidRPr="00636A8C">
              <w:rPr>
                <w:color w:val="2D2926"/>
                <w:lang w:val="en-GB"/>
              </w:rPr>
              <w:t>35</w:t>
            </w:r>
          </w:p>
        </w:tc>
        <w:tc>
          <w:tcPr>
            <w:tcW w:w="460" w:type="pct"/>
          </w:tcPr>
          <w:p w14:paraId="2FCA9AAE" w14:textId="77777777" w:rsidR="00673C0D" w:rsidRPr="00636A8C" w:rsidRDefault="00673C0D" w:rsidP="00254E74">
            <w:pPr>
              <w:keepNext/>
              <w:spacing w:line="240" w:lineRule="auto"/>
              <w:jc w:val="center"/>
              <w:rPr>
                <w:noProof/>
                <w:color w:val="2D2926"/>
              </w:rPr>
            </w:pPr>
          </w:p>
          <w:p w14:paraId="0A9CD683" w14:textId="77777777" w:rsidR="00673C0D" w:rsidRPr="00636A8C" w:rsidRDefault="00673C0D" w:rsidP="00254E74">
            <w:pPr>
              <w:keepNext/>
              <w:spacing w:line="240" w:lineRule="auto"/>
              <w:jc w:val="center"/>
              <w:rPr>
                <w:noProof/>
                <w:color w:val="2D2926"/>
              </w:rPr>
            </w:pPr>
            <w:r w:rsidRPr="00636A8C">
              <w:rPr>
                <w:noProof/>
                <w:color w:val="2D2926"/>
              </w:rPr>
              <w:t>40</w:t>
            </w:r>
          </w:p>
        </w:tc>
        <w:tc>
          <w:tcPr>
            <w:tcW w:w="460" w:type="pct"/>
            <w:shd w:val="clear" w:color="auto" w:fill="auto"/>
          </w:tcPr>
          <w:p w14:paraId="3DDE1623" w14:textId="77777777" w:rsidR="00673C0D" w:rsidRPr="00636A8C" w:rsidRDefault="00673C0D" w:rsidP="00254E74">
            <w:pPr>
              <w:keepNext/>
              <w:spacing w:line="240" w:lineRule="auto"/>
              <w:jc w:val="center"/>
              <w:rPr>
                <w:noProof/>
                <w:color w:val="2D2926"/>
              </w:rPr>
            </w:pPr>
          </w:p>
          <w:p w14:paraId="0C041F8C" w14:textId="77777777" w:rsidR="00673C0D" w:rsidRPr="00636A8C" w:rsidRDefault="00673C0D" w:rsidP="00254E74">
            <w:pPr>
              <w:keepNext/>
              <w:spacing w:line="240" w:lineRule="auto"/>
              <w:jc w:val="center"/>
              <w:rPr>
                <w:noProof/>
                <w:color w:val="2D2926"/>
              </w:rPr>
            </w:pPr>
            <w:r w:rsidRPr="00636A8C">
              <w:rPr>
                <w:noProof/>
                <w:color w:val="2D2926"/>
              </w:rPr>
              <w:t>39</w:t>
            </w:r>
          </w:p>
        </w:tc>
        <w:tc>
          <w:tcPr>
            <w:tcW w:w="616" w:type="pct"/>
          </w:tcPr>
          <w:p w14:paraId="153B07BE" w14:textId="77777777" w:rsidR="00673C0D" w:rsidRPr="00636A8C" w:rsidRDefault="00673C0D" w:rsidP="00254E74">
            <w:pPr>
              <w:keepNext/>
              <w:jc w:val="center"/>
              <w:rPr>
                <w:color w:val="2D2926"/>
                <w:lang w:val="en-GB"/>
              </w:rPr>
            </w:pPr>
          </w:p>
          <w:p w14:paraId="14A4BB40" w14:textId="77777777" w:rsidR="00673C0D" w:rsidRPr="00636A8C" w:rsidRDefault="00673C0D" w:rsidP="00254E74">
            <w:pPr>
              <w:keepNext/>
              <w:spacing w:line="240" w:lineRule="auto"/>
              <w:jc w:val="center"/>
              <w:rPr>
                <w:noProof/>
                <w:color w:val="2D2926"/>
              </w:rPr>
            </w:pPr>
            <w:r w:rsidRPr="00636A8C">
              <w:rPr>
                <w:color w:val="2D2926"/>
                <w:lang w:val="en-GB"/>
              </w:rPr>
              <w:t>37</w:t>
            </w:r>
          </w:p>
        </w:tc>
      </w:tr>
      <w:tr w:rsidR="00673C0D" w:rsidRPr="00636A8C" w14:paraId="3C0CAEA6" w14:textId="77777777" w:rsidTr="00673C0D">
        <w:tc>
          <w:tcPr>
            <w:tcW w:w="4384" w:type="pct"/>
            <w:gridSpan w:val="9"/>
          </w:tcPr>
          <w:p w14:paraId="18E2CEE9" w14:textId="77777777" w:rsidR="00673C0D" w:rsidRPr="00636A8C" w:rsidRDefault="00673C0D" w:rsidP="00254E74">
            <w:pPr>
              <w:keepNext/>
              <w:spacing w:line="240" w:lineRule="auto"/>
              <w:rPr>
                <w:b/>
                <w:bCs/>
                <w:noProof/>
              </w:rPr>
            </w:pPr>
            <w:r w:rsidRPr="00636A8C">
              <w:rPr>
                <w:rFonts w:eastAsia="Calibri"/>
                <w:b/>
                <w:bCs/>
                <w:noProof/>
              </w:rPr>
              <w:t xml:space="preserve">% </w:t>
            </w:r>
            <w:r>
              <w:rPr>
                <w:rFonts w:eastAsia="Calibri"/>
                <w:b/>
                <w:bCs/>
                <w:noProof/>
              </w:rPr>
              <w:t>pacijenata</w:t>
            </w:r>
            <w:r w:rsidRPr="00636A8C">
              <w:rPr>
                <w:rFonts w:eastAsia="Calibri"/>
                <w:b/>
                <w:bCs/>
                <w:noProof/>
              </w:rPr>
              <w:t xml:space="preserve"> s odgovorom (95% CI)</w:t>
            </w:r>
          </w:p>
        </w:tc>
        <w:tc>
          <w:tcPr>
            <w:tcW w:w="616" w:type="pct"/>
          </w:tcPr>
          <w:p w14:paraId="50287B3D" w14:textId="77777777" w:rsidR="00673C0D" w:rsidRPr="00636A8C" w:rsidRDefault="00673C0D" w:rsidP="00254E74">
            <w:pPr>
              <w:keepNext/>
              <w:spacing w:line="240" w:lineRule="auto"/>
              <w:rPr>
                <w:rFonts w:eastAsia="Calibri"/>
                <w:b/>
                <w:bCs/>
                <w:noProof/>
              </w:rPr>
            </w:pPr>
          </w:p>
        </w:tc>
      </w:tr>
      <w:tr w:rsidR="00673C0D" w:rsidRPr="00636A8C" w14:paraId="343C9DF1" w14:textId="77777777" w:rsidTr="00254E74">
        <w:trPr>
          <w:trHeight w:val="812"/>
        </w:trPr>
        <w:tc>
          <w:tcPr>
            <w:tcW w:w="818" w:type="pct"/>
            <w:shd w:val="clear" w:color="auto" w:fill="auto"/>
          </w:tcPr>
          <w:p w14:paraId="4D94E7D3" w14:textId="77777777" w:rsidR="00673C0D" w:rsidRPr="00636A8C" w:rsidRDefault="00673C0D" w:rsidP="00254E74">
            <w:pPr>
              <w:keepNext/>
              <w:autoSpaceDE w:val="0"/>
              <w:autoSpaceDN w:val="0"/>
              <w:adjustRightInd w:val="0"/>
              <w:spacing w:line="240" w:lineRule="auto"/>
              <w:rPr>
                <w:noProof/>
              </w:rPr>
            </w:pPr>
            <w:r w:rsidRPr="00636A8C">
              <w:rPr>
                <w:rFonts w:eastAsia="Calibri"/>
                <w:noProof/>
              </w:rPr>
              <w:t>vIGA</w:t>
            </w:r>
            <w:r w:rsidRPr="00636A8C">
              <w:rPr>
                <w:rFonts w:eastAsia="Calibri"/>
                <w:noProof/>
              </w:rPr>
              <w:noBreakHyphen/>
              <w:t>AD 0/1</w:t>
            </w:r>
            <w:r w:rsidRPr="00636A8C">
              <w:rPr>
                <w:rFonts w:eastAsia="Calibri"/>
                <w:b/>
                <w:bCs/>
                <w:noProof/>
                <w:vertAlign w:val="superscript"/>
              </w:rPr>
              <w:t xml:space="preserve"> </w:t>
            </w:r>
            <w:r w:rsidRPr="00636A8C">
              <w:rPr>
                <w:rFonts w:eastAsia="Calibri"/>
                <w:noProof/>
                <w:vertAlign w:val="superscript"/>
              </w:rPr>
              <w:t>a,b</w:t>
            </w:r>
          </w:p>
        </w:tc>
        <w:tc>
          <w:tcPr>
            <w:tcW w:w="402" w:type="pct"/>
            <w:shd w:val="clear" w:color="auto" w:fill="auto"/>
          </w:tcPr>
          <w:p w14:paraId="648E7B77" w14:textId="77777777" w:rsidR="00673C0D" w:rsidRPr="00636A8C" w:rsidRDefault="00673C0D" w:rsidP="00254E74">
            <w:pPr>
              <w:keepNext/>
              <w:spacing w:line="240" w:lineRule="auto"/>
              <w:jc w:val="center"/>
              <w:rPr>
                <w:noProof/>
              </w:rPr>
            </w:pPr>
            <w:r w:rsidRPr="00636A8C">
              <w:rPr>
                <w:noProof/>
              </w:rPr>
              <w:t>8</w:t>
            </w:r>
          </w:p>
          <w:p w14:paraId="49238110" w14:textId="77777777" w:rsidR="00673C0D" w:rsidRPr="00636A8C" w:rsidRDefault="00673C0D" w:rsidP="00254E74">
            <w:pPr>
              <w:tabs>
                <w:tab w:val="clear" w:pos="567"/>
              </w:tabs>
              <w:spacing w:line="240" w:lineRule="auto"/>
              <w:jc w:val="center"/>
              <w:rPr>
                <w:noProof/>
                <w:highlight w:val="yellow"/>
              </w:rPr>
            </w:pPr>
            <w:r w:rsidRPr="00636A8C">
              <w:rPr>
                <w:noProof/>
                <w:szCs w:val="22"/>
              </w:rPr>
              <w:t>(0;1</w:t>
            </w:r>
            <w:r>
              <w:rPr>
                <w:noProof/>
                <w:szCs w:val="22"/>
              </w:rPr>
              <w:t>6</w:t>
            </w:r>
            <w:r w:rsidRPr="00636A8C">
              <w:rPr>
                <w:noProof/>
                <w:szCs w:val="22"/>
              </w:rPr>
              <w:t>)</w:t>
            </w:r>
          </w:p>
        </w:tc>
        <w:tc>
          <w:tcPr>
            <w:tcW w:w="460" w:type="pct"/>
            <w:shd w:val="clear" w:color="auto" w:fill="auto"/>
          </w:tcPr>
          <w:p w14:paraId="721B0DD0" w14:textId="77777777" w:rsidR="00673C0D" w:rsidRPr="00636A8C" w:rsidRDefault="00673C0D" w:rsidP="00254E74">
            <w:pPr>
              <w:keepNext/>
              <w:spacing w:line="240" w:lineRule="auto"/>
              <w:jc w:val="center"/>
              <w:rPr>
                <w:noProof/>
              </w:rPr>
            </w:pPr>
            <w:r w:rsidRPr="00636A8C">
              <w:rPr>
                <w:noProof/>
              </w:rPr>
              <w:t>38</w:t>
            </w:r>
          </w:p>
          <w:p w14:paraId="12EDDDF3" w14:textId="77777777" w:rsidR="00673C0D" w:rsidRPr="00636A8C" w:rsidRDefault="00673C0D" w:rsidP="00254E74">
            <w:pPr>
              <w:tabs>
                <w:tab w:val="clear" w:pos="567"/>
              </w:tabs>
              <w:spacing w:line="240" w:lineRule="auto"/>
              <w:jc w:val="center"/>
              <w:rPr>
                <w:noProof/>
              </w:rPr>
            </w:pPr>
            <w:r w:rsidRPr="00636A8C">
              <w:rPr>
                <w:noProof/>
                <w:szCs w:val="22"/>
              </w:rPr>
              <w:t>(23;53)</w:t>
            </w:r>
          </w:p>
        </w:tc>
        <w:tc>
          <w:tcPr>
            <w:tcW w:w="460" w:type="pct"/>
          </w:tcPr>
          <w:p w14:paraId="4A6870A5" w14:textId="77777777" w:rsidR="00673C0D" w:rsidRPr="00636A8C" w:rsidRDefault="00673C0D" w:rsidP="00254E74">
            <w:pPr>
              <w:keepNext/>
              <w:spacing w:line="240" w:lineRule="auto"/>
              <w:jc w:val="center"/>
              <w:rPr>
                <w:noProof/>
              </w:rPr>
            </w:pPr>
            <w:r w:rsidRPr="00636A8C">
              <w:rPr>
                <w:lang w:val="en-GB"/>
              </w:rPr>
              <w:t>69 (55;83)</w:t>
            </w:r>
          </w:p>
        </w:tc>
        <w:tc>
          <w:tcPr>
            <w:tcW w:w="402" w:type="pct"/>
            <w:shd w:val="clear" w:color="auto" w:fill="auto"/>
          </w:tcPr>
          <w:p w14:paraId="23B63AB7" w14:textId="77777777" w:rsidR="00673C0D" w:rsidRPr="00636A8C" w:rsidRDefault="00673C0D" w:rsidP="00254E74">
            <w:pPr>
              <w:keepNext/>
              <w:spacing w:line="240" w:lineRule="auto"/>
              <w:jc w:val="center"/>
              <w:rPr>
                <w:noProof/>
              </w:rPr>
            </w:pPr>
            <w:r w:rsidRPr="00636A8C">
              <w:rPr>
                <w:noProof/>
              </w:rPr>
              <w:t>3</w:t>
            </w:r>
          </w:p>
          <w:p w14:paraId="20F750FB" w14:textId="77777777" w:rsidR="00673C0D" w:rsidRPr="00636A8C" w:rsidRDefault="00673C0D" w:rsidP="00254E74">
            <w:pPr>
              <w:tabs>
                <w:tab w:val="clear" w:pos="567"/>
              </w:tabs>
              <w:spacing w:line="240" w:lineRule="auto"/>
              <w:jc w:val="center"/>
              <w:rPr>
                <w:noProof/>
              </w:rPr>
            </w:pPr>
            <w:r w:rsidRPr="00636A8C">
              <w:rPr>
                <w:noProof/>
                <w:szCs w:val="22"/>
              </w:rPr>
              <w:t>(0;8)</w:t>
            </w:r>
          </w:p>
        </w:tc>
        <w:tc>
          <w:tcPr>
            <w:tcW w:w="460" w:type="pct"/>
          </w:tcPr>
          <w:p w14:paraId="4AEA6022" w14:textId="77777777" w:rsidR="00673C0D" w:rsidRPr="00636A8C" w:rsidRDefault="00673C0D" w:rsidP="00254E74">
            <w:pPr>
              <w:keepNext/>
              <w:spacing w:line="240" w:lineRule="auto"/>
              <w:jc w:val="center"/>
              <w:rPr>
                <w:noProof/>
              </w:rPr>
            </w:pPr>
            <w:r w:rsidRPr="00636A8C">
              <w:rPr>
                <w:noProof/>
              </w:rPr>
              <w:t>42</w:t>
            </w:r>
          </w:p>
          <w:p w14:paraId="1C76E5F9" w14:textId="77777777" w:rsidR="00673C0D" w:rsidRPr="00636A8C" w:rsidRDefault="00673C0D" w:rsidP="00254E74">
            <w:pPr>
              <w:tabs>
                <w:tab w:val="clear" w:pos="567"/>
              </w:tabs>
              <w:spacing w:line="240" w:lineRule="auto"/>
              <w:jc w:val="center"/>
              <w:rPr>
                <w:noProof/>
              </w:rPr>
            </w:pPr>
            <w:r w:rsidRPr="00636A8C">
              <w:rPr>
                <w:noProof/>
                <w:szCs w:val="22"/>
              </w:rPr>
              <w:t>(26;59)</w:t>
            </w:r>
          </w:p>
        </w:tc>
        <w:tc>
          <w:tcPr>
            <w:tcW w:w="460" w:type="pct"/>
          </w:tcPr>
          <w:p w14:paraId="18615155" w14:textId="77777777" w:rsidR="00673C0D" w:rsidRPr="00636A8C" w:rsidRDefault="00673C0D" w:rsidP="00254E74">
            <w:pPr>
              <w:keepNext/>
              <w:spacing w:line="240" w:lineRule="auto"/>
              <w:jc w:val="center"/>
              <w:rPr>
                <w:noProof/>
              </w:rPr>
            </w:pPr>
            <w:r w:rsidRPr="00636A8C">
              <w:rPr>
                <w:lang w:val="en-GB"/>
              </w:rPr>
              <w:t>62 (46;79)</w:t>
            </w:r>
          </w:p>
        </w:tc>
        <w:tc>
          <w:tcPr>
            <w:tcW w:w="460" w:type="pct"/>
          </w:tcPr>
          <w:p w14:paraId="6879F57B" w14:textId="77777777" w:rsidR="00673C0D" w:rsidRPr="00636A8C" w:rsidRDefault="00673C0D" w:rsidP="00254E74">
            <w:pPr>
              <w:keepNext/>
              <w:spacing w:line="240" w:lineRule="auto"/>
              <w:jc w:val="center"/>
              <w:rPr>
                <w:noProof/>
              </w:rPr>
            </w:pPr>
            <w:r w:rsidRPr="00636A8C">
              <w:rPr>
                <w:noProof/>
              </w:rPr>
              <w:t>8</w:t>
            </w:r>
          </w:p>
          <w:p w14:paraId="29CB5417" w14:textId="77777777" w:rsidR="00673C0D" w:rsidRPr="00636A8C" w:rsidRDefault="00673C0D" w:rsidP="00254E74">
            <w:pPr>
              <w:tabs>
                <w:tab w:val="clear" w:pos="567"/>
              </w:tabs>
              <w:spacing w:line="240" w:lineRule="auto"/>
              <w:jc w:val="center"/>
              <w:rPr>
                <w:noProof/>
              </w:rPr>
            </w:pPr>
            <w:r w:rsidRPr="00636A8C">
              <w:rPr>
                <w:noProof/>
                <w:szCs w:val="22"/>
              </w:rPr>
              <w:t>(0;16)</w:t>
            </w:r>
          </w:p>
        </w:tc>
        <w:tc>
          <w:tcPr>
            <w:tcW w:w="460" w:type="pct"/>
            <w:shd w:val="clear" w:color="auto" w:fill="auto"/>
          </w:tcPr>
          <w:p w14:paraId="7865B91D" w14:textId="77777777" w:rsidR="00673C0D" w:rsidRPr="00636A8C" w:rsidRDefault="00673C0D" w:rsidP="00254E74">
            <w:pPr>
              <w:keepNext/>
              <w:spacing w:line="240" w:lineRule="auto"/>
              <w:jc w:val="center"/>
              <w:rPr>
                <w:noProof/>
              </w:rPr>
            </w:pPr>
            <w:r w:rsidRPr="00636A8C">
              <w:rPr>
                <w:noProof/>
              </w:rPr>
              <w:t>31</w:t>
            </w:r>
          </w:p>
          <w:p w14:paraId="717B87AA" w14:textId="77777777" w:rsidR="00673C0D" w:rsidRPr="00636A8C" w:rsidRDefault="00673C0D" w:rsidP="00254E74">
            <w:pPr>
              <w:tabs>
                <w:tab w:val="clear" w:pos="567"/>
              </w:tabs>
              <w:spacing w:line="240" w:lineRule="auto"/>
              <w:jc w:val="center"/>
              <w:rPr>
                <w:noProof/>
              </w:rPr>
            </w:pPr>
            <w:r w:rsidRPr="00636A8C">
              <w:rPr>
                <w:noProof/>
                <w:szCs w:val="22"/>
              </w:rPr>
              <w:t>(16;45)</w:t>
            </w:r>
          </w:p>
        </w:tc>
        <w:tc>
          <w:tcPr>
            <w:tcW w:w="616" w:type="pct"/>
          </w:tcPr>
          <w:p w14:paraId="2B1087F5" w14:textId="77777777" w:rsidR="00673C0D" w:rsidRPr="00636A8C" w:rsidRDefault="00673C0D" w:rsidP="00254E74">
            <w:pPr>
              <w:keepNext/>
              <w:spacing w:line="240" w:lineRule="auto"/>
              <w:jc w:val="center"/>
              <w:rPr>
                <w:noProof/>
              </w:rPr>
            </w:pPr>
            <w:r w:rsidRPr="00636A8C">
              <w:rPr>
                <w:lang w:val="en-GB"/>
              </w:rPr>
              <w:t>65 (50;80)</w:t>
            </w:r>
          </w:p>
        </w:tc>
      </w:tr>
      <w:tr w:rsidR="00673C0D" w:rsidRPr="00636A8C" w14:paraId="05C1A64C" w14:textId="77777777" w:rsidTr="00254E74">
        <w:tc>
          <w:tcPr>
            <w:tcW w:w="818" w:type="pct"/>
            <w:shd w:val="clear" w:color="auto" w:fill="auto"/>
          </w:tcPr>
          <w:p w14:paraId="1483FB86" w14:textId="77777777" w:rsidR="00673C0D" w:rsidRPr="00636A8C" w:rsidRDefault="00673C0D" w:rsidP="00254E74">
            <w:pPr>
              <w:autoSpaceDE w:val="0"/>
              <w:autoSpaceDN w:val="0"/>
              <w:adjustRightInd w:val="0"/>
              <w:spacing w:line="240" w:lineRule="auto"/>
              <w:rPr>
                <w:noProof/>
              </w:rPr>
            </w:pPr>
            <w:r w:rsidRPr="00636A8C">
              <w:rPr>
                <w:rFonts w:eastAsia="Calibri"/>
                <w:noProof/>
              </w:rPr>
              <w:t>EASI 75</w:t>
            </w:r>
            <w:r w:rsidRPr="00636A8C">
              <w:rPr>
                <w:rFonts w:eastAsia="Calibri"/>
                <w:noProof/>
                <w:vertAlign w:val="superscript"/>
              </w:rPr>
              <w:t>a</w:t>
            </w:r>
          </w:p>
        </w:tc>
        <w:tc>
          <w:tcPr>
            <w:tcW w:w="402" w:type="pct"/>
            <w:shd w:val="clear" w:color="auto" w:fill="auto"/>
          </w:tcPr>
          <w:p w14:paraId="2654F668" w14:textId="77777777" w:rsidR="00673C0D" w:rsidRPr="00636A8C" w:rsidRDefault="00673C0D" w:rsidP="00254E74">
            <w:pPr>
              <w:spacing w:line="240" w:lineRule="auto"/>
              <w:jc w:val="center"/>
              <w:rPr>
                <w:noProof/>
              </w:rPr>
            </w:pPr>
            <w:r w:rsidRPr="00636A8C">
              <w:rPr>
                <w:noProof/>
              </w:rPr>
              <w:t>8</w:t>
            </w:r>
          </w:p>
          <w:p w14:paraId="247DCC80" w14:textId="77777777" w:rsidR="00673C0D" w:rsidRPr="00636A8C" w:rsidRDefault="00673C0D" w:rsidP="00254E74">
            <w:pPr>
              <w:tabs>
                <w:tab w:val="clear" w:pos="567"/>
              </w:tabs>
              <w:spacing w:line="240" w:lineRule="auto"/>
              <w:jc w:val="center"/>
              <w:rPr>
                <w:noProof/>
              </w:rPr>
            </w:pPr>
            <w:r w:rsidRPr="00636A8C">
              <w:rPr>
                <w:noProof/>
                <w:szCs w:val="22"/>
              </w:rPr>
              <w:t>(0;17)</w:t>
            </w:r>
          </w:p>
        </w:tc>
        <w:tc>
          <w:tcPr>
            <w:tcW w:w="460" w:type="pct"/>
            <w:shd w:val="clear" w:color="auto" w:fill="auto"/>
          </w:tcPr>
          <w:p w14:paraId="091B0061" w14:textId="77777777" w:rsidR="00673C0D" w:rsidRPr="00636A8C" w:rsidRDefault="00673C0D" w:rsidP="00254E74">
            <w:pPr>
              <w:spacing w:line="240" w:lineRule="auto"/>
              <w:jc w:val="center"/>
              <w:rPr>
                <w:noProof/>
              </w:rPr>
            </w:pPr>
            <w:r w:rsidRPr="00636A8C">
              <w:rPr>
                <w:noProof/>
              </w:rPr>
              <w:t>71</w:t>
            </w:r>
          </w:p>
          <w:p w14:paraId="6BEA2D5A" w14:textId="77777777" w:rsidR="00673C0D" w:rsidRPr="00636A8C" w:rsidRDefault="00673C0D" w:rsidP="00254E74">
            <w:pPr>
              <w:tabs>
                <w:tab w:val="clear" w:pos="567"/>
              </w:tabs>
              <w:spacing w:line="240" w:lineRule="auto"/>
              <w:jc w:val="center"/>
              <w:rPr>
                <w:noProof/>
              </w:rPr>
            </w:pPr>
            <w:r w:rsidRPr="00636A8C">
              <w:rPr>
                <w:noProof/>
                <w:szCs w:val="22"/>
              </w:rPr>
              <w:t>(58;85)</w:t>
            </w:r>
          </w:p>
        </w:tc>
        <w:tc>
          <w:tcPr>
            <w:tcW w:w="460" w:type="pct"/>
          </w:tcPr>
          <w:p w14:paraId="11DAC4AB" w14:textId="77777777" w:rsidR="00673C0D" w:rsidRPr="00636A8C" w:rsidRDefault="00673C0D" w:rsidP="00254E74">
            <w:pPr>
              <w:spacing w:line="240" w:lineRule="auto"/>
              <w:jc w:val="center"/>
              <w:rPr>
                <w:noProof/>
              </w:rPr>
            </w:pPr>
            <w:r w:rsidRPr="00636A8C">
              <w:rPr>
                <w:lang w:val="en-GB"/>
              </w:rPr>
              <w:t>83 (72;95)</w:t>
            </w:r>
          </w:p>
        </w:tc>
        <w:tc>
          <w:tcPr>
            <w:tcW w:w="402" w:type="pct"/>
            <w:shd w:val="clear" w:color="auto" w:fill="auto"/>
          </w:tcPr>
          <w:p w14:paraId="10B7880D" w14:textId="77777777" w:rsidR="00673C0D" w:rsidRPr="00636A8C" w:rsidRDefault="00673C0D" w:rsidP="00254E74">
            <w:pPr>
              <w:spacing w:line="240" w:lineRule="auto"/>
              <w:jc w:val="center"/>
              <w:rPr>
                <w:noProof/>
              </w:rPr>
            </w:pPr>
            <w:r w:rsidRPr="00636A8C">
              <w:rPr>
                <w:noProof/>
              </w:rPr>
              <w:t>14</w:t>
            </w:r>
          </w:p>
          <w:p w14:paraId="6BEB097A" w14:textId="77777777" w:rsidR="00673C0D" w:rsidRPr="00636A8C" w:rsidRDefault="00673C0D" w:rsidP="00254E74">
            <w:pPr>
              <w:tabs>
                <w:tab w:val="clear" w:pos="567"/>
              </w:tabs>
              <w:spacing w:line="240" w:lineRule="auto"/>
              <w:jc w:val="center"/>
              <w:rPr>
                <w:noProof/>
              </w:rPr>
            </w:pPr>
            <w:r w:rsidRPr="00636A8C">
              <w:rPr>
                <w:noProof/>
                <w:szCs w:val="22"/>
              </w:rPr>
              <w:t>(3;25)</w:t>
            </w:r>
          </w:p>
        </w:tc>
        <w:tc>
          <w:tcPr>
            <w:tcW w:w="460" w:type="pct"/>
          </w:tcPr>
          <w:p w14:paraId="32D77459" w14:textId="77777777" w:rsidR="00673C0D" w:rsidRPr="00636A8C" w:rsidRDefault="00673C0D" w:rsidP="00254E74">
            <w:pPr>
              <w:spacing w:line="240" w:lineRule="auto"/>
              <w:jc w:val="center"/>
              <w:rPr>
                <w:noProof/>
              </w:rPr>
            </w:pPr>
            <w:r w:rsidRPr="00636A8C">
              <w:rPr>
                <w:noProof/>
              </w:rPr>
              <w:t>67</w:t>
            </w:r>
          </w:p>
          <w:p w14:paraId="0E974AE2" w14:textId="77777777" w:rsidR="00673C0D" w:rsidRPr="00636A8C" w:rsidRDefault="00673C0D" w:rsidP="00254E74">
            <w:pPr>
              <w:tabs>
                <w:tab w:val="clear" w:pos="567"/>
              </w:tabs>
              <w:spacing w:line="240" w:lineRule="auto"/>
              <w:jc w:val="center"/>
              <w:rPr>
                <w:noProof/>
              </w:rPr>
            </w:pPr>
            <w:r w:rsidRPr="00636A8C">
              <w:rPr>
                <w:noProof/>
                <w:szCs w:val="22"/>
              </w:rPr>
              <w:t>(51;83)</w:t>
            </w:r>
          </w:p>
        </w:tc>
        <w:tc>
          <w:tcPr>
            <w:tcW w:w="460" w:type="pct"/>
          </w:tcPr>
          <w:p w14:paraId="5D207DB1" w14:textId="77777777" w:rsidR="00673C0D" w:rsidRPr="00636A8C" w:rsidRDefault="00673C0D" w:rsidP="00254E74">
            <w:pPr>
              <w:spacing w:line="240" w:lineRule="auto"/>
              <w:jc w:val="center"/>
              <w:rPr>
                <w:noProof/>
              </w:rPr>
            </w:pPr>
            <w:r w:rsidRPr="00636A8C">
              <w:rPr>
                <w:lang w:val="en-GB"/>
              </w:rPr>
              <w:t>74 (59;90)</w:t>
            </w:r>
          </w:p>
        </w:tc>
        <w:tc>
          <w:tcPr>
            <w:tcW w:w="460" w:type="pct"/>
          </w:tcPr>
          <w:p w14:paraId="4282D4FB" w14:textId="77777777" w:rsidR="00673C0D" w:rsidRPr="00636A8C" w:rsidRDefault="00673C0D" w:rsidP="00254E74">
            <w:pPr>
              <w:spacing w:line="240" w:lineRule="auto"/>
              <w:jc w:val="center"/>
              <w:rPr>
                <w:noProof/>
              </w:rPr>
            </w:pPr>
            <w:r w:rsidRPr="00636A8C">
              <w:rPr>
                <w:noProof/>
              </w:rPr>
              <w:t>30</w:t>
            </w:r>
          </w:p>
          <w:p w14:paraId="30316751" w14:textId="77777777" w:rsidR="00673C0D" w:rsidRPr="00636A8C" w:rsidRDefault="00673C0D" w:rsidP="00254E74">
            <w:pPr>
              <w:tabs>
                <w:tab w:val="clear" w:pos="567"/>
              </w:tabs>
              <w:spacing w:line="240" w:lineRule="auto"/>
              <w:jc w:val="center"/>
              <w:rPr>
                <w:noProof/>
              </w:rPr>
            </w:pPr>
            <w:r w:rsidRPr="00636A8C">
              <w:rPr>
                <w:noProof/>
                <w:szCs w:val="22"/>
              </w:rPr>
              <w:t>(16;44)</w:t>
            </w:r>
          </w:p>
        </w:tc>
        <w:tc>
          <w:tcPr>
            <w:tcW w:w="460" w:type="pct"/>
            <w:shd w:val="clear" w:color="auto" w:fill="auto"/>
          </w:tcPr>
          <w:p w14:paraId="725568DD" w14:textId="77777777" w:rsidR="00673C0D" w:rsidRPr="00636A8C" w:rsidRDefault="00673C0D" w:rsidP="00254E74">
            <w:pPr>
              <w:spacing w:line="240" w:lineRule="auto"/>
              <w:jc w:val="center"/>
              <w:rPr>
                <w:noProof/>
              </w:rPr>
            </w:pPr>
            <w:r w:rsidRPr="00636A8C">
              <w:rPr>
                <w:noProof/>
              </w:rPr>
              <w:t>56</w:t>
            </w:r>
          </w:p>
          <w:p w14:paraId="51A4C957" w14:textId="77777777" w:rsidR="00673C0D" w:rsidRPr="00636A8C" w:rsidRDefault="00673C0D" w:rsidP="00254E74">
            <w:pPr>
              <w:tabs>
                <w:tab w:val="clear" w:pos="567"/>
              </w:tabs>
              <w:spacing w:line="240" w:lineRule="auto"/>
              <w:jc w:val="center"/>
              <w:rPr>
                <w:noProof/>
              </w:rPr>
            </w:pPr>
            <w:r w:rsidRPr="00636A8C">
              <w:rPr>
                <w:noProof/>
                <w:szCs w:val="22"/>
              </w:rPr>
              <w:t>(41;72)</w:t>
            </w:r>
          </w:p>
        </w:tc>
        <w:tc>
          <w:tcPr>
            <w:tcW w:w="616" w:type="pct"/>
          </w:tcPr>
          <w:p w14:paraId="39CCED8A" w14:textId="77777777" w:rsidR="00673C0D" w:rsidRPr="00636A8C" w:rsidRDefault="00673C0D" w:rsidP="00254E74">
            <w:pPr>
              <w:spacing w:line="240" w:lineRule="auto"/>
              <w:jc w:val="center"/>
              <w:rPr>
                <w:noProof/>
              </w:rPr>
            </w:pPr>
            <w:r w:rsidRPr="00636A8C">
              <w:rPr>
                <w:lang w:val="en-GB"/>
              </w:rPr>
              <w:t>76 (62;90)</w:t>
            </w:r>
          </w:p>
        </w:tc>
      </w:tr>
      <w:tr w:rsidR="00673C0D" w:rsidRPr="00636A8C" w14:paraId="4A79A648" w14:textId="77777777" w:rsidTr="00254E74">
        <w:tc>
          <w:tcPr>
            <w:tcW w:w="818" w:type="pct"/>
            <w:shd w:val="clear" w:color="auto" w:fill="auto"/>
          </w:tcPr>
          <w:p w14:paraId="711558F2" w14:textId="77777777" w:rsidR="00673C0D" w:rsidRPr="00636A8C" w:rsidRDefault="00673C0D" w:rsidP="00254E74">
            <w:pPr>
              <w:spacing w:line="240" w:lineRule="auto"/>
              <w:rPr>
                <w:rFonts w:eastAsia="Calibri"/>
                <w:noProof/>
              </w:rPr>
            </w:pPr>
            <w:r w:rsidRPr="00636A8C">
              <w:rPr>
                <w:rFonts w:eastAsia="Calibri"/>
                <w:noProof/>
              </w:rPr>
              <w:t>NRS rezultat za najgori pruritus</w:t>
            </w:r>
            <w:r w:rsidRPr="00636A8C">
              <w:rPr>
                <w:rFonts w:eastAsia="Calibri"/>
                <w:noProof/>
                <w:vertAlign w:val="superscript"/>
              </w:rPr>
              <w:t>c</w:t>
            </w:r>
          </w:p>
          <w:p w14:paraId="5B02239D" w14:textId="1D92B0BF" w:rsidR="00673C0D" w:rsidRPr="00636A8C" w:rsidRDefault="00673C0D" w:rsidP="00254E74">
            <w:pPr>
              <w:autoSpaceDE w:val="0"/>
              <w:autoSpaceDN w:val="0"/>
              <w:adjustRightInd w:val="0"/>
              <w:spacing w:line="240" w:lineRule="auto"/>
              <w:rPr>
                <w:noProof/>
              </w:rPr>
            </w:pPr>
            <w:r w:rsidRPr="00636A8C">
              <w:rPr>
                <w:rFonts w:eastAsia="Calibri"/>
                <w:i/>
                <w:iCs/>
                <w:noProof/>
              </w:rPr>
              <w:t>(poboljšanje od ≥ 4 boda)</w:t>
            </w:r>
          </w:p>
        </w:tc>
        <w:tc>
          <w:tcPr>
            <w:tcW w:w="402" w:type="pct"/>
            <w:shd w:val="clear" w:color="auto" w:fill="auto"/>
          </w:tcPr>
          <w:p w14:paraId="7C1D26DB" w14:textId="77777777" w:rsidR="00673C0D" w:rsidRPr="00636A8C" w:rsidRDefault="00673C0D" w:rsidP="00254E74">
            <w:pPr>
              <w:spacing w:line="240" w:lineRule="auto"/>
              <w:jc w:val="center"/>
              <w:rPr>
                <w:noProof/>
              </w:rPr>
            </w:pPr>
            <w:r w:rsidRPr="00636A8C">
              <w:rPr>
                <w:noProof/>
              </w:rPr>
              <w:t>15</w:t>
            </w:r>
          </w:p>
          <w:p w14:paraId="0568A430" w14:textId="77777777" w:rsidR="00673C0D" w:rsidRPr="00636A8C" w:rsidRDefault="00673C0D" w:rsidP="00254E74">
            <w:pPr>
              <w:tabs>
                <w:tab w:val="clear" w:pos="567"/>
              </w:tabs>
              <w:spacing w:line="240" w:lineRule="auto"/>
              <w:jc w:val="center"/>
              <w:rPr>
                <w:noProof/>
                <w:szCs w:val="22"/>
              </w:rPr>
            </w:pPr>
            <w:r w:rsidRPr="00636A8C">
              <w:rPr>
                <w:noProof/>
                <w:szCs w:val="22"/>
              </w:rPr>
              <w:t>(4;27)</w:t>
            </w:r>
          </w:p>
          <w:p w14:paraId="1A6F6609" w14:textId="77777777" w:rsidR="00673C0D" w:rsidRPr="00636A8C" w:rsidRDefault="00673C0D" w:rsidP="00254E74">
            <w:pPr>
              <w:spacing w:line="240" w:lineRule="auto"/>
              <w:jc w:val="center"/>
              <w:rPr>
                <w:noProof/>
              </w:rPr>
            </w:pPr>
          </w:p>
          <w:p w14:paraId="3EAA1B45" w14:textId="77777777" w:rsidR="00673C0D" w:rsidRPr="00636A8C" w:rsidRDefault="00673C0D" w:rsidP="00254E74">
            <w:pPr>
              <w:spacing w:line="240" w:lineRule="auto"/>
              <w:jc w:val="center"/>
              <w:rPr>
                <w:noProof/>
              </w:rPr>
            </w:pPr>
          </w:p>
        </w:tc>
        <w:tc>
          <w:tcPr>
            <w:tcW w:w="460" w:type="pct"/>
            <w:shd w:val="clear" w:color="auto" w:fill="auto"/>
          </w:tcPr>
          <w:p w14:paraId="1EE50228" w14:textId="77777777" w:rsidR="00673C0D" w:rsidRPr="00636A8C" w:rsidRDefault="00673C0D" w:rsidP="00254E74">
            <w:pPr>
              <w:spacing w:line="240" w:lineRule="auto"/>
              <w:jc w:val="center"/>
              <w:rPr>
                <w:noProof/>
              </w:rPr>
            </w:pPr>
            <w:r w:rsidRPr="00636A8C">
              <w:rPr>
                <w:noProof/>
              </w:rPr>
              <w:t>45</w:t>
            </w:r>
          </w:p>
          <w:p w14:paraId="52907513" w14:textId="77777777" w:rsidR="00673C0D" w:rsidRPr="00636A8C" w:rsidRDefault="00673C0D" w:rsidP="00254E74">
            <w:pPr>
              <w:tabs>
                <w:tab w:val="clear" w:pos="567"/>
              </w:tabs>
              <w:spacing w:line="240" w:lineRule="auto"/>
              <w:jc w:val="center"/>
              <w:rPr>
                <w:noProof/>
                <w:szCs w:val="22"/>
              </w:rPr>
            </w:pPr>
            <w:r w:rsidRPr="00636A8C">
              <w:rPr>
                <w:noProof/>
                <w:szCs w:val="22"/>
              </w:rPr>
              <w:t>(30;60)</w:t>
            </w:r>
          </w:p>
          <w:p w14:paraId="0AE82AC1" w14:textId="77777777" w:rsidR="00673C0D" w:rsidRPr="00636A8C" w:rsidRDefault="00673C0D" w:rsidP="00254E74">
            <w:pPr>
              <w:spacing w:line="240" w:lineRule="auto"/>
              <w:jc w:val="center"/>
              <w:rPr>
                <w:noProof/>
              </w:rPr>
            </w:pPr>
          </w:p>
          <w:p w14:paraId="07BCE138" w14:textId="77777777" w:rsidR="00673C0D" w:rsidRPr="00636A8C" w:rsidRDefault="00673C0D" w:rsidP="00254E74">
            <w:pPr>
              <w:spacing w:line="240" w:lineRule="auto"/>
              <w:jc w:val="center"/>
              <w:rPr>
                <w:noProof/>
              </w:rPr>
            </w:pPr>
          </w:p>
        </w:tc>
        <w:tc>
          <w:tcPr>
            <w:tcW w:w="460" w:type="pct"/>
          </w:tcPr>
          <w:p w14:paraId="7418D02C" w14:textId="77777777" w:rsidR="00673C0D" w:rsidRPr="00636A8C" w:rsidRDefault="00673C0D" w:rsidP="00254E74">
            <w:pPr>
              <w:spacing w:line="240" w:lineRule="auto"/>
              <w:jc w:val="center"/>
              <w:rPr>
                <w:noProof/>
              </w:rPr>
            </w:pPr>
            <w:r w:rsidRPr="00636A8C">
              <w:rPr>
                <w:lang w:val="en-GB"/>
              </w:rPr>
              <w:t>55 (40;70)</w:t>
            </w:r>
          </w:p>
        </w:tc>
        <w:tc>
          <w:tcPr>
            <w:tcW w:w="402" w:type="pct"/>
            <w:shd w:val="clear" w:color="auto" w:fill="auto"/>
          </w:tcPr>
          <w:p w14:paraId="76F715FA" w14:textId="77777777" w:rsidR="00673C0D" w:rsidRPr="00636A8C" w:rsidRDefault="00673C0D" w:rsidP="00254E74">
            <w:pPr>
              <w:spacing w:line="240" w:lineRule="auto"/>
              <w:jc w:val="center"/>
              <w:rPr>
                <w:noProof/>
              </w:rPr>
            </w:pPr>
            <w:r w:rsidRPr="00636A8C">
              <w:rPr>
                <w:noProof/>
              </w:rPr>
              <w:t>3</w:t>
            </w:r>
          </w:p>
          <w:p w14:paraId="00130A8A" w14:textId="77777777" w:rsidR="00673C0D" w:rsidRPr="00636A8C" w:rsidRDefault="00673C0D" w:rsidP="00254E74">
            <w:pPr>
              <w:tabs>
                <w:tab w:val="clear" w:pos="567"/>
              </w:tabs>
              <w:spacing w:line="240" w:lineRule="auto"/>
              <w:jc w:val="center"/>
              <w:rPr>
                <w:noProof/>
                <w:szCs w:val="22"/>
              </w:rPr>
            </w:pPr>
            <w:r w:rsidRPr="00636A8C">
              <w:rPr>
                <w:noProof/>
                <w:szCs w:val="22"/>
              </w:rPr>
              <w:t>(0;8)</w:t>
            </w:r>
          </w:p>
          <w:p w14:paraId="75880734" w14:textId="77777777" w:rsidR="00673C0D" w:rsidRPr="00636A8C" w:rsidRDefault="00673C0D" w:rsidP="00254E74">
            <w:pPr>
              <w:spacing w:line="240" w:lineRule="auto"/>
              <w:jc w:val="center"/>
              <w:rPr>
                <w:noProof/>
              </w:rPr>
            </w:pPr>
          </w:p>
        </w:tc>
        <w:tc>
          <w:tcPr>
            <w:tcW w:w="460" w:type="pct"/>
          </w:tcPr>
          <w:p w14:paraId="7E894322" w14:textId="77777777" w:rsidR="00673C0D" w:rsidRPr="00636A8C" w:rsidRDefault="00673C0D" w:rsidP="00254E74">
            <w:pPr>
              <w:spacing w:line="240" w:lineRule="auto"/>
              <w:jc w:val="center"/>
              <w:rPr>
                <w:noProof/>
              </w:rPr>
            </w:pPr>
            <w:r w:rsidRPr="00636A8C">
              <w:rPr>
                <w:noProof/>
              </w:rPr>
              <w:t>33</w:t>
            </w:r>
          </w:p>
          <w:p w14:paraId="72E176E5" w14:textId="77777777" w:rsidR="00673C0D" w:rsidRPr="00636A8C" w:rsidRDefault="00673C0D" w:rsidP="00254E74">
            <w:pPr>
              <w:tabs>
                <w:tab w:val="clear" w:pos="567"/>
              </w:tabs>
              <w:spacing w:line="240" w:lineRule="auto"/>
              <w:jc w:val="center"/>
              <w:rPr>
                <w:noProof/>
                <w:szCs w:val="22"/>
              </w:rPr>
            </w:pPr>
            <w:r w:rsidRPr="00636A8C">
              <w:rPr>
                <w:noProof/>
                <w:szCs w:val="22"/>
              </w:rPr>
              <w:t>(16;50)</w:t>
            </w:r>
          </w:p>
          <w:p w14:paraId="4E9B1FA9" w14:textId="77777777" w:rsidR="00673C0D" w:rsidRPr="00636A8C" w:rsidRDefault="00673C0D" w:rsidP="00254E74">
            <w:pPr>
              <w:spacing w:line="240" w:lineRule="auto"/>
              <w:jc w:val="center"/>
              <w:rPr>
                <w:noProof/>
              </w:rPr>
            </w:pPr>
          </w:p>
          <w:p w14:paraId="301A6299" w14:textId="77777777" w:rsidR="00673C0D" w:rsidRPr="00636A8C" w:rsidRDefault="00673C0D" w:rsidP="00254E74">
            <w:pPr>
              <w:spacing w:line="240" w:lineRule="auto"/>
              <w:jc w:val="center"/>
              <w:rPr>
                <w:noProof/>
              </w:rPr>
            </w:pPr>
          </w:p>
        </w:tc>
        <w:tc>
          <w:tcPr>
            <w:tcW w:w="460" w:type="pct"/>
          </w:tcPr>
          <w:p w14:paraId="7F455701" w14:textId="77777777" w:rsidR="00673C0D" w:rsidRPr="00636A8C" w:rsidRDefault="00673C0D" w:rsidP="00254E74">
            <w:pPr>
              <w:spacing w:line="240" w:lineRule="auto"/>
              <w:jc w:val="center"/>
              <w:rPr>
                <w:noProof/>
              </w:rPr>
            </w:pPr>
            <w:r w:rsidRPr="00636A8C">
              <w:rPr>
                <w:lang w:val="en-GB"/>
              </w:rPr>
              <w:t>50 (33;67)</w:t>
            </w:r>
          </w:p>
        </w:tc>
        <w:tc>
          <w:tcPr>
            <w:tcW w:w="460" w:type="pct"/>
          </w:tcPr>
          <w:p w14:paraId="2227AFE2" w14:textId="77777777" w:rsidR="00673C0D" w:rsidRPr="00636A8C" w:rsidRDefault="00673C0D" w:rsidP="00254E74">
            <w:pPr>
              <w:spacing w:line="240" w:lineRule="auto"/>
              <w:jc w:val="center"/>
              <w:rPr>
                <w:noProof/>
              </w:rPr>
            </w:pPr>
            <w:r w:rsidRPr="00636A8C">
              <w:rPr>
                <w:noProof/>
              </w:rPr>
              <w:t>13</w:t>
            </w:r>
          </w:p>
          <w:p w14:paraId="679347F1" w14:textId="77777777" w:rsidR="00673C0D" w:rsidRPr="00636A8C" w:rsidRDefault="00673C0D" w:rsidP="00254E74">
            <w:pPr>
              <w:tabs>
                <w:tab w:val="clear" w:pos="567"/>
              </w:tabs>
              <w:spacing w:line="240" w:lineRule="auto"/>
              <w:jc w:val="center"/>
              <w:rPr>
                <w:noProof/>
                <w:szCs w:val="22"/>
              </w:rPr>
            </w:pPr>
            <w:r w:rsidRPr="00636A8C">
              <w:rPr>
                <w:noProof/>
                <w:szCs w:val="22"/>
              </w:rPr>
              <w:t>(2;24)</w:t>
            </w:r>
          </w:p>
          <w:p w14:paraId="183BD666" w14:textId="77777777" w:rsidR="00673C0D" w:rsidRPr="00636A8C" w:rsidRDefault="00673C0D" w:rsidP="00254E74">
            <w:pPr>
              <w:spacing w:line="240" w:lineRule="auto"/>
              <w:jc w:val="center"/>
              <w:rPr>
                <w:noProof/>
              </w:rPr>
            </w:pPr>
          </w:p>
          <w:p w14:paraId="4A9CC578" w14:textId="77777777" w:rsidR="00673C0D" w:rsidRPr="00636A8C" w:rsidRDefault="00673C0D" w:rsidP="00254E74">
            <w:pPr>
              <w:spacing w:line="240" w:lineRule="auto"/>
              <w:jc w:val="center"/>
              <w:rPr>
                <w:noProof/>
              </w:rPr>
            </w:pPr>
          </w:p>
        </w:tc>
        <w:tc>
          <w:tcPr>
            <w:tcW w:w="460" w:type="pct"/>
            <w:shd w:val="clear" w:color="auto" w:fill="auto"/>
          </w:tcPr>
          <w:p w14:paraId="7B507231" w14:textId="77777777" w:rsidR="00673C0D" w:rsidRPr="00636A8C" w:rsidRDefault="00673C0D" w:rsidP="00254E74">
            <w:pPr>
              <w:spacing w:line="240" w:lineRule="auto"/>
              <w:jc w:val="center"/>
              <w:rPr>
                <w:noProof/>
              </w:rPr>
            </w:pPr>
            <w:r w:rsidRPr="00636A8C">
              <w:rPr>
                <w:noProof/>
              </w:rPr>
              <w:t>42</w:t>
            </w:r>
          </w:p>
          <w:p w14:paraId="5839CDB1" w14:textId="77777777" w:rsidR="00673C0D" w:rsidRPr="00636A8C" w:rsidRDefault="00673C0D" w:rsidP="00254E74">
            <w:pPr>
              <w:tabs>
                <w:tab w:val="clear" w:pos="567"/>
              </w:tabs>
              <w:spacing w:line="240" w:lineRule="auto"/>
              <w:jc w:val="center"/>
              <w:rPr>
                <w:noProof/>
                <w:szCs w:val="22"/>
              </w:rPr>
            </w:pPr>
            <w:r w:rsidRPr="00636A8C">
              <w:rPr>
                <w:noProof/>
                <w:szCs w:val="22"/>
              </w:rPr>
              <w:t>(26;58)</w:t>
            </w:r>
          </w:p>
          <w:p w14:paraId="3C94DDF0" w14:textId="77777777" w:rsidR="00673C0D" w:rsidRPr="00636A8C" w:rsidRDefault="00673C0D" w:rsidP="00254E74">
            <w:pPr>
              <w:spacing w:line="240" w:lineRule="auto"/>
              <w:jc w:val="center"/>
              <w:rPr>
                <w:noProof/>
              </w:rPr>
            </w:pPr>
          </w:p>
          <w:p w14:paraId="36130379" w14:textId="77777777" w:rsidR="00673C0D" w:rsidRPr="00636A8C" w:rsidRDefault="00673C0D" w:rsidP="00254E74">
            <w:pPr>
              <w:spacing w:line="240" w:lineRule="auto"/>
              <w:jc w:val="center"/>
              <w:rPr>
                <w:noProof/>
              </w:rPr>
            </w:pPr>
          </w:p>
        </w:tc>
        <w:tc>
          <w:tcPr>
            <w:tcW w:w="616" w:type="pct"/>
          </w:tcPr>
          <w:p w14:paraId="12791725" w14:textId="77777777" w:rsidR="00673C0D" w:rsidRPr="00636A8C" w:rsidRDefault="00673C0D" w:rsidP="00254E74">
            <w:pPr>
              <w:spacing w:line="240" w:lineRule="auto"/>
              <w:jc w:val="center"/>
              <w:rPr>
                <w:noProof/>
              </w:rPr>
            </w:pPr>
            <w:r w:rsidRPr="00636A8C">
              <w:rPr>
                <w:lang w:val="en-GB"/>
              </w:rPr>
              <w:t>55 (38;72)</w:t>
            </w:r>
          </w:p>
        </w:tc>
      </w:tr>
      <w:tr w:rsidR="00673C0D" w:rsidRPr="00636A8C" w14:paraId="4E38D9AE" w14:textId="77777777" w:rsidTr="00673C0D">
        <w:tc>
          <w:tcPr>
            <w:tcW w:w="5000" w:type="pct"/>
            <w:gridSpan w:val="10"/>
          </w:tcPr>
          <w:p w14:paraId="37ECE8B4" w14:textId="77777777" w:rsidR="00673C0D" w:rsidRPr="00636A8C" w:rsidRDefault="00673C0D" w:rsidP="00254E74">
            <w:pPr>
              <w:keepNext/>
              <w:spacing w:line="240" w:lineRule="auto"/>
              <w:rPr>
                <w:noProof/>
              </w:rPr>
            </w:pPr>
            <w:r>
              <w:rPr>
                <w:noProof/>
              </w:rPr>
              <w:t>Skraćenice</w:t>
            </w:r>
            <w:r w:rsidRPr="00636A8C">
              <w:rPr>
                <w:noProof/>
              </w:rPr>
              <w:t>: UPA = upadacitinib (RINVOQ); PBO = placebo</w:t>
            </w:r>
          </w:p>
          <w:p w14:paraId="16A82559" w14:textId="77777777" w:rsidR="00673C0D" w:rsidRPr="00636A8C" w:rsidRDefault="00673C0D" w:rsidP="00254E74">
            <w:pPr>
              <w:keepNext/>
              <w:spacing w:line="240" w:lineRule="auto"/>
              <w:rPr>
                <w:noProof/>
              </w:rPr>
            </w:pPr>
            <w:r w:rsidRPr="00636A8C">
              <w:rPr>
                <w:noProof/>
              </w:rPr>
              <w:t xml:space="preserve">Ispitanici liječeni lijekom za hitno ublažavanje simptoma ili za koje su nedostajali podaci navedeni su kao </w:t>
            </w:r>
            <w:r>
              <w:rPr>
                <w:noProof/>
              </w:rPr>
              <w:t>pacijenti</w:t>
            </w:r>
            <w:r w:rsidRPr="00636A8C">
              <w:rPr>
                <w:noProof/>
              </w:rPr>
              <w:t xml:space="preserve"> bez odgovora na terapiju.</w:t>
            </w:r>
          </w:p>
          <w:p w14:paraId="4BAD86A5" w14:textId="3260170E" w:rsidR="00673C0D" w:rsidRPr="00636A8C" w:rsidRDefault="00673C0D" w:rsidP="00254E74">
            <w:pPr>
              <w:spacing w:line="240" w:lineRule="auto"/>
              <w:rPr>
                <w:noProof/>
              </w:rPr>
            </w:pPr>
            <w:r w:rsidRPr="00636A8C">
              <w:rPr>
                <w:noProof/>
                <w:vertAlign w:val="superscript"/>
              </w:rPr>
              <w:t>a</w:t>
            </w:r>
            <w:r w:rsidRPr="00636A8C">
              <w:rPr>
                <w:noProof/>
              </w:rPr>
              <w:t xml:space="preserve"> Na </w:t>
            </w:r>
            <w:r>
              <w:rPr>
                <w:noProof/>
              </w:rPr>
              <w:t>osnovu</w:t>
            </w:r>
            <w:r w:rsidRPr="00636A8C">
              <w:rPr>
                <w:noProof/>
              </w:rPr>
              <w:t xml:space="preserve"> broja randomiz</w:t>
            </w:r>
            <w:r>
              <w:rPr>
                <w:noProof/>
              </w:rPr>
              <w:t>ovanih</w:t>
            </w:r>
            <w:r w:rsidRPr="00636A8C">
              <w:rPr>
                <w:noProof/>
              </w:rPr>
              <w:t xml:space="preserve"> ispitanika</w:t>
            </w:r>
            <w:r w:rsidR="002C2957">
              <w:rPr>
                <w:noProof/>
              </w:rPr>
              <w:t>.</w:t>
            </w:r>
          </w:p>
          <w:p w14:paraId="5B135470" w14:textId="77777777" w:rsidR="00673C0D" w:rsidRPr="00636A8C" w:rsidRDefault="00673C0D" w:rsidP="00254E74">
            <w:pPr>
              <w:spacing w:line="240" w:lineRule="auto"/>
              <w:rPr>
                <w:noProof/>
              </w:rPr>
            </w:pPr>
            <w:r w:rsidRPr="00636A8C">
              <w:rPr>
                <w:noProof/>
                <w:vertAlign w:val="superscript"/>
              </w:rPr>
              <w:t xml:space="preserve">b </w:t>
            </w:r>
            <w:r>
              <w:rPr>
                <w:noProof/>
              </w:rPr>
              <w:t>Pacijent</w:t>
            </w:r>
            <w:r w:rsidRPr="00636A8C">
              <w:rPr>
                <w:noProof/>
              </w:rPr>
              <w:t xml:space="preserve"> s odgovorom defini</w:t>
            </w:r>
            <w:r>
              <w:rPr>
                <w:noProof/>
              </w:rPr>
              <w:t>s</w:t>
            </w:r>
            <w:r w:rsidRPr="00636A8C">
              <w:rPr>
                <w:noProof/>
              </w:rPr>
              <w:t xml:space="preserve">ao se kao </w:t>
            </w:r>
            <w:r>
              <w:rPr>
                <w:noProof/>
              </w:rPr>
              <w:t xml:space="preserve">pacijent </w:t>
            </w:r>
            <w:r w:rsidRPr="00636A8C">
              <w:rPr>
                <w:noProof/>
              </w:rPr>
              <w:t>s vIGA</w:t>
            </w:r>
            <w:r w:rsidRPr="00636A8C">
              <w:rPr>
                <w:noProof/>
              </w:rPr>
              <w:noBreakHyphen/>
              <w:t>AD rezultatom 0 ili 1 („čisto“ ili „gotovo čisto“) sa smanjenjem od ≥ 2 boda na ljestvici od 0 do 4 boda.</w:t>
            </w:r>
          </w:p>
          <w:p w14:paraId="0F9B2721" w14:textId="77777777" w:rsidR="00673C0D" w:rsidRPr="00636A8C" w:rsidRDefault="00673C0D" w:rsidP="00254E74">
            <w:pPr>
              <w:keepNext/>
              <w:spacing w:line="240" w:lineRule="auto"/>
              <w:rPr>
                <w:noProof/>
              </w:rPr>
            </w:pPr>
            <w:r w:rsidRPr="00636A8C">
              <w:rPr>
                <w:noProof/>
                <w:vertAlign w:val="superscript"/>
              </w:rPr>
              <w:t>c</w:t>
            </w:r>
            <w:r w:rsidRPr="00636A8C">
              <w:rPr>
                <w:noProof/>
              </w:rPr>
              <w:t xml:space="preserve"> Rezultati prikazani u pod</w:t>
            </w:r>
            <w:r>
              <w:rPr>
                <w:noProof/>
              </w:rPr>
              <w:t>grupi</w:t>
            </w:r>
            <w:r w:rsidRPr="00636A8C">
              <w:rPr>
                <w:noProof/>
              </w:rPr>
              <w:t xml:space="preserve"> </w:t>
            </w:r>
            <w:r>
              <w:rPr>
                <w:noProof/>
              </w:rPr>
              <w:t>pacijenata</w:t>
            </w:r>
            <w:r w:rsidRPr="00636A8C">
              <w:rPr>
                <w:noProof/>
              </w:rPr>
              <w:t xml:space="preserve"> koji su ispunjavali u</w:t>
            </w:r>
            <w:r>
              <w:rPr>
                <w:noProof/>
              </w:rPr>
              <w:t>slove</w:t>
            </w:r>
            <w:r w:rsidRPr="00636A8C">
              <w:rPr>
                <w:noProof/>
              </w:rPr>
              <w:t xml:space="preserve"> za procjenu (</w:t>
            </w:r>
            <w:r>
              <w:rPr>
                <w:noProof/>
              </w:rPr>
              <w:t xml:space="preserve">pacijenti </w:t>
            </w:r>
            <w:r w:rsidRPr="00636A8C">
              <w:rPr>
                <w:noProof/>
              </w:rPr>
              <w:t>s NRS rezultatom za najgori pruritus od ≥ 4 na početku).</w:t>
            </w:r>
          </w:p>
        </w:tc>
      </w:tr>
    </w:tbl>
    <w:p w14:paraId="6E3DB104" w14:textId="77777777" w:rsidR="00ED61EB" w:rsidRPr="00B74B0F" w:rsidRDefault="00ED61EB">
      <w:pPr>
        <w:spacing w:line="240" w:lineRule="auto"/>
        <w:jc w:val="both"/>
        <w:rPr>
          <w:szCs w:val="22"/>
          <w:lang w:val="sr-Latn-ME"/>
        </w:rPr>
      </w:pPr>
    </w:p>
    <w:p w14:paraId="4FBCCF6D" w14:textId="10A622DD" w:rsidR="00ED61EB" w:rsidRPr="00B74B0F" w:rsidRDefault="00ED61EB">
      <w:pPr>
        <w:spacing w:line="240" w:lineRule="auto"/>
        <w:contextualSpacing/>
        <w:jc w:val="both"/>
        <w:rPr>
          <w:szCs w:val="22"/>
          <w:lang w:val="sr-Latn-ME"/>
        </w:rPr>
      </w:pPr>
      <w:r w:rsidRPr="00B74B0F">
        <w:rPr>
          <w:szCs w:val="22"/>
          <w:lang w:val="sr-Latn-ME"/>
        </w:rPr>
        <w:t>E</w:t>
      </w:r>
      <w:r w:rsidR="004B1A9B" w:rsidRPr="00B74B0F">
        <w:rPr>
          <w:szCs w:val="22"/>
          <w:lang w:val="sr-Latn-ME"/>
        </w:rPr>
        <w:t>v</w:t>
      </w:r>
      <w:r w:rsidRPr="00B74B0F">
        <w:rPr>
          <w:szCs w:val="22"/>
          <w:lang w:val="sr-Latn-ME"/>
        </w:rPr>
        <w:t>ropska agencija za ljekove o</w:t>
      </w:r>
      <w:r w:rsidR="009A72AD" w:rsidRPr="00B74B0F">
        <w:rPr>
          <w:szCs w:val="22"/>
          <w:lang w:val="sr-Latn-ME"/>
        </w:rPr>
        <w:t>dložila je obavezu</w:t>
      </w:r>
      <w:r w:rsidRPr="00B74B0F">
        <w:rPr>
          <w:szCs w:val="22"/>
          <w:lang w:val="sr-Latn-ME"/>
        </w:rPr>
        <w:t xml:space="preserve"> podnošenja rezultata ispitivanja lijeka RINVOQ u jednoj ili više pod</w:t>
      </w:r>
      <w:r w:rsidR="009A72AD" w:rsidRPr="00B74B0F">
        <w:rPr>
          <w:szCs w:val="22"/>
          <w:lang w:val="sr-Latn-ME"/>
        </w:rPr>
        <w:t xml:space="preserve">grupa </w:t>
      </w:r>
      <w:r w:rsidRPr="00B74B0F">
        <w:rPr>
          <w:szCs w:val="22"/>
          <w:lang w:val="sr-Latn-ME"/>
        </w:rPr>
        <w:t xml:space="preserve">pedijatrijske populacije za liječenje </w:t>
      </w:r>
      <w:r w:rsidR="00F517DB" w:rsidRPr="00B74B0F">
        <w:rPr>
          <w:szCs w:val="22"/>
          <w:lang w:val="sr-Latn-ME"/>
        </w:rPr>
        <w:t>h</w:t>
      </w:r>
      <w:r w:rsidRPr="00B74B0F">
        <w:rPr>
          <w:szCs w:val="22"/>
          <w:lang w:val="sr-Latn-ME"/>
        </w:rPr>
        <w:t xml:space="preserve">roničnog idiopatskog artritisa (uključujući reumatoidni artritis, psorijatični artritis, spondiloartritis i juvenilni idiopatski artritis), atopijskog dermatitisa i ulceroznog kolitisa </w:t>
      </w:r>
      <w:r w:rsidR="0011006A" w:rsidRPr="00B74B0F">
        <w:rPr>
          <w:szCs w:val="22"/>
          <w:lang w:val="sr-Latn-ME"/>
        </w:rPr>
        <w:t xml:space="preserve">i </w:t>
      </w:r>
      <w:r w:rsidR="00B15ED0" w:rsidRPr="00B74B0F">
        <w:rPr>
          <w:szCs w:val="22"/>
          <w:lang w:val="sr-Latn-ME"/>
        </w:rPr>
        <w:t>K</w:t>
      </w:r>
      <w:r w:rsidR="0011006A" w:rsidRPr="00B74B0F">
        <w:rPr>
          <w:szCs w:val="22"/>
          <w:lang w:val="sr-Latn-ME"/>
        </w:rPr>
        <w:t xml:space="preserve">ronove bolesti </w:t>
      </w:r>
      <w:r w:rsidRPr="00B74B0F">
        <w:rPr>
          <w:szCs w:val="22"/>
          <w:lang w:val="sr-Latn-ME"/>
        </w:rPr>
        <w:t>(vidjeti dio 4.2 za informacije o pedijatrijskoj primjeni).</w:t>
      </w:r>
    </w:p>
    <w:p w14:paraId="3CF9985A" w14:textId="77777777" w:rsidR="00E33ECE" w:rsidRPr="00B74B0F" w:rsidRDefault="00E33ECE">
      <w:pPr>
        <w:spacing w:line="240" w:lineRule="auto"/>
        <w:contextualSpacing/>
        <w:jc w:val="both"/>
        <w:rPr>
          <w:szCs w:val="22"/>
          <w:u w:val="single"/>
          <w:lang w:val="sr-Latn-ME"/>
        </w:rPr>
      </w:pPr>
    </w:p>
    <w:p w14:paraId="4E568A30" w14:textId="41A8C3D2"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5.2</w:t>
      </w:r>
      <w:r w:rsidRPr="00B74B0F">
        <w:rPr>
          <w:b/>
          <w:szCs w:val="22"/>
          <w:lang w:val="sr-Latn-ME"/>
        </w:rPr>
        <w:tab/>
        <w:t>Farmakokinetičk</w:t>
      </w:r>
      <w:r w:rsidR="00B27953" w:rsidRPr="00B74B0F">
        <w:rPr>
          <w:b/>
          <w:szCs w:val="22"/>
          <w:lang w:val="sr-Latn-ME"/>
        </w:rPr>
        <w:t>i podaci</w:t>
      </w:r>
    </w:p>
    <w:p w14:paraId="690036F1" w14:textId="77777777" w:rsidR="00812D16" w:rsidRPr="00B74B0F" w:rsidRDefault="00812D16">
      <w:pPr>
        <w:keepNext/>
        <w:spacing w:line="240" w:lineRule="auto"/>
        <w:contextualSpacing/>
        <w:jc w:val="both"/>
        <w:outlineLvl w:val="0"/>
        <w:rPr>
          <w:szCs w:val="22"/>
          <w:lang w:val="sr-Latn-ME"/>
        </w:rPr>
      </w:pPr>
    </w:p>
    <w:p w14:paraId="48489DC8" w14:textId="50943DBE" w:rsidR="00B74A5A" w:rsidRPr="00B74B0F" w:rsidRDefault="00906CF8">
      <w:pPr>
        <w:tabs>
          <w:tab w:val="clear" w:pos="567"/>
          <w:tab w:val="left" w:pos="0"/>
        </w:tabs>
        <w:spacing w:line="240" w:lineRule="auto"/>
        <w:contextualSpacing/>
        <w:jc w:val="both"/>
        <w:outlineLvl w:val="0"/>
        <w:rPr>
          <w:szCs w:val="22"/>
          <w:lang w:val="sr-Latn-ME"/>
        </w:rPr>
      </w:pPr>
      <w:r w:rsidRPr="00B74B0F">
        <w:rPr>
          <w:szCs w:val="22"/>
          <w:lang w:val="sr-Latn-ME"/>
        </w:rPr>
        <w:t>Plazmatska izloženost</w:t>
      </w:r>
      <w:r w:rsidR="008F6559" w:rsidRPr="00B74B0F">
        <w:rPr>
          <w:szCs w:val="22"/>
          <w:lang w:val="sr-Latn-ME"/>
        </w:rPr>
        <w:t xml:space="preserve"> </w:t>
      </w:r>
      <w:r w:rsidRPr="00B74B0F">
        <w:rPr>
          <w:szCs w:val="22"/>
          <w:lang w:val="sr-Latn-ME"/>
        </w:rPr>
        <w:t>upadacitinib</w:t>
      </w:r>
      <w:r w:rsidR="004A5CA7" w:rsidRPr="00B74B0F">
        <w:rPr>
          <w:szCs w:val="22"/>
          <w:lang w:val="sr-Latn-ME"/>
        </w:rPr>
        <w:t>u</w:t>
      </w:r>
      <w:r w:rsidRPr="00B74B0F">
        <w:rPr>
          <w:szCs w:val="22"/>
          <w:lang w:val="sr-Latn-ME"/>
        </w:rPr>
        <w:t xml:space="preserve"> proporcionalna je dozi unutar terapijskog raspona</w:t>
      </w:r>
      <w:r w:rsidR="0091368F" w:rsidRPr="00B74B0F">
        <w:rPr>
          <w:szCs w:val="22"/>
          <w:lang w:val="sr-Latn-ME"/>
        </w:rPr>
        <w:t xml:space="preserve"> doza</w:t>
      </w:r>
      <w:r w:rsidRPr="00B74B0F">
        <w:rPr>
          <w:szCs w:val="22"/>
          <w:lang w:val="sr-Latn-ME"/>
        </w:rPr>
        <w:t>. Plazmatske koncentracije postižu stanje dinamičke ravno</w:t>
      </w:r>
      <w:r w:rsidR="0091368F" w:rsidRPr="00B74B0F">
        <w:rPr>
          <w:szCs w:val="22"/>
          <w:lang w:val="sr-Latn-ME"/>
        </w:rPr>
        <w:t>teže u</w:t>
      </w:r>
      <w:r w:rsidR="004B1A9B" w:rsidRPr="00B74B0F">
        <w:rPr>
          <w:szCs w:val="22"/>
          <w:lang w:val="sr-Latn-ME"/>
        </w:rPr>
        <w:t xml:space="preserve"> toku</w:t>
      </w:r>
      <w:r w:rsidR="0091368F" w:rsidRPr="00B74B0F">
        <w:rPr>
          <w:szCs w:val="22"/>
          <w:lang w:val="sr-Latn-ME"/>
        </w:rPr>
        <w:t xml:space="preserve"> 4 dana, uz minimalnu akumulaciju</w:t>
      </w:r>
      <w:r w:rsidRPr="00B74B0F">
        <w:rPr>
          <w:szCs w:val="22"/>
          <w:lang w:val="sr-Latn-ME"/>
        </w:rPr>
        <w:t xml:space="preserve"> lijeka nakon </w:t>
      </w:r>
      <w:r w:rsidR="0091368F" w:rsidRPr="00B74B0F">
        <w:rPr>
          <w:szCs w:val="22"/>
          <w:lang w:val="sr-Latn-ME"/>
        </w:rPr>
        <w:t xml:space="preserve">višestruke </w:t>
      </w:r>
      <w:r w:rsidRPr="00B74B0F">
        <w:rPr>
          <w:szCs w:val="22"/>
          <w:lang w:val="sr-Latn-ME"/>
        </w:rPr>
        <w:t>primjene doza jedanput na dan.</w:t>
      </w:r>
    </w:p>
    <w:p w14:paraId="5288283E" w14:textId="77777777" w:rsidR="001627A0" w:rsidRPr="00B74B0F" w:rsidRDefault="001627A0">
      <w:pPr>
        <w:tabs>
          <w:tab w:val="clear" w:pos="567"/>
          <w:tab w:val="left" w:pos="0"/>
        </w:tabs>
        <w:spacing w:line="240" w:lineRule="auto"/>
        <w:contextualSpacing/>
        <w:jc w:val="both"/>
        <w:outlineLvl w:val="0"/>
        <w:rPr>
          <w:szCs w:val="22"/>
          <w:lang w:val="sr-Latn-ME"/>
        </w:rPr>
      </w:pPr>
    </w:p>
    <w:p w14:paraId="55870025" w14:textId="07148B58" w:rsidR="00DF56E6" w:rsidRPr="00B74B0F" w:rsidRDefault="004A5CA7">
      <w:pPr>
        <w:keepNext/>
        <w:spacing w:line="240" w:lineRule="auto"/>
        <w:contextualSpacing/>
        <w:jc w:val="both"/>
        <w:outlineLvl w:val="0"/>
        <w:rPr>
          <w:i/>
          <w:szCs w:val="22"/>
          <w:lang w:val="sr-Latn-ME"/>
        </w:rPr>
      </w:pPr>
      <w:r w:rsidRPr="00B74B0F">
        <w:rPr>
          <w:i/>
          <w:szCs w:val="22"/>
          <w:lang w:val="sr-Latn-ME"/>
        </w:rPr>
        <w:t>Re</w:t>
      </w:r>
      <w:r w:rsidR="00DF56E6" w:rsidRPr="00B74B0F">
        <w:rPr>
          <w:i/>
          <w:szCs w:val="22"/>
          <w:lang w:val="sr-Latn-ME"/>
        </w:rPr>
        <w:t>sorpcija</w:t>
      </w:r>
    </w:p>
    <w:p w14:paraId="371D5D44" w14:textId="77777777" w:rsidR="00C17544" w:rsidRPr="00B74B0F" w:rsidRDefault="00C17544">
      <w:pPr>
        <w:keepNext/>
        <w:spacing w:line="240" w:lineRule="auto"/>
        <w:contextualSpacing/>
        <w:jc w:val="both"/>
        <w:outlineLvl w:val="0"/>
        <w:rPr>
          <w:i/>
          <w:szCs w:val="22"/>
          <w:lang w:val="sr-Latn-ME"/>
        </w:rPr>
      </w:pPr>
    </w:p>
    <w:p w14:paraId="7C8FBAAA" w14:textId="62118A79" w:rsidR="00DF56E6" w:rsidRPr="00B74B0F" w:rsidRDefault="00DF56E6">
      <w:pPr>
        <w:spacing w:line="240" w:lineRule="auto"/>
        <w:contextualSpacing/>
        <w:jc w:val="both"/>
        <w:outlineLvl w:val="0"/>
        <w:rPr>
          <w:szCs w:val="22"/>
          <w:lang w:val="sr-Latn-ME"/>
        </w:rPr>
      </w:pPr>
      <w:r w:rsidRPr="00B74B0F">
        <w:rPr>
          <w:szCs w:val="22"/>
          <w:lang w:val="sr-Latn-ME"/>
        </w:rPr>
        <w:t>Nakon peroralne primjene formulacije s</w:t>
      </w:r>
      <w:r w:rsidR="004A5CA7" w:rsidRPr="00B74B0F">
        <w:rPr>
          <w:szCs w:val="22"/>
          <w:lang w:val="sr-Latn-ME"/>
        </w:rPr>
        <w:t>a</w:t>
      </w:r>
      <w:r w:rsidRPr="00B74B0F">
        <w:rPr>
          <w:szCs w:val="22"/>
          <w:lang w:val="sr-Latn-ME"/>
        </w:rPr>
        <w:t xml:space="preserve"> produ</w:t>
      </w:r>
      <w:r w:rsidR="008F6559" w:rsidRPr="00B74B0F">
        <w:rPr>
          <w:szCs w:val="22"/>
          <w:lang w:val="sr-Latn-ME"/>
        </w:rPr>
        <w:t>ž</w:t>
      </w:r>
      <w:r w:rsidRPr="00B74B0F">
        <w:rPr>
          <w:szCs w:val="22"/>
          <w:lang w:val="sr-Latn-ME"/>
        </w:rPr>
        <w:t>enim oslobađanjem</w:t>
      </w:r>
      <w:r w:rsidR="008F6559" w:rsidRPr="00B74B0F">
        <w:rPr>
          <w:szCs w:val="22"/>
          <w:lang w:val="sr-Latn-ME"/>
        </w:rPr>
        <w:t xml:space="preserve"> </w:t>
      </w:r>
      <w:r w:rsidRPr="00B74B0F">
        <w:rPr>
          <w:szCs w:val="22"/>
          <w:lang w:val="sr-Latn-ME"/>
        </w:rPr>
        <w:t xml:space="preserve">upadacitinib se </w:t>
      </w:r>
      <w:r w:rsidR="004A5CA7" w:rsidRPr="00B74B0F">
        <w:rPr>
          <w:szCs w:val="22"/>
          <w:lang w:val="sr-Latn-ME"/>
        </w:rPr>
        <w:t>resorbuje</w:t>
      </w:r>
      <w:r w:rsidRPr="00B74B0F">
        <w:rPr>
          <w:szCs w:val="22"/>
          <w:lang w:val="sr-Latn-ME"/>
        </w:rPr>
        <w:t xml:space="preserve"> uz medijan</w:t>
      </w:r>
      <w:r w:rsidR="004A5CA7" w:rsidRPr="00B74B0F">
        <w:rPr>
          <w:szCs w:val="22"/>
          <w:lang w:val="sr-Latn-ME"/>
        </w:rPr>
        <w:t>u</w:t>
      </w:r>
      <w:r w:rsidRPr="00B74B0F">
        <w:rPr>
          <w:szCs w:val="22"/>
          <w:lang w:val="sr-Latn-ME"/>
        </w:rPr>
        <w:t xml:space="preserve"> T</w:t>
      </w:r>
      <w:r w:rsidRPr="00B74B0F">
        <w:rPr>
          <w:szCs w:val="22"/>
          <w:vertAlign w:val="subscript"/>
          <w:lang w:val="sr-Latn-ME"/>
        </w:rPr>
        <w:t>max</w:t>
      </w:r>
      <w:r w:rsidRPr="00B74B0F">
        <w:rPr>
          <w:szCs w:val="22"/>
          <w:lang w:val="sr-Latn-ME"/>
        </w:rPr>
        <w:t xml:space="preserve"> 2 </w:t>
      </w:r>
      <w:r w:rsidRPr="00B74B0F">
        <w:rPr>
          <w:szCs w:val="22"/>
          <w:lang w:val="sr-Latn-ME"/>
        </w:rPr>
        <w:noBreakHyphen/>
        <w:t> 4 sata. Primjena</w:t>
      </w:r>
      <w:r w:rsidR="008F6559" w:rsidRPr="00B74B0F">
        <w:rPr>
          <w:szCs w:val="22"/>
          <w:lang w:val="sr-Latn-ME"/>
        </w:rPr>
        <w:t xml:space="preserve"> </w:t>
      </w:r>
      <w:r w:rsidRPr="00B74B0F">
        <w:rPr>
          <w:szCs w:val="22"/>
          <w:lang w:val="sr-Latn-ME"/>
        </w:rPr>
        <w:t>upadacitiniba uz obrok s</w:t>
      </w:r>
      <w:r w:rsidR="004A5CA7" w:rsidRPr="00B74B0F">
        <w:rPr>
          <w:szCs w:val="22"/>
          <w:lang w:val="sr-Latn-ME"/>
        </w:rPr>
        <w:t>a</w:t>
      </w:r>
      <w:r w:rsidRPr="00B74B0F">
        <w:rPr>
          <w:szCs w:val="22"/>
          <w:lang w:val="sr-Latn-ME"/>
        </w:rPr>
        <w:t xml:space="preserve"> visokim </w:t>
      </w:r>
      <w:r w:rsidR="001627A0" w:rsidRPr="00B74B0F">
        <w:rPr>
          <w:szCs w:val="22"/>
          <w:lang w:val="sr-Latn-ME"/>
        </w:rPr>
        <w:t xml:space="preserve">sadržajem </w:t>
      </w:r>
      <w:r w:rsidRPr="00B74B0F">
        <w:rPr>
          <w:szCs w:val="22"/>
          <w:lang w:val="sr-Latn-ME"/>
        </w:rPr>
        <w:t>mas</w:t>
      </w:r>
      <w:r w:rsidR="001627A0" w:rsidRPr="00B74B0F">
        <w:rPr>
          <w:szCs w:val="22"/>
          <w:lang w:val="sr-Latn-ME"/>
        </w:rPr>
        <w:t xml:space="preserve">ti </w:t>
      </w:r>
      <w:r w:rsidRPr="00B74B0F">
        <w:rPr>
          <w:szCs w:val="22"/>
          <w:lang w:val="sr-Latn-ME"/>
        </w:rPr>
        <w:t xml:space="preserve">nije imala klinički značajnog </w:t>
      </w:r>
      <w:r w:rsidR="008F6559" w:rsidRPr="00B74B0F">
        <w:rPr>
          <w:szCs w:val="22"/>
          <w:lang w:val="sr-Latn-ME"/>
        </w:rPr>
        <w:t>efekta</w:t>
      </w:r>
      <w:r w:rsidRPr="00B74B0F">
        <w:rPr>
          <w:szCs w:val="22"/>
          <w:lang w:val="sr-Latn-ME"/>
        </w:rPr>
        <w:t xml:space="preserve"> </w:t>
      </w:r>
      <w:r w:rsidR="0091368F" w:rsidRPr="00B74B0F">
        <w:rPr>
          <w:szCs w:val="22"/>
          <w:lang w:val="sr-Latn-ME"/>
        </w:rPr>
        <w:t>n</w:t>
      </w:r>
      <w:r w:rsidRPr="00B74B0F">
        <w:rPr>
          <w:szCs w:val="22"/>
          <w:lang w:val="sr-Latn-ME"/>
        </w:rPr>
        <w:t xml:space="preserve">a izloženost upadacitinibu (porast vrijednosti </w:t>
      </w:r>
      <w:r w:rsidR="004A5CA7" w:rsidRPr="00B74B0F">
        <w:rPr>
          <w:szCs w:val="22"/>
          <w:lang w:val="sr-Latn-ME"/>
        </w:rPr>
        <w:t>PIK</w:t>
      </w:r>
      <w:r w:rsidRPr="00B74B0F">
        <w:rPr>
          <w:szCs w:val="22"/>
          <w:lang w:val="sr-Latn-ME"/>
        </w:rPr>
        <w:noBreakHyphen/>
        <w:t>a za 29%, a C</w:t>
      </w:r>
      <w:r w:rsidRPr="00B74B0F">
        <w:rPr>
          <w:szCs w:val="22"/>
          <w:vertAlign w:val="subscript"/>
          <w:lang w:val="sr-Latn-ME"/>
        </w:rPr>
        <w:t>max</w:t>
      </w:r>
      <w:r w:rsidRPr="00B74B0F">
        <w:rPr>
          <w:szCs w:val="22"/>
          <w:lang w:val="sr-Latn-ME"/>
        </w:rPr>
        <w:t xml:space="preserve"> za 39</w:t>
      </w:r>
      <w:r w:rsidR="001627A0" w:rsidRPr="00B74B0F">
        <w:rPr>
          <w:szCs w:val="22"/>
          <w:lang w:val="sr-Latn-ME"/>
        </w:rPr>
        <w:t>-60</w:t>
      </w:r>
      <w:r w:rsidRPr="00B74B0F">
        <w:rPr>
          <w:szCs w:val="22"/>
          <w:lang w:val="sr-Latn-ME"/>
        </w:rPr>
        <w:t>%). U kliničkim ispitivanjima</w:t>
      </w:r>
      <w:r w:rsidR="008F6559" w:rsidRPr="00B74B0F">
        <w:rPr>
          <w:szCs w:val="22"/>
          <w:lang w:val="sr-Latn-ME"/>
        </w:rPr>
        <w:t xml:space="preserve"> </w:t>
      </w:r>
      <w:r w:rsidRPr="00B74B0F">
        <w:rPr>
          <w:szCs w:val="22"/>
          <w:lang w:val="sr-Latn-ME"/>
        </w:rPr>
        <w:t xml:space="preserve">upadacitinib </w:t>
      </w:r>
      <w:r w:rsidR="00B10681" w:rsidRPr="00B74B0F">
        <w:rPr>
          <w:szCs w:val="22"/>
          <w:lang w:val="sr-Latn-ME"/>
        </w:rPr>
        <w:t xml:space="preserve">se </w:t>
      </w:r>
      <w:r w:rsidRPr="00B74B0F">
        <w:rPr>
          <w:szCs w:val="22"/>
          <w:lang w:val="sr-Latn-ME"/>
        </w:rPr>
        <w:t>primjenjivao ne</w:t>
      </w:r>
      <w:r w:rsidR="00B10681" w:rsidRPr="00B74B0F">
        <w:rPr>
          <w:szCs w:val="22"/>
          <w:lang w:val="sr-Latn-ME"/>
        </w:rPr>
        <w:t>za</w:t>
      </w:r>
      <w:r w:rsidRPr="00B74B0F">
        <w:rPr>
          <w:szCs w:val="22"/>
          <w:lang w:val="sr-Latn-ME"/>
        </w:rPr>
        <w:t>visno o</w:t>
      </w:r>
      <w:r w:rsidR="00B10681" w:rsidRPr="00B74B0F">
        <w:rPr>
          <w:szCs w:val="22"/>
          <w:lang w:val="sr-Latn-ME"/>
        </w:rPr>
        <w:t>d</w:t>
      </w:r>
      <w:r w:rsidRPr="00B74B0F">
        <w:rPr>
          <w:szCs w:val="22"/>
          <w:lang w:val="sr-Latn-ME"/>
        </w:rPr>
        <w:t xml:space="preserve"> obro</w:t>
      </w:r>
      <w:r w:rsidR="00B10681" w:rsidRPr="00B74B0F">
        <w:rPr>
          <w:szCs w:val="22"/>
          <w:lang w:val="sr-Latn-ME"/>
        </w:rPr>
        <w:t>ka</w:t>
      </w:r>
      <w:r w:rsidRPr="00B74B0F">
        <w:rPr>
          <w:szCs w:val="22"/>
          <w:lang w:val="sr-Latn-ME"/>
        </w:rPr>
        <w:t xml:space="preserve"> (vidjeti dio 4.2). </w:t>
      </w:r>
      <w:r w:rsidRPr="00B74B0F">
        <w:rPr>
          <w:i/>
          <w:iCs/>
          <w:szCs w:val="22"/>
          <w:lang w:val="sr-Latn-ME"/>
        </w:rPr>
        <w:t>In vitro</w:t>
      </w:r>
      <w:r w:rsidRPr="00B74B0F">
        <w:rPr>
          <w:szCs w:val="22"/>
          <w:lang w:val="sr-Latn-ME"/>
        </w:rPr>
        <w:t xml:space="preserve"> je</w:t>
      </w:r>
      <w:r w:rsidR="008F6559" w:rsidRPr="00B74B0F">
        <w:rPr>
          <w:szCs w:val="22"/>
          <w:lang w:val="sr-Latn-ME"/>
        </w:rPr>
        <w:t xml:space="preserve"> </w:t>
      </w:r>
      <w:r w:rsidRPr="00B74B0F">
        <w:rPr>
          <w:szCs w:val="22"/>
          <w:lang w:val="sr-Latn-ME"/>
        </w:rPr>
        <w:t>upadacitinib supst</w:t>
      </w:r>
      <w:r w:rsidR="00DF7157" w:rsidRPr="00B74B0F">
        <w:rPr>
          <w:szCs w:val="22"/>
          <w:lang w:val="sr-Latn-ME"/>
        </w:rPr>
        <w:t>rat efluksnih prenosnika P</w:t>
      </w:r>
      <w:r w:rsidR="00DF7157" w:rsidRPr="00B74B0F">
        <w:rPr>
          <w:szCs w:val="22"/>
          <w:lang w:val="sr-Latn-ME"/>
        </w:rPr>
        <w:noBreakHyphen/>
        <w:t>gli</w:t>
      </w:r>
      <w:r w:rsidRPr="00B74B0F">
        <w:rPr>
          <w:szCs w:val="22"/>
          <w:lang w:val="sr-Latn-ME"/>
        </w:rPr>
        <w:t>koproteina (P</w:t>
      </w:r>
      <w:r w:rsidRPr="00B74B0F">
        <w:rPr>
          <w:szCs w:val="22"/>
          <w:lang w:val="sr-Latn-ME"/>
        </w:rPr>
        <w:noBreakHyphen/>
        <w:t xml:space="preserve">gp) i proteina koji uzrokuje rezistenciju </w:t>
      </w:r>
      <w:r w:rsidR="00092E28" w:rsidRPr="00B74B0F">
        <w:rPr>
          <w:szCs w:val="22"/>
          <w:lang w:val="sr-Latn-ME"/>
        </w:rPr>
        <w:t>karcinom</w:t>
      </w:r>
      <w:r w:rsidRPr="00B74B0F">
        <w:rPr>
          <w:szCs w:val="22"/>
          <w:lang w:val="sr-Latn-ME"/>
        </w:rPr>
        <w:t xml:space="preserve">a dojke (engl. </w:t>
      </w:r>
      <w:r w:rsidRPr="00B74B0F">
        <w:rPr>
          <w:i/>
          <w:iCs/>
          <w:szCs w:val="22"/>
          <w:lang w:val="sr-Latn-ME"/>
        </w:rPr>
        <w:t>breast cancer resistance protein</w:t>
      </w:r>
      <w:r w:rsidRPr="00B74B0F">
        <w:rPr>
          <w:szCs w:val="22"/>
          <w:lang w:val="sr-Latn-ME"/>
        </w:rPr>
        <w:t>, BCRP).</w:t>
      </w:r>
    </w:p>
    <w:p w14:paraId="30F8F81B" w14:textId="77777777" w:rsidR="00DF56E6" w:rsidRPr="00B74B0F" w:rsidRDefault="00DF56E6">
      <w:pPr>
        <w:spacing w:line="240" w:lineRule="auto"/>
        <w:contextualSpacing/>
        <w:jc w:val="both"/>
        <w:outlineLvl w:val="0"/>
        <w:rPr>
          <w:szCs w:val="22"/>
          <w:lang w:val="sr-Latn-ME"/>
        </w:rPr>
      </w:pPr>
    </w:p>
    <w:p w14:paraId="5A52F075" w14:textId="77777777" w:rsidR="00DF56E6" w:rsidRPr="00B74B0F" w:rsidRDefault="00DF56E6">
      <w:pPr>
        <w:keepNext/>
        <w:spacing w:line="240" w:lineRule="auto"/>
        <w:contextualSpacing/>
        <w:jc w:val="both"/>
        <w:outlineLvl w:val="0"/>
        <w:rPr>
          <w:i/>
          <w:szCs w:val="22"/>
          <w:lang w:val="sr-Latn-ME"/>
        </w:rPr>
      </w:pPr>
      <w:r w:rsidRPr="00B74B0F">
        <w:rPr>
          <w:i/>
          <w:szCs w:val="22"/>
          <w:lang w:val="sr-Latn-ME"/>
        </w:rPr>
        <w:t>Distribucija</w:t>
      </w:r>
    </w:p>
    <w:p w14:paraId="3ADFB1BD" w14:textId="77777777" w:rsidR="00BB745C" w:rsidRPr="00B74B0F" w:rsidRDefault="00BB745C">
      <w:pPr>
        <w:keepNext/>
        <w:spacing w:line="240" w:lineRule="auto"/>
        <w:contextualSpacing/>
        <w:jc w:val="both"/>
        <w:outlineLvl w:val="0"/>
        <w:rPr>
          <w:i/>
          <w:szCs w:val="22"/>
          <w:lang w:val="sr-Latn-ME"/>
        </w:rPr>
      </w:pPr>
    </w:p>
    <w:p w14:paraId="32B27574" w14:textId="31BFAEB8" w:rsidR="00DF56E6" w:rsidRPr="00B74B0F" w:rsidRDefault="00DF56E6">
      <w:pPr>
        <w:spacing w:line="240" w:lineRule="auto"/>
        <w:contextualSpacing/>
        <w:jc w:val="both"/>
        <w:outlineLvl w:val="0"/>
        <w:rPr>
          <w:szCs w:val="22"/>
          <w:lang w:val="sr-Latn-ME"/>
        </w:rPr>
      </w:pPr>
      <w:r w:rsidRPr="00B74B0F">
        <w:rPr>
          <w:szCs w:val="22"/>
          <w:lang w:val="sr-Latn-ME"/>
        </w:rPr>
        <w:t>Približno 52% upadacitinib</w:t>
      </w:r>
      <w:r w:rsidR="004A5CA7" w:rsidRPr="00B74B0F">
        <w:rPr>
          <w:szCs w:val="22"/>
          <w:lang w:val="sr-Latn-ME"/>
        </w:rPr>
        <w:t>a</w:t>
      </w:r>
      <w:r w:rsidR="008F6559" w:rsidRPr="00B74B0F">
        <w:rPr>
          <w:szCs w:val="22"/>
          <w:lang w:val="sr-Latn-ME"/>
        </w:rPr>
        <w:t xml:space="preserve"> se</w:t>
      </w:r>
      <w:r w:rsidRPr="00B74B0F">
        <w:rPr>
          <w:szCs w:val="22"/>
          <w:lang w:val="sr-Latn-ME"/>
        </w:rPr>
        <w:t xml:space="preserve"> vezuje za proteine u plazmi. </w:t>
      </w:r>
      <w:r w:rsidR="008F6559" w:rsidRPr="00B74B0F">
        <w:rPr>
          <w:szCs w:val="22"/>
          <w:lang w:val="sr-Latn-ME"/>
        </w:rPr>
        <w:t>Lijek u</w:t>
      </w:r>
      <w:r w:rsidRPr="00B74B0F">
        <w:rPr>
          <w:szCs w:val="22"/>
          <w:lang w:val="sr-Latn-ME"/>
        </w:rPr>
        <w:t xml:space="preserve">padacitinib se u sličnoj mjeri vezuje za plazmatske i krvne </w:t>
      </w:r>
      <w:r w:rsidR="008F6559" w:rsidRPr="00B74B0F">
        <w:rPr>
          <w:szCs w:val="22"/>
          <w:lang w:val="sr-Latn-ME"/>
        </w:rPr>
        <w:t>ćelije</w:t>
      </w:r>
      <w:r w:rsidRPr="00B74B0F">
        <w:rPr>
          <w:szCs w:val="22"/>
          <w:lang w:val="sr-Latn-ME"/>
        </w:rPr>
        <w:t>, što pokazuje o</w:t>
      </w:r>
      <w:r w:rsidR="0085291E" w:rsidRPr="00B74B0F">
        <w:rPr>
          <w:szCs w:val="22"/>
          <w:lang w:val="sr-Latn-ME"/>
        </w:rPr>
        <w:t>dnos</w:t>
      </w:r>
      <w:r w:rsidRPr="00B74B0F">
        <w:rPr>
          <w:szCs w:val="22"/>
          <w:lang w:val="sr-Latn-ME"/>
        </w:rPr>
        <w:t xml:space="preserve"> koncentracije lijeka u krvi i plazmi od 1,0.</w:t>
      </w:r>
    </w:p>
    <w:p w14:paraId="0350BC29" w14:textId="77777777" w:rsidR="00DF56E6" w:rsidRPr="00B74B0F" w:rsidRDefault="00DF56E6">
      <w:pPr>
        <w:spacing w:line="240" w:lineRule="auto"/>
        <w:contextualSpacing/>
        <w:jc w:val="both"/>
        <w:outlineLvl w:val="0"/>
        <w:rPr>
          <w:szCs w:val="22"/>
          <w:lang w:val="sr-Latn-ME"/>
        </w:rPr>
      </w:pPr>
    </w:p>
    <w:p w14:paraId="4B4F1C47" w14:textId="77777777" w:rsidR="00DF56E6" w:rsidRPr="00B74B0F" w:rsidRDefault="00DF56E6">
      <w:pPr>
        <w:keepNext/>
        <w:spacing w:line="240" w:lineRule="auto"/>
        <w:contextualSpacing/>
        <w:jc w:val="both"/>
        <w:outlineLvl w:val="0"/>
        <w:rPr>
          <w:i/>
          <w:szCs w:val="22"/>
          <w:lang w:val="sr-Latn-ME"/>
        </w:rPr>
      </w:pPr>
      <w:r w:rsidRPr="00B74B0F">
        <w:rPr>
          <w:i/>
          <w:szCs w:val="22"/>
          <w:lang w:val="sr-Latn-ME"/>
        </w:rPr>
        <w:t>Metabolizam</w:t>
      </w:r>
    </w:p>
    <w:p w14:paraId="34FCB027" w14:textId="77777777" w:rsidR="00BB745C" w:rsidRPr="00B74B0F" w:rsidRDefault="00BB745C">
      <w:pPr>
        <w:keepNext/>
        <w:spacing w:line="240" w:lineRule="auto"/>
        <w:contextualSpacing/>
        <w:jc w:val="both"/>
        <w:outlineLvl w:val="0"/>
        <w:rPr>
          <w:i/>
          <w:szCs w:val="22"/>
          <w:lang w:val="sr-Latn-ME"/>
        </w:rPr>
      </w:pPr>
    </w:p>
    <w:p w14:paraId="5CFEA946" w14:textId="78869F12" w:rsidR="00DF56E6" w:rsidRPr="00B74B0F" w:rsidRDefault="00DF56E6">
      <w:pPr>
        <w:spacing w:line="240" w:lineRule="auto"/>
        <w:contextualSpacing/>
        <w:jc w:val="both"/>
        <w:outlineLvl w:val="0"/>
        <w:rPr>
          <w:szCs w:val="22"/>
          <w:lang w:val="sr-Latn-ME"/>
        </w:rPr>
      </w:pPr>
      <w:r w:rsidRPr="00B74B0F">
        <w:rPr>
          <w:szCs w:val="22"/>
          <w:lang w:val="sr-Latn-ME"/>
        </w:rPr>
        <w:t>U metabolizmu</w:t>
      </w:r>
      <w:r w:rsidR="008F6559" w:rsidRPr="00B74B0F">
        <w:rPr>
          <w:szCs w:val="22"/>
          <w:lang w:val="sr-Latn-ME"/>
        </w:rPr>
        <w:t xml:space="preserve"> </w:t>
      </w:r>
      <w:r w:rsidRPr="00B74B0F">
        <w:rPr>
          <w:szCs w:val="22"/>
          <w:lang w:val="sr-Latn-ME"/>
        </w:rPr>
        <w:t>upadacitinib</w:t>
      </w:r>
      <w:r w:rsidR="004A5CA7" w:rsidRPr="00B74B0F">
        <w:rPr>
          <w:szCs w:val="22"/>
          <w:lang w:val="sr-Latn-ME"/>
        </w:rPr>
        <w:t>a</w:t>
      </w:r>
      <w:r w:rsidRPr="00B74B0F">
        <w:rPr>
          <w:szCs w:val="22"/>
          <w:lang w:val="sr-Latn-ME"/>
        </w:rPr>
        <w:t xml:space="preserve"> posreduje CYP3A4, uz moguć manji doprinos CYP2D6. Farmakološka aktivnost</w:t>
      </w:r>
      <w:r w:rsidR="008F6559" w:rsidRPr="00B74B0F">
        <w:rPr>
          <w:szCs w:val="22"/>
          <w:lang w:val="sr-Latn-ME"/>
        </w:rPr>
        <w:t xml:space="preserve"> </w:t>
      </w:r>
      <w:r w:rsidRPr="00B74B0F">
        <w:rPr>
          <w:szCs w:val="22"/>
          <w:lang w:val="sr-Latn-ME"/>
        </w:rPr>
        <w:t>upadacitinib</w:t>
      </w:r>
      <w:r w:rsidR="004A5CA7" w:rsidRPr="00B74B0F">
        <w:rPr>
          <w:szCs w:val="22"/>
          <w:lang w:val="sr-Latn-ME"/>
        </w:rPr>
        <w:t>a</w:t>
      </w:r>
      <w:r w:rsidRPr="00B74B0F">
        <w:rPr>
          <w:szCs w:val="22"/>
          <w:lang w:val="sr-Latn-ME"/>
        </w:rPr>
        <w:t xml:space="preserve"> pripisuje se </w:t>
      </w:r>
      <w:r w:rsidR="004B1A9B" w:rsidRPr="00B74B0F">
        <w:rPr>
          <w:szCs w:val="22"/>
          <w:lang w:val="sr-Latn-ME"/>
        </w:rPr>
        <w:t>polaznom</w:t>
      </w:r>
      <w:r w:rsidRPr="00B74B0F">
        <w:rPr>
          <w:szCs w:val="22"/>
          <w:lang w:val="sr-Latn-ME"/>
        </w:rPr>
        <w:t xml:space="preserve"> molekul</w:t>
      </w:r>
      <w:r w:rsidR="004A5CA7" w:rsidRPr="00B74B0F">
        <w:rPr>
          <w:szCs w:val="22"/>
          <w:lang w:val="sr-Latn-ME"/>
        </w:rPr>
        <w:t>u</w:t>
      </w:r>
      <w:r w:rsidRPr="00B74B0F">
        <w:rPr>
          <w:szCs w:val="22"/>
          <w:lang w:val="sr-Latn-ME"/>
        </w:rPr>
        <w:t>. U ispitivanju radioaktivno označenog upadacitinib</w:t>
      </w:r>
      <w:r w:rsidR="004A5CA7" w:rsidRPr="00B74B0F">
        <w:rPr>
          <w:szCs w:val="22"/>
          <w:lang w:val="sr-Latn-ME"/>
        </w:rPr>
        <w:t>a</w:t>
      </w:r>
      <w:r w:rsidRPr="00B74B0F">
        <w:rPr>
          <w:szCs w:val="22"/>
          <w:lang w:val="sr-Latn-ME"/>
        </w:rPr>
        <w:t xml:space="preserve"> </w:t>
      </w:r>
      <w:r w:rsidR="008F6559" w:rsidRPr="00B74B0F">
        <w:rPr>
          <w:szCs w:val="22"/>
          <w:lang w:val="sr-Latn-ME"/>
        </w:rPr>
        <w:t>kod</w:t>
      </w:r>
      <w:r w:rsidRPr="00B74B0F">
        <w:rPr>
          <w:szCs w:val="22"/>
          <w:lang w:val="sr-Latn-ME"/>
        </w:rPr>
        <w:t xml:space="preserve"> ljudi</w:t>
      </w:r>
      <w:r w:rsidR="008F6559" w:rsidRPr="00B74B0F">
        <w:rPr>
          <w:szCs w:val="22"/>
          <w:lang w:val="sr-Latn-ME"/>
        </w:rPr>
        <w:t>,</w:t>
      </w:r>
      <w:r w:rsidRPr="00B74B0F">
        <w:rPr>
          <w:szCs w:val="22"/>
          <w:lang w:val="sr-Latn-ME"/>
        </w:rPr>
        <w:t xml:space="preserve"> nepromijenjen lijek</w:t>
      </w:r>
      <w:r w:rsidR="008F6559" w:rsidRPr="00B74B0F">
        <w:rPr>
          <w:szCs w:val="22"/>
          <w:lang w:val="sr-Latn-ME"/>
        </w:rPr>
        <w:t xml:space="preserve"> je</w:t>
      </w:r>
      <w:r w:rsidRPr="00B74B0F">
        <w:rPr>
          <w:szCs w:val="22"/>
          <w:lang w:val="sr-Latn-ME"/>
        </w:rPr>
        <w:t xml:space="preserve"> činio 79% ukupne radioaktivnosti u plazmi, dok je njegov glavni metabolit (proizvod monooksidacije, nakon koje slijedi glukuronidacija) činio 13% ukupne radioaktivnosti u plazmi. Nije utvrđen nijedan aktivni metabolit upadacitinib</w:t>
      </w:r>
      <w:r w:rsidR="004A5CA7" w:rsidRPr="00B74B0F">
        <w:rPr>
          <w:szCs w:val="22"/>
          <w:lang w:val="sr-Latn-ME"/>
        </w:rPr>
        <w:t>a</w:t>
      </w:r>
      <w:r w:rsidRPr="00B74B0F">
        <w:rPr>
          <w:szCs w:val="22"/>
          <w:lang w:val="sr-Latn-ME"/>
        </w:rPr>
        <w:t>.</w:t>
      </w:r>
    </w:p>
    <w:p w14:paraId="30B0CBDB" w14:textId="77777777" w:rsidR="00DF56E6" w:rsidRPr="00B74B0F" w:rsidRDefault="00DF56E6">
      <w:pPr>
        <w:spacing w:line="240" w:lineRule="auto"/>
        <w:contextualSpacing/>
        <w:jc w:val="both"/>
        <w:outlineLvl w:val="0"/>
        <w:rPr>
          <w:szCs w:val="22"/>
          <w:lang w:val="sr-Latn-ME"/>
        </w:rPr>
      </w:pPr>
    </w:p>
    <w:p w14:paraId="098959D8" w14:textId="77777777" w:rsidR="00DF56E6" w:rsidRPr="00B74B0F" w:rsidRDefault="00DF56E6">
      <w:pPr>
        <w:keepNext/>
        <w:spacing w:line="240" w:lineRule="auto"/>
        <w:contextualSpacing/>
        <w:jc w:val="both"/>
        <w:outlineLvl w:val="0"/>
        <w:rPr>
          <w:i/>
          <w:szCs w:val="22"/>
          <w:lang w:val="sr-Latn-ME"/>
        </w:rPr>
      </w:pPr>
      <w:r w:rsidRPr="00B74B0F">
        <w:rPr>
          <w:i/>
          <w:szCs w:val="22"/>
          <w:lang w:val="sr-Latn-ME"/>
        </w:rPr>
        <w:t>Eliminacija</w:t>
      </w:r>
    </w:p>
    <w:p w14:paraId="7548594E" w14:textId="77777777" w:rsidR="00BB745C" w:rsidRPr="00B74B0F" w:rsidRDefault="00BB745C">
      <w:pPr>
        <w:keepNext/>
        <w:spacing w:line="240" w:lineRule="auto"/>
        <w:contextualSpacing/>
        <w:jc w:val="both"/>
        <w:outlineLvl w:val="0"/>
        <w:rPr>
          <w:i/>
          <w:szCs w:val="22"/>
          <w:lang w:val="sr-Latn-ME"/>
        </w:rPr>
      </w:pPr>
    </w:p>
    <w:p w14:paraId="7396FB1F" w14:textId="7AFE5A9D" w:rsidR="00DF56E6" w:rsidRPr="00B74B0F" w:rsidRDefault="00DF56E6">
      <w:pPr>
        <w:spacing w:line="240" w:lineRule="auto"/>
        <w:contextualSpacing/>
        <w:jc w:val="both"/>
        <w:outlineLvl w:val="0"/>
        <w:rPr>
          <w:szCs w:val="22"/>
          <w:lang w:val="sr-Latn-ME"/>
        </w:rPr>
      </w:pPr>
      <w:r w:rsidRPr="00B74B0F">
        <w:rPr>
          <w:szCs w:val="22"/>
          <w:lang w:val="sr-Latn-ME"/>
        </w:rPr>
        <w:t xml:space="preserve">Nakon primjene jedne doze </w:t>
      </w:r>
      <w:r w:rsidR="008F6559" w:rsidRPr="00B74B0F">
        <w:rPr>
          <w:szCs w:val="22"/>
          <w:lang w:val="sr-Latn-ME"/>
        </w:rPr>
        <w:t>rastvora</w:t>
      </w:r>
      <w:r w:rsidRPr="00B74B0F">
        <w:rPr>
          <w:szCs w:val="22"/>
          <w:lang w:val="sr-Latn-ME"/>
        </w:rPr>
        <w:t xml:space="preserve"> [</w:t>
      </w:r>
      <w:r w:rsidRPr="00B74B0F">
        <w:rPr>
          <w:szCs w:val="22"/>
          <w:vertAlign w:val="superscript"/>
          <w:lang w:val="sr-Latn-ME"/>
        </w:rPr>
        <w:t>14</w:t>
      </w:r>
      <w:r w:rsidRPr="00B74B0F">
        <w:rPr>
          <w:szCs w:val="22"/>
          <w:lang w:val="sr-Latn-ME"/>
        </w:rPr>
        <w:t>C]</w:t>
      </w:r>
      <w:r w:rsidRPr="00B74B0F">
        <w:rPr>
          <w:szCs w:val="22"/>
          <w:lang w:val="sr-Latn-ME"/>
        </w:rPr>
        <w:noBreakHyphen/>
        <w:t>upadacitiniba s</w:t>
      </w:r>
      <w:r w:rsidR="005D165F" w:rsidRPr="00B74B0F">
        <w:rPr>
          <w:szCs w:val="22"/>
          <w:lang w:val="sr-Latn-ME"/>
        </w:rPr>
        <w:t>a</w:t>
      </w:r>
      <w:r w:rsidRPr="00B74B0F">
        <w:rPr>
          <w:szCs w:val="22"/>
          <w:lang w:val="sr-Latn-ME"/>
        </w:rPr>
        <w:t xml:space="preserve"> trenutnim oslobađanjem, lijek se </w:t>
      </w:r>
      <w:r w:rsidR="0091368F" w:rsidRPr="00B74B0F">
        <w:rPr>
          <w:szCs w:val="22"/>
          <w:lang w:val="sr-Latn-ME"/>
        </w:rPr>
        <w:t>pretežno</w:t>
      </w:r>
      <w:r w:rsidRPr="00B74B0F">
        <w:rPr>
          <w:szCs w:val="22"/>
          <w:lang w:val="sr-Latn-ME"/>
        </w:rPr>
        <w:t xml:space="preserve"> izlučio u obliku neizmijenjen</w:t>
      </w:r>
      <w:r w:rsidR="004A5CA7" w:rsidRPr="00B74B0F">
        <w:rPr>
          <w:szCs w:val="22"/>
          <w:lang w:val="sr-Latn-ME"/>
        </w:rPr>
        <w:t>e</w:t>
      </w:r>
      <w:r w:rsidRPr="00B74B0F">
        <w:rPr>
          <w:szCs w:val="22"/>
          <w:lang w:val="sr-Latn-ME"/>
        </w:rPr>
        <w:t xml:space="preserve"> </w:t>
      </w:r>
      <w:r w:rsidR="008F6559" w:rsidRPr="00B74B0F">
        <w:rPr>
          <w:szCs w:val="22"/>
          <w:lang w:val="sr-Latn-ME"/>
        </w:rPr>
        <w:t>krajnj</w:t>
      </w:r>
      <w:r w:rsidR="004A5CA7" w:rsidRPr="00B74B0F">
        <w:rPr>
          <w:szCs w:val="22"/>
          <w:lang w:val="sr-Latn-ME"/>
        </w:rPr>
        <w:t>e</w:t>
      </w:r>
      <w:r w:rsidRPr="00B74B0F">
        <w:rPr>
          <w:szCs w:val="22"/>
          <w:lang w:val="sr-Latn-ME"/>
        </w:rPr>
        <w:t xml:space="preserve"> </w:t>
      </w:r>
      <w:r w:rsidR="004A5CA7" w:rsidRPr="00B74B0F">
        <w:rPr>
          <w:szCs w:val="22"/>
          <w:lang w:val="sr-Latn-ME"/>
        </w:rPr>
        <w:t xml:space="preserve">supstance </w:t>
      </w:r>
      <w:r w:rsidRPr="00B74B0F">
        <w:rPr>
          <w:szCs w:val="22"/>
          <w:lang w:val="sr-Latn-ME"/>
        </w:rPr>
        <w:t>kroz mokraću (24%) i feces (3</w:t>
      </w:r>
      <w:r w:rsidR="00716E32" w:rsidRPr="00B74B0F">
        <w:rPr>
          <w:szCs w:val="22"/>
          <w:lang w:val="sr-Latn-ME"/>
        </w:rPr>
        <w:t>8</w:t>
      </w:r>
      <w:r w:rsidRPr="00B74B0F">
        <w:rPr>
          <w:szCs w:val="22"/>
          <w:lang w:val="sr-Latn-ME"/>
        </w:rPr>
        <w:t>%). Približno 34% doze upadacitinib</w:t>
      </w:r>
      <w:r w:rsidR="004A5CA7" w:rsidRPr="00B74B0F">
        <w:rPr>
          <w:szCs w:val="22"/>
          <w:lang w:val="sr-Latn-ME"/>
        </w:rPr>
        <w:t>a</w:t>
      </w:r>
      <w:r w:rsidRPr="00B74B0F">
        <w:rPr>
          <w:szCs w:val="22"/>
          <w:lang w:val="sr-Latn-ME"/>
        </w:rPr>
        <w:t xml:space="preserve"> izlučilo se u obliku metabolita. Srednja vrijednost terminalnog poluvremena eliminacije</w:t>
      </w:r>
      <w:r w:rsidR="008F6559" w:rsidRPr="00B74B0F">
        <w:rPr>
          <w:szCs w:val="22"/>
          <w:lang w:val="sr-Latn-ME"/>
        </w:rPr>
        <w:t xml:space="preserve"> </w:t>
      </w:r>
      <w:r w:rsidRPr="00B74B0F">
        <w:rPr>
          <w:szCs w:val="22"/>
          <w:lang w:val="sr-Latn-ME"/>
        </w:rPr>
        <w:t>upadacitinib</w:t>
      </w:r>
      <w:r w:rsidR="004A5CA7" w:rsidRPr="00B74B0F">
        <w:rPr>
          <w:szCs w:val="22"/>
          <w:lang w:val="sr-Latn-ME"/>
        </w:rPr>
        <w:t>a</w:t>
      </w:r>
      <w:r w:rsidRPr="00B74B0F">
        <w:rPr>
          <w:szCs w:val="22"/>
          <w:lang w:val="sr-Latn-ME"/>
        </w:rPr>
        <w:t xml:space="preserve"> kretala se u rasponu od 9 do 14 sati.</w:t>
      </w:r>
    </w:p>
    <w:p w14:paraId="022CC2C9" w14:textId="0ACD8023" w:rsidR="00DF56E6" w:rsidRPr="00B74B0F" w:rsidRDefault="00DF56E6">
      <w:pPr>
        <w:spacing w:line="240" w:lineRule="auto"/>
        <w:contextualSpacing/>
        <w:jc w:val="both"/>
        <w:outlineLvl w:val="0"/>
        <w:rPr>
          <w:szCs w:val="22"/>
          <w:lang w:val="sr-Latn-ME"/>
        </w:rPr>
      </w:pPr>
    </w:p>
    <w:p w14:paraId="08B963F5" w14:textId="0179692F" w:rsidR="00EA3C6D" w:rsidRPr="00B74B0F" w:rsidRDefault="00EA3C6D">
      <w:pPr>
        <w:spacing w:line="240" w:lineRule="auto"/>
        <w:contextualSpacing/>
        <w:jc w:val="both"/>
        <w:outlineLvl w:val="0"/>
        <w:rPr>
          <w:szCs w:val="22"/>
          <w:u w:val="single"/>
          <w:lang w:val="sr-Latn-ME"/>
        </w:rPr>
      </w:pPr>
      <w:r w:rsidRPr="00B74B0F">
        <w:rPr>
          <w:szCs w:val="22"/>
          <w:u w:val="single"/>
          <w:lang w:val="sr-Latn-ME"/>
        </w:rPr>
        <w:t>Posebne populacije</w:t>
      </w:r>
    </w:p>
    <w:p w14:paraId="29C4E7D3" w14:textId="77777777" w:rsidR="00EA3C6D" w:rsidRPr="00B74B0F" w:rsidRDefault="00EA3C6D">
      <w:pPr>
        <w:spacing w:line="240" w:lineRule="auto"/>
        <w:contextualSpacing/>
        <w:jc w:val="both"/>
        <w:outlineLvl w:val="0"/>
        <w:rPr>
          <w:szCs w:val="22"/>
          <w:u w:val="single"/>
          <w:lang w:val="sr-Latn-ME"/>
        </w:rPr>
      </w:pPr>
    </w:p>
    <w:p w14:paraId="0A394980" w14:textId="77777777" w:rsidR="00D94562"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Oštećenje funkcije bubrega</w:t>
      </w:r>
    </w:p>
    <w:p w14:paraId="52C57AFC" w14:textId="77777777" w:rsidR="00D94562" w:rsidRPr="00B74B0F" w:rsidRDefault="00D94562">
      <w:pPr>
        <w:keepNext/>
        <w:autoSpaceDE w:val="0"/>
        <w:autoSpaceDN w:val="0"/>
        <w:adjustRightInd w:val="0"/>
        <w:spacing w:line="240" w:lineRule="auto"/>
        <w:contextualSpacing/>
        <w:jc w:val="both"/>
        <w:rPr>
          <w:szCs w:val="22"/>
          <w:u w:val="single"/>
          <w:lang w:val="sr-Latn-ME"/>
        </w:rPr>
      </w:pPr>
    </w:p>
    <w:p w14:paraId="7D0BEAF4" w14:textId="191178D7" w:rsidR="006C42DC" w:rsidRPr="00B74B0F" w:rsidRDefault="00906CF8" w:rsidP="004B1A9B">
      <w:pPr>
        <w:spacing w:line="240" w:lineRule="auto"/>
        <w:contextualSpacing/>
        <w:jc w:val="both"/>
        <w:rPr>
          <w:szCs w:val="22"/>
          <w:u w:val="single"/>
          <w:lang w:val="sr-Latn-ME"/>
        </w:rPr>
      </w:pPr>
      <w:r w:rsidRPr="00B74B0F">
        <w:rPr>
          <w:szCs w:val="22"/>
          <w:lang w:val="sr-Latn-ME"/>
        </w:rPr>
        <w:t xml:space="preserve">U </w:t>
      </w:r>
      <w:r w:rsidR="00B1656D" w:rsidRPr="00B74B0F">
        <w:rPr>
          <w:szCs w:val="22"/>
          <w:lang w:val="sr-Latn-ME"/>
        </w:rPr>
        <w:t>poređenju</w:t>
      </w:r>
      <w:r w:rsidRPr="00B74B0F">
        <w:rPr>
          <w:szCs w:val="22"/>
          <w:lang w:val="sr-Latn-ME"/>
        </w:rPr>
        <w:t xml:space="preserve"> s</w:t>
      </w:r>
      <w:r w:rsidR="005D165F" w:rsidRPr="00B74B0F">
        <w:rPr>
          <w:szCs w:val="22"/>
          <w:lang w:val="sr-Latn-ME"/>
        </w:rPr>
        <w:t>a</w:t>
      </w:r>
      <w:r w:rsidRPr="00B74B0F">
        <w:rPr>
          <w:szCs w:val="22"/>
          <w:lang w:val="sr-Latn-ME"/>
        </w:rPr>
        <w:t xml:space="preserve"> ispitanicima s</w:t>
      </w:r>
      <w:r w:rsidR="005D165F" w:rsidRPr="00B74B0F">
        <w:rPr>
          <w:szCs w:val="22"/>
          <w:lang w:val="sr-Latn-ME"/>
        </w:rPr>
        <w:t>a</w:t>
      </w:r>
      <w:r w:rsidRPr="00B74B0F">
        <w:rPr>
          <w:szCs w:val="22"/>
          <w:lang w:val="sr-Latn-ME"/>
        </w:rPr>
        <w:t xml:space="preserve"> normalnom bubrežnom funkcijom, </w:t>
      </w:r>
      <w:r w:rsidR="004A5CA7" w:rsidRPr="00B74B0F">
        <w:rPr>
          <w:szCs w:val="22"/>
          <w:lang w:val="sr-Latn-ME"/>
        </w:rPr>
        <w:t>PIK</w:t>
      </w:r>
      <w:r w:rsidRPr="00B74B0F">
        <w:rPr>
          <w:szCs w:val="22"/>
          <w:lang w:val="sr-Latn-ME"/>
        </w:rPr>
        <w:t xml:space="preserve"> upadacitinib</w:t>
      </w:r>
      <w:r w:rsidR="004A4B44" w:rsidRPr="00B74B0F">
        <w:rPr>
          <w:szCs w:val="22"/>
          <w:lang w:val="sr-Latn-ME"/>
        </w:rPr>
        <w:t>a</w:t>
      </w:r>
      <w:r w:rsidRPr="00B74B0F">
        <w:rPr>
          <w:szCs w:val="22"/>
          <w:lang w:val="sr-Latn-ME"/>
        </w:rPr>
        <w:t xml:space="preserve"> bio je 18%, 33%,</w:t>
      </w:r>
      <w:r w:rsidR="004A5CA7" w:rsidRPr="00B74B0F">
        <w:rPr>
          <w:szCs w:val="22"/>
          <w:lang w:val="sr-Latn-ME"/>
        </w:rPr>
        <w:t xml:space="preserve"> </w:t>
      </w:r>
      <w:r w:rsidRPr="00B74B0F">
        <w:rPr>
          <w:szCs w:val="22"/>
          <w:lang w:val="sr-Latn-ME"/>
        </w:rPr>
        <w:t xml:space="preserve">odnosno 44% veći </w:t>
      </w:r>
      <w:r w:rsidR="00B1656D" w:rsidRPr="00B74B0F">
        <w:rPr>
          <w:szCs w:val="22"/>
          <w:lang w:val="sr-Latn-ME"/>
        </w:rPr>
        <w:t>kod</w:t>
      </w:r>
      <w:r w:rsidRPr="00B74B0F">
        <w:rPr>
          <w:szCs w:val="22"/>
          <w:lang w:val="sr-Latn-ME"/>
        </w:rPr>
        <w:t xml:space="preserve"> onih s</w:t>
      </w:r>
      <w:r w:rsidR="005D165F" w:rsidRPr="00B74B0F">
        <w:rPr>
          <w:szCs w:val="22"/>
          <w:lang w:val="sr-Latn-ME"/>
        </w:rPr>
        <w:t>a</w:t>
      </w:r>
      <w:r w:rsidRPr="00B74B0F">
        <w:rPr>
          <w:szCs w:val="22"/>
          <w:lang w:val="sr-Latn-ME"/>
        </w:rPr>
        <w:t xml:space="preserve"> blagim (procijenjena brzina glomerularne filtracije:</w:t>
      </w:r>
      <w:r w:rsidR="004A5CA7" w:rsidRPr="00B74B0F">
        <w:rPr>
          <w:szCs w:val="22"/>
          <w:lang w:val="sr-Latn-ME"/>
        </w:rPr>
        <w:t xml:space="preserve"> </w:t>
      </w:r>
      <w:r w:rsidRPr="00B74B0F">
        <w:rPr>
          <w:szCs w:val="22"/>
          <w:lang w:val="sr-Latn-ME"/>
        </w:rPr>
        <w:t>60 </w:t>
      </w:r>
      <w:r w:rsidRPr="00B74B0F">
        <w:rPr>
          <w:szCs w:val="22"/>
          <w:lang w:val="sr-Latn-ME"/>
        </w:rPr>
        <w:noBreakHyphen/>
        <w:t> 89 ml/min/1,73 m</w:t>
      </w:r>
      <w:r w:rsidRPr="00B74B0F">
        <w:rPr>
          <w:szCs w:val="22"/>
          <w:vertAlign w:val="superscript"/>
          <w:lang w:val="sr-Latn-ME"/>
        </w:rPr>
        <w:t>2</w:t>
      </w:r>
      <w:r w:rsidRPr="00B74B0F">
        <w:rPr>
          <w:szCs w:val="22"/>
          <w:lang w:val="sr-Latn-ME"/>
        </w:rPr>
        <w:t>), umjerenim (procijenjena brzina glomerularne filtracije:</w:t>
      </w:r>
      <w:r w:rsidR="004A4B44" w:rsidRPr="00B74B0F">
        <w:rPr>
          <w:szCs w:val="22"/>
          <w:lang w:val="sr-Latn-ME"/>
        </w:rPr>
        <w:t xml:space="preserve"> </w:t>
      </w:r>
      <w:r w:rsidRPr="00B74B0F">
        <w:rPr>
          <w:szCs w:val="22"/>
          <w:lang w:val="sr-Latn-ME"/>
        </w:rPr>
        <w:t>30 </w:t>
      </w:r>
      <w:r w:rsidRPr="00B74B0F">
        <w:rPr>
          <w:szCs w:val="22"/>
          <w:lang w:val="sr-Latn-ME"/>
        </w:rPr>
        <w:noBreakHyphen/>
        <w:t> 59 ml/min/1,73 m</w:t>
      </w:r>
      <w:r w:rsidRPr="00B74B0F">
        <w:rPr>
          <w:szCs w:val="22"/>
          <w:vertAlign w:val="superscript"/>
          <w:lang w:val="sr-Latn-ME"/>
        </w:rPr>
        <w:t>2</w:t>
      </w:r>
      <w:r w:rsidRPr="00B74B0F">
        <w:rPr>
          <w:szCs w:val="22"/>
          <w:lang w:val="sr-Latn-ME"/>
        </w:rPr>
        <w:t>) odnosno teškim (procijenjena brzina glomerularne filtracije: 15 </w:t>
      </w:r>
      <w:r w:rsidRPr="00B74B0F">
        <w:rPr>
          <w:szCs w:val="22"/>
          <w:lang w:val="sr-Latn-ME"/>
        </w:rPr>
        <w:noBreakHyphen/>
        <w:t> 29 ml/min/1,73 m</w:t>
      </w:r>
      <w:r w:rsidRPr="00B74B0F">
        <w:rPr>
          <w:szCs w:val="22"/>
          <w:vertAlign w:val="superscript"/>
          <w:lang w:val="sr-Latn-ME"/>
        </w:rPr>
        <w:t>2</w:t>
      </w:r>
      <w:r w:rsidRPr="00B74B0F">
        <w:rPr>
          <w:szCs w:val="22"/>
          <w:lang w:val="sr-Latn-ME"/>
        </w:rPr>
        <w:t>) oštećenjem bubrežne funkcije. C</w:t>
      </w:r>
      <w:r w:rsidRPr="00B74B0F">
        <w:rPr>
          <w:szCs w:val="22"/>
          <w:vertAlign w:val="subscript"/>
          <w:lang w:val="sr-Latn-ME"/>
        </w:rPr>
        <w:t>max</w:t>
      </w:r>
      <w:r w:rsidRPr="00B74B0F">
        <w:rPr>
          <w:szCs w:val="22"/>
          <w:lang w:val="sr-Latn-ME"/>
        </w:rPr>
        <w:t xml:space="preserve"> upadacitiniba bio je sličan </w:t>
      </w:r>
      <w:r w:rsidR="00B1656D" w:rsidRPr="00B74B0F">
        <w:rPr>
          <w:szCs w:val="22"/>
          <w:lang w:val="sr-Latn-ME"/>
        </w:rPr>
        <w:t>kod</w:t>
      </w:r>
      <w:r w:rsidRPr="00B74B0F">
        <w:rPr>
          <w:szCs w:val="22"/>
          <w:lang w:val="sr-Latn-ME"/>
        </w:rPr>
        <w:t xml:space="preserve"> ispitanika s</w:t>
      </w:r>
      <w:r w:rsidR="005D165F" w:rsidRPr="00B74B0F">
        <w:rPr>
          <w:szCs w:val="22"/>
          <w:lang w:val="sr-Latn-ME"/>
        </w:rPr>
        <w:t>a</w:t>
      </w:r>
      <w:r w:rsidRPr="00B74B0F">
        <w:rPr>
          <w:szCs w:val="22"/>
          <w:lang w:val="sr-Latn-ME"/>
        </w:rPr>
        <w:t xml:space="preserve"> normalnom i onih s</w:t>
      </w:r>
      <w:r w:rsidR="005D165F" w:rsidRPr="00B74B0F">
        <w:rPr>
          <w:szCs w:val="22"/>
          <w:lang w:val="sr-Latn-ME"/>
        </w:rPr>
        <w:t>a</w:t>
      </w:r>
      <w:r w:rsidRPr="00B74B0F">
        <w:rPr>
          <w:szCs w:val="22"/>
          <w:lang w:val="sr-Latn-ME"/>
        </w:rPr>
        <w:t xml:space="preserve"> oštećenom bubrežnom funkcijom.</w:t>
      </w:r>
      <w:r w:rsidR="004B1A9B" w:rsidRPr="00B74B0F">
        <w:rPr>
          <w:szCs w:val="22"/>
          <w:lang w:val="sr-Latn-ME"/>
        </w:rPr>
        <w:t xml:space="preserve"> Blago ili umjereno oštećenje bubrežne funkcije nema klinički značajnog efekta na izloženost upadacitinibu (vidjeti dio 4.2).</w:t>
      </w:r>
    </w:p>
    <w:p w14:paraId="4D418641" w14:textId="77777777" w:rsidR="00D94562" w:rsidRPr="00B74B0F" w:rsidRDefault="00D94562">
      <w:pPr>
        <w:autoSpaceDE w:val="0"/>
        <w:autoSpaceDN w:val="0"/>
        <w:adjustRightInd w:val="0"/>
        <w:spacing w:line="240" w:lineRule="auto"/>
        <w:contextualSpacing/>
        <w:jc w:val="both"/>
        <w:rPr>
          <w:szCs w:val="22"/>
          <w:lang w:val="sr-Latn-ME"/>
        </w:rPr>
      </w:pPr>
    </w:p>
    <w:p w14:paraId="65C84FF1" w14:textId="77777777" w:rsidR="00D94562"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Oštećenje funkcije jetre</w:t>
      </w:r>
    </w:p>
    <w:p w14:paraId="50AFB2B5" w14:textId="77777777" w:rsidR="00D94562" w:rsidRPr="00B74B0F" w:rsidRDefault="00D94562">
      <w:pPr>
        <w:keepNext/>
        <w:autoSpaceDE w:val="0"/>
        <w:autoSpaceDN w:val="0"/>
        <w:adjustRightInd w:val="0"/>
        <w:spacing w:line="240" w:lineRule="auto"/>
        <w:contextualSpacing/>
        <w:jc w:val="both"/>
        <w:rPr>
          <w:szCs w:val="22"/>
          <w:lang w:val="sr-Latn-ME"/>
        </w:rPr>
      </w:pPr>
    </w:p>
    <w:p w14:paraId="7F67A1A4" w14:textId="0F17BC0A" w:rsidR="006C42DC" w:rsidRPr="00B74B0F" w:rsidRDefault="00906CF8">
      <w:pPr>
        <w:spacing w:line="240" w:lineRule="auto"/>
        <w:contextualSpacing/>
        <w:jc w:val="both"/>
        <w:rPr>
          <w:szCs w:val="22"/>
          <w:lang w:val="sr-Latn-ME"/>
        </w:rPr>
      </w:pPr>
      <w:r w:rsidRPr="00B74B0F">
        <w:rPr>
          <w:szCs w:val="22"/>
          <w:lang w:val="sr-Latn-ME"/>
        </w:rPr>
        <w:t>Blago (Child</w:t>
      </w:r>
      <w:r w:rsidRPr="00B74B0F">
        <w:rPr>
          <w:szCs w:val="22"/>
          <w:lang w:val="sr-Latn-ME"/>
        </w:rPr>
        <w:noBreakHyphen/>
        <w:t>Pugh stadij</w:t>
      </w:r>
      <w:r w:rsidR="001627A0" w:rsidRPr="00B74B0F">
        <w:rPr>
          <w:szCs w:val="22"/>
          <w:lang w:val="sr-Latn-ME"/>
        </w:rPr>
        <w:t>um</w:t>
      </w:r>
      <w:r w:rsidRPr="00B74B0F">
        <w:rPr>
          <w:szCs w:val="22"/>
          <w:lang w:val="sr-Latn-ME"/>
        </w:rPr>
        <w:t> A) i umjereno (Child</w:t>
      </w:r>
      <w:r w:rsidRPr="00B74B0F">
        <w:rPr>
          <w:szCs w:val="22"/>
          <w:lang w:val="sr-Latn-ME"/>
        </w:rPr>
        <w:noBreakHyphen/>
        <w:t>Pugh stadij</w:t>
      </w:r>
      <w:r w:rsidR="001627A0" w:rsidRPr="00B74B0F">
        <w:rPr>
          <w:szCs w:val="22"/>
          <w:lang w:val="sr-Latn-ME"/>
        </w:rPr>
        <w:t>um</w:t>
      </w:r>
      <w:r w:rsidRPr="00B74B0F">
        <w:rPr>
          <w:szCs w:val="22"/>
          <w:lang w:val="sr-Latn-ME"/>
        </w:rPr>
        <w:t> B) oštećenje funkcije</w:t>
      </w:r>
      <w:r w:rsidR="004B1A9B" w:rsidRPr="00B74B0F">
        <w:rPr>
          <w:szCs w:val="22"/>
          <w:lang w:val="sr-Latn-ME"/>
        </w:rPr>
        <w:t xml:space="preserve"> jetre</w:t>
      </w:r>
      <w:r w:rsidRPr="00B74B0F">
        <w:rPr>
          <w:szCs w:val="22"/>
          <w:lang w:val="sr-Latn-ME"/>
        </w:rPr>
        <w:t xml:space="preserve"> nemaju klinički značajnog </w:t>
      </w:r>
      <w:r w:rsidR="00B1656D" w:rsidRPr="00B74B0F">
        <w:rPr>
          <w:szCs w:val="22"/>
          <w:lang w:val="sr-Latn-ME"/>
        </w:rPr>
        <w:t>efekta</w:t>
      </w:r>
      <w:r w:rsidRPr="00B74B0F">
        <w:rPr>
          <w:szCs w:val="22"/>
          <w:lang w:val="sr-Latn-ME"/>
        </w:rPr>
        <w:t xml:space="preserve"> na izloženost upadacitinib</w:t>
      </w:r>
      <w:r w:rsidR="004A4B44" w:rsidRPr="00B74B0F">
        <w:rPr>
          <w:szCs w:val="22"/>
          <w:lang w:val="sr-Latn-ME"/>
        </w:rPr>
        <w:t>u</w:t>
      </w:r>
      <w:r w:rsidRPr="00B74B0F">
        <w:rPr>
          <w:szCs w:val="22"/>
          <w:lang w:val="sr-Latn-ME"/>
        </w:rPr>
        <w:t xml:space="preserve">. U </w:t>
      </w:r>
      <w:r w:rsidR="00B1656D" w:rsidRPr="00B74B0F">
        <w:rPr>
          <w:szCs w:val="22"/>
          <w:lang w:val="sr-Latn-ME"/>
        </w:rPr>
        <w:t>poređenju</w:t>
      </w:r>
      <w:r w:rsidRPr="00B74B0F">
        <w:rPr>
          <w:szCs w:val="22"/>
          <w:lang w:val="sr-Latn-ME"/>
        </w:rPr>
        <w:t xml:space="preserve"> s</w:t>
      </w:r>
      <w:r w:rsidR="005D165F" w:rsidRPr="00B74B0F">
        <w:rPr>
          <w:szCs w:val="22"/>
          <w:lang w:val="sr-Latn-ME"/>
        </w:rPr>
        <w:t>a</w:t>
      </w:r>
      <w:r w:rsidRPr="00B74B0F">
        <w:rPr>
          <w:szCs w:val="22"/>
          <w:lang w:val="sr-Latn-ME"/>
        </w:rPr>
        <w:t xml:space="preserve"> ispitanicima s</w:t>
      </w:r>
      <w:r w:rsidR="005D165F" w:rsidRPr="00B74B0F">
        <w:rPr>
          <w:szCs w:val="22"/>
          <w:lang w:val="sr-Latn-ME"/>
        </w:rPr>
        <w:t>a</w:t>
      </w:r>
      <w:r w:rsidRPr="00B74B0F">
        <w:rPr>
          <w:szCs w:val="22"/>
          <w:lang w:val="sr-Latn-ME"/>
        </w:rPr>
        <w:t xml:space="preserve"> normalnom funkcijom</w:t>
      </w:r>
      <w:r w:rsidR="004A4B44" w:rsidRPr="00B74B0F">
        <w:rPr>
          <w:szCs w:val="22"/>
          <w:lang w:val="sr-Latn-ME"/>
        </w:rPr>
        <w:t xml:space="preserve"> jetre</w:t>
      </w:r>
      <w:r w:rsidRPr="00B74B0F">
        <w:rPr>
          <w:szCs w:val="22"/>
          <w:lang w:val="sr-Latn-ME"/>
        </w:rPr>
        <w:t xml:space="preserve">, </w:t>
      </w:r>
      <w:r w:rsidR="004A4B44" w:rsidRPr="00B74B0F">
        <w:rPr>
          <w:szCs w:val="22"/>
          <w:lang w:val="sr-Latn-ME"/>
        </w:rPr>
        <w:t xml:space="preserve">PIK </w:t>
      </w:r>
      <w:r w:rsidRPr="00B74B0F">
        <w:rPr>
          <w:szCs w:val="22"/>
          <w:lang w:val="sr-Latn-ME"/>
        </w:rPr>
        <w:t>upadacitinib</w:t>
      </w:r>
      <w:r w:rsidR="004A4B44" w:rsidRPr="00B74B0F">
        <w:rPr>
          <w:szCs w:val="22"/>
          <w:lang w:val="sr-Latn-ME"/>
        </w:rPr>
        <w:t>a</w:t>
      </w:r>
      <w:r w:rsidR="00B1656D" w:rsidRPr="00B74B0F">
        <w:rPr>
          <w:szCs w:val="22"/>
          <w:lang w:val="sr-Latn-ME"/>
        </w:rPr>
        <w:t xml:space="preserve"> je</w:t>
      </w:r>
      <w:r w:rsidRPr="00B74B0F">
        <w:rPr>
          <w:szCs w:val="22"/>
          <w:lang w:val="sr-Latn-ME"/>
        </w:rPr>
        <w:t xml:space="preserve"> bio 28% odnosno 24% veći </w:t>
      </w:r>
      <w:r w:rsidR="00B1656D" w:rsidRPr="00B74B0F">
        <w:rPr>
          <w:szCs w:val="22"/>
          <w:lang w:val="sr-Latn-ME"/>
        </w:rPr>
        <w:t>kod</w:t>
      </w:r>
      <w:r w:rsidRPr="00B74B0F">
        <w:rPr>
          <w:szCs w:val="22"/>
          <w:lang w:val="sr-Latn-ME"/>
        </w:rPr>
        <w:t xml:space="preserve"> onih s</w:t>
      </w:r>
      <w:r w:rsidR="005D165F" w:rsidRPr="00B74B0F">
        <w:rPr>
          <w:szCs w:val="22"/>
          <w:lang w:val="sr-Latn-ME"/>
        </w:rPr>
        <w:t>a</w:t>
      </w:r>
      <w:r w:rsidRPr="00B74B0F">
        <w:rPr>
          <w:szCs w:val="22"/>
          <w:lang w:val="sr-Latn-ME"/>
        </w:rPr>
        <w:t xml:space="preserve"> blagim odnosno umjerenim oštećenjem jetrene funkcije. U </w:t>
      </w:r>
      <w:r w:rsidR="00B1656D" w:rsidRPr="00B74B0F">
        <w:rPr>
          <w:szCs w:val="22"/>
          <w:lang w:val="sr-Latn-ME"/>
        </w:rPr>
        <w:t>poređenju</w:t>
      </w:r>
      <w:r w:rsidRPr="00B74B0F">
        <w:rPr>
          <w:szCs w:val="22"/>
          <w:lang w:val="sr-Latn-ME"/>
        </w:rPr>
        <w:t xml:space="preserve"> s</w:t>
      </w:r>
      <w:r w:rsidR="005D165F" w:rsidRPr="00B74B0F">
        <w:rPr>
          <w:szCs w:val="22"/>
          <w:lang w:val="sr-Latn-ME"/>
        </w:rPr>
        <w:t>a</w:t>
      </w:r>
      <w:r w:rsidRPr="00B74B0F">
        <w:rPr>
          <w:szCs w:val="22"/>
          <w:lang w:val="sr-Latn-ME"/>
        </w:rPr>
        <w:t xml:space="preserve"> ispitanicima s</w:t>
      </w:r>
      <w:r w:rsidR="005D165F" w:rsidRPr="00B74B0F">
        <w:rPr>
          <w:szCs w:val="22"/>
          <w:lang w:val="sr-Latn-ME"/>
        </w:rPr>
        <w:t>a</w:t>
      </w:r>
      <w:r w:rsidRPr="00B74B0F">
        <w:rPr>
          <w:szCs w:val="22"/>
          <w:lang w:val="sr-Latn-ME"/>
        </w:rPr>
        <w:t xml:space="preserve"> normalnom funkcijom</w:t>
      </w:r>
      <w:r w:rsidR="00B10681" w:rsidRPr="00B74B0F">
        <w:rPr>
          <w:szCs w:val="22"/>
          <w:lang w:val="sr-Latn-ME"/>
        </w:rPr>
        <w:t xml:space="preserve"> jetre</w:t>
      </w:r>
      <w:r w:rsidRPr="00B74B0F">
        <w:rPr>
          <w:szCs w:val="22"/>
          <w:lang w:val="sr-Latn-ME"/>
        </w:rPr>
        <w:t>, C</w:t>
      </w:r>
      <w:r w:rsidRPr="00B74B0F">
        <w:rPr>
          <w:szCs w:val="22"/>
          <w:vertAlign w:val="subscript"/>
          <w:lang w:val="sr-Latn-ME"/>
        </w:rPr>
        <w:t>max</w:t>
      </w:r>
      <w:r w:rsidRPr="00B74B0F">
        <w:rPr>
          <w:szCs w:val="22"/>
          <w:lang w:val="sr-Latn-ME"/>
        </w:rPr>
        <w:t xml:space="preserve"> upadacitiniba bio je nepromijenjen </w:t>
      </w:r>
      <w:r w:rsidR="00B1656D" w:rsidRPr="00B74B0F">
        <w:rPr>
          <w:szCs w:val="22"/>
          <w:lang w:val="sr-Latn-ME"/>
        </w:rPr>
        <w:t>kod</w:t>
      </w:r>
      <w:r w:rsidRPr="00B74B0F">
        <w:rPr>
          <w:szCs w:val="22"/>
          <w:lang w:val="sr-Latn-ME"/>
        </w:rPr>
        <w:t xml:space="preserve"> onih s</w:t>
      </w:r>
      <w:r w:rsidR="005D165F" w:rsidRPr="00B74B0F">
        <w:rPr>
          <w:szCs w:val="22"/>
          <w:lang w:val="sr-Latn-ME"/>
        </w:rPr>
        <w:t>a</w:t>
      </w:r>
      <w:r w:rsidRPr="00B74B0F">
        <w:rPr>
          <w:szCs w:val="22"/>
          <w:lang w:val="sr-Latn-ME"/>
        </w:rPr>
        <w:t xml:space="preserve"> blagim oštećenjem funkcije </w:t>
      </w:r>
      <w:r w:rsidR="00B10681" w:rsidRPr="00B74B0F">
        <w:rPr>
          <w:szCs w:val="22"/>
          <w:lang w:val="sr-Latn-ME"/>
        </w:rPr>
        <w:t xml:space="preserve">jetre </w:t>
      </w:r>
      <w:r w:rsidR="004A4B44" w:rsidRPr="00B74B0F">
        <w:rPr>
          <w:szCs w:val="22"/>
          <w:lang w:val="sr-Latn-ME"/>
        </w:rPr>
        <w:t>i</w:t>
      </w:r>
      <w:r w:rsidRPr="00B74B0F">
        <w:rPr>
          <w:szCs w:val="22"/>
          <w:lang w:val="sr-Latn-ME"/>
        </w:rPr>
        <w:t xml:space="preserve"> 43% veći </w:t>
      </w:r>
      <w:r w:rsidR="00B1656D" w:rsidRPr="00B74B0F">
        <w:rPr>
          <w:szCs w:val="22"/>
          <w:lang w:val="sr-Latn-ME"/>
        </w:rPr>
        <w:t>kod</w:t>
      </w:r>
      <w:r w:rsidRPr="00B74B0F">
        <w:rPr>
          <w:szCs w:val="22"/>
          <w:lang w:val="sr-Latn-ME"/>
        </w:rPr>
        <w:t xml:space="preserve"> onih s</w:t>
      </w:r>
      <w:r w:rsidR="00B10681" w:rsidRPr="00B74B0F">
        <w:rPr>
          <w:szCs w:val="22"/>
          <w:lang w:val="sr-Latn-ME"/>
        </w:rPr>
        <w:t>a</w:t>
      </w:r>
      <w:r w:rsidRPr="00B74B0F">
        <w:rPr>
          <w:szCs w:val="22"/>
          <w:lang w:val="sr-Latn-ME"/>
        </w:rPr>
        <w:t xml:space="preserve"> umjerenim oštećenjem funkcije</w:t>
      </w:r>
      <w:r w:rsidR="004A4B44" w:rsidRPr="00B74B0F">
        <w:rPr>
          <w:szCs w:val="22"/>
          <w:lang w:val="sr-Latn-ME"/>
        </w:rPr>
        <w:t xml:space="preserve"> jetre</w:t>
      </w:r>
      <w:r w:rsidRPr="00B74B0F">
        <w:rPr>
          <w:szCs w:val="22"/>
          <w:lang w:val="sr-Latn-ME"/>
        </w:rPr>
        <w:t xml:space="preserve">. </w:t>
      </w:r>
      <w:r w:rsidR="00B1656D" w:rsidRPr="00B74B0F">
        <w:rPr>
          <w:szCs w:val="22"/>
          <w:lang w:val="sr-Latn-ME"/>
        </w:rPr>
        <w:t>Lijek u</w:t>
      </w:r>
      <w:r w:rsidRPr="00B74B0F">
        <w:rPr>
          <w:szCs w:val="22"/>
          <w:lang w:val="sr-Latn-ME"/>
        </w:rPr>
        <w:t xml:space="preserve">padacitinib se nije ispitivao </w:t>
      </w:r>
      <w:r w:rsidR="00B1656D" w:rsidRPr="00B74B0F">
        <w:rPr>
          <w:szCs w:val="22"/>
          <w:lang w:val="sr-Latn-ME"/>
        </w:rPr>
        <w:t>kod</w:t>
      </w:r>
      <w:r w:rsidRPr="00B74B0F">
        <w:rPr>
          <w:szCs w:val="22"/>
          <w:lang w:val="sr-Latn-ME"/>
        </w:rPr>
        <w:t xml:space="preserve"> </w:t>
      </w:r>
      <w:r w:rsidR="00BB59FC" w:rsidRPr="00B74B0F">
        <w:rPr>
          <w:szCs w:val="22"/>
          <w:lang w:val="sr-Latn-ME"/>
        </w:rPr>
        <w:t>pacijenata</w:t>
      </w:r>
      <w:r w:rsidRPr="00B74B0F">
        <w:rPr>
          <w:szCs w:val="22"/>
          <w:lang w:val="sr-Latn-ME"/>
        </w:rPr>
        <w:t xml:space="preserve"> s</w:t>
      </w:r>
      <w:r w:rsidR="00B10681" w:rsidRPr="00B74B0F">
        <w:rPr>
          <w:szCs w:val="22"/>
          <w:lang w:val="sr-Latn-ME"/>
        </w:rPr>
        <w:t>a</w:t>
      </w:r>
      <w:r w:rsidRPr="00B74B0F">
        <w:rPr>
          <w:szCs w:val="22"/>
          <w:lang w:val="sr-Latn-ME"/>
        </w:rPr>
        <w:t xml:space="preserve"> teškim </w:t>
      </w:r>
      <w:r w:rsidR="00E804B7" w:rsidRPr="00B74B0F">
        <w:rPr>
          <w:szCs w:val="22"/>
          <w:lang w:val="sr-Latn-ME"/>
        </w:rPr>
        <w:t>(Child</w:t>
      </w:r>
      <w:r w:rsidR="00E804B7" w:rsidRPr="00B74B0F">
        <w:rPr>
          <w:szCs w:val="22"/>
          <w:lang w:val="sr-Latn-ME"/>
        </w:rPr>
        <w:noBreakHyphen/>
        <w:t>Pugh stadij</w:t>
      </w:r>
      <w:r w:rsidR="001627A0" w:rsidRPr="00B74B0F">
        <w:rPr>
          <w:szCs w:val="22"/>
          <w:lang w:val="sr-Latn-ME"/>
        </w:rPr>
        <w:t>um</w:t>
      </w:r>
      <w:r w:rsidR="00E804B7" w:rsidRPr="00B74B0F">
        <w:rPr>
          <w:szCs w:val="22"/>
          <w:lang w:val="sr-Latn-ME"/>
        </w:rPr>
        <w:t xml:space="preserve"> C) </w:t>
      </w:r>
      <w:r w:rsidRPr="00B74B0F">
        <w:rPr>
          <w:szCs w:val="22"/>
          <w:lang w:val="sr-Latn-ME"/>
        </w:rPr>
        <w:t xml:space="preserve">oštećenjem </w:t>
      </w:r>
      <w:r w:rsidR="00B10681" w:rsidRPr="00B74B0F">
        <w:rPr>
          <w:szCs w:val="22"/>
          <w:lang w:val="sr-Latn-ME"/>
        </w:rPr>
        <w:t xml:space="preserve">funkcije </w:t>
      </w:r>
      <w:r w:rsidRPr="00B74B0F">
        <w:rPr>
          <w:szCs w:val="22"/>
          <w:lang w:val="sr-Latn-ME"/>
        </w:rPr>
        <w:t>jetre.</w:t>
      </w:r>
    </w:p>
    <w:p w14:paraId="45B11341" w14:textId="77777777" w:rsidR="00D94562" w:rsidRPr="00B74B0F" w:rsidRDefault="00D94562">
      <w:pPr>
        <w:autoSpaceDE w:val="0"/>
        <w:autoSpaceDN w:val="0"/>
        <w:adjustRightInd w:val="0"/>
        <w:spacing w:line="240" w:lineRule="auto"/>
        <w:contextualSpacing/>
        <w:jc w:val="both"/>
        <w:rPr>
          <w:szCs w:val="22"/>
          <w:lang w:val="sr-Latn-ME"/>
        </w:rPr>
      </w:pPr>
    </w:p>
    <w:p w14:paraId="353C7610" w14:textId="77777777" w:rsidR="00D94562"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lastRenderedPageBreak/>
        <w:t>Pedijatrijska populacija</w:t>
      </w:r>
    </w:p>
    <w:p w14:paraId="6B8A084B" w14:textId="77777777" w:rsidR="00D94562" w:rsidRPr="00B74B0F" w:rsidRDefault="00D94562">
      <w:pPr>
        <w:keepNext/>
        <w:autoSpaceDE w:val="0"/>
        <w:autoSpaceDN w:val="0"/>
        <w:adjustRightInd w:val="0"/>
        <w:spacing w:line="240" w:lineRule="auto"/>
        <w:contextualSpacing/>
        <w:jc w:val="both"/>
        <w:rPr>
          <w:szCs w:val="22"/>
          <w:lang w:val="sr-Latn-ME"/>
        </w:rPr>
      </w:pPr>
    </w:p>
    <w:p w14:paraId="12B33397" w14:textId="1C958674" w:rsidR="000B4BF3" w:rsidRPr="00B74B0F" w:rsidRDefault="000B4BF3">
      <w:pPr>
        <w:keepNext/>
        <w:autoSpaceDE w:val="0"/>
        <w:autoSpaceDN w:val="0"/>
        <w:adjustRightInd w:val="0"/>
        <w:spacing w:line="240" w:lineRule="auto"/>
        <w:jc w:val="both"/>
        <w:rPr>
          <w:noProof/>
          <w:szCs w:val="22"/>
          <w:lang w:val="sr-Latn-ME"/>
        </w:rPr>
      </w:pPr>
      <w:r w:rsidRPr="00B74B0F">
        <w:rPr>
          <w:noProof/>
          <w:szCs w:val="22"/>
          <w:lang w:val="sr-Latn-ME"/>
        </w:rPr>
        <w:t xml:space="preserve">Farmakokinetika upadacitiniba još nije </w:t>
      </w:r>
      <w:r w:rsidR="004B1A9B" w:rsidRPr="00B74B0F">
        <w:rPr>
          <w:noProof/>
          <w:szCs w:val="22"/>
          <w:lang w:val="sr-Latn-ME"/>
        </w:rPr>
        <w:t>pr</w:t>
      </w:r>
      <w:r w:rsidRPr="00B74B0F">
        <w:rPr>
          <w:noProof/>
          <w:szCs w:val="22"/>
          <w:lang w:val="sr-Latn-ME"/>
        </w:rPr>
        <w:t xml:space="preserve">ocijenjena </w:t>
      </w:r>
      <w:r w:rsidR="001627A0" w:rsidRPr="00B74B0F">
        <w:rPr>
          <w:noProof/>
          <w:szCs w:val="22"/>
          <w:lang w:val="sr-Latn-ME"/>
        </w:rPr>
        <w:t>kod</w:t>
      </w:r>
      <w:r w:rsidRPr="00B74B0F">
        <w:rPr>
          <w:noProof/>
          <w:szCs w:val="22"/>
          <w:lang w:val="sr-Latn-ME"/>
        </w:rPr>
        <w:t xml:space="preserve"> pedijatrijskih </w:t>
      </w:r>
      <w:r w:rsidR="001627A0" w:rsidRPr="00B74B0F">
        <w:rPr>
          <w:noProof/>
          <w:szCs w:val="22"/>
          <w:lang w:val="sr-Latn-ME"/>
        </w:rPr>
        <w:t xml:space="preserve">pacijenata </w:t>
      </w:r>
      <w:r w:rsidRPr="00B74B0F">
        <w:rPr>
          <w:noProof/>
          <w:szCs w:val="22"/>
          <w:lang w:val="sr-Latn-ME"/>
        </w:rPr>
        <w:t>s</w:t>
      </w:r>
      <w:r w:rsidR="004B1A9B" w:rsidRPr="00B74B0F">
        <w:rPr>
          <w:noProof/>
          <w:szCs w:val="22"/>
          <w:lang w:val="sr-Latn-ME"/>
        </w:rPr>
        <w:t>a</w:t>
      </w:r>
      <w:r w:rsidRPr="00B74B0F">
        <w:rPr>
          <w:noProof/>
          <w:szCs w:val="22"/>
          <w:lang w:val="sr-Latn-ME"/>
        </w:rPr>
        <w:t xml:space="preserve"> reumatoidnim artritisom, psorijatičnim artritisom</w:t>
      </w:r>
      <w:r w:rsidRPr="00B74B0F">
        <w:rPr>
          <w:szCs w:val="22"/>
          <w:lang w:val="sr-Latn-ME"/>
        </w:rPr>
        <w:t>, aksijalnim spondiloartritisom</w:t>
      </w:r>
      <w:r w:rsidR="004E3378" w:rsidRPr="00B74B0F">
        <w:rPr>
          <w:szCs w:val="22"/>
          <w:lang w:val="sr-Latn-ME"/>
        </w:rPr>
        <w:t>,</w:t>
      </w:r>
      <w:r w:rsidR="004B1A9B" w:rsidRPr="00B74B0F">
        <w:rPr>
          <w:szCs w:val="22"/>
          <w:lang w:val="sr-Latn-ME"/>
        </w:rPr>
        <w:t xml:space="preserve"> </w:t>
      </w:r>
      <w:r w:rsidRPr="00B74B0F">
        <w:rPr>
          <w:szCs w:val="22"/>
          <w:lang w:val="sr-Latn-ME"/>
        </w:rPr>
        <w:t xml:space="preserve">ulceroznim kolitisom </w:t>
      </w:r>
      <w:r w:rsidR="004E3378" w:rsidRPr="00B74B0F">
        <w:rPr>
          <w:szCs w:val="22"/>
          <w:lang w:val="sr-Latn-ME"/>
        </w:rPr>
        <w:t xml:space="preserve">i </w:t>
      </w:r>
      <w:r w:rsidR="00B15ED0" w:rsidRPr="00B74B0F">
        <w:rPr>
          <w:szCs w:val="22"/>
          <w:lang w:val="sr-Latn-ME"/>
        </w:rPr>
        <w:t>K</w:t>
      </w:r>
      <w:r w:rsidR="004E3378" w:rsidRPr="00B74B0F">
        <w:rPr>
          <w:szCs w:val="22"/>
          <w:lang w:val="sr-Latn-ME"/>
        </w:rPr>
        <w:t>ronovom bolešću</w:t>
      </w:r>
      <w:r w:rsidR="004C44CD" w:rsidRPr="00B74B0F">
        <w:rPr>
          <w:szCs w:val="22"/>
          <w:lang w:val="sr-Latn-ME"/>
        </w:rPr>
        <w:t xml:space="preserve"> </w:t>
      </w:r>
      <w:r w:rsidRPr="00B74B0F">
        <w:rPr>
          <w:noProof/>
          <w:szCs w:val="22"/>
          <w:lang w:val="sr-Latn-ME"/>
        </w:rPr>
        <w:t>(vidjeti dio 4.2).</w:t>
      </w:r>
    </w:p>
    <w:p w14:paraId="7FCEE85D" w14:textId="77777777" w:rsidR="000B4BF3" w:rsidRPr="00B74B0F" w:rsidRDefault="000B4BF3">
      <w:pPr>
        <w:keepNext/>
        <w:autoSpaceDE w:val="0"/>
        <w:autoSpaceDN w:val="0"/>
        <w:adjustRightInd w:val="0"/>
        <w:spacing w:line="240" w:lineRule="auto"/>
        <w:jc w:val="both"/>
        <w:rPr>
          <w:noProof/>
          <w:szCs w:val="22"/>
          <w:lang w:val="sr-Latn-ME"/>
        </w:rPr>
      </w:pPr>
      <w:bookmarkStart w:id="16" w:name="_Hlk48812492"/>
    </w:p>
    <w:bookmarkEnd w:id="16"/>
    <w:p w14:paraId="3FB5470C" w14:textId="2F53DA2C" w:rsidR="000B4BF3" w:rsidRPr="00B74B0F" w:rsidRDefault="000B4BF3">
      <w:pPr>
        <w:autoSpaceDE w:val="0"/>
        <w:autoSpaceDN w:val="0"/>
        <w:adjustRightInd w:val="0"/>
        <w:spacing w:line="240" w:lineRule="auto"/>
        <w:contextualSpacing/>
        <w:jc w:val="both"/>
        <w:rPr>
          <w:noProof/>
          <w:szCs w:val="22"/>
          <w:lang w:val="sr-Latn-ME"/>
        </w:rPr>
      </w:pPr>
      <w:r w:rsidRPr="00B74B0F">
        <w:rPr>
          <w:noProof/>
          <w:szCs w:val="22"/>
          <w:lang w:val="sr-Latn-ME"/>
        </w:rPr>
        <w:t xml:space="preserve">Farmakokinetika upadacitiniba i koncentracije u stanju dinamičke ravnoteže slične su za odrasle i adolescente </w:t>
      </w:r>
      <w:r w:rsidR="001627A0" w:rsidRPr="00B74B0F">
        <w:rPr>
          <w:noProof/>
          <w:szCs w:val="22"/>
          <w:lang w:val="sr-Latn-ME"/>
        </w:rPr>
        <w:t>starosti</w:t>
      </w:r>
      <w:r w:rsidRPr="00B74B0F">
        <w:rPr>
          <w:noProof/>
          <w:szCs w:val="22"/>
          <w:lang w:val="sr-Latn-ME"/>
        </w:rPr>
        <w:t xml:space="preserve"> od 12 do 17 godina s</w:t>
      </w:r>
      <w:r w:rsidR="004B1A9B" w:rsidRPr="00B74B0F">
        <w:rPr>
          <w:noProof/>
          <w:szCs w:val="22"/>
          <w:lang w:val="sr-Latn-ME"/>
        </w:rPr>
        <w:t>a</w:t>
      </w:r>
      <w:r w:rsidRPr="00B74B0F">
        <w:rPr>
          <w:noProof/>
          <w:szCs w:val="22"/>
          <w:lang w:val="sr-Latn-ME"/>
        </w:rPr>
        <w:t xml:space="preserve"> atopijskim dermatitisom. Doziranje </w:t>
      </w:r>
      <w:r w:rsidR="001627A0" w:rsidRPr="00B74B0F">
        <w:rPr>
          <w:noProof/>
          <w:szCs w:val="22"/>
          <w:lang w:val="sr-Latn-ME"/>
        </w:rPr>
        <w:t>kod</w:t>
      </w:r>
      <w:r w:rsidRPr="00B74B0F">
        <w:rPr>
          <w:noProof/>
          <w:szCs w:val="22"/>
          <w:lang w:val="sr-Latn-ME"/>
        </w:rPr>
        <w:t xml:space="preserve"> adolescentnih </w:t>
      </w:r>
      <w:r w:rsidR="001627A0" w:rsidRPr="00B74B0F">
        <w:rPr>
          <w:noProof/>
          <w:szCs w:val="22"/>
          <w:lang w:val="sr-Latn-ME"/>
        </w:rPr>
        <w:t xml:space="preserve">pacijenata </w:t>
      </w:r>
      <w:r w:rsidRPr="00B74B0F">
        <w:rPr>
          <w:noProof/>
          <w:szCs w:val="22"/>
          <w:lang w:val="sr-Latn-ME"/>
        </w:rPr>
        <w:t>tjelesne težine od 30 kg do &lt; 40 kg određeno je uz pomoć populaci</w:t>
      </w:r>
      <w:r w:rsidR="004B1A9B" w:rsidRPr="00B74B0F">
        <w:rPr>
          <w:noProof/>
          <w:szCs w:val="22"/>
          <w:lang w:val="sr-Latn-ME"/>
        </w:rPr>
        <w:t xml:space="preserve">onog </w:t>
      </w:r>
      <w:r w:rsidRPr="00B74B0F">
        <w:rPr>
          <w:noProof/>
          <w:szCs w:val="22"/>
          <w:lang w:val="sr-Latn-ME"/>
        </w:rPr>
        <w:t>farmakokinetičkog modeliranja i simulacije.</w:t>
      </w:r>
    </w:p>
    <w:p w14:paraId="28737C97" w14:textId="77777777" w:rsidR="000B4BF3" w:rsidRPr="00B74B0F" w:rsidRDefault="000B4BF3">
      <w:pPr>
        <w:autoSpaceDE w:val="0"/>
        <w:autoSpaceDN w:val="0"/>
        <w:adjustRightInd w:val="0"/>
        <w:spacing w:line="240" w:lineRule="auto"/>
        <w:contextualSpacing/>
        <w:jc w:val="both"/>
        <w:rPr>
          <w:noProof/>
          <w:szCs w:val="22"/>
          <w:lang w:val="sr-Latn-ME"/>
        </w:rPr>
      </w:pPr>
    </w:p>
    <w:p w14:paraId="717F6F8A" w14:textId="0EC32F54" w:rsidR="000B4BF3" w:rsidRPr="00B74B0F" w:rsidRDefault="000B4BF3">
      <w:pPr>
        <w:tabs>
          <w:tab w:val="clear" w:pos="567"/>
        </w:tabs>
        <w:autoSpaceDE w:val="0"/>
        <w:autoSpaceDN w:val="0"/>
        <w:adjustRightInd w:val="0"/>
        <w:spacing w:line="240" w:lineRule="auto"/>
        <w:jc w:val="both"/>
        <w:rPr>
          <w:rFonts w:eastAsia="SimSun"/>
          <w:noProof/>
          <w:szCs w:val="22"/>
          <w:lang w:val="sr-Latn-ME" w:eastAsia="hr-HR"/>
        </w:rPr>
      </w:pPr>
      <w:r w:rsidRPr="00B74B0F">
        <w:rPr>
          <w:rFonts w:eastAsia="SimSun"/>
          <w:noProof/>
          <w:szCs w:val="22"/>
          <w:lang w:val="sr-Latn-ME" w:eastAsia="hr-HR"/>
        </w:rPr>
        <w:t xml:space="preserve">Farmakokinetika upadacitiniba </w:t>
      </w:r>
      <w:r w:rsidR="001627A0" w:rsidRPr="00B74B0F">
        <w:rPr>
          <w:rFonts w:eastAsia="SimSun"/>
          <w:noProof/>
          <w:szCs w:val="22"/>
          <w:lang w:val="sr-Latn-ME" w:eastAsia="hr-HR"/>
        </w:rPr>
        <w:t>kod</w:t>
      </w:r>
      <w:r w:rsidRPr="00B74B0F">
        <w:rPr>
          <w:rFonts w:eastAsia="SimSun"/>
          <w:noProof/>
          <w:szCs w:val="22"/>
          <w:lang w:val="sr-Latn-ME" w:eastAsia="hr-HR"/>
        </w:rPr>
        <w:t xml:space="preserve"> pedijatrijskih </w:t>
      </w:r>
      <w:r w:rsidR="001627A0" w:rsidRPr="00B74B0F">
        <w:rPr>
          <w:rFonts w:eastAsia="SimSun"/>
          <w:noProof/>
          <w:szCs w:val="22"/>
          <w:lang w:val="sr-Latn-ME" w:eastAsia="hr-HR"/>
        </w:rPr>
        <w:t>pacijenata</w:t>
      </w:r>
      <w:r w:rsidRPr="00B74B0F">
        <w:rPr>
          <w:rFonts w:eastAsia="SimSun"/>
          <w:noProof/>
          <w:szCs w:val="22"/>
          <w:lang w:val="sr-Latn-ME" w:eastAsia="hr-HR"/>
        </w:rPr>
        <w:t xml:space="preserve"> (&lt; 12 godina) s</w:t>
      </w:r>
      <w:r w:rsidR="004B1A9B" w:rsidRPr="00B74B0F">
        <w:rPr>
          <w:rFonts w:eastAsia="SimSun"/>
          <w:noProof/>
          <w:szCs w:val="22"/>
          <w:lang w:val="sr-Latn-ME" w:eastAsia="hr-HR"/>
        </w:rPr>
        <w:t>a</w:t>
      </w:r>
      <w:r w:rsidRPr="00B74B0F">
        <w:rPr>
          <w:rFonts w:eastAsia="SimSun"/>
          <w:noProof/>
          <w:szCs w:val="22"/>
          <w:lang w:val="sr-Latn-ME" w:eastAsia="hr-HR"/>
        </w:rPr>
        <w:t xml:space="preserve"> atopijskim dermatitisom nije ustanovljena.</w:t>
      </w:r>
    </w:p>
    <w:p w14:paraId="5B5F3D3B" w14:textId="77777777" w:rsidR="00D94562" w:rsidRPr="00B74B0F" w:rsidRDefault="00D94562">
      <w:pPr>
        <w:autoSpaceDE w:val="0"/>
        <w:autoSpaceDN w:val="0"/>
        <w:adjustRightInd w:val="0"/>
        <w:spacing w:line="240" w:lineRule="auto"/>
        <w:contextualSpacing/>
        <w:jc w:val="both"/>
        <w:rPr>
          <w:szCs w:val="22"/>
          <w:lang w:val="sr-Latn-ME"/>
        </w:rPr>
      </w:pPr>
    </w:p>
    <w:p w14:paraId="6FBCDDF1" w14:textId="77777777" w:rsidR="00D94562" w:rsidRPr="00B74B0F" w:rsidRDefault="00906CF8">
      <w:pPr>
        <w:keepNext/>
        <w:autoSpaceDE w:val="0"/>
        <w:autoSpaceDN w:val="0"/>
        <w:adjustRightInd w:val="0"/>
        <w:spacing w:line="240" w:lineRule="auto"/>
        <w:contextualSpacing/>
        <w:jc w:val="both"/>
        <w:rPr>
          <w:i/>
          <w:szCs w:val="22"/>
          <w:lang w:val="sr-Latn-ME"/>
        </w:rPr>
      </w:pPr>
      <w:r w:rsidRPr="00B74B0F">
        <w:rPr>
          <w:i/>
          <w:szCs w:val="22"/>
          <w:lang w:val="sr-Latn-ME"/>
        </w:rPr>
        <w:t>Intrinzični faktori</w:t>
      </w:r>
    </w:p>
    <w:p w14:paraId="3B9B5AC4" w14:textId="77777777" w:rsidR="00197707" w:rsidRPr="00B74B0F" w:rsidRDefault="00197707">
      <w:pPr>
        <w:keepNext/>
        <w:autoSpaceDE w:val="0"/>
        <w:autoSpaceDN w:val="0"/>
        <w:adjustRightInd w:val="0"/>
        <w:spacing w:line="240" w:lineRule="auto"/>
        <w:contextualSpacing/>
        <w:jc w:val="both"/>
        <w:rPr>
          <w:szCs w:val="22"/>
          <w:u w:val="single"/>
          <w:lang w:val="sr-Latn-ME"/>
        </w:rPr>
      </w:pPr>
    </w:p>
    <w:p w14:paraId="51F5E08D" w14:textId="07B14B06" w:rsidR="00197707" w:rsidRPr="00B74B0F" w:rsidRDefault="005D165F">
      <w:pPr>
        <w:pStyle w:val="gtcbodytext"/>
        <w:spacing w:before="0"/>
        <w:contextualSpacing/>
        <w:jc w:val="both"/>
        <w:rPr>
          <w:sz w:val="22"/>
          <w:szCs w:val="22"/>
          <w:lang w:val="sr-Latn-ME"/>
        </w:rPr>
      </w:pPr>
      <w:r w:rsidRPr="00B74B0F">
        <w:rPr>
          <w:sz w:val="22"/>
          <w:szCs w:val="22"/>
          <w:lang w:val="sr-Latn-ME"/>
        </w:rPr>
        <w:t>Uzrast</w:t>
      </w:r>
      <w:r w:rsidR="00906CF8" w:rsidRPr="00B74B0F">
        <w:rPr>
          <w:sz w:val="22"/>
          <w:szCs w:val="22"/>
          <w:lang w:val="sr-Latn-ME"/>
        </w:rPr>
        <w:t>, pol, tjelesna</w:t>
      </w:r>
      <w:r w:rsidR="004A4B44" w:rsidRPr="00B74B0F">
        <w:rPr>
          <w:sz w:val="22"/>
          <w:szCs w:val="22"/>
          <w:lang w:val="sr-Latn-ME"/>
        </w:rPr>
        <w:t xml:space="preserve"> masa</w:t>
      </w:r>
      <w:r w:rsidR="00906CF8" w:rsidRPr="00B74B0F">
        <w:rPr>
          <w:sz w:val="22"/>
          <w:szCs w:val="22"/>
          <w:lang w:val="sr-Latn-ME"/>
        </w:rPr>
        <w:t>, rasa i etničko porijeklo ni</w:t>
      </w:r>
      <w:r w:rsidR="004A4B44" w:rsidRPr="00B74B0F">
        <w:rPr>
          <w:sz w:val="22"/>
          <w:szCs w:val="22"/>
          <w:lang w:val="sr-Latn-ME"/>
        </w:rPr>
        <w:t>je</w:t>
      </w:r>
      <w:r w:rsidR="00906CF8" w:rsidRPr="00B74B0F">
        <w:rPr>
          <w:sz w:val="22"/>
          <w:szCs w:val="22"/>
          <w:lang w:val="sr-Latn-ME"/>
        </w:rPr>
        <w:t>su</w:t>
      </w:r>
      <w:r w:rsidR="0091368F" w:rsidRPr="00B74B0F">
        <w:rPr>
          <w:sz w:val="22"/>
          <w:szCs w:val="22"/>
          <w:lang w:val="sr-Latn-ME"/>
        </w:rPr>
        <w:t xml:space="preserve"> imali</w:t>
      </w:r>
      <w:r w:rsidR="00906CF8" w:rsidRPr="00B74B0F">
        <w:rPr>
          <w:sz w:val="22"/>
          <w:szCs w:val="22"/>
          <w:lang w:val="sr-Latn-ME"/>
        </w:rPr>
        <w:t xml:space="preserve"> klinički značajno</w:t>
      </w:r>
      <w:r w:rsidR="0091368F" w:rsidRPr="00B74B0F">
        <w:rPr>
          <w:sz w:val="22"/>
          <w:szCs w:val="22"/>
          <w:lang w:val="sr-Latn-ME"/>
        </w:rPr>
        <w:t xml:space="preserve">g </w:t>
      </w:r>
      <w:r w:rsidR="00B1656D" w:rsidRPr="00B74B0F">
        <w:rPr>
          <w:sz w:val="22"/>
          <w:szCs w:val="22"/>
          <w:lang w:val="sr-Latn-ME"/>
        </w:rPr>
        <w:t>efekta</w:t>
      </w:r>
      <w:r w:rsidR="00906CF8" w:rsidRPr="00B74B0F">
        <w:rPr>
          <w:sz w:val="22"/>
          <w:szCs w:val="22"/>
          <w:lang w:val="sr-Latn-ME"/>
        </w:rPr>
        <w:t xml:space="preserve"> na izloženost upadacitinib</w:t>
      </w:r>
      <w:r w:rsidR="004A4B44" w:rsidRPr="00B74B0F">
        <w:rPr>
          <w:sz w:val="22"/>
          <w:szCs w:val="22"/>
          <w:lang w:val="sr-Latn-ME"/>
        </w:rPr>
        <w:t>u</w:t>
      </w:r>
      <w:r w:rsidR="00906CF8" w:rsidRPr="00B74B0F">
        <w:rPr>
          <w:sz w:val="22"/>
          <w:szCs w:val="22"/>
          <w:lang w:val="sr-Latn-ME"/>
        </w:rPr>
        <w:t>.</w:t>
      </w:r>
      <w:r w:rsidR="00F92C1E" w:rsidRPr="00B74B0F">
        <w:rPr>
          <w:sz w:val="22"/>
          <w:szCs w:val="22"/>
          <w:lang w:val="sr-Latn-ME"/>
        </w:rPr>
        <w:t xml:space="preserve"> Farmakokinetika upadacitiniba dosljedna je među pacijentima sa reumatoidnim artritisom</w:t>
      </w:r>
      <w:r w:rsidR="00F25DD5" w:rsidRPr="00B74B0F">
        <w:rPr>
          <w:sz w:val="22"/>
          <w:szCs w:val="22"/>
          <w:lang w:val="sr-Latn-ME"/>
        </w:rPr>
        <w:t>,</w:t>
      </w:r>
      <w:r w:rsidR="00F92C1E" w:rsidRPr="00B74B0F">
        <w:rPr>
          <w:sz w:val="22"/>
          <w:szCs w:val="22"/>
          <w:lang w:val="sr-Latn-ME"/>
        </w:rPr>
        <w:t xml:space="preserve"> psorijatičnim artritisom</w:t>
      </w:r>
      <w:r w:rsidR="00DD2CB7" w:rsidRPr="00B74B0F">
        <w:rPr>
          <w:sz w:val="22"/>
          <w:szCs w:val="22"/>
          <w:lang w:val="sr-Latn-ME"/>
        </w:rPr>
        <w:t xml:space="preserve"> i </w:t>
      </w:r>
      <w:r w:rsidR="00EA3C6D" w:rsidRPr="00B74B0F">
        <w:rPr>
          <w:sz w:val="22"/>
          <w:szCs w:val="22"/>
          <w:lang w:val="sr-Latn-ME"/>
        </w:rPr>
        <w:t>aksijalnim spondiloartritisom</w:t>
      </w:r>
      <w:r w:rsidR="00CE7D3C" w:rsidRPr="00B74B0F">
        <w:rPr>
          <w:sz w:val="22"/>
          <w:szCs w:val="22"/>
          <w:lang w:val="sr-Latn-ME"/>
        </w:rPr>
        <w:t xml:space="preserve">, </w:t>
      </w:r>
      <w:r w:rsidR="00430E9B" w:rsidRPr="00B74B0F">
        <w:rPr>
          <w:noProof/>
          <w:sz w:val="22"/>
          <w:szCs w:val="22"/>
          <w:lang w:val="sr-Latn-ME"/>
        </w:rPr>
        <w:t xml:space="preserve">atopijskim </w:t>
      </w:r>
      <w:r w:rsidR="00430E9B" w:rsidRPr="00B74B0F">
        <w:rPr>
          <w:sz w:val="22"/>
          <w:szCs w:val="22"/>
          <w:lang w:val="sr-Latn-ME"/>
        </w:rPr>
        <w:t>dermatitisom</w:t>
      </w:r>
      <w:r w:rsidR="00ED2E13" w:rsidRPr="00B74B0F">
        <w:rPr>
          <w:sz w:val="22"/>
          <w:szCs w:val="22"/>
          <w:lang w:val="sr-Latn-ME"/>
        </w:rPr>
        <w:t>,</w:t>
      </w:r>
      <w:r w:rsidR="00430E9B" w:rsidRPr="00B74B0F">
        <w:rPr>
          <w:sz w:val="22"/>
          <w:szCs w:val="22"/>
          <w:lang w:val="sr-Latn-ME"/>
        </w:rPr>
        <w:t> ulceroznim kolitisom</w:t>
      </w:r>
      <w:r w:rsidR="00ED2E13" w:rsidRPr="00B74B0F">
        <w:rPr>
          <w:noProof/>
          <w:sz w:val="22"/>
          <w:szCs w:val="22"/>
          <w:lang w:val="sr-Latn-ME"/>
        </w:rPr>
        <w:t xml:space="preserve"> i </w:t>
      </w:r>
      <w:r w:rsidR="004C44CD" w:rsidRPr="00B74B0F">
        <w:rPr>
          <w:noProof/>
          <w:sz w:val="22"/>
          <w:szCs w:val="22"/>
          <w:lang w:val="sr-Latn-ME"/>
        </w:rPr>
        <w:t>K</w:t>
      </w:r>
      <w:r w:rsidR="00ED2E13" w:rsidRPr="00B74B0F">
        <w:rPr>
          <w:noProof/>
          <w:sz w:val="22"/>
          <w:szCs w:val="22"/>
          <w:lang w:val="sr-Latn-ME"/>
        </w:rPr>
        <w:t>ronovom bolešću</w:t>
      </w:r>
      <w:r w:rsidR="004C44CD" w:rsidRPr="00B74B0F">
        <w:rPr>
          <w:noProof/>
          <w:sz w:val="22"/>
          <w:szCs w:val="22"/>
          <w:lang w:val="sr-Latn-ME"/>
        </w:rPr>
        <w:t>.</w:t>
      </w:r>
    </w:p>
    <w:p w14:paraId="60B468C6" w14:textId="77777777" w:rsidR="00812D16" w:rsidRPr="00B74B0F" w:rsidRDefault="00812D16">
      <w:pPr>
        <w:numPr>
          <w:ilvl w:val="12"/>
          <w:numId w:val="0"/>
        </w:numPr>
        <w:spacing w:line="240" w:lineRule="auto"/>
        <w:contextualSpacing/>
        <w:jc w:val="both"/>
        <w:rPr>
          <w:szCs w:val="22"/>
          <w:lang w:val="sr-Latn-ME"/>
        </w:rPr>
      </w:pPr>
    </w:p>
    <w:p w14:paraId="04244ED2" w14:textId="6565DAD1"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5.3</w:t>
      </w:r>
      <w:r w:rsidRPr="00B74B0F">
        <w:rPr>
          <w:b/>
          <w:szCs w:val="22"/>
          <w:lang w:val="sr-Latn-ME"/>
        </w:rPr>
        <w:tab/>
      </w:r>
      <w:r w:rsidR="00B27953" w:rsidRPr="00B74B0F">
        <w:rPr>
          <w:b/>
          <w:szCs w:val="22"/>
          <w:lang w:val="sr-Latn-ME"/>
        </w:rPr>
        <w:t xml:space="preserve">Pretklinički </w:t>
      </w:r>
      <w:r w:rsidRPr="00B74B0F">
        <w:rPr>
          <w:b/>
          <w:szCs w:val="22"/>
          <w:lang w:val="sr-Latn-ME"/>
        </w:rPr>
        <w:t xml:space="preserve">podaci o </w:t>
      </w:r>
      <w:r w:rsidR="003B1F43" w:rsidRPr="00B74B0F">
        <w:rPr>
          <w:b/>
          <w:szCs w:val="22"/>
          <w:lang w:val="sr-Latn-ME"/>
        </w:rPr>
        <w:t>bezbjednost</w:t>
      </w:r>
      <w:r w:rsidRPr="00B74B0F">
        <w:rPr>
          <w:b/>
          <w:szCs w:val="22"/>
          <w:lang w:val="sr-Latn-ME"/>
        </w:rPr>
        <w:t xml:space="preserve">i </w:t>
      </w:r>
    </w:p>
    <w:p w14:paraId="7FF08E6D" w14:textId="77777777" w:rsidR="0094361C" w:rsidRPr="00B74B0F" w:rsidRDefault="0094361C">
      <w:pPr>
        <w:keepNext/>
        <w:autoSpaceDE w:val="0"/>
        <w:autoSpaceDN w:val="0"/>
        <w:adjustRightInd w:val="0"/>
        <w:spacing w:line="240" w:lineRule="auto"/>
        <w:contextualSpacing/>
        <w:jc w:val="both"/>
        <w:rPr>
          <w:szCs w:val="22"/>
          <w:lang w:val="sr-Latn-ME"/>
        </w:rPr>
      </w:pPr>
    </w:p>
    <w:p w14:paraId="4A94D805" w14:textId="357E31B9" w:rsidR="0094361C" w:rsidRPr="00B74B0F" w:rsidRDefault="004A4B44">
      <w:pPr>
        <w:autoSpaceDE w:val="0"/>
        <w:autoSpaceDN w:val="0"/>
        <w:adjustRightInd w:val="0"/>
        <w:spacing w:line="240" w:lineRule="auto"/>
        <w:contextualSpacing/>
        <w:jc w:val="both"/>
        <w:rPr>
          <w:szCs w:val="22"/>
          <w:lang w:val="sr-Latn-ME"/>
        </w:rPr>
      </w:pPr>
      <w:r w:rsidRPr="00B74B0F">
        <w:rPr>
          <w:szCs w:val="22"/>
          <w:lang w:val="sr-Latn-ME"/>
        </w:rPr>
        <w:t xml:space="preserve">Pretklinički </w:t>
      </w:r>
      <w:r w:rsidR="00D6193A" w:rsidRPr="00B74B0F">
        <w:rPr>
          <w:szCs w:val="22"/>
          <w:lang w:val="sr-Latn-ME"/>
        </w:rPr>
        <w:t xml:space="preserve">podaci ne ukazuju na poseban rizik za ljude na </w:t>
      </w:r>
      <w:r w:rsidR="00F02DE6" w:rsidRPr="00B74B0F">
        <w:rPr>
          <w:szCs w:val="22"/>
          <w:lang w:val="sr-Latn-ME"/>
        </w:rPr>
        <w:t>osnovu</w:t>
      </w:r>
      <w:r w:rsidR="00D6193A" w:rsidRPr="00B74B0F">
        <w:rPr>
          <w:szCs w:val="22"/>
          <w:lang w:val="sr-Latn-ME"/>
        </w:rPr>
        <w:t xml:space="preserve"> konvencionalnih ispitivanja </w:t>
      </w:r>
      <w:r w:rsidR="005D165F" w:rsidRPr="00B74B0F">
        <w:rPr>
          <w:szCs w:val="22"/>
          <w:lang w:val="sr-Latn-ME"/>
        </w:rPr>
        <w:t>bezbjedonosn</w:t>
      </w:r>
      <w:r w:rsidR="00D6193A" w:rsidRPr="00B74B0F">
        <w:rPr>
          <w:szCs w:val="22"/>
          <w:lang w:val="sr-Latn-ME"/>
        </w:rPr>
        <w:t xml:space="preserve">e farmakologije. </w:t>
      </w:r>
    </w:p>
    <w:p w14:paraId="4B300B5C" w14:textId="77777777" w:rsidR="00946207" w:rsidRPr="00B74B0F" w:rsidRDefault="00946207">
      <w:pPr>
        <w:autoSpaceDE w:val="0"/>
        <w:autoSpaceDN w:val="0"/>
        <w:adjustRightInd w:val="0"/>
        <w:spacing w:line="240" w:lineRule="auto"/>
        <w:contextualSpacing/>
        <w:jc w:val="both"/>
        <w:rPr>
          <w:szCs w:val="22"/>
          <w:lang w:val="sr-Latn-ME"/>
        </w:rPr>
      </w:pPr>
    </w:p>
    <w:p w14:paraId="0D30B692" w14:textId="63E03176" w:rsidR="0094361C" w:rsidRPr="00B74B0F" w:rsidRDefault="00906CF8">
      <w:pPr>
        <w:spacing w:line="240" w:lineRule="auto"/>
        <w:contextualSpacing/>
        <w:jc w:val="both"/>
        <w:rPr>
          <w:szCs w:val="22"/>
          <w:lang w:val="sr-Latn-ME"/>
        </w:rPr>
      </w:pPr>
      <w:r w:rsidRPr="00B74B0F">
        <w:rPr>
          <w:szCs w:val="22"/>
          <w:lang w:val="sr-Latn-ME"/>
        </w:rPr>
        <w:t>U 2</w:t>
      </w:r>
      <w:r w:rsidRPr="00B74B0F">
        <w:rPr>
          <w:szCs w:val="22"/>
          <w:lang w:val="sr-Latn-ME"/>
        </w:rPr>
        <w:noBreakHyphen/>
        <w:t>godišnjem ispitivanju kancerogenosti na Sprague</w:t>
      </w:r>
      <w:r w:rsidRPr="00B74B0F">
        <w:rPr>
          <w:szCs w:val="22"/>
          <w:lang w:val="sr-Latn-ME"/>
        </w:rPr>
        <w:noBreakHyphen/>
        <w:t xml:space="preserve">Dawley </w:t>
      </w:r>
      <w:r w:rsidR="004A4B44" w:rsidRPr="00B74B0F">
        <w:rPr>
          <w:szCs w:val="22"/>
          <w:lang w:val="sr-Latn-ME"/>
        </w:rPr>
        <w:t xml:space="preserve">pacovima </w:t>
      </w:r>
      <w:r w:rsidRPr="00B74B0F">
        <w:rPr>
          <w:szCs w:val="22"/>
          <w:lang w:val="sr-Latn-ME"/>
        </w:rPr>
        <w:t xml:space="preserve">upadacitinib nije imao kancerogeni </w:t>
      </w:r>
      <w:r w:rsidR="00F02DE6" w:rsidRPr="00B74B0F">
        <w:rPr>
          <w:szCs w:val="22"/>
          <w:lang w:val="sr-Latn-ME"/>
        </w:rPr>
        <w:t>efekat</w:t>
      </w:r>
      <w:r w:rsidRPr="00B74B0F">
        <w:rPr>
          <w:szCs w:val="22"/>
          <w:lang w:val="sr-Latn-ME"/>
        </w:rPr>
        <w:t xml:space="preserve"> pri izloženosti </w:t>
      </w:r>
      <w:r w:rsidR="00790DE8" w:rsidRPr="00B74B0F">
        <w:rPr>
          <w:szCs w:val="22"/>
          <w:lang w:val="sr-Latn-ME"/>
        </w:rPr>
        <w:t xml:space="preserve">koja je </w:t>
      </w:r>
      <w:r w:rsidR="00F02DE6" w:rsidRPr="00B74B0F">
        <w:rPr>
          <w:szCs w:val="22"/>
          <w:lang w:val="sr-Latn-ME"/>
        </w:rPr>
        <w:t>kod</w:t>
      </w:r>
      <w:r w:rsidR="00790DE8" w:rsidRPr="00B74B0F">
        <w:rPr>
          <w:szCs w:val="22"/>
          <w:lang w:val="sr-Latn-ME"/>
        </w:rPr>
        <w:t xml:space="preserve"> mužjaka bila </w:t>
      </w:r>
      <w:r w:rsidRPr="00B74B0F">
        <w:rPr>
          <w:szCs w:val="22"/>
          <w:lang w:val="sr-Latn-ME"/>
        </w:rPr>
        <w:t>približno 4</w:t>
      </w:r>
      <w:r w:rsidR="00790DE8" w:rsidRPr="00B74B0F">
        <w:rPr>
          <w:szCs w:val="22"/>
          <w:lang w:val="sr-Latn-ME"/>
        </w:rPr>
        <w:t xml:space="preserve">, a </w:t>
      </w:r>
      <w:r w:rsidR="00F02DE6" w:rsidRPr="00B74B0F">
        <w:rPr>
          <w:szCs w:val="22"/>
          <w:lang w:val="sr-Latn-ME"/>
        </w:rPr>
        <w:t>kod</w:t>
      </w:r>
      <w:r w:rsidR="00790DE8" w:rsidRPr="00B74B0F">
        <w:rPr>
          <w:szCs w:val="22"/>
          <w:lang w:val="sr-Latn-ME"/>
        </w:rPr>
        <w:t xml:space="preserve"> ženki približno</w:t>
      </w:r>
      <w:r w:rsidRPr="00B74B0F">
        <w:rPr>
          <w:szCs w:val="22"/>
          <w:lang w:val="sr-Latn-ME"/>
        </w:rPr>
        <w:t xml:space="preserve"> 10 puta već</w:t>
      </w:r>
      <w:r w:rsidR="00790DE8" w:rsidRPr="00B74B0F">
        <w:rPr>
          <w:szCs w:val="22"/>
          <w:lang w:val="sr-Latn-ME"/>
        </w:rPr>
        <w:t>a</w:t>
      </w:r>
      <w:r w:rsidRPr="00B74B0F">
        <w:rPr>
          <w:szCs w:val="22"/>
          <w:lang w:val="sr-Latn-ME"/>
        </w:rPr>
        <w:t xml:space="preserve"> od on</w:t>
      </w:r>
      <w:r w:rsidR="00790DE8" w:rsidRPr="00B74B0F">
        <w:rPr>
          <w:szCs w:val="22"/>
          <w:lang w:val="sr-Latn-ME"/>
        </w:rPr>
        <w:t>e</w:t>
      </w:r>
      <w:r w:rsidRPr="00B74B0F">
        <w:rPr>
          <w:szCs w:val="22"/>
          <w:lang w:val="sr-Latn-ME"/>
        </w:rPr>
        <w:t xml:space="preserve"> koj</w:t>
      </w:r>
      <w:r w:rsidR="00790DE8" w:rsidRPr="00B74B0F">
        <w:rPr>
          <w:szCs w:val="22"/>
          <w:lang w:val="sr-Latn-ME"/>
        </w:rPr>
        <w:t>a</w:t>
      </w:r>
      <w:r w:rsidRPr="00B74B0F">
        <w:rPr>
          <w:szCs w:val="22"/>
          <w:lang w:val="sr-Latn-ME"/>
        </w:rPr>
        <w:t xml:space="preserve"> se postiž</w:t>
      </w:r>
      <w:r w:rsidR="00790DE8" w:rsidRPr="00B74B0F">
        <w:rPr>
          <w:szCs w:val="22"/>
          <w:lang w:val="sr-Latn-ME"/>
        </w:rPr>
        <w:t>e</w:t>
      </w:r>
      <w:r w:rsidRPr="00B74B0F">
        <w:rPr>
          <w:szCs w:val="22"/>
          <w:lang w:val="sr-Latn-ME"/>
        </w:rPr>
        <w:t xml:space="preserve"> kliničkom dozom od 15 mg</w:t>
      </w:r>
      <w:r w:rsidR="00790DE8" w:rsidRPr="00B74B0F">
        <w:rPr>
          <w:szCs w:val="22"/>
          <w:lang w:val="sr-Latn-ME"/>
        </w:rPr>
        <w:t xml:space="preserve"> (na </w:t>
      </w:r>
      <w:r w:rsidR="00F02DE6" w:rsidRPr="00B74B0F">
        <w:rPr>
          <w:szCs w:val="22"/>
          <w:lang w:val="sr-Latn-ME"/>
        </w:rPr>
        <w:t>osnovu</w:t>
      </w:r>
      <w:r w:rsidR="00790DE8" w:rsidRPr="00B74B0F">
        <w:rPr>
          <w:szCs w:val="22"/>
          <w:lang w:val="sr-Latn-ME"/>
        </w:rPr>
        <w:t xml:space="preserve"> </w:t>
      </w:r>
      <w:r w:rsidR="004A4B44" w:rsidRPr="00B74B0F">
        <w:rPr>
          <w:szCs w:val="22"/>
          <w:lang w:val="sr-Latn-ME"/>
        </w:rPr>
        <w:t>PIK</w:t>
      </w:r>
      <w:r w:rsidR="00790DE8" w:rsidRPr="00B74B0F">
        <w:rPr>
          <w:szCs w:val="22"/>
          <w:lang w:val="sr-Latn-ME"/>
        </w:rPr>
        <w:noBreakHyphen/>
        <w:t>a)</w:t>
      </w:r>
      <w:r w:rsidR="000E47A6" w:rsidRPr="00B74B0F">
        <w:rPr>
          <w:szCs w:val="22"/>
          <w:lang w:val="sr-Latn-ME"/>
        </w:rPr>
        <w:t xml:space="preserve">, 2 odnosno 5 puta veća od one koja se postiže kliničkom dozom od 30 mg te 1,7 odnosno 4 puta veća od one koja se postiže kliničkom dozom od 45 mg (na temelju </w:t>
      </w:r>
      <w:r w:rsidR="004B4816" w:rsidRPr="00B74B0F">
        <w:rPr>
          <w:szCs w:val="22"/>
          <w:lang w:val="sr-Latn-ME"/>
        </w:rPr>
        <w:t>PIK</w:t>
      </w:r>
      <w:r w:rsidR="000E47A6" w:rsidRPr="00B74B0F">
        <w:rPr>
          <w:szCs w:val="22"/>
          <w:lang w:val="sr-Latn-ME"/>
        </w:rPr>
        <w:t>-a)</w:t>
      </w:r>
      <w:r w:rsidRPr="00B74B0F">
        <w:rPr>
          <w:szCs w:val="22"/>
          <w:lang w:val="sr-Latn-ME"/>
        </w:rPr>
        <w:t xml:space="preserve">. </w:t>
      </w:r>
      <w:r w:rsidR="00F02DE6" w:rsidRPr="00B74B0F">
        <w:rPr>
          <w:szCs w:val="22"/>
          <w:lang w:val="sr-Latn-ME"/>
        </w:rPr>
        <w:t>Lijek u</w:t>
      </w:r>
      <w:r w:rsidRPr="00B74B0F">
        <w:rPr>
          <w:szCs w:val="22"/>
          <w:lang w:val="sr-Latn-ME"/>
        </w:rPr>
        <w:t>padacitinib nije bio kancerogen ni u 26</w:t>
      </w:r>
      <w:r w:rsidRPr="00B74B0F">
        <w:rPr>
          <w:szCs w:val="22"/>
          <w:lang w:val="sr-Latn-ME"/>
        </w:rPr>
        <w:noBreakHyphen/>
      </w:r>
      <w:r w:rsidR="00B10681" w:rsidRPr="00B74B0F">
        <w:rPr>
          <w:szCs w:val="22"/>
          <w:lang w:val="sr-Latn-ME"/>
        </w:rPr>
        <w:t>ned</w:t>
      </w:r>
      <w:r w:rsidR="004A4B44" w:rsidRPr="00B74B0F">
        <w:rPr>
          <w:szCs w:val="22"/>
          <w:lang w:val="sr-Latn-ME"/>
        </w:rPr>
        <w:t>j</w:t>
      </w:r>
      <w:r w:rsidR="00B10681" w:rsidRPr="00B74B0F">
        <w:rPr>
          <w:szCs w:val="22"/>
          <w:lang w:val="sr-Latn-ME"/>
        </w:rPr>
        <w:t>eljno</w:t>
      </w:r>
      <w:r w:rsidR="00F02DE6" w:rsidRPr="00B74B0F">
        <w:rPr>
          <w:szCs w:val="22"/>
          <w:lang w:val="sr-Latn-ME"/>
        </w:rPr>
        <w:t>m</w:t>
      </w:r>
      <w:r w:rsidRPr="00B74B0F">
        <w:rPr>
          <w:szCs w:val="22"/>
          <w:lang w:val="sr-Latn-ME"/>
        </w:rPr>
        <w:t xml:space="preserve"> ispitivanju kancerogenosti na transgeničnim</w:t>
      </w:r>
      <w:r w:rsidR="0032503C" w:rsidRPr="00B74B0F">
        <w:rPr>
          <w:szCs w:val="22"/>
          <w:lang w:val="sr-Latn-ME"/>
        </w:rPr>
        <w:t xml:space="preserve"> </w:t>
      </w:r>
      <w:r w:rsidRPr="00B74B0F">
        <w:rPr>
          <w:szCs w:val="22"/>
          <w:lang w:val="sr-Latn-ME"/>
        </w:rPr>
        <w:t>CByB6F1-Tg(HRAS)2Jic miševima.</w:t>
      </w:r>
    </w:p>
    <w:p w14:paraId="20D8B2F7" w14:textId="77777777" w:rsidR="0094361C" w:rsidRPr="00B74B0F" w:rsidRDefault="0094361C">
      <w:pPr>
        <w:spacing w:line="240" w:lineRule="auto"/>
        <w:contextualSpacing/>
        <w:jc w:val="both"/>
        <w:rPr>
          <w:i/>
          <w:szCs w:val="22"/>
          <w:lang w:val="sr-Latn-ME"/>
        </w:rPr>
      </w:pPr>
    </w:p>
    <w:p w14:paraId="345682DA" w14:textId="5905A906" w:rsidR="0094361C" w:rsidRPr="00B74B0F" w:rsidRDefault="00F02DE6">
      <w:pPr>
        <w:spacing w:line="240" w:lineRule="auto"/>
        <w:contextualSpacing/>
        <w:jc w:val="both"/>
        <w:rPr>
          <w:szCs w:val="22"/>
          <w:lang w:val="sr-Latn-ME"/>
        </w:rPr>
      </w:pPr>
      <w:r w:rsidRPr="00B74B0F">
        <w:rPr>
          <w:szCs w:val="22"/>
          <w:lang w:val="sr-Latn-ME"/>
        </w:rPr>
        <w:t>Lijek u</w:t>
      </w:r>
      <w:r w:rsidR="00906CF8" w:rsidRPr="00B74B0F">
        <w:rPr>
          <w:szCs w:val="22"/>
          <w:lang w:val="sr-Latn-ME"/>
        </w:rPr>
        <w:t xml:space="preserve">padacitinib nije bio mutagen ni genotoksičan prema rezultatima testova na genske mutacije i </w:t>
      </w:r>
      <w:r w:rsidRPr="00B74B0F">
        <w:rPr>
          <w:szCs w:val="22"/>
          <w:lang w:val="sr-Latn-ME"/>
        </w:rPr>
        <w:t>h</w:t>
      </w:r>
      <w:r w:rsidR="00906CF8" w:rsidRPr="00B74B0F">
        <w:rPr>
          <w:szCs w:val="22"/>
          <w:lang w:val="sr-Latn-ME"/>
        </w:rPr>
        <w:t>romo</w:t>
      </w:r>
      <w:r w:rsidRPr="00B74B0F">
        <w:rPr>
          <w:szCs w:val="22"/>
          <w:lang w:val="sr-Latn-ME"/>
        </w:rPr>
        <w:t>z</w:t>
      </w:r>
      <w:r w:rsidR="00906CF8" w:rsidRPr="00B74B0F">
        <w:rPr>
          <w:szCs w:val="22"/>
          <w:lang w:val="sr-Latn-ME"/>
        </w:rPr>
        <w:t xml:space="preserve">omske aberacije </w:t>
      </w:r>
      <w:r w:rsidR="00906CF8" w:rsidRPr="00B74B0F">
        <w:rPr>
          <w:i/>
          <w:iCs/>
          <w:szCs w:val="22"/>
          <w:lang w:val="sr-Latn-ME"/>
        </w:rPr>
        <w:t>in vitro</w:t>
      </w:r>
      <w:r w:rsidR="00906CF8" w:rsidRPr="00B74B0F">
        <w:rPr>
          <w:szCs w:val="22"/>
          <w:lang w:val="sr-Latn-ME"/>
        </w:rPr>
        <w:t xml:space="preserve"> i </w:t>
      </w:r>
      <w:r w:rsidR="00906CF8" w:rsidRPr="00B74B0F">
        <w:rPr>
          <w:i/>
          <w:iCs/>
          <w:szCs w:val="22"/>
          <w:lang w:val="sr-Latn-ME"/>
        </w:rPr>
        <w:t>in vivo</w:t>
      </w:r>
      <w:r w:rsidR="00906CF8" w:rsidRPr="00B74B0F">
        <w:rPr>
          <w:szCs w:val="22"/>
          <w:lang w:val="sr-Latn-ME"/>
        </w:rPr>
        <w:t>.</w:t>
      </w:r>
    </w:p>
    <w:p w14:paraId="75E6A5DB" w14:textId="77777777" w:rsidR="0094361C" w:rsidRPr="00B74B0F" w:rsidRDefault="0094361C">
      <w:pPr>
        <w:autoSpaceDE w:val="0"/>
        <w:autoSpaceDN w:val="0"/>
        <w:adjustRightInd w:val="0"/>
        <w:spacing w:line="240" w:lineRule="auto"/>
        <w:contextualSpacing/>
        <w:jc w:val="both"/>
        <w:rPr>
          <w:i/>
          <w:szCs w:val="22"/>
          <w:lang w:val="sr-Latn-ME"/>
        </w:rPr>
      </w:pPr>
    </w:p>
    <w:p w14:paraId="358ED3AB" w14:textId="24D37B2B" w:rsidR="00DE564C" w:rsidRPr="00B74B0F" w:rsidRDefault="00DE564C">
      <w:pPr>
        <w:autoSpaceDE w:val="0"/>
        <w:autoSpaceDN w:val="0"/>
        <w:adjustRightInd w:val="0"/>
        <w:spacing w:line="240" w:lineRule="auto"/>
        <w:contextualSpacing/>
        <w:jc w:val="both"/>
        <w:rPr>
          <w:noProof/>
          <w:szCs w:val="22"/>
          <w:lang w:val="sr-Latn-ME"/>
        </w:rPr>
      </w:pPr>
      <w:r w:rsidRPr="00B74B0F">
        <w:rPr>
          <w:noProof/>
          <w:szCs w:val="22"/>
          <w:lang w:val="sr-Latn-ME"/>
        </w:rPr>
        <w:t>U ispitivanju plodnosti i ranog embrionalnog razvoja upadacitinib nije ut</w:t>
      </w:r>
      <w:r w:rsidR="00C74F98" w:rsidRPr="00B74B0F">
        <w:rPr>
          <w:noProof/>
          <w:szCs w:val="22"/>
          <w:lang w:val="sr-Latn-ME"/>
        </w:rPr>
        <w:t xml:space="preserve">icao </w:t>
      </w:r>
      <w:r w:rsidRPr="00B74B0F">
        <w:rPr>
          <w:noProof/>
          <w:szCs w:val="22"/>
          <w:lang w:val="sr-Latn-ME"/>
        </w:rPr>
        <w:t xml:space="preserve">na plodnost mužjaka ni ženki </w:t>
      </w:r>
      <w:r w:rsidR="000102C3" w:rsidRPr="00B74B0F">
        <w:rPr>
          <w:noProof/>
          <w:szCs w:val="22"/>
          <w:lang w:val="sr-Latn-ME"/>
        </w:rPr>
        <w:t xml:space="preserve">pacova </w:t>
      </w:r>
      <w:r w:rsidRPr="00B74B0F">
        <w:rPr>
          <w:noProof/>
          <w:szCs w:val="22"/>
          <w:lang w:val="sr-Latn-ME"/>
        </w:rPr>
        <w:t xml:space="preserve">pri izloženostima do približno </w:t>
      </w:r>
      <w:r w:rsidRPr="00B74B0F">
        <w:rPr>
          <w:szCs w:val="22"/>
          <w:lang w:val="sr-Latn-ME"/>
        </w:rPr>
        <w:t>1</w:t>
      </w:r>
      <w:r w:rsidR="00623ABF" w:rsidRPr="00B74B0F">
        <w:rPr>
          <w:szCs w:val="22"/>
          <w:lang w:val="sr-Latn-ME"/>
        </w:rPr>
        <w:t>7</w:t>
      </w:r>
      <w:r w:rsidRPr="00B74B0F">
        <w:rPr>
          <w:szCs w:val="22"/>
          <w:lang w:val="sr-Latn-ME"/>
        </w:rPr>
        <w:t xml:space="preserve"> </w:t>
      </w:r>
      <w:r w:rsidRPr="00B74B0F">
        <w:rPr>
          <w:noProof/>
          <w:szCs w:val="22"/>
          <w:lang w:val="sr-Latn-ME"/>
        </w:rPr>
        <w:t xml:space="preserve">i </w:t>
      </w:r>
      <w:r w:rsidRPr="00B74B0F">
        <w:rPr>
          <w:szCs w:val="22"/>
          <w:lang w:val="sr-Latn-ME"/>
        </w:rPr>
        <w:t>3</w:t>
      </w:r>
      <w:r w:rsidR="00623ABF" w:rsidRPr="00B74B0F">
        <w:rPr>
          <w:szCs w:val="22"/>
          <w:lang w:val="sr-Latn-ME"/>
        </w:rPr>
        <w:t>4</w:t>
      </w:r>
      <w:r w:rsidRPr="00B74B0F">
        <w:rPr>
          <w:szCs w:val="22"/>
          <w:lang w:val="sr-Latn-ME"/>
        </w:rPr>
        <w:t xml:space="preserve"> </w:t>
      </w:r>
      <w:r w:rsidRPr="00B74B0F">
        <w:rPr>
          <w:noProof/>
          <w:szCs w:val="22"/>
          <w:lang w:val="sr-Latn-ME"/>
        </w:rPr>
        <w:t xml:space="preserve">puta većim od maksimalne preporučene dnevne doze </w:t>
      </w:r>
      <w:r w:rsidR="000102C3" w:rsidRPr="00B74B0F">
        <w:rPr>
          <w:noProof/>
          <w:szCs w:val="22"/>
          <w:lang w:val="sr-Latn-ME"/>
        </w:rPr>
        <w:t>kod</w:t>
      </w:r>
      <w:r w:rsidRPr="00B74B0F">
        <w:rPr>
          <w:noProof/>
          <w:szCs w:val="22"/>
          <w:lang w:val="sr-Latn-ME"/>
        </w:rPr>
        <w:t xml:space="preserve"> ljudi od </w:t>
      </w:r>
      <w:r w:rsidRPr="00B74B0F">
        <w:rPr>
          <w:szCs w:val="22"/>
          <w:lang w:val="sr-Latn-ME"/>
        </w:rPr>
        <w:t>45 </w:t>
      </w:r>
      <w:r w:rsidRPr="00B74B0F">
        <w:rPr>
          <w:noProof/>
          <w:szCs w:val="22"/>
          <w:lang w:val="sr-Latn-ME"/>
        </w:rPr>
        <w:t xml:space="preserve">mg, na </w:t>
      </w:r>
      <w:r w:rsidR="003B0FE8" w:rsidRPr="00B74B0F">
        <w:rPr>
          <w:noProof/>
          <w:szCs w:val="22"/>
          <w:lang w:val="sr-Latn-ME"/>
        </w:rPr>
        <w:t>osnovu</w:t>
      </w:r>
      <w:r w:rsidRPr="00B74B0F">
        <w:rPr>
          <w:noProof/>
          <w:szCs w:val="22"/>
          <w:lang w:val="sr-Latn-ME"/>
        </w:rPr>
        <w:t xml:space="preserve">u </w:t>
      </w:r>
      <w:r w:rsidR="000102C3" w:rsidRPr="00B74B0F">
        <w:rPr>
          <w:noProof/>
          <w:szCs w:val="22"/>
          <w:lang w:val="sr-Latn-ME"/>
        </w:rPr>
        <w:t>PIK</w:t>
      </w:r>
      <w:r w:rsidRPr="00B74B0F">
        <w:rPr>
          <w:noProof/>
          <w:szCs w:val="22"/>
          <w:lang w:val="sr-Latn-ME"/>
        </w:rPr>
        <w:t xml:space="preserve">-a. U ovom ispitivanju plodnosti na </w:t>
      </w:r>
      <w:r w:rsidR="000102C3" w:rsidRPr="00B74B0F">
        <w:rPr>
          <w:noProof/>
          <w:szCs w:val="22"/>
          <w:lang w:val="sr-Latn-ME"/>
        </w:rPr>
        <w:t>pacovima</w:t>
      </w:r>
      <w:r w:rsidR="003B0FE8" w:rsidRPr="00B74B0F">
        <w:rPr>
          <w:noProof/>
          <w:szCs w:val="22"/>
          <w:lang w:val="sr-Latn-ME"/>
        </w:rPr>
        <w:t xml:space="preserve"> su</w:t>
      </w:r>
      <w:r w:rsidR="000102C3" w:rsidRPr="00B74B0F">
        <w:rPr>
          <w:noProof/>
          <w:szCs w:val="22"/>
          <w:lang w:val="sr-Latn-ME"/>
        </w:rPr>
        <w:t xml:space="preserve"> </w:t>
      </w:r>
      <w:r w:rsidR="003B0FE8" w:rsidRPr="00B74B0F">
        <w:rPr>
          <w:noProof/>
          <w:szCs w:val="22"/>
          <w:lang w:val="sr-Latn-ME"/>
        </w:rPr>
        <w:t>primijećena</w:t>
      </w:r>
      <w:r w:rsidRPr="00B74B0F">
        <w:rPr>
          <w:noProof/>
          <w:szCs w:val="22"/>
          <w:lang w:val="sr-Latn-ME"/>
        </w:rPr>
        <w:t xml:space="preserve"> </w:t>
      </w:r>
      <w:r w:rsidR="001D6217" w:rsidRPr="00B74B0F">
        <w:rPr>
          <w:noProof/>
          <w:szCs w:val="22"/>
          <w:lang w:val="sr-Latn-ME"/>
        </w:rPr>
        <w:t>dozno zavisno</w:t>
      </w:r>
      <w:r w:rsidRPr="00B74B0F">
        <w:rPr>
          <w:noProof/>
          <w:szCs w:val="22"/>
          <w:lang w:val="sr-Latn-ME"/>
        </w:rPr>
        <w:t xml:space="preserve"> povećanja stope resorpcije ploda povezane s</w:t>
      </w:r>
      <w:r w:rsidR="003B0FE8" w:rsidRPr="00B74B0F">
        <w:rPr>
          <w:noProof/>
          <w:szCs w:val="22"/>
          <w:lang w:val="sr-Latn-ME"/>
        </w:rPr>
        <w:t>a</w:t>
      </w:r>
      <w:r w:rsidRPr="00B74B0F">
        <w:rPr>
          <w:noProof/>
          <w:szCs w:val="22"/>
          <w:lang w:val="sr-Latn-ME"/>
        </w:rPr>
        <w:t xml:space="preserve"> gubitkom ploda nakon implantacije, koja su pripisana razvojnoj toksičnosti/teratogenim </w:t>
      </w:r>
      <w:r w:rsidR="003B0FE8" w:rsidRPr="00B74B0F">
        <w:rPr>
          <w:noProof/>
          <w:szCs w:val="22"/>
          <w:lang w:val="sr-Latn-ME"/>
        </w:rPr>
        <w:t>efektima</w:t>
      </w:r>
      <w:r w:rsidRPr="00B74B0F">
        <w:rPr>
          <w:noProof/>
          <w:szCs w:val="22"/>
          <w:lang w:val="sr-Latn-ME"/>
        </w:rPr>
        <w:t xml:space="preserve"> upadacitiniba. Ni</w:t>
      </w:r>
      <w:r w:rsidR="000102C3" w:rsidRPr="00B74B0F">
        <w:rPr>
          <w:noProof/>
          <w:szCs w:val="22"/>
          <w:lang w:val="sr-Latn-ME"/>
        </w:rPr>
        <w:t>je</w:t>
      </w:r>
      <w:r w:rsidRPr="00B74B0F">
        <w:rPr>
          <w:noProof/>
          <w:szCs w:val="22"/>
          <w:lang w:val="sr-Latn-ME"/>
        </w:rPr>
        <w:t xml:space="preserve">su primijećeni štetni </w:t>
      </w:r>
      <w:r w:rsidR="000102C3" w:rsidRPr="00B74B0F">
        <w:rPr>
          <w:noProof/>
          <w:szCs w:val="22"/>
          <w:lang w:val="sr-Latn-ME"/>
        </w:rPr>
        <w:t xml:space="preserve">efekti </w:t>
      </w:r>
      <w:r w:rsidRPr="00B74B0F">
        <w:rPr>
          <w:noProof/>
          <w:szCs w:val="22"/>
          <w:lang w:val="sr-Latn-ME"/>
        </w:rPr>
        <w:t xml:space="preserve">kod izloženosti ispod kliničke izloženosti (na temelju </w:t>
      </w:r>
      <w:r w:rsidR="000102C3" w:rsidRPr="00B74B0F">
        <w:rPr>
          <w:noProof/>
          <w:szCs w:val="22"/>
          <w:lang w:val="sr-Latn-ME"/>
        </w:rPr>
        <w:t>PIK</w:t>
      </w:r>
      <w:r w:rsidRPr="00B74B0F">
        <w:rPr>
          <w:noProof/>
          <w:szCs w:val="22"/>
          <w:lang w:val="sr-Latn-ME"/>
        </w:rPr>
        <w:t xml:space="preserve">-a). Gubici nakon implantacije primijećeni su pri izloženosti </w:t>
      </w:r>
      <w:r w:rsidR="00C404BF" w:rsidRPr="00B74B0F">
        <w:rPr>
          <w:szCs w:val="22"/>
          <w:lang w:val="sr-Latn-ME"/>
        </w:rPr>
        <w:t>9</w:t>
      </w:r>
      <w:r w:rsidRPr="00B74B0F">
        <w:rPr>
          <w:szCs w:val="22"/>
          <w:lang w:val="sr-Latn-ME"/>
        </w:rPr>
        <w:t xml:space="preserve"> </w:t>
      </w:r>
      <w:r w:rsidRPr="00B74B0F">
        <w:rPr>
          <w:noProof/>
          <w:szCs w:val="22"/>
          <w:lang w:val="sr-Latn-ME"/>
        </w:rPr>
        <w:t xml:space="preserve">puta većoj od kliničke izloženosti pri maksimalnoj preporučenoj dnevnoj dozi </w:t>
      </w:r>
      <w:r w:rsidR="000102C3" w:rsidRPr="00B74B0F">
        <w:rPr>
          <w:noProof/>
          <w:szCs w:val="22"/>
          <w:lang w:val="sr-Latn-ME"/>
        </w:rPr>
        <w:t>kod</w:t>
      </w:r>
      <w:r w:rsidRPr="00B74B0F">
        <w:rPr>
          <w:noProof/>
          <w:szCs w:val="22"/>
          <w:lang w:val="sr-Latn-ME"/>
        </w:rPr>
        <w:t xml:space="preserve"> ljudi od </w:t>
      </w:r>
      <w:r w:rsidRPr="00B74B0F">
        <w:rPr>
          <w:szCs w:val="22"/>
          <w:lang w:val="sr-Latn-ME"/>
        </w:rPr>
        <w:t>45 </w:t>
      </w:r>
      <w:r w:rsidRPr="00B74B0F">
        <w:rPr>
          <w:noProof/>
          <w:szCs w:val="22"/>
          <w:lang w:val="sr-Latn-ME"/>
        </w:rPr>
        <w:t xml:space="preserve">mg (na temelju </w:t>
      </w:r>
      <w:r w:rsidR="000102C3" w:rsidRPr="00B74B0F">
        <w:rPr>
          <w:noProof/>
          <w:szCs w:val="22"/>
          <w:lang w:val="sr-Latn-ME"/>
        </w:rPr>
        <w:t>PIK</w:t>
      </w:r>
      <w:r w:rsidRPr="00B74B0F">
        <w:rPr>
          <w:noProof/>
          <w:szCs w:val="22"/>
          <w:lang w:val="sr-Latn-ME"/>
        </w:rPr>
        <w:t>-a).</w:t>
      </w:r>
    </w:p>
    <w:p w14:paraId="435B1545" w14:textId="77777777" w:rsidR="00DE564C" w:rsidRPr="00B74B0F" w:rsidRDefault="00DE564C">
      <w:pPr>
        <w:autoSpaceDE w:val="0"/>
        <w:autoSpaceDN w:val="0"/>
        <w:adjustRightInd w:val="0"/>
        <w:spacing w:line="240" w:lineRule="auto"/>
        <w:contextualSpacing/>
        <w:jc w:val="both"/>
        <w:rPr>
          <w:noProof/>
          <w:szCs w:val="22"/>
          <w:lang w:val="sr-Latn-ME"/>
        </w:rPr>
      </w:pPr>
    </w:p>
    <w:p w14:paraId="184BE337" w14:textId="02BCA2A6" w:rsidR="00DE564C" w:rsidRPr="00B74B0F" w:rsidRDefault="00DE564C">
      <w:pPr>
        <w:autoSpaceDE w:val="0"/>
        <w:autoSpaceDN w:val="0"/>
        <w:adjustRightInd w:val="0"/>
        <w:spacing w:line="240" w:lineRule="auto"/>
        <w:contextualSpacing/>
        <w:jc w:val="both"/>
        <w:rPr>
          <w:noProof/>
          <w:szCs w:val="22"/>
          <w:lang w:val="sr-Latn-ME"/>
        </w:rPr>
      </w:pPr>
      <w:r w:rsidRPr="00B74B0F">
        <w:rPr>
          <w:noProof/>
          <w:szCs w:val="22"/>
          <w:lang w:val="sr-Latn-ME"/>
        </w:rPr>
        <w:t>U ispitivanjima razvoja životinjskog embr</w:t>
      </w:r>
      <w:r w:rsidR="000102C3" w:rsidRPr="00B74B0F">
        <w:rPr>
          <w:noProof/>
          <w:szCs w:val="22"/>
          <w:lang w:val="sr-Latn-ME"/>
        </w:rPr>
        <w:t>ion</w:t>
      </w:r>
      <w:r w:rsidRPr="00B74B0F">
        <w:rPr>
          <w:noProof/>
          <w:szCs w:val="22"/>
          <w:lang w:val="sr-Latn-ME"/>
        </w:rPr>
        <w:t xml:space="preserve">a/fetusa upadacitinib se pokazao teratogenim i </w:t>
      </w:r>
      <w:r w:rsidR="000102C3" w:rsidRPr="00B74B0F">
        <w:rPr>
          <w:noProof/>
          <w:szCs w:val="22"/>
          <w:lang w:val="sr-Latn-ME"/>
        </w:rPr>
        <w:t>kod</w:t>
      </w:r>
      <w:r w:rsidRPr="00B74B0F">
        <w:rPr>
          <w:noProof/>
          <w:szCs w:val="22"/>
          <w:lang w:val="sr-Latn-ME"/>
        </w:rPr>
        <w:t xml:space="preserve"> </w:t>
      </w:r>
      <w:r w:rsidR="000102C3" w:rsidRPr="00B74B0F">
        <w:rPr>
          <w:noProof/>
          <w:szCs w:val="22"/>
          <w:lang w:val="sr-Latn-ME"/>
        </w:rPr>
        <w:t>pacova</w:t>
      </w:r>
      <w:r w:rsidRPr="00B74B0F">
        <w:rPr>
          <w:noProof/>
          <w:szCs w:val="22"/>
          <w:lang w:val="sr-Latn-ME"/>
        </w:rPr>
        <w:t xml:space="preserve"> </w:t>
      </w:r>
      <w:r w:rsidRPr="00B74B0F">
        <w:rPr>
          <w:noProof/>
          <w:szCs w:val="22"/>
          <w:lang w:val="sr-Latn-ME"/>
        </w:rPr>
        <w:br/>
        <w:t xml:space="preserve">i </w:t>
      </w:r>
      <w:r w:rsidR="000102C3" w:rsidRPr="00B74B0F">
        <w:rPr>
          <w:noProof/>
          <w:szCs w:val="22"/>
          <w:lang w:val="sr-Latn-ME"/>
        </w:rPr>
        <w:t>kod</w:t>
      </w:r>
      <w:r w:rsidRPr="00B74B0F">
        <w:rPr>
          <w:noProof/>
          <w:szCs w:val="22"/>
          <w:lang w:val="sr-Latn-ME"/>
        </w:rPr>
        <w:t xml:space="preserve"> kunića. Upadacitinib je rezul</w:t>
      </w:r>
      <w:r w:rsidR="003B0FE8" w:rsidRPr="00B74B0F">
        <w:rPr>
          <w:noProof/>
          <w:szCs w:val="22"/>
          <w:lang w:val="sr-Latn-ME"/>
        </w:rPr>
        <w:t>tovao</w:t>
      </w:r>
      <w:r w:rsidRPr="00B74B0F">
        <w:rPr>
          <w:noProof/>
          <w:szCs w:val="22"/>
          <w:lang w:val="sr-Latn-ME"/>
        </w:rPr>
        <w:t xml:space="preserve"> porastom koštanih malformacija </w:t>
      </w:r>
      <w:r w:rsidR="000102C3" w:rsidRPr="00B74B0F">
        <w:rPr>
          <w:noProof/>
          <w:szCs w:val="22"/>
          <w:lang w:val="sr-Latn-ME"/>
        </w:rPr>
        <w:t>kod</w:t>
      </w:r>
      <w:r w:rsidRPr="00B74B0F">
        <w:rPr>
          <w:noProof/>
          <w:szCs w:val="22"/>
          <w:lang w:val="sr-Latn-ME"/>
        </w:rPr>
        <w:t xml:space="preserve"> </w:t>
      </w:r>
      <w:r w:rsidR="000102C3" w:rsidRPr="00B74B0F">
        <w:rPr>
          <w:noProof/>
          <w:szCs w:val="22"/>
          <w:lang w:val="sr-Latn-ME"/>
        </w:rPr>
        <w:t>pacova</w:t>
      </w:r>
      <w:r w:rsidRPr="00B74B0F">
        <w:rPr>
          <w:noProof/>
          <w:szCs w:val="22"/>
          <w:lang w:val="sr-Latn-ME"/>
        </w:rPr>
        <w:t xml:space="preserve"> pri izloženosti 1,6</w:t>
      </w:r>
      <w:r w:rsidRPr="00B74B0F">
        <w:rPr>
          <w:szCs w:val="22"/>
          <w:lang w:val="sr-Latn-ME"/>
        </w:rPr>
        <w:t>, 0,8 </w:t>
      </w:r>
      <w:r w:rsidRPr="00B74B0F">
        <w:rPr>
          <w:noProof/>
          <w:szCs w:val="22"/>
          <w:lang w:val="sr-Latn-ME"/>
        </w:rPr>
        <w:t>odnosno 0,</w:t>
      </w:r>
      <w:r w:rsidRPr="00B74B0F">
        <w:rPr>
          <w:szCs w:val="22"/>
          <w:lang w:val="sr-Latn-ME"/>
        </w:rPr>
        <w:t xml:space="preserve">6 </w:t>
      </w:r>
      <w:r w:rsidRPr="00B74B0F">
        <w:rPr>
          <w:noProof/>
          <w:szCs w:val="22"/>
          <w:lang w:val="sr-Latn-ME"/>
        </w:rPr>
        <w:t xml:space="preserve">puta većoj od kliničke izloženosti (na </w:t>
      </w:r>
      <w:r w:rsidR="003B0FE8" w:rsidRPr="00B74B0F">
        <w:rPr>
          <w:noProof/>
          <w:szCs w:val="22"/>
          <w:lang w:val="sr-Latn-ME"/>
        </w:rPr>
        <w:t>osnovu</w:t>
      </w:r>
      <w:r w:rsidR="000102C3" w:rsidRPr="00B74B0F">
        <w:rPr>
          <w:noProof/>
          <w:szCs w:val="22"/>
          <w:lang w:val="sr-Latn-ME"/>
        </w:rPr>
        <w:t xml:space="preserve"> PIK</w:t>
      </w:r>
      <w:r w:rsidRPr="00B74B0F">
        <w:rPr>
          <w:noProof/>
          <w:szCs w:val="22"/>
          <w:lang w:val="sr-Latn-ME"/>
        </w:rPr>
        <w:t>-a) pri dozi od 15 mg</w:t>
      </w:r>
      <w:r w:rsidRPr="00B74B0F">
        <w:rPr>
          <w:szCs w:val="22"/>
          <w:lang w:val="sr-Latn-ME"/>
        </w:rPr>
        <w:t xml:space="preserve">, 30 mg </w:t>
      </w:r>
      <w:r w:rsidRPr="00B74B0F">
        <w:rPr>
          <w:noProof/>
          <w:szCs w:val="22"/>
          <w:lang w:val="sr-Latn-ME"/>
        </w:rPr>
        <w:t xml:space="preserve">odnosno </w:t>
      </w:r>
      <w:r w:rsidRPr="00B74B0F">
        <w:rPr>
          <w:szCs w:val="22"/>
          <w:lang w:val="sr-Latn-ME"/>
        </w:rPr>
        <w:t>45 </w:t>
      </w:r>
      <w:r w:rsidRPr="00B74B0F">
        <w:rPr>
          <w:noProof/>
          <w:szCs w:val="22"/>
          <w:lang w:val="sr-Latn-ME"/>
        </w:rPr>
        <w:t xml:space="preserve">mg (maksimalna preporučena dnevna doza </w:t>
      </w:r>
      <w:r w:rsidR="000102C3" w:rsidRPr="00B74B0F">
        <w:rPr>
          <w:noProof/>
          <w:szCs w:val="22"/>
          <w:lang w:val="sr-Latn-ME"/>
        </w:rPr>
        <w:t>kod</w:t>
      </w:r>
      <w:r w:rsidRPr="00B74B0F">
        <w:rPr>
          <w:noProof/>
          <w:szCs w:val="22"/>
          <w:lang w:val="sr-Latn-ME"/>
        </w:rPr>
        <w:t xml:space="preserve"> ljudi). </w:t>
      </w:r>
      <w:r w:rsidR="000102C3" w:rsidRPr="00B74B0F">
        <w:rPr>
          <w:noProof/>
          <w:szCs w:val="22"/>
          <w:lang w:val="sr-Latn-ME"/>
        </w:rPr>
        <w:t>Kod</w:t>
      </w:r>
      <w:r w:rsidRPr="00B74B0F">
        <w:rPr>
          <w:noProof/>
          <w:szCs w:val="22"/>
          <w:lang w:val="sr-Latn-ME"/>
        </w:rPr>
        <w:t xml:space="preserve"> kunića je primijećena povećana učestalost kardiovaskularnih malformacija pri izloženosti 15</w:t>
      </w:r>
      <w:r w:rsidRPr="00B74B0F">
        <w:rPr>
          <w:szCs w:val="22"/>
          <w:lang w:val="sr-Latn-ME"/>
        </w:rPr>
        <w:t xml:space="preserve">, 7,6 </w:t>
      </w:r>
      <w:r w:rsidRPr="00B74B0F">
        <w:rPr>
          <w:noProof/>
          <w:szCs w:val="22"/>
          <w:lang w:val="sr-Latn-ME"/>
        </w:rPr>
        <w:t>odnosno 6 puta većoj od kliničke izloženosti pri dozi od 15 mg</w:t>
      </w:r>
      <w:r w:rsidRPr="00B74B0F">
        <w:rPr>
          <w:szCs w:val="22"/>
          <w:lang w:val="sr-Latn-ME"/>
        </w:rPr>
        <w:t xml:space="preserve">, 30 mg </w:t>
      </w:r>
      <w:r w:rsidRPr="00B74B0F">
        <w:rPr>
          <w:noProof/>
          <w:szCs w:val="22"/>
          <w:lang w:val="sr-Latn-ME"/>
        </w:rPr>
        <w:t xml:space="preserve">odnosno </w:t>
      </w:r>
      <w:r w:rsidRPr="00B74B0F">
        <w:rPr>
          <w:szCs w:val="22"/>
          <w:lang w:val="sr-Latn-ME"/>
        </w:rPr>
        <w:t>45 </w:t>
      </w:r>
      <w:r w:rsidRPr="00B74B0F">
        <w:rPr>
          <w:noProof/>
          <w:szCs w:val="22"/>
          <w:lang w:val="sr-Latn-ME"/>
        </w:rPr>
        <w:t xml:space="preserve">mg (na </w:t>
      </w:r>
      <w:r w:rsidR="003B0FE8" w:rsidRPr="00B74B0F">
        <w:rPr>
          <w:noProof/>
          <w:szCs w:val="22"/>
          <w:lang w:val="sr-Latn-ME"/>
        </w:rPr>
        <w:t>osnovu</w:t>
      </w:r>
      <w:r w:rsidRPr="00B74B0F">
        <w:rPr>
          <w:noProof/>
          <w:szCs w:val="22"/>
          <w:lang w:val="sr-Latn-ME"/>
        </w:rPr>
        <w:t xml:space="preserve"> </w:t>
      </w:r>
      <w:r w:rsidR="002611FF" w:rsidRPr="00B74B0F">
        <w:rPr>
          <w:noProof/>
          <w:szCs w:val="22"/>
          <w:lang w:val="sr-Latn-ME"/>
        </w:rPr>
        <w:t>PIK</w:t>
      </w:r>
      <w:r w:rsidRPr="00B74B0F">
        <w:rPr>
          <w:noProof/>
          <w:szCs w:val="22"/>
          <w:lang w:val="sr-Latn-ME"/>
        </w:rPr>
        <w:t xml:space="preserve">-a). </w:t>
      </w:r>
    </w:p>
    <w:p w14:paraId="32588514" w14:textId="77777777" w:rsidR="00DE564C" w:rsidRPr="00B74B0F" w:rsidRDefault="00DE564C">
      <w:pPr>
        <w:autoSpaceDE w:val="0"/>
        <w:autoSpaceDN w:val="0"/>
        <w:adjustRightInd w:val="0"/>
        <w:spacing w:line="240" w:lineRule="auto"/>
        <w:contextualSpacing/>
        <w:jc w:val="both"/>
        <w:rPr>
          <w:i/>
          <w:noProof/>
          <w:szCs w:val="22"/>
          <w:lang w:val="sr-Latn-ME"/>
        </w:rPr>
      </w:pPr>
    </w:p>
    <w:p w14:paraId="08F630C7" w14:textId="60AD70C9" w:rsidR="00DE564C" w:rsidRPr="00B74B0F" w:rsidRDefault="00DE564C">
      <w:pPr>
        <w:autoSpaceDE w:val="0"/>
        <w:autoSpaceDN w:val="0"/>
        <w:adjustRightInd w:val="0"/>
        <w:spacing w:line="240" w:lineRule="auto"/>
        <w:contextualSpacing/>
        <w:jc w:val="both"/>
        <w:rPr>
          <w:noProof/>
          <w:szCs w:val="22"/>
          <w:lang w:val="sr-Latn-ME"/>
        </w:rPr>
      </w:pPr>
      <w:r w:rsidRPr="00B74B0F">
        <w:rPr>
          <w:noProof/>
          <w:szCs w:val="22"/>
          <w:lang w:val="sr-Latn-ME"/>
        </w:rPr>
        <w:t xml:space="preserve">Nakon primjene upadacitiniba ženkama </w:t>
      </w:r>
      <w:r w:rsidR="000102C3" w:rsidRPr="00B74B0F">
        <w:rPr>
          <w:noProof/>
          <w:szCs w:val="22"/>
          <w:lang w:val="sr-Latn-ME"/>
        </w:rPr>
        <w:t>p</w:t>
      </w:r>
      <w:r w:rsidRPr="00B74B0F">
        <w:rPr>
          <w:noProof/>
          <w:szCs w:val="22"/>
          <w:lang w:val="sr-Latn-ME"/>
        </w:rPr>
        <w:t>a</w:t>
      </w:r>
      <w:r w:rsidR="000102C3" w:rsidRPr="00B74B0F">
        <w:rPr>
          <w:noProof/>
          <w:szCs w:val="22"/>
          <w:lang w:val="sr-Latn-ME"/>
        </w:rPr>
        <w:t>cova</w:t>
      </w:r>
      <w:r w:rsidRPr="00B74B0F">
        <w:rPr>
          <w:noProof/>
          <w:szCs w:val="22"/>
          <w:lang w:val="sr-Latn-ME"/>
        </w:rPr>
        <w:t xml:space="preserve"> u laktaciji, koncentracije upadacitiniba u mlijeku t</w:t>
      </w:r>
      <w:r w:rsidR="00C25A71" w:rsidRPr="00B74B0F">
        <w:rPr>
          <w:noProof/>
          <w:szCs w:val="22"/>
          <w:lang w:val="sr-Latn-ME"/>
        </w:rPr>
        <w:t>okom</w:t>
      </w:r>
      <w:r w:rsidRPr="00B74B0F">
        <w:rPr>
          <w:noProof/>
          <w:szCs w:val="22"/>
          <w:lang w:val="sr-Latn-ME"/>
        </w:rPr>
        <w:t xml:space="preserve"> vremena u načelu su se kretale u</w:t>
      </w:r>
      <w:r w:rsidR="0045782B" w:rsidRPr="00B74B0F">
        <w:rPr>
          <w:noProof/>
          <w:szCs w:val="22"/>
          <w:lang w:val="sr-Latn-ME"/>
        </w:rPr>
        <w:t xml:space="preserve">poredo </w:t>
      </w:r>
      <w:r w:rsidRPr="00B74B0F">
        <w:rPr>
          <w:noProof/>
          <w:szCs w:val="22"/>
          <w:lang w:val="sr-Latn-ME"/>
        </w:rPr>
        <w:t>s</w:t>
      </w:r>
      <w:r w:rsidR="003B0FE8" w:rsidRPr="00B74B0F">
        <w:rPr>
          <w:noProof/>
          <w:szCs w:val="22"/>
          <w:lang w:val="sr-Latn-ME"/>
        </w:rPr>
        <w:t>a</w:t>
      </w:r>
      <w:r w:rsidRPr="00B74B0F">
        <w:rPr>
          <w:noProof/>
          <w:szCs w:val="22"/>
          <w:lang w:val="sr-Latn-ME"/>
        </w:rPr>
        <w:t xml:space="preserve"> onima u plazmi, uz približno 30 puta veću izloženost u mlijeku nego u plazmi majke. Približno 97% </w:t>
      </w:r>
      <w:r w:rsidR="000102C3" w:rsidRPr="00B74B0F">
        <w:rPr>
          <w:noProof/>
          <w:szCs w:val="22"/>
          <w:lang w:val="sr-Latn-ME"/>
        </w:rPr>
        <w:t>s</w:t>
      </w:r>
      <w:r w:rsidR="003B0FE8" w:rsidRPr="00B74B0F">
        <w:rPr>
          <w:noProof/>
          <w:szCs w:val="22"/>
          <w:lang w:val="sr-Latn-ME"/>
        </w:rPr>
        <w:t>upstanci</w:t>
      </w:r>
      <w:r w:rsidRPr="00B74B0F">
        <w:rPr>
          <w:noProof/>
          <w:szCs w:val="22"/>
          <w:lang w:val="sr-Latn-ME"/>
        </w:rPr>
        <w:t xml:space="preserve"> povezanih s</w:t>
      </w:r>
      <w:r w:rsidR="003B0FE8" w:rsidRPr="00B74B0F">
        <w:rPr>
          <w:noProof/>
          <w:szCs w:val="22"/>
          <w:lang w:val="sr-Latn-ME"/>
        </w:rPr>
        <w:t>a</w:t>
      </w:r>
      <w:r w:rsidRPr="00B74B0F">
        <w:rPr>
          <w:noProof/>
          <w:szCs w:val="22"/>
          <w:lang w:val="sr-Latn-ME"/>
        </w:rPr>
        <w:t xml:space="preserve"> upadacitinibom u mlijeku čini</w:t>
      </w:r>
      <w:r w:rsidR="003B0FE8" w:rsidRPr="00B74B0F">
        <w:rPr>
          <w:noProof/>
          <w:szCs w:val="22"/>
          <w:lang w:val="sr-Latn-ME"/>
        </w:rPr>
        <w:t>o</w:t>
      </w:r>
      <w:r w:rsidRPr="00B74B0F">
        <w:rPr>
          <w:noProof/>
          <w:szCs w:val="22"/>
          <w:lang w:val="sr-Latn-ME"/>
        </w:rPr>
        <w:t xml:space="preserve"> je </w:t>
      </w:r>
      <w:r w:rsidR="000102C3" w:rsidRPr="00B74B0F">
        <w:rPr>
          <w:noProof/>
          <w:szCs w:val="22"/>
          <w:lang w:val="sr-Latn-ME"/>
        </w:rPr>
        <w:t>najzastupljenij</w:t>
      </w:r>
      <w:r w:rsidR="003B0FE8" w:rsidRPr="00B74B0F">
        <w:rPr>
          <w:noProof/>
          <w:szCs w:val="22"/>
          <w:lang w:val="sr-Latn-ME"/>
        </w:rPr>
        <w:t>i</w:t>
      </w:r>
      <w:r w:rsidR="000102C3" w:rsidRPr="00B74B0F">
        <w:rPr>
          <w:noProof/>
          <w:szCs w:val="22"/>
          <w:lang w:val="sr-Latn-ME"/>
        </w:rPr>
        <w:t xml:space="preserve"> </w:t>
      </w:r>
      <w:r w:rsidRPr="00B74B0F">
        <w:rPr>
          <w:noProof/>
          <w:szCs w:val="22"/>
          <w:lang w:val="sr-Latn-ME"/>
        </w:rPr>
        <w:t>molekul, upadacitinib.</w:t>
      </w:r>
    </w:p>
    <w:p w14:paraId="19C43C41" w14:textId="7E820263" w:rsidR="008C4E68" w:rsidRPr="00B74B0F" w:rsidRDefault="008C4E68">
      <w:pPr>
        <w:autoSpaceDE w:val="0"/>
        <w:autoSpaceDN w:val="0"/>
        <w:adjustRightInd w:val="0"/>
        <w:spacing w:line="240" w:lineRule="auto"/>
        <w:contextualSpacing/>
        <w:jc w:val="both"/>
        <w:rPr>
          <w:szCs w:val="22"/>
          <w:lang w:val="sr-Latn-ME"/>
        </w:rPr>
      </w:pPr>
    </w:p>
    <w:p w14:paraId="18485AD7" w14:textId="77777777" w:rsidR="00812D16" w:rsidRPr="00B74B0F" w:rsidRDefault="00906CF8">
      <w:pPr>
        <w:keepNext/>
        <w:spacing w:line="240" w:lineRule="auto"/>
        <w:ind w:left="567" w:hanging="567"/>
        <w:contextualSpacing/>
        <w:jc w:val="both"/>
        <w:rPr>
          <w:szCs w:val="22"/>
          <w:lang w:val="sr-Latn-ME"/>
        </w:rPr>
      </w:pPr>
      <w:r w:rsidRPr="00B74B0F">
        <w:rPr>
          <w:b/>
          <w:szCs w:val="22"/>
          <w:lang w:val="sr-Latn-ME"/>
        </w:rPr>
        <w:lastRenderedPageBreak/>
        <w:t>6.</w:t>
      </w:r>
      <w:r w:rsidRPr="00B74B0F">
        <w:rPr>
          <w:b/>
          <w:szCs w:val="22"/>
          <w:lang w:val="sr-Latn-ME"/>
        </w:rPr>
        <w:tab/>
        <w:t>FARMACEUTSKI PODACI</w:t>
      </w:r>
    </w:p>
    <w:p w14:paraId="2AD199B0" w14:textId="77777777" w:rsidR="00812D16" w:rsidRPr="00B74B0F" w:rsidRDefault="00812D16">
      <w:pPr>
        <w:keepNext/>
        <w:spacing w:line="240" w:lineRule="auto"/>
        <w:contextualSpacing/>
        <w:jc w:val="both"/>
        <w:rPr>
          <w:szCs w:val="22"/>
          <w:lang w:val="sr-Latn-ME"/>
        </w:rPr>
      </w:pPr>
    </w:p>
    <w:p w14:paraId="4601B587" w14:textId="11414E9F"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6.1</w:t>
      </w:r>
      <w:r w:rsidRPr="00B74B0F">
        <w:rPr>
          <w:b/>
          <w:szCs w:val="22"/>
          <w:lang w:val="sr-Latn-ME"/>
        </w:rPr>
        <w:tab/>
      </w:r>
      <w:r w:rsidR="00B27953" w:rsidRPr="00B74B0F">
        <w:rPr>
          <w:b/>
          <w:szCs w:val="22"/>
          <w:lang w:val="sr-Latn-ME"/>
        </w:rPr>
        <w:t>Lista</w:t>
      </w:r>
      <w:r w:rsidRPr="00B74B0F">
        <w:rPr>
          <w:b/>
          <w:szCs w:val="22"/>
          <w:lang w:val="sr-Latn-ME"/>
        </w:rPr>
        <w:t xml:space="preserve"> pomoćnih </w:t>
      </w:r>
      <w:r w:rsidR="00636B94" w:rsidRPr="00B74B0F">
        <w:rPr>
          <w:b/>
          <w:szCs w:val="22"/>
          <w:lang w:val="sr-Latn-ME"/>
        </w:rPr>
        <w:t>supstanci</w:t>
      </w:r>
      <w:r w:rsidR="00B27953" w:rsidRPr="00B74B0F">
        <w:rPr>
          <w:b/>
          <w:szCs w:val="22"/>
          <w:lang w:val="sr-Latn-ME"/>
        </w:rPr>
        <w:t xml:space="preserve"> (ekscipijenasa)</w:t>
      </w:r>
    </w:p>
    <w:p w14:paraId="4A9DC58C" w14:textId="77777777" w:rsidR="00812D16" w:rsidRPr="00B74B0F" w:rsidRDefault="00812D16">
      <w:pPr>
        <w:keepNext/>
        <w:spacing w:line="240" w:lineRule="auto"/>
        <w:contextualSpacing/>
        <w:jc w:val="both"/>
        <w:rPr>
          <w:i/>
          <w:szCs w:val="22"/>
          <w:lang w:val="sr-Latn-ME"/>
        </w:rPr>
      </w:pPr>
    </w:p>
    <w:p w14:paraId="21B06CF8" w14:textId="77777777" w:rsidR="00BB3835" w:rsidRPr="00B74B0F" w:rsidRDefault="00906CF8">
      <w:pPr>
        <w:keepNext/>
        <w:spacing w:line="240" w:lineRule="auto"/>
        <w:contextualSpacing/>
        <w:jc w:val="both"/>
        <w:rPr>
          <w:rStyle w:val="Heading2Char"/>
          <w:rFonts w:ascii="Times New Roman" w:hAnsi="Times New Roman"/>
          <w:b w:val="0"/>
          <w:i w:val="0"/>
          <w:sz w:val="22"/>
          <w:szCs w:val="22"/>
          <w:u w:val="single"/>
          <w:lang w:val="sr-Latn-ME"/>
        </w:rPr>
      </w:pPr>
      <w:r w:rsidRPr="00B74B0F">
        <w:rPr>
          <w:rStyle w:val="Heading2Char"/>
          <w:rFonts w:ascii="Times New Roman" w:hAnsi="Times New Roman"/>
          <w:b w:val="0"/>
          <w:i w:val="0"/>
          <w:sz w:val="22"/>
          <w:szCs w:val="22"/>
          <w:u w:val="single"/>
          <w:lang w:val="sr-Latn-ME"/>
        </w:rPr>
        <w:t>Sadržaj tablete:</w:t>
      </w:r>
    </w:p>
    <w:p w14:paraId="08512929" w14:textId="77777777" w:rsidR="00490748" w:rsidRPr="00B74B0F" w:rsidRDefault="00490748">
      <w:pPr>
        <w:keepNext/>
        <w:spacing w:line="240" w:lineRule="auto"/>
        <w:contextualSpacing/>
        <w:jc w:val="both"/>
        <w:rPr>
          <w:szCs w:val="22"/>
          <w:lang w:val="sr-Latn-ME"/>
        </w:rPr>
      </w:pPr>
    </w:p>
    <w:p w14:paraId="2CA4ACD0" w14:textId="2AB0C8AB" w:rsidR="0010048B" w:rsidRPr="00B74B0F" w:rsidRDefault="00285807">
      <w:pPr>
        <w:keepNext/>
        <w:spacing w:line="240" w:lineRule="auto"/>
        <w:contextualSpacing/>
        <w:jc w:val="both"/>
        <w:rPr>
          <w:szCs w:val="22"/>
          <w:lang w:val="sr-Latn-ME"/>
        </w:rPr>
      </w:pPr>
      <w:r w:rsidRPr="00B74B0F">
        <w:rPr>
          <w:szCs w:val="22"/>
          <w:lang w:val="sr-Latn-ME"/>
        </w:rPr>
        <w:t>c</w:t>
      </w:r>
      <w:r w:rsidR="00BB5193" w:rsidRPr="00B74B0F">
        <w:rPr>
          <w:szCs w:val="22"/>
          <w:lang w:val="sr-Latn-ME"/>
        </w:rPr>
        <w:t>eluloza</w:t>
      </w:r>
      <w:r w:rsidRPr="00B74B0F">
        <w:rPr>
          <w:szCs w:val="22"/>
          <w:lang w:val="sr-Latn-ME"/>
        </w:rPr>
        <w:t>, mikrokristalna</w:t>
      </w:r>
    </w:p>
    <w:p w14:paraId="448673C4" w14:textId="77777777" w:rsidR="00EC1574" w:rsidRPr="00B74B0F" w:rsidRDefault="00906CF8">
      <w:pPr>
        <w:keepNext/>
        <w:spacing w:line="240" w:lineRule="auto"/>
        <w:contextualSpacing/>
        <w:jc w:val="both"/>
        <w:rPr>
          <w:szCs w:val="22"/>
          <w:lang w:val="sr-Latn-ME"/>
        </w:rPr>
      </w:pPr>
      <w:r w:rsidRPr="00B74B0F">
        <w:rPr>
          <w:szCs w:val="22"/>
          <w:lang w:val="sr-Latn-ME"/>
        </w:rPr>
        <w:t>hipromeloza</w:t>
      </w:r>
    </w:p>
    <w:p w14:paraId="7513F5A0" w14:textId="77777777" w:rsidR="00CA6D5E" w:rsidRPr="00B74B0F" w:rsidRDefault="00906CF8">
      <w:pPr>
        <w:keepNext/>
        <w:spacing w:line="240" w:lineRule="auto"/>
        <w:contextualSpacing/>
        <w:jc w:val="both"/>
        <w:rPr>
          <w:szCs w:val="22"/>
          <w:lang w:val="sr-Latn-ME"/>
        </w:rPr>
      </w:pPr>
      <w:r w:rsidRPr="00B74B0F">
        <w:rPr>
          <w:szCs w:val="22"/>
          <w:lang w:val="sr-Latn-ME"/>
        </w:rPr>
        <w:t>manitol</w:t>
      </w:r>
    </w:p>
    <w:p w14:paraId="19C2E9A6" w14:textId="6809691E" w:rsidR="00CA6D5E" w:rsidRPr="00B74B0F" w:rsidRDefault="007C65B0">
      <w:pPr>
        <w:keepNext/>
        <w:spacing w:line="240" w:lineRule="auto"/>
        <w:contextualSpacing/>
        <w:jc w:val="both"/>
        <w:rPr>
          <w:szCs w:val="22"/>
          <w:lang w:val="sr-Latn-ME"/>
        </w:rPr>
      </w:pPr>
      <w:r w:rsidRPr="00B74B0F">
        <w:rPr>
          <w:szCs w:val="22"/>
          <w:lang w:val="sr-Latn-ME"/>
        </w:rPr>
        <w:t>vinska</w:t>
      </w:r>
      <w:r w:rsidR="00906CF8" w:rsidRPr="00B74B0F">
        <w:rPr>
          <w:szCs w:val="22"/>
          <w:lang w:val="sr-Latn-ME"/>
        </w:rPr>
        <w:t xml:space="preserve"> kiselina</w:t>
      </w:r>
    </w:p>
    <w:p w14:paraId="658A35C8" w14:textId="122E3345" w:rsidR="00CA6D5E" w:rsidRPr="00B74B0F" w:rsidRDefault="00906CF8">
      <w:pPr>
        <w:keepNext/>
        <w:spacing w:line="240" w:lineRule="auto"/>
        <w:contextualSpacing/>
        <w:jc w:val="both"/>
        <w:rPr>
          <w:szCs w:val="22"/>
          <w:lang w:val="sr-Latn-ME"/>
        </w:rPr>
      </w:pPr>
      <w:r w:rsidRPr="00B74B0F">
        <w:rPr>
          <w:szCs w:val="22"/>
          <w:lang w:val="sr-Latn-ME"/>
        </w:rPr>
        <w:t>silicij</w:t>
      </w:r>
      <w:r w:rsidR="00B27953" w:rsidRPr="00B74B0F">
        <w:rPr>
          <w:szCs w:val="22"/>
          <w:lang w:val="sr-Latn-ME"/>
        </w:rPr>
        <w:t>um</w:t>
      </w:r>
      <w:r w:rsidRPr="00B74B0F">
        <w:rPr>
          <w:szCs w:val="22"/>
          <w:lang w:val="sr-Latn-ME"/>
        </w:rPr>
        <w:t xml:space="preserve"> dioksid, koloidni, bezvodni</w:t>
      </w:r>
    </w:p>
    <w:p w14:paraId="023E2781" w14:textId="4E8180CE" w:rsidR="00CA6D5E" w:rsidRPr="00B74B0F" w:rsidRDefault="00906CF8">
      <w:pPr>
        <w:spacing w:line="240" w:lineRule="auto"/>
        <w:contextualSpacing/>
        <w:jc w:val="both"/>
        <w:rPr>
          <w:szCs w:val="22"/>
          <w:lang w:val="sr-Latn-ME"/>
        </w:rPr>
      </w:pPr>
      <w:r w:rsidRPr="00B74B0F">
        <w:rPr>
          <w:szCs w:val="22"/>
          <w:lang w:val="sr-Latn-ME"/>
        </w:rPr>
        <w:t>magnezij</w:t>
      </w:r>
      <w:r w:rsidR="00B27953" w:rsidRPr="00B74B0F">
        <w:rPr>
          <w:szCs w:val="22"/>
          <w:lang w:val="sr-Latn-ME"/>
        </w:rPr>
        <w:t>um</w:t>
      </w:r>
      <w:r w:rsidRPr="00B74B0F">
        <w:rPr>
          <w:szCs w:val="22"/>
          <w:lang w:val="sr-Latn-ME"/>
        </w:rPr>
        <w:t xml:space="preserve"> stearat</w:t>
      </w:r>
    </w:p>
    <w:p w14:paraId="257E3E48" w14:textId="77777777" w:rsidR="00CA6D5E" w:rsidRPr="00B74B0F" w:rsidRDefault="00CA6D5E">
      <w:pPr>
        <w:spacing w:line="240" w:lineRule="auto"/>
        <w:contextualSpacing/>
        <w:jc w:val="both"/>
        <w:rPr>
          <w:szCs w:val="22"/>
          <w:lang w:val="sr-Latn-ME"/>
        </w:rPr>
      </w:pPr>
    </w:p>
    <w:p w14:paraId="77280F65" w14:textId="196AF371" w:rsidR="0010048B" w:rsidRPr="00B74B0F" w:rsidRDefault="00906CF8">
      <w:pPr>
        <w:keepNext/>
        <w:spacing w:line="240" w:lineRule="auto"/>
        <w:contextualSpacing/>
        <w:jc w:val="both"/>
        <w:rPr>
          <w:szCs w:val="22"/>
          <w:u w:val="single"/>
          <w:lang w:val="sr-Latn-ME"/>
        </w:rPr>
      </w:pPr>
      <w:r w:rsidRPr="00B74B0F">
        <w:rPr>
          <w:szCs w:val="22"/>
          <w:u w:val="single"/>
          <w:lang w:val="sr-Latn-ME"/>
        </w:rPr>
        <w:t>Film o</w:t>
      </w:r>
      <w:r w:rsidR="00B27953" w:rsidRPr="00B74B0F">
        <w:rPr>
          <w:szCs w:val="22"/>
          <w:u w:val="single"/>
          <w:lang w:val="sr-Latn-ME"/>
        </w:rPr>
        <w:t>motač</w:t>
      </w:r>
      <w:r w:rsidRPr="00B74B0F">
        <w:rPr>
          <w:szCs w:val="22"/>
          <w:u w:val="single"/>
          <w:lang w:val="sr-Latn-ME"/>
        </w:rPr>
        <w:t>:</w:t>
      </w:r>
    </w:p>
    <w:p w14:paraId="56E39239" w14:textId="77777777" w:rsidR="00490748" w:rsidRPr="00B74B0F" w:rsidRDefault="00490748">
      <w:pPr>
        <w:keepNext/>
        <w:spacing w:line="240" w:lineRule="auto"/>
        <w:contextualSpacing/>
        <w:jc w:val="both"/>
        <w:rPr>
          <w:szCs w:val="22"/>
          <w:lang w:val="sr-Latn-ME"/>
        </w:rPr>
      </w:pPr>
    </w:p>
    <w:p w14:paraId="736D6A59" w14:textId="001DC9C4" w:rsidR="00B92959" w:rsidRPr="00B74B0F" w:rsidRDefault="007715D7">
      <w:pPr>
        <w:keepNext/>
        <w:spacing w:line="240" w:lineRule="auto"/>
        <w:contextualSpacing/>
        <w:jc w:val="both"/>
        <w:outlineLvl w:val="0"/>
        <w:rPr>
          <w:szCs w:val="22"/>
          <w:lang w:val="sr-Latn-ME"/>
        </w:rPr>
      </w:pPr>
      <w:r w:rsidRPr="00B74B0F">
        <w:rPr>
          <w:szCs w:val="22"/>
          <w:lang w:val="sr-Latn-ME"/>
        </w:rPr>
        <w:t>polivinil alkohol</w:t>
      </w:r>
    </w:p>
    <w:p w14:paraId="4795C9C6" w14:textId="77777777" w:rsidR="00B92959" w:rsidRPr="00B74B0F" w:rsidRDefault="007715D7">
      <w:pPr>
        <w:keepNext/>
        <w:spacing w:line="240" w:lineRule="auto"/>
        <w:contextualSpacing/>
        <w:jc w:val="both"/>
        <w:outlineLvl w:val="0"/>
        <w:rPr>
          <w:szCs w:val="22"/>
          <w:lang w:val="sr-Latn-ME"/>
        </w:rPr>
      </w:pPr>
      <w:r w:rsidRPr="00B74B0F">
        <w:rPr>
          <w:szCs w:val="22"/>
          <w:lang w:val="sr-Latn-ME"/>
        </w:rPr>
        <w:t>makrogol</w:t>
      </w:r>
    </w:p>
    <w:p w14:paraId="586A8B11" w14:textId="77777777" w:rsidR="00B92959" w:rsidRPr="00B74B0F" w:rsidRDefault="007715D7">
      <w:pPr>
        <w:keepNext/>
        <w:spacing w:line="240" w:lineRule="auto"/>
        <w:contextualSpacing/>
        <w:jc w:val="both"/>
        <w:outlineLvl w:val="0"/>
        <w:rPr>
          <w:szCs w:val="22"/>
          <w:lang w:val="sr-Latn-ME"/>
        </w:rPr>
      </w:pPr>
      <w:r w:rsidRPr="00B74B0F">
        <w:rPr>
          <w:szCs w:val="22"/>
          <w:lang w:val="sr-Latn-ME"/>
        </w:rPr>
        <w:t>talk</w:t>
      </w:r>
    </w:p>
    <w:p w14:paraId="0A65F8B9" w14:textId="34FF281C" w:rsidR="00B92959" w:rsidRPr="00B74B0F" w:rsidRDefault="007715D7">
      <w:pPr>
        <w:keepNext/>
        <w:spacing w:line="240" w:lineRule="auto"/>
        <w:contextualSpacing/>
        <w:jc w:val="both"/>
        <w:outlineLvl w:val="0"/>
        <w:rPr>
          <w:szCs w:val="22"/>
          <w:lang w:val="sr-Latn-ME"/>
        </w:rPr>
      </w:pPr>
      <w:r w:rsidRPr="00B74B0F">
        <w:rPr>
          <w:szCs w:val="22"/>
          <w:lang w:val="sr-Latn-ME"/>
        </w:rPr>
        <w:t>titanij</w:t>
      </w:r>
      <w:r w:rsidR="00B27953" w:rsidRPr="00B74B0F">
        <w:rPr>
          <w:szCs w:val="22"/>
          <w:lang w:val="sr-Latn-ME"/>
        </w:rPr>
        <w:t>um</w:t>
      </w:r>
      <w:r w:rsidRPr="00B74B0F">
        <w:rPr>
          <w:szCs w:val="22"/>
          <w:lang w:val="sr-Latn-ME"/>
        </w:rPr>
        <w:t xml:space="preserve"> dioksid </w:t>
      </w:r>
      <w:r w:rsidR="00F21985" w:rsidRPr="00B74B0F">
        <w:rPr>
          <w:szCs w:val="22"/>
          <w:lang w:val="sr-Latn-ME"/>
        </w:rPr>
        <w:t>(E171)</w:t>
      </w:r>
    </w:p>
    <w:p w14:paraId="05039A1E" w14:textId="499A32BF" w:rsidR="00B92959" w:rsidRPr="00B74B0F" w:rsidRDefault="00B27953">
      <w:pPr>
        <w:keepNext/>
        <w:spacing w:line="240" w:lineRule="auto"/>
        <w:contextualSpacing/>
        <w:jc w:val="both"/>
        <w:outlineLvl w:val="0"/>
        <w:rPr>
          <w:szCs w:val="22"/>
          <w:lang w:val="sr-Latn-ME"/>
        </w:rPr>
      </w:pPr>
      <w:r w:rsidRPr="00B74B0F">
        <w:rPr>
          <w:szCs w:val="22"/>
          <w:lang w:val="sr-Latn-ME"/>
        </w:rPr>
        <w:t>gvož</w:t>
      </w:r>
      <w:r w:rsidR="003F76A6" w:rsidRPr="00B74B0F">
        <w:rPr>
          <w:szCs w:val="22"/>
          <w:lang w:val="sr-Latn-ME"/>
        </w:rPr>
        <w:t>đ</w:t>
      </w:r>
      <w:r w:rsidRPr="00B74B0F">
        <w:rPr>
          <w:szCs w:val="22"/>
          <w:lang w:val="sr-Latn-ME"/>
        </w:rPr>
        <w:t>e</w:t>
      </w:r>
      <w:r w:rsidR="007715D7" w:rsidRPr="00B74B0F">
        <w:rPr>
          <w:szCs w:val="22"/>
          <w:lang w:val="sr-Latn-ME"/>
        </w:rPr>
        <w:t xml:space="preserve"> </w:t>
      </w:r>
      <w:r w:rsidR="003F76A6" w:rsidRPr="00B74B0F">
        <w:rPr>
          <w:szCs w:val="22"/>
          <w:lang w:val="sr-Latn-ME"/>
        </w:rPr>
        <w:t xml:space="preserve">(III) </w:t>
      </w:r>
      <w:r w:rsidR="007715D7" w:rsidRPr="00B74B0F">
        <w:rPr>
          <w:szCs w:val="22"/>
          <w:lang w:val="sr-Latn-ME"/>
        </w:rPr>
        <w:t>oksid, crni</w:t>
      </w:r>
      <w:r w:rsidR="00F21985" w:rsidRPr="00B74B0F">
        <w:rPr>
          <w:szCs w:val="22"/>
          <w:lang w:val="sr-Latn-ME"/>
        </w:rPr>
        <w:t xml:space="preserve"> (E172)</w:t>
      </w:r>
      <w:r w:rsidR="007F6133" w:rsidRPr="00B74B0F">
        <w:rPr>
          <w:szCs w:val="22"/>
          <w:lang w:val="sr-Latn-ME"/>
        </w:rPr>
        <w:t xml:space="preserve"> (samo za jačinu od 15 mg)</w:t>
      </w:r>
    </w:p>
    <w:p w14:paraId="763C1A42" w14:textId="63EBF504" w:rsidR="0036523D" w:rsidRPr="00B74B0F" w:rsidRDefault="00B27953">
      <w:pPr>
        <w:spacing w:line="240" w:lineRule="auto"/>
        <w:contextualSpacing/>
        <w:jc w:val="both"/>
        <w:outlineLvl w:val="0"/>
        <w:rPr>
          <w:szCs w:val="22"/>
          <w:lang w:val="sr-Latn-ME"/>
        </w:rPr>
      </w:pPr>
      <w:r w:rsidRPr="00B74B0F">
        <w:rPr>
          <w:szCs w:val="22"/>
          <w:lang w:val="sr-Latn-ME"/>
        </w:rPr>
        <w:t>gvož</w:t>
      </w:r>
      <w:r w:rsidR="003F76A6" w:rsidRPr="00B74B0F">
        <w:rPr>
          <w:szCs w:val="22"/>
          <w:lang w:val="sr-Latn-ME"/>
        </w:rPr>
        <w:t>đ</w:t>
      </w:r>
      <w:r w:rsidRPr="00B74B0F">
        <w:rPr>
          <w:szCs w:val="22"/>
          <w:lang w:val="sr-Latn-ME"/>
        </w:rPr>
        <w:t>e</w:t>
      </w:r>
      <w:r w:rsidR="007715D7" w:rsidRPr="00B74B0F">
        <w:rPr>
          <w:szCs w:val="22"/>
          <w:lang w:val="sr-Latn-ME"/>
        </w:rPr>
        <w:t xml:space="preserve"> </w:t>
      </w:r>
      <w:r w:rsidR="003F76A6" w:rsidRPr="00B74B0F">
        <w:rPr>
          <w:szCs w:val="22"/>
          <w:lang w:val="sr-Latn-ME"/>
        </w:rPr>
        <w:t xml:space="preserve">(III) </w:t>
      </w:r>
      <w:r w:rsidR="007715D7" w:rsidRPr="00B74B0F">
        <w:rPr>
          <w:szCs w:val="22"/>
          <w:lang w:val="sr-Latn-ME"/>
        </w:rPr>
        <w:t xml:space="preserve">oksid, crveni </w:t>
      </w:r>
      <w:r w:rsidR="00F21985" w:rsidRPr="00B74B0F">
        <w:rPr>
          <w:szCs w:val="22"/>
          <w:lang w:val="sr-Latn-ME"/>
        </w:rPr>
        <w:t>(E172)</w:t>
      </w:r>
    </w:p>
    <w:p w14:paraId="6E23867F" w14:textId="6E2A1AB7" w:rsidR="007F6133" w:rsidRPr="00B74B0F" w:rsidRDefault="007F6133">
      <w:pPr>
        <w:spacing w:line="240" w:lineRule="auto"/>
        <w:contextualSpacing/>
        <w:jc w:val="both"/>
        <w:outlineLvl w:val="0"/>
        <w:rPr>
          <w:szCs w:val="22"/>
          <w:lang w:val="sr-Latn-ME"/>
        </w:rPr>
      </w:pPr>
      <w:r w:rsidRPr="00B74B0F">
        <w:rPr>
          <w:szCs w:val="22"/>
          <w:lang w:val="sr-Latn-ME"/>
        </w:rPr>
        <w:t>gvožđe (III) oksid, žuti (samo za jačinu od 45 mg)</w:t>
      </w:r>
    </w:p>
    <w:p w14:paraId="7AC83A01" w14:textId="77777777" w:rsidR="00B92959" w:rsidRPr="00B74B0F" w:rsidRDefault="00B92959">
      <w:pPr>
        <w:spacing w:line="240" w:lineRule="auto"/>
        <w:contextualSpacing/>
        <w:jc w:val="both"/>
        <w:outlineLvl w:val="0"/>
        <w:rPr>
          <w:szCs w:val="22"/>
          <w:lang w:val="sr-Latn-ME"/>
        </w:rPr>
      </w:pPr>
    </w:p>
    <w:p w14:paraId="6E662515" w14:textId="77777777"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6.2</w:t>
      </w:r>
      <w:r w:rsidRPr="00B74B0F">
        <w:rPr>
          <w:b/>
          <w:szCs w:val="22"/>
          <w:lang w:val="sr-Latn-ME"/>
        </w:rPr>
        <w:tab/>
        <w:t>Inkompatibilnosti</w:t>
      </w:r>
    </w:p>
    <w:p w14:paraId="5FA9860C" w14:textId="77777777" w:rsidR="00812D16" w:rsidRPr="00B74B0F" w:rsidRDefault="00812D16">
      <w:pPr>
        <w:keepNext/>
        <w:spacing w:line="240" w:lineRule="auto"/>
        <w:contextualSpacing/>
        <w:jc w:val="both"/>
        <w:rPr>
          <w:szCs w:val="22"/>
          <w:lang w:val="sr-Latn-ME"/>
        </w:rPr>
      </w:pPr>
    </w:p>
    <w:p w14:paraId="05885819" w14:textId="77777777" w:rsidR="00812D16" w:rsidRPr="00B74B0F" w:rsidRDefault="00906CF8">
      <w:pPr>
        <w:spacing w:line="240" w:lineRule="auto"/>
        <w:contextualSpacing/>
        <w:jc w:val="both"/>
        <w:rPr>
          <w:szCs w:val="22"/>
          <w:lang w:val="sr-Latn-ME"/>
        </w:rPr>
      </w:pPr>
      <w:r w:rsidRPr="00B74B0F">
        <w:rPr>
          <w:szCs w:val="22"/>
          <w:lang w:val="sr-Latn-ME"/>
        </w:rPr>
        <w:t>Nije primjenjivo.</w:t>
      </w:r>
    </w:p>
    <w:p w14:paraId="5AA87379" w14:textId="77777777" w:rsidR="00812D16" w:rsidRPr="00B74B0F" w:rsidRDefault="00812D16">
      <w:pPr>
        <w:spacing w:line="240" w:lineRule="auto"/>
        <w:contextualSpacing/>
        <w:jc w:val="both"/>
        <w:rPr>
          <w:szCs w:val="22"/>
          <w:lang w:val="sr-Latn-ME"/>
        </w:rPr>
      </w:pPr>
    </w:p>
    <w:p w14:paraId="664F5F28" w14:textId="6C7087EB" w:rsidR="00FF4209" w:rsidRPr="00B74B0F" w:rsidRDefault="00906CF8">
      <w:pPr>
        <w:keepNext/>
        <w:spacing w:line="240" w:lineRule="auto"/>
        <w:ind w:left="567" w:hanging="567"/>
        <w:contextualSpacing/>
        <w:jc w:val="both"/>
        <w:outlineLvl w:val="0"/>
        <w:rPr>
          <w:szCs w:val="22"/>
          <w:lang w:val="sr-Latn-ME"/>
        </w:rPr>
      </w:pPr>
      <w:r w:rsidRPr="00B74B0F">
        <w:rPr>
          <w:b/>
          <w:szCs w:val="22"/>
          <w:lang w:val="sr-Latn-ME"/>
        </w:rPr>
        <w:t>6.3</w:t>
      </w:r>
      <w:r w:rsidRPr="00B74B0F">
        <w:rPr>
          <w:b/>
          <w:szCs w:val="22"/>
          <w:lang w:val="sr-Latn-ME"/>
        </w:rPr>
        <w:tab/>
        <w:t xml:space="preserve">Rok </w:t>
      </w:r>
      <w:r w:rsidR="00B27953" w:rsidRPr="00B74B0F">
        <w:rPr>
          <w:b/>
          <w:szCs w:val="22"/>
          <w:lang w:val="sr-Latn-ME"/>
        </w:rPr>
        <w:t>upotrebe</w:t>
      </w:r>
    </w:p>
    <w:p w14:paraId="69280323" w14:textId="6B7BC649" w:rsidR="00812D16" w:rsidRPr="00B74B0F" w:rsidRDefault="00812D16">
      <w:pPr>
        <w:keepNext/>
        <w:spacing w:line="240" w:lineRule="auto"/>
        <w:contextualSpacing/>
        <w:jc w:val="both"/>
        <w:rPr>
          <w:szCs w:val="22"/>
          <w:lang w:val="sr-Latn-ME"/>
        </w:rPr>
      </w:pPr>
    </w:p>
    <w:p w14:paraId="3F0D5086" w14:textId="77777777" w:rsidR="00BB3835" w:rsidRPr="00B74B0F" w:rsidRDefault="00906CF8">
      <w:pPr>
        <w:autoSpaceDE w:val="0"/>
        <w:autoSpaceDN w:val="0"/>
        <w:adjustRightInd w:val="0"/>
        <w:spacing w:line="240" w:lineRule="auto"/>
        <w:contextualSpacing/>
        <w:jc w:val="both"/>
        <w:rPr>
          <w:szCs w:val="22"/>
          <w:lang w:val="sr-Latn-ME"/>
        </w:rPr>
      </w:pPr>
      <w:r w:rsidRPr="00B74B0F">
        <w:rPr>
          <w:szCs w:val="22"/>
          <w:lang w:val="sr-Latn-ME"/>
        </w:rPr>
        <w:t>2 godine</w:t>
      </w:r>
    </w:p>
    <w:p w14:paraId="336FC39C" w14:textId="77777777" w:rsidR="00C01EE4" w:rsidRPr="00B74B0F" w:rsidRDefault="00C01EE4">
      <w:pPr>
        <w:autoSpaceDE w:val="0"/>
        <w:autoSpaceDN w:val="0"/>
        <w:adjustRightInd w:val="0"/>
        <w:spacing w:line="240" w:lineRule="auto"/>
        <w:contextualSpacing/>
        <w:jc w:val="both"/>
        <w:rPr>
          <w:szCs w:val="22"/>
          <w:lang w:val="sr-Latn-ME"/>
        </w:rPr>
      </w:pPr>
    </w:p>
    <w:p w14:paraId="5D42B942" w14:textId="6598C970"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6.4</w:t>
      </w:r>
      <w:r w:rsidRPr="00B74B0F">
        <w:rPr>
          <w:b/>
          <w:szCs w:val="22"/>
          <w:lang w:val="sr-Latn-ME"/>
        </w:rPr>
        <w:tab/>
        <w:t xml:space="preserve">Posebne mjere </w:t>
      </w:r>
      <w:r w:rsidR="00B27953" w:rsidRPr="00B74B0F">
        <w:rPr>
          <w:b/>
          <w:szCs w:val="22"/>
          <w:lang w:val="sr-Latn-ME"/>
        </w:rPr>
        <w:t xml:space="preserve">upozorenja </w:t>
      </w:r>
      <w:r w:rsidRPr="00B74B0F">
        <w:rPr>
          <w:b/>
          <w:szCs w:val="22"/>
          <w:lang w:val="sr-Latn-ME"/>
        </w:rPr>
        <w:t>pri čuvanju lijeka</w:t>
      </w:r>
    </w:p>
    <w:p w14:paraId="63C9F2AA" w14:textId="77777777" w:rsidR="003363A6" w:rsidRPr="00B74B0F" w:rsidRDefault="003363A6">
      <w:pPr>
        <w:keepNext/>
        <w:spacing w:line="240" w:lineRule="auto"/>
        <w:contextualSpacing/>
        <w:jc w:val="both"/>
        <w:rPr>
          <w:szCs w:val="22"/>
          <w:lang w:val="sr-Latn-ME"/>
        </w:rPr>
      </w:pPr>
    </w:p>
    <w:p w14:paraId="5EA880FF" w14:textId="77777777" w:rsidR="008C2A05" w:rsidRPr="00B74B0F" w:rsidRDefault="008C2A05">
      <w:pPr>
        <w:spacing w:line="240" w:lineRule="auto"/>
        <w:contextualSpacing/>
        <w:jc w:val="both"/>
        <w:rPr>
          <w:szCs w:val="22"/>
          <w:lang w:val="sr-Latn-ME"/>
        </w:rPr>
      </w:pPr>
      <w:r w:rsidRPr="00B74B0F">
        <w:rPr>
          <w:szCs w:val="22"/>
          <w:lang w:val="sr-Latn-ME"/>
        </w:rPr>
        <w:t>Lijek ne zahtijeva čuvanje na određenoj temperaturi.</w:t>
      </w:r>
    </w:p>
    <w:p w14:paraId="2A0AAC31" w14:textId="77777777" w:rsidR="00667991" w:rsidRPr="00B74B0F" w:rsidRDefault="00667991">
      <w:pPr>
        <w:spacing w:line="240" w:lineRule="auto"/>
        <w:contextualSpacing/>
        <w:jc w:val="both"/>
        <w:rPr>
          <w:szCs w:val="22"/>
          <w:lang w:val="sr-Latn-ME"/>
        </w:rPr>
      </w:pPr>
    </w:p>
    <w:p w14:paraId="767CA146" w14:textId="50EB02E7" w:rsidR="00AC6812" w:rsidRPr="00B74B0F" w:rsidRDefault="00906CF8">
      <w:pPr>
        <w:spacing w:line="240" w:lineRule="auto"/>
        <w:contextualSpacing/>
        <w:jc w:val="both"/>
        <w:rPr>
          <w:i/>
          <w:szCs w:val="22"/>
          <w:lang w:val="sr-Latn-ME"/>
        </w:rPr>
      </w:pPr>
      <w:r w:rsidRPr="00B74B0F">
        <w:rPr>
          <w:szCs w:val="22"/>
          <w:lang w:val="sr-Latn-ME"/>
        </w:rPr>
        <w:t xml:space="preserve">Čuvati u originalnom blisteru radi zaštite od vlage. </w:t>
      </w:r>
    </w:p>
    <w:p w14:paraId="2643F397" w14:textId="77777777" w:rsidR="00812D16" w:rsidRPr="00B74B0F" w:rsidRDefault="00812D16">
      <w:pPr>
        <w:spacing w:line="240" w:lineRule="auto"/>
        <w:contextualSpacing/>
        <w:jc w:val="both"/>
        <w:rPr>
          <w:szCs w:val="22"/>
          <w:lang w:val="sr-Latn-ME"/>
        </w:rPr>
      </w:pPr>
    </w:p>
    <w:p w14:paraId="17E4B6C2" w14:textId="69EA900C" w:rsidR="00812D16" w:rsidRPr="00B74B0F" w:rsidRDefault="00906CF8">
      <w:pPr>
        <w:keepNext/>
        <w:spacing w:line="240" w:lineRule="auto"/>
        <w:ind w:left="567" w:hanging="567"/>
        <w:contextualSpacing/>
        <w:jc w:val="both"/>
        <w:outlineLvl w:val="0"/>
        <w:rPr>
          <w:szCs w:val="22"/>
          <w:lang w:val="sr-Latn-ME"/>
        </w:rPr>
      </w:pPr>
      <w:r w:rsidRPr="00B74B0F">
        <w:rPr>
          <w:b/>
          <w:szCs w:val="22"/>
          <w:lang w:val="sr-Latn-ME"/>
        </w:rPr>
        <w:t>6.5</w:t>
      </w:r>
      <w:r w:rsidRPr="00B74B0F">
        <w:rPr>
          <w:b/>
          <w:szCs w:val="22"/>
          <w:lang w:val="sr-Latn-ME"/>
        </w:rPr>
        <w:tab/>
        <w:t xml:space="preserve">Vrsta i sadržaj </w:t>
      </w:r>
      <w:r w:rsidR="00B27953" w:rsidRPr="00B74B0F">
        <w:rPr>
          <w:b/>
          <w:szCs w:val="22"/>
          <w:lang w:val="sr-Latn-ME"/>
        </w:rPr>
        <w:t>pakovanja</w:t>
      </w:r>
    </w:p>
    <w:p w14:paraId="3C43EE38" w14:textId="77777777" w:rsidR="00640CCA" w:rsidRPr="00B74B0F" w:rsidRDefault="00640CCA">
      <w:pPr>
        <w:keepNext/>
        <w:tabs>
          <w:tab w:val="clear" w:pos="567"/>
          <w:tab w:val="left" w:pos="3502"/>
        </w:tabs>
        <w:spacing w:line="240" w:lineRule="auto"/>
        <w:contextualSpacing/>
        <w:jc w:val="both"/>
        <w:outlineLvl w:val="0"/>
        <w:rPr>
          <w:szCs w:val="22"/>
          <w:lang w:val="sr-Latn-ME"/>
        </w:rPr>
      </w:pPr>
    </w:p>
    <w:p w14:paraId="4528985E" w14:textId="2D355B78" w:rsidR="007F6133" w:rsidRPr="00B74B0F" w:rsidRDefault="00906CF8">
      <w:pPr>
        <w:spacing w:line="240" w:lineRule="auto"/>
        <w:contextualSpacing/>
        <w:jc w:val="both"/>
        <w:rPr>
          <w:szCs w:val="22"/>
          <w:lang w:val="sr-Latn-ME"/>
        </w:rPr>
      </w:pPr>
      <w:r w:rsidRPr="00B74B0F">
        <w:rPr>
          <w:szCs w:val="22"/>
          <w:lang w:val="sr-Latn-ME"/>
        </w:rPr>
        <w:t>Kalendarski blisteri od polivinil</w:t>
      </w:r>
      <w:r w:rsidR="00636B94" w:rsidRPr="00B74B0F">
        <w:rPr>
          <w:szCs w:val="22"/>
          <w:lang w:val="sr-Latn-ME"/>
        </w:rPr>
        <w:t>h</w:t>
      </w:r>
      <w:r w:rsidRPr="00B74B0F">
        <w:rPr>
          <w:szCs w:val="22"/>
          <w:lang w:val="sr-Latn-ME"/>
        </w:rPr>
        <w:t>lorida/polietilena/poli</w:t>
      </w:r>
      <w:r w:rsidR="00636B94" w:rsidRPr="00B74B0F">
        <w:rPr>
          <w:szCs w:val="22"/>
          <w:lang w:val="sr-Latn-ME"/>
        </w:rPr>
        <w:t>h</w:t>
      </w:r>
      <w:r w:rsidRPr="00B74B0F">
        <w:rPr>
          <w:szCs w:val="22"/>
          <w:lang w:val="sr-Latn-ME"/>
        </w:rPr>
        <w:t>lorotrifluoroetilena i aluminij</w:t>
      </w:r>
      <w:r w:rsidR="0085291E" w:rsidRPr="00B74B0F">
        <w:rPr>
          <w:szCs w:val="22"/>
          <w:lang w:val="sr-Latn-ME"/>
        </w:rPr>
        <w:t>um</w:t>
      </w:r>
      <w:r w:rsidRPr="00B74B0F">
        <w:rPr>
          <w:szCs w:val="22"/>
          <w:lang w:val="sr-Latn-ME"/>
        </w:rPr>
        <w:t xml:space="preserve">a u </w:t>
      </w:r>
      <w:r w:rsidR="00E34970" w:rsidRPr="00B74B0F">
        <w:rPr>
          <w:szCs w:val="22"/>
          <w:lang w:val="sr-Latn-ME"/>
        </w:rPr>
        <w:t>pak</w:t>
      </w:r>
      <w:r w:rsidR="00636B94" w:rsidRPr="00B74B0F">
        <w:rPr>
          <w:szCs w:val="22"/>
          <w:lang w:val="sr-Latn-ME"/>
        </w:rPr>
        <w:t>ovanju</w:t>
      </w:r>
      <w:r w:rsidR="00E34970" w:rsidRPr="00B74B0F">
        <w:rPr>
          <w:szCs w:val="22"/>
          <w:lang w:val="sr-Latn-ME"/>
        </w:rPr>
        <w:t xml:space="preserve"> koj</w:t>
      </w:r>
      <w:r w:rsidR="00636B94" w:rsidRPr="00B74B0F">
        <w:rPr>
          <w:szCs w:val="22"/>
          <w:lang w:val="sr-Latn-ME"/>
        </w:rPr>
        <w:t>e</w:t>
      </w:r>
      <w:r w:rsidR="00E34970" w:rsidRPr="00B74B0F">
        <w:rPr>
          <w:szCs w:val="22"/>
          <w:lang w:val="sr-Latn-ME"/>
        </w:rPr>
        <w:t xml:space="preserve"> sadrže</w:t>
      </w:r>
      <w:r w:rsidRPr="00B74B0F">
        <w:rPr>
          <w:szCs w:val="22"/>
          <w:lang w:val="sr-Latn-ME"/>
        </w:rPr>
        <w:t xml:space="preserve"> 28 tableta s</w:t>
      </w:r>
      <w:r w:rsidR="0085291E" w:rsidRPr="00B74B0F">
        <w:rPr>
          <w:szCs w:val="22"/>
          <w:lang w:val="sr-Latn-ME"/>
        </w:rPr>
        <w:t>a</w:t>
      </w:r>
      <w:r w:rsidRPr="00B74B0F">
        <w:rPr>
          <w:szCs w:val="22"/>
          <w:lang w:val="sr-Latn-ME"/>
        </w:rPr>
        <w:t xml:space="preserve"> produ</w:t>
      </w:r>
      <w:r w:rsidR="00636B94" w:rsidRPr="00B74B0F">
        <w:rPr>
          <w:szCs w:val="22"/>
          <w:lang w:val="sr-Latn-ME"/>
        </w:rPr>
        <w:t>ž</w:t>
      </w:r>
      <w:r w:rsidRPr="00B74B0F">
        <w:rPr>
          <w:szCs w:val="22"/>
          <w:lang w:val="sr-Latn-ME"/>
        </w:rPr>
        <w:t>enim oslobađanjem</w:t>
      </w:r>
      <w:r w:rsidR="004F6DDC" w:rsidRPr="00B74B0F">
        <w:rPr>
          <w:szCs w:val="22"/>
          <w:lang w:val="sr-Latn-ME"/>
        </w:rPr>
        <w:t xml:space="preserve"> </w:t>
      </w:r>
      <w:r w:rsidR="005B6A2D" w:rsidRPr="00B74B0F">
        <w:rPr>
          <w:szCs w:val="22"/>
          <w:lang w:val="sr-Latn-ME"/>
        </w:rPr>
        <w:t xml:space="preserve"> sa 4 blistera </w:t>
      </w:r>
      <w:r w:rsidR="005D082F" w:rsidRPr="00B74B0F">
        <w:rPr>
          <w:szCs w:val="22"/>
          <w:lang w:val="sr-Latn-ME"/>
        </w:rPr>
        <w:t xml:space="preserve">od po 7 tableta </w:t>
      </w:r>
      <w:r w:rsidR="005B6A2D" w:rsidRPr="00B74B0F">
        <w:rPr>
          <w:szCs w:val="22"/>
          <w:lang w:val="sr-Latn-ME"/>
        </w:rPr>
        <w:t>(4 x</w:t>
      </w:r>
      <w:r w:rsidR="009C2A8B" w:rsidRPr="00B74B0F">
        <w:rPr>
          <w:szCs w:val="22"/>
          <w:lang w:val="sr-Latn-ME"/>
        </w:rPr>
        <w:t xml:space="preserve"> 7)</w:t>
      </w:r>
      <w:r w:rsidR="007F6133" w:rsidRPr="00B74B0F">
        <w:rPr>
          <w:szCs w:val="22"/>
          <w:lang w:val="sr-Latn-ME"/>
        </w:rPr>
        <w:t>.</w:t>
      </w:r>
    </w:p>
    <w:p w14:paraId="262EFC14" w14:textId="77777777" w:rsidR="00DC333D" w:rsidRPr="00B74B0F" w:rsidRDefault="00DC333D">
      <w:pPr>
        <w:spacing w:line="240" w:lineRule="auto"/>
        <w:contextualSpacing/>
        <w:jc w:val="both"/>
        <w:rPr>
          <w:rFonts w:eastAsia="Calibri"/>
          <w:szCs w:val="22"/>
          <w:lang w:val="sr-Latn-ME"/>
        </w:rPr>
      </w:pPr>
    </w:p>
    <w:p w14:paraId="26443868" w14:textId="142E2795" w:rsidR="00B27953" w:rsidRPr="00B74B0F" w:rsidRDefault="00906CF8">
      <w:pPr>
        <w:keepNext/>
        <w:tabs>
          <w:tab w:val="clear" w:pos="567"/>
          <w:tab w:val="left" w:pos="569"/>
        </w:tabs>
        <w:spacing w:line="240" w:lineRule="auto"/>
        <w:ind w:left="567" w:hanging="567"/>
        <w:contextualSpacing/>
        <w:jc w:val="both"/>
        <w:outlineLvl w:val="0"/>
        <w:rPr>
          <w:b/>
          <w:bCs/>
          <w:szCs w:val="22"/>
          <w:lang w:val="sr-Latn-ME"/>
        </w:rPr>
      </w:pPr>
      <w:bookmarkStart w:id="17" w:name="OLE_LINK1"/>
      <w:r w:rsidRPr="00B74B0F">
        <w:rPr>
          <w:b/>
          <w:bCs/>
          <w:szCs w:val="22"/>
          <w:lang w:val="sr-Latn-ME"/>
        </w:rPr>
        <w:t>6.6</w:t>
      </w:r>
      <w:r w:rsidRPr="00B74B0F">
        <w:rPr>
          <w:b/>
          <w:bCs/>
          <w:szCs w:val="22"/>
          <w:lang w:val="sr-Latn-ME"/>
        </w:rPr>
        <w:tab/>
      </w:r>
      <w:r w:rsidR="00B27953" w:rsidRPr="00B74B0F">
        <w:rPr>
          <w:b/>
          <w:bCs/>
          <w:szCs w:val="22"/>
          <w:lang w:val="sr-Latn-ME"/>
        </w:rPr>
        <w:t>Posebne mjere opreza pri odlaganju materijala koji treba odbaciti nakon primjene lijeka (i druga uputs</w:t>
      </w:r>
      <w:r w:rsidR="006B77A0" w:rsidRPr="00B74B0F">
        <w:rPr>
          <w:b/>
          <w:bCs/>
          <w:szCs w:val="22"/>
          <w:lang w:val="sr-Latn-ME"/>
        </w:rPr>
        <w:t>t</w:t>
      </w:r>
      <w:r w:rsidR="00B27953" w:rsidRPr="00B74B0F">
        <w:rPr>
          <w:b/>
          <w:bCs/>
          <w:szCs w:val="22"/>
          <w:lang w:val="sr-Latn-ME"/>
        </w:rPr>
        <w:t xml:space="preserve">va za rukovanje lijekom) </w:t>
      </w:r>
    </w:p>
    <w:p w14:paraId="31BCCFE5" w14:textId="77777777" w:rsidR="00812D16" w:rsidRPr="00B74B0F" w:rsidRDefault="00812D16">
      <w:pPr>
        <w:keepNext/>
        <w:spacing w:line="240" w:lineRule="auto"/>
        <w:contextualSpacing/>
        <w:jc w:val="both"/>
        <w:rPr>
          <w:szCs w:val="22"/>
          <w:lang w:val="sr-Latn-ME"/>
        </w:rPr>
      </w:pPr>
    </w:p>
    <w:bookmarkEnd w:id="17"/>
    <w:p w14:paraId="33805198" w14:textId="45FCA80E" w:rsidR="00812D16" w:rsidRPr="00B74B0F" w:rsidRDefault="00636B94">
      <w:pPr>
        <w:spacing w:line="240" w:lineRule="auto"/>
        <w:contextualSpacing/>
        <w:jc w:val="both"/>
        <w:rPr>
          <w:szCs w:val="22"/>
          <w:lang w:val="sr-Latn-ME"/>
        </w:rPr>
      </w:pPr>
      <w:r w:rsidRPr="00B74B0F">
        <w:rPr>
          <w:szCs w:val="22"/>
          <w:lang w:val="sr-Latn-ME"/>
        </w:rPr>
        <w:t xml:space="preserve">Neiskorišteni lijek ili otpadni materijal treba </w:t>
      </w:r>
      <w:r w:rsidR="00B27953" w:rsidRPr="00B74B0F">
        <w:rPr>
          <w:szCs w:val="22"/>
          <w:lang w:val="sr-Latn-ME"/>
        </w:rPr>
        <w:t>odložiti</w:t>
      </w:r>
      <w:r w:rsidRPr="00B74B0F">
        <w:rPr>
          <w:szCs w:val="22"/>
          <w:lang w:val="sr-Latn-ME"/>
        </w:rPr>
        <w:t xml:space="preserve"> u skladu sa lokalnim propisima</w:t>
      </w:r>
      <w:r w:rsidR="00B27953" w:rsidRPr="00B74B0F">
        <w:rPr>
          <w:szCs w:val="22"/>
          <w:lang w:val="sr-Latn-ME"/>
        </w:rPr>
        <w:t>.</w:t>
      </w:r>
    </w:p>
    <w:p w14:paraId="5CC7000B" w14:textId="79D05D23" w:rsidR="00812D16" w:rsidRPr="00B74B0F" w:rsidRDefault="00812D16">
      <w:pPr>
        <w:spacing w:line="240" w:lineRule="auto"/>
        <w:contextualSpacing/>
        <w:jc w:val="both"/>
        <w:rPr>
          <w:szCs w:val="22"/>
          <w:lang w:val="sr-Latn-ME"/>
        </w:rPr>
      </w:pPr>
    </w:p>
    <w:p w14:paraId="4991EE84" w14:textId="77777777" w:rsidR="006B77A0" w:rsidRPr="00B74B0F" w:rsidRDefault="006B77A0">
      <w:pPr>
        <w:spacing w:line="240" w:lineRule="auto"/>
        <w:contextualSpacing/>
        <w:jc w:val="both"/>
        <w:rPr>
          <w:szCs w:val="22"/>
          <w:lang w:val="sr-Latn-ME"/>
        </w:rPr>
      </w:pPr>
    </w:p>
    <w:p w14:paraId="74CC9C4D" w14:textId="77777777" w:rsidR="00B27953" w:rsidRPr="00B74B0F" w:rsidRDefault="00B27953">
      <w:pPr>
        <w:tabs>
          <w:tab w:val="clear" w:pos="567"/>
          <w:tab w:val="left" w:pos="540"/>
          <w:tab w:val="left" w:pos="569"/>
        </w:tabs>
        <w:spacing w:line="240" w:lineRule="auto"/>
        <w:jc w:val="both"/>
        <w:rPr>
          <w:b/>
          <w:bCs/>
          <w:szCs w:val="22"/>
          <w:lang w:val="sr-Latn-ME"/>
        </w:rPr>
      </w:pPr>
      <w:r w:rsidRPr="00B74B0F">
        <w:rPr>
          <w:b/>
          <w:bCs/>
          <w:szCs w:val="22"/>
          <w:lang w:val="sr-Latn-ME"/>
        </w:rPr>
        <w:t xml:space="preserve">7. </w:t>
      </w:r>
      <w:r w:rsidRPr="00B74B0F">
        <w:rPr>
          <w:b/>
          <w:bCs/>
          <w:szCs w:val="22"/>
          <w:lang w:val="sr-Latn-ME"/>
        </w:rPr>
        <w:tab/>
        <w:t xml:space="preserve">NOSILAC DOZVOLE </w:t>
      </w:r>
    </w:p>
    <w:p w14:paraId="68953786" w14:textId="77777777" w:rsidR="00B27953" w:rsidRPr="00B74B0F" w:rsidRDefault="00B27953">
      <w:pPr>
        <w:tabs>
          <w:tab w:val="clear" w:pos="567"/>
          <w:tab w:val="left" w:pos="540"/>
          <w:tab w:val="left" w:pos="569"/>
        </w:tabs>
        <w:spacing w:line="240" w:lineRule="auto"/>
        <w:jc w:val="both"/>
        <w:rPr>
          <w:bCs/>
          <w:szCs w:val="22"/>
          <w:lang w:val="sr-Latn-ME"/>
        </w:rPr>
      </w:pPr>
    </w:p>
    <w:p w14:paraId="779B95B0" w14:textId="67539C83" w:rsidR="005D165F" w:rsidRPr="00B74B0F" w:rsidRDefault="005D165F">
      <w:pPr>
        <w:tabs>
          <w:tab w:val="left" w:pos="540"/>
        </w:tabs>
        <w:spacing w:line="240" w:lineRule="auto"/>
        <w:jc w:val="both"/>
        <w:rPr>
          <w:bCs/>
          <w:szCs w:val="22"/>
          <w:lang w:val="sr-Latn-ME"/>
        </w:rPr>
      </w:pPr>
      <w:r w:rsidRPr="00B74B0F">
        <w:rPr>
          <w:bCs/>
          <w:szCs w:val="22"/>
          <w:lang w:val="sr-Latn-ME"/>
        </w:rPr>
        <w:t>Glosarij</w:t>
      </w:r>
      <w:r w:rsidR="007C65B0" w:rsidRPr="00B74B0F">
        <w:rPr>
          <w:bCs/>
          <w:szCs w:val="22"/>
          <w:lang w:val="sr-Latn-ME"/>
        </w:rPr>
        <w:t xml:space="preserve"> </w:t>
      </w:r>
      <w:r w:rsidRPr="00B74B0F">
        <w:rPr>
          <w:bCs/>
          <w:szCs w:val="22"/>
          <w:lang w:val="sr-Latn-ME"/>
        </w:rPr>
        <w:t xml:space="preserve">d.o.o. </w:t>
      </w:r>
    </w:p>
    <w:p w14:paraId="07B8503B" w14:textId="77777777" w:rsidR="007C65B0" w:rsidRPr="00B74B0F" w:rsidRDefault="005D165F">
      <w:pPr>
        <w:tabs>
          <w:tab w:val="left" w:pos="540"/>
        </w:tabs>
        <w:spacing w:line="240" w:lineRule="auto"/>
        <w:jc w:val="both"/>
        <w:rPr>
          <w:bCs/>
          <w:szCs w:val="22"/>
          <w:lang w:val="sr-Latn-ME"/>
        </w:rPr>
      </w:pPr>
      <w:r w:rsidRPr="00B74B0F">
        <w:rPr>
          <w:bCs/>
          <w:szCs w:val="22"/>
          <w:lang w:val="sr-Latn-ME"/>
        </w:rPr>
        <w:t>Vojislavljevića 76,</w:t>
      </w:r>
      <w:r w:rsidR="001F3830" w:rsidRPr="00B74B0F">
        <w:rPr>
          <w:bCs/>
          <w:szCs w:val="22"/>
          <w:lang w:val="sr-Latn-ME"/>
        </w:rPr>
        <w:t xml:space="preserve"> </w:t>
      </w:r>
    </w:p>
    <w:p w14:paraId="4358A1EC" w14:textId="0DA82C4D" w:rsidR="005D165F" w:rsidRPr="00B74B0F" w:rsidRDefault="005D165F">
      <w:pPr>
        <w:tabs>
          <w:tab w:val="left" w:pos="540"/>
        </w:tabs>
        <w:spacing w:line="240" w:lineRule="auto"/>
        <w:jc w:val="both"/>
        <w:rPr>
          <w:bCs/>
          <w:szCs w:val="22"/>
          <w:lang w:val="sr-Latn-ME"/>
        </w:rPr>
      </w:pPr>
      <w:r w:rsidRPr="00B74B0F">
        <w:rPr>
          <w:bCs/>
          <w:szCs w:val="22"/>
          <w:lang w:val="sr-Latn-ME"/>
        </w:rPr>
        <w:t>Podgorica, Crna Gora</w:t>
      </w:r>
    </w:p>
    <w:p w14:paraId="3A48C4AF" w14:textId="55835091" w:rsidR="005D165F" w:rsidRPr="00B74B0F" w:rsidRDefault="005D165F">
      <w:pPr>
        <w:tabs>
          <w:tab w:val="left" w:pos="540"/>
        </w:tabs>
        <w:spacing w:line="240" w:lineRule="auto"/>
        <w:jc w:val="both"/>
        <w:rPr>
          <w:b/>
          <w:bCs/>
          <w:szCs w:val="22"/>
          <w:lang w:val="sr-Latn-ME"/>
        </w:rPr>
      </w:pPr>
    </w:p>
    <w:p w14:paraId="29B6BE5E" w14:textId="532E6A3D" w:rsidR="0092261F" w:rsidRPr="00B74B0F" w:rsidRDefault="0092261F">
      <w:pPr>
        <w:tabs>
          <w:tab w:val="left" w:pos="540"/>
        </w:tabs>
        <w:spacing w:line="240" w:lineRule="auto"/>
        <w:jc w:val="both"/>
        <w:rPr>
          <w:b/>
          <w:bCs/>
          <w:szCs w:val="22"/>
          <w:lang w:val="sr-Latn-ME"/>
        </w:rPr>
      </w:pPr>
    </w:p>
    <w:p w14:paraId="36AE8339" w14:textId="77777777" w:rsidR="0092261F" w:rsidRPr="00B74B0F" w:rsidRDefault="0092261F">
      <w:pPr>
        <w:tabs>
          <w:tab w:val="left" w:pos="540"/>
        </w:tabs>
        <w:spacing w:line="240" w:lineRule="auto"/>
        <w:jc w:val="both"/>
        <w:rPr>
          <w:b/>
          <w:bCs/>
          <w:szCs w:val="22"/>
          <w:lang w:val="sr-Latn-ME"/>
        </w:rPr>
      </w:pPr>
    </w:p>
    <w:p w14:paraId="3F7FEBC4" w14:textId="77777777" w:rsidR="00B27953" w:rsidRPr="00B74B0F" w:rsidRDefault="00B27953">
      <w:pPr>
        <w:tabs>
          <w:tab w:val="clear" w:pos="567"/>
          <w:tab w:val="left" w:pos="540"/>
          <w:tab w:val="left" w:pos="569"/>
        </w:tabs>
        <w:spacing w:line="240" w:lineRule="auto"/>
        <w:jc w:val="both"/>
        <w:rPr>
          <w:bCs/>
          <w:szCs w:val="22"/>
          <w:lang w:val="sr-Latn-ME"/>
        </w:rPr>
      </w:pPr>
    </w:p>
    <w:p w14:paraId="2984A11C" w14:textId="77777777" w:rsidR="00B27953" w:rsidRPr="00B74B0F" w:rsidRDefault="00B27953">
      <w:pPr>
        <w:tabs>
          <w:tab w:val="clear" w:pos="567"/>
          <w:tab w:val="left" w:pos="540"/>
          <w:tab w:val="left" w:pos="569"/>
        </w:tabs>
        <w:spacing w:line="240" w:lineRule="auto"/>
        <w:jc w:val="both"/>
        <w:rPr>
          <w:b/>
          <w:bCs/>
          <w:szCs w:val="22"/>
          <w:lang w:val="sr-Latn-ME"/>
        </w:rPr>
      </w:pPr>
      <w:r w:rsidRPr="00B74B0F">
        <w:rPr>
          <w:b/>
          <w:bCs/>
          <w:szCs w:val="22"/>
          <w:lang w:val="sr-Latn-ME"/>
        </w:rPr>
        <w:lastRenderedPageBreak/>
        <w:t xml:space="preserve">8. </w:t>
      </w:r>
      <w:r w:rsidRPr="00B74B0F">
        <w:rPr>
          <w:b/>
          <w:bCs/>
          <w:szCs w:val="22"/>
          <w:lang w:val="sr-Latn-ME"/>
        </w:rPr>
        <w:tab/>
        <w:t>BROJ DOZVOLE ZA STAVLJANJE LIJEKA U PROMET</w:t>
      </w:r>
    </w:p>
    <w:p w14:paraId="60258005" w14:textId="77777777" w:rsidR="00B27953" w:rsidRPr="00B74B0F" w:rsidRDefault="00B27953">
      <w:pPr>
        <w:tabs>
          <w:tab w:val="clear" w:pos="567"/>
          <w:tab w:val="left" w:pos="540"/>
          <w:tab w:val="left" w:pos="569"/>
        </w:tabs>
        <w:spacing w:line="240" w:lineRule="auto"/>
        <w:jc w:val="both"/>
        <w:rPr>
          <w:bCs/>
          <w:szCs w:val="22"/>
          <w:lang w:val="sr-Latn-ME"/>
        </w:rPr>
      </w:pPr>
    </w:p>
    <w:p w14:paraId="19AD1949" w14:textId="2AC4CF6F" w:rsidR="00B27953" w:rsidRPr="00B74B0F" w:rsidRDefault="005D082F">
      <w:pPr>
        <w:tabs>
          <w:tab w:val="clear" w:pos="567"/>
          <w:tab w:val="left" w:pos="540"/>
          <w:tab w:val="left" w:pos="569"/>
        </w:tabs>
        <w:spacing w:line="240" w:lineRule="auto"/>
        <w:jc w:val="both"/>
        <w:rPr>
          <w:bCs/>
          <w:szCs w:val="22"/>
          <w:lang w:val="sr-Latn-ME"/>
        </w:rPr>
      </w:pPr>
      <w:r w:rsidRPr="00B74B0F">
        <w:rPr>
          <w:bCs/>
          <w:szCs w:val="22"/>
          <w:lang w:val="sr-Latn-ME"/>
        </w:rPr>
        <w:t>Rinvoq, tableta sa produženim oslobađanjem, 15</w:t>
      </w:r>
      <w:r w:rsidR="00A66B3D" w:rsidRPr="00B74B0F">
        <w:rPr>
          <w:bCs/>
          <w:szCs w:val="22"/>
          <w:lang w:val="sr-Latn-ME"/>
        </w:rPr>
        <w:t xml:space="preserve"> </w:t>
      </w:r>
      <w:r w:rsidRPr="00B74B0F">
        <w:rPr>
          <w:bCs/>
          <w:szCs w:val="22"/>
          <w:lang w:val="sr-Latn-ME"/>
        </w:rPr>
        <w:t xml:space="preserve">mg, blister, 28 (4x7) tableta: </w:t>
      </w:r>
      <w:r w:rsidR="002379A2" w:rsidRPr="00B74B0F">
        <w:rPr>
          <w:bCs/>
          <w:szCs w:val="22"/>
          <w:lang w:val="sr-Latn-ME"/>
        </w:rPr>
        <w:t>2030/20/938 - 7089</w:t>
      </w:r>
    </w:p>
    <w:p w14:paraId="5274F4A8" w14:textId="769F72D3" w:rsidR="00C01EE4" w:rsidRPr="00B74B0F" w:rsidRDefault="00C01EE4" w:rsidP="00C01EE4">
      <w:pPr>
        <w:tabs>
          <w:tab w:val="clear" w:pos="567"/>
          <w:tab w:val="left" w:pos="540"/>
          <w:tab w:val="left" w:pos="569"/>
        </w:tabs>
        <w:spacing w:line="240" w:lineRule="auto"/>
        <w:jc w:val="both"/>
        <w:rPr>
          <w:bCs/>
          <w:szCs w:val="22"/>
          <w:lang w:val="sr-Latn-ME"/>
        </w:rPr>
      </w:pPr>
      <w:r w:rsidRPr="00B74B0F">
        <w:rPr>
          <w:bCs/>
          <w:szCs w:val="22"/>
          <w:lang w:val="sr-Latn-ME"/>
        </w:rPr>
        <w:t xml:space="preserve">Rinvoq, tableta sa produženim oslobađanjem, 30 mg, blister, 28 (4x7) tableta: </w:t>
      </w:r>
      <w:r w:rsidR="00831AD3" w:rsidRPr="00B74B0F">
        <w:rPr>
          <w:bCs/>
          <w:szCs w:val="22"/>
          <w:lang w:val="sr-Latn-ME"/>
        </w:rPr>
        <w:t>2030/24/4367 - 8646</w:t>
      </w:r>
    </w:p>
    <w:p w14:paraId="01835B31" w14:textId="2143D5BB" w:rsidR="00C01EE4" w:rsidRPr="00B74B0F" w:rsidRDefault="00C01EE4" w:rsidP="00C01EE4">
      <w:pPr>
        <w:tabs>
          <w:tab w:val="clear" w:pos="567"/>
          <w:tab w:val="left" w:pos="540"/>
          <w:tab w:val="left" w:pos="569"/>
        </w:tabs>
        <w:spacing w:line="240" w:lineRule="auto"/>
        <w:jc w:val="both"/>
        <w:rPr>
          <w:bCs/>
          <w:szCs w:val="22"/>
          <w:lang w:val="sr-Latn-ME"/>
        </w:rPr>
      </w:pPr>
      <w:r w:rsidRPr="00B74B0F">
        <w:rPr>
          <w:bCs/>
          <w:szCs w:val="22"/>
          <w:lang w:val="sr-Latn-ME"/>
        </w:rPr>
        <w:t xml:space="preserve">Rinvoq, tableta sa produženim oslobađanjem, 45 mg, blister, 28 (4x7) tableta: </w:t>
      </w:r>
      <w:r w:rsidR="00831AD3" w:rsidRPr="00B74B0F">
        <w:rPr>
          <w:bCs/>
          <w:szCs w:val="22"/>
          <w:lang w:val="sr-Latn-ME"/>
        </w:rPr>
        <w:t>2030/24/4368 - 8647</w:t>
      </w:r>
    </w:p>
    <w:p w14:paraId="4F071D9C" w14:textId="3FA1B0AF" w:rsidR="005D082F" w:rsidRPr="00B74B0F" w:rsidRDefault="005D082F">
      <w:pPr>
        <w:tabs>
          <w:tab w:val="clear" w:pos="567"/>
          <w:tab w:val="left" w:pos="540"/>
          <w:tab w:val="left" w:pos="569"/>
        </w:tabs>
        <w:spacing w:line="240" w:lineRule="auto"/>
        <w:jc w:val="both"/>
        <w:rPr>
          <w:bCs/>
          <w:szCs w:val="22"/>
          <w:lang w:val="sr-Latn-ME"/>
        </w:rPr>
      </w:pPr>
    </w:p>
    <w:p w14:paraId="39040776" w14:textId="77777777" w:rsidR="005D082F" w:rsidRPr="00B74B0F" w:rsidRDefault="005D082F">
      <w:pPr>
        <w:tabs>
          <w:tab w:val="clear" w:pos="567"/>
          <w:tab w:val="left" w:pos="540"/>
          <w:tab w:val="left" w:pos="569"/>
        </w:tabs>
        <w:spacing w:line="240" w:lineRule="auto"/>
        <w:jc w:val="both"/>
        <w:rPr>
          <w:bCs/>
          <w:szCs w:val="22"/>
          <w:lang w:val="sr-Latn-ME"/>
        </w:rPr>
      </w:pPr>
    </w:p>
    <w:p w14:paraId="20AFB45A" w14:textId="77777777" w:rsidR="00B27953" w:rsidRPr="00B74B0F" w:rsidRDefault="00B27953">
      <w:pPr>
        <w:tabs>
          <w:tab w:val="clear" w:pos="567"/>
          <w:tab w:val="left" w:pos="540"/>
          <w:tab w:val="left" w:pos="569"/>
        </w:tabs>
        <w:spacing w:line="240" w:lineRule="auto"/>
        <w:jc w:val="both"/>
        <w:rPr>
          <w:b/>
          <w:bCs/>
          <w:szCs w:val="22"/>
          <w:lang w:val="sr-Latn-ME"/>
        </w:rPr>
      </w:pPr>
      <w:r w:rsidRPr="00B74B0F">
        <w:rPr>
          <w:b/>
          <w:bCs/>
          <w:szCs w:val="22"/>
          <w:lang w:val="sr-Latn-ME"/>
        </w:rPr>
        <w:t xml:space="preserve">9. </w:t>
      </w:r>
      <w:r w:rsidRPr="00B74B0F">
        <w:rPr>
          <w:b/>
          <w:bCs/>
          <w:szCs w:val="22"/>
          <w:lang w:val="sr-Latn-ME"/>
        </w:rPr>
        <w:tab/>
        <w:t>DATUM PRVE DOZVOLE/OBNOVE DOZVOLE ZA STAVLJANJE LIJEKA U PROMET</w:t>
      </w:r>
    </w:p>
    <w:p w14:paraId="0FA6A854" w14:textId="77777777" w:rsidR="00B27953" w:rsidRPr="00B74B0F" w:rsidRDefault="00B27953">
      <w:pPr>
        <w:tabs>
          <w:tab w:val="clear" w:pos="567"/>
          <w:tab w:val="left" w:pos="540"/>
          <w:tab w:val="left" w:pos="569"/>
        </w:tabs>
        <w:spacing w:line="240" w:lineRule="auto"/>
        <w:jc w:val="both"/>
        <w:rPr>
          <w:bCs/>
          <w:szCs w:val="22"/>
          <w:lang w:val="sr-Latn-ME"/>
        </w:rPr>
      </w:pPr>
    </w:p>
    <w:p w14:paraId="360164DC" w14:textId="28530A01" w:rsidR="005D082F" w:rsidRPr="00B74B0F" w:rsidRDefault="005D082F">
      <w:pPr>
        <w:tabs>
          <w:tab w:val="clear" w:pos="567"/>
          <w:tab w:val="left" w:pos="540"/>
          <w:tab w:val="left" w:pos="569"/>
        </w:tabs>
        <w:spacing w:line="240" w:lineRule="auto"/>
        <w:jc w:val="both"/>
        <w:rPr>
          <w:bCs/>
          <w:szCs w:val="22"/>
          <w:lang w:val="sr-Latn-ME"/>
        </w:rPr>
      </w:pPr>
      <w:r w:rsidRPr="00B74B0F">
        <w:rPr>
          <w:bCs/>
          <w:szCs w:val="22"/>
          <w:lang w:val="sr-Latn-ME"/>
        </w:rPr>
        <w:t>Rinvoq, tableta sa produženim oslobađanjem, 15</w:t>
      </w:r>
      <w:r w:rsidR="00A66B3D" w:rsidRPr="00B74B0F">
        <w:rPr>
          <w:bCs/>
          <w:szCs w:val="22"/>
          <w:lang w:val="sr-Latn-ME"/>
        </w:rPr>
        <w:t xml:space="preserve"> </w:t>
      </w:r>
      <w:r w:rsidRPr="00B74B0F">
        <w:rPr>
          <w:bCs/>
          <w:szCs w:val="22"/>
          <w:lang w:val="sr-Latn-ME"/>
        </w:rPr>
        <w:t xml:space="preserve">mg, blister, 28 (4x7) tableta: </w:t>
      </w:r>
      <w:r w:rsidR="002379A2" w:rsidRPr="00B74B0F">
        <w:rPr>
          <w:bCs/>
          <w:szCs w:val="22"/>
          <w:lang w:val="sr-Latn-ME"/>
        </w:rPr>
        <w:t>24.09.2020. godine</w:t>
      </w:r>
    </w:p>
    <w:p w14:paraId="18975159" w14:textId="3A01F6DF" w:rsidR="00C01EE4" w:rsidRPr="00B74B0F" w:rsidRDefault="00C01EE4" w:rsidP="00C01EE4">
      <w:pPr>
        <w:tabs>
          <w:tab w:val="clear" w:pos="567"/>
          <w:tab w:val="left" w:pos="540"/>
          <w:tab w:val="left" w:pos="569"/>
        </w:tabs>
        <w:spacing w:line="240" w:lineRule="auto"/>
        <w:jc w:val="both"/>
        <w:rPr>
          <w:bCs/>
          <w:szCs w:val="22"/>
          <w:lang w:val="sr-Latn-ME"/>
        </w:rPr>
      </w:pPr>
      <w:r w:rsidRPr="00B74B0F">
        <w:rPr>
          <w:bCs/>
          <w:szCs w:val="22"/>
          <w:lang w:val="sr-Latn-ME"/>
        </w:rPr>
        <w:t xml:space="preserve">Rinvoq, tableta sa produženim oslobađanjem, 30 mg, blister, 28 (4x7) tableta: </w:t>
      </w:r>
      <w:r w:rsidR="00831AD3" w:rsidRPr="00B74B0F">
        <w:rPr>
          <w:bCs/>
          <w:szCs w:val="22"/>
          <w:lang w:val="sr-Latn-ME"/>
        </w:rPr>
        <w:t>28.08.2024. godine</w:t>
      </w:r>
    </w:p>
    <w:p w14:paraId="00189156" w14:textId="7A2A3E82" w:rsidR="00C01EE4" w:rsidRPr="00B74B0F" w:rsidRDefault="00C01EE4" w:rsidP="00C01EE4">
      <w:pPr>
        <w:tabs>
          <w:tab w:val="clear" w:pos="567"/>
          <w:tab w:val="left" w:pos="540"/>
          <w:tab w:val="left" w:pos="569"/>
        </w:tabs>
        <w:spacing w:line="240" w:lineRule="auto"/>
        <w:jc w:val="both"/>
        <w:rPr>
          <w:bCs/>
          <w:szCs w:val="22"/>
          <w:lang w:val="sr-Latn-ME"/>
        </w:rPr>
      </w:pPr>
      <w:r w:rsidRPr="00B74B0F">
        <w:rPr>
          <w:bCs/>
          <w:szCs w:val="22"/>
          <w:lang w:val="sr-Latn-ME"/>
        </w:rPr>
        <w:t xml:space="preserve">Rinvoq, tableta sa produženim oslobađanjem, 45 mg, blister, 28 (4x7) tableta: </w:t>
      </w:r>
      <w:r w:rsidR="00831AD3" w:rsidRPr="00B74B0F">
        <w:rPr>
          <w:bCs/>
          <w:szCs w:val="22"/>
          <w:lang w:val="sr-Latn-ME"/>
        </w:rPr>
        <w:t>28.08.2024. godine</w:t>
      </w:r>
    </w:p>
    <w:p w14:paraId="07946ADF" w14:textId="63E49E11" w:rsidR="00B27953" w:rsidRPr="00B74B0F" w:rsidRDefault="00B27953">
      <w:pPr>
        <w:tabs>
          <w:tab w:val="clear" w:pos="567"/>
          <w:tab w:val="left" w:pos="540"/>
          <w:tab w:val="left" w:pos="569"/>
        </w:tabs>
        <w:spacing w:line="240" w:lineRule="auto"/>
        <w:jc w:val="both"/>
        <w:rPr>
          <w:bCs/>
          <w:szCs w:val="22"/>
          <w:lang w:val="sr-Latn-ME"/>
        </w:rPr>
      </w:pPr>
    </w:p>
    <w:p w14:paraId="5490EF28" w14:textId="77777777" w:rsidR="005D082F" w:rsidRPr="00B74B0F" w:rsidRDefault="005D082F">
      <w:pPr>
        <w:tabs>
          <w:tab w:val="clear" w:pos="567"/>
          <w:tab w:val="left" w:pos="540"/>
          <w:tab w:val="left" w:pos="569"/>
        </w:tabs>
        <w:spacing w:line="240" w:lineRule="auto"/>
        <w:jc w:val="both"/>
        <w:rPr>
          <w:bCs/>
          <w:szCs w:val="22"/>
          <w:lang w:val="sr-Latn-ME"/>
        </w:rPr>
      </w:pPr>
    </w:p>
    <w:p w14:paraId="63D4A402" w14:textId="24BFBF93" w:rsidR="00B27953" w:rsidRPr="00B74B0F" w:rsidRDefault="00B27953">
      <w:pPr>
        <w:tabs>
          <w:tab w:val="clear" w:pos="567"/>
          <w:tab w:val="left" w:pos="540"/>
          <w:tab w:val="left" w:pos="569"/>
        </w:tabs>
        <w:spacing w:line="240" w:lineRule="auto"/>
        <w:ind w:left="540" w:hanging="540"/>
        <w:jc w:val="both"/>
        <w:rPr>
          <w:b/>
          <w:bCs/>
          <w:szCs w:val="22"/>
          <w:lang w:val="sr-Latn-ME"/>
        </w:rPr>
      </w:pPr>
      <w:r w:rsidRPr="00B74B0F">
        <w:rPr>
          <w:b/>
          <w:bCs/>
          <w:szCs w:val="22"/>
          <w:lang w:val="sr-Latn-ME"/>
        </w:rPr>
        <w:t xml:space="preserve">10. </w:t>
      </w:r>
      <w:r w:rsidRPr="00B74B0F">
        <w:rPr>
          <w:b/>
          <w:bCs/>
          <w:szCs w:val="22"/>
          <w:lang w:val="sr-Latn-ME"/>
        </w:rPr>
        <w:tab/>
        <w:t xml:space="preserve">DATUM REVIZIJE TEKSTA </w:t>
      </w:r>
    </w:p>
    <w:p w14:paraId="60CDC43B" w14:textId="77777777" w:rsidR="00B74B0F" w:rsidRDefault="00B74B0F">
      <w:pPr>
        <w:spacing w:line="240" w:lineRule="auto"/>
        <w:contextualSpacing/>
        <w:jc w:val="both"/>
        <w:rPr>
          <w:noProof/>
          <w:szCs w:val="22"/>
          <w:lang w:val="sr-Latn-ME"/>
        </w:rPr>
      </w:pPr>
    </w:p>
    <w:p w14:paraId="6FFFAFD3" w14:textId="687D7F85" w:rsidR="00A209B6" w:rsidRPr="00B74B0F" w:rsidRDefault="00163F3C">
      <w:pPr>
        <w:spacing w:line="240" w:lineRule="auto"/>
        <w:contextualSpacing/>
        <w:jc w:val="both"/>
        <w:rPr>
          <w:noProof/>
          <w:szCs w:val="22"/>
          <w:lang w:val="sr-Latn-ME"/>
        </w:rPr>
      </w:pPr>
      <w:r>
        <w:rPr>
          <w:noProof/>
          <w:szCs w:val="22"/>
          <w:lang w:val="sr-Latn-ME"/>
        </w:rPr>
        <w:t>Maj, 2025. godine</w:t>
      </w:r>
      <w:bookmarkStart w:id="18" w:name="_GoBack"/>
      <w:bookmarkEnd w:id="18"/>
    </w:p>
    <w:sectPr w:rsidR="00A209B6" w:rsidRPr="00B74B0F" w:rsidSect="004466C8">
      <w:footerReference w:type="default" r:id="rId36"/>
      <w:footerReference w:type="first" r:id="rId3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05ED9" w14:textId="77777777" w:rsidR="00F43397" w:rsidRDefault="00F43397">
      <w:pPr>
        <w:spacing w:line="240" w:lineRule="auto"/>
      </w:pPr>
      <w:r>
        <w:separator/>
      </w:r>
    </w:p>
  </w:endnote>
  <w:endnote w:type="continuationSeparator" w:id="0">
    <w:p w14:paraId="65D13D4C" w14:textId="77777777" w:rsidR="00F43397" w:rsidRDefault="00F43397">
      <w:pPr>
        <w:spacing w:line="240" w:lineRule="auto"/>
      </w:pPr>
      <w:r>
        <w:continuationSeparator/>
      </w:r>
    </w:p>
  </w:endnote>
  <w:endnote w:type="continuationNotice" w:id="1">
    <w:p w14:paraId="7EF225E8" w14:textId="77777777" w:rsidR="00F43397" w:rsidRDefault="00F433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80"/>
    <w:family w:val="auto"/>
    <w:notTrueType/>
    <w:pitch w:val="default"/>
    <w:sig w:usb0="00000083" w:usb1="08070000" w:usb2="00000010" w:usb3="00000000" w:csb0="00020009" w:csb1="00000000"/>
  </w:font>
  <w:font w:name="TimesNewRomanPSMT">
    <w:altName w:val="MS Gothic"/>
    <w:panose1 w:val="00000000000000000000"/>
    <w:charset w:val="80"/>
    <w:family w:val="auto"/>
    <w:notTrueType/>
    <w:pitch w:val="default"/>
    <w:sig w:usb0="00000003" w:usb1="08070000" w:usb2="00000010" w:usb3="00000000" w:csb0="00020001" w:csb1="00000000"/>
  </w:font>
  <w:font w:name="+mn-ea">
    <w:altName w:val="Cambria"/>
    <w:panose1 w:val="00000000000000000000"/>
    <w:charset w:val="00"/>
    <w:family w:val="roman"/>
    <w:notTrueType/>
    <w:pitch w:val="default"/>
  </w:font>
  <w:font w:name="UniversLTStd-Cn">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8F73E" w14:textId="1B531A60" w:rsidR="00254E74" w:rsidRPr="008B14C4" w:rsidRDefault="00254E74" w:rsidP="00F30970">
    <w:pPr>
      <w:tabs>
        <w:tab w:val="clear" w:pos="567"/>
        <w:tab w:val="left" w:pos="208"/>
        <w:tab w:val="center" w:pos="4320"/>
        <w:tab w:val="center" w:pos="4535"/>
        <w:tab w:val="right" w:pos="8640"/>
      </w:tabs>
      <w:spacing w:line="240" w:lineRule="auto"/>
      <w:rPr>
        <w:szCs w:val="22"/>
        <w:lang w:val="en-US"/>
      </w:rPr>
    </w:pPr>
    <w:r>
      <w:rPr>
        <w:noProof/>
        <w:szCs w:val="22"/>
        <w:lang w:val="en-US"/>
      </w:rPr>
      <w:tab/>
    </w:r>
    <w:r>
      <w:rPr>
        <w:noProof/>
        <w:szCs w:val="22"/>
        <w:lang w:val="en-US"/>
      </w:rPr>
      <w:tab/>
    </w:r>
    <w:r w:rsidRPr="008B14C4">
      <w:rPr>
        <w:noProof/>
        <w:szCs w:val="22"/>
        <w:lang w:val="en-US"/>
      </w:rPr>
      <w:fldChar w:fldCharType="begin"/>
    </w:r>
    <w:r w:rsidRPr="008B14C4">
      <w:rPr>
        <w:noProof/>
        <w:szCs w:val="22"/>
        <w:lang w:val="en-US"/>
      </w:rPr>
      <w:instrText xml:space="preserve"> PAGE </w:instrText>
    </w:r>
    <w:r w:rsidRPr="008B14C4">
      <w:rPr>
        <w:noProof/>
        <w:szCs w:val="22"/>
        <w:lang w:val="en-US"/>
      </w:rPr>
      <w:fldChar w:fldCharType="separate"/>
    </w:r>
    <w:r w:rsidR="00163F3C">
      <w:rPr>
        <w:noProof/>
        <w:szCs w:val="22"/>
        <w:lang w:val="en-US"/>
      </w:rPr>
      <w:t>51</w:t>
    </w:r>
    <w:r w:rsidRPr="008B14C4">
      <w:rPr>
        <w:noProof/>
        <w:szCs w:val="22"/>
        <w:lang w:val="en-US"/>
      </w:rPr>
      <w:fldChar w:fldCharType="end"/>
    </w:r>
    <w:r w:rsidRPr="008B14C4">
      <w:rPr>
        <w:noProof/>
        <w:szCs w:val="22"/>
        <w:lang w:val="en-US"/>
      </w:rPr>
      <w:t xml:space="preserve"> / </w:t>
    </w:r>
    <w:r w:rsidRPr="008B14C4">
      <w:rPr>
        <w:noProof/>
        <w:szCs w:val="22"/>
        <w:lang w:val="en-US"/>
      </w:rPr>
      <w:fldChar w:fldCharType="begin"/>
    </w:r>
    <w:r w:rsidRPr="008B14C4">
      <w:rPr>
        <w:noProof/>
        <w:szCs w:val="22"/>
        <w:lang w:val="en-US"/>
      </w:rPr>
      <w:instrText xml:space="preserve"> NUMPAGES </w:instrText>
    </w:r>
    <w:r w:rsidRPr="008B14C4">
      <w:rPr>
        <w:noProof/>
        <w:szCs w:val="22"/>
        <w:lang w:val="en-US"/>
      </w:rPr>
      <w:fldChar w:fldCharType="separate"/>
    </w:r>
    <w:r w:rsidR="00163F3C">
      <w:rPr>
        <w:noProof/>
        <w:szCs w:val="22"/>
        <w:lang w:val="en-US"/>
      </w:rPr>
      <w:t>51</w:t>
    </w:r>
    <w:r w:rsidRPr="008B14C4">
      <w:rPr>
        <w:noProof/>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9" w:name="_Hlk25749238"/>
  <w:p w14:paraId="68802F4D" w14:textId="07BF3334" w:rsidR="00254E74" w:rsidRDefault="00254E74" w:rsidP="000E6C75">
    <w:pPr>
      <w:tabs>
        <w:tab w:val="clear" w:pos="567"/>
        <w:tab w:val="center" w:pos="4320"/>
        <w:tab w:val="right" w:pos="8640"/>
      </w:tabs>
      <w:spacing w:line="240" w:lineRule="auto"/>
      <w:jc w:val="center"/>
    </w:pPr>
    <w:r w:rsidRPr="006B77A0">
      <w:rPr>
        <w:szCs w:val="22"/>
        <w:lang w:val="en-US"/>
      </w:rPr>
      <w:fldChar w:fldCharType="begin"/>
    </w:r>
    <w:r w:rsidRPr="006B77A0">
      <w:rPr>
        <w:szCs w:val="22"/>
        <w:lang w:val="en-US"/>
      </w:rPr>
      <w:instrText xml:space="preserve"> PAGE </w:instrText>
    </w:r>
    <w:r w:rsidRPr="006B77A0">
      <w:rPr>
        <w:szCs w:val="22"/>
        <w:lang w:val="en-US"/>
      </w:rPr>
      <w:fldChar w:fldCharType="separate"/>
    </w:r>
    <w:r w:rsidR="00163F3C">
      <w:rPr>
        <w:noProof/>
        <w:szCs w:val="22"/>
        <w:lang w:val="en-US"/>
      </w:rPr>
      <w:t>1</w:t>
    </w:r>
    <w:r w:rsidRPr="006B77A0">
      <w:rPr>
        <w:szCs w:val="22"/>
        <w:lang w:val="en-US"/>
      </w:rPr>
      <w:fldChar w:fldCharType="end"/>
    </w:r>
    <w:r w:rsidRPr="006B77A0">
      <w:rPr>
        <w:szCs w:val="22"/>
        <w:lang w:val="en-US"/>
      </w:rPr>
      <w:t xml:space="preserve"> / </w:t>
    </w:r>
    <w:r w:rsidRPr="006B77A0">
      <w:rPr>
        <w:szCs w:val="22"/>
        <w:lang w:val="en-US"/>
      </w:rPr>
      <w:fldChar w:fldCharType="begin"/>
    </w:r>
    <w:r w:rsidRPr="006B77A0">
      <w:rPr>
        <w:szCs w:val="22"/>
        <w:lang w:val="en-US"/>
      </w:rPr>
      <w:instrText xml:space="preserve"> NUMPAGES </w:instrText>
    </w:r>
    <w:r w:rsidRPr="006B77A0">
      <w:rPr>
        <w:szCs w:val="22"/>
        <w:lang w:val="en-US"/>
      </w:rPr>
      <w:fldChar w:fldCharType="separate"/>
    </w:r>
    <w:r w:rsidR="00163F3C">
      <w:rPr>
        <w:noProof/>
        <w:szCs w:val="22"/>
        <w:lang w:val="en-US"/>
      </w:rPr>
      <w:t>51</w:t>
    </w:r>
    <w:r w:rsidRPr="006B77A0">
      <w:rPr>
        <w:szCs w:val="22"/>
        <w:lang w:val="en-US"/>
      </w:rPr>
      <w:fldChar w:fldCharType="end"/>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4666A" w14:textId="77777777" w:rsidR="00F43397" w:rsidRDefault="00F43397">
      <w:pPr>
        <w:spacing w:line="240" w:lineRule="auto"/>
      </w:pPr>
      <w:r>
        <w:separator/>
      </w:r>
    </w:p>
  </w:footnote>
  <w:footnote w:type="continuationSeparator" w:id="0">
    <w:p w14:paraId="3D86CC64" w14:textId="77777777" w:rsidR="00F43397" w:rsidRDefault="00F43397">
      <w:pPr>
        <w:spacing w:line="240" w:lineRule="auto"/>
      </w:pPr>
      <w:r>
        <w:continuationSeparator/>
      </w:r>
    </w:p>
  </w:footnote>
  <w:footnote w:type="continuationNotice" w:id="1">
    <w:p w14:paraId="19E275C6" w14:textId="77777777" w:rsidR="00F43397" w:rsidRDefault="00F433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54A1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92688E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0A72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3E2FB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0FC259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34BD8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AE96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5C9C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589690"/>
    <w:lvl w:ilvl="0">
      <w:start w:val="1"/>
      <w:numFmt w:val="decimal"/>
      <w:pStyle w:val="ListNumber"/>
      <w:lvlText w:val="%1."/>
      <w:lvlJc w:val="left"/>
      <w:pPr>
        <w:tabs>
          <w:tab w:val="num" w:pos="360"/>
        </w:tabs>
        <w:ind w:left="360" w:hanging="360"/>
      </w:pPr>
    </w:lvl>
  </w:abstractNum>
  <w:abstractNum w:abstractNumId="9" w15:restartNumberingAfterBreak="0">
    <w:nsid w:val="00946B5E"/>
    <w:multiLevelType w:val="hybridMultilevel"/>
    <w:tmpl w:val="9D44B2F2"/>
    <w:lvl w:ilvl="0" w:tplc="8B78F1CE">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846357"/>
    <w:multiLevelType w:val="hybridMultilevel"/>
    <w:tmpl w:val="B052DC36"/>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1" w15:restartNumberingAfterBreak="0">
    <w:nsid w:val="03FD3383"/>
    <w:multiLevelType w:val="multilevel"/>
    <w:tmpl w:val="C4F0AEE2"/>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5094E61"/>
    <w:multiLevelType w:val="hybridMultilevel"/>
    <w:tmpl w:val="23B8C0B4"/>
    <w:lvl w:ilvl="0" w:tplc="A22E5EBA">
      <w:start w:val="1"/>
      <w:numFmt w:val="bullet"/>
      <w:lvlText w:val=""/>
      <w:lvlJc w:val="left"/>
      <w:pPr>
        <w:ind w:left="720" w:hanging="360"/>
      </w:pPr>
      <w:rPr>
        <w:rFonts w:ascii="Symbol" w:hAnsi="Symbol" w:hint="default"/>
      </w:rPr>
    </w:lvl>
    <w:lvl w:ilvl="1" w:tplc="624A07A2" w:tentative="1">
      <w:start w:val="1"/>
      <w:numFmt w:val="bullet"/>
      <w:lvlText w:val="o"/>
      <w:lvlJc w:val="left"/>
      <w:pPr>
        <w:ind w:left="1440" w:hanging="360"/>
      </w:pPr>
      <w:rPr>
        <w:rFonts w:ascii="Courier New" w:hAnsi="Courier New" w:cs="Courier New" w:hint="default"/>
      </w:rPr>
    </w:lvl>
    <w:lvl w:ilvl="2" w:tplc="4DA6516C" w:tentative="1">
      <w:start w:val="1"/>
      <w:numFmt w:val="bullet"/>
      <w:lvlText w:val=""/>
      <w:lvlJc w:val="left"/>
      <w:pPr>
        <w:ind w:left="2160" w:hanging="360"/>
      </w:pPr>
      <w:rPr>
        <w:rFonts w:ascii="Wingdings" w:hAnsi="Wingdings" w:hint="default"/>
      </w:rPr>
    </w:lvl>
    <w:lvl w:ilvl="3" w:tplc="174406FC" w:tentative="1">
      <w:start w:val="1"/>
      <w:numFmt w:val="bullet"/>
      <w:lvlText w:val=""/>
      <w:lvlJc w:val="left"/>
      <w:pPr>
        <w:ind w:left="2880" w:hanging="360"/>
      </w:pPr>
      <w:rPr>
        <w:rFonts w:ascii="Symbol" w:hAnsi="Symbol" w:hint="default"/>
      </w:rPr>
    </w:lvl>
    <w:lvl w:ilvl="4" w:tplc="5F42E3E8" w:tentative="1">
      <w:start w:val="1"/>
      <w:numFmt w:val="bullet"/>
      <w:lvlText w:val="o"/>
      <w:lvlJc w:val="left"/>
      <w:pPr>
        <w:ind w:left="3600" w:hanging="360"/>
      </w:pPr>
      <w:rPr>
        <w:rFonts w:ascii="Courier New" w:hAnsi="Courier New" w:cs="Courier New" w:hint="default"/>
      </w:rPr>
    </w:lvl>
    <w:lvl w:ilvl="5" w:tplc="D206DE5C" w:tentative="1">
      <w:start w:val="1"/>
      <w:numFmt w:val="bullet"/>
      <w:lvlText w:val=""/>
      <w:lvlJc w:val="left"/>
      <w:pPr>
        <w:ind w:left="4320" w:hanging="360"/>
      </w:pPr>
      <w:rPr>
        <w:rFonts w:ascii="Wingdings" w:hAnsi="Wingdings" w:hint="default"/>
      </w:rPr>
    </w:lvl>
    <w:lvl w:ilvl="6" w:tplc="F0524048" w:tentative="1">
      <w:start w:val="1"/>
      <w:numFmt w:val="bullet"/>
      <w:lvlText w:val=""/>
      <w:lvlJc w:val="left"/>
      <w:pPr>
        <w:ind w:left="5040" w:hanging="360"/>
      </w:pPr>
      <w:rPr>
        <w:rFonts w:ascii="Symbol" w:hAnsi="Symbol" w:hint="default"/>
      </w:rPr>
    </w:lvl>
    <w:lvl w:ilvl="7" w:tplc="7E7AAD5E" w:tentative="1">
      <w:start w:val="1"/>
      <w:numFmt w:val="bullet"/>
      <w:lvlText w:val="o"/>
      <w:lvlJc w:val="left"/>
      <w:pPr>
        <w:ind w:left="5760" w:hanging="360"/>
      </w:pPr>
      <w:rPr>
        <w:rFonts w:ascii="Courier New" w:hAnsi="Courier New" w:cs="Courier New" w:hint="default"/>
      </w:rPr>
    </w:lvl>
    <w:lvl w:ilvl="8" w:tplc="6C3CB0CA" w:tentative="1">
      <w:start w:val="1"/>
      <w:numFmt w:val="bullet"/>
      <w:lvlText w:val=""/>
      <w:lvlJc w:val="left"/>
      <w:pPr>
        <w:ind w:left="6480" w:hanging="360"/>
      </w:pPr>
      <w:rPr>
        <w:rFonts w:ascii="Wingdings" w:hAnsi="Wingdings" w:hint="default"/>
      </w:rPr>
    </w:lvl>
  </w:abstractNum>
  <w:abstractNum w:abstractNumId="13" w15:restartNumberingAfterBreak="0">
    <w:nsid w:val="06226E89"/>
    <w:multiLevelType w:val="hybridMultilevel"/>
    <w:tmpl w:val="8A186030"/>
    <w:lvl w:ilvl="0" w:tplc="141A000B">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06F103E9"/>
    <w:multiLevelType w:val="hybridMultilevel"/>
    <w:tmpl w:val="4506639E"/>
    <w:lvl w:ilvl="0" w:tplc="7556F184">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8804624A">
      <w:start w:val="1"/>
      <w:numFmt w:val="bullet"/>
      <w:lvlText w:val=""/>
      <w:lvlJc w:val="left"/>
      <w:pPr>
        <w:tabs>
          <w:tab w:val="num" w:pos="720"/>
        </w:tabs>
        <w:ind w:left="720" w:hanging="360"/>
      </w:pPr>
      <w:rPr>
        <w:rFonts w:ascii="Symbol" w:hAnsi="Symbol" w:hint="default"/>
      </w:rPr>
    </w:lvl>
    <w:lvl w:ilvl="1" w:tplc="43F8E36E" w:tentative="1">
      <w:start w:val="1"/>
      <w:numFmt w:val="bullet"/>
      <w:lvlText w:val="o"/>
      <w:lvlJc w:val="left"/>
      <w:pPr>
        <w:tabs>
          <w:tab w:val="num" w:pos="1440"/>
        </w:tabs>
        <w:ind w:left="1440" w:hanging="360"/>
      </w:pPr>
      <w:rPr>
        <w:rFonts w:ascii="Courier New" w:hAnsi="Courier New" w:cs="Courier New" w:hint="default"/>
      </w:rPr>
    </w:lvl>
    <w:lvl w:ilvl="2" w:tplc="AB34745C" w:tentative="1">
      <w:start w:val="1"/>
      <w:numFmt w:val="bullet"/>
      <w:lvlText w:val=""/>
      <w:lvlJc w:val="left"/>
      <w:pPr>
        <w:tabs>
          <w:tab w:val="num" w:pos="2160"/>
        </w:tabs>
        <w:ind w:left="2160" w:hanging="360"/>
      </w:pPr>
      <w:rPr>
        <w:rFonts w:ascii="Wingdings" w:hAnsi="Wingdings" w:hint="default"/>
      </w:rPr>
    </w:lvl>
    <w:lvl w:ilvl="3" w:tplc="59FCA420" w:tentative="1">
      <w:start w:val="1"/>
      <w:numFmt w:val="bullet"/>
      <w:lvlText w:val=""/>
      <w:lvlJc w:val="left"/>
      <w:pPr>
        <w:tabs>
          <w:tab w:val="num" w:pos="2880"/>
        </w:tabs>
        <w:ind w:left="2880" w:hanging="360"/>
      </w:pPr>
      <w:rPr>
        <w:rFonts w:ascii="Symbol" w:hAnsi="Symbol" w:hint="default"/>
      </w:rPr>
    </w:lvl>
    <w:lvl w:ilvl="4" w:tplc="EE12AC2C" w:tentative="1">
      <w:start w:val="1"/>
      <w:numFmt w:val="bullet"/>
      <w:lvlText w:val="o"/>
      <w:lvlJc w:val="left"/>
      <w:pPr>
        <w:tabs>
          <w:tab w:val="num" w:pos="3600"/>
        </w:tabs>
        <w:ind w:left="3600" w:hanging="360"/>
      </w:pPr>
      <w:rPr>
        <w:rFonts w:ascii="Courier New" w:hAnsi="Courier New" w:cs="Courier New" w:hint="default"/>
      </w:rPr>
    </w:lvl>
    <w:lvl w:ilvl="5" w:tplc="B8729E7C" w:tentative="1">
      <w:start w:val="1"/>
      <w:numFmt w:val="bullet"/>
      <w:lvlText w:val=""/>
      <w:lvlJc w:val="left"/>
      <w:pPr>
        <w:tabs>
          <w:tab w:val="num" w:pos="4320"/>
        </w:tabs>
        <w:ind w:left="4320" w:hanging="360"/>
      </w:pPr>
      <w:rPr>
        <w:rFonts w:ascii="Wingdings" w:hAnsi="Wingdings" w:hint="default"/>
      </w:rPr>
    </w:lvl>
    <w:lvl w:ilvl="6" w:tplc="8C307EE2" w:tentative="1">
      <w:start w:val="1"/>
      <w:numFmt w:val="bullet"/>
      <w:lvlText w:val=""/>
      <w:lvlJc w:val="left"/>
      <w:pPr>
        <w:tabs>
          <w:tab w:val="num" w:pos="5040"/>
        </w:tabs>
        <w:ind w:left="5040" w:hanging="360"/>
      </w:pPr>
      <w:rPr>
        <w:rFonts w:ascii="Symbol" w:hAnsi="Symbol" w:hint="default"/>
      </w:rPr>
    </w:lvl>
    <w:lvl w:ilvl="7" w:tplc="1414B4DA" w:tentative="1">
      <w:start w:val="1"/>
      <w:numFmt w:val="bullet"/>
      <w:lvlText w:val="o"/>
      <w:lvlJc w:val="left"/>
      <w:pPr>
        <w:tabs>
          <w:tab w:val="num" w:pos="5760"/>
        </w:tabs>
        <w:ind w:left="5760" w:hanging="360"/>
      </w:pPr>
      <w:rPr>
        <w:rFonts w:ascii="Courier New" w:hAnsi="Courier New" w:cs="Courier New" w:hint="default"/>
      </w:rPr>
    </w:lvl>
    <w:lvl w:ilvl="8" w:tplc="ACF6FC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045C15"/>
    <w:multiLevelType w:val="hybridMultilevel"/>
    <w:tmpl w:val="9D289346"/>
    <w:lvl w:ilvl="0" w:tplc="338A8078">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7" w15:restartNumberingAfterBreak="0">
    <w:nsid w:val="0BA3112E"/>
    <w:multiLevelType w:val="hybridMultilevel"/>
    <w:tmpl w:val="7A081590"/>
    <w:lvl w:ilvl="0" w:tplc="2752E534">
      <w:start w:val="1"/>
      <w:numFmt w:val="bullet"/>
      <w:lvlText w:val=""/>
      <w:lvlJc w:val="left"/>
      <w:pPr>
        <w:ind w:left="360" w:hanging="360"/>
      </w:pPr>
      <w:rPr>
        <w:rFonts w:ascii="Symbol" w:hAnsi="Symbol" w:hint="default"/>
      </w:rPr>
    </w:lvl>
    <w:lvl w:ilvl="1" w:tplc="96A022D4" w:tentative="1">
      <w:start w:val="1"/>
      <w:numFmt w:val="bullet"/>
      <w:lvlText w:val="o"/>
      <w:lvlJc w:val="left"/>
      <w:pPr>
        <w:ind w:left="1080" w:hanging="360"/>
      </w:pPr>
      <w:rPr>
        <w:rFonts w:ascii="Courier New" w:hAnsi="Courier New" w:cs="Courier New" w:hint="default"/>
      </w:rPr>
    </w:lvl>
    <w:lvl w:ilvl="2" w:tplc="A7224910" w:tentative="1">
      <w:start w:val="1"/>
      <w:numFmt w:val="bullet"/>
      <w:lvlText w:val=""/>
      <w:lvlJc w:val="left"/>
      <w:pPr>
        <w:ind w:left="1800" w:hanging="360"/>
      </w:pPr>
      <w:rPr>
        <w:rFonts w:ascii="Wingdings" w:hAnsi="Wingdings" w:hint="default"/>
      </w:rPr>
    </w:lvl>
    <w:lvl w:ilvl="3" w:tplc="5678BD9E" w:tentative="1">
      <w:start w:val="1"/>
      <w:numFmt w:val="bullet"/>
      <w:lvlText w:val=""/>
      <w:lvlJc w:val="left"/>
      <w:pPr>
        <w:ind w:left="2520" w:hanging="360"/>
      </w:pPr>
      <w:rPr>
        <w:rFonts w:ascii="Symbol" w:hAnsi="Symbol" w:hint="default"/>
      </w:rPr>
    </w:lvl>
    <w:lvl w:ilvl="4" w:tplc="EF3A3234" w:tentative="1">
      <w:start w:val="1"/>
      <w:numFmt w:val="bullet"/>
      <w:lvlText w:val="o"/>
      <w:lvlJc w:val="left"/>
      <w:pPr>
        <w:ind w:left="3240" w:hanging="360"/>
      </w:pPr>
      <w:rPr>
        <w:rFonts w:ascii="Courier New" w:hAnsi="Courier New" w:cs="Courier New" w:hint="default"/>
      </w:rPr>
    </w:lvl>
    <w:lvl w:ilvl="5" w:tplc="4884601E" w:tentative="1">
      <w:start w:val="1"/>
      <w:numFmt w:val="bullet"/>
      <w:lvlText w:val=""/>
      <w:lvlJc w:val="left"/>
      <w:pPr>
        <w:ind w:left="3960" w:hanging="360"/>
      </w:pPr>
      <w:rPr>
        <w:rFonts w:ascii="Wingdings" w:hAnsi="Wingdings" w:hint="default"/>
      </w:rPr>
    </w:lvl>
    <w:lvl w:ilvl="6" w:tplc="F6723EFE" w:tentative="1">
      <w:start w:val="1"/>
      <w:numFmt w:val="bullet"/>
      <w:lvlText w:val=""/>
      <w:lvlJc w:val="left"/>
      <w:pPr>
        <w:ind w:left="4680" w:hanging="360"/>
      </w:pPr>
      <w:rPr>
        <w:rFonts w:ascii="Symbol" w:hAnsi="Symbol" w:hint="default"/>
      </w:rPr>
    </w:lvl>
    <w:lvl w:ilvl="7" w:tplc="256AD794" w:tentative="1">
      <w:start w:val="1"/>
      <w:numFmt w:val="bullet"/>
      <w:lvlText w:val="o"/>
      <w:lvlJc w:val="left"/>
      <w:pPr>
        <w:ind w:left="5400" w:hanging="360"/>
      </w:pPr>
      <w:rPr>
        <w:rFonts w:ascii="Courier New" w:hAnsi="Courier New" w:cs="Courier New" w:hint="default"/>
      </w:rPr>
    </w:lvl>
    <w:lvl w:ilvl="8" w:tplc="0088DB9A" w:tentative="1">
      <w:start w:val="1"/>
      <w:numFmt w:val="bullet"/>
      <w:lvlText w:val=""/>
      <w:lvlJc w:val="left"/>
      <w:pPr>
        <w:ind w:left="6120" w:hanging="360"/>
      </w:pPr>
      <w:rPr>
        <w:rFonts w:ascii="Wingdings" w:hAnsi="Wingdings" w:hint="default"/>
      </w:rPr>
    </w:lvl>
  </w:abstractNum>
  <w:abstractNum w:abstractNumId="18" w15:restartNumberingAfterBreak="0">
    <w:nsid w:val="0D4D759E"/>
    <w:multiLevelType w:val="hybridMultilevel"/>
    <w:tmpl w:val="027A3F6A"/>
    <w:lvl w:ilvl="0" w:tplc="C130E372">
      <w:start w:val="1"/>
      <w:numFmt w:val="bullet"/>
      <w:lvlText w:val="-"/>
      <w:lvlJc w:val="left"/>
      <w:pPr>
        <w:ind w:left="567" w:hanging="283"/>
      </w:pPr>
      <w:rPr>
        <w:rFonts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19" w15:restartNumberingAfterBreak="0">
    <w:nsid w:val="123C2D25"/>
    <w:multiLevelType w:val="hybridMultilevel"/>
    <w:tmpl w:val="65BAE7F8"/>
    <w:lvl w:ilvl="0" w:tplc="E39EA830">
      <w:start w:val="1"/>
      <w:numFmt w:val="bullet"/>
      <w:lvlText w:val=""/>
      <w:lvlJc w:val="left"/>
      <w:pPr>
        <w:ind w:left="720" w:hanging="360"/>
      </w:pPr>
      <w:rPr>
        <w:rFonts w:ascii="Symbol" w:hAnsi="Symbol" w:hint="default"/>
      </w:rPr>
    </w:lvl>
    <w:lvl w:ilvl="1" w:tplc="DE646434">
      <w:start w:val="1"/>
      <w:numFmt w:val="bullet"/>
      <w:lvlText w:val="o"/>
      <w:lvlJc w:val="left"/>
      <w:pPr>
        <w:ind w:left="1440" w:hanging="360"/>
      </w:pPr>
      <w:rPr>
        <w:rFonts w:ascii="Courier New" w:hAnsi="Courier New" w:cs="Courier New" w:hint="default"/>
      </w:rPr>
    </w:lvl>
    <w:lvl w:ilvl="2" w:tplc="93F83D4C" w:tentative="1">
      <w:start w:val="1"/>
      <w:numFmt w:val="bullet"/>
      <w:lvlText w:val=""/>
      <w:lvlJc w:val="left"/>
      <w:pPr>
        <w:ind w:left="2160" w:hanging="360"/>
      </w:pPr>
      <w:rPr>
        <w:rFonts w:ascii="Wingdings" w:hAnsi="Wingdings" w:hint="default"/>
      </w:rPr>
    </w:lvl>
    <w:lvl w:ilvl="3" w:tplc="F9024FAE" w:tentative="1">
      <w:start w:val="1"/>
      <w:numFmt w:val="bullet"/>
      <w:lvlText w:val=""/>
      <w:lvlJc w:val="left"/>
      <w:pPr>
        <w:ind w:left="2880" w:hanging="360"/>
      </w:pPr>
      <w:rPr>
        <w:rFonts w:ascii="Symbol" w:hAnsi="Symbol" w:hint="default"/>
      </w:rPr>
    </w:lvl>
    <w:lvl w:ilvl="4" w:tplc="337A4CBA" w:tentative="1">
      <w:start w:val="1"/>
      <w:numFmt w:val="bullet"/>
      <w:lvlText w:val="o"/>
      <w:lvlJc w:val="left"/>
      <w:pPr>
        <w:ind w:left="3600" w:hanging="360"/>
      </w:pPr>
      <w:rPr>
        <w:rFonts w:ascii="Courier New" w:hAnsi="Courier New" w:cs="Courier New" w:hint="default"/>
      </w:rPr>
    </w:lvl>
    <w:lvl w:ilvl="5" w:tplc="1204791A" w:tentative="1">
      <w:start w:val="1"/>
      <w:numFmt w:val="bullet"/>
      <w:lvlText w:val=""/>
      <w:lvlJc w:val="left"/>
      <w:pPr>
        <w:ind w:left="4320" w:hanging="360"/>
      </w:pPr>
      <w:rPr>
        <w:rFonts w:ascii="Wingdings" w:hAnsi="Wingdings" w:hint="default"/>
      </w:rPr>
    </w:lvl>
    <w:lvl w:ilvl="6" w:tplc="6AFCBF7C" w:tentative="1">
      <w:start w:val="1"/>
      <w:numFmt w:val="bullet"/>
      <w:lvlText w:val=""/>
      <w:lvlJc w:val="left"/>
      <w:pPr>
        <w:ind w:left="5040" w:hanging="360"/>
      </w:pPr>
      <w:rPr>
        <w:rFonts w:ascii="Symbol" w:hAnsi="Symbol" w:hint="default"/>
      </w:rPr>
    </w:lvl>
    <w:lvl w:ilvl="7" w:tplc="782EECBC" w:tentative="1">
      <w:start w:val="1"/>
      <w:numFmt w:val="bullet"/>
      <w:lvlText w:val="o"/>
      <w:lvlJc w:val="left"/>
      <w:pPr>
        <w:ind w:left="5760" w:hanging="360"/>
      </w:pPr>
      <w:rPr>
        <w:rFonts w:ascii="Courier New" w:hAnsi="Courier New" w:cs="Courier New" w:hint="default"/>
      </w:rPr>
    </w:lvl>
    <w:lvl w:ilvl="8" w:tplc="93A222F6" w:tentative="1">
      <w:start w:val="1"/>
      <w:numFmt w:val="bullet"/>
      <w:lvlText w:val=""/>
      <w:lvlJc w:val="left"/>
      <w:pPr>
        <w:ind w:left="6480" w:hanging="360"/>
      </w:pPr>
      <w:rPr>
        <w:rFonts w:ascii="Wingdings" w:hAnsi="Wingdings" w:hint="default"/>
      </w:rPr>
    </w:lvl>
  </w:abstractNum>
  <w:abstractNum w:abstractNumId="20" w15:restartNumberingAfterBreak="0">
    <w:nsid w:val="1C423843"/>
    <w:multiLevelType w:val="hybridMultilevel"/>
    <w:tmpl w:val="6288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9F73E7"/>
    <w:multiLevelType w:val="hybridMultilevel"/>
    <w:tmpl w:val="982090B2"/>
    <w:lvl w:ilvl="0" w:tplc="B15EE130">
      <w:start w:val="1"/>
      <w:numFmt w:val="bullet"/>
      <w:lvlText w:val=""/>
      <w:lvlJc w:val="left"/>
      <w:pPr>
        <w:ind w:left="1440" w:hanging="360"/>
      </w:pPr>
      <w:rPr>
        <w:rFonts w:ascii="Symbol" w:hAnsi="Symbol" w:hint="default"/>
      </w:rPr>
    </w:lvl>
    <w:lvl w:ilvl="1" w:tplc="86E226C0">
      <w:start w:val="1"/>
      <w:numFmt w:val="bullet"/>
      <w:lvlText w:val="o"/>
      <w:lvlJc w:val="left"/>
      <w:pPr>
        <w:ind w:left="2160" w:hanging="360"/>
      </w:pPr>
      <w:rPr>
        <w:rFonts w:ascii="Courier New" w:hAnsi="Courier New" w:cs="Courier New" w:hint="default"/>
      </w:rPr>
    </w:lvl>
    <w:lvl w:ilvl="2" w:tplc="F1E8061E" w:tentative="1">
      <w:start w:val="1"/>
      <w:numFmt w:val="bullet"/>
      <w:lvlText w:val=""/>
      <w:lvlJc w:val="left"/>
      <w:pPr>
        <w:ind w:left="2880" w:hanging="360"/>
      </w:pPr>
      <w:rPr>
        <w:rFonts w:ascii="Wingdings" w:hAnsi="Wingdings" w:hint="default"/>
      </w:rPr>
    </w:lvl>
    <w:lvl w:ilvl="3" w:tplc="1962246A" w:tentative="1">
      <w:start w:val="1"/>
      <w:numFmt w:val="bullet"/>
      <w:lvlText w:val=""/>
      <w:lvlJc w:val="left"/>
      <w:pPr>
        <w:ind w:left="3600" w:hanging="360"/>
      </w:pPr>
      <w:rPr>
        <w:rFonts w:ascii="Symbol" w:hAnsi="Symbol" w:hint="default"/>
      </w:rPr>
    </w:lvl>
    <w:lvl w:ilvl="4" w:tplc="67C432C6">
      <w:start w:val="1"/>
      <w:numFmt w:val="bullet"/>
      <w:lvlText w:val="o"/>
      <w:lvlJc w:val="left"/>
      <w:pPr>
        <w:ind w:left="4320" w:hanging="360"/>
      </w:pPr>
      <w:rPr>
        <w:rFonts w:ascii="Courier New" w:hAnsi="Courier New" w:cs="Courier New" w:hint="default"/>
      </w:rPr>
    </w:lvl>
    <w:lvl w:ilvl="5" w:tplc="5940794E" w:tentative="1">
      <w:start w:val="1"/>
      <w:numFmt w:val="bullet"/>
      <w:lvlText w:val=""/>
      <w:lvlJc w:val="left"/>
      <w:pPr>
        <w:ind w:left="5040" w:hanging="360"/>
      </w:pPr>
      <w:rPr>
        <w:rFonts w:ascii="Wingdings" w:hAnsi="Wingdings" w:hint="default"/>
      </w:rPr>
    </w:lvl>
    <w:lvl w:ilvl="6" w:tplc="26BC7F4E" w:tentative="1">
      <w:start w:val="1"/>
      <w:numFmt w:val="bullet"/>
      <w:lvlText w:val=""/>
      <w:lvlJc w:val="left"/>
      <w:pPr>
        <w:ind w:left="5760" w:hanging="360"/>
      </w:pPr>
      <w:rPr>
        <w:rFonts w:ascii="Symbol" w:hAnsi="Symbol" w:hint="default"/>
      </w:rPr>
    </w:lvl>
    <w:lvl w:ilvl="7" w:tplc="56BCC2A2" w:tentative="1">
      <w:start w:val="1"/>
      <w:numFmt w:val="bullet"/>
      <w:lvlText w:val="o"/>
      <w:lvlJc w:val="left"/>
      <w:pPr>
        <w:ind w:left="6480" w:hanging="360"/>
      </w:pPr>
      <w:rPr>
        <w:rFonts w:ascii="Courier New" w:hAnsi="Courier New" w:cs="Courier New" w:hint="default"/>
      </w:rPr>
    </w:lvl>
    <w:lvl w:ilvl="8" w:tplc="4AF40B74" w:tentative="1">
      <w:start w:val="1"/>
      <w:numFmt w:val="bullet"/>
      <w:lvlText w:val=""/>
      <w:lvlJc w:val="left"/>
      <w:pPr>
        <w:ind w:left="7200" w:hanging="360"/>
      </w:pPr>
      <w:rPr>
        <w:rFonts w:ascii="Wingdings" w:hAnsi="Wingdings" w:hint="default"/>
      </w:rPr>
    </w:lvl>
  </w:abstractNum>
  <w:abstractNum w:abstractNumId="22" w15:restartNumberingAfterBreak="0">
    <w:nsid w:val="2649082E"/>
    <w:multiLevelType w:val="hybridMultilevel"/>
    <w:tmpl w:val="046AA738"/>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23" w15:restartNumberingAfterBreak="0">
    <w:nsid w:val="27731183"/>
    <w:multiLevelType w:val="hybridMultilevel"/>
    <w:tmpl w:val="F7808378"/>
    <w:lvl w:ilvl="0" w:tplc="DE5880DA">
      <w:start w:val="1"/>
      <w:numFmt w:val="bullet"/>
      <w:lvlText w:val=""/>
      <w:lvlJc w:val="left"/>
      <w:pPr>
        <w:ind w:left="360" w:hanging="360"/>
      </w:pPr>
      <w:rPr>
        <w:rFonts w:ascii="Symbol" w:hAnsi="Symbol" w:hint="default"/>
      </w:rPr>
    </w:lvl>
    <w:lvl w:ilvl="1" w:tplc="A198F616" w:tentative="1">
      <w:start w:val="1"/>
      <w:numFmt w:val="bullet"/>
      <w:lvlText w:val="o"/>
      <w:lvlJc w:val="left"/>
      <w:pPr>
        <w:ind w:left="1080" w:hanging="360"/>
      </w:pPr>
      <w:rPr>
        <w:rFonts w:ascii="Courier New" w:hAnsi="Courier New" w:cs="Courier New" w:hint="default"/>
      </w:rPr>
    </w:lvl>
    <w:lvl w:ilvl="2" w:tplc="5DB0A782" w:tentative="1">
      <w:start w:val="1"/>
      <w:numFmt w:val="bullet"/>
      <w:lvlText w:val=""/>
      <w:lvlJc w:val="left"/>
      <w:pPr>
        <w:ind w:left="1800" w:hanging="360"/>
      </w:pPr>
      <w:rPr>
        <w:rFonts w:ascii="Wingdings" w:hAnsi="Wingdings" w:hint="default"/>
      </w:rPr>
    </w:lvl>
    <w:lvl w:ilvl="3" w:tplc="C65C3230" w:tentative="1">
      <w:start w:val="1"/>
      <w:numFmt w:val="bullet"/>
      <w:lvlText w:val=""/>
      <w:lvlJc w:val="left"/>
      <w:pPr>
        <w:ind w:left="2520" w:hanging="360"/>
      </w:pPr>
      <w:rPr>
        <w:rFonts w:ascii="Symbol" w:hAnsi="Symbol" w:hint="default"/>
      </w:rPr>
    </w:lvl>
    <w:lvl w:ilvl="4" w:tplc="B6BA6D78" w:tentative="1">
      <w:start w:val="1"/>
      <w:numFmt w:val="bullet"/>
      <w:lvlText w:val="o"/>
      <w:lvlJc w:val="left"/>
      <w:pPr>
        <w:ind w:left="3240" w:hanging="360"/>
      </w:pPr>
      <w:rPr>
        <w:rFonts w:ascii="Courier New" w:hAnsi="Courier New" w:cs="Courier New" w:hint="default"/>
      </w:rPr>
    </w:lvl>
    <w:lvl w:ilvl="5" w:tplc="1392291C" w:tentative="1">
      <w:start w:val="1"/>
      <w:numFmt w:val="bullet"/>
      <w:lvlText w:val=""/>
      <w:lvlJc w:val="left"/>
      <w:pPr>
        <w:ind w:left="3960" w:hanging="360"/>
      </w:pPr>
      <w:rPr>
        <w:rFonts w:ascii="Wingdings" w:hAnsi="Wingdings" w:hint="default"/>
      </w:rPr>
    </w:lvl>
    <w:lvl w:ilvl="6" w:tplc="81F87322" w:tentative="1">
      <w:start w:val="1"/>
      <w:numFmt w:val="bullet"/>
      <w:lvlText w:val=""/>
      <w:lvlJc w:val="left"/>
      <w:pPr>
        <w:ind w:left="4680" w:hanging="360"/>
      </w:pPr>
      <w:rPr>
        <w:rFonts w:ascii="Symbol" w:hAnsi="Symbol" w:hint="default"/>
      </w:rPr>
    </w:lvl>
    <w:lvl w:ilvl="7" w:tplc="839EBCB2" w:tentative="1">
      <w:start w:val="1"/>
      <w:numFmt w:val="bullet"/>
      <w:lvlText w:val="o"/>
      <w:lvlJc w:val="left"/>
      <w:pPr>
        <w:ind w:left="5400" w:hanging="360"/>
      </w:pPr>
      <w:rPr>
        <w:rFonts w:ascii="Courier New" w:hAnsi="Courier New" w:cs="Courier New" w:hint="default"/>
      </w:rPr>
    </w:lvl>
    <w:lvl w:ilvl="8" w:tplc="A0F8EE4E" w:tentative="1">
      <w:start w:val="1"/>
      <w:numFmt w:val="bullet"/>
      <w:lvlText w:val=""/>
      <w:lvlJc w:val="left"/>
      <w:pPr>
        <w:ind w:left="6120" w:hanging="360"/>
      </w:pPr>
      <w:rPr>
        <w:rFonts w:ascii="Wingdings" w:hAnsi="Wingdings" w:hint="default"/>
      </w:rPr>
    </w:lvl>
  </w:abstractNum>
  <w:abstractNum w:abstractNumId="24" w15:restartNumberingAfterBreak="0">
    <w:nsid w:val="298043F4"/>
    <w:multiLevelType w:val="hybridMultilevel"/>
    <w:tmpl w:val="3B882674"/>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25" w15:restartNumberingAfterBreak="0">
    <w:nsid w:val="2B575B31"/>
    <w:multiLevelType w:val="hybridMultilevel"/>
    <w:tmpl w:val="850A4686"/>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26" w15:restartNumberingAfterBreak="0">
    <w:nsid w:val="2C1673BB"/>
    <w:multiLevelType w:val="singleLevel"/>
    <w:tmpl w:val="0584EEE0"/>
    <w:lvl w:ilvl="0">
      <w:start w:val="1"/>
      <w:numFmt w:val="bullet"/>
      <w:pStyle w:val="ListBullet"/>
      <w:lvlText w:val="●"/>
      <w:lvlJc w:val="left"/>
      <w:pPr>
        <w:tabs>
          <w:tab w:val="num" w:pos="1080"/>
        </w:tabs>
        <w:ind w:left="1080" w:hanging="360"/>
      </w:pPr>
      <w:rPr>
        <w:rFonts w:ascii="Verdana" w:hAnsi="Verdana" w:cs="Times New Roman" w:hint="default"/>
        <w:b w:val="0"/>
        <w:i w:val="0"/>
        <w:caps w:val="0"/>
        <w:sz w:val="18"/>
        <w:szCs w:val="18"/>
        <w:u w:val="none"/>
        <w:vertAlign w:val="baseline"/>
      </w:rPr>
    </w:lvl>
  </w:abstractNum>
  <w:abstractNum w:abstractNumId="27" w15:restartNumberingAfterBreak="0">
    <w:nsid w:val="2DE737F1"/>
    <w:multiLevelType w:val="hybridMultilevel"/>
    <w:tmpl w:val="4D22989C"/>
    <w:lvl w:ilvl="0" w:tplc="C730F4F8">
      <w:start w:val="1"/>
      <w:numFmt w:val="bullet"/>
      <w:lvlText w:val=""/>
      <w:lvlJc w:val="left"/>
      <w:pPr>
        <w:ind w:left="720" w:hanging="360"/>
      </w:pPr>
      <w:rPr>
        <w:rFonts w:ascii="Symbol" w:hAnsi="Symbol" w:hint="default"/>
      </w:rPr>
    </w:lvl>
    <w:lvl w:ilvl="1" w:tplc="58E4BE24" w:tentative="1">
      <w:start w:val="1"/>
      <w:numFmt w:val="bullet"/>
      <w:lvlText w:val="o"/>
      <w:lvlJc w:val="left"/>
      <w:pPr>
        <w:ind w:left="1440" w:hanging="360"/>
      </w:pPr>
      <w:rPr>
        <w:rFonts w:ascii="Courier New" w:hAnsi="Courier New" w:cs="Courier New" w:hint="default"/>
      </w:rPr>
    </w:lvl>
    <w:lvl w:ilvl="2" w:tplc="FCE80EF0" w:tentative="1">
      <w:start w:val="1"/>
      <w:numFmt w:val="bullet"/>
      <w:lvlText w:val=""/>
      <w:lvlJc w:val="left"/>
      <w:pPr>
        <w:ind w:left="2160" w:hanging="360"/>
      </w:pPr>
      <w:rPr>
        <w:rFonts w:ascii="Wingdings" w:hAnsi="Wingdings" w:hint="default"/>
      </w:rPr>
    </w:lvl>
    <w:lvl w:ilvl="3" w:tplc="7D34AE20" w:tentative="1">
      <w:start w:val="1"/>
      <w:numFmt w:val="bullet"/>
      <w:lvlText w:val=""/>
      <w:lvlJc w:val="left"/>
      <w:pPr>
        <w:ind w:left="2880" w:hanging="360"/>
      </w:pPr>
      <w:rPr>
        <w:rFonts w:ascii="Symbol" w:hAnsi="Symbol" w:hint="default"/>
      </w:rPr>
    </w:lvl>
    <w:lvl w:ilvl="4" w:tplc="868050CA" w:tentative="1">
      <w:start w:val="1"/>
      <w:numFmt w:val="bullet"/>
      <w:lvlText w:val="o"/>
      <w:lvlJc w:val="left"/>
      <w:pPr>
        <w:ind w:left="3600" w:hanging="360"/>
      </w:pPr>
      <w:rPr>
        <w:rFonts w:ascii="Courier New" w:hAnsi="Courier New" w:cs="Courier New" w:hint="default"/>
      </w:rPr>
    </w:lvl>
    <w:lvl w:ilvl="5" w:tplc="B2142802" w:tentative="1">
      <w:start w:val="1"/>
      <w:numFmt w:val="bullet"/>
      <w:lvlText w:val=""/>
      <w:lvlJc w:val="left"/>
      <w:pPr>
        <w:ind w:left="4320" w:hanging="360"/>
      </w:pPr>
      <w:rPr>
        <w:rFonts w:ascii="Wingdings" w:hAnsi="Wingdings" w:hint="default"/>
      </w:rPr>
    </w:lvl>
    <w:lvl w:ilvl="6" w:tplc="491C294A" w:tentative="1">
      <w:start w:val="1"/>
      <w:numFmt w:val="bullet"/>
      <w:lvlText w:val=""/>
      <w:lvlJc w:val="left"/>
      <w:pPr>
        <w:ind w:left="5040" w:hanging="360"/>
      </w:pPr>
      <w:rPr>
        <w:rFonts w:ascii="Symbol" w:hAnsi="Symbol" w:hint="default"/>
      </w:rPr>
    </w:lvl>
    <w:lvl w:ilvl="7" w:tplc="622A6C84" w:tentative="1">
      <w:start w:val="1"/>
      <w:numFmt w:val="bullet"/>
      <w:lvlText w:val="o"/>
      <w:lvlJc w:val="left"/>
      <w:pPr>
        <w:ind w:left="5760" w:hanging="360"/>
      </w:pPr>
      <w:rPr>
        <w:rFonts w:ascii="Courier New" w:hAnsi="Courier New" w:cs="Courier New" w:hint="default"/>
      </w:rPr>
    </w:lvl>
    <w:lvl w:ilvl="8" w:tplc="9FA044D2" w:tentative="1">
      <w:start w:val="1"/>
      <w:numFmt w:val="bullet"/>
      <w:lvlText w:val=""/>
      <w:lvlJc w:val="left"/>
      <w:pPr>
        <w:ind w:left="6480" w:hanging="360"/>
      </w:pPr>
      <w:rPr>
        <w:rFonts w:ascii="Wingdings" w:hAnsi="Wingdings" w:hint="default"/>
      </w:rPr>
    </w:lvl>
  </w:abstractNum>
  <w:abstractNum w:abstractNumId="28" w15:restartNumberingAfterBreak="0">
    <w:nsid w:val="2FF87863"/>
    <w:multiLevelType w:val="hybridMultilevel"/>
    <w:tmpl w:val="9CC0EB1E"/>
    <w:lvl w:ilvl="0" w:tplc="FAD2FE1C">
      <w:start w:val="1"/>
      <w:numFmt w:val="bullet"/>
      <w:lvlText w:val=""/>
      <w:lvlJc w:val="left"/>
      <w:pPr>
        <w:ind w:left="720" w:hanging="360"/>
      </w:pPr>
      <w:rPr>
        <w:rFonts w:ascii="Symbol" w:hAnsi="Symbol" w:hint="default"/>
      </w:rPr>
    </w:lvl>
    <w:lvl w:ilvl="1" w:tplc="05CE06BA" w:tentative="1">
      <w:start w:val="1"/>
      <w:numFmt w:val="bullet"/>
      <w:lvlText w:val="o"/>
      <w:lvlJc w:val="left"/>
      <w:pPr>
        <w:ind w:left="1440" w:hanging="360"/>
      </w:pPr>
      <w:rPr>
        <w:rFonts w:ascii="Courier New" w:hAnsi="Courier New" w:cs="Courier New" w:hint="default"/>
      </w:rPr>
    </w:lvl>
    <w:lvl w:ilvl="2" w:tplc="82E28306" w:tentative="1">
      <w:start w:val="1"/>
      <w:numFmt w:val="bullet"/>
      <w:lvlText w:val=""/>
      <w:lvlJc w:val="left"/>
      <w:pPr>
        <w:ind w:left="2160" w:hanging="360"/>
      </w:pPr>
      <w:rPr>
        <w:rFonts w:ascii="Wingdings" w:hAnsi="Wingdings" w:hint="default"/>
      </w:rPr>
    </w:lvl>
    <w:lvl w:ilvl="3" w:tplc="E22C7216" w:tentative="1">
      <w:start w:val="1"/>
      <w:numFmt w:val="bullet"/>
      <w:lvlText w:val=""/>
      <w:lvlJc w:val="left"/>
      <w:pPr>
        <w:ind w:left="2880" w:hanging="360"/>
      </w:pPr>
      <w:rPr>
        <w:rFonts w:ascii="Symbol" w:hAnsi="Symbol" w:hint="default"/>
      </w:rPr>
    </w:lvl>
    <w:lvl w:ilvl="4" w:tplc="2C1EDC70" w:tentative="1">
      <w:start w:val="1"/>
      <w:numFmt w:val="bullet"/>
      <w:lvlText w:val="o"/>
      <w:lvlJc w:val="left"/>
      <w:pPr>
        <w:ind w:left="3600" w:hanging="360"/>
      </w:pPr>
      <w:rPr>
        <w:rFonts w:ascii="Courier New" w:hAnsi="Courier New" w:cs="Courier New" w:hint="default"/>
      </w:rPr>
    </w:lvl>
    <w:lvl w:ilvl="5" w:tplc="65D866FE" w:tentative="1">
      <w:start w:val="1"/>
      <w:numFmt w:val="bullet"/>
      <w:lvlText w:val=""/>
      <w:lvlJc w:val="left"/>
      <w:pPr>
        <w:ind w:left="4320" w:hanging="360"/>
      </w:pPr>
      <w:rPr>
        <w:rFonts w:ascii="Wingdings" w:hAnsi="Wingdings" w:hint="default"/>
      </w:rPr>
    </w:lvl>
    <w:lvl w:ilvl="6" w:tplc="9DF2C80A" w:tentative="1">
      <w:start w:val="1"/>
      <w:numFmt w:val="bullet"/>
      <w:lvlText w:val=""/>
      <w:lvlJc w:val="left"/>
      <w:pPr>
        <w:ind w:left="5040" w:hanging="360"/>
      </w:pPr>
      <w:rPr>
        <w:rFonts w:ascii="Symbol" w:hAnsi="Symbol" w:hint="default"/>
      </w:rPr>
    </w:lvl>
    <w:lvl w:ilvl="7" w:tplc="E300F5B2" w:tentative="1">
      <w:start w:val="1"/>
      <w:numFmt w:val="bullet"/>
      <w:lvlText w:val="o"/>
      <w:lvlJc w:val="left"/>
      <w:pPr>
        <w:ind w:left="5760" w:hanging="360"/>
      </w:pPr>
      <w:rPr>
        <w:rFonts w:ascii="Courier New" w:hAnsi="Courier New" w:cs="Courier New" w:hint="default"/>
      </w:rPr>
    </w:lvl>
    <w:lvl w:ilvl="8" w:tplc="365CEE94" w:tentative="1">
      <w:start w:val="1"/>
      <w:numFmt w:val="bullet"/>
      <w:lvlText w:val=""/>
      <w:lvlJc w:val="left"/>
      <w:pPr>
        <w:ind w:left="6480" w:hanging="360"/>
      </w:pPr>
      <w:rPr>
        <w:rFonts w:ascii="Wingdings" w:hAnsi="Wingdings" w:hint="default"/>
      </w:rPr>
    </w:lvl>
  </w:abstractNum>
  <w:abstractNum w:abstractNumId="29" w15:restartNumberingAfterBreak="0">
    <w:nsid w:val="370210CC"/>
    <w:multiLevelType w:val="hybridMultilevel"/>
    <w:tmpl w:val="3E4443C4"/>
    <w:lvl w:ilvl="0" w:tplc="0358B9B8">
      <w:start w:val="1"/>
      <w:numFmt w:val="bullet"/>
      <w:lvlText w:val="•"/>
      <w:lvlJc w:val="left"/>
      <w:pPr>
        <w:tabs>
          <w:tab w:val="num" w:pos="720"/>
        </w:tabs>
        <w:ind w:left="720" w:hanging="360"/>
      </w:pPr>
      <w:rPr>
        <w:rFonts w:ascii="Arial" w:hAnsi="Arial" w:hint="default"/>
      </w:rPr>
    </w:lvl>
    <w:lvl w:ilvl="1" w:tplc="7D8AB418" w:tentative="1">
      <w:start w:val="1"/>
      <w:numFmt w:val="bullet"/>
      <w:lvlText w:val="•"/>
      <w:lvlJc w:val="left"/>
      <w:pPr>
        <w:tabs>
          <w:tab w:val="num" w:pos="1440"/>
        </w:tabs>
        <w:ind w:left="1440" w:hanging="360"/>
      </w:pPr>
      <w:rPr>
        <w:rFonts w:ascii="Arial" w:hAnsi="Arial" w:hint="default"/>
      </w:rPr>
    </w:lvl>
    <w:lvl w:ilvl="2" w:tplc="AA5C28A8" w:tentative="1">
      <w:start w:val="1"/>
      <w:numFmt w:val="bullet"/>
      <w:lvlText w:val="•"/>
      <w:lvlJc w:val="left"/>
      <w:pPr>
        <w:tabs>
          <w:tab w:val="num" w:pos="2160"/>
        </w:tabs>
        <w:ind w:left="2160" w:hanging="360"/>
      </w:pPr>
      <w:rPr>
        <w:rFonts w:ascii="Arial" w:hAnsi="Arial" w:hint="default"/>
      </w:rPr>
    </w:lvl>
    <w:lvl w:ilvl="3" w:tplc="2B747E56" w:tentative="1">
      <w:start w:val="1"/>
      <w:numFmt w:val="bullet"/>
      <w:lvlText w:val="•"/>
      <w:lvlJc w:val="left"/>
      <w:pPr>
        <w:tabs>
          <w:tab w:val="num" w:pos="2880"/>
        </w:tabs>
        <w:ind w:left="2880" w:hanging="360"/>
      </w:pPr>
      <w:rPr>
        <w:rFonts w:ascii="Arial" w:hAnsi="Arial" w:hint="default"/>
      </w:rPr>
    </w:lvl>
    <w:lvl w:ilvl="4" w:tplc="10C2310A" w:tentative="1">
      <w:start w:val="1"/>
      <w:numFmt w:val="bullet"/>
      <w:lvlText w:val="•"/>
      <w:lvlJc w:val="left"/>
      <w:pPr>
        <w:tabs>
          <w:tab w:val="num" w:pos="3600"/>
        </w:tabs>
        <w:ind w:left="3600" w:hanging="360"/>
      </w:pPr>
      <w:rPr>
        <w:rFonts w:ascii="Arial" w:hAnsi="Arial" w:hint="default"/>
      </w:rPr>
    </w:lvl>
    <w:lvl w:ilvl="5" w:tplc="B3FEC364" w:tentative="1">
      <w:start w:val="1"/>
      <w:numFmt w:val="bullet"/>
      <w:lvlText w:val="•"/>
      <w:lvlJc w:val="left"/>
      <w:pPr>
        <w:tabs>
          <w:tab w:val="num" w:pos="4320"/>
        </w:tabs>
        <w:ind w:left="4320" w:hanging="360"/>
      </w:pPr>
      <w:rPr>
        <w:rFonts w:ascii="Arial" w:hAnsi="Arial" w:hint="default"/>
      </w:rPr>
    </w:lvl>
    <w:lvl w:ilvl="6" w:tplc="4760C0BA" w:tentative="1">
      <w:start w:val="1"/>
      <w:numFmt w:val="bullet"/>
      <w:lvlText w:val="•"/>
      <w:lvlJc w:val="left"/>
      <w:pPr>
        <w:tabs>
          <w:tab w:val="num" w:pos="5040"/>
        </w:tabs>
        <w:ind w:left="5040" w:hanging="360"/>
      </w:pPr>
      <w:rPr>
        <w:rFonts w:ascii="Arial" w:hAnsi="Arial" w:hint="default"/>
      </w:rPr>
    </w:lvl>
    <w:lvl w:ilvl="7" w:tplc="2ACAD502" w:tentative="1">
      <w:start w:val="1"/>
      <w:numFmt w:val="bullet"/>
      <w:lvlText w:val="•"/>
      <w:lvlJc w:val="left"/>
      <w:pPr>
        <w:tabs>
          <w:tab w:val="num" w:pos="5760"/>
        </w:tabs>
        <w:ind w:left="5760" w:hanging="360"/>
      </w:pPr>
      <w:rPr>
        <w:rFonts w:ascii="Arial" w:hAnsi="Arial" w:hint="default"/>
      </w:rPr>
    </w:lvl>
    <w:lvl w:ilvl="8" w:tplc="3956222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D774C77"/>
    <w:multiLevelType w:val="multilevel"/>
    <w:tmpl w:val="E18426BA"/>
    <w:lvl w:ilvl="0">
      <w:start w:val="1"/>
      <w:numFmt w:val="decimal"/>
      <w:lvlText w:val="%1"/>
      <w:lvlJc w:val="left"/>
      <w:pPr>
        <w:tabs>
          <w:tab w:val="num" w:pos="504"/>
        </w:tabs>
        <w:ind w:left="504" w:hanging="504"/>
      </w:pPr>
      <w:rPr>
        <w:rFonts w:ascii="Times New Roman Bold" w:hAnsi="Times New Roman Bold" w:hint="default"/>
        <w:b/>
        <w:i w:val="0"/>
        <w:color w:val="auto"/>
        <w:sz w:val="24"/>
      </w:rPr>
    </w:lvl>
    <w:lvl w:ilvl="1">
      <w:start w:val="1"/>
      <w:numFmt w:val="decimal"/>
      <w:lvlRestart w:val="0"/>
      <w:pStyle w:val="PLRSubsectionHeading"/>
      <w:lvlText w:val="%1.%2"/>
      <w:lvlJc w:val="left"/>
      <w:pPr>
        <w:tabs>
          <w:tab w:val="num" w:pos="504"/>
        </w:tabs>
        <w:ind w:left="504" w:hanging="504"/>
      </w:pPr>
      <w:rPr>
        <w:rFonts w:ascii="Times New Roman Bold" w:hAnsi="Times New Roman Bold" w:hint="default"/>
        <w:b/>
        <w:i w:val="0"/>
        <w:sz w:val="24"/>
      </w:rPr>
    </w:lvl>
    <w:lvl w:ilvl="2">
      <w:start w:val="1"/>
      <w:numFmt w:val="none"/>
      <w:lvlText w:val="%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3DCB5749"/>
    <w:multiLevelType w:val="hybridMultilevel"/>
    <w:tmpl w:val="C1F2024E"/>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32" w15:restartNumberingAfterBreak="0">
    <w:nsid w:val="3E8D5AB5"/>
    <w:multiLevelType w:val="hybridMultilevel"/>
    <w:tmpl w:val="4AFAC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05AA3"/>
    <w:multiLevelType w:val="hybridMultilevel"/>
    <w:tmpl w:val="D854C674"/>
    <w:lvl w:ilvl="0" w:tplc="E328269C">
      <w:start w:val="1"/>
      <w:numFmt w:val="bullet"/>
      <w:lvlText w:val=""/>
      <w:lvlJc w:val="left"/>
      <w:pPr>
        <w:ind w:left="780" w:hanging="360"/>
      </w:pPr>
      <w:rPr>
        <w:rFonts w:ascii="Symbol" w:hAnsi="Symbol" w:hint="default"/>
      </w:rPr>
    </w:lvl>
    <w:lvl w:ilvl="1" w:tplc="AE300C52" w:tentative="1">
      <w:start w:val="1"/>
      <w:numFmt w:val="bullet"/>
      <w:lvlText w:val="o"/>
      <w:lvlJc w:val="left"/>
      <w:pPr>
        <w:ind w:left="1500" w:hanging="360"/>
      </w:pPr>
      <w:rPr>
        <w:rFonts w:ascii="Courier New" w:hAnsi="Courier New" w:cs="Courier New" w:hint="default"/>
      </w:rPr>
    </w:lvl>
    <w:lvl w:ilvl="2" w:tplc="FDDA32A6" w:tentative="1">
      <w:start w:val="1"/>
      <w:numFmt w:val="bullet"/>
      <w:lvlText w:val=""/>
      <w:lvlJc w:val="left"/>
      <w:pPr>
        <w:ind w:left="2220" w:hanging="360"/>
      </w:pPr>
      <w:rPr>
        <w:rFonts w:ascii="Wingdings" w:hAnsi="Wingdings" w:hint="default"/>
      </w:rPr>
    </w:lvl>
    <w:lvl w:ilvl="3" w:tplc="6F7C8296" w:tentative="1">
      <w:start w:val="1"/>
      <w:numFmt w:val="bullet"/>
      <w:lvlText w:val=""/>
      <w:lvlJc w:val="left"/>
      <w:pPr>
        <w:ind w:left="2940" w:hanging="360"/>
      </w:pPr>
      <w:rPr>
        <w:rFonts w:ascii="Symbol" w:hAnsi="Symbol" w:hint="default"/>
      </w:rPr>
    </w:lvl>
    <w:lvl w:ilvl="4" w:tplc="5E18543C" w:tentative="1">
      <w:start w:val="1"/>
      <w:numFmt w:val="bullet"/>
      <w:lvlText w:val="o"/>
      <w:lvlJc w:val="left"/>
      <w:pPr>
        <w:ind w:left="3660" w:hanging="360"/>
      </w:pPr>
      <w:rPr>
        <w:rFonts w:ascii="Courier New" w:hAnsi="Courier New" w:cs="Courier New" w:hint="default"/>
      </w:rPr>
    </w:lvl>
    <w:lvl w:ilvl="5" w:tplc="0C6A9B68" w:tentative="1">
      <w:start w:val="1"/>
      <w:numFmt w:val="bullet"/>
      <w:lvlText w:val=""/>
      <w:lvlJc w:val="left"/>
      <w:pPr>
        <w:ind w:left="4380" w:hanging="360"/>
      </w:pPr>
      <w:rPr>
        <w:rFonts w:ascii="Wingdings" w:hAnsi="Wingdings" w:hint="default"/>
      </w:rPr>
    </w:lvl>
    <w:lvl w:ilvl="6" w:tplc="8806D038" w:tentative="1">
      <w:start w:val="1"/>
      <w:numFmt w:val="bullet"/>
      <w:lvlText w:val=""/>
      <w:lvlJc w:val="left"/>
      <w:pPr>
        <w:ind w:left="5100" w:hanging="360"/>
      </w:pPr>
      <w:rPr>
        <w:rFonts w:ascii="Symbol" w:hAnsi="Symbol" w:hint="default"/>
      </w:rPr>
    </w:lvl>
    <w:lvl w:ilvl="7" w:tplc="7728C312" w:tentative="1">
      <w:start w:val="1"/>
      <w:numFmt w:val="bullet"/>
      <w:lvlText w:val="o"/>
      <w:lvlJc w:val="left"/>
      <w:pPr>
        <w:ind w:left="5820" w:hanging="360"/>
      </w:pPr>
      <w:rPr>
        <w:rFonts w:ascii="Courier New" w:hAnsi="Courier New" w:cs="Courier New" w:hint="default"/>
      </w:rPr>
    </w:lvl>
    <w:lvl w:ilvl="8" w:tplc="1AC4321C" w:tentative="1">
      <w:start w:val="1"/>
      <w:numFmt w:val="bullet"/>
      <w:lvlText w:val=""/>
      <w:lvlJc w:val="left"/>
      <w:pPr>
        <w:ind w:left="6540" w:hanging="360"/>
      </w:pPr>
      <w:rPr>
        <w:rFonts w:ascii="Wingdings" w:hAnsi="Wingdings" w:hint="default"/>
      </w:rPr>
    </w:lvl>
  </w:abstractNum>
  <w:abstractNum w:abstractNumId="34" w15:restartNumberingAfterBreak="0">
    <w:nsid w:val="46487247"/>
    <w:multiLevelType w:val="hybridMultilevel"/>
    <w:tmpl w:val="72FE0B6A"/>
    <w:lvl w:ilvl="0" w:tplc="F30A5A34">
      <w:start w:val="1"/>
      <w:numFmt w:val="bullet"/>
      <w:lvlText w:val=""/>
      <w:lvlJc w:val="left"/>
      <w:pPr>
        <w:ind w:left="720" w:hanging="360"/>
      </w:pPr>
      <w:rPr>
        <w:rFonts w:ascii="Symbol" w:hAnsi="Symbol" w:hint="default"/>
        <w:sz w:val="22"/>
        <w:szCs w:val="22"/>
      </w:rPr>
    </w:lvl>
    <w:lvl w:ilvl="1" w:tplc="0E80BD72" w:tentative="1">
      <w:start w:val="1"/>
      <w:numFmt w:val="bullet"/>
      <w:lvlText w:val="o"/>
      <w:lvlJc w:val="left"/>
      <w:pPr>
        <w:ind w:left="1440" w:hanging="360"/>
      </w:pPr>
      <w:rPr>
        <w:rFonts w:ascii="Courier New" w:hAnsi="Courier New" w:cs="Courier New" w:hint="default"/>
      </w:rPr>
    </w:lvl>
    <w:lvl w:ilvl="2" w:tplc="300C9B54" w:tentative="1">
      <w:start w:val="1"/>
      <w:numFmt w:val="bullet"/>
      <w:lvlText w:val=""/>
      <w:lvlJc w:val="left"/>
      <w:pPr>
        <w:ind w:left="2160" w:hanging="360"/>
      </w:pPr>
      <w:rPr>
        <w:rFonts w:ascii="Wingdings" w:hAnsi="Wingdings" w:hint="default"/>
      </w:rPr>
    </w:lvl>
    <w:lvl w:ilvl="3" w:tplc="4A5ABB88" w:tentative="1">
      <w:start w:val="1"/>
      <w:numFmt w:val="bullet"/>
      <w:lvlText w:val=""/>
      <w:lvlJc w:val="left"/>
      <w:pPr>
        <w:ind w:left="2880" w:hanging="360"/>
      </w:pPr>
      <w:rPr>
        <w:rFonts w:ascii="Symbol" w:hAnsi="Symbol" w:hint="default"/>
      </w:rPr>
    </w:lvl>
    <w:lvl w:ilvl="4" w:tplc="004A878E" w:tentative="1">
      <w:start w:val="1"/>
      <w:numFmt w:val="bullet"/>
      <w:lvlText w:val="o"/>
      <w:lvlJc w:val="left"/>
      <w:pPr>
        <w:ind w:left="3600" w:hanging="360"/>
      </w:pPr>
      <w:rPr>
        <w:rFonts w:ascii="Courier New" w:hAnsi="Courier New" w:cs="Courier New" w:hint="default"/>
      </w:rPr>
    </w:lvl>
    <w:lvl w:ilvl="5" w:tplc="D3E21BD0" w:tentative="1">
      <w:start w:val="1"/>
      <w:numFmt w:val="bullet"/>
      <w:lvlText w:val=""/>
      <w:lvlJc w:val="left"/>
      <w:pPr>
        <w:ind w:left="4320" w:hanging="360"/>
      </w:pPr>
      <w:rPr>
        <w:rFonts w:ascii="Wingdings" w:hAnsi="Wingdings" w:hint="default"/>
      </w:rPr>
    </w:lvl>
    <w:lvl w:ilvl="6" w:tplc="8082809E" w:tentative="1">
      <w:start w:val="1"/>
      <w:numFmt w:val="bullet"/>
      <w:lvlText w:val=""/>
      <w:lvlJc w:val="left"/>
      <w:pPr>
        <w:ind w:left="5040" w:hanging="360"/>
      </w:pPr>
      <w:rPr>
        <w:rFonts w:ascii="Symbol" w:hAnsi="Symbol" w:hint="default"/>
      </w:rPr>
    </w:lvl>
    <w:lvl w:ilvl="7" w:tplc="BC42BB96" w:tentative="1">
      <w:start w:val="1"/>
      <w:numFmt w:val="bullet"/>
      <w:lvlText w:val="o"/>
      <w:lvlJc w:val="left"/>
      <w:pPr>
        <w:ind w:left="5760" w:hanging="360"/>
      </w:pPr>
      <w:rPr>
        <w:rFonts w:ascii="Courier New" w:hAnsi="Courier New" w:cs="Courier New" w:hint="default"/>
      </w:rPr>
    </w:lvl>
    <w:lvl w:ilvl="8" w:tplc="0B7E4072" w:tentative="1">
      <w:start w:val="1"/>
      <w:numFmt w:val="bullet"/>
      <w:lvlText w:val=""/>
      <w:lvlJc w:val="left"/>
      <w:pPr>
        <w:ind w:left="6480" w:hanging="360"/>
      </w:pPr>
      <w:rPr>
        <w:rFonts w:ascii="Wingdings" w:hAnsi="Wingdings" w:hint="default"/>
      </w:rPr>
    </w:lvl>
  </w:abstractNum>
  <w:abstractNum w:abstractNumId="35" w15:restartNumberingAfterBreak="0">
    <w:nsid w:val="46876C45"/>
    <w:multiLevelType w:val="hybridMultilevel"/>
    <w:tmpl w:val="E74264DC"/>
    <w:lvl w:ilvl="0" w:tplc="4C8E736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1B4FF0"/>
    <w:multiLevelType w:val="hybridMultilevel"/>
    <w:tmpl w:val="FB40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1226A4"/>
    <w:multiLevelType w:val="hybridMultilevel"/>
    <w:tmpl w:val="4D2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00255F"/>
    <w:multiLevelType w:val="hybridMultilevel"/>
    <w:tmpl w:val="F1225F1E"/>
    <w:lvl w:ilvl="0" w:tplc="DE5880DA">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39" w15:restartNumberingAfterBreak="0">
    <w:nsid w:val="59A02347"/>
    <w:multiLevelType w:val="hybridMultilevel"/>
    <w:tmpl w:val="29D678CE"/>
    <w:lvl w:ilvl="0" w:tplc="E6F843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F639F5"/>
    <w:multiLevelType w:val="multilevel"/>
    <w:tmpl w:val="4A6EDD34"/>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41" w15:restartNumberingAfterBreak="0">
    <w:nsid w:val="5CCC5B2F"/>
    <w:multiLevelType w:val="hybridMultilevel"/>
    <w:tmpl w:val="A1D6186E"/>
    <w:lvl w:ilvl="0" w:tplc="9E9C6606">
      <w:start w:val="1"/>
      <w:numFmt w:val="bullet"/>
      <w:lvlText w:val=""/>
      <w:lvlJc w:val="left"/>
      <w:pPr>
        <w:ind w:left="720" w:hanging="360"/>
      </w:pPr>
      <w:rPr>
        <w:rFonts w:ascii="Symbol" w:hAnsi="Symbol" w:hint="default"/>
      </w:rPr>
    </w:lvl>
    <w:lvl w:ilvl="1" w:tplc="65A0148C" w:tentative="1">
      <w:start w:val="1"/>
      <w:numFmt w:val="bullet"/>
      <w:lvlText w:val="o"/>
      <w:lvlJc w:val="left"/>
      <w:pPr>
        <w:ind w:left="1440" w:hanging="360"/>
      </w:pPr>
      <w:rPr>
        <w:rFonts w:ascii="Courier New" w:hAnsi="Courier New" w:cs="Courier New" w:hint="default"/>
      </w:rPr>
    </w:lvl>
    <w:lvl w:ilvl="2" w:tplc="95661896" w:tentative="1">
      <w:start w:val="1"/>
      <w:numFmt w:val="bullet"/>
      <w:lvlText w:val=""/>
      <w:lvlJc w:val="left"/>
      <w:pPr>
        <w:ind w:left="2160" w:hanging="360"/>
      </w:pPr>
      <w:rPr>
        <w:rFonts w:ascii="Wingdings" w:hAnsi="Wingdings" w:hint="default"/>
      </w:rPr>
    </w:lvl>
    <w:lvl w:ilvl="3" w:tplc="B12C7BEC" w:tentative="1">
      <w:start w:val="1"/>
      <w:numFmt w:val="bullet"/>
      <w:lvlText w:val=""/>
      <w:lvlJc w:val="left"/>
      <w:pPr>
        <w:ind w:left="2880" w:hanging="360"/>
      </w:pPr>
      <w:rPr>
        <w:rFonts w:ascii="Symbol" w:hAnsi="Symbol" w:hint="default"/>
      </w:rPr>
    </w:lvl>
    <w:lvl w:ilvl="4" w:tplc="9460C1FA" w:tentative="1">
      <w:start w:val="1"/>
      <w:numFmt w:val="bullet"/>
      <w:lvlText w:val="o"/>
      <w:lvlJc w:val="left"/>
      <w:pPr>
        <w:ind w:left="3600" w:hanging="360"/>
      </w:pPr>
      <w:rPr>
        <w:rFonts w:ascii="Courier New" w:hAnsi="Courier New" w:cs="Courier New" w:hint="default"/>
      </w:rPr>
    </w:lvl>
    <w:lvl w:ilvl="5" w:tplc="16D8A310" w:tentative="1">
      <w:start w:val="1"/>
      <w:numFmt w:val="bullet"/>
      <w:lvlText w:val=""/>
      <w:lvlJc w:val="left"/>
      <w:pPr>
        <w:ind w:left="4320" w:hanging="360"/>
      </w:pPr>
      <w:rPr>
        <w:rFonts w:ascii="Wingdings" w:hAnsi="Wingdings" w:hint="default"/>
      </w:rPr>
    </w:lvl>
    <w:lvl w:ilvl="6" w:tplc="09EAB642" w:tentative="1">
      <w:start w:val="1"/>
      <w:numFmt w:val="bullet"/>
      <w:lvlText w:val=""/>
      <w:lvlJc w:val="left"/>
      <w:pPr>
        <w:ind w:left="5040" w:hanging="360"/>
      </w:pPr>
      <w:rPr>
        <w:rFonts w:ascii="Symbol" w:hAnsi="Symbol" w:hint="default"/>
      </w:rPr>
    </w:lvl>
    <w:lvl w:ilvl="7" w:tplc="874CD1AA" w:tentative="1">
      <w:start w:val="1"/>
      <w:numFmt w:val="bullet"/>
      <w:lvlText w:val="o"/>
      <w:lvlJc w:val="left"/>
      <w:pPr>
        <w:ind w:left="5760" w:hanging="360"/>
      </w:pPr>
      <w:rPr>
        <w:rFonts w:ascii="Courier New" w:hAnsi="Courier New" w:cs="Courier New" w:hint="default"/>
      </w:rPr>
    </w:lvl>
    <w:lvl w:ilvl="8" w:tplc="F3DA9D94" w:tentative="1">
      <w:start w:val="1"/>
      <w:numFmt w:val="bullet"/>
      <w:lvlText w:val=""/>
      <w:lvlJc w:val="left"/>
      <w:pPr>
        <w:ind w:left="6480" w:hanging="360"/>
      </w:pPr>
      <w:rPr>
        <w:rFonts w:ascii="Wingdings" w:hAnsi="Wingdings" w:hint="default"/>
      </w:rPr>
    </w:lvl>
  </w:abstractNum>
  <w:abstractNum w:abstractNumId="42" w15:restartNumberingAfterBreak="0">
    <w:nsid w:val="5E4677DB"/>
    <w:multiLevelType w:val="hybridMultilevel"/>
    <w:tmpl w:val="1640FE84"/>
    <w:lvl w:ilvl="0" w:tplc="F03A9E14">
      <w:start w:val="1"/>
      <w:numFmt w:val="bullet"/>
      <w:lvlText w:val=""/>
      <w:lvlJc w:val="left"/>
      <w:pPr>
        <w:ind w:left="360" w:hanging="360"/>
      </w:pPr>
      <w:rPr>
        <w:rFonts w:ascii="Symbol" w:hAnsi="Symbol" w:hint="default"/>
      </w:rPr>
    </w:lvl>
    <w:lvl w:ilvl="1" w:tplc="D43CBBF4" w:tentative="1">
      <w:start w:val="1"/>
      <w:numFmt w:val="bullet"/>
      <w:lvlText w:val="o"/>
      <w:lvlJc w:val="left"/>
      <w:pPr>
        <w:ind w:left="1080" w:hanging="360"/>
      </w:pPr>
      <w:rPr>
        <w:rFonts w:ascii="Courier New" w:hAnsi="Courier New" w:cs="Courier New" w:hint="default"/>
      </w:rPr>
    </w:lvl>
    <w:lvl w:ilvl="2" w:tplc="0BD68462" w:tentative="1">
      <w:start w:val="1"/>
      <w:numFmt w:val="bullet"/>
      <w:lvlText w:val=""/>
      <w:lvlJc w:val="left"/>
      <w:pPr>
        <w:ind w:left="1800" w:hanging="360"/>
      </w:pPr>
      <w:rPr>
        <w:rFonts w:ascii="Wingdings" w:hAnsi="Wingdings" w:hint="default"/>
      </w:rPr>
    </w:lvl>
    <w:lvl w:ilvl="3" w:tplc="4D8C60F2" w:tentative="1">
      <w:start w:val="1"/>
      <w:numFmt w:val="bullet"/>
      <w:lvlText w:val=""/>
      <w:lvlJc w:val="left"/>
      <w:pPr>
        <w:ind w:left="2520" w:hanging="360"/>
      </w:pPr>
      <w:rPr>
        <w:rFonts w:ascii="Symbol" w:hAnsi="Symbol" w:hint="default"/>
      </w:rPr>
    </w:lvl>
    <w:lvl w:ilvl="4" w:tplc="98B83C30" w:tentative="1">
      <w:start w:val="1"/>
      <w:numFmt w:val="bullet"/>
      <w:lvlText w:val="o"/>
      <w:lvlJc w:val="left"/>
      <w:pPr>
        <w:ind w:left="3240" w:hanging="360"/>
      </w:pPr>
      <w:rPr>
        <w:rFonts w:ascii="Courier New" w:hAnsi="Courier New" w:cs="Courier New" w:hint="default"/>
      </w:rPr>
    </w:lvl>
    <w:lvl w:ilvl="5" w:tplc="689A6442" w:tentative="1">
      <w:start w:val="1"/>
      <w:numFmt w:val="bullet"/>
      <w:lvlText w:val=""/>
      <w:lvlJc w:val="left"/>
      <w:pPr>
        <w:ind w:left="3960" w:hanging="360"/>
      </w:pPr>
      <w:rPr>
        <w:rFonts w:ascii="Wingdings" w:hAnsi="Wingdings" w:hint="default"/>
      </w:rPr>
    </w:lvl>
    <w:lvl w:ilvl="6" w:tplc="ABB25E0C" w:tentative="1">
      <w:start w:val="1"/>
      <w:numFmt w:val="bullet"/>
      <w:lvlText w:val=""/>
      <w:lvlJc w:val="left"/>
      <w:pPr>
        <w:ind w:left="4680" w:hanging="360"/>
      </w:pPr>
      <w:rPr>
        <w:rFonts w:ascii="Symbol" w:hAnsi="Symbol" w:hint="default"/>
      </w:rPr>
    </w:lvl>
    <w:lvl w:ilvl="7" w:tplc="90EE8B2A" w:tentative="1">
      <w:start w:val="1"/>
      <w:numFmt w:val="bullet"/>
      <w:lvlText w:val="o"/>
      <w:lvlJc w:val="left"/>
      <w:pPr>
        <w:ind w:left="5400" w:hanging="360"/>
      </w:pPr>
      <w:rPr>
        <w:rFonts w:ascii="Courier New" w:hAnsi="Courier New" w:cs="Courier New" w:hint="default"/>
      </w:rPr>
    </w:lvl>
    <w:lvl w:ilvl="8" w:tplc="521674E0" w:tentative="1">
      <w:start w:val="1"/>
      <w:numFmt w:val="bullet"/>
      <w:lvlText w:val=""/>
      <w:lvlJc w:val="left"/>
      <w:pPr>
        <w:ind w:left="6120" w:hanging="360"/>
      </w:pPr>
      <w:rPr>
        <w:rFonts w:ascii="Wingdings" w:hAnsi="Wingdings" w:hint="default"/>
      </w:rPr>
    </w:lvl>
  </w:abstractNum>
  <w:abstractNum w:abstractNumId="43" w15:restartNumberingAfterBreak="0">
    <w:nsid w:val="5FA162FE"/>
    <w:multiLevelType w:val="hybridMultilevel"/>
    <w:tmpl w:val="DA1ACEFC"/>
    <w:lvl w:ilvl="0" w:tplc="ED102AAE">
      <w:start w:val="4"/>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15:restartNumberingAfterBreak="0">
    <w:nsid w:val="61874675"/>
    <w:multiLevelType w:val="hybridMultilevel"/>
    <w:tmpl w:val="40D825BC"/>
    <w:lvl w:ilvl="0" w:tplc="5756EBA0">
      <w:start w:val="1"/>
      <w:numFmt w:val="bullet"/>
      <w:lvlText w:val=""/>
      <w:lvlJc w:val="left"/>
      <w:pPr>
        <w:ind w:left="567" w:hanging="567"/>
      </w:pPr>
      <w:rPr>
        <w:rFonts w:ascii="Symbol" w:hAnsi="Symbol" w:hint="default"/>
      </w:rPr>
    </w:lvl>
    <w:lvl w:ilvl="1" w:tplc="D9621E92" w:tentative="1">
      <w:start w:val="1"/>
      <w:numFmt w:val="bullet"/>
      <w:lvlText w:val="•"/>
      <w:lvlJc w:val="left"/>
      <w:pPr>
        <w:tabs>
          <w:tab w:val="num" w:pos="1440"/>
        </w:tabs>
        <w:ind w:left="1440" w:hanging="360"/>
      </w:pPr>
      <w:rPr>
        <w:rFonts w:ascii="Arial" w:hAnsi="Arial" w:hint="default"/>
      </w:rPr>
    </w:lvl>
    <w:lvl w:ilvl="2" w:tplc="178E0850" w:tentative="1">
      <w:start w:val="1"/>
      <w:numFmt w:val="bullet"/>
      <w:lvlText w:val="•"/>
      <w:lvlJc w:val="left"/>
      <w:pPr>
        <w:tabs>
          <w:tab w:val="num" w:pos="2160"/>
        </w:tabs>
        <w:ind w:left="2160" w:hanging="360"/>
      </w:pPr>
      <w:rPr>
        <w:rFonts w:ascii="Arial" w:hAnsi="Arial" w:hint="default"/>
      </w:rPr>
    </w:lvl>
    <w:lvl w:ilvl="3" w:tplc="3DCABAD8" w:tentative="1">
      <w:start w:val="1"/>
      <w:numFmt w:val="bullet"/>
      <w:lvlText w:val="•"/>
      <w:lvlJc w:val="left"/>
      <w:pPr>
        <w:tabs>
          <w:tab w:val="num" w:pos="2880"/>
        </w:tabs>
        <w:ind w:left="2880" w:hanging="360"/>
      </w:pPr>
      <w:rPr>
        <w:rFonts w:ascii="Arial" w:hAnsi="Arial" w:hint="default"/>
      </w:rPr>
    </w:lvl>
    <w:lvl w:ilvl="4" w:tplc="60003494" w:tentative="1">
      <w:start w:val="1"/>
      <w:numFmt w:val="bullet"/>
      <w:lvlText w:val="•"/>
      <w:lvlJc w:val="left"/>
      <w:pPr>
        <w:tabs>
          <w:tab w:val="num" w:pos="3600"/>
        </w:tabs>
        <w:ind w:left="3600" w:hanging="360"/>
      </w:pPr>
      <w:rPr>
        <w:rFonts w:ascii="Arial" w:hAnsi="Arial" w:hint="default"/>
      </w:rPr>
    </w:lvl>
    <w:lvl w:ilvl="5" w:tplc="9EFCB96E" w:tentative="1">
      <w:start w:val="1"/>
      <w:numFmt w:val="bullet"/>
      <w:lvlText w:val="•"/>
      <w:lvlJc w:val="left"/>
      <w:pPr>
        <w:tabs>
          <w:tab w:val="num" w:pos="4320"/>
        </w:tabs>
        <w:ind w:left="4320" w:hanging="360"/>
      </w:pPr>
      <w:rPr>
        <w:rFonts w:ascii="Arial" w:hAnsi="Arial" w:hint="default"/>
      </w:rPr>
    </w:lvl>
    <w:lvl w:ilvl="6" w:tplc="22160422" w:tentative="1">
      <w:start w:val="1"/>
      <w:numFmt w:val="bullet"/>
      <w:lvlText w:val="•"/>
      <w:lvlJc w:val="left"/>
      <w:pPr>
        <w:tabs>
          <w:tab w:val="num" w:pos="5040"/>
        </w:tabs>
        <w:ind w:left="5040" w:hanging="360"/>
      </w:pPr>
      <w:rPr>
        <w:rFonts w:ascii="Arial" w:hAnsi="Arial" w:hint="default"/>
      </w:rPr>
    </w:lvl>
    <w:lvl w:ilvl="7" w:tplc="DACEB73E" w:tentative="1">
      <w:start w:val="1"/>
      <w:numFmt w:val="bullet"/>
      <w:lvlText w:val="•"/>
      <w:lvlJc w:val="left"/>
      <w:pPr>
        <w:tabs>
          <w:tab w:val="num" w:pos="5760"/>
        </w:tabs>
        <w:ind w:left="5760" w:hanging="360"/>
      </w:pPr>
      <w:rPr>
        <w:rFonts w:ascii="Arial" w:hAnsi="Arial" w:hint="default"/>
      </w:rPr>
    </w:lvl>
    <w:lvl w:ilvl="8" w:tplc="67B87DE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1C10754"/>
    <w:multiLevelType w:val="hybridMultilevel"/>
    <w:tmpl w:val="8570A210"/>
    <w:lvl w:ilvl="0" w:tplc="FDDEEAFE">
      <w:start w:val="1"/>
      <w:numFmt w:val="bullet"/>
      <w:lvlText w:val=""/>
      <w:lvlJc w:val="left"/>
      <w:pPr>
        <w:ind w:left="720" w:hanging="360"/>
      </w:pPr>
      <w:rPr>
        <w:rFonts w:ascii="Symbol" w:hAnsi="Symbol" w:hint="default"/>
      </w:rPr>
    </w:lvl>
    <w:lvl w:ilvl="1" w:tplc="D1C87730" w:tentative="1">
      <w:start w:val="1"/>
      <w:numFmt w:val="bullet"/>
      <w:lvlText w:val="o"/>
      <w:lvlJc w:val="left"/>
      <w:pPr>
        <w:ind w:left="1440" w:hanging="360"/>
      </w:pPr>
      <w:rPr>
        <w:rFonts w:ascii="Courier New" w:hAnsi="Courier New" w:cs="Courier New" w:hint="default"/>
      </w:rPr>
    </w:lvl>
    <w:lvl w:ilvl="2" w:tplc="027EDBEE" w:tentative="1">
      <w:start w:val="1"/>
      <w:numFmt w:val="bullet"/>
      <w:lvlText w:val=""/>
      <w:lvlJc w:val="left"/>
      <w:pPr>
        <w:ind w:left="2160" w:hanging="360"/>
      </w:pPr>
      <w:rPr>
        <w:rFonts w:ascii="Wingdings" w:hAnsi="Wingdings" w:hint="default"/>
      </w:rPr>
    </w:lvl>
    <w:lvl w:ilvl="3" w:tplc="D6228ED2" w:tentative="1">
      <w:start w:val="1"/>
      <w:numFmt w:val="bullet"/>
      <w:lvlText w:val=""/>
      <w:lvlJc w:val="left"/>
      <w:pPr>
        <w:ind w:left="2880" w:hanging="360"/>
      </w:pPr>
      <w:rPr>
        <w:rFonts w:ascii="Symbol" w:hAnsi="Symbol" w:hint="default"/>
      </w:rPr>
    </w:lvl>
    <w:lvl w:ilvl="4" w:tplc="B80C537A" w:tentative="1">
      <w:start w:val="1"/>
      <w:numFmt w:val="bullet"/>
      <w:lvlText w:val="o"/>
      <w:lvlJc w:val="left"/>
      <w:pPr>
        <w:ind w:left="3600" w:hanging="360"/>
      </w:pPr>
      <w:rPr>
        <w:rFonts w:ascii="Courier New" w:hAnsi="Courier New" w:cs="Courier New" w:hint="default"/>
      </w:rPr>
    </w:lvl>
    <w:lvl w:ilvl="5" w:tplc="F294C76E" w:tentative="1">
      <w:start w:val="1"/>
      <w:numFmt w:val="bullet"/>
      <w:lvlText w:val=""/>
      <w:lvlJc w:val="left"/>
      <w:pPr>
        <w:ind w:left="4320" w:hanging="360"/>
      </w:pPr>
      <w:rPr>
        <w:rFonts w:ascii="Wingdings" w:hAnsi="Wingdings" w:hint="default"/>
      </w:rPr>
    </w:lvl>
    <w:lvl w:ilvl="6" w:tplc="6C2E906E" w:tentative="1">
      <w:start w:val="1"/>
      <w:numFmt w:val="bullet"/>
      <w:lvlText w:val=""/>
      <w:lvlJc w:val="left"/>
      <w:pPr>
        <w:ind w:left="5040" w:hanging="360"/>
      </w:pPr>
      <w:rPr>
        <w:rFonts w:ascii="Symbol" w:hAnsi="Symbol" w:hint="default"/>
      </w:rPr>
    </w:lvl>
    <w:lvl w:ilvl="7" w:tplc="3A7890AC" w:tentative="1">
      <w:start w:val="1"/>
      <w:numFmt w:val="bullet"/>
      <w:lvlText w:val="o"/>
      <w:lvlJc w:val="left"/>
      <w:pPr>
        <w:ind w:left="5760" w:hanging="360"/>
      </w:pPr>
      <w:rPr>
        <w:rFonts w:ascii="Courier New" w:hAnsi="Courier New" w:cs="Courier New" w:hint="default"/>
      </w:rPr>
    </w:lvl>
    <w:lvl w:ilvl="8" w:tplc="A8426A7A" w:tentative="1">
      <w:start w:val="1"/>
      <w:numFmt w:val="bullet"/>
      <w:lvlText w:val=""/>
      <w:lvlJc w:val="left"/>
      <w:pPr>
        <w:ind w:left="6480" w:hanging="360"/>
      </w:pPr>
      <w:rPr>
        <w:rFonts w:ascii="Wingdings" w:hAnsi="Wingdings" w:hint="default"/>
      </w:rPr>
    </w:lvl>
  </w:abstractNum>
  <w:abstractNum w:abstractNumId="46" w15:restartNumberingAfterBreak="0">
    <w:nsid w:val="63865A9B"/>
    <w:multiLevelType w:val="hybridMultilevel"/>
    <w:tmpl w:val="891A38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B17D3E"/>
    <w:multiLevelType w:val="hybridMultilevel"/>
    <w:tmpl w:val="F50C72A4"/>
    <w:lvl w:ilvl="0" w:tplc="2872FA52">
      <w:start w:val="1"/>
      <w:numFmt w:val="bullet"/>
      <w:lvlText w:val=""/>
      <w:lvlJc w:val="left"/>
      <w:pPr>
        <w:ind w:left="567" w:hanging="567"/>
      </w:pPr>
      <w:rPr>
        <w:rFonts w:ascii="Symbol" w:hAnsi="Symbol" w:hint="default"/>
      </w:rPr>
    </w:lvl>
    <w:lvl w:ilvl="1" w:tplc="5728F71E">
      <w:start w:val="1"/>
      <w:numFmt w:val="bullet"/>
      <w:lvlText w:val="o"/>
      <w:lvlJc w:val="left"/>
      <w:pPr>
        <w:tabs>
          <w:tab w:val="num" w:pos="1440"/>
        </w:tabs>
        <w:ind w:left="1440" w:hanging="360"/>
      </w:pPr>
      <w:rPr>
        <w:rFonts w:ascii="Courier New" w:hAnsi="Courier New"/>
      </w:rPr>
    </w:lvl>
    <w:lvl w:ilvl="2" w:tplc="E26011B0">
      <w:start w:val="1"/>
      <w:numFmt w:val="bullet"/>
      <w:lvlText w:val=""/>
      <w:lvlJc w:val="left"/>
      <w:pPr>
        <w:tabs>
          <w:tab w:val="num" w:pos="2160"/>
        </w:tabs>
        <w:ind w:left="2160" w:hanging="360"/>
      </w:pPr>
      <w:rPr>
        <w:rFonts w:ascii="Wingdings" w:hAnsi="Wingdings"/>
      </w:rPr>
    </w:lvl>
    <w:lvl w:ilvl="3" w:tplc="E292B0AE">
      <w:start w:val="1"/>
      <w:numFmt w:val="bullet"/>
      <w:lvlText w:val=""/>
      <w:lvlJc w:val="left"/>
      <w:pPr>
        <w:tabs>
          <w:tab w:val="num" w:pos="2880"/>
        </w:tabs>
        <w:ind w:left="2880" w:hanging="360"/>
      </w:pPr>
      <w:rPr>
        <w:rFonts w:ascii="Symbol" w:hAnsi="Symbol"/>
      </w:rPr>
    </w:lvl>
    <w:lvl w:ilvl="4" w:tplc="8FBEE8B2">
      <w:start w:val="1"/>
      <w:numFmt w:val="bullet"/>
      <w:lvlText w:val="o"/>
      <w:lvlJc w:val="left"/>
      <w:pPr>
        <w:tabs>
          <w:tab w:val="num" w:pos="3600"/>
        </w:tabs>
        <w:ind w:left="3600" w:hanging="360"/>
      </w:pPr>
      <w:rPr>
        <w:rFonts w:ascii="Courier New" w:hAnsi="Courier New"/>
      </w:rPr>
    </w:lvl>
    <w:lvl w:ilvl="5" w:tplc="A4ACD03C">
      <w:start w:val="1"/>
      <w:numFmt w:val="bullet"/>
      <w:lvlText w:val=""/>
      <w:lvlJc w:val="left"/>
      <w:pPr>
        <w:tabs>
          <w:tab w:val="num" w:pos="4320"/>
        </w:tabs>
        <w:ind w:left="4320" w:hanging="360"/>
      </w:pPr>
      <w:rPr>
        <w:rFonts w:ascii="Wingdings" w:hAnsi="Wingdings"/>
      </w:rPr>
    </w:lvl>
    <w:lvl w:ilvl="6" w:tplc="4A2E1C22">
      <w:start w:val="1"/>
      <w:numFmt w:val="bullet"/>
      <w:lvlText w:val=""/>
      <w:lvlJc w:val="left"/>
      <w:pPr>
        <w:tabs>
          <w:tab w:val="num" w:pos="5040"/>
        </w:tabs>
        <w:ind w:left="5040" w:hanging="360"/>
      </w:pPr>
      <w:rPr>
        <w:rFonts w:ascii="Symbol" w:hAnsi="Symbol"/>
      </w:rPr>
    </w:lvl>
    <w:lvl w:ilvl="7" w:tplc="AA74BB80">
      <w:start w:val="1"/>
      <w:numFmt w:val="bullet"/>
      <w:lvlText w:val="o"/>
      <w:lvlJc w:val="left"/>
      <w:pPr>
        <w:tabs>
          <w:tab w:val="num" w:pos="5760"/>
        </w:tabs>
        <w:ind w:left="5760" w:hanging="360"/>
      </w:pPr>
      <w:rPr>
        <w:rFonts w:ascii="Courier New" w:hAnsi="Courier New"/>
      </w:rPr>
    </w:lvl>
    <w:lvl w:ilvl="8" w:tplc="8FCC223C">
      <w:start w:val="1"/>
      <w:numFmt w:val="bullet"/>
      <w:lvlText w:val=""/>
      <w:lvlJc w:val="left"/>
      <w:pPr>
        <w:tabs>
          <w:tab w:val="num" w:pos="6480"/>
        </w:tabs>
        <w:ind w:left="6480" w:hanging="360"/>
      </w:pPr>
      <w:rPr>
        <w:rFonts w:ascii="Wingdings" w:hAnsi="Wingdings"/>
      </w:rPr>
    </w:lvl>
  </w:abstractNum>
  <w:abstractNum w:abstractNumId="48" w15:restartNumberingAfterBreak="0">
    <w:nsid w:val="6A533C23"/>
    <w:multiLevelType w:val="hybridMultilevel"/>
    <w:tmpl w:val="8BA00C3A"/>
    <w:lvl w:ilvl="0" w:tplc="04090001">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49" w15:restartNumberingAfterBreak="0">
    <w:nsid w:val="6AB4566C"/>
    <w:multiLevelType w:val="hybridMultilevel"/>
    <w:tmpl w:val="CDEA20DC"/>
    <w:lvl w:ilvl="0" w:tplc="F0A0DE9C">
      <w:start w:val="1"/>
      <w:numFmt w:val="bullet"/>
      <w:lvlText w:val=""/>
      <w:lvlJc w:val="left"/>
      <w:pPr>
        <w:ind w:left="360" w:hanging="360"/>
      </w:pPr>
      <w:rPr>
        <w:rFonts w:ascii="Symbol" w:hAnsi="Symbol" w:hint="default"/>
      </w:rPr>
    </w:lvl>
    <w:lvl w:ilvl="1" w:tplc="AE76719C" w:tentative="1">
      <w:start w:val="1"/>
      <w:numFmt w:val="bullet"/>
      <w:lvlText w:val="o"/>
      <w:lvlJc w:val="left"/>
      <w:pPr>
        <w:ind w:left="1080" w:hanging="360"/>
      </w:pPr>
      <w:rPr>
        <w:rFonts w:ascii="Courier New" w:hAnsi="Courier New" w:cs="Courier New" w:hint="default"/>
      </w:rPr>
    </w:lvl>
    <w:lvl w:ilvl="2" w:tplc="EEF82D20" w:tentative="1">
      <w:start w:val="1"/>
      <w:numFmt w:val="bullet"/>
      <w:lvlText w:val=""/>
      <w:lvlJc w:val="left"/>
      <w:pPr>
        <w:ind w:left="1800" w:hanging="360"/>
      </w:pPr>
      <w:rPr>
        <w:rFonts w:ascii="Wingdings" w:hAnsi="Wingdings" w:hint="default"/>
      </w:rPr>
    </w:lvl>
    <w:lvl w:ilvl="3" w:tplc="AD60B37C" w:tentative="1">
      <w:start w:val="1"/>
      <w:numFmt w:val="bullet"/>
      <w:lvlText w:val=""/>
      <w:lvlJc w:val="left"/>
      <w:pPr>
        <w:ind w:left="2520" w:hanging="360"/>
      </w:pPr>
      <w:rPr>
        <w:rFonts w:ascii="Symbol" w:hAnsi="Symbol" w:hint="default"/>
      </w:rPr>
    </w:lvl>
    <w:lvl w:ilvl="4" w:tplc="4BB843F6" w:tentative="1">
      <w:start w:val="1"/>
      <w:numFmt w:val="bullet"/>
      <w:lvlText w:val="o"/>
      <w:lvlJc w:val="left"/>
      <w:pPr>
        <w:ind w:left="3240" w:hanging="360"/>
      </w:pPr>
      <w:rPr>
        <w:rFonts w:ascii="Courier New" w:hAnsi="Courier New" w:cs="Courier New" w:hint="default"/>
      </w:rPr>
    </w:lvl>
    <w:lvl w:ilvl="5" w:tplc="94A27624" w:tentative="1">
      <w:start w:val="1"/>
      <w:numFmt w:val="bullet"/>
      <w:lvlText w:val=""/>
      <w:lvlJc w:val="left"/>
      <w:pPr>
        <w:ind w:left="3960" w:hanging="360"/>
      </w:pPr>
      <w:rPr>
        <w:rFonts w:ascii="Wingdings" w:hAnsi="Wingdings" w:hint="default"/>
      </w:rPr>
    </w:lvl>
    <w:lvl w:ilvl="6" w:tplc="9D345E7A" w:tentative="1">
      <w:start w:val="1"/>
      <w:numFmt w:val="bullet"/>
      <w:lvlText w:val=""/>
      <w:lvlJc w:val="left"/>
      <w:pPr>
        <w:ind w:left="4680" w:hanging="360"/>
      </w:pPr>
      <w:rPr>
        <w:rFonts w:ascii="Symbol" w:hAnsi="Symbol" w:hint="default"/>
      </w:rPr>
    </w:lvl>
    <w:lvl w:ilvl="7" w:tplc="FC7A717E" w:tentative="1">
      <w:start w:val="1"/>
      <w:numFmt w:val="bullet"/>
      <w:lvlText w:val="o"/>
      <w:lvlJc w:val="left"/>
      <w:pPr>
        <w:ind w:left="5400" w:hanging="360"/>
      </w:pPr>
      <w:rPr>
        <w:rFonts w:ascii="Courier New" w:hAnsi="Courier New" w:cs="Courier New" w:hint="default"/>
      </w:rPr>
    </w:lvl>
    <w:lvl w:ilvl="8" w:tplc="8C840818" w:tentative="1">
      <w:start w:val="1"/>
      <w:numFmt w:val="bullet"/>
      <w:lvlText w:val=""/>
      <w:lvlJc w:val="left"/>
      <w:pPr>
        <w:ind w:left="6120" w:hanging="360"/>
      </w:pPr>
      <w:rPr>
        <w:rFonts w:ascii="Wingdings" w:hAnsi="Wingdings" w:hint="default"/>
      </w:rPr>
    </w:lvl>
  </w:abstractNum>
  <w:abstractNum w:abstractNumId="50" w15:restartNumberingAfterBreak="0">
    <w:nsid w:val="6F9337D0"/>
    <w:multiLevelType w:val="hybridMultilevel"/>
    <w:tmpl w:val="B6C885E6"/>
    <w:lvl w:ilvl="0" w:tplc="BE1246E6">
      <w:start w:val="1"/>
      <w:numFmt w:val="bullet"/>
      <w:lvlText w:val=""/>
      <w:lvlJc w:val="left"/>
      <w:pPr>
        <w:tabs>
          <w:tab w:val="num" w:pos="720"/>
        </w:tabs>
        <w:ind w:left="720" w:hanging="360"/>
      </w:pPr>
      <w:rPr>
        <w:rFonts w:ascii="Symbol" w:hAnsi="Symbol" w:hint="default"/>
      </w:rPr>
    </w:lvl>
    <w:lvl w:ilvl="1" w:tplc="732C0452" w:tentative="1">
      <w:start w:val="1"/>
      <w:numFmt w:val="bullet"/>
      <w:lvlText w:val="o"/>
      <w:lvlJc w:val="left"/>
      <w:pPr>
        <w:tabs>
          <w:tab w:val="num" w:pos="1440"/>
        </w:tabs>
        <w:ind w:left="1440" w:hanging="360"/>
      </w:pPr>
      <w:rPr>
        <w:rFonts w:ascii="Courier New" w:hAnsi="Courier New" w:cs="Courier New" w:hint="default"/>
      </w:rPr>
    </w:lvl>
    <w:lvl w:ilvl="2" w:tplc="41744A16" w:tentative="1">
      <w:start w:val="1"/>
      <w:numFmt w:val="bullet"/>
      <w:lvlText w:val=""/>
      <w:lvlJc w:val="left"/>
      <w:pPr>
        <w:tabs>
          <w:tab w:val="num" w:pos="2160"/>
        </w:tabs>
        <w:ind w:left="2160" w:hanging="360"/>
      </w:pPr>
      <w:rPr>
        <w:rFonts w:ascii="Wingdings" w:hAnsi="Wingdings" w:hint="default"/>
      </w:rPr>
    </w:lvl>
    <w:lvl w:ilvl="3" w:tplc="9ABE0BFA" w:tentative="1">
      <w:start w:val="1"/>
      <w:numFmt w:val="bullet"/>
      <w:lvlText w:val=""/>
      <w:lvlJc w:val="left"/>
      <w:pPr>
        <w:tabs>
          <w:tab w:val="num" w:pos="2880"/>
        </w:tabs>
        <w:ind w:left="2880" w:hanging="360"/>
      </w:pPr>
      <w:rPr>
        <w:rFonts w:ascii="Symbol" w:hAnsi="Symbol" w:hint="default"/>
      </w:rPr>
    </w:lvl>
    <w:lvl w:ilvl="4" w:tplc="D20A519E" w:tentative="1">
      <w:start w:val="1"/>
      <w:numFmt w:val="bullet"/>
      <w:lvlText w:val="o"/>
      <w:lvlJc w:val="left"/>
      <w:pPr>
        <w:tabs>
          <w:tab w:val="num" w:pos="3600"/>
        </w:tabs>
        <w:ind w:left="3600" w:hanging="360"/>
      </w:pPr>
      <w:rPr>
        <w:rFonts w:ascii="Courier New" w:hAnsi="Courier New" w:cs="Courier New" w:hint="default"/>
      </w:rPr>
    </w:lvl>
    <w:lvl w:ilvl="5" w:tplc="9E56DBC6" w:tentative="1">
      <w:start w:val="1"/>
      <w:numFmt w:val="bullet"/>
      <w:lvlText w:val=""/>
      <w:lvlJc w:val="left"/>
      <w:pPr>
        <w:tabs>
          <w:tab w:val="num" w:pos="4320"/>
        </w:tabs>
        <w:ind w:left="4320" w:hanging="360"/>
      </w:pPr>
      <w:rPr>
        <w:rFonts w:ascii="Wingdings" w:hAnsi="Wingdings" w:hint="default"/>
      </w:rPr>
    </w:lvl>
    <w:lvl w:ilvl="6" w:tplc="E94004B6" w:tentative="1">
      <w:start w:val="1"/>
      <w:numFmt w:val="bullet"/>
      <w:lvlText w:val=""/>
      <w:lvlJc w:val="left"/>
      <w:pPr>
        <w:tabs>
          <w:tab w:val="num" w:pos="5040"/>
        </w:tabs>
        <w:ind w:left="5040" w:hanging="360"/>
      </w:pPr>
      <w:rPr>
        <w:rFonts w:ascii="Symbol" w:hAnsi="Symbol" w:hint="default"/>
      </w:rPr>
    </w:lvl>
    <w:lvl w:ilvl="7" w:tplc="1CAC6740" w:tentative="1">
      <w:start w:val="1"/>
      <w:numFmt w:val="bullet"/>
      <w:lvlText w:val="o"/>
      <w:lvlJc w:val="left"/>
      <w:pPr>
        <w:tabs>
          <w:tab w:val="num" w:pos="5760"/>
        </w:tabs>
        <w:ind w:left="5760" w:hanging="360"/>
      </w:pPr>
      <w:rPr>
        <w:rFonts w:ascii="Courier New" w:hAnsi="Courier New" w:cs="Courier New" w:hint="default"/>
      </w:rPr>
    </w:lvl>
    <w:lvl w:ilvl="8" w:tplc="74F0B1AA"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B05390"/>
    <w:multiLevelType w:val="hybridMultilevel"/>
    <w:tmpl w:val="E03AC6F8"/>
    <w:lvl w:ilvl="0" w:tplc="13F8873C">
      <w:start w:val="1"/>
      <w:numFmt w:val="bullet"/>
      <w:lvlText w:val=""/>
      <w:lvlJc w:val="left"/>
      <w:pPr>
        <w:ind w:left="720" w:hanging="360"/>
      </w:pPr>
      <w:rPr>
        <w:rFonts w:ascii="Symbol" w:hAnsi="Symbol" w:hint="default"/>
      </w:rPr>
    </w:lvl>
    <w:lvl w:ilvl="1" w:tplc="B27EFD9E" w:tentative="1">
      <w:start w:val="1"/>
      <w:numFmt w:val="bullet"/>
      <w:lvlText w:val="o"/>
      <w:lvlJc w:val="left"/>
      <w:pPr>
        <w:ind w:left="1440" w:hanging="360"/>
      </w:pPr>
      <w:rPr>
        <w:rFonts w:ascii="Courier New" w:hAnsi="Courier New" w:cs="Courier New" w:hint="default"/>
      </w:rPr>
    </w:lvl>
    <w:lvl w:ilvl="2" w:tplc="57E6ABAC" w:tentative="1">
      <w:start w:val="1"/>
      <w:numFmt w:val="bullet"/>
      <w:lvlText w:val=""/>
      <w:lvlJc w:val="left"/>
      <w:pPr>
        <w:ind w:left="2160" w:hanging="360"/>
      </w:pPr>
      <w:rPr>
        <w:rFonts w:ascii="Wingdings" w:hAnsi="Wingdings" w:hint="default"/>
      </w:rPr>
    </w:lvl>
    <w:lvl w:ilvl="3" w:tplc="947CD28A" w:tentative="1">
      <w:start w:val="1"/>
      <w:numFmt w:val="bullet"/>
      <w:lvlText w:val=""/>
      <w:lvlJc w:val="left"/>
      <w:pPr>
        <w:ind w:left="2880" w:hanging="360"/>
      </w:pPr>
      <w:rPr>
        <w:rFonts w:ascii="Symbol" w:hAnsi="Symbol" w:hint="default"/>
      </w:rPr>
    </w:lvl>
    <w:lvl w:ilvl="4" w:tplc="89DAFBEC" w:tentative="1">
      <w:start w:val="1"/>
      <w:numFmt w:val="bullet"/>
      <w:lvlText w:val="o"/>
      <w:lvlJc w:val="left"/>
      <w:pPr>
        <w:ind w:left="3600" w:hanging="360"/>
      </w:pPr>
      <w:rPr>
        <w:rFonts w:ascii="Courier New" w:hAnsi="Courier New" w:cs="Courier New" w:hint="default"/>
      </w:rPr>
    </w:lvl>
    <w:lvl w:ilvl="5" w:tplc="3ADC79E0" w:tentative="1">
      <w:start w:val="1"/>
      <w:numFmt w:val="bullet"/>
      <w:lvlText w:val=""/>
      <w:lvlJc w:val="left"/>
      <w:pPr>
        <w:ind w:left="4320" w:hanging="360"/>
      </w:pPr>
      <w:rPr>
        <w:rFonts w:ascii="Wingdings" w:hAnsi="Wingdings" w:hint="default"/>
      </w:rPr>
    </w:lvl>
    <w:lvl w:ilvl="6" w:tplc="1A188E6A" w:tentative="1">
      <w:start w:val="1"/>
      <w:numFmt w:val="bullet"/>
      <w:lvlText w:val=""/>
      <w:lvlJc w:val="left"/>
      <w:pPr>
        <w:ind w:left="5040" w:hanging="360"/>
      </w:pPr>
      <w:rPr>
        <w:rFonts w:ascii="Symbol" w:hAnsi="Symbol" w:hint="default"/>
      </w:rPr>
    </w:lvl>
    <w:lvl w:ilvl="7" w:tplc="19460BE0" w:tentative="1">
      <w:start w:val="1"/>
      <w:numFmt w:val="bullet"/>
      <w:lvlText w:val="o"/>
      <w:lvlJc w:val="left"/>
      <w:pPr>
        <w:ind w:left="5760" w:hanging="360"/>
      </w:pPr>
      <w:rPr>
        <w:rFonts w:ascii="Courier New" w:hAnsi="Courier New" w:cs="Courier New" w:hint="default"/>
      </w:rPr>
    </w:lvl>
    <w:lvl w:ilvl="8" w:tplc="10087C66" w:tentative="1">
      <w:start w:val="1"/>
      <w:numFmt w:val="bullet"/>
      <w:lvlText w:val=""/>
      <w:lvlJc w:val="left"/>
      <w:pPr>
        <w:ind w:left="6480" w:hanging="360"/>
      </w:pPr>
      <w:rPr>
        <w:rFonts w:ascii="Wingdings" w:hAnsi="Wingdings" w:hint="default"/>
      </w:rPr>
    </w:lvl>
  </w:abstractNum>
  <w:abstractNum w:abstractNumId="52" w15:restartNumberingAfterBreak="0">
    <w:nsid w:val="734D15E9"/>
    <w:multiLevelType w:val="hybridMultilevel"/>
    <w:tmpl w:val="7A28BE78"/>
    <w:lvl w:ilvl="0" w:tplc="DE5880DA">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abstractNum w:abstractNumId="53" w15:restartNumberingAfterBreak="0">
    <w:nsid w:val="79906221"/>
    <w:multiLevelType w:val="hybridMultilevel"/>
    <w:tmpl w:val="686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0840E6"/>
    <w:multiLevelType w:val="hybridMultilevel"/>
    <w:tmpl w:val="17708736"/>
    <w:lvl w:ilvl="0" w:tplc="16ECA7B2">
      <w:start w:val="1"/>
      <w:numFmt w:val="bullet"/>
      <w:lvlText w:val=""/>
      <w:lvlJc w:val="left"/>
      <w:pPr>
        <w:ind w:left="567" w:hanging="567"/>
      </w:pPr>
      <w:rPr>
        <w:rFonts w:ascii="Symbol" w:hAnsi="Symbol" w:hint="default"/>
      </w:rPr>
    </w:lvl>
    <w:lvl w:ilvl="1" w:tplc="F036C6E8" w:tentative="1">
      <w:start w:val="1"/>
      <w:numFmt w:val="bullet"/>
      <w:lvlText w:val="o"/>
      <w:lvlJc w:val="left"/>
      <w:pPr>
        <w:ind w:left="1440" w:hanging="360"/>
      </w:pPr>
      <w:rPr>
        <w:rFonts w:ascii="Courier New" w:hAnsi="Courier New" w:cs="Courier New" w:hint="default"/>
      </w:rPr>
    </w:lvl>
    <w:lvl w:ilvl="2" w:tplc="2E4C9F90" w:tentative="1">
      <w:start w:val="1"/>
      <w:numFmt w:val="bullet"/>
      <w:lvlText w:val=""/>
      <w:lvlJc w:val="left"/>
      <w:pPr>
        <w:ind w:left="2160" w:hanging="360"/>
      </w:pPr>
      <w:rPr>
        <w:rFonts w:ascii="Wingdings" w:hAnsi="Wingdings" w:hint="default"/>
      </w:rPr>
    </w:lvl>
    <w:lvl w:ilvl="3" w:tplc="E47029A2" w:tentative="1">
      <w:start w:val="1"/>
      <w:numFmt w:val="bullet"/>
      <w:lvlText w:val=""/>
      <w:lvlJc w:val="left"/>
      <w:pPr>
        <w:ind w:left="2880" w:hanging="360"/>
      </w:pPr>
      <w:rPr>
        <w:rFonts w:ascii="Symbol" w:hAnsi="Symbol" w:hint="default"/>
      </w:rPr>
    </w:lvl>
    <w:lvl w:ilvl="4" w:tplc="9F20FA40" w:tentative="1">
      <w:start w:val="1"/>
      <w:numFmt w:val="bullet"/>
      <w:lvlText w:val="o"/>
      <w:lvlJc w:val="left"/>
      <w:pPr>
        <w:ind w:left="3600" w:hanging="360"/>
      </w:pPr>
      <w:rPr>
        <w:rFonts w:ascii="Courier New" w:hAnsi="Courier New" w:cs="Courier New" w:hint="default"/>
      </w:rPr>
    </w:lvl>
    <w:lvl w:ilvl="5" w:tplc="1B48EE68" w:tentative="1">
      <w:start w:val="1"/>
      <w:numFmt w:val="bullet"/>
      <w:lvlText w:val=""/>
      <w:lvlJc w:val="left"/>
      <w:pPr>
        <w:ind w:left="4320" w:hanging="360"/>
      </w:pPr>
      <w:rPr>
        <w:rFonts w:ascii="Wingdings" w:hAnsi="Wingdings" w:hint="default"/>
      </w:rPr>
    </w:lvl>
    <w:lvl w:ilvl="6" w:tplc="8AA8F304" w:tentative="1">
      <w:start w:val="1"/>
      <w:numFmt w:val="bullet"/>
      <w:lvlText w:val=""/>
      <w:lvlJc w:val="left"/>
      <w:pPr>
        <w:ind w:left="5040" w:hanging="360"/>
      </w:pPr>
      <w:rPr>
        <w:rFonts w:ascii="Symbol" w:hAnsi="Symbol" w:hint="default"/>
      </w:rPr>
    </w:lvl>
    <w:lvl w:ilvl="7" w:tplc="6C709F08" w:tentative="1">
      <w:start w:val="1"/>
      <w:numFmt w:val="bullet"/>
      <w:lvlText w:val="o"/>
      <w:lvlJc w:val="left"/>
      <w:pPr>
        <w:ind w:left="5760" w:hanging="360"/>
      </w:pPr>
      <w:rPr>
        <w:rFonts w:ascii="Courier New" w:hAnsi="Courier New" w:cs="Courier New" w:hint="default"/>
      </w:rPr>
    </w:lvl>
    <w:lvl w:ilvl="8" w:tplc="6E764438"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3"/>
  </w:num>
  <w:num w:numId="4">
    <w:abstractNumId w:val="42"/>
  </w:num>
  <w:num w:numId="5">
    <w:abstractNumId w:val="17"/>
  </w:num>
  <w:num w:numId="6">
    <w:abstractNumId w:val="49"/>
  </w:num>
  <w:num w:numId="7">
    <w:abstractNumId w:val="51"/>
  </w:num>
  <w:num w:numId="8">
    <w:abstractNumId w:val="34"/>
  </w:num>
  <w:num w:numId="9">
    <w:abstractNumId w:val="30"/>
  </w:num>
  <w:num w:numId="10">
    <w:abstractNumId w:val="45"/>
  </w:num>
  <w:num w:numId="11">
    <w:abstractNumId w:val="41"/>
  </w:num>
  <w:num w:numId="12">
    <w:abstractNumId w:val="2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50"/>
  </w:num>
  <w:num w:numId="24">
    <w:abstractNumId w:val="52"/>
  </w:num>
  <w:num w:numId="25">
    <w:abstractNumId w:val="31"/>
  </w:num>
  <w:num w:numId="26">
    <w:abstractNumId w:val="24"/>
  </w:num>
  <w:num w:numId="27">
    <w:abstractNumId w:val="25"/>
  </w:num>
  <w:num w:numId="28">
    <w:abstractNumId w:val="48"/>
  </w:num>
  <w:num w:numId="29">
    <w:abstractNumId w:val="10"/>
  </w:num>
  <w:num w:numId="30">
    <w:abstractNumId w:val="22"/>
  </w:num>
  <w:num w:numId="31">
    <w:abstractNumId w:val="37"/>
  </w:num>
  <w:num w:numId="32">
    <w:abstractNumId w:val="32"/>
  </w:num>
  <w:num w:numId="33">
    <w:abstractNumId w:val="53"/>
  </w:num>
  <w:num w:numId="34">
    <w:abstractNumId w:val="20"/>
  </w:num>
  <w:num w:numId="35">
    <w:abstractNumId w:val="36"/>
  </w:num>
  <w:num w:numId="36">
    <w:abstractNumId w:val="46"/>
  </w:num>
  <w:num w:numId="37">
    <w:abstractNumId w:val="47"/>
  </w:num>
  <w:num w:numId="38">
    <w:abstractNumId w:val="9"/>
  </w:num>
  <w:num w:numId="39">
    <w:abstractNumId w:val="18"/>
  </w:num>
  <w:num w:numId="40">
    <w:abstractNumId w:val="54"/>
  </w:num>
  <w:num w:numId="41">
    <w:abstractNumId w:val="14"/>
  </w:num>
  <w:num w:numId="42">
    <w:abstractNumId w:val="38"/>
  </w:num>
  <w:num w:numId="43">
    <w:abstractNumId w:val="16"/>
  </w:num>
  <w:num w:numId="44">
    <w:abstractNumId w:val="35"/>
  </w:num>
  <w:num w:numId="45">
    <w:abstractNumId w:val="39"/>
  </w:num>
  <w:num w:numId="46">
    <w:abstractNumId w:val="13"/>
  </w:num>
  <w:num w:numId="47">
    <w:abstractNumId w:val="44"/>
  </w:num>
  <w:num w:numId="48">
    <w:abstractNumId w:val="33"/>
  </w:num>
  <w:num w:numId="49">
    <w:abstractNumId w:val="27"/>
  </w:num>
  <w:num w:numId="50">
    <w:abstractNumId w:val="19"/>
  </w:num>
  <w:num w:numId="51">
    <w:abstractNumId w:val="21"/>
  </w:num>
  <w:num w:numId="52">
    <w:abstractNumId w:val="12"/>
  </w:num>
  <w:num w:numId="53">
    <w:abstractNumId w:val="40"/>
  </w:num>
  <w:num w:numId="54">
    <w:abstractNumId w:val="43"/>
  </w:num>
  <w:num w:numId="55">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318"/>
    <w:rsid w:val="00000819"/>
    <w:rsid w:val="0000083E"/>
    <w:rsid w:val="00000D62"/>
    <w:rsid w:val="00000F0C"/>
    <w:rsid w:val="00001159"/>
    <w:rsid w:val="000011D4"/>
    <w:rsid w:val="00001587"/>
    <w:rsid w:val="000018BD"/>
    <w:rsid w:val="000018FF"/>
    <w:rsid w:val="00001C18"/>
    <w:rsid w:val="00001D88"/>
    <w:rsid w:val="000023BD"/>
    <w:rsid w:val="00002B21"/>
    <w:rsid w:val="00002B4C"/>
    <w:rsid w:val="0000362A"/>
    <w:rsid w:val="000047A9"/>
    <w:rsid w:val="00004D73"/>
    <w:rsid w:val="000054FC"/>
    <w:rsid w:val="00005701"/>
    <w:rsid w:val="000060E0"/>
    <w:rsid w:val="0000676C"/>
    <w:rsid w:val="00006A14"/>
    <w:rsid w:val="00006F3F"/>
    <w:rsid w:val="00006F6F"/>
    <w:rsid w:val="000072EF"/>
    <w:rsid w:val="00007528"/>
    <w:rsid w:val="00007597"/>
    <w:rsid w:val="00007635"/>
    <w:rsid w:val="00007BA4"/>
    <w:rsid w:val="00007F89"/>
    <w:rsid w:val="000102C3"/>
    <w:rsid w:val="00010EDD"/>
    <w:rsid w:val="00010F75"/>
    <w:rsid w:val="000113D5"/>
    <w:rsid w:val="000113FC"/>
    <w:rsid w:val="0001164F"/>
    <w:rsid w:val="00012342"/>
    <w:rsid w:val="00012CDE"/>
    <w:rsid w:val="00013036"/>
    <w:rsid w:val="0001370D"/>
    <w:rsid w:val="00013978"/>
    <w:rsid w:val="00013B9B"/>
    <w:rsid w:val="00013E97"/>
    <w:rsid w:val="00014761"/>
    <w:rsid w:val="00014869"/>
    <w:rsid w:val="000150D3"/>
    <w:rsid w:val="000166C1"/>
    <w:rsid w:val="000168D7"/>
    <w:rsid w:val="000171D5"/>
    <w:rsid w:val="0001729C"/>
    <w:rsid w:val="000176CC"/>
    <w:rsid w:val="00017FA2"/>
    <w:rsid w:val="0002006B"/>
    <w:rsid w:val="00020AE8"/>
    <w:rsid w:val="00020E6E"/>
    <w:rsid w:val="00021A49"/>
    <w:rsid w:val="00021C83"/>
    <w:rsid w:val="0002225B"/>
    <w:rsid w:val="00022367"/>
    <w:rsid w:val="00022961"/>
    <w:rsid w:val="00023246"/>
    <w:rsid w:val="0002344B"/>
    <w:rsid w:val="0002361A"/>
    <w:rsid w:val="00023A2C"/>
    <w:rsid w:val="00023D41"/>
    <w:rsid w:val="00023D68"/>
    <w:rsid w:val="000245B8"/>
    <w:rsid w:val="0002576F"/>
    <w:rsid w:val="0002579B"/>
    <w:rsid w:val="00025C75"/>
    <w:rsid w:val="00025EBE"/>
    <w:rsid w:val="00026BF2"/>
    <w:rsid w:val="00026F93"/>
    <w:rsid w:val="000271F6"/>
    <w:rsid w:val="00027549"/>
    <w:rsid w:val="000276D4"/>
    <w:rsid w:val="00027FB0"/>
    <w:rsid w:val="00030445"/>
    <w:rsid w:val="00030C8B"/>
    <w:rsid w:val="00030D18"/>
    <w:rsid w:val="00030F1D"/>
    <w:rsid w:val="0003164E"/>
    <w:rsid w:val="000318C7"/>
    <w:rsid w:val="00031997"/>
    <w:rsid w:val="000319C0"/>
    <w:rsid w:val="00032023"/>
    <w:rsid w:val="0003240A"/>
    <w:rsid w:val="00032475"/>
    <w:rsid w:val="000328A9"/>
    <w:rsid w:val="00032A47"/>
    <w:rsid w:val="00033D26"/>
    <w:rsid w:val="00033F73"/>
    <w:rsid w:val="00033FDB"/>
    <w:rsid w:val="00034333"/>
    <w:rsid w:val="00034441"/>
    <w:rsid w:val="000344DA"/>
    <w:rsid w:val="000344E2"/>
    <w:rsid w:val="000344F6"/>
    <w:rsid w:val="00034525"/>
    <w:rsid w:val="00034651"/>
    <w:rsid w:val="000352BB"/>
    <w:rsid w:val="00035844"/>
    <w:rsid w:val="00035B6E"/>
    <w:rsid w:val="00035B78"/>
    <w:rsid w:val="00035CC1"/>
    <w:rsid w:val="00035F9C"/>
    <w:rsid w:val="00036165"/>
    <w:rsid w:val="00036345"/>
    <w:rsid w:val="00036A70"/>
    <w:rsid w:val="00036CB1"/>
    <w:rsid w:val="00037B8C"/>
    <w:rsid w:val="00037E28"/>
    <w:rsid w:val="00040613"/>
    <w:rsid w:val="0004083E"/>
    <w:rsid w:val="00040985"/>
    <w:rsid w:val="000409F5"/>
    <w:rsid w:val="00040E58"/>
    <w:rsid w:val="00040FA6"/>
    <w:rsid w:val="0004127D"/>
    <w:rsid w:val="00041BE6"/>
    <w:rsid w:val="00042069"/>
    <w:rsid w:val="00042263"/>
    <w:rsid w:val="0004327C"/>
    <w:rsid w:val="00043327"/>
    <w:rsid w:val="000434D6"/>
    <w:rsid w:val="00043505"/>
    <w:rsid w:val="00043C70"/>
    <w:rsid w:val="00043C9F"/>
    <w:rsid w:val="00044042"/>
    <w:rsid w:val="00044F57"/>
    <w:rsid w:val="0004528B"/>
    <w:rsid w:val="0004541F"/>
    <w:rsid w:val="0004574E"/>
    <w:rsid w:val="00045C51"/>
    <w:rsid w:val="00046020"/>
    <w:rsid w:val="0004660A"/>
    <w:rsid w:val="00046749"/>
    <w:rsid w:val="000474D2"/>
    <w:rsid w:val="000479C5"/>
    <w:rsid w:val="000502D4"/>
    <w:rsid w:val="00050921"/>
    <w:rsid w:val="00050DFD"/>
    <w:rsid w:val="0005199D"/>
    <w:rsid w:val="00051F90"/>
    <w:rsid w:val="000524B8"/>
    <w:rsid w:val="00052629"/>
    <w:rsid w:val="00053809"/>
    <w:rsid w:val="00053914"/>
    <w:rsid w:val="000539FA"/>
    <w:rsid w:val="00053A5B"/>
    <w:rsid w:val="000543D1"/>
    <w:rsid w:val="00054756"/>
    <w:rsid w:val="0005482F"/>
    <w:rsid w:val="000548C4"/>
    <w:rsid w:val="00055057"/>
    <w:rsid w:val="0005577E"/>
    <w:rsid w:val="000559C4"/>
    <w:rsid w:val="00055BB5"/>
    <w:rsid w:val="000560C5"/>
    <w:rsid w:val="000560E3"/>
    <w:rsid w:val="0005632D"/>
    <w:rsid w:val="0005650A"/>
    <w:rsid w:val="000569AF"/>
    <w:rsid w:val="00056C49"/>
    <w:rsid w:val="00056FE0"/>
    <w:rsid w:val="000572CC"/>
    <w:rsid w:val="00057A1B"/>
    <w:rsid w:val="000602AE"/>
    <w:rsid w:val="000603C8"/>
    <w:rsid w:val="000608A4"/>
    <w:rsid w:val="00060AA1"/>
    <w:rsid w:val="00060B64"/>
    <w:rsid w:val="00060B91"/>
    <w:rsid w:val="000614F1"/>
    <w:rsid w:val="000619EB"/>
    <w:rsid w:val="00061F77"/>
    <w:rsid w:val="000622D8"/>
    <w:rsid w:val="0006235E"/>
    <w:rsid w:val="000623E4"/>
    <w:rsid w:val="0006252E"/>
    <w:rsid w:val="00062558"/>
    <w:rsid w:val="00062C49"/>
    <w:rsid w:val="00062E94"/>
    <w:rsid w:val="000631FD"/>
    <w:rsid w:val="00063685"/>
    <w:rsid w:val="00063AFE"/>
    <w:rsid w:val="000643D3"/>
    <w:rsid w:val="00064DD5"/>
    <w:rsid w:val="00065720"/>
    <w:rsid w:val="00065CFF"/>
    <w:rsid w:val="00065D72"/>
    <w:rsid w:val="00066164"/>
    <w:rsid w:val="00066465"/>
    <w:rsid w:val="000664E7"/>
    <w:rsid w:val="000666CB"/>
    <w:rsid w:val="000669F5"/>
    <w:rsid w:val="00066B52"/>
    <w:rsid w:val="00066C5C"/>
    <w:rsid w:val="000674DD"/>
    <w:rsid w:val="00067B16"/>
    <w:rsid w:val="00070183"/>
    <w:rsid w:val="00070851"/>
    <w:rsid w:val="000710C7"/>
    <w:rsid w:val="0007183A"/>
    <w:rsid w:val="00071D8F"/>
    <w:rsid w:val="00071F8A"/>
    <w:rsid w:val="0007226E"/>
    <w:rsid w:val="00072768"/>
    <w:rsid w:val="00072F7C"/>
    <w:rsid w:val="00073337"/>
    <w:rsid w:val="0007337D"/>
    <w:rsid w:val="00073497"/>
    <w:rsid w:val="00073849"/>
    <w:rsid w:val="0007392F"/>
    <w:rsid w:val="00073E04"/>
    <w:rsid w:val="000742E2"/>
    <w:rsid w:val="00074555"/>
    <w:rsid w:val="0007459F"/>
    <w:rsid w:val="00074A1F"/>
    <w:rsid w:val="00075B25"/>
    <w:rsid w:val="00075D61"/>
    <w:rsid w:val="0007628D"/>
    <w:rsid w:val="00076AD0"/>
    <w:rsid w:val="00076D8B"/>
    <w:rsid w:val="00076DC2"/>
    <w:rsid w:val="00077181"/>
    <w:rsid w:val="00077B34"/>
    <w:rsid w:val="00080309"/>
    <w:rsid w:val="000803FB"/>
    <w:rsid w:val="0008083F"/>
    <w:rsid w:val="00081447"/>
    <w:rsid w:val="000817CD"/>
    <w:rsid w:val="00081A14"/>
    <w:rsid w:val="00081DAB"/>
    <w:rsid w:val="00082294"/>
    <w:rsid w:val="00084235"/>
    <w:rsid w:val="000846E0"/>
    <w:rsid w:val="00084A62"/>
    <w:rsid w:val="00084B0F"/>
    <w:rsid w:val="00084DA4"/>
    <w:rsid w:val="00084F6A"/>
    <w:rsid w:val="00085043"/>
    <w:rsid w:val="0008520E"/>
    <w:rsid w:val="000854C9"/>
    <w:rsid w:val="00085879"/>
    <w:rsid w:val="00085AB9"/>
    <w:rsid w:val="00085CE0"/>
    <w:rsid w:val="00086960"/>
    <w:rsid w:val="00086991"/>
    <w:rsid w:val="00086A72"/>
    <w:rsid w:val="00086D00"/>
    <w:rsid w:val="000876A3"/>
    <w:rsid w:val="0008772B"/>
    <w:rsid w:val="00087A5C"/>
    <w:rsid w:val="00087C67"/>
    <w:rsid w:val="00090604"/>
    <w:rsid w:val="000909B0"/>
    <w:rsid w:val="000909F8"/>
    <w:rsid w:val="00091416"/>
    <w:rsid w:val="00091E30"/>
    <w:rsid w:val="00092226"/>
    <w:rsid w:val="00092829"/>
    <w:rsid w:val="00092B09"/>
    <w:rsid w:val="00092DDB"/>
    <w:rsid w:val="00092E28"/>
    <w:rsid w:val="0009351E"/>
    <w:rsid w:val="00093F83"/>
    <w:rsid w:val="000942C4"/>
    <w:rsid w:val="0009479A"/>
    <w:rsid w:val="00094810"/>
    <w:rsid w:val="00094AD6"/>
    <w:rsid w:val="00094B01"/>
    <w:rsid w:val="00095440"/>
    <w:rsid w:val="000957EE"/>
    <w:rsid w:val="00095A79"/>
    <w:rsid w:val="00095D61"/>
    <w:rsid w:val="00095E44"/>
    <w:rsid w:val="00096340"/>
    <w:rsid w:val="000965D1"/>
    <w:rsid w:val="0009689B"/>
    <w:rsid w:val="000968E5"/>
    <w:rsid w:val="000968EB"/>
    <w:rsid w:val="00096A30"/>
    <w:rsid w:val="00096AF4"/>
    <w:rsid w:val="00096D8D"/>
    <w:rsid w:val="00097167"/>
    <w:rsid w:val="00097504"/>
    <w:rsid w:val="0009755A"/>
    <w:rsid w:val="000A033B"/>
    <w:rsid w:val="000A04A5"/>
    <w:rsid w:val="000A0760"/>
    <w:rsid w:val="000A1232"/>
    <w:rsid w:val="000A12D2"/>
    <w:rsid w:val="000A1697"/>
    <w:rsid w:val="000A2742"/>
    <w:rsid w:val="000A2A27"/>
    <w:rsid w:val="000A2DF3"/>
    <w:rsid w:val="000A33D3"/>
    <w:rsid w:val="000A3424"/>
    <w:rsid w:val="000A3AC2"/>
    <w:rsid w:val="000A3BD1"/>
    <w:rsid w:val="000A3D0E"/>
    <w:rsid w:val="000A408F"/>
    <w:rsid w:val="000A40D0"/>
    <w:rsid w:val="000A4FBF"/>
    <w:rsid w:val="000A572B"/>
    <w:rsid w:val="000A5963"/>
    <w:rsid w:val="000A5A1E"/>
    <w:rsid w:val="000A5B93"/>
    <w:rsid w:val="000A6B12"/>
    <w:rsid w:val="000A6F9C"/>
    <w:rsid w:val="000A7359"/>
    <w:rsid w:val="000A7F1B"/>
    <w:rsid w:val="000B0097"/>
    <w:rsid w:val="000B035F"/>
    <w:rsid w:val="000B0422"/>
    <w:rsid w:val="000B101F"/>
    <w:rsid w:val="000B1867"/>
    <w:rsid w:val="000B1F4B"/>
    <w:rsid w:val="000B21BD"/>
    <w:rsid w:val="000B2F27"/>
    <w:rsid w:val="000B2F58"/>
    <w:rsid w:val="000B3121"/>
    <w:rsid w:val="000B37A8"/>
    <w:rsid w:val="000B3961"/>
    <w:rsid w:val="000B3BD0"/>
    <w:rsid w:val="000B44A2"/>
    <w:rsid w:val="000B4BF3"/>
    <w:rsid w:val="000B4EBA"/>
    <w:rsid w:val="000B51D9"/>
    <w:rsid w:val="000B541A"/>
    <w:rsid w:val="000B567D"/>
    <w:rsid w:val="000B5954"/>
    <w:rsid w:val="000B5BA7"/>
    <w:rsid w:val="000B5F30"/>
    <w:rsid w:val="000B67E3"/>
    <w:rsid w:val="000B74AB"/>
    <w:rsid w:val="000B7E72"/>
    <w:rsid w:val="000C03FB"/>
    <w:rsid w:val="000C06D0"/>
    <w:rsid w:val="000C0D7D"/>
    <w:rsid w:val="000C16C4"/>
    <w:rsid w:val="000C1B71"/>
    <w:rsid w:val="000C1D04"/>
    <w:rsid w:val="000C2234"/>
    <w:rsid w:val="000C23D0"/>
    <w:rsid w:val="000C2741"/>
    <w:rsid w:val="000C293E"/>
    <w:rsid w:val="000C2BBB"/>
    <w:rsid w:val="000C2C67"/>
    <w:rsid w:val="000C308F"/>
    <w:rsid w:val="000C3304"/>
    <w:rsid w:val="000C3384"/>
    <w:rsid w:val="000C39B0"/>
    <w:rsid w:val="000C3D9D"/>
    <w:rsid w:val="000C4869"/>
    <w:rsid w:val="000C502B"/>
    <w:rsid w:val="000C5532"/>
    <w:rsid w:val="000C5836"/>
    <w:rsid w:val="000C5A4E"/>
    <w:rsid w:val="000C635D"/>
    <w:rsid w:val="000C694E"/>
    <w:rsid w:val="000C6A61"/>
    <w:rsid w:val="000C6F56"/>
    <w:rsid w:val="000C7944"/>
    <w:rsid w:val="000C7F49"/>
    <w:rsid w:val="000D0536"/>
    <w:rsid w:val="000D091B"/>
    <w:rsid w:val="000D0A36"/>
    <w:rsid w:val="000D0AB6"/>
    <w:rsid w:val="000D0C99"/>
    <w:rsid w:val="000D0D71"/>
    <w:rsid w:val="000D15BA"/>
    <w:rsid w:val="000D1AEE"/>
    <w:rsid w:val="000D1D9B"/>
    <w:rsid w:val="000D1F4F"/>
    <w:rsid w:val="000D2223"/>
    <w:rsid w:val="000D22B2"/>
    <w:rsid w:val="000D2957"/>
    <w:rsid w:val="000D2E21"/>
    <w:rsid w:val="000D334B"/>
    <w:rsid w:val="000D4B5C"/>
    <w:rsid w:val="000D4D07"/>
    <w:rsid w:val="000D4E1A"/>
    <w:rsid w:val="000D5006"/>
    <w:rsid w:val="000D5AD4"/>
    <w:rsid w:val="000D5BFC"/>
    <w:rsid w:val="000D742C"/>
    <w:rsid w:val="000D7535"/>
    <w:rsid w:val="000D759E"/>
    <w:rsid w:val="000E050A"/>
    <w:rsid w:val="000E0951"/>
    <w:rsid w:val="000E09B3"/>
    <w:rsid w:val="000E0A53"/>
    <w:rsid w:val="000E0F83"/>
    <w:rsid w:val="000E1099"/>
    <w:rsid w:val="000E165D"/>
    <w:rsid w:val="000E1693"/>
    <w:rsid w:val="000E1BAF"/>
    <w:rsid w:val="000E1CA5"/>
    <w:rsid w:val="000E223E"/>
    <w:rsid w:val="000E23D9"/>
    <w:rsid w:val="000E2491"/>
    <w:rsid w:val="000E25EC"/>
    <w:rsid w:val="000E2A60"/>
    <w:rsid w:val="000E2EA9"/>
    <w:rsid w:val="000E3776"/>
    <w:rsid w:val="000E3AD7"/>
    <w:rsid w:val="000E3B5F"/>
    <w:rsid w:val="000E431B"/>
    <w:rsid w:val="000E46A3"/>
    <w:rsid w:val="000E47A6"/>
    <w:rsid w:val="000E488B"/>
    <w:rsid w:val="000E4D02"/>
    <w:rsid w:val="000E4E88"/>
    <w:rsid w:val="000E5308"/>
    <w:rsid w:val="000E5726"/>
    <w:rsid w:val="000E625E"/>
    <w:rsid w:val="000E672F"/>
    <w:rsid w:val="000E674F"/>
    <w:rsid w:val="000E6A15"/>
    <w:rsid w:val="000E6C75"/>
    <w:rsid w:val="000E6C94"/>
    <w:rsid w:val="000E6D72"/>
    <w:rsid w:val="000E739D"/>
    <w:rsid w:val="000E7496"/>
    <w:rsid w:val="000E76F0"/>
    <w:rsid w:val="000E7C02"/>
    <w:rsid w:val="000E7C4F"/>
    <w:rsid w:val="000F082F"/>
    <w:rsid w:val="000F084B"/>
    <w:rsid w:val="000F0F47"/>
    <w:rsid w:val="000F1526"/>
    <w:rsid w:val="000F1B0B"/>
    <w:rsid w:val="000F1BB2"/>
    <w:rsid w:val="000F217A"/>
    <w:rsid w:val="000F2A95"/>
    <w:rsid w:val="000F374C"/>
    <w:rsid w:val="000F388D"/>
    <w:rsid w:val="000F3B5E"/>
    <w:rsid w:val="000F3C49"/>
    <w:rsid w:val="000F3F94"/>
    <w:rsid w:val="000F4010"/>
    <w:rsid w:val="000F40AC"/>
    <w:rsid w:val="000F4294"/>
    <w:rsid w:val="000F444E"/>
    <w:rsid w:val="000F44F8"/>
    <w:rsid w:val="000F47AC"/>
    <w:rsid w:val="000F5592"/>
    <w:rsid w:val="000F57F3"/>
    <w:rsid w:val="000F5A61"/>
    <w:rsid w:val="000F5B21"/>
    <w:rsid w:val="000F5E9C"/>
    <w:rsid w:val="000F7138"/>
    <w:rsid w:val="000F737F"/>
    <w:rsid w:val="000F7A06"/>
    <w:rsid w:val="0010048B"/>
    <w:rsid w:val="00100CBA"/>
    <w:rsid w:val="00100E43"/>
    <w:rsid w:val="001015AD"/>
    <w:rsid w:val="001015CE"/>
    <w:rsid w:val="00101820"/>
    <w:rsid w:val="00101A47"/>
    <w:rsid w:val="00102585"/>
    <w:rsid w:val="001028CE"/>
    <w:rsid w:val="00103501"/>
    <w:rsid w:val="00103B2D"/>
    <w:rsid w:val="00103CD2"/>
    <w:rsid w:val="00103E32"/>
    <w:rsid w:val="00104061"/>
    <w:rsid w:val="00104167"/>
    <w:rsid w:val="00104364"/>
    <w:rsid w:val="0010469C"/>
    <w:rsid w:val="00104E7B"/>
    <w:rsid w:val="00104ECC"/>
    <w:rsid w:val="001055CD"/>
    <w:rsid w:val="00106B31"/>
    <w:rsid w:val="00107035"/>
    <w:rsid w:val="00107236"/>
    <w:rsid w:val="001079CF"/>
    <w:rsid w:val="00107EF8"/>
    <w:rsid w:val="0011006A"/>
    <w:rsid w:val="001101A2"/>
    <w:rsid w:val="001106F7"/>
    <w:rsid w:val="001108A9"/>
    <w:rsid w:val="00111449"/>
    <w:rsid w:val="00111CB2"/>
    <w:rsid w:val="00112127"/>
    <w:rsid w:val="00112626"/>
    <w:rsid w:val="0011275E"/>
    <w:rsid w:val="00112BC2"/>
    <w:rsid w:val="00112EDA"/>
    <w:rsid w:val="00113BBD"/>
    <w:rsid w:val="00114174"/>
    <w:rsid w:val="00115098"/>
    <w:rsid w:val="00115DCE"/>
    <w:rsid w:val="00116605"/>
    <w:rsid w:val="00116CFC"/>
    <w:rsid w:val="001175A1"/>
    <w:rsid w:val="00117C1D"/>
    <w:rsid w:val="00117D36"/>
    <w:rsid w:val="001207A4"/>
    <w:rsid w:val="00120A13"/>
    <w:rsid w:val="001219B4"/>
    <w:rsid w:val="0012202E"/>
    <w:rsid w:val="001227CA"/>
    <w:rsid w:val="00122B0F"/>
    <w:rsid w:val="0012317D"/>
    <w:rsid w:val="001233E3"/>
    <w:rsid w:val="00123441"/>
    <w:rsid w:val="00123688"/>
    <w:rsid w:val="0012368A"/>
    <w:rsid w:val="00123814"/>
    <w:rsid w:val="00123CB1"/>
    <w:rsid w:val="00123D0B"/>
    <w:rsid w:val="00124167"/>
    <w:rsid w:val="001243EA"/>
    <w:rsid w:val="00124BE3"/>
    <w:rsid w:val="0012586A"/>
    <w:rsid w:val="00126260"/>
    <w:rsid w:val="0012660A"/>
    <w:rsid w:val="00126D19"/>
    <w:rsid w:val="001276ED"/>
    <w:rsid w:val="00127AC6"/>
    <w:rsid w:val="00127F47"/>
    <w:rsid w:val="001300C6"/>
    <w:rsid w:val="001308A4"/>
    <w:rsid w:val="001309E6"/>
    <w:rsid w:val="00130E7E"/>
    <w:rsid w:val="001314F3"/>
    <w:rsid w:val="00131666"/>
    <w:rsid w:val="001316C4"/>
    <w:rsid w:val="00131757"/>
    <w:rsid w:val="00131ADE"/>
    <w:rsid w:val="00131BB6"/>
    <w:rsid w:val="00131DD2"/>
    <w:rsid w:val="00132069"/>
    <w:rsid w:val="00132358"/>
    <w:rsid w:val="00132AEB"/>
    <w:rsid w:val="00133572"/>
    <w:rsid w:val="00133797"/>
    <w:rsid w:val="001339D1"/>
    <w:rsid w:val="001339D9"/>
    <w:rsid w:val="00133D2D"/>
    <w:rsid w:val="00133D82"/>
    <w:rsid w:val="00134377"/>
    <w:rsid w:val="001348C1"/>
    <w:rsid w:val="001349F2"/>
    <w:rsid w:val="00134BF1"/>
    <w:rsid w:val="00134CC8"/>
    <w:rsid w:val="00134CE0"/>
    <w:rsid w:val="001351DC"/>
    <w:rsid w:val="00135384"/>
    <w:rsid w:val="0013584F"/>
    <w:rsid w:val="00135FBC"/>
    <w:rsid w:val="00135FDA"/>
    <w:rsid w:val="001364E7"/>
    <w:rsid w:val="001364FB"/>
    <w:rsid w:val="001365F2"/>
    <w:rsid w:val="00136A9C"/>
    <w:rsid w:val="00136BD5"/>
    <w:rsid w:val="00136D7A"/>
    <w:rsid w:val="00136EDE"/>
    <w:rsid w:val="00137560"/>
    <w:rsid w:val="00140027"/>
    <w:rsid w:val="001412D6"/>
    <w:rsid w:val="001412F8"/>
    <w:rsid w:val="00141470"/>
    <w:rsid w:val="00141540"/>
    <w:rsid w:val="001418C9"/>
    <w:rsid w:val="001424B8"/>
    <w:rsid w:val="0014330E"/>
    <w:rsid w:val="0014479A"/>
    <w:rsid w:val="00144807"/>
    <w:rsid w:val="001448CC"/>
    <w:rsid w:val="001449DF"/>
    <w:rsid w:val="00144C74"/>
    <w:rsid w:val="0014569B"/>
    <w:rsid w:val="001461A2"/>
    <w:rsid w:val="0014696A"/>
    <w:rsid w:val="001470E0"/>
    <w:rsid w:val="00147641"/>
    <w:rsid w:val="00147FE4"/>
    <w:rsid w:val="00150060"/>
    <w:rsid w:val="00150141"/>
    <w:rsid w:val="00150649"/>
    <w:rsid w:val="00150D36"/>
    <w:rsid w:val="00151481"/>
    <w:rsid w:val="001522AE"/>
    <w:rsid w:val="001524D4"/>
    <w:rsid w:val="0015272A"/>
    <w:rsid w:val="00152B04"/>
    <w:rsid w:val="00152C84"/>
    <w:rsid w:val="0015349F"/>
    <w:rsid w:val="001535F7"/>
    <w:rsid w:val="00154B13"/>
    <w:rsid w:val="00154C69"/>
    <w:rsid w:val="001555EA"/>
    <w:rsid w:val="001556FB"/>
    <w:rsid w:val="001557FD"/>
    <w:rsid w:val="001560BA"/>
    <w:rsid w:val="00156765"/>
    <w:rsid w:val="0015704C"/>
    <w:rsid w:val="00157222"/>
    <w:rsid w:val="001575E4"/>
    <w:rsid w:val="00157885"/>
    <w:rsid w:val="00157895"/>
    <w:rsid w:val="00157A5E"/>
    <w:rsid w:val="00157AAC"/>
    <w:rsid w:val="00157B58"/>
    <w:rsid w:val="00157C07"/>
    <w:rsid w:val="00157C78"/>
    <w:rsid w:val="00157D8F"/>
    <w:rsid w:val="001604BA"/>
    <w:rsid w:val="00160AB2"/>
    <w:rsid w:val="00161701"/>
    <w:rsid w:val="00161A05"/>
    <w:rsid w:val="00161C66"/>
    <w:rsid w:val="00161E87"/>
    <w:rsid w:val="00161FEE"/>
    <w:rsid w:val="00162129"/>
    <w:rsid w:val="001624EF"/>
    <w:rsid w:val="001627A0"/>
    <w:rsid w:val="00162A91"/>
    <w:rsid w:val="00163F3C"/>
    <w:rsid w:val="00163F57"/>
    <w:rsid w:val="00165622"/>
    <w:rsid w:val="0016566C"/>
    <w:rsid w:val="0016594B"/>
    <w:rsid w:val="001659FE"/>
    <w:rsid w:val="00165DDA"/>
    <w:rsid w:val="00166CFC"/>
    <w:rsid w:val="00166E4C"/>
    <w:rsid w:val="0016714F"/>
    <w:rsid w:val="00167782"/>
    <w:rsid w:val="00167A2B"/>
    <w:rsid w:val="00170632"/>
    <w:rsid w:val="00170CFC"/>
    <w:rsid w:val="00170DD9"/>
    <w:rsid w:val="00171DCB"/>
    <w:rsid w:val="00172189"/>
    <w:rsid w:val="0017237F"/>
    <w:rsid w:val="001723E1"/>
    <w:rsid w:val="001727F0"/>
    <w:rsid w:val="00172B06"/>
    <w:rsid w:val="00172E41"/>
    <w:rsid w:val="0017347E"/>
    <w:rsid w:val="001736A8"/>
    <w:rsid w:val="00173C70"/>
    <w:rsid w:val="00174022"/>
    <w:rsid w:val="00174566"/>
    <w:rsid w:val="001752D8"/>
    <w:rsid w:val="001758B6"/>
    <w:rsid w:val="00175931"/>
    <w:rsid w:val="00175C12"/>
    <w:rsid w:val="00175FD9"/>
    <w:rsid w:val="001760F3"/>
    <w:rsid w:val="00176597"/>
    <w:rsid w:val="00176799"/>
    <w:rsid w:val="001768F6"/>
    <w:rsid w:val="00176B25"/>
    <w:rsid w:val="00176C9D"/>
    <w:rsid w:val="001773D1"/>
    <w:rsid w:val="00177585"/>
    <w:rsid w:val="0018042C"/>
    <w:rsid w:val="00180FAB"/>
    <w:rsid w:val="00181042"/>
    <w:rsid w:val="00181266"/>
    <w:rsid w:val="001813E6"/>
    <w:rsid w:val="00181612"/>
    <w:rsid w:val="001819D3"/>
    <w:rsid w:val="00181BCA"/>
    <w:rsid w:val="00181F44"/>
    <w:rsid w:val="0018238B"/>
    <w:rsid w:val="00182F95"/>
    <w:rsid w:val="00183419"/>
    <w:rsid w:val="0018394A"/>
    <w:rsid w:val="00183AB0"/>
    <w:rsid w:val="00183AE3"/>
    <w:rsid w:val="001846E6"/>
    <w:rsid w:val="00184D35"/>
    <w:rsid w:val="00184DCC"/>
    <w:rsid w:val="00184DE1"/>
    <w:rsid w:val="00184E0B"/>
    <w:rsid w:val="00184EFD"/>
    <w:rsid w:val="001850C9"/>
    <w:rsid w:val="00185546"/>
    <w:rsid w:val="00185767"/>
    <w:rsid w:val="00186A9D"/>
    <w:rsid w:val="00186D51"/>
    <w:rsid w:val="001874A6"/>
    <w:rsid w:val="0018765B"/>
    <w:rsid w:val="001877A6"/>
    <w:rsid w:val="00187EF9"/>
    <w:rsid w:val="001903BC"/>
    <w:rsid w:val="00190745"/>
    <w:rsid w:val="00190913"/>
    <w:rsid w:val="00191233"/>
    <w:rsid w:val="00191AC8"/>
    <w:rsid w:val="001920D6"/>
    <w:rsid w:val="001925C7"/>
    <w:rsid w:val="00192D2F"/>
    <w:rsid w:val="00192EFC"/>
    <w:rsid w:val="00193DD3"/>
    <w:rsid w:val="001948AA"/>
    <w:rsid w:val="00194BAC"/>
    <w:rsid w:val="0019530C"/>
    <w:rsid w:val="00195BD4"/>
    <w:rsid w:val="00195F65"/>
    <w:rsid w:val="001965A5"/>
    <w:rsid w:val="001972F8"/>
    <w:rsid w:val="00197688"/>
    <w:rsid w:val="00197707"/>
    <w:rsid w:val="00197AD7"/>
    <w:rsid w:val="001A07E2"/>
    <w:rsid w:val="001A158D"/>
    <w:rsid w:val="001A1AB5"/>
    <w:rsid w:val="001A1B88"/>
    <w:rsid w:val="001A2018"/>
    <w:rsid w:val="001A2599"/>
    <w:rsid w:val="001A30A9"/>
    <w:rsid w:val="001A320D"/>
    <w:rsid w:val="001A40D7"/>
    <w:rsid w:val="001A47CE"/>
    <w:rsid w:val="001A4E6C"/>
    <w:rsid w:val="001A528A"/>
    <w:rsid w:val="001A56B9"/>
    <w:rsid w:val="001A56F1"/>
    <w:rsid w:val="001A5D0E"/>
    <w:rsid w:val="001A5E64"/>
    <w:rsid w:val="001A63B3"/>
    <w:rsid w:val="001A67C9"/>
    <w:rsid w:val="001A7331"/>
    <w:rsid w:val="001A788E"/>
    <w:rsid w:val="001A7AE4"/>
    <w:rsid w:val="001B0114"/>
    <w:rsid w:val="001B01C8"/>
    <w:rsid w:val="001B0593"/>
    <w:rsid w:val="001B074B"/>
    <w:rsid w:val="001B0999"/>
    <w:rsid w:val="001B0B52"/>
    <w:rsid w:val="001B10B9"/>
    <w:rsid w:val="001B13F6"/>
    <w:rsid w:val="001B1747"/>
    <w:rsid w:val="001B1F6B"/>
    <w:rsid w:val="001B2065"/>
    <w:rsid w:val="001B2781"/>
    <w:rsid w:val="001B2C41"/>
    <w:rsid w:val="001B2D44"/>
    <w:rsid w:val="001B2E06"/>
    <w:rsid w:val="001B34AA"/>
    <w:rsid w:val="001B3516"/>
    <w:rsid w:val="001B3F62"/>
    <w:rsid w:val="001B49FD"/>
    <w:rsid w:val="001B543D"/>
    <w:rsid w:val="001B5D31"/>
    <w:rsid w:val="001B5F2A"/>
    <w:rsid w:val="001B6154"/>
    <w:rsid w:val="001B6181"/>
    <w:rsid w:val="001B693E"/>
    <w:rsid w:val="001B6B9B"/>
    <w:rsid w:val="001B6D1D"/>
    <w:rsid w:val="001B706C"/>
    <w:rsid w:val="001B752A"/>
    <w:rsid w:val="001B7B84"/>
    <w:rsid w:val="001C04B0"/>
    <w:rsid w:val="001C070F"/>
    <w:rsid w:val="001C0A75"/>
    <w:rsid w:val="001C107C"/>
    <w:rsid w:val="001C10D1"/>
    <w:rsid w:val="001C12FB"/>
    <w:rsid w:val="001C1483"/>
    <w:rsid w:val="001C14B3"/>
    <w:rsid w:val="001C1512"/>
    <w:rsid w:val="001C173A"/>
    <w:rsid w:val="001C1E06"/>
    <w:rsid w:val="001C1E62"/>
    <w:rsid w:val="001C1F43"/>
    <w:rsid w:val="001C2128"/>
    <w:rsid w:val="001C28DA"/>
    <w:rsid w:val="001C2AEE"/>
    <w:rsid w:val="001C2DB4"/>
    <w:rsid w:val="001C3228"/>
    <w:rsid w:val="001C3295"/>
    <w:rsid w:val="001C35E9"/>
    <w:rsid w:val="001C36BD"/>
    <w:rsid w:val="001C3733"/>
    <w:rsid w:val="001C38C9"/>
    <w:rsid w:val="001C39A4"/>
    <w:rsid w:val="001C3D0C"/>
    <w:rsid w:val="001C3E10"/>
    <w:rsid w:val="001C4459"/>
    <w:rsid w:val="001C494E"/>
    <w:rsid w:val="001C49B3"/>
    <w:rsid w:val="001C50E4"/>
    <w:rsid w:val="001C53F4"/>
    <w:rsid w:val="001C5431"/>
    <w:rsid w:val="001C5957"/>
    <w:rsid w:val="001C5B30"/>
    <w:rsid w:val="001C6742"/>
    <w:rsid w:val="001C67AC"/>
    <w:rsid w:val="001C7C5E"/>
    <w:rsid w:val="001D0127"/>
    <w:rsid w:val="001D06F9"/>
    <w:rsid w:val="001D081B"/>
    <w:rsid w:val="001D118A"/>
    <w:rsid w:val="001D1632"/>
    <w:rsid w:val="001D1983"/>
    <w:rsid w:val="001D220B"/>
    <w:rsid w:val="001D2ACF"/>
    <w:rsid w:val="001D30CA"/>
    <w:rsid w:val="001D3415"/>
    <w:rsid w:val="001D36BE"/>
    <w:rsid w:val="001D3869"/>
    <w:rsid w:val="001D3B48"/>
    <w:rsid w:val="001D3C05"/>
    <w:rsid w:val="001D401B"/>
    <w:rsid w:val="001D4CD4"/>
    <w:rsid w:val="001D4E26"/>
    <w:rsid w:val="001D528F"/>
    <w:rsid w:val="001D59E1"/>
    <w:rsid w:val="001D5D1A"/>
    <w:rsid w:val="001D5ECE"/>
    <w:rsid w:val="001D6217"/>
    <w:rsid w:val="001D644C"/>
    <w:rsid w:val="001D66B9"/>
    <w:rsid w:val="001D6AF4"/>
    <w:rsid w:val="001D6EE6"/>
    <w:rsid w:val="001D728C"/>
    <w:rsid w:val="001D765A"/>
    <w:rsid w:val="001D7EB3"/>
    <w:rsid w:val="001E0232"/>
    <w:rsid w:val="001E03F2"/>
    <w:rsid w:val="001E081E"/>
    <w:rsid w:val="001E0972"/>
    <w:rsid w:val="001E0CC1"/>
    <w:rsid w:val="001E1C10"/>
    <w:rsid w:val="001E220C"/>
    <w:rsid w:val="001E2292"/>
    <w:rsid w:val="001E2987"/>
    <w:rsid w:val="001E2A68"/>
    <w:rsid w:val="001E2F06"/>
    <w:rsid w:val="001E34EE"/>
    <w:rsid w:val="001E3CC0"/>
    <w:rsid w:val="001E4129"/>
    <w:rsid w:val="001E4681"/>
    <w:rsid w:val="001E582B"/>
    <w:rsid w:val="001E5C5A"/>
    <w:rsid w:val="001E5CAB"/>
    <w:rsid w:val="001E6B6C"/>
    <w:rsid w:val="001E6D77"/>
    <w:rsid w:val="001E6D88"/>
    <w:rsid w:val="001E736F"/>
    <w:rsid w:val="001E76C4"/>
    <w:rsid w:val="001E77C3"/>
    <w:rsid w:val="001E78A6"/>
    <w:rsid w:val="001E7BA5"/>
    <w:rsid w:val="001F064E"/>
    <w:rsid w:val="001F090B"/>
    <w:rsid w:val="001F0CFA"/>
    <w:rsid w:val="001F0DBC"/>
    <w:rsid w:val="001F0E6B"/>
    <w:rsid w:val="001F1103"/>
    <w:rsid w:val="001F180A"/>
    <w:rsid w:val="001F1A28"/>
    <w:rsid w:val="001F1AD0"/>
    <w:rsid w:val="001F1F9F"/>
    <w:rsid w:val="001F3595"/>
    <w:rsid w:val="001F35E8"/>
    <w:rsid w:val="001F3830"/>
    <w:rsid w:val="001F3E03"/>
    <w:rsid w:val="001F4014"/>
    <w:rsid w:val="001F4419"/>
    <w:rsid w:val="001F445E"/>
    <w:rsid w:val="001F4581"/>
    <w:rsid w:val="001F4EAA"/>
    <w:rsid w:val="001F541C"/>
    <w:rsid w:val="001F56E1"/>
    <w:rsid w:val="001F57E1"/>
    <w:rsid w:val="001F5899"/>
    <w:rsid w:val="001F58CA"/>
    <w:rsid w:val="001F6423"/>
    <w:rsid w:val="001F653B"/>
    <w:rsid w:val="001F66ED"/>
    <w:rsid w:val="001F7895"/>
    <w:rsid w:val="0020031E"/>
    <w:rsid w:val="00200C2C"/>
    <w:rsid w:val="00200D71"/>
    <w:rsid w:val="00201213"/>
    <w:rsid w:val="0020165E"/>
    <w:rsid w:val="002018F3"/>
    <w:rsid w:val="00201C9A"/>
    <w:rsid w:val="00202160"/>
    <w:rsid w:val="0020272E"/>
    <w:rsid w:val="00202CA4"/>
    <w:rsid w:val="00202E50"/>
    <w:rsid w:val="00203815"/>
    <w:rsid w:val="00203D42"/>
    <w:rsid w:val="00204418"/>
    <w:rsid w:val="00204458"/>
    <w:rsid w:val="002045FF"/>
    <w:rsid w:val="00204940"/>
    <w:rsid w:val="00204AF4"/>
    <w:rsid w:val="002050A4"/>
    <w:rsid w:val="00205180"/>
    <w:rsid w:val="00205327"/>
    <w:rsid w:val="0020534D"/>
    <w:rsid w:val="00206770"/>
    <w:rsid w:val="00206A8D"/>
    <w:rsid w:val="00206B02"/>
    <w:rsid w:val="00206CFF"/>
    <w:rsid w:val="00207064"/>
    <w:rsid w:val="002078ED"/>
    <w:rsid w:val="00207C3C"/>
    <w:rsid w:val="00207F81"/>
    <w:rsid w:val="002100D0"/>
    <w:rsid w:val="00210184"/>
    <w:rsid w:val="002107EF"/>
    <w:rsid w:val="002109F4"/>
    <w:rsid w:val="002109FA"/>
    <w:rsid w:val="002112B0"/>
    <w:rsid w:val="002115A1"/>
    <w:rsid w:val="002115FA"/>
    <w:rsid w:val="0021189F"/>
    <w:rsid w:val="00211FDA"/>
    <w:rsid w:val="0021223F"/>
    <w:rsid w:val="00212670"/>
    <w:rsid w:val="00212C98"/>
    <w:rsid w:val="00213929"/>
    <w:rsid w:val="00214637"/>
    <w:rsid w:val="00214849"/>
    <w:rsid w:val="0021543D"/>
    <w:rsid w:val="0021579B"/>
    <w:rsid w:val="00215B25"/>
    <w:rsid w:val="00215D80"/>
    <w:rsid w:val="00215FDA"/>
    <w:rsid w:val="002160C2"/>
    <w:rsid w:val="00216FFC"/>
    <w:rsid w:val="00217255"/>
    <w:rsid w:val="0021762D"/>
    <w:rsid w:val="002179DC"/>
    <w:rsid w:val="00217E20"/>
    <w:rsid w:val="00217F4D"/>
    <w:rsid w:val="00220250"/>
    <w:rsid w:val="002203D0"/>
    <w:rsid w:val="00220C43"/>
    <w:rsid w:val="00220C8A"/>
    <w:rsid w:val="00220F65"/>
    <w:rsid w:val="0022105B"/>
    <w:rsid w:val="00221439"/>
    <w:rsid w:val="00221574"/>
    <w:rsid w:val="00221B2B"/>
    <w:rsid w:val="00221DBE"/>
    <w:rsid w:val="00222BB9"/>
    <w:rsid w:val="00222F43"/>
    <w:rsid w:val="0022313F"/>
    <w:rsid w:val="00223516"/>
    <w:rsid w:val="00224104"/>
    <w:rsid w:val="00224EDB"/>
    <w:rsid w:val="00224EFA"/>
    <w:rsid w:val="002251C6"/>
    <w:rsid w:val="00225579"/>
    <w:rsid w:val="002258D6"/>
    <w:rsid w:val="00225D6C"/>
    <w:rsid w:val="00225ECD"/>
    <w:rsid w:val="00225F0F"/>
    <w:rsid w:val="00226211"/>
    <w:rsid w:val="0022621D"/>
    <w:rsid w:val="0022667D"/>
    <w:rsid w:val="00226A4B"/>
    <w:rsid w:val="002273A5"/>
    <w:rsid w:val="002274C6"/>
    <w:rsid w:val="002274FB"/>
    <w:rsid w:val="002277D8"/>
    <w:rsid w:val="00227C18"/>
    <w:rsid w:val="002301AA"/>
    <w:rsid w:val="002304CB"/>
    <w:rsid w:val="00230714"/>
    <w:rsid w:val="002308A0"/>
    <w:rsid w:val="002308C0"/>
    <w:rsid w:val="002309D2"/>
    <w:rsid w:val="002312E1"/>
    <w:rsid w:val="002316D4"/>
    <w:rsid w:val="00231A58"/>
    <w:rsid w:val="00231B61"/>
    <w:rsid w:val="00231C00"/>
    <w:rsid w:val="00231D43"/>
    <w:rsid w:val="0023315B"/>
    <w:rsid w:val="00233F52"/>
    <w:rsid w:val="002342CE"/>
    <w:rsid w:val="00234655"/>
    <w:rsid w:val="0023471F"/>
    <w:rsid w:val="002347FE"/>
    <w:rsid w:val="00234D99"/>
    <w:rsid w:val="0023525E"/>
    <w:rsid w:val="002352C5"/>
    <w:rsid w:val="0023671F"/>
    <w:rsid w:val="002369DD"/>
    <w:rsid w:val="002379A2"/>
    <w:rsid w:val="002407AF"/>
    <w:rsid w:val="00241286"/>
    <w:rsid w:val="0024178D"/>
    <w:rsid w:val="00241A3A"/>
    <w:rsid w:val="002420B6"/>
    <w:rsid w:val="00242218"/>
    <w:rsid w:val="002423E5"/>
    <w:rsid w:val="002427F1"/>
    <w:rsid w:val="002428D4"/>
    <w:rsid w:val="00242BD8"/>
    <w:rsid w:val="00243272"/>
    <w:rsid w:val="002438F6"/>
    <w:rsid w:val="0024392B"/>
    <w:rsid w:val="00243A78"/>
    <w:rsid w:val="00243F8A"/>
    <w:rsid w:val="00244314"/>
    <w:rsid w:val="00244A93"/>
    <w:rsid w:val="00244B47"/>
    <w:rsid w:val="002450C6"/>
    <w:rsid w:val="00245B89"/>
    <w:rsid w:val="00245DCF"/>
    <w:rsid w:val="0024608D"/>
    <w:rsid w:val="002463DF"/>
    <w:rsid w:val="002465EF"/>
    <w:rsid w:val="00246C65"/>
    <w:rsid w:val="00246D3A"/>
    <w:rsid w:val="002471F2"/>
    <w:rsid w:val="0024721F"/>
    <w:rsid w:val="00247527"/>
    <w:rsid w:val="0024765A"/>
    <w:rsid w:val="0024775B"/>
    <w:rsid w:val="00250A14"/>
    <w:rsid w:val="00251A10"/>
    <w:rsid w:val="0025204D"/>
    <w:rsid w:val="0025211A"/>
    <w:rsid w:val="002522ED"/>
    <w:rsid w:val="002526A0"/>
    <w:rsid w:val="00252A83"/>
    <w:rsid w:val="00252BFF"/>
    <w:rsid w:val="00252EF7"/>
    <w:rsid w:val="002533A2"/>
    <w:rsid w:val="00253732"/>
    <w:rsid w:val="00253806"/>
    <w:rsid w:val="00253D1C"/>
    <w:rsid w:val="00253DD8"/>
    <w:rsid w:val="00254171"/>
    <w:rsid w:val="002542A8"/>
    <w:rsid w:val="00254335"/>
    <w:rsid w:val="00254558"/>
    <w:rsid w:val="00254873"/>
    <w:rsid w:val="00254E74"/>
    <w:rsid w:val="00255172"/>
    <w:rsid w:val="0025552B"/>
    <w:rsid w:val="00255952"/>
    <w:rsid w:val="00255BC7"/>
    <w:rsid w:val="00255C02"/>
    <w:rsid w:val="00255FE4"/>
    <w:rsid w:val="00257300"/>
    <w:rsid w:val="002573A0"/>
    <w:rsid w:val="0025741E"/>
    <w:rsid w:val="00257684"/>
    <w:rsid w:val="002602C0"/>
    <w:rsid w:val="00260376"/>
    <w:rsid w:val="00260657"/>
    <w:rsid w:val="00260835"/>
    <w:rsid w:val="00260A11"/>
    <w:rsid w:val="00261188"/>
    <w:rsid w:val="002611FF"/>
    <w:rsid w:val="002613C0"/>
    <w:rsid w:val="0026169A"/>
    <w:rsid w:val="002617D3"/>
    <w:rsid w:val="00261AF7"/>
    <w:rsid w:val="00261D2D"/>
    <w:rsid w:val="00262015"/>
    <w:rsid w:val="0026239F"/>
    <w:rsid w:val="002625D5"/>
    <w:rsid w:val="00262763"/>
    <w:rsid w:val="002633DB"/>
    <w:rsid w:val="002634B0"/>
    <w:rsid w:val="00263B3A"/>
    <w:rsid w:val="002642E5"/>
    <w:rsid w:val="00264BEA"/>
    <w:rsid w:val="00264C47"/>
    <w:rsid w:val="00265E93"/>
    <w:rsid w:val="002660D2"/>
    <w:rsid w:val="0026753E"/>
    <w:rsid w:val="002677C3"/>
    <w:rsid w:val="00267850"/>
    <w:rsid w:val="00267F5C"/>
    <w:rsid w:val="00267F85"/>
    <w:rsid w:val="00270300"/>
    <w:rsid w:val="002703E7"/>
    <w:rsid w:val="00270AC9"/>
    <w:rsid w:val="00270B2B"/>
    <w:rsid w:val="00270B7A"/>
    <w:rsid w:val="00270DE5"/>
    <w:rsid w:val="00271032"/>
    <w:rsid w:val="00271532"/>
    <w:rsid w:val="00271A2C"/>
    <w:rsid w:val="00271A8B"/>
    <w:rsid w:val="00271C87"/>
    <w:rsid w:val="00272067"/>
    <w:rsid w:val="002721B0"/>
    <w:rsid w:val="00272B38"/>
    <w:rsid w:val="00272D93"/>
    <w:rsid w:val="00273040"/>
    <w:rsid w:val="00273CCA"/>
    <w:rsid w:val="00273D2A"/>
    <w:rsid w:val="00273E3E"/>
    <w:rsid w:val="00273F7A"/>
    <w:rsid w:val="00274147"/>
    <w:rsid w:val="002743A2"/>
    <w:rsid w:val="00274D37"/>
    <w:rsid w:val="00274FF9"/>
    <w:rsid w:val="00275189"/>
    <w:rsid w:val="00275472"/>
    <w:rsid w:val="002756DC"/>
    <w:rsid w:val="0027615C"/>
    <w:rsid w:val="00276412"/>
    <w:rsid w:val="00276437"/>
    <w:rsid w:val="00276797"/>
    <w:rsid w:val="00276E2A"/>
    <w:rsid w:val="00277085"/>
    <w:rsid w:val="00277113"/>
    <w:rsid w:val="00277432"/>
    <w:rsid w:val="00277ECF"/>
    <w:rsid w:val="00280053"/>
    <w:rsid w:val="00280280"/>
    <w:rsid w:val="0028063F"/>
    <w:rsid w:val="00280740"/>
    <w:rsid w:val="002807C0"/>
    <w:rsid w:val="00280CB8"/>
    <w:rsid w:val="00280E9C"/>
    <w:rsid w:val="00281658"/>
    <w:rsid w:val="00281ABD"/>
    <w:rsid w:val="00281C17"/>
    <w:rsid w:val="0028248A"/>
    <w:rsid w:val="0028251B"/>
    <w:rsid w:val="00283341"/>
    <w:rsid w:val="00283809"/>
    <w:rsid w:val="00283B02"/>
    <w:rsid w:val="00283C5D"/>
    <w:rsid w:val="0028432E"/>
    <w:rsid w:val="002844B0"/>
    <w:rsid w:val="002857AF"/>
    <w:rsid w:val="00285807"/>
    <w:rsid w:val="00285B2F"/>
    <w:rsid w:val="00285E08"/>
    <w:rsid w:val="00286322"/>
    <w:rsid w:val="00286733"/>
    <w:rsid w:val="00286B75"/>
    <w:rsid w:val="00286BD3"/>
    <w:rsid w:val="00286BF0"/>
    <w:rsid w:val="00287254"/>
    <w:rsid w:val="002872D4"/>
    <w:rsid w:val="00287945"/>
    <w:rsid w:val="00287BCF"/>
    <w:rsid w:val="00287BE3"/>
    <w:rsid w:val="00287C9C"/>
    <w:rsid w:val="00290E98"/>
    <w:rsid w:val="00290ECC"/>
    <w:rsid w:val="002913BE"/>
    <w:rsid w:val="002913F9"/>
    <w:rsid w:val="002915FB"/>
    <w:rsid w:val="0029195B"/>
    <w:rsid w:val="00292850"/>
    <w:rsid w:val="0029320C"/>
    <w:rsid w:val="002933C8"/>
    <w:rsid w:val="002933F4"/>
    <w:rsid w:val="00293784"/>
    <w:rsid w:val="00293E89"/>
    <w:rsid w:val="0029432B"/>
    <w:rsid w:val="00294513"/>
    <w:rsid w:val="00294C62"/>
    <w:rsid w:val="002952B8"/>
    <w:rsid w:val="00295571"/>
    <w:rsid w:val="00296065"/>
    <w:rsid w:val="00296B03"/>
    <w:rsid w:val="00296C1F"/>
    <w:rsid w:val="00296D6F"/>
    <w:rsid w:val="002973CE"/>
    <w:rsid w:val="00297F72"/>
    <w:rsid w:val="002A0115"/>
    <w:rsid w:val="002A07B3"/>
    <w:rsid w:val="002A0DA5"/>
    <w:rsid w:val="002A108B"/>
    <w:rsid w:val="002A116A"/>
    <w:rsid w:val="002A2304"/>
    <w:rsid w:val="002A27FE"/>
    <w:rsid w:val="002A3031"/>
    <w:rsid w:val="002A337C"/>
    <w:rsid w:val="002A3520"/>
    <w:rsid w:val="002A3BE0"/>
    <w:rsid w:val="002A3E15"/>
    <w:rsid w:val="002A410F"/>
    <w:rsid w:val="002A41E6"/>
    <w:rsid w:val="002A439A"/>
    <w:rsid w:val="002A44C8"/>
    <w:rsid w:val="002A488C"/>
    <w:rsid w:val="002A49F2"/>
    <w:rsid w:val="002A4FBD"/>
    <w:rsid w:val="002A5121"/>
    <w:rsid w:val="002A571A"/>
    <w:rsid w:val="002A595F"/>
    <w:rsid w:val="002A5E48"/>
    <w:rsid w:val="002A65E8"/>
    <w:rsid w:val="002A6C8D"/>
    <w:rsid w:val="002A76BB"/>
    <w:rsid w:val="002A76C6"/>
    <w:rsid w:val="002A7983"/>
    <w:rsid w:val="002B0059"/>
    <w:rsid w:val="002B0455"/>
    <w:rsid w:val="002B0CBA"/>
    <w:rsid w:val="002B0F89"/>
    <w:rsid w:val="002B145B"/>
    <w:rsid w:val="002B1815"/>
    <w:rsid w:val="002B1B03"/>
    <w:rsid w:val="002B24B0"/>
    <w:rsid w:val="002B261C"/>
    <w:rsid w:val="002B2BEC"/>
    <w:rsid w:val="002B2BEE"/>
    <w:rsid w:val="002B2D60"/>
    <w:rsid w:val="002B3028"/>
    <w:rsid w:val="002B3130"/>
    <w:rsid w:val="002B35C5"/>
    <w:rsid w:val="002B35FC"/>
    <w:rsid w:val="002B3818"/>
    <w:rsid w:val="002B3935"/>
    <w:rsid w:val="002B3AB1"/>
    <w:rsid w:val="002B3F7A"/>
    <w:rsid w:val="002B406A"/>
    <w:rsid w:val="002B41D4"/>
    <w:rsid w:val="002B488E"/>
    <w:rsid w:val="002B492E"/>
    <w:rsid w:val="002B4D1C"/>
    <w:rsid w:val="002B5377"/>
    <w:rsid w:val="002B543F"/>
    <w:rsid w:val="002B58EB"/>
    <w:rsid w:val="002B5D48"/>
    <w:rsid w:val="002B6096"/>
    <w:rsid w:val="002B63B6"/>
    <w:rsid w:val="002B705D"/>
    <w:rsid w:val="002B73A8"/>
    <w:rsid w:val="002B7447"/>
    <w:rsid w:val="002B7589"/>
    <w:rsid w:val="002B7685"/>
    <w:rsid w:val="002B7CF4"/>
    <w:rsid w:val="002B7D73"/>
    <w:rsid w:val="002B7E50"/>
    <w:rsid w:val="002C06E3"/>
    <w:rsid w:val="002C0801"/>
    <w:rsid w:val="002C0968"/>
    <w:rsid w:val="002C0EFC"/>
    <w:rsid w:val="002C1292"/>
    <w:rsid w:val="002C137B"/>
    <w:rsid w:val="002C145F"/>
    <w:rsid w:val="002C218E"/>
    <w:rsid w:val="002C24E4"/>
    <w:rsid w:val="002C28BC"/>
    <w:rsid w:val="002C2957"/>
    <w:rsid w:val="002C2A5A"/>
    <w:rsid w:val="002C2CF2"/>
    <w:rsid w:val="002C33B3"/>
    <w:rsid w:val="002C3533"/>
    <w:rsid w:val="002C3A46"/>
    <w:rsid w:val="002C3A93"/>
    <w:rsid w:val="002C420A"/>
    <w:rsid w:val="002C44B0"/>
    <w:rsid w:val="002C4A35"/>
    <w:rsid w:val="002C4A80"/>
    <w:rsid w:val="002C4E07"/>
    <w:rsid w:val="002C56B9"/>
    <w:rsid w:val="002C5883"/>
    <w:rsid w:val="002C5E07"/>
    <w:rsid w:val="002C5E75"/>
    <w:rsid w:val="002C62F8"/>
    <w:rsid w:val="002C6954"/>
    <w:rsid w:val="002C69BC"/>
    <w:rsid w:val="002C6D8B"/>
    <w:rsid w:val="002C774D"/>
    <w:rsid w:val="002C7B2D"/>
    <w:rsid w:val="002C7CC5"/>
    <w:rsid w:val="002C7CCC"/>
    <w:rsid w:val="002C7EBA"/>
    <w:rsid w:val="002D0177"/>
    <w:rsid w:val="002D0586"/>
    <w:rsid w:val="002D070C"/>
    <w:rsid w:val="002D08B1"/>
    <w:rsid w:val="002D0AFF"/>
    <w:rsid w:val="002D0F9D"/>
    <w:rsid w:val="002D1023"/>
    <w:rsid w:val="002D1459"/>
    <w:rsid w:val="002D1470"/>
    <w:rsid w:val="002D17D9"/>
    <w:rsid w:val="002D1DB7"/>
    <w:rsid w:val="002D21CF"/>
    <w:rsid w:val="002D2329"/>
    <w:rsid w:val="002D29FF"/>
    <w:rsid w:val="002D2D5A"/>
    <w:rsid w:val="002D3DB7"/>
    <w:rsid w:val="002D4378"/>
    <w:rsid w:val="002D4705"/>
    <w:rsid w:val="002D487A"/>
    <w:rsid w:val="002D5806"/>
    <w:rsid w:val="002D5B65"/>
    <w:rsid w:val="002D5D01"/>
    <w:rsid w:val="002D6396"/>
    <w:rsid w:val="002D6A96"/>
    <w:rsid w:val="002D6FA3"/>
    <w:rsid w:val="002D7E5E"/>
    <w:rsid w:val="002D7E6D"/>
    <w:rsid w:val="002D7F00"/>
    <w:rsid w:val="002D7FC5"/>
    <w:rsid w:val="002E07BA"/>
    <w:rsid w:val="002E07EF"/>
    <w:rsid w:val="002E0BDB"/>
    <w:rsid w:val="002E0D06"/>
    <w:rsid w:val="002E172C"/>
    <w:rsid w:val="002E1810"/>
    <w:rsid w:val="002E1A28"/>
    <w:rsid w:val="002E1AFC"/>
    <w:rsid w:val="002E22C7"/>
    <w:rsid w:val="002E2403"/>
    <w:rsid w:val="002E2530"/>
    <w:rsid w:val="002E2FC6"/>
    <w:rsid w:val="002E3264"/>
    <w:rsid w:val="002E33F9"/>
    <w:rsid w:val="002E3627"/>
    <w:rsid w:val="002E4663"/>
    <w:rsid w:val="002E4763"/>
    <w:rsid w:val="002E4E94"/>
    <w:rsid w:val="002E4EAC"/>
    <w:rsid w:val="002E5146"/>
    <w:rsid w:val="002E624C"/>
    <w:rsid w:val="002E675F"/>
    <w:rsid w:val="002E6D4D"/>
    <w:rsid w:val="002E739C"/>
    <w:rsid w:val="002E740A"/>
    <w:rsid w:val="002E794D"/>
    <w:rsid w:val="002E7BE0"/>
    <w:rsid w:val="002F0569"/>
    <w:rsid w:val="002F0C1D"/>
    <w:rsid w:val="002F0E82"/>
    <w:rsid w:val="002F0F73"/>
    <w:rsid w:val="002F12B3"/>
    <w:rsid w:val="002F1A5F"/>
    <w:rsid w:val="002F1E68"/>
    <w:rsid w:val="002F1F28"/>
    <w:rsid w:val="002F2276"/>
    <w:rsid w:val="002F2290"/>
    <w:rsid w:val="002F2380"/>
    <w:rsid w:val="002F298C"/>
    <w:rsid w:val="002F29EA"/>
    <w:rsid w:val="002F30E9"/>
    <w:rsid w:val="002F31DA"/>
    <w:rsid w:val="002F32B8"/>
    <w:rsid w:val="002F43C8"/>
    <w:rsid w:val="002F43CA"/>
    <w:rsid w:val="002F4BFF"/>
    <w:rsid w:val="002F4C09"/>
    <w:rsid w:val="002F4E56"/>
    <w:rsid w:val="002F4F69"/>
    <w:rsid w:val="002F4F77"/>
    <w:rsid w:val="002F57A4"/>
    <w:rsid w:val="002F57AA"/>
    <w:rsid w:val="002F62CE"/>
    <w:rsid w:val="002F68C6"/>
    <w:rsid w:val="002F6EF7"/>
    <w:rsid w:val="002F6F10"/>
    <w:rsid w:val="002F714C"/>
    <w:rsid w:val="002F778E"/>
    <w:rsid w:val="002F77BF"/>
    <w:rsid w:val="002F77FA"/>
    <w:rsid w:val="002F7B49"/>
    <w:rsid w:val="003004A2"/>
    <w:rsid w:val="00300607"/>
    <w:rsid w:val="003012FB"/>
    <w:rsid w:val="00301897"/>
    <w:rsid w:val="003020EC"/>
    <w:rsid w:val="003026EA"/>
    <w:rsid w:val="00302794"/>
    <w:rsid w:val="0030297E"/>
    <w:rsid w:val="00302B51"/>
    <w:rsid w:val="00302EAC"/>
    <w:rsid w:val="00302FDF"/>
    <w:rsid w:val="003030C5"/>
    <w:rsid w:val="003032B8"/>
    <w:rsid w:val="0030379E"/>
    <w:rsid w:val="00303BBB"/>
    <w:rsid w:val="00303DD5"/>
    <w:rsid w:val="00304010"/>
    <w:rsid w:val="003040AB"/>
    <w:rsid w:val="003042D9"/>
    <w:rsid w:val="00304548"/>
    <w:rsid w:val="00304D3B"/>
    <w:rsid w:val="00305221"/>
    <w:rsid w:val="00305802"/>
    <w:rsid w:val="00305B3C"/>
    <w:rsid w:val="00305E3F"/>
    <w:rsid w:val="00306201"/>
    <w:rsid w:val="0030694F"/>
    <w:rsid w:val="003069E7"/>
    <w:rsid w:val="00306ED1"/>
    <w:rsid w:val="00307514"/>
    <w:rsid w:val="00307B74"/>
    <w:rsid w:val="00310764"/>
    <w:rsid w:val="0031153D"/>
    <w:rsid w:val="003118BE"/>
    <w:rsid w:val="00311BFD"/>
    <w:rsid w:val="0031243B"/>
    <w:rsid w:val="00312B08"/>
    <w:rsid w:val="003133CC"/>
    <w:rsid w:val="00314718"/>
    <w:rsid w:val="0031488A"/>
    <w:rsid w:val="00314918"/>
    <w:rsid w:val="00314986"/>
    <w:rsid w:val="00314D80"/>
    <w:rsid w:val="00315044"/>
    <w:rsid w:val="003150A9"/>
    <w:rsid w:val="00315782"/>
    <w:rsid w:val="00315813"/>
    <w:rsid w:val="00315C80"/>
    <w:rsid w:val="00316473"/>
    <w:rsid w:val="00316971"/>
    <w:rsid w:val="00316A72"/>
    <w:rsid w:val="00316DB9"/>
    <w:rsid w:val="0031725B"/>
    <w:rsid w:val="003175E1"/>
    <w:rsid w:val="00317FD4"/>
    <w:rsid w:val="00320203"/>
    <w:rsid w:val="003203FC"/>
    <w:rsid w:val="0032079E"/>
    <w:rsid w:val="00320878"/>
    <w:rsid w:val="00320C12"/>
    <w:rsid w:val="003213D6"/>
    <w:rsid w:val="00322002"/>
    <w:rsid w:val="00322C06"/>
    <w:rsid w:val="00323E5A"/>
    <w:rsid w:val="00324410"/>
    <w:rsid w:val="003247B0"/>
    <w:rsid w:val="0032487F"/>
    <w:rsid w:val="00324C23"/>
    <w:rsid w:val="0032503C"/>
    <w:rsid w:val="003251ED"/>
    <w:rsid w:val="003253EA"/>
    <w:rsid w:val="00325C0E"/>
    <w:rsid w:val="00325E81"/>
    <w:rsid w:val="00326641"/>
    <w:rsid w:val="0032667F"/>
    <w:rsid w:val="00326948"/>
    <w:rsid w:val="00326D9B"/>
    <w:rsid w:val="00327052"/>
    <w:rsid w:val="00327592"/>
    <w:rsid w:val="00330206"/>
    <w:rsid w:val="0033035F"/>
    <w:rsid w:val="003306C9"/>
    <w:rsid w:val="003313AE"/>
    <w:rsid w:val="00331603"/>
    <w:rsid w:val="003318B4"/>
    <w:rsid w:val="003319C1"/>
    <w:rsid w:val="00331FC9"/>
    <w:rsid w:val="00331FF0"/>
    <w:rsid w:val="003320E1"/>
    <w:rsid w:val="00332ECE"/>
    <w:rsid w:val="003334D9"/>
    <w:rsid w:val="0033486D"/>
    <w:rsid w:val="003348A1"/>
    <w:rsid w:val="00334D95"/>
    <w:rsid w:val="00334FB3"/>
    <w:rsid w:val="003363A6"/>
    <w:rsid w:val="003367C4"/>
    <w:rsid w:val="00336C9B"/>
    <w:rsid w:val="00336D8E"/>
    <w:rsid w:val="00337367"/>
    <w:rsid w:val="003374EB"/>
    <w:rsid w:val="003376B3"/>
    <w:rsid w:val="0033772E"/>
    <w:rsid w:val="00340131"/>
    <w:rsid w:val="0034027E"/>
    <w:rsid w:val="003403B0"/>
    <w:rsid w:val="003409E3"/>
    <w:rsid w:val="00340A4A"/>
    <w:rsid w:val="00340BE3"/>
    <w:rsid w:val="0034104F"/>
    <w:rsid w:val="00342200"/>
    <w:rsid w:val="003430CE"/>
    <w:rsid w:val="0034395B"/>
    <w:rsid w:val="00343BC0"/>
    <w:rsid w:val="00343D6C"/>
    <w:rsid w:val="00343EAF"/>
    <w:rsid w:val="00344222"/>
    <w:rsid w:val="0034453F"/>
    <w:rsid w:val="00344682"/>
    <w:rsid w:val="00344AA7"/>
    <w:rsid w:val="00344BCB"/>
    <w:rsid w:val="00344FC6"/>
    <w:rsid w:val="00345361"/>
    <w:rsid w:val="00345B32"/>
    <w:rsid w:val="00345C36"/>
    <w:rsid w:val="00345C59"/>
    <w:rsid w:val="00345F9C"/>
    <w:rsid w:val="00346058"/>
    <w:rsid w:val="003464DB"/>
    <w:rsid w:val="00347592"/>
    <w:rsid w:val="00347776"/>
    <w:rsid w:val="00350119"/>
    <w:rsid w:val="0035046E"/>
    <w:rsid w:val="0035065B"/>
    <w:rsid w:val="00350A51"/>
    <w:rsid w:val="003511E9"/>
    <w:rsid w:val="00351341"/>
    <w:rsid w:val="00351A91"/>
    <w:rsid w:val="003520C4"/>
    <w:rsid w:val="00352D5A"/>
    <w:rsid w:val="00353015"/>
    <w:rsid w:val="003533AE"/>
    <w:rsid w:val="003540DA"/>
    <w:rsid w:val="003541CF"/>
    <w:rsid w:val="00354B25"/>
    <w:rsid w:val="00354B9A"/>
    <w:rsid w:val="0035536F"/>
    <w:rsid w:val="0035575D"/>
    <w:rsid w:val="003558E6"/>
    <w:rsid w:val="00355912"/>
    <w:rsid w:val="00355E14"/>
    <w:rsid w:val="00356F78"/>
    <w:rsid w:val="0035713C"/>
    <w:rsid w:val="003579B2"/>
    <w:rsid w:val="00357A56"/>
    <w:rsid w:val="00357C5E"/>
    <w:rsid w:val="0036083D"/>
    <w:rsid w:val="003608BD"/>
    <w:rsid w:val="00360967"/>
    <w:rsid w:val="00360EF2"/>
    <w:rsid w:val="00361196"/>
    <w:rsid w:val="00361280"/>
    <w:rsid w:val="003615F1"/>
    <w:rsid w:val="00361832"/>
    <w:rsid w:val="00361A6E"/>
    <w:rsid w:val="00361F99"/>
    <w:rsid w:val="0036312C"/>
    <w:rsid w:val="00363475"/>
    <w:rsid w:val="00363C31"/>
    <w:rsid w:val="00363CBD"/>
    <w:rsid w:val="00363D7F"/>
    <w:rsid w:val="003644BD"/>
    <w:rsid w:val="00364832"/>
    <w:rsid w:val="003649E4"/>
    <w:rsid w:val="00364CFB"/>
    <w:rsid w:val="0036523D"/>
    <w:rsid w:val="003659A0"/>
    <w:rsid w:val="003659C5"/>
    <w:rsid w:val="003660E0"/>
    <w:rsid w:val="00366107"/>
    <w:rsid w:val="00366226"/>
    <w:rsid w:val="003663F0"/>
    <w:rsid w:val="0036655E"/>
    <w:rsid w:val="00366C17"/>
    <w:rsid w:val="00366CED"/>
    <w:rsid w:val="00366D69"/>
    <w:rsid w:val="00366F7F"/>
    <w:rsid w:val="00367093"/>
    <w:rsid w:val="00367C3A"/>
    <w:rsid w:val="00367C66"/>
    <w:rsid w:val="00367F20"/>
    <w:rsid w:val="003700B2"/>
    <w:rsid w:val="0037056B"/>
    <w:rsid w:val="0037070F"/>
    <w:rsid w:val="0037076E"/>
    <w:rsid w:val="00370BFE"/>
    <w:rsid w:val="00370F24"/>
    <w:rsid w:val="003714BD"/>
    <w:rsid w:val="0037189D"/>
    <w:rsid w:val="00371936"/>
    <w:rsid w:val="00371E24"/>
    <w:rsid w:val="00371E88"/>
    <w:rsid w:val="0037233D"/>
    <w:rsid w:val="0037270A"/>
    <w:rsid w:val="003727FF"/>
    <w:rsid w:val="00372830"/>
    <w:rsid w:val="00372A3D"/>
    <w:rsid w:val="00372B0A"/>
    <w:rsid w:val="00372DE7"/>
    <w:rsid w:val="00372DFB"/>
    <w:rsid w:val="003730FF"/>
    <w:rsid w:val="003733F2"/>
    <w:rsid w:val="003736EF"/>
    <w:rsid w:val="003737E3"/>
    <w:rsid w:val="0037397D"/>
    <w:rsid w:val="00373FAC"/>
    <w:rsid w:val="003748F7"/>
    <w:rsid w:val="00374C80"/>
    <w:rsid w:val="0037522E"/>
    <w:rsid w:val="003755CF"/>
    <w:rsid w:val="00375BA5"/>
    <w:rsid w:val="0037703C"/>
    <w:rsid w:val="003771BE"/>
    <w:rsid w:val="003775AC"/>
    <w:rsid w:val="00377B29"/>
    <w:rsid w:val="00377DEC"/>
    <w:rsid w:val="00380A1A"/>
    <w:rsid w:val="00380B9F"/>
    <w:rsid w:val="00380D80"/>
    <w:rsid w:val="0038100D"/>
    <w:rsid w:val="00381299"/>
    <w:rsid w:val="003812F7"/>
    <w:rsid w:val="003818FD"/>
    <w:rsid w:val="00381C4A"/>
    <w:rsid w:val="00382EA6"/>
    <w:rsid w:val="003831DD"/>
    <w:rsid w:val="00383357"/>
    <w:rsid w:val="0038346A"/>
    <w:rsid w:val="003834B5"/>
    <w:rsid w:val="00383861"/>
    <w:rsid w:val="00383C38"/>
    <w:rsid w:val="00384938"/>
    <w:rsid w:val="0038500E"/>
    <w:rsid w:val="00385E68"/>
    <w:rsid w:val="00385FD2"/>
    <w:rsid w:val="00386517"/>
    <w:rsid w:val="00386A54"/>
    <w:rsid w:val="00386B07"/>
    <w:rsid w:val="00386F21"/>
    <w:rsid w:val="003872D0"/>
    <w:rsid w:val="0038761D"/>
    <w:rsid w:val="003877BF"/>
    <w:rsid w:val="003878D4"/>
    <w:rsid w:val="00387FDF"/>
    <w:rsid w:val="003906F8"/>
    <w:rsid w:val="0039074F"/>
    <w:rsid w:val="003907E3"/>
    <w:rsid w:val="00390845"/>
    <w:rsid w:val="003908E0"/>
    <w:rsid w:val="00390E0A"/>
    <w:rsid w:val="00390E9F"/>
    <w:rsid w:val="003916BF"/>
    <w:rsid w:val="003917AC"/>
    <w:rsid w:val="00391CF2"/>
    <w:rsid w:val="00392335"/>
    <w:rsid w:val="00392862"/>
    <w:rsid w:val="00392D72"/>
    <w:rsid w:val="00393259"/>
    <w:rsid w:val="003935EE"/>
    <w:rsid w:val="0039378E"/>
    <w:rsid w:val="003939F9"/>
    <w:rsid w:val="00393EE9"/>
    <w:rsid w:val="0039408A"/>
    <w:rsid w:val="003942C1"/>
    <w:rsid w:val="003945F5"/>
    <w:rsid w:val="00394CBC"/>
    <w:rsid w:val="00394F3C"/>
    <w:rsid w:val="00394F82"/>
    <w:rsid w:val="00394FD2"/>
    <w:rsid w:val="003957BA"/>
    <w:rsid w:val="00395CEF"/>
    <w:rsid w:val="00395DE2"/>
    <w:rsid w:val="00395F24"/>
    <w:rsid w:val="0039673D"/>
    <w:rsid w:val="00397178"/>
    <w:rsid w:val="003972B3"/>
    <w:rsid w:val="003975DA"/>
    <w:rsid w:val="00397893"/>
    <w:rsid w:val="003A03A9"/>
    <w:rsid w:val="003A04B7"/>
    <w:rsid w:val="003A082C"/>
    <w:rsid w:val="003A107D"/>
    <w:rsid w:val="003A186F"/>
    <w:rsid w:val="003A2407"/>
    <w:rsid w:val="003A25A8"/>
    <w:rsid w:val="003A2CF0"/>
    <w:rsid w:val="003A2D26"/>
    <w:rsid w:val="003A3089"/>
    <w:rsid w:val="003A30CC"/>
    <w:rsid w:val="003A31BB"/>
    <w:rsid w:val="003A33D3"/>
    <w:rsid w:val="003A34A6"/>
    <w:rsid w:val="003A3852"/>
    <w:rsid w:val="003A3880"/>
    <w:rsid w:val="003A3BD6"/>
    <w:rsid w:val="003A3FEB"/>
    <w:rsid w:val="003A4B52"/>
    <w:rsid w:val="003A5625"/>
    <w:rsid w:val="003A577C"/>
    <w:rsid w:val="003A57F0"/>
    <w:rsid w:val="003A585F"/>
    <w:rsid w:val="003A5BC5"/>
    <w:rsid w:val="003A5D55"/>
    <w:rsid w:val="003A5DB3"/>
    <w:rsid w:val="003A5E39"/>
    <w:rsid w:val="003A64A3"/>
    <w:rsid w:val="003A64D6"/>
    <w:rsid w:val="003A6AB2"/>
    <w:rsid w:val="003A6B59"/>
    <w:rsid w:val="003A6E42"/>
    <w:rsid w:val="003A7349"/>
    <w:rsid w:val="003A7525"/>
    <w:rsid w:val="003A75E6"/>
    <w:rsid w:val="003A7C1E"/>
    <w:rsid w:val="003B0BE2"/>
    <w:rsid w:val="003B0FE8"/>
    <w:rsid w:val="003B1926"/>
    <w:rsid w:val="003B1F43"/>
    <w:rsid w:val="003B255B"/>
    <w:rsid w:val="003B2943"/>
    <w:rsid w:val="003B30E4"/>
    <w:rsid w:val="003B31BE"/>
    <w:rsid w:val="003B3317"/>
    <w:rsid w:val="003B3883"/>
    <w:rsid w:val="003B3903"/>
    <w:rsid w:val="003B3A38"/>
    <w:rsid w:val="003B4571"/>
    <w:rsid w:val="003B49A2"/>
    <w:rsid w:val="003B4B2F"/>
    <w:rsid w:val="003B4D4C"/>
    <w:rsid w:val="003B52D4"/>
    <w:rsid w:val="003B5973"/>
    <w:rsid w:val="003B5D94"/>
    <w:rsid w:val="003B697B"/>
    <w:rsid w:val="003B6CD8"/>
    <w:rsid w:val="003B6F0C"/>
    <w:rsid w:val="003B714C"/>
    <w:rsid w:val="003C028D"/>
    <w:rsid w:val="003C06CF"/>
    <w:rsid w:val="003C0BB6"/>
    <w:rsid w:val="003C106A"/>
    <w:rsid w:val="003C15AB"/>
    <w:rsid w:val="003C1CA5"/>
    <w:rsid w:val="003C1EC7"/>
    <w:rsid w:val="003C2408"/>
    <w:rsid w:val="003C26DB"/>
    <w:rsid w:val="003C2B20"/>
    <w:rsid w:val="003C2B3B"/>
    <w:rsid w:val="003C3B8D"/>
    <w:rsid w:val="003C3D8E"/>
    <w:rsid w:val="003C3E4D"/>
    <w:rsid w:val="003C3FF9"/>
    <w:rsid w:val="003C508B"/>
    <w:rsid w:val="003C535A"/>
    <w:rsid w:val="003C53A0"/>
    <w:rsid w:val="003C5D0C"/>
    <w:rsid w:val="003C64A0"/>
    <w:rsid w:val="003C657B"/>
    <w:rsid w:val="003C6884"/>
    <w:rsid w:val="003C6B57"/>
    <w:rsid w:val="003C6D37"/>
    <w:rsid w:val="003C6F0B"/>
    <w:rsid w:val="003C7196"/>
    <w:rsid w:val="003C75F6"/>
    <w:rsid w:val="003C77D3"/>
    <w:rsid w:val="003C7A43"/>
    <w:rsid w:val="003C7BA3"/>
    <w:rsid w:val="003C7F12"/>
    <w:rsid w:val="003D01F9"/>
    <w:rsid w:val="003D09B7"/>
    <w:rsid w:val="003D0F71"/>
    <w:rsid w:val="003D1A39"/>
    <w:rsid w:val="003D2583"/>
    <w:rsid w:val="003D27E5"/>
    <w:rsid w:val="003D2B24"/>
    <w:rsid w:val="003D300F"/>
    <w:rsid w:val="003D324F"/>
    <w:rsid w:val="003D36A9"/>
    <w:rsid w:val="003D384E"/>
    <w:rsid w:val="003D3C9F"/>
    <w:rsid w:val="003D3CD0"/>
    <w:rsid w:val="003D42A5"/>
    <w:rsid w:val="003D42FD"/>
    <w:rsid w:val="003D4368"/>
    <w:rsid w:val="003D4DDB"/>
    <w:rsid w:val="003D4E9C"/>
    <w:rsid w:val="003D51CB"/>
    <w:rsid w:val="003D56F7"/>
    <w:rsid w:val="003D59B2"/>
    <w:rsid w:val="003D5C98"/>
    <w:rsid w:val="003D5D0E"/>
    <w:rsid w:val="003D6187"/>
    <w:rsid w:val="003D6A8E"/>
    <w:rsid w:val="003D6AFF"/>
    <w:rsid w:val="003D7144"/>
    <w:rsid w:val="003D7399"/>
    <w:rsid w:val="003D7C85"/>
    <w:rsid w:val="003D7D35"/>
    <w:rsid w:val="003E010E"/>
    <w:rsid w:val="003E049D"/>
    <w:rsid w:val="003E068D"/>
    <w:rsid w:val="003E0A0E"/>
    <w:rsid w:val="003E0D78"/>
    <w:rsid w:val="003E1173"/>
    <w:rsid w:val="003E16E1"/>
    <w:rsid w:val="003E1CB1"/>
    <w:rsid w:val="003E26E9"/>
    <w:rsid w:val="003E2807"/>
    <w:rsid w:val="003E2EC2"/>
    <w:rsid w:val="003E3413"/>
    <w:rsid w:val="003E3663"/>
    <w:rsid w:val="003E3A1D"/>
    <w:rsid w:val="003E4B69"/>
    <w:rsid w:val="003E4F3B"/>
    <w:rsid w:val="003E579B"/>
    <w:rsid w:val="003E600D"/>
    <w:rsid w:val="003E6285"/>
    <w:rsid w:val="003E63E1"/>
    <w:rsid w:val="003E6894"/>
    <w:rsid w:val="003E6930"/>
    <w:rsid w:val="003E6CA0"/>
    <w:rsid w:val="003E7244"/>
    <w:rsid w:val="003E7412"/>
    <w:rsid w:val="003E7AE3"/>
    <w:rsid w:val="003E7D7A"/>
    <w:rsid w:val="003E7DA0"/>
    <w:rsid w:val="003F0650"/>
    <w:rsid w:val="003F07EB"/>
    <w:rsid w:val="003F0DA1"/>
    <w:rsid w:val="003F12EA"/>
    <w:rsid w:val="003F12FC"/>
    <w:rsid w:val="003F1718"/>
    <w:rsid w:val="003F1F41"/>
    <w:rsid w:val="003F1F8D"/>
    <w:rsid w:val="003F2033"/>
    <w:rsid w:val="003F2397"/>
    <w:rsid w:val="003F29C8"/>
    <w:rsid w:val="003F2B09"/>
    <w:rsid w:val="003F2C35"/>
    <w:rsid w:val="003F2FB7"/>
    <w:rsid w:val="003F2FDE"/>
    <w:rsid w:val="003F330B"/>
    <w:rsid w:val="003F3B72"/>
    <w:rsid w:val="003F52DC"/>
    <w:rsid w:val="003F5AE2"/>
    <w:rsid w:val="003F6486"/>
    <w:rsid w:val="003F65E8"/>
    <w:rsid w:val="003F6632"/>
    <w:rsid w:val="003F6A0E"/>
    <w:rsid w:val="003F6FDF"/>
    <w:rsid w:val="003F707D"/>
    <w:rsid w:val="003F76A6"/>
    <w:rsid w:val="003F7A6D"/>
    <w:rsid w:val="003F7E18"/>
    <w:rsid w:val="0040051F"/>
    <w:rsid w:val="00400807"/>
    <w:rsid w:val="00400B0E"/>
    <w:rsid w:val="00400BDE"/>
    <w:rsid w:val="004016F5"/>
    <w:rsid w:val="00401C22"/>
    <w:rsid w:val="00401D87"/>
    <w:rsid w:val="00401F21"/>
    <w:rsid w:val="0040258F"/>
    <w:rsid w:val="00402B35"/>
    <w:rsid w:val="00402D9D"/>
    <w:rsid w:val="00402F02"/>
    <w:rsid w:val="0040301F"/>
    <w:rsid w:val="004030E6"/>
    <w:rsid w:val="004033BF"/>
    <w:rsid w:val="00403591"/>
    <w:rsid w:val="004045AA"/>
    <w:rsid w:val="004047B7"/>
    <w:rsid w:val="00404923"/>
    <w:rsid w:val="00404E08"/>
    <w:rsid w:val="0040549A"/>
    <w:rsid w:val="0040558B"/>
    <w:rsid w:val="00405BEA"/>
    <w:rsid w:val="00405CC9"/>
    <w:rsid w:val="004060EF"/>
    <w:rsid w:val="004062FE"/>
    <w:rsid w:val="0040711E"/>
    <w:rsid w:val="00407D67"/>
    <w:rsid w:val="00407DC7"/>
    <w:rsid w:val="00410873"/>
    <w:rsid w:val="004109DC"/>
    <w:rsid w:val="00410B07"/>
    <w:rsid w:val="00411A0D"/>
    <w:rsid w:val="00411FCA"/>
    <w:rsid w:val="00412450"/>
    <w:rsid w:val="004126FD"/>
    <w:rsid w:val="00412EC2"/>
    <w:rsid w:val="004136F6"/>
    <w:rsid w:val="004138DE"/>
    <w:rsid w:val="00413B39"/>
    <w:rsid w:val="00413EBB"/>
    <w:rsid w:val="00413FDA"/>
    <w:rsid w:val="00414B01"/>
    <w:rsid w:val="00414B2F"/>
    <w:rsid w:val="00414C65"/>
    <w:rsid w:val="00414CD9"/>
    <w:rsid w:val="004150A3"/>
    <w:rsid w:val="004152AF"/>
    <w:rsid w:val="00415E58"/>
    <w:rsid w:val="00416231"/>
    <w:rsid w:val="004176F8"/>
    <w:rsid w:val="0042009B"/>
    <w:rsid w:val="00420794"/>
    <w:rsid w:val="004208AB"/>
    <w:rsid w:val="0042114B"/>
    <w:rsid w:val="004216D4"/>
    <w:rsid w:val="004219EF"/>
    <w:rsid w:val="00421A72"/>
    <w:rsid w:val="00421C22"/>
    <w:rsid w:val="00421E5A"/>
    <w:rsid w:val="00421ECE"/>
    <w:rsid w:val="004225A3"/>
    <w:rsid w:val="004229A7"/>
    <w:rsid w:val="00424348"/>
    <w:rsid w:val="00424553"/>
    <w:rsid w:val="004247C4"/>
    <w:rsid w:val="00425969"/>
    <w:rsid w:val="00425E75"/>
    <w:rsid w:val="0042623E"/>
    <w:rsid w:val="004264A1"/>
    <w:rsid w:val="0042667D"/>
    <w:rsid w:val="004266DA"/>
    <w:rsid w:val="0042692B"/>
    <w:rsid w:val="00426CD9"/>
    <w:rsid w:val="00426ED4"/>
    <w:rsid w:val="00427218"/>
    <w:rsid w:val="0042777F"/>
    <w:rsid w:val="00430D67"/>
    <w:rsid w:val="00430E9B"/>
    <w:rsid w:val="00430FEB"/>
    <w:rsid w:val="004310EE"/>
    <w:rsid w:val="004314F5"/>
    <w:rsid w:val="004316BA"/>
    <w:rsid w:val="004318C4"/>
    <w:rsid w:val="00431B30"/>
    <w:rsid w:val="00431EFA"/>
    <w:rsid w:val="00431F5D"/>
    <w:rsid w:val="004320B7"/>
    <w:rsid w:val="004327E5"/>
    <w:rsid w:val="00432C5D"/>
    <w:rsid w:val="004331A7"/>
    <w:rsid w:val="0043352D"/>
    <w:rsid w:val="004335BD"/>
    <w:rsid w:val="00433677"/>
    <w:rsid w:val="004339F8"/>
    <w:rsid w:val="0043406E"/>
    <w:rsid w:val="004340D5"/>
    <w:rsid w:val="00434880"/>
    <w:rsid w:val="00434A21"/>
    <w:rsid w:val="0043510E"/>
    <w:rsid w:val="0043526D"/>
    <w:rsid w:val="0043539B"/>
    <w:rsid w:val="00435997"/>
    <w:rsid w:val="00435D06"/>
    <w:rsid w:val="00435D36"/>
    <w:rsid w:val="00436901"/>
    <w:rsid w:val="00436F85"/>
    <w:rsid w:val="0044002A"/>
    <w:rsid w:val="00440C20"/>
    <w:rsid w:val="00440FB9"/>
    <w:rsid w:val="00441099"/>
    <w:rsid w:val="00441195"/>
    <w:rsid w:val="00441ED1"/>
    <w:rsid w:val="004420AF"/>
    <w:rsid w:val="004424F2"/>
    <w:rsid w:val="004428CD"/>
    <w:rsid w:val="00442AA3"/>
    <w:rsid w:val="00443568"/>
    <w:rsid w:val="00443B50"/>
    <w:rsid w:val="00443F09"/>
    <w:rsid w:val="004446EE"/>
    <w:rsid w:val="004455A5"/>
    <w:rsid w:val="004459CF"/>
    <w:rsid w:val="004460E9"/>
    <w:rsid w:val="004466C8"/>
    <w:rsid w:val="00446D8B"/>
    <w:rsid w:val="00447027"/>
    <w:rsid w:val="0044732F"/>
    <w:rsid w:val="00447B6F"/>
    <w:rsid w:val="00447B76"/>
    <w:rsid w:val="00447DBE"/>
    <w:rsid w:val="00447F62"/>
    <w:rsid w:val="004500DE"/>
    <w:rsid w:val="004503BA"/>
    <w:rsid w:val="0045214D"/>
    <w:rsid w:val="00452D06"/>
    <w:rsid w:val="00453446"/>
    <w:rsid w:val="00453623"/>
    <w:rsid w:val="00453C11"/>
    <w:rsid w:val="00453F9E"/>
    <w:rsid w:val="0045415D"/>
    <w:rsid w:val="00454EFC"/>
    <w:rsid w:val="004557B0"/>
    <w:rsid w:val="004563AD"/>
    <w:rsid w:val="00456605"/>
    <w:rsid w:val="004574AD"/>
    <w:rsid w:val="00457542"/>
    <w:rsid w:val="0045782B"/>
    <w:rsid w:val="00457946"/>
    <w:rsid w:val="00457D8B"/>
    <w:rsid w:val="00460061"/>
    <w:rsid w:val="00460A17"/>
    <w:rsid w:val="00460AC1"/>
    <w:rsid w:val="0046145D"/>
    <w:rsid w:val="004615DB"/>
    <w:rsid w:val="00461690"/>
    <w:rsid w:val="00462172"/>
    <w:rsid w:val="00462310"/>
    <w:rsid w:val="00462558"/>
    <w:rsid w:val="00462F79"/>
    <w:rsid w:val="004638BE"/>
    <w:rsid w:val="00463BFD"/>
    <w:rsid w:val="00463ECE"/>
    <w:rsid w:val="0046409F"/>
    <w:rsid w:val="00464B6E"/>
    <w:rsid w:val="004655B1"/>
    <w:rsid w:val="0046572E"/>
    <w:rsid w:val="00466CF4"/>
    <w:rsid w:val="00467B85"/>
    <w:rsid w:val="00467C85"/>
    <w:rsid w:val="00470CB5"/>
    <w:rsid w:val="0047115F"/>
    <w:rsid w:val="00471CF9"/>
    <w:rsid w:val="00471EAB"/>
    <w:rsid w:val="004723EE"/>
    <w:rsid w:val="00472993"/>
    <w:rsid w:val="00472FE0"/>
    <w:rsid w:val="004732E0"/>
    <w:rsid w:val="004734A2"/>
    <w:rsid w:val="00473948"/>
    <w:rsid w:val="004741A3"/>
    <w:rsid w:val="0047443C"/>
    <w:rsid w:val="0047453C"/>
    <w:rsid w:val="004747A5"/>
    <w:rsid w:val="00475A92"/>
    <w:rsid w:val="00475EB5"/>
    <w:rsid w:val="00477A63"/>
    <w:rsid w:val="00477AEA"/>
    <w:rsid w:val="00477B29"/>
    <w:rsid w:val="00477BB9"/>
    <w:rsid w:val="0048069E"/>
    <w:rsid w:val="00480759"/>
    <w:rsid w:val="00480923"/>
    <w:rsid w:val="00481423"/>
    <w:rsid w:val="00482098"/>
    <w:rsid w:val="00482A2D"/>
    <w:rsid w:val="00482BC1"/>
    <w:rsid w:val="0048452A"/>
    <w:rsid w:val="004845DE"/>
    <w:rsid w:val="0048518C"/>
    <w:rsid w:val="004852F8"/>
    <w:rsid w:val="0048569C"/>
    <w:rsid w:val="00485842"/>
    <w:rsid w:val="004859EE"/>
    <w:rsid w:val="00486562"/>
    <w:rsid w:val="0048671A"/>
    <w:rsid w:val="00486927"/>
    <w:rsid w:val="00487366"/>
    <w:rsid w:val="004873E4"/>
    <w:rsid w:val="00487957"/>
    <w:rsid w:val="00487ACD"/>
    <w:rsid w:val="00487DA5"/>
    <w:rsid w:val="00487E41"/>
    <w:rsid w:val="00487F03"/>
    <w:rsid w:val="004901F1"/>
    <w:rsid w:val="0049072C"/>
    <w:rsid w:val="00490748"/>
    <w:rsid w:val="004909DC"/>
    <w:rsid w:val="00490A08"/>
    <w:rsid w:val="00490AA4"/>
    <w:rsid w:val="00490FD1"/>
    <w:rsid w:val="004911E3"/>
    <w:rsid w:val="00491356"/>
    <w:rsid w:val="00491A83"/>
    <w:rsid w:val="00491A88"/>
    <w:rsid w:val="00491AD2"/>
    <w:rsid w:val="00491EC9"/>
    <w:rsid w:val="00491FA4"/>
    <w:rsid w:val="00492474"/>
    <w:rsid w:val="00492BD1"/>
    <w:rsid w:val="004935C0"/>
    <w:rsid w:val="00493662"/>
    <w:rsid w:val="004936C9"/>
    <w:rsid w:val="00493B43"/>
    <w:rsid w:val="00493ECF"/>
    <w:rsid w:val="00494AC6"/>
    <w:rsid w:val="00494B71"/>
    <w:rsid w:val="00494DA9"/>
    <w:rsid w:val="00494EB1"/>
    <w:rsid w:val="004956B2"/>
    <w:rsid w:val="00495E3F"/>
    <w:rsid w:val="00496308"/>
    <w:rsid w:val="00496414"/>
    <w:rsid w:val="00496748"/>
    <w:rsid w:val="00496846"/>
    <w:rsid w:val="00496D5A"/>
    <w:rsid w:val="004979D4"/>
    <w:rsid w:val="00497A38"/>
    <w:rsid w:val="00497D9F"/>
    <w:rsid w:val="00497E7F"/>
    <w:rsid w:val="004A00D5"/>
    <w:rsid w:val="004A0D22"/>
    <w:rsid w:val="004A1B0D"/>
    <w:rsid w:val="004A27B1"/>
    <w:rsid w:val="004A2B74"/>
    <w:rsid w:val="004A2D8D"/>
    <w:rsid w:val="004A2FFB"/>
    <w:rsid w:val="004A317C"/>
    <w:rsid w:val="004A357A"/>
    <w:rsid w:val="004A3841"/>
    <w:rsid w:val="004A3FF8"/>
    <w:rsid w:val="004A45BD"/>
    <w:rsid w:val="004A4656"/>
    <w:rsid w:val="004A4766"/>
    <w:rsid w:val="004A4788"/>
    <w:rsid w:val="004A4AF0"/>
    <w:rsid w:val="004A4B44"/>
    <w:rsid w:val="004A56BE"/>
    <w:rsid w:val="004A572E"/>
    <w:rsid w:val="004A5CA7"/>
    <w:rsid w:val="004A77B0"/>
    <w:rsid w:val="004A7DA2"/>
    <w:rsid w:val="004A7E06"/>
    <w:rsid w:val="004B046B"/>
    <w:rsid w:val="004B053A"/>
    <w:rsid w:val="004B08A9"/>
    <w:rsid w:val="004B08D0"/>
    <w:rsid w:val="004B0CC8"/>
    <w:rsid w:val="004B13D3"/>
    <w:rsid w:val="004B1A9B"/>
    <w:rsid w:val="004B1B28"/>
    <w:rsid w:val="004B1CED"/>
    <w:rsid w:val="004B2122"/>
    <w:rsid w:val="004B2336"/>
    <w:rsid w:val="004B2F6D"/>
    <w:rsid w:val="004B34A7"/>
    <w:rsid w:val="004B36B8"/>
    <w:rsid w:val="004B36EF"/>
    <w:rsid w:val="004B3ABC"/>
    <w:rsid w:val="004B3B06"/>
    <w:rsid w:val="004B4643"/>
    <w:rsid w:val="004B4816"/>
    <w:rsid w:val="004B4826"/>
    <w:rsid w:val="004B4BE8"/>
    <w:rsid w:val="004B5E6F"/>
    <w:rsid w:val="004B6600"/>
    <w:rsid w:val="004B6C15"/>
    <w:rsid w:val="004B6D01"/>
    <w:rsid w:val="004B6F82"/>
    <w:rsid w:val="004B6FC0"/>
    <w:rsid w:val="004B7F67"/>
    <w:rsid w:val="004C00B0"/>
    <w:rsid w:val="004C0602"/>
    <w:rsid w:val="004C06BE"/>
    <w:rsid w:val="004C0938"/>
    <w:rsid w:val="004C1651"/>
    <w:rsid w:val="004C1994"/>
    <w:rsid w:val="004C35A8"/>
    <w:rsid w:val="004C3DE4"/>
    <w:rsid w:val="004C44CD"/>
    <w:rsid w:val="004C4E65"/>
    <w:rsid w:val="004C50BE"/>
    <w:rsid w:val="004C56A4"/>
    <w:rsid w:val="004C6B6D"/>
    <w:rsid w:val="004C6E35"/>
    <w:rsid w:val="004C6F72"/>
    <w:rsid w:val="004C70FC"/>
    <w:rsid w:val="004C712F"/>
    <w:rsid w:val="004D1120"/>
    <w:rsid w:val="004D2152"/>
    <w:rsid w:val="004D2675"/>
    <w:rsid w:val="004D2E1F"/>
    <w:rsid w:val="004D3289"/>
    <w:rsid w:val="004D3A40"/>
    <w:rsid w:val="004D3A85"/>
    <w:rsid w:val="004D4080"/>
    <w:rsid w:val="004D42A6"/>
    <w:rsid w:val="004D4381"/>
    <w:rsid w:val="004D453C"/>
    <w:rsid w:val="004D5034"/>
    <w:rsid w:val="004D57C6"/>
    <w:rsid w:val="004D5E75"/>
    <w:rsid w:val="004D5E86"/>
    <w:rsid w:val="004D668A"/>
    <w:rsid w:val="004D687E"/>
    <w:rsid w:val="004D6A94"/>
    <w:rsid w:val="004D7CF4"/>
    <w:rsid w:val="004E05FD"/>
    <w:rsid w:val="004E0DAE"/>
    <w:rsid w:val="004E0F2F"/>
    <w:rsid w:val="004E15DF"/>
    <w:rsid w:val="004E1A0D"/>
    <w:rsid w:val="004E1F7A"/>
    <w:rsid w:val="004E23F5"/>
    <w:rsid w:val="004E3047"/>
    <w:rsid w:val="004E3378"/>
    <w:rsid w:val="004E33E4"/>
    <w:rsid w:val="004E3A09"/>
    <w:rsid w:val="004E3BE3"/>
    <w:rsid w:val="004E46EB"/>
    <w:rsid w:val="004E5005"/>
    <w:rsid w:val="004E5083"/>
    <w:rsid w:val="004E5418"/>
    <w:rsid w:val="004E58B6"/>
    <w:rsid w:val="004E60B1"/>
    <w:rsid w:val="004E63E5"/>
    <w:rsid w:val="004E6445"/>
    <w:rsid w:val="004E6AAB"/>
    <w:rsid w:val="004E6B76"/>
    <w:rsid w:val="004E7093"/>
    <w:rsid w:val="004E70E6"/>
    <w:rsid w:val="004E7414"/>
    <w:rsid w:val="004E77FF"/>
    <w:rsid w:val="004F0244"/>
    <w:rsid w:val="004F0ED0"/>
    <w:rsid w:val="004F1096"/>
    <w:rsid w:val="004F13F9"/>
    <w:rsid w:val="004F1437"/>
    <w:rsid w:val="004F1C9B"/>
    <w:rsid w:val="004F222E"/>
    <w:rsid w:val="004F2AAC"/>
    <w:rsid w:val="004F2F86"/>
    <w:rsid w:val="004F2F95"/>
    <w:rsid w:val="004F3140"/>
    <w:rsid w:val="004F33CD"/>
    <w:rsid w:val="004F3540"/>
    <w:rsid w:val="004F4204"/>
    <w:rsid w:val="004F4B82"/>
    <w:rsid w:val="004F4C0A"/>
    <w:rsid w:val="004F52DB"/>
    <w:rsid w:val="004F5624"/>
    <w:rsid w:val="004F5789"/>
    <w:rsid w:val="004F59E4"/>
    <w:rsid w:val="004F5B57"/>
    <w:rsid w:val="004F5DA4"/>
    <w:rsid w:val="004F60BB"/>
    <w:rsid w:val="004F62B2"/>
    <w:rsid w:val="004F6424"/>
    <w:rsid w:val="004F65BE"/>
    <w:rsid w:val="004F69B8"/>
    <w:rsid w:val="004F6DDC"/>
    <w:rsid w:val="004F6E00"/>
    <w:rsid w:val="004F742E"/>
    <w:rsid w:val="004F76DE"/>
    <w:rsid w:val="004F7E95"/>
    <w:rsid w:val="00500CE6"/>
    <w:rsid w:val="00500F92"/>
    <w:rsid w:val="005012C1"/>
    <w:rsid w:val="00501915"/>
    <w:rsid w:val="005031C4"/>
    <w:rsid w:val="00503219"/>
    <w:rsid w:val="00503B72"/>
    <w:rsid w:val="005040CD"/>
    <w:rsid w:val="0050465F"/>
    <w:rsid w:val="00504A08"/>
    <w:rsid w:val="00504B0E"/>
    <w:rsid w:val="00505087"/>
    <w:rsid w:val="00505229"/>
    <w:rsid w:val="00506364"/>
    <w:rsid w:val="00506579"/>
    <w:rsid w:val="00507637"/>
    <w:rsid w:val="00507F5B"/>
    <w:rsid w:val="00507F98"/>
    <w:rsid w:val="0051030F"/>
    <w:rsid w:val="005108A3"/>
    <w:rsid w:val="0051091C"/>
    <w:rsid w:val="00510EC0"/>
    <w:rsid w:val="00510F6E"/>
    <w:rsid w:val="00511422"/>
    <w:rsid w:val="005118AE"/>
    <w:rsid w:val="00511DC6"/>
    <w:rsid w:val="0051208F"/>
    <w:rsid w:val="0051285C"/>
    <w:rsid w:val="00513E5F"/>
    <w:rsid w:val="005143D4"/>
    <w:rsid w:val="00514AE4"/>
    <w:rsid w:val="00514CD6"/>
    <w:rsid w:val="00514DE2"/>
    <w:rsid w:val="00515494"/>
    <w:rsid w:val="0051556E"/>
    <w:rsid w:val="0051587A"/>
    <w:rsid w:val="005158AF"/>
    <w:rsid w:val="005158FA"/>
    <w:rsid w:val="005162F3"/>
    <w:rsid w:val="0051650C"/>
    <w:rsid w:val="00516991"/>
    <w:rsid w:val="005169AD"/>
    <w:rsid w:val="00516C68"/>
    <w:rsid w:val="00516CEE"/>
    <w:rsid w:val="00516DAD"/>
    <w:rsid w:val="005176A5"/>
    <w:rsid w:val="005176CC"/>
    <w:rsid w:val="005208B9"/>
    <w:rsid w:val="00520D55"/>
    <w:rsid w:val="00520F6F"/>
    <w:rsid w:val="00521BC4"/>
    <w:rsid w:val="00521D51"/>
    <w:rsid w:val="005221F0"/>
    <w:rsid w:val="0052238A"/>
    <w:rsid w:val="00522987"/>
    <w:rsid w:val="005229FC"/>
    <w:rsid w:val="0052314A"/>
    <w:rsid w:val="00523656"/>
    <w:rsid w:val="00524089"/>
    <w:rsid w:val="00524502"/>
    <w:rsid w:val="00524807"/>
    <w:rsid w:val="00524C17"/>
    <w:rsid w:val="00524EB6"/>
    <w:rsid w:val="005252FE"/>
    <w:rsid w:val="005254EC"/>
    <w:rsid w:val="00525531"/>
    <w:rsid w:val="005256F4"/>
    <w:rsid w:val="00525CD1"/>
    <w:rsid w:val="00525FF9"/>
    <w:rsid w:val="0052676B"/>
    <w:rsid w:val="0053005C"/>
    <w:rsid w:val="005304F5"/>
    <w:rsid w:val="00530F98"/>
    <w:rsid w:val="00531699"/>
    <w:rsid w:val="00531B9F"/>
    <w:rsid w:val="00532239"/>
    <w:rsid w:val="00532257"/>
    <w:rsid w:val="005323BF"/>
    <w:rsid w:val="0053297B"/>
    <w:rsid w:val="00532991"/>
    <w:rsid w:val="005329C1"/>
    <w:rsid w:val="00532C41"/>
    <w:rsid w:val="00532D3F"/>
    <w:rsid w:val="00533171"/>
    <w:rsid w:val="0053386D"/>
    <w:rsid w:val="0053394F"/>
    <w:rsid w:val="00534700"/>
    <w:rsid w:val="005350DA"/>
    <w:rsid w:val="00535192"/>
    <w:rsid w:val="0053542B"/>
    <w:rsid w:val="005368A0"/>
    <w:rsid w:val="005370F9"/>
    <w:rsid w:val="00537458"/>
    <w:rsid w:val="005376D8"/>
    <w:rsid w:val="005376F4"/>
    <w:rsid w:val="0053779B"/>
    <w:rsid w:val="00537834"/>
    <w:rsid w:val="00537877"/>
    <w:rsid w:val="0053791F"/>
    <w:rsid w:val="00537D0E"/>
    <w:rsid w:val="0054006D"/>
    <w:rsid w:val="0054013C"/>
    <w:rsid w:val="00540214"/>
    <w:rsid w:val="005405A2"/>
    <w:rsid w:val="0054122B"/>
    <w:rsid w:val="00541311"/>
    <w:rsid w:val="00541B55"/>
    <w:rsid w:val="00542146"/>
    <w:rsid w:val="005425FF"/>
    <w:rsid w:val="00542622"/>
    <w:rsid w:val="00542F92"/>
    <w:rsid w:val="005431FC"/>
    <w:rsid w:val="00543219"/>
    <w:rsid w:val="005436B8"/>
    <w:rsid w:val="00544311"/>
    <w:rsid w:val="00544AC4"/>
    <w:rsid w:val="00544DB7"/>
    <w:rsid w:val="0054558B"/>
    <w:rsid w:val="00545EB6"/>
    <w:rsid w:val="00546AD6"/>
    <w:rsid w:val="00546F84"/>
    <w:rsid w:val="00547538"/>
    <w:rsid w:val="005475B5"/>
    <w:rsid w:val="005479B4"/>
    <w:rsid w:val="00547BEC"/>
    <w:rsid w:val="00547E9F"/>
    <w:rsid w:val="00550121"/>
    <w:rsid w:val="005502DD"/>
    <w:rsid w:val="005504ED"/>
    <w:rsid w:val="00550A33"/>
    <w:rsid w:val="00550B7B"/>
    <w:rsid w:val="00550DFF"/>
    <w:rsid w:val="0055109D"/>
    <w:rsid w:val="00551941"/>
    <w:rsid w:val="005519F9"/>
    <w:rsid w:val="00551E34"/>
    <w:rsid w:val="00551F74"/>
    <w:rsid w:val="0055298C"/>
    <w:rsid w:val="005537D5"/>
    <w:rsid w:val="00553BFA"/>
    <w:rsid w:val="00554A9B"/>
    <w:rsid w:val="00554D05"/>
    <w:rsid w:val="00554EBC"/>
    <w:rsid w:val="00554EF5"/>
    <w:rsid w:val="00555266"/>
    <w:rsid w:val="005553D3"/>
    <w:rsid w:val="00555A89"/>
    <w:rsid w:val="0055607F"/>
    <w:rsid w:val="00556350"/>
    <w:rsid w:val="005563F5"/>
    <w:rsid w:val="00556465"/>
    <w:rsid w:val="00557137"/>
    <w:rsid w:val="0055750B"/>
    <w:rsid w:val="00557D96"/>
    <w:rsid w:val="00560000"/>
    <w:rsid w:val="0056024A"/>
    <w:rsid w:val="005604D8"/>
    <w:rsid w:val="0056077E"/>
    <w:rsid w:val="00560EBF"/>
    <w:rsid w:val="00560EDA"/>
    <w:rsid w:val="005612A6"/>
    <w:rsid w:val="00561CC4"/>
    <w:rsid w:val="005622D8"/>
    <w:rsid w:val="005629EE"/>
    <w:rsid w:val="0056347A"/>
    <w:rsid w:val="00564503"/>
    <w:rsid w:val="005648FA"/>
    <w:rsid w:val="00564D50"/>
    <w:rsid w:val="00564FA2"/>
    <w:rsid w:val="00565AC6"/>
    <w:rsid w:val="00565D94"/>
    <w:rsid w:val="00566075"/>
    <w:rsid w:val="005660E1"/>
    <w:rsid w:val="00566244"/>
    <w:rsid w:val="005668CE"/>
    <w:rsid w:val="00567346"/>
    <w:rsid w:val="00567886"/>
    <w:rsid w:val="00570053"/>
    <w:rsid w:val="00570FD3"/>
    <w:rsid w:val="00571D69"/>
    <w:rsid w:val="00571E06"/>
    <w:rsid w:val="00572924"/>
    <w:rsid w:val="00572A01"/>
    <w:rsid w:val="00573602"/>
    <w:rsid w:val="0057371B"/>
    <w:rsid w:val="00573E06"/>
    <w:rsid w:val="00574473"/>
    <w:rsid w:val="0057452B"/>
    <w:rsid w:val="00574CE0"/>
    <w:rsid w:val="005756DA"/>
    <w:rsid w:val="005757B9"/>
    <w:rsid w:val="005758DD"/>
    <w:rsid w:val="0057592B"/>
    <w:rsid w:val="00575C0E"/>
    <w:rsid w:val="00575CF0"/>
    <w:rsid w:val="00575EA5"/>
    <w:rsid w:val="00575EB8"/>
    <w:rsid w:val="0057604C"/>
    <w:rsid w:val="005767EC"/>
    <w:rsid w:val="0057687F"/>
    <w:rsid w:val="00576A9C"/>
    <w:rsid w:val="00576E2C"/>
    <w:rsid w:val="00577567"/>
    <w:rsid w:val="00577771"/>
    <w:rsid w:val="005778DA"/>
    <w:rsid w:val="00577B27"/>
    <w:rsid w:val="00577F5C"/>
    <w:rsid w:val="005808B1"/>
    <w:rsid w:val="00580ACF"/>
    <w:rsid w:val="00580EF6"/>
    <w:rsid w:val="00580F3D"/>
    <w:rsid w:val="00581029"/>
    <w:rsid w:val="005810D9"/>
    <w:rsid w:val="005815A1"/>
    <w:rsid w:val="00581B74"/>
    <w:rsid w:val="00582A9B"/>
    <w:rsid w:val="00582B82"/>
    <w:rsid w:val="00582B8D"/>
    <w:rsid w:val="00582BDE"/>
    <w:rsid w:val="00582DD5"/>
    <w:rsid w:val="005832AB"/>
    <w:rsid w:val="00583A8C"/>
    <w:rsid w:val="00583D66"/>
    <w:rsid w:val="00583F99"/>
    <w:rsid w:val="0058437C"/>
    <w:rsid w:val="005845E0"/>
    <w:rsid w:val="00584A72"/>
    <w:rsid w:val="00585364"/>
    <w:rsid w:val="005855F0"/>
    <w:rsid w:val="0058567B"/>
    <w:rsid w:val="00585915"/>
    <w:rsid w:val="00585C81"/>
    <w:rsid w:val="0058643B"/>
    <w:rsid w:val="00586DB9"/>
    <w:rsid w:val="00590645"/>
    <w:rsid w:val="005907E2"/>
    <w:rsid w:val="00590C6A"/>
    <w:rsid w:val="0059113F"/>
    <w:rsid w:val="00591939"/>
    <w:rsid w:val="00592890"/>
    <w:rsid w:val="005935F4"/>
    <w:rsid w:val="00593E0A"/>
    <w:rsid w:val="00594097"/>
    <w:rsid w:val="0059456B"/>
    <w:rsid w:val="00594874"/>
    <w:rsid w:val="00595258"/>
    <w:rsid w:val="0059559E"/>
    <w:rsid w:val="00595782"/>
    <w:rsid w:val="0059580B"/>
    <w:rsid w:val="00595DC5"/>
    <w:rsid w:val="00596BD6"/>
    <w:rsid w:val="00596D8B"/>
    <w:rsid w:val="00596F17"/>
    <w:rsid w:val="005975B3"/>
    <w:rsid w:val="005A01F8"/>
    <w:rsid w:val="005A0B0E"/>
    <w:rsid w:val="005A0D18"/>
    <w:rsid w:val="005A0ECE"/>
    <w:rsid w:val="005A1470"/>
    <w:rsid w:val="005A167F"/>
    <w:rsid w:val="005A1782"/>
    <w:rsid w:val="005A1807"/>
    <w:rsid w:val="005A1F66"/>
    <w:rsid w:val="005A203D"/>
    <w:rsid w:val="005A21A5"/>
    <w:rsid w:val="005A274F"/>
    <w:rsid w:val="005A346E"/>
    <w:rsid w:val="005A35EF"/>
    <w:rsid w:val="005A3713"/>
    <w:rsid w:val="005A3EF3"/>
    <w:rsid w:val="005A3F4C"/>
    <w:rsid w:val="005A4817"/>
    <w:rsid w:val="005A508A"/>
    <w:rsid w:val="005A5453"/>
    <w:rsid w:val="005A5D17"/>
    <w:rsid w:val="005A6BE8"/>
    <w:rsid w:val="005A73CF"/>
    <w:rsid w:val="005A78FA"/>
    <w:rsid w:val="005B08CB"/>
    <w:rsid w:val="005B0F45"/>
    <w:rsid w:val="005B10CC"/>
    <w:rsid w:val="005B151B"/>
    <w:rsid w:val="005B1849"/>
    <w:rsid w:val="005B25E2"/>
    <w:rsid w:val="005B2DCF"/>
    <w:rsid w:val="005B2EEB"/>
    <w:rsid w:val="005B3F6F"/>
    <w:rsid w:val="005B4344"/>
    <w:rsid w:val="005B501D"/>
    <w:rsid w:val="005B5E2A"/>
    <w:rsid w:val="005B60BB"/>
    <w:rsid w:val="005B626C"/>
    <w:rsid w:val="005B64E4"/>
    <w:rsid w:val="005B67E2"/>
    <w:rsid w:val="005B68E8"/>
    <w:rsid w:val="005B6A2D"/>
    <w:rsid w:val="005B6D21"/>
    <w:rsid w:val="005B6DAC"/>
    <w:rsid w:val="005B754F"/>
    <w:rsid w:val="005B798B"/>
    <w:rsid w:val="005B79A9"/>
    <w:rsid w:val="005B7A14"/>
    <w:rsid w:val="005B7E5C"/>
    <w:rsid w:val="005C09A6"/>
    <w:rsid w:val="005C14A3"/>
    <w:rsid w:val="005C1633"/>
    <w:rsid w:val="005C1B86"/>
    <w:rsid w:val="005C1FAE"/>
    <w:rsid w:val="005C2113"/>
    <w:rsid w:val="005C22E9"/>
    <w:rsid w:val="005C2DC4"/>
    <w:rsid w:val="005C2EE5"/>
    <w:rsid w:val="005C31C5"/>
    <w:rsid w:val="005C365D"/>
    <w:rsid w:val="005C39E8"/>
    <w:rsid w:val="005C3CC1"/>
    <w:rsid w:val="005C40A1"/>
    <w:rsid w:val="005C4CC3"/>
    <w:rsid w:val="005C51FF"/>
    <w:rsid w:val="005C534F"/>
    <w:rsid w:val="005C5438"/>
    <w:rsid w:val="005C5660"/>
    <w:rsid w:val="005C5996"/>
    <w:rsid w:val="005C5A74"/>
    <w:rsid w:val="005C5AF0"/>
    <w:rsid w:val="005C649D"/>
    <w:rsid w:val="005C6A23"/>
    <w:rsid w:val="005C72E3"/>
    <w:rsid w:val="005C763B"/>
    <w:rsid w:val="005C790B"/>
    <w:rsid w:val="005C7A13"/>
    <w:rsid w:val="005C7F8D"/>
    <w:rsid w:val="005D0245"/>
    <w:rsid w:val="005D025E"/>
    <w:rsid w:val="005D082F"/>
    <w:rsid w:val="005D08E6"/>
    <w:rsid w:val="005D1375"/>
    <w:rsid w:val="005D165F"/>
    <w:rsid w:val="005D1E67"/>
    <w:rsid w:val="005D2642"/>
    <w:rsid w:val="005D2A80"/>
    <w:rsid w:val="005D2B3D"/>
    <w:rsid w:val="005D3345"/>
    <w:rsid w:val="005D392A"/>
    <w:rsid w:val="005D4B68"/>
    <w:rsid w:val="005D5248"/>
    <w:rsid w:val="005D59FF"/>
    <w:rsid w:val="005D5A99"/>
    <w:rsid w:val="005D6124"/>
    <w:rsid w:val="005D693F"/>
    <w:rsid w:val="005D69CD"/>
    <w:rsid w:val="005D6CAF"/>
    <w:rsid w:val="005D75C3"/>
    <w:rsid w:val="005D786A"/>
    <w:rsid w:val="005D7F05"/>
    <w:rsid w:val="005E05FB"/>
    <w:rsid w:val="005E0629"/>
    <w:rsid w:val="005E11C1"/>
    <w:rsid w:val="005E11CA"/>
    <w:rsid w:val="005E12B4"/>
    <w:rsid w:val="005E1788"/>
    <w:rsid w:val="005E2563"/>
    <w:rsid w:val="005E2A3D"/>
    <w:rsid w:val="005E2CBE"/>
    <w:rsid w:val="005E3107"/>
    <w:rsid w:val="005E3720"/>
    <w:rsid w:val="005E394C"/>
    <w:rsid w:val="005E42BF"/>
    <w:rsid w:val="005E496B"/>
    <w:rsid w:val="005E4B32"/>
    <w:rsid w:val="005E4E70"/>
    <w:rsid w:val="005E52A2"/>
    <w:rsid w:val="005E56D8"/>
    <w:rsid w:val="005E599F"/>
    <w:rsid w:val="005E5D01"/>
    <w:rsid w:val="005E5FA0"/>
    <w:rsid w:val="005E65BB"/>
    <w:rsid w:val="005E6612"/>
    <w:rsid w:val="005E7CA2"/>
    <w:rsid w:val="005E7DE3"/>
    <w:rsid w:val="005E7F6F"/>
    <w:rsid w:val="005F0523"/>
    <w:rsid w:val="005F0943"/>
    <w:rsid w:val="005F099F"/>
    <w:rsid w:val="005F0BCA"/>
    <w:rsid w:val="005F0DA0"/>
    <w:rsid w:val="005F1464"/>
    <w:rsid w:val="005F1947"/>
    <w:rsid w:val="005F2767"/>
    <w:rsid w:val="005F2DBC"/>
    <w:rsid w:val="005F2DE5"/>
    <w:rsid w:val="005F3382"/>
    <w:rsid w:val="005F3775"/>
    <w:rsid w:val="005F3A22"/>
    <w:rsid w:val="005F485D"/>
    <w:rsid w:val="005F4914"/>
    <w:rsid w:val="005F4FBE"/>
    <w:rsid w:val="005F50C2"/>
    <w:rsid w:val="005F5F43"/>
    <w:rsid w:val="005F62B7"/>
    <w:rsid w:val="005F6830"/>
    <w:rsid w:val="005F6869"/>
    <w:rsid w:val="005F6BB9"/>
    <w:rsid w:val="005F6DF7"/>
    <w:rsid w:val="005F6F9A"/>
    <w:rsid w:val="005F7682"/>
    <w:rsid w:val="005F7E32"/>
    <w:rsid w:val="006007A9"/>
    <w:rsid w:val="006011C5"/>
    <w:rsid w:val="00601AF9"/>
    <w:rsid w:val="00601F5D"/>
    <w:rsid w:val="00601FD8"/>
    <w:rsid w:val="00602204"/>
    <w:rsid w:val="0060253D"/>
    <w:rsid w:val="0060273D"/>
    <w:rsid w:val="00602D11"/>
    <w:rsid w:val="00603148"/>
    <w:rsid w:val="0060324F"/>
    <w:rsid w:val="006036E0"/>
    <w:rsid w:val="00604CDF"/>
    <w:rsid w:val="006051DD"/>
    <w:rsid w:val="00605463"/>
    <w:rsid w:val="0060592A"/>
    <w:rsid w:val="00606119"/>
    <w:rsid w:val="00606833"/>
    <w:rsid w:val="00606FC7"/>
    <w:rsid w:val="0060780C"/>
    <w:rsid w:val="00607A64"/>
    <w:rsid w:val="00607ACA"/>
    <w:rsid w:val="00607B31"/>
    <w:rsid w:val="006100EA"/>
    <w:rsid w:val="00610217"/>
    <w:rsid w:val="00610456"/>
    <w:rsid w:val="00610AB8"/>
    <w:rsid w:val="00610CC4"/>
    <w:rsid w:val="00611177"/>
    <w:rsid w:val="00611193"/>
    <w:rsid w:val="006111D4"/>
    <w:rsid w:val="00611473"/>
    <w:rsid w:val="00611B36"/>
    <w:rsid w:val="00611B6B"/>
    <w:rsid w:val="00611E46"/>
    <w:rsid w:val="00612D5D"/>
    <w:rsid w:val="00612E3F"/>
    <w:rsid w:val="006134E4"/>
    <w:rsid w:val="00613719"/>
    <w:rsid w:val="00613A34"/>
    <w:rsid w:val="00613D67"/>
    <w:rsid w:val="006141F2"/>
    <w:rsid w:val="00614310"/>
    <w:rsid w:val="00614BA7"/>
    <w:rsid w:val="0061530D"/>
    <w:rsid w:val="00615533"/>
    <w:rsid w:val="00615695"/>
    <w:rsid w:val="00615ACA"/>
    <w:rsid w:val="00615ADA"/>
    <w:rsid w:val="00615EFA"/>
    <w:rsid w:val="006160DF"/>
    <w:rsid w:val="006169BC"/>
    <w:rsid w:val="00616C4B"/>
    <w:rsid w:val="006176E0"/>
    <w:rsid w:val="00617D24"/>
    <w:rsid w:val="006205AE"/>
    <w:rsid w:val="006217F4"/>
    <w:rsid w:val="0062205F"/>
    <w:rsid w:val="006220AA"/>
    <w:rsid w:val="006221CD"/>
    <w:rsid w:val="006224BE"/>
    <w:rsid w:val="00623522"/>
    <w:rsid w:val="00623ABF"/>
    <w:rsid w:val="00623F38"/>
    <w:rsid w:val="0062433D"/>
    <w:rsid w:val="0062458D"/>
    <w:rsid w:val="00624D04"/>
    <w:rsid w:val="00625327"/>
    <w:rsid w:val="006259C6"/>
    <w:rsid w:val="00625CA8"/>
    <w:rsid w:val="00625FC9"/>
    <w:rsid w:val="006266A9"/>
    <w:rsid w:val="00626C36"/>
    <w:rsid w:val="00627019"/>
    <w:rsid w:val="0062753F"/>
    <w:rsid w:val="00627613"/>
    <w:rsid w:val="00627B43"/>
    <w:rsid w:val="00627DA7"/>
    <w:rsid w:val="00630124"/>
    <w:rsid w:val="00630426"/>
    <w:rsid w:val="00630543"/>
    <w:rsid w:val="00630764"/>
    <w:rsid w:val="00630E6A"/>
    <w:rsid w:val="0063132F"/>
    <w:rsid w:val="006316C1"/>
    <w:rsid w:val="00631A40"/>
    <w:rsid w:val="00631ED4"/>
    <w:rsid w:val="00631FB6"/>
    <w:rsid w:val="0063255E"/>
    <w:rsid w:val="0063310F"/>
    <w:rsid w:val="006334EA"/>
    <w:rsid w:val="00633A55"/>
    <w:rsid w:val="00633BC7"/>
    <w:rsid w:val="00633E2C"/>
    <w:rsid w:val="0063400B"/>
    <w:rsid w:val="0063410A"/>
    <w:rsid w:val="00635100"/>
    <w:rsid w:val="00635155"/>
    <w:rsid w:val="006351D2"/>
    <w:rsid w:val="006357FD"/>
    <w:rsid w:val="00635AC7"/>
    <w:rsid w:val="00635E9C"/>
    <w:rsid w:val="006362D8"/>
    <w:rsid w:val="00636B94"/>
    <w:rsid w:val="00636D1A"/>
    <w:rsid w:val="006372BA"/>
    <w:rsid w:val="006373CB"/>
    <w:rsid w:val="00637435"/>
    <w:rsid w:val="00637B41"/>
    <w:rsid w:val="006403DF"/>
    <w:rsid w:val="006407F0"/>
    <w:rsid w:val="00640CCA"/>
    <w:rsid w:val="00640CF1"/>
    <w:rsid w:val="0064148D"/>
    <w:rsid w:val="006414EE"/>
    <w:rsid w:val="00641760"/>
    <w:rsid w:val="00642524"/>
    <w:rsid w:val="00642D0A"/>
    <w:rsid w:val="006433ED"/>
    <w:rsid w:val="0064468A"/>
    <w:rsid w:val="00645558"/>
    <w:rsid w:val="006460B8"/>
    <w:rsid w:val="0064630E"/>
    <w:rsid w:val="006465A6"/>
    <w:rsid w:val="00646FE1"/>
    <w:rsid w:val="00647075"/>
    <w:rsid w:val="006474C1"/>
    <w:rsid w:val="006476C1"/>
    <w:rsid w:val="00647BEB"/>
    <w:rsid w:val="006502F4"/>
    <w:rsid w:val="006507DD"/>
    <w:rsid w:val="00650C3A"/>
    <w:rsid w:val="006514CE"/>
    <w:rsid w:val="006518E3"/>
    <w:rsid w:val="00651C3C"/>
    <w:rsid w:val="00651CA1"/>
    <w:rsid w:val="00652671"/>
    <w:rsid w:val="00652696"/>
    <w:rsid w:val="006528EC"/>
    <w:rsid w:val="00652A97"/>
    <w:rsid w:val="00652C8C"/>
    <w:rsid w:val="00653187"/>
    <w:rsid w:val="00653240"/>
    <w:rsid w:val="00653290"/>
    <w:rsid w:val="006532B8"/>
    <w:rsid w:val="00653475"/>
    <w:rsid w:val="006536E6"/>
    <w:rsid w:val="0065411E"/>
    <w:rsid w:val="00654240"/>
    <w:rsid w:val="00654CDC"/>
    <w:rsid w:val="006551DF"/>
    <w:rsid w:val="0065581D"/>
    <w:rsid w:val="00655C2F"/>
    <w:rsid w:val="00655F6D"/>
    <w:rsid w:val="0065608B"/>
    <w:rsid w:val="006562F4"/>
    <w:rsid w:val="00656DA7"/>
    <w:rsid w:val="00656FDC"/>
    <w:rsid w:val="00657184"/>
    <w:rsid w:val="006575E7"/>
    <w:rsid w:val="0065767C"/>
    <w:rsid w:val="00660403"/>
    <w:rsid w:val="00660735"/>
    <w:rsid w:val="00660EF8"/>
    <w:rsid w:val="00661140"/>
    <w:rsid w:val="00661191"/>
    <w:rsid w:val="00661244"/>
    <w:rsid w:val="006613CE"/>
    <w:rsid w:val="00661E82"/>
    <w:rsid w:val="00662002"/>
    <w:rsid w:val="00662007"/>
    <w:rsid w:val="0066216D"/>
    <w:rsid w:val="006623DB"/>
    <w:rsid w:val="00662EF0"/>
    <w:rsid w:val="0066344C"/>
    <w:rsid w:val="00663485"/>
    <w:rsid w:val="00663662"/>
    <w:rsid w:val="00663C8A"/>
    <w:rsid w:val="00664140"/>
    <w:rsid w:val="00665116"/>
    <w:rsid w:val="006654D7"/>
    <w:rsid w:val="006657C3"/>
    <w:rsid w:val="00665BA1"/>
    <w:rsid w:val="00665E11"/>
    <w:rsid w:val="0066615D"/>
    <w:rsid w:val="00666204"/>
    <w:rsid w:val="00666390"/>
    <w:rsid w:val="00667858"/>
    <w:rsid w:val="00667991"/>
    <w:rsid w:val="006679D6"/>
    <w:rsid w:val="0067016C"/>
    <w:rsid w:val="00670BA1"/>
    <w:rsid w:val="00670C24"/>
    <w:rsid w:val="00670F68"/>
    <w:rsid w:val="006710DD"/>
    <w:rsid w:val="006713E8"/>
    <w:rsid w:val="00671EF3"/>
    <w:rsid w:val="00673200"/>
    <w:rsid w:val="00673C0D"/>
    <w:rsid w:val="00673EA1"/>
    <w:rsid w:val="0067446C"/>
    <w:rsid w:val="0067501E"/>
    <w:rsid w:val="00675EFF"/>
    <w:rsid w:val="0067614E"/>
    <w:rsid w:val="0067633D"/>
    <w:rsid w:val="006765E9"/>
    <w:rsid w:val="00676940"/>
    <w:rsid w:val="006771B1"/>
    <w:rsid w:val="0067728D"/>
    <w:rsid w:val="006773D2"/>
    <w:rsid w:val="00677E71"/>
    <w:rsid w:val="00677EA0"/>
    <w:rsid w:val="00677F53"/>
    <w:rsid w:val="00677F98"/>
    <w:rsid w:val="00680581"/>
    <w:rsid w:val="006817BA"/>
    <w:rsid w:val="00681A41"/>
    <w:rsid w:val="00681AAE"/>
    <w:rsid w:val="006821B2"/>
    <w:rsid w:val="00682B6B"/>
    <w:rsid w:val="006831E5"/>
    <w:rsid w:val="006838C0"/>
    <w:rsid w:val="00683936"/>
    <w:rsid w:val="00683A69"/>
    <w:rsid w:val="00683A7E"/>
    <w:rsid w:val="00683C2E"/>
    <w:rsid w:val="00683F80"/>
    <w:rsid w:val="006843FC"/>
    <w:rsid w:val="006849AF"/>
    <w:rsid w:val="00684D2D"/>
    <w:rsid w:val="00684F3F"/>
    <w:rsid w:val="00685064"/>
    <w:rsid w:val="006857F9"/>
    <w:rsid w:val="00685828"/>
    <w:rsid w:val="00685901"/>
    <w:rsid w:val="00685BB9"/>
    <w:rsid w:val="00686818"/>
    <w:rsid w:val="00686C73"/>
    <w:rsid w:val="00686E46"/>
    <w:rsid w:val="00687171"/>
    <w:rsid w:val="006874CB"/>
    <w:rsid w:val="00690127"/>
    <w:rsid w:val="0069063B"/>
    <w:rsid w:val="006906C4"/>
    <w:rsid w:val="00690E3C"/>
    <w:rsid w:val="00690FF2"/>
    <w:rsid w:val="00691714"/>
    <w:rsid w:val="00691922"/>
    <w:rsid w:val="00691BFF"/>
    <w:rsid w:val="00692013"/>
    <w:rsid w:val="0069365C"/>
    <w:rsid w:val="00693BFE"/>
    <w:rsid w:val="00693D1F"/>
    <w:rsid w:val="00694D23"/>
    <w:rsid w:val="00694F41"/>
    <w:rsid w:val="006953C1"/>
    <w:rsid w:val="006955AE"/>
    <w:rsid w:val="00695AFC"/>
    <w:rsid w:val="00696B8F"/>
    <w:rsid w:val="00696D17"/>
    <w:rsid w:val="00696EB2"/>
    <w:rsid w:val="006A0F35"/>
    <w:rsid w:val="006A1432"/>
    <w:rsid w:val="006A169F"/>
    <w:rsid w:val="006A16E4"/>
    <w:rsid w:val="006A16E9"/>
    <w:rsid w:val="006A1EBC"/>
    <w:rsid w:val="006A209F"/>
    <w:rsid w:val="006A229A"/>
    <w:rsid w:val="006A2BA3"/>
    <w:rsid w:val="006A3312"/>
    <w:rsid w:val="006A335F"/>
    <w:rsid w:val="006A34D6"/>
    <w:rsid w:val="006A378D"/>
    <w:rsid w:val="006A3A62"/>
    <w:rsid w:val="006A3AB9"/>
    <w:rsid w:val="006A3F66"/>
    <w:rsid w:val="006A4110"/>
    <w:rsid w:val="006A5450"/>
    <w:rsid w:val="006A5899"/>
    <w:rsid w:val="006A638D"/>
    <w:rsid w:val="006A6410"/>
    <w:rsid w:val="006A672B"/>
    <w:rsid w:val="006B00DE"/>
    <w:rsid w:val="006B0199"/>
    <w:rsid w:val="006B01C1"/>
    <w:rsid w:val="006B01F4"/>
    <w:rsid w:val="006B0A32"/>
    <w:rsid w:val="006B0BD8"/>
    <w:rsid w:val="006B1275"/>
    <w:rsid w:val="006B136B"/>
    <w:rsid w:val="006B1562"/>
    <w:rsid w:val="006B161D"/>
    <w:rsid w:val="006B2AFA"/>
    <w:rsid w:val="006B3A79"/>
    <w:rsid w:val="006B3BF0"/>
    <w:rsid w:val="006B4557"/>
    <w:rsid w:val="006B4644"/>
    <w:rsid w:val="006B48F4"/>
    <w:rsid w:val="006B53F0"/>
    <w:rsid w:val="006B607E"/>
    <w:rsid w:val="006B63CC"/>
    <w:rsid w:val="006B65BF"/>
    <w:rsid w:val="006B670F"/>
    <w:rsid w:val="006B7320"/>
    <w:rsid w:val="006B76D2"/>
    <w:rsid w:val="006B7774"/>
    <w:rsid w:val="006B77A0"/>
    <w:rsid w:val="006B792B"/>
    <w:rsid w:val="006B7B12"/>
    <w:rsid w:val="006B7EA8"/>
    <w:rsid w:val="006B7F21"/>
    <w:rsid w:val="006C00F4"/>
    <w:rsid w:val="006C0251"/>
    <w:rsid w:val="006C0D62"/>
    <w:rsid w:val="006C0FB7"/>
    <w:rsid w:val="006C193E"/>
    <w:rsid w:val="006C1F97"/>
    <w:rsid w:val="006C2128"/>
    <w:rsid w:val="006C216D"/>
    <w:rsid w:val="006C283D"/>
    <w:rsid w:val="006C2AA3"/>
    <w:rsid w:val="006C2B9A"/>
    <w:rsid w:val="006C32E8"/>
    <w:rsid w:val="006C39BB"/>
    <w:rsid w:val="006C3F1E"/>
    <w:rsid w:val="006C42DC"/>
    <w:rsid w:val="006C4502"/>
    <w:rsid w:val="006C534F"/>
    <w:rsid w:val="006C6114"/>
    <w:rsid w:val="006C7F21"/>
    <w:rsid w:val="006D02D2"/>
    <w:rsid w:val="006D05F7"/>
    <w:rsid w:val="006D06F7"/>
    <w:rsid w:val="006D0CB3"/>
    <w:rsid w:val="006D1308"/>
    <w:rsid w:val="006D191F"/>
    <w:rsid w:val="006D206C"/>
    <w:rsid w:val="006D2288"/>
    <w:rsid w:val="006D280E"/>
    <w:rsid w:val="006D2AEC"/>
    <w:rsid w:val="006D3778"/>
    <w:rsid w:val="006D391B"/>
    <w:rsid w:val="006D3AC3"/>
    <w:rsid w:val="006D4424"/>
    <w:rsid w:val="006D4464"/>
    <w:rsid w:val="006D4B3E"/>
    <w:rsid w:val="006D4E37"/>
    <w:rsid w:val="006D54D9"/>
    <w:rsid w:val="006D56FF"/>
    <w:rsid w:val="006D5E91"/>
    <w:rsid w:val="006D6106"/>
    <w:rsid w:val="006D619C"/>
    <w:rsid w:val="006D6293"/>
    <w:rsid w:val="006D7045"/>
    <w:rsid w:val="006D7127"/>
    <w:rsid w:val="006D717A"/>
    <w:rsid w:val="006D72EF"/>
    <w:rsid w:val="006D740D"/>
    <w:rsid w:val="006D79D7"/>
    <w:rsid w:val="006E0255"/>
    <w:rsid w:val="006E0DE9"/>
    <w:rsid w:val="006E12B6"/>
    <w:rsid w:val="006E1454"/>
    <w:rsid w:val="006E14E6"/>
    <w:rsid w:val="006E176E"/>
    <w:rsid w:val="006E1AEE"/>
    <w:rsid w:val="006E2B76"/>
    <w:rsid w:val="006E2CF1"/>
    <w:rsid w:val="006E2F52"/>
    <w:rsid w:val="006E3064"/>
    <w:rsid w:val="006E32A9"/>
    <w:rsid w:val="006E3402"/>
    <w:rsid w:val="006E36C6"/>
    <w:rsid w:val="006E3922"/>
    <w:rsid w:val="006E3AFA"/>
    <w:rsid w:val="006E3B9C"/>
    <w:rsid w:val="006E4685"/>
    <w:rsid w:val="006E4FF6"/>
    <w:rsid w:val="006E51A2"/>
    <w:rsid w:val="006E546B"/>
    <w:rsid w:val="006E56FE"/>
    <w:rsid w:val="006E57AB"/>
    <w:rsid w:val="006E6046"/>
    <w:rsid w:val="006E617D"/>
    <w:rsid w:val="006E7218"/>
    <w:rsid w:val="006E729A"/>
    <w:rsid w:val="006E76CC"/>
    <w:rsid w:val="006E78B4"/>
    <w:rsid w:val="006E79C7"/>
    <w:rsid w:val="006F032A"/>
    <w:rsid w:val="006F0B8B"/>
    <w:rsid w:val="006F0DE2"/>
    <w:rsid w:val="006F11BD"/>
    <w:rsid w:val="006F15D5"/>
    <w:rsid w:val="006F196D"/>
    <w:rsid w:val="006F1BB3"/>
    <w:rsid w:val="006F2292"/>
    <w:rsid w:val="006F25B4"/>
    <w:rsid w:val="006F2803"/>
    <w:rsid w:val="006F3294"/>
    <w:rsid w:val="006F32C7"/>
    <w:rsid w:val="006F32FE"/>
    <w:rsid w:val="006F3495"/>
    <w:rsid w:val="006F417D"/>
    <w:rsid w:val="006F48D9"/>
    <w:rsid w:val="006F48F7"/>
    <w:rsid w:val="006F5050"/>
    <w:rsid w:val="006F5347"/>
    <w:rsid w:val="006F53E2"/>
    <w:rsid w:val="006F598E"/>
    <w:rsid w:val="006F5C83"/>
    <w:rsid w:val="006F6057"/>
    <w:rsid w:val="006F67CC"/>
    <w:rsid w:val="006F6B89"/>
    <w:rsid w:val="006F75CA"/>
    <w:rsid w:val="006F7775"/>
    <w:rsid w:val="006F789B"/>
    <w:rsid w:val="00700973"/>
    <w:rsid w:val="00701988"/>
    <w:rsid w:val="00701C2D"/>
    <w:rsid w:val="00701C6E"/>
    <w:rsid w:val="00702162"/>
    <w:rsid w:val="007022BB"/>
    <w:rsid w:val="007028CE"/>
    <w:rsid w:val="007029A5"/>
    <w:rsid w:val="00702C6E"/>
    <w:rsid w:val="00702EDB"/>
    <w:rsid w:val="00703930"/>
    <w:rsid w:val="00704628"/>
    <w:rsid w:val="007046D6"/>
    <w:rsid w:val="00704812"/>
    <w:rsid w:val="00704C10"/>
    <w:rsid w:val="007059A3"/>
    <w:rsid w:val="0070610E"/>
    <w:rsid w:val="00706704"/>
    <w:rsid w:val="00706738"/>
    <w:rsid w:val="00706A74"/>
    <w:rsid w:val="0070707B"/>
    <w:rsid w:val="0070728D"/>
    <w:rsid w:val="007073FE"/>
    <w:rsid w:val="00707759"/>
    <w:rsid w:val="00707D55"/>
    <w:rsid w:val="00707EDF"/>
    <w:rsid w:val="00710081"/>
    <w:rsid w:val="00710928"/>
    <w:rsid w:val="00710B0D"/>
    <w:rsid w:val="00710CCE"/>
    <w:rsid w:val="0071176A"/>
    <w:rsid w:val="007117F3"/>
    <w:rsid w:val="0071181F"/>
    <w:rsid w:val="0071261F"/>
    <w:rsid w:val="007129FF"/>
    <w:rsid w:val="007132E7"/>
    <w:rsid w:val="00713769"/>
    <w:rsid w:val="00713828"/>
    <w:rsid w:val="00713CB5"/>
    <w:rsid w:val="00714092"/>
    <w:rsid w:val="00714207"/>
    <w:rsid w:val="00714244"/>
    <w:rsid w:val="00714398"/>
    <w:rsid w:val="00714745"/>
    <w:rsid w:val="00714E3F"/>
    <w:rsid w:val="00715114"/>
    <w:rsid w:val="007152D2"/>
    <w:rsid w:val="0071558B"/>
    <w:rsid w:val="007156A9"/>
    <w:rsid w:val="00715C1D"/>
    <w:rsid w:val="00716301"/>
    <w:rsid w:val="007168DA"/>
    <w:rsid w:val="00716E32"/>
    <w:rsid w:val="00717364"/>
    <w:rsid w:val="0071776A"/>
    <w:rsid w:val="00720196"/>
    <w:rsid w:val="0072029E"/>
    <w:rsid w:val="00721189"/>
    <w:rsid w:val="00721AB0"/>
    <w:rsid w:val="007221C3"/>
    <w:rsid w:val="007222D9"/>
    <w:rsid w:val="00722CAB"/>
    <w:rsid w:val="00722F0B"/>
    <w:rsid w:val="00722F2C"/>
    <w:rsid w:val="00723168"/>
    <w:rsid w:val="007239F8"/>
    <w:rsid w:val="00723A12"/>
    <w:rsid w:val="00723B9B"/>
    <w:rsid w:val="00723C76"/>
    <w:rsid w:val="00723EA1"/>
    <w:rsid w:val="00723F1B"/>
    <w:rsid w:val="007248C3"/>
    <w:rsid w:val="00724A47"/>
    <w:rsid w:val="00724C22"/>
    <w:rsid w:val="007254D1"/>
    <w:rsid w:val="00725B32"/>
    <w:rsid w:val="00725B3C"/>
    <w:rsid w:val="007264D1"/>
    <w:rsid w:val="00726C7A"/>
    <w:rsid w:val="0072723F"/>
    <w:rsid w:val="0072785E"/>
    <w:rsid w:val="007302BB"/>
    <w:rsid w:val="007309C4"/>
    <w:rsid w:val="00730E89"/>
    <w:rsid w:val="00731E4B"/>
    <w:rsid w:val="00731F1F"/>
    <w:rsid w:val="007320D7"/>
    <w:rsid w:val="00732AF9"/>
    <w:rsid w:val="007334AD"/>
    <w:rsid w:val="00733CFF"/>
    <w:rsid w:val="00733D54"/>
    <w:rsid w:val="00735575"/>
    <w:rsid w:val="007358BF"/>
    <w:rsid w:val="00735B65"/>
    <w:rsid w:val="00735DF1"/>
    <w:rsid w:val="00736724"/>
    <w:rsid w:val="00736776"/>
    <w:rsid w:val="00736A4F"/>
    <w:rsid w:val="00736ABA"/>
    <w:rsid w:val="00736D1C"/>
    <w:rsid w:val="00737029"/>
    <w:rsid w:val="007370D1"/>
    <w:rsid w:val="00737753"/>
    <w:rsid w:val="00737768"/>
    <w:rsid w:val="00737992"/>
    <w:rsid w:val="00740599"/>
    <w:rsid w:val="00740CE9"/>
    <w:rsid w:val="00741849"/>
    <w:rsid w:val="007419E5"/>
    <w:rsid w:val="007419E7"/>
    <w:rsid w:val="00741E21"/>
    <w:rsid w:val="007428E3"/>
    <w:rsid w:val="00742B27"/>
    <w:rsid w:val="00743091"/>
    <w:rsid w:val="0074367B"/>
    <w:rsid w:val="0074394E"/>
    <w:rsid w:val="00743C1C"/>
    <w:rsid w:val="007441D5"/>
    <w:rsid w:val="007441EF"/>
    <w:rsid w:val="0074422D"/>
    <w:rsid w:val="007447C7"/>
    <w:rsid w:val="007447FE"/>
    <w:rsid w:val="00744DCE"/>
    <w:rsid w:val="00744F1D"/>
    <w:rsid w:val="00744F42"/>
    <w:rsid w:val="007450B1"/>
    <w:rsid w:val="007451BC"/>
    <w:rsid w:val="007451F9"/>
    <w:rsid w:val="00745560"/>
    <w:rsid w:val="00745D93"/>
    <w:rsid w:val="00745E6D"/>
    <w:rsid w:val="0074602C"/>
    <w:rsid w:val="00746B67"/>
    <w:rsid w:val="007475CA"/>
    <w:rsid w:val="00747E46"/>
    <w:rsid w:val="007501D0"/>
    <w:rsid w:val="00750D0A"/>
    <w:rsid w:val="0075195C"/>
    <w:rsid w:val="00751BC4"/>
    <w:rsid w:val="00751D93"/>
    <w:rsid w:val="00752042"/>
    <w:rsid w:val="00752300"/>
    <w:rsid w:val="00752410"/>
    <w:rsid w:val="0075271D"/>
    <w:rsid w:val="00753BF5"/>
    <w:rsid w:val="00753D3A"/>
    <w:rsid w:val="00753E91"/>
    <w:rsid w:val="007546F8"/>
    <w:rsid w:val="0075502D"/>
    <w:rsid w:val="0075579B"/>
    <w:rsid w:val="00755BAB"/>
    <w:rsid w:val="007562E1"/>
    <w:rsid w:val="0075672A"/>
    <w:rsid w:val="00756875"/>
    <w:rsid w:val="007570D4"/>
    <w:rsid w:val="007571B9"/>
    <w:rsid w:val="00757480"/>
    <w:rsid w:val="00757A6C"/>
    <w:rsid w:val="00757BCB"/>
    <w:rsid w:val="00757C49"/>
    <w:rsid w:val="00760401"/>
    <w:rsid w:val="0076080E"/>
    <w:rsid w:val="00761268"/>
    <w:rsid w:val="00761435"/>
    <w:rsid w:val="00761D3E"/>
    <w:rsid w:val="00762B46"/>
    <w:rsid w:val="00762D91"/>
    <w:rsid w:val="00763385"/>
    <w:rsid w:val="00763D7D"/>
    <w:rsid w:val="00763DC0"/>
    <w:rsid w:val="00764091"/>
    <w:rsid w:val="0076411D"/>
    <w:rsid w:val="007643F1"/>
    <w:rsid w:val="00764597"/>
    <w:rsid w:val="007648CA"/>
    <w:rsid w:val="00764B85"/>
    <w:rsid w:val="00765587"/>
    <w:rsid w:val="00766090"/>
    <w:rsid w:val="00766493"/>
    <w:rsid w:val="007667CC"/>
    <w:rsid w:val="0076697B"/>
    <w:rsid w:val="007669C7"/>
    <w:rsid w:val="007670F8"/>
    <w:rsid w:val="007671D4"/>
    <w:rsid w:val="0077028C"/>
    <w:rsid w:val="00770468"/>
    <w:rsid w:val="00770A85"/>
    <w:rsid w:val="00770AEF"/>
    <w:rsid w:val="00770CF7"/>
    <w:rsid w:val="007711F8"/>
    <w:rsid w:val="007715D7"/>
    <w:rsid w:val="00772A95"/>
    <w:rsid w:val="00772C8F"/>
    <w:rsid w:val="0077350D"/>
    <w:rsid w:val="0077367E"/>
    <w:rsid w:val="00773DC9"/>
    <w:rsid w:val="0077447A"/>
    <w:rsid w:val="007751B0"/>
    <w:rsid w:val="0077572E"/>
    <w:rsid w:val="00775CDA"/>
    <w:rsid w:val="00775FE7"/>
    <w:rsid w:val="007761C5"/>
    <w:rsid w:val="00776F6D"/>
    <w:rsid w:val="00777214"/>
    <w:rsid w:val="0077740F"/>
    <w:rsid w:val="00777ACD"/>
    <w:rsid w:val="00777B52"/>
    <w:rsid w:val="00777BE4"/>
    <w:rsid w:val="0078031B"/>
    <w:rsid w:val="0078076E"/>
    <w:rsid w:val="00780BBF"/>
    <w:rsid w:val="007813E4"/>
    <w:rsid w:val="00781AEB"/>
    <w:rsid w:val="00781ED2"/>
    <w:rsid w:val="00782720"/>
    <w:rsid w:val="00782C5C"/>
    <w:rsid w:val="00783731"/>
    <w:rsid w:val="00783B82"/>
    <w:rsid w:val="00783F19"/>
    <w:rsid w:val="00784F44"/>
    <w:rsid w:val="00784F9D"/>
    <w:rsid w:val="0078583F"/>
    <w:rsid w:val="00785E9D"/>
    <w:rsid w:val="00786672"/>
    <w:rsid w:val="0078683B"/>
    <w:rsid w:val="007868B6"/>
    <w:rsid w:val="0078693D"/>
    <w:rsid w:val="00786976"/>
    <w:rsid w:val="00786AAA"/>
    <w:rsid w:val="00786CFB"/>
    <w:rsid w:val="00786EC2"/>
    <w:rsid w:val="0078715D"/>
    <w:rsid w:val="007872CF"/>
    <w:rsid w:val="0079052D"/>
    <w:rsid w:val="00790DE8"/>
    <w:rsid w:val="00791550"/>
    <w:rsid w:val="00791748"/>
    <w:rsid w:val="00791F7A"/>
    <w:rsid w:val="0079201C"/>
    <w:rsid w:val="0079307F"/>
    <w:rsid w:val="007936A9"/>
    <w:rsid w:val="00793757"/>
    <w:rsid w:val="00793802"/>
    <w:rsid w:val="00793C92"/>
    <w:rsid w:val="007940C5"/>
    <w:rsid w:val="00794141"/>
    <w:rsid w:val="007947C4"/>
    <w:rsid w:val="00794AE5"/>
    <w:rsid w:val="0079557B"/>
    <w:rsid w:val="0079594D"/>
    <w:rsid w:val="00795CE1"/>
    <w:rsid w:val="007964A3"/>
    <w:rsid w:val="00796541"/>
    <w:rsid w:val="007A0263"/>
    <w:rsid w:val="007A0646"/>
    <w:rsid w:val="007A06AC"/>
    <w:rsid w:val="007A0C63"/>
    <w:rsid w:val="007A1544"/>
    <w:rsid w:val="007A177E"/>
    <w:rsid w:val="007A183A"/>
    <w:rsid w:val="007A225C"/>
    <w:rsid w:val="007A24B1"/>
    <w:rsid w:val="007A309F"/>
    <w:rsid w:val="007A331F"/>
    <w:rsid w:val="007A3F3F"/>
    <w:rsid w:val="007A4053"/>
    <w:rsid w:val="007A43D7"/>
    <w:rsid w:val="007A4636"/>
    <w:rsid w:val="007A4B68"/>
    <w:rsid w:val="007A5047"/>
    <w:rsid w:val="007A566D"/>
    <w:rsid w:val="007A5AD4"/>
    <w:rsid w:val="007A5E9E"/>
    <w:rsid w:val="007A614D"/>
    <w:rsid w:val="007A61FD"/>
    <w:rsid w:val="007A6A27"/>
    <w:rsid w:val="007A74C5"/>
    <w:rsid w:val="007A76F8"/>
    <w:rsid w:val="007A7E61"/>
    <w:rsid w:val="007A7EF4"/>
    <w:rsid w:val="007A7F55"/>
    <w:rsid w:val="007B0096"/>
    <w:rsid w:val="007B01D5"/>
    <w:rsid w:val="007B06FD"/>
    <w:rsid w:val="007B0728"/>
    <w:rsid w:val="007B0971"/>
    <w:rsid w:val="007B1014"/>
    <w:rsid w:val="007B103F"/>
    <w:rsid w:val="007B1484"/>
    <w:rsid w:val="007B1A10"/>
    <w:rsid w:val="007B1E31"/>
    <w:rsid w:val="007B1E7B"/>
    <w:rsid w:val="007B1F1E"/>
    <w:rsid w:val="007B207A"/>
    <w:rsid w:val="007B240E"/>
    <w:rsid w:val="007B30B8"/>
    <w:rsid w:val="007B31AB"/>
    <w:rsid w:val="007B31B0"/>
    <w:rsid w:val="007B31F3"/>
    <w:rsid w:val="007B3268"/>
    <w:rsid w:val="007B3B15"/>
    <w:rsid w:val="007B42D3"/>
    <w:rsid w:val="007B46D9"/>
    <w:rsid w:val="007B5523"/>
    <w:rsid w:val="007B6659"/>
    <w:rsid w:val="007B6C39"/>
    <w:rsid w:val="007B6CCD"/>
    <w:rsid w:val="007B7067"/>
    <w:rsid w:val="007B76AB"/>
    <w:rsid w:val="007B7DBD"/>
    <w:rsid w:val="007C016A"/>
    <w:rsid w:val="007C02B1"/>
    <w:rsid w:val="007C0835"/>
    <w:rsid w:val="007C0975"/>
    <w:rsid w:val="007C1197"/>
    <w:rsid w:val="007C12E4"/>
    <w:rsid w:val="007C19C4"/>
    <w:rsid w:val="007C3008"/>
    <w:rsid w:val="007C3011"/>
    <w:rsid w:val="007C3491"/>
    <w:rsid w:val="007C380C"/>
    <w:rsid w:val="007C4143"/>
    <w:rsid w:val="007C41CC"/>
    <w:rsid w:val="007C45D3"/>
    <w:rsid w:val="007C54CD"/>
    <w:rsid w:val="007C5561"/>
    <w:rsid w:val="007C55FE"/>
    <w:rsid w:val="007C5816"/>
    <w:rsid w:val="007C597B"/>
    <w:rsid w:val="007C5CC6"/>
    <w:rsid w:val="007C5E4E"/>
    <w:rsid w:val="007C607D"/>
    <w:rsid w:val="007C6115"/>
    <w:rsid w:val="007C63A8"/>
    <w:rsid w:val="007C65B0"/>
    <w:rsid w:val="007C68BF"/>
    <w:rsid w:val="007C692F"/>
    <w:rsid w:val="007C6C72"/>
    <w:rsid w:val="007C6E97"/>
    <w:rsid w:val="007C760C"/>
    <w:rsid w:val="007C7F11"/>
    <w:rsid w:val="007C7FDE"/>
    <w:rsid w:val="007D08FD"/>
    <w:rsid w:val="007D0E57"/>
    <w:rsid w:val="007D0E9B"/>
    <w:rsid w:val="007D1584"/>
    <w:rsid w:val="007D1A7A"/>
    <w:rsid w:val="007D2044"/>
    <w:rsid w:val="007D2561"/>
    <w:rsid w:val="007D316F"/>
    <w:rsid w:val="007D3292"/>
    <w:rsid w:val="007D3596"/>
    <w:rsid w:val="007D3F49"/>
    <w:rsid w:val="007D40AD"/>
    <w:rsid w:val="007D461B"/>
    <w:rsid w:val="007D4F33"/>
    <w:rsid w:val="007D4FB7"/>
    <w:rsid w:val="007D5136"/>
    <w:rsid w:val="007D554B"/>
    <w:rsid w:val="007D5775"/>
    <w:rsid w:val="007D59AC"/>
    <w:rsid w:val="007D61E6"/>
    <w:rsid w:val="007D65C7"/>
    <w:rsid w:val="007D69EE"/>
    <w:rsid w:val="007D6DC3"/>
    <w:rsid w:val="007D6E24"/>
    <w:rsid w:val="007D6F86"/>
    <w:rsid w:val="007D70E4"/>
    <w:rsid w:val="007D74D2"/>
    <w:rsid w:val="007D79B5"/>
    <w:rsid w:val="007E05FE"/>
    <w:rsid w:val="007E06B8"/>
    <w:rsid w:val="007E0AC9"/>
    <w:rsid w:val="007E1409"/>
    <w:rsid w:val="007E18C6"/>
    <w:rsid w:val="007E1C86"/>
    <w:rsid w:val="007E1EAD"/>
    <w:rsid w:val="007E2334"/>
    <w:rsid w:val="007E23CE"/>
    <w:rsid w:val="007E260E"/>
    <w:rsid w:val="007E28A6"/>
    <w:rsid w:val="007E298F"/>
    <w:rsid w:val="007E2CC7"/>
    <w:rsid w:val="007E2CE7"/>
    <w:rsid w:val="007E34AC"/>
    <w:rsid w:val="007E3C51"/>
    <w:rsid w:val="007E43D0"/>
    <w:rsid w:val="007E4494"/>
    <w:rsid w:val="007E4F00"/>
    <w:rsid w:val="007E5064"/>
    <w:rsid w:val="007E54F8"/>
    <w:rsid w:val="007E5987"/>
    <w:rsid w:val="007E5BD8"/>
    <w:rsid w:val="007E5FA1"/>
    <w:rsid w:val="007E62B0"/>
    <w:rsid w:val="007E701D"/>
    <w:rsid w:val="007E7091"/>
    <w:rsid w:val="007E7675"/>
    <w:rsid w:val="007E77B2"/>
    <w:rsid w:val="007E7BF9"/>
    <w:rsid w:val="007E7DCF"/>
    <w:rsid w:val="007E7F8F"/>
    <w:rsid w:val="007F0206"/>
    <w:rsid w:val="007F0274"/>
    <w:rsid w:val="007F02BC"/>
    <w:rsid w:val="007F1D17"/>
    <w:rsid w:val="007F20D7"/>
    <w:rsid w:val="007F218C"/>
    <w:rsid w:val="007F2511"/>
    <w:rsid w:val="007F257A"/>
    <w:rsid w:val="007F2E65"/>
    <w:rsid w:val="007F331C"/>
    <w:rsid w:val="007F3A04"/>
    <w:rsid w:val="007F43BA"/>
    <w:rsid w:val="007F45D1"/>
    <w:rsid w:val="007F4A5A"/>
    <w:rsid w:val="007F4C66"/>
    <w:rsid w:val="007F4F4E"/>
    <w:rsid w:val="007F5081"/>
    <w:rsid w:val="007F51CE"/>
    <w:rsid w:val="007F53B4"/>
    <w:rsid w:val="007F542D"/>
    <w:rsid w:val="007F5FED"/>
    <w:rsid w:val="007F6133"/>
    <w:rsid w:val="007F6360"/>
    <w:rsid w:val="007F63E9"/>
    <w:rsid w:val="007F64BE"/>
    <w:rsid w:val="007F6993"/>
    <w:rsid w:val="007F6DC3"/>
    <w:rsid w:val="007F6FF1"/>
    <w:rsid w:val="007F7052"/>
    <w:rsid w:val="007F7058"/>
    <w:rsid w:val="007F7AD9"/>
    <w:rsid w:val="007F7DE9"/>
    <w:rsid w:val="008006B4"/>
    <w:rsid w:val="00801460"/>
    <w:rsid w:val="008015B6"/>
    <w:rsid w:val="00801BD5"/>
    <w:rsid w:val="00802024"/>
    <w:rsid w:val="0080218F"/>
    <w:rsid w:val="00802368"/>
    <w:rsid w:val="00802F90"/>
    <w:rsid w:val="00803E79"/>
    <w:rsid w:val="00803FD4"/>
    <w:rsid w:val="0080413F"/>
    <w:rsid w:val="0080481C"/>
    <w:rsid w:val="00804C54"/>
    <w:rsid w:val="00805189"/>
    <w:rsid w:val="008052F9"/>
    <w:rsid w:val="00805494"/>
    <w:rsid w:val="008056DD"/>
    <w:rsid w:val="0080607F"/>
    <w:rsid w:val="008062D4"/>
    <w:rsid w:val="008063A4"/>
    <w:rsid w:val="00806845"/>
    <w:rsid w:val="00810FE0"/>
    <w:rsid w:val="0081104C"/>
    <w:rsid w:val="0081119F"/>
    <w:rsid w:val="00811615"/>
    <w:rsid w:val="008118CB"/>
    <w:rsid w:val="00811D53"/>
    <w:rsid w:val="008121F2"/>
    <w:rsid w:val="008128E4"/>
    <w:rsid w:val="00812949"/>
    <w:rsid w:val="00812AD4"/>
    <w:rsid w:val="00812D16"/>
    <w:rsid w:val="00812E20"/>
    <w:rsid w:val="00813098"/>
    <w:rsid w:val="00813B75"/>
    <w:rsid w:val="008147D7"/>
    <w:rsid w:val="0081492C"/>
    <w:rsid w:val="00814CC4"/>
    <w:rsid w:val="00814D2B"/>
    <w:rsid w:val="00814EFF"/>
    <w:rsid w:val="00815186"/>
    <w:rsid w:val="0081520C"/>
    <w:rsid w:val="008157A2"/>
    <w:rsid w:val="00815A02"/>
    <w:rsid w:val="00815FFD"/>
    <w:rsid w:val="00816987"/>
    <w:rsid w:val="00816C51"/>
    <w:rsid w:val="00816E79"/>
    <w:rsid w:val="00817264"/>
    <w:rsid w:val="00817E0C"/>
    <w:rsid w:val="00820355"/>
    <w:rsid w:val="008206C8"/>
    <w:rsid w:val="0082086C"/>
    <w:rsid w:val="00820AE5"/>
    <w:rsid w:val="00820DE3"/>
    <w:rsid w:val="00821865"/>
    <w:rsid w:val="00822283"/>
    <w:rsid w:val="008225EB"/>
    <w:rsid w:val="0082327D"/>
    <w:rsid w:val="0082433D"/>
    <w:rsid w:val="0082483D"/>
    <w:rsid w:val="008252C3"/>
    <w:rsid w:val="00825DE5"/>
    <w:rsid w:val="00826509"/>
    <w:rsid w:val="00826AE1"/>
    <w:rsid w:val="00826F48"/>
    <w:rsid w:val="00827160"/>
    <w:rsid w:val="00827491"/>
    <w:rsid w:val="00827927"/>
    <w:rsid w:val="0083121B"/>
    <w:rsid w:val="008312AD"/>
    <w:rsid w:val="008319FB"/>
    <w:rsid w:val="00831A34"/>
    <w:rsid w:val="00831AD3"/>
    <w:rsid w:val="00831E31"/>
    <w:rsid w:val="008326B2"/>
    <w:rsid w:val="00832751"/>
    <w:rsid w:val="00832DF1"/>
    <w:rsid w:val="0083354D"/>
    <w:rsid w:val="008338F7"/>
    <w:rsid w:val="00833B08"/>
    <w:rsid w:val="00833EC3"/>
    <w:rsid w:val="0083489B"/>
    <w:rsid w:val="00834BE2"/>
    <w:rsid w:val="0083561B"/>
    <w:rsid w:val="00835CD5"/>
    <w:rsid w:val="0083609F"/>
    <w:rsid w:val="008360B7"/>
    <w:rsid w:val="0083629E"/>
    <w:rsid w:val="00836ADE"/>
    <w:rsid w:val="00836E5A"/>
    <w:rsid w:val="008378EE"/>
    <w:rsid w:val="00837932"/>
    <w:rsid w:val="00837D36"/>
    <w:rsid w:val="00837D78"/>
    <w:rsid w:val="008403E0"/>
    <w:rsid w:val="008405F6"/>
    <w:rsid w:val="0084091A"/>
    <w:rsid w:val="00840929"/>
    <w:rsid w:val="00840D79"/>
    <w:rsid w:val="00841697"/>
    <w:rsid w:val="00841DAF"/>
    <w:rsid w:val="00842A21"/>
    <w:rsid w:val="00842EC7"/>
    <w:rsid w:val="00843692"/>
    <w:rsid w:val="008440D1"/>
    <w:rsid w:val="00844871"/>
    <w:rsid w:val="008456FB"/>
    <w:rsid w:val="00845B4B"/>
    <w:rsid w:val="00845DAD"/>
    <w:rsid w:val="00846624"/>
    <w:rsid w:val="00847060"/>
    <w:rsid w:val="00847370"/>
    <w:rsid w:val="00847456"/>
    <w:rsid w:val="00847850"/>
    <w:rsid w:val="00847928"/>
    <w:rsid w:val="00847B83"/>
    <w:rsid w:val="00847E5F"/>
    <w:rsid w:val="00850A3B"/>
    <w:rsid w:val="00851377"/>
    <w:rsid w:val="00851BE6"/>
    <w:rsid w:val="0085281E"/>
    <w:rsid w:val="008528EF"/>
    <w:rsid w:val="0085291E"/>
    <w:rsid w:val="00853307"/>
    <w:rsid w:val="00853A0E"/>
    <w:rsid w:val="00853A64"/>
    <w:rsid w:val="00853DA4"/>
    <w:rsid w:val="008541C3"/>
    <w:rsid w:val="0085437C"/>
    <w:rsid w:val="008544BC"/>
    <w:rsid w:val="0085474D"/>
    <w:rsid w:val="00854AFB"/>
    <w:rsid w:val="00854B19"/>
    <w:rsid w:val="00854B2F"/>
    <w:rsid w:val="00855481"/>
    <w:rsid w:val="00856354"/>
    <w:rsid w:val="00856790"/>
    <w:rsid w:val="008568E1"/>
    <w:rsid w:val="00856BE9"/>
    <w:rsid w:val="00857044"/>
    <w:rsid w:val="008570A0"/>
    <w:rsid w:val="008577D4"/>
    <w:rsid w:val="008578F8"/>
    <w:rsid w:val="00857A0E"/>
    <w:rsid w:val="00857C78"/>
    <w:rsid w:val="00860566"/>
    <w:rsid w:val="0086073A"/>
    <w:rsid w:val="00860D21"/>
    <w:rsid w:val="00860EA4"/>
    <w:rsid w:val="0086165C"/>
    <w:rsid w:val="00861B26"/>
    <w:rsid w:val="00862114"/>
    <w:rsid w:val="00862674"/>
    <w:rsid w:val="00862EED"/>
    <w:rsid w:val="008634BE"/>
    <w:rsid w:val="00863562"/>
    <w:rsid w:val="00863645"/>
    <w:rsid w:val="00863684"/>
    <w:rsid w:val="00863AD8"/>
    <w:rsid w:val="0086414E"/>
    <w:rsid w:val="008643FC"/>
    <w:rsid w:val="008644D7"/>
    <w:rsid w:val="008644FA"/>
    <w:rsid w:val="008649B9"/>
    <w:rsid w:val="00864A2B"/>
    <w:rsid w:val="00865247"/>
    <w:rsid w:val="00865253"/>
    <w:rsid w:val="008652CB"/>
    <w:rsid w:val="00865600"/>
    <w:rsid w:val="00866535"/>
    <w:rsid w:val="0086740D"/>
    <w:rsid w:val="00867494"/>
    <w:rsid w:val="0086784F"/>
    <w:rsid w:val="00867994"/>
    <w:rsid w:val="00867B80"/>
    <w:rsid w:val="00867B8D"/>
    <w:rsid w:val="00867C86"/>
    <w:rsid w:val="0087034F"/>
    <w:rsid w:val="00870394"/>
    <w:rsid w:val="008703E6"/>
    <w:rsid w:val="0087073B"/>
    <w:rsid w:val="0087096B"/>
    <w:rsid w:val="00872072"/>
    <w:rsid w:val="008730B7"/>
    <w:rsid w:val="0087313C"/>
    <w:rsid w:val="00873967"/>
    <w:rsid w:val="00874255"/>
    <w:rsid w:val="00874823"/>
    <w:rsid w:val="008751FF"/>
    <w:rsid w:val="0087541E"/>
    <w:rsid w:val="008754C5"/>
    <w:rsid w:val="00875B60"/>
    <w:rsid w:val="00876AD6"/>
    <w:rsid w:val="008770D4"/>
    <w:rsid w:val="008775F0"/>
    <w:rsid w:val="00877983"/>
    <w:rsid w:val="00877FE1"/>
    <w:rsid w:val="008800E5"/>
    <w:rsid w:val="008806F8"/>
    <w:rsid w:val="0088127F"/>
    <w:rsid w:val="008815EF"/>
    <w:rsid w:val="008826D1"/>
    <w:rsid w:val="008829BD"/>
    <w:rsid w:val="00882B7F"/>
    <w:rsid w:val="00882C24"/>
    <w:rsid w:val="008830EC"/>
    <w:rsid w:val="0088398B"/>
    <w:rsid w:val="0088406F"/>
    <w:rsid w:val="00884A57"/>
    <w:rsid w:val="00884BFC"/>
    <w:rsid w:val="00884C28"/>
    <w:rsid w:val="00885273"/>
    <w:rsid w:val="00885DF8"/>
    <w:rsid w:val="00885E57"/>
    <w:rsid w:val="00885F2C"/>
    <w:rsid w:val="00886386"/>
    <w:rsid w:val="008865A4"/>
    <w:rsid w:val="00886786"/>
    <w:rsid w:val="00886A03"/>
    <w:rsid w:val="00886A5A"/>
    <w:rsid w:val="0088701C"/>
    <w:rsid w:val="008874AF"/>
    <w:rsid w:val="00887C51"/>
    <w:rsid w:val="00890040"/>
    <w:rsid w:val="008905BA"/>
    <w:rsid w:val="0089060C"/>
    <w:rsid w:val="00890991"/>
    <w:rsid w:val="00890B14"/>
    <w:rsid w:val="00890B64"/>
    <w:rsid w:val="0089161F"/>
    <w:rsid w:val="00891BF8"/>
    <w:rsid w:val="00891EE1"/>
    <w:rsid w:val="00892459"/>
    <w:rsid w:val="0089253A"/>
    <w:rsid w:val="008929AA"/>
    <w:rsid w:val="00892AA5"/>
    <w:rsid w:val="00892BA9"/>
    <w:rsid w:val="0089348F"/>
    <w:rsid w:val="00893A35"/>
    <w:rsid w:val="0089499B"/>
    <w:rsid w:val="00894ACA"/>
    <w:rsid w:val="00894AF0"/>
    <w:rsid w:val="00894EC5"/>
    <w:rsid w:val="00895281"/>
    <w:rsid w:val="00896127"/>
    <w:rsid w:val="00896658"/>
    <w:rsid w:val="00896673"/>
    <w:rsid w:val="00896718"/>
    <w:rsid w:val="0089677F"/>
    <w:rsid w:val="008967B5"/>
    <w:rsid w:val="0089742C"/>
    <w:rsid w:val="00897E57"/>
    <w:rsid w:val="00897E6E"/>
    <w:rsid w:val="008A0023"/>
    <w:rsid w:val="008A013C"/>
    <w:rsid w:val="008A0210"/>
    <w:rsid w:val="008A03AC"/>
    <w:rsid w:val="008A068F"/>
    <w:rsid w:val="008A094F"/>
    <w:rsid w:val="008A0B45"/>
    <w:rsid w:val="008A1008"/>
    <w:rsid w:val="008A14C3"/>
    <w:rsid w:val="008A174F"/>
    <w:rsid w:val="008A183F"/>
    <w:rsid w:val="008A1A65"/>
    <w:rsid w:val="008A22DA"/>
    <w:rsid w:val="008A2696"/>
    <w:rsid w:val="008A26B3"/>
    <w:rsid w:val="008A2D50"/>
    <w:rsid w:val="008A345A"/>
    <w:rsid w:val="008A35ED"/>
    <w:rsid w:val="008A39B9"/>
    <w:rsid w:val="008A3DB9"/>
    <w:rsid w:val="008A43FE"/>
    <w:rsid w:val="008A48C5"/>
    <w:rsid w:val="008A497E"/>
    <w:rsid w:val="008A503C"/>
    <w:rsid w:val="008A59C1"/>
    <w:rsid w:val="008A5A17"/>
    <w:rsid w:val="008A5DC0"/>
    <w:rsid w:val="008A631D"/>
    <w:rsid w:val="008A6A3F"/>
    <w:rsid w:val="008A6A5C"/>
    <w:rsid w:val="008A6AC8"/>
    <w:rsid w:val="008A6CC0"/>
    <w:rsid w:val="008A7316"/>
    <w:rsid w:val="008A743F"/>
    <w:rsid w:val="008A74D2"/>
    <w:rsid w:val="008A7572"/>
    <w:rsid w:val="008A773E"/>
    <w:rsid w:val="008B086B"/>
    <w:rsid w:val="008B0F14"/>
    <w:rsid w:val="008B14C4"/>
    <w:rsid w:val="008B1690"/>
    <w:rsid w:val="008B1FB9"/>
    <w:rsid w:val="008B26B1"/>
    <w:rsid w:val="008B33E1"/>
    <w:rsid w:val="008B3410"/>
    <w:rsid w:val="008B43F2"/>
    <w:rsid w:val="008B45CA"/>
    <w:rsid w:val="008B4A1C"/>
    <w:rsid w:val="008B4B3A"/>
    <w:rsid w:val="008B4D3E"/>
    <w:rsid w:val="008B500A"/>
    <w:rsid w:val="008B5030"/>
    <w:rsid w:val="008B5233"/>
    <w:rsid w:val="008B553F"/>
    <w:rsid w:val="008B565F"/>
    <w:rsid w:val="008B5757"/>
    <w:rsid w:val="008B57D3"/>
    <w:rsid w:val="008B5BAA"/>
    <w:rsid w:val="008B5F5C"/>
    <w:rsid w:val="008B6124"/>
    <w:rsid w:val="008B6524"/>
    <w:rsid w:val="008B6632"/>
    <w:rsid w:val="008B6E64"/>
    <w:rsid w:val="008B7565"/>
    <w:rsid w:val="008B7BD3"/>
    <w:rsid w:val="008C073D"/>
    <w:rsid w:val="008C0754"/>
    <w:rsid w:val="008C136E"/>
    <w:rsid w:val="008C1610"/>
    <w:rsid w:val="008C1A4F"/>
    <w:rsid w:val="008C1DF8"/>
    <w:rsid w:val="008C1E91"/>
    <w:rsid w:val="008C260D"/>
    <w:rsid w:val="008C2904"/>
    <w:rsid w:val="008C2A05"/>
    <w:rsid w:val="008C2F1E"/>
    <w:rsid w:val="008C30E5"/>
    <w:rsid w:val="008C3397"/>
    <w:rsid w:val="008C3984"/>
    <w:rsid w:val="008C3B5B"/>
    <w:rsid w:val="008C3DD9"/>
    <w:rsid w:val="008C409F"/>
    <w:rsid w:val="008C4E68"/>
    <w:rsid w:val="008C51EE"/>
    <w:rsid w:val="008C54CE"/>
    <w:rsid w:val="008C5525"/>
    <w:rsid w:val="008C602D"/>
    <w:rsid w:val="008C6BCC"/>
    <w:rsid w:val="008C72A1"/>
    <w:rsid w:val="008C7768"/>
    <w:rsid w:val="008D098D"/>
    <w:rsid w:val="008D0BED"/>
    <w:rsid w:val="008D0D88"/>
    <w:rsid w:val="008D135A"/>
    <w:rsid w:val="008D17D0"/>
    <w:rsid w:val="008D194F"/>
    <w:rsid w:val="008D1C65"/>
    <w:rsid w:val="008D1CCF"/>
    <w:rsid w:val="008D2205"/>
    <w:rsid w:val="008D2331"/>
    <w:rsid w:val="008D29D3"/>
    <w:rsid w:val="008D347F"/>
    <w:rsid w:val="008D35AD"/>
    <w:rsid w:val="008D36CD"/>
    <w:rsid w:val="008D41A4"/>
    <w:rsid w:val="008D42D5"/>
    <w:rsid w:val="008D4380"/>
    <w:rsid w:val="008D4819"/>
    <w:rsid w:val="008D48D1"/>
    <w:rsid w:val="008D4E4C"/>
    <w:rsid w:val="008D4EF5"/>
    <w:rsid w:val="008D668B"/>
    <w:rsid w:val="008D6BE8"/>
    <w:rsid w:val="008D6DF7"/>
    <w:rsid w:val="008D6ECE"/>
    <w:rsid w:val="008D7165"/>
    <w:rsid w:val="008D7582"/>
    <w:rsid w:val="008D7A00"/>
    <w:rsid w:val="008E0AB4"/>
    <w:rsid w:val="008E11E6"/>
    <w:rsid w:val="008E1790"/>
    <w:rsid w:val="008E1AA7"/>
    <w:rsid w:val="008E1D4A"/>
    <w:rsid w:val="008E1ED1"/>
    <w:rsid w:val="008E27E9"/>
    <w:rsid w:val="008E3708"/>
    <w:rsid w:val="008E42DE"/>
    <w:rsid w:val="008E560C"/>
    <w:rsid w:val="008E5837"/>
    <w:rsid w:val="008E6812"/>
    <w:rsid w:val="008E6CC1"/>
    <w:rsid w:val="008E6E98"/>
    <w:rsid w:val="008E7A75"/>
    <w:rsid w:val="008F038A"/>
    <w:rsid w:val="008F0951"/>
    <w:rsid w:val="008F0C36"/>
    <w:rsid w:val="008F1B03"/>
    <w:rsid w:val="008F1CDB"/>
    <w:rsid w:val="008F2295"/>
    <w:rsid w:val="008F2442"/>
    <w:rsid w:val="008F260C"/>
    <w:rsid w:val="008F29B2"/>
    <w:rsid w:val="008F2C49"/>
    <w:rsid w:val="008F36BF"/>
    <w:rsid w:val="008F36F0"/>
    <w:rsid w:val="008F37C9"/>
    <w:rsid w:val="008F3816"/>
    <w:rsid w:val="008F4002"/>
    <w:rsid w:val="008F42CA"/>
    <w:rsid w:val="008F4343"/>
    <w:rsid w:val="008F47C2"/>
    <w:rsid w:val="008F4BF9"/>
    <w:rsid w:val="008F5106"/>
    <w:rsid w:val="008F52A5"/>
    <w:rsid w:val="008F5D5B"/>
    <w:rsid w:val="008F61E2"/>
    <w:rsid w:val="008F6559"/>
    <w:rsid w:val="008F66BC"/>
    <w:rsid w:val="008F6883"/>
    <w:rsid w:val="008F68D6"/>
    <w:rsid w:val="008F6DDA"/>
    <w:rsid w:val="008F76FF"/>
    <w:rsid w:val="008F789B"/>
    <w:rsid w:val="008F78AC"/>
    <w:rsid w:val="008F7CFF"/>
    <w:rsid w:val="008F7ED1"/>
    <w:rsid w:val="009008F8"/>
    <w:rsid w:val="00900E39"/>
    <w:rsid w:val="00901315"/>
    <w:rsid w:val="00901881"/>
    <w:rsid w:val="00901C8D"/>
    <w:rsid w:val="0090291D"/>
    <w:rsid w:val="00902996"/>
    <w:rsid w:val="00902F96"/>
    <w:rsid w:val="00903257"/>
    <w:rsid w:val="00903678"/>
    <w:rsid w:val="00903974"/>
    <w:rsid w:val="009045A3"/>
    <w:rsid w:val="0090471F"/>
    <w:rsid w:val="00904970"/>
    <w:rsid w:val="00904A4D"/>
    <w:rsid w:val="00904CF8"/>
    <w:rsid w:val="00905643"/>
    <w:rsid w:val="00905C1C"/>
    <w:rsid w:val="00905EE9"/>
    <w:rsid w:val="009065F4"/>
    <w:rsid w:val="0090678B"/>
    <w:rsid w:val="00906CF8"/>
    <w:rsid w:val="009070FE"/>
    <w:rsid w:val="009075A7"/>
    <w:rsid w:val="0090767C"/>
    <w:rsid w:val="009079F6"/>
    <w:rsid w:val="00907BCC"/>
    <w:rsid w:val="00907DFB"/>
    <w:rsid w:val="00910624"/>
    <w:rsid w:val="00910B57"/>
    <w:rsid w:val="00910CC0"/>
    <w:rsid w:val="00910FBA"/>
    <w:rsid w:val="00911D39"/>
    <w:rsid w:val="00911E41"/>
    <w:rsid w:val="00912B9F"/>
    <w:rsid w:val="00912DB3"/>
    <w:rsid w:val="009131A2"/>
    <w:rsid w:val="0091341E"/>
    <w:rsid w:val="0091368F"/>
    <w:rsid w:val="00913886"/>
    <w:rsid w:val="00914028"/>
    <w:rsid w:val="0091410F"/>
    <w:rsid w:val="009141FE"/>
    <w:rsid w:val="00914247"/>
    <w:rsid w:val="00914330"/>
    <w:rsid w:val="009147DA"/>
    <w:rsid w:val="00915043"/>
    <w:rsid w:val="00915493"/>
    <w:rsid w:val="00915569"/>
    <w:rsid w:val="0091582B"/>
    <w:rsid w:val="00915FA5"/>
    <w:rsid w:val="00916178"/>
    <w:rsid w:val="009161C7"/>
    <w:rsid w:val="009166AF"/>
    <w:rsid w:val="009169E8"/>
    <w:rsid w:val="00917C0F"/>
    <w:rsid w:val="00917E17"/>
    <w:rsid w:val="0092012C"/>
    <w:rsid w:val="0092040E"/>
    <w:rsid w:val="00920C6C"/>
    <w:rsid w:val="00921897"/>
    <w:rsid w:val="00921C40"/>
    <w:rsid w:val="00921C6D"/>
    <w:rsid w:val="0092222F"/>
    <w:rsid w:val="009222DF"/>
    <w:rsid w:val="009223F1"/>
    <w:rsid w:val="0092261F"/>
    <w:rsid w:val="009227D9"/>
    <w:rsid w:val="0092289B"/>
    <w:rsid w:val="00922A1A"/>
    <w:rsid w:val="00922F98"/>
    <w:rsid w:val="009231CF"/>
    <w:rsid w:val="00923C44"/>
    <w:rsid w:val="0092401B"/>
    <w:rsid w:val="00924E79"/>
    <w:rsid w:val="00925069"/>
    <w:rsid w:val="009259BE"/>
    <w:rsid w:val="00926A60"/>
    <w:rsid w:val="00927791"/>
    <w:rsid w:val="00927BD6"/>
    <w:rsid w:val="00927F75"/>
    <w:rsid w:val="00930607"/>
    <w:rsid w:val="0093060C"/>
    <w:rsid w:val="009309DC"/>
    <w:rsid w:val="00930D0A"/>
    <w:rsid w:val="00930F37"/>
    <w:rsid w:val="00931342"/>
    <w:rsid w:val="0093136D"/>
    <w:rsid w:val="0093151C"/>
    <w:rsid w:val="009315A3"/>
    <w:rsid w:val="00931840"/>
    <w:rsid w:val="00931B61"/>
    <w:rsid w:val="00931C9F"/>
    <w:rsid w:val="00931DFE"/>
    <w:rsid w:val="009329BA"/>
    <w:rsid w:val="00932B6A"/>
    <w:rsid w:val="0093304D"/>
    <w:rsid w:val="009330F6"/>
    <w:rsid w:val="0093311A"/>
    <w:rsid w:val="00933CDB"/>
    <w:rsid w:val="00933FFC"/>
    <w:rsid w:val="00934C12"/>
    <w:rsid w:val="00936939"/>
    <w:rsid w:val="009369F8"/>
    <w:rsid w:val="00936ACD"/>
    <w:rsid w:val="00936EEF"/>
    <w:rsid w:val="00936F11"/>
    <w:rsid w:val="009376F9"/>
    <w:rsid w:val="009403BC"/>
    <w:rsid w:val="00940428"/>
    <w:rsid w:val="0094053B"/>
    <w:rsid w:val="00940B0A"/>
    <w:rsid w:val="00940CE1"/>
    <w:rsid w:val="00941284"/>
    <w:rsid w:val="00941B88"/>
    <w:rsid w:val="00942040"/>
    <w:rsid w:val="00942698"/>
    <w:rsid w:val="00942C97"/>
    <w:rsid w:val="00942C9F"/>
    <w:rsid w:val="0094361C"/>
    <w:rsid w:val="00943679"/>
    <w:rsid w:val="0094368C"/>
    <w:rsid w:val="00943B4D"/>
    <w:rsid w:val="0094457C"/>
    <w:rsid w:val="00944755"/>
    <w:rsid w:val="00945631"/>
    <w:rsid w:val="00945AA8"/>
    <w:rsid w:val="00946207"/>
    <w:rsid w:val="00946395"/>
    <w:rsid w:val="00946701"/>
    <w:rsid w:val="00946B73"/>
    <w:rsid w:val="00947461"/>
    <w:rsid w:val="00947465"/>
    <w:rsid w:val="00947549"/>
    <w:rsid w:val="00947737"/>
    <w:rsid w:val="00947CF3"/>
    <w:rsid w:val="00947DE8"/>
    <w:rsid w:val="0095013C"/>
    <w:rsid w:val="009502F3"/>
    <w:rsid w:val="0095073A"/>
    <w:rsid w:val="00950E7E"/>
    <w:rsid w:val="00951689"/>
    <w:rsid w:val="00951FDC"/>
    <w:rsid w:val="00952678"/>
    <w:rsid w:val="00952A8F"/>
    <w:rsid w:val="00953DBE"/>
    <w:rsid w:val="00953F9F"/>
    <w:rsid w:val="00954520"/>
    <w:rsid w:val="009545D0"/>
    <w:rsid w:val="00954B9D"/>
    <w:rsid w:val="00955007"/>
    <w:rsid w:val="00955093"/>
    <w:rsid w:val="009551A9"/>
    <w:rsid w:val="00955337"/>
    <w:rsid w:val="00955521"/>
    <w:rsid w:val="009559DD"/>
    <w:rsid w:val="00955BC6"/>
    <w:rsid w:val="00955EAA"/>
    <w:rsid w:val="00955FC1"/>
    <w:rsid w:val="0095664A"/>
    <w:rsid w:val="00956740"/>
    <w:rsid w:val="0095677B"/>
    <w:rsid w:val="009567FC"/>
    <w:rsid w:val="00956CB3"/>
    <w:rsid w:val="0095793C"/>
    <w:rsid w:val="00957ABF"/>
    <w:rsid w:val="00957BBF"/>
    <w:rsid w:val="00957DAF"/>
    <w:rsid w:val="0096111E"/>
    <w:rsid w:val="00961125"/>
    <w:rsid w:val="00961CB6"/>
    <w:rsid w:val="009623D8"/>
    <w:rsid w:val="00962EC0"/>
    <w:rsid w:val="00962FED"/>
    <w:rsid w:val="00963362"/>
    <w:rsid w:val="00963AB6"/>
    <w:rsid w:val="00963BD1"/>
    <w:rsid w:val="00963D51"/>
    <w:rsid w:val="00964857"/>
    <w:rsid w:val="00964FD7"/>
    <w:rsid w:val="00965E39"/>
    <w:rsid w:val="00965FF9"/>
    <w:rsid w:val="009662B7"/>
    <w:rsid w:val="009665E5"/>
    <w:rsid w:val="00966B1F"/>
    <w:rsid w:val="009678C8"/>
    <w:rsid w:val="00970340"/>
    <w:rsid w:val="0097062C"/>
    <w:rsid w:val="0097063C"/>
    <w:rsid w:val="00970851"/>
    <w:rsid w:val="00970A7E"/>
    <w:rsid w:val="0097116E"/>
    <w:rsid w:val="00971864"/>
    <w:rsid w:val="00971F75"/>
    <w:rsid w:val="00971FD2"/>
    <w:rsid w:val="0097218F"/>
    <w:rsid w:val="00972268"/>
    <w:rsid w:val="00972710"/>
    <w:rsid w:val="00972935"/>
    <w:rsid w:val="009731CB"/>
    <w:rsid w:val="009733A6"/>
    <w:rsid w:val="0097356D"/>
    <w:rsid w:val="009739FC"/>
    <w:rsid w:val="00973D36"/>
    <w:rsid w:val="00973D51"/>
    <w:rsid w:val="00974518"/>
    <w:rsid w:val="00974A1E"/>
    <w:rsid w:val="00974D53"/>
    <w:rsid w:val="00975274"/>
    <w:rsid w:val="00976156"/>
    <w:rsid w:val="00976E27"/>
    <w:rsid w:val="0097748E"/>
    <w:rsid w:val="009776F0"/>
    <w:rsid w:val="0097772D"/>
    <w:rsid w:val="00980AD2"/>
    <w:rsid w:val="00980FE0"/>
    <w:rsid w:val="00981221"/>
    <w:rsid w:val="00981262"/>
    <w:rsid w:val="009816CE"/>
    <w:rsid w:val="00982148"/>
    <w:rsid w:val="009823FB"/>
    <w:rsid w:val="00982C14"/>
    <w:rsid w:val="009839AF"/>
    <w:rsid w:val="0098403D"/>
    <w:rsid w:val="00984406"/>
    <w:rsid w:val="009857F1"/>
    <w:rsid w:val="00985855"/>
    <w:rsid w:val="00985EEA"/>
    <w:rsid w:val="00985F8B"/>
    <w:rsid w:val="00986134"/>
    <w:rsid w:val="00987055"/>
    <w:rsid w:val="00990255"/>
    <w:rsid w:val="00990C3B"/>
    <w:rsid w:val="0099162F"/>
    <w:rsid w:val="00991B39"/>
    <w:rsid w:val="00991CBD"/>
    <w:rsid w:val="00991F6F"/>
    <w:rsid w:val="009921E6"/>
    <w:rsid w:val="009922FB"/>
    <w:rsid w:val="009924E5"/>
    <w:rsid w:val="0099271D"/>
    <w:rsid w:val="009928B7"/>
    <w:rsid w:val="009928D1"/>
    <w:rsid w:val="0099301F"/>
    <w:rsid w:val="009930EB"/>
    <w:rsid w:val="0099312A"/>
    <w:rsid w:val="0099321A"/>
    <w:rsid w:val="0099323F"/>
    <w:rsid w:val="009947E8"/>
    <w:rsid w:val="00994B12"/>
    <w:rsid w:val="0099528A"/>
    <w:rsid w:val="00995B8E"/>
    <w:rsid w:val="009960B7"/>
    <w:rsid w:val="0099639B"/>
    <w:rsid w:val="00996545"/>
    <w:rsid w:val="0099657F"/>
    <w:rsid w:val="00996861"/>
    <w:rsid w:val="00996F08"/>
    <w:rsid w:val="00996F23"/>
    <w:rsid w:val="009972FE"/>
    <w:rsid w:val="00997538"/>
    <w:rsid w:val="0099758C"/>
    <w:rsid w:val="0099788A"/>
    <w:rsid w:val="009979F6"/>
    <w:rsid w:val="00997B9E"/>
    <w:rsid w:val="009A1E5B"/>
    <w:rsid w:val="009A1E90"/>
    <w:rsid w:val="009A291F"/>
    <w:rsid w:val="009A369C"/>
    <w:rsid w:val="009A3D0B"/>
    <w:rsid w:val="009A443A"/>
    <w:rsid w:val="009A47D8"/>
    <w:rsid w:val="009A4BA0"/>
    <w:rsid w:val="009A4EFA"/>
    <w:rsid w:val="009A5F5D"/>
    <w:rsid w:val="009A62EC"/>
    <w:rsid w:val="009A6C52"/>
    <w:rsid w:val="009A6E34"/>
    <w:rsid w:val="009A7123"/>
    <w:rsid w:val="009A72AD"/>
    <w:rsid w:val="009A738F"/>
    <w:rsid w:val="009A73E9"/>
    <w:rsid w:val="009A7ABE"/>
    <w:rsid w:val="009B06F2"/>
    <w:rsid w:val="009B0C64"/>
    <w:rsid w:val="009B0D6F"/>
    <w:rsid w:val="009B1270"/>
    <w:rsid w:val="009B149C"/>
    <w:rsid w:val="009B18D0"/>
    <w:rsid w:val="009B1A7E"/>
    <w:rsid w:val="009B205B"/>
    <w:rsid w:val="009B3A0B"/>
    <w:rsid w:val="009B41D2"/>
    <w:rsid w:val="009B4C29"/>
    <w:rsid w:val="009B527F"/>
    <w:rsid w:val="009B536C"/>
    <w:rsid w:val="009B55B7"/>
    <w:rsid w:val="009B5737"/>
    <w:rsid w:val="009B5C19"/>
    <w:rsid w:val="009B6496"/>
    <w:rsid w:val="009B6B4C"/>
    <w:rsid w:val="009B7179"/>
    <w:rsid w:val="009B763F"/>
    <w:rsid w:val="009B7888"/>
    <w:rsid w:val="009B7A75"/>
    <w:rsid w:val="009C00D6"/>
    <w:rsid w:val="009C01DA"/>
    <w:rsid w:val="009C0836"/>
    <w:rsid w:val="009C0AC3"/>
    <w:rsid w:val="009C0D9E"/>
    <w:rsid w:val="009C0F07"/>
    <w:rsid w:val="009C1528"/>
    <w:rsid w:val="009C1A86"/>
    <w:rsid w:val="009C20CC"/>
    <w:rsid w:val="009C26CF"/>
    <w:rsid w:val="009C2A85"/>
    <w:rsid w:val="009C2A8B"/>
    <w:rsid w:val="009C2BDF"/>
    <w:rsid w:val="009C2D86"/>
    <w:rsid w:val="009C3225"/>
    <w:rsid w:val="009C3558"/>
    <w:rsid w:val="009C4C30"/>
    <w:rsid w:val="009C5117"/>
    <w:rsid w:val="009C562E"/>
    <w:rsid w:val="009C5638"/>
    <w:rsid w:val="009C567C"/>
    <w:rsid w:val="009C57FC"/>
    <w:rsid w:val="009C5E44"/>
    <w:rsid w:val="009C6029"/>
    <w:rsid w:val="009C66EF"/>
    <w:rsid w:val="009C6A65"/>
    <w:rsid w:val="009C7531"/>
    <w:rsid w:val="009C7E7D"/>
    <w:rsid w:val="009D2042"/>
    <w:rsid w:val="009D2142"/>
    <w:rsid w:val="009D220C"/>
    <w:rsid w:val="009D221F"/>
    <w:rsid w:val="009D22E1"/>
    <w:rsid w:val="009D26BB"/>
    <w:rsid w:val="009D27B1"/>
    <w:rsid w:val="009D321C"/>
    <w:rsid w:val="009D33EC"/>
    <w:rsid w:val="009D3410"/>
    <w:rsid w:val="009D34C0"/>
    <w:rsid w:val="009D3D98"/>
    <w:rsid w:val="009D4847"/>
    <w:rsid w:val="009D48C1"/>
    <w:rsid w:val="009D5153"/>
    <w:rsid w:val="009D532B"/>
    <w:rsid w:val="009D58F2"/>
    <w:rsid w:val="009D5C72"/>
    <w:rsid w:val="009D5D19"/>
    <w:rsid w:val="009D6FE0"/>
    <w:rsid w:val="009D74B0"/>
    <w:rsid w:val="009D7799"/>
    <w:rsid w:val="009E0487"/>
    <w:rsid w:val="009E08E0"/>
    <w:rsid w:val="009E09F0"/>
    <w:rsid w:val="009E0E74"/>
    <w:rsid w:val="009E187D"/>
    <w:rsid w:val="009E19E8"/>
    <w:rsid w:val="009E1D82"/>
    <w:rsid w:val="009E377C"/>
    <w:rsid w:val="009E3B2F"/>
    <w:rsid w:val="009E411C"/>
    <w:rsid w:val="009E4286"/>
    <w:rsid w:val="009E458A"/>
    <w:rsid w:val="009E45F7"/>
    <w:rsid w:val="009E4E3F"/>
    <w:rsid w:val="009E5316"/>
    <w:rsid w:val="009E5AAA"/>
    <w:rsid w:val="009E5D7C"/>
    <w:rsid w:val="009E5DFC"/>
    <w:rsid w:val="009E62E5"/>
    <w:rsid w:val="009E65D9"/>
    <w:rsid w:val="009E6C94"/>
    <w:rsid w:val="009E7343"/>
    <w:rsid w:val="009E73FA"/>
    <w:rsid w:val="009E743B"/>
    <w:rsid w:val="009E78B1"/>
    <w:rsid w:val="009F02A7"/>
    <w:rsid w:val="009F0307"/>
    <w:rsid w:val="009F0639"/>
    <w:rsid w:val="009F0B5D"/>
    <w:rsid w:val="009F0C97"/>
    <w:rsid w:val="009F12F9"/>
    <w:rsid w:val="009F1789"/>
    <w:rsid w:val="009F18DC"/>
    <w:rsid w:val="009F1A17"/>
    <w:rsid w:val="009F1D06"/>
    <w:rsid w:val="009F1DE3"/>
    <w:rsid w:val="009F1FBA"/>
    <w:rsid w:val="009F26FD"/>
    <w:rsid w:val="009F2AE3"/>
    <w:rsid w:val="009F2BC8"/>
    <w:rsid w:val="009F2E3B"/>
    <w:rsid w:val="009F2E6B"/>
    <w:rsid w:val="009F3183"/>
    <w:rsid w:val="009F325D"/>
    <w:rsid w:val="009F36D2"/>
    <w:rsid w:val="009F36F5"/>
    <w:rsid w:val="009F3859"/>
    <w:rsid w:val="009F3B6B"/>
    <w:rsid w:val="009F40CD"/>
    <w:rsid w:val="009F419A"/>
    <w:rsid w:val="009F4504"/>
    <w:rsid w:val="009F4B94"/>
    <w:rsid w:val="009F4D0A"/>
    <w:rsid w:val="009F4FDB"/>
    <w:rsid w:val="009F502C"/>
    <w:rsid w:val="009F54C9"/>
    <w:rsid w:val="009F5809"/>
    <w:rsid w:val="009F581A"/>
    <w:rsid w:val="009F603B"/>
    <w:rsid w:val="009F63CA"/>
    <w:rsid w:val="009F64A4"/>
    <w:rsid w:val="009F650C"/>
    <w:rsid w:val="009F67EA"/>
    <w:rsid w:val="009F6978"/>
    <w:rsid w:val="009F6987"/>
    <w:rsid w:val="009F6D2D"/>
    <w:rsid w:val="009F6F80"/>
    <w:rsid w:val="009F720F"/>
    <w:rsid w:val="009F723B"/>
    <w:rsid w:val="009F7C47"/>
    <w:rsid w:val="00A007EA"/>
    <w:rsid w:val="00A00B85"/>
    <w:rsid w:val="00A00D12"/>
    <w:rsid w:val="00A00F6A"/>
    <w:rsid w:val="00A00F93"/>
    <w:rsid w:val="00A010E7"/>
    <w:rsid w:val="00A01A17"/>
    <w:rsid w:val="00A01A60"/>
    <w:rsid w:val="00A01E80"/>
    <w:rsid w:val="00A0211C"/>
    <w:rsid w:val="00A02AC6"/>
    <w:rsid w:val="00A033DE"/>
    <w:rsid w:val="00A034CE"/>
    <w:rsid w:val="00A03983"/>
    <w:rsid w:val="00A039B7"/>
    <w:rsid w:val="00A03B6A"/>
    <w:rsid w:val="00A05A98"/>
    <w:rsid w:val="00A06129"/>
    <w:rsid w:val="00A06D56"/>
    <w:rsid w:val="00A06E6E"/>
    <w:rsid w:val="00A06F8B"/>
    <w:rsid w:val="00A070DA"/>
    <w:rsid w:val="00A07420"/>
    <w:rsid w:val="00A075CA"/>
    <w:rsid w:val="00A076F9"/>
    <w:rsid w:val="00A07997"/>
    <w:rsid w:val="00A07BC4"/>
    <w:rsid w:val="00A07D6D"/>
    <w:rsid w:val="00A07F87"/>
    <w:rsid w:val="00A10259"/>
    <w:rsid w:val="00A10398"/>
    <w:rsid w:val="00A104CD"/>
    <w:rsid w:val="00A105AA"/>
    <w:rsid w:val="00A10867"/>
    <w:rsid w:val="00A10C48"/>
    <w:rsid w:val="00A11160"/>
    <w:rsid w:val="00A11EC4"/>
    <w:rsid w:val="00A12838"/>
    <w:rsid w:val="00A129DA"/>
    <w:rsid w:val="00A12B8F"/>
    <w:rsid w:val="00A12CAD"/>
    <w:rsid w:val="00A12FDF"/>
    <w:rsid w:val="00A131FB"/>
    <w:rsid w:val="00A13659"/>
    <w:rsid w:val="00A13AA5"/>
    <w:rsid w:val="00A14638"/>
    <w:rsid w:val="00A14A66"/>
    <w:rsid w:val="00A14D5F"/>
    <w:rsid w:val="00A15A83"/>
    <w:rsid w:val="00A1609B"/>
    <w:rsid w:val="00A1637F"/>
    <w:rsid w:val="00A1675E"/>
    <w:rsid w:val="00A16BB5"/>
    <w:rsid w:val="00A16FF0"/>
    <w:rsid w:val="00A17855"/>
    <w:rsid w:val="00A178F4"/>
    <w:rsid w:val="00A17C3B"/>
    <w:rsid w:val="00A2062C"/>
    <w:rsid w:val="00A206ED"/>
    <w:rsid w:val="00A20806"/>
    <w:rsid w:val="00A209B6"/>
    <w:rsid w:val="00A20C7F"/>
    <w:rsid w:val="00A20CEA"/>
    <w:rsid w:val="00A21527"/>
    <w:rsid w:val="00A21C7D"/>
    <w:rsid w:val="00A21D41"/>
    <w:rsid w:val="00A22788"/>
    <w:rsid w:val="00A229E7"/>
    <w:rsid w:val="00A22C3F"/>
    <w:rsid w:val="00A22D9E"/>
    <w:rsid w:val="00A22DBA"/>
    <w:rsid w:val="00A22E89"/>
    <w:rsid w:val="00A2329D"/>
    <w:rsid w:val="00A23911"/>
    <w:rsid w:val="00A23B3A"/>
    <w:rsid w:val="00A23BB1"/>
    <w:rsid w:val="00A244EA"/>
    <w:rsid w:val="00A2490E"/>
    <w:rsid w:val="00A24F62"/>
    <w:rsid w:val="00A25442"/>
    <w:rsid w:val="00A25563"/>
    <w:rsid w:val="00A25BFF"/>
    <w:rsid w:val="00A26346"/>
    <w:rsid w:val="00A26648"/>
    <w:rsid w:val="00A26F79"/>
    <w:rsid w:val="00A27522"/>
    <w:rsid w:val="00A27E52"/>
    <w:rsid w:val="00A30646"/>
    <w:rsid w:val="00A30BF0"/>
    <w:rsid w:val="00A30C3C"/>
    <w:rsid w:val="00A3136F"/>
    <w:rsid w:val="00A319FD"/>
    <w:rsid w:val="00A31AB7"/>
    <w:rsid w:val="00A31D76"/>
    <w:rsid w:val="00A32149"/>
    <w:rsid w:val="00A32EB2"/>
    <w:rsid w:val="00A332B3"/>
    <w:rsid w:val="00A33B46"/>
    <w:rsid w:val="00A3445F"/>
    <w:rsid w:val="00A344AE"/>
    <w:rsid w:val="00A345CC"/>
    <w:rsid w:val="00A346B3"/>
    <w:rsid w:val="00A34D0C"/>
    <w:rsid w:val="00A34D76"/>
    <w:rsid w:val="00A35496"/>
    <w:rsid w:val="00A35537"/>
    <w:rsid w:val="00A35B18"/>
    <w:rsid w:val="00A36404"/>
    <w:rsid w:val="00A365D0"/>
    <w:rsid w:val="00A369E1"/>
    <w:rsid w:val="00A36A96"/>
    <w:rsid w:val="00A36FDE"/>
    <w:rsid w:val="00A37431"/>
    <w:rsid w:val="00A37728"/>
    <w:rsid w:val="00A37F81"/>
    <w:rsid w:val="00A402B8"/>
    <w:rsid w:val="00A4043E"/>
    <w:rsid w:val="00A407D1"/>
    <w:rsid w:val="00A40D82"/>
    <w:rsid w:val="00A40DDB"/>
    <w:rsid w:val="00A40E9E"/>
    <w:rsid w:val="00A40FE6"/>
    <w:rsid w:val="00A41697"/>
    <w:rsid w:val="00A4235A"/>
    <w:rsid w:val="00A42554"/>
    <w:rsid w:val="00A4264F"/>
    <w:rsid w:val="00A4287C"/>
    <w:rsid w:val="00A42D14"/>
    <w:rsid w:val="00A437D9"/>
    <w:rsid w:val="00A43C16"/>
    <w:rsid w:val="00A43F15"/>
    <w:rsid w:val="00A443A6"/>
    <w:rsid w:val="00A44552"/>
    <w:rsid w:val="00A44E4A"/>
    <w:rsid w:val="00A457CA"/>
    <w:rsid w:val="00A45A1A"/>
    <w:rsid w:val="00A45C18"/>
    <w:rsid w:val="00A45E61"/>
    <w:rsid w:val="00A46163"/>
    <w:rsid w:val="00A461F8"/>
    <w:rsid w:val="00A46294"/>
    <w:rsid w:val="00A4673B"/>
    <w:rsid w:val="00A4770E"/>
    <w:rsid w:val="00A4774A"/>
    <w:rsid w:val="00A47F32"/>
    <w:rsid w:val="00A5015F"/>
    <w:rsid w:val="00A50622"/>
    <w:rsid w:val="00A51C18"/>
    <w:rsid w:val="00A51E22"/>
    <w:rsid w:val="00A52561"/>
    <w:rsid w:val="00A52928"/>
    <w:rsid w:val="00A53220"/>
    <w:rsid w:val="00A53272"/>
    <w:rsid w:val="00A535D7"/>
    <w:rsid w:val="00A5364F"/>
    <w:rsid w:val="00A538E6"/>
    <w:rsid w:val="00A539DF"/>
    <w:rsid w:val="00A54A52"/>
    <w:rsid w:val="00A54B16"/>
    <w:rsid w:val="00A550D0"/>
    <w:rsid w:val="00A55215"/>
    <w:rsid w:val="00A55CD7"/>
    <w:rsid w:val="00A55E25"/>
    <w:rsid w:val="00A56102"/>
    <w:rsid w:val="00A56215"/>
    <w:rsid w:val="00A56800"/>
    <w:rsid w:val="00A56909"/>
    <w:rsid w:val="00A56D7E"/>
    <w:rsid w:val="00A5739C"/>
    <w:rsid w:val="00A57404"/>
    <w:rsid w:val="00A5746E"/>
    <w:rsid w:val="00A575BD"/>
    <w:rsid w:val="00A57D54"/>
    <w:rsid w:val="00A57DE0"/>
    <w:rsid w:val="00A60717"/>
    <w:rsid w:val="00A60AB6"/>
    <w:rsid w:val="00A60EEC"/>
    <w:rsid w:val="00A61AFB"/>
    <w:rsid w:val="00A620D5"/>
    <w:rsid w:val="00A62514"/>
    <w:rsid w:val="00A6297D"/>
    <w:rsid w:val="00A629B6"/>
    <w:rsid w:val="00A62A83"/>
    <w:rsid w:val="00A62A84"/>
    <w:rsid w:val="00A62D34"/>
    <w:rsid w:val="00A62EFC"/>
    <w:rsid w:val="00A630C5"/>
    <w:rsid w:val="00A63B83"/>
    <w:rsid w:val="00A63E29"/>
    <w:rsid w:val="00A64378"/>
    <w:rsid w:val="00A65BD9"/>
    <w:rsid w:val="00A65E5D"/>
    <w:rsid w:val="00A66718"/>
    <w:rsid w:val="00A66B3D"/>
    <w:rsid w:val="00A66F55"/>
    <w:rsid w:val="00A671EF"/>
    <w:rsid w:val="00A67432"/>
    <w:rsid w:val="00A6787F"/>
    <w:rsid w:val="00A67959"/>
    <w:rsid w:val="00A67D2C"/>
    <w:rsid w:val="00A67E31"/>
    <w:rsid w:val="00A70132"/>
    <w:rsid w:val="00A7029B"/>
    <w:rsid w:val="00A7031F"/>
    <w:rsid w:val="00A706CE"/>
    <w:rsid w:val="00A70951"/>
    <w:rsid w:val="00A70B31"/>
    <w:rsid w:val="00A70B8B"/>
    <w:rsid w:val="00A70D46"/>
    <w:rsid w:val="00A71740"/>
    <w:rsid w:val="00A718AA"/>
    <w:rsid w:val="00A71D6E"/>
    <w:rsid w:val="00A72615"/>
    <w:rsid w:val="00A7262D"/>
    <w:rsid w:val="00A728BB"/>
    <w:rsid w:val="00A73320"/>
    <w:rsid w:val="00A73933"/>
    <w:rsid w:val="00A7398C"/>
    <w:rsid w:val="00A73A74"/>
    <w:rsid w:val="00A73AE4"/>
    <w:rsid w:val="00A741B3"/>
    <w:rsid w:val="00A7475B"/>
    <w:rsid w:val="00A747C1"/>
    <w:rsid w:val="00A748E8"/>
    <w:rsid w:val="00A74E2B"/>
    <w:rsid w:val="00A74FE1"/>
    <w:rsid w:val="00A7506A"/>
    <w:rsid w:val="00A75098"/>
    <w:rsid w:val="00A75358"/>
    <w:rsid w:val="00A7551D"/>
    <w:rsid w:val="00A759FE"/>
    <w:rsid w:val="00A75FE1"/>
    <w:rsid w:val="00A7682F"/>
    <w:rsid w:val="00A76D67"/>
    <w:rsid w:val="00A76E74"/>
    <w:rsid w:val="00A7743D"/>
    <w:rsid w:val="00A77521"/>
    <w:rsid w:val="00A77562"/>
    <w:rsid w:val="00A776B8"/>
    <w:rsid w:val="00A77C11"/>
    <w:rsid w:val="00A77DD9"/>
    <w:rsid w:val="00A81058"/>
    <w:rsid w:val="00A8192C"/>
    <w:rsid w:val="00A81B9C"/>
    <w:rsid w:val="00A81EB6"/>
    <w:rsid w:val="00A82DFA"/>
    <w:rsid w:val="00A83125"/>
    <w:rsid w:val="00A837FE"/>
    <w:rsid w:val="00A846A6"/>
    <w:rsid w:val="00A8477F"/>
    <w:rsid w:val="00A84A75"/>
    <w:rsid w:val="00A84B8D"/>
    <w:rsid w:val="00A84FC3"/>
    <w:rsid w:val="00A85357"/>
    <w:rsid w:val="00A856FC"/>
    <w:rsid w:val="00A85B52"/>
    <w:rsid w:val="00A85DD7"/>
    <w:rsid w:val="00A86DA2"/>
    <w:rsid w:val="00A86FA8"/>
    <w:rsid w:val="00A87A14"/>
    <w:rsid w:val="00A902DD"/>
    <w:rsid w:val="00A9043B"/>
    <w:rsid w:val="00A90D2A"/>
    <w:rsid w:val="00A9134B"/>
    <w:rsid w:val="00A91617"/>
    <w:rsid w:val="00A92B82"/>
    <w:rsid w:val="00A939F9"/>
    <w:rsid w:val="00A94FC3"/>
    <w:rsid w:val="00A950CF"/>
    <w:rsid w:val="00A95640"/>
    <w:rsid w:val="00A95B68"/>
    <w:rsid w:val="00A962A7"/>
    <w:rsid w:val="00A96CE6"/>
    <w:rsid w:val="00A96FA8"/>
    <w:rsid w:val="00A96FAF"/>
    <w:rsid w:val="00A9770A"/>
    <w:rsid w:val="00A97BBB"/>
    <w:rsid w:val="00AA0A43"/>
    <w:rsid w:val="00AA0DD3"/>
    <w:rsid w:val="00AA1C07"/>
    <w:rsid w:val="00AA2471"/>
    <w:rsid w:val="00AA28AE"/>
    <w:rsid w:val="00AA3688"/>
    <w:rsid w:val="00AA39B6"/>
    <w:rsid w:val="00AA3A8D"/>
    <w:rsid w:val="00AA3AC7"/>
    <w:rsid w:val="00AA50AF"/>
    <w:rsid w:val="00AA5288"/>
    <w:rsid w:val="00AA5887"/>
    <w:rsid w:val="00AA5AD7"/>
    <w:rsid w:val="00AA5C29"/>
    <w:rsid w:val="00AA5DB8"/>
    <w:rsid w:val="00AA5F44"/>
    <w:rsid w:val="00AA6F75"/>
    <w:rsid w:val="00AA74B9"/>
    <w:rsid w:val="00AA784F"/>
    <w:rsid w:val="00AA7A64"/>
    <w:rsid w:val="00AB079A"/>
    <w:rsid w:val="00AB0ACC"/>
    <w:rsid w:val="00AB0B7B"/>
    <w:rsid w:val="00AB0F54"/>
    <w:rsid w:val="00AB19F8"/>
    <w:rsid w:val="00AB1E3C"/>
    <w:rsid w:val="00AB2A61"/>
    <w:rsid w:val="00AB3407"/>
    <w:rsid w:val="00AB38B4"/>
    <w:rsid w:val="00AB3A12"/>
    <w:rsid w:val="00AB3CE8"/>
    <w:rsid w:val="00AB475B"/>
    <w:rsid w:val="00AB4AEA"/>
    <w:rsid w:val="00AB5A8D"/>
    <w:rsid w:val="00AB5D9E"/>
    <w:rsid w:val="00AB5F08"/>
    <w:rsid w:val="00AB5F47"/>
    <w:rsid w:val="00AB6363"/>
    <w:rsid w:val="00AB659A"/>
    <w:rsid w:val="00AB6642"/>
    <w:rsid w:val="00AB6773"/>
    <w:rsid w:val="00AB6821"/>
    <w:rsid w:val="00AB77FD"/>
    <w:rsid w:val="00AB7C35"/>
    <w:rsid w:val="00AC015F"/>
    <w:rsid w:val="00AC12BB"/>
    <w:rsid w:val="00AC2019"/>
    <w:rsid w:val="00AC2D60"/>
    <w:rsid w:val="00AC2EFE"/>
    <w:rsid w:val="00AC3346"/>
    <w:rsid w:val="00AC3660"/>
    <w:rsid w:val="00AC3930"/>
    <w:rsid w:val="00AC3AB1"/>
    <w:rsid w:val="00AC3EBF"/>
    <w:rsid w:val="00AC4679"/>
    <w:rsid w:val="00AC4BAA"/>
    <w:rsid w:val="00AC4CDE"/>
    <w:rsid w:val="00AC5283"/>
    <w:rsid w:val="00AC6812"/>
    <w:rsid w:val="00AC68C6"/>
    <w:rsid w:val="00AC76C8"/>
    <w:rsid w:val="00AC77D7"/>
    <w:rsid w:val="00AC79C1"/>
    <w:rsid w:val="00AC7CA4"/>
    <w:rsid w:val="00AD07CA"/>
    <w:rsid w:val="00AD0BD3"/>
    <w:rsid w:val="00AD0CAA"/>
    <w:rsid w:val="00AD10DE"/>
    <w:rsid w:val="00AD141A"/>
    <w:rsid w:val="00AD1453"/>
    <w:rsid w:val="00AD17DA"/>
    <w:rsid w:val="00AD1AFB"/>
    <w:rsid w:val="00AD2202"/>
    <w:rsid w:val="00AD23A7"/>
    <w:rsid w:val="00AD24C8"/>
    <w:rsid w:val="00AD268F"/>
    <w:rsid w:val="00AD26DF"/>
    <w:rsid w:val="00AD2F50"/>
    <w:rsid w:val="00AD3665"/>
    <w:rsid w:val="00AD3E01"/>
    <w:rsid w:val="00AD413B"/>
    <w:rsid w:val="00AD4616"/>
    <w:rsid w:val="00AD47D3"/>
    <w:rsid w:val="00AD493B"/>
    <w:rsid w:val="00AD4A64"/>
    <w:rsid w:val="00AD4D4E"/>
    <w:rsid w:val="00AD55C5"/>
    <w:rsid w:val="00AD598F"/>
    <w:rsid w:val="00AD6228"/>
    <w:rsid w:val="00AD6D09"/>
    <w:rsid w:val="00AD6E68"/>
    <w:rsid w:val="00AD70E6"/>
    <w:rsid w:val="00AD72CE"/>
    <w:rsid w:val="00AD7DE8"/>
    <w:rsid w:val="00AE02A8"/>
    <w:rsid w:val="00AE07DA"/>
    <w:rsid w:val="00AE098E"/>
    <w:rsid w:val="00AE0BBA"/>
    <w:rsid w:val="00AE12D4"/>
    <w:rsid w:val="00AE13A0"/>
    <w:rsid w:val="00AE1EA4"/>
    <w:rsid w:val="00AE2291"/>
    <w:rsid w:val="00AE25C8"/>
    <w:rsid w:val="00AE269A"/>
    <w:rsid w:val="00AE2A78"/>
    <w:rsid w:val="00AE2D82"/>
    <w:rsid w:val="00AE3036"/>
    <w:rsid w:val="00AE38EA"/>
    <w:rsid w:val="00AE3ABA"/>
    <w:rsid w:val="00AE4113"/>
    <w:rsid w:val="00AE4380"/>
    <w:rsid w:val="00AE4ECE"/>
    <w:rsid w:val="00AE4F00"/>
    <w:rsid w:val="00AE4FAC"/>
    <w:rsid w:val="00AE5525"/>
    <w:rsid w:val="00AE586D"/>
    <w:rsid w:val="00AE5BF5"/>
    <w:rsid w:val="00AE5EC5"/>
    <w:rsid w:val="00AE62FA"/>
    <w:rsid w:val="00AE6381"/>
    <w:rsid w:val="00AE653B"/>
    <w:rsid w:val="00AE656F"/>
    <w:rsid w:val="00AE697C"/>
    <w:rsid w:val="00AE6BCC"/>
    <w:rsid w:val="00AE6F24"/>
    <w:rsid w:val="00AE7080"/>
    <w:rsid w:val="00AE760F"/>
    <w:rsid w:val="00AE7BB1"/>
    <w:rsid w:val="00AE7D78"/>
    <w:rsid w:val="00AF08AF"/>
    <w:rsid w:val="00AF0AF3"/>
    <w:rsid w:val="00AF156C"/>
    <w:rsid w:val="00AF196B"/>
    <w:rsid w:val="00AF1A41"/>
    <w:rsid w:val="00AF1F3D"/>
    <w:rsid w:val="00AF2707"/>
    <w:rsid w:val="00AF2871"/>
    <w:rsid w:val="00AF2A72"/>
    <w:rsid w:val="00AF3378"/>
    <w:rsid w:val="00AF3486"/>
    <w:rsid w:val="00AF362A"/>
    <w:rsid w:val="00AF3903"/>
    <w:rsid w:val="00AF3CD2"/>
    <w:rsid w:val="00AF41D3"/>
    <w:rsid w:val="00AF41F6"/>
    <w:rsid w:val="00AF42E1"/>
    <w:rsid w:val="00AF438E"/>
    <w:rsid w:val="00AF45CA"/>
    <w:rsid w:val="00AF4788"/>
    <w:rsid w:val="00AF5B58"/>
    <w:rsid w:val="00AF5C15"/>
    <w:rsid w:val="00AF5CEE"/>
    <w:rsid w:val="00AF6320"/>
    <w:rsid w:val="00AF636D"/>
    <w:rsid w:val="00AF72CE"/>
    <w:rsid w:val="00AF7506"/>
    <w:rsid w:val="00AF77A8"/>
    <w:rsid w:val="00AF77E7"/>
    <w:rsid w:val="00B004BC"/>
    <w:rsid w:val="00B00580"/>
    <w:rsid w:val="00B007DD"/>
    <w:rsid w:val="00B0098A"/>
    <w:rsid w:val="00B01016"/>
    <w:rsid w:val="00B0146E"/>
    <w:rsid w:val="00B01768"/>
    <w:rsid w:val="00B017E8"/>
    <w:rsid w:val="00B02160"/>
    <w:rsid w:val="00B02489"/>
    <w:rsid w:val="00B027CB"/>
    <w:rsid w:val="00B02901"/>
    <w:rsid w:val="00B02DE5"/>
    <w:rsid w:val="00B0352B"/>
    <w:rsid w:val="00B0376D"/>
    <w:rsid w:val="00B03BCB"/>
    <w:rsid w:val="00B04099"/>
    <w:rsid w:val="00B05C8A"/>
    <w:rsid w:val="00B05DAA"/>
    <w:rsid w:val="00B06371"/>
    <w:rsid w:val="00B0655B"/>
    <w:rsid w:val="00B07229"/>
    <w:rsid w:val="00B073E6"/>
    <w:rsid w:val="00B073EF"/>
    <w:rsid w:val="00B074F8"/>
    <w:rsid w:val="00B07689"/>
    <w:rsid w:val="00B079CA"/>
    <w:rsid w:val="00B07AC3"/>
    <w:rsid w:val="00B07FB2"/>
    <w:rsid w:val="00B10230"/>
    <w:rsid w:val="00B1067F"/>
    <w:rsid w:val="00B10681"/>
    <w:rsid w:val="00B10A10"/>
    <w:rsid w:val="00B10AE3"/>
    <w:rsid w:val="00B10AE7"/>
    <w:rsid w:val="00B11123"/>
    <w:rsid w:val="00B114DB"/>
    <w:rsid w:val="00B11524"/>
    <w:rsid w:val="00B1181A"/>
    <w:rsid w:val="00B11964"/>
    <w:rsid w:val="00B11A3D"/>
    <w:rsid w:val="00B11BE8"/>
    <w:rsid w:val="00B121B0"/>
    <w:rsid w:val="00B122D8"/>
    <w:rsid w:val="00B127CA"/>
    <w:rsid w:val="00B12CB7"/>
    <w:rsid w:val="00B12F3A"/>
    <w:rsid w:val="00B1385B"/>
    <w:rsid w:val="00B13B87"/>
    <w:rsid w:val="00B14FD5"/>
    <w:rsid w:val="00B15ED0"/>
    <w:rsid w:val="00B16083"/>
    <w:rsid w:val="00B1656D"/>
    <w:rsid w:val="00B16760"/>
    <w:rsid w:val="00B16E90"/>
    <w:rsid w:val="00B17100"/>
    <w:rsid w:val="00B17455"/>
    <w:rsid w:val="00B179DC"/>
    <w:rsid w:val="00B17D40"/>
    <w:rsid w:val="00B17FAB"/>
    <w:rsid w:val="00B200EA"/>
    <w:rsid w:val="00B202A0"/>
    <w:rsid w:val="00B20338"/>
    <w:rsid w:val="00B20727"/>
    <w:rsid w:val="00B20BE8"/>
    <w:rsid w:val="00B21337"/>
    <w:rsid w:val="00B21785"/>
    <w:rsid w:val="00B21AF7"/>
    <w:rsid w:val="00B21BB2"/>
    <w:rsid w:val="00B21CA5"/>
    <w:rsid w:val="00B21D40"/>
    <w:rsid w:val="00B21FA4"/>
    <w:rsid w:val="00B222D3"/>
    <w:rsid w:val="00B226D8"/>
    <w:rsid w:val="00B2279E"/>
    <w:rsid w:val="00B228C6"/>
    <w:rsid w:val="00B22915"/>
    <w:rsid w:val="00B22C5F"/>
    <w:rsid w:val="00B23383"/>
    <w:rsid w:val="00B23687"/>
    <w:rsid w:val="00B23867"/>
    <w:rsid w:val="00B239D1"/>
    <w:rsid w:val="00B23D11"/>
    <w:rsid w:val="00B24024"/>
    <w:rsid w:val="00B2451F"/>
    <w:rsid w:val="00B25710"/>
    <w:rsid w:val="00B25BCC"/>
    <w:rsid w:val="00B26247"/>
    <w:rsid w:val="00B2640F"/>
    <w:rsid w:val="00B26C0D"/>
    <w:rsid w:val="00B27235"/>
    <w:rsid w:val="00B27508"/>
    <w:rsid w:val="00B27953"/>
    <w:rsid w:val="00B27B03"/>
    <w:rsid w:val="00B3023A"/>
    <w:rsid w:val="00B3034B"/>
    <w:rsid w:val="00B3092C"/>
    <w:rsid w:val="00B3116E"/>
    <w:rsid w:val="00B3164F"/>
    <w:rsid w:val="00B31774"/>
    <w:rsid w:val="00B31835"/>
    <w:rsid w:val="00B31B62"/>
    <w:rsid w:val="00B31FAC"/>
    <w:rsid w:val="00B3208E"/>
    <w:rsid w:val="00B32A9B"/>
    <w:rsid w:val="00B3366A"/>
    <w:rsid w:val="00B33711"/>
    <w:rsid w:val="00B33905"/>
    <w:rsid w:val="00B34461"/>
    <w:rsid w:val="00B34889"/>
    <w:rsid w:val="00B349B2"/>
    <w:rsid w:val="00B3536D"/>
    <w:rsid w:val="00B353FA"/>
    <w:rsid w:val="00B3571F"/>
    <w:rsid w:val="00B3594E"/>
    <w:rsid w:val="00B35DA5"/>
    <w:rsid w:val="00B35E34"/>
    <w:rsid w:val="00B3623C"/>
    <w:rsid w:val="00B36477"/>
    <w:rsid w:val="00B370D3"/>
    <w:rsid w:val="00B372C8"/>
    <w:rsid w:val="00B3754D"/>
    <w:rsid w:val="00B37550"/>
    <w:rsid w:val="00B37752"/>
    <w:rsid w:val="00B3778D"/>
    <w:rsid w:val="00B401A8"/>
    <w:rsid w:val="00B402C6"/>
    <w:rsid w:val="00B403A0"/>
    <w:rsid w:val="00B405F6"/>
    <w:rsid w:val="00B415DF"/>
    <w:rsid w:val="00B41DC1"/>
    <w:rsid w:val="00B4275B"/>
    <w:rsid w:val="00B42F69"/>
    <w:rsid w:val="00B433D2"/>
    <w:rsid w:val="00B436C8"/>
    <w:rsid w:val="00B43BE4"/>
    <w:rsid w:val="00B440CE"/>
    <w:rsid w:val="00B44753"/>
    <w:rsid w:val="00B44A94"/>
    <w:rsid w:val="00B4527A"/>
    <w:rsid w:val="00B453ED"/>
    <w:rsid w:val="00B46004"/>
    <w:rsid w:val="00B46091"/>
    <w:rsid w:val="00B460AA"/>
    <w:rsid w:val="00B462FE"/>
    <w:rsid w:val="00B46DC9"/>
    <w:rsid w:val="00B46DF7"/>
    <w:rsid w:val="00B46EC7"/>
    <w:rsid w:val="00B46F4F"/>
    <w:rsid w:val="00B47446"/>
    <w:rsid w:val="00B47D5C"/>
    <w:rsid w:val="00B47D7E"/>
    <w:rsid w:val="00B47ECC"/>
    <w:rsid w:val="00B50530"/>
    <w:rsid w:val="00B50A91"/>
    <w:rsid w:val="00B50B79"/>
    <w:rsid w:val="00B511C5"/>
    <w:rsid w:val="00B5160B"/>
    <w:rsid w:val="00B5169C"/>
    <w:rsid w:val="00B51761"/>
    <w:rsid w:val="00B51871"/>
    <w:rsid w:val="00B51BAD"/>
    <w:rsid w:val="00B52022"/>
    <w:rsid w:val="00B520DB"/>
    <w:rsid w:val="00B52187"/>
    <w:rsid w:val="00B52E34"/>
    <w:rsid w:val="00B52EF4"/>
    <w:rsid w:val="00B536CF"/>
    <w:rsid w:val="00B53AE3"/>
    <w:rsid w:val="00B53CBD"/>
    <w:rsid w:val="00B53FB4"/>
    <w:rsid w:val="00B54054"/>
    <w:rsid w:val="00B5434C"/>
    <w:rsid w:val="00B5458E"/>
    <w:rsid w:val="00B54691"/>
    <w:rsid w:val="00B548DC"/>
    <w:rsid w:val="00B54A40"/>
    <w:rsid w:val="00B54C03"/>
    <w:rsid w:val="00B551C8"/>
    <w:rsid w:val="00B551FD"/>
    <w:rsid w:val="00B55969"/>
    <w:rsid w:val="00B559EA"/>
    <w:rsid w:val="00B5617B"/>
    <w:rsid w:val="00B564EE"/>
    <w:rsid w:val="00B568DE"/>
    <w:rsid w:val="00B56910"/>
    <w:rsid w:val="00B5738A"/>
    <w:rsid w:val="00B57CD8"/>
    <w:rsid w:val="00B57F54"/>
    <w:rsid w:val="00B60186"/>
    <w:rsid w:val="00B606F7"/>
    <w:rsid w:val="00B60739"/>
    <w:rsid w:val="00B60CCD"/>
    <w:rsid w:val="00B60F49"/>
    <w:rsid w:val="00B62739"/>
    <w:rsid w:val="00B62854"/>
    <w:rsid w:val="00B62EF1"/>
    <w:rsid w:val="00B62F67"/>
    <w:rsid w:val="00B640CC"/>
    <w:rsid w:val="00B642AA"/>
    <w:rsid w:val="00B645B6"/>
    <w:rsid w:val="00B64823"/>
    <w:rsid w:val="00B64B2F"/>
    <w:rsid w:val="00B64B6A"/>
    <w:rsid w:val="00B651F5"/>
    <w:rsid w:val="00B65C75"/>
    <w:rsid w:val="00B65CC9"/>
    <w:rsid w:val="00B65ECD"/>
    <w:rsid w:val="00B65FED"/>
    <w:rsid w:val="00B6604F"/>
    <w:rsid w:val="00B660C8"/>
    <w:rsid w:val="00B667BF"/>
    <w:rsid w:val="00B671EF"/>
    <w:rsid w:val="00B674D6"/>
    <w:rsid w:val="00B6797D"/>
    <w:rsid w:val="00B70010"/>
    <w:rsid w:val="00B7047A"/>
    <w:rsid w:val="00B716BB"/>
    <w:rsid w:val="00B71CB3"/>
    <w:rsid w:val="00B71E1A"/>
    <w:rsid w:val="00B728C1"/>
    <w:rsid w:val="00B72BFE"/>
    <w:rsid w:val="00B733CA"/>
    <w:rsid w:val="00B73409"/>
    <w:rsid w:val="00B7348C"/>
    <w:rsid w:val="00B73542"/>
    <w:rsid w:val="00B735B8"/>
    <w:rsid w:val="00B73A13"/>
    <w:rsid w:val="00B73C24"/>
    <w:rsid w:val="00B73D9B"/>
    <w:rsid w:val="00B747CB"/>
    <w:rsid w:val="00B74858"/>
    <w:rsid w:val="00B74A5A"/>
    <w:rsid w:val="00B74A89"/>
    <w:rsid w:val="00B74B0F"/>
    <w:rsid w:val="00B74C2B"/>
    <w:rsid w:val="00B74FFE"/>
    <w:rsid w:val="00B752EB"/>
    <w:rsid w:val="00B75C33"/>
    <w:rsid w:val="00B7656A"/>
    <w:rsid w:val="00B76A87"/>
    <w:rsid w:val="00B77606"/>
    <w:rsid w:val="00B77BB8"/>
    <w:rsid w:val="00B77BE4"/>
    <w:rsid w:val="00B77DB6"/>
    <w:rsid w:val="00B80782"/>
    <w:rsid w:val="00B80A3A"/>
    <w:rsid w:val="00B80CA1"/>
    <w:rsid w:val="00B80CE3"/>
    <w:rsid w:val="00B80D72"/>
    <w:rsid w:val="00B80E52"/>
    <w:rsid w:val="00B811D8"/>
    <w:rsid w:val="00B812BE"/>
    <w:rsid w:val="00B813D5"/>
    <w:rsid w:val="00B81548"/>
    <w:rsid w:val="00B82073"/>
    <w:rsid w:val="00B82189"/>
    <w:rsid w:val="00B8258D"/>
    <w:rsid w:val="00B825B4"/>
    <w:rsid w:val="00B827B1"/>
    <w:rsid w:val="00B82EA7"/>
    <w:rsid w:val="00B82FCB"/>
    <w:rsid w:val="00B831DD"/>
    <w:rsid w:val="00B83C83"/>
    <w:rsid w:val="00B83D4B"/>
    <w:rsid w:val="00B83F68"/>
    <w:rsid w:val="00B84BEC"/>
    <w:rsid w:val="00B84E7E"/>
    <w:rsid w:val="00B85CBC"/>
    <w:rsid w:val="00B85D0C"/>
    <w:rsid w:val="00B86140"/>
    <w:rsid w:val="00B86608"/>
    <w:rsid w:val="00B86667"/>
    <w:rsid w:val="00B86EC6"/>
    <w:rsid w:val="00B86F4E"/>
    <w:rsid w:val="00B87847"/>
    <w:rsid w:val="00B87EEB"/>
    <w:rsid w:val="00B90477"/>
    <w:rsid w:val="00B90E35"/>
    <w:rsid w:val="00B90F86"/>
    <w:rsid w:val="00B91371"/>
    <w:rsid w:val="00B91975"/>
    <w:rsid w:val="00B920D8"/>
    <w:rsid w:val="00B921D2"/>
    <w:rsid w:val="00B92959"/>
    <w:rsid w:val="00B92AA5"/>
    <w:rsid w:val="00B92E6D"/>
    <w:rsid w:val="00B931AC"/>
    <w:rsid w:val="00B9358D"/>
    <w:rsid w:val="00B93904"/>
    <w:rsid w:val="00B93FD5"/>
    <w:rsid w:val="00B942EF"/>
    <w:rsid w:val="00B9441E"/>
    <w:rsid w:val="00B948CB"/>
    <w:rsid w:val="00B94A46"/>
    <w:rsid w:val="00B94C84"/>
    <w:rsid w:val="00B950BD"/>
    <w:rsid w:val="00B9521C"/>
    <w:rsid w:val="00B955FE"/>
    <w:rsid w:val="00B965DC"/>
    <w:rsid w:val="00B96744"/>
    <w:rsid w:val="00B969D1"/>
    <w:rsid w:val="00B96B65"/>
    <w:rsid w:val="00B96F1A"/>
    <w:rsid w:val="00B97541"/>
    <w:rsid w:val="00B97C16"/>
    <w:rsid w:val="00B97C6A"/>
    <w:rsid w:val="00BA0063"/>
    <w:rsid w:val="00BA0B9F"/>
    <w:rsid w:val="00BA0D83"/>
    <w:rsid w:val="00BA12C4"/>
    <w:rsid w:val="00BA1A4D"/>
    <w:rsid w:val="00BA1EC1"/>
    <w:rsid w:val="00BA22BF"/>
    <w:rsid w:val="00BA2572"/>
    <w:rsid w:val="00BA2883"/>
    <w:rsid w:val="00BA2FDA"/>
    <w:rsid w:val="00BA3287"/>
    <w:rsid w:val="00BA35A8"/>
    <w:rsid w:val="00BA3C99"/>
    <w:rsid w:val="00BA43CB"/>
    <w:rsid w:val="00BA4970"/>
    <w:rsid w:val="00BA499E"/>
    <w:rsid w:val="00BA4EE2"/>
    <w:rsid w:val="00BA5117"/>
    <w:rsid w:val="00BA5F98"/>
    <w:rsid w:val="00BA6419"/>
    <w:rsid w:val="00BA6550"/>
    <w:rsid w:val="00BA6A17"/>
    <w:rsid w:val="00BA7A06"/>
    <w:rsid w:val="00BB0680"/>
    <w:rsid w:val="00BB0767"/>
    <w:rsid w:val="00BB0D95"/>
    <w:rsid w:val="00BB17EB"/>
    <w:rsid w:val="00BB1B4A"/>
    <w:rsid w:val="00BB236E"/>
    <w:rsid w:val="00BB2473"/>
    <w:rsid w:val="00BB2517"/>
    <w:rsid w:val="00BB25C5"/>
    <w:rsid w:val="00BB277F"/>
    <w:rsid w:val="00BB309D"/>
    <w:rsid w:val="00BB3453"/>
    <w:rsid w:val="00BB3642"/>
    <w:rsid w:val="00BB37D4"/>
    <w:rsid w:val="00BB3835"/>
    <w:rsid w:val="00BB3D5E"/>
    <w:rsid w:val="00BB42AC"/>
    <w:rsid w:val="00BB43CA"/>
    <w:rsid w:val="00BB4970"/>
    <w:rsid w:val="00BB4A3B"/>
    <w:rsid w:val="00BB5193"/>
    <w:rsid w:val="00BB5251"/>
    <w:rsid w:val="00BB59F6"/>
    <w:rsid w:val="00BB59FC"/>
    <w:rsid w:val="00BB5EF0"/>
    <w:rsid w:val="00BB6079"/>
    <w:rsid w:val="00BB6458"/>
    <w:rsid w:val="00BB66AB"/>
    <w:rsid w:val="00BB6A1D"/>
    <w:rsid w:val="00BB745C"/>
    <w:rsid w:val="00BB757D"/>
    <w:rsid w:val="00BB7EC6"/>
    <w:rsid w:val="00BC01BC"/>
    <w:rsid w:val="00BC0369"/>
    <w:rsid w:val="00BC0AD6"/>
    <w:rsid w:val="00BC122E"/>
    <w:rsid w:val="00BC1680"/>
    <w:rsid w:val="00BC1AA5"/>
    <w:rsid w:val="00BC20F8"/>
    <w:rsid w:val="00BC29A6"/>
    <w:rsid w:val="00BC2E67"/>
    <w:rsid w:val="00BC3584"/>
    <w:rsid w:val="00BC3A23"/>
    <w:rsid w:val="00BC3B00"/>
    <w:rsid w:val="00BC3B57"/>
    <w:rsid w:val="00BC3D62"/>
    <w:rsid w:val="00BC436C"/>
    <w:rsid w:val="00BC5268"/>
    <w:rsid w:val="00BC55BC"/>
    <w:rsid w:val="00BC5838"/>
    <w:rsid w:val="00BC5A2D"/>
    <w:rsid w:val="00BC66C2"/>
    <w:rsid w:val="00BC6DC2"/>
    <w:rsid w:val="00BC70B3"/>
    <w:rsid w:val="00BC7D63"/>
    <w:rsid w:val="00BC7F11"/>
    <w:rsid w:val="00BD00B6"/>
    <w:rsid w:val="00BD0521"/>
    <w:rsid w:val="00BD05A0"/>
    <w:rsid w:val="00BD05DF"/>
    <w:rsid w:val="00BD085A"/>
    <w:rsid w:val="00BD0DBB"/>
    <w:rsid w:val="00BD0E3B"/>
    <w:rsid w:val="00BD17AD"/>
    <w:rsid w:val="00BD2199"/>
    <w:rsid w:val="00BD26AA"/>
    <w:rsid w:val="00BD2986"/>
    <w:rsid w:val="00BD2E42"/>
    <w:rsid w:val="00BD2E63"/>
    <w:rsid w:val="00BD3730"/>
    <w:rsid w:val="00BD3DB4"/>
    <w:rsid w:val="00BD4044"/>
    <w:rsid w:val="00BD424E"/>
    <w:rsid w:val="00BD53B8"/>
    <w:rsid w:val="00BD552B"/>
    <w:rsid w:val="00BD58DB"/>
    <w:rsid w:val="00BD6759"/>
    <w:rsid w:val="00BD679A"/>
    <w:rsid w:val="00BD6AA9"/>
    <w:rsid w:val="00BD6C71"/>
    <w:rsid w:val="00BD70AA"/>
    <w:rsid w:val="00BD74F0"/>
    <w:rsid w:val="00BD782D"/>
    <w:rsid w:val="00BE15B3"/>
    <w:rsid w:val="00BE1E7E"/>
    <w:rsid w:val="00BE2AB2"/>
    <w:rsid w:val="00BE2C55"/>
    <w:rsid w:val="00BE2D20"/>
    <w:rsid w:val="00BE2D7B"/>
    <w:rsid w:val="00BE37E6"/>
    <w:rsid w:val="00BE3881"/>
    <w:rsid w:val="00BE39A8"/>
    <w:rsid w:val="00BE4A7C"/>
    <w:rsid w:val="00BE4AB5"/>
    <w:rsid w:val="00BE4B8B"/>
    <w:rsid w:val="00BE4D70"/>
    <w:rsid w:val="00BE4ED6"/>
    <w:rsid w:val="00BE54F3"/>
    <w:rsid w:val="00BE5666"/>
    <w:rsid w:val="00BE568C"/>
    <w:rsid w:val="00BE581D"/>
    <w:rsid w:val="00BE5F67"/>
    <w:rsid w:val="00BE612C"/>
    <w:rsid w:val="00BE633E"/>
    <w:rsid w:val="00BE63FB"/>
    <w:rsid w:val="00BE6D76"/>
    <w:rsid w:val="00BE6E74"/>
    <w:rsid w:val="00BE6EE8"/>
    <w:rsid w:val="00BE6F53"/>
    <w:rsid w:val="00BE78EF"/>
    <w:rsid w:val="00BE7920"/>
    <w:rsid w:val="00BF02AC"/>
    <w:rsid w:val="00BF056B"/>
    <w:rsid w:val="00BF0FCE"/>
    <w:rsid w:val="00BF11C1"/>
    <w:rsid w:val="00BF1E46"/>
    <w:rsid w:val="00BF2046"/>
    <w:rsid w:val="00BF2CD1"/>
    <w:rsid w:val="00BF2E56"/>
    <w:rsid w:val="00BF3257"/>
    <w:rsid w:val="00BF3806"/>
    <w:rsid w:val="00BF42D4"/>
    <w:rsid w:val="00BF46AB"/>
    <w:rsid w:val="00BF4AC2"/>
    <w:rsid w:val="00BF4B6A"/>
    <w:rsid w:val="00BF4B80"/>
    <w:rsid w:val="00BF5135"/>
    <w:rsid w:val="00BF59A2"/>
    <w:rsid w:val="00BF6C51"/>
    <w:rsid w:val="00BF6CA0"/>
    <w:rsid w:val="00BF71E9"/>
    <w:rsid w:val="00BF75A1"/>
    <w:rsid w:val="00BF7970"/>
    <w:rsid w:val="00C00312"/>
    <w:rsid w:val="00C009F5"/>
    <w:rsid w:val="00C01129"/>
    <w:rsid w:val="00C018ED"/>
    <w:rsid w:val="00C01E78"/>
    <w:rsid w:val="00C01EE0"/>
    <w:rsid w:val="00C01EE4"/>
    <w:rsid w:val="00C02239"/>
    <w:rsid w:val="00C022E1"/>
    <w:rsid w:val="00C02C78"/>
    <w:rsid w:val="00C0306C"/>
    <w:rsid w:val="00C0398D"/>
    <w:rsid w:val="00C041FA"/>
    <w:rsid w:val="00C0471C"/>
    <w:rsid w:val="00C049A6"/>
    <w:rsid w:val="00C04A6E"/>
    <w:rsid w:val="00C057BB"/>
    <w:rsid w:val="00C05A23"/>
    <w:rsid w:val="00C05A7F"/>
    <w:rsid w:val="00C05C3D"/>
    <w:rsid w:val="00C060B0"/>
    <w:rsid w:val="00C06518"/>
    <w:rsid w:val="00C068FE"/>
    <w:rsid w:val="00C06AD5"/>
    <w:rsid w:val="00C071AC"/>
    <w:rsid w:val="00C0770E"/>
    <w:rsid w:val="00C07C25"/>
    <w:rsid w:val="00C10764"/>
    <w:rsid w:val="00C109A2"/>
    <w:rsid w:val="00C10A3F"/>
    <w:rsid w:val="00C11B0B"/>
    <w:rsid w:val="00C11E4C"/>
    <w:rsid w:val="00C1213E"/>
    <w:rsid w:val="00C1271D"/>
    <w:rsid w:val="00C12B4D"/>
    <w:rsid w:val="00C12E37"/>
    <w:rsid w:val="00C133D9"/>
    <w:rsid w:val="00C13415"/>
    <w:rsid w:val="00C134C3"/>
    <w:rsid w:val="00C138BA"/>
    <w:rsid w:val="00C13BE0"/>
    <w:rsid w:val="00C13E92"/>
    <w:rsid w:val="00C14954"/>
    <w:rsid w:val="00C14BB9"/>
    <w:rsid w:val="00C15646"/>
    <w:rsid w:val="00C157B3"/>
    <w:rsid w:val="00C161F4"/>
    <w:rsid w:val="00C16446"/>
    <w:rsid w:val="00C16DF5"/>
    <w:rsid w:val="00C16FF0"/>
    <w:rsid w:val="00C170CE"/>
    <w:rsid w:val="00C174DD"/>
    <w:rsid w:val="00C17544"/>
    <w:rsid w:val="00C1755B"/>
    <w:rsid w:val="00C179B0"/>
    <w:rsid w:val="00C17FB4"/>
    <w:rsid w:val="00C20245"/>
    <w:rsid w:val="00C203EA"/>
    <w:rsid w:val="00C20726"/>
    <w:rsid w:val="00C20CA6"/>
    <w:rsid w:val="00C2143D"/>
    <w:rsid w:val="00C21A3D"/>
    <w:rsid w:val="00C21EEB"/>
    <w:rsid w:val="00C2204F"/>
    <w:rsid w:val="00C2237E"/>
    <w:rsid w:val="00C226F9"/>
    <w:rsid w:val="00C22C8C"/>
    <w:rsid w:val="00C23398"/>
    <w:rsid w:val="00C23485"/>
    <w:rsid w:val="00C23B23"/>
    <w:rsid w:val="00C23D96"/>
    <w:rsid w:val="00C2428B"/>
    <w:rsid w:val="00C24CB3"/>
    <w:rsid w:val="00C24D03"/>
    <w:rsid w:val="00C2550D"/>
    <w:rsid w:val="00C25A71"/>
    <w:rsid w:val="00C25B8B"/>
    <w:rsid w:val="00C25C07"/>
    <w:rsid w:val="00C25E4B"/>
    <w:rsid w:val="00C25EB1"/>
    <w:rsid w:val="00C26684"/>
    <w:rsid w:val="00C26C22"/>
    <w:rsid w:val="00C277E1"/>
    <w:rsid w:val="00C27B03"/>
    <w:rsid w:val="00C3006D"/>
    <w:rsid w:val="00C301EF"/>
    <w:rsid w:val="00C3089B"/>
    <w:rsid w:val="00C308E0"/>
    <w:rsid w:val="00C31A69"/>
    <w:rsid w:val="00C32038"/>
    <w:rsid w:val="00C32255"/>
    <w:rsid w:val="00C323B4"/>
    <w:rsid w:val="00C3248B"/>
    <w:rsid w:val="00C32A6D"/>
    <w:rsid w:val="00C33A64"/>
    <w:rsid w:val="00C33B2F"/>
    <w:rsid w:val="00C33DD1"/>
    <w:rsid w:val="00C3476D"/>
    <w:rsid w:val="00C34985"/>
    <w:rsid w:val="00C34A61"/>
    <w:rsid w:val="00C34B40"/>
    <w:rsid w:val="00C34BDF"/>
    <w:rsid w:val="00C34E36"/>
    <w:rsid w:val="00C35020"/>
    <w:rsid w:val="00C35434"/>
    <w:rsid w:val="00C35836"/>
    <w:rsid w:val="00C35B24"/>
    <w:rsid w:val="00C35C41"/>
    <w:rsid w:val="00C36003"/>
    <w:rsid w:val="00C3669E"/>
    <w:rsid w:val="00C36AFA"/>
    <w:rsid w:val="00C36DBE"/>
    <w:rsid w:val="00C374B0"/>
    <w:rsid w:val="00C37B0C"/>
    <w:rsid w:val="00C40328"/>
    <w:rsid w:val="00C404BF"/>
    <w:rsid w:val="00C40503"/>
    <w:rsid w:val="00C4081C"/>
    <w:rsid w:val="00C413ED"/>
    <w:rsid w:val="00C4197B"/>
    <w:rsid w:val="00C41C3F"/>
    <w:rsid w:val="00C41CD3"/>
    <w:rsid w:val="00C41DE7"/>
    <w:rsid w:val="00C425DB"/>
    <w:rsid w:val="00C42BD7"/>
    <w:rsid w:val="00C42F30"/>
    <w:rsid w:val="00C43438"/>
    <w:rsid w:val="00C437B8"/>
    <w:rsid w:val="00C43982"/>
    <w:rsid w:val="00C44000"/>
    <w:rsid w:val="00C44127"/>
    <w:rsid w:val="00C44264"/>
    <w:rsid w:val="00C44570"/>
    <w:rsid w:val="00C4496E"/>
    <w:rsid w:val="00C44997"/>
    <w:rsid w:val="00C44DC7"/>
    <w:rsid w:val="00C45328"/>
    <w:rsid w:val="00C46033"/>
    <w:rsid w:val="00C46251"/>
    <w:rsid w:val="00C4693C"/>
    <w:rsid w:val="00C46D86"/>
    <w:rsid w:val="00C471F6"/>
    <w:rsid w:val="00C4778B"/>
    <w:rsid w:val="00C4790F"/>
    <w:rsid w:val="00C47F44"/>
    <w:rsid w:val="00C47FC0"/>
    <w:rsid w:val="00C50075"/>
    <w:rsid w:val="00C504EB"/>
    <w:rsid w:val="00C51296"/>
    <w:rsid w:val="00C5189F"/>
    <w:rsid w:val="00C52279"/>
    <w:rsid w:val="00C52298"/>
    <w:rsid w:val="00C5263B"/>
    <w:rsid w:val="00C528CC"/>
    <w:rsid w:val="00C5349D"/>
    <w:rsid w:val="00C53ABD"/>
    <w:rsid w:val="00C53AD3"/>
    <w:rsid w:val="00C53C94"/>
    <w:rsid w:val="00C53F49"/>
    <w:rsid w:val="00C5450E"/>
    <w:rsid w:val="00C5476D"/>
    <w:rsid w:val="00C54953"/>
    <w:rsid w:val="00C54B94"/>
    <w:rsid w:val="00C5571E"/>
    <w:rsid w:val="00C559FB"/>
    <w:rsid w:val="00C56097"/>
    <w:rsid w:val="00C56449"/>
    <w:rsid w:val="00C56614"/>
    <w:rsid w:val="00C566C6"/>
    <w:rsid w:val="00C56BD8"/>
    <w:rsid w:val="00C56DA6"/>
    <w:rsid w:val="00C56FDC"/>
    <w:rsid w:val="00C571A4"/>
    <w:rsid w:val="00C571F9"/>
    <w:rsid w:val="00C57741"/>
    <w:rsid w:val="00C57FB9"/>
    <w:rsid w:val="00C60399"/>
    <w:rsid w:val="00C6051E"/>
    <w:rsid w:val="00C6061D"/>
    <w:rsid w:val="00C606C5"/>
    <w:rsid w:val="00C6074F"/>
    <w:rsid w:val="00C60899"/>
    <w:rsid w:val="00C60A52"/>
    <w:rsid w:val="00C60BB5"/>
    <w:rsid w:val="00C61221"/>
    <w:rsid w:val="00C61717"/>
    <w:rsid w:val="00C61CEA"/>
    <w:rsid w:val="00C622F4"/>
    <w:rsid w:val="00C62568"/>
    <w:rsid w:val="00C628A9"/>
    <w:rsid w:val="00C62C9A"/>
    <w:rsid w:val="00C638CA"/>
    <w:rsid w:val="00C64143"/>
    <w:rsid w:val="00C6434D"/>
    <w:rsid w:val="00C64F4B"/>
    <w:rsid w:val="00C6521C"/>
    <w:rsid w:val="00C652E5"/>
    <w:rsid w:val="00C653B9"/>
    <w:rsid w:val="00C65AB4"/>
    <w:rsid w:val="00C65C04"/>
    <w:rsid w:val="00C66174"/>
    <w:rsid w:val="00C66980"/>
    <w:rsid w:val="00C66C7A"/>
    <w:rsid w:val="00C66D1C"/>
    <w:rsid w:val="00C66FA7"/>
    <w:rsid w:val="00C6738B"/>
    <w:rsid w:val="00C67446"/>
    <w:rsid w:val="00C674E8"/>
    <w:rsid w:val="00C67566"/>
    <w:rsid w:val="00C67C30"/>
    <w:rsid w:val="00C67CD3"/>
    <w:rsid w:val="00C7033B"/>
    <w:rsid w:val="00C70371"/>
    <w:rsid w:val="00C703A4"/>
    <w:rsid w:val="00C70524"/>
    <w:rsid w:val="00C70962"/>
    <w:rsid w:val="00C7149B"/>
    <w:rsid w:val="00C71674"/>
    <w:rsid w:val="00C7281B"/>
    <w:rsid w:val="00C7290C"/>
    <w:rsid w:val="00C731B6"/>
    <w:rsid w:val="00C740E9"/>
    <w:rsid w:val="00C743AA"/>
    <w:rsid w:val="00C745CA"/>
    <w:rsid w:val="00C74F98"/>
    <w:rsid w:val="00C7556B"/>
    <w:rsid w:val="00C756CB"/>
    <w:rsid w:val="00C7697F"/>
    <w:rsid w:val="00C76A82"/>
    <w:rsid w:val="00C77407"/>
    <w:rsid w:val="00C77440"/>
    <w:rsid w:val="00C77B3F"/>
    <w:rsid w:val="00C77B60"/>
    <w:rsid w:val="00C809E2"/>
    <w:rsid w:val="00C8136C"/>
    <w:rsid w:val="00C81760"/>
    <w:rsid w:val="00C82FAC"/>
    <w:rsid w:val="00C82FFA"/>
    <w:rsid w:val="00C830C7"/>
    <w:rsid w:val="00C831CF"/>
    <w:rsid w:val="00C83611"/>
    <w:rsid w:val="00C8451F"/>
    <w:rsid w:val="00C84A1B"/>
    <w:rsid w:val="00C84B71"/>
    <w:rsid w:val="00C84D2C"/>
    <w:rsid w:val="00C84E9E"/>
    <w:rsid w:val="00C852B3"/>
    <w:rsid w:val="00C8534E"/>
    <w:rsid w:val="00C85521"/>
    <w:rsid w:val="00C856C0"/>
    <w:rsid w:val="00C85A63"/>
    <w:rsid w:val="00C85CCE"/>
    <w:rsid w:val="00C85FB3"/>
    <w:rsid w:val="00C86379"/>
    <w:rsid w:val="00C863EE"/>
    <w:rsid w:val="00C86C40"/>
    <w:rsid w:val="00C87378"/>
    <w:rsid w:val="00C9024C"/>
    <w:rsid w:val="00C904DA"/>
    <w:rsid w:val="00C90A55"/>
    <w:rsid w:val="00C90DA2"/>
    <w:rsid w:val="00C90E71"/>
    <w:rsid w:val="00C910DC"/>
    <w:rsid w:val="00C91137"/>
    <w:rsid w:val="00C91939"/>
    <w:rsid w:val="00C92265"/>
    <w:rsid w:val="00C92599"/>
    <w:rsid w:val="00C92646"/>
    <w:rsid w:val="00C92A6C"/>
    <w:rsid w:val="00C9316A"/>
    <w:rsid w:val="00C93B5E"/>
    <w:rsid w:val="00C94BAF"/>
    <w:rsid w:val="00C94C62"/>
    <w:rsid w:val="00C94E26"/>
    <w:rsid w:val="00C956A1"/>
    <w:rsid w:val="00C95A78"/>
    <w:rsid w:val="00C95D8D"/>
    <w:rsid w:val="00C965AF"/>
    <w:rsid w:val="00C96F55"/>
    <w:rsid w:val="00C9771E"/>
    <w:rsid w:val="00C977BB"/>
    <w:rsid w:val="00C979A0"/>
    <w:rsid w:val="00C97C7F"/>
    <w:rsid w:val="00CA0D6B"/>
    <w:rsid w:val="00CA11D5"/>
    <w:rsid w:val="00CA11F7"/>
    <w:rsid w:val="00CA1241"/>
    <w:rsid w:val="00CA1276"/>
    <w:rsid w:val="00CA14C4"/>
    <w:rsid w:val="00CA14E3"/>
    <w:rsid w:val="00CA1589"/>
    <w:rsid w:val="00CA1A16"/>
    <w:rsid w:val="00CA21BF"/>
    <w:rsid w:val="00CA2283"/>
    <w:rsid w:val="00CA29D7"/>
    <w:rsid w:val="00CA2AEF"/>
    <w:rsid w:val="00CA2E66"/>
    <w:rsid w:val="00CA325F"/>
    <w:rsid w:val="00CA33B8"/>
    <w:rsid w:val="00CA33C3"/>
    <w:rsid w:val="00CA35AE"/>
    <w:rsid w:val="00CA38F7"/>
    <w:rsid w:val="00CA3A1C"/>
    <w:rsid w:val="00CA3BEA"/>
    <w:rsid w:val="00CA47D1"/>
    <w:rsid w:val="00CA48CE"/>
    <w:rsid w:val="00CA5006"/>
    <w:rsid w:val="00CA5ADA"/>
    <w:rsid w:val="00CA5B2C"/>
    <w:rsid w:val="00CA622A"/>
    <w:rsid w:val="00CA6C76"/>
    <w:rsid w:val="00CA6D5E"/>
    <w:rsid w:val="00CA6EF9"/>
    <w:rsid w:val="00CA7EB5"/>
    <w:rsid w:val="00CB0406"/>
    <w:rsid w:val="00CB0E7B"/>
    <w:rsid w:val="00CB12B9"/>
    <w:rsid w:val="00CB13B1"/>
    <w:rsid w:val="00CB1582"/>
    <w:rsid w:val="00CB22B7"/>
    <w:rsid w:val="00CB2701"/>
    <w:rsid w:val="00CB2985"/>
    <w:rsid w:val="00CB31DA"/>
    <w:rsid w:val="00CB361D"/>
    <w:rsid w:val="00CB3802"/>
    <w:rsid w:val="00CB3EAC"/>
    <w:rsid w:val="00CB468E"/>
    <w:rsid w:val="00CB4E2C"/>
    <w:rsid w:val="00CB5032"/>
    <w:rsid w:val="00CB52D0"/>
    <w:rsid w:val="00CB632B"/>
    <w:rsid w:val="00CB68F7"/>
    <w:rsid w:val="00CB69D0"/>
    <w:rsid w:val="00CB6BB5"/>
    <w:rsid w:val="00CB7920"/>
    <w:rsid w:val="00CB7DF6"/>
    <w:rsid w:val="00CC02D3"/>
    <w:rsid w:val="00CC03EB"/>
    <w:rsid w:val="00CC0552"/>
    <w:rsid w:val="00CC06F6"/>
    <w:rsid w:val="00CC0D52"/>
    <w:rsid w:val="00CC0F59"/>
    <w:rsid w:val="00CC14D5"/>
    <w:rsid w:val="00CC2696"/>
    <w:rsid w:val="00CC2706"/>
    <w:rsid w:val="00CC2933"/>
    <w:rsid w:val="00CC2B4E"/>
    <w:rsid w:val="00CC303F"/>
    <w:rsid w:val="00CC31B3"/>
    <w:rsid w:val="00CC34D6"/>
    <w:rsid w:val="00CC3C96"/>
    <w:rsid w:val="00CC3EB3"/>
    <w:rsid w:val="00CC3F61"/>
    <w:rsid w:val="00CC402F"/>
    <w:rsid w:val="00CC42DB"/>
    <w:rsid w:val="00CC4AFD"/>
    <w:rsid w:val="00CC5344"/>
    <w:rsid w:val="00CC55E0"/>
    <w:rsid w:val="00CC59F6"/>
    <w:rsid w:val="00CC5ACD"/>
    <w:rsid w:val="00CC5DA8"/>
    <w:rsid w:val="00CC6653"/>
    <w:rsid w:val="00CC68B1"/>
    <w:rsid w:val="00CC70A7"/>
    <w:rsid w:val="00CC70B8"/>
    <w:rsid w:val="00CC7342"/>
    <w:rsid w:val="00CC7A22"/>
    <w:rsid w:val="00CC7FBF"/>
    <w:rsid w:val="00CD0124"/>
    <w:rsid w:val="00CD05E5"/>
    <w:rsid w:val="00CD077C"/>
    <w:rsid w:val="00CD09F7"/>
    <w:rsid w:val="00CD257C"/>
    <w:rsid w:val="00CD342A"/>
    <w:rsid w:val="00CD38E8"/>
    <w:rsid w:val="00CD3940"/>
    <w:rsid w:val="00CD3CCA"/>
    <w:rsid w:val="00CD42F8"/>
    <w:rsid w:val="00CD5235"/>
    <w:rsid w:val="00CD58CE"/>
    <w:rsid w:val="00CD59AE"/>
    <w:rsid w:val="00CD61B0"/>
    <w:rsid w:val="00CD62B3"/>
    <w:rsid w:val="00CD6667"/>
    <w:rsid w:val="00CD7131"/>
    <w:rsid w:val="00CD7373"/>
    <w:rsid w:val="00CD73F5"/>
    <w:rsid w:val="00CE0116"/>
    <w:rsid w:val="00CE0674"/>
    <w:rsid w:val="00CE167A"/>
    <w:rsid w:val="00CE17C8"/>
    <w:rsid w:val="00CE252E"/>
    <w:rsid w:val="00CE25AE"/>
    <w:rsid w:val="00CE3495"/>
    <w:rsid w:val="00CE3DC4"/>
    <w:rsid w:val="00CE3EFD"/>
    <w:rsid w:val="00CE4D02"/>
    <w:rsid w:val="00CE5256"/>
    <w:rsid w:val="00CE5276"/>
    <w:rsid w:val="00CE5546"/>
    <w:rsid w:val="00CE58B9"/>
    <w:rsid w:val="00CE5E12"/>
    <w:rsid w:val="00CE6053"/>
    <w:rsid w:val="00CE6631"/>
    <w:rsid w:val="00CE6A0B"/>
    <w:rsid w:val="00CE7182"/>
    <w:rsid w:val="00CE72D7"/>
    <w:rsid w:val="00CE77D7"/>
    <w:rsid w:val="00CE7D3C"/>
    <w:rsid w:val="00CF0031"/>
    <w:rsid w:val="00CF0950"/>
    <w:rsid w:val="00CF0CE4"/>
    <w:rsid w:val="00CF1119"/>
    <w:rsid w:val="00CF173C"/>
    <w:rsid w:val="00CF217E"/>
    <w:rsid w:val="00CF258F"/>
    <w:rsid w:val="00CF2709"/>
    <w:rsid w:val="00CF308C"/>
    <w:rsid w:val="00CF3B07"/>
    <w:rsid w:val="00CF3C24"/>
    <w:rsid w:val="00CF4474"/>
    <w:rsid w:val="00CF4A48"/>
    <w:rsid w:val="00CF4AA9"/>
    <w:rsid w:val="00CF4B60"/>
    <w:rsid w:val="00CF4C13"/>
    <w:rsid w:val="00CF508B"/>
    <w:rsid w:val="00CF5BEA"/>
    <w:rsid w:val="00CF62E0"/>
    <w:rsid w:val="00CF6384"/>
    <w:rsid w:val="00CF6902"/>
    <w:rsid w:val="00CF7517"/>
    <w:rsid w:val="00D0023A"/>
    <w:rsid w:val="00D00F10"/>
    <w:rsid w:val="00D02464"/>
    <w:rsid w:val="00D02A8C"/>
    <w:rsid w:val="00D030E2"/>
    <w:rsid w:val="00D0335D"/>
    <w:rsid w:val="00D04496"/>
    <w:rsid w:val="00D04509"/>
    <w:rsid w:val="00D04696"/>
    <w:rsid w:val="00D04C60"/>
    <w:rsid w:val="00D0526C"/>
    <w:rsid w:val="00D05593"/>
    <w:rsid w:val="00D05BA0"/>
    <w:rsid w:val="00D05C1A"/>
    <w:rsid w:val="00D05D26"/>
    <w:rsid w:val="00D05D38"/>
    <w:rsid w:val="00D06285"/>
    <w:rsid w:val="00D068C7"/>
    <w:rsid w:val="00D069C9"/>
    <w:rsid w:val="00D06CF9"/>
    <w:rsid w:val="00D06E48"/>
    <w:rsid w:val="00D06E88"/>
    <w:rsid w:val="00D07038"/>
    <w:rsid w:val="00D073A5"/>
    <w:rsid w:val="00D0761E"/>
    <w:rsid w:val="00D076E5"/>
    <w:rsid w:val="00D079AA"/>
    <w:rsid w:val="00D106F9"/>
    <w:rsid w:val="00D10AD0"/>
    <w:rsid w:val="00D10C42"/>
    <w:rsid w:val="00D10F61"/>
    <w:rsid w:val="00D11268"/>
    <w:rsid w:val="00D116F9"/>
    <w:rsid w:val="00D11C7F"/>
    <w:rsid w:val="00D11F25"/>
    <w:rsid w:val="00D11F90"/>
    <w:rsid w:val="00D128C4"/>
    <w:rsid w:val="00D13503"/>
    <w:rsid w:val="00D13527"/>
    <w:rsid w:val="00D13BE7"/>
    <w:rsid w:val="00D13EE4"/>
    <w:rsid w:val="00D141C7"/>
    <w:rsid w:val="00D14F88"/>
    <w:rsid w:val="00D15020"/>
    <w:rsid w:val="00D1507F"/>
    <w:rsid w:val="00D15BB3"/>
    <w:rsid w:val="00D15E4E"/>
    <w:rsid w:val="00D16022"/>
    <w:rsid w:val="00D16661"/>
    <w:rsid w:val="00D16E03"/>
    <w:rsid w:val="00D16F48"/>
    <w:rsid w:val="00D17142"/>
    <w:rsid w:val="00D17229"/>
    <w:rsid w:val="00D17601"/>
    <w:rsid w:val="00D179A9"/>
    <w:rsid w:val="00D17CCD"/>
    <w:rsid w:val="00D17DD1"/>
    <w:rsid w:val="00D20939"/>
    <w:rsid w:val="00D20D69"/>
    <w:rsid w:val="00D20D6E"/>
    <w:rsid w:val="00D20F03"/>
    <w:rsid w:val="00D21300"/>
    <w:rsid w:val="00D21A0A"/>
    <w:rsid w:val="00D21DB1"/>
    <w:rsid w:val="00D22F0E"/>
    <w:rsid w:val="00D22F7B"/>
    <w:rsid w:val="00D230DC"/>
    <w:rsid w:val="00D23428"/>
    <w:rsid w:val="00D236FC"/>
    <w:rsid w:val="00D23881"/>
    <w:rsid w:val="00D24433"/>
    <w:rsid w:val="00D24A00"/>
    <w:rsid w:val="00D2517E"/>
    <w:rsid w:val="00D254F2"/>
    <w:rsid w:val="00D2555D"/>
    <w:rsid w:val="00D2560F"/>
    <w:rsid w:val="00D2584E"/>
    <w:rsid w:val="00D259C2"/>
    <w:rsid w:val="00D25AAA"/>
    <w:rsid w:val="00D26433"/>
    <w:rsid w:val="00D26C9A"/>
    <w:rsid w:val="00D26E05"/>
    <w:rsid w:val="00D27392"/>
    <w:rsid w:val="00D27C2C"/>
    <w:rsid w:val="00D27D75"/>
    <w:rsid w:val="00D27E60"/>
    <w:rsid w:val="00D303E8"/>
    <w:rsid w:val="00D30DC2"/>
    <w:rsid w:val="00D318E8"/>
    <w:rsid w:val="00D31966"/>
    <w:rsid w:val="00D31AB8"/>
    <w:rsid w:val="00D31BA6"/>
    <w:rsid w:val="00D32034"/>
    <w:rsid w:val="00D32483"/>
    <w:rsid w:val="00D32BA4"/>
    <w:rsid w:val="00D32CD9"/>
    <w:rsid w:val="00D33503"/>
    <w:rsid w:val="00D33585"/>
    <w:rsid w:val="00D335E1"/>
    <w:rsid w:val="00D34142"/>
    <w:rsid w:val="00D344BF"/>
    <w:rsid w:val="00D346EA"/>
    <w:rsid w:val="00D34AE8"/>
    <w:rsid w:val="00D34B34"/>
    <w:rsid w:val="00D34C6D"/>
    <w:rsid w:val="00D34C72"/>
    <w:rsid w:val="00D3545E"/>
    <w:rsid w:val="00D3555A"/>
    <w:rsid w:val="00D35652"/>
    <w:rsid w:val="00D358A4"/>
    <w:rsid w:val="00D359DC"/>
    <w:rsid w:val="00D35FEA"/>
    <w:rsid w:val="00D363CA"/>
    <w:rsid w:val="00D36650"/>
    <w:rsid w:val="00D366E4"/>
    <w:rsid w:val="00D36996"/>
    <w:rsid w:val="00D36EFD"/>
    <w:rsid w:val="00D3701F"/>
    <w:rsid w:val="00D37079"/>
    <w:rsid w:val="00D373C2"/>
    <w:rsid w:val="00D375D3"/>
    <w:rsid w:val="00D377EF"/>
    <w:rsid w:val="00D378EB"/>
    <w:rsid w:val="00D4000A"/>
    <w:rsid w:val="00D408DD"/>
    <w:rsid w:val="00D40D98"/>
    <w:rsid w:val="00D41FB5"/>
    <w:rsid w:val="00D423AC"/>
    <w:rsid w:val="00D42CBA"/>
    <w:rsid w:val="00D42F1D"/>
    <w:rsid w:val="00D4301F"/>
    <w:rsid w:val="00D436F7"/>
    <w:rsid w:val="00D4480F"/>
    <w:rsid w:val="00D449FE"/>
    <w:rsid w:val="00D44B15"/>
    <w:rsid w:val="00D44DC6"/>
    <w:rsid w:val="00D455C3"/>
    <w:rsid w:val="00D45643"/>
    <w:rsid w:val="00D45942"/>
    <w:rsid w:val="00D467DD"/>
    <w:rsid w:val="00D4687C"/>
    <w:rsid w:val="00D469F5"/>
    <w:rsid w:val="00D46E4A"/>
    <w:rsid w:val="00D473B3"/>
    <w:rsid w:val="00D476EA"/>
    <w:rsid w:val="00D47AB9"/>
    <w:rsid w:val="00D47B23"/>
    <w:rsid w:val="00D47CDB"/>
    <w:rsid w:val="00D514E5"/>
    <w:rsid w:val="00D516DE"/>
    <w:rsid w:val="00D5206A"/>
    <w:rsid w:val="00D52A27"/>
    <w:rsid w:val="00D52D00"/>
    <w:rsid w:val="00D52F1E"/>
    <w:rsid w:val="00D533B2"/>
    <w:rsid w:val="00D53589"/>
    <w:rsid w:val="00D539D5"/>
    <w:rsid w:val="00D544D5"/>
    <w:rsid w:val="00D556CA"/>
    <w:rsid w:val="00D55B21"/>
    <w:rsid w:val="00D55C74"/>
    <w:rsid w:val="00D56995"/>
    <w:rsid w:val="00D570A6"/>
    <w:rsid w:val="00D57897"/>
    <w:rsid w:val="00D5799A"/>
    <w:rsid w:val="00D579A0"/>
    <w:rsid w:val="00D602DE"/>
    <w:rsid w:val="00D6034C"/>
    <w:rsid w:val="00D6073A"/>
    <w:rsid w:val="00D60900"/>
    <w:rsid w:val="00D6096A"/>
    <w:rsid w:val="00D60ABE"/>
    <w:rsid w:val="00D60CCE"/>
    <w:rsid w:val="00D60CE5"/>
    <w:rsid w:val="00D61811"/>
    <w:rsid w:val="00D6193A"/>
    <w:rsid w:val="00D61D12"/>
    <w:rsid w:val="00D61E15"/>
    <w:rsid w:val="00D62947"/>
    <w:rsid w:val="00D62A9D"/>
    <w:rsid w:val="00D62D5B"/>
    <w:rsid w:val="00D62FC7"/>
    <w:rsid w:val="00D633DD"/>
    <w:rsid w:val="00D6340B"/>
    <w:rsid w:val="00D634B5"/>
    <w:rsid w:val="00D63516"/>
    <w:rsid w:val="00D637D8"/>
    <w:rsid w:val="00D639B5"/>
    <w:rsid w:val="00D63F9F"/>
    <w:rsid w:val="00D646D3"/>
    <w:rsid w:val="00D64782"/>
    <w:rsid w:val="00D64A47"/>
    <w:rsid w:val="00D662F2"/>
    <w:rsid w:val="00D665F1"/>
    <w:rsid w:val="00D67093"/>
    <w:rsid w:val="00D6711E"/>
    <w:rsid w:val="00D673D6"/>
    <w:rsid w:val="00D67698"/>
    <w:rsid w:val="00D67C80"/>
    <w:rsid w:val="00D67D28"/>
    <w:rsid w:val="00D67D9C"/>
    <w:rsid w:val="00D70871"/>
    <w:rsid w:val="00D713B7"/>
    <w:rsid w:val="00D71B4A"/>
    <w:rsid w:val="00D71B65"/>
    <w:rsid w:val="00D71C2B"/>
    <w:rsid w:val="00D721D9"/>
    <w:rsid w:val="00D72380"/>
    <w:rsid w:val="00D72718"/>
    <w:rsid w:val="00D732EE"/>
    <w:rsid w:val="00D73483"/>
    <w:rsid w:val="00D739F1"/>
    <w:rsid w:val="00D73B08"/>
    <w:rsid w:val="00D73CFD"/>
    <w:rsid w:val="00D74B49"/>
    <w:rsid w:val="00D74DC7"/>
    <w:rsid w:val="00D74E17"/>
    <w:rsid w:val="00D74E1E"/>
    <w:rsid w:val="00D74FA9"/>
    <w:rsid w:val="00D76053"/>
    <w:rsid w:val="00D769A3"/>
    <w:rsid w:val="00D76C91"/>
    <w:rsid w:val="00D76D27"/>
    <w:rsid w:val="00D77E9B"/>
    <w:rsid w:val="00D80071"/>
    <w:rsid w:val="00D80127"/>
    <w:rsid w:val="00D80287"/>
    <w:rsid w:val="00D804E2"/>
    <w:rsid w:val="00D805D1"/>
    <w:rsid w:val="00D816B3"/>
    <w:rsid w:val="00D8171A"/>
    <w:rsid w:val="00D818F9"/>
    <w:rsid w:val="00D81B2A"/>
    <w:rsid w:val="00D81FB3"/>
    <w:rsid w:val="00D82313"/>
    <w:rsid w:val="00D827D4"/>
    <w:rsid w:val="00D82E1C"/>
    <w:rsid w:val="00D82FD7"/>
    <w:rsid w:val="00D833E3"/>
    <w:rsid w:val="00D83BE9"/>
    <w:rsid w:val="00D842C1"/>
    <w:rsid w:val="00D84FA6"/>
    <w:rsid w:val="00D859F8"/>
    <w:rsid w:val="00D85A5A"/>
    <w:rsid w:val="00D85C5F"/>
    <w:rsid w:val="00D85CCC"/>
    <w:rsid w:val="00D85ECC"/>
    <w:rsid w:val="00D864C7"/>
    <w:rsid w:val="00D8673F"/>
    <w:rsid w:val="00D86EB7"/>
    <w:rsid w:val="00D8779B"/>
    <w:rsid w:val="00D8781C"/>
    <w:rsid w:val="00D87FCA"/>
    <w:rsid w:val="00D908DD"/>
    <w:rsid w:val="00D91CFA"/>
    <w:rsid w:val="00D91E9F"/>
    <w:rsid w:val="00D920F3"/>
    <w:rsid w:val="00D921B7"/>
    <w:rsid w:val="00D92B5E"/>
    <w:rsid w:val="00D93388"/>
    <w:rsid w:val="00D933F5"/>
    <w:rsid w:val="00D93CFF"/>
    <w:rsid w:val="00D93F2F"/>
    <w:rsid w:val="00D94562"/>
    <w:rsid w:val="00D95457"/>
    <w:rsid w:val="00D95B0D"/>
    <w:rsid w:val="00D95EAD"/>
    <w:rsid w:val="00D95FB7"/>
    <w:rsid w:val="00D960DE"/>
    <w:rsid w:val="00D9628D"/>
    <w:rsid w:val="00D963F9"/>
    <w:rsid w:val="00D96732"/>
    <w:rsid w:val="00D969BF"/>
    <w:rsid w:val="00D96AC0"/>
    <w:rsid w:val="00D9741F"/>
    <w:rsid w:val="00D977FF"/>
    <w:rsid w:val="00D97A7B"/>
    <w:rsid w:val="00DA0268"/>
    <w:rsid w:val="00DA08E6"/>
    <w:rsid w:val="00DA0A54"/>
    <w:rsid w:val="00DA0FB2"/>
    <w:rsid w:val="00DA11D8"/>
    <w:rsid w:val="00DA1259"/>
    <w:rsid w:val="00DA1663"/>
    <w:rsid w:val="00DA1A59"/>
    <w:rsid w:val="00DA1AAD"/>
    <w:rsid w:val="00DA1E08"/>
    <w:rsid w:val="00DA2044"/>
    <w:rsid w:val="00DA2220"/>
    <w:rsid w:val="00DA2A87"/>
    <w:rsid w:val="00DA2EA6"/>
    <w:rsid w:val="00DA32C0"/>
    <w:rsid w:val="00DA3AB7"/>
    <w:rsid w:val="00DA3B3E"/>
    <w:rsid w:val="00DA3E62"/>
    <w:rsid w:val="00DA3FDE"/>
    <w:rsid w:val="00DA4083"/>
    <w:rsid w:val="00DA4A52"/>
    <w:rsid w:val="00DA4FBC"/>
    <w:rsid w:val="00DA53BD"/>
    <w:rsid w:val="00DA5520"/>
    <w:rsid w:val="00DA57AE"/>
    <w:rsid w:val="00DA6645"/>
    <w:rsid w:val="00DA6B6A"/>
    <w:rsid w:val="00DA6FBF"/>
    <w:rsid w:val="00DA7457"/>
    <w:rsid w:val="00DA7AF9"/>
    <w:rsid w:val="00DA7B5F"/>
    <w:rsid w:val="00DB074F"/>
    <w:rsid w:val="00DB0B70"/>
    <w:rsid w:val="00DB0C43"/>
    <w:rsid w:val="00DB1083"/>
    <w:rsid w:val="00DB19F8"/>
    <w:rsid w:val="00DB1E87"/>
    <w:rsid w:val="00DB1EA0"/>
    <w:rsid w:val="00DB2995"/>
    <w:rsid w:val="00DB2ED0"/>
    <w:rsid w:val="00DB2F57"/>
    <w:rsid w:val="00DB2F8E"/>
    <w:rsid w:val="00DB38F0"/>
    <w:rsid w:val="00DB3B16"/>
    <w:rsid w:val="00DB3D51"/>
    <w:rsid w:val="00DB3EE8"/>
    <w:rsid w:val="00DB429A"/>
    <w:rsid w:val="00DB4701"/>
    <w:rsid w:val="00DB4820"/>
    <w:rsid w:val="00DB4CFB"/>
    <w:rsid w:val="00DB4E76"/>
    <w:rsid w:val="00DB4F76"/>
    <w:rsid w:val="00DB59C0"/>
    <w:rsid w:val="00DB5BF8"/>
    <w:rsid w:val="00DB6319"/>
    <w:rsid w:val="00DB6F13"/>
    <w:rsid w:val="00DB6F6D"/>
    <w:rsid w:val="00DB6FE5"/>
    <w:rsid w:val="00DB7087"/>
    <w:rsid w:val="00DB70E8"/>
    <w:rsid w:val="00DB7224"/>
    <w:rsid w:val="00DB77B1"/>
    <w:rsid w:val="00DB7E49"/>
    <w:rsid w:val="00DB7F21"/>
    <w:rsid w:val="00DC0146"/>
    <w:rsid w:val="00DC0305"/>
    <w:rsid w:val="00DC03EE"/>
    <w:rsid w:val="00DC06A9"/>
    <w:rsid w:val="00DC0E41"/>
    <w:rsid w:val="00DC1595"/>
    <w:rsid w:val="00DC1AA4"/>
    <w:rsid w:val="00DC1CF4"/>
    <w:rsid w:val="00DC1E18"/>
    <w:rsid w:val="00DC20D6"/>
    <w:rsid w:val="00DC2BD3"/>
    <w:rsid w:val="00DC2D38"/>
    <w:rsid w:val="00DC2E9E"/>
    <w:rsid w:val="00DC333D"/>
    <w:rsid w:val="00DC36B8"/>
    <w:rsid w:val="00DC37D5"/>
    <w:rsid w:val="00DC3C1C"/>
    <w:rsid w:val="00DC40AE"/>
    <w:rsid w:val="00DC4B58"/>
    <w:rsid w:val="00DC4D2E"/>
    <w:rsid w:val="00DC53C9"/>
    <w:rsid w:val="00DC53F2"/>
    <w:rsid w:val="00DC5BE0"/>
    <w:rsid w:val="00DC5C36"/>
    <w:rsid w:val="00DC6B01"/>
    <w:rsid w:val="00DC7797"/>
    <w:rsid w:val="00DC7E53"/>
    <w:rsid w:val="00DC7E57"/>
    <w:rsid w:val="00DD0198"/>
    <w:rsid w:val="00DD02C0"/>
    <w:rsid w:val="00DD078A"/>
    <w:rsid w:val="00DD0A56"/>
    <w:rsid w:val="00DD0B00"/>
    <w:rsid w:val="00DD0C7E"/>
    <w:rsid w:val="00DD0F6F"/>
    <w:rsid w:val="00DD0F77"/>
    <w:rsid w:val="00DD1044"/>
    <w:rsid w:val="00DD135E"/>
    <w:rsid w:val="00DD15A3"/>
    <w:rsid w:val="00DD1737"/>
    <w:rsid w:val="00DD29BF"/>
    <w:rsid w:val="00DD2C59"/>
    <w:rsid w:val="00DD2CB7"/>
    <w:rsid w:val="00DD34E1"/>
    <w:rsid w:val="00DD3555"/>
    <w:rsid w:val="00DD3CBA"/>
    <w:rsid w:val="00DD4201"/>
    <w:rsid w:val="00DD4523"/>
    <w:rsid w:val="00DD45E7"/>
    <w:rsid w:val="00DD4B39"/>
    <w:rsid w:val="00DD4D48"/>
    <w:rsid w:val="00DD5784"/>
    <w:rsid w:val="00DD68F2"/>
    <w:rsid w:val="00DD6EEF"/>
    <w:rsid w:val="00DD6F87"/>
    <w:rsid w:val="00DD71F6"/>
    <w:rsid w:val="00DD7221"/>
    <w:rsid w:val="00DD7667"/>
    <w:rsid w:val="00DD777C"/>
    <w:rsid w:val="00DD7900"/>
    <w:rsid w:val="00DD7E45"/>
    <w:rsid w:val="00DE023C"/>
    <w:rsid w:val="00DE0554"/>
    <w:rsid w:val="00DE088F"/>
    <w:rsid w:val="00DE0D2F"/>
    <w:rsid w:val="00DE0D75"/>
    <w:rsid w:val="00DE13B3"/>
    <w:rsid w:val="00DE1854"/>
    <w:rsid w:val="00DE19EB"/>
    <w:rsid w:val="00DE1F6D"/>
    <w:rsid w:val="00DE25F7"/>
    <w:rsid w:val="00DE278E"/>
    <w:rsid w:val="00DE2B11"/>
    <w:rsid w:val="00DE3AE7"/>
    <w:rsid w:val="00DE51C1"/>
    <w:rsid w:val="00DE5252"/>
    <w:rsid w:val="00DE564C"/>
    <w:rsid w:val="00DE5745"/>
    <w:rsid w:val="00DE5B0F"/>
    <w:rsid w:val="00DE5CFC"/>
    <w:rsid w:val="00DE628D"/>
    <w:rsid w:val="00DE6631"/>
    <w:rsid w:val="00DE6985"/>
    <w:rsid w:val="00DE6A21"/>
    <w:rsid w:val="00DE6E0E"/>
    <w:rsid w:val="00DE772F"/>
    <w:rsid w:val="00DE7D57"/>
    <w:rsid w:val="00DF0302"/>
    <w:rsid w:val="00DF09F5"/>
    <w:rsid w:val="00DF0FE3"/>
    <w:rsid w:val="00DF11C6"/>
    <w:rsid w:val="00DF12CD"/>
    <w:rsid w:val="00DF218B"/>
    <w:rsid w:val="00DF2228"/>
    <w:rsid w:val="00DF2CB1"/>
    <w:rsid w:val="00DF38A0"/>
    <w:rsid w:val="00DF396B"/>
    <w:rsid w:val="00DF56E6"/>
    <w:rsid w:val="00DF5F6F"/>
    <w:rsid w:val="00DF6076"/>
    <w:rsid w:val="00DF687F"/>
    <w:rsid w:val="00DF69F9"/>
    <w:rsid w:val="00DF7157"/>
    <w:rsid w:val="00DF78A9"/>
    <w:rsid w:val="00DF7D7B"/>
    <w:rsid w:val="00E00189"/>
    <w:rsid w:val="00E00C6F"/>
    <w:rsid w:val="00E01076"/>
    <w:rsid w:val="00E0174E"/>
    <w:rsid w:val="00E01AE3"/>
    <w:rsid w:val="00E02398"/>
    <w:rsid w:val="00E02579"/>
    <w:rsid w:val="00E02B50"/>
    <w:rsid w:val="00E03C84"/>
    <w:rsid w:val="00E04860"/>
    <w:rsid w:val="00E04B3F"/>
    <w:rsid w:val="00E05287"/>
    <w:rsid w:val="00E0536F"/>
    <w:rsid w:val="00E053C4"/>
    <w:rsid w:val="00E05A01"/>
    <w:rsid w:val="00E060C1"/>
    <w:rsid w:val="00E06242"/>
    <w:rsid w:val="00E062BE"/>
    <w:rsid w:val="00E063E4"/>
    <w:rsid w:val="00E06B1E"/>
    <w:rsid w:val="00E06CC0"/>
    <w:rsid w:val="00E0704B"/>
    <w:rsid w:val="00E0738C"/>
    <w:rsid w:val="00E07787"/>
    <w:rsid w:val="00E0793E"/>
    <w:rsid w:val="00E10857"/>
    <w:rsid w:val="00E10AAF"/>
    <w:rsid w:val="00E11076"/>
    <w:rsid w:val="00E11614"/>
    <w:rsid w:val="00E11C8D"/>
    <w:rsid w:val="00E1227A"/>
    <w:rsid w:val="00E12622"/>
    <w:rsid w:val="00E133B7"/>
    <w:rsid w:val="00E133F0"/>
    <w:rsid w:val="00E1356A"/>
    <w:rsid w:val="00E1359A"/>
    <w:rsid w:val="00E1377A"/>
    <w:rsid w:val="00E13D7B"/>
    <w:rsid w:val="00E14744"/>
    <w:rsid w:val="00E147D5"/>
    <w:rsid w:val="00E14C0E"/>
    <w:rsid w:val="00E14E8A"/>
    <w:rsid w:val="00E14F43"/>
    <w:rsid w:val="00E1536F"/>
    <w:rsid w:val="00E153E0"/>
    <w:rsid w:val="00E16419"/>
    <w:rsid w:val="00E16642"/>
    <w:rsid w:val="00E16EB5"/>
    <w:rsid w:val="00E16ED3"/>
    <w:rsid w:val="00E1787C"/>
    <w:rsid w:val="00E17C1C"/>
    <w:rsid w:val="00E20CB7"/>
    <w:rsid w:val="00E20E92"/>
    <w:rsid w:val="00E212B4"/>
    <w:rsid w:val="00E2175E"/>
    <w:rsid w:val="00E21924"/>
    <w:rsid w:val="00E21DC3"/>
    <w:rsid w:val="00E2242F"/>
    <w:rsid w:val="00E2249E"/>
    <w:rsid w:val="00E22B76"/>
    <w:rsid w:val="00E22D30"/>
    <w:rsid w:val="00E234F1"/>
    <w:rsid w:val="00E236F8"/>
    <w:rsid w:val="00E23717"/>
    <w:rsid w:val="00E2404D"/>
    <w:rsid w:val="00E241ED"/>
    <w:rsid w:val="00E24218"/>
    <w:rsid w:val="00E2492A"/>
    <w:rsid w:val="00E24E3A"/>
    <w:rsid w:val="00E25348"/>
    <w:rsid w:val="00E25561"/>
    <w:rsid w:val="00E25705"/>
    <w:rsid w:val="00E2585A"/>
    <w:rsid w:val="00E25AF8"/>
    <w:rsid w:val="00E25F53"/>
    <w:rsid w:val="00E262A6"/>
    <w:rsid w:val="00E26C55"/>
    <w:rsid w:val="00E26F6C"/>
    <w:rsid w:val="00E26F7D"/>
    <w:rsid w:val="00E27558"/>
    <w:rsid w:val="00E30209"/>
    <w:rsid w:val="00E3031B"/>
    <w:rsid w:val="00E30A35"/>
    <w:rsid w:val="00E317A3"/>
    <w:rsid w:val="00E319D5"/>
    <w:rsid w:val="00E31BD0"/>
    <w:rsid w:val="00E31DD2"/>
    <w:rsid w:val="00E32BC4"/>
    <w:rsid w:val="00E32E48"/>
    <w:rsid w:val="00E3353F"/>
    <w:rsid w:val="00E339E4"/>
    <w:rsid w:val="00E33ECE"/>
    <w:rsid w:val="00E345B2"/>
    <w:rsid w:val="00E34676"/>
    <w:rsid w:val="00E34970"/>
    <w:rsid w:val="00E34CA3"/>
    <w:rsid w:val="00E34CEF"/>
    <w:rsid w:val="00E34F6D"/>
    <w:rsid w:val="00E351D2"/>
    <w:rsid w:val="00E352AE"/>
    <w:rsid w:val="00E3581E"/>
    <w:rsid w:val="00E3592A"/>
    <w:rsid w:val="00E35C4A"/>
    <w:rsid w:val="00E367D8"/>
    <w:rsid w:val="00E3686B"/>
    <w:rsid w:val="00E36ECA"/>
    <w:rsid w:val="00E37A0F"/>
    <w:rsid w:val="00E37DA6"/>
    <w:rsid w:val="00E37FE3"/>
    <w:rsid w:val="00E4001C"/>
    <w:rsid w:val="00E40692"/>
    <w:rsid w:val="00E40EB7"/>
    <w:rsid w:val="00E40FF2"/>
    <w:rsid w:val="00E4174F"/>
    <w:rsid w:val="00E4186B"/>
    <w:rsid w:val="00E419DA"/>
    <w:rsid w:val="00E41C07"/>
    <w:rsid w:val="00E41C24"/>
    <w:rsid w:val="00E41DF6"/>
    <w:rsid w:val="00E42015"/>
    <w:rsid w:val="00E4205B"/>
    <w:rsid w:val="00E421DC"/>
    <w:rsid w:val="00E42360"/>
    <w:rsid w:val="00E424D9"/>
    <w:rsid w:val="00E42622"/>
    <w:rsid w:val="00E428AF"/>
    <w:rsid w:val="00E42E79"/>
    <w:rsid w:val="00E4343F"/>
    <w:rsid w:val="00E4388B"/>
    <w:rsid w:val="00E43AAA"/>
    <w:rsid w:val="00E43B40"/>
    <w:rsid w:val="00E43C1A"/>
    <w:rsid w:val="00E43DAA"/>
    <w:rsid w:val="00E44404"/>
    <w:rsid w:val="00E44918"/>
    <w:rsid w:val="00E44973"/>
    <w:rsid w:val="00E44C62"/>
    <w:rsid w:val="00E44DF0"/>
    <w:rsid w:val="00E451BB"/>
    <w:rsid w:val="00E4538F"/>
    <w:rsid w:val="00E464B1"/>
    <w:rsid w:val="00E46ADA"/>
    <w:rsid w:val="00E46E25"/>
    <w:rsid w:val="00E46FCE"/>
    <w:rsid w:val="00E500B3"/>
    <w:rsid w:val="00E5027B"/>
    <w:rsid w:val="00E506D3"/>
    <w:rsid w:val="00E50AB1"/>
    <w:rsid w:val="00E51F15"/>
    <w:rsid w:val="00E525AB"/>
    <w:rsid w:val="00E5305A"/>
    <w:rsid w:val="00E53162"/>
    <w:rsid w:val="00E5387C"/>
    <w:rsid w:val="00E53915"/>
    <w:rsid w:val="00E54292"/>
    <w:rsid w:val="00E54E1D"/>
    <w:rsid w:val="00E54EF2"/>
    <w:rsid w:val="00E55715"/>
    <w:rsid w:val="00E5589A"/>
    <w:rsid w:val="00E55A30"/>
    <w:rsid w:val="00E55C52"/>
    <w:rsid w:val="00E56015"/>
    <w:rsid w:val="00E56041"/>
    <w:rsid w:val="00E563C0"/>
    <w:rsid w:val="00E565F2"/>
    <w:rsid w:val="00E5693E"/>
    <w:rsid w:val="00E5721A"/>
    <w:rsid w:val="00E5723A"/>
    <w:rsid w:val="00E572D9"/>
    <w:rsid w:val="00E5759E"/>
    <w:rsid w:val="00E57D5B"/>
    <w:rsid w:val="00E57DE9"/>
    <w:rsid w:val="00E6029A"/>
    <w:rsid w:val="00E602AF"/>
    <w:rsid w:val="00E60CDF"/>
    <w:rsid w:val="00E60DC5"/>
    <w:rsid w:val="00E60EBE"/>
    <w:rsid w:val="00E61659"/>
    <w:rsid w:val="00E61F7F"/>
    <w:rsid w:val="00E627F7"/>
    <w:rsid w:val="00E62A95"/>
    <w:rsid w:val="00E62AE5"/>
    <w:rsid w:val="00E62CB4"/>
    <w:rsid w:val="00E62EDE"/>
    <w:rsid w:val="00E63008"/>
    <w:rsid w:val="00E630D9"/>
    <w:rsid w:val="00E633F4"/>
    <w:rsid w:val="00E63559"/>
    <w:rsid w:val="00E63918"/>
    <w:rsid w:val="00E63922"/>
    <w:rsid w:val="00E63C9E"/>
    <w:rsid w:val="00E6481A"/>
    <w:rsid w:val="00E64911"/>
    <w:rsid w:val="00E64A6A"/>
    <w:rsid w:val="00E64DBE"/>
    <w:rsid w:val="00E65380"/>
    <w:rsid w:val="00E654A7"/>
    <w:rsid w:val="00E655B4"/>
    <w:rsid w:val="00E655BE"/>
    <w:rsid w:val="00E660AB"/>
    <w:rsid w:val="00E66749"/>
    <w:rsid w:val="00E66935"/>
    <w:rsid w:val="00E66C9E"/>
    <w:rsid w:val="00E67180"/>
    <w:rsid w:val="00E67412"/>
    <w:rsid w:val="00E676BC"/>
    <w:rsid w:val="00E676E2"/>
    <w:rsid w:val="00E67A16"/>
    <w:rsid w:val="00E67AC1"/>
    <w:rsid w:val="00E67D4A"/>
    <w:rsid w:val="00E7006A"/>
    <w:rsid w:val="00E7069A"/>
    <w:rsid w:val="00E70958"/>
    <w:rsid w:val="00E70D80"/>
    <w:rsid w:val="00E71137"/>
    <w:rsid w:val="00E7148C"/>
    <w:rsid w:val="00E71AC9"/>
    <w:rsid w:val="00E724D1"/>
    <w:rsid w:val="00E72579"/>
    <w:rsid w:val="00E73729"/>
    <w:rsid w:val="00E73982"/>
    <w:rsid w:val="00E74B70"/>
    <w:rsid w:val="00E74BFA"/>
    <w:rsid w:val="00E74C6A"/>
    <w:rsid w:val="00E74CE4"/>
    <w:rsid w:val="00E74FA5"/>
    <w:rsid w:val="00E752D0"/>
    <w:rsid w:val="00E7531B"/>
    <w:rsid w:val="00E75443"/>
    <w:rsid w:val="00E756A8"/>
    <w:rsid w:val="00E757A2"/>
    <w:rsid w:val="00E76032"/>
    <w:rsid w:val="00E768F2"/>
    <w:rsid w:val="00E76F60"/>
    <w:rsid w:val="00E77297"/>
    <w:rsid w:val="00E7733C"/>
    <w:rsid w:val="00E7737E"/>
    <w:rsid w:val="00E776A8"/>
    <w:rsid w:val="00E77BDC"/>
    <w:rsid w:val="00E77DEE"/>
    <w:rsid w:val="00E77E45"/>
    <w:rsid w:val="00E77E9E"/>
    <w:rsid w:val="00E80127"/>
    <w:rsid w:val="00E80361"/>
    <w:rsid w:val="00E804B7"/>
    <w:rsid w:val="00E80818"/>
    <w:rsid w:val="00E81454"/>
    <w:rsid w:val="00E816BA"/>
    <w:rsid w:val="00E816F0"/>
    <w:rsid w:val="00E81DED"/>
    <w:rsid w:val="00E81E9A"/>
    <w:rsid w:val="00E8203A"/>
    <w:rsid w:val="00E82316"/>
    <w:rsid w:val="00E824C8"/>
    <w:rsid w:val="00E825B3"/>
    <w:rsid w:val="00E82999"/>
    <w:rsid w:val="00E83308"/>
    <w:rsid w:val="00E833A1"/>
    <w:rsid w:val="00E83418"/>
    <w:rsid w:val="00E8410F"/>
    <w:rsid w:val="00E849DE"/>
    <w:rsid w:val="00E84D51"/>
    <w:rsid w:val="00E850BE"/>
    <w:rsid w:val="00E85751"/>
    <w:rsid w:val="00E85830"/>
    <w:rsid w:val="00E85948"/>
    <w:rsid w:val="00E85C5F"/>
    <w:rsid w:val="00E862DF"/>
    <w:rsid w:val="00E86536"/>
    <w:rsid w:val="00E868D2"/>
    <w:rsid w:val="00E869B6"/>
    <w:rsid w:val="00E86C1A"/>
    <w:rsid w:val="00E874E4"/>
    <w:rsid w:val="00E903B9"/>
    <w:rsid w:val="00E909D1"/>
    <w:rsid w:val="00E90E2E"/>
    <w:rsid w:val="00E91282"/>
    <w:rsid w:val="00E9167E"/>
    <w:rsid w:val="00E91835"/>
    <w:rsid w:val="00E9193E"/>
    <w:rsid w:val="00E92140"/>
    <w:rsid w:val="00E922A4"/>
    <w:rsid w:val="00E925CE"/>
    <w:rsid w:val="00E925D1"/>
    <w:rsid w:val="00E930B2"/>
    <w:rsid w:val="00E93209"/>
    <w:rsid w:val="00E933AF"/>
    <w:rsid w:val="00E93A9B"/>
    <w:rsid w:val="00E93F3F"/>
    <w:rsid w:val="00E94703"/>
    <w:rsid w:val="00E94E65"/>
    <w:rsid w:val="00E950B3"/>
    <w:rsid w:val="00E950C9"/>
    <w:rsid w:val="00E9554B"/>
    <w:rsid w:val="00E959E9"/>
    <w:rsid w:val="00E95A8C"/>
    <w:rsid w:val="00E95AA5"/>
    <w:rsid w:val="00E96CC1"/>
    <w:rsid w:val="00E97048"/>
    <w:rsid w:val="00E9712F"/>
    <w:rsid w:val="00E973A9"/>
    <w:rsid w:val="00E97A92"/>
    <w:rsid w:val="00E97EBC"/>
    <w:rsid w:val="00EA05D9"/>
    <w:rsid w:val="00EA0EB9"/>
    <w:rsid w:val="00EA1104"/>
    <w:rsid w:val="00EA12FA"/>
    <w:rsid w:val="00EA1966"/>
    <w:rsid w:val="00EA2254"/>
    <w:rsid w:val="00EA238E"/>
    <w:rsid w:val="00EA245E"/>
    <w:rsid w:val="00EA24A4"/>
    <w:rsid w:val="00EA25C1"/>
    <w:rsid w:val="00EA262C"/>
    <w:rsid w:val="00EA2CA8"/>
    <w:rsid w:val="00EA38B3"/>
    <w:rsid w:val="00EA3C6D"/>
    <w:rsid w:val="00EA3FA0"/>
    <w:rsid w:val="00EA51C2"/>
    <w:rsid w:val="00EA51FA"/>
    <w:rsid w:val="00EA5257"/>
    <w:rsid w:val="00EA5957"/>
    <w:rsid w:val="00EA59B6"/>
    <w:rsid w:val="00EA5A2D"/>
    <w:rsid w:val="00EA5AE9"/>
    <w:rsid w:val="00EA5B2C"/>
    <w:rsid w:val="00EA643F"/>
    <w:rsid w:val="00EA6AF6"/>
    <w:rsid w:val="00EA7130"/>
    <w:rsid w:val="00EA7415"/>
    <w:rsid w:val="00EA78AC"/>
    <w:rsid w:val="00EA7C99"/>
    <w:rsid w:val="00EB0433"/>
    <w:rsid w:val="00EB0861"/>
    <w:rsid w:val="00EB0D8D"/>
    <w:rsid w:val="00EB0FDD"/>
    <w:rsid w:val="00EB1979"/>
    <w:rsid w:val="00EB1B8B"/>
    <w:rsid w:val="00EB1DD6"/>
    <w:rsid w:val="00EB2032"/>
    <w:rsid w:val="00EB23DC"/>
    <w:rsid w:val="00EB297E"/>
    <w:rsid w:val="00EB2C78"/>
    <w:rsid w:val="00EB3324"/>
    <w:rsid w:val="00EB3C54"/>
    <w:rsid w:val="00EB3D9F"/>
    <w:rsid w:val="00EB474C"/>
    <w:rsid w:val="00EB4951"/>
    <w:rsid w:val="00EB510A"/>
    <w:rsid w:val="00EB51B2"/>
    <w:rsid w:val="00EB595B"/>
    <w:rsid w:val="00EB5D5F"/>
    <w:rsid w:val="00EB62FE"/>
    <w:rsid w:val="00EB66F0"/>
    <w:rsid w:val="00EB797A"/>
    <w:rsid w:val="00EC07EC"/>
    <w:rsid w:val="00EC098E"/>
    <w:rsid w:val="00EC09FD"/>
    <w:rsid w:val="00EC0A31"/>
    <w:rsid w:val="00EC0BCB"/>
    <w:rsid w:val="00EC0D20"/>
    <w:rsid w:val="00EC0E3B"/>
    <w:rsid w:val="00EC0E71"/>
    <w:rsid w:val="00EC126F"/>
    <w:rsid w:val="00EC1433"/>
    <w:rsid w:val="00EC1574"/>
    <w:rsid w:val="00EC1617"/>
    <w:rsid w:val="00EC17D2"/>
    <w:rsid w:val="00EC1907"/>
    <w:rsid w:val="00EC21D7"/>
    <w:rsid w:val="00EC2660"/>
    <w:rsid w:val="00EC2792"/>
    <w:rsid w:val="00EC288E"/>
    <w:rsid w:val="00EC3937"/>
    <w:rsid w:val="00EC3E36"/>
    <w:rsid w:val="00EC421E"/>
    <w:rsid w:val="00EC4617"/>
    <w:rsid w:val="00EC526E"/>
    <w:rsid w:val="00EC5C28"/>
    <w:rsid w:val="00EC5CB3"/>
    <w:rsid w:val="00EC6916"/>
    <w:rsid w:val="00EC6A43"/>
    <w:rsid w:val="00EC7239"/>
    <w:rsid w:val="00EC7AAF"/>
    <w:rsid w:val="00EC7BCA"/>
    <w:rsid w:val="00ED02B3"/>
    <w:rsid w:val="00ED0490"/>
    <w:rsid w:val="00ED0648"/>
    <w:rsid w:val="00ED0972"/>
    <w:rsid w:val="00ED0D66"/>
    <w:rsid w:val="00ED15EA"/>
    <w:rsid w:val="00ED1BAA"/>
    <w:rsid w:val="00ED1EE5"/>
    <w:rsid w:val="00ED2493"/>
    <w:rsid w:val="00ED2E13"/>
    <w:rsid w:val="00ED3683"/>
    <w:rsid w:val="00ED3801"/>
    <w:rsid w:val="00ED389A"/>
    <w:rsid w:val="00ED39FC"/>
    <w:rsid w:val="00ED3AC5"/>
    <w:rsid w:val="00ED3BF4"/>
    <w:rsid w:val="00ED3D3C"/>
    <w:rsid w:val="00ED433E"/>
    <w:rsid w:val="00ED444D"/>
    <w:rsid w:val="00ED4BBC"/>
    <w:rsid w:val="00ED4F94"/>
    <w:rsid w:val="00ED5DE5"/>
    <w:rsid w:val="00ED613A"/>
    <w:rsid w:val="00ED61EB"/>
    <w:rsid w:val="00ED61F7"/>
    <w:rsid w:val="00ED65B8"/>
    <w:rsid w:val="00ED69FB"/>
    <w:rsid w:val="00ED6CC6"/>
    <w:rsid w:val="00ED6CFA"/>
    <w:rsid w:val="00ED6D53"/>
    <w:rsid w:val="00ED71E6"/>
    <w:rsid w:val="00ED7C89"/>
    <w:rsid w:val="00ED7F58"/>
    <w:rsid w:val="00ED7F72"/>
    <w:rsid w:val="00EE071C"/>
    <w:rsid w:val="00EE0814"/>
    <w:rsid w:val="00EE142B"/>
    <w:rsid w:val="00EE14F0"/>
    <w:rsid w:val="00EE15EA"/>
    <w:rsid w:val="00EE1855"/>
    <w:rsid w:val="00EE19B4"/>
    <w:rsid w:val="00EE2645"/>
    <w:rsid w:val="00EE268A"/>
    <w:rsid w:val="00EE2A69"/>
    <w:rsid w:val="00EE2B68"/>
    <w:rsid w:val="00EE3733"/>
    <w:rsid w:val="00EE395E"/>
    <w:rsid w:val="00EE3A6B"/>
    <w:rsid w:val="00EE40DD"/>
    <w:rsid w:val="00EE536F"/>
    <w:rsid w:val="00EE5FEC"/>
    <w:rsid w:val="00EE6714"/>
    <w:rsid w:val="00EE6D70"/>
    <w:rsid w:val="00EE7A88"/>
    <w:rsid w:val="00EE7EC0"/>
    <w:rsid w:val="00EF036A"/>
    <w:rsid w:val="00EF05F9"/>
    <w:rsid w:val="00EF09E3"/>
    <w:rsid w:val="00EF0EB2"/>
    <w:rsid w:val="00EF1386"/>
    <w:rsid w:val="00EF144B"/>
    <w:rsid w:val="00EF14CE"/>
    <w:rsid w:val="00EF1712"/>
    <w:rsid w:val="00EF1971"/>
    <w:rsid w:val="00EF1A1F"/>
    <w:rsid w:val="00EF1B5F"/>
    <w:rsid w:val="00EF1F5F"/>
    <w:rsid w:val="00EF224A"/>
    <w:rsid w:val="00EF228F"/>
    <w:rsid w:val="00EF2491"/>
    <w:rsid w:val="00EF256B"/>
    <w:rsid w:val="00EF2575"/>
    <w:rsid w:val="00EF2DBF"/>
    <w:rsid w:val="00EF33C1"/>
    <w:rsid w:val="00EF3A98"/>
    <w:rsid w:val="00EF5277"/>
    <w:rsid w:val="00EF5317"/>
    <w:rsid w:val="00EF5495"/>
    <w:rsid w:val="00EF567C"/>
    <w:rsid w:val="00EF57BF"/>
    <w:rsid w:val="00EF5CAD"/>
    <w:rsid w:val="00EF5F03"/>
    <w:rsid w:val="00EF611F"/>
    <w:rsid w:val="00EF6E83"/>
    <w:rsid w:val="00EF756A"/>
    <w:rsid w:val="00EF75FB"/>
    <w:rsid w:val="00EF76E1"/>
    <w:rsid w:val="00EF783F"/>
    <w:rsid w:val="00F004DB"/>
    <w:rsid w:val="00F00AA1"/>
    <w:rsid w:val="00F00AA5"/>
    <w:rsid w:val="00F00B4C"/>
    <w:rsid w:val="00F01216"/>
    <w:rsid w:val="00F01339"/>
    <w:rsid w:val="00F0143E"/>
    <w:rsid w:val="00F01546"/>
    <w:rsid w:val="00F019C5"/>
    <w:rsid w:val="00F020A3"/>
    <w:rsid w:val="00F024AD"/>
    <w:rsid w:val="00F029AF"/>
    <w:rsid w:val="00F02B1F"/>
    <w:rsid w:val="00F02B61"/>
    <w:rsid w:val="00F02B62"/>
    <w:rsid w:val="00F02DE6"/>
    <w:rsid w:val="00F02F2A"/>
    <w:rsid w:val="00F0388C"/>
    <w:rsid w:val="00F03A44"/>
    <w:rsid w:val="00F0402F"/>
    <w:rsid w:val="00F04204"/>
    <w:rsid w:val="00F048E9"/>
    <w:rsid w:val="00F05577"/>
    <w:rsid w:val="00F0570E"/>
    <w:rsid w:val="00F05B60"/>
    <w:rsid w:val="00F05BEF"/>
    <w:rsid w:val="00F07451"/>
    <w:rsid w:val="00F07686"/>
    <w:rsid w:val="00F07752"/>
    <w:rsid w:val="00F07C86"/>
    <w:rsid w:val="00F1030E"/>
    <w:rsid w:val="00F106B6"/>
    <w:rsid w:val="00F10925"/>
    <w:rsid w:val="00F10B51"/>
    <w:rsid w:val="00F121BE"/>
    <w:rsid w:val="00F12292"/>
    <w:rsid w:val="00F12904"/>
    <w:rsid w:val="00F12F6C"/>
    <w:rsid w:val="00F135F6"/>
    <w:rsid w:val="00F13DAE"/>
    <w:rsid w:val="00F14077"/>
    <w:rsid w:val="00F14280"/>
    <w:rsid w:val="00F14D40"/>
    <w:rsid w:val="00F150EE"/>
    <w:rsid w:val="00F15787"/>
    <w:rsid w:val="00F157D8"/>
    <w:rsid w:val="00F15D74"/>
    <w:rsid w:val="00F17070"/>
    <w:rsid w:val="00F17668"/>
    <w:rsid w:val="00F17EF5"/>
    <w:rsid w:val="00F20008"/>
    <w:rsid w:val="00F201AD"/>
    <w:rsid w:val="00F21481"/>
    <w:rsid w:val="00F21985"/>
    <w:rsid w:val="00F21AC6"/>
    <w:rsid w:val="00F21B21"/>
    <w:rsid w:val="00F21BD2"/>
    <w:rsid w:val="00F222BB"/>
    <w:rsid w:val="00F22789"/>
    <w:rsid w:val="00F22B92"/>
    <w:rsid w:val="00F22CC3"/>
    <w:rsid w:val="00F2383C"/>
    <w:rsid w:val="00F23CD5"/>
    <w:rsid w:val="00F23E03"/>
    <w:rsid w:val="00F24006"/>
    <w:rsid w:val="00F2457C"/>
    <w:rsid w:val="00F2491A"/>
    <w:rsid w:val="00F249F9"/>
    <w:rsid w:val="00F24A36"/>
    <w:rsid w:val="00F24EF6"/>
    <w:rsid w:val="00F24FD5"/>
    <w:rsid w:val="00F2508E"/>
    <w:rsid w:val="00F254E4"/>
    <w:rsid w:val="00F25710"/>
    <w:rsid w:val="00F25DD5"/>
    <w:rsid w:val="00F267F0"/>
    <w:rsid w:val="00F26A8D"/>
    <w:rsid w:val="00F26E67"/>
    <w:rsid w:val="00F26F5D"/>
    <w:rsid w:val="00F308AC"/>
    <w:rsid w:val="00F30970"/>
    <w:rsid w:val="00F30F79"/>
    <w:rsid w:val="00F31179"/>
    <w:rsid w:val="00F31D7A"/>
    <w:rsid w:val="00F32072"/>
    <w:rsid w:val="00F322D7"/>
    <w:rsid w:val="00F32332"/>
    <w:rsid w:val="00F32483"/>
    <w:rsid w:val="00F32579"/>
    <w:rsid w:val="00F32DF1"/>
    <w:rsid w:val="00F32ECF"/>
    <w:rsid w:val="00F33753"/>
    <w:rsid w:val="00F337B4"/>
    <w:rsid w:val="00F33BB8"/>
    <w:rsid w:val="00F34BD8"/>
    <w:rsid w:val="00F34C92"/>
    <w:rsid w:val="00F34DFE"/>
    <w:rsid w:val="00F34ECE"/>
    <w:rsid w:val="00F34EF5"/>
    <w:rsid w:val="00F352D4"/>
    <w:rsid w:val="00F35820"/>
    <w:rsid w:val="00F35D19"/>
    <w:rsid w:val="00F3603B"/>
    <w:rsid w:val="00F36332"/>
    <w:rsid w:val="00F36714"/>
    <w:rsid w:val="00F36AA9"/>
    <w:rsid w:val="00F370FB"/>
    <w:rsid w:val="00F377AE"/>
    <w:rsid w:val="00F403A3"/>
    <w:rsid w:val="00F407D1"/>
    <w:rsid w:val="00F40812"/>
    <w:rsid w:val="00F40A2C"/>
    <w:rsid w:val="00F4106B"/>
    <w:rsid w:val="00F41269"/>
    <w:rsid w:val="00F41319"/>
    <w:rsid w:val="00F413C8"/>
    <w:rsid w:val="00F41A00"/>
    <w:rsid w:val="00F42AD4"/>
    <w:rsid w:val="00F43397"/>
    <w:rsid w:val="00F43900"/>
    <w:rsid w:val="00F43F6C"/>
    <w:rsid w:val="00F44998"/>
    <w:rsid w:val="00F44B13"/>
    <w:rsid w:val="00F44D41"/>
    <w:rsid w:val="00F4524C"/>
    <w:rsid w:val="00F455D2"/>
    <w:rsid w:val="00F45A69"/>
    <w:rsid w:val="00F45A9D"/>
    <w:rsid w:val="00F45BE7"/>
    <w:rsid w:val="00F45EB6"/>
    <w:rsid w:val="00F462C8"/>
    <w:rsid w:val="00F463D7"/>
    <w:rsid w:val="00F46622"/>
    <w:rsid w:val="00F46B41"/>
    <w:rsid w:val="00F477EC"/>
    <w:rsid w:val="00F47D1B"/>
    <w:rsid w:val="00F47F14"/>
    <w:rsid w:val="00F50093"/>
    <w:rsid w:val="00F50163"/>
    <w:rsid w:val="00F504E1"/>
    <w:rsid w:val="00F505FD"/>
    <w:rsid w:val="00F50716"/>
    <w:rsid w:val="00F510E2"/>
    <w:rsid w:val="00F515F1"/>
    <w:rsid w:val="00F51742"/>
    <w:rsid w:val="00F517B6"/>
    <w:rsid w:val="00F517DB"/>
    <w:rsid w:val="00F51ACB"/>
    <w:rsid w:val="00F5263C"/>
    <w:rsid w:val="00F5273A"/>
    <w:rsid w:val="00F528DA"/>
    <w:rsid w:val="00F52ADB"/>
    <w:rsid w:val="00F52C24"/>
    <w:rsid w:val="00F52D6B"/>
    <w:rsid w:val="00F52E18"/>
    <w:rsid w:val="00F531D9"/>
    <w:rsid w:val="00F5416A"/>
    <w:rsid w:val="00F546FB"/>
    <w:rsid w:val="00F54726"/>
    <w:rsid w:val="00F548C9"/>
    <w:rsid w:val="00F54DA2"/>
    <w:rsid w:val="00F55335"/>
    <w:rsid w:val="00F55CF7"/>
    <w:rsid w:val="00F5650B"/>
    <w:rsid w:val="00F56BF6"/>
    <w:rsid w:val="00F56E11"/>
    <w:rsid w:val="00F57D1C"/>
    <w:rsid w:val="00F6086A"/>
    <w:rsid w:val="00F608E1"/>
    <w:rsid w:val="00F60F69"/>
    <w:rsid w:val="00F613C5"/>
    <w:rsid w:val="00F61691"/>
    <w:rsid w:val="00F6169B"/>
    <w:rsid w:val="00F6195A"/>
    <w:rsid w:val="00F61F9A"/>
    <w:rsid w:val="00F62123"/>
    <w:rsid w:val="00F62510"/>
    <w:rsid w:val="00F62824"/>
    <w:rsid w:val="00F62A25"/>
    <w:rsid w:val="00F62B8B"/>
    <w:rsid w:val="00F62D7C"/>
    <w:rsid w:val="00F6337C"/>
    <w:rsid w:val="00F634C8"/>
    <w:rsid w:val="00F63947"/>
    <w:rsid w:val="00F63E2F"/>
    <w:rsid w:val="00F64B8B"/>
    <w:rsid w:val="00F6536A"/>
    <w:rsid w:val="00F6540B"/>
    <w:rsid w:val="00F65CCA"/>
    <w:rsid w:val="00F66597"/>
    <w:rsid w:val="00F668C3"/>
    <w:rsid w:val="00F67155"/>
    <w:rsid w:val="00F67579"/>
    <w:rsid w:val="00F67D0A"/>
    <w:rsid w:val="00F702C9"/>
    <w:rsid w:val="00F7058F"/>
    <w:rsid w:val="00F70763"/>
    <w:rsid w:val="00F707A5"/>
    <w:rsid w:val="00F70D21"/>
    <w:rsid w:val="00F70FEA"/>
    <w:rsid w:val="00F70FEF"/>
    <w:rsid w:val="00F7110A"/>
    <w:rsid w:val="00F72C36"/>
    <w:rsid w:val="00F72DB7"/>
    <w:rsid w:val="00F73740"/>
    <w:rsid w:val="00F738A0"/>
    <w:rsid w:val="00F73CB4"/>
    <w:rsid w:val="00F73F06"/>
    <w:rsid w:val="00F73FA3"/>
    <w:rsid w:val="00F74CE3"/>
    <w:rsid w:val="00F74F3A"/>
    <w:rsid w:val="00F74FBB"/>
    <w:rsid w:val="00F750AA"/>
    <w:rsid w:val="00F75113"/>
    <w:rsid w:val="00F75471"/>
    <w:rsid w:val="00F75993"/>
    <w:rsid w:val="00F759D9"/>
    <w:rsid w:val="00F75AA4"/>
    <w:rsid w:val="00F75C02"/>
    <w:rsid w:val="00F75FF9"/>
    <w:rsid w:val="00F76087"/>
    <w:rsid w:val="00F766DC"/>
    <w:rsid w:val="00F767F4"/>
    <w:rsid w:val="00F7681D"/>
    <w:rsid w:val="00F76A61"/>
    <w:rsid w:val="00F779D2"/>
    <w:rsid w:val="00F77D5A"/>
    <w:rsid w:val="00F77D67"/>
    <w:rsid w:val="00F77DB8"/>
    <w:rsid w:val="00F77ECB"/>
    <w:rsid w:val="00F80BE8"/>
    <w:rsid w:val="00F80F10"/>
    <w:rsid w:val="00F813A1"/>
    <w:rsid w:val="00F81720"/>
    <w:rsid w:val="00F81926"/>
    <w:rsid w:val="00F81BF8"/>
    <w:rsid w:val="00F81E47"/>
    <w:rsid w:val="00F82407"/>
    <w:rsid w:val="00F824EF"/>
    <w:rsid w:val="00F8256A"/>
    <w:rsid w:val="00F8311E"/>
    <w:rsid w:val="00F83583"/>
    <w:rsid w:val="00F839AE"/>
    <w:rsid w:val="00F83E86"/>
    <w:rsid w:val="00F843F1"/>
    <w:rsid w:val="00F84408"/>
    <w:rsid w:val="00F84B14"/>
    <w:rsid w:val="00F852E8"/>
    <w:rsid w:val="00F85C78"/>
    <w:rsid w:val="00F85D64"/>
    <w:rsid w:val="00F85DAE"/>
    <w:rsid w:val="00F85E22"/>
    <w:rsid w:val="00F85E53"/>
    <w:rsid w:val="00F86424"/>
    <w:rsid w:val="00F86474"/>
    <w:rsid w:val="00F868B4"/>
    <w:rsid w:val="00F86A19"/>
    <w:rsid w:val="00F86A46"/>
    <w:rsid w:val="00F86B01"/>
    <w:rsid w:val="00F86D27"/>
    <w:rsid w:val="00F86E39"/>
    <w:rsid w:val="00F8730A"/>
    <w:rsid w:val="00F8788C"/>
    <w:rsid w:val="00F9016F"/>
    <w:rsid w:val="00F9053E"/>
    <w:rsid w:val="00F90601"/>
    <w:rsid w:val="00F90C15"/>
    <w:rsid w:val="00F90E18"/>
    <w:rsid w:val="00F91643"/>
    <w:rsid w:val="00F9165C"/>
    <w:rsid w:val="00F917CD"/>
    <w:rsid w:val="00F920BD"/>
    <w:rsid w:val="00F92214"/>
    <w:rsid w:val="00F924EF"/>
    <w:rsid w:val="00F927B9"/>
    <w:rsid w:val="00F92A12"/>
    <w:rsid w:val="00F92A54"/>
    <w:rsid w:val="00F92C1E"/>
    <w:rsid w:val="00F93703"/>
    <w:rsid w:val="00F938EF"/>
    <w:rsid w:val="00F9395D"/>
    <w:rsid w:val="00F93A05"/>
    <w:rsid w:val="00F9447C"/>
    <w:rsid w:val="00F948FB"/>
    <w:rsid w:val="00F94AFE"/>
    <w:rsid w:val="00F94C99"/>
    <w:rsid w:val="00F95C02"/>
    <w:rsid w:val="00F961F1"/>
    <w:rsid w:val="00F9629B"/>
    <w:rsid w:val="00F96423"/>
    <w:rsid w:val="00F96D2E"/>
    <w:rsid w:val="00F96E0A"/>
    <w:rsid w:val="00F96E15"/>
    <w:rsid w:val="00F96F98"/>
    <w:rsid w:val="00FA0150"/>
    <w:rsid w:val="00FA0F3C"/>
    <w:rsid w:val="00FA1018"/>
    <w:rsid w:val="00FA28FF"/>
    <w:rsid w:val="00FA3BB2"/>
    <w:rsid w:val="00FA4F65"/>
    <w:rsid w:val="00FA527F"/>
    <w:rsid w:val="00FA5493"/>
    <w:rsid w:val="00FA5DD5"/>
    <w:rsid w:val="00FA6027"/>
    <w:rsid w:val="00FA6148"/>
    <w:rsid w:val="00FA67FD"/>
    <w:rsid w:val="00FA6C73"/>
    <w:rsid w:val="00FA6C9B"/>
    <w:rsid w:val="00FA78FD"/>
    <w:rsid w:val="00FA797A"/>
    <w:rsid w:val="00FA7C3B"/>
    <w:rsid w:val="00FB063E"/>
    <w:rsid w:val="00FB0837"/>
    <w:rsid w:val="00FB1011"/>
    <w:rsid w:val="00FB101D"/>
    <w:rsid w:val="00FB11BE"/>
    <w:rsid w:val="00FB1357"/>
    <w:rsid w:val="00FB14E2"/>
    <w:rsid w:val="00FB1799"/>
    <w:rsid w:val="00FB1B56"/>
    <w:rsid w:val="00FB1E2E"/>
    <w:rsid w:val="00FB207A"/>
    <w:rsid w:val="00FB27F1"/>
    <w:rsid w:val="00FB2BFF"/>
    <w:rsid w:val="00FB2D05"/>
    <w:rsid w:val="00FB32EB"/>
    <w:rsid w:val="00FB404E"/>
    <w:rsid w:val="00FB48BF"/>
    <w:rsid w:val="00FB4C5A"/>
    <w:rsid w:val="00FB4C6F"/>
    <w:rsid w:val="00FB4CA1"/>
    <w:rsid w:val="00FB4F71"/>
    <w:rsid w:val="00FB5515"/>
    <w:rsid w:val="00FB555E"/>
    <w:rsid w:val="00FB6252"/>
    <w:rsid w:val="00FB62A7"/>
    <w:rsid w:val="00FB635B"/>
    <w:rsid w:val="00FB6B3B"/>
    <w:rsid w:val="00FB7751"/>
    <w:rsid w:val="00FB79D6"/>
    <w:rsid w:val="00FC04B7"/>
    <w:rsid w:val="00FC0667"/>
    <w:rsid w:val="00FC1759"/>
    <w:rsid w:val="00FC186A"/>
    <w:rsid w:val="00FC29F1"/>
    <w:rsid w:val="00FC2B79"/>
    <w:rsid w:val="00FC2DEA"/>
    <w:rsid w:val="00FC2E5D"/>
    <w:rsid w:val="00FC3528"/>
    <w:rsid w:val="00FC3598"/>
    <w:rsid w:val="00FC365A"/>
    <w:rsid w:val="00FC38AC"/>
    <w:rsid w:val="00FC3B2C"/>
    <w:rsid w:val="00FC4150"/>
    <w:rsid w:val="00FC446F"/>
    <w:rsid w:val="00FC4C76"/>
    <w:rsid w:val="00FC5734"/>
    <w:rsid w:val="00FC5814"/>
    <w:rsid w:val="00FC5A47"/>
    <w:rsid w:val="00FC5E31"/>
    <w:rsid w:val="00FC5E76"/>
    <w:rsid w:val="00FC61E5"/>
    <w:rsid w:val="00FC63E1"/>
    <w:rsid w:val="00FC65DE"/>
    <w:rsid w:val="00FC69CF"/>
    <w:rsid w:val="00FC7214"/>
    <w:rsid w:val="00FC7D35"/>
    <w:rsid w:val="00FD058F"/>
    <w:rsid w:val="00FD0B70"/>
    <w:rsid w:val="00FD1065"/>
    <w:rsid w:val="00FD11B8"/>
    <w:rsid w:val="00FD1440"/>
    <w:rsid w:val="00FD1489"/>
    <w:rsid w:val="00FD17D7"/>
    <w:rsid w:val="00FD278C"/>
    <w:rsid w:val="00FD27FE"/>
    <w:rsid w:val="00FD289A"/>
    <w:rsid w:val="00FD2B7E"/>
    <w:rsid w:val="00FD2DA9"/>
    <w:rsid w:val="00FD35FA"/>
    <w:rsid w:val="00FD4017"/>
    <w:rsid w:val="00FD47FE"/>
    <w:rsid w:val="00FD49B5"/>
    <w:rsid w:val="00FD5616"/>
    <w:rsid w:val="00FD59F1"/>
    <w:rsid w:val="00FD5B3D"/>
    <w:rsid w:val="00FD5CAB"/>
    <w:rsid w:val="00FD5ED3"/>
    <w:rsid w:val="00FD6510"/>
    <w:rsid w:val="00FD6FE2"/>
    <w:rsid w:val="00FD7362"/>
    <w:rsid w:val="00FD74CB"/>
    <w:rsid w:val="00FD7543"/>
    <w:rsid w:val="00FD7B47"/>
    <w:rsid w:val="00FD7BF5"/>
    <w:rsid w:val="00FD7CAA"/>
    <w:rsid w:val="00FD7FA8"/>
    <w:rsid w:val="00FE00D7"/>
    <w:rsid w:val="00FE0CBF"/>
    <w:rsid w:val="00FE1671"/>
    <w:rsid w:val="00FE185C"/>
    <w:rsid w:val="00FE2039"/>
    <w:rsid w:val="00FE218C"/>
    <w:rsid w:val="00FE29A4"/>
    <w:rsid w:val="00FE2CD8"/>
    <w:rsid w:val="00FE2E93"/>
    <w:rsid w:val="00FE33BD"/>
    <w:rsid w:val="00FE3698"/>
    <w:rsid w:val="00FE3C5F"/>
    <w:rsid w:val="00FE3D8B"/>
    <w:rsid w:val="00FE3DC4"/>
    <w:rsid w:val="00FE401B"/>
    <w:rsid w:val="00FE4705"/>
    <w:rsid w:val="00FE4BF4"/>
    <w:rsid w:val="00FE4CB5"/>
    <w:rsid w:val="00FE53A8"/>
    <w:rsid w:val="00FE557C"/>
    <w:rsid w:val="00FE5680"/>
    <w:rsid w:val="00FE5A29"/>
    <w:rsid w:val="00FE5F55"/>
    <w:rsid w:val="00FE5FA3"/>
    <w:rsid w:val="00FE65F0"/>
    <w:rsid w:val="00FE664D"/>
    <w:rsid w:val="00FE6C58"/>
    <w:rsid w:val="00FE6C8C"/>
    <w:rsid w:val="00FE6EB6"/>
    <w:rsid w:val="00FE7504"/>
    <w:rsid w:val="00FE7E87"/>
    <w:rsid w:val="00FE7F1F"/>
    <w:rsid w:val="00FF08AC"/>
    <w:rsid w:val="00FF09F6"/>
    <w:rsid w:val="00FF0B64"/>
    <w:rsid w:val="00FF0DFD"/>
    <w:rsid w:val="00FF17E8"/>
    <w:rsid w:val="00FF1D5F"/>
    <w:rsid w:val="00FF202A"/>
    <w:rsid w:val="00FF2956"/>
    <w:rsid w:val="00FF3399"/>
    <w:rsid w:val="00FF3E4F"/>
    <w:rsid w:val="00FF3F7E"/>
    <w:rsid w:val="00FF4209"/>
    <w:rsid w:val="00FF4C3A"/>
    <w:rsid w:val="00FF4CE5"/>
    <w:rsid w:val="00FF4E8F"/>
    <w:rsid w:val="00FF5947"/>
    <w:rsid w:val="00FF596E"/>
    <w:rsid w:val="00FF5D1E"/>
    <w:rsid w:val="00FF5E9D"/>
    <w:rsid w:val="00FF5ECC"/>
    <w:rsid w:val="00FF62F4"/>
    <w:rsid w:val="00FF6519"/>
    <w:rsid w:val="00FF6C83"/>
    <w:rsid w:val="00FF6F6C"/>
    <w:rsid w:val="00FF710E"/>
    <w:rsid w:val="00FF74A2"/>
    <w:rsid w:val="00FF78AA"/>
    <w:rsid w:val="00FF7A40"/>
    <w:rsid w:val="1198B11B"/>
    <w:rsid w:val="11C09961"/>
    <w:rsid w:val="1BF54DCA"/>
    <w:rsid w:val="21002086"/>
    <w:rsid w:val="21B03505"/>
    <w:rsid w:val="2C28AD07"/>
    <w:rsid w:val="41CADEC9"/>
    <w:rsid w:val="63DB9681"/>
    <w:rsid w:val="757ACE6C"/>
    <w:rsid w:val="7C77DBC9"/>
    <w:rsid w:val="7CD0D26A"/>
    <w:rsid w:val="7DC0B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FC4DA"/>
  <w15:docId w15:val="{1BD91999-A6BC-4A34-A2D0-A4AFD6CB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r-H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172"/>
    <w:pPr>
      <w:tabs>
        <w:tab w:val="left" w:pos="567"/>
      </w:tabs>
      <w:spacing w:line="260" w:lineRule="exact"/>
    </w:pPr>
    <w:rPr>
      <w:rFonts w:eastAsia="Times New Roman"/>
      <w:sz w:val="22"/>
    </w:rPr>
  </w:style>
  <w:style w:type="paragraph" w:styleId="Heading1">
    <w:name w:val="heading 1"/>
    <w:basedOn w:val="Normal"/>
    <w:next w:val="Normal"/>
    <w:link w:val="Heading1Char"/>
    <w:qFormat/>
    <w:rsid w:val="00971F75"/>
    <w:pPr>
      <w:keepNext/>
      <w:tabs>
        <w:tab w:val="clear" w:pos="567"/>
      </w:tabs>
      <w:spacing w:before="240" w:after="60" w:line="240" w:lineRule="auto"/>
      <w:outlineLvl w:val="0"/>
    </w:pPr>
    <w:rPr>
      <w:rFonts w:ascii="Arial" w:eastAsia="MS Mincho" w:hAnsi="Arial" w:cs="Arial"/>
      <w:b/>
      <w:bCs/>
      <w:kern w:val="32"/>
      <w:sz w:val="32"/>
      <w:szCs w:val="32"/>
      <w:lang w:eastAsia="ja-JP"/>
    </w:rPr>
  </w:style>
  <w:style w:type="paragraph" w:styleId="Heading2">
    <w:name w:val="heading 2"/>
    <w:basedOn w:val="Normal"/>
    <w:next w:val="Normal"/>
    <w:link w:val="Heading2Char"/>
    <w:unhideWhenUsed/>
    <w:qFormat/>
    <w:rsid w:val="00BB383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964F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C42D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6C42DC"/>
    <w:pPr>
      <w:keepNext/>
      <w:numPr>
        <w:ilvl w:val="4"/>
        <w:numId w:val="9"/>
      </w:numPr>
      <w:tabs>
        <w:tab w:val="clear" w:pos="567"/>
      </w:tabs>
      <w:spacing w:line="240" w:lineRule="auto"/>
      <w:outlineLvl w:val="4"/>
    </w:pPr>
    <w:rPr>
      <w:i/>
      <w:iCs/>
      <w:sz w:val="24"/>
      <w:szCs w:val="24"/>
    </w:rPr>
  </w:style>
  <w:style w:type="paragraph" w:styleId="Heading6">
    <w:name w:val="heading 6"/>
    <w:basedOn w:val="Normal"/>
    <w:next w:val="Normal"/>
    <w:link w:val="Heading6Char"/>
    <w:qFormat/>
    <w:rsid w:val="006C42DC"/>
    <w:pPr>
      <w:keepNext/>
      <w:numPr>
        <w:ilvl w:val="5"/>
        <w:numId w:val="9"/>
      </w:numPr>
      <w:tabs>
        <w:tab w:val="clear" w:pos="567"/>
      </w:tabs>
      <w:autoSpaceDE w:val="0"/>
      <w:autoSpaceDN w:val="0"/>
      <w:adjustRightInd w:val="0"/>
      <w:spacing w:line="240" w:lineRule="auto"/>
      <w:outlineLvl w:val="5"/>
    </w:pPr>
    <w:rPr>
      <w:rFonts w:ascii="TimesNewRomanPS-BoldMT" w:hAnsi="TimesNewRomanPS-BoldMT"/>
      <w:b/>
      <w:bCs/>
      <w:color w:val="0000FF"/>
      <w:sz w:val="24"/>
      <w:szCs w:val="24"/>
    </w:rPr>
  </w:style>
  <w:style w:type="paragraph" w:styleId="Heading7">
    <w:name w:val="heading 7"/>
    <w:basedOn w:val="Normal"/>
    <w:next w:val="Normal"/>
    <w:link w:val="Heading7Char"/>
    <w:qFormat/>
    <w:rsid w:val="006C42DC"/>
    <w:pPr>
      <w:keepNext/>
      <w:numPr>
        <w:ilvl w:val="6"/>
        <w:numId w:val="9"/>
      </w:numPr>
      <w:pBdr>
        <w:top w:val="single" w:sz="18" w:space="1" w:color="auto"/>
        <w:left w:val="single" w:sz="18" w:space="4" w:color="auto"/>
        <w:bottom w:val="single" w:sz="18" w:space="1" w:color="auto"/>
        <w:right w:val="single" w:sz="18" w:space="4" w:color="auto"/>
      </w:pBdr>
      <w:tabs>
        <w:tab w:val="clear" w:pos="567"/>
      </w:tabs>
      <w:autoSpaceDE w:val="0"/>
      <w:autoSpaceDN w:val="0"/>
      <w:adjustRightInd w:val="0"/>
      <w:spacing w:line="240" w:lineRule="auto"/>
      <w:outlineLvl w:val="6"/>
    </w:pPr>
    <w:rPr>
      <w:b/>
      <w:bCs/>
      <w:sz w:val="24"/>
      <w:szCs w:val="24"/>
    </w:rPr>
  </w:style>
  <w:style w:type="paragraph" w:styleId="Heading8">
    <w:name w:val="heading 8"/>
    <w:basedOn w:val="Normal"/>
    <w:next w:val="Normal"/>
    <w:link w:val="Heading8Char"/>
    <w:qFormat/>
    <w:rsid w:val="006C42DC"/>
    <w:pPr>
      <w:numPr>
        <w:ilvl w:val="7"/>
        <w:numId w:val="9"/>
      </w:numPr>
      <w:tabs>
        <w:tab w:val="clear" w:pos="567"/>
      </w:tabs>
      <w:spacing w:before="240" w:after="60" w:line="240" w:lineRule="auto"/>
      <w:outlineLvl w:val="7"/>
    </w:pPr>
    <w:rPr>
      <w:i/>
      <w:iCs/>
      <w:sz w:val="24"/>
      <w:szCs w:val="24"/>
    </w:rPr>
  </w:style>
  <w:style w:type="paragraph" w:styleId="Heading9">
    <w:name w:val="heading 9"/>
    <w:basedOn w:val="Normal"/>
    <w:next w:val="Normal"/>
    <w:link w:val="Heading9Char"/>
    <w:qFormat/>
    <w:rsid w:val="006C42DC"/>
    <w:pPr>
      <w:keepNext/>
      <w:numPr>
        <w:ilvl w:val="8"/>
        <w:numId w:val="9"/>
      </w:numPr>
      <w:tabs>
        <w:tab w:val="clear" w:pos="567"/>
        <w:tab w:val="left" w:pos="252"/>
      </w:tabs>
      <w:suppressAutoHyphens/>
      <w:spacing w:line="240" w:lineRule="auto"/>
      <w:outlineLvl w:val="8"/>
    </w:pPr>
    <w:rPr>
      <w:b/>
      <w:bCs/>
      <w:color w:val="0000FF"/>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Annotationtext,Char,Char Char Char,Char Char1,Comment Text Char Char,Comment Text Char Char Char Char,Comment Text Char Char1,Comment Text Char1,Comment Text Char1 Char,Comment Text Char1 Char Char,Comment Text Char2 Ch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hr-HR"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hr-HR" w:eastAsia="en-GB" w:bidi="ar-SA"/>
    </w:rPr>
  </w:style>
  <w:style w:type="paragraph" w:customStyle="1" w:styleId="NormalAgency">
    <w:name w:val="Normal (Agency)"/>
    <w:link w:val="NormalAgencyChar"/>
    <w:qFormat/>
    <w:rsid w:val="00C179B0"/>
    <w:rPr>
      <w:rFonts w:ascii="Verdana" w:eastAsia="Verdana" w:hAnsi="Verdana" w:cs="Verdana"/>
      <w:sz w:val="18"/>
      <w:szCs w:val="18"/>
      <w:lang w:eastAsia="en-GB"/>
    </w:rPr>
  </w:style>
  <w:style w:type="table" w:customStyle="1" w:styleId="TablegridAgencyblack">
    <w:name w:val="Table grid (Agency) black"/>
    <w:basedOn w:val="TableNormal"/>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rial Black" w:hAnsi="Arial Blac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hr-HR" w:eastAsia="en-GB" w:bidi="ar-SA"/>
    </w:rPr>
  </w:style>
  <w:style w:type="character" w:styleId="CommentReference">
    <w:name w:val="annotation reference"/>
    <w:aliases w:val="Annotationmark"/>
    <w:uiPriority w:val="99"/>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 Car17 Char, Car17 Car Char,Annotationtext Char,Char Char,Char Char Char Char,Char Char1 Char,Comment Text Char Char Char,Comment Text Char Char Char Char Char,Comment Text Char Char1 Char,Comment Text Char1 Char1"/>
    <w:link w:val="CommentText"/>
    <w:uiPriority w:val="99"/>
    <w:qForma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character" w:customStyle="1" w:styleId="Heading1Char">
    <w:name w:val="Heading 1 Char"/>
    <w:link w:val="Heading1"/>
    <w:rsid w:val="00971F75"/>
    <w:rPr>
      <w:rFonts w:ascii="Arial" w:eastAsia="MS Mincho" w:hAnsi="Arial" w:cs="Arial"/>
      <w:b/>
      <w:bCs/>
      <w:kern w:val="32"/>
      <w:sz w:val="32"/>
      <w:szCs w:val="32"/>
      <w:lang w:eastAsia="ja-JP"/>
    </w:rPr>
  </w:style>
  <w:style w:type="character" w:customStyle="1" w:styleId="Heading2Char">
    <w:name w:val="Heading 2 Char"/>
    <w:link w:val="Heading2"/>
    <w:rsid w:val="00BB3835"/>
    <w:rPr>
      <w:rFonts w:ascii="Cambria" w:eastAsia="Times New Roman" w:hAnsi="Cambria" w:cs="Times New Roman"/>
      <w:b/>
      <w:bCs/>
      <w:i/>
      <w:iCs/>
      <w:sz w:val="28"/>
      <w:szCs w:val="28"/>
      <w:lang w:val="hr-HR"/>
    </w:rPr>
  </w:style>
  <w:style w:type="paragraph" w:styleId="NormalWeb">
    <w:name w:val="Normal (Web)"/>
    <w:basedOn w:val="Normal"/>
    <w:uiPriority w:val="99"/>
    <w:rsid w:val="00D67D28"/>
    <w:rPr>
      <w:sz w:val="24"/>
      <w:szCs w:val="24"/>
    </w:rPr>
  </w:style>
  <w:style w:type="paragraph" w:styleId="Revision">
    <w:name w:val="Revision"/>
    <w:hidden/>
    <w:uiPriority w:val="99"/>
    <w:rsid w:val="00836ADE"/>
    <w:rPr>
      <w:rFonts w:eastAsia="Times New Roman"/>
      <w:sz w:val="22"/>
    </w:rPr>
  </w:style>
  <w:style w:type="paragraph" w:customStyle="1" w:styleId="BMCENTRED">
    <w:name w:val="BM CENTRED"/>
    <w:basedOn w:val="Normal"/>
    <w:qFormat/>
    <w:rsid w:val="00903257"/>
    <w:pPr>
      <w:spacing w:line="240" w:lineRule="auto"/>
      <w:jc w:val="center"/>
      <w:outlineLvl w:val="0"/>
    </w:pPr>
    <w:rPr>
      <w:b/>
    </w:rPr>
  </w:style>
  <w:style w:type="paragraph" w:customStyle="1" w:styleId="BulletText1">
    <w:name w:val="Bullet Text 1"/>
    <w:basedOn w:val="Normal"/>
    <w:rsid w:val="000B035F"/>
    <w:pPr>
      <w:numPr>
        <w:numId w:val="1"/>
      </w:numPr>
      <w:tabs>
        <w:tab w:val="clear" w:pos="567"/>
      </w:tabs>
      <w:spacing w:line="240" w:lineRule="auto"/>
    </w:pPr>
    <w:rPr>
      <w:color w:val="000000"/>
    </w:rPr>
  </w:style>
  <w:style w:type="paragraph" w:customStyle="1" w:styleId="BulletText2">
    <w:name w:val="Bullet Text 2"/>
    <w:basedOn w:val="Normal"/>
    <w:rsid w:val="000B035F"/>
    <w:pPr>
      <w:numPr>
        <w:ilvl w:val="1"/>
        <w:numId w:val="1"/>
      </w:numPr>
      <w:tabs>
        <w:tab w:val="clear" w:pos="567"/>
      </w:tabs>
      <w:spacing w:line="240" w:lineRule="auto"/>
    </w:pPr>
    <w:rPr>
      <w:color w:val="000000"/>
    </w:rPr>
  </w:style>
  <w:style w:type="paragraph" w:customStyle="1" w:styleId="BulletText3">
    <w:name w:val="Bullet Text 3"/>
    <w:basedOn w:val="Normal"/>
    <w:rsid w:val="000B035F"/>
    <w:pPr>
      <w:numPr>
        <w:ilvl w:val="2"/>
        <w:numId w:val="1"/>
      </w:numPr>
      <w:tabs>
        <w:tab w:val="clear" w:pos="567"/>
      </w:tabs>
      <w:spacing w:line="240" w:lineRule="auto"/>
    </w:pPr>
    <w:rPr>
      <w:color w:val="000000"/>
    </w:rPr>
  </w:style>
  <w:style w:type="numbering" w:customStyle="1" w:styleId="BulletTextList">
    <w:name w:val="Bullet Text List"/>
    <w:basedOn w:val="NoList"/>
    <w:rsid w:val="000B035F"/>
    <w:pPr>
      <w:numPr>
        <w:numId w:val="1"/>
      </w:numPr>
    </w:pPr>
  </w:style>
  <w:style w:type="paragraph" w:customStyle="1" w:styleId="Default">
    <w:name w:val="Default"/>
    <w:rsid w:val="001308A4"/>
    <w:pPr>
      <w:autoSpaceDE w:val="0"/>
      <w:autoSpaceDN w:val="0"/>
      <w:adjustRightInd w:val="0"/>
    </w:pPr>
    <w:rPr>
      <w:color w:val="000000"/>
      <w:sz w:val="24"/>
      <w:szCs w:val="24"/>
    </w:rPr>
  </w:style>
  <w:style w:type="table" w:styleId="TableGrid">
    <w:name w:val="Table Grid"/>
    <w:basedOn w:val="TableNormal"/>
    <w:rsid w:val="00C13415"/>
    <w:rPr>
      <w:rFonts w:eastAsia="Times New Roman"/>
    </w:rPr>
    <w:tblPr/>
  </w:style>
  <w:style w:type="paragraph" w:styleId="ListParagraph">
    <w:name w:val="List Paragraph"/>
    <w:aliases w:val="Bullet 1,Bullet List,Bullet1,Bullets Points,Hyperlink1,Hyperlink11,Level 1 Bullet,Paragraphe de liste,Section 5,Sub questions,Table Legend,hyperlink"/>
    <w:basedOn w:val="Normal"/>
    <w:link w:val="ListParagraphChar"/>
    <w:uiPriority w:val="34"/>
    <w:qFormat/>
    <w:rsid w:val="00221B2B"/>
    <w:pPr>
      <w:tabs>
        <w:tab w:val="clear" w:pos="567"/>
      </w:tabs>
      <w:spacing w:after="200" w:line="276" w:lineRule="auto"/>
      <w:ind w:left="720"/>
      <w:contextualSpacing/>
    </w:pPr>
    <w:rPr>
      <w:rFonts w:ascii="Calibri" w:eastAsia="Calibri" w:hAnsi="Calibri"/>
      <w:szCs w:val="22"/>
    </w:rPr>
  </w:style>
  <w:style w:type="paragraph" w:styleId="ListBullet">
    <w:name w:val="List Bullet"/>
    <w:rsid w:val="006E3AFA"/>
    <w:pPr>
      <w:numPr>
        <w:numId w:val="2"/>
      </w:numPr>
      <w:spacing w:before="60" w:after="60" w:line="280" w:lineRule="exact"/>
    </w:pPr>
    <w:rPr>
      <w:rFonts w:ascii="Verdana" w:eastAsia="MS Mincho" w:hAnsi="Verdana"/>
      <w:sz w:val="18"/>
      <w:szCs w:val="24"/>
      <w:lang w:eastAsia="ja-JP"/>
    </w:rPr>
  </w:style>
  <w:style w:type="table" w:customStyle="1" w:styleId="TableGrid1">
    <w:name w:val="Table Grid1"/>
    <w:basedOn w:val="TableNormal"/>
    <w:next w:val="TableGrid"/>
    <w:rsid w:val="00B318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tcbodytext">
    <w:name w:val="gtcbodytext"/>
    <w:basedOn w:val="Normal"/>
    <w:rsid w:val="00197707"/>
    <w:pPr>
      <w:tabs>
        <w:tab w:val="clear" w:pos="567"/>
      </w:tabs>
      <w:spacing w:before="144" w:line="240" w:lineRule="auto"/>
    </w:pPr>
    <w:rPr>
      <w:sz w:val="24"/>
      <w:szCs w:val="24"/>
    </w:rPr>
  </w:style>
  <w:style w:type="character" w:customStyle="1" w:styleId="searchinsearch">
    <w:name w:val="searchinsearch"/>
    <w:basedOn w:val="DefaultParagraphFont"/>
    <w:rsid w:val="007D0E57"/>
  </w:style>
  <w:style w:type="paragraph" w:styleId="FootnoteText">
    <w:name w:val="footnote text"/>
    <w:basedOn w:val="Normal"/>
    <w:link w:val="FootnoteTextChar"/>
    <w:rsid w:val="0014696A"/>
    <w:pPr>
      <w:spacing w:line="240" w:lineRule="auto"/>
    </w:pPr>
    <w:rPr>
      <w:sz w:val="20"/>
    </w:rPr>
  </w:style>
  <w:style w:type="character" w:customStyle="1" w:styleId="FootnoteTextChar">
    <w:name w:val="Footnote Text Char"/>
    <w:basedOn w:val="DefaultParagraphFont"/>
    <w:link w:val="FootnoteText"/>
    <w:rsid w:val="0014696A"/>
    <w:rPr>
      <w:rFonts w:eastAsia="Times New Roman"/>
      <w:lang w:val="hr-HR"/>
    </w:rPr>
  </w:style>
  <w:style w:type="character" w:styleId="FootnoteReference">
    <w:name w:val="footnote reference"/>
    <w:basedOn w:val="DefaultParagraphFont"/>
    <w:rsid w:val="0014696A"/>
    <w:rPr>
      <w:vertAlign w:val="superscript"/>
    </w:rPr>
  </w:style>
  <w:style w:type="paragraph" w:styleId="EndnoteText">
    <w:name w:val="endnote text"/>
    <w:basedOn w:val="Normal"/>
    <w:next w:val="Normal"/>
    <w:link w:val="EndnoteTextChar"/>
    <w:rsid w:val="000F1526"/>
    <w:pPr>
      <w:spacing w:line="240" w:lineRule="auto"/>
    </w:pPr>
    <w:rPr>
      <w:color w:val="000000"/>
      <w:szCs w:val="24"/>
    </w:rPr>
  </w:style>
  <w:style w:type="character" w:customStyle="1" w:styleId="EndnoteTextChar">
    <w:name w:val="Endnote Text Char"/>
    <w:basedOn w:val="DefaultParagraphFont"/>
    <w:link w:val="EndnoteText"/>
    <w:rsid w:val="000F1526"/>
    <w:rPr>
      <w:rFonts w:eastAsia="Times New Roman"/>
      <w:color w:val="000000"/>
      <w:sz w:val="22"/>
      <w:szCs w:val="24"/>
      <w:lang w:val="hr-HR"/>
    </w:rPr>
  </w:style>
  <w:style w:type="character" w:customStyle="1" w:styleId="gtclinktext12">
    <w:name w:val="gtclinktext12"/>
    <w:rsid w:val="00DA0A54"/>
    <w:rPr>
      <w:strike w:val="0"/>
      <w:dstrike w:val="0"/>
      <w:u w:val="none"/>
      <w:effect w:val="none"/>
    </w:rPr>
  </w:style>
  <w:style w:type="paragraph" w:customStyle="1" w:styleId="TableTitle">
    <w:name w:val="Table Title"/>
    <w:next w:val="Normal"/>
    <w:link w:val="TableTitleChar"/>
    <w:rsid w:val="006C42DC"/>
    <w:pPr>
      <w:keepNext/>
      <w:keepLines/>
      <w:tabs>
        <w:tab w:val="left" w:pos="1728"/>
      </w:tabs>
      <w:spacing w:after="240" w:line="280" w:lineRule="exact"/>
      <w:ind w:left="1728" w:hanging="1728"/>
    </w:pPr>
    <w:rPr>
      <w:rFonts w:eastAsia="MS Mincho"/>
      <w:b/>
      <w:bCs/>
      <w:sz w:val="24"/>
      <w:szCs w:val="24"/>
      <w:lang w:eastAsia="ja-JP"/>
    </w:rPr>
  </w:style>
  <w:style w:type="character" w:customStyle="1" w:styleId="TableTitleChar">
    <w:name w:val="Table Title Char"/>
    <w:link w:val="TableTitle"/>
    <w:locked/>
    <w:rsid w:val="006C42DC"/>
    <w:rPr>
      <w:rFonts w:eastAsia="MS Mincho"/>
      <w:b/>
      <w:bCs/>
      <w:sz w:val="24"/>
      <w:szCs w:val="24"/>
      <w:lang w:eastAsia="ja-JP"/>
    </w:rPr>
  </w:style>
  <w:style w:type="paragraph" w:customStyle="1" w:styleId="ListEnd">
    <w:name w:val="List End"/>
    <w:rsid w:val="006C42DC"/>
    <w:rPr>
      <w:rFonts w:eastAsia="MS Mincho"/>
      <w:sz w:val="24"/>
      <w:szCs w:val="24"/>
    </w:rPr>
  </w:style>
  <w:style w:type="paragraph" w:customStyle="1" w:styleId="TableLeft">
    <w:name w:val="Table Left"/>
    <w:link w:val="TableLeftChar"/>
    <w:rsid w:val="006C42DC"/>
    <w:pPr>
      <w:keepNext/>
      <w:keepLines/>
      <w:tabs>
        <w:tab w:val="left" w:pos="360"/>
      </w:tabs>
      <w:spacing w:before="40" w:after="40" w:line="240" w:lineRule="exact"/>
    </w:pPr>
    <w:rPr>
      <w:rFonts w:eastAsia="MS Mincho"/>
    </w:rPr>
  </w:style>
  <w:style w:type="character" w:customStyle="1" w:styleId="TableLeftChar">
    <w:name w:val="Table Left Char"/>
    <w:link w:val="TableLeft"/>
    <w:rsid w:val="006C42DC"/>
    <w:rPr>
      <w:rFonts w:eastAsia="MS Mincho"/>
    </w:rPr>
  </w:style>
  <w:style w:type="character" w:customStyle="1" w:styleId="Heading5Char">
    <w:name w:val="Heading 5 Char"/>
    <w:basedOn w:val="DefaultParagraphFont"/>
    <w:link w:val="Heading5"/>
    <w:rsid w:val="006C42DC"/>
    <w:rPr>
      <w:rFonts w:eastAsia="Times New Roman"/>
      <w:i/>
      <w:iCs/>
      <w:sz w:val="24"/>
      <w:szCs w:val="24"/>
    </w:rPr>
  </w:style>
  <w:style w:type="character" w:customStyle="1" w:styleId="Heading6Char">
    <w:name w:val="Heading 6 Char"/>
    <w:basedOn w:val="DefaultParagraphFont"/>
    <w:link w:val="Heading6"/>
    <w:rsid w:val="006C42DC"/>
    <w:rPr>
      <w:rFonts w:ascii="TimesNewRomanPS-BoldMT" w:eastAsia="Times New Roman" w:hAnsi="TimesNewRomanPS-BoldMT"/>
      <w:b/>
      <w:bCs/>
      <w:color w:val="0000FF"/>
      <w:sz w:val="24"/>
      <w:szCs w:val="24"/>
    </w:rPr>
  </w:style>
  <w:style w:type="character" w:customStyle="1" w:styleId="Heading7Char">
    <w:name w:val="Heading 7 Char"/>
    <w:basedOn w:val="DefaultParagraphFont"/>
    <w:link w:val="Heading7"/>
    <w:rsid w:val="006C42DC"/>
    <w:rPr>
      <w:rFonts w:eastAsia="Times New Roman"/>
      <w:b/>
      <w:bCs/>
      <w:sz w:val="24"/>
      <w:szCs w:val="24"/>
    </w:rPr>
  </w:style>
  <w:style w:type="character" w:customStyle="1" w:styleId="Heading8Char">
    <w:name w:val="Heading 8 Char"/>
    <w:basedOn w:val="DefaultParagraphFont"/>
    <w:link w:val="Heading8"/>
    <w:rsid w:val="006C42DC"/>
    <w:rPr>
      <w:rFonts w:eastAsia="Times New Roman"/>
      <w:i/>
      <w:iCs/>
      <w:sz w:val="24"/>
      <w:szCs w:val="24"/>
    </w:rPr>
  </w:style>
  <w:style w:type="character" w:customStyle="1" w:styleId="Heading9Char">
    <w:name w:val="Heading 9 Char"/>
    <w:basedOn w:val="DefaultParagraphFont"/>
    <w:link w:val="Heading9"/>
    <w:rsid w:val="006C42DC"/>
    <w:rPr>
      <w:rFonts w:eastAsia="Times New Roman"/>
      <w:b/>
      <w:bCs/>
      <w:color w:val="0000FF"/>
      <w:szCs w:val="24"/>
    </w:rPr>
  </w:style>
  <w:style w:type="paragraph" w:customStyle="1" w:styleId="PLRSubsectionHeading">
    <w:name w:val="PLR Subsection Heading"/>
    <w:basedOn w:val="Heading4"/>
    <w:rsid w:val="006C42DC"/>
    <w:pPr>
      <w:keepLines w:val="0"/>
      <w:numPr>
        <w:ilvl w:val="1"/>
        <w:numId w:val="9"/>
      </w:numPr>
      <w:tabs>
        <w:tab w:val="clear" w:pos="504"/>
        <w:tab w:val="clear" w:pos="567"/>
        <w:tab w:val="num" w:pos="346"/>
        <w:tab w:val="left" w:pos="1440"/>
      </w:tabs>
      <w:autoSpaceDE w:val="0"/>
      <w:autoSpaceDN w:val="0"/>
      <w:adjustRightInd w:val="0"/>
      <w:spacing w:before="0" w:line="240" w:lineRule="auto"/>
      <w:ind w:left="346" w:hanging="173"/>
    </w:pPr>
    <w:rPr>
      <w:rFonts w:ascii="Times New Roman Bold" w:eastAsia="Times New Roman" w:hAnsi="Times New Roman Bold" w:cs="Times New Roman"/>
      <w:bCs w:val="0"/>
      <w:i w:val="0"/>
      <w:iCs w:val="0"/>
      <w:color w:val="auto"/>
      <w:sz w:val="24"/>
      <w:szCs w:val="24"/>
    </w:rPr>
  </w:style>
  <w:style w:type="character" w:customStyle="1" w:styleId="Heading4Char">
    <w:name w:val="Heading 4 Char"/>
    <w:basedOn w:val="DefaultParagraphFont"/>
    <w:link w:val="Heading4"/>
    <w:rsid w:val="006C42DC"/>
    <w:rPr>
      <w:rFonts w:asciiTheme="majorHAnsi" w:eastAsiaTheme="majorEastAsia" w:hAnsiTheme="majorHAnsi" w:cstheme="majorBidi"/>
      <w:b/>
      <w:bCs/>
      <w:i/>
      <w:iCs/>
      <w:color w:val="4F81BD" w:themeColor="accent1"/>
      <w:sz w:val="22"/>
      <w:lang w:val="hr-HR"/>
    </w:rPr>
  </w:style>
  <w:style w:type="paragraph" w:customStyle="1" w:styleId="PIHeading2">
    <w:name w:val="PI Heading 2"/>
    <w:basedOn w:val="Normal"/>
    <w:link w:val="PIHeading2Char"/>
    <w:rsid w:val="00FA1018"/>
    <w:pPr>
      <w:keepNext/>
      <w:keepLines/>
      <w:tabs>
        <w:tab w:val="clear" w:pos="567"/>
      </w:tabs>
      <w:spacing w:before="360" w:after="120" w:line="240" w:lineRule="auto"/>
      <w:outlineLvl w:val="1"/>
    </w:pPr>
    <w:rPr>
      <w:rFonts w:ascii="Arial" w:hAnsi="Arial"/>
      <w:b/>
      <w:sz w:val="24"/>
    </w:rPr>
  </w:style>
  <w:style w:type="character" w:customStyle="1" w:styleId="PIHeading2Char">
    <w:name w:val="PI Heading 2 Char"/>
    <w:link w:val="PIHeading2"/>
    <w:rsid w:val="00FA1018"/>
    <w:rPr>
      <w:rFonts w:ascii="Arial" w:eastAsia="Times New Roman" w:hAnsi="Arial"/>
      <w:b/>
      <w:sz w:val="24"/>
    </w:rPr>
  </w:style>
  <w:style w:type="table" w:customStyle="1" w:styleId="TableGrid2">
    <w:name w:val="Table Grid2"/>
    <w:basedOn w:val="TableNormal"/>
    <w:next w:val="TableGrid"/>
    <w:rsid w:val="00DD0198"/>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nhideWhenUsed/>
    <w:rsid w:val="00964FD7"/>
  </w:style>
  <w:style w:type="paragraph" w:styleId="BlockText">
    <w:name w:val="Block Text"/>
    <w:basedOn w:val="Normal"/>
    <w:rsid w:val="00964FD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964FD7"/>
    <w:pPr>
      <w:spacing w:after="120" w:line="480" w:lineRule="auto"/>
    </w:pPr>
  </w:style>
  <w:style w:type="character" w:customStyle="1" w:styleId="BodyText2Char">
    <w:name w:val="Body Text 2 Char"/>
    <w:basedOn w:val="DefaultParagraphFont"/>
    <w:link w:val="BodyText2"/>
    <w:rsid w:val="00964FD7"/>
    <w:rPr>
      <w:rFonts w:eastAsia="Times New Roman"/>
      <w:sz w:val="22"/>
      <w:lang w:val="hr-HR"/>
    </w:rPr>
  </w:style>
  <w:style w:type="paragraph" w:styleId="BodyText3">
    <w:name w:val="Body Text 3"/>
    <w:basedOn w:val="Normal"/>
    <w:link w:val="BodyText3Char"/>
    <w:rsid w:val="00964FD7"/>
    <w:pPr>
      <w:spacing w:after="120"/>
    </w:pPr>
    <w:rPr>
      <w:sz w:val="16"/>
      <w:szCs w:val="16"/>
    </w:rPr>
  </w:style>
  <w:style w:type="character" w:customStyle="1" w:styleId="BodyText3Char">
    <w:name w:val="Body Text 3 Char"/>
    <w:basedOn w:val="DefaultParagraphFont"/>
    <w:link w:val="BodyText3"/>
    <w:rsid w:val="00964FD7"/>
    <w:rPr>
      <w:rFonts w:eastAsia="Times New Roman"/>
      <w:sz w:val="16"/>
      <w:szCs w:val="16"/>
      <w:lang w:val="hr-HR"/>
    </w:rPr>
  </w:style>
  <w:style w:type="paragraph" w:styleId="BodyTextFirstIndent">
    <w:name w:val="Body Text First Indent"/>
    <w:basedOn w:val="BodyText"/>
    <w:link w:val="BodyTextFirstIndentChar"/>
    <w:rsid w:val="00964FD7"/>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964FD7"/>
    <w:rPr>
      <w:rFonts w:eastAsia="Times New Roman"/>
      <w:i/>
      <w:color w:val="008000"/>
      <w:sz w:val="22"/>
      <w:lang w:val="hr-HR"/>
    </w:rPr>
  </w:style>
  <w:style w:type="character" w:customStyle="1" w:styleId="BodyTextFirstIndentChar">
    <w:name w:val="Body Text First Indent Char"/>
    <w:basedOn w:val="BodyTextChar"/>
    <w:link w:val="BodyTextFirstIndent"/>
    <w:rsid w:val="00964FD7"/>
    <w:rPr>
      <w:rFonts w:eastAsia="Times New Roman"/>
      <w:i w:val="0"/>
      <w:color w:val="008000"/>
      <w:sz w:val="22"/>
      <w:lang w:val="hr-HR"/>
    </w:rPr>
  </w:style>
  <w:style w:type="paragraph" w:styleId="BodyTextIndent">
    <w:name w:val="Body Text Indent"/>
    <w:basedOn w:val="Normal"/>
    <w:link w:val="BodyTextIndentChar"/>
    <w:rsid w:val="00964FD7"/>
    <w:pPr>
      <w:spacing w:after="120"/>
      <w:ind w:left="283"/>
    </w:pPr>
  </w:style>
  <w:style w:type="character" w:customStyle="1" w:styleId="BodyTextIndentChar">
    <w:name w:val="Body Text Indent Char"/>
    <w:basedOn w:val="DefaultParagraphFont"/>
    <w:link w:val="BodyTextIndent"/>
    <w:rsid w:val="00964FD7"/>
    <w:rPr>
      <w:rFonts w:eastAsia="Times New Roman"/>
      <w:sz w:val="22"/>
      <w:lang w:val="hr-HR"/>
    </w:rPr>
  </w:style>
  <w:style w:type="paragraph" w:styleId="BodyTextFirstIndent2">
    <w:name w:val="Body Text First Indent 2"/>
    <w:basedOn w:val="BodyTextIndent"/>
    <w:link w:val="BodyTextFirstIndent2Char"/>
    <w:rsid w:val="00964FD7"/>
    <w:pPr>
      <w:spacing w:after="0"/>
      <w:ind w:left="360" w:firstLine="360"/>
    </w:pPr>
  </w:style>
  <w:style w:type="character" w:customStyle="1" w:styleId="BodyTextFirstIndent2Char">
    <w:name w:val="Body Text First Indent 2 Char"/>
    <w:basedOn w:val="BodyTextIndentChar"/>
    <w:link w:val="BodyTextFirstIndent2"/>
    <w:rsid w:val="00964FD7"/>
    <w:rPr>
      <w:rFonts w:eastAsia="Times New Roman"/>
      <w:sz w:val="22"/>
      <w:lang w:val="hr-HR"/>
    </w:rPr>
  </w:style>
  <w:style w:type="paragraph" w:styleId="BodyTextIndent2">
    <w:name w:val="Body Text Indent 2"/>
    <w:basedOn w:val="Normal"/>
    <w:link w:val="BodyTextIndent2Char"/>
    <w:rsid w:val="00964FD7"/>
    <w:pPr>
      <w:spacing w:after="120" w:line="480" w:lineRule="auto"/>
      <w:ind w:left="283"/>
    </w:pPr>
  </w:style>
  <w:style w:type="character" w:customStyle="1" w:styleId="BodyTextIndent2Char">
    <w:name w:val="Body Text Indent 2 Char"/>
    <w:basedOn w:val="DefaultParagraphFont"/>
    <w:link w:val="BodyTextIndent2"/>
    <w:rsid w:val="00964FD7"/>
    <w:rPr>
      <w:rFonts w:eastAsia="Times New Roman"/>
      <w:sz w:val="22"/>
      <w:lang w:val="hr-HR"/>
    </w:rPr>
  </w:style>
  <w:style w:type="paragraph" w:styleId="BodyTextIndent3">
    <w:name w:val="Body Text Indent 3"/>
    <w:basedOn w:val="Normal"/>
    <w:link w:val="BodyTextIndent3Char"/>
    <w:rsid w:val="00964FD7"/>
    <w:pPr>
      <w:spacing w:after="120"/>
      <w:ind w:left="283"/>
    </w:pPr>
    <w:rPr>
      <w:sz w:val="16"/>
      <w:szCs w:val="16"/>
    </w:rPr>
  </w:style>
  <w:style w:type="character" w:customStyle="1" w:styleId="BodyTextIndent3Char">
    <w:name w:val="Body Text Indent 3 Char"/>
    <w:basedOn w:val="DefaultParagraphFont"/>
    <w:link w:val="BodyTextIndent3"/>
    <w:rsid w:val="00964FD7"/>
    <w:rPr>
      <w:rFonts w:eastAsia="Times New Roman"/>
      <w:sz w:val="16"/>
      <w:szCs w:val="16"/>
      <w:lang w:val="hr-HR"/>
    </w:rPr>
  </w:style>
  <w:style w:type="paragraph" w:styleId="Caption">
    <w:name w:val="caption"/>
    <w:basedOn w:val="Normal"/>
    <w:next w:val="Normal"/>
    <w:unhideWhenUsed/>
    <w:qFormat/>
    <w:rsid w:val="00964FD7"/>
    <w:pPr>
      <w:spacing w:after="200" w:line="240" w:lineRule="auto"/>
    </w:pPr>
    <w:rPr>
      <w:b/>
      <w:bCs/>
      <w:color w:val="4F81BD" w:themeColor="accent1"/>
      <w:sz w:val="18"/>
      <w:szCs w:val="18"/>
    </w:rPr>
  </w:style>
  <w:style w:type="paragraph" w:styleId="Closing">
    <w:name w:val="Closing"/>
    <w:basedOn w:val="Normal"/>
    <w:link w:val="ClosingChar"/>
    <w:rsid w:val="00964FD7"/>
    <w:pPr>
      <w:spacing w:line="240" w:lineRule="auto"/>
      <w:ind w:left="4252"/>
    </w:pPr>
  </w:style>
  <w:style w:type="character" w:customStyle="1" w:styleId="ClosingChar">
    <w:name w:val="Closing Char"/>
    <w:basedOn w:val="DefaultParagraphFont"/>
    <w:link w:val="Closing"/>
    <w:rsid w:val="00964FD7"/>
    <w:rPr>
      <w:rFonts w:eastAsia="Times New Roman"/>
      <w:sz w:val="22"/>
      <w:lang w:val="hr-HR"/>
    </w:rPr>
  </w:style>
  <w:style w:type="paragraph" w:styleId="Date">
    <w:name w:val="Date"/>
    <w:basedOn w:val="Normal"/>
    <w:next w:val="Normal"/>
    <w:link w:val="DateChar"/>
    <w:rsid w:val="00964FD7"/>
  </w:style>
  <w:style w:type="character" w:customStyle="1" w:styleId="DateChar">
    <w:name w:val="Date Char"/>
    <w:basedOn w:val="DefaultParagraphFont"/>
    <w:link w:val="Date"/>
    <w:rsid w:val="00964FD7"/>
    <w:rPr>
      <w:rFonts w:eastAsia="Times New Roman"/>
      <w:sz w:val="22"/>
      <w:lang w:val="hr-HR"/>
    </w:rPr>
  </w:style>
  <w:style w:type="paragraph" w:styleId="DocumentMap">
    <w:name w:val="Document Map"/>
    <w:basedOn w:val="Normal"/>
    <w:link w:val="DocumentMapChar"/>
    <w:rsid w:val="00964FD7"/>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964FD7"/>
    <w:rPr>
      <w:rFonts w:ascii="Tahoma" w:eastAsia="Times New Roman" w:hAnsi="Tahoma" w:cs="Tahoma"/>
      <w:sz w:val="16"/>
      <w:szCs w:val="16"/>
      <w:lang w:val="hr-HR"/>
    </w:rPr>
  </w:style>
  <w:style w:type="paragraph" w:styleId="E-mailSignature">
    <w:name w:val="E-mail Signature"/>
    <w:basedOn w:val="Normal"/>
    <w:link w:val="E-mailSignatureChar"/>
    <w:rsid w:val="00964FD7"/>
    <w:pPr>
      <w:spacing w:line="240" w:lineRule="auto"/>
    </w:pPr>
  </w:style>
  <w:style w:type="character" w:customStyle="1" w:styleId="E-mailSignatureChar">
    <w:name w:val="E-mail Signature Char"/>
    <w:basedOn w:val="DefaultParagraphFont"/>
    <w:link w:val="E-mailSignature"/>
    <w:rsid w:val="00964FD7"/>
    <w:rPr>
      <w:rFonts w:eastAsia="Times New Roman"/>
      <w:sz w:val="22"/>
      <w:lang w:val="hr-HR"/>
    </w:rPr>
  </w:style>
  <w:style w:type="paragraph" w:styleId="EnvelopeAddress">
    <w:name w:val="envelope address"/>
    <w:basedOn w:val="Normal"/>
    <w:rsid w:val="00964FD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964FD7"/>
    <w:pPr>
      <w:spacing w:line="240" w:lineRule="auto"/>
    </w:pPr>
    <w:rPr>
      <w:rFonts w:asciiTheme="majorHAnsi" w:eastAsiaTheme="majorEastAsia" w:hAnsiTheme="majorHAnsi" w:cstheme="majorBidi"/>
      <w:sz w:val="20"/>
    </w:rPr>
  </w:style>
  <w:style w:type="character" w:customStyle="1" w:styleId="Heading3Char">
    <w:name w:val="Heading 3 Char"/>
    <w:basedOn w:val="DefaultParagraphFont"/>
    <w:link w:val="Heading3"/>
    <w:rsid w:val="00964FD7"/>
    <w:rPr>
      <w:rFonts w:asciiTheme="majorHAnsi" w:eastAsiaTheme="majorEastAsia" w:hAnsiTheme="majorHAnsi" w:cstheme="majorBidi"/>
      <w:b/>
      <w:bCs/>
      <w:color w:val="4F81BD" w:themeColor="accent1"/>
      <w:sz w:val="22"/>
      <w:lang w:val="hr-HR"/>
    </w:rPr>
  </w:style>
  <w:style w:type="paragraph" w:styleId="HTMLAddress">
    <w:name w:val="HTML Address"/>
    <w:basedOn w:val="Normal"/>
    <w:link w:val="HTMLAddressChar"/>
    <w:rsid w:val="00964FD7"/>
    <w:pPr>
      <w:spacing w:line="240" w:lineRule="auto"/>
    </w:pPr>
    <w:rPr>
      <w:i/>
      <w:iCs/>
    </w:rPr>
  </w:style>
  <w:style w:type="character" w:customStyle="1" w:styleId="HTMLAddressChar">
    <w:name w:val="HTML Address Char"/>
    <w:basedOn w:val="DefaultParagraphFont"/>
    <w:link w:val="HTMLAddress"/>
    <w:rsid w:val="00964FD7"/>
    <w:rPr>
      <w:rFonts w:eastAsia="Times New Roman"/>
      <w:i/>
      <w:iCs/>
      <w:sz w:val="22"/>
      <w:lang w:val="hr-HR"/>
    </w:rPr>
  </w:style>
  <w:style w:type="paragraph" w:styleId="HTMLPreformatted">
    <w:name w:val="HTML Preformatted"/>
    <w:basedOn w:val="Normal"/>
    <w:link w:val="HTMLPreformattedChar"/>
    <w:rsid w:val="00964FD7"/>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964FD7"/>
    <w:rPr>
      <w:rFonts w:ascii="Consolas" w:eastAsia="Times New Roman" w:hAnsi="Consolas"/>
      <w:lang w:val="hr-HR"/>
    </w:rPr>
  </w:style>
  <w:style w:type="paragraph" w:styleId="Index1">
    <w:name w:val="index 1"/>
    <w:basedOn w:val="Normal"/>
    <w:next w:val="Normal"/>
    <w:autoRedefine/>
    <w:rsid w:val="00964FD7"/>
    <w:pPr>
      <w:tabs>
        <w:tab w:val="clear" w:pos="567"/>
      </w:tabs>
      <w:spacing w:line="240" w:lineRule="auto"/>
      <w:ind w:left="220" w:hanging="220"/>
    </w:pPr>
  </w:style>
  <w:style w:type="paragraph" w:styleId="Index2">
    <w:name w:val="index 2"/>
    <w:basedOn w:val="Normal"/>
    <w:next w:val="Normal"/>
    <w:autoRedefine/>
    <w:rsid w:val="00964FD7"/>
    <w:pPr>
      <w:tabs>
        <w:tab w:val="clear" w:pos="567"/>
      </w:tabs>
      <w:spacing w:line="240" w:lineRule="auto"/>
      <w:ind w:left="440" w:hanging="220"/>
    </w:pPr>
  </w:style>
  <w:style w:type="paragraph" w:styleId="Index3">
    <w:name w:val="index 3"/>
    <w:basedOn w:val="Normal"/>
    <w:next w:val="Normal"/>
    <w:autoRedefine/>
    <w:rsid w:val="00964FD7"/>
    <w:pPr>
      <w:tabs>
        <w:tab w:val="clear" w:pos="567"/>
      </w:tabs>
      <w:spacing w:line="240" w:lineRule="auto"/>
      <w:ind w:left="660" w:hanging="220"/>
    </w:pPr>
  </w:style>
  <w:style w:type="paragraph" w:styleId="Index4">
    <w:name w:val="index 4"/>
    <w:basedOn w:val="Normal"/>
    <w:next w:val="Normal"/>
    <w:autoRedefine/>
    <w:rsid w:val="00964FD7"/>
    <w:pPr>
      <w:tabs>
        <w:tab w:val="clear" w:pos="567"/>
      </w:tabs>
      <w:spacing w:line="240" w:lineRule="auto"/>
      <w:ind w:left="880" w:hanging="220"/>
    </w:pPr>
  </w:style>
  <w:style w:type="paragraph" w:styleId="Index5">
    <w:name w:val="index 5"/>
    <w:basedOn w:val="Normal"/>
    <w:next w:val="Normal"/>
    <w:autoRedefine/>
    <w:rsid w:val="00964FD7"/>
    <w:pPr>
      <w:tabs>
        <w:tab w:val="clear" w:pos="567"/>
      </w:tabs>
      <w:spacing w:line="240" w:lineRule="auto"/>
      <w:ind w:left="1100" w:hanging="220"/>
    </w:pPr>
  </w:style>
  <w:style w:type="paragraph" w:styleId="Index6">
    <w:name w:val="index 6"/>
    <w:basedOn w:val="Normal"/>
    <w:next w:val="Normal"/>
    <w:autoRedefine/>
    <w:rsid w:val="00964FD7"/>
    <w:pPr>
      <w:tabs>
        <w:tab w:val="clear" w:pos="567"/>
      </w:tabs>
      <w:spacing w:line="240" w:lineRule="auto"/>
      <w:ind w:left="1320" w:hanging="220"/>
    </w:pPr>
  </w:style>
  <w:style w:type="paragraph" w:styleId="Index7">
    <w:name w:val="index 7"/>
    <w:basedOn w:val="Normal"/>
    <w:next w:val="Normal"/>
    <w:autoRedefine/>
    <w:rsid w:val="00964FD7"/>
    <w:pPr>
      <w:tabs>
        <w:tab w:val="clear" w:pos="567"/>
      </w:tabs>
      <w:spacing w:line="240" w:lineRule="auto"/>
      <w:ind w:left="1540" w:hanging="220"/>
    </w:pPr>
  </w:style>
  <w:style w:type="paragraph" w:styleId="Index8">
    <w:name w:val="index 8"/>
    <w:basedOn w:val="Normal"/>
    <w:next w:val="Normal"/>
    <w:autoRedefine/>
    <w:rsid w:val="00964FD7"/>
    <w:pPr>
      <w:tabs>
        <w:tab w:val="clear" w:pos="567"/>
      </w:tabs>
      <w:spacing w:line="240" w:lineRule="auto"/>
      <w:ind w:left="1760" w:hanging="220"/>
    </w:pPr>
  </w:style>
  <w:style w:type="paragraph" w:styleId="Index9">
    <w:name w:val="index 9"/>
    <w:basedOn w:val="Normal"/>
    <w:next w:val="Normal"/>
    <w:autoRedefine/>
    <w:rsid w:val="00964FD7"/>
    <w:pPr>
      <w:tabs>
        <w:tab w:val="clear" w:pos="567"/>
      </w:tabs>
      <w:spacing w:line="240" w:lineRule="auto"/>
      <w:ind w:left="1980" w:hanging="220"/>
    </w:pPr>
  </w:style>
  <w:style w:type="paragraph" w:styleId="IndexHeading">
    <w:name w:val="index heading"/>
    <w:basedOn w:val="Normal"/>
    <w:next w:val="Index1"/>
    <w:rsid w:val="00964FD7"/>
    <w:rPr>
      <w:rFonts w:asciiTheme="majorHAnsi" w:eastAsiaTheme="majorEastAsia" w:hAnsiTheme="majorHAnsi" w:cstheme="majorBidi"/>
      <w:b/>
      <w:bCs/>
    </w:rPr>
  </w:style>
  <w:style w:type="paragraph" w:styleId="IntenseQuote">
    <w:name w:val="Intense Quote"/>
    <w:basedOn w:val="Normal"/>
    <w:next w:val="Normal"/>
    <w:link w:val="IntenseQuoteChar"/>
    <w:qFormat/>
    <w:rsid w:val="00964F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964FD7"/>
    <w:rPr>
      <w:rFonts w:eastAsia="Times New Roman"/>
      <w:b/>
      <w:bCs/>
      <w:i/>
      <w:iCs/>
      <w:color w:val="4F81BD" w:themeColor="accent1"/>
      <w:sz w:val="22"/>
      <w:lang w:val="hr-HR"/>
    </w:rPr>
  </w:style>
  <w:style w:type="paragraph" w:styleId="List">
    <w:name w:val="List"/>
    <w:basedOn w:val="Normal"/>
    <w:rsid w:val="00964FD7"/>
    <w:pPr>
      <w:ind w:left="283" w:hanging="283"/>
      <w:contextualSpacing/>
    </w:pPr>
  </w:style>
  <w:style w:type="paragraph" w:styleId="List2">
    <w:name w:val="List 2"/>
    <w:basedOn w:val="Normal"/>
    <w:rsid w:val="00964FD7"/>
    <w:pPr>
      <w:ind w:left="566" w:hanging="283"/>
      <w:contextualSpacing/>
    </w:pPr>
  </w:style>
  <w:style w:type="paragraph" w:styleId="List3">
    <w:name w:val="List 3"/>
    <w:basedOn w:val="Normal"/>
    <w:rsid w:val="00964FD7"/>
    <w:pPr>
      <w:ind w:left="849" w:hanging="283"/>
      <w:contextualSpacing/>
    </w:pPr>
  </w:style>
  <w:style w:type="paragraph" w:styleId="List4">
    <w:name w:val="List 4"/>
    <w:basedOn w:val="Normal"/>
    <w:rsid w:val="00964FD7"/>
    <w:pPr>
      <w:ind w:left="1132" w:hanging="283"/>
      <w:contextualSpacing/>
    </w:pPr>
  </w:style>
  <w:style w:type="paragraph" w:styleId="List5">
    <w:name w:val="List 5"/>
    <w:basedOn w:val="Normal"/>
    <w:rsid w:val="00964FD7"/>
    <w:pPr>
      <w:ind w:left="1415" w:hanging="283"/>
      <w:contextualSpacing/>
    </w:pPr>
  </w:style>
  <w:style w:type="paragraph" w:styleId="ListBullet2">
    <w:name w:val="List Bullet 2"/>
    <w:basedOn w:val="Normal"/>
    <w:rsid w:val="00964FD7"/>
    <w:pPr>
      <w:numPr>
        <w:numId w:val="13"/>
      </w:numPr>
      <w:contextualSpacing/>
    </w:pPr>
  </w:style>
  <w:style w:type="paragraph" w:styleId="ListBullet3">
    <w:name w:val="List Bullet 3"/>
    <w:basedOn w:val="Normal"/>
    <w:rsid w:val="00964FD7"/>
    <w:pPr>
      <w:numPr>
        <w:numId w:val="14"/>
      </w:numPr>
      <w:contextualSpacing/>
    </w:pPr>
  </w:style>
  <w:style w:type="paragraph" w:styleId="ListBullet4">
    <w:name w:val="List Bullet 4"/>
    <w:basedOn w:val="Normal"/>
    <w:rsid w:val="00964FD7"/>
    <w:pPr>
      <w:numPr>
        <w:numId w:val="15"/>
      </w:numPr>
      <w:contextualSpacing/>
    </w:pPr>
  </w:style>
  <w:style w:type="paragraph" w:styleId="ListBullet5">
    <w:name w:val="List Bullet 5"/>
    <w:basedOn w:val="Normal"/>
    <w:rsid w:val="00964FD7"/>
    <w:pPr>
      <w:numPr>
        <w:numId w:val="16"/>
      </w:numPr>
      <w:contextualSpacing/>
    </w:pPr>
  </w:style>
  <w:style w:type="paragraph" w:styleId="ListContinue">
    <w:name w:val="List Continue"/>
    <w:basedOn w:val="Normal"/>
    <w:rsid w:val="00964FD7"/>
    <w:pPr>
      <w:spacing w:after="120"/>
      <w:ind w:left="283"/>
      <w:contextualSpacing/>
    </w:pPr>
  </w:style>
  <w:style w:type="paragraph" w:styleId="ListContinue2">
    <w:name w:val="List Continue 2"/>
    <w:basedOn w:val="Normal"/>
    <w:rsid w:val="00964FD7"/>
    <w:pPr>
      <w:spacing w:after="120"/>
      <w:ind w:left="566"/>
      <w:contextualSpacing/>
    </w:pPr>
  </w:style>
  <w:style w:type="paragraph" w:styleId="ListContinue3">
    <w:name w:val="List Continue 3"/>
    <w:basedOn w:val="Normal"/>
    <w:rsid w:val="00964FD7"/>
    <w:pPr>
      <w:spacing w:after="120"/>
      <w:ind w:left="849"/>
      <w:contextualSpacing/>
    </w:pPr>
  </w:style>
  <w:style w:type="paragraph" w:styleId="ListContinue4">
    <w:name w:val="List Continue 4"/>
    <w:basedOn w:val="Normal"/>
    <w:rsid w:val="00964FD7"/>
    <w:pPr>
      <w:spacing w:after="120"/>
      <w:ind w:left="1132"/>
      <w:contextualSpacing/>
    </w:pPr>
  </w:style>
  <w:style w:type="paragraph" w:styleId="ListContinue5">
    <w:name w:val="List Continue 5"/>
    <w:basedOn w:val="Normal"/>
    <w:rsid w:val="00964FD7"/>
    <w:pPr>
      <w:spacing w:after="120"/>
      <w:ind w:left="1415"/>
      <w:contextualSpacing/>
    </w:pPr>
  </w:style>
  <w:style w:type="paragraph" w:styleId="ListNumber">
    <w:name w:val="List Number"/>
    <w:basedOn w:val="Normal"/>
    <w:rsid w:val="00964FD7"/>
    <w:pPr>
      <w:numPr>
        <w:numId w:val="17"/>
      </w:numPr>
      <w:contextualSpacing/>
    </w:pPr>
  </w:style>
  <w:style w:type="paragraph" w:styleId="ListNumber2">
    <w:name w:val="List Number 2"/>
    <w:basedOn w:val="Normal"/>
    <w:rsid w:val="00964FD7"/>
    <w:pPr>
      <w:numPr>
        <w:numId w:val="18"/>
      </w:numPr>
      <w:contextualSpacing/>
    </w:pPr>
  </w:style>
  <w:style w:type="paragraph" w:styleId="ListNumber3">
    <w:name w:val="List Number 3"/>
    <w:basedOn w:val="Normal"/>
    <w:rsid w:val="00964FD7"/>
    <w:pPr>
      <w:numPr>
        <w:numId w:val="19"/>
      </w:numPr>
      <w:contextualSpacing/>
    </w:pPr>
  </w:style>
  <w:style w:type="paragraph" w:styleId="ListNumber4">
    <w:name w:val="List Number 4"/>
    <w:basedOn w:val="Normal"/>
    <w:rsid w:val="00964FD7"/>
    <w:pPr>
      <w:numPr>
        <w:numId w:val="20"/>
      </w:numPr>
      <w:contextualSpacing/>
    </w:pPr>
  </w:style>
  <w:style w:type="paragraph" w:styleId="ListNumber5">
    <w:name w:val="List Number 5"/>
    <w:basedOn w:val="Normal"/>
    <w:rsid w:val="00964FD7"/>
    <w:pPr>
      <w:numPr>
        <w:numId w:val="21"/>
      </w:numPr>
      <w:contextualSpacing/>
    </w:pPr>
  </w:style>
  <w:style w:type="paragraph" w:styleId="MacroText">
    <w:name w:val="macro"/>
    <w:link w:val="MacroTextChar"/>
    <w:rsid w:val="00964FD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rsid w:val="00964FD7"/>
    <w:rPr>
      <w:rFonts w:ascii="Consolas" w:eastAsia="Times New Roman" w:hAnsi="Consolas"/>
      <w:lang w:val="hr-HR"/>
    </w:rPr>
  </w:style>
  <w:style w:type="paragraph" w:styleId="MessageHeader">
    <w:name w:val="Message Header"/>
    <w:basedOn w:val="Normal"/>
    <w:link w:val="MessageHeaderChar"/>
    <w:rsid w:val="00964F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64FD7"/>
    <w:rPr>
      <w:rFonts w:asciiTheme="majorHAnsi" w:eastAsiaTheme="majorEastAsia" w:hAnsiTheme="majorHAnsi" w:cstheme="majorBidi"/>
      <w:sz w:val="24"/>
      <w:szCs w:val="24"/>
      <w:shd w:val="pct20" w:color="auto" w:fill="auto"/>
      <w:lang w:val="hr-HR"/>
    </w:rPr>
  </w:style>
  <w:style w:type="paragraph" w:styleId="NoSpacing">
    <w:name w:val="No Spacing"/>
    <w:qFormat/>
    <w:rsid w:val="00964FD7"/>
    <w:pPr>
      <w:tabs>
        <w:tab w:val="left" w:pos="567"/>
      </w:tabs>
    </w:pPr>
    <w:rPr>
      <w:rFonts w:eastAsia="Times New Roman"/>
      <w:sz w:val="22"/>
    </w:rPr>
  </w:style>
  <w:style w:type="paragraph" w:styleId="NormalIndent">
    <w:name w:val="Normal Indent"/>
    <w:basedOn w:val="Normal"/>
    <w:rsid w:val="00964FD7"/>
    <w:pPr>
      <w:ind w:left="720"/>
    </w:pPr>
  </w:style>
  <w:style w:type="paragraph" w:styleId="NoteHeading">
    <w:name w:val="Note Heading"/>
    <w:basedOn w:val="Normal"/>
    <w:next w:val="Normal"/>
    <w:link w:val="NoteHeadingChar"/>
    <w:rsid w:val="00964FD7"/>
    <w:pPr>
      <w:spacing w:line="240" w:lineRule="auto"/>
    </w:pPr>
  </w:style>
  <w:style w:type="character" w:customStyle="1" w:styleId="NoteHeadingChar">
    <w:name w:val="Note Heading Char"/>
    <w:basedOn w:val="DefaultParagraphFont"/>
    <w:link w:val="NoteHeading"/>
    <w:rsid w:val="00964FD7"/>
    <w:rPr>
      <w:rFonts w:eastAsia="Times New Roman"/>
      <w:sz w:val="22"/>
      <w:lang w:val="hr-HR"/>
    </w:rPr>
  </w:style>
  <w:style w:type="paragraph" w:styleId="PlainText">
    <w:name w:val="Plain Text"/>
    <w:basedOn w:val="Normal"/>
    <w:link w:val="PlainTextChar"/>
    <w:rsid w:val="00964FD7"/>
    <w:pPr>
      <w:spacing w:line="240" w:lineRule="auto"/>
    </w:pPr>
    <w:rPr>
      <w:rFonts w:ascii="Consolas" w:hAnsi="Consolas"/>
      <w:sz w:val="21"/>
      <w:szCs w:val="21"/>
    </w:rPr>
  </w:style>
  <w:style w:type="character" w:customStyle="1" w:styleId="PlainTextChar">
    <w:name w:val="Plain Text Char"/>
    <w:basedOn w:val="DefaultParagraphFont"/>
    <w:link w:val="PlainText"/>
    <w:rsid w:val="00964FD7"/>
    <w:rPr>
      <w:rFonts w:ascii="Consolas" w:eastAsia="Times New Roman" w:hAnsi="Consolas"/>
      <w:sz w:val="21"/>
      <w:szCs w:val="21"/>
      <w:lang w:val="hr-HR"/>
    </w:rPr>
  </w:style>
  <w:style w:type="paragraph" w:styleId="Quote">
    <w:name w:val="Quote"/>
    <w:basedOn w:val="Normal"/>
    <w:next w:val="Normal"/>
    <w:link w:val="QuoteChar"/>
    <w:qFormat/>
    <w:rsid w:val="00964FD7"/>
    <w:rPr>
      <w:i/>
      <w:iCs/>
      <w:color w:val="000000" w:themeColor="text1"/>
    </w:rPr>
  </w:style>
  <w:style w:type="character" w:customStyle="1" w:styleId="QuoteChar">
    <w:name w:val="Quote Char"/>
    <w:basedOn w:val="DefaultParagraphFont"/>
    <w:link w:val="Quote"/>
    <w:rsid w:val="00964FD7"/>
    <w:rPr>
      <w:rFonts w:eastAsia="Times New Roman"/>
      <w:i/>
      <w:iCs/>
      <w:color w:val="000000" w:themeColor="text1"/>
      <w:sz w:val="22"/>
      <w:lang w:val="hr-HR"/>
    </w:rPr>
  </w:style>
  <w:style w:type="paragraph" w:styleId="Salutation">
    <w:name w:val="Salutation"/>
    <w:basedOn w:val="Normal"/>
    <w:next w:val="Normal"/>
    <w:link w:val="SalutationChar"/>
    <w:rsid w:val="00964FD7"/>
  </w:style>
  <w:style w:type="character" w:customStyle="1" w:styleId="SalutationChar">
    <w:name w:val="Salutation Char"/>
    <w:basedOn w:val="DefaultParagraphFont"/>
    <w:link w:val="Salutation"/>
    <w:rsid w:val="00964FD7"/>
    <w:rPr>
      <w:rFonts w:eastAsia="Times New Roman"/>
      <w:sz w:val="22"/>
      <w:lang w:val="hr-HR"/>
    </w:rPr>
  </w:style>
  <w:style w:type="paragraph" w:styleId="Signature">
    <w:name w:val="Signature"/>
    <w:basedOn w:val="Normal"/>
    <w:link w:val="SignatureChar"/>
    <w:rsid w:val="00964FD7"/>
    <w:pPr>
      <w:spacing w:line="240" w:lineRule="auto"/>
      <w:ind w:left="4252"/>
    </w:pPr>
  </w:style>
  <w:style w:type="character" w:customStyle="1" w:styleId="SignatureChar">
    <w:name w:val="Signature Char"/>
    <w:basedOn w:val="DefaultParagraphFont"/>
    <w:link w:val="Signature"/>
    <w:rsid w:val="00964FD7"/>
    <w:rPr>
      <w:rFonts w:eastAsia="Times New Roman"/>
      <w:sz w:val="22"/>
      <w:lang w:val="hr-HR"/>
    </w:rPr>
  </w:style>
  <w:style w:type="paragraph" w:styleId="Subtitle">
    <w:name w:val="Subtitle"/>
    <w:basedOn w:val="Normal"/>
    <w:next w:val="Normal"/>
    <w:link w:val="SubtitleChar"/>
    <w:qFormat/>
    <w:rsid w:val="00964F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964FD7"/>
    <w:rPr>
      <w:rFonts w:asciiTheme="majorHAnsi" w:eastAsiaTheme="majorEastAsia" w:hAnsiTheme="majorHAnsi" w:cstheme="majorBidi"/>
      <w:i/>
      <w:iCs/>
      <w:color w:val="4F81BD" w:themeColor="accent1"/>
      <w:spacing w:val="15"/>
      <w:sz w:val="24"/>
      <w:szCs w:val="24"/>
      <w:lang w:val="hr-HR"/>
    </w:rPr>
  </w:style>
  <w:style w:type="paragraph" w:styleId="TableofAuthorities">
    <w:name w:val="table of authorities"/>
    <w:basedOn w:val="Normal"/>
    <w:next w:val="Normal"/>
    <w:rsid w:val="00964FD7"/>
    <w:pPr>
      <w:tabs>
        <w:tab w:val="clear" w:pos="567"/>
      </w:tabs>
      <w:ind w:left="220" w:hanging="220"/>
    </w:pPr>
  </w:style>
  <w:style w:type="paragraph" w:styleId="TableofFigures">
    <w:name w:val="table of figures"/>
    <w:basedOn w:val="Normal"/>
    <w:next w:val="Normal"/>
    <w:rsid w:val="00964FD7"/>
    <w:pPr>
      <w:tabs>
        <w:tab w:val="clear" w:pos="567"/>
      </w:tabs>
    </w:pPr>
  </w:style>
  <w:style w:type="paragraph" w:styleId="Title">
    <w:name w:val="Title"/>
    <w:basedOn w:val="Normal"/>
    <w:next w:val="Normal"/>
    <w:link w:val="TitleChar"/>
    <w:qFormat/>
    <w:rsid w:val="00964F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64FD7"/>
    <w:rPr>
      <w:rFonts w:asciiTheme="majorHAnsi" w:eastAsiaTheme="majorEastAsia" w:hAnsiTheme="majorHAnsi" w:cstheme="majorBidi"/>
      <w:color w:val="17365D" w:themeColor="text2" w:themeShade="BF"/>
      <w:spacing w:val="5"/>
      <w:kern w:val="28"/>
      <w:sz w:val="52"/>
      <w:szCs w:val="52"/>
      <w:lang w:val="hr-HR"/>
    </w:rPr>
  </w:style>
  <w:style w:type="paragraph" w:styleId="TOAHeading">
    <w:name w:val="toa heading"/>
    <w:basedOn w:val="Normal"/>
    <w:next w:val="Normal"/>
    <w:rsid w:val="00964FD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964FD7"/>
    <w:pPr>
      <w:tabs>
        <w:tab w:val="clear" w:pos="567"/>
      </w:tabs>
      <w:spacing w:after="100"/>
    </w:pPr>
  </w:style>
  <w:style w:type="paragraph" w:styleId="TOC2">
    <w:name w:val="toc 2"/>
    <w:basedOn w:val="Normal"/>
    <w:next w:val="Normal"/>
    <w:autoRedefine/>
    <w:rsid w:val="00964FD7"/>
    <w:pPr>
      <w:tabs>
        <w:tab w:val="clear" w:pos="567"/>
      </w:tabs>
      <w:spacing w:after="100"/>
      <w:ind w:left="220"/>
    </w:pPr>
  </w:style>
  <w:style w:type="paragraph" w:styleId="TOC3">
    <w:name w:val="toc 3"/>
    <w:basedOn w:val="Normal"/>
    <w:next w:val="Normal"/>
    <w:autoRedefine/>
    <w:rsid w:val="00964FD7"/>
    <w:pPr>
      <w:tabs>
        <w:tab w:val="clear" w:pos="567"/>
      </w:tabs>
      <w:spacing w:after="100"/>
      <w:ind w:left="440"/>
    </w:pPr>
  </w:style>
  <w:style w:type="paragraph" w:styleId="TOC4">
    <w:name w:val="toc 4"/>
    <w:basedOn w:val="Normal"/>
    <w:next w:val="Normal"/>
    <w:autoRedefine/>
    <w:rsid w:val="00964FD7"/>
    <w:pPr>
      <w:tabs>
        <w:tab w:val="clear" w:pos="567"/>
      </w:tabs>
      <w:spacing w:after="100"/>
      <w:ind w:left="660"/>
    </w:pPr>
  </w:style>
  <w:style w:type="paragraph" w:styleId="TOC5">
    <w:name w:val="toc 5"/>
    <w:basedOn w:val="Normal"/>
    <w:next w:val="Normal"/>
    <w:autoRedefine/>
    <w:rsid w:val="00964FD7"/>
    <w:pPr>
      <w:tabs>
        <w:tab w:val="clear" w:pos="567"/>
      </w:tabs>
      <w:spacing w:after="100"/>
      <w:ind w:left="880"/>
    </w:pPr>
  </w:style>
  <w:style w:type="paragraph" w:styleId="TOC6">
    <w:name w:val="toc 6"/>
    <w:basedOn w:val="Normal"/>
    <w:next w:val="Normal"/>
    <w:autoRedefine/>
    <w:rsid w:val="00964FD7"/>
    <w:pPr>
      <w:tabs>
        <w:tab w:val="clear" w:pos="567"/>
      </w:tabs>
      <w:spacing w:after="100"/>
      <w:ind w:left="1100"/>
    </w:pPr>
  </w:style>
  <w:style w:type="paragraph" w:styleId="TOC7">
    <w:name w:val="toc 7"/>
    <w:basedOn w:val="Normal"/>
    <w:next w:val="Normal"/>
    <w:autoRedefine/>
    <w:rsid w:val="00964FD7"/>
    <w:pPr>
      <w:tabs>
        <w:tab w:val="clear" w:pos="567"/>
      </w:tabs>
      <w:spacing w:after="100"/>
      <w:ind w:left="1320"/>
    </w:pPr>
  </w:style>
  <w:style w:type="paragraph" w:styleId="TOC8">
    <w:name w:val="toc 8"/>
    <w:basedOn w:val="Normal"/>
    <w:next w:val="Normal"/>
    <w:autoRedefine/>
    <w:rsid w:val="00964FD7"/>
    <w:pPr>
      <w:tabs>
        <w:tab w:val="clear" w:pos="567"/>
      </w:tabs>
      <w:spacing w:after="100"/>
      <w:ind w:left="1540"/>
    </w:pPr>
  </w:style>
  <w:style w:type="paragraph" w:styleId="TOC9">
    <w:name w:val="toc 9"/>
    <w:basedOn w:val="Normal"/>
    <w:next w:val="Normal"/>
    <w:autoRedefine/>
    <w:rsid w:val="00964FD7"/>
    <w:pPr>
      <w:tabs>
        <w:tab w:val="clear" w:pos="567"/>
      </w:tabs>
      <w:spacing w:after="100"/>
      <w:ind w:left="1760"/>
    </w:pPr>
  </w:style>
  <w:style w:type="paragraph" w:styleId="TOCHeading">
    <w:name w:val="TOC Heading"/>
    <w:basedOn w:val="Heading1"/>
    <w:next w:val="Normal"/>
    <w:unhideWhenUsed/>
    <w:qFormat/>
    <w:rsid w:val="00964FD7"/>
    <w:pPr>
      <w:keepLines/>
      <w:tabs>
        <w:tab w:val="left" w:pos="567"/>
      </w:tabs>
      <w:spacing w:before="480" w:after="0" w:line="260" w:lineRule="exact"/>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UnorderedList">
    <w:name w:val="UnorderedList"/>
    <w:basedOn w:val="Normal"/>
    <w:rsid w:val="00DC1CF4"/>
    <w:pPr>
      <w:numPr>
        <w:ilvl w:val="9"/>
      </w:numPr>
      <w:tabs>
        <w:tab w:val="clear" w:pos="567"/>
      </w:tabs>
      <w:spacing w:before="85" w:line="253" w:lineRule="atLeast"/>
    </w:pPr>
    <w:rPr>
      <w:color w:val="000000"/>
      <w:szCs w:val="22"/>
    </w:rPr>
  </w:style>
  <w:style w:type="paragraph" w:customStyle="1" w:styleId="Paragraph">
    <w:name w:val="Paragraph"/>
    <w:aliases w:val="p"/>
    <w:link w:val="ParagraphChar"/>
    <w:qFormat/>
    <w:rsid w:val="00BD552B"/>
    <w:pPr>
      <w:spacing w:after="140" w:line="280" w:lineRule="exact"/>
    </w:pPr>
    <w:rPr>
      <w:rFonts w:ascii="Verdana" w:eastAsia="MS Mincho" w:hAnsi="Verdana"/>
      <w:sz w:val="18"/>
      <w:szCs w:val="24"/>
      <w:lang w:eastAsia="ja-JP"/>
    </w:rPr>
  </w:style>
  <w:style w:type="character" w:customStyle="1" w:styleId="ParagraphChar">
    <w:name w:val="Paragraph Char"/>
    <w:link w:val="Paragraph"/>
    <w:qFormat/>
    <w:locked/>
    <w:rsid w:val="00BD552B"/>
    <w:rPr>
      <w:rFonts w:ascii="Verdana" w:eastAsia="MS Mincho" w:hAnsi="Verdana"/>
      <w:sz w:val="18"/>
      <w:szCs w:val="24"/>
      <w:lang w:eastAsia="ja-JP"/>
    </w:rPr>
  </w:style>
  <w:style w:type="paragraph" w:customStyle="1" w:styleId="BMLeftAligned">
    <w:name w:val="BM Left Aligned"/>
    <w:basedOn w:val="Normal"/>
    <w:qFormat/>
    <w:rsid w:val="00A12FDF"/>
    <w:pPr>
      <w:spacing w:line="240" w:lineRule="auto"/>
      <w:ind w:left="567" w:hanging="567"/>
    </w:pPr>
    <w:rPr>
      <w:b/>
      <w:noProof/>
      <w:szCs w:val="22"/>
    </w:rPr>
  </w:style>
  <w:style w:type="character" w:styleId="LineNumber">
    <w:name w:val="line number"/>
    <w:basedOn w:val="DefaultParagraphFont"/>
    <w:unhideWhenUsed/>
    <w:rsid w:val="00853DA4"/>
  </w:style>
  <w:style w:type="character" w:customStyle="1" w:styleId="LogoportDoNotTranslate">
    <w:name w:val="LogoportDoNotTranslate"/>
    <w:uiPriority w:val="99"/>
    <w:rsid w:val="00FB0837"/>
    <w:rPr>
      <w:noProof/>
      <w:color w:val="808080"/>
    </w:rPr>
  </w:style>
  <w:style w:type="table" w:customStyle="1" w:styleId="TablegridAgencyblack1">
    <w:name w:val="Table grid (Agency) black1"/>
    <w:basedOn w:val="TableNormal"/>
    <w:rsid w:val="004E3BE3"/>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Paragraph">
    <w:name w:val="Table Paragraph"/>
    <w:basedOn w:val="Normal"/>
    <w:rsid w:val="004E3BE3"/>
    <w:pPr>
      <w:tabs>
        <w:tab w:val="clear" w:pos="567"/>
      </w:tabs>
      <w:autoSpaceDE w:val="0"/>
      <w:autoSpaceDN w:val="0"/>
      <w:spacing w:before="30" w:line="240" w:lineRule="auto"/>
      <w:ind w:left="57"/>
    </w:pPr>
    <w:rPr>
      <w:rFonts w:ascii="Calibri" w:eastAsia="Calibri" w:hAnsi="Calibri" w:cs="Calibri"/>
      <w:szCs w:val="22"/>
      <w:lang w:val="en-US"/>
    </w:rPr>
  </w:style>
  <w:style w:type="paragraph" w:customStyle="1" w:styleId="No-numheading3Agency">
    <w:name w:val="No-num heading 3 (Agency)"/>
    <w:link w:val="No-numheading3AgencyChar"/>
    <w:qFormat/>
    <w:rsid w:val="004E3BE3"/>
    <w:pPr>
      <w:keepNext/>
      <w:spacing w:before="280" w:after="220"/>
      <w:outlineLvl w:val="2"/>
    </w:pPr>
    <w:rPr>
      <w:rFonts w:ascii="Verdana" w:eastAsia="Times New Roman" w:hAnsi="Verdana"/>
      <w:b/>
      <w:snapToGrid w:val="0"/>
      <w:kern w:val="32"/>
      <w:sz w:val="22"/>
      <w:lang w:val="en-GB" w:eastAsia="fr-LU"/>
    </w:rPr>
  </w:style>
  <w:style w:type="character" w:customStyle="1" w:styleId="UnresolvedMention1">
    <w:name w:val="Unresolved Mention1"/>
    <w:basedOn w:val="DefaultParagraphFont"/>
    <w:uiPriority w:val="99"/>
    <w:semiHidden/>
    <w:unhideWhenUsed/>
    <w:rsid w:val="004E3BE3"/>
    <w:rPr>
      <w:color w:val="605E5C"/>
      <w:shd w:val="clear" w:color="auto" w:fill="E1DFDD"/>
    </w:rPr>
  </w:style>
  <w:style w:type="paragraph" w:customStyle="1" w:styleId="TitleA">
    <w:name w:val="Title A"/>
    <w:basedOn w:val="Normal"/>
    <w:uiPriority w:val="99"/>
    <w:rsid w:val="004E3BE3"/>
    <w:pPr>
      <w:spacing w:line="240" w:lineRule="auto"/>
      <w:jc w:val="center"/>
      <w:outlineLvl w:val="0"/>
    </w:pPr>
    <w:rPr>
      <w:rFonts w:eastAsia="SimSun"/>
      <w:b/>
      <w:bCs/>
      <w:szCs w:val="22"/>
      <w:lang w:val="el-GR" w:eastAsia="el-GR"/>
    </w:rPr>
  </w:style>
  <w:style w:type="paragraph" w:customStyle="1" w:styleId="TitleB">
    <w:name w:val="Title B"/>
    <w:basedOn w:val="Normal"/>
    <w:uiPriority w:val="99"/>
    <w:rsid w:val="004E3BE3"/>
    <w:pPr>
      <w:spacing w:line="240" w:lineRule="auto"/>
      <w:ind w:left="567" w:hanging="567"/>
      <w:outlineLvl w:val="0"/>
    </w:pPr>
    <w:rPr>
      <w:rFonts w:eastAsia="SimSun"/>
      <w:b/>
      <w:noProof/>
      <w:szCs w:val="22"/>
      <w:lang w:val="sv-SE" w:eastAsia="sv-SE" w:bidi="sv-SE"/>
    </w:rPr>
  </w:style>
  <w:style w:type="character" w:customStyle="1" w:styleId="HeaderChar">
    <w:name w:val="Header Char"/>
    <w:basedOn w:val="DefaultParagraphFont"/>
    <w:link w:val="Header"/>
    <w:rsid w:val="00366107"/>
    <w:rPr>
      <w:rFonts w:ascii="Arial" w:eastAsia="Times New Roman" w:hAnsi="Arial"/>
    </w:rPr>
  </w:style>
  <w:style w:type="character" w:customStyle="1" w:styleId="FooterChar">
    <w:name w:val="Footer Char"/>
    <w:basedOn w:val="DefaultParagraphFont"/>
    <w:link w:val="Footer"/>
    <w:uiPriority w:val="99"/>
    <w:rsid w:val="00366107"/>
    <w:rPr>
      <w:rFonts w:ascii="Arial" w:eastAsia="Times New Roman" w:hAnsi="Arial"/>
      <w:noProof/>
      <w:sz w:val="16"/>
    </w:rPr>
  </w:style>
  <w:style w:type="character" w:customStyle="1" w:styleId="ListParagraphChar">
    <w:name w:val="List Paragraph Char"/>
    <w:aliases w:val="Bullet 1 Char,Bullet List Char,Bullet1 Char,Bullets Points Char,Hyperlink1 Char,Hyperlink11 Char,Level 1 Bullet Char,Paragraphe de liste Char,Section 5 Char,Sub questions Char,Table Legend Char,hyperlink Char"/>
    <w:basedOn w:val="DefaultParagraphFont"/>
    <w:link w:val="ListParagraph"/>
    <w:uiPriority w:val="34"/>
    <w:qFormat/>
    <w:locked/>
    <w:rsid w:val="00366107"/>
    <w:rPr>
      <w:rFonts w:ascii="Calibri" w:eastAsia="Calibri" w:hAnsi="Calibri"/>
      <w:sz w:val="22"/>
      <w:szCs w:val="22"/>
    </w:rPr>
  </w:style>
  <w:style w:type="character" w:customStyle="1" w:styleId="UnresolvedMention2">
    <w:name w:val="Unresolved Mention2"/>
    <w:basedOn w:val="DefaultParagraphFont"/>
    <w:rsid w:val="00366107"/>
    <w:rPr>
      <w:color w:val="605E5C"/>
      <w:shd w:val="clear" w:color="auto" w:fill="E1DFDD"/>
    </w:rPr>
  </w:style>
  <w:style w:type="character" w:customStyle="1" w:styleId="No-numheading3AgencyChar">
    <w:name w:val="No-num heading 3 (Agency) Char"/>
    <w:link w:val="No-numheading3Agency"/>
    <w:rsid w:val="00366107"/>
    <w:rPr>
      <w:rFonts w:ascii="Verdana" w:eastAsia="Times New Roman" w:hAnsi="Verdana"/>
      <w:b/>
      <w:snapToGrid w:val="0"/>
      <w:kern w:val="32"/>
      <w:sz w:val="22"/>
      <w:lang w:val="en-GB" w:eastAsia="fr-LU"/>
    </w:rPr>
  </w:style>
  <w:style w:type="numbering" w:customStyle="1" w:styleId="NoList1">
    <w:name w:val="No List1"/>
    <w:next w:val="NoList"/>
    <w:uiPriority w:val="99"/>
    <w:semiHidden/>
    <w:unhideWhenUsed/>
    <w:rsid w:val="00366107"/>
  </w:style>
  <w:style w:type="character" w:customStyle="1" w:styleId="BalloonTextChar">
    <w:name w:val="Balloon Text Char"/>
    <w:basedOn w:val="DefaultParagraphFont"/>
    <w:link w:val="BalloonText"/>
    <w:uiPriority w:val="99"/>
    <w:rsid w:val="003661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39877">
      <w:bodyDiv w:val="1"/>
      <w:marLeft w:val="0"/>
      <w:marRight w:val="0"/>
      <w:marTop w:val="0"/>
      <w:marBottom w:val="0"/>
      <w:divBdr>
        <w:top w:val="none" w:sz="0" w:space="0" w:color="auto"/>
        <w:left w:val="none" w:sz="0" w:space="0" w:color="auto"/>
        <w:bottom w:val="none" w:sz="0" w:space="0" w:color="auto"/>
        <w:right w:val="none" w:sz="0" w:space="0" w:color="auto"/>
      </w:divBdr>
    </w:div>
    <w:div w:id="405762942">
      <w:bodyDiv w:val="1"/>
      <w:marLeft w:val="0"/>
      <w:marRight w:val="0"/>
      <w:marTop w:val="0"/>
      <w:marBottom w:val="0"/>
      <w:divBdr>
        <w:top w:val="none" w:sz="0" w:space="0" w:color="auto"/>
        <w:left w:val="none" w:sz="0" w:space="0" w:color="auto"/>
        <w:bottom w:val="none" w:sz="0" w:space="0" w:color="auto"/>
        <w:right w:val="none" w:sz="0" w:space="0" w:color="auto"/>
      </w:divBdr>
    </w:div>
    <w:div w:id="1364793407">
      <w:bodyDiv w:val="1"/>
      <w:marLeft w:val="0"/>
      <w:marRight w:val="0"/>
      <w:marTop w:val="0"/>
      <w:marBottom w:val="0"/>
      <w:divBdr>
        <w:top w:val="none" w:sz="0" w:space="0" w:color="auto"/>
        <w:left w:val="none" w:sz="0" w:space="0" w:color="auto"/>
        <w:bottom w:val="none" w:sz="0" w:space="0" w:color="auto"/>
        <w:right w:val="none" w:sz="0" w:space="0" w:color="auto"/>
      </w:divBdr>
    </w:div>
    <w:div w:id="158669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inmed.me" TargetMode="External"/><Relationship Id="rId18" Type="http://schemas.openxmlformats.org/officeDocument/2006/relationships/image" Target="media/image4.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image" Target="media/image1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image" Target="media/image11.jpeg"/><Relationship Id="rId33" Type="http://schemas.openxmlformats.org/officeDocument/2006/relationships/image" Target="media/image1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9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image" Target="media/image12.png"/><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vigiflow-eforms.who-umc.org/me/meadr" TargetMode="External"/><Relationship Id="rId23" Type="http://schemas.openxmlformats.org/officeDocument/2006/relationships/image" Target="media/image9.png"/><Relationship Id="rId28" Type="http://schemas.openxmlformats.org/officeDocument/2006/relationships/image" Target="media/image80.pn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zeljenadejstva@cinmed.me" TargetMode="External"/><Relationship Id="rId22" Type="http://schemas.openxmlformats.org/officeDocument/2006/relationships/image" Target="media/image8.png"/><Relationship Id="rId30" Type="http://schemas.openxmlformats.org/officeDocument/2006/relationships/image" Target="media/image100.png"/><Relationship Id="rId35" Type="http://schemas.openxmlformats.org/officeDocument/2006/relationships/image" Target="media/image15.jpeg"/><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EC5F5A97FAF94E878D94C9444CD791" ma:contentTypeVersion="0" ma:contentTypeDescription="Create a new document." ma:contentTypeScope="" ma:versionID="3d452bbe926c8d0c792bef171ef263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8FDF-E9C7-4F6E-AC4C-13C188F622B1}">
  <ds:schemaRefs>
    <ds:schemaRef ds:uri="http://schemas.microsoft.com/sharepoint/v3/contenttype/forms"/>
  </ds:schemaRefs>
</ds:datastoreItem>
</file>

<file path=customXml/itemProps2.xml><?xml version="1.0" encoding="utf-8"?>
<ds:datastoreItem xmlns:ds="http://schemas.openxmlformats.org/officeDocument/2006/customXml" ds:itemID="{729A8A5C-A572-4FF9-826A-5AEE630B74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052AF2-1BAF-455F-9CE6-6A21F7CF5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77A16E8-FE93-42BA-B563-DBB206366AB7}">
  <ds:schemaRefs>
    <ds:schemaRef ds:uri="http://schemas.microsoft.com/office/2006/metadata/longProperties"/>
  </ds:schemaRefs>
</ds:datastoreItem>
</file>

<file path=customXml/itemProps5.xml><?xml version="1.0" encoding="utf-8"?>
<ds:datastoreItem xmlns:ds="http://schemas.openxmlformats.org/officeDocument/2006/customXml" ds:itemID="{E8B0E574-112B-4319-ACC5-46231E0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22584</Words>
  <Characters>128732</Characters>
  <Application>Microsoft Office Word</Application>
  <DocSecurity>0</DocSecurity>
  <Lines>1072</Lines>
  <Paragraphs>302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Rinvoq, INN-Upadacitinib</vt:lpstr>
      <vt:lpstr>Tradename, INN-Upadacitinib</vt:lpstr>
    </vt:vector>
  </TitlesOfParts>
  <Company>AbbVie</Company>
  <LinksUpToDate>false</LinksUpToDate>
  <CharactersWithSpaces>151014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Rinvoq, INN-Upadacitinib</dc:title>
  <dc:subject>EPAR</dc:subject>
  <dc:creator>CHMP</dc:creator>
  <cp:keywords>Rinvoq, INN-Upadacitinib</cp:keywords>
  <dc:description/>
  <cp:lastModifiedBy>Aleksandra Ljumović</cp:lastModifiedBy>
  <cp:revision>2</cp:revision>
  <cp:lastPrinted>2020-09-15T09:00:00Z</cp:lastPrinted>
  <dcterms:created xsi:type="dcterms:W3CDTF">2025-05-19T08:22:00Z</dcterms:created>
  <dcterms:modified xsi:type="dcterms:W3CDTF">2025-05-19T08:22:00Z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0x0101001AEC5F5A97FAF94E878D94C9444CD791</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27/05/2019 18:04:37</vt:lpwstr>
  </property>
  <property fmtid="{D5CDD505-2E9C-101B-9397-08002B2CF9AE}" pid="7" name="DM_Creator_Name">
    <vt:lpwstr>Martin Margot</vt:lpwstr>
  </property>
  <property fmtid="{D5CDD505-2E9C-101B-9397-08002B2CF9AE}" pid="8" name="DM_DocRefId">
    <vt:lpwstr>EMA/CHMP/276194/2019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EMA/CHMP/276194/2019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Martin Margot</vt:lpwstr>
  </property>
  <property fmtid="{D5CDD505-2E9C-101B-9397-08002B2CF9AE}" pid="34" name="DM_Modified_Date">
    <vt:lpwstr>27/05/2019 18:04:37</vt:lpwstr>
  </property>
  <property fmtid="{D5CDD505-2E9C-101B-9397-08002B2CF9AE}" pid="35" name="DM_Modifier_Name">
    <vt:lpwstr>Martin Margot</vt:lpwstr>
  </property>
  <property fmtid="{D5CDD505-2E9C-101B-9397-08002B2CF9AE}" pid="36" name="DM_Modify_Date">
    <vt:lpwstr>27/05/2019 18:04:37</vt:lpwstr>
  </property>
  <property fmtid="{D5CDD505-2E9C-101B-9397-08002B2CF9AE}" pid="37" name="DM_Name">
    <vt:lpwstr>Upadacitinib - PI</vt:lpwstr>
  </property>
  <property fmtid="{D5CDD505-2E9C-101B-9397-08002B2CF9AE}" pid="38" name="DM_Owner">
    <vt:lpwstr>Espinasse Claire</vt:lpwstr>
  </property>
  <property fmtid="{D5CDD505-2E9C-101B-9397-08002B2CF9AE}" pid="39" name="DM_Path">
    <vt:lpwstr>/01. Evaluation of Medicines/H-C/S-U/Upadacitinib AbbVie Deutschland GmbH &amp; Co KG - 004760/03 Evaluation/Day 0 - 120/05 Peer review</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ies>
</file>