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43EF7" w14:textId="77777777" w:rsidR="001A5518" w:rsidRDefault="001A5518" w:rsidP="001A5518">
      <w:pPr>
        <w:rPr>
          <w:b/>
          <w:bCs/>
          <w:i/>
          <w:iCs/>
          <w:sz w:val="22"/>
          <w:szCs w:val="22"/>
          <w:u w:val="single"/>
        </w:rPr>
      </w:pPr>
    </w:p>
    <w:p w14:paraId="14208D62" w14:textId="77777777" w:rsidR="00F91C7B" w:rsidRPr="00786071" w:rsidRDefault="00F91C7B" w:rsidP="001A5518">
      <w:pPr>
        <w:rPr>
          <w:b/>
          <w:bCs/>
          <w:i/>
          <w:iCs/>
          <w:sz w:val="22"/>
          <w:szCs w:val="22"/>
          <w:u w:val="single"/>
        </w:rPr>
      </w:pPr>
    </w:p>
    <w:p w14:paraId="3FDCA19F"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0E31335F" w14:textId="77777777" w:rsidR="002510A5" w:rsidRPr="002510A5" w:rsidRDefault="002510A5" w:rsidP="002510A5">
      <w:pPr>
        <w:rPr>
          <w:b/>
          <w:bCs/>
          <w:i/>
          <w:iCs/>
          <w:sz w:val="22"/>
          <w:szCs w:val="22"/>
          <w:u w:val="single"/>
        </w:rPr>
      </w:pPr>
    </w:p>
    <w:p w14:paraId="108C787D" w14:textId="77777777" w:rsidR="003C17AB" w:rsidRPr="00CA1FEB" w:rsidRDefault="003C17AB" w:rsidP="00CA1FEB">
      <w:pPr>
        <w:rPr>
          <w:sz w:val="22"/>
          <w:szCs w:val="22"/>
          <w:lang w:val="sr-Latn-CS"/>
        </w:rPr>
      </w:pPr>
    </w:p>
    <w:p w14:paraId="77F716FE"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5D3A0855" w14:textId="77777777" w:rsidR="00EC2532" w:rsidRPr="00786071" w:rsidRDefault="00EC2532">
      <w:pPr>
        <w:rPr>
          <w:sz w:val="22"/>
          <w:szCs w:val="22"/>
          <w:lang w:val="pl-PL"/>
        </w:rPr>
      </w:pPr>
    </w:p>
    <w:p w14:paraId="165E7AAD" w14:textId="3DDF4AD3" w:rsidR="00EF6805" w:rsidRDefault="00EF6805" w:rsidP="00D3709E">
      <w:pPr>
        <w:tabs>
          <w:tab w:val="left" w:pos="5244"/>
        </w:tabs>
        <w:jc w:val="both"/>
        <w:rPr>
          <w:sz w:val="22"/>
          <w:szCs w:val="22"/>
          <w:lang w:val="sv-SE"/>
        </w:rPr>
      </w:pPr>
      <w:r w:rsidRPr="00E36E4A">
        <w:rPr>
          <w:bCs/>
          <w:sz w:val="22"/>
          <w:szCs w:val="22"/>
          <w:lang w:val="pl-PL"/>
        </w:rPr>
        <w:t>AVONEX</w:t>
      </w:r>
      <w:r w:rsidRPr="00E36E4A">
        <w:rPr>
          <w:rFonts w:ascii="Humanist777" w:hAnsi="Humanist777"/>
          <w:color w:val="000000" w:themeColor="text1"/>
          <w:szCs w:val="22"/>
          <w:lang w:val="pl-PL"/>
        </w:rPr>
        <w:t xml:space="preserve">, </w:t>
      </w:r>
      <w:r w:rsidRPr="00E36E4A">
        <w:rPr>
          <w:bCs/>
          <w:sz w:val="22"/>
          <w:szCs w:val="22"/>
          <w:lang w:val="pl-PL"/>
        </w:rPr>
        <w:t>30 mcg/0.5 ml</w:t>
      </w:r>
      <w:r w:rsidR="00CE1DB5">
        <w:rPr>
          <w:bCs/>
          <w:sz w:val="22"/>
          <w:szCs w:val="22"/>
          <w:lang w:val="pl-PL"/>
        </w:rPr>
        <w:t>,</w:t>
      </w:r>
      <w:r w:rsidR="00CE1DB5">
        <w:rPr>
          <w:i/>
          <w:iCs/>
          <w:color w:val="808080"/>
          <w:sz w:val="22"/>
          <w:szCs w:val="22"/>
        </w:rPr>
        <w:t xml:space="preserve"> </w:t>
      </w:r>
      <w:r w:rsidR="00C37FD7" w:rsidRPr="00E36E4A">
        <w:rPr>
          <w:i/>
          <w:iCs/>
          <w:color w:val="808080"/>
          <w:sz w:val="22"/>
          <w:szCs w:val="22"/>
        </w:rPr>
        <w:t xml:space="preserve"> </w:t>
      </w:r>
      <w:r w:rsidRPr="00E36E4A">
        <w:rPr>
          <w:bCs/>
          <w:sz w:val="22"/>
          <w:szCs w:val="22"/>
          <w:lang w:val="pl-PL"/>
        </w:rPr>
        <w:t>rastvor za injekcij</w:t>
      </w:r>
      <w:r w:rsidR="00A02717">
        <w:rPr>
          <w:bCs/>
          <w:sz w:val="22"/>
          <w:szCs w:val="22"/>
          <w:lang w:val="pl-PL"/>
        </w:rPr>
        <w:t>u</w:t>
      </w:r>
    </w:p>
    <w:p w14:paraId="4194F180" w14:textId="77777777" w:rsidR="006D20A5" w:rsidRPr="00786071" w:rsidRDefault="006D20A5" w:rsidP="00D3709E">
      <w:pPr>
        <w:jc w:val="both"/>
        <w:rPr>
          <w:sz w:val="22"/>
          <w:szCs w:val="22"/>
          <w:lang w:val="sr-Latn-CS"/>
        </w:rPr>
      </w:pPr>
      <w:r w:rsidRPr="00B66A70">
        <w:rPr>
          <w:sz w:val="22"/>
          <w:szCs w:val="22"/>
          <w:lang w:val="sv-SE"/>
        </w:rPr>
        <w:t>INN:</w:t>
      </w:r>
      <w:r w:rsidR="00EF6805">
        <w:rPr>
          <w:sz w:val="22"/>
          <w:szCs w:val="22"/>
          <w:lang w:val="sv-SE"/>
        </w:rPr>
        <w:t xml:space="preserve"> </w:t>
      </w:r>
      <w:r w:rsidR="00EF6805" w:rsidRPr="00EF6805">
        <w:rPr>
          <w:sz w:val="22"/>
          <w:szCs w:val="22"/>
          <w:lang w:val="sr-Latn-CS"/>
        </w:rPr>
        <w:t>Interferon beta-1a</w:t>
      </w:r>
    </w:p>
    <w:p w14:paraId="0A018D40" w14:textId="77777777" w:rsidR="006D20A5" w:rsidRPr="00786071" w:rsidRDefault="006D20A5" w:rsidP="00D3709E">
      <w:pPr>
        <w:jc w:val="both"/>
        <w:rPr>
          <w:bCs/>
          <w:sz w:val="22"/>
          <w:szCs w:val="22"/>
          <w:lang w:val="sv-SE"/>
        </w:rPr>
      </w:pPr>
    </w:p>
    <w:p w14:paraId="78948A3E" w14:textId="77777777" w:rsidR="00530BD7" w:rsidRPr="00786071" w:rsidRDefault="00530BD7" w:rsidP="00D3709E">
      <w:pPr>
        <w:jc w:val="both"/>
        <w:rPr>
          <w:bCs/>
          <w:sz w:val="22"/>
          <w:szCs w:val="22"/>
          <w:lang w:val="sv-SE"/>
        </w:rPr>
      </w:pPr>
    </w:p>
    <w:p w14:paraId="75885CFD" w14:textId="77777777" w:rsidR="00411B4B" w:rsidRPr="00786071" w:rsidRDefault="00411B4B" w:rsidP="00D3709E">
      <w:pPr>
        <w:tabs>
          <w:tab w:val="left" w:pos="540"/>
          <w:tab w:val="left" w:pos="569"/>
        </w:tabs>
        <w:jc w:val="both"/>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0B64487B" w14:textId="77777777" w:rsidR="005A0B2E" w:rsidRDefault="005A0B2E" w:rsidP="00D3709E">
      <w:pPr>
        <w:jc w:val="both"/>
        <w:rPr>
          <w:sz w:val="22"/>
          <w:szCs w:val="22"/>
          <w:lang w:val="sr-Latn-CS"/>
        </w:rPr>
      </w:pPr>
    </w:p>
    <w:p w14:paraId="213D3FD2" w14:textId="77777777" w:rsidR="00EF6805" w:rsidRPr="00EF6805" w:rsidRDefault="00EF6805" w:rsidP="00D3709E">
      <w:pPr>
        <w:jc w:val="both"/>
        <w:rPr>
          <w:sz w:val="22"/>
          <w:szCs w:val="22"/>
          <w:lang w:val="sr-Latn-CS"/>
        </w:rPr>
      </w:pPr>
      <w:r w:rsidRPr="00EF6805">
        <w:rPr>
          <w:sz w:val="22"/>
          <w:szCs w:val="22"/>
          <w:lang w:val="sr-Latn-CS"/>
        </w:rPr>
        <w:t>Svaki napunjeni injekcioni špric od 0,5 ml sadrži 30 mikrograma (6 miliona i.j.) interferona beta-1a.</w:t>
      </w:r>
    </w:p>
    <w:p w14:paraId="45C62A6A" w14:textId="77777777" w:rsidR="00EF6805" w:rsidRPr="00EF6805" w:rsidRDefault="00EF6805" w:rsidP="00D3709E">
      <w:pPr>
        <w:jc w:val="both"/>
        <w:rPr>
          <w:sz w:val="22"/>
          <w:szCs w:val="22"/>
          <w:lang w:val="sr-Latn-CS"/>
        </w:rPr>
      </w:pPr>
    </w:p>
    <w:p w14:paraId="5E55F727" w14:textId="77777777" w:rsidR="00EF6805" w:rsidRPr="00ED1CFA" w:rsidRDefault="00EF6805" w:rsidP="00D3709E">
      <w:pPr>
        <w:jc w:val="both"/>
        <w:rPr>
          <w:color w:val="FF0000"/>
          <w:sz w:val="22"/>
          <w:szCs w:val="22"/>
          <w:lang w:val="sr-Latn-CS"/>
        </w:rPr>
      </w:pPr>
      <w:r w:rsidRPr="00EF6805">
        <w:rPr>
          <w:sz w:val="22"/>
          <w:szCs w:val="22"/>
          <w:lang w:val="sr-Latn-CS"/>
        </w:rPr>
        <w:t>Koncentracija je 30 mikrograma na 0,5 ml</w:t>
      </w:r>
      <w:r w:rsidR="00ED1CFA">
        <w:rPr>
          <w:sz w:val="22"/>
          <w:szCs w:val="22"/>
          <w:lang w:val="sr-Latn-CS"/>
        </w:rPr>
        <w:t xml:space="preserve"> </w:t>
      </w:r>
    </w:p>
    <w:p w14:paraId="22F77A6C" w14:textId="77777777" w:rsidR="00EF6805" w:rsidRPr="00EF6805" w:rsidRDefault="00EF6805" w:rsidP="00D3709E">
      <w:pPr>
        <w:jc w:val="both"/>
        <w:rPr>
          <w:sz w:val="22"/>
          <w:szCs w:val="22"/>
          <w:lang w:val="sr-Latn-CS"/>
        </w:rPr>
      </w:pPr>
    </w:p>
    <w:p w14:paraId="0B204041" w14:textId="77777777" w:rsidR="00EF6805" w:rsidRPr="00EF6805" w:rsidRDefault="00EF6805" w:rsidP="00D3709E">
      <w:pPr>
        <w:jc w:val="both"/>
        <w:rPr>
          <w:sz w:val="22"/>
          <w:szCs w:val="22"/>
          <w:lang w:val="sr-Latn-CS"/>
        </w:rPr>
      </w:pPr>
      <w:r w:rsidRPr="00EF6805">
        <w:rPr>
          <w:sz w:val="22"/>
          <w:szCs w:val="22"/>
          <w:lang w:val="sr-Latn-CS"/>
        </w:rPr>
        <w:t>Koristeći Međunarodni Standard za Interferon Svjetske zdravstvene organizacije (WHO), 30 mikrograma lijeka AVONEX sadrži 6 miliona i.j. antivirusne aktivnosti. Aktivnost u poređenju sa drugim standardima nije poznata.</w:t>
      </w:r>
    </w:p>
    <w:p w14:paraId="6F4DA7DF" w14:textId="77777777" w:rsidR="00EF6805" w:rsidRPr="00EF6805" w:rsidRDefault="00EF6805" w:rsidP="00D3709E">
      <w:pPr>
        <w:jc w:val="both"/>
        <w:rPr>
          <w:sz w:val="22"/>
          <w:szCs w:val="22"/>
          <w:lang w:val="sr-Latn-CS"/>
        </w:rPr>
      </w:pPr>
    </w:p>
    <w:p w14:paraId="112E00F0" w14:textId="77777777" w:rsidR="00EF6805" w:rsidRPr="00EF6805" w:rsidRDefault="00EF6805" w:rsidP="00D3709E">
      <w:pPr>
        <w:jc w:val="both"/>
        <w:rPr>
          <w:bCs/>
          <w:sz w:val="22"/>
          <w:szCs w:val="22"/>
          <w:u w:val="single"/>
          <w:lang w:val="pl-PL"/>
        </w:rPr>
      </w:pPr>
      <w:r w:rsidRPr="00EF6805">
        <w:rPr>
          <w:bCs/>
          <w:sz w:val="22"/>
          <w:szCs w:val="22"/>
          <w:u w:val="single"/>
          <w:lang w:val="pl-PL"/>
        </w:rPr>
        <w:t>Pomoćne supstance sa potvrđenim dejstvom</w:t>
      </w:r>
    </w:p>
    <w:p w14:paraId="2CE6B275" w14:textId="77777777" w:rsidR="0003793F" w:rsidRPr="00786071" w:rsidRDefault="0003793F" w:rsidP="00D3709E">
      <w:pPr>
        <w:jc w:val="both"/>
        <w:rPr>
          <w:sz w:val="22"/>
          <w:szCs w:val="22"/>
          <w:lang w:val="sr-Latn-CS"/>
        </w:rPr>
      </w:pPr>
      <w:r w:rsidRPr="00786071">
        <w:rPr>
          <w:sz w:val="22"/>
          <w:szCs w:val="22"/>
          <w:lang w:val="sr-Latn-CS"/>
        </w:rPr>
        <w:t>Za spisak svih ekscipijenasa, pogledati dio 6.1.</w:t>
      </w:r>
    </w:p>
    <w:p w14:paraId="2958FFFB" w14:textId="77777777" w:rsidR="0003793F" w:rsidRDefault="0003793F" w:rsidP="00D3709E">
      <w:pPr>
        <w:jc w:val="both"/>
        <w:rPr>
          <w:sz w:val="22"/>
          <w:szCs w:val="22"/>
          <w:lang w:val="sr-Latn-CS"/>
        </w:rPr>
      </w:pPr>
    </w:p>
    <w:p w14:paraId="566112FA" w14:textId="77777777" w:rsidR="00C37FD7" w:rsidRPr="00786071" w:rsidRDefault="00C37FD7" w:rsidP="00D3709E">
      <w:pPr>
        <w:jc w:val="both"/>
        <w:rPr>
          <w:sz w:val="22"/>
          <w:szCs w:val="22"/>
          <w:lang w:val="sr-Latn-CS"/>
        </w:rPr>
      </w:pPr>
    </w:p>
    <w:p w14:paraId="6521F602" w14:textId="77777777" w:rsidR="00411B4B" w:rsidRPr="00786071" w:rsidRDefault="00411B4B" w:rsidP="00D3709E">
      <w:pPr>
        <w:tabs>
          <w:tab w:val="left" w:pos="540"/>
          <w:tab w:val="left" w:pos="569"/>
        </w:tabs>
        <w:jc w:val="both"/>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62E787DC" w14:textId="77777777" w:rsidR="00411B4B" w:rsidRDefault="00411B4B" w:rsidP="00D3709E">
      <w:pPr>
        <w:jc w:val="both"/>
        <w:rPr>
          <w:bCs/>
          <w:sz w:val="22"/>
          <w:szCs w:val="22"/>
          <w:lang w:val="sr-Latn-CS"/>
        </w:rPr>
      </w:pPr>
    </w:p>
    <w:p w14:paraId="1BC3E2EA" w14:textId="4A29525B" w:rsidR="00EF6805" w:rsidRPr="00EF6805" w:rsidRDefault="00EF6805" w:rsidP="00D3709E">
      <w:pPr>
        <w:jc w:val="both"/>
        <w:rPr>
          <w:bCs/>
          <w:sz w:val="22"/>
          <w:szCs w:val="22"/>
          <w:lang w:val="sr-Latn-CS"/>
        </w:rPr>
      </w:pPr>
      <w:r w:rsidRPr="00EF6805">
        <w:rPr>
          <w:bCs/>
          <w:sz w:val="22"/>
          <w:szCs w:val="22"/>
          <w:lang w:val="sr-Latn-CS"/>
        </w:rPr>
        <w:t>Rastvor za injekciju</w:t>
      </w:r>
      <w:r w:rsidR="00A02717">
        <w:rPr>
          <w:szCs w:val="22"/>
          <w:lang w:val="sr-Latn-RS"/>
        </w:rPr>
        <w:t>.</w:t>
      </w:r>
    </w:p>
    <w:p w14:paraId="44E4E35B" w14:textId="77777777" w:rsidR="00EF6805" w:rsidRPr="00EF6805" w:rsidRDefault="00EF6805" w:rsidP="00D3709E">
      <w:pPr>
        <w:jc w:val="both"/>
        <w:rPr>
          <w:bCs/>
          <w:sz w:val="22"/>
          <w:szCs w:val="22"/>
          <w:lang w:val="sr-Latn-CS"/>
        </w:rPr>
      </w:pPr>
      <w:r w:rsidRPr="00EF6805">
        <w:rPr>
          <w:bCs/>
          <w:sz w:val="22"/>
          <w:szCs w:val="22"/>
          <w:lang w:val="sr-Latn-CS"/>
        </w:rPr>
        <w:t>Bistar, bezbojan rastvor.</w:t>
      </w:r>
    </w:p>
    <w:p w14:paraId="1BF2E451" w14:textId="77777777" w:rsidR="00EF6805" w:rsidRPr="00786071" w:rsidRDefault="00EF6805" w:rsidP="00D3709E">
      <w:pPr>
        <w:jc w:val="both"/>
        <w:rPr>
          <w:bCs/>
          <w:sz w:val="22"/>
          <w:szCs w:val="22"/>
          <w:lang w:val="sr-Latn-CS"/>
        </w:rPr>
      </w:pPr>
    </w:p>
    <w:p w14:paraId="502DAB20" w14:textId="77777777" w:rsidR="00EC2532" w:rsidRPr="00786071" w:rsidRDefault="00EC2532" w:rsidP="00D3709E">
      <w:pPr>
        <w:jc w:val="both"/>
        <w:rPr>
          <w:bCs/>
          <w:sz w:val="22"/>
          <w:szCs w:val="22"/>
          <w:lang w:val="sr-Latn-CS"/>
        </w:rPr>
      </w:pPr>
    </w:p>
    <w:p w14:paraId="030AD135" w14:textId="77777777" w:rsidR="00411B4B" w:rsidRPr="00786071" w:rsidRDefault="00411B4B" w:rsidP="00D3709E">
      <w:pPr>
        <w:tabs>
          <w:tab w:val="left" w:pos="540"/>
          <w:tab w:val="left" w:pos="569"/>
        </w:tabs>
        <w:jc w:val="both"/>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510884EB" w14:textId="77777777" w:rsidR="00CD6F02" w:rsidRPr="00786071" w:rsidRDefault="00CD6F02" w:rsidP="00D3709E">
      <w:pPr>
        <w:tabs>
          <w:tab w:val="left" w:pos="540"/>
          <w:tab w:val="left" w:pos="569"/>
        </w:tabs>
        <w:jc w:val="both"/>
        <w:rPr>
          <w:bCs/>
          <w:sz w:val="22"/>
          <w:szCs w:val="22"/>
        </w:rPr>
      </w:pPr>
    </w:p>
    <w:p w14:paraId="4EDFFAB9" w14:textId="77777777" w:rsidR="00411B4B" w:rsidRPr="00786071" w:rsidRDefault="00411B4B" w:rsidP="00D3709E">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01A26367" w14:textId="77777777" w:rsidR="00411B4B" w:rsidRDefault="00411B4B" w:rsidP="00D3709E">
      <w:pPr>
        <w:tabs>
          <w:tab w:val="left" w:pos="540"/>
          <w:tab w:val="left" w:pos="569"/>
        </w:tabs>
        <w:jc w:val="both"/>
        <w:rPr>
          <w:bCs/>
          <w:sz w:val="22"/>
          <w:szCs w:val="22"/>
        </w:rPr>
      </w:pPr>
    </w:p>
    <w:p w14:paraId="4DCC11E0" w14:textId="77777777" w:rsidR="00EF6805" w:rsidRPr="0081469B" w:rsidRDefault="00EF6805" w:rsidP="00D3709E">
      <w:pPr>
        <w:tabs>
          <w:tab w:val="center" w:pos="4536"/>
          <w:tab w:val="right" w:pos="9072"/>
        </w:tabs>
        <w:jc w:val="both"/>
        <w:rPr>
          <w:sz w:val="22"/>
          <w:szCs w:val="22"/>
          <w:lang w:val="sr-Latn-CS"/>
        </w:rPr>
      </w:pPr>
      <w:r w:rsidRPr="0081469B">
        <w:rPr>
          <w:sz w:val="22"/>
          <w:szCs w:val="22"/>
          <w:lang w:val="sr-Latn-CS"/>
        </w:rPr>
        <w:t xml:space="preserve">Lijek AVONEX je indikovan </w:t>
      </w:r>
      <w:r w:rsidR="00A5556F">
        <w:rPr>
          <w:sz w:val="22"/>
          <w:szCs w:val="22"/>
          <w:lang w:val="sr-Latn-CS"/>
        </w:rPr>
        <w:t xml:space="preserve">kod odraslih </w:t>
      </w:r>
      <w:r w:rsidRPr="0081469B">
        <w:rPr>
          <w:sz w:val="22"/>
          <w:szCs w:val="22"/>
          <w:lang w:val="sr-Latn-CS"/>
        </w:rPr>
        <w:t>za liječenje:</w:t>
      </w:r>
    </w:p>
    <w:p w14:paraId="28D6A5B4" w14:textId="77777777" w:rsidR="00EF6805" w:rsidRPr="0081469B" w:rsidRDefault="00EF6805" w:rsidP="00D3709E">
      <w:pPr>
        <w:tabs>
          <w:tab w:val="center" w:pos="4536"/>
          <w:tab w:val="right" w:pos="9072"/>
        </w:tabs>
        <w:jc w:val="both"/>
        <w:rPr>
          <w:sz w:val="22"/>
          <w:szCs w:val="22"/>
          <w:lang w:val="sr-Latn-CS"/>
        </w:rPr>
      </w:pPr>
    </w:p>
    <w:p w14:paraId="4D9FBBD6" w14:textId="77777777" w:rsidR="00EF6805" w:rsidRPr="0081469B" w:rsidRDefault="00EF6805" w:rsidP="00D3709E">
      <w:pPr>
        <w:numPr>
          <w:ilvl w:val="0"/>
          <w:numId w:val="12"/>
        </w:numPr>
        <w:tabs>
          <w:tab w:val="left" w:pos="284"/>
          <w:tab w:val="right" w:pos="709"/>
        </w:tabs>
        <w:jc w:val="both"/>
        <w:rPr>
          <w:sz w:val="22"/>
          <w:szCs w:val="22"/>
          <w:lang w:val="sr-Latn-CS"/>
        </w:rPr>
      </w:pPr>
      <w:r w:rsidRPr="0081469B">
        <w:rPr>
          <w:sz w:val="22"/>
          <w:szCs w:val="22"/>
          <w:lang w:val="sr-Latn-CS"/>
        </w:rPr>
        <w:t>Pacijenata sa dijagnozom relapsne multiple skleroze (MS). U kliničkim ispitivanjima, ovo je bilo okarakterisano sa dvije ili više akutnih egzacerbacija (relapsa) u prethodne tri godine bez dokaza o kontinuiranoj progresiji između relapsa; Lijek AVONEX usporava progresiju onesposobljenosti i smanjuje učestalost relapsa.</w:t>
      </w:r>
    </w:p>
    <w:p w14:paraId="03F5EB98" w14:textId="77777777" w:rsidR="00EF6805" w:rsidRDefault="00EF6805" w:rsidP="00D3709E">
      <w:pPr>
        <w:tabs>
          <w:tab w:val="left" w:pos="540"/>
          <w:tab w:val="left" w:pos="569"/>
        </w:tabs>
        <w:jc w:val="both"/>
        <w:rPr>
          <w:bCs/>
          <w:sz w:val="22"/>
          <w:szCs w:val="22"/>
        </w:rPr>
      </w:pPr>
    </w:p>
    <w:p w14:paraId="0C5BDA72" w14:textId="77777777" w:rsidR="00EF6805" w:rsidRPr="0081469B" w:rsidRDefault="00EF6805" w:rsidP="00D3709E">
      <w:pPr>
        <w:numPr>
          <w:ilvl w:val="0"/>
          <w:numId w:val="12"/>
        </w:numPr>
        <w:tabs>
          <w:tab w:val="left" w:pos="284"/>
          <w:tab w:val="center" w:pos="709"/>
          <w:tab w:val="right" w:pos="9072"/>
        </w:tabs>
        <w:jc w:val="both"/>
        <w:rPr>
          <w:sz w:val="22"/>
          <w:szCs w:val="22"/>
          <w:lang w:val="sr-Latn-CS"/>
        </w:rPr>
      </w:pPr>
      <w:r w:rsidRPr="0081469B">
        <w:rPr>
          <w:sz w:val="22"/>
          <w:szCs w:val="22"/>
          <w:lang w:val="sr-Latn-CS"/>
        </w:rPr>
        <w:t>Pacijenata sa pojedinačnim demijelinizacijskim događajem sa akutnim inflamatornim procesom, ako je dovoljno ozbiljan da opravda terapiju intravenskim kortikosteroidima, ako je alternativna dijagnoza isključena, i ako je određeno da postoji visoki rizik da se razvije klinički evidentna multipla skleroza (vidjeti dio 5.1).</w:t>
      </w:r>
    </w:p>
    <w:p w14:paraId="3AD8120B" w14:textId="77777777" w:rsidR="00EF6805" w:rsidRDefault="00EF6805" w:rsidP="00D3709E">
      <w:pPr>
        <w:tabs>
          <w:tab w:val="left" w:pos="540"/>
          <w:tab w:val="left" w:pos="569"/>
        </w:tabs>
        <w:jc w:val="both"/>
        <w:rPr>
          <w:bCs/>
          <w:sz w:val="22"/>
          <w:szCs w:val="22"/>
        </w:rPr>
      </w:pPr>
    </w:p>
    <w:p w14:paraId="0E39068B" w14:textId="77777777" w:rsidR="00EF6805" w:rsidRPr="0081469B" w:rsidRDefault="00EF6805" w:rsidP="00D3709E">
      <w:pPr>
        <w:tabs>
          <w:tab w:val="center" w:pos="4536"/>
          <w:tab w:val="right" w:pos="9072"/>
        </w:tabs>
        <w:jc w:val="both"/>
        <w:rPr>
          <w:sz w:val="22"/>
          <w:szCs w:val="22"/>
          <w:lang w:val="sr-Latn-CS"/>
        </w:rPr>
      </w:pPr>
      <w:r w:rsidRPr="0081469B">
        <w:rPr>
          <w:sz w:val="22"/>
          <w:szCs w:val="22"/>
          <w:lang w:val="sr-Latn-CS"/>
        </w:rPr>
        <w:t>Lijek AVONEX treba obustaviti kod pacijenata kod kojih se razvila progresivna MS.</w:t>
      </w:r>
    </w:p>
    <w:p w14:paraId="3CBCAE1B" w14:textId="77777777" w:rsidR="00EF6805" w:rsidRPr="00786071" w:rsidRDefault="00EF6805" w:rsidP="00D3709E">
      <w:pPr>
        <w:tabs>
          <w:tab w:val="left" w:pos="540"/>
          <w:tab w:val="left" w:pos="569"/>
        </w:tabs>
        <w:jc w:val="both"/>
        <w:rPr>
          <w:bCs/>
          <w:sz w:val="22"/>
          <w:szCs w:val="22"/>
        </w:rPr>
      </w:pPr>
    </w:p>
    <w:p w14:paraId="2D7010B6" w14:textId="77777777" w:rsidR="00411B4B" w:rsidRPr="00786071" w:rsidRDefault="00411B4B" w:rsidP="00D3709E">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3F3DD3DC" w14:textId="77777777" w:rsidR="0072020E" w:rsidRDefault="0072020E" w:rsidP="00D3709E">
      <w:pPr>
        <w:tabs>
          <w:tab w:val="left" w:pos="540"/>
          <w:tab w:val="left" w:pos="569"/>
        </w:tabs>
        <w:jc w:val="both"/>
        <w:rPr>
          <w:bCs/>
          <w:sz w:val="22"/>
          <w:szCs w:val="22"/>
        </w:rPr>
      </w:pPr>
    </w:p>
    <w:p w14:paraId="41F56C2C" w14:textId="77777777" w:rsidR="00EF6805" w:rsidRPr="000544FF" w:rsidRDefault="00EF6805" w:rsidP="00D3709E">
      <w:pPr>
        <w:jc w:val="both"/>
        <w:rPr>
          <w:sz w:val="22"/>
          <w:szCs w:val="22"/>
          <w:lang w:val="sr-Latn-CS"/>
        </w:rPr>
      </w:pPr>
      <w:r w:rsidRPr="000544FF">
        <w:rPr>
          <w:sz w:val="22"/>
          <w:szCs w:val="22"/>
          <w:lang w:val="sr-Latn-CS"/>
        </w:rPr>
        <w:t>Liječenje treba započeti pod nadzorom ljekara koji ima iskustva u liječenju ove bolesti.</w:t>
      </w:r>
    </w:p>
    <w:p w14:paraId="7F43B83C" w14:textId="77777777" w:rsidR="00EF6805" w:rsidRPr="00786071" w:rsidRDefault="00EF6805" w:rsidP="00D3709E">
      <w:pPr>
        <w:tabs>
          <w:tab w:val="left" w:pos="540"/>
          <w:tab w:val="left" w:pos="569"/>
        </w:tabs>
        <w:jc w:val="both"/>
        <w:rPr>
          <w:bCs/>
          <w:sz w:val="22"/>
          <w:szCs w:val="22"/>
        </w:rPr>
      </w:pPr>
    </w:p>
    <w:p w14:paraId="63FFD759" w14:textId="77777777" w:rsidR="00452E9D" w:rsidRDefault="00452E9D" w:rsidP="00D3709E">
      <w:pPr>
        <w:tabs>
          <w:tab w:val="left" w:pos="540"/>
          <w:tab w:val="left" w:pos="569"/>
        </w:tabs>
        <w:jc w:val="both"/>
        <w:rPr>
          <w:bCs/>
          <w:sz w:val="22"/>
          <w:szCs w:val="22"/>
          <w:u w:val="single"/>
        </w:rPr>
      </w:pPr>
      <w:r w:rsidRPr="00786071">
        <w:rPr>
          <w:bCs/>
          <w:sz w:val="22"/>
          <w:szCs w:val="22"/>
          <w:u w:val="single"/>
        </w:rPr>
        <w:t>Doziranje</w:t>
      </w:r>
    </w:p>
    <w:p w14:paraId="68F54D6B" w14:textId="77777777" w:rsidR="00EF6805" w:rsidRPr="0081469B" w:rsidRDefault="00EF6805" w:rsidP="00D3709E">
      <w:pPr>
        <w:jc w:val="both"/>
        <w:rPr>
          <w:sz w:val="22"/>
          <w:szCs w:val="22"/>
          <w:lang w:val="sr-Latn-CS"/>
        </w:rPr>
      </w:pPr>
      <w:r w:rsidRPr="000544FF">
        <w:rPr>
          <w:i/>
          <w:sz w:val="22"/>
          <w:szCs w:val="22"/>
          <w:lang w:val="sr-Latn-CS"/>
        </w:rPr>
        <w:lastRenderedPageBreak/>
        <w:t>Odrasli:</w:t>
      </w:r>
      <w:r w:rsidRPr="000544FF">
        <w:rPr>
          <w:sz w:val="22"/>
          <w:szCs w:val="22"/>
          <w:lang w:val="sr-Latn-CS"/>
        </w:rPr>
        <w:t xml:space="preserve"> Preporučeno doziranje za liječenje relapsne MS je 30 mikrograma (0</w:t>
      </w:r>
      <w:r>
        <w:rPr>
          <w:sz w:val="22"/>
          <w:szCs w:val="22"/>
          <w:lang w:val="sr-Latn-CS"/>
        </w:rPr>
        <w:t>,</w:t>
      </w:r>
      <w:r w:rsidRPr="000544FF">
        <w:rPr>
          <w:sz w:val="22"/>
          <w:szCs w:val="22"/>
          <w:lang w:val="sr-Latn-CS"/>
        </w:rPr>
        <w:t>5 ml rastvora), primijenjeno u</w:t>
      </w:r>
      <w:r>
        <w:rPr>
          <w:sz w:val="22"/>
          <w:szCs w:val="22"/>
          <w:lang w:val="sr-Latn-CS"/>
        </w:rPr>
        <w:t xml:space="preserve"> </w:t>
      </w:r>
      <w:r w:rsidRPr="0081469B">
        <w:rPr>
          <w:sz w:val="22"/>
          <w:szCs w:val="22"/>
          <w:lang w:val="sr-Latn-CS"/>
        </w:rPr>
        <w:t>obliku intramuskularne (IM) injekcije jednom sedmično (vidjeti dio 6.6). Nije pokazana dodatna korist od davanja veće doze (60 mikrograma) jednom sedmično.</w:t>
      </w:r>
    </w:p>
    <w:p w14:paraId="25A7E4C7" w14:textId="77777777" w:rsidR="00EF6805" w:rsidRDefault="00EF6805" w:rsidP="00D3709E">
      <w:pPr>
        <w:tabs>
          <w:tab w:val="left" w:pos="540"/>
          <w:tab w:val="left" w:pos="569"/>
        </w:tabs>
        <w:jc w:val="both"/>
        <w:rPr>
          <w:bCs/>
          <w:sz w:val="22"/>
          <w:szCs w:val="22"/>
        </w:rPr>
      </w:pPr>
    </w:p>
    <w:p w14:paraId="35007724" w14:textId="77777777" w:rsidR="00EF6805" w:rsidRPr="0081469B" w:rsidRDefault="00EF6805" w:rsidP="00D3709E">
      <w:pPr>
        <w:tabs>
          <w:tab w:val="left" w:pos="284"/>
        </w:tabs>
        <w:jc w:val="both"/>
        <w:rPr>
          <w:sz w:val="22"/>
          <w:szCs w:val="22"/>
          <w:lang w:val="sr-Latn-CS"/>
        </w:rPr>
      </w:pPr>
      <w:r w:rsidRPr="0081469B">
        <w:rPr>
          <w:i/>
          <w:sz w:val="22"/>
          <w:szCs w:val="22"/>
          <w:lang w:val="sr-Latn-CS"/>
        </w:rPr>
        <w:t>Titracija:</w:t>
      </w:r>
      <w:r w:rsidRPr="0081469B">
        <w:rPr>
          <w:sz w:val="22"/>
          <w:szCs w:val="22"/>
          <w:lang w:val="sr-Latn-CS"/>
        </w:rPr>
        <w:t xml:space="preserve"> Na početku liječenja može se provesti titracija kako bi se pacijentima pomoglo smanjiti učestalost i ozbiljnost simptoma sličnih gripu (vidjeti dio 4.8). Titraciju je prilikom uvođenja terapije kod upotrebe  napunjenog injekcionog šprica moguće postići sedmičnim povećanjem doze za ¼ doze, postižući punu dozu (30 mikrograma/sedmica) u četvrtoj sedmici.</w:t>
      </w:r>
    </w:p>
    <w:p w14:paraId="6DE7798A" w14:textId="77777777" w:rsidR="00EF6805" w:rsidRDefault="00EF6805" w:rsidP="00D3709E">
      <w:pPr>
        <w:tabs>
          <w:tab w:val="left" w:pos="284"/>
        </w:tabs>
        <w:jc w:val="both"/>
        <w:rPr>
          <w:sz w:val="22"/>
          <w:szCs w:val="22"/>
          <w:lang w:val="sr-Latn-CS"/>
        </w:rPr>
      </w:pPr>
    </w:p>
    <w:p w14:paraId="642E9EB0" w14:textId="77777777" w:rsidR="00EF6805" w:rsidRPr="0081469B" w:rsidRDefault="00EF6805" w:rsidP="00D3709E">
      <w:pPr>
        <w:tabs>
          <w:tab w:val="left" w:pos="284"/>
        </w:tabs>
        <w:jc w:val="both"/>
        <w:rPr>
          <w:sz w:val="22"/>
          <w:szCs w:val="22"/>
          <w:lang w:val="sr-Latn-CS"/>
        </w:rPr>
      </w:pPr>
      <w:r w:rsidRPr="0081469B">
        <w:rPr>
          <w:sz w:val="22"/>
          <w:szCs w:val="22"/>
          <w:lang w:val="sr-Latn-CS"/>
        </w:rPr>
        <w:t xml:space="preserve">Alternativni titracijski raspored moguće je postići započinjanjem terapije s približno ½ doze lijeka AVONEX jednom sedmično prije povećanja do pune doze. Da bi se postigla odgovarajuća efikasnost treba doseći dozu od 30 </w:t>
      </w:r>
      <w:r>
        <w:rPr>
          <w:sz w:val="22"/>
          <w:szCs w:val="22"/>
          <w:lang w:val="sr-Latn-CS"/>
        </w:rPr>
        <w:t>mikrograma</w:t>
      </w:r>
      <w:r w:rsidRPr="0081469B">
        <w:rPr>
          <w:sz w:val="22"/>
          <w:szCs w:val="22"/>
          <w:lang w:val="sr-Latn-CS"/>
        </w:rPr>
        <w:t xml:space="preserve"> jednom sedmično i održavati je nakon početnog titracijskog perioda.</w:t>
      </w:r>
    </w:p>
    <w:p w14:paraId="6B8AB401" w14:textId="77777777" w:rsidR="00EF6805" w:rsidRPr="0081469B" w:rsidRDefault="00EF6805" w:rsidP="00D3709E">
      <w:pPr>
        <w:tabs>
          <w:tab w:val="left" w:pos="284"/>
        </w:tabs>
        <w:jc w:val="both"/>
        <w:rPr>
          <w:sz w:val="22"/>
          <w:szCs w:val="22"/>
          <w:lang w:val="sr-Latn-CS"/>
        </w:rPr>
      </w:pPr>
    </w:p>
    <w:p w14:paraId="4328840C" w14:textId="77777777" w:rsidR="00EF6805" w:rsidRPr="0081469B" w:rsidRDefault="00EF6805" w:rsidP="00D3709E">
      <w:pPr>
        <w:tabs>
          <w:tab w:val="left" w:pos="284"/>
        </w:tabs>
        <w:jc w:val="both"/>
        <w:rPr>
          <w:sz w:val="22"/>
          <w:szCs w:val="22"/>
          <w:lang w:val="sr-Latn-CS"/>
        </w:rPr>
      </w:pPr>
      <w:r w:rsidRPr="0081469B">
        <w:rPr>
          <w:sz w:val="22"/>
          <w:szCs w:val="22"/>
          <w:lang w:val="sr-Latn-CS"/>
        </w:rPr>
        <w:t>Titracijski pribor AVOSTARTCLIP projektovan je samo za upotrebu s napunjenim injekcionim špricom. Može se koristiti za postizanje povećanja doze za ¼ ili ½. Svaki se AVOSTARTCLIP treba koristiti samo jednom, a zatim ga treba baciti zajedno s ostatkom lijeka AVONEX u špricu.</w:t>
      </w:r>
    </w:p>
    <w:p w14:paraId="045E999A" w14:textId="77777777" w:rsidR="00EF6805" w:rsidRDefault="00EF6805" w:rsidP="00D3709E">
      <w:pPr>
        <w:tabs>
          <w:tab w:val="left" w:pos="284"/>
        </w:tabs>
        <w:jc w:val="both"/>
        <w:rPr>
          <w:sz w:val="22"/>
          <w:szCs w:val="22"/>
          <w:lang w:val="sr-Latn-CS"/>
        </w:rPr>
      </w:pPr>
    </w:p>
    <w:p w14:paraId="3C37693C" w14:textId="77777777" w:rsidR="00EF6805" w:rsidRPr="0081469B" w:rsidRDefault="00EF6805" w:rsidP="00D3709E">
      <w:pPr>
        <w:tabs>
          <w:tab w:val="left" w:pos="284"/>
        </w:tabs>
        <w:jc w:val="both"/>
        <w:rPr>
          <w:sz w:val="22"/>
          <w:szCs w:val="22"/>
          <w:lang w:val="sr-Latn-CS"/>
        </w:rPr>
      </w:pPr>
      <w:r w:rsidRPr="0081469B">
        <w:rPr>
          <w:sz w:val="22"/>
          <w:szCs w:val="22"/>
          <w:lang w:val="sr-Latn-CS"/>
        </w:rPr>
        <w:t xml:space="preserve">Prije injiciranja i tokom narednih 24 sata poslije svake injekcije, savjetuje se primjena antipiretičkih analgetika kako bi se smanjili simptomi slični gripu koji su povezani s primjenom lijeka AVONEX. Ovi simptomi su obično prisutni tokom prvih nekoliko mjeseci liječenja. </w:t>
      </w:r>
    </w:p>
    <w:p w14:paraId="34CCF6CB" w14:textId="77777777" w:rsidR="00EF6805" w:rsidRDefault="00EF6805" w:rsidP="00D3709E">
      <w:pPr>
        <w:tabs>
          <w:tab w:val="left" w:pos="284"/>
        </w:tabs>
        <w:jc w:val="both"/>
        <w:rPr>
          <w:i/>
          <w:sz w:val="22"/>
          <w:szCs w:val="22"/>
          <w:lang w:val="sr-Latn-CS"/>
        </w:rPr>
      </w:pPr>
    </w:p>
    <w:p w14:paraId="362494FA" w14:textId="6AB8CCCE" w:rsidR="00EF6805" w:rsidRPr="0081469B" w:rsidRDefault="00EF6805" w:rsidP="00D3709E">
      <w:pPr>
        <w:tabs>
          <w:tab w:val="left" w:pos="284"/>
        </w:tabs>
        <w:jc w:val="both"/>
        <w:rPr>
          <w:sz w:val="22"/>
          <w:szCs w:val="22"/>
          <w:lang w:val="sr-Latn-CS"/>
        </w:rPr>
      </w:pPr>
      <w:r w:rsidRPr="0081469B">
        <w:rPr>
          <w:i/>
          <w:sz w:val="22"/>
          <w:szCs w:val="22"/>
          <w:lang w:val="sr-Latn-CS"/>
        </w:rPr>
        <w:t xml:space="preserve">Pedijatrijska populacija: </w:t>
      </w:r>
      <w:r w:rsidRPr="0081469B">
        <w:rPr>
          <w:sz w:val="22"/>
          <w:szCs w:val="22"/>
          <w:lang w:val="sr-Latn-CS"/>
        </w:rPr>
        <w:t xml:space="preserve">Bezbjednost i efikasnost lijeka AVONEX kod </w:t>
      </w:r>
      <w:r w:rsidR="00A5556F">
        <w:rPr>
          <w:sz w:val="22"/>
          <w:szCs w:val="22"/>
          <w:lang w:val="sr-Latn-CS"/>
        </w:rPr>
        <w:t>d</w:t>
      </w:r>
      <w:r w:rsidR="006B6E4C">
        <w:rPr>
          <w:sz w:val="22"/>
          <w:szCs w:val="22"/>
          <w:lang w:val="sr-Latn-CS"/>
        </w:rPr>
        <w:t>j</w:t>
      </w:r>
      <w:r w:rsidR="00A5556F">
        <w:rPr>
          <w:sz w:val="22"/>
          <w:szCs w:val="22"/>
          <w:lang w:val="sr-Latn-CS"/>
        </w:rPr>
        <w:t xml:space="preserve">ece i </w:t>
      </w:r>
      <w:r w:rsidRPr="0081469B">
        <w:rPr>
          <w:sz w:val="22"/>
          <w:szCs w:val="22"/>
          <w:lang w:val="sr-Latn-CS"/>
        </w:rPr>
        <w:t>adolescenata starih između 1</w:t>
      </w:r>
      <w:r w:rsidR="00A5556F">
        <w:rPr>
          <w:sz w:val="22"/>
          <w:szCs w:val="22"/>
          <w:lang w:val="sr-Latn-CS"/>
        </w:rPr>
        <w:t>0</w:t>
      </w:r>
      <w:r w:rsidRPr="0081469B">
        <w:rPr>
          <w:sz w:val="22"/>
          <w:szCs w:val="22"/>
          <w:lang w:val="sr-Latn-CS"/>
        </w:rPr>
        <w:t xml:space="preserve"> i 1</w:t>
      </w:r>
      <w:r w:rsidR="00A5556F">
        <w:rPr>
          <w:sz w:val="22"/>
          <w:szCs w:val="22"/>
          <w:lang w:val="sr-Latn-CS"/>
        </w:rPr>
        <w:t>8</w:t>
      </w:r>
      <w:r w:rsidRPr="0081469B">
        <w:rPr>
          <w:sz w:val="22"/>
          <w:szCs w:val="22"/>
          <w:lang w:val="sr-Latn-CS"/>
        </w:rPr>
        <w:t xml:space="preserve"> godina još ni</w:t>
      </w:r>
      <w:r w:rsidR="00D7481A">
        <w:rPr>
          <w:sz w:val="22"/>
          <w:szCs w:val="22"/>
          <w:lang w:val="sr-Latn-CS"/>
        </w:rPr>
        <w:t>je</w:t>
      </w:r>
      <w:r w:rsidRPr="0081469B">
        <w:rPr>
          <w:sz w:val="22"/>
          <w:szCs w:val="22"/>
          <w:lang w:val="sr-Latn-CS"/>
        </w:rPr>
        <w:t>su bili</w:t>
      </w:r>
      <w:r w:rsidR="00A5556F">
        <w:rPr>
          <w:sz w:val="22"/>
          <w:szCs w:val="22"/>
          <w:lang w:val="sr-Latn-CS"/>
        </w:rPr>
        <w:t xml:space="preserve"> u potpunosti</w:t>
      </w:r>
      <w:r w:rsidRPr="0081469B">
        <w:rPr>
          <w:sz w:val="22"/>
          <w:szCs w:val="22"/>
          <w:lang w:val="sr-Latn-CS"/>
        </w:rPr>
        <w:t xml:space="preserve"> ustanovljeni. Trenutno dostupni podaci su opisani u dijelovima 4.8 i 5.1, ali se ne mogu dati preporuke o doziranju.</w:t>
      </w:r>
    </w:p>
    <w:p w14:paraId="3473FC62" w14:textId="77777777" w:rsidR="00EF6805" w:rsidRPr="0081469B" w:rsidRDefault="00EF6805" w:rsidP="00D3709E">
      <w:pPr>
        <w:tabs>
          <w:tab w:val="left" w:pos="284"/>
        </w:tabs>
        <w:jc w:val="both"/>
        <w:rPr>
          <w:sz w:val="22"/>
          <w:szCs w:val="22"/>
          <w:lang w:val="sr-Latn-CS"/>
        </w:rPr>
      </w:pPr>
    </w:p>
    <w:p w14:paraId="60A612F7" w14:textId="77777777" w:rsidR="00EF6805" w:rsidRPr="0081469B" w:rsidRDefault="00EF6805" w:rsidP="00D3709E">
      <w:pPr>
        <w:tabs>
          <w:tab w:val="left" w:pos="284"/>
        </w:tabs>
        <w:jc w:val="both"/>
        <w:rPr>
          <w:sz w:val="22"/>
          <w:szCs w:val="22"/>
          <w:lang w:val="sr-Latn-CS"/>
        </w:rPr>
      </w:pPr>
      <w:r w:rsidRPr="0081469B">
        <w:rPr>
          <w:sz w:val="22"/>
          <w:szCs w:val="22"/>
          <w:lang w:val="sr-Latn-CS"/>
        </w:rPr>
        <w:t>Bezbjednost i efikasnost lijeka AVONEX kod djece mlađe od 1</w:t>
      </w:r>
      <w:r w:rsidR="00A5556F">
        <w:rPr>
          <w:sz w:val="22"/>
          <w:szCs w:val="22"/>
          <w:lang w:val="sr-Latn-CS"/>
        </w:rPr>
        <w:t>0</w:t>
      </w:r>
      <w:r w:rsidRPr="0081469B">
        <w:rPr>
          <w:sz w:val="22"/>
          <w:szCs w:val="22"/>
          <w:lang w:val="sr-Latn-CS"/>
        </w:rPr>
        <w:t xml:space="preserve"> godina ni</w:t>
      </w:r>
      <w:r w:rsidR="00D7481A">
        <w:rPr>
          <w:sz w:val="22"/>
          <w:szCs w:val="22"/>
          <w:lang w:val="sr-Latn-CS"/>
        </w:rPr>
        <w:t>je</w:t>
      </w:r>
      <w:r w:rsidRPr="0081469B">
        <w:rPr>
          <w:sz w:val="22"/>
          <w:szCs w:val="22"/>
          <w:lang w:val="sr-Latn-CS"/>
        </w:rPr>
        <w:t>su bili ustanovljeni. Nema dostupnih podataka.</w:t>
      </w:r>
    </w:p>
    <w:p w14:paraId="5E3285FD" w14:textId="77777777" w:rsidR="00EF6805" w:rsidRDefault="00EF6805" w:rsidP="00D3709E">
      <w:pPr>
        <w:tabs>
          <w:tab w:val="left" w:pos="284"/>
        </w:tabs>
        <w:jc w:val="both"/>
        <w:rPr>
          <w:i/>
          <w:sz w:val="22"/>
          <w:szCs w:val="22"/>
          <w:lang w:val="sr-Latn-CS"/>
        </w:rPr>
      </w:pPr>
    </w:p>
    <w:p w14:paraId="534B2934" w14:textId="77777777" w:rsidR="00EF6805" w:rsidRPr="00EF6805" w:rsidRDefault="00EF6805" w:rsidP="00D3709E">
      <w:pPr>
        <w:tabs>
          <w:tab w:val="left" w:pos="284"/>
        </w:tabs>
        <w:jc w:val="both"/>
        <w:rPr>
          <w:sz w:val="22"/>
          <w:szCs w:val="22"/>
          <w:lang w:val="sr-Latn-CS"/>
        </w:rPr>
      </w:pPr>
      <w:r w:rsidRPr="0081469B">
        <w:rPr>
          <w:i/>
          <w:sz w:val="22"/>
          <w:szCs w:val="22"/>
          <w:lang w:val="sr-Latn-CS"/>
        </w:rPr>
        <w:t>Stariji:</w:t>
      </w:r>
      <w:r w:rsidRPr="0081469B">
        <w:rPr>
          <w:sz w:val="22"/>
          <w:szCs w:val="22"/>
          <w:lang w:val="sr-Latn-CS"/>
        </w:rPr>
        <w:t xml:space="preserve"> Kliničke studije nisu uključile dovoljan broj pacijenata od 65 godina starosti i više kako bi se utvrdilo da li oni imaju drugačiji odgovor u odnosu na mlađe pacijente. Ipak, na osnovu načina uklanjanja aktivne supstance nema teorijskih razloga za bilo kakvo prilagođavanje doze kod starijih pacijenata.</w:t>
      </w:r>
    </w:p>
    <w:p w14:paraId="0578981F" w14:textId="77777777" w:rsidR="00452E9D" w:rsidRPr="00786071" w:rsidRDefault="00452E9D" w:rsidP="00D3709E">
      <w:pPr>
        <w:tabs>
          <w:tab w:val="left" w:pos="540"/>
          <w:tab w:val="left" w:pos="569"/>
        </w:tabs>
        <w:jc w:val="both"/>
        <w:rPr>
          <w:bCs/>
          <w:sz w:val="22"/>
          <w:szCs w:val="22"/>
          <w:u w:val="single"/>
        </w:rPr>
      </w:pPr>
    </w:p>
    <w:p w14:paraId="7E7083C5" w14:textId="77777777" w:rsidR="00452E9D" w:rsidRPr="00786071" w:rsidRDefault="00452E9D" w:rsidP="00D3709E">
      <w:pPr>
        <w:tabs>
          <w:tab w:val="left" w:pos="540"/>
          <w:tab w:val="left" w:pos="569"/>
        </w:tabs>
        <w:jc w:val="both"/>
        <w:rPr>
          <w:bCs/>
          <w:sz w:val="22"/>
          <w:szCs w:val="22"/>
          <w:u w:val="single"/>
        </w:rPr>
      </w:pPr>
      <w:r w:rsidRPr="00786071">
        <w:rPr>
          <w:bCs/>
          <w:sz w:val="22"/>
          <w:szCs w:val="22"/>
          <w:u w:val="single"/>
        </w:rPr>
        <w:t>Način primjene</w:t>
      </w:r>
    </w:p>
    <w:p w14:paraId="3D7C2AB5" w14:textId="77777777" w:rsidR="00452E9D" w:rsidRDefault="00452E9D" w:rsidP="00D3709E">
      <w:pPr>
        <w:tabs>
          <w:tab w:val="left" w:pos="540"/>
          <w:tab w:val="left" w:pos="569"/>
        </w:tabs>
        <w:jc w:val="both"/>
        <w:rPr>
          <w:bCs/>
          <w:sz w:val="22"/>
          <w:szCs w:val="22"/>
        </w:rPr>
      </w:pPr>
    </w:p>
    <w:p w14:paraId="5F7F2B42" w14:textId="77777777" w:rsidR="00EF6805" w:rsidRPr="0081469B" w:rsidRDefault="00EF6805" w:rsidP="00D3709E">
      <w:pPr>
        <w:tabs>
          <w:tab w:val="left" w:pos="284"/>
        </w:tabs>
        <w:jc w:val="both"/>
        <w:rPr>
          <w:sz w:val="22"/>
          <w:szCs w:val="22"/>
          <w:lang w:val="sr-Latn-CS"/>
        </w:rPr>
      </w:pPr>
      <w:r w:rsidRPr="0081469B">
        <w:rPr>
          <w:sz w:val="22"/>
          <w:szCs w:val="22"/>
          <w:lang w:val="sr-Latn-CS"/>
        </w:rPr>
        <w:t xml:space="preserve">Mjesto primjene intramuskularne injekcije treba mijenjati svake sedmice (vidjeti dio 5.3). </w:t>
      </w:r>
    </w:p>
    <w:p w14:paraId="2CAB6416" w14:textId="77777777" w:rsidR="00EF6805" w:rsidRPr="0081469B" w:rsidRDefault="00EF6805" w:rsidP="00D3709E">
      <w:pPr>
        <w:tabs>
          <w:tab w:val="left" w:pos="284"/>
        </w:tabs>
        <w:jc w:val="both"/>
        <w:rPr>
          <w:sz w:val="22"/>
          <w:szCs w:val="22"/>
          <w:lang w:val="sr-Latn-CS"/>
        </w:rPr>
      </w:pPr>
    </w:p>
    <w:p w14:paraId="462B630E" w14:textId="77777777" w:rsidR="00EF6805" w:rsidRPr="0081469B" w:rsidRDefault="00EF6805" w:rsidP="00D3709E">
      <w:pPr>
        <w:tabs>
          <w:tab w:val="left" w:pos="284"/>
        </w:tabs>
        <w:jc w:val="both"/>
        <w:rPr>
          <w:sz w:val="22"/>
          <w:szCs w:val="22"/>
          <w:lang w:val="sr-Latn-CS"/>
        </w:rPr>
      </w:pPr>
      <w:r w:rsidRPr="0081469B">
        <w:rPr>
          <w:sz w:val="22"/>
          <w:szCs w:val="22"/>
          <w:lang w:val="sr-Latn-CS"/>
        </w:rPr>
        <w:t>Ljekari mogu propisati iglu od 25 mm promjera</w:t>
      </w:r>
      <w:r>
        <w:rPr>
          <w:sz w:val="22"/>
          <w:szCs w:val="22"/>
          <w:lang w:val="sr-Latn-CS"/>
        </w:rPr>
        <w:t>, 25G (gauge),</w:t>
      </w:r>
      <w:r w:rsidRPr="0081469B">
        <w:rPr>
          <w:sz w:val="22"/>
          <w:szCs w:val="22"/>
          <w:lang w:val="sr-Latn-CS"/>
        </w:rPr>
        <w:t xml:space="preserve"> pacijentima kojima je ovakva igla pogodnija za primjenu intramuskularne injekcije.</w:t>
      </w:r>
    </w:p>
    <w:p w14:paraId="0983D95F" w14:textId="77777777" w:rsidR="00EF6805" w:rsidRDefault="00EF6805" w:rsidP="00D3709E">
      <w:pPr>
        <w:tabs>
          <w:tab w:val="left" w:pos="284"/>
        </w:tabs>
        <w:jc w:val="both"/>
        <w:rPr>
          <w:sz w:val="22"/>
          <w:szCs w:val="22"/>
          <w:lang w:val="sr-Latn-CS"/>
        </w:rPr>
      </w:pPr>
    </w:p>
    <w:p w14:paraId="2236B75A" w14:textId="77777777" w:rsidR="00EF6805" w:rsidRPr="0081469B" w:rsidRDefault="00EF6805" w:rsidP="00D3709E">
      <w:pPr>
        <w:tabs>
          <w:tab w:val="left" w:pos="284"/>
        </w:tabs>
        <w:jc w:val="both"/>
        <w:rPr>
          <w:sz w:val="22"/>
          <w:szCs w:val="22"/>
          <w:lang w:val="sr-Latn-CS"/>
        </w:rPr>
      </w:pPr>
      <w:r w:rsidRPr="0081469B">
        <w:rPr>
          <w:sz w:val="22"/>
          <w:szCs w:val="22"/>
          <w:lang w:val="sr-Latn-CS"/>
        </w:rPr>
        <w:t>Do danas nije poznato koliko dugo treba da traje liječenje. Pacijente treba klinički procijeniti nakon dvije godine liječenja i odluku o produžetku liječenja treba na individualnoj osnovi da donese ljekar koji ih je do tog trenutka liječio. Liječenje treba prekinuti ako se kod pacijenta razvije hronična progresivna MS.</w:t>
      </w:r>
    </w:p>
    <w:p w14:paraId="2824C71F" w14:textId="77777777" w:rsidR="00EF6805" w:rsidRPr="00786071" w:rsidRDefault="00EF6805" w:rsidP="00D3709E">
      <w:pPr>
        <w:tabs>
          <w:tab w:val="left" w:pos="540"/>
          <w:tab w:val="left" w:pos="569"/>
        </w:tabs>
        <w:jc w:val="both"/>
        <w:rPr>
          <w:bCs/>
          <w:sz w:val="22"/>
          <w:szCs w:val="22"/>
        </w:rPr>
      </w:pPr>
    </w:p>
    <w:p w14:paraId="25F7B86B" w14:textId="77777777" w:rsidR="00411B4B" w:rsidRDefault="00411B4B" w:rsidP="00D3709E">
      <w:pPr>
        <w:tabs>
          <w:tab w:val="left" w:pos="540"/>
          <w:tab w:val="left" w:pos="569"/>
        </w:tabs>
        <w:jc w:val="both"/>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2B6AB7A4" w14:textId="77777777" w:rsidR="00EF6805" w:rsidRPr="00786071" w:rsidRDefault="00EF6805" w:rsidP="00D3709E">
      <w:pPr>
        <w:tabs>
          <w:tab w:val="left" w:pos="540"/>
          <w:tab w:val="left" w:pos="569"/>
        </w:tabs>
        <w:jc w:val="both"/>
        <w:rPr>
          <w:b/>
          <w:bCs/>
          <w:sz w:val="22"/>
          <w:szCs w:val="22"/>
        </w:rPr>
      </w:pPr>
    </w:p>
    <w:p w14:paraId="3813CF18" w14:textId="77777777" w:rsidR="00EF6805" w:rsidRPr="00EF6805" w:rsidRDefault="00EF6805" w:rsidP="00D3709E">
      <w:pPr>
        <w:numPr>
          <w:ilvl w:val="0"/>
          <w:numId w:val="13"/>
        </w:numPr>
        <w:tabs>
          <w:tab w:val="left" w:pos="938"/>
        </w:tabs>
        <w:jc w:val="both"/>
        <w:rPr>
          <w:bCs/>
          <w:sz w:val="22"/>
          <w:szCs w:val="22"/>
          <w:lang w:val="sr-Latn-CS"/>
        </w:rPr>
      </w:pPr>
      <w:r w:rsidRPr="00EF6805">
        <w:rPr>
          <w:bCs/>
          <w:sz w:val="22"/>
          <w:szCs w:val="22"/>
          <w:lang w:val="sr-Latn-CS"/>
        </w:rPr>
        <w:t>Pacijenti sa istorijom preosjetljivosti na prirodni ili rekombinantni interferon beta ili na bilo koju pomoćnu supstancu navedeno u 6.1</w:t>
      </w:r>
    </w:p>
    <w:p w14:paraId="6AFC8E41" w14:textId="77777777" w:rsidR="00EF6805" w:rsidRPr="00EF6805" w:rsidRDefault="00EF6805" w:rsidP="00D3709E">
      <w:pPr>
        <w:numPr>
          <w:ilvl w:val="0"/>
          <w:numId w:val="13"/>
        </w:numPr>
        <w:tabs>
          <w:tab w:val="left" w:pos="938"/>
        </w:tabs>
        <w:jc w:val="both"/>
        <w:rPr>
          <w:bCs/>
          <w:sz w:val="22"/>
          <w:szCs w:val="22"/>
          <w:lang w:val="sr-Latn-CS"/>
        </w:rPr>
      </w:pPr>
      <w:r w:rsidRPr="00EF6805">
        <w:rPr>
          <w:bCs/>
          <w:sz w:val="22"/>
          <w:szCs w:val="22"/>
          <w:lang w:val="sr-Latn-CS"/>
        </w:rPr>
        <w:t>Pacijenti koji trenutno boluju od teških depresija i/ili imaju suicidalne ideje (vidjeti djelove 4.4 i 4.8).</w:t>
      </w:r>
    </w:p>
    <w:p w14:paraId="75EA38D7" w14:textId="77777777" w:rsidR="0072020E" w:rsidRPr="00786071" w:rsidRDefault="0072020E" w:rsidP="00D3709E">
      <w:pPr>
        <w:tabs>
          <w:tab w:val="left" w:pos="938"/>
        </w:tabs>
        <w:jc w:val="both"/>
        <w:rPr>
          <w:bCs/>
          <w:sz w:val="22"/>
          <w:szCs w:val="22"/>
        </w:rPr>
      </w:pPr>
    </w:p>
    <w:p w14:paraId="3593793B" w14:textId="77777777" w:rsidR="00411B4B" w:rsidRPr="00786071" w:rsidRDefault="00411B4B" w:rsidP="00D3709E">
      <w:pPr>
        <w:tabs>
          <w:tab w:val="left" w:pos="540"/>
          <w:tab w:val="left" w:pos="569"/>
        </w:tabs>
        <w:jc w:val="both"/>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759EA047" w14:textId="77777777" w:rsidR="0072020E" w:rsidRDefault="0072020E" w:rsidP="00D3709E">
      <w:pPr>
        <w:tabs>
          <w:tab w:val="left" w:pos="540"/>
          <w:tab w:val="left" w:pos="569"/>
        </w:tabs>
        <w:jc w:val="both"/>
        <w:rPr>
          <w:bCs/>
          <w:sz w:val="22"/>
          <w:szCs w:val="22"/>
        </w:rPr>
      </w:pPr>
    </w:p>
    <w:p w14:paraId="6177A772" w14:textId="77777777" w:rsidR="00EF6805" w:rsidRPr="00FD142D" w:rsidRDefault="00EF6805" w:rsidP="00D3709E">
      <w:pPr>
        <w:keepNext/>
        <w:jc w:val="both"/>
        <w:rPr>
          <w:iCs/>
          <w:sz w:val="22"/>
          <w:szCs w:val="22"/>
          <w:u w:val="single"/>
        </w:rPr>
      </w:pPr>
      <w:r w:rsidRPr="00FD142D">
        <w:rPr>
          <w:iCs/>
          <w:sz w:val="22"/>
          <w:szCs w:val="22"/>
          <w:u w:val="single"/>
        </w:rPr>
        <w:lastRenderedPageBreak/>
        <w:t>Sledljivost</w:t>
      </w:r>
    </w:p>
    <w:p w14:paraId="465FB0BB" w14:textId="77777777" w:rsidR="00EF6805" w:rsidRPr="00FD142D" w:rsidRDefault="00EF6805" w:rsidP="00D3709E">
      <w:pPr>
        <w:keepNext/>
        <w:jc w:val="both"/>
        <w:rPr>
          <w:iCs/>
          <w:sz w:val="22"/>
          <w:szCs w:val="22"/>
        </w:rPr>
      </w:pPr>
    </w:p>
    <w:p w14:paraId="600BDA7C" w14:textId="77777777" w:rsidR="00EF6805" w:rsidRPr="00FD142D" w:rsidRDefault="00EF6805" w:rsidP="00D3709E">
      <w:pPr>
        <w:jc w:val="both"/>
        <w:rPr>
          <w:iCs/>
          <w:sz w:val="22"/>
          <w:szCs w:val="22"/>
        </w:rPr>
      </w:pPr>
      <w:r w:rsidRPr="00FD142D">
        <w:rPr>
          <w:sz w:val="22"/>
          <w:szCs w:val="22"/>
        </w:rPr>
        <w:t>Kako bi se poboljšala sledljivost bioloških ljekova, naziv i broj serije prim</w:t>
      </w:r>
      <w:r>
        <w:rPr>
          <w:sz w:val="22"/>
          <w:szCs w:val="22"/>
        </w:rPr>
        <w:t>ij</w:t>
      </w:r>
      <w:r w:rsidRPr="00FD142D">
        <w:rPr>
          <w:sz w:val="22"/>
          <w:szCs w:val="22"/>
        </w:rPr>
        <w:t>enjenog lijeka potrebno je jasno evidentirati.</w:t>
      </w:r>
    </w:p>
    <w:p w14:paraId="41C9BE1C" w14:textId="77777777" w:rsidR="00EF6805" w:rsidRDefault="00EF6805" w:rsidP="00D3709E">
      <w:pPr>
        <w:tabs>
          <w:tab w:val="center" w:pos="4536"/>
          <w:tab w:val="right" w:pos="9072"/>
        </w:tabs>
        <w:jc w:val="both"/>
        <w:rPr>
          <w:sz w:val="22"/>
          <w:szCs w:val="22"/>
          <w:lang w:val="sr-Latn-CS"/>
        </w:rPr>
      </w:pPr>
    </w:p>
    <w:p w14:paraId="738F03B2" w14:textId="77777777" w:rsidR="00EF6805" w:rsidRPr="0081469B" w:rsidRDefault="00EF6805" w:rsidP="00D3709E">
      <w:pPr>
        <w:tabs>
          <w:tab w:val="center" w:pos="4536"/>
          <w:tab w:val="right" w:pos="9072"/>
        </w:tabs>
        <w:jc w:val="both"/>
        <w:rPr>
          <w:sz w:val="22"/>
          <w:szCs w:val="22"/>
          <w:lang w:val="sr-Latn-CS"/>
        </w:rPr>
      </w:pPr>
      <w:r w:rsidRPr="0081469B">
        <w:rPr>
          <w:sz w:val="22"/>
          <w:szCs w:val="22"/>
          <w:lang w:val="sr-Latn-CS"/>
        </w:rPr>
        <w:t xml:space="preserve">Lijek AVONEX treba primjenjivati sa oprezom kod pacijenata sa prethodnim ili trenutnim depresivnim poremećajima, posebno kod onih sa prethodnim suicidalnim idejama (vidjeti dio 4.3). Poznato je da se depresija i suicidalne ideje sa povećanom učestalošću javljaju kod pacijenata sa multiplom sklerozom te su povezane sa upotrebom interferona. Pacijente treba savjetovati da odmah prijave svom ljekaru bilo koje simptome depresije i/ili suicidalnih ideja. </w:t>
      </w:r>
    </w:p>
    <w:p w14:paraId="508DC776" w14:textId="77777777" w:rsidR="00EF6805" w:rsidRPr="00480FB1" w:rsidRDefault="00EF6805" w:rsidP="00D3709E">
      <w:pPr>
        <w:tabs>
          <w:tab w:val="left" w:pos="540"/>
          <w:tab w:val="left" w:pos="569"/>
        </w:tabs>
        <w:jc w:val="both"/>
        <w:rPr>
          <w:b/>
          <w:bCs/>
          <w:sz w:val="22"/>
          <w:szCs w:val="22"/>
        </w:rPr>
      </w:pPr>
    </w:p>
    <w:p w14:paraId="6A29E72F" w14:textId="77777777" w:rsidR="00EF6805" w:rsidRPr="0081469B" w:rsidRDefault="00EF6805" w:rsidP="00D3709E">
      <w:pPr>
        <w:tabs>
          <w:tab w:val="center" w:pos="4536"/>
          <w:tab w:val="right" w:pos="9072"/>
        </w:tabs>
        <w:jc w:val="both"/>
        <w:rPr>
          <w:sz w:val="22"/>
          <w:szCs w:val="22"/>
          <w:lang w:val="sr-Latn-CS"/>
        </w:rPr>
      </w:pPr>
      <w:r w:rsidRPr="0081469B">
        <w:rPr>
          <w:sz w:val="22"/>
          <w:szCs w:val="22"/>
          <w:lang w:val="sr-Latn-CS"/>
        </w:rPr>
        <w:t xml:space="preserve">Pacijente koji pokazuju depresiju treba pažljivo nadzirati tokom terapije i primjereno liječiti. Treba razmotriti i odluku o prekidu terapije lijekom AVONEX (vidjeti takođe djelove 4.3 i 4.8). </w:t>
      </w:r>
    </w:p>
    <w:p w14:paraId="6496F6CD" w14:textId="77777777" w:rsidR="00EF6805" w:rsidRPr="0081469B" w:rsidRDefault="00EF6805" w:rsidP="00D3709E">
      <w:pPr>
        <w:tabs>
          <w:tab w:val="center" w:pos="4536"/>
          <w:tab w:val="right" w:pos="9072"/>
        </w:tabs>
        <w:jc w:val="both"/>
        <w:rPr>
          <w:sz w:val="22"/>
          <w:szCs w:val="22"/>
          <w:lang w:val="sr-Latn-CS"/>
        </w:rPr>
      </w:pPr>
    </w:p>
    <w:p w14:paraId="0E86F290" w14:textId="77777777" w:rsidR="00EF6805" w:rsidRPr="0081469B" w:rsidRDefault="00EF6805" w:rsidP="00D3709E">
      <w:pPr>
        <w:tabs>
          <w:tab w:val="center" w:pos="4536"/>
          <w:tab w:val="right" w:pos="9072"/>
        </w:tabs>
        <w:jc w:val="both"/>
        <w:rPr>
          <w:sz w:val="22"/>
          <w:szCs w:val="22"/>
          <w:lang w:val="sr-Latn-CS"/>
        </w:rPr>
      </w:pPr>
      <w:r w:rsidRPr="0081469B">
        <w:rPr>
          <w:sz w:val="22"/>
          <w:szCs w:val="22"/>
          <w:lang w:val="sr-Latn-CS"/>
        </w:rPr>
        <w:t>Lijek AVONEX treba primjenjivati sa oprezom kod pacijenata sa istorijom napada, kod onih koji se liječe antiepilepticima, posebno ako njihova epilepsija nije odgovarajuće kontrolisana antiepilepticima (vidjeti djelove 4.5 i 4.8).</w:t>
      </w:r>
    </w:p>
    <w:p w14:paraId="6A143ADA" w14:textId="77777777" w:rsidR="00EF6805" w:rsidRDefault="00EF6805" w:rsidP="00D3709E">
      <w:pPr>
        <w:tabs>
          <w:tab w:val="left" w:pos="540"/>
          <w:tab w:val="left" w:pos="569"/>
        </w:tabs>
        <w:jc w:val="both"/>
        <w:rPr>
          <w:bCs/>
          <w:sz w:val="22"/>
          <w:szCs w:val="22"/>
        </w:rPr>
      </w:pPr>
    </w:p>
    <w:p w14:paraId="2522B468" w14:textId="77777777" w:rsidR="00EF6805" w:rsidRPr="0081469B" w:rsidRDefault="00EF6805" w:rsidP="00D3709E">
      <w:pPr>
        <w:tabs>
          <w:tab w:val="center" w:pos="4536"/>
          <w:tab w:val="right" w:pos="9072"/>
        </w:tabs>
        <w:jc w:val="both"/>
        <w:rPr>
          <w:sz w:val="22"/>
          <w:szCs w:val="22"/>
          <w:lang w:val="sr-Latn-CS"/>
        </w:rPr>
      </w:pPr>
      <w:r w:rsidRPr="0081469B">
        <w:rPr>
          <w:sz w:val="22"/>
          <w:szCs w:val="22"/>
          <w:lang w:val="sr-Latn-CS"/>
        </w:rPr>
        <w:t xml:space="preserve">Primjena lijeka AVONEX treba biti pod nadzorom i posebnom opreznošću kod pacijenata sa teškim oštećenjem bubrega i jetre i kod pacijenata sa teškom mijelosupresijom. </w:t>
      </w:r>
    </w:p>
    <w:p w14:paraId="3F6FD33F" w14:textId="77777777" w:rsidR="00EF6805" w:rsidRDefault="00EF6805" w:rsidP="00D3709E">
      <w:pPr>
        <w:tabs>
          <w:tab w:val="left" w:pos="284"/>
        </w:tabs>
        <w:jc w:val="both"/>
        <w:rPr>
          <w:bCs/>
          <w:iCs/>
          <w:sz w:val="22"/>
          <w:szCs w:val="22"/>
          <w:lang w:val="sl-SI"/>
        </w:rPr>
      </w:pPr>
    </w:p>
    <w:p w14:paraId="4007ED15" w14:textId="77777777" w:rsidR="00EF6805" w:rsidRDefault="00EF6805" w:rsidP="00D3709E">
      <w:pPr>
        <w:tabs>
          <w:tab w:val="left" w:pos="284"/>
        </w:tabs>
        <w:jc w:val="both"/>
        <w:rPr>
          <w:bCs/>
          <w:sz w:val="22"/>
          <w:szCs w:val="22"/>
          <w:lang w:val="sl-SI"/>
        </w:rPr>
      </w:pPr>
      <w:r w:rsidRPr="0081469B">
        <w:rPr>
          <w:bCs/>
          <w:iCs/>
          <w:sz w:val="22"/>
          <w:szCs w:val="22"/>
          <w:lang w:val="sl-SI"/>
        </w:rPr>
        <w:t xml:space="preserve">Trombotička mikroangiopatija (TMA): Tokom liječenja ljekovima koji sadrže interferon beta </w:t>
      </w:r>
      <w:r w:rsidRPr="0081469B">
        <w:rPr>
          <w:bCs/>
          <w:sz w:val="22"/>
          <w:szCs w:val="22"/>
          <w:lang w:val="sl-SI"/>
        </w:rPr>
        <w:t xml:space="preserve">prijavljeni su slučajevi trombotičke mikroangiopatije, koja se manifestuje kao trombotička trombocitopenička purpura (TTP) ili hemolitički uremički sindrom (HUS), uključujući smrtonosne slučajeve. Događaji su prijavljeni u različito vrijeme tokom liječenja i mogu se pojaviti nekoliko nedelja do nekoliko godina posle početka liječenja interferonom beta. Rane kliničke karakteristike uključuju trombocitopeniju, novonastalu hipertenziju, groznicu, simptome centralnog nervnog sistema (npr. konfuzija, pareza) i oštećenje funkcije bubrega. Laboratorijski nalazi koji ukazuju na TMA uključuju smanjen broj trombocita, povećan nivo laktat-dehidrogenaze (LDH) u serumu zbog hemolize, i </w:t>
      </w:r>
      <w:r w:rsidRPr="0081469B">
        <w:rPr>
          <w:bCs/>
          <w:sz w:val="22"/>
          <w:szCs w:val="22"/>
          <w:lang w:val="pt-BR" w:bidi="hr-HR"/>
        </w:rPr>
        <w:t xml:space="preserve">shistocite </w:t>
      </w:r>
      <w:r w:rsidRPr="0081469B">
        <w:rPr>
          <w:bCs/>
          <w:sz w:val="22"/>
          <w:szCs w:val="22"/>
          <w:lang w:val="sl-SI"/>
        </w:rPr>
        <w:t>(fragmentovane eritrocite) u krvnom razmazu. Dakle, ukoliko se uoče kliničke karakteristike TMA, preporučuje se dodatno testiranje nivoa trombocita, LDH u serumu, krvnih razmaza i funkcije bubrega. Ako se dijagnostikuje TMA, potrebno je bez odgađanja započeti lečenje (razmotriti plazmaferezu) i preporučuje se odmah prekinuti liječenje lijekom Avonex.</w:t>
      </w:r>
    </w:p>
    <w:p w14:paraId="0B1F0644" w14:textId="77777777" w:rsidR="00EF6805" w:rsidRDefault="00EF6805" w:rsidP="00D3709E">
      <w:pPr>
        <w:tabs>
          <w:tab w:val="left" w:pos="284"/>
        </w:tabs>
        <w:jc w:val="both"/>
        <w:rPr>
          <w:sz w:val="22"/>
          <w:szCs w:val="22"/>
          <w:lang w:val="bs-Latn-BA"/>
        </w:rPr>
      </w:pPr>
    </w:p>
    <w:p w14:paraId="404004B1" w14:textId="77777777" w:rsidR="00EF6805" w:rsidRPr="0081469B" w:rsidRDefault="00EF6805" w:rsidP="00D3709E">
      <w:pPr>
        <w:tabs>
          <w:tab w:val="left" w:pos="284"/>
        </w:tabs>
        <w:jc w:val="both"/>
        <w:rPr>
          <w:sz w:val="22"/>
          <w:szCs w:val="22"/>
          <w:lang w:val="bs-Latn-BA"/>
        </w:rPr>
      </w:pPr>
      <w:r w:rsidRPr="0081469B">
        <w:rPr>
          <w:sz w:val="22"/>
          <w:szCs w:val="22"/>
          <w:lang w:val="bs-Latn-BA"/>
        </w:rPr>
        <w:t>Nefrotski sindrom: Slučajevi nefrotskog sindroma sa različitim osnovnim nefropatijama, uključujući kolapsnu fokalnu segmentalnu glomerulosklerozu (FSGS), bolest minimalnih promena, (</w:t>
      </w:r>
      <w:r w:rsidRPr="0081469B">
        <w:rPr>
          <w:i/>
          <w:sz w:val="22"/>
          <w:szCs w:val="22"/>
          <w:lang w:val="bs-Latn-BA"/>
        </w:rPr>
        <w:t>engl</w:t>
      </w:r>
      <w:r w:rsidRPr="0081469B">
        <w:rPr>
          <w:sz w:val="22"/>
          <w:szCs w:val="22"/>
          <w:lang w:val="bs-Latn-BA"/>
        </w:rPr>
        <w:t xml:space="preserve">. minimal change disease, MCD), membranoproliferativni glomerulonefritis (MPGN) i membransku glomerulopatiju (MGN) zabeleženi su tokom liječenja proizvodima interferona beta. Događaji su prijavljeni u različitim vremenima tokom liječenja, a mogu se pojaviti i posle nekoliko godina lečenja interferonom beta. Preporučuje se periodično praćenje ranih znakova ili simptoma, npr. edemi, proteinurija i oštećena funkcija bubrega, posebno kod pacijenata sa većim rizikom od bolesti bubrega. Potrebno je brzo lečenje nefrotskog sindroma i treba se razmotriti prestanak liječenja lijekom AVONEX. </w:t>
      </w:r>
    </w:p>
    <w:p w14:paraId="7300D7A9" w14:textId="77777777" w:rsidR="00EF6805" w:rsidRDefault="00EF6805" w:rsidP="00D3709E">
      <w:pPr>
        <w:tabs>
          <w:tab w:val="center" w:pos="4536"/>
          <w:tab w:val="right" w:pos="9072"/>
        </w:tabs>
        <w:jc w:val="both"/>
        <w:rPr>
          <w:sz w:val="22"/>
          <w:szCs w:val="22"/>
          <w:lang w:val="sr-Latn-CS"/>
        </w:rPr>
      </w:pPr>
    </w:p>
    <w:p w14:paraId="025E54AD" w14:textId="77777777" w:rsidR="00EF6805" w:rsidRPr="0081469B" w:rsidRDefault="00EF6805" w:rsidP="00D3709E">
      <w:pPr>
        <w:tabs>
          <w:tab w:val="center" w:pos="4536"/>
          <w:tab w:val="right" w:pos="9072"/>
        </w:tabs>
        <w:jc w:val="both"/>
        <w:rPr>
          <w:sz w:val="22"/>
          <w:szCs w:val="22"/>
          <w:lang w:val="sr-Latn-CS"/>
        </w:rPr>
      </w:pPr>
      <w:r w:rsidRPr="0081469B">
        <w:rPr>
          <w:sz w:val="22"/>
          <w:szCs w:val="22"/>
          <w:lang w:val="sr-Latn-CS"/>
        </w:rPr>
        <w:t>Oštećenje jetre uključujući povećanje nivoa serumskih hepatičkih enzima, hepatitis, autoimuni hepatitis i insuficijencija jetre je bilo prijavljeno sa interferonom beta u post-marketinškom periodu (vidjeti dio 4.8). U nekim slučajevima ove reakcije su se javile u prisustvu drugih ljekova koji su bili povezani sa oštećenjem jetre. Mogući dodatni efekti različitih ljekova ili drugih hepatotoksičnih supstanci (npr. alkohola) nisu utvrđeni. Pacijenti trebaju biti praćeni u slučaju znakova hepatičkog oštećenja i uz oprez praćeni kada se interferoni koriste zajedno sa drugim ljekovima koji se povezuju sa hepatičkim oštećenjem.</w:t>
      </w:r>
    </w:p>
    <w:p w14:paraId="77E32213" w14:textId="77777777" w:rsidR="00EF6805" w:rsidRDefault="00EF6805" w:rsidP="00D3709E">
      <w:pPr>
        <w:tabs>
          <w:tab w:val="center" w:pos="4536"/>
          <w:tab w:val="right" w:pos="9072"/>
        </w:tabs>
        <w:jc w:val="both"/>
        <w:rPr>
          <w:sz w:val="22"/>
          <w:szCs w:val="22"/>
          <w:lang w:val="sr-Latn-CS"/>
        </w:rPr>
      </w:pPr>
    </w:p>
    <w:p w14:paraId="5F9F19B4" w14:textId="77777777" w:rsidR="00EF6805" w:rsidRPr="0081469B" w:rsidRDefault="00EF6805" w:rsidP="00D3709E">
      <w:pPr>
        <w:tabs>
          <w:tab w:val="center" w:pos="4536"/>
          <w:tab w:val="right" w:pos="9072"/>
        </w:tabs>
        <w:jc w:val="both"/>
        <w:rPr>
          <w:sz w:val="22"/>
          <w:szCs w:val="22"/>
          <w:lang w:val="sr-Latn-CS"/>
        </w:rPr>
      </w:pPr>
      <w:r w:rsidRPr="0081469B">
        <w:rPr>
          <w:sz w:val="22"/>
          <w:szCs w:val="22"/>
          <w:lang w:val="sr-Latn-CS"/>
        </w:rPr>
        <w:t>Pacijente sa srčanim oboljenjima kao što su angina, kongestivna srčana insuficijencija ili aritmija, treba pažljivo nadzirati u slučaju pogoršanja kliničkog stanja tokom liječenja lijekom AVONEX. Simptomi slični gripu koji su povezani s terapijom lijekom AVONEX mogu biti stresni za pacijente sa navedenim srčanim stanjima.</w:t>
      </w:r>
    </w:p>
    <w:p w14:paraId="75AA0766" w14:textId="77777777" w:rsidR="00EF6805" w:rsidRDefault="00EF6805" w:rsidP="00D3709E">
      <w:pPr>
        <w:tabs>
          <w:tab w:val="left" w:pos="540"/>
          <w:tab w:val="left" w:pos="569"/>
        </w:tabs>
        <w:jc w:val="both"/>
        <w:rPr>
          <w:sz w:val="22"/>
          <w:szCs w:val="22"/>
          <w:lang w:val="sr-Latn-CS"/>
        </w:rPr>
      </w:pPr>
    </w:p>
    <w:p w14:paraId="16EABB4F" w14:textId="77777777" w:rsidR="00EF6805" w:rsidRPr="00D7338C" w:rsidRDefault="00EF6805" w:rsidP="00D3709E">
      <w:pPr>
        <w:pStyle w:val="Header"/>
        <w:jc w:val="both"/>
        <w:rPr>
          <w:sz w:val="22"/>
          <w:szCs w:val="22"/>
          <w:lang w:val="sr-Latn-CS"/>
        </w:rPr>
      </w:pPr>
      <w:r w:rsidRPr="000544FF">
        <w:rPr>
          <w:sz w:val="22"/>
          <w:szCs w:val="22"/>
          <w:lang w:val="sr-Latn-CS"/>
        </w:rPr>
        <w:lastRenderedPageBreak/>
        <w:t>Laboratorijske abnormalnosti su povezane sa upotrebom interferona. Zato, dodatno uz laboratorijske testove normalno zaht</w:t>
      </w:r>
      <w:r>
        <w:rPr>
          <w:sz w:val="22"/>
          <w:szCs w:val="22"/>
          <w:lang w:val="sr-Latn-CS"/>
        </w:rPr>
        <w:t>i</w:t>
      </w:r>
      <w:r w:rsidRPr="000544FF">
        <w:rPr>
          <w:sz w:val="22"/>
          <w:szCs w:val="22"/>
          <w:lang w:val="sr-Latn-CS"/>
        </w:rPr>
        <w:t>jevane za praćenje pacijenata sa MS, tokom terapije lijekom AVONEX preporučuje se</w:t>
      </w:r>
      <w:r>
        <w:rPr>
          <w:sz w:val="22"/>
          <w:szCs w:val="22"/>
          <w:lang w:val="sr-Latn-CS"/>
        </w:rPr>
        <w:t xml:space="preserve"> </w:t>
      </w:r>
      <w:r w:rsidRPr="00D7338C">
        <w:rPr>
          <w:sz w:val="22"/>
          <w:szCs w:val="22"/>
          <w:lang w:val="sr-Latn-CS"/>
        </w:rPr>
        <w:t xml:space="preserve">određivanje ukupnog i pojedinačnog broja leukocita, broja trombocita i hemijska analiza krvi, uključujući i testove za kontrolu funkcije jetre. Pacijenti sa mijelosupresijom mogu zahtijevati temeljnije praćenje kompletnog broja krvnih ćelija sa diferencijalnom krvnom slikom i broja trombocita. </w:t>
      </w:r>
    </w:p>
    <w:p w14:paraId="462084DD" w14:textId="77777777" w:rsidR="00EF6805" w:rsidRDefault="00EF6805" w:rsidP="00D3709E">
      <w:pPr>
        <w:tabs>
          <w:tab w:val="center" w:pos="4536"/>
          <w:tab w:val="right" w:pos="9072"/>
        </w:tabs>
        <w:jc w:val="both"/>
        <w:rPr>
          <w:sz w:val="22"/>
          <w:szCs w:val="22"/>
          <w:lang w:val="sr-Latn-CS"/>
        </w:rPr>
      </w:pPr>
    </w:p>
    <w:p w14:paraId="6895F0D8"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 xml:space="preserve">Pacijenti mogu razviti antitijela na lijek AVONEX. Antitijela kod nekih od tih pacijenata smanjuju aktivnost interferona beta-1a </w:t>
      </w:r>
      <w:r w:rsidRPr="00D7338C">
        <w:rPr>
          <w:i/>
          <w:sz w:val="22"/>
          <w:szCs w:val="22"/>
          <w:lang w:val="sr-Latn-CS"/>
        </w:rPr>
        <w:t>in vitro</w:t>
      </w:r>
      <w:r w:rsidRPr="00D7338C">
        <w:rPr>
          <w:sz w:val="22"/>
          <w:szCs w:val="22"/>
          <w:lang w:val="sr-Latn-CS"/>
        </w:rPr>
        <w:t xml:space="preserve"> (neutrališuća antitijela). Neutrališuća antitijela su povezana sa smanjenjem bioloških </w:t>
      </w:r>
      <w:r w:rsidRPr="00D7338C">
        <w:rPr>
          <w:i/>
          <w:sz w:val="22"/>
          <w:szCs w:val="22"/>
          <w:lang w:val="sr-Latn-CS"/>
        </w:rPr>
        <w:t>in vivo</w:t>
      </w:r>
      <w:r w:rsidRPr="00D7338C">
        <w:rPr>
          <w:sz w:val="22"/>
          <w:szCs w:val="22"/>
          <w:lang w:val="sr-Latn-CS"/>
        </w:rPr>
        <w:t xml:space="preserve"> efekata lijeka AVONEX i mogu biti potencijalno povezana sa smanjenjem kliničke efikasnosti. Procijenjeno je da se plato incidence stvaranja neutrališućih antitijela dostigne nakon 12 mjeseci liječenja. Novije kliničke studije sa pacijentima liječenim do tri godine lijekom AVONEX ukazuju da približno 5</w:t>
      </w:r>
      <w:r>
        <w:rPr>
          <w:sz w:val="22"/>
          <w:szCs w:val="22"/>
          <w:lang w:val="sr-Latn-CS"/>
        </w:rPr>
        <w:t xml:space="preserve"> </w:t>
      </w:r>
      <w:r w:rsidRPr="00D7338C">
        <w:rPr>
          <w:sz w:val="22"/>
          <w:szCs w:val="22"/>
          <w:lang w:val="sr-Latn-CS"/>
        </w:rPr>
        <w:t>% do 8</w:t>
      </w:r>
      <w:r>
        <w:rPr>
          <w:sz w:val="22"/>
          <w:szCs w:val="22"/>
          <w:lang w:val="sr-Latn-CS"/>
        </w:rPr>
        <w:t xml:space="preserve"> </w:t>
      </w:r>
      <w:r w:rsidRPr="00D7338C">
        <w:rPr>
          <w:sz w:val="22"/>
          <w:szCs w:val="22"/>
          <w:lang w:val="sr-Latn-CS"/>
        </w:rPr>
        <w:t>% pacijenata razvije neutrališuća antitijela.</w:t>
      </w:r>
    </w:p>
    <w:p w14:paraId="5B457126" w14:textId="77777777" w:rsidR="00EF6805" w:rsidRDefault="00EF6805" w:rsidP="00D3709E">
      <w:pPr>
        <w:tabs>
          <w:tab w:val="left" w:pos="284"/>
          <w:tab w:val="center" w:pos="4536"/>
          <w:tab w:val="right" w:pos="9072"/>
        </w:tabs>
        <w:jc w:val="both"/>
        <w:rPr>
          <w:sz w:val="22"/>
          <w:szCs w:val="22"/>
          <w:lang w:val="sr-Latn-CS"/>
        </w:rPr>
      </w:pPr>
    </w:p>
    <w:p w14:paraId="1212A11D" w14:textId="77777777" w:rsidR="00EF6805" w:rsidRDefault="00EF6805" w:rsidP="00D3709E">
      <w:pPr>
        <w:tabs>
          <w:tab w:val="left" w:pos="284"/>
          <w:tab w:val="center" w:pos="4536"/>
          <w:tab w:val="right" w:pos="9072"/>
        </w:tabs>
        <w:jc w:val="both"/>
        <w:rPr>
          <w:sz w:val="22"/>
          <w:szCs w:val="22"/>
          <w:lang w:val="sr-Latn-CS"/>
        </w:rPr>
      </w:pPr>
      <w:r w:rsidRPr="00D7338C">
        <w:rPr>
          <w:sz w:val="22"/>
          <w:szCs w:val="22"/>
          <w:lang w:val="sr-Latn-CS"/>
        </w:rPr>
        <w:t>Korišćenje različitih metoda za određivanje antitijela na interferone u serumu ograničava mogućnost upoređivanja različitih interferonskih preparata kada je u pitanju njihov potencijal razvoja neutrališućih antitijela.</w:t>
      </w:r>
    </w:p>
    <w:p w14:paraId="6FBB94FF" w14:textId="77777777" w:rsidR="00895AA2" w:rsidRDefault="00895AA2" w:rsidP="00D3709E">
      <w:pPr>
        <w:tabs>
          <w:tab w:val="left" w:pos="284"/>
          <w:tab w:val="center" w:pos="4536"/>
          <w:tab w:val="right" w:pos="9072"/>
        </w:tabs>
        <w:jc w:val="both"/>
        <w:rPr>
          <w:sz w:val="22"/>
          <w:szCs w:val="22"/>
          <w:lang w:val="sr-Latn-CS"/>
        </w:rPr>
      </w:pPr>
    </w:p>
    <w:p w14:paraId="0A4FF513" w14:textId="77777777" w:rsidR="00A02717" w:rsidRPr="00EF3210" w:rsidRDefault="00A02717" w:rsidP="00D3709E">
      <w:pPr>
        <w:tabs>
          <w:tab w:val="left" w:pos="284"/>
          <w:tab w:val="center" w:pos="4536"/>
          <w:tab w:val="right" w:pos="9072"/>
        </w:tabs>
        <w:jc w:val="both"/>
        <w:rPr>
          <w:sz w:val="22"/>
          <w:szCs w:val="22"/>
          <w:lang w:val="sr-Latn-CS"/>
        </w:rPr>
      </w:pPr>
      <w:r w:rsidRPr="00EF3210">
        <w:rPr>
          <w:sz w:val="22"/>
          <w:szCs w:val="22"/>
          <w:lang w:val="sr-Latn-CS"/>
        </w:rPr>
        <w:t>U periodu  nakon dobijanja dozvole za promet l</w:t>
      </w:r>
      <w:r w:rsidR="00963D7B" w:rsidRPr="00EF3210">
        <w:rPr>
          <w:sz w:val="22"/>
          <w:szCs w:val="22"/>
          <w:lang w:val="sr-Latn-CS"/>
        </w:rPr>
        <w:t>ij</w:t>
      </w:r>
      <w:r w:rsidRPr="00EF3210">
        <w:rPr>
          <w:sz w:val="22"/>
          <w:szCs w:val="22"/>
          <w:lang w:val="sr-Latn-CS"/>
        </w:rPr>
        <w:t>eka, prijavljeni su slučajevi nekroze na m</w:t>
      </w:r>
      <w:r w:rsidR="00963D7B" w:rsidRPr="00EF3210">
        <w:rPr>
          <w:sz w:val="22"/>
          <w:szCs w:val="22"/>
          <w:lang w:val="sr-Latn-CS"/>
        </w:rPr>
        <w:t>j</w:t>
      </w:r>
      <w:r w:rsidRPr="00EF3210">
        <w:rPr>
          <w:sz w:val="22"/>
          <w:szCs w:val="22"/>
          <w:lang w:val="sr-Latn-CS"/>
        </w:rPr>
        <w:t>estu injekcije (vid</w:t>
      </w:r>
      <w:r w:rsidR="00963D7B" w:rsidRPr="00EF3210">
        <w:rPr>
          <w:sz w:val="22"/>
          <w:szCs w:val="22"/>
          <w:lang w:val="sr-Latn-CS"/>
        </w:rPr>
        <w:t>j</w:t>
      </w:r>
      <w:r w:rsidRPr="00EF3210">
        <w:rPr>
          <w:sz w:val="22"/>
          <w:szCs w:val="22"/>
          <w:lang w:val="sr-Latn-CS"/>
        </w:rPr>
        <w:t xml:space="preserve">eti </w:t>
      </w:r>
      <w:r w:rsidR="002013EF">
        <w:rPr>
          <w:sz w:val="22"/>
          <w:szCs w:val="22"/>
          <w:lang w:val="sr-Latn-CS"/>
        </w:rPr>
        <w:t>dio</w:t>
      </w:r>
      <w:r w:rsidR="002013EF" w:rsidRPr="00EF3210">
        <w:rPr>
          <w:sz w:val="22"/>
          <w:szCs w:val="22"/>
          <w:lang w:val="sr-Latn-CS"/>
        </w:rPr>
        <w:t xml:space="preserve"> </w:t>
      </w:r>
      <w:r w:rsidRPr="00EF3210">
        <w:rPr>
          <w:sz w:val="22"/>
          <w:szCs w:val="22"/>
          <w:lang w:val="sr-Latn-CS"/>
        </w:rPr>
        <w:t>4.8).</w:t>
      </w:r>
    </w:p>
    <w:p w14:paraId="387985E3" w14:textId="77777777" w:rsidR="00A02717" w:rsidRPr="00EF3210" w:rsidRDefault="00A02717" w:rsidP="00D3709E">
      <w:pPr>
        <w:tabs>
          <w:tab w:val="left" w:pos="284"/>
          <w:tab w:val="center" w:pos="4536"/>
          <w:tab w:val="right" w:pos="9072"/>
        </w:tabs>
        <w:jc w:val="both"/>
        <w:rPr>
          <w:sz w:val="22"/>
          <w:szCs w:val="22"/>
          <w:lang w:val="sr-Latn-CS"/>
        </w:rPr>
      </w:pPr>
      <w:r w:rsidRPr="00EF3210">
        <w:rPr>
          <w:sz w:val="22"/>
          <w:szCs w:val="22"/>
          <w:lang w:val="sr-Latn-CS"/>
        </w:rPr>
        <w:t>Da bi se smanjio rizik od  reakcija na m</w:t>
      </w:r>
      <w:r w:rsidR="00D36849" w:rsidRPr="00EF3210">
        <w:rPr>
          <w:sz w:val="22"/>
          <w:szCs w:val="22"/>
          <w:lang w:val="sr-Latn-CS"/>
        </w:rPr>
        <w:t>j</w:t>
      </w:r>
      <w:r w:rsidRPr="00EF3210">
        <w:rPr>
          <w:sz w:val="22"/>
          <w:szCs w:val="22"/>
          <w:lang w:val="sr-Latn-CS"/>
        </w:rPr>
        <w:t>estu prim</w:t>
      </w:r>
      <w:r w:rsidR="00D36849" w:rsidRPr="00EF3210">
        <w:rPr>
          <w:sz w:val="22"/>
          <w:szCs w:val="22"/>
          <w:lang w:val="sr-Latn-CS"/>
        </w:rPr>
        <w:t>j</w:t>
      </w:r>
      <w:r w:rsidRPr="00EF3210">
        <w:rPr>
          <w:sz w:val="22"/>
          <w:szCs w:val="22"/>
          <w:lang w:val="sr-Latn-CS"/>
        </w:rPr>
        <w:t>ene injekcije, pacijentima treba sav</w:t>
      </w:r>
      <w:r w:rsidR="00D36849" w:rsidRPr="00EF3210">
        <w:rPr>
          <w:sz w:val="22"/>
          <w:szCs w:val="22"/>
          <w:lang w:val="sr-Latn-CS"/>
        </w:rPr>
        <w:t>j</w:t>
      </w:r>
      <w:r w:rsidRPr="00EF3210">
        <w:rPr>
          <w:sz w:val="22"/>
          <w:szCs w:val="22"/>
          <w:lang w:val="sr-Latn-CS"/>
        </w:rPr>
        <w:t>etovati da koriste aseptičnu tehniku injektovanja i da m</w:t>
      </w:r>
      <w:r w:rsidR="00D36849" w:rsidRPr="00EF3210">
        <w:rPr>
          <w:sz w:val="22"/>
          <w:szCs w:val="22"/>
          <w:lang w:val="sr-Latn-CS"/>
        </w:rPr>
        <w:t>ij</w:t>
      </w:r>
      <w:r w:rsidRPr="00EF3210">
        <w:rPr>
          <w:sz w:val="22"/>
          <w:szCs w:val="22"/>
          <w:lang w:val="sr-Latn-CS"/>
        </w:rPr>
        <w:t>enjaju m</w:t>
      </w:r>
      <w:r w:rsidR="00D36849" w:rsidRPr="00EF3210">
        <w:rPr>
          <w:sz w:val="22"/>
          <w:szCs w:val="22"/>
          <w:lang w:val="sr-Latn-CS"/>
        </w:rPr>
        <w:t>j</w:t>
      </w:r>
      <w:r w:rsidRPr="00EF3210">
        <w:rPr>
          <w:sz w:val="22"/>
          <w:szCs w:val="22"/>
          <w:lang w:val="sr-Latn-CS"/>
        </w:rPr>
        <w:t>esta injektovanja sa svakom dozom.</w:t>
      </w:r>
    </w:p>
    <w:p w14:paraId="291220D8" w14:textId="77777777" w:rsidR="00A02717" w:rsidRPr="00EF3210" w:rsidRDefault="00A02717" w:rsidP="00D3709E">
      <w:pPr>
        <w:tabs>
          <w:tab w:val="left" w:pos="284"/>
          <w:tab w:val="center" w:pos="4536"/>
          <w:tab w:val="right" w:pos="9072"/>
        </w:tabs>
        <w:jc w:val="both"/>
        <w:rPr>
          <w:sz w:val="22"/>
          <w:szCs w:val="22"/>
          <w:lang w:val="sr-Latn-CS"/>
        </w:rPr>
      </w:pPr>
    </w:p>
    <w:p w14:paraId="30247238" w14:textId="4E95E48F" w:rsidR="00EF6805" w:rsidRPr="00EF3210" w:rsidRDefault="00A02717" w:rsidP="009D7887">
      <w:pPr>
        <w:tabs>
          <w:tab w:val="left" w:pos="284"/>
          <w:tab w:val="center" w:pos="4536"/>
          <w:tab w:val="right" w:pos="9072"/>
        </w:tabs>
        <w:jc w:val="both"/>
        <w:rPr>
          <w:bCs/>
          <w:sz w:val="22"/>
          <w:szCs w:val="22"/>
        </w:rPr>
      </w:pPr>
      <w:r w:rsidRPr="00EF3210">
        <w:rPr>
          <w:sz w:val="22"/>
          <w:szCs w:val="22"/>
          <w:lang w:val="sr-Latn-CS"/>
        </w:rPr>
        <w:t>Periodično treba prov</w:t>
      </w:r>
      <w:r w:rsidR="00D36849" w:rsidRPr="00EF3210">
        <w:rPr>
          <w:sz w:val="22"/>
          <w:szCs w:val="22"/>
          <w:lang w:val="sr-Latn-CS"/>
        </w:rPr>
        <w:t>j</w:t>
      </w:r>
      <w:r w:rsidRPr="00EF3210">
        <w:rPr>
          <w:sz w:val="22"/>
          <w:szCs w:val="22"/>
          <w:lang w:val="sr-Latn-CS"/>
        </w:rPr>
        <w:t>eravati postupak samostalne prim</w:t>
      </w:r>
      <w:r w:rsidR="00D36849" w:rsidRPr="00EF3210">
        <w:rPr>
          <w:sz w:val="22"/>
          <w:szCs w:val="22"/>
          <w:lang w:val="sr-Latn-CS"/>
        </w:rPr>
        <w:t>j</w:t>
      </w:r>
      <w:r w:rsidRPr="00EF3210">
        <w:rPr>
          <w:sz w:val="22"/>
          <w:szCs w:val="22"/>
          <w:lang w:val="sr-Latn-CS"/>
        </w:rPr>
        <w:t>ene od strane pacijenta, posebno ako su se javile reakcije na m</w:t>
      </w:r>
      <w:r w:rsidR="00D36849" w:rsidRPr="00EF3210">
        <w:rPr>
          <w:sz w:val="22"/>
          <w:szCs w:val="22"/>
          <w:lang w:val="sr-Latn-CS"/>
        </w:rPr>
        <w:t>j</w:t>
      </w:r>
      <w:r w:rsidRPr="00EF3210">
        <w:rPr>
          <w:sz w:val="22"/>
          <w:szCs w:val="22"/>
          <w:lang w:val="sr-Latn-CS"/>
        </w:rPr>
        <w:t>estu injekcije. Ako pacijent doživi bilo kakvo oštećenje kože, koje može biti praćeno otokom ili isticanjem tečnosti sa m</w:t>
      </w:r>
      <w:r w:rsidR="00D36849" w:rsidRPr="00EF3210">
        <w:rPr>
          <w:sz w:val="22"/>
          <w:szCs w:val="22"/>
          <w:lang w:val="sr-Latn-CS"/>
        </w:rPr>
        <w:t>j</w:t>
      </w:r>
      <w:r w:rsidRPr="00EF3210">
        <w:rPr>
          <w:sz w:val="22"/>
          <w:szCs w:val="22"/>
          <w:lang w:val="sr-Latn-CS"/>
        </w:rPr>
        <w:t>esta injekcije, pacijentu treba sav</w:t>
      </w:r>
      <w:r w:rsidR="00D36849" w:rsidRPr="00EF3210">
        <w:rPr>
          <w:sz w:val="22"/>
          <w:szCs w:val="22"/>
          <w:lang w:val="sr-Latn-CS"/>
        </w:rPr>
        <w:t>j</w:t>
      </w:r>
      <w:r w:rsidRPr="00EF3210">
        <w:rPr>
          <w:sz w:val="22"/>
          <w:szCs w:val="22"/>
          <w:lang w:val="sr-Latn-CS"/>
        </w:rPr>
        <w:t>etovati da razgovara sa svojim l</w:t>
      </w:r>
      <w:r w:rsidR="00D36849" w:rsidRPr="00EF3210">
        <w:rPr>
          <w:sz w:val="22"/>
          <w:szCs w:val="22"/>
          <w:lang w:val="sr-Latn-CS"/>
        </w:rPr>
        <w:t>j</w:t>
      </w:r>
      <w:r w:rsidRPr="00EF3210">
        <w:rPr>
          <w:sz w:val="22"/>
          <w:szCs w:val="22"/>
          <w:lang w:val="sr-Latn-CS"/>
        </w:rPr>
        <w:t>ekarom. Da li treba prekinuti terapiju nakon što se pojavi nekroza na jednom m</w:t>
      </w:r>
      <w:r w:rsidR="00D36849" w:rsidRPr="00EF3210">
        <w:rPr>
          <w:sz w:val="22"/>
          <w:szCs w:val="22"/>
          <w:lang w:val="sr-Latn-CS"/>
        </w:rPr>
        <w:t>j</w:t>
      </w:r>
      <w:r w:rsidRPr="00EF3210">
        <w:rPr>
          <w:sz w:val="22"/>
          <w:szCs w:val="22"/>
          <w:lang w:val="sr-Latn-CS"/>
        </w:rPr>
        <w:t>estu prim</w:t>
      </w:r>
      <w:r w:rsidR="00D36849" w:rsidRPr="00EF3210">
        <w:rPr>
          <w:sz w:val="22"/>
          <w:szCs w:val="22"/>
          <w:lang w:val="sr-Latn-CS"/>
        </w:rPr>
        <w:t>j</w:t>
      </w:r>
      <w:r w:rsidRPr="00EF3210">
        <w:rPr>
          <w:sz w:val="22"/>
          <w:szCs w:val="22"/>
          <w:lang w:val="sr-Latn-CS"/>
        </w:rPr>
        <w:t>ene zavisi od obima nekroze. Za pacijente koji nastavljaju sa terapijom l</w:t>
      </w:r>
      <w:r w:rsidR="00D36849" w:rsidRPr="00EF3210">
        <w:rPr>
          <w:sz w:val="22"/>
          <w:szCs w:val="22"/>
          <w:lang w:val="sr-Latn-CS"/>
        </w:rPr>
        <w:t>ij</w:t>
      </w:r>
      <w:r w:rsidRPr="00EF3210">
        <w:rPr>
          <w:sz w:val="22"/>
          <w:szCs w:val="22"/>
          <w:lang w:val="sr-Latn-CS"/>
        </w:rPr>
        <w:t>ekom Avonex  nakon što je nastupila nekroza na m</w:t>
      </w:r>
      <w:r w:rsidR="00D36849" w:rsidRPr="00EF3210">
        <w:rPr>
          <w:sz w:val="22"/>
          <w:szCs w:val="22"/>
          <w:lang w:val="sr-Latn-CS"/>
        </w:rPr>
        <w:t>j</w:t>
      </w:r>
      <w:r w:rsidRPr="00EF3210">
        <w:rPr>
          <w:sz w:val="22"/>
          <w:szCs w:val="22"/>
          <w:lang w:val="sr-Latn-CS"/>
        </w:rPr>
        <w:t>estu injekcije, treba izb</w:t>
      </w:r>
      <w:r w:rsidR="00D36849" w:rsidRPr="00EF3210">
        <w:rPr>
          <w:sz w:val="22"/>
          <w:szCs w:val="22"/>
          <w:lang w:val="sr-Latn-CS"/>
        </w:rPr>
        <w:t>j</w:t>
      </w:r>
      <w:r w:rsidRPr="00EF3210">
        <w:rPr>
          <w:sz w:val="22"/>
          <w:szCs w:val="22"/>
          <w:lang w:val="sr-Latn-CS"/>
        </w:rPr>
        <w:t>egavati prim</w:t>
      </w:r>
      <w:r w:rsidR="00D36849" w:rsidRPr="00EF3210">
        <w:rPr>
          <w:sz w:val="22"/>
          <w:szCs w:val="22"/>
          <w:lang w:val="sr-Latn-CS"/>
        </w:rPr>
        <w:t>j</w:t>
      </w:r>
      <w:r w:rsidRPr="00EF3210">
        <w:rPr>
          <w:sz w:val="22"/>
          <w:szCs w:val="22"/>
          <w:lang w:val="sr-Latn-CS"/>
        </w:rPr>
        <w:t>enu l</w:t>
      </w:r>
      <w:r w:rsidR="00D36849" w:rsidRPr="00EF3210">
        <w:rPr>
          <w:sz w:val="22"/>
          <w:szCs w:val="22"/>
          <w:lang w:val="sr-Latn-CS"/>
        </w:rPr>
        <w:t>ij</w:t>
      </w:r>
      <w:r w:rsidRPr="00EF3210">
        <w:rPr>
          <w:sz w:val="22"/>
          <w:szCs w:val="22"/>
          <w:lang w:val="sr-Latn-CS"/>
        </w:rPr>
        <w:t>eka Avonex u zahvaćenom području dok se potpuno ne iz</w:t>
      </w:r>
      <w:r w:rsidR="00D36849" w:rsidRPr="00EF3210">
        <w:rPr>
          <w:sz w:val="22"/>
          <w:szCs w:val="22"/>
          <w:lang w:val="sr-Latn-CS"/>
        </w:rPr>
        <w:t>lij</w:t>
      </w:r>
      <w:r w:rsidRPr="00EF3210">
        <w:rPr>
          <w:sz w:val="22"/>
          <w:szCs w:val="22"/>
          <w:lang w:val="sr-Latn-CS"/>
        </w:rPr>
        <w:t>eči. Ako dođe do višestrukih lezija, prom</w:t>
      </w:r>
      <w:r w:rsidR="00D36849" w:rsidRPr="00EF3210">
        <w:rPr>
          <w:sz w:val="22"/>
          <w:szCs w:val="22"/>
          <w:lang w:val="sr-Latn-CS"/>
        </w:rPr>
        <w:t>ij</w:t>
      </w:r>
      <w:r w:rsidRPr="00EF3210">
        <w:rPr>
          <w:sz w:val="22"/>
          <w:szCs w:val="22"/>
          <w:lang w:val="sr-Latn-CS"/>
        </w:rPr>
        <w:t>eniti m</w:t>
      </w:r>
      <w:r w:rsidR="00D36849" w:rsidRPr="00EF3210">
        <w:rPr>
          <w:sz w:val="22"/>
          <w:szCs w:val="22"/>
          <w:lang w:val="sr-Latn-CS"/>
        </w:rPr>
        <w:t>j</w:t>
      </w:r>
      <w:r w:rsidRPr="00EF3210">
        <w:rPr>
          <w:sz w:val="22"/>
          <w:szCs w:val="22"/>
          <w:lang w:val="sr-Latn-CS"/>
        </w:rPr>
        <w:t>esto injektovanja ili prekinuti terapiju dok ne dođe do zarastanja.</w:t>
      </w:r>
    </w:p>
    <w:p w14:paraId="013EA0FE" w14:textId="77777777" w:rsidR="00057E35" w:rsidRPr="00EF3210" w:rsidRDefault="00057E35" w:rsidP="00D3709E">
      <w:pPr>
        <w:tabs>
          <w:tab w:val="left" w:pos="540"/>
          <w:tab w:val="left" w:pos="569"/>
        </w:tabs>
        <w:jc w:val="both"/>
        <w:rPr>
          <w:bCs/>
          <w:sz w:val="22"/>
          <w:szCs w:val="22"/>
        </w:rPr>
      </w:pPr>
    </w:p>
    <w:p w14:paraId="5AB2F129" w14:textId="77777777" w:rsidR="00411B4B" w:rsidRPr="00786071" w:rsidRDefault="00411B4B" w:rsidP="00D3709E">
      <w:pPr>
        <w:tabs>
          <w:tab w:val="left" w:pos="540"/>
          <w:tab w:val="left" w:pos="569"/>
        </w:tabs>
        <w:jc w:val="both"/>
        <w:rPr>
          <w:b/>
          <w:bCs/>
          <w:sz w:val="22"/>
          <w:szCs w:val="22"/>
        </w:rPr>
      </w:pPr>
      <w:r w:rsidRPr="00786071">
        <w:rPr>
          <w:b/>
          <w:bCs/>
          <w:sz w:val="22"/>
          <w:szCs w:val="22"/>
        </w:rPr>
        <w:t>4.5.</w:t>
      </w:r>
      <w:r w:rsidR="000D60CC">
        <w:rPr>
          <w:b/>
          <w:bCs/>
          <w:sz w:val="22"/>
          <w:szCs w:val="22"/>
        </w:rPr>
        <w:tab/>
      </w:r>
      <w:r w:rsidRPr="00786071">
        <w:rPr>
          <w:b/>
          <w:bCs/>
          <w:sz w:val="22"/>
          <w:szCs w:val="22"/>
        </w:rPr>
        <w:t>Interakcije sa drugim ljekovima i druge vrste interakcija</w:t>
      </w:r>
    </w:p>
    <w:p w14:paraId="1DDA9747" w14:textId="77777777" w:rsidR="0072020E" w:rsidRDefault="0072020E" w:rsidP="00D3709E">
      <w:pPr>
        <w:tabs>
          <w:tab w:val="left" w:pos="540"/>
          <w:tab w:val="left" w:pos="569"/>
        </w:tabs>
        <w:jc w:val="both"/>
        <w:rPr>
          <w:bCs/>
          <w:sz w:val="22"/>
          <w:szCs w:val="22"/>
        </w:rPr>
      </w:pPr>
    </w:p>
    <w:p w14:paraId="65EA3484"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 xml:space="preserve">Nije bilo formalno sprovedenih studija kod ljudi. </w:t>
      </w:r>
    </w:p>
    <w:p w14:paraId="64ED8EDB" w14:textId="77777777" w:rsidR="00EF6805" w:rsidRPr="00D7338C" w:rsidRDefault="00EF6805" w:rsidP="00D3709E">
      <w:pPr>
        <w:tabs>
          <w:tab w:val="center" w:pos="4536"/>
          <w:tab w:val="right" w:pos="9072"/>
        </w:tabs>
        <w:jc w:val="both"/>
        <w:rPr>
          <w:sz w:val="22"/>
          <w:szCs w:val="22"/>
          <w:lang w:val="sr-Latn-CS"/>
        </w:rPr>
      </w:pPr>
    </w:p>
    <w:p w14:paraId="088E5EC6"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Interakcije lijeka AVONEX sa kortikosteroidima ili adrenokortikotropnim hormonom (ACTH) nisu bile sistematski ispitivane. Kliničke studije pokazuju da pacijenti sa MS mogu primati lijek AVONEX i kortikosteroide ili ACTH tokom relapsa.</w:t>
      </w:r>
    </w:p>
    <w:p w14:paraId="58D68508" w14:textId="77777777" w:rsidR="00EF6805" w:rsidRDefault="00EF6805" w:rsidP="00D3709E">
      <w:pPr>
        <w:tabs>
          <w:tab w:val="left" w:pos="284"/>
          <w:tab w:val="center" w:pos="4536"/>
          <w:tab w:val="right" w:pos="9072"/>
        </w:tabs>
        <w:jc w:val="both"/>
        <w:rPr>
          <w:sz w:val="22"/>
          <w:szCs w:val="22"/>
          <w:lang w:val="sr-Latn-CS"/>
        </w:rPr>
      </w:pPr>
    </w:p>
    <w:p w14:paraId="38BA591A" w14:textId="77777777" w:rsidR="00EF6805" w:rsidRPr="00D7338C" w:rsidRDefault="00411B3E" w:rsidP="00D3709E">
      <w:pPr>
        <w:tabs>
          <w:tab w:val="left" w:pos="284"/>
          <w:tab w:val="center" w:pos="4536"/>
          <w:tab w:val="right" w:pos="9072"/>
        </w:tabs>
        <w:jc w:val="both"/>
        <w:rPr>
          <w:sz w:val="22"/>
          <w:szCs w:val="22"/>
          <w:lang w:val="sr-Latn-CS"/>
        </w:rPr>
      </w:pPr>
      <w:r>
        <w:rPr>
          <w:sz w:val="22"/>
          <w:szCs w:val="22"/>
          <w:lang w:val="sr-Latn-CS"/>
        </w:rPr>
        <w:t xml:space="preserve"> Utvrđeno</w:t>
      </w:r>
      <w:r w:rsidR="00EF6805" w:rsidRPr="00D7338C">
        <w:rPr>
          <w:sz w:val="22"/>
          <w:szCs w:val="22"/>
          <w:lang w:val="sr-Latn-CS"/>
        </w:rPr>
        <w:t xml:space="preserve"> je da interferoni smanjuju aktivnost hepatičkih citohrom P450-zavisnih enzima kod ljudi i životinja. Ocijenjen je efekat primjene visoke doze lijeka </w:t>
      </w:r>
      <w:r w:rsidR="00EF6805">
        <w:rPr>
          <w:sz w:val="22"/>
          <w:szCs w:val="22"/>
          <w:lang w:val="sr-Latn-CS"/>
        </w:rPr>
        <w:t>AVONEX</w:t>
      </w:r>
      <w:r w:rsidR="00EF6805" w:rsidRPr="00D7338C">
        <w:rPr>
          <w:sz w:val="22"/>
          <w:szCs w:val="22"/>
          <w:lang w:val="sr-Latn-CS"/>
        </w:rPr>
        <w:t xml:space="preserve"> na P450-zavisni metabolizam kod majmuna. Nisu primijećene promjene metaboličkih mogućnosti jetre. Oprez je potreban kada se lijek AVONEX primjenjuje u kombinaciji sa ljekovima koji imaju uzak terapijski indeks i čiji klirens jako zavisi od enzimskog hepatičkog P450 sistema, npr. </w:t>
      </w:r>
      <w:r w:rsidRPr="00D7338C">
        <w:rPr>
          <w:sz w:val="22"/>
          <w:szCs w:val="22"/>
          <w:lang w:val="sr-Latn-CS"/>
        </w:rPr>
        <w:t xml:space="preserve">neke grupe </w:t>
      </w:r>
      <w:r>
        <w:rPr>
          <w:sz w:val="22"/>
          <w:szCs w:val="22"/>
          <w:lang w:val="sr-Latn-CS"/>
        </w:rPr>
        <w:t>antiepileptika</w:t>
      </w:r>
      <w:r w:rsidR="00EF6805">
        <w:rPr>
          <w:sz w:val="22"/>
          <w:szCs w:val="22"/>
          <w:lang w:val="sr-Latn-CS"/>
        </w:rPr>
        <w:t xml:space="preserve"> i </w:t>
      </w:r>
      <w:r w:rsidR="00EF6805" w:rsidRPr="00D7338C">
        <w:rPr>
          <w:sz w:val="22"/>
          <w:szCs w:val="22"/>
          <w:lang w:val="sr-Latn-CS"/>
        </w:rPr>
        <w:t>antidepresiv</w:t>
      </w:r>
      <w:r>
        <w:rPr>
          <w:sz w:val="22"/>
          <w:szCs w:val="22"/>
          <w:lang w:val="sr-Latn-CS"/>
        </w:rPr>
        <w:t>i</w:t>
      </w:r>
      <w:r w:rsidR="00EF6805" w:rsidRPr="00D7338C">
        <w:rPr>
          <w:sz w:val="22"/>
          <w:szCs w:val="22"/>
          <w:lang w:val="sr-Latn-CS"/>
        </w:rPr>
        <w:t>.</w:t>
      </w:r>
    </w:p>
    <w:p w14:paraId="5FF90213" w14:textId="77777777" w:rsidR="00EF6805" w:rsidRPr="00786071" w:rsidRDefault="00EF6805" w:rsidP="00D3709E">
      <w:pPr>
        <w:tabs>
          <w:tab w:val="left" w:pos="540"/>
          <w:tab w:val="left" w:pos="569"/>
        </w:tabs>
        <w:jc w:val="both"/>
        <w:rPr>
          <w:bCs/>
          <w:sz w:val="22"/>
          <w:szCs w:val="22"/>
        </w:rPr>
      </w:pPr>
    </w:p>
    <w:p w14:paraId="6ED1859D" w14:textId="77777777" w:rsidR="0072020E" w:rsidRDefault="0072020E" w:rsidP="00D3709E">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76FFDBC2" w14:textId="77777777" w:rsidR="002031B3" w:rsidRDefault="002031B3" w:rsidP="00D3709E">
      <w:pPr>
        <w:tabs>
          <w:tab w:val="left" w:pos="540"/>
          <w:tab w:val="left" w:pos="569"/>
        </w:tabs>
        <w:jc w:val="both"/>
        <w:rPr>
          <w:sz w:val="22"/>
          <w:szCs w:val="22"/>
          <w:u w:val="single"/>
        </w:rPr>
      </w:pPr>
    </w:p>
    <w:p w14:paraId="509E87E7" w14:textId="77777777" w:rsidR="002031B3" w:rsidRDefault="002031B3" w:rsidP="00D3709E">
      <w:pPr>
        <w:tabs>
          <w:tab w:val="left" w:pos="540"/>
          <w:tab w:val="left" w:pos="569"/>
        </w:tabs>
        <w:jc w:val="both"/>
        <w:rPr>
          <w:sz w:val="22"/>
          <w:szCs w:val="22"/>
          <w:u w:val="single"/>
        </w:rPr>
      </w:pPr>
      <w:r w:rsidRPr="007A3ECB">
        <w:rPr>
          <w:sz w:val="22"/>
          <w:szCs w:val="22"/>
          <w:u w:val="single"/>
        </w:rPr>
        <w:t>Plodnost</w:t>
      </w:r>
    </w:p>
    <w:p w14:paraId="6CD08E72" w14:textId="77777777" w:rsidR="00EF6805" w:rsidRDefault="00EF6805" w:rsidP="00D3709E">
      <w:pPr>
        <w:tabs>
          <w:tab w:val="left" w:pos="540"/>
          <w:tab w:val="left" w:pos="569"/>
        </w:tabs>
        <w:jc w:val="both"/>
        <w:rPr>
          <w:sz w:val="22"/>
          <w:szCs w:val="22"/>
          <w:u w:val="single"/>
        </w:rPr>
      </w:pPr>
    </w:p>
    <w:p w14:paraId="17F589FA" w14:textId="77777777" w:rsidR="00EF6805" w:rsidRPr="00702C57" w:rsidRDefault="00EF6805" w:rsidP="00D3709E">
      <w:pPr>
        <w:pStyle w:val="Default"/>
        <w:jc w:val="both"/>
        <w:rPr>
          <w:rFonts w:ascii="Times New Roman" w:hAnsi="Times New Roman" w:cs="Times New Roman"/>
          <w:sz w:val="22"/>
          <w:szCs w:val="22"/>
        </w:rPr>
      </w:pPr>
      <w:r w:rsidRPr="00702C57">
        <w:rPr>
          <w:rFonts w:ascii="Times New Roman" w:hAnsi="Times New Roman" w:cs="Times New Roman"/>
          <w:sz w:val="22"/>
          <w:szCs w:val="22"/>
        </w:rPr>
        <w:t xml:space="preserve">Provedena su ispitivanja plodnosti i razvoja na rhesus majmunima sa srodnim oblicima interferona beta-1a. Davanje vrlo visokih doza lijeka testiranim životinjama pokazalo je anovulatorne i abortivne efekte (vidjeti dio 5.3). </w:t>
      </w:r>
    </w:p>
    <w:p w14:paraId="41BAF84A" w14:textId="77777777" w:rsidR="00EF6805" w:rsidRDefault="00EF6805" w:rsidP="00D3709E">
      <w:pPr>
        <w:tabs>
          <w:tab w:val="left" w:pos="284"/>
          <w:tab w:val="center" w:pos="4536"/>
          <w:tab w:val="right" w:pos="9072"/>
        </w:tabs>
        <w:jc w:val="both"/>
        <w:rPr>
          <w:sz w:val="22"/>
          <w:szCs w:val="22"/>
        </w:rPr>
      </w:pPr>
    </w:p>
    <w:p w14:paraId="3CD3F8C3" w14:textId="77777777" w:rsidR="00EF6805" w:rsidRPr="00D7338C" w:rsidRDefault="00EF6805" w:rsidP="00D3709E">
      <w:pPr>
        <w:tabs>
          <w:tab w:val="left" w:pos="284"/>
          <w:tab w:val="center" w:pos="4536"/>
          <w:tab w:val="right" w:pos="9072"/>
        </w:tabs>
        <w:jc w:val="both"/>
        <w:rPr>
          <w:sz w:val="22"/>
          <w:szCs w:val="22"/>
        </w:rPr>
      </w:pPr>
      <w:r w:rsidRPr="00D7338C">
        <w:rPr>
          <w:sz w:val="22"/>
          <w:szCs w:val="22"/>
        </w:rPr>
        <w:t>Nema dostupnih informacija o efektima interferona beta-1a na mušku plodnost.</w:t>
      </w:r>
    </w:p>
    <w:p w14:paraId="2AFB2E6D" w14:textId="77777777" w:rsidR="00EF6805" w:rsidRDefault="00EF6805" w:rsidP="00D3709E">
      <w:pPr>
        <w:tabs>
          <w:tab w:val="left" w:pos="540"/>
          <w:tab w:val="left" w:pos="569"/>
        </w:tabs>
        <w:jc w:val="both"/>
        <w:rPr>
          <w:sz w:val="22"/>
          <w:szCs w:val="22"/>
          <w:u w:val="single"/>
        </w:rPr>
      </w:pPr>
    </w:p>
    <w:p w14:paraId="0130E06C" w14:textId="77777777" w:rsidR="007A3ECB" w:rsidRDefault="007A3ECB" w:rsidP="00D3709E">
      <w:pPr>
        <w:tabs>
          <w:tab w:val="left" w:pos="540"/>
          <w:tab w:val="left" w:pos="569"/>
        </w:tabs>
        <w:jc w:val="both"/>
        <w:rPr>
          <w:sz w:val="22"/>
          <w:szCs w:val="22"/>
          <w:u w:val="single"/>
        </w:rPr>
      </w:pPr>
      <w:r w:rsidRPr="007A3ECB">
        <w:rPr>
          <w:sz w:val="22"/>
          <w:szCs w:val="22"/>
          <w:u w:val="single"/>
        </w:rPr>
        <w:t>Trudnoća</w:t>
      </w:r>
    </w:p>
    <w:p w14:paraId="4B1E3406" w14:textId="77777777" w:rsidR="00EF6805" w:rsidRPr="007A3ECB" w:rsidRDefault="00EF6805" w:rsidP="00D3709E">
      <w:pPr>
        <w:tabs>
          <w:tab w:val="left" w:pos="540"/>
          <w:tab w:val="left" w:pos="569"/>
        </w:tabs>
        <w:jc w:val="both"/>
        <w:rPr>
          <w:sz w:val="22"/>
          <w:szCs w:val="22"/>
          <w:u w:val="single"/>
        </w:rPr>
      </w:pPr>
    </w:p>
    <w:p w14:paraId="60BEAB23" w14:textId="77777777" w:rsidR="00EF6805" w:rsidRDefault="00EF6805" w:rsidP="00D3709E">
      <w:pPr>
        <w:jc w:val="both"/>
        <w:rPr>
          <w:sz w:val="22"/>
          <w:szCs w:val="22"/>
        </w:rPr>
      </w:pPr>
      <w:r w:rsidRPr="00FD142D">
        <w:rPr>
          <w:sz w:val="22"/>
          <w:szCs w:val="22"/>
        </w:rPr>
        <w:lastRenderedPageBreak/>
        <w:t>Veliki broj podataka (više od 1000 ishoda trudnoće) iz registara i iskustva nakon stavljanja l</w:t>
      </w:r>
      <w:r>
        <w:rPr>
          <w:sz w:val="22"/>
          <w:szCs w:val="22"/>
        </w:rPr>
        <w:t>ij</w:t>
      </w:r>
      <w:r w:rsidRPr="00FD142D">
        <w:rPr>
          <w:sz w:val="22"/>
          <w:szCs w:val="22"/>
        </w:rPr>
        <w:t>eka u promet ukazuje na to da ne postoji pov</w:t>
      </w:r>
      <w:r>
        <w:rPr>
          <w:sz w:val="22"/>
          <w:szCs w:val="22"/>
        </w:rPr>
        <w:t>j</w:t>
      </w:r>
      <w:r w:rsidRPr="00FD142D">
        <w:rPr>
          <w:sz w:val="22"/>
          <w:szCs w:val="22"/>
        </w:rPr>
        <w:t>ećani rizik od značajnih kongenitalnih anomalija nakon izlaganja interferonu-beta pr</w:t>
      </w:r>
      <w:r>
        <w:rPr>
          <w:sz w:val="22"/>
          <w:szCs w:val="22"/>
        </w:rPr>
        <w:t>ij</w:t>
      </w:r>
      <w:r w:rsidRPr="00FD142D">
        <w:rPr>
          <w:sz w:val="22"/>
          <w:szCs w:val="22"/>
        </w:rPr>
        <w:t>e začeća ili tokom prvog trimestra trudnoće. Međutim, trajanje izlaganja tokom prvog trimestra nije pouzdano, jer su podaci prikupljani u trenutku kada je interferon beta bio kontraindikovan tokom trudnoće, a l</w:t>
      </w:r>
      <w:r>
        <w:rPr>
          <w:sz w:val="22"/>
          <w:szCs w:val="22"/>
        </w:rPr>
        <w:t>ij</w:t>
      </w:r>
      <w:r w:rsidRPr="00FD142D">
        <w:rPr>
          <w:sz w:val="22"/>
          <w:szCs w:val="22"/>
        </w:rPr>
        <w:t>ečenje v</w:t>
      </w:r>
      <w:r>
        <w:rPr>
          <w:sz w:val="22"/>
          <w:szCs w:val="22"/>
        </w:rPr>
        <w:t>j</w:t>
      </w:r>
      <w:r w:rsidRPr="00FD142D">
        <w:rPr>
          <w:sz w:val="22"/>
          <w:szCs w:val="22"/>
        </w:rPr>
        <w:t>erovatno prekidano čim bi se otkrila i/ili potvrdila trudnoća. Iskustva sa izlaganjem tokom drugog i trećeg trimestra su vrlo ograničena.</w:t>
      </w:r>
    </w:p>
    <w:p w14:paraId="0DB844AB" w14:textId="77777777" w:rsidR="00EF6805" w:rsidRPr="007D0AA6" w:rsidRDefault="00EF6805" w:rsidP="00D3709E">
      <w:pPr>
        <w:jc w:val="both"/>
        <w:rPr>
          <w:sz w:val="22"/>
          <w:szCs w:val="22"/>
        </w:rPr>
      </w:pPr>
      <w:r w:rsidRPr="007D0AA6">
        <w:rPr>
          <w:sz w:val="22"/>
          <w:szCs w:val="22"/>
        </w:rPr>
        <w:t>Ispitivanja na životnjama (vid</w:t>
      </w:r>
      <w:r>
        <w:rPr>
          <w:sz w:val="22"/>
          <w:szCs w:val="22"/>
        </w:rPr>
        <w:t>j</w:t>
      </w:r>
      <w:r w:rsidRPr="007D0AA6">
        <w:rPr>
          <w:sz w:val="22"/>
          <w:szCs w:val="22"/>
        </w:rPr>
        <w:t xml:space="preserve">eti </w:t>
      </w:r>
      <w:r w:rsidR="002013EF">
        <w:rPr>
          <w:sz w:val="22"/>
          <w:szCs w:val="22"/>
        </w:rPr>
        <w:t>dio</w:t>
      </w:r>
      <w:r w:rsidR="002013EF" w:rsidRPr="007D0AA6">
        <w:rPr>
          <w:sz w:val="22"/>
          <w:szCs w:val="22"/>
        </w:rPr>
        <w:t xml:space="preserve"> </w:t>
      </w:r>
      <w:r w:rsidRPr="007D0AA6">
        <w:rPr>
          <w:sz w:val="22"/>
          <w:szCs w:val="22"/>
        </w:rPr>
        <w:t>5.3) pokazala su da postoji mogućnost povećanog rizika za spontani pobačaj. Rizik za spontani pobačaj kod trudnica izloženih interferonu beta ne može se adekvatno proc</w:t>
      </w:r>
      <w:r>
        <w:rPr>
          <w:sz w:val="22"/>
          <w:szCs w:val="22"/>
        </w:rPr>
        <w:t>ij</w:t>
      </w:r>
      <w:r w:rsidRPr="007D0AA6">
        <w:rPr>
          <w:sz w:val="22"/>
          <w:szCs w:val="22"/>
        </w:rPr>
        <w:t>eniti na osnovu postojećih podataka, ali oni za sada ne ukazuju na pov</w:t>
      </w:r>
      <w:r>
        <w:rPr>
          <w:sz w:val="22"/>
          <w:szCs w:val="22"/>
        </w:rPr>
        <w:t>j</w:t>
      </w:r>
      <w:r w:rsidRPr="007D0AA6">
        <w:rPr>
          <w:sz w:val="22"/>
          <w:szCs w:val="22"/>
        </w:rPr>
        <w:t>ećani rizik.</w:t>
      </w:r>
    </w:p>
    <w:p w14:paraId="712F1DA0" w14:textId="77777777" w:rsidR="00EF6805" w:rsidRPr="007D0AA6" w:rsidRDefault="00EF6805" w:rsidP="00D3709E">
      <w:pPr>
        <w:jc w:val="both"/>
        <w:rPr>
          <w:sz w:val="22"/>
          <w:szCs w:val="22"/>
        </w:rPr>
      </w:pPr>
    </w:p>
    <w:p w14:paraId="3790643C" w14:textId="77777777" w:rsidR="00EF6805" w:rsidRPr="00FD142D" w:rsidRDefault="00EF6805" w:rsidP="00D3709E">
      <w:pPr>
        <w:jc w:val="both"/>
        <w:rPr>
          <w:sz w:val="22"/>
          <w:szCs w:val="22"/>
        </w:rPr>
      </w:pPr>
      <w:r w:rsidRPr="007D0AA6">
        <w:rPr>
          <w:sz w:val="22"/>
          <w:szCs w:val="22"/>
        </w:rPr>
        <w:t>U slučaju kliničke potrebe, prim</w:t>
      </w:r>
      <w:r>
        <w:rPr>
          <w:sz w:val="22"/>
          <w:szCs w:val="22"/>
        </w:rPr>
        <w:t>j</w:t>
      </w:r>
      <w:r w:rsidRPr="007D0AA6">
        <w:rPr>
          <w:sz w:val="22"/>
          <w:szCs w:val="22"/>
        </w:rPr>
        <w:t>ena l</w:t>
      </w:r>
      <w:r>
        <w:rPr>
          <w:sz w:val="22"/>
          <w:szCs w:val="22"/>
        </w:rPr>
        <w:t>ij</w:t>
      </w:r>
      <w:r w:rsidRPr="007D0AA6">
        <w:rPr>
          <w:sz w:val="22"/>
          <w:szCs w:val="22"/>
        </w:rPr>
        <w:t>eka Avonex tokom trudnoće može doći u obzir.</w:t>
      </w:r>
    </w:p>
    <w:p w14:paraId="396214DC" w14:textId="77777777" w:rsidR="002031B3" w:rsidRDefault="002031B3" w:rsidP="00D3709E">
      <w:pPr>
        <w:tabs>
          <w:tab w:val="left" w:pos="540"/>
          <w:tab w:val="left" w:pos="569"/>
        </w:tabs>
        <w:jc w:val="both"/>
        <w:rPr>
          <w:sz w:val="22"/>
          <w:szCs w:val="22"/>
          <w:u w:val="single"/>
        </w:rPr>
      </w:pPr>
    </w:p>
    <w:p w14:paraId="02C70535" w14:textId="77777777" w:rsidR="0072020E" w:rsidRDefault="007A3ECB" w:rsidP="00D3709E">
      <w:pPr>
        <w:tabs>
          <w:tab w:val="left" w:pos="540"/>
          <w:tab w:val="left" w:pos="569"/>
        </w:tabs>
        <w:jc w:val="both"/>
        <w:rPr>
          <w:sz w:val="22"/>
          <w:szCs w:val="22"/>
          <w:u w:val="single"/>
        </w:rPr>
      </w:pPr>
      <w:r w:rsidRPr="007A3ECB">
        <w:rPr>
          <w:sz w:val="22"/>
          <w:szCs w:val="22"/>
          <w:u w:val="single"/>
        </w:rPr>
        <w:t xml:space="preserve">Dojenje </w:t>
      </w:r>
    </w:p>
    <w:p w14:paraId="281F6818" w14:textId="77777777" w:rsidR="00EF6805" w:rsidRDefault="00EF6805" w:rsidP="00D3709E">
      <w:pPr>
        <w:tabs>
          <w:tab w:val="left" w:pos="540"/>
          <w:tab w:val="left" w:pos="569"/>
        </w:tabs>
        <w:jc w:val="both"/>
        <w:rPr>
          <w:sz w:val="22"/>
          <w:szCs w:val="22"/>
          <w:u w:val="single"/>
        </w:rPr>
      </w:pPr>
    </w:p>
    <w:p w14:paraId="57E93025" w14:textId="77777777" w:rsidR="00EF6805" w:rsidRPr="00FD142D" w:rsidRDefault="00EF6805" w:rsidP="00D3709E">
      <w:pPr>
        <w:jc w:val="both"/>
        <w:rPr>
          <w:sz w:val="22"/>
          <w:szCs w:val="22"/>
        </w:rPr>
      </w:pPr>
      <w:r w:rsidRPr="00FD142D">
        <w:rPr>
          <w:sz w:val="22"/>
          <w:szCs w:val="22"/>
        </w:rPr>
        <w:t>Dostupni su ograničeni podaci o p</w:t>
      </w:r>
      <w:r>
        <w:rPr>
          <w:sz w:val="22"/>
          <w:szCs w:val="22"/>
        </w:rPr>
        <w:t>re</w:t>
      </w:r>
      <w:r w:rsidRPr="00FD142D">
        <w:rPr>
          <w:sz w:val="22"/>
          <w:szCs w:val="22"/>
        </w:rPr>
        <w:t>nosu interferona beta-1a u majčino ml</w:t>
      </w:r>
      <w:r>
        <w:rPr>
          <w:sz w:val="22"/>
          <w:szCs w:val="22"/>
        </w:rPr>
        <w:t>ij</w:t>
      </w:r>
      <w:r w:rsidRPr="00FD142D">
        <w:rPr>
          <w:sz w:val="22"/>
          <w:szCs w:val="22"/>
        </w:rPr>
        <w:t>eko, koji, zajedno sa hemijskim/fiziološkim karakteristikama interferona beta, ukazuju na to da su nivoi interferona beta-1a izlučeni u humano ml</w:t>
      </w:r>
      <w:r>
        <w:rPr>
          <w:sz w:val="22"/>
          <w:szCs w:val="22"/>
        </w:rPr>
        <w:t>ij</w:t>
      </w:r>
      <w:r w:rsidRPr="00FD142D">
        <w:rPr>
          <w:sz w:val="22"/>
          <w:szCs w:val="22"/>
        </w:rPr>
        <w:t>eko zanemarljivi. Ne očekuju se nikakvi štetni efekti na odojče/novorođenče.</w:t>
      </w:r>
    </w:p>
    <w:p w14:paraId="27E8DA9A" w14:textId="77777777" w:rsidR="00EF6805" w:rsidRPr="00FD142D" w:rsidRDefault="00EF6805" w:rsidP="00D3709E">
      <w:pPr>
        <w:jc w:val="both"/>
        <w:rPr>
          <w:sz w:val="22"/>
          <w:szCs w:val="22"/>
        </w:rPr>
      </w:pPr>
    </w:p>
    <w:p w14:paraId="2B1713A6" w14:textId="77777777" w:rsidR="00EF6805" w:rsidRPr="00EF6805" w:rsidRDefault="00EF6805" w:rsidP="00D3709E">
      <w:pPr>
        <w:pStyle w:val="Default"/>
        <w:jc w:val="both"/>
        <w:rPr>
          <w:rFonts w:ascii="Times New Roman" w:hAnsi="Times New Roman" w:cs="Times New Roman"/>
          <w:sz w:val="22"/>
          <w:szCs w:val="22"/>
          <w:u w:val="single"/>
        </w:rPr>
      </w:pPr>
      <w:r w:rsidRPr="00FD142D">
        <w:rPr>
          <w:rFonts w:ascii="Times New Roman" w:hAnsi="Times New Roman" w:cs="Times New Roman"/>
          <w:sz w:val="22"/>
          <w:szCs w:val="22"/>
        </w:rPr>
        <w:t>L</w:t>
      </w:r>
      <w:r>
        <w:rPr>
          <w:rFonts w:ascii="Times New Roman" w:hAnsi="Times New Roman" w:cs="Times New Roman"/>
          <w:sz w:val="22"/>
          <w:szCs w:val="22"/>
        </w:rPr>
        <w:t>ij</w:t>
      </w:r>
      <w:r w:rsidRPr="00FD142D">
        <w:rPr>
          <w:rFonts w:ascii="Times New Roman" w:hAnsi="Times New Roman" w:cs="Times New Roman"/>
          <w:sz w:val="22"/>
          <w:szCs w:val="22"/>
        </w:rPr>
        <w:t>ek Avonex se može koristiti tokom dojenja</w:t>
      </w:r>
    </w:p>
    <w:p w14:paraId="2F5988A5" w14:textId="77777777" w:rsidR="00227BDB" w:rsidRDefault="00227BDB" w:rsidP="00D3709E">
      <w:pPr>
        <w:tabs>
          <w:tab w:val="left" w:pos="540"/>
          <w:tab w:val="left" w:pos="569"/>
        </w:tabs>
        <w:ind w:left="540" w:hanging="540"/>
        <w:jc w:val="both"/>
        <w:rPr>
          <w:b/>
          <w:bCs/>
          <w:sz w:val="22"/>
          <w:szCs w:val="22"/>
        </w:rPr>
      </w:pPr>
    </w:p>
    <w:p w14:paraId="18DBE468" w14:textId="77777777" w:rsidR="0072020E" w:rsidRDefault="0072020E" w:rsidP="00D3709E">
      <w:pPr>
        <w:tabs>
          <w:tab w:val="left" w:pos="540"/>
          <w:tab w:val="left" w:pos="569"/>
        </w:tabs>
        <w:ind w:left="540" w:hanging="540"/>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46D621AD" w14:textId="77777777" w:rsidR="00EF6805" w:rsidRDefault="00EF6805" w:rsidP="00D3709E">
      <w:pPr>
        <w:tabs>
          <w:tab w:val="left" w:pos="540"/>
          <w:tab w:val="left" w:pos="569"/>
        </w:tabs>
        <w:ind w:left="540" w:hanging="540"/>
        <w:jc w:val="both"/>
        <w:rPr>
          <w:b/>
          <w:bCs/>
          <w:sz w:val="22"/>
          <w:szCs w:val="22"/>
        </w:rPr>
      </w:pPr>
    </w:p>
    <w:p w14:paraId="1FD6D705" w14:textId="77777777" w:rsidR="00EF6805" w:rsidRPr="00D7338C" w:rsidRDefault="00EF6805" w:rsidP="00D3709E">
      <w:pPr>
        <w:tabs>
          <w:tab w:val="left" w:pos="284"/>
        </w:tabs>
        <w:jc w:val="both"/>
        <w:rPr>
          <w:sz w:val="22"/>
          <w:szCs w:val="22"/>
          <w:lang w:val="sr-Latn-CS"/>
        </w:rPr>
      </w:pPr>
      <w:r w:rsidRPr="00D7338C">
        <w:rPr>
          <w:sz w:val="22"/>
          <w:szCs w:val="22"/>
          <w:lang w:val="sr-Latn-CS"/>
        </w:rPr>
        <w:t>Nisu sprovedene studije o efektima lijeka AVONEX na sposobnost upravljanja vozilima i mašinama. Neželjena dejstva na nivou centralnog nervnog sistema mogu imati manji uticaj na sposobnost upravljanja vozilima i mašinama kod osjetljivih pacijenata (vidjeti dio 4.8).</w:t>
      </w:r>
    </w:p>
    <w:p w14:paraId="1003A73F" w14:textId="77777777" w:rsidR="00EF6805" w:rsidRPr="00786071" w:rsidRDefault="00EF6805" w:rsidP="00D3709E">
      <w:pPr>
        <w:tabs>
          <w:tab w:val="left" w:pos="540"/>
          <w:tab w:val="left" w:pos="569"/>
        </w:tabs>
        <w:ind w:left="540" w:hanging="540"/>
        <w:jc w:val="both"/>
        <w:rPr>
          <w:b/>
          <w:bCs/>
          <w:sz w:val="22"/>
          <w:szCs w:val="22"/>
        </w:rPr>
      </w:pPr>
    </w:p>
    <w:p w14:paraId="7733D9D9" w14:textId="77777777" w:rsidR="0072020E" w:rsidRDefault="0072020E" w:rsidP="00D3709E">
      <w:pPr>
        <w:tabs>
          <w:tab w:val="left" w:pos="540"/>
          <w:tab w:val="left" w:pos="569"/>
        </w:tabs>
        <w:jc w:val="both"/>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1B39625B" w14:textId="77777777" w:rsidR="00EF6805" w:rsidRDefault="00EF6805" w:rsidP="00D3709E">
      <w:pPr>
        <w:tabs>
          <w:tab w:val="left" w:pos="540"/>
          <w:tab w:val="left" w:pos="569"/>
        </w:tabs>
        <w:jc w:val="both"/>
        <w:rPr>
          <w:b/>
          <w:bCs/>
          <w:sz w:val="22"/>
          <w:szCs w:val="22"/>
        </w:rPr>
      </w:pPr>
    </w:p>
    <w:p w14:paraId="037EEEBD"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Najčešća neželjena dejstva vezana za terapiju lijekom AVONEX su povezana sa simptomima sličnim gripu. Najčešće prijavljeni simptomi slični gripu su mialgija,</w:t>
      </w:r>
      <w:r w:rsidR="00411B3E">
        <w:rPr>
          <w:sz w:val="22"/>
          <w:szCs w:val="22"/>
          <w:lang w:val="sr-Latn-CS"/>
        </w:rPr>
        <w:t xml:space="preserve"> povišena t</w:t>
      </w:r>
      <w:r w:rsidR="00D7481A">
        <w:rPr>
          <w:sz w:val="22"/>
          <w:szCs w:val="22"/>
          <w:lang w:val="sr-Latn-CS"/>
        </w:rPr>
        <w:t>j</w:t>
      </w:r>
      <w:r w:rsidR="00411B3E">
        <w:rPr>
          <w:sz w:val="22"/>
          <w:szCs w:val="22"/>
          <w:lang w:val="sr-Latn-CS"/>
        </w:rPr>
        <w:t>elesna</w:t>
      </w:r>
      <w:r w:rsidRPr="00D7338C">
        <w:rPr>
          <w:sz w:val="22"/>
          <w:szCs w:val="22"/>
          <w:lang w:val="sr-Latn-CS"/>
        </w:rPr>
        <w:t xml:space="preserve"> temperatura, groznica, znojenje, astenija, glavobolja i mučnina. Titriranje lijeka AVONEX na početku terapije pokazalo je smanjenje ozbiljnosti i učestalosti simptoma sličnih gripu. Simptomi slični gripu su najizraženiji na početku terapije i učestalost im opada sa nastavkom liječenja.</w:t>
      </w:r>
    </w:p>
    <w:p w14:paraId="37998C8C" w14:textId="77777777" w:rsidR="00EF6805" w:rsidRDefault="00EF6805" w:rsidP="00D3709E">
      <w:pPr>
        <w:tabs>
          <w:tab w:val="center" w:pos="4536"/>
          <w:tab w:val="right" w:pos="9072"/>
        </w:tabs>
        <w:jc w:val="both"/>
        <w:rPr>
          <w:sz w:val="22"/>
          <w:szCs w:val="22"/>
          <w:lang w:val="sr-Latn-CS"/>
        </w:rPr>
      </w:pPr>
    </w:p>
    <w:p w14:paraId="18B1A011"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 xml:space="preserve">Prolazni neurološki simptomi koji mogu biti slični pogoršanju MS mogu se javiti nakon injiciranja. Prolazne epizode hipertonije i/ili teške mišićne slabosti koje sprečavaju voljne pokrete mogu se javiti bilo kada tokom liječenja. Ove epizode su ograničenog trajanja, povremeno povezane sa injiciranjem i mogu se ponoviti nakon kasnijih injiciranja. U nekim slučajevima ovi simptomi su povezani sa simptomima sličnim gripu. </w:t>
      </w:r>
    </w:p>
    <w:p w14:paraId="71567168" w14:textId="77777777" w:rsidR="00EF6805" w:rsidRDefault="00EF6805" w:rsidP="00D3709E">
      <w:pPr>
        <w:tabs>
          <w:tab w:val="center" w:pos="4536"/>
          <w:tab w:val="right" w:pos="9072"/>
        </w:tabs>
        <w:jc w:val="both"/>
        <w:rPr>
          <w:sz w:val="22"/>
          <w:szCs w:val="22"/>
          <w:lang w:val="sr-Latn-CS"/>
        </w:rPr>
      </w:pPr>
    </w:p>
    <w:p w14:paraId="1C499CB1"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Učestalost neželjenih dejstava izražena je u pacijent-godinama prema sljedećim kategorijama:</w:t>
      </w:r>
    </w:p>
    <w:p w14:paraId="4F0CFA28" w14:textId="77777777" w:rsidR="00EF6805" w:rsidRPr="00D7338C" w:rsidRDefault="00EF6805" w:rsidP="00D3709E">
      <w:pPr>
        <w:tabs>
          <w:tab w:val="center" w:pos="4536"/>
          <w:tab w:val="right" w:pos="9072"/>
        </w:tabs>
        <w:jc w:val="both"/>
        <w:rPr>
          <w:sz w:val="22"/>
          <w:szCs w:val="22"/>
          <w:lang w:val="sr-Latn-CS"/>
        </w:rPr>
      </w:pPr>
    </w:p>
    <w:p w14:paraId="3FE5B1CA"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V</w:t>
      </w:r>
      <w:r w:rsidR="00411B3E">
        <w:rPr>
          <w:sz w:val="22"/>
          <w:szCs w:val="22"/>
          <w:lang w:val="sr-Latn-CS"/>
        </w:rPr>
        <w:t>eoma</w:t>
      </w:r>
      <w:r w:rsidRPr="00D7338C">
        <w:rPr>
          <w:sz w:val="22"/>
          <w:szCs w:val="22"/>
          <w:lang w:val="sr-Latn-CS"/>
        </w:rPr>
        <w:t xml:space="preserve"> česta (≥</w:t>
      </w:r>
      <w:r w:rsidR="00D7481A">
        <w:rPr>
          <w:sz w:val="22"/>
          <w:szCs w:val="22"/>
          <w:lang w:val="sr-Latn-CS"/>
        </w:rPr>
        <w:t xml:space="preserve"> </w:t>
      </w:r>
      <w:r w:rsidRPr="00D7338C">
        <w:rPr>
          <w:sz w:val="22"/>
          <w:szCs w:val="22"/>
          <w:lang w:val="sr-Latn-CS"/>
        </w:rPr>
        <w:t>1/10 pacijent-godina);</w:t>
      </w:r>
    </w:p>
    <w:p w14:paraId="69E26361"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Česta (≥</w:t>
      </w:r>
      <w:r w:rsidR="00D7481A">
        <w:rPr>
          <w:sz w:val="22"/>
          <w:szCs w:val="22"/>
          <w:lang w:val="sr-Latn-CS"/>
        </w:rPr>
        <w:t xml:space="preserve"> </w:t>
      </w:r>
      <w:r w:rsidRPr="00D7338C">
        <w:rPr>
          <w:sz w:val="22"/>
          <w:szCs w:val="22"/>
          <w:lang w:val="sr-Latn-CS"/>
        </w:rPr>
        <w:t>1/100 do &lt;</w:t>
      </w:r>
      <w:r w:rsidR="00D7481A">
        <w:rPr>
          <w:sz w:val="22"/>
          <w:szCs w:val="22"/>
          <w:lang w:val="sr-Latn-CS"/>
        </w:rPr>
        <w:t xml:space="preserve"> </w:t>
      </w:r>
      <w:r w:rsidRPr="00D7338C">
        <w:rPr>
          <w:sz w:val="22"/>
          <w:szCs w:val="22"/>
          <w:lang w:val="sr-Latn-CS"/>
        </w:rPr>
        <w:t>1/10 pacijent-godina);</w:t>
      </w:r>
    </w:p>
    <w:p w14:paraId="2D0B67A4"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Povremena (≥</w:t>
      </w:r>
      <w:r w:rsidR="00D7481A">
        <w:rPr>
          <w:sz w:val="22"/>
          <w:szCs w:val="22"/>
          <w:lang w:val="sr-Latn-CS"/>
        </w:rPr>
        <w:t xml:space="preserve"> </w:t>
      </w:r>
      <w:r w:rsidRPr="00D7338C">
        <w:rPr>
          <w:sz w:val="22"/>
          <w:szCs w:val="22"/>
          <w:lang w:val="sr-Latn-CS"/>
        </w:rPr>
        <w:t>1/1 000 do &lt;</w:t>
      </w:r>
      <w:r w:rsidR="00D7481A">
        <w:rPr>
          <w:sz w:val="22"/>
          <w:szCs w:val="22"/>
          <w:lang w:val="sr-Latn-CS"/>
        </w:rPr>
        <w:t xml:space="preserve"> </w:t>
      </w:r>
      <w:r w:rsidRPr="00D7338C">
        <w:rPr>
          <w:sz w:val="22"/>
          <w:szCs w:val="22"/>
          <w:lang w:val="sr-Latn-CS"/>
        </w:rPr>
        <w:t>1/100 pacijent-godina);</w:t>
      </w:r>
    </w:p>
    <w:p w14:paraId="2993CB88"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Rijetka (≥</w:t>
      </w:r>
      <w:r w:rsidR="00D7481A">
        <w:rPr>
          <w:sz w:val="22"/>
          <w:szCs w:val="22"/>
          <w:lang w:val="sr-Latn-CS"/>
        </w:rPr>
        <w:t xml:space="preserve"> </w:t>
      </w:r>
      <w:r w:rsidRPr="00D7338C">
        <w:rPr>
          <w:sz w:val="22"/>
          <w:szCs w:val="22"/>
          <w:lang w:val="sr-Latn-CS"/>
        </w:rPr>
        <w:t>1/10 000 do &lt;</w:t>
      </w:r>
      <w:r w:rsidR="00D7481A">
        <w:rPr>
          <w:sz w:val="22"/>
          <w:szCs w:val="22"/>
          <w:lang w:val="sr-Latn-CS"/>
        </w:rPr>
        <w:t xml:space="preserve"> </w:t>
      </w:r>
      <w:r w:rsidRPr="00D7338C">
        <w:rPr>
          <w:sz w:val="22"/>
          <w:szCs w:val="22"/>
          <w:lang w:val="sr-Latn-CS"/>
        </w:rPr>
        <w:t>1/1 000 pacijent-godina);</w:t>
      </w:r>
    </w:p>
    <w:p w14:paraId="25F3E8CA"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V</w:t>
      </w:r>
      <w:r w:rsidR="00411B3E">
        <w:rPr>
          <w:sz w:val="22"/>
          <w:szCs w:val="22"/>
          <w:lang w:val="sr-Latn-CS"/>
        </w:rPr>
        <w:t>eoma</w:t>
      </w:r>
      <w:r w:rsidRPr="00D7338C">
        <w:rPr>
          <w:sz w:val="22"/>
          <w:szCs w:val="22"/>
          <w:lang w:val="sr-Latn-CS"/>
        </w:rPr>
        <w:t xml:space="preserve"> rijetka (&lt;</w:t>
      </w:r>
      <w:r w:rsidR="00D7481A">
        <w:rPr>
          <w:sz w:val="22"/>
          <w:szCs w:val="22"/>
          <w:lang w:val="sr-Latn-CS"/>
        </w:rPr>
        <w:t xml:space="preserve"> </w:t>
      </w:r>
      <w:r w:rsidRPr="00D7338C">
        <w:rPr>
          <w:sz w:val="22"/>
          <w:szCs w:val="22"/>
          <w:lang w:val="sr-Latn-CS"/>
        </w:rPr>
        <w:t>1/10 000 pacijent-godina);</w:t>
      </w:r>
    </w:p>
    <w:p w14:paraId="193652B2"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Nepoznata (ne mogu se procijeniti na osnovu dostupnih podataka).</w:t>
      </w:r>
    </w:p>
    <w:p w14:paraId="540F2AD0" w14:textId="77777777" w:rsidR="00EF6805" w:rsidRDefault="00EF6805" w:rsidP="00D3709E">
      <w:pPr>
        <w:tabs>
          <w:tab w:val="left" w:pos="540"/>
          <w:tab w:val="left" w:pos="569"/>
        </w:tabs>
        <w:jc w:val="both"/>
        <w:rPr>
          <w:b/>
          <w:bCs/>
          <w:sz w:val="22"/>
          <w:szCs w:val="22"/>
        </w:rPr>
      </w:pPr>
    </w:p>
    <w:p w14:paraId="64EA5796"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Pacijent/vrijeme je zbir individualnih jedinica vremena kada je pacijent tokom studije bio izložen lijeku AVONEX prije nego što su nastupila neželjena dejstva. Na primjer, 100 osoba-godina može biti posmatrano kod 100 pacijenata koji su bili liječeni tokom jedne godine ili 200 pacijenata koji su bili liječeni tokom pola godine.</w:t>
      </w:r>
    </w:p>
    <w:p w14:paraId="0D2EF029" w14:textId="77777777" w:rsidR="00EF6805" w:rsidRDefault="00EF6805" w:rsidP="00D3709E">
      <w:pPr>
        <w:tabs>
          <w:tab w:val="center" w:pos="4536"/>
          <w:tab w:val="right" w:pos="9072"/>
        </w:tabs>
        <w:jc w:val="both"/>
        <w:rPr>
          <w:sz w:val="22"/>
          <w:szCs w:val="22"/>
          <w:lang w:val="sr-Latn-CS"/>
        </w:rPr>
      </w:pPr>
    </w:p>
    <w:p w14:paraId="5CC00020"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 xml:space="preserve">Neželjena dejstva otkrivena u studijama (klinička ispitivanja i opservacione studije, </w:t>
      </w:r>
      <w:r w:rsidR="00411B3E">
        <w:rPr>
          <w:sz w:val="22"/>
          <w:szCs w:val="22"/>
          <w:lang w:val="sr-Latn-CS"/>
        </w:rPr>
        <w:t xml:space="preserve">sa periodom praćenja </w:t>
      </w:r>
      <w:r w:rsidRPr="00D7338C">
        <w:rPr>
          <w:sz w:val="22"/>
          <w:szCs w:val="22"/>
          <w:lang w:val="sr-Latn-CS"/>
        </w:rPr>
        <w:t>od dvije do šest godina) i ostala neželjena dejstva otkrivena kroz spontano prijavljivanje na tržištu, sa nepoznatom učestalošću, prikazana su u donjoj tabeli.</w:t>
      </w:r>
    </w:p>
    <w:p w14:paraId="4CD1C469" w14:textId="77777777" w:rsidR="00EF6805" w:rsidRPr="00D7338C" w:rsidRDefault="00EF6805" w:rsidP="00D3709E">
      <w:pPr>
        <w:tabs>
          <w:tab w:val="center" w:pos="4536"/>
          <w:tab w:val="right" w:pos="9072"/>
        </w:tabs>
        <w:jc w:val="both"/>
        <w:rPr>
          <w:sz w:val="22"/>
          <w:szCs w:val="22"/>
          <w:lang w:val="sr-Latn-CS"/>
        </w:rPr>
      </w:pPr>
    </w:p>
    <w:p w14:paraId="2668C27E" w14:textId="77777777" w:rsidR="00EF6805" w:rsidRPr="00D7338C" w:rsidRDefault="00EF6805" w:rsidP="00D3709E">
      <w:pPr>
        <w:tabs>
          <w:tab w:val="center" w:pos="4536"/>
          <w:tab w:val="right" w:pos="9072"/>
        </w:tabs>
        <w:jc w:val="both"/>
        <w:rPr>
          <w:sz w:val="22"/>
          <w:szCs w:val="22"/>
          <w:lang w:val="sr-Latn-CS"/>
        </w:rPr>
      </w:pPr>
      <w:r w:rsidRPr="00D7338C">
        <w:rPr>
          <w:sz w:val="22"/>
          <w:szCs w:val="22"/>
          <w:lang w:val="sr-Latn-CS"/>
        </w:rPr>
        <w:t>U okviru svake grupe učestalosti, neželjena dejstva su predstavljena prema opadajućoj ozbiljnosti.</w:t>
      </w:r>
    </w:p>
    <w:p w14:paraId="1BFA2727" w14:textId="77777777" w:rsidR="00EF6805" w:rsidRDefault="00EF6805" w:rsidP="00EF6805">
      <w:pPr>
        <w:tabs>
          <w:tab w:val="left" w:pos="540"/>
          <w:tab w:val="left" w:pos="569"/>
        </w:tabs>
        <w:rPr>
          <w:b/>
          <w:bCs/>
          <w:sz w:val="22"/>
          <w:szCs w:val="22"/>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979"/>
      </w:tblGrid>
      <w:tr w:rsidR="00EF6805" w:rsidRPr="00D7338C" w14:paraId="6BD17888" w14:textId="77777777" w:rsidTr="009274AD">
        <w:tc>
          <w:tcPr>
            <w:tcW w:w="4978" w:type="dxa"/>
            <w:tcBorders>
              <w:bottom w:val="nil"/>
            </w:tcBorders>
            <w:shd w:val="clear" w:color="auto" w:fill="auto"/>
          </w:tcPr>
          <w:p w14:paraId="66BCD2AA" w14:textId="77777777" w:rsidR="00EF6805" w:rsidRPr="00D7338C" w:rsidRDefault="00EF6805" w:rsidP="009274AD">
            <w:pPr>
              <w:tabs>
                <w:tab w:val="left" w:pos="914"/>
                <w:tab w:val="center" w:pos="4536"/>
                <w:tab w:val="right" w:pos="9072"/>
              </w:tabs>
              <w:rPr>
                <w:b/>
                <w:sz w:val="22"/>
                <w:szCs w:val="22"/>
                <w:lang w:val="sr-Latn-CS"/>
              </w:rPr>
            </w:pPr>
            <w:r w:rsidRPr="00D7338C">
              <w:rPr>
                <w:b/>
                <w:sz w:val="22"/>
                <w:szCs w:val="22"/>
                <w:lang w:val="sr-Latn-CS"/>
              </w:rPr>
              <w:t>Ispitivanja</w:t>
            </w:r>
          </w:p>
        </w:tc>
        <w:tc>
          <w:tcPr>
            <w:tcW w:w="4979" w:type="dxa"/>
            <w:tcBorders>
              <w:bottom w:val="nil"/>
            </w:tcBorders>
            <w:shd w:val="clear" w:color="auto" w:fill="auto"/>
          </w:tcPr>
          <w:p w14:paraId="74EAB93E"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25F0ACDC" w14:textId="77777777" w:rsidTr="009274AD">
        <w:tc>
          <w:tcPr>
            <w:tcW w:w="4978" w:type="dxa"/>
            <w:tcBorders>
              <w:top w:val="nil"/>
              <w:bottom w:val="nil"/>
            </w:tcBorders>
            <w:shd w:val="clear" w:color="auto" w:fill="auto"/>
          </w:tcPr>
          <w:p w14:paraId="5E09E0BB" w14:textId="77777777" w:rsidR="00EF6805" w:rsidRPr="00D7338C" w:rsidRDefault="00EF6805" w:rsidP="009274AD">
            <w:pPr>
              <w:tabs>
                <w:tab w:val="center" w:pos="4536"/>
                <w:tab w:val="right" w:pos="9072"/>
              </w:tabs>
              <w:rPr>
                <w:i/>
                <w:sz w:val="22"/>
                <w:szCs w:val="22"/>
                <w:lang w:val="sr-Latn-CS"/>
              </w:rPr>
            </w:pPr>
          </w:p>
          <w:p w14:paraId="3BFF525B" w14:textId="77777777" w:rsidR="00EF6805" w:rsidRPr="00D7338C" w:rsidRDefault="00A02717" w:rsidP="009274AD">
            <w:pPr>
              <w:tabs>
                <w:tab w:val="center" w:pos="4536"/>
                <w:tab w:val="right" w:pos="9072"/>
              </w:tabs>
              <w:rPr>
                <w:i/>
                <w:sz w:val="22"/>
                <w:szCs w:val="22"/>
                <w:lang w:val="sr-Latn-CS"/>
              </w:rPr>
            </w:pPr>
            <w:r w:rsidRPr="00D7338C">
              <w:rPr>
                <w:i/>
                <w:sz w:val="22"/>
                <w:szCs w:val="22"/>
                <w:lang w:val="sr-Latn-CS"/>
              </w:rPr>
              <w:t>Č</w:t>
            </w:r>
            <w:r w:rsidR="00EF6805" w:rsidRPr="00D7338C">
              <w:rPr>
                <w:i/>
                <w:sz w:val="22"/>
                <w:szCs w:val="22"/>
                <w:lang w:val="sr-Latn-CS"/>
              </w:rPr>
              <w:t>esta</w:t>
            </w:r>
          </w:p>
        </w:tc>
        <w:tc>
          <w:tcPr>
            <w:tcW w:w="4979" w:type="dxa"/>
            <w:tcBorders>
              <w:top w:val="nil"/>
              <w:bottom w:val="nil"/>
            </w:tcBorders>
            <w:shd w:val="clear" w:color="auto" w:fill="auto"/>
          </w:tcPr>
          <w:p w14:paraId="4D074087" w14:textId="77777777" w:rsidR="00EF6805" w:rsidRPr="00D7338C" w:rsidRDefault="00EF6805" w:rsidP="009274AD">
            <w:pPr>
              <w:tabs>
                <w:tab w:val="left" w:pos="914"/>
                <w:tab w:val="center" w:pos="4536"/>
                <w:tab w:val="right" w:pos="9072"/>
              </w:tabs>
              <w:rPr>
                <w:sz w:val="22"/>
                <w:szCs w:val="22"/>
                <w:lang w:val="sr-Latn-CS"/>
              </w:rPr>
            </w:pPr>
          </w:p>
          <w:p w14:paraId="2A436239" w14:textId="77777777" w:rsidR="00EF6805" w:rsidRDefault="00EF6805" w:rsidP="009274AD">
            <w:pPr>
              <w:tabs>
                <w:tab w:val="left" w:pos="914"/>
                <w:tab w:val="center" w:pos="4536"/>
                <w:tab w:val="right" w:pos="9072"/>
              </w:tabs>
              <w:rPr>
                <w:sz w:val="22"/>
                <w:szCs w:val="22"/>
                <w:lang w:val="sr-Latn-CS"/>
              </w:rPr>
            </w:pPr>
            <w:r w:rsidRPr="00D7338C">
              <w:rPr>
                <w:sz w:val="22"/>
                <w:szCs w:val="22"/>
                <w:lang w:val="sr-Latn-CS"/>
              </w:rPr>
              <w:t>smanjenje broja limfocita, smanjenje broja leukocita, smanjenje broja neutrofila, snižen hematokrit, povećanje kalijuma u krvi, povećanje</w:t>
            </w:r>
            <w:r w:rsidR="00411B3E">
              <w:rPr>
                <w:sz w:val="22"/>
                <w:szCs w:val="22"/>
                <w:lang w:val="sr-Latn-CS"/>
              </w:rPr>
              <w:t xml:space="preserve"> koncentracije</w:t>
            </w:r>
            <w:r w:rsidRPr="00D7338C">
              <w:rPr>
                <w:sz w:val="22"/>
                <w:szCs w:val="22"/>
                <w:lang w:val="sr-Latn-CS"/>
              </w:rPr>
              <w:t xml:space="preserve"> azota uree u krvi</w:t>
            </w:r>
          </w:p>
          <w:p w14:paraId="761BDCC0"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4A81DE03" w14:textId="77777777" w:rsidTr="009274AD">
        <w:tc>
          <w:tcPr>
            <w:tcW w:w="4978" w:type="dxa"/>
            <w:tcBorders>
              <w:top w:val="nil"/>
              <w:bottom w:val="nil"/>
            </w:tcBorders>
            <w:shd w:val="clear" w:color="auto" w:fill="auto"/>
          </w:tcPr>
          <w:p w14:paraId="1D24382F" w14:textId="77777777" w:rsidR="00EF6805" w:rsidRPr="00D7338C" w:rsidRDefault="00A02717" w:rsidP="009274AD">
            <w:pPr>
              <w:tabs>
                <w:tab w:val="center" w:pos="4536"/>
                <w:tab w:val="right" w:pos="9072"/>
              </w:tabs>
              <w:rPr>
                <w:i/>
                <w:sz w:val="22"/>
                <w:szCs w:val="22"/>
                <w:lang w:val="sr-Latn-CS"/>
              </w:rPr>
            </w:pPr>
            <w:r w:rsidRPr="00D7338C">
              <w:rPr>
                <w:i/>
                <w:sz w:val="22"/>
                <w:szCs w:val="22"/>
                <w:lang w:val="sr-Latn-CS"/>
              </w:rPr>
              <w:t>P</w:t>
            </w:r>
            <w:r w:rsidR="00EF6805" w:rsidRPr="00D7338C">
              <w:rPr>
                <w:i/>
                <w:sz w:val="22"/>
                <w:szCs w:val="22"/>
                <w:lang w:val="sr-Latn-CS"/>
              </w:rPr>
              <w:t>ovremena</w:t>
            </w:r>
          </w:p>
        </w:tc>
        <w:tc>
          <w:tcPr>
            <w:tcW w:w="4979" w:type="dxa"/>
            <w:tcBorders>
              <w:top w:val="nil"/>
              <w:bottom w:val="nil"/>
            </w:tcBorders>
            <w:shd w:val="clear" w:color="auto" w:fill="auto"/>
          </w:tcPr>
          <w:p w14:paraId="118C28C3"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smanjenje broja trombocita</w:t>
            </w:r>
          </w:p>
          <w:p w14:paraId="49047178" w14:textId="77777777" w:rsidR="00EF6805" w:rsidRPr="00D7338C" w:rsidRDefault="00EF6805" w:rsidP="009274AD">
            <w:pPr>
              <w:tabs>
                <w:tab w:val="center" w:pos="4536"/>
                <w:tab w:val="right" w:pos="9072"/>
              </w:tabs>
              <w:rPr>
                <w:sz w:val="22"/>
                <w:szCs w:val="22"/>
                <w:lang w:val="sr-Latn-CS"/>
              </w:rPr>
            </w:pPr>
          </w:p>
        </w:tc>
      </w:tr>
      <w:tr w:rsidR="00EF6805" w:rsidRPr="00D7338C" w14:paraId="1CCCF15E" w14:textId="77777777" w:rsidTr="009274AD">
        <w:tc>
          <w:tcPr>
            <w:tcW w:w="4978" w:type="dxa"/>
            <w:tcBorders>
              <w:top w:val="nil"/>
            </w:tcBorders>
            <w:shd w:val="clear" w:color="auto" w:fill="auto"/>
          </w:tcPr>
          <w:p w14:paraId="732EF5A0"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N</w:t>
            </w:r>
            <w:r w:rsidR="00EF6805" w:rsidRPr="00D7338C">
              <w:rPr>
                <w:i/>
                <w:sz w:val="22"/>
                <w:szCs w:val="22"/>
                <w:lang w:val="sr-Latn-CS"/>
              </w:rPr>
              <w:t>epoznata</w:t>
            </w:r>
          </w:p>
        </w:tc>
        <w:tc>
          <w:tcPr>
            <w:tcW w:w="4979" w:type="dxa"/>
            <w:tcBorders>
              <w:top w:val="nil"/>
            </w:tcBorders>
            <w:shd w:val="clear" w:color="auto" w:fill="auto"/>
          </w:tcPr>
          <w:p w14:paraId="6B91E17A" w14:textId="07DEF288" w:rsidR="00EF6805" w:rsidRPr="00D7338C" w:rsidRDefault="00EF6805" w:rsidP="009274AD">
            <w:pPr>
              <w:tabs>
                <w:tab w:val="center" w:pos="4536"/>
                <w:tab w:val="right" w:pos="9072"/>
              </w:tabs>
              <w:rPr>
                <w:sz w:val="22"/>
                <w:szCs w:val="22"/>
                <w:lang w:val="sr-Latn-CS"/>
              </w:rPr>
            </w:pPr>
            <w:r w:rsidRPr="00D7338C">
              <w:rPr>
                <w:sz w:val="22"/>
                <w:szCs w:val="22"/>
                <w:lang w:val="sr-Latn-CS"/>
              </w:rPr>
              <w:t xml:space="preserve">smanjenje tjelesne </w:t>
            </w:r>
            <w:r w:rsidR="00D7481A">
              <w:rPr>
                <w:sz w:val="22"/>
                <w:szCs w:val="22"/>
                <w:lang w:val="sr-Latn-CS"/>
              </w:rPr>
              <w:t>mase</w:t>
            </w:r>
            <w:r w:rsidRPr="00D7338C">
              <w:rPr>
                <w:sz w:val="22"/>
                <w:szCs w:val="22"/>
                <w:lang w:val="sr-Latn-CS"/>
              </w:rPr>
              <w:t xml:space="preserve">, povećanje tjelesne </w:t>
            </w:r>
            <w:r w:rsidR="00D7481A">
              <w:rPr>
                <w:sz w:val="22"/>
                <w:szCs w:val="22"/>
                <w:lang w:val="sr-Latn-CS"/>
              </w:rPr>
              <w:t>mase</w:t>
            </w:r>
            <w:r w:rsidRPr="00D7338C">
              <w:rPr>
                <w:sz w:val="22"/>
                <w:szCs w:val="22"/>
                <w:lang w:val="sr-Latn-CS"/>
              </w:rPr>
              <w:t>, abnormalni testovi funkcije jetre</w:t>
            </w:r>
          </w:p>
          <w:p w14:paraId="5683E3F4" w14:textId="77777777" w:rsidR="00EF6805" w:rsidRPr="00D7338C" w:rsidRDefault="00EF6805" w:rsidP="009274AD">
            <w:pPr>
              <w:tabs>
                <w:tab w:val="center" w:pos="4536"/>
                <w:tab w:val="right" w:pos="9072"/>
              </w:tabs>
              <w:rPr>
                <w:sz w:val="22"/>
                <w:szCs w:val="22"/>
                <w:lang w:val="sr-Latn-CS"/>
              </w:rPr>
            </w:pPr>
          </w:p>
        </w:tc>
      </w:tr>
      <w:tr w:rsidR="00EF6805" w:rsidRPr="00D7338C" w14:paraId="04661B38" w14:textId="77777777" w:rsidTr="009274AD">
        <w:tc>
          <w:tcPr>
            <w:tcW w:w="4978" w:type="dxa"/>
            <w:tcBorders>
              <w:bottom w:val="nil"/>
            </w:tcBorders>
            <w:shd w:val="clear" w:color="auto" w:fill="auto"/>
          </w:tcPr>
          <w:p w14:paraId="7D5461EF"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Srčani poremećaji</w:t>
            </w:r>
          </w:p>
          <w:p w14:paraId="293E1645" w14:textId="77777777" w:rsidR="00EF6805" w:rsidRPr="00D7338C" w:rsidRDefault="00EF6805" w:rsidP="009274AD">
            <w:pPr>
              <w:tabs>
                <w:tab w:val="center" w:pos="4536"/>
                <w:tab w:val="right" w:pos="9072"/>
              </w:tabs>
              <w:rPr>
                <w:b/>
                <w:sz w:val="22"/>
                <w:szCs w:val="22"/>
                <w:lang w:val="sr-Latn-CS"/>
              </w:rPr>
            </w:pPr>
          </w:p>
        </w:tc>
        <w:tc>
          <w:tcPr>
            <w:tcW w:w="4979" w:type="dxa"/>
            <w:tcBorders>
              <w:bottom w:val="nil"/>
            </w:tcBorders>
            <w:shd w:val="clear" w:color="auto" w:fill="auto"/>
          </w:tcPr>
          <w:p w14:paraId="4DE92610"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273BEAD4" w14:textId="77777777" w:rsidTr="009274AD">
        <w:tc>
          <w:tcPr>
            <w:tcW w:w="4978" w:type="dxa"/>
            <w:tcBorders>
              <w:top w:val="nil"/>
            </w:tcBorders>
            <w:shd w:val="clear" w:color="auto" w:fill="auto"/>
          </w:tcPr>
          <w:p w14:paraId="5C2ED9EE"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N</w:t>
            </w:r>
            <w:r w:rsidR="00EF6805" w:rsidRPr="00D7338C">
              <w:rPr>
                <w:i/>
                <w:sz w:val="22"/>
                <w:szCs w:val="22"/>
                <w:lang w:val="sr-Latn-CS"/>
              </w:rPr>
              <w:t>epoznata</w:t>
            </w:r>
          </w:p>
        </w:tc>
        <w:tc>
          <w:tcPr>
            <w:tcW w:w="4979" w:type="dxa"/>
            <w:tcBorders>
              <w:top w:val="nil"/>
            </w:tcBorders>
            <w:shd w:val="clear" w:color="auto" w:fill="auto"/>
          </w:tcPr>
          <w:p w14:paraId="0C6B6E35"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kardiomiopatija, kongestivna srčana insuficijencija (vidjeti dio 4.4), palpitacije, aritmija, tahikardija</w:t>
            </w:r>
          </w:p>
          <w:p w14:paraId="106FAC91"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7F7BBBDB" w14:textId="77777777" w:rsidTr="009274AD">
        <w:tc>
          <w:tcPr>
            <w:tcW w:w="4978" w:type="dxa"/>
            <w:tcBorders>
              <w:bottom w:val="nil"/>
            </w:tcBorders>
            <w:shd w:val="clear" w:color="auto" w:fill="auto"/>
          </w:tcPr>
          <w:p w14:paraId="40AC8AAD"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Poremećaji krvi i limfnog sistema</w:t>
            </w:r>
          </w:p>
          <w:p w14:paraId="3650E983"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591B1830"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0B5A5234" w14:textId="77777777" w:rsidTr="009274AD">
        <w:tc>
          <w:tcPr>
            <w:tcW w:w="4978" w:type="dxa"/>
            <w:tcBorders>
              <w:top w:val="nil"/>
            </w:tcBorders>
            <w:shd w:val="clear" w:color="auto" w:fill="auto"/>
          </w:tcPr>
          <w:p w14:paraId="48E2B945" w14:textId="77777777" w:rsidR="00EF6805" w:rsidRPr="00D7338C" w:rsidRDefault="00EF6805" w:rsidP="009274AD">
            <w:pPr>
              <w:tabs>
                <w:tab w:val="left" w:pos="914"/>
                <w:tab w:val="center" w:pos="4536"/>
                <w:tab w:val="right" w:pos="9072"/>
              </w:tabs>
              <w:rPr>
                <w:i/>
                <w:sz w:val="22"/>
                <w:szCs w:val="22"/>
                <w:lang w:val="sr-Latn-CS"/>
              </w:rPr>
            </w:pPr>
            <w:r w:rsidRPr="00D7338C">
              <w:rPr>
                <w:i/>
                <w:sz w:val="22"/>
                <w:szCs w:val="22"/>
                <w:lang w:val="sr-Latn-CS"/>
              </w:rPr>
              <w:t>nepoznata</w:t>
            </w:r>
          </w:p>
          <w:p w14:paraId="3CEA5785" w14:textId="77777777" w:rsidR="00EF6805" w:rsidRPr="00D7338C" w:rsidRDefault="00EF6805" w:rsidP="009274AD">
            <w:pPr>
              <w:tabs>
                <w:tab w:val="left" w:pos="914"/>
                <w:tab w:val="center" w:pos="4536"/>
                <w:tab w:val="right" w:pos="9072"/>
              </w:tabs>
              <w:rPr>
                <w:i/>
                <w:sz w:val="22"/>
                <w:szCs w:val="22"/>
                <w:lang w:val="sr-Latn-CS"/>
              </w:rPr>
            </w:pPr>
            <w:r w:rsidRPr="00D7338C">
              <w:rPr>
                <w:i/>
                <w:sz w:val="22"/>
                <w:szCs w:val="22"/>
                <w:lang w:val="sr-Latn-CS"/>
              </w:rPr>
              <w:t>rijetka</w:t>
            </w:r>
          </w:p>
        </w:tc>
        <w:tc>
          <w:tcPr>
            <w:tcW w:w="4979" w:type="dxa"/>
            <w:tcBorders>
              <w:top w:val="nil"/>
            </w:tcBorders>
            <w:shd w:val="clear" w:color="auto" w:fill="auto"/>
          </w:tcPr>
          <w:p w14:paraId="052C5FCA"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pancitopenija, trombocitopenija</w:t>
            </w:r>
          </w:p>
          <w:p w14:paraId="12636D07" w14:textId="51DCEC74" w:rsidR="00EF6805" w:rsidRPr="00D7338C" w:rsidRDefault="00EF6805" w:rsidP="009274AD">
            <w:pPr>
              <w:tabs>
                <w:tab w:val="left" w:pos="914"/>
                <w:tab w:val="center" w:pos="4536"/>
                <w:tab w:val="right" w:pos="9072"/>
              </w:tabs>
              <w:rPr>
                <w:sz w:val="22"/>
                <w:szCs w:val="22"/>
                <w:lang w:val="sr-Latn-CS"/>
              </w:rPr>
            </w:pPr>
            <w:r w:rsidRPr="00D7338C">
              <w:rPr>
                <w:sz w:val="22"/>
                <w:szCs w:val="22"/>
                <w:lang w:val="bs-Latn-BA" w:bidi="hr-HR"/>
              </w:rPr>
              <w:t>trombo</w:t>
            </w:r>
            <w:r w:rsidR="00CC3E60">
              <w:rPr>
                <w:sz w:val="22"/>
                <w:szCs w:val="22"/>
                <w:lang w:val="bs-Latn-BA" w:bidi="hr-HR"/>
              </w:rPr>
              <w:t>c</w:t>
            </w:r>
            <w:r w:rsidRPr="00D7338C">
              <w:rPr>
                <w:sz w:val="22"/>
                <w:szCs w:val="22"/>
                <w:lang w:val="bs-Latn-BA" w:bidi="hr-HR"/>
              </w:rPr>
              <w:t>i</w:t>
            </w:r>
            <w:r w:rsidR="00CC3E60">
              <w:rPr>
                <w:sz w:val="22"/>
                <w:szCs w:val="22"/>
                <w:lang w:val="bs-Latn-BA" w:bidi="hr-HR"/>
              </w:rPr>
              <w:t>tna</w:t>
            </w:r>
            <w:r w:rsidRPr="00D7338C">
              <w:rPr>
                <w:sz w:val="22"/>
                <w:szCs w:val="22"/>
                <w:lang w:val="bs-Latn-BA" w:bidi="hr-HR"/>
              </w:rPr>
              <w:t xml:space="preserve"> mikroangiopatija uključujući trombo</w:t>
            </w:r>
            <w:r w:rsidR="00CC3E60">
              <w:rPr>
                <w:sz w:val="22"/>
                <w:szCs w:val="22"/>
                <w:lang w:val="bs-Latn-BA" w:bidi="hr-HR"/>
              </w:rPr>
              <w:t>ci</w:t>
            </w:r>
            <w:r w:rsidRPr="00D7338C">
              <w:rPr>
                <w:sz w:val="22"/>
                <w:szCs w:val="22"/>
                <w:lang w:val="bs-Latn-BA" w:bidi="hr-HR"/>
              </w:rPr>
              <w:t>t</w:t>
            </w:r>
            <w:r w:rsidR="00CC3E60">
              <w:rPr>
                <w:sz w:val="22"/>
                <w:szCs w:val="22"/>
                <w:lang w:val="bs-Latn-BA" w:bidi="hr-HR"/>
              </w:rPr>
              <w:t>n</w:t>
            </w:r>
            <w:r w:rsidRPr="00D7338C">
              <w:rPr>
                <w:sz w:val="22"/>
                <w:szCs w:val="22"/>
                <w:lang w:val="bs-Latn-BA" w:bidi="hr-HR"/>
              </w:rPr>
              <w:t>u trombocitopeni</w:t>
            </w:r>
            <w:r w:rsidR="00CC3E60">
              <w:rPr>
                <w:sz w:val="22"/>
                <w:szCs w:val="22"/>
                <w:lang w:val="bs-Latn-BA" w:bidi="hr-HR"/>
              </w:rPr>
              <w:t>jsku</w:t>
            </w:r>
            <w:r w:rsidRPr="00D7338C">
              <w:rPr>
                <w:sz w:val="22"/>
                <w:szCs w:val="22"/>
                <w:lang w:val="bs-Latn-BA" w:bidi="hr-HR"/>
              </w:rPr>
              <w:t xml:space="preserve"> purpuru/hemolitičk</w:t>
            </w:r>
            <w:r w:rsidR="00CC3E60">
              <w:rPr>
                <w:sz w:val="22"/>
                <w:szCs w:val="22"/>
                <w:lang w:val="bs-Latn-BA" w:bidi="hr-HR"/>
              </w:rPr>
              <w:t>o</w:t>
            </w:r>
            <w:r w:rsidRPr="00D7338C">
              <w:rPr>
                <w:sz w:val="22"/>
                <w:szCs w:val="22"/>
                <w:lang w:val="bs-Latn-BA" w:bidi="hr-HR"/>
              </w:rPr>
              <w:t xml:space="preserve"> uremi</w:t>
            </w:r>
            <w:r w:rsidR="00CC3E60">
              <w:rPr>
                <w:sz w:val="22"/>
                <w:szCs w:val="22"/>
                <w:lang w:val="bs-Latn-BA" w:bidi="hr-HR"/>
              </w:rPr>
              <w:t>jski</w:t>
            </w:r>
            <w:r w:rsidRPr="00D7338C">
              <w:rPr>
                <w:sz w:val="22"/>
                <w:szCs w:val="22"/>
                <w:lang w:val="bs-Latn-BA" w:bidi="hr-HR"/>
              </w:rPr>
              <w:t xml:space="preserve"> sindrom*</w:t>
            </w:r>
          </w:p>
        </w:tc>
      </w:tr>
      <w:tr w:rsidR="00EF6805" w:rsidRPr="00D7338C" w14:paraId="7EDB7033" w14:textId="77777777" w:rsidTr="009274AD">
        <w:tc>
          <w:tcPr>
            <w:tcW w:w="4978" w:type="dxa"/>
            <w:tcBorders>
              <w:bottom w:val="nil"/>
            </w:tcBorders>
            <w:shd w:val="clear" w:color="auto" w:fill="auto"/>
          </w:tcPr>
          <w:p w14:paraId="23105242"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Poremećaji nervnog sistema</w:t>
            </w:r>
          </w:p>
          <w:p w14:paraId="44307EC0"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137B5E40"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5638650E" w14:textId="77777777" w:rsidTr="009274AD">
        <w:tc>
          <w:tcPr>
            <w:tcW w:w="4978" w:type="dxa"/>
            <w:tcBorders>
              <w:top w:val="nil"/>
              <w:bottom w:val="nil"/>
            </w:tcBorders>
            <w:shd w:val="clear" w:color="auto" w:fill="auto"/>
          </w:tcPr>
          <w:p w14:paraId="436C4226"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v</w:t>
            </w:r>
            <w:r w:rsidR="00411B3E">
              <w:rPr>
                <w:i/>
                <w:sz w:val="22"/>
                <w:szCs w:val="22"/>
                <w:lang w:val="sr-Latn-CS"/>
              </w:rPr>
              <w:t>eoma</w:t>
            </w:r>
            <w:r w:rsidRPr="00D7338C">
              <w:rPr>
                <w:i/>
                <w:sz w:val="22"/>
                <w:szCs w:val="22"/>
                <w:lang w:val="sr-Latn-CS"/>
              </w:rPr>
              <w:t xml:space="preserve"> česta</w:t>
            </w:r>
          </w:p>
          <w:p w14:paraId="2B327BC1"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top w:val="nil"/>
              <w:bottom w:val="nil"/>
            </w:tcBorders>
            <w:shd w:val="clear" w:color="auto" w:fill="auto"/>
          </w:tcPr>
          <w:p w14:paraId="4AC26DAF"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glavobolja</w:t>
            </w:r>
            <w:r w:rsidRPr="00D7338C">
              <w:rPr>
                <w:sz w:val="22"/>
                <w:szCs w:val="22"/>
                <w:vertAlign w:val="superscript"/>
                <w:lang w:val="sr-Latn-CS"/>
              </w:rPr>
              <w:t>2</w:t>
            </w:r>
          </w:p>
          <w:p w14:paraId="1FF6B2DC"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1B0A8BE2" w14:textId="77777777" w:rsidTr="009274AD">
        <w:tc>
          <w:tcPr>
            <w:tcW w:w="4978" w:type="dxa"/>
            <w:tcBorders>
              <w:top w:val="nil"/>
              <w:bottom w:val="nil"/>
            </w:tcBorders>
            <w:shd w:val="clear" w:color="auto" w:fill="auto"/>
          </w:tcPr>
          <w:p w14:paraId="4C89C0B2"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česta</w:t>
            </w:r>
          </w:p>
          <w:p w14:paraId="5BB25B1B"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top w:val="nil"/>
              <w:bottom w:val="nil"/>
            </w:tcBorders>
            <w:shd w:val="clear" w:color="auto" w:fill="auto"/>
          </w:tcPr>
          <w:p w14:paraId="645E10F8"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mišićni spazam, hipoestezija</w:t>
            </w:r>
          </w:p>
          <w:p w14:paraId="07BDE518"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6EAB66B6" w14:textId="77777777" w:rsidTr="009274AD">
        <w:tc>
          <w:tcPr>
            <w:tcW w:w="4978" w:type="dxa"/>
            <w:tcBorders>
              <w:top w:val="nil"/>
            </w:tcBorders>
            <w:shd w:val="clear" w:color="auto" w:fill="auto"/>
          </w:tcPr>
          <w:p w14:paraId="7EA51F7C"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N</w:t>
            </w:r>
            <w:r w:rsidR="00EF6805" w:rsidRPr="00D7338C">
              <w:rPr>
                <w:i/>
                <w:sz w:val="22"/>
                <w:szCs w:val="22"/>
                <w:lang w:val="sr-Latn-CS"/>
              </w:rPr>
              <w:t>epoznata</w:t>
            </w:r>
          </w:p>
        </w:tc>
        <w:tc>
          <w:tcPr>
            <w:tcW w:w="4979" w:type="dxa"/>
            <w:tcBorders>
              <w:top w:val="nil"/>
            </w:tcBorders>
            <w:shd w:val="clear" w:color="auto" w:fill="auto"/>
          </w:tcPr>
          <w:p w14:paraId="1FB5D5B4"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neurološki simptomi, sinkopa</w:t>
            </w:r>
            <w:r w:rsidRPr="00D7338C">
              <w:rPr>
                <w:sz w:val="22"/>
                <w:szCs w:val="22"/>
                <w:vertAlign w:val="superscript"/>
                <w:lang w:val="sr-Latn-CS"/>
              </w:rPr>
              <w:t>3</w:t>
            </w:r>
            <w:r w:rsidRPr="00D7338C">
              <w:rPr>
                <w:sz w:val="22"/>
                <w:szCs w:val="22"/>
                <w:lang w:val="sr-Latn-CS"/>
              </w:rPr>
              <w:t>, hipertonija, vrtoglavica, parestezija, napadi, migrena</w:t>
            </w:r>
          </w:p>
          <w:p w14:paraId="1DD42565"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3B744E31" w14:textId="77777777" w:rsidTr="009274AD">
        <w:tc>
          <w:tcPr>
            <w:tcW w:w="4978" w:type="dxa"/>
            <w:tcBorders>
              <w:bottom w:val="nil"/>
            </w:tcBorders>
            <w:shd w:val="clear" w:color="auto" w:fill="auto"/>
          </w:tcPr>
          <w:p w14:paraId="409037D9"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 xml:space="preserve">Respiratorni, torakalni i medijastinalni poremećaji </w:t>
            </w:r>
          </w:p>
          <w:p w14:paraId="77BB50AD"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6812FCAC"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2EB47D73" w14:textId="77777777" w:rsidTr="009274AD">
        <w:tc>
          <w:tcPr>
            <w:tcW w:w="4978" w:type="dxa"/>
            <w:tcBorders>
              <w:top w:val="nil"/>
              <w:bottom w:val="nil"/>
            </w:tcBorders>
            <w:shd w:val="clear" w:color="auto" w:fill="auto"/>
          </w:tcPr>
          <w:p w14:paraId="77E8835E"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česta</w:t>
            </w:r>
          </w:p>
          <w:p w14:paraId="2E04979F"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top w:val="nil"/>
              <w:bottom w:val="nil"/>
            </w:tcBorders>
            <w:shd w:val="clear" w:color="auto" w:fill="auto"/>
          </w:tcPr>
          <w:p w14:paraId="01398CF3"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rinoreja</w:t>
            </w:r>
          </w:p>
          <w:p w14:paraId="17E1061E"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7311FB81" w14:textId="77777777" w:rsidTr="009274AD">
        <w:tc>
          <w:tcPr>
            <w:tcW w:w="4978" w:type="dxa"/>
            <w:tcBorders>
              <w:top w:val="nil"/>
            </w:tcBorders>
            <w:shd w:val="clear" w:color="auto" w:fill="auto"/>
          </w:tcPr>
          <w:p w14:paraId="5D3D6DDE" w14:textId="77777777" w:rsidR="00EF6805" w:rsidRDefault="00EF6805" w:rsidP="009274AD">
            <w:pPr>
              <w:tabs>
                <w:tab w:val="left" w:pos="914"/>
                <w:tab w:val="center" w:pos="4536"/>
                <w:tab w:val="right" w:pos="9072"/>
              </w:tabs>
              <w:rPr>
                <w:i/>
                <w:sz w:val="22"/>
                <w:szCs w:val="22"/>
                <w:lang w:val="sr-Latn-CS"/>
              </w:rPr>
            </w:pPr>
            <w:r>
              <w:rPr>
                <w:i/>
                <w:sz w:val="22"/>
                <w:szCs w:val="22"/>
                <w:lang w:val="sr-Latn-CS"/>
              </w:rPr>
              <w:t>r</w:t>
            </w:r>
            <w:r w:rsidRPr="00D7338C">
              <w:rPr>
                <w:i/>
                <w:sz w:val="22"/>
                <w:szCs w:val="22"/>
                <w:lang w:val="sr-Latn-CS"/>
              </w:rPr>
              <w:t>ijetka</w:t>
            </w:r>
          </w:p>
          <w:p w14:paraId="18ACD1FA" w14:textId="77777777" w:rsidR="00EF6805" w:rsidRDefault="00EF6805" w:rsidP="009274AD">
            <w:pPr>
              <w:tabs>
                <w:tab w:val="left" w:pos="914"/>
                <w:tab w:val="center" w:pos="4536"/>
                <w:tab w:val="right" w:pos="9072"/>
              </w:tabs>
              <w:rPr>
                <w:i/>
                <w:sz w:val="22"/>
                <w:szCs w:val="22"/>
                <w:lang w:val="sr-Latn-CS"/>
              </w:rPr>
            </w:pPr>
          </w:p>
          <w:p w14:paraId="39002A67" w14:textId="77777777" w:rsidR="00EF6805" w:rsidRPr="00D7338C" w:rsidRDefault="00411B3E" w:rsidP="009274AD">
            <w:pPr>
              <w:tabs>
                <w:tab w:val="left" w:pos="914"/>
                <w:tab w:val="center" w:pos="4536"/>
                <w:tab w:val="right" w:pos="9072"/>
              </w:tabs>
              <w:rPr>
                <w:i/>
                <w:sz w:val="22"/>
                <w:szCs w:val="22"/>
                <w:lang w:val="sr-Latn-CS"/>
              </w:rPr>
            </w:pPr>
            <w:r>
              <w:rPr>
                <w:i/>
                <w:sz w:val="22"/>
                <w:szCs w:val="22"/>
                <w:lang w:val="sr-Latn-CS"/>
              </w:rPr>
              <w:t>nepoznata</w:t>
            </w:r>
          </w:p>
        </w:tc>
        <w:tc>
          <w:tcPr>
            <w:tcW w:w="4979" w:type="dxa"/>
            <w:tcBorders>
              <w:top w:val="nil"/>
            </w:tcBorders>
            <w:shd w:val="clear" w:color="auto" w:fill="auto"/>
          </w:tcPr>
          <w:p w14:paraId="56678F4D" w14:textId="77777777" w:rsidR="00EF6805" w:rsidRDefault="00EF6805" w:rsidP="009274AD">
            <w:pPr>
              <w:tabs>
                <w:tab w:val="center" w:pos="4536"/>
                <w:tab w:val="right" w:pos="9072"/>
              </w:tabs>
              <w:rPr>
                <w:sz w:val="22"/>
                <w:szCs w:val="22"/>
                <w:lang w:val="sr-Latn-CS"/>
              </w:rPr>
            </w:pPr>
            <w:r>
              <w:rPr>
                <w:sz w:val="22"/>
                <w:szCs w:val="22"/>
                <w:lang w:val="sr-Latn-CS"/>
              </w:rPr>
              <w:t>d</w:t>
            </w:r>
            <w:r w:rsidRPr="00D7338C">
              <w:rPr>
                <w:sz w:val="22"/>
                <w:szCs w:val="22"/>
                <w:lang w:val="sr-Latn-CS"/>
              </w:rPr>
              <w:t>ispnea</w:t>
            </w:r>
          </w:p>
          <w:p w14:paraId="5DF16DAA" w14:textId="77777777" w:rsidR="00EF6805" w:rsidRDefault="00EF6805" w:rsidP="009274AD">
            <w:pPr>
              <w:tabs>
                <w:tab w:val="center" w:pos="4536"/>
                <w:tab w:val="right" w:pos="9072"/>
              </w:tabs>
              <w:rPr>
                <w:sz w:val="22"/>
                <w:szCs w:val="22"/>
                <w:lang w:val="sr-Latn-CS"/>
              </w:rPr>
            </w:pPr>
          </w:p>
          <w:p w14:paraId="1208F3CB" w14:textId="77777777" w:rsidR="00411B3E" w:rsidRPr="00D7338C" w:rsidRDefault="00411B3E" w:rsidP="00411B3E">
            <w:pPr>
              <w:tabs>
                <w:tab w:val="center" w:pos="4536"/>
                <w:tab w:val="right" w:pos="9072"/>
              </w:tabs>
              <w:rPr>
                <w:sz w:val="22"/>
                <w:szCs w:val="22"/>
                <w:lang w:val="sr-Latn-CS"/>
              </w:rPr>
            </w:pPr>
            <w:r>
              <w:rPr>
                <w:sz w:val="22"/>
                <w:szCs w:val="22"/>
                <w:lang w:val="sr-Latn-CS"/>
              </w:rPr>
              <w:t>plućna arterijska hipertenzija</w:t>
            </w:r>
          </w:p>
          <w:p w14:paraId="7C7D6ED6" w14:textId="77777777" w:rsidR="00EF6805" w:rsidRPr="00D7338C" w:rsidRDefault="00EF6805" w:rsidP="00411B3E">
            <w:pPr>
              <w:tabs>
                <w:tab w:val="center" w:pos="4536"/>
                <w:tab w:val="right" w:pos="9072"/>
              </w:tabs>
              <w:rPr>
                <w:sz w:val="22"/>
                <w:szCs w:val="22"/>
                <w:lang w:val="sr-Latn-CS"/>
              </w:rPr>
            </w:pPr>
          </w:p>
        </w:tc>
      </w:tr>
      <w:tr w:rsidR="00EF6805" w:rsidRPr="00D7338C" w14:paraId="1FC63C1C" w14:textId="77777777" w:rsidTr="009274AD">
        <w:tc>
          <w:tcPr>
            <w:tcW w:w="4978" w:type="dxa"/>
            <w:tcBorders>
              <w:bottom w:val="nil"/>
            </w:tcBorders>
            <w:shd w:val="clear" w:color="auto" w:fill="auto"/>
          </w:tcPr>
          <w:p w14:paraId="13EA7622"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Poremećaji probavnog sistema</w:t>
            </w:r>
          </w:p>
          <w:p w14:paraId="24C2A9FB"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5AFFBB6D"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0E1F5E43" w14:textId="77777777" w:rsidTr="009274AD">
        <w:tc>
          <w:tcPr>
            <w:tcW w:w="4978" w:type="dxa"/>
            <w:tcBorders>
              <w:top w:val="nil"/>
            </w:tcBorders>
            <w:shd w:val="clear" w:color="auto" w:fill="auto"/>
          </w:tcPr>
          <w:p w14:paraId="12FCCD26"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Č</w:t>
            </w:r>
            <w:r w:rsidR="00EF6805" w:rsidRPr="00D7338C">
              <w:rPr>
                <w:i/>
                <w:sz w:val="22"/>
                <w:szCs w:val="22"/>
                <w:lang w:val="sr-Latn-CS"/>
              </w:rPr>
              <w:t>esta</w:t>
            </w:r>
          </w:p>
        </w:tc>
        <w:tc>
          <w:tcPr>
            <w:tcW w:w="4979" w:type="dxa"/>
            <w:tcBorders>
              <w:top w:val="nil"/>
            </w:tcBorders>
            <w:shd w:val="clear" w:color="auto" w:fill="auto"/>
          </w:tcPr>
          <w:p w14:paraId="0756EF85"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povraćanje, dijareja, mučnina</w:t>
            </w:r>
            <w:r w:rsidRPr="00D7338C">
              <w:rPr>
                <w:sz w:val="22"/>
                <w:szCs w:val="22"/>
                <w:vertAlign w:val="superscript"/>
                <w:lang w:val="sr-Latn-CS"/>
              </w:rPr>
              <w:t>2</w:t>
            </w:r>
          </w:p>
          <w:p w14:paraId="2D2F6416"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67F5E0CD" w14:textId="77777777" w:rsidTr="009274AD">
        <w:tc>
          <w:tcPr>
            <w:tcW w:w="4978" w:type="dxa"/>
            <w:tcBorders>
              <w:bottom w:val="nil"/>
            </w:tcBorders>
            <w:shd w:val="clear" w:color="auto" w:fill="auto"/>
          </w:tcPr>
          <w:p w14:paraId="646FE1A4"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Poremećaji kože i potkožnog tkiva</w:t>
            </w:r>
          </w:p>
          <w:p w14:paraId="33303E59"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5CD4BA24"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40C45ABB" w14:textId="77777777" w:rsidTr="009274AD">
        <w:tc>
          <w:tcPr>
            <w:tcW w:w="4978" w:type="dxa"/>
            <w:tcBorders>
              <w:top w:val="nil"/>
              <w:bottom w:val="nil"/>
            </w:tcBorders>
            <w:shd w:val="clear" w:color="auto" w:fill="auto"/>
          </w:tcPr>
          <w:p w14:paraId="5EBDFDA0"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česta</w:t>
            </w:r>
          </w:p>
          <w:p w14:paraId="39B7C535"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top w:val="nil"/>
              <w:bottom w:val="nil"/>
            </w:tcBorders>
            <w:shd w:val="clear" w:color="auto" w:fill="auto"/>
          </w:tcPr>
          <w:p w14:paraId="5A15532D" w14:textId="2367FBCE" w:rsidR="00EF6805" w:rsidRPr="00D7338C" w:rsidRDefault="00EF6805" w:rsidP="009274AD">
            <w:pPr>
              <w:tabs>
                <w:tab w:val="center" w:pos="4536"/>
                <w:tab w:val="right" w:pos="9072"/>
              </w:tabs>
              <w:rPr>
                <w:sz w:val="22"/>
                <w:szCs w:val="22"/>
                <w:lang w:val="sr-Latn-CS"/>
              </w:rPr>
            </w:pPr>
            <w:r w:rsidRPr="00D7338C">
              <w:rPr>
                <w:sz w:val="22"/>
                <w:szCs w:val="22"/>
                <w:lang w:val="sr-Latn-CS"/>
              </w:rPr>
              <w:t>os</w:t>
            </w:r>
            <w:r w:rsidR="00CC3E60">
              <w:rPr>
                <w:sz w:val="22"/>
                <w:szCs w:val="22"/>
                <w:lang w:val="sr-Latn-CS"/>
              </w:rPr>
              <w:t>ip</w:t>
            </w:r>
            <w:r w:rsidRPr="00D7338C">
              <w:rPr>
                <w:sz w:val="22"/>
                <w:szCs w:val="22"/>
                <w:lang w:val="sr-Latn-CS"/>
              </w:rPr>
              <w:t>, pojačano znojenje, kontuzija</w:t>
            </w:r>
          </w:p>
          <w:p w14:paraId="7F24C5C7"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2B76EC91" w14:textId="77777777" w:rsidTr="009274AD">
        <w:trPr>
          <w:trHeight w:val="1265"/>
        </w:trPr>
        <w:tc>
          <w:tcPr>
            <w:tcW w:w="4978" w:type="dxa"/>
            <w:tcBorders>
              <w:top w:val="nil"/>
            </w:tcBorders>
            <w:shd w:val="clear" w:color="auto" w:fill="auto"/>
          </w:tcPr>
          <w:p w14:paraId="47D98017"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povremena</w:t>
            </w:r>
          </w:p>
          <w:p w14:paraId="7E13C91E" w14:textId="77777777" w:rsidR="00EF6805" w:rsidRPr="00D7338C" w:rsidRDefault="00EF6805" w:rsidP="009274AD">
            <w:pPr>
              <w:tabs>
                <w:tab w:val="center" w:pos="4536"/>
                <w:tab w:val="right" w:pos="9072"/>
              </w:tabs>
              <w:rPr>
                <w:i/>
                <w:sz w:val="22"/>
                <w:szCs w:val="22"/>
                <w:lang w:val="sr-Latn-CS"/>
              </w:rPr>
            </w:pPr>
          </w:p>
          <w:p w14:paraId="58179123" w14:textId="77777777" w:rsidR="00EF6805" w:rsidRPr="00D7338C" w:rsidRDefault="00EF6805" w:rsidP="009274AD">
            <w:pPr>
              <w:tabs>
                <w:tab w:val="left" w:pos="914"/>
                <w:tab w:val="center" w:pos="4536"/>
                <w:tab w:val="right" w:pos="9072"/>
              </w:tabs>
              <w:rPr>
                <w:i/>
                <w:sz w:val="22"/>
                <w:szCs w:val="22"/>
                <w:lang w:val="sr-Latn-CS"/>
              </w:rPr>
            </w:pPr>
            <w:r w:rsidRPr="00D7338C">
              <w:rPr>
                <w:i/>
                <w:sz w:val="22"/>
                <w:szCs w:val="22"/>
                <w:lang w:val="sr-Latn-CS"/>
              </w:rPr>
              <w:t>nepoznata</w:t>
            </w:r>
          </w:p>
        </w:tc>
        <w:tc>
          <w:tcPr>
            <w:tcW w:w="4979" w:type="dxa"/>
            <w:tcBorders>
              <w:top w:val="nil"/>
            </w:tcBorders>
            <w:shd w:val="clear" w:color="auto" w:fill="auto"/>
          </w:tcPr>
          <w:p w14:paraId="1B27D4B1"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alopecija</w:t>
            </w:r>
          </w:p>
          <w:p w14:paraId="62175022" w14:textId="77777777" w:rsidR="00EF6805" w:rsidRPr="00D7338C" w:rsidRDefault="00EF6805" w:rsidP="009274AD">
            <w:pPr>
              <w:tabs>
                <w:tab w:val="center" w:pos="4536"/>
                <w:tab w:val="right" w:pos="9072"/>
              </w:tabs>
              <w:rPr>
                <w:sz w:val="22"/>
                <w:szCs w:val="22"/>
                <w:lang w:val="sr-Latn-CS"/>
              </w:rPr>
            </w:pPr>
          </w:p>
          <w:p w14:paraId="336A0D48"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angioneurotski edem, svrab, vezikularna ospa, urtikarija, pogoršanje psorijaze</w:t>
            </w:r>
          </w:p>
          <w:p w14:paraId="068C5056" w14:textId="77777777" w:rsidR="00EF6805" w:rsidRDefault="00EF6805" w:rsidP="009274AD">
            <w:pPr>
              <w:tabs>
                <w:tab w:val="left" w:pos="914"/>
                <w:tab w:val="center" w:pos="4536"/>
                <w:tab w:val="right" w:pos="9072"/>
              </w:tabs>
              <w:rPr>
                <w:sz w:val="22"/>
                <w:szCs w:val="22"/>
                <w:lang w:val="sr-Latn-CS"/>
              </w:rPr>
            </w:pPr>
          </w:p>
          <w:p w14:paraId="4FF2AA2A"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1EDF730C" w14:textId="77777777" w:rsidTr="009274AD">
        <w:tc>
          <w:tcPr>
            <w:tcW w:w="4978" w:type="dxa"/>
            <w:tcBorders>
              <w:bottom w:val="nil"/>
            </w:tcBorders>
            <w:shd w:val="clear" w:color="auto" w:fill="auto"/>
          </w:tcPr>
          <w:p w14:paraId="0C5E5251"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lastRenderedPageBreak/>
              <w:t>Poremećaji mišićno-kostnog sistema i vezivnog tkiva</w:t>
            </w:r>
          </w:p>
          <w:p w14:paraId="1988A686"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2A6925E4"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6871265E" w14:textId="77777777" w:rsidTr="009274AD">
        <w:tc>
          <w:tcPr>
            <w:tcW w:w="4978" w:type="dxa"/>
            <w:tcBorders>
              <w:top w:val="nil"/>
              <w:bottom w:val="nil"/>
            </w:tcBorders>
            <w:shd w:val="clear" w:color="auto" w:fill="auto"/>
          </w:tcPr>
          <w:p w14:paraId="7D4D5751"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česta</w:t>
            </w:r>
          </w:p>
          <w:p w14:paraId="1B1BB4F7"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top w:val="nil"/>
              <w:bottom w:val="nil"/>
            </w:tcBorders>
            <w:shd w:val="clear" w:color="auto" w:fill="auto"/>
          </w:tcPr>
          <w:p w14:paraId="10FA28FF"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grč mišića, bol u vratu, mialgija</w:t>
            </w:r>
            <w:r w:rsidRPr="00D7338C">
              <w:rPr>
                <w:sz w:val="22"/>
                <w:szCs w:val="22"/>
                <w:vertAlign w:val="superscript"/>
                <w:lang w:val="sr-Latn-CS"/>
              </w:rPr>
              <w:t>2</w:t>
            </w:r>
            <w:r w:rsidRPr="00D7338C">
              <w:rPr>
                <w:sz w:val="22"/>
                <w:szCs w:val="22"/>
                <w:lang w:val="sr-Latn-CS"/>
              </w:rPr>
              <w:t>, artralgija, bol u ekstremitetima, bol u leđima, ukočenost mišića, mišićno-skeletna ukočenost</w:t>
            </w:r>
          </w:p>
          <w:p w14:paraId="68037A21"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5FCDDCD7" w14:textId="77777777" w:rsidTr="009274AD">
        <w:tc>
          <w:tcPr>
            <w:tcW w:w="4978" w:type="dxa"/>
            <w:tcBorders>
              <w:top w:val="nil"/>
            </w:tcBorders>
            <w:shd w:val="clear" w:color="auto" w:fill="auto"/>
          </w:tcPr>
          <w:p w14:paraId="57D9D0F1"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N</w:t>
            </w:r>
            <w:r w:rsidR="00EF6805" w:rsidRPr="00D7338C">
              <w:rPr>
                <w:i/>
                <w:sz w:val="22"/>
                <w:szCs w:val="22"/>
                <w:lang w:val="sr-Latn-CS"/>
              </w:rPr>
              <w:t>epoznata</w:t>
            </w:r>
          </w:p>
        </w:tc>
        <w:tc>
          <w:tcPr>
            <w:tcW w:w="4979" w:type="dxa"/>
            <w:tcBorders>
              <w:top w:val="nil"/>
            </w:tcBorders>
            <w:shd w:val="clear" w:color="auto" w:fill="auto"/>
          </w:tcPr>
          <w:p w14:paraId="5A31A3DC" w14:textId="77777777" w:rsidR="00EF6805" w:rsidRDefault="00EF6805" w:rsidP="009274AD">
            <w:pPr>
              <w:tabs>
                <w:tab w:val="center" w:pos="4536"/>
                <w:tab w:val="right" w:pos="9072"/>
              </w:tabs>
              <w:rPr>
                <w:sz w:val="22"/>
                <w:szCs w:val="22"/>
                <w:lang w:val="sr-Latn-CS"/>
              </w:rPr>
            </w:pPr>
            <w:r w:rsidRPr="00D7338C">
              <w:rPr>
                <w:sz w:val="22"/>
                <w:szCs w:val="22"/>
                <w:lang w:val="sr-Latn-CS"/>
              </w:rPr>
              <w:t>sistemski eritematozni lupus, mišićna slabost, artritis</w:t>
            </w:r>
          </w:p>
          <w:p w14:paraId="3D6827DB"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24BC89FC" w14:textId="77777777" w:rsidTr="009274AD">
        <w:tc>
          <w:tcPr>
            <w:tcW w:w="4978" w:type="dxa"/>
            <w:tcBorders>
              <w:bottom w:val="nil"/>
            </w:tcBorders>
            <w:shd w:val="clear" w:color="auto" w:fill="auto"/>
          </w:tcPr>
          <w:p w14:paraId="779E0D9A" w14:textId="77777777" w:rsidR="00EF6805" w:rsidRPr="00D7338C" w:rsidRDefault="00EF6805" w:rsidP="009274AD">
            <w:pPr>
              <w:autoSpaceDE w:val="0"/>
              <w:autoSpaceDN w:val="0"/>
              <w:adjustRightInd w:val="0"/>
              <w:rPr>
                <w:b/>
                <w:color w:val="000000"/>
                <w:sz w:val="22"/>
                <w:szCs w:val="22"/>
                <w:lang w:val="sl-SI" w:eastAsia="sl-SI"/>
              </w:rPr>
            </w:pPr>
            <w:r w:rsidRPr="00D7338C">
              <w:rPr>
                <w:b/>
                <w:color w:val="000000"/>
                <w:sz w:val="22"/>
                <w:szCs w:val="22"/>
                <w:lang w:val="sl-SI" w:eastAsia="sl-SI"/>
              </w:rPr>
              <w:t xml:space="preserve">Poremećaji bubrega i mokraćnog sistema </w:t>
            </w:r>
          </w:p>
          <w:p w14:paraId="057CC390" w14:textId="77777777" w:rsidR="00EF6805" w:rsidRPr="00D7338C" w:rsidRDefault="00EF6805" w:rsidP="009274AD">
            <w:pPr>
              <w:tabs>
                <w:tab w:val="center" w:pos="4536"/>
                <w:tab w:val="right" w:pos="9072"/>
              </w:tabs>
              <w:rPr>
                <w:sz w:val="22"/>
                <w:szCs w:val="22"/>
                <w:highlight w:val="cyan"/>
              </w:rPr>
            </w:pPr>
          </w:p>
          <w:p w14:paraId="1E670D1C" w14:textId="77777777" w:rsidR="00EF6805" w:rsidRPr="00D7338C" w:rsidRDefault="00EF6805" w:rsidP="009274AD">
            <w:pPr>
              <w:tabs>
                <w:tab w:val="center" w:pos="4536"/>
                <w:tab w:val="right" w:pos="9072"/>
              </w:tabs>
              <w:rPr>
                <w:b/>
                <w:i/>
                <w:sz w:val="22"/>
                <w:szCs w:val="22"/>
                <w:lang w:val="sr-Latn-CS"/>
              </w:rPr>
            </w:pPr>
            <w:r w:rsidRPr="00D7338C">
              <w:rPr>
                <w:i/>
                <w:sz w:val="22"/>
                <w:szCs w:val="22"/>
              </w:rPr>
              <w:t xml:space="preserve">rijetka </w:t>
            </w:r>
          </w:p>
        </w:tc>
        <w:tc>
          <w:tcPr>
            <w:tcW w:w="4979" w:type="dxa"/>
            <w:tcBorders>
              <w:bottom w:val="nil"/>
            </w:tcBorders>
            <w:shd w:val="clear" w:color="auto" w:fill="auto"/>
          </w:tcPr>
          <w:p w14:paraId="726E9B93" w14:textId="77777777" w:rsidR="00EF6805" w:rsidRDefault="00EF6805" w:rsidP="009274AD">
            <w:pPr>
              <w:autoSpaceDE w:val="0"/>
              <w:autoSpaceDN w:val="0"/>
              <w:adjustRightInd w:val="0"/>
              <w:rPr>
                <w:color w:val="000000"/>
                <w:sz w:val="22"/>
                <w:szCs w:val="22"/>
                <w:lang w:val="sl-SI" w:eastAsia="sl-SI"/>
              </w:rPr>
            </w:pPr>
          </w:p>
          <w:p w14:paraId="18533D48" w14:textId="77777777" w:rsidR="00EF6805" w:rsidRDefault="00EF6805" w:rsidP="009274AD">
            <w:pPr>
              <w:autoSpaceDE w:val="0"/>
              <w:autoSpaceDN w:val="0"/>
              <w:adjustRightInd w:val="0"/>
              <w:rPr>
                <w:color w:val="000000"/>
                <w:sz w:val="22"/>
                <w:szCs w:val="22"/>
                <w:lang w:val="sl-SI" w:eastAsia="sl-SI"/>
              </w:rPr>
            </w:pPr>
          </w:p>
          <w:p w14:paraId="4C62B5C4" w14:textId="6733C342" w:rsidR="00EF6805" w:rsidRPr="00D7338C" w:rsidRDefault="00EF6805" w:rsidP="009274AD">
            <w:pPr>
              <w:autoSpaceDE w:val="0"/>
              <w:autoSpaceDN w:val="0"/>
              <w:adjustRightInd w:val="0"/>
              <w:rPr>
                <w:color w:val="000000"/>
                <w:sz w:val="22"/>
                <w:szCs w:val="22"/>
                <w:lang w:val="sl-SI" w:eastAsia="sl-SI"/>
              </w:rPr>
            </w:pPr>
            <w:r w:rsidRPr="00D7338C">
              <w:rPr>
                <w:color w:val="000000"/>
                <w:sz w:val="22"/>
                <w:szCs w:val="22"/>
                <w:lang w:val="sl-SI" w:eastAsia="sl-SI"/>
              </w:rPr>
              <w:t>nefrot</w:t>
            </w:r>
            <w:r w:rsidR="00CC3E60">
              <w:rPr>
                <w:color w:val="000000"/>
                <w:sz w:val="22"/>
                <w:szCs w:val="22"/>
                <w:lang w:val="sl-SI" w:eastAsia="sl-SI"/>
              </w:rPr>
              <w:t>ski</w:t>
            </w:r>
            <w:r w:rsidRPr="00D7338C">
              <w:rPr>
                <w:color w:val="000000"/>
                <w:sz w:val="22"/>
                <w:szCs w:val="22"/>
                <w:lang w:val="sl-SI" w:eastAsia="sl-SI"/>
              </w:rPr>
              <w:t xml:space="preserve"> sindrom, glomeruloskleroza (vidjeti dio 4.4 ‘Posebna upozorenja i mjere opreza pri upotrebi’) </w:t>
            </w:r>
          </w:p>
          <w:p w14:paraId="01E40C67"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4FD389B3" w14:textId="77777777" w:rsidTr="009274AD">
        <w:tc>
          <w:tcPr>
            <w:tcW w:w="4978" w:type="dxa"/>
            <w:tcBorders>
              <w:bottom w:val="nil"/>
            </w:tcBorders>
            <w:shd w:val="clear" w:color="auto" w:fill="auto"/>
          </w:tcPr>
          <w:p w14:paraId="700655B9"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Endokrini poremećaji</w:t>
            </w:r>
          </w:p>
          <w:p w14:paraId="3E138E7F"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0F4E7462"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1BDC1F8F" w14:textId="77777777" w:rsidTr="009274AD">
        <w:tc>
          <w:tcPr>
            <w:tcW w:w="4978" w:type="dxa"/>
            <w:tcBorders>
              <w:top w:val="nil"/>
            </w:tcBorders>
            <w:shd w:val="clear" w:color="auto" w:fill="auto"/>
          </w:tcPr>
          <w:p w14:paraId="0156776A"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N</w:t>
            </w:r>
            <w:r w:rsidR="00EF6805" w:rsidRPr="00D7338C">
              <w:rPr>
                <w:i/>
                <w:sz w:val="22"/>
                <w:szCs w:val="22"/>
                <w:lang w:val="sr-Latn-CS"/>
              </w:rPr>
              <w:t>epoznata</w:t>
            </w:r>
          </w:p>
        </w:tc>
        <w:tc>
          <w:tcPr>
            <w:tcW w:w="4979" w:type="dxa"/>
            <w:tcBorders>
              <w:top w:val="nil"/>
            </w:tcBorders>
            <w:shd w:val="clear" w:color="auto" w:fill="auto"/>
          </w:tcPr>
          <w:p w14:paraId="6D2FD9BF"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hipotireoidizam, hipertireoidizam</w:t>
            </w:r>
          </w:p>
          <w:p w14:paraId="5FC17616"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5615691F" w14:textId="77777777" w:rsidTr="009274AD">
        <w:tc>
          <w:tcPr>
            <w:tcW w:w="4978" w:type="dxa"/>
            <w:tcBorders>
              <w:bottom w:val="nil"/>
            </w:tcBorders>
            <w:shd w:val="clear" w:color="auto" w:fill="auto"/>
          </w:tcPr>
          <w:p w14:paraId="66B36433"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Poremećaji metabolizma i ishrane</w:t>
            </w:r>
          </w:p>
          <w:p w14:paraId="0B17DBA9"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2D52A1C9"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6CF60693" w14:textId="77777777" w:rsidTr="009274AD">
        <w:tc>
          <w:tcPr>
            <w:tcW w:w="4978" w:type="dxa"/>
            <w:tcBorders>
              <w:top w:val="nil"/>
            </w:tcBorders>
            <w:shd w:val="clear" w:color="auto" w:fill="auto"/>
          </w:tcPr>
          <w:p w14:paraId="0E6EA095"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Č</w:t>
            </w:r>
            <w:r w:rsidR="00EF6805" w:rsidRPr="00D7338C">
              <w:rPr>
                <w:i/>
                <w:sz w:val="22"/>
                <w:szCs w:val="22"/>
                <w:lang w:val="sr-Latn-CS"/>
              </w:rPr>
              <w:t>esta</w:t>
            </w:r>
          </w:p>
        </w:tc>
        <w:tc>
          <w:tcPr>
            <w:tcW w:w="4979" w:type="dxa"/>
            <w:tcBorders>
              <w:top w:val="nil"/>
            </w:tcBorders>
            <w:shd w:val="clear" w:color="auto" w:fill="auto"/>
          </w:tcPr>
          <w:p w14:paraId="45133132"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anoreksija</w:t>
            </w:r>
          </w:p>
          <w:p w14:paraId="0C53266E"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1CC6EA28" w14:textId="77777777" w:rsidTr="009274AD">
        <w:tc>
          <w:tcPr>
            <w:tcW w:w="4978" w:type="dxa"/>
            <w:tcBorders>
              <w:bottom w:val="nil"/>
            </w:tcBorders>
            <w:shd w:val="clear" w:color="auto" w:fill="auto"/>
          </w:tcPr>
          <w:p w14:paraId="35673395"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Infekcije i infestacije</w:t>
            </w:r>
          </w:p>
          <w:p w14:paraId="5332B079"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5AA8E786"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4ACB2B32" w14:textId="77777777" w:rsidTr="009274AD">
        <w:tc>
          <w:tcPr>
            <w:tcW w:w="4978" w:type="dxa"/>
            <w:tcBorders>
              <w:top w:val="nil"/>
            </w:tcBorders>
            <w:shd w:val="clear" w:color="auto" w:fill="auto"/>
          </w:tcPr>
          <w:p w14:paraId="1611B848"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N</w:t>
            </w:r>
            <w:r w:rsidR="00EF6805" w:rsidRPr="00D7338C">
              <w:rPr>
                <w:i/>
                <w:sz w:val="22"/>
                <w:szCs w:val="22"/>
                <w:lang w:val="sr-Latn-CS"/>
              </w:rPr>
              <w:t>epoznata</w:t>
            </w:r>
          </w:p>
        </w:tc>
        <w:tc>
          <w:tcPr>
            <w:tcW w:w="4979" w:type="dxa"/>
            <w:tcBorders>
              <w:top w:val="nil"/>
            </w:tcBorders>
            <w:shd w:val="clear" w:color="auto" w:fill="auto"/>
          </w:tcPr>
          <w:p w14:paraId="40D75B07"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apsces na mjestu injiciranja</w:t>
            </w:r>
            <w:r w:rsidRPr="00D7338C">
              <w:rPr>
                <w:sz w:val="22"/>
                <w:szCs w:val="22"/>
                <w:vertAlign w:val="superscript"/>
                <w:lang w:val="sr-Latn-CS"/>
              </w:rPr>
              <w:t>1</w:t>
            </w:r>
          </w:p>
          <w:p w14:paraId="20CBF037"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2970F00F" w14:textId="77777777" w:rsidTr="009274AD">
        <w:tc>
          <w:tcPr>
            <w:tcW w:w="4978" w:type="dxa"/>
            <w:tcBorders>
              <w:bottom w:val="nil"/>
            </w:tcBorders>
            <w:shd w:val="clear" w:color="auto" w:fill="auto"/>
          </w:tcPr>
          <w:p w14:paraId="6F45065C"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 xml:space="preserve">Vaskularni poremećaji </w:t>
            </w:r>
          </w:p>
          <w:p w14:paraId="4611F886"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3A780552"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14A4B8C4" w14:textId="77777777" w:rsidTr="009274AD">
        <w:tc>
          <w:tcPr>
            <w:tcW w:w="4978" w:type="dxa"/>
            <w:tcBorders>
              <w:top w:val="nil"/>
              <w:bottom w:val="nil"/>
            </w:tcBorders>
            <w:shd w:val="clear" w:color="auto" w:fill="auto"/>
          </w:tcPr>
          <w:p w14:paraId="6CB63E0C"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česta</w:t>
            </w:r>
          </w:p>
          <w:p w14:paraId="267740F5"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top w:val="nil"/>
              <w:bottom w:val="nil"/>
            </w:tcBorders>
            <w:shd w:val="clear" w:color="auto" w:fill="auto"/>
          </w:tcPr>
          <w:p w14:paraId="4803AE60"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prolazno crvenilo</w:t>
            </w:r>
          </w:p>
          <w:p w14:paraId="50457BA1"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44D0A64A" w14:textId="77777777" w:rsidTr="009274AD">
        <w:tc>
          <w:tcPr>
            <w:tcW w:w="4978" w:type="dxa"/>
            <w:tcBorders>
              <w:top w:val="nil"/>
            </w:tcBorders>
            <w:shd w:val="clear" w:color="auto" w:fill="auto"/>
          </w:tcPr>
          <w:p w14:paraId="0E50F28D"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N</w:t>
            </w:r>
            <w:r w:rsidR="00EF6805" w:rsidRPr="00D7338C">
              <w:rPr>
                <w:i/>
                <w:sz w:val="22"/>
                <w:szCs w:val="22"/>
                <w:lang w:val="sr-Latn-CS"/>
              </w:rPr>
              <w:t>epoznata</w:t>
            </w:r>
          </w:p>
        </w:tc>
        <w:tc>
          <w:tcPr>
            <w:tcW w:w="4979" w:type="dxa"/>
            <w:tcBorders>
              <w:top w:val="nil"/>
            </w:tcBorders>
            <w:shd w:val="clear" w:color="auto" w:fill="auto"/>
          </w:tcPr>
          <w:p w14:paraId="5275B94E"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vazodilatacija</w:t>
            </w:r>
          </w:p>
          <w:p w14:paraId="0952B404"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7D6D0CC0" w14:textId="77777777" w:rsidTr="009274AD">
        <w:tc>
          <w:tcPr>
            <w:tcW w:w="4978" w:type="dxa"/>
            <w:tcBorders>
              <w:bottom w:val="nil"/>
            </w:tcBorders>
            <w:shd w:val="clear" w:color="auto" w:fill="auto"/>
          </w:tcPr>
          <w:p w14:paraId="13883E80"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Opšti poremećaji i reakcije na mjestu primjene</w:t>
            </w:r>
          </w:p>
          <w:p w14:paraId="6CD27144"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60502374"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2F45C399" w14:textId="77777777" w:rsidTr="009274AD">
        <w:tc>
          <w:tcPr>
            <w:tcW w:w="4978" w:type="dxa"/>
            <w:tcBorders>
              <w:top w:val="nil"/>
              <w:bottom w:val="nil"/>
            </w:tcBorders>
            <w:shd w:val="clear" w:color="auto" w:fill="auto"/>
          </w:tcPr>
          <w:p w14:paraId="5B8F2C5E"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v</w:t>
            </w:r>
            <w:r w:rsidR="00411B3E">
              <w:rPr>
                <w:i/>
                <w:sz w:val="22"/>
                <w:szCs w:val="22"/>
                <w:lang w:val="sr-Latn-CS"/>
              </w:rPr>
              <w:t>eoma</w:t>
            </w:r>
            <w:r w:rsidRPr="00D7338C">
              <w:rPr>
                <w:i/>
                <w:sz w:val="22"/>
                <w:szCs w:val="22"/>
                <w:lang w:val="sr-Latn-CS"/>
              </w:rPr>
              <w:t xml:space="preserve"> česta</w:t>
            </w:r>
          </w:p>
          <w:p w14:paraId="1EA5ED7D"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top w:val="nil"/>
              <w:bottom w:val="nil"/>
            </w:tcBorders>
            <w:shd w:val="clear" w:color="auto" w:fill="auto"/>
          </w:tcPr>
          <w:p w14:paraId="5E9497FE"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simptomi slični gripu,</w:t>
            </w:r>
            <w:r w:rsidR="00411B3E">
              <w:rPr>
                <w:sz w:val="22"/>
                <w:szCs w:val="22"/>
                <w:lang w:val="sr-Latn-CS"/>
              </w:rPr>
              <w:t xml:space="preserve"> povišena t</w:t>
            </w:r>
            <w:r w:rsidR="00CC3E60">
              <w:rPr>
                <w:sz w:val="22"/>
                <w:szCs w:val="22"/>
                <w:lang w:val="sr-Latn-CS"/>
              </w:rPr>
              <w:t>j</w:t>
            </w:r>
            <w:r w:rsidR="00411B3E">
              <w:rPr>
                <w:sz w:val="22"/>
                <w:szCs w:val="22"/>
                <w:lang w:val="sr-Latn-CS"/>
              </w:rPr>
              <w:t>elesna</w:t>
            </w:r>
            <w:r w:rsidRPr="00D7338C">
              <w:rPr>
                <w:sz w:val="22"/>
                <w:szCs w:val="22"/>
                <w:lang w:val="sr-Latn-CS"/>
              </w:rPr>
              <w:t xml:space="preserve"> temperatura</w:t>
            </w:r>
            <w:r w:rsidRPr="00D7338C">
              <w:rPr>
                <w:sz w:val="22"/>
                <w:szCs w:val="22"/>
                <w:vertAlign w:val="superscript"/>
                <w:lang w:val="sr-Latn-CS"/>
              </w:rPr>
              <w:t>2</w:t>
            </w:r>
            <w:r w:rsidRPr="00D7338C">
              <w:rPr>
                <w:sz w:val="22"/>
                <w:szCs w:val="22"/>
                <w:lang w:val="sr-Latn-CS"/>
              </w:rPr>
              <w:t>, groznica</w:t>
            </w:r>
            <w:r w:rsidRPr="00D7338C">
              <w:rPr>
                <w:sz w:val="22"/>
                <w:szCs w:val="22"/>
                <w:vertAlign w:val="superscript"/>
                <w:lang w:val="sr-Latn-CS"/>
              </w:rPr>
              <w:t>2</w:t>
            </w:r>
            <w:r w:rsidRPr="00D7338C">
              <w:rPr>
                <w:sz w:val="22"/>
                <w:szCs w:val="22"/>
                <w:lang w:val="sr-Latn-CS"/>
              </w:rPr>
              <w:t>, znojenje</w:t>
            </w:r>
            <w:r w:rsidRPr="00D7338C">
              <w:rPr>
                <w:sz w:val="22"/>
                <w:szCs w:val="22"/>
                <w:vertAlign w:val="superscript"/>
                <w:lang w:val="sr-Latn-CS"/>
              </w:rPr>
              <w:t>2</w:t>
            </w:r>
          </w:p>
          <w:p w14:paraId="0597E556"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48B89A7E" w14:textId="77777777" w:rsidTr="009274AD">
        <w:tc>
          <w:tcPr>
            <w:tcW w:w="4978" w:type="dxa"/>
            <w:tcBorders>
              <w:top w:val="nil"/>
              <w:bottom w:val="nil"/>
            </w:tcBorders>
            <w:shd w:val="clear" w:color="auto" w:fill="auto"/>
          </w:tcPr>
          <w:p w14:paraId="226D96A1"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česta</w:t>
            </w:r>
          </w:p>
          <w:p w14:paraId="6138745B"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top w:val="nil"/>
              <w:bottom w:val="nil"/>
            </w:tcBorders>
            <w:shd w:val="clear" w:color="auto" w:fill="auto"/>
          </w:tcPr>
          <w:p w14:paraId="4DD4A70B"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bol na mjestu injiciranja, eritem na mjestu injiciranja, modrica na mjestu injiciranja, astenija</w:t>
            </w:r>
            <w:r w:rsidRPr="00D7338C">
              <w:rPr>
                <w:sz w:val="22"/>
                <w:szCs w:val="22"/>
                <w:vertAlign w:val="superscript"/>
                <w:lang w:val="sr-Latn-CS"/>
              </w:rPr>
              <w:t>2</w:t>
            </w:r>
            <w:r w:rsidRPr="00D7338C">
              <w:rPr>
                <w:sz w:val="22"/>
                <w:szCs w:val="22"/>
                <w:lang w:val="sr-Latn-CS"/>
              </w:rPr>
              <w:t>, bol, umor</w:t>
            </w:r>
            <w:r w:rsidRPr="00D7338C">
              <w:rPr>
                <w:sz w:val="22"/>
                <w:szCs w:val="22"/>
                <w:vertAlign w:val="superscript"/>
                <w:lang w:val="sr-Latn-CS"/>
              </w:rPr>
              <w:t>2</w:t>
            </w:r>
            <w:r w:rsidRPr="00D7338C">
              <w:rPr>
                <w:sz w:val="22"/>
                <w:szCs w:val="22"/>
                <w:lang w:val="sr-Latn-CS"/>
              </w:rPr>
              <w:t>, opšta slabost, noćno znojenje</w:t>
            </w:r>
          </w:p>
          <w:p w14:paraId="72191E9E"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113E4911" w14:textId="77777777" w:rsidTr="009274AD">
        <w:tc>
          <w:tcPr>
            <w:tcW w:w="4978" w:type="dxa"/>
            <w:tcBorders>
              <w:top w:val="nil"/>
              <w:bottom w:val="nil"/>
            </w:tcBorders>
            <w:shd w:val="clear" w:color="auto" w:fill="auto"/>
          </w:tcPr>
          <w:p w14:paraId="6D0BC0CB"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povremena</w:t>
            </w:r>
          </w:p>
          <w:p w14:paraId="76F01099"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top w:val="nil"/>
              <w:bottom w:val="nil"/>
            </w:tcBorders>
            <w:shd w:val="clear" w:color="auto" w:fill="auto"/>
          </w:tcPr>
          <w:p w14:paraId="72B9AA4D"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''vruće'' mjesto injiciranja</w:t>
            </w:r>
          </w:p>
          <w:p w14:paraId="57C73B64"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5D8AD2FD" w14:textId="77777777" w:rsidTr="009274AD">
        <w:tc>
          <w:tcPr>
            <w:tcW w:w="4978" w:type="dxa"/>
            <w:tcBorders>
              <w:top w:val="nil"/>
            </w:tcBorders>
            <w:shd w:val="clear" w:color="auto" w:fill="auto"/>
          </w:tcPr>
          <w:p w14:paraId="1D85CD92"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N</w:t>
            </w:r>
            <w:r w:rsidR="00EF6805" w:rsidRPr="00D7338C">
              <w:rPr>
                <w:i/>
                <w:sz w:val="22"/>
                <w:szCs w:val="22"/>
                <w:lang w:val="sr-Latn-CS"/>
              </w:rPr>
              <w:t>epoznata</w:t>
            </w:r>
          </w:p>
        </w:tc>
        <w:tc>
          <w:tcPr>
            <w:tcW w:w="4979" w:type="dxa"/>
            <w:tcBorders>
              <w:top w:val="nil"/>
            </w:tcBorders>
            <w:shd w:val="clear" w:color="auto" w:fill="auto"/>
          </w:tcPr>
          <w:p w14:paraId="312C1CF4"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reakcija na mjestu injiciranja, upala na mjestu injiciranja, celulitis na mjestu injiciranja</w:t>
            </w:r>
            <w:r w:rsidRPr="00D7338C">
              <w:rPr>
                <w:sz w:val="22"/>
                <w:szCs w:val="22"/>
                <w:vertAlign w:val="superscript"/>
                <w:lang w:val="sr-Latn-CS"/>
              </w:rPr>
              <w:t>1</w:t>
            </w:r>
            <w:r w:rsidRPr="00D7338C">
              <w:rPr>
                <w:sz w:val="22"/>
                <w:szCs w:val="22"/>
                <w:lang w:val="sr-Latn-CS"/>
              </w:rPr>
              <w:t>, nekroza na mjestu injiciranja, krvarenje na mjestu injiciranja, bol u grudima</w:t>
            </w:r>
          </w:p>
          <w:p w14:paraId="045F77FD"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046239F5" w14:textId="77777777" w:rsidTr="009274AD">
        <w:tc>
          <w:tcPr>
            <w:tcW w:w="4978" w:type="dxa"/>
            <w:tcBorders>
              <w:bottom w:val="nil"/>
            </w:tcBorders>
            <w:shd w:val="clear" w:color="auto" w:fill="auto"/>
          </w:tcPr>
          <w:p w14:paraId="31CD28F3"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Poremećaji imunog sistema</w:t>
            </w:r>
          </w:p>
          <w:p w14:paraId="26A8C17A"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33133EF0"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463AC13E" w14:textId="77777777" w:rsidTr="009274AD">
        <w:tc>
          <w:tcPr>
            <w:tcW w:w="4978" w:type="dxa"/>
            <w:tcBorders>
              <w:top w:val="nil"/>
            </w:tcBorders>
            <w:shd w:val="clear" w:color="auto" w:fill="auto"/>
          </w:tcPr>
          <w:p w14:paraId="47562B65"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lastRenderedPageBreak/>
              <w:t>N</w:t>
            </w:r>
            <w:r w:rsidR="00EF6805" w:rsidRPr="00D7338C">
              <w:rPr>
                <w:i/>
                <w:sz w:val="22"/>
                <w:szCs w:val="22"/>
                <w:lang w:val="sr-Latn-CS"/>
              </w:rPr>
              <w:t>epoznata</w:t>
            </w:r>
          </w:p>
        </w:tc>
        <w:tc>
          <w:tcPr>
            <w:tcW w:w="4979" w:type="dxa"/>
            <w:tcBorders>
              <w:top w:val="nil"/>
            </w:tcBorders>
            <w:shd w:val="clear" w:color="auto" w:fill="auto"/>
          </w:tcPr>
          <w:p w14:paraId="4FCB8ECB" w14:textId="110625D9" w:rsidR="00EF6805" w:rsidRPr="00D7338C" w:rsidRDefault="00EF6805" w:rsidP="009274AD">
            <w:pPr>
              <w:tabs>
                <w:tab w:val="center" w:pos="4536"/>
                <w:tab w:val="right" w:pos="9072"/>
              </w:tabs>
              <w:rPr>
                <w:sz w:val="22"/>
                <w:szCs w:val="22"/>
                <w:lang w:val="sr-Latn-CS"/>
              </w:rPr>
            </w:pPr>
            <w:r w:rsidRPr="00D7338C">
              <w:rPr>
                <w:sz w:val="22"/>
                <w:szCs w:val="22"/>
                <w:lang w:val="sr-Latn-CS"/>
              </w:rPr>
              <w:t>anafilaktička reakcija, anafilaktički šok, reakcije preosjetljivosti (angioedem, dispnea, urtikarija, os</w:t>
            </w:r>
            <w:r w:rsidR="00D12BD2">
              <w:rPr>
                <w:sz w:val="22"/>
                <w:szCs w:val="22"/>
                <w:lang w:val="sr-Latn-CS"/>
              </w:rPr>
              <w:t>ip</w:t>
            </w:r>
            <w:r w:rsidRPr="00D7338C">
              <w:rPr>
                <w:sz w:val="22"/>
                <w:szCs w:val="22"/>
                <w:lang w:val="sr-Latn-CS"/>
              </w:rPr>
              <w:t xml:space="preserve"> i os</w:t>
            </w:r>
            <w:r w:rsidR="00D12BD2">
              <w:rPr>
                <w:sz w:val="22"/>
                <w:szCs w:val="22"/>
                <w:lang w:val="sr-Latn-CS"/>
              </w:rPr>
              <w:t>ip</w:t>
            </w:r>
            <w:r w:rsidRPr="00D7338C">
              <w:rPr>
                <w:sz w:val="22"/>
                <w:szCs w:val="22"/>
                <w:lang w:val="sr-Latn-CS"/>
              </w:rPr>
              <w:t xml:space="preserve"> uz svrab)</w:t>
            </w:r>
          </w:p>
          <w:p w14:paraId="4F31D810"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56F41E45" w14:textId="77777777" w:rsidTr="009274AD">
        <w:tc>
          <w:tcPr>
            <w:tcW w:w="4978" w:type="dxa"/>
            <w:tcBorders>
              <w:bottom w:val="nil"/>
            </w:tcBorders>
            <w:shd w:val="clear" w:color="auto" w:fill="auto"/>
          </w:tcPr>
          <w:p w14:paraId="571442C9"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Poremećaji jetre i žuči</w:t>
            </w:r>
          </w:p>
          <w:p w14:paraId="3F52FC00"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6D9A63D0"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67C12284" w14:textId="77777777" w:rsidTr="009274AD">
        <w:tc>
          <w:tcPr>
            <w:tcW w:w="4978" w:type="dxa"/>
            <w:tcBorders>
              <w:top w:val="nil"/>
            </w:tcBorders>
            <w:shd w:val="clear" w:color="auto" w:fill="auto"/>
          </w:tcPr>
          <w:p w14:paraId="6E3A12B5"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N</w:t>
            </w:r>
            <w:r w:rsidR="00EF6805" w:rsidRPr="00D7338C">
              <w:rPr>
                <w:i/>
                <w:sz w:val="22"/>
                <w:szCs w:val="22"/>
                <w:lang w:val="sr-Latn-CS"/>
              </w:rPr>
              <w:t>epoznata</w:t>
            </w:r>
          </w:p>
        </w:tc>
        <w:tc>
          <w:tcPr>
            <w:tcW w:w="4979" w:type="dxa"/>
            <w:tcBorders>
              <w:top w:val="nil"/>
            </w:tcBorders>
            <w:shd w:val="clear" w:color="auto" w:fill="auto"/>
          </w:tcPr>
          <w:p w14:paraId="44EC9B32"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oštećenje jetre (vidjeti dio 4.4), hepatitis, autoimuni hepatitis</w:t>
            </w:r>
          </w:p>
          <w:p w14:paraId="440AA74E"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5DED2145" w14:textId="77777777" w:rsidTr="009274AD">
        <w:trPr>
          <w:trHeight w:val="128"/>
        </w:trPr>
        <w:tc>
          <w:tcPr>
            <w:tcW w:w="4978" w:type="dxa"/>
            <w:shd w:val="clear" w:color="auto" w:fill="auto"/>
          </w:tcPr>
          <w:p w14:paraId="77561138"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Poremećaji reproduktivnog sistema i dojki</w:t>
            </w:r>
          </w:p>
          <w:p w14:paraId="3BDF876E" w14:textId="77777777" w:rsidR="00EF6805" w:rsidRPr="00D7338C" w:rsidRDefault="00EF6805" w:rsidP="009274AD">
            <w:pPr>
              <w:tabs>
                <w:tab w:val="center" w:pos="4536"/>
                <w:tab w:val="right" w:pos="9072"/>
              </w:tabs>
              <w:rPr>
                <w:i/>
                <w:sz w:val="22"/>
                <w:szCs w:val="22"/>
                <w:lang w:val="sr-Latn-CS"/>
              </w:rPr>
            </w:pPr>
          </w:p>
          <w:p w14:paraId="095B6AFE"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povremena</w:t>
            </w:r>
          </w:p>
          <w:p w14:paraId="1324588F" w14:textId="77777777" w:rsidR="00EF6805" w:rsidRPr="00D7338C" w:rsidRDefault="00EF6805" w:rsidP="009274AD">
            <w:pPr>
              <w:tabs>
                <w:tab w:val="left" w:pos="914"/>
                <w:tab w:val="center" w:pos="4536"/>
                <w:tab w:val="right" w:pos="9072"/>
              </w:tabs>
              <w:rPr>
                <w:sz w:val="22"/>
                <w:szCs w:val="22"/>
                <w:lang w:val="sr-Latn-CS"/>
              </w:rPr>
            </w:pPr>
          </w:p>
        </w:tc>
        <w:tc>
          <w:tcPr>
            <w:tcW w:w="4979" w:type="dxa"/>
            <w:shd w:val="clear" w:color="auto" w:fill="auto"/>
          </w:tcPr>
          <w:p w14:paraId="746627F5" w14:textId="77777777" w:rsidR="00EF6805" w:rsidRPr="00D7338C" w:rsidRDefault="00EF6805" w:rsidP="009274AD">
            <w:pPr>
              <w:tabs>
                <w:tab w:val="center" w:pos="4536"/>
                <w:tab w:val="right" w:pos="9072"/>
              </w:tabs>
              <w:rPr>
                <w:sz w:val="22"/>
                <w:szCs w:val="22"/>
                <w:lang w:val="sr-Latn-CS"/>
              </w:rPr>
            </w:pPr>
          </w:p>
          <w:p w14:paraId="0E17E32F" w14:textId="77777777" w:rsidR="00EF6805" w:rsidRPr="00D7338C" w:rsidRDefault="00EF6805" w:rsidP="009274AD">
            <w:pPr>
              <w:tabs>
                <w:tab w:val="center" w:pos="4536"/>
                <w:tab w:val="right" w:pos="9072"/>
              </w:tabs>
              <w:rPr>
                <w:sz w:val="22"/>
                <w:szCs w:val="22"/>
                <w:lang w:val="sr-Latn-CS"/>
              </w:rPr>
            </w:pPr>
          </w:p>
          <w:p w14:paraId="45733B3F"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metroragija, menoragija</w:t>
            </w:r>
          </w:p>
          <w:p w14:paraId="70B4AA10"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4B4C2EF5" w14:textId="77777777" w:rsidTr="009274AD">
        <w:tc>
          <w:tcPr>
            <w:tcW w:w="4978" w:type="dxa"/>
            <w:tcBorders>
              <w:bottom w:val="nil"/>
            </w:tcBorders>
            <w:shd w:val="clear" w:color="auto" w:fill="auto"/>
          </w:tcPr>
          <w:p w14:paraId="6D223ED6" w14:textId="77777777" w:rsidR="00EF6805" w:rsidRPr="00D7338C" w:rsidRDefault="00EF6805" w:rsidP="009274AD">
            <w:pPr>
              <w:tabs>
                <w:tab w:val="center" w:pos="4536"/>
                <w:tab w:val="right" w:pos="9072"/>
              </w:tabs>
              <w:rPr>
                <w:b/>
                <w:sz w:val="22"/>
                <w:szCs w:val="22"/>
                <w:lang w:val="sr-Latn-CS"/>
              </w:rPr>
            </w:pPr>
            <w:r w:rsidRPr="00D7338C">
              <w:rPr>
                <w:b/>
                <w:sz w:val="22"/>
                <w:szCs w:val="22"/>
                <w:lang w:val="sr-Latn-CS"/>
              </w:rPr>
              <w:t>Psihijatrijski poremećaji</w:t>
            </w:r>
          </w:p>
          <w:p w14:paraId="55D191B9"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bottom w:val="nil"/>
            </w:tcBorders>
            <w:shd w:val="clear" w:color="auto" w:fill="auto"/>
          </w:tcPr>
          <w:p w14:paraId="63D05B51"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76F041C9" w14:textId="77777777" w:rsidTr="009274AD">
        <w:tc>
          <w:tcPr>
            <w:tcW w:w="4978" w:type="dxa"/>
            <w:tcBorders>
              <w:top w:val="nil"/>
              <w:bottom w:val="nil"/>
            </w:tcBorders>
            <w:shd w:val="clear" w:color="auto" w:fill="auto"/>
          </w:tcPr>
          <w:p w14:paraId="44B2427F" w14:textId="77777777" w:rsidR="00EF6805" w:rsidRPr="00D7338C" w:rsidRDefault="00EF6805" w:rsidP="009274AD">
            <w:pPr>
              <w:tabs>
                <w:tab w:val="center" w:pos="4536"/>
                <w:tab w:val="right" w:pos="9072"/>
              </w:tabs>
              <w:rPr>
                <w:i/>
                <w:sz w:val="22"/>
                <w:szCs w:val="22"/>
                <w:lang w:val="sr-Latn-CS"/>
              </w:rPr>
            </w:pPr>
            <w:r w:rsidRPr="00D7338C">
              <w:rPr>
                <w:i/>
                <w:sz w:val="22"/>
                <w:szCs w:val="22"/>
                <w:lang w:val="sr-Latn-CS"/>
              </w:rPr>
              <w:t>česta</w:t>
            </w:r>
          </w:p>
          <w:p w14:paraId="05ADE5A5" w14:textId="77777777" w:rsidR="00EF6805" w:rsidRPr="00D7338C" w:rsidRDefault="00EF6805" w:rsidP="009274AD">
            <w:pPr>
              <w:tabs>
                <w:tab w:val="left" w:pos="914"/>
                <w:tab w:val="center" w:pos="4536"/>
                <w:tab w:val="right" w:pos="9072"/>
              </w:tabs>
              <w:rPr>
                <w:sz w:val="22"/>
                <w:szCs w:val="22"/>
                <w:lang w:val="sr-Latn-CS"/>
              </w:rPr>
            </w:pPr>
          </w:p>
        </w:tc>
        <w:tc>
          <w:tcPr>
            <w:tcW w:w="4979" w:type="dxa"/>
            <w:tcBorders>
              <w:top w:val="nil"/>
              <w:bottom w:val="nil"/>
            </w:tcBorders>
            <w:shd w:val="clear" w:color="auto" w:fill="auto"/>
          </w:tcPr>
          <w:p w14:paraId="7B4FA6CE"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depresija (vidjeti dio 4.4), nesanica</w:t>
            </w:r>
          </w:p>
          <w:p w14:paraId="39BF320F" w14:textId="77777777" w:rsidR="00EF6805" w:rsidRPr="00D7338C" w:rsidRDefault="00EF6805" w:rsidP="009274AD">
            <w:pPr>
              <w:tabs>
                <w:tab w:val="left" w:pos="914"/>
                <w:tab w:val="center" w:pos="4536"/>
                <w:tab w:val="right" w:pos="9072"/>
              </w:tabs>
              <w:rPr>
                <w:sz w:val="22"/>
                <w:szCs w:val="22"/>
                <w:lang w:val="sr-Latn-CS"/>
              </w:rPr>
            </w:pPr>
          </w:p>
        </w:tc>
      </w:tr>
      <w:tr w:rsidR="00EF6805" w:rsidRPr="00D7338C" w14:paraId="3BCCE462" w14:textId="77777777" w:rsidTr="009274AD">
        <w:tc>
          <w:tcPr>
            <w:tcW w:w="4978" w:type="dxa"/>
            <w:tcBorders>
              <w:top w:val="nil"/>
            </w:tcBorders>
            <w:shd w:val="clear" w:color="auto" w:fill="auto"/>
          </w:tcPr>
          <w:p w14:paraId="7A18C223" w14:textId="77777777" w:rsidR="00EF6805" w:rsidRPr="00D7338C" w:rsidRDefault="00A02717" w:rsidP="009274AD">
            <w:pPr>
              <w:tabs>
                <w:tab w:val="left" w:pos="914"/>
                <w:tab w:val="center" w:pos="4536"/>
                <w:tab w:val="right" w:pos="9072"/>
              </w:tabs>
              <w:rPr>
                <w:i/>
                <w:sz w:val="22"/>
                <w:szCs w:val="22"/>
                <w:lang w:val="sr-Latn-CS"/>
              </w:rPr>
            </w:pPr>
            <w:r w:rsidRPr="00D7338C">
              <w:rPr>
                <w:i/>
                <w:sz w:val="22"/>
                <w:szCs w:val="22"/>
                <w:lang w:val="sr-Latn-CS"/>
              </w:rPr>
              <w:t>N</w:t>
            </w:r>
            <w:r w:rsidR="00EF6805" w:rsidRPr="00D7338C">
              <w:rPr>
                <w:i/>
                <w:sz w:val="22"/>
                <w:szCs w:val="22"/>
                <w:lang w:val="sr-Latn-CS"/>
              </w:rPr>
              <w:t>epoznata</w:t>
            </w:r>
          </w:p>
        </w:tc>
        <w:tc>
          <w:tcPr>
            <w:tcW w:w="4979" w:type="dxa"/>
            <w:tcBorders>
              <w:top w:val="nil"/>
            </w:tcBorders>
            <w:shd w:val="clear" w:color="auto" w:fill="auto"/>
          </w:tcPr>
          <w:p w14:paraId="22DCBE50" w14:textId="77777777" w:rsidR="00EF6805" w:rsidRPr="00D7338C" w:rsidRDefault="00EF6805" w:rsidP="009274AD">
            <w:pPr>
              <w:tabs>
                <w:tab w:val="center" w:pos="4536"/>
                <w:tab w:val="right" w:pos="9072"/>
              </w:tabs>
              <w:rPr>
                <w:sz w:val="22"/>
                <w:szCs w:val="22"/>
                <w:lang w:val="sr-Latn-CS"/>
              </w:rPr>
            </w:pPr>
            <w:r w:rsidRPr="00D7338C">
              <w:rPr>
                <w:sz w:val="22"/>
                <w:szCs w:val="22"/>
                <w:lang w:val="sr-Latn-CS"/>
              </w:rPr>
              <w:t>suicidalnost, psihoza, anksioznost, konfuzija, emocionalna nestabilnost</w:t>
            </w:r>
          </w:p>
          <w:p w14:paraId="097DD7CF" w14:textId="77777777" w:rsidR="00EF6805" w:rsidRPr="00D7338C" w:rsidRDefault="00EF6805" w:rsidP="009274AD">
            <w:pPr>
              <w:tabs>
                <w:tab w:val="left" w:pos="914"/>
                <w:tab w:val="center" w:pos="4536"/>
                <w:tab w:val="right" w:pos="9072"/>
              </w:tabs>
              <w:rPr>
                <w:sz w:val="22"/>
                <w:szCs w:val="22"/>
                <w:lang w:val="sr-Latn-CS"/>
              </w:rPr>
            </w:pPr>
          </w:p>
        </w:tc>
      </w:tr>
    </w:tbl>
    <w:p w14:paraId="3E6268AE" w14:textId="77777777" w:rsidR="00EF6805" w:rsidRPr="00D63609" w:rsidRDefault="00EF6805" w:rsidP="00D3709E">
      <w:pPr>
        <w:tabs>
          <w:tab w:val="left" w:pos="284"/>
        </w:tabs>
        <w:jc w:val="both"/>
        <w:rPr>
          <w:sz w:val="22"/>
          <w:szCs w:val="22"/>
        </w:rPr>
      </w:pPr>
      <w:r w:rsidRPr="00D63609">
        <w:rPr>
          <w:iCs/>
          <w:sz w:val="22"/>
          <w:szCs w:val="22"/>
          <w:lang w:val="hr-HR"/>
        </w:rPr>
        <w:t xml:space="preserve">*Karakteristika klase ljekova koji sadrže interferon beta (vidjeti </w:t>
      </w:r>
      <w:r w:rsidR="002013EF">
        <w:rPr>
          <w:iCs/>
          <w:sz w:val="22"/>
          <w:szCs w:val="22"/>
          <w:lang w:val="hr-HR"/>
        </w:rPr>
        <w:t>dio</w:t>
      </w:r>
      <w:r w:rsidR="002013EF" w:rsidRPr="00D63609">
        <w:rPr>
          <w:iCs/>
          <w:sz w:val="22"/>
          <w:szCs w:val="22"/>
          <w:lang w:val="hr-HR"/>
        </w:rPr>
        <w:t xml:space="preserve"> </w:t>
      </w:r>
      <w:r w:rsidRPr="00D63609">
        <w:rPr>
          <w:iCs/>
          <w:sz w:val="22"/>
          <w:szCs w:val="22"/>
          <w:lang w:val="hr-HR"/>
        </w:rPr>
        <w:t>4.4).</w:t>
      </w:r>
    </w:p>
    <w:p w14:paraId="6056B652" w14:textId="33E6A770" w:rsidR="00411B3E" w:rsidRPr="00C70273" w:rsidRDefault="00411B3E" w:rsidP="00D3709E">
      <w:pPr>
        <w:pStyle w:val="Smalltext120"/>
        <w:jc w:val="both"/>
        <w:rPr>
          <w:sz w:val="22"/>
          <w:szCs w:val="22"/>
          <w:lang w:val="hr-HR"/>
        </w:rPr>
      </w:pPr>
      <w:r w:rsidRPr="00C70273">
        <w:rPr>
          <w:vertAlign w:val="superscript"/>
          <w:lang w:val="hr-HR"/>
        </w:rPr>
        <w:t>┼</w:t>
      </w:r>
      <w:r w:rsidRPr="007308AC">
        <w:rPr>
          <w:sz w:val="22"/>
          <w:szCs w:val="22"/>
          <w:lang w:val="en-US"/>
        </w:rPr>
        <w:t>Zna</w:t>
      </w:r>
      <w:r w:rsidRPr="00C70273">
        <w:rPr>
          <w:sz w:val="22"/>
          <w:szCs w:val="22"/>
          <w:lang w:val="hr-HR"/>
        </w:rPr>
        <w:t>č</w:t>
      </w:r>
      <w:r w:rsidRPr="007308AC">
        <w:rPr>
          <w:sz w:val="22"/>
          <w:szCs w:val="22"/>
          <w:lang w:val="en-US"/>
        </w:rPr>
        <w:t>aj</w:t>
      </w:r>
      <w:r>
        <w:rPr>
          <w:sz w:val="22"/>
          <w:szCs w:val="22"/>
          <w:lang w:val="en-US"/>
        </w:rPr>
        <w:t>na</w:t>
      </w:r>
      <w:r w:rsidRPr="00C70273">
        <w:rPr>
          <w:sz w:val="22"/>
          <w:szCs w:val="22"/>
          <w:lang w:val="hr-HR"/>
        </w:rPr>
        <w:t xml:space="preserve"> </w:t>
      </w:r>
      <w:r>
        <w:rPr>
          <w:sz w:val="22"/>
          <w:szCs w:val="22"/>
          <w:lang w:val="hr-HR"/>
        </w:rPr>
        <w:t>grupa</w:t>
      </w:r>
      <w:r w:rsidRPr="00C70273">
        <w:rPr>
          <w:sz w:val="22"/>
          <w:szCs w:val="22"/>
          <w:lang w:val="hr-HR"/>
        </w:rPr>
        <w:t xml:space="preserve"> </w:t>
      </w:r>
      <w:r w:rsidRPr="007308AC">
        <w:rPr>
          <w:sz w:val="22"/>
          <w:szCs w:val="22"/>
          <w:lang w:val="en-US"/>
        </w:rPr>
        <w:t>ljekova</w:t>
      </w:r>
      <w:r w:rsidRPr="00C70273">
        <w:rPr>
          <w:sz w:val="22"/>
          <w:szCs w:val="22"/>
          <w:lang w:val="hr-HR"/>
        </w:rPr>
        <w:t xml:space="preserve"> </w:t>
      </w:r>
      <w:r w:rsidRPr="007308AC">
        <w:rPr>
          <w:sz w:val="22"/>
          <w:szCs w:val="22"/>
          <w:lang w:val="en-US"/>
        </w:rPr>
        <w:t>koji</w:t>
      </w:r>
      <w:r w:rsidRPr="00C70273">
        <w:rPr>
          <w:sz w:val="22"/>
          <w:szCs w:val="22"/>
          <w:lang w:val="hr-HR"/>
        </w:rPr>
        <w:t xml:space="preserve"> </w:t>
      </w:r>
      <w:r w:rsidRPr="007308AC">
        <w:rPr>
          <w:sz w:val="22"/>
          <w:szCs w:val="22"/>
          <w:lang w:val="en-US"/>
        </w:rPr>
        <w:t>sadr</w:t>
      </w:r>
      <w:r w:rsidRPr="00C70273">
        <w:rPr>
          <w:sz w:val="22"/>
          <w:szCs w:val="22"/>
          <w:lang w:val="hr-HR"/>
        </w:rPr>
        <w:t>ž</w:t>
      </w:r>
      <w:r w:rsidRPr="007308AC">
        <w:rPr>
          <w:sz w:val="22"/>
          <w:szCs w:val="22"/>
          <w:lang w:val="en-US"/>
        </w:rPr>
        <w:t>e</w:t>
      </w:r>
      <w:r w:rsidRPr="00C70273">
        <w:rPr>
          <w:sz w:val="22"/>
          <w:szCs w:val="22"/>
          <w:lang w:val="hr-HR"/>
        </w:rPr>
        <w:t xml:space="preserve"> </w:t>
      </w:r>
      <w:r w:rsidRPr="007308AC">
        <w:rPr>
          <w:sz w:val="22"/>
          <w:szCs w:val="22"/>
          <w:lang w:val="en-US"/>
        </w:rPr>
        <w:t>interferon</w:t>
      </w:r>
      <w:r w:rsidRPr="00C70273">
        <w:rPr>
          <w:sz w:val="22"/>
          <w:szCs w:val="22"/>
          <w:lang w:val="hr-HR"/>
        </w:rPr>
        <w:t xml:space="preserve">, </w:t>
      </w:r>
      <w:r w:rsidRPr="007308AC">
        <w:rPr>
          <w:sz w:val="22"/>
          <w:szCs w:val="22"/>
          <w:lang w:val="en-US"/>
        </w:rPr>
        <w:t>vidjeti</w:t>
      </w:r>
      <w:r w:rsidRPr="00C70273">
        <w:rPr>
          <w:sz w:val="22"/>
          <w:szCs w:val="22"/>
          <w:lang w:val="hr-HR"/>
        </w:rPr>
        <w:t xml:space="preserve"> </w:t>
      </w:r>
      <w:r w:rsidRPr="007308AC">
        <w:rPr>
          <w:sz w:val="22"/>
          <w:szCs w:val="22"/>
          <w:lang w:val="en-US"/>
        </w:rPr>
        <w:t>ni</w:t>
      </w:r>
      <w:r w:rsidRPr="00C70273">
        <w:rPr>
          <w:sz w:val="22"/>
          <w:szCs w:val="22"/>
          <w:lang w:val="hr-HR"/>
        </w:rPr>
        <w:t>ž</w:t>
      </w:r>
      <w:r w:rsidRPr="007308AC">
        <w:rPr>
          <w:sz w:val="22"/>
          <w:szCs w:val="22"/>
          <w:lang w:val="en-US"/>
        </w:rPr>
        <w:t>e</w:t>
      </w:r>
      <w:r w:rsidRPr="00C70273">
        <w:rPr>
          <w:sz w:val="22"/>
          <w:szCs w:val="22"/>
          <w:lang w:val="hr-HR"/>
        </w:rPr>
        <w:t xml:space="preserve"> </w:t>
      </w:r>
      <w:r w:rsidRPr="007308AC">
        <w:rPr>
          <w:i/>
          <w:sz w:val="22"/>
          <w:szCs w:val="22"/>
          <w:lang w:val="en-US"/>
        </w:rPr>
        <w:t>Plu</w:t>
      </w:r>
      <w:r w:rsidRPr="00C70273">
        <w:rPr>
          <w:i/>
          <w:sz w:val="22"/>
          <w:szCs w:val="22"/>
          <w:lang w:val="hr-HR"/>
        </w:rPr>
        <w:t>ć</w:t>
      </w:r>
      <w:r w:rsidRPr="007308AC">
        <w:rPr>
          <w:i/>
          <w:sz w:val="22"/>
          <w:szCs w:val="22"/>
          <w:lang w:val="en-US"/>
        </w:rPr>
        <w:t>na</w:t>
      </w:r>
      <w:r w:rsidRPr="00C70273">
        <w:rPr>
          <w:i/>
          <w:sz w:val="22"/>
          <w:szCs w:val="22"/>
          <w:lang w:val="hr-HR"/>
        </w:rPr>
        <w:t xml:space="preserve"> </w:t>
      </w:r>
      <w:r w:rsidRPr="007308AC">
        <w:rPr>
          <w:i/>
          <w:sz w:val="22"/>
          <w:szCs w:val="22"/>
          <w:lang w:val="en-US"/>
        </w:rPr>
        <w:t>arterijska</w:t>
      </w:r>
      <w:r w:rsidRPr="00C70273">
        <w:rPr>
          <w:i/>
          <w:sz w:val="22"/>
          <w:szCs w:val="22"/>
          <w:lang w:val="hr-HR"/>
        </w:rPr>
        <w:t xml:space="preserve"> </w:t>
      </w:r>
      <w:r w:rsidRPr="007308AC">
        <w:rPr>
          <w:i/>
          <w:sz w:val="22"/>
          <w:szCs w:val="22"/>
          <w:lang w:val="en-US"/>
        </w:rPr>
        <w:t>hipertenzija</w:t>
      </w:r>
      <w:r w:rsidRPr="00C70273">
        <w:rPr>
          <w:sz w:val="22"/>
          <w:szCs w:val="22"/>
          <w:lang w:val="hr-HR"/>
        </w:rPr>
        <w:t>.</w:t>
      </w:r>
    </w:p>
    <w:p w14:paraId="799D6331" w14:textId="77777777" w:rsidR="00EF6805" w:rsidRPr="00D63609" w:rsidRDefault="00EF6805" w:rsidP="00D3709E">
      <w:pPr>
        <w:tabs>
          <w:tab w:val="center" w:pos="4536"/>
          <w:tab w:val="right" w:pos="9072"/>
        </w:tabs>
        <w:jc w:val="both"/>
        <w:rPr>
          <w:sz w:val="22"/>
          <w:szCs w:val="22"/>
          <w:lang w:val="sr-Latn-CS"/>
        </w:rPr>
      </w:pPr>
    </w:p>
    <w:p w14:paraId="25F35539" w14:textId="77777777" w:rsidR="00EF6805" w:rsidRPr="00D63609" w:rsidRDefault="00EF6805" w:rsidP="00D3709E">
      <w:pPr>
        <w:tabs>
          <w:tab w:val="center" w:pos="4536"/>
          <w:tab w:val="right" w:pos="9072"/>
        </w:tabs>
        <w:jc w:val="both"/>
        <w:rPr>
          <w:sz w:val="22"/>
          <w:szCs w:val="22"/>
          <w:lang w:val="sr-Latn-CS"/>
        </w:rPr>
      </w:pPr>
      <w:r w:rsidRPr="00D63609">
        <w:rPr>
          <w:sz w:val="22"/>
          <w:szCs w:val="22"/>
          <w:vertAlign w:val="superscript"/>
          <w:lang w:val="sr-Latn-CS"/>
        </w:rPr>
        <w:t>1</w:t>
      </w:r>
      <w:r w:rsidRPr="00D63609">
        <w:rPr>
          <w:sz w:val="22"/>
          <w:szCs w:val="22"/>
          <w:lang w:val="sr-Latn-CS"/>
        </w:rPr>
        <w:t>Reakcije na mjestu injiciranja uključujući bol, upalu i vrlo rijetke slučajeve apscesa ili celulitisa što može zahtijevati hiruršku intervenciju su bile prijavljene.</w:t>
      </w:r>
    </w:p>
    <w:p w14:paraId="03194074" w14:textId="77777777" w:rsidR="00EF6805" w:rsidRDefault="00EF6805" w:rsidP="00D3709E">
      <w:pPr>
        <w:tabs>
          <w:tab w:val="center" w:pos="4536"/>
          <w:tab w:val="right" w:pos="9072"/>
        </w:tabs>
        <w:jc w:val="both"/>
        <w:rPr>
          <w:sz w:val="22"/>
          <w:szCs w:val="22"/>
          <w:vertAlign w:val="superscript"/>
          <w:lang w:val="sr-Latn-CS"/>
        </w:rPr>
      </w:pPr>
    </w:p>
    <w:p w14:paraId="7ACA6652" w14:textId="77777777" w:rsidR="00EF6805" w:rsidRPr="00D63609" w:rsidRDefault="00EF6805" w:rsidP="00D3709E">
      <w:pPr>
        <w:tabs>
          <w:tab w:val="center" w:pos="4536"/>
          <w:tab w:val="right" w:pos="9072"/>
        </w:tabs>
        <w:jc w:val="both"/>
        <w:rPr>
          <w:sz w:val="22"/>
          <w:szCs w:val="22"/>
          <w:lang w:val="sr-Latn-CS"/>
        </w:rPr>
      </w:pPr>
      <w:r w:rsidRPr="00D63609">
        <w:rPr>
          <w:sz w:val="22"/>
          <w:szCs w:val="22"/>
          <w:vertAlign w:val="superscript"/>
          <w:lang w:val="sr-Latn-CS"/>
        </w:rPr>
        <w:t>2</w:t>
      </w:r>
      <w:r w:rsidRPr="00D63609">
        <w:rPr>
          <w:sz w:val="22"/>
          <w:szCs w:val="22"/>
          <w:lang w:val="sr-Latn-CS"/>
        </w:rPr>
        <w:t>Učestalost javljanja je veća na početku liječenja.</w:t>
      </w:r>
    </w:p>
    <w:p w14:paraId="41C4633C" w14:textId="77777777" w:rsidR="00EF6805" w:rsidRPr="00D63609" w:rsidRDefault="00EF6805" w:rsidP="00D3709E">
      <w:pPr>
        <w:tabs>
          <w:tab w:val="center" w:pos="4536"/>
          <w:tab w:val="right" w:pos="9072"/>
        </w:tabs>
        <w:jc w:val="both"/>
        <w:rPr>
          <w:sz w:val="22"/>
          <w:szCs w:val="22"/>
          <w:lang w:val="sr-Latn-CS"/>
        </w:rPr>
      </w:pPr>
    </w:p>
    <w:p w14:paraId="261FC08D" w14:textId="77777777" w:rsidR="00EF6805" w:rsidRDefault="00EF6805" w:rsidP="00D3709E">
      <w:pPr>
        <w:tabs>
          <w:tab w:val="center" w:pos="4536"/>
          <w:tab w:val="right" w:pos="9072"/>
        </w:tabs>
        <w:jc w:val="both"/>
        <w:rPr>
          <w:sz w:val="22"/>
          <w:szCs w:val="22"/>
          <w:lang w:val="sr-Latn-CS"/>
        </w:rPr>
      </w:pPr>
      <w:r w:rsidRPr="00D63609">
        <w:rPr>
          <w:sz w:val="22"/>
          <w:szCs w:val="22"/>
          <w:vertAlign w:val="superscript"/>
          <w:lang w:val="sr-Latn-CS"/>
        </w:rPr>
        <w:t>3</w:t>
      </w:r>
      <w:r w:rsidRPr="00D63609">
        <w:rPr>
          <w:sz w:val="22"/>
          <w:szCs w:val="22"/>
          <w:lang w:val="sr-Latn-CS"/>
        </w:rPr>
        <w:t>Epizoda sinkope se može pojaviti nakon injiciranja lijeka AVONEX, normalno je to pojedinačna epizoda koja se obično pojavi na početku liječenja i ne ponavlja se kod kasnijih injiciranja.</w:t>
      </w:r>
    </w:p>
    <w:p w14:paraId="2B2AAD34" w14:textId="77777777" w:rsidR="00EF6805" w:rsidRDefault="00EF6805" w:rsidP="00D3709E">
      <w:pPr>
        <w:tabs>
          <w:tab w:val="center" w:pos="4536"/>
          <w:tab w:val="right" w:pos="9072"/>
        </w:tabs>
        <w:jc w:val="both"/>
        <w:rPr>
          <w:sz w:val="22"/>
          <w:szCs w:val="22"/>
          <w:lang w:val="sr-Latn-CS"/>
        </w:rPr>
      </w:pPr>
    </w:p>
    <w:p w14:paraId="1F435E69" w14:textId="77777777" w:rsidR="00411B3E" w:rsidRPr="00B15363" w:rsidRDefault="00411B3E" w:rsidP="00D3709E">
      <w:pPr>
        <w:suppressAutoHyphens/>
        <w:spacing w:line="260" w:lineRule="exact"/>
        <w:jc w:val="both"/>
        <w:rPr>
          <w:i/>
          <w:sz w:val="22"/>
          <w:szCs w:val="20"/>
          <w:lang w:val="hr-HR" w:eastAsia="zh-CN" w:bidi="hr-HR"/>
        </w:rPr>
      </w:pPr>
      <w:r w:rsidRPr="00B15363">
        <w:rPr>
          <w:i/>
          <w:sz w:val="22"/>
          <w:szCs w:val="20"/>
          <w:lang w:val="hr-HR" w:eastAsia="zh-CN" w:bidi="hr-HR"/>
        </w:rPr>
        <w:t>Plućna arterijska hipertenzija</w:t>
      </w:r>
    </w:p>
    <w:p w14:paraId="7689B6A9" w14:textId="77777777" w:rsidR="00411B3E" w:rsidRPr="00B15363" w:rsidRDefault="00411B3E" w:rsidP="00D3709E">
      <w:pPr>
        <w:suppressAutoHyphens/>
        <w:spacing w:line="260" w:lineRule="exact"/>
        <w:jc w:val="both"/>
        <w:rPr>
          <w:sz w:val="22"/>
          <w:szCs w:val="20"/>
          <w:lang w:val="hr-HR" w:eastAsia="zh-CN" w:bidi="hr-HR"/>
        </w:rPr>
      </w:pPr>
    </w:p>
    <w:p w14:paraId="1C316D67" w14:textId="77777777" w:rsidR="00411B3E" w:rsidRPr="00B15363" w:rsidRDefault="00411B3E" w:rsidP="00D3709E">
      <w:pPr>
        <w:suppressAutoHyphens/>
        <w:spacing w:line="260" w:lineRule="exact"/>
        <w:jc w:val="both"/>
        <w:rPr>
          <w:sz w:val="22"/>
          <w:szCs w:val="20"/>
          <w:lang w:val="hr-HR" w:eastAsia="zh-CN" w:bidi="hr-HR"/>
        </w:rPr>
      </w:pPr>
      <w:r w:rsidRPr="00B15363">
        <w:rPr>
          <w:sz w:val="22"/>
          <w:szCs w:val="20"/>
          <w:lang w:val="hr-HR" w:eastAsia="zh-CN" w:bidi="hr-HR"/>
        </w:rPr>
        <w:t xml:space="preserve">Slučajevi plućne arterijske hipertenzije (PAH) prijavljeni su s lijekovima koji sadrže interferon beta. Događaji su prijavljeni u različitim vremenskim </w:t>
      </w:r>
      <w:r>
        <w:rPr>
          <w:sz w:val="22"/>
          <w:szCs w:val="20"/>
          <w:lang w:val="hr-HR" w:eastAsia="zh-CN" w:bidi="hr-HR"/>
        </w:rPr>
        <w:t>tačkama</w:t>
      </w:r>
      <w:r w:rsidRPr="00B15363">
        <w:rPr>
          <w:sz w:val="22"/>
          <w:szCs w:val="20"/>
          <w:lang w:val="hr-HR" w:eastAsia="zh-CN" w:bidi="hr-HR"/>
        </w:rPr>
        <w:t xml:space="preserve"> i do nekoliko godina nakon početka liječenja interferonom beta.</w:t>
      </w:r>
    </w:p>
    <w:p w14:paraId="2F3ED393" w14:textId="77777777" w:rsidR="00EF6805" w:rsidRDefault="00EF6805" w:rsidP="00D3709E">
      <w:pPr>
        <w:tabs>
          <w:tab w:val="left" w:pos="540"/>
          <w:tab w:val="left" w:pos="569"/>
        </w:tabs>
        <w:jc w:val="both"/>
        <w:rPr>
          <w:b/>
          <w:bCs/>
          <w:sz w:val="22"/>
          <w:szCs w:val="22"/>
        </w:rPr>
      </w:pPr>
    </w:p>
    <w:p w14:paraId="18476900" w14:textId="77777777" w:rsidR="00EF6805" w:rsidRPr="00D63609" w:rsidRDefault="00EF6805" w:rsidP="00D3709E">
      <w:pPr>
        <w:tabs>
          <w:tab w:val="left" w:pos="284"/>
        </w:tabs>
        <w:jc w:val="both"/>
        <w:rPr>
          <w:sz w:val="22"/>
          <w:szCs w:val="22"/>
          <w:u w:val="single"/>
          <w:lang w:val="sr-Latn-CS"/>
        </w:rPr>
      </w:pPr>
      <w:r w:rsidRPr="00D63609">
        <w:rPr>
          <w:sz w:val="22"/>
          <w:szCs w:val="22"/>
          <w:u w:val="single"/>
          <w:lang w:val="sr-Latn-CS"/>
        </w:rPr>
        <w:t xml:space="preserve">Pedijatrijska populacija: </w:t>
      </w:r>
    </w:p>
    <w:p w14:paraId="0693DA21" w14:textId="77777777" w:rsidR="00EF6805" w:rsidRPr="00D63609" w:rsidRDefault="00EF6805" w:rsidP="00D3709E">
      <w:pPr>
        <w:tabs>
          <w:tab w:val="left" w:pos="284"/>
        </w:tabs>
        <w:jc w:val="both"/>
        <w:rPr>
          <w:sz w:val="22"/>
          <w:szCs w:val="22"/>
          <w:lang w:val="sr-Latn-CS"/>
        </w:rPr>
      </w:pPr>
    </w:p>
    <w:p w14:paraId="7123CF25" w14:textId="32B2309B" w:rsidR="00EF6805" w:rsidRDefault="00EF6805" w:rsidP="00D3709E">
      <w:pPr>
        <w:tabs>
          <w:tab w:val="left" w:pos="540"/>
          <w:tab w:val="left" w:pos="569"/>
        </w:tabs>
        <w:jc w:val="both"/>
        <w:rPr>
          <w:b/>
          <w:bCs/>
          <w:sz w:val="22"/>
          <w:szCs w:val="22"/>
        </w:rPr>
      </w:pPr>
      <w:r w:rsidRPr="00D63609">
        <w:rPr>
          <w:sz w:val="22"/>
          <w:szCs w:val="22"/>
          <w:lang w:val="sr-Latn-CS"/>
        </w:rPr>
        <w:t>Ograničeni</w:t>
      </w:r>
      <w:r w:rsidR="00C95847">
        <w:rPr>
          <w:sz w:val="22"/>
          <w:szCs w:val="22"/>
          <w:lang w:val="sr-Latn-CS"/>
        </w:rPr>
        <w:t xml:space="preserve"> </w:t>
      </w:r>
      <w:r w:rsidRPr="00D63609">
        <w:rPr>
          <w:sz w:val="22"/>
          <w:szCs w:val="22"/>
          <w:lang w:val="sr-Latn-CS"/>
        </w:rPr>
        <w:t xml:space="preserve">podaci </w:t>
      </w:r>
      <w:r w:rsidR="00A5556F">
        <w:rPr>
          <w:sz w:val="22"/>
          <w:szCs w:val="22"/>
          <w:lang w:val="sr-Latn-CS"/>
        </w:rPr>
        <w:t xml:space="preserve">iz </w:t>
      </w:r>
      <w:r w:rsidR="00A5556F" w:rsidRPr="00A5556F">
        <w:rPr>
          <w:sz w:val="22"/>
          <w:szCs w:val="22"/>
          <w:lang w:val="sr-Latn-CS"/>
        </w:rPr>
        <w:t>literature, kliničkih studija i iskustva nakon izdavanja dozvole za l</w:t>
      </w:r>
      <w:r w:rsidR="006B6E4C">
        <w:rPr>
          <w:sz w:val="22"/>
          <w:szCs w:val="22"/>
          <w:lang w:val="sr-Latn-CS"/>
        </w:rPr>
        <w:t>ij</w:t>
      </w:r>
      <w:r w:rsidR="00A5556F" w:rsidRPr="00A5556F">
        <w:rPr>
          <w:sz w:val="22"/>
          <w:szCs w:val="22"/>
          <w:lang w:val="sr-Latn-CS"/>
        </w:rPr>
        <w:t xml:space="preserve">ek </w:t>
      </w:r>
      <w:r w:rsidRPr="00D63609">
        <w:rPr>
          <w:sz w:val="22"/>
          <w:szCs w:val="22"/>
          <w:lang w:val="sr-Latn-CS"/>
        </w:rPr>
        <w:t xml:space="preserve">ukazuju da je bezbjednosni profil kod </w:t>
      </w:r>
      <w:r w:rsidR="00A5556F">
        <w:rPr>
          <w:sz w:val="22"/>
          <w:szCs w:val="22"/>
          <w:lang w:val="sr-Latn-CS"/>
        </w:rPr>
        <w:t>d</w:t>
      </w:r>
      <w:r w:rsidR="006B6E4C">
        <w:rPr>
          <w:sz w:val="22"/>
          <w:szCs w:val="22"/>
          <w:lang w:val="sr-Latn-CS"/>
        </w:rPr>
        <w:t>j</w:t>
      </w:r>
      <w:r w:rsidR="00A5556F">
        <w:rPr>
          <w:sz w:val="22"/>
          <w:szCs w:val="22"/>
          <w:lang w:val="sr-Latn-CS"/>
        </w:rPr>
        <w:t xml:space="preserve">ece i </w:t>
      </w:r>
      <w:r w:rsidRPr="00D63609">
        <w:rPr>
          <w:sz w:val="22"/>
          <w:szCs w:val="22"/>
          <w:lang w:val="sr-Latn-CS"/>
        </w:rPr>
        <w:t>adolescenata od 1</w:t>
      </w:r>
      <w:r w:rsidR="00A5556F">
        <w:rPr>
          <w:sz w:val="22"/>
          <w:szCs w:val="22"/>
          <w:lang w:val="sr-Latn-CS"/>
        </w:rPr>
        <w:t>0</w:t>
      </w:r>
      <w:r w:rsidRPr="00D63609">
        <w:rPr>
          <w:sz w:val="22"/>
          <w:szCs w:val="22"/>
          <w:lang w:val="sr-Latn-CS"/>
        </w:rPr>
        <w:t xml:space="preserve"> do </w:t>
      </w:r>
      <w:r w:rsidR="00A5556F">
        <w:rPr>
          <w:sz w:val="22"/>
          <w:szCs w:val="22"/>
          <w:lang w:val="sr-Latn-CS"/>
        </w:rPr>
        <w:t xml:space="preserve">manje od </w:t>
      </w:r>
      <w:r w:rsidRPr="00D63609">
        <w:rPr>
          <w:sz w:val="22"/>
          <w:szCs w:val="22"/>
          <w:lang w:val="sr-Latn-CS"/>
        </w:rPr>
        <w:t>1</w:t>
      </w:r>
      <w:r w:rsidR="00A5556F">
        <w:rPr>
          <w:sz w:val="22"/>
          <w:szCs w:val="22"/>
          <w:lang w:val="sr-Latn-CS"/>
        </w:rPr>
        <w:t>8</w:t>
      </w:r>
      <w:r w:rsidRPr="00D63609">
        <w:rPr>
          <w:sz w:val="22"/>
          <w:szCs w:val="22"/>
          <w:lang w:val="sr-Latn-CS"/>
        </w:rPr>
        <w:t xml:space="preserve"> godina koji primaju lijek AVONEX 30 mikrograma IM jednom </w:t>
      </w:r>
      <w:r w:rsidR="00D12BD2">
        <w:rPr>
          <w:sz w:val="22"/>
          <w:szCs w:val="22"/>
          <w:lang w:val="sr-Latn-CS"/>
        </w:rPr>
        <w:t>nedjeljno</w:t>
      </w:r>
      <w:r w:rsidR="00D12BD2" w:rsidRPr="00D63609">
        <w:rPr>
          <w:sz w:val="22"/>
          <w:szCs w:val="22"/>
          <w:lang w:val="sr-Latn-CS"/>
        </w:rPr>
        <w:t xml:space="preserve"> </w:t>
      </w:r>
      <w:r w:rsidR="00A5556F">
        <w:rPr>
          <w:sz w:val="22"/>
          <w:szCs w:val="22"/>
          <w:lang w:val="sr-Latn-CS"/>
        </w:rPr>
        <w:t>u skladu sa</w:t>
      </w:r>
      <w:r w:rsidR="00A5556F" w:rsidRPr="00D63609">
        <w:rPr>
          <w:sz w:val="22"/>
          <w:szCs w:val="22"/>
          <w:lang w:val="sr-Latn-CS"/>
        </w:rPr>
        <w:t xml:space="preserve"> </w:t>
      </w:r>
      <w:r w:rsidRPr="00D63609">
        <w:rPr>
          <w:sz w:val="22"/>
          <w:szCs w:val="22"/>
          <w:lang w:val="sr-Latn-CS"/>
        </w:rPr>
        <w:t>on</w:t>
      </w:r>
      <w:r w:rsidR="00A5556F">
        <w:rPr>
          <w:sz w:val="22"/>
          <w:szCs w:val="22"/>
          <w:lang w:val="sr-Latn-CS"/>
        </w:rPr>
        <w:t>i</w:t>
      </w:r>
      <w:r w:rsidRPr="00D63609">
        <w:rPr>
          <w:sz w:val="22"/>
          <w:szCs w:val="22"/>
          <w:lang w:val="sr-Latn-CS"/>
        </w:rPr>
        <w:t>m viđen</w:t>
      </w:r>
      <w:r w:rsidR="00A5556F">
        <w:rPr>
          <w:sz w:val="22"/>
          <w:szCs w:val="22"/>
          <w:lang w:val="sr-Latn-CS"/>
        </w:rPr>
        <w:t>i</w:t>
      </w:r>
      <w:r w:rsidRPr="00D63609">
        <w:rPr>
          <w:sz w:val="22"/>
          <w:szCs w:val="22"/>
          <w:lang w:val="sr-Latn-CS"/>
        </w:rPr>
        <w:t>m kod odraslih.</w:t>
      </w:r>
    </w:p>
    <w:p w14:paraId="05CEB043" w14:textId="77777777" w:rsidR="004E70AD" w:rsidRDefault="004E70AD" w:rsidP="00D3709E">
      <w:pPr>
        <w:tabs>
          <w:tab w:val="left" w:pos="540"/>
          <w:tab w:val="left" w:pos="569"/>
        </w:tabs>
        <w:jc w:val="both"/>
        <w:rPr>
          <w:b/>
          <w:bCs/>
          <w:sz w:val="22"/>
          <w:szCs w:val="22"/>
        </w:rPr>
      </w:pPr>
    </w:p>
    <w:p w14:paraId="654CAA84" w14:textId="77777777" w:rsidR="00A5556F" w:rsidRPr="00D3709E" w:rsidRDefault="00A5556F" w:rsidP="00D3709E">
      <w:pPr>
        <w:tabs>
          <w:tab w:val="left" w:pos="540"/>
          <w:tab w:val="left" w:pos="569"/>
        </w:tabs>
        <w:jc w:val="both"/>
        <w:rPr>
          <w:sz w:val="22"/>
          <w:szCs w:val="22"/>
        </w:rPr>
      </w:pPr>
      <w:r w:rsidRPr="00D3709E">
        <w:rPr>
          <w:sz w:val="22"/>
          <w:szCs w:val="22"/>
        </w:rPr>
        <w:t>Bezb</w:t>
      </w:r>
      <w:r w:rsidR="006B6E4C">
        <w:rPr>
          <w:sz w:val="22"/>
          <w:szCs w:val="22"/>
        </w:rPr>
        <w:t>j</w:t>
      </w:r>
      <w:r w:rsidRPr="00D3709E">
        <w:rPr>
          <w:sz w:val="22"/>
          <w:szCs w:val="22"/>
        </w:rPr>
        <w:t>ednosne informacije dobijene upotrebom l</w:t>
      </w:r>
      <w:r w:rsidR="006B6E4C">
        <w:rPr>
          <w:sz w:val="22"/>
          <w:szCs w:val="22"/>
        </w:rPr>
        <w:t>ij</w:t>
      </w:r>
      <w:r w:rsidRPr="00D3709E">
        <w:rPr>
          <w:sz w:val="22"/>
          <w:szCs w:val="22"/>
        </w:rPr>
        <w:t>eka Avonex kao aktivnog komparatora u 96-ned</w:t>
      </w:r>
      <w:r w:rsidR="006B6E4C">
        <w:rPr>
          <w:sz w:val="22"/>
          <w:szCs w:val="22"/>
        </w:rPr>
        <w:t>j</w:t>
      </w:r>
      <w:r w:rsidRPr="00D3709E">
        <w:rPr>
          <w:sz w:val="22"/>
          <w:szCs w:val="22"/>
        </w:rPr>
        <w:t>eljnoj otvorenoj, randomizovanoj studiji na pedijatrijskim pacijentima sa relapsnom remitentnom multiplom sklerozom uzrasta od 10 do manje od 18 godina (sa samo 10% ukupne ispitivane populacije &lt; 13 godina) pokazuju da su u grupi koja je primala l</w:t>
      </w:r>
      <w:r w:rsidR="006B6E4C">
        <w:rPr>
          <w:sz w:val="22"/>
          <w:szCs w:val="22"/>
        </w:rPr>
        <w:t>ij</w:t>
      </w:r>
      <w:r w:rsidRPr="00D3709E">
        <w:rPr>
          <w:sz w:val="22"/>
          <w:szCs w:val="22"/>
        </w:rPr>
        <w:t>ek Avonex (n=72) sl</w:t>
      </w:r>
      <w:r w:rsidR="006B6E4C">
        <w:rPr>
          <w:sz w:val="22"/>
          <w:szCs w:val="22"/>
        </w:rPr>
        <w:t>j</w:t>
      </w:r>
      <w:r w:rsidRPr="00D3709E">
        <w:rPr>
          <w:sz w:val="22"/>
          <w:szCs w:val="22"/>
        </w:rPr>
        <w:t>edeći neželjeni događaji koji su uobičajeni kod odrasle populacije prijavljeni kao veoma česti u pedijatrijskoj populaciji: mijalgija, bol u ekstremitetima, umor i artralgija.</w:t>
      </w:r>
    </w:p>
    <w:p w14:paraId="4936824A" w14:textId="77777777" w:rsidR="00A5556F" w:rsidRPr="00D3709E" w:rsidRDefault="00A5556F" w:rsidP="00D3709E">
      <w:pPr>
        <w:tabs>
          <w:tab w:val="left" w:pos="540"/>
          <w:tab w:val="left" w:pos="569"/>
        </w:tabs>
        <w:jc w:val="both"/>
        <w:rPr>
          <w:sz w:val="22"/>
          <w:szCs w:val="22"/>
        </w:rPr>
      </w:pPr>
    </w:p>
    <w:p w14:paraId="4B311FC8" w14:textId="77777777" w:rsidR="005A23D2" w:rsidRPr="00786071" w:rsidRDefault="005A23D2" w:rsidP="00D3709E">
      <w:pPr>
        <w:spacing w:after="200" w:line="276" w:lineRule="auto"/>
        <w:jc w:val="both"/>
        <w:rPr>
          <w:rFonts w:eastAsia="Calibri"/>
          <w:sz w:val="22"/>
          <w:szCs w:val="22"/>
          <w:u w:val="single"/>
        </w:rPr>
      </w:pPr>
      <w:r w:rsidRPr="00786071">
        <w:rPr>
          <w:rFonts w:eastAsia="Calibri"/>
          <w:sz w:val="22"/>
          <w:szCs w:val="22"/>
          <w:u w:val="single"/>
        </w:rPr>
        <w:t>Prijavljivanje sumnji na neželjena dejstva</w:t>
      </w:r>
    </w:p>
    <w:p w14:paraId="369D1FC3" w14:textId="77777777" w:rsidR="005A23D2" w:rsidRPr="00786071" w:rsidRDefault="005A23D2" w:rsidP="002013EF">
      <w:pPr>
        <w:spacing w:after="200"/>
        <w:jc w:val="both"/>
        <w:rPr>
          <w:rFonts w:eastAsia="Calibri"/>
          <w:sz w:val="22"/>
          <w:szCs w:val="22"/>
        </w:rPr>
      </w:pPr>
      <w:r w:rsidRPr="00786071">
        <w:rPr>
          <w:rFonts w:eastAsia="Calibri"/>
          <w:sz w:val="22"/>
          <w:szCs w:val="22"/>
        </w:rPr>
        <w:t>Prijavljivanje neželjenih dejstava nakon dobijanja dozvole je od velikog značaja jer obezbjeđuje kont</w:t>
      </w:r>
      <w:r w:rsidR="00EA5765" w:rsidRPr="00786071">
        <w:rPr>
          <w:rFonts w:eastAsia="Calibri"/>
          <w:sz w:val="22"/>
          <w:szCs w:val="22"/>
        </w:rPr>
        <w:t>inuirano praćenje odnosa korist</w:t>
      </w:r>
      <w:r w:rsidRPr="00786071">
        <w:rPr>
          <w:rFonts w:eastAsia="Calibri"/>
          <w:sz w:val="22"/>
          <w:szCs w:val="22"/>
        </w:rPr>
        <w:t>/rizik primjene lijeka. Zdravstveni radnici treba da prijave svaku sumnju na neželjeno</w:t>
      </w:r>
      <w:r w:rsidR="009B062A" w:rsidRPr="00786071">
        <w:rPr>
          <w:rFonts w:eastAsia="Calibri"/>
          <w:sz w:val="22"/>
          <w:szCs w:val="22"/>
        </w:rPr>
        <w:t xml:space="preserve"> </w:t>
      </w:r>
      <w:r w:rsidRPr="00786071">
        <w:rPr>
          <w:rFonts w:eastAsia="Calibri"/>
          <w:sz w:val="22"/>
          <w:szCs w:val="22"/>
        </w:rPr>
        <w:t xml:space="preserve">dejstvo ovog lijeka </w:t>
      </w:r>
      <w:r w:rsidR="004E70AD">
        <w:rPr>
          <w:rFonts w:eastAsia="Calibri"/>
          <w:sz w:val="22"/>
          <w:szCs w:val="22"/>
        </w:rPr>
        <w:t>Institutu</w:t>
      </w:r>
      <w:r w:rsidRPr="00786071">
        <w:rPr>
          <w:rFonts w:eastAsia="Calibri"/>
          <w:sz w:val="22"/>
          <w:szCs w:val="22"/>
        </w:rPr>
        <w:t xml:space="preserve"> za ljekove i medicinska sredstva</w:t>
      </w:r>
      <w:r w:rsidR="004E70AD">
        <w:rPr>
          <w:rFonts w:eastAsia="Calibri"/>
          <w:sz w:val="22"/>
          <w:szCs w:val="22"/>
        </w:rPr>
        <w:t xml:space="preserve"> </w:t>
      </w:r>
      <w:r w:rsidRPr="00786071">
        <w:rPr>
          <w:rFonts w:eastAsia="Calibri"/>
          <w:sz w:val="22"/>
          <w:szCs w:val="22"/>
        </w:rPr>
        <w:t>(</w:t>
      </w:r>
      <w:r w:rsidR="004E70AD" w:rsidRPr="00786071">
        <w:rPr>
          <w:rFonts w:eastAsia="Calibri"/>
          <w:sz w:val="22"/>
          <w:szCs w:val="22"/>
        </w:rPr>
        <w:t>C</w:t>
      </w:r>
      <w:r w:rsidR="004E70AD">
        <w:rPr>
          <w:rFonts w:eastAsia="Calibri"/>
          <w:sz w:val="22"/>
          <w:szCs w:val="22"/>
        </w:rPr>
        <w:t>InMED</w:t>
      </w:r>
      <w:r w:rsidRPr="00786071">
        <w:rPr>
          <w:rFonts w:eastAsia="Calibri"/>
          <w:sz w:val="22"/>
          <w:szCs w:val="22"/>
        </w:rPr>
        <w:t>):</w:t>
      </w:r>
    </w:p>
    <w:p w14:paraId="44D84917" w14:textId="77777777" w:rsidR="005A23D2" w:rsidRPr="00786071" w:rsidRDefault="004E70AD" w:rsidP="002013EF">
      <w:pPr>
        <w:pStyle w:val="NoSpacing"/>
        <w:jc w:val="both"/>
        <w:rPr>
          <w:rFonts w:eastAsia="Calibri"/>
          <w:sz w:val="22"/>
          <w:szCs w:val="22"/>
        </w:rPr>
      </w:pPr>
      <w:r>
        <w:rPr>
          <w:rFonts w:eastAsia="Calibri"/>
          <w:sz w:val="22"/>
          <w:szCs w:val="22"/>
        </w:rPr>
        <w:t>Institut</w:t>
      </w:r>
      <w:r w:rsidRPr="00786071">
        <w:rPr>
          <w:rFonts w:eastAsia="Calibri"/>
          <w:sz w:val="22"/>
          <w:szCs w:val="22"/>
        </w:rPr>
        <w:t xml:space="preserve"> </w:t>
      </w:r>
      <w:r w:rsidR="005A23D2" w:rsidRPr="00786071">
        <w:rPr>
          <w:rFonts w:eastAsia="Calibri"/>
          <w:sz w:val="22"/>
          <w:szCs w:val="22"/>
        </w:rPr>
        <w:t xml:space="preserve">za ljekove i medicinska sredstva </w:t>
      </w:r>
    </w:p>
    <w:p w14:paraId="3878DB9C" w14:textId="77777777" w:rsidR="005A23D2" w:rsidRPr="00786071" w:rsidRDefault="005A23D2" w:rsidP="002013EF">
      <w:pPr>
        <w:pStyle w:val="NoSpacing"/>
        <w:jc w:val="both"/>
        <w:rPr>
          <w:rFonts w:eastAsia="Calibri"/>
          <w:sz w:val="22"/>
          <w:szCs w:val="22"/>
        </w:rPr>
      </w:pPr>
      <w:r w:rsidRPr="00786071">
        <w:rPr>
          <w:rFonts w:eastAsia="Calibri"/>
          <w:sz w:val="22"/>
          <w:szCs w:val="22"/>
        </w:rPr>
        <w:lastRenderedPageBreak/>
        <w:t>Odjeljenje za farmakovigilancu</w:t>
      </w:r>
    </w:p>
    <w:p w14:paraId="0F8DCADD" w14:textId="77777777" w:rsidR="00EA5765" w:rsidRPr="00786071" w:rsidRDefault="005A23D2" w:rsidP="002013EF">
      <w:pPr>
        <w:pStyle w:val="NoSpacing"/>
        <w:jc w:val="both"/>
        <w:rPr>
          <w:rFonts w:eastAsia="Calibri"/>
          <w:sz w:val="22"/>
          <w:szCs w:val="22"/>
        </w:rPr>
      </w:pPr>
      <w:r w:rsidRPr="00786071">
        <w:rPr>
          <w:rFonts w:eastAsia="Calibri"/>
          <w:sz w:val="22"/>
          <w:szCs w:val="22"/>
        </w:rPr>
        <w:t>Bulevar Ivana Crnojevića 64a, 81000 Podgorica</w:t>
      </w:r>
    </w:p>
    <w:p w14:paraId="4DAC35EF" w14:textId="77777777" w:rsidR="00EA5765" w:rsidRPr="00786071" w:rsidRDefault="00EA5765" w:rsidP="00D3709E">
      <w:pPr>
        <w:pStyle w:val="NoSpacing"/>
        <w:jc w:val="both"/>
        <w:rPr>
          <w:rFonts w:eastAsia="Calibri"/>
          <w:sz w:val="22"/>
          <w:szCs w:val="22"/>
        </w:rPr>
      </w:pPr>
    </w:p>
    <w:p w14:paraId="629DEDC2" w14:textId="77777777" w:rsidR="005A23D2" w:rsidRPr="00786071" w:rsidRDefault="005A23D2" w:rsidP="002013EF">
      <w:pPr>
        <w:pStyle w:val="NoSpacing"/>
        <w:jc w:val="both"/>
        <w:rPr>
          <w:rFonts w:eastAsia="Calibri"/>
          <w:sz w:val="22"/>
          <w:szCs w:val="22"/>
        </w:rPr>
      </w:pPr>
      <w:r w:rsidRPr="00786071">
        <w:rPr>
          <w:rFonts w:eastAsia="Calibri"/>
          <w:sz w:val="22"/>
          <w:szCs w:val="22"/>
        </w:rPr>
        <w:t>tel: +382 (0) 20 310 280</w:t>
      </w:r>
    </w:p>
    <w:p w14:paraId="5FB726CF" w14:textId="77777777" w:rsidR="00EA5765" w:rsidRPr="00786071" w:rsidRDefault="005A23D2" w:rsidP="002013EF">
      <w:pPr>
        <w:pStyle w:val="NoSpacing"/>
        <w:jc w:val="both"/>
        <w:rPr>
          <w:rFonts w:eastAsia="Calibri"/>
          <w:sz w:val="22"/>
          <w:szCs w:val="22"/>
        </w:rPr>
      </w:pPr>
      <w:r w:rsidRPr="00786071">
        <w:rPr>
          <w:rFonts w:eastAsia="Calibri"/>
          <w:sz w:val="22"/>
          <w:szCs w:val="22"/>
        </w:rPr>
        <w:t>fax:</w:t>
      </w:r>
      <w:r w:rsidR="00EA5765" w:rsidRPr="00786071">
        <w:rPr>
          <w:rFonts w:eastAsia="Calibri"/>
          <w:sz w:val="22"/>
          <w:szCs w:val="22"/>
        </w:rPr>
        <w:t xml:space="preserve"> </w:t>
      </w:r>
      <w:r w:rsidRPr="00786071">
        <w:rPr>
          <w:rFonts w:eastAsia="Calibri"/>
          <w:sz w:val="22"/>
          <w:szCs w:val="22"/>
        </w:rPr>
        <w:t>+382 (0) 20 310 581</w:t>
      </w:r>
    </w:p>
    <w:p w14:paraId="1058AC4B" w14:textId="77777777" w:rsidR="005A23D2" w:rsidRPr="00786071" w:rsidRDefault="004403AA" w:rsidP="002013EF">
      <w:pPr>
        <w:pStyle w:val="NoSpacing"/>
        <w:jc w:val="both"/>
        <w:rPr>
          <w:rFonts w:eastAsia="Calibri"/>
          <w:sz w:val="22"/>
          <w:szCs w:val="22"/>
        </w:rPr>
      </w:pPr>
      <w:hyperlink r:id="rId11" w:history="1">
        <w:r w:rsidR="004E70AD" w:rsidRPr="00B664A0">
          <w:rPr>
            <w:rStyle w:val="Hyperlink"/>
            <w:rFonts w:eastAsia="Calibri"/>
            <w:sz w:val="22"/>
            <w:szCs w:val="22"/>
          </w:rPr>
          <w:t>www.cinmed.me</w:t>
        </w:r>
      </w:hyperlink>
    </w:p>
    <w:p w14:paraId="34D66B99" w14:textId="77777777" w:rsidR="00EA5765" w:rsidRPr="00786071" w:rsidRDefault="004403AA" w:rsidP="002013EF">
      <w:pPr>
        <w:pStyle w:val="NoSpacing"/>
        <w:jc w:val="both"/>
        <w:rPr>
          <w:rFonts w:eastAsia="Calibri"/>
          <w:color w:val="0000FF"/>
          <w:sz w:val="22"/>
          <w:szCs w:val="22"/>
          <w:u w:val="single"/>
        </w:rPr>
      </w:pPr>
      <w:hyperlink r:id="rId12" w:history="1">
        <w:r w:rsidR="004E70AD" w:rsidRPr="00B664A0">
          <w:rPr>
            <w:rStyle w:val="Hyperlink"/>
            <w:rFonts w:eastAsia="Calibri"/>
            <w:sz w:val="22"/>
            <w:szCs w:val="22"/>
          </w:rPr>
          <w:t>nezeljenadejstva@cinmed.me</w:t>
        </w:r>
      </w:hyperlink>
    </w:p>
    <w:p w14:paraId="20EAA8D2" w14:textId="77777777" w:rsidR="005A23D2" w:rsidRPr="002013EF" w:rsidRDefault="005A23D2" w:rsidP="002013EF">
      <w:pPr>
        <w:pStyle w:val="NoSpacing"/>
        <w:jc w:val="both"/>
        <w:rPr>
          <w:rFonts w:eastAsia="Calibri"/>
          <w:sz w:val="22"/>
          <w:szCs w:val="22"/>
        </w:rPr>
      </w:pPr>
      <w:r w:rsidRPr="002013EF">
        <w:rPr>
          <w:rFonts w:eastAsia="Calibri"/>
          <w:sz w:val="22"/>
          <w:szCs w:val="22"/>
        </w:rPr>
        <w:t>putem IS zdravstvene zaštite</w:t>
      </w:r>
    </w:p>
    <w:p w14:paraId="655B4AC4" w14:textId="77777777" w:rsidR="002E042A" w:rsidRPr="00D3709E" w:rsidRDefault="002E042A" w:rsidP="00D3709E">
      <w:pPr>
        <w:jc w:val="both"/>
        <w:rPr>
          <w:rFonts w:eastAsia="Calibri"/>
          <w:sz w:val="22"/>
          <w:szCs w:val="22"/>
          <w:lang w:val="sr-Latn-RS"/>
        </w:rPr>
      </w:pPr>
      <w:r w:rsidRPr="00D3709E">
        <w:rPr>
          <w:rFonts w:eastAsia="Calibri"/>
          <w:sz w:val="22"/>
          <w:szCs w:val="22"/>
          <w:lang w:val="sr-Latn-RS"/>
        </w:rPr>
        <w:t>QR kod za online prijavu sumnje na neželjeno dejstvo lijeka:</w:t>
      </w:r>
    </w:p>
    <w:p w14:paraId="7A50302B" w14:textId="77777777" w:rsidR="002E042A" w:rsidRDefault="002E042A" w:rsidP="00A46C9A">
      <w:pPr>
        <w:pStyle w:val="NoSpacing"/>
        <w:jc w:val="both"/>
        <w:rPr>
          <w:rFonts w:eastAsia="Calibri"/>
          <w:sz w:val="22"/>
          <w:szCs w:val="22"/>
        </w:rPr>
      </w:pPr>
    </w:p>
    <w:p w14:paraId="7154E232" w14:textId="78FF77A2" w:rsidR="002E042A" w:rsidRPr="00786071" w:rsidRDefault="002013EF" w:rsidP="00A46C9A">
      <w:pPr>
        <w:pStyle w:val="NoSpacing"/>
        <w:jc w:val="both"/>
        <w:rPr>
          <w:rFonts w:eastAsia="Calibri"/>
          <w:sz w:val="22"/>
          <w:szCs w:val="22"/>
        </w:rPr>
      </w:pPr>
      <w:r w:rsidRPr="007F661E">
        <w:rPr>
          <w:b/>
          <w:bCs/>
          <w:noProof/>
          <w:sz w:val="22"/>
          <w:szCs w:val="22"/>
        </w:rPr>
        <w:drawing>
          <wp:inline distT="0" distB="0" distL="0" distR="0" wp14:anchorId="216C20FF" wp14:editId="2A596C80">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0768CAD" w14:textId="77777777" w:rsidR="00836B35" w:rsidRPr="00786071" w:rsidRDefault="00836B35" w:rsidP="00480FB1">
      <w:pPr>
        <w:tabs>
          <w:tab w:val="left" w:pos="540"/>
          <w:tab w:val="left" w:pos="569"/>
        </w:tabs>
        <w:rPr>
          <w:b/>
          <w:bCs/>
          <w:sz w:val="22"/>
          <w:szCs w:val="22"/>
        </w:rPr>
      </w:pPr>
    </w:p>
    <w:p w14:paraId="3EFFB412" w14:textId="77777777" w:rsidR="00CD6F02" w:rsidRDefault="0072020E" w:rsidP="00D3709E">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72ABED9A" w14:textId="77777777" w:rsidR="00EF6805" w:rsidRDefault="00EF6805" w:rsidP="00D3709E">
      <w:pPr>
        <w:tabs>
          <w:tab w:val="left" w:pos="540"/>
          <w:tab w:val="left" w:pos="569"/>
        </w:tabs>
        <w:jc w:val="both"/>
        <w:rPr>
          <w:b/>
          <w:bCs/>
          <w:sz w:val="22"/>
          <w:szCs w:val="22"/>
        </w:rPr>
      </w:pPr>
    </w:p>
    <w:p w14:paraId="48C72FB2" w14:textId="77777777" w:rsidR="00CD6F02" w:rsidRDefault="00EF6805" w:rsidP="00D3709E">
      <w:pPr>
        <w:tabs>
          <w:tab w:val="left" w:pos="540"/>
          <w:tab w:val="left" w:pos="569"/>
        </w:tabs>
        <w:jc w:val="both"/>
        <w:rPr>
          <w:sz w:val="22"/>
          <w:szCs w:val="22"/>
          <w:lang w:val="sr-Latn-CS"/>
        </w:rPr>
      </w:pPr>
      <w:r w:rsidRPr="00A25C1A">
        <w:rPr>
          <w:sz w:val="22"/>
          <w:szCs w:val="22"/>
          <w:lang w:val="sr-Latn-CS"/>
        </w:rPr>
        <w:t xml:space="preserve">Nije bilo prijavljenog slučaja predoziranja. Ipak, u slučaju predoziranja, pacijente treba hospitalizovati zbog posmatranja i davanja odgovarajućeg </w:t>
      </w:r>
      <w:r>
        <w:rPr>
          <w:sz w:val="22"/>
          <w:szCs w:val="22"/>
          <w:lang w:val="sr-Latn-CS"/>
        </w:rPr>
        <w:t>suportivnog</w:t>
      </w:r>
      <w:r w:rsidRPr="00A25C1A">
        <w:rPr>
          <w:sz w:val="22"/>
          <w:szCs w:val="22"/>
          <w:lang w:val="sr-Latn-CS"/>
        </w:rPr>
        <w:t xml:space="preserve"> liječenja.</w:t>
      </w:r>
    </w:p>
    <w:p w14:paraId="1C7D9828" w14:textId="77777777" w:rsidR="00D12BD2" w:rsidRDefault="00D12BD2" w:rsidP="00D3709E">
      <w:pPr>
        <w:tabs>
          <w:tab w:val="left" w:pos="540"/>
          <w:tab w:val="left" w:pos="569"/>
        </w:tabs>
        <w:jc w:val="both"/>
        <w:rPr>
          <w:b/>
          <w:bCs/>
          <w:sz w:val="22"/>
          <w:szCs w:val="22"/>
        </w:rPr>
      </w:pPr>
    </w:p>
    <w:p w14:paraId="1942FDDE" w14:textId="77777777" w:rsidR="00227BDB" w:rsidRPr="00786071" w:rsidRDefault="00227BDB" w:rsidP="00D3709E">
      <w:pPr>
        <w:tabs>
          <w:tab w:val="left" w:pos="540"/>
          <w:tab w:val="left" w:pos="569"/>
        </w:tabs>
        <w:jc w:val="both"/>
        <w:rPr>
          <w:b/>
          <w:bCs/>
          <w:sz w:val="22"/>
          <w:szCs w:val="22"/>
        </w:rPr>
      </w:pPr>
    </w:p>
    <w:p w14:paraId="3A11DE21" w14:textId="77777777" w:rsidR="0072020E" w:rsidRPr="00786071" w:rsidRDefault="0072020E" w:rsidP="00D3709E">
      <w:pPr>
        <w:tabs>
          <w:tab w:val="left" w:pos="540"/>
          <w:tab w:val="left" w:pos="569"/>
        </w:tabs>
        <w:jc w:val="both"/>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5A835F78" w14:textId="77777777" w:rsidR="0072020E" w:rsidRPr="00786071" w:rsidRDefault="0072020E" w:rsidP="00D3709E">
      <w:pPr>
        <w:tabs>
          <w:tab w:val="left" w:pos="540"/>
          <w:tab w:val="left" w:pos="569"/>
        </w:tabs>
        <w:jc w:val="both"/>
        <w:rPr>
          <w:b/>
          <w:bCs/>
          <w:sz w:val="22"/>
          <w:szCs w:val="22"/>
        </w:rPr>
      </w:pPr>
    </w:p>
    <w:p w14:paraId="7CF2635E" w14:textId="77777777" w:rsidR="0072020E" w:rsidRPr="00786071" w:rsidRDefault="0072020E" w:rsidP="00D3709E">
      <w:pPr>
        <w:tabs>
          <w:tab w:val="left" w:pos="540"/>
          <w:tab w:val="left" w:pos="569"/>
        </w:tabs>
        <w:jc w:val="both"/>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79DB191C" w14:textId="77777777" w:rsidR="00F45F77" w:rsidRPr="00786071" w:rsidRDefault="00F45F77" w:rsidP="00D3709E">
      <w:pPr>
        <w:tabs>
          <w:tab w:val="left" w:pos="540"/>
          <w:tab w:val="left" w:pos="569"/>
        </w:tabs>
        <w:jc w:val="both"/>
        <w:rPr>
          <w:b/>
          <w:bCs/>
          <w:sz w:val="22"/>
          <w:szCs w:val="22"/>
        </w:rPr>
      </w:pPr>
    </w:p>
    <w:p w14:paraId="655F5310" w14:textId="77777777" w:rsidR="0072020E" w:rsidRPr="00A02717" w:rsidRDefault="0072020E" w:rsidP="00D3709E">
      <w:pPr>
        <w:tabs>
          <w:tab w:val="left" w:pos="540"/>
          <w:tab w:val="left" w:pos="569"/>
        </w:tabs>
        <w:jc w:val="both"/>
        <w:rPr>
          <w:bCs/>
          <w:sz w:val="22"/>
          <w:szCs w:val="22"/>
        </w:rPr>
      </w:pPr>
      <w:r w:rsidRPr="00786071">
        <w:rPr>
          <w:bCs/>
          <w:sz w:val="22"/>
          <w:szCs w:val="22"/>
        </w:rPr>
        <w:t>Farmakoterapijska grupa:</w:t>
      </w:r>
      <w:r w:rsidR="00EF6805">
        <w:rPr>
          <w:bCs/>
          <w:sz w:val="22"/>
          <w:szCs w:val="22"/>
        </w:rPr>
        <w:t xml:space="preserve"> </w:t>
      </w:r>
      <w:r w:rsidR="00A02717">
        <w:rPr>
          <w:sz w:val="22"/>
          <w:szCs w:val="22"/>
          <w:lang w:val="sr-Latn-CS"/>
        </w:rPr>
        <w:t>interferoni</w:t>
      </w:r>
    </w:p>
    <w:p w14:paraId="15026B73" w14:textId="77777777" w:rsidR="0072020E" w:rsidRPr="00786071" w:rsidRDefault="0072020E" w:rsidP="00D3709E">
      <w:pPr>
        <w:tabs>
          <w:tab w:val="left" w:pos="540"/>
          <w:tab w:val="left" w:pos="569"/>
        </w:tabs>
        <w:jc w:val="both"/>
        <w:rPr>
          <w:bCs/>
          <w:sz w:val="22"/>
          <w:szCs w:val="22"/>
        </w:rPr>
      </w:pPr>
    </w:p>
    <w:p w14:paraId="18E0DE11" w14:textId="77777777" w:rsidR="0072020E" w:rsidRPr="00786071" w:rsidRDefault="0072020E" w:rsidP="00D3709E">
      <w:pPr>
        <w:tabs>
          <w:tab w:val="left" w:pos="540"/>
          <w:tab w:val="left" w:pos="569"/>
        </w:tabs>
        <w:jc w:val="both"/>
        <w:rPr>
          <w:bCs/>
          <w:sz w:val="22"/>
          <w:szCs w:val="22"/>
        </w:rPr>
      </w:pPr>
      <w:r w:rsidRPr="009D7887">
        <w:rPr>
          <w:b/>
          <w:bCs/>
          <w:sz w:val="22"/>
          <w:szCs w:val="22"/>
        </w:rPr>
        <w:t>ATC kod</w:t>
      </w:r>
      <w:r w:rsidRPr="00786071">
        <w:rPr>
          <w:bCs/>
          <w:sz w:val="22"/>
          <w:szCs w:val="22"/>
        </w:rPr>
        <w:t>:</w:t>
      </w:r>
      <w:r w:rsidR="00EF6805">
        <w:rPr>
          <w:bCs/>
          <w:sz w:val="22"/>
          <w:szCs w:val="22"/>
        </w:rPr>
        <w:t xml:space="preserve"> </w:t>
      </w:r>
      <w:r w:rsidR="00EF6805" w:rsidRPr="00A25C1A">
        <w:rPr>
          <w:sz w:val="22"/>
          <w:szCs w:val="22"/>
          <w:lang w:val="sr-Latn-CS"/>
        </w:rPr>
        <w:t>L03 AB07</w:t>
      </w:r>
    </w:p>
    <w:p w14:paraId="5A0A5B9F" w14:textId="77777777" w:rsidR="00EF6805" w:rsidRDefault="00EF6805" w:rsidP="00D3709E">
      <w:pPr>
        <w:tabs>
          <w:tab w:val="left" w:pos="540"/>
          <w:tab w:val="left" w:pos="569"/>
        </w:tabs>
        <w:jc w:val="both"/>
        <w:rPr>
          <w:b/>
          <w:bCs/>
          <w:sz w:val="22"/>
          <w:szCs w:val="22"/>
        </w:rPr>
      </w:pPr>
    </w:p>
    <w:p w14:paraId="5A69C870" w14:textId="77777777" w:rsidR="00EF6805" w:rsidRDefault="00EF6805" w:rsidP="00D3709E">
      <w:pPr>
        <w:tabs>
          <w:tab w:val="left" w:pos="540"/>
          <w:tab w:val="left" w:pos="569"/>
        </w:tabs>
        <w:jc w:val="both"/>
        <w:rPr>
          <w:sz w:val="22"/>
          <w:szCs w:val="22"/>
          <w:lang w:val="sr-Latn-CS"/>
        </w:rPr>
      </w:pPr>
      <w:r w:rsidRPr="00A25C1A">
        <w:rPr>
          <w:sz w:val="22"/>
          <w:szCs w:val="22"/>
          <w:lang w:val="sr-Latn-CS"/>
        </w:rPr>
        <w:t>Interferoni pripadaju grupi prirodnih proteina koje proizvode eukariotske ćelije kao odgovor na virusnu infekciju</w:t>
      </w:r>
      <w:r>
        <w:rPr>
          <w:sz w:val="22"/>
          <w:szCs w:val="22"/>
          <w:lang w:val="sr-Latn-CS"/>
        </w:rPr>
        <w:t xml:space="preserve"> </w:t>
      </w:r>
      <w:r w:rsidRPr="00A25C1A">
        <w:rPr>
          <w:sz w:val="22"/>
          <w:szCs w:val="22"/>
          <w:lang w:val="sr-Latn-CS"/>
        </w:rPr>
        <w:t>i druge biološke uzročnike. Interferoni su citokini koji posreduju u antivirusnim, antiproliferativnim i imunomodulatornim aktivnostima. Razlikuju se tri glavne grupe interferona: alfa, beta i gama. Interferoni alfa i beta se svrstavaju u grupu interferona tipa I, a interferon gama u grupu interferona tipa II. Ovi interferoni imaju neke sličnosti, ali jasno različite biološke aktivnosti. Oni se takođe mogu razlikovati prema svojim mjestima gdje nastaju u ćeliji.</w:t>
      </w:r>
    </w:p>
    <w:p w14:paraId="273B5D2F" w14:textId="77777777" w:rsidR="00EF6805" w:rsidRDefault="00EF6805" w:rsidP="00D3709E">
      <w:pPr>
        <w:tabs>
          <w:tab w:val="left" w:pos="540"/>
          <w:tab w:val="left" w:pos="569"/>
        </w:tabs>
        <w:jc w:val="both"/>
        <w:rPr>
          <w:sz w:val="22"/>
          <w:szCs w:val="22"/>
          <w:lang w:val="sr-Latn-CS"/>
        </w:rPr>
      </w:pPr>
    </w:p>
    <w:p w14:paraId="2B72AE84" w14:textId="77777777" w:rsidR="00EF6805" w:rsidRPr="00D63609" w:rsidRDefault="00EF6805" w:rsidP="00D3709E">
      <w:pPr>
        <w:tabs>
          <w:tab w:val="center" w:pos="4536"/>
          <w:tab w:val="right" w:pos="9072"/>
        </w:tabs>
        <w:jc w:val="both"/>
        <w:rPr>
          <w:sz w:val="22"/>
          <w:szCs w:val="22"/>
          <w:lang w:val="sr-Latn-CS"/>
        </w:rPr>
      </w:pPr>
      <w:r w:rsidRPr="00D63609">
        <w:rPr>
          <w:sz w:val="22"/>
          <w:szCs w:val="22"/>
          <w:lang w:val="sr-Latn-CS"/>
        </w:rPr>
        <w:t>Interferon beta proizvode različite vrste ćelija uključujući fibroblaste i makrofage. Prirodni interferon beta i lijek AVONEX (interferon beta-1a) su glikozilirani i preko azota imaju vezan ugljenohidratni kompleks. Poznato je da glikozilacija drugih proteina utiče na njihovu stabilnost, aktivnost, bioraspoloživost i poluvrijeme eliminacije u krvi. Ipak, efekti interferona beta koji su zavisni od glikozilacije nisu u potpunosti određeni.</w:t>
      </w:r>
    </w:p>
    <w:p w14:paraId="699DBAA5" w14:textId="77777777" w:rsidR="00EF6805" w:rsidRDefault="00EF6805" w:rsidP="00D3709E">
      <w:pPr>
        <w:tabs>
          <w:tab w:val="left" w:pos="540"/>
          <w:tab w:val="left" w:pos="569"/>
        </w:tabs>
        <w:jc w:val="both"/>
        <w:rPr>
          <w:b/>
          <w:bCs/>
          <w:sz w:val="22"/>
          <w:szCs w:val="22"/>
        </w:rPr>
      </w:pPr>
    </w:p>
    <w:p w14:paraId="630E2AB9" w14:textId="77777777" w:rsidR="00EF6805" w:rsidRPr="00D63609" w:rsidRDefault="00EF6805" w:rsidP="002013EF">
      <w:pPr>
        <w:tabs>
          <w:tab w:val="center" w:pos="4536"/>
          <w:tab w:val="right" w:pos="9072"/>
        </w:tabs>
        <w:jc w:val="both"/>
        <w:rPr>
          <w:sz w:val="22"/>
          <w:szCs w:val="22"/>
          <w:u w:val="single"/>
          <w:lang w:val="sr-Latn-CS"/>
        </w:rPr>
      </w:pPr>
      <w:r w:rsidRPr="00D63609">
        <w:rPr>
          <w:sz w:val="22"/>
          <w:szCs w:val="22"/>
          <w:u w:val="single"/>
          <w:lang w:val="sr-Latn-CS"/>
        </w:rPr>
        <w:t>Mehanizam djelovanja</w:t>
      </w:r>
    </w:p>
    <w:p w14:paraId="3189F2CB" w14:textId="77777777" w:rsidR="00EF6805" w:rsidRPr="00D63609" w:rsidRDefault="00EF6805" w:rsidP="002013EF">
      <w:pPr>
        <w:tabs>
          <w:tab w:val="center" w:pos="4536"/>
          <w:tab w:val="right" w:pos="9072"/>
        </w:tabs>
        <w:jc w:val="both"/>
        <w:rPr>
          <w:sz w:val="22"/>
          <w:szCs w:val="22"/>
          <w:lang w:val="sr-Latn-CS"/>
        </w:rPr>
      </w:pPr>
    </w:p>
    <w:p w14:paraId="14342BB1" w14:textId="77777777" w:rsidR="00EF6805" w:rsidRPr="00D63609" w:rsidRDefault="00EF6805" w:rsidP="00D3709E">
      <w:pPr>
        <w:tabs>
          <w:tab w:val="center" w:pos="4536"/>
          <w:tab w:val="right" w:pos="9072"/>
        </w:tabs>
        <w:jc w:val="both"/>
        <w:rPr>
          <w:sz w:val="22"/>
          <w:szCs w:val="22"/>
          <w:lang w:val="sr-Latn-CS"/>
        </w:rPr>
      </w:pPr>
      <w:r w:rsidRPr="00D63609">
        <w:rPr>
          <w:sz w:val="22"/>
          <w:szCs w:val="22"/>
          <w:lang w:val="sr-Latn-CS"/>
        </w:rPr>
        <w:t>Lijek AVONEX postiže svoje biološke efekte vezivanjem za specifične receptore na površini humanih ćelija. Ovo vezivanje dovodi do kompleksnog niza intracelularnih događaja koji vode do ekspresije brojnih, interferonom-uzrokovanih genskih produkata i markera. Oni uključuju: MHC klase I, Mx protein, 2'/5'-oligoadenilat sintetazu, β2-mikroglobulin i neopterin. Neki od ovih produkata su mjereni u serumu i ćelijskim frakcijama krvi pacijenata liječenih lijekom AVONEX. Nakon jedne intramuskularne doze lijeka AVONEX, nivoi ovih supstanci u serumu ostaju povišeni za najmanje četiri dana do jedne sedmice.</w:t>
      </w:r>
    </w:p>
    <w:p w14:paraId="307CE5E4" w14:textId="77777777" w:rsidR="00EF6805" w:rsidRDefault="00EF6805" w:rsidP="00D3709E">
      <w:pPr>
        <w:tabs>
          <w:tab w:val="center" w:pos="4536"/>
          <w:tab w:val="right" w:pos="9072"/>
        </w:tabs>
        <w:jc w:val="both"/>
        <w:rPr>
          <w:sz w:val="22"/>
          <w:szCs w:val="22"/>
          <w:lang w:val="sr-Latn-CS"/>
        </w:rPr>
      </w:pPr>
    </w:p>
    <w:p w14:paraId="428C2555" w14:textId="77777777" w:rsidR="00EF6805" w:rsidRPr="00D63609" w:rsidRDefault="00EF6805" w:rsidP="00D3709E">
      <w:pPr>
        <w:tabs>
          <w:tab w:val="center" w:pos="4536"/>
          <w:tab w:val="right" w:pos="9072"/>
        </w:tabs>
        <w:jc w:val="both"/>
        <w:rPr>
          <w:sz w:val="22"/>
          <w:szCs w:val="22"/>
          <w:lang w:val="sr-Latn-CS"/>
        </w:rPr>
      </w:pPr>
      <w:r w:rsidRPr="00D63609">
        <w:rPr>
          <w:sz w:val="22"/>
          <w:szCs w:val="22"/>
          <w:lang w:val="sr-Latn-CS"/>
        </w:rPr>
        <w:t>Nije poznato da li se mehanizam djelovanja lijeka AVONEX kod MS odvija na jednak način kao biološki efekti opisani iznad jer patofiziologija MS nije dobro utvrđena.</w:t>
      </w:r>
    </w:p>
    <w:p w14:paraId="15810EFD" w14:textId="77777777" w:rsidR="00EF6805" w:rsidRDefault="00EF6805" w:rsidP="002013EF">
      <w:pPr>
        <w:tabs>
          <w:tab w:val="center" w:pos="4536"/>
          <w:tab w:val="right" w:pos="9072"/>
        </w:tabs>
        <w:jc w:val="both"/>
        <w:rPr>
          <w:sz w:val="22"/>
          <w:szCs w:val="22"/>
          <w:u w:val="single"/>
        </w:rPr>
      </w:pPr>
    </w:p>
    <w:p w14:paraId="1328C2F9" w14:textId="77777777" w:rsidR="00EF6805" w:rsidRPr="00D63609" w:rsidRDefault="00EF6805" w:rsidP="002013EF">
      <w:pPr>
        <w:tabs>
          <w:tab w:val="center" w:pos="4536"/>
          <w:tab w:val="right" w:pos="9072"/>
        </w:tabs>
        <w:jc w:val="both"/>
        <w:rPr>
          <w:sz w:val="22"/>
          <w:szCs w:val="22"/>
          <w:u w:val="single"/>
        </w:rPr>
      </w:pPr>
      <w:r w:rsidRPr="00D63609">
        <w:rPr>
          <w:sz w:val="22"/>
          <w:szCs w:val="22"/>
          <w:u w:val="single"/>
        </w:rPr>
        <w:lastRenderedPageBreak/>
        <w:t>Klinička efikasnost i bezbjednost</w:t>
      </w:r>
    </w:p>
    <w:p w14:paraId="1DCC93BD" w14:textId="77777777" w:rsidR="00EF6805" w:rsidRPr="00D63609" w:rsidRDefault="00EF6805" w:rsidP="002013EF">
      <w:pPr>
        <w:tabs>
          <w:tab w:val="center" w:pos="4536"/>
          <w:tab w:val="right" w:pos="9072"/>
        </w:tabs>
        <w:jc w:val="both"/>
        <w:rPr>
          <w:sz w:val="22"/>
          <w:szCs w:val="22"/>
          <w:lang w:val="sr-Latn-CS"/>
        </w:rPr>
      </w:pPr>
    </w:p>
    <w:p w14:paraId="4C4C85DD" w14:textId="77777777" w:rsidR="00EF6805" w:rsidRPr="00D63609" w:rsidRDefault="00EF6805" w:rsidP="00D3709E">
      <w:pPr>
        <w:tabs>
          <w:tab w:val="center" w:pos="4536"/>
          <w:tab w:val="right" w:pos="9072"/>
        </w:tabs>
        <w:jc w:val="both"/>
        <w:rPr>
          <w:sz w:val="22"/>
          <w:szCs w:val="22"/>
          <w:lang w:val="sr-Latn-CS"/>
        </w:rPr>
      </w:pPr>
      <w:r w:rsidRPr="00D63609">
        <w:rPr>
          <w:sz w:val="22"/>
          <w:szCs w:val="22"/>
          <w:lang w:val="sr-Latn-CS"/>
        </w:rPr>
        <w:t>Efekti liofilizovanog lijeka AVONEX u liječenju MS bili su prikazani u placebo kontrolisanoj studiji na 301 pacijentu (AVONEX n=158; placebo n=143) sa relapsnom MS okarakterisanom sa najmanje 2 relapsa u prethodne 3 godine ili najmanje jednim relapsom po godini prije ulaska u studiju kada je trajanje bolesti bilo manje od 3 godine. U kliničko ispitivanje su bili uključeni pacijenti koji su prilikom ulaska u studiju imali Expanded Disability Status Scale (EDSS) od 1 do 3.5. U skladu sa dizajnom studije, pacijenti su bili praćeni tokom različitog vremenskog perioda. 150 pacijenata liječenih lijekom AVONEX završilo je jednu godinu studije i 85 pacijenata završilo je dvije godine studije. U studiji je ukupni procenat pacijenata kod kojih je došlo do progresije nesposobnosti (prema Kapplan-Meier tabličnoj analizi života), po završetku dvije godine, iznosio 35% kod pacijenata liječenih placebom i 22% kod pacijenata liječenih lijekom AVONEX. Progresija nesposobnosti je mjerena kao povećanje na EDSS skali za 1.0 bod, a održala se tokom najmanje šest mjeseci. Takođe je pokazano smanjenjenje godišnjeg broja relapsa za trećinu. Taj kasniji klinički efekat primijećen je nakon više od jedne godine liječenja.</w:t>
      </w:r>
    </w:p>
    <w:p w14:paraId="2EB83EB6" w14:textId="77777777" w:rsidR="00EF6805" w:rsidRDefault="00EF6805" w:rsidP="00D3709E">
      <w:pPr>
        <w:tabs>
          <w:tab w:val="left" w:pos="540"/>
          <w:tab w:val="left" w:pos="569"/>
        </w:tabs>
        <w:jc w:val="both"/>
        <w:rPr>
          <w:b/>
          <w:bCs/>
          <w:sz w:val="22"/>
          <w:szCs w:val="22"/>
        </w:rPr>
      </w:pPr>
    </w:p>
    <w:p w14:paraId="6D4A9445" w14:textId="77777777" w:rsidR="00EF6805" w:rsidRPr="005A740A" w:rsidRDefault="00EF6805" w:rsidP="00D3709E">
      <w:pPr>
        <w:tabs>
          <w:tab w:val="center" w:pos="4536"/>
          <w:tab w:val="right" w:pos="9072"/>
        </w:tabs>
        <w:jc w:val="both"/>
        <w:rPr>
          <w:sz w:val="22"/>
          <w:szCs w:val="22"/>
          <w:lang w:val="sr-Latn-CS"/>
        </w:rPr>
      </w:pPr>
      <w:r w:rsidRPr="005A740A">
        <w:rPr>
          <w:sz w:val="22"/>
          <w:szCs w:val="22"/>
          <w:lang w:val="sr-Latn-CS"/>
        </w:rPr>
        <w:t>Dvostruko slijepa, randominizovana studija upoređivanja doza kod 802 pacijenta sa relapsnom MS (lijek AVONEX 30 mikrograma n=402, lijek AVONEX 60 mikrograma n=400) nije pokazala statistički značajne razlike ili trendove između doza lijeka AVONEX od 30 mikrograma i 60 mikrograma u kliničkim i opštim MRI parametrima.</w:t>
      </w:r>
    </w:p>
    <w:p w14:paraId="61271832" w14:textId="77777777" w:rsidR="00EF6805" w:rsidRDefault="00EF6805" w:rsidP="00D3709E">
      <w:pPr>
        <w:tabs>
          <w:tab w:val="center" w:pos="4536"/>
          <w:tab w:val="right" w:pos="9072"/>
        </w:tabs>
        <w:jc w:val="both"/>
        <w:rPr>
          <w:sz w:val="22"/>
          <w:szCs w:val="22"/>
          <w:lang w:val="sr-Latn-CS"/>
        </w:rPr>
      </w:pPr>
    </w:p>
    <w:p w14:paraId="33D81D31" w14:textId="77777777" w:rsidR="00EF6805" w:rsidRPr="005A740A" w:rsidRDefault="00EF6805" w:rsidP="00D3709E">
      <w:pPr>
        <w:tabs>
          <w:tab w:val="center" w:pos="4536"/>
          <w:tab w:val="right" w:pos="9072"/>
        </w:tabs>
        <w:jc w:val="both"/>
        <w:rPr>
          <w:sz w:val="22"/>
          <w:szCs w:val="22"/>
          <w:lang w:val="sr-Latn-CS"/>
        </w:rPr>
      </w:pPr>
      <w:r w:rsidRPr="005A740A">
        <w:rPr>
          <w:sz w:val="22"/>
          <w:szCs w:val="22"/>
          <w:lang w:val="sr-Latn-CS"/>
        </w:rPr>
        <w:t>Efekti lijeka AVONEX u liječenju MS bili su takođe dokazani u randomizovanoj, dvostruko slijepoj studiji izvedenoj na 383 pacijenta (lijek AVONEX n=193; placebo n=190) koji su imali jedan demijelinizacijski događaj povezan sa najmanje dvije kompatibilne MRI lezije mozga. Smanjenje rizika za nastup drugog događaja primijećen je u grupi liječenoj lijekom AVONEX. Efekat na MRI parametre je takođe viđen. Procijenjeni rizik drugog događaja bio je 50% za tri godine i 39% za dvije godine u placebo grupi te 35% (tri godine) i 21% (dvije godine) u grupi liječenoj lijekom AVONEX. U post-hoc analizi, oni pacijenti sa početnim MRI sa najmanje jednom Gd-napredujućom lezijom i devet T2 lezija imali su dvogodišnji rizik od pojave drugog događaja od 56% u placebo grupi i 21% u grupi liječenoj lijekom AVONEX. Ipak je uticaj ranog liječenja lijekom AVONEX nepoznat čak i u toj visoko-rizičnoj podgrupi jer je studija većim dijelom planirana da procijeni vrijeme do drugog događaja, a ne zbog dugotrajnog razvoja bolesti. Nadalje, trenutno nema dobro utvrđene definicije visoko rizičnog pacijenta, iako konzervativniji pristup prihvata najmanje devet T2 hiperintenzivnih lezija na početnom snimku i najmanje jedan novi T2 ili jednu novu Gd-napredujuću leziju na sljedećem snimku urađenom najmanje tri mjeseca nakon početnog snimka. U svakom slučaju, liječenje treba uzeti u obzir samo za pacijente koji su klasifikovani kao visoko rizični.</w:t>
      </w:r>
    </w:p>
    <w:p w14:paraId="04E4B147" w14:textId="77777777" w:rsidR="00EF6805" w:rsidRDefault="00EF6805" w:rsidP="00D3709E">
      <w:pPr>
        <w:tabs>
          <w:tab w:val="left" w:pos="284"/>
          <w:tab w:val="center" w:pos="4536"/>
          <w:tab w:val="right" w:pos="9072"/>
        </w:tabs>
        <w:jc w:val="both"/>
        <w:rPr>
          <w:sz w:val="22"/>
          <w:szCs w:val="22"/>
          <w:u w:val="single"/>
          <w:lang w:val="sr-Latn-CS"/>
        </w:rPr>
      </w:pPr>
    </w:p>
    <w:p w14:paraId="5471A76A" w14:textId="77777777" w:rsidR="00EF6805" w:rsidRPr="005A740A" w:rsidRDefault="00EF6805" w:rsidP="00D3709E">
      <w:pPr>
        <w:tabs>
          <w:tab w:val="left" w:pos="284"/>
          <w:tab w:val="center" w:pos="4536"/>
          <w:tab w:val="right" w:pos="9072"/>
        </w:tabs>
        <w:jc w:val="both"/>
        <w:rPr>
          <w:sz w:val="22"/>
          <w:szCs w:val="22"/>
          <w:u w:val="single"/>
          <w:lang w:val="sr-Latn-CS"/>
        </w:rPr>
      </w:pPr>
      <w:r w:rsidRPr="005A740A">
        <w:rPr>
          <w:sz w:val="22"/>
          <w:szCs w:val="22"/>
          <w:u w:val="single"/>
          <w:lang w:val="sr-Latn-CS"/>
        </w:rPr>
        <w:t xml:space="preserve">Pedijatrijska populacija: </w:t>
      </w:r>
    </w:p>
    <w:p w14:paraId="2730774F" w14:textId="77777777" w:rsidR="00EF6805" w:rsidRPr="005A740A" w:rsidRDefault="00EF6805" w:rsidP="00D3709E">
      <w:pPr>
        <w:tabs>
          <w:tab w:val="left" w:pos="284"/>
          <w:tab w:val="center" w:pos="4536"/>
          <w:tab w:val="right" w:pos="9072"/>
        </w:tabs>
        <w:jc w:val="both"/>
        <w:rPr>
          <w:sz w:val="22"/>
          <w:szCs w:val="22"/>
          <w:lang w:val="sr-Latn-CS"/>
        </w:rPr>
      </w:pPr>
    </w:p>
    <w:p w14:paraId="095DD776" w14:textId="1E88C51F" w:rsidR="00EF6805" w:rsidRPr="00EF6805" w:rsidRDefault="00EF6805" w:rsidP="00D3709E">
      <w:pPr>
        <w:tabs>
          <w:tab w:val="left" w:pos="284"/>
          <w:tab w:val="center" w:pos="4536"/>
          <w:tab w:val="right" w:pos="9072"/>
        </w:tabs>
        <w:jc w:val="both"/>
        <w:rPr>
          <w:sz w:val="22"/>
          <w:szCs w:val="22"/>
          <w:lang w:val="sr-Latn-CS"/>
        </w:rPr>
      </w:pPr>
      <w:r w:rsidRPr="005A740A">
        <w:rPr>
          <w:sz w:val="22"/>
          <w:szCs w:val="22"/>
          <w:lang w:val="sr-Latn-CS"/>
        </w:rPr>
        <w:t xml:space="preserve">Ograničeni podaci o efikasnosti/bezbjednosti lijeka AVONEX 15 mikrograma IM jednom </w:t>
      </w:r>
      <w:r w:rsidR="00D12BD2">
        <w:rPr>
          <w:sz w:val="22"/>
          <w:szCs w:val="22"/>
          <w:lang w:val="sr-Latn-CS"/>
        </w:rPr>
        <w:t xml:space="preserve">nedjeljno </w:t>
      </w:r>
      <w:r w:rsidRPr="005A740A">
        <w:rPr>
          <w:sz w:val="22"/>
          <w:szCs w:val="22"/>
          <w:lang w:val="sr-Latn-CS"/>
        </w:rPr>
        <w:t xml:space="preserve">(n=8) upoređeno sa pacijentima bez terapije (n=8) sa 4-godišnjim posmatranjem pokazali </w:t>
      </w:r>
      <w:r w:rsidR="00345353" w:rsidRPr="005A740A">
        <w:rPr>
          <w:sz w:val="22"/>
          <w:szCs w:val="22"/>
          <w:lang w:val="sr-Latn-CS"/>
        </w:rPr>
        <w:t xml:space="preserve">su </w:t>
      </w:r>
      <w:r w:rsidRPr="005A740A">
        <w:rPr>
          <w:sz w:val="22"/>
          <w:szCs w:val="22"/>
          <w:lang w:val="sr-Latn-CS"/>
        </w:rPr>
        <w:t>rezultate slične onima kod odraslih, iako se stepen na EDSS skali u liječenoj grupi tokom 4 godine posmatranja povećao, što ukazuje na pogoršanje bolesti. Direktno poređenje sa trenutno preporučenom dozom za odrasle nije dostupno.</w:t>
      </w:r>
    </w:p>
    <w:p w14:paraId="701F8176" w14:textId="77777777" w:rsidR="0072020E" w:rsidRDefault="0072020E" w:rsidP="00D3709E">
      <w:pPr>
        <w:tabs>
          <w:tab w:val="left" w:pos="540"/>
          <w:tab w:val="left" w:pos="569"/>
        </w:tabs>
        <w:jc w:val="both"/>
        <w:rPr>
          <w:bCs/>
          <w:sz w:val="22"/>
          <w:szCs w:val="22"/>
        </w:rPr>
      </w:pPr>
    </w:p>
    <w:p w14:paraId="03B68388" w14:textId="7FFEEAA2" w:rsidR="00A5556F" w:rsidRPr="00A5556F" w:rsidRDefault="00A5556F" w:rsidP="002013EF">
      <w:pPr>
        <w:tabs>
          <w:tab w:val="left" w:pos="540"/>
          <w:tab w:val="left" w:pos="569"/>
        </w:tabs>
        <w:jc w:val="both"/>
        <w:rPr>
          <w:bCs/>
          <w:sz w:val="22"/>
          <w:szCs w:val="22"/>
        </w:rPr>
      </w:pPr>
      <w:r w:rsidRPr="00A5556F">
        <w:rPr>
          <w:bCs/>
          <w:sz w:val="22"/>
          <w:szCs w:val="22"/>
        </w:rPr>
        <w:t>L</w:t>
      </w:r>
      <w:r w:rsidR="006B6E4C">
        <w:rPr>
          <w:bCs/>
          <w:sz w:val="22"/>
          <w:szCs w:val="22"/>
        </w:rPr>
        <w:t>ij</w:t>
      </w:r>
      <w:r w:rsidRPr="00A5556F">
        <w:rPr>
          <w:bCs/>
          <w:sz w:val="22"/>
          <w:szCs w:val="22"/>
        </w:rPr>
        <w:t>ek Avonex, 30 mikrograma/0,5 m</w:t>
      </w:r>
      <w:r w:rsidR="00D12BD2">
        <w:rPr>
          <w:bCs/>
          <w:sz w:val="22"/>
          <w:szCs w:val="22"/>
        </w:rPr>
        <w:t>l</w:t>
      </w:r>
      <w:r w:rsidRPr="00A5556F">
        <w:rPr>
          <w:bCs/>
          <w:sz w:val="22"/>
          <w:szCs w:val="22"/>
        </w:rPr>
        <w:t xml:space="preserve">, rastvor za injekciju je ispitivan kao aktivni komparator u 2 kontrolisane kliničke studije na pedijatrijskim pacijentima uzrasta od 10 do manje od 18 godina </w:t>
      </w:r>
      <w:proofErr w:type="gramStart"/>
      <w:r w:rsidRPr="00A5556F">
        <w:rPr>
          <w:bCs/>
          <w:sz w:val="22"/>
          <w:szCs w:val="22"/>
        </w:rPr>
        <w:t>sa</w:t>
      </w:r>
      <w:proofErr w:type="gramEnd"/>
      <w:r w:rsidRPr="00A5556F">
        <w:rPr>
          <w:bCs/>
          <w:sz w:val="22"/>
          <w:szCs w:val="22"/>
        </w:rPr>
        <w:t xml:space="preserve"> relapsnom remitentnom multiplom sklerozom (vid</w:t>
      </w:r>
      <w:r w:rsidR="006B6E4C">
        <w:rPr>
          <w:bCs/>
          <w:sz w:val="22"/>
          <w:szCs w:val="22"/>
        </w:rPr>
        <w:t>j</w:t>
      </w:r>
      <w:r w:rsidRPr="00A5556F">
        <w:rPr>
          <w:bCs/>
          <w:sz w:val="22"/>
          <w:szCs w:val="22"/>
        </w:rPr>
        <w:t xml:space="preserve">eti </w:t>
      </w:r>
      <w:r w:rsidR="002013EF">
        <w:rPr>
          <w:bCs/>
          <w:sz w:val="22"/>
          <w:szCs w:val="22"/>
        </w:rPr>
        <w:t xml:space="preserve">dio </w:t>
      </w:r>
      <w:r w:rsidRPr="00A5556F">
        <w:rPr>
          <w:bCs/>
          <w:sz w:val="22"/>
          <w:szCs w:val="22"/>
        </w:rPr>
        <w:t>4.2).</w:t>
      </w:r>
    </w:p>
    <w:p w14:paraId="0BE0AF08" w14:textId="77777777" w:rsidR="00A5556F" w:rsidRPr="00A5556F" w:rsidRDefault="00A5556F" w:rsidP="00D3709E">
      <w:pPr>
        <w:tabs>
          <w:tab w:val="left" w:pos="540"/>
          <w:tab w:val="left" w:pos="569"/>
        </w:tabs>
        <w:jc w:val="both"/>
        <w:rPr>
          <w:bCs/>
          <w:sz w:val="22"/>
          <w:szCs w:val="22"/>
        </w:rPr>
      </w:pPr>
    </w:p>
    <w:p w14:paraId="45A78957" w14:textId="2723F68B" w:rsidR="00A5556F" w:rsidRPr="00A5556F" w:rsidRDefault="00A5556F" w:rsidP="00D3709E">
      <w:pPr>
        <w:tabs>
          <w:tab w:val="left" w:pos="540"/>
          <w:tab w:val="left" w:pos="569"/>
        </w:tabs>
        <w:jc w:val="both"/>
        <w:rPr>
          <w:bCs/>
          <w:sz w:val="22"/>
          <w:szCs w:val="22"/>
        </w:rPr>
      </w:pPr>
      <w:r w:rsidRPr="00A5556F">
        <w:rPr>
          <w:bCs/>
          <w:sz w:val="22"/>
          <w:szCs w:val="22"/>
        </w:rPr>
        <w:t>U otvorenoj randomizovanoj aktivno kontrolisanoj studiji, 150 ispitanika je nasumično raspoređeno u odnosu 1:1 u grupu l</w:t>
      </w:r>
      <w:r w:rsidR="006B6E4C">
        <w:rPr>
          <w:bCs/>
          <w:sz w:val="22"/>
          <w:szCs w:val="22"/>
        </w:rPr>
        <w:t>ij</w:t>
      </w:r>
      <w:r w:rsidRPr="00A5556F">
        <w:rPr>
          <w:bCs/>
          <w:sz w:val="22"/>
          <w:szCs w:val="22"/>
        </w:rPr>
        <w:t>ečenu dimetil</w:t>
      </w:r>
      <w:r w:rsidR="00D12BD2">
        <w:rPr>
          <w:bCs/>
          <w:sz w:val="22"/>
          <w:szCs w:val="22"/>
        </w:rPr>
        <w:t xml:space="preserve"> </w:t>
      </w:r>
      <w:r w:rsidRPr="00A5556F">
        <w:rPr>
          <w:bCs/>
          <w:sz w:val="22"/>
          <w:szCs w:val="22"/>
        </w:rPr>
        <w:t>fumaratom, prim</w:t>
      </w:r>
      <w:r w:rsidR="006B6E4C">
        <w:rPr>
          <w:bCs/>
          <w:sz w:val="22"/>
          <w:szCs w:val="22"/>
        </w:rPr>
        <w:t>ij</w:t>
      </w:r>
      <w:r w:rsidRPr="00A5556F">
        <w:rPr>
          <w:bCs/>
          <w:sz w:val="22"/>
          <w:szCs w:val="22"/>
        </w:rPr>
        <w:t>enjenim oralno u dozi od 240 mg dva puta dnevno ili u grupu koja prima l</w:t>
      </w:r>
      <w:r w:rsidR="006B6E4C">
        <w:rPr>
          <w:bCs/>
          <w:sz w:val="22"/>
          <w:szCs w:val="22"/>
        </w:rPr>
        <w:t>ij</w:t>
      </w:r>
      <w:r w:rsidRPr="00A5556F">
        <w:rPr>
          <w:bCs/>
          <w:sz w:val="22"/>
          <w:szCs w:val="22"/>
        </w:rPr>
        <w:t>ek Avonex, prim</w:t>
      </w:r>
      <w:r w:rsidR="006B6E4C">
        <w:rPr>
          <w:bCs/>
          <w:sz w:val="22"/>
          <w:szCs w:val="22"/>
        </w:rPr>
        <w:t>ij</w:t>
      </w:r>
      <w:r w:rsidRPr="00A5556F">
        <w:rPr>
          <w:bCs/>
          <w:sz w:val="22"/>
          <w:szCs w:val="22"/>
        </w:rPr>
        <w:t>enjenim u dozi od 30 mikrograma jednom ned</w:t>
      </w:r>
      <w:r w:rsidR="006B6E4C">
        <w:rPr>
          <w:bCs/>
          <w:sz w:val="22"/>
          <w:szCs w:val="22"/>
        </w:rPr>
        <w:t>j</w:t>
      </w:r>
      <w:r w:rsidRPr="00A5556F">
        <w:rPr>
          <w:bCs/>
          <w:sz w:val="22"/>
          <w:szCs w:val="22"/>
        </w:rPr>
        <w:t>eljno, intramuskularnom (i.m.) injekcijom, tokom 96 ned</w:t>
      </w:r>
      <w:r w:rsidR="006B6E4C">
        <w:rPr>
          <w:bCs/>
          <w:sz w:val="22"/>
          <w:szCs w:val="22"/>
        </w:rPr>
        <w:t>j</w:t>
      </w:r>
      <w:r w:rsidRPr="00A5556F">
        <w:rPr>
          <w:bCs/>
          <w:sz w:val="22"/>
          <w:szCs w:val="22"/>
        </w:rPr>
        <w:t>elja.</w:t>
      </w:r>
    </w:p>
    <w:p w14:paraId="474CBABA" w14:textId="77777777" w:rsidR="00A5556F" w:rsidRPr="00A5556F" w:rsidRDefault="00A5556F" w:rsidP="00D3709E">
      <w:pPr>
        <w:tabs>
          <w:tab w:val="left" w:pos="540"/>
          <w:tab w:val="left" w:pos="569"/>
        </w:tabs>
        <w:jc w:val="both"/>
        <w:rPr>
          <w:bCs/>
          <w:sz w:val="22"/>
          <w:szCs w:val="22"/>
        </w:rPr>
      </w:pPr>
    </w:p>
    <w:p w14:paraId="65A44F87" w14:textId="29B5F915" w:rsidR="00A5556F" w:rsidRPr="00A5556F" w:rsidRDefault="00A5556F" w:rsidP="00D3709E">
      <w:pPr>
        <w:tabs>
          <w:tab w:val="left" w:pos="540"/>
          <w:tab w:val="left" w:pos="569"/>
        </w:tabs>
        <w:jc w:val="both"/>
        <w:rPr>
          <w:bCs/>
          <w:sz w:val="22"/>
          <w:szCs w:val="22"/>
        </w:rPr>
      </w:pPr>
      <w:r w:rsidRPr="00A5556F">
        <w:rPr>
          <w:bCs/>
          <w:sz w:val="22"/>
          <w:szCs w:val="22"/>
        </w:rPr>
        <w:t>U ITT populaciji, terapija dimetil</w:t>
      </w:r>
      <w:r w:rsidR="00D12BD2">
        <w:rPr>
          <w:bCs/>
          <w:sz w:val="22"/>
          <w:szCs w:val="22"/>
        </w:rPr>
        <w:t xml:space="preserve"> </w:t>
      </w:r>
      <w:r w:rsidRPr="00A5556F">
        <w:rPr>
          <w:bCs/>
          <w:sz w:val="22"/>
          <w:szCs w:val="22"/>
        </w:rPr>
        <w:t>fumaratom je rezultirala većim ud</w:t>
      </w:r>
      <w:r w:rsidR="006B6E4C">
        <w:rPr>
          <w:bCs/>
          <w:sz w:val="22"/>
          <w:szCs w:val="22"/>
        </w:rPr>
        <w:t>j</w:t>
      </w:r>
      <w:r w:rsidRPr="00A5556F">
        <w:rPr>
          <w:bCs/>
          <w:sz w:val="22"/>
          <w:szCs w:val="22"/>
        </w:rPr>
        <w:t>elom pacijenata bez novih ili novo uvećanih T2 hiperintenzivnih lezija u 96. ned</w:t>
      </w:r>
      <w:r w:rsidR="006B6E4C">
        <w:rPr>
          <w:bCs/>
          <w:sz w:val="22"/>
          <w:szCs w:val="22"/>
        </w:rPr>
        <w:t>j</w:t>
      </w:r>
      <w:r w:rsidRPr="00A5556F">
        <w:rPr>
          <w:bCs/>
          <w:sz w:val="22"/>
          <w:szCs w:val="22"/>
        </w:rPr>
        <w:t xml:space="preserve">elji u odnosu </w:t>
      </w:r>
      <w:proofErr w:type="gramStart"/>
      <w:r w:rsidRPr="00A5556F">
        <w:rPr>
          <w:bCs/>
          <w:sz w:val="22"/>
          <w:szCs w:val="22"/>
        </w:rPr>
        <w:t>na</w:t>
      </w:r>
      <w:proofErr w:type="gramEnd"/>
      <w:r w:rsidRPr="00A5556F">
        <w:rPr>
          <w:bCs/>
          <w:sz w:val="22"/>
          <w:szCs w:val="22"/>
        </w:rPr>
        <w:t xml:space="preserve"> početnu vr</w:t>
      </w:r>
      <w:r w:rsidR="006B6E4C">
        <w:rPr>
          <w:bCs/>
          <w:sz w:val="22"/>
          <w:szCs w:val="22"/>
        </w:rPr>
        <w:t>ij</w:t>
      </w:r>
      <w:r w:rsidRPr="00A5556F">
        <w:rPr>
          <w:bCs/>
          <w:sz w:val="22"/>
          <w:szCs w:val="22"/>
        </w:rPr>
        <w:t>ednost u poređenju sa l</w:t>
      </w:r>
      <w:r w:rsidR="006B6E4C">
        <w:rPr>
          <w:bCs/>
          <w:sz w:val="22"/>
          <w:szCs w:val="22"/>
        </w:rPr>
        <w:t>ij</w:t>
      </w:r>
      <w:r w:rsidRPr="00A5556F">
        <w:rPr>
          <w:bCs/>
          <w:sz w:val="22"/>
          <w:szCs w:val="22"/>
        </w:rPr>
        <w:t>ekom Avonex [12,8% naspram 2,8%].</w:t>
      </w:r>
    </w:p>
    <w:p w14:paraId="6B8BE5B3" w14:textId="77777777" w:rsidR="00A5556F" w:rsidRPr="00A5556F" w:rsidRDefault="00A5556F" w:rsidP="00D3709E">
      <w:pPr>
        <w:tabs>
          <w:tab w:val="left" w:pos="540"/>
          <w:tab w:val="left" w:pos="569"/>
        </w:tabs>
        <w:jc w:val="both"/>
        <w:rPr>
          <w:bCs/>
          <w:sz w:val="22"/>
          <w:szCs w:val="22"/>
        </w:rPr>
      </w:pPr>
    </w:p>
    <w:p w14:paraId="70F8074D" w14:textId="77777777" w:rsidR="00A5556F" w:rsidRPr="00A5556F" w:rsidRDefault="00A5556F" w:rsidP="00D3709E">
      <w:pPr>
        <w:tabs>
          <w:tab w:val="left" w:pos="540"/>
          <w:tab w:val="left" w:pos="569"/>
        </w:tabs>
        <w:jc w:val="both"/>
        <w:rPr>
          <w:bCs/>
          <w:sz w:val="22"/>
          <w:szCs w:val="22"/>
        </w:rPr>
      </w:pPr>
      <w:r w:rsidRPr="00A5556F">
        <w:rPr>
          <w:bCs/>
          <w:sz w:val="22"/>
          <w:szCs w:val="22"/>
        </w:rPr>
        <w:t>U dvostruko sl</w:t>
      </w:r>
      <w:r w:rsidR="006B6E4C">
        <w:rPr>
          <w:bCs/>
          <w:sz w:val="22"/>
          <w:szCs w:val="22"/>
        </w:rPr>
        <w:t>ij</w:t>
      </w:r>
      <w:r w:rsidRPr="00A5556F">
        <w:rPr>
          <w:bCs/>
          <w:sz w:val="22"/>
          <w:szCs w:val="22"/>
        </w:rPr>
        <w:t>epoj, aktivno kontrolisanoj studiji sa dvostrukim placebom, 215 ispitanika je nasumično raspoređeno da primaju ili oralni fingolimod (0,5 mg jednom dnevno ili 0,25 mg jednom dnevno za pacijente t</w:t>
      </w:r>
      <w:r w:rsidR="006B6E4C">
        <w:rPr>
          <w:bCs/>
          <w:sz w:val="22"/>
          <w:szCs w:val="22"/>
        </w:rPr>
        <w:t>j</w:t>
      </w:r>
      <w:r w:rsidRPr="00A5556F">
        <w:rPr>
          <w:bCs/>
          <w:sz w:val="22"/>
          <w:szCs w:val="22"/>
        </w:rPr>
        <w:t>elesne mase ≤</w:t>
      </w:r>
      <w:r w:rsidR="00D12BD2">
        <w:rPr>
          <w:bCs/>
          <w:sz w:val="22"/>
          <w:szCs w:val="22"/>
        </w:rPr>
        <w:t xml:space="preserve"> </w:t>
      </w:r>
      <w:r w:rsidRPr="00A5556F">
        <w:rPr>
          <w:bCs/>
          <w:sz w:val="22"/>
          <w:szCs w:val="22"/>
        </w:rPr>
        <w:t>40 kg) ili l</w:t>
      </w:r>
      <w:r w:rsidR="006B6E4C">
        <w:rPr>
          <w:bCs/>
          <w:sz w:val="22"/>
          <w:szCs w:val="22"/>
        </w:rPr>
        <w:t>ij</w:t>
      </w:r>
      <w:r w:rsidRPr="00A5556F">
        <w:rPr>
          <w:bCs/>
          <w:sz w:val="22"/>
          <w:szCs w:val="22"/>
        </w:rPr>
        <w:t>ek Avonex 30 mikrograma, intramuskularno, jednom ned</w:t>
      </w:r>
      <w:r w:rsidR="006B6E4C">
        <w:rPr>
          <w:bCs/>
          <w:sz w:val="22"/>
          <w:szCs w:val="22"/>
        </w:rPr>
        <w:t>j</w:t>
      </w:r>
      <w:r w:rsidRPr="00A5556F">
        <w:rPr>
          <w:bCs/>
          <w:sz w:val="22"/>
          <w:szCs w:val="22"/>
        </w:rPr>
        <w:t>eljno do 24 m</w:t>
      </w:r>
      <w:r w:rsidR="006B6E4C">
        <w:rPr>
          <w:bCs/>
          <w:sz w:val="22"/>
          <w:szCs w:val="22"/>
        </w:rPr>
        <w:t>j</w:t>
      </w:r>
      <w:r w:rsidRPr="00A5556F">
        <w:rPr>
          <w:bCs/>
          <w:sz w:val="22"/>
          <w:szCs w:val="22"/>
        </w:rPr>
        <w:t>eseca.</w:t>
      </w:r>
    </w:p>
    <w:p w14:paraId="763CF7CD" w14:textId="77777777" w:rsidR="00A5556F" w:rsidRPr="00A5556F" w:rsidRDefault="00A5556F" w:rsidP="00D3709E">
      <w:pPr>
        <w:tabs>
          <w:tab w:val="left" w:pos="540"/>
          <w:tab w:val="left" w:pos="569"/>
        </w:tabs>
        <w:jc w:val="both"/>
        <w:rPr>
          <w:bCs/>
          <w:sz w:val="22"/>
          <w:szCs w:val="22"/>
        </w:rPr>
      </w:pPr>
    </w:p>
    <w:p w14:paraId="1BFB63CB" w14:textId="45215227" w:rsidR="00A5556F" w:rsidRPr="00A5556F" w:rsidRDefault="00A5556F" w:rsidP="00D3709E">
      <w:pPr>
        <w:tabs>
          <w:tab w:val="left" w:pos="540"/>
          <w:tab w:val="left" w:pos="569"/>
        </w:tabs>
        <w:jc w:val="both"/>
        <w:rPr>
          <w:bCs/>
          <w:sz w:val="22"/>
          <w:szCs w:val="22"/>
        </w:rPr>
      </w:pPr>
      <w:r w:rsidRPr="00A5556F">
        <w:rPr>
          <w:bCs/>
          <w:sz w:val="22"/>
          <w:szCs w:val="22"/>
        </w:rPr>
        <w:t xml:space="preserve">Primarni cilj, prilagođena godišnja stopa relapsa (engl. </w:t>
      </w:r>
      <w:r w:rsidRPr="009D7887">
        <w:rPr>
          <w:bCs/>
          <w:i/>
          <w:sz w:val="22"/>
          <w:szCs w:val="22"/>
        </w:rPr>
        <w:t>annualized relapse rate</w:t>
      </w:r>
      <w:r w:rsidRPr="00A5556F">
        <w:rPr>
          <w:bCs/>
          <w:sz w:val="22"/>
          <w:szCs w:val="22"/>
        </w:rPr>
        <w:t>, ARR) u 96. ned</w:t>
      </w:r>
      <w:r w:rsidR="006B6E4C">
        <w:rPr>
          <w:bCs/>
          <w:sz w:val="22"/>
          <w:szCs w:val="22"/>
        </w:rPr>
        <w:t>j</w:t>
      </w:r>
      <w:r w:rsidRPr="00A5556F">
        <w:rPr>
          <w:bCs/>
          <w:sz w:val="22"/>
          <w:szCs w:val="22"/>
        </w:rPr>
        <w:t>elji, bila je značajno niža kod pacijenata l</w:t>
      </w:r>
      <w:r w:rsidR="006B6E4C">
        <w:rPr>
          <w:bCs/>
          <w:sz w:val="22"/>
          <w:szCs w:val="22"/>
        </w:rPr>
        <w:t>ij</w:t>
      </w:r>
      <w:r w:rsidRPr="00A5556F">
        <w:rPr>
          <w:bCs/>
          <w:sz w:val="22"/>
          <w:szCs w:val="22"/>
        </w:rPr>
        <w:t>ečenih fingolimodom (0,122) u poređenju sa pacijentima koji su primali l</w:t>
      </w:r>
      <w:r w:rsidR="006B6E4C">
        <w:rPr>
          <w:bCs/>
          <w:sz w:val="22"/>
          <w:szCs w:val="22"/>
        </w:rPr>
        <w:t>ij</w:t>
      </w:r>
      <w:r w:rsidRPr="00A5556F">
        <w:rPr>
          <w:bCs/>
          <w:sz w:val="22"/>
          <w:szCs w:val="22"/>
        </w:rPr>
        <w:t>ek Avonex (0,675), što je dovelo do relativnog smanjenja ARR-a od 81,9% (p &lt;0,001).</w:t>
      </w:r>
    </w:p>
    <w:p w14:paraId="16302104" w14:textId="77777777" w:rsidR="00A5556F" w:rsidRPr="00A5556F" w:rsidRDefault="00A5556F" w:rsidP="00D3709E">
      <w:pPr>
        <w:tabs>
          <w:tab w:val="left" w:pos="540"/>
          <w:tab w:val="left" w:pos="569"/>
        </w:tabs>
        <w:jc w:val="both"/>
        <w:rPr>
          <w:bCs/>
          <w:sz w:val="22"/>
          <w:szCs w:val="22"/>
        </w:rPr>
      </w:pPr>
    </w:p>
    <w:p w14:paraId="4F6F47C1" w14:textId="77777777" w:rsidR="00A5556F" w:rsidRDefault="00A5556F" w:rsidP="00D3709E">
      <w:pPr>
        <w:tabs>
          <w:tab w:val="left" w:pos="540"/>
          <w:tab w:val="left" w:pos="569"/>
        </w:tabs>
        <w:jc w:val="both"/>
        <w:rPr>
          <w:bCs/>
          <w:sz w:val="22"/>
          <w:szCs w:val="22"/>
        </w:rPr>
      </w:pPr>
      <w:r w:rsidRPr="00A5556F">
        <w:rPr>
          <w:bCs/>
          <w:sz w:val="22"/>
          <w:szCs w:val="22"/>
        </w:rPr>
        <w:t>Sve u svemu, bezb</w:t>
      </w:r>
      <w:r w:rsidR="006B6E4C">
        <w:rPr>
          <w:bCs/>
          <w:sz w:val="22"/>
          <w:szCs w:val="22"/>
        </w:rPr>
        <w:t>j</w:t>
      </w:r>
      <w:r w:rsidRPr="00A5556F">
        <w:rPr>
          <w:bCs/>
          <w:sz w:val="22"/>
          <w:szCs w:val="22"/>
        </w:rPr>
        <w:t>ednosni profil kod pacijenata koji su primali l</w:t>
      </w:r>
      <w:r w:rsidR="006B6E4C">
        <w:rPr>
          <w:bCs/>
          <w:sz w:val="22"/>
          <w:szCs w:val="22"/>
        </w:rPr>
        <w:t>ij</w:t>
      </w:r>
      <w:r w:rsidRPr="00A5556F">
        <w:rPr>
          <w:bCs/>
          <w:sz w:val="22"/>
          <w:szCs w:val="22"/>
        </w:rPr>
        <w:t>ek Avonex u dv</w:t>
      </w:r>
      <w:r w:rsidR="006B6E4C">
        <w:rPr>
          <w:bCs/>
          <w:sz w:val="22"/>
          <w:szCs w:val="22"/>
        </w:rPr>
        <w:t>ij</w:t>
      </w:r>
      <w:r w:rsidRPr="00A5556F">
        <w:rPr>
          <w:bCs/>
          <w:sz w:val="22"/>
          <w:szCs w:val="22"/>
        </w:rPr>
        <w:t>e kliničke studije bio je kvalitativno konzistentan sa onim koji je prethodno prim</w:t>
      </w:r>
      <w:r w:rsidR="006B6E4C">
        <w:rPr>
          <w:bCs/>
          <w:sz w:val="22"/>
          <w:szCs w:val="22"/>
        </w:rPr>
        <w:t>ij</w:t>
      </w:r>
      <w:r w:rsidRPr="00A5556F">
        <w:rPr>
          <w:bCs/>
          <w:sz w:val="22"/>
          <w:szCs w:val="22"/>
        </w:rPr>
        <w:t>ećen kod odraslih pacijenata.</w:t>
      </w:r>
    </w:p>
    <w:p w14:paraId="7B20A4E1" w14:textId="77777777" w:rsidR="00F40A49" w:rsidRPr="00786071" w:rsidRDefault="00F40A49" w:rsidP="00F40A49">
      <w:pPr>
        <w:tabs>
          <w:tab w:val="left" w:pos="540"/>
          <w:tab w:val="left" w:pos="569"/>
        </w:tabs>
        <w:rPr>
          <w:b/>
          <w:bCs/>
          <w:sz w:val="22"/>
          <w:szCs w:val="22"/>
        </w:rPr>
      </w:pPr>
    </w:p>
    <w:p w14:paraId="2E624FEA" w14:textId="77777777" w:rsidR="00F40A49" w:rsidRDefault="00F40A49">
      <w:pPr>
        <w:tabs>
          <w:tab w:val="left" w:pos="540"/>
          <w:tab w:val="left" w:pos="569"/>
        </w:tabs>
        <w:rPr>
          <w:b/>
          <w:bCs/>
          <w:sz w:val="22"/>
          <w:szCs w:val="22"/>
        </w:rPr>
      </w:pPr>
      <w:r w:rsidRPr="00786071">
        <w:rPr>
          <w:b/>
          <w:bCs/>
          <w:sz w:val="22"/>
          <w:szCs w:val="22"/>
        </w:rPr>
        <w:t xml:space="preserve">5.2. </w:t>
      </w:r>
      <w:r w:rsidRPr="00786071">
        <w:rPr>
          <w:b/>
          <w:bCs/>
          <w:sz w:val="22"/>
          <w:szCs w:val="22"/>
        </w:rPr>
        <w:tab/>
        <w:t xml:space="preserve">Farmakokinetički podaci </w:t>
      </w:r>
    </w:p>
    <w:p w14:paraId="0CA0875F" w14:textId="77777777" w:rsidR="00F40A49" w:rsidRPr="00786071" w:rsidRDefault="00F40A49">
      <w:pPr>
        <w:tabs>
          <w:tab w:val="left" w:pos="540"/>
          <w:tab w:val="left" w:pos="569"/>
        </w:tabs>
        <w:rPr>
          <w:b/>
          <w:bCs/>
          <w:sz w:val="22"/>
          <w:szCs w:val="22"/>
        </w:rPr>
      </w:pPr>
    </w:p>
    <w:p w14:paraId="0576064E" w14:textId="77777777" w:rsidR="00F40A49" w:rsidRPr="00F40A49" w:rsidRDefault="00F40A49">
      <w:pPr>
        <w:tabs>
          <w:tab w:val="left" w:pos="540"/>
          <w:tab w:val="left" w:pos="569"/>
        </w:tabs>
        <w:jc w:val="both"/>
        <w:rPr>
          <w:bCs/>
          <w:sz w:val="22"/>
          <w:szCs w:val="22"/>
        </w:rPr>
      </w:pPr>
      <w:r w:rsidRPr="00F40A49">
        <w:rPr>
          <w:bCs/>
          <w:sz w:val="22"/>
          <w:szCs w:val="22"/>
        </w:rPr>
        <w:t xml:space="preserve">Farmakokinetički profil </w:t>
      </w:r>
      <w:r w:rsidR="009274AD">
        <w:rPr>
          <w:bCs/>
          <w:sz w:val="22"/>
          <w:szCs w:val="22"/>
        </w:rPr>
        <w:t xml:space="preserve">lijeka </w:t>
      </w:r>
      <w:r w:rsidRPr="00F40A49">
        <w:rPr>
          <w:bCs/>
          <w:sz w:val="22"/>
          <w:szCs w:val="22"/>
        </w:rPr>
        <w:t>A</w:t>
      </w:r>
      <w:r w:rsidR="009274AD" w:rsidRPr="00F40A49">
        <w:rPr>
          <w:bCs/>
          <w:sz w:val="22"/>
          <w:szCs w:val="22"/>
        </w:rPr>
        <w:t>vonexa</w:t>
      </w:r>
      <w:r w:rsidRPr="00F40A49">
        <w:rPr>
          <w:bCs/>
          <w:sz w:val="22"/>
          <w:szCs w:val="22"/>
        </w:rPr>
        <w:t xml:space="preserve"> proučavan je indirektno,</w:t>
      </w:r>
      <w:r>
        <w:rPr>
          <w:bCs/>
          <w:sz w:val="22"/>
          <w:szCs w:val="22"/>
        </w:rPr>
        <w:t xml:space="preserve"> testom za mjerenje antivirusne </w:t>
      </w:r>
      <w:r w:rsidRPr="00F40A49">
        <w:rPr>
          <w:bCs/>
          <w:sz w:val="22"/>
          <w:szCs w:val="22"/>
        </w:rPr>
        <w:t>aktivnosti interferona. Taj test je ograničen jer je osjetljiv na interferon, ali nije specifičan za</w:t>
      </w:r>
      <w:r w:rsidR="009274AD">
        <w:rPr>
          <w:bCs/>
          <w:sz w:val="22"/>
          <w:szCs w:val="22"/>
        </w:rPr>
        <w:t xml:space="preserve"> </w:t>
      </w:r>
      <w:r w:rsidRPr="00F40A49">
        <w:rPr>
          <w:bCs/>
          <w:sz w:val="22"/>
          <w:szCs w:val="22"/>
        </w:rPr>
        <w:t>interferon beta. Druge tehnike određivanja ni</w:t>
      </w:r>
      <w:r w:rsidR="009274AD">
        <w:rPr>
          <w:bCs/>
          <w:sz w:val="22"/>
          <w:szCs w:val="22"/>
        </w:rPr>
        <w:t>je</w:t>
      </w:r>
      <w:r w:rsidRPr="00F40A49">
        <w:rPr>
          <w:bCs/>
          <w:sz w:val="22"/>
          <w:szCs w:val="22"/>
        </w:rPr>
        <w:t>su dovoljno osjetljive.</w:t>
      </w:r>
    </w:p>
    <w:p w14:paraId="1BDC9A0E" w14:textId="77777777" w:rsidR="00F40A49" w:rsidRDefault="00F40A49">
      <w:pPr>
        <w:tabs>
          <w:tab w:val="left" w:pos="540"/>
          <w:tab w:val="left" w:pos="569"/>
        </w:tabs>
        <w:jc w:val="both"/>
        <w:rPr>
          <w:bCs/>
          <w:sz w:val="22"/>
          <w:szCs w:val="22"/>
        </w:rPr>
      </w:pPr>
      <w:r w:rsidRPr="00F40A49">
        <w:rPr>
          <w:bCs/>
          <w:sz w:val="22"/>
          <w:szCs w:val="22"/>
        </w:rPr>
        <w:t xml:space="preserve">Nakon intramuskularne primjene </w:t>
      </w:r>
      <w:r w:rsidR="009274AD">
        <w:rPr>
          <w:bCs/>
          <w:sz w:val="22"/>
          <w:szCs w:val="22"/>
        </w:rPr>
        <w:t xml:space="preserve">lijeka </w:t>
      </w:r>
      <w:r w:rsidRPr="00F40A49">
        <w:rPr>
          <w:bCs/>
          <w:sz w:val="22"/>
          <w:szCs w:val="22"/>
        </w:rPr>
        <w:t>A</w:t>
      </w:r>
      <w:r w:rsidR="009274AD" w:rsidRPr="00F40A49">
        <w:rPr>
          <w:bCs/>
          <w:sz w:val="22"/>
          <w:szCs w:val="22"/>
        </w:rPr>
        <w:t>vonexa</w:t>
      </w:r>
      <w:r w:rsidRPr="00F40A49">
        <w:rPr>
          <w:bCs/>
          <w:sz w:val="22"/>
          <w:szCs w:val="22"/>
        </w:rPr>
        <w:t>, antivirusna aktivnost u serumu dostigne svoj</w:t>
      </w:r>
      <w:r w:rsidR="009274AD">
        <w:rPr>
          <w:bCs/>
          <w:sz w:val="22"/>
          <w:szCs w:val="22"/>
        </w:rPr>
        <w:t xml:space="preserve"> maksimum za 5 do 15 sati pa</w:t>
      </w:r>
      <w:r w:rsidRPr="00F40A49">
        <w:rPr>
          <w:bCs/>
          <w:sz w:val="22"/>
          <w:szCs w:val="22"/>
        </w:rPr>
        <w:t xml:space="preserve"> počinje opadati s</w:t>
      </w:r>
      <w:r w:rsidR="009274AD">
        <w:rPr>
          <w:bCs/>
          <w:sz w:val="22"/>
          <w:szCs w:val="22"/>
        </w:rPr>
        <w:t>a</w:t>
      </w:r>
      <w:r w:rsidRPr="00F40A49">
        <w:rPr>
          <w:bCs/>
          <w:sz w:val="22"/>
          <w:szCs w:val="22"/>
        </w:rPr>
        <w:t xml:space="preserve"> poluv</w:t>
      </w:r>
      <w:r w:rsidR="009274AD">
        <w:rPr>
          <w:bCs/>
          <w:sz w:val="22"/>
          <w:szCs w:val="22"/>
        </w:rPr>
        <w:t>remenom eliminacije</w:t>
      </w:r>
      <w:r w:rsidRPr="00F40A49">
        <w:rPr>
          <w:bCs/>
          <w:sz w:val="22"/>
          <w:szCs w:val="22"/>
        </w:rPr>
        <w:t xml:space="preserve"> od približno 10 sati. Nakon što su </w:t>
      </w:r>
      <w:r w:rsidR="007F21B6">
        <w:rPr>
          <w:bCs/>
          <w:sz w:val="22"/>
          <w:szCs w:val="22"/>
        </w:rPr>
        <w:t>izvršena</w:t>
      </w:r>
      <w:r w:rsidR="009274AD">
        <w:rPr>
          <w:bCs/>
          <w:sz w:val="22"/>
          <w:szCs w:val="22"/>
        </w:rPr>
        <w:t xml:space="preserve"> </w:t>
      </w:r>
      <w:r w:rsidR="007F21B6">
        <w:rPr>
          <w:bCs/>
          <w:sz w:val="22"/>
          <w:szCs w:val="22"/>
        </w:rPr>
        <w:t>odgovarajuć</w:t>
      </w:r>
      <w:r w:rsidRPr="00F40A49">
        <w:rPr>
          <w:bCs/>
          <w:sz w:val="22"/>
          <w:szCs w:val="22"/>
        </w:rPr>
        <w:t>a usklađivanja v</w:t>
      </w:r>
      <w:r w:rsidR="009274AD">
        <w:rPr>
          <w:bCs/>
          <w:sz w:val="22"/>
          <w:szCs w:val="22"/>
        </w:rPr>
        <w:t>ezana za brzinu re</w:t>
      </w:r>
      <w:r w:rsidRPr="00F40A49">
        <w:rPr>
          <w:bCs/>
          <w:sz w:val="22"/>
          <w:szCs w:val="22"/>
        </w:rPr>
        <w:t>sorpcije lijeka iz mjesta primjene injekcije, izračunata</w:t>
      </w:r>
      <w:r w:rsidR="009274AD">
        <w:rPr>
          <w:bCs/>
          <w:sz w:val="22"/>
          <w:szCs w:val="22"/>
        </w:rPr>
        <w:t xml:space="preserve"> </w:t>
      </w:r>
      <w:r w:rsidRPr="00F40A49">
        <w:rPr>
          <w:bCs/>
          <w:sz w:val="22"/>
          <w:szCs w:val="22"/>
        </w:rPr>
        <w:t>vrijednost bioraspoloživosti iznosila je približno 40%. Bez takvih usklađivanja izračunata</w:t>
      </w:r>
      <w:r w:rsidR="009274AD">
        <w:rPr>
          <w:bCs/>
          <w:sz w:val="22"/>
          <w:szCs w:val="22"/>
        </w:rPr>
        <w:t xml:space="preserve"> </w:t>
      </w:r>
      <w:r w:rsidRPr="00F40A49">
        <w:rPr>
          <w:bCs/>
          <w:sz w:val="22"/>
          <w:szCs w:val="22"/>
        </w:rPr>
        <w:t>bioraspoloživost je veća. Supkutana primjena nikako ne može zamijeniti intramuskularnu primjenu.</w:t>
      </w:r>
    </w:p>
    <w:p w14:paraId="790EDC01" w14:textId="77777777" w:rsidR="00A5556F" w:rsidRPr="00786071" w:rsidRDefault="00A5556F">
      <w:pPr>
        <w:tabs>
          <w:tab w:val="left" w:pos="540"/>
          <w:tab w:val="left" w:pos="569"/>
        </w:tabs>
        <w:jc w:val="both"/>
        <w:rPr>
          <w:bCs/>
          <w:sz w:val="22"/>
          <w:szCs w:val="22"/>
        </w:rPr>
      </w:pPr>
    </w:p>
    <w:p w14:paraId="4A1B1929" w14:textId="77777777" w:rsidR="0072020E" w:rsidRPr="00786071" w:rsidRDefault="0072020E" w:rsidP="00D3709E">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0CA10B0C" w14:textId="77777777" w:rsidR="00836B35" w:rsidRPr="00786071" w:rsidRDefault="00836B35" w:rsidP="00D3709E">
      <w:pPr>
        <w:tabs>
          <w:tab w:val="left" w:pos="540"/>
          <w:tab w:val="left" w:pos="569"/>
        </w:tabs>
        <w:jc w:val="both"/>
        <w:rPr>
          <w:bCs/>
          <w:sz w:val="22"/>
          <w:szCs w:val="22"/>
        </w:rPr>
      </w:pPr>
    </w:p>
    <w:p w14:paraId="193173F9" w14:textId="77777777" w:rsidR="00EF6805" w:rsidRPr="005A740A" w:rsidRDefault="00EF6805" w:rsidP="00D3709E">
      <w:pPr>
        <w:tabs>
          <w:tab w:val="center" w:pos="4536"/>
          <w:tab w:val="right" w:pos="9072"/>
        </w:tabs>
        <w:jc w:val="both"/>
        <w:rPr>
          <w:sz w:val="22"/>
          <w:szCs w:val="22"/>
          <w:lang w:val="sr-Latn-CS"/>
        </w:rPr>
      </w:pPr>
      <w:r w:rsidRPr="005A740A">
        <w:rPr>
          <w:sz w:val="22"/>
          <w:szCs w:val="22"/>
          <w:lang w:val="sr-Latn-CS"/>
        </w:rPr>
        <w:t xml:space="preserve">Kancerogeneza: nema dostupnih podataka o kancerogenosti interferona beta-1a kod ljudi ili životinja. </w:t>
      </w:r>
    </w:p>
    <w:p w14:paraId="193ADC2B" w14:textId="77777777" w:rsidR="00EF6805" w:rsidRPr="005A740A" w:rsidRDefault="00EF6805" w:rsidP="002013EF">
      <w:pPr>
        <w:tabs>
          <w:tab w:val="center" w:pos="4536"/>
          <w:tab w:val="right" w:pos="9072"/>
        </w:tabs>
        <w:jc w:val="both"/>
        <w:rPr>
          <w:sz w:val="22"/>
          <w:szCs w:val="22"/>
          <w:lang w:val="sr-Latn-CS"/>
        </w:rPr>
      </w:pPr>
    </w:p>
    <w:p w14:paraId="021D26C1" w14:textId="77777777" w:rsidR="00EF6805" w:rsidRPr="005A740A" w:rsidRDefault="00EF6805" w:rsidP="00D3709E">
      <w:pPr>
        <w:tabs>
          <w:tab w:val="center" w:pos="4536"/>
          <w:tab w:val="right" w:pos="9072"/>
        </w:tabs>
        <w:jc w:val="both"/>
        <w:rPr>
          <w:sz w:val="22"/>
          <w:szCs w:val="22"/>
          <w:lang w:val="sr-Latn-CS"/>
        </w:rPr>
      </w:pPr>
      <w:r w:rsidRPr="005A740A">
        <w:rPr>
          <w:sz w:val="22"/>
          <w:szCs w:val="22"/>
          <w:lang w:val="sr-Latn-CS"/>
        </w:rPr>
        <w:t>Hronična toksičnost: U studiji toksičnosti ponovljenih doza koja je trajala 26 sedmica i u kojoj se jednom sedmično rezus majmunima intramuskularno davao interferon beta-1a u kombinaciji sa drugom imunomodulatornom supstancom, anti CD40 ligand monoklonskim antitijelom, nije bilo imunološkog odgovora na interferon beta-1a, niti su se pokazali znaci toksičnosti.</w:t>
      </w:r>
    </w:p>
    <w:p w14:paraId="33647861" w14:textId="77777777" w:rsidR="00EF6805" w:rsidRDefault="00EF6805" w:rsidP="00D3709E">
      <w:pPr>
        <w:tabs>
          <w:tab w:val="center" w:pos="4536"/>
          <w:tab w:val="right" w:pos="9072"/>
        </w:tabs>
        <w:jc w:val="both"/>
        <w:rPr>
          <w:sz w:val="22"/>
          <w:szCs w:val="22"/>
          <w:lang w:val="sr-Latn-CS"/>
        </w:rPr>
      </w:pPr>
    </w:p>
    <w:p w14:paraId="306AF8E8" w14:textId="77777777" w:rsidR="00EF6805" w:rsidRPr="005A740A" w:rsidRDefault="00EF6805" w:rsidP="00D3709E">
      <w:pPr>
        <w:tabs>
          <w:tab w:val="center" w:pos="4536"/>
          <w:tab w:val="right" w:pos="9072"/>
        </w:tabs>
        <w:jc w:val="both"/>
        <w:rPr>
          <w:sz w:val="22"/>
          <w:szCs w:val="22"/>
          <w:lang w:val="sr-Latn-CS"/>
        </w:rPr>
      </w:pPr>
      <w:r w:rsidRPr="005A740A">
        <w:rPr>
          <w:sz w:val="22"/>
          <w:szCs w:val="22"/>
          <w:lang w:val="sr-Latn-CS"/>
        </w:rPr>
        <w:t>Lokalna podnošljivost: intramuskularna iritacija nije bila procijenjena kod životinja nakon ponovljene primjene u isto mjesto injiciranja.</w:t>
      </w:r>
    </w:p>
    <w:p w14:paraId="12DBBAB2" w14:textId="77777777" w:rsidR="00EF6805" w:rsidRPr="005A740A" w:rsidRDefault="00EF6805" w:rsidP="002013EF">
      <w:pPr>
        <w:tabs>
          <w:tab w:val="center" w:pos="4536"/>
          <w:tab w:val="right" w:pos="9072"/>
        </w:tabs>
        <w:jc w:val="both"/>
        <w:rPr>
          <w:sz w:val="22"/>
          <w:szCs w:val="22"/>
          <w:lang w:val="sr-Latn-CS"/>
        </w:rPr>
      </w:pPr>
    </w:p>
    <w:p w14:paraId="1295ED0C" w14:textId="77777777" w:rsidR="00EF6805" w:rsidRPr="005A740A" w:rsidRDefault="00EF6805" w:rsidP="002013EF">
      <w:pPr>
        <w:tabs>
          <w:tab w:val="center" w:pos="4536"/>
          <w:tab w:val="right" w:pos="9072"/>
        </w:tabs>
        <w:jc w:val="both"/>
        <w:rPr>
          <w:sz w:val="22"/>
          <w:szCs w:val="22"/>
          <w:lang w:val="sr-Latn-CS"/>
        </w:rPr>
      </w:pPr>
      <w:r w:rsidRPr="005A740A">
        <w:rPr>
          <w:sz w:val="22"/>
          <w:szCs w:val="22"/>
          <w:lang w:val="sr-Latn-CS"/>
        </w:rPr>
        <w:t xml:space="preserve">Mutageneza: Ograničeni ali značajni testovi mutageneze su bili sprovedeni. Rezultati su bili negativni. </w:t>
      </w:r>
    </w:p>
    <w:p w14:paraId="1CB3A98C" w14:textId="77777777" w:rsidR="00EF6805" w:rsidRDefault="00EF6805" w:rsidP="00D3709E">
      <w:pPr>
        <w:tabs>
          <w:tab w:val="left" w:pos="540"/>
          <w:tab w:val="left" w:pos="569"/>
        </w:tabs>
        <w:jc w:val="both"/>
        <w:rPr>
          <w:sz w:val="22"/>
          <w:szCs w:val="22"/>
          <w:lang w:val="sr-Latn-CS"/>
        </w:rPr>
      </w:pPr>
    </w:p>
    <w:p w14:paraId="337C1E93" w14:textId="77777777" w:rsidR="00EF6805" w:rsidRPr="00396DFD" w:rsidRDefault="00EF6805" w:rsidP="00D3709E">
      <w:pPr>
        <w:tabs>
          <w:tab w:val="left" w:pos="540"/>
          <w:tab w:val="left" w:pos="569"/>
        </w:tabs>
        <w:jc w:val="both"/>
        <w:rPr>
          <w:bCs/>
          <w:sz w:val="22"/>
          <w:szCs w:val="22"/>
        </w:rPr>
      </w:pPr>
      <w:r w:rsidRPr="00A25C1A">
        <w:rPr>
          <w:sz w:val="22"/>
          <w:szCs w:val="22"/>
          <w:lang w:val="sr-Latn-CS"/>
        </w:rPr>
        <w:t xml:space="preserve">Smanjenje plodnosti: Studije plodnosti i razvoja su bile </w:t>
      </w:r>
      <w:r>
        <w:rPr>
          <w:sz w:val="22"/>
          <w:szCs w:val="22"/>
          <w:lang w:val="sr-Latn-CS"/>
        </w:rPr>
        <w:t>s</w:t>
      </w:r>
      <w:r w:rsidRPr="00A25C1A">
        <w:rPr>
          <w:sz w:val="22"/>
          <w:szCs w:val="22"/>
          <w:lang w:val="sr-Latn-CS"/>
        </w:rPr>
        <w:t>provedene na r</w:t>
      </w:r>
      <w:r>
        <w:rPr>
          <w:sz w:val="22"/>
          <w:szCs w:val="22"/>
          <w:lang w:val="sr-Latn-CS"/>
        </w:rPr>
        <w:t>ezu</w:t>
      </w:r>
      <w:r w:rsidRPr="00A25C1A">
        <w:rPr>
          <w:sz w:val="22"/>
          <w:szCs w:val="22"/>
          <w:lang w:val="sr-Latn-CS"/>
        </w:rPr>
        <w:t>s majmunima sa srodnim oblikom interferona beta-1a. Kod vrlo visokih doza su kod testiranih životinja primijećeni anovulatorni i abortivni efekti. Slični, doz</w:t>
      </w:r>
      <w:r>
        <w:rPr>
          <w:sz w:val="22"/>
          <w:szCs w:val="22"/>
          <w:lang w:val="sr-Latn-CS"/>
        </w:rPr>
        <w:t>no</w:t>
      </w:r>
      <w:r w:rsidRPr="00A25C1A">
        <w:rPr>
          <w:sz w:val="22"/>
          <w:szCs w:val="22"/>
          <w:lang w:val="sr-Latn-CS"/>
        </w:rPr>
        <w:t xml:space="preserve"> zavisni efekti na reproduktivnost su takođe bili primijećeni kod drugih oblika alfa i beta interferona. Nisu bili primijećeni teratogeni efekti ili efekti na razvoj ploda, ali dostupne informacije o efektima interferona beta-1a za vrijeme i poslije trudnoće su ograničene.</w:t>
      </w:r>
    </w:p>
    <w:p w14:paraId="3BADC884" w14:textId="77777777" w:rsidR="00EF6805" w:rsidRDefault="00EF6805" w:rsidP="00D3709E">
      <w:pPr>
        <w:tabs>
          <w:tab w:val="left" w:pos="284"/>
        </w:tabs>
        <w:jc w:val="both"/>
        <w:rPr>
          <w:sz w:val="22"/>
          <w:szCs w:val="22"/>
          <w:lang w:val="sr-Latn-CS"/>
        </w:rPr>
      </w:pPr>
    </w:p>
    <w:p w14:paraId="14F24500" w14:textId="77777777" w:rsidR="00EF6805" w:rsidRDefault="00EF6805" w:rsidP="00D3709E">
      <w:pPr>
        <w:tabs>
          <w:tab w:val="left" w:pos="284"/>
        </w:tabs>
        <w:jc w:val="both"/>
        <w:rPr>
          <w:sz w:val="22"/>
          <w:szCs w:val="22"/>
          <w:lang w:val="sr-Latn-CS"/>
        </w:rPr>
      </w:pPr>
      <w:r w:rsidRPr="005A740A">
        <w:rPr>
          <w:sz w:val="22"/>
          <w:szCs w:val="22"/>
          <w:lang w:val="sr-Latn-CS"/>
        </w:rPr>
        <w:t>Nema dostupnih informacija o efektima interferona beta-1a na plodnost muškaraca.</w:t>
      </w:r>
    </w:p>
    <w:p w14:paraId="2D4DCAB2" w14:textId="77777777" w:rsidR="00C8537F" w:rsidRPr="005A740A" w:rsidRDefault="00C8537F" w:rsidP="00D3709E">
      <w:pPr>
        <w:tabs>
          <w:tab w:val="left" w:pos="284"/>
        </w:tabs>
        <w:jc w:val="both"/>
        <w:rPr>
          <w:sz w:val="22"/>
          <w:szCs w:val="22"/>
          <w:lang w:val="sr-Latn-CS"/>
        </w:rPr>
      </w:pPr>
    </w:p>
    <w:p w14:paraId="1C65E343" w14:textId="77777777" w:rsidR="00396DFD" w:rsidRPr="00786071" w:rsidRDefault="00396DFD" w:rsidP="00D3709E">
      <w:pPr>
        <w:tabs>
          <w:tab w:val="left" w:pos="540"/>
          <w:tab w:val="left" w:pos="569"/>
        </w:tabs>
        <w:jc w:val="both"/>
        <w:rPr>
          <w:b/>
          <w:bCs/>
          <w:sz w:val="22"/>
          <w:szCs w:val="22"/>
        </w:rPr>
      </w:pPr>
    </w:p>
    <w:p w14:paraId="0BCC3797"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347D62D0" w14:textId="77777777" w:rsidR="00836B35" w:rsidRPr="00786071" w:rsidRDefault="00836B35" w:rsidP="00480FB1">
      <w:pPr>
        <w:tabs>
          <w:tab w:val="left" w:pos="540"/>
          <w:tab w:val="left" w:pos="569"/>
        </w:tabs>
        <w:rPr>
          <w:bCs/>
          <w:sz w:val="22"/>
          <w:szCs w:val="22"/>
        </w:rPr>
      </w:pPr>
    </w:p>
    <w:p w14:paraId="49449FED" w14:textId="77777777" w:rsidR="0072020E" w:rsidRPr="00786071"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68B8232F" w14:textId="77777777" w:rsidR="0072020E" w:rsidRDefault="0072020E" w:rsidP="00480FB1">
      <w:pPr>
        <w:tabs>
          <w:tab w:val="left" w:pos="540"/>
          <w:tab w:val="left" w:pos="569"/>
        </w:tabs>
        <w:rPr>
          <w:bCs/>
          <w:sz w:val="22"/>
          <w:szCs w:val="22"/>
        </w:rPr>
      </w:pPr>
    </w:p>
    <w:p w14:paraId="7B2AA4FA" w14:textId="77777777" w:rsidR="00EF6805" w:rsidRPr="005A740A" w:rsidRDefault="00EF6805" w:rsidP="00EF6805">
      <w:pPr>
        <w:tabs>
          <w:tab w:val="left" w:pos="284"/>
        </w:tabs>
        <w:rPr>
          <w:sz w:val="22"/>
          <w:szCs w:val="22"/>
          <w:lang w:val="sr-Latn-CS"/>
        </w:rPr>
      </w:pPr>
      <w:r w:rsidRPr="005A740A">
        <w:rPr>
          <w:sz w:val="22"/>
          <w:szCs w:val="22"/>
          <w:lang w:val="sr-Latn-CS"/>
        </w:rPr>
        <w:t>Natrijum acetat, trihidrat</w:t>
      </w:r>
    </w:p>
    <w:p w14:paraId="2E080208" w14:textId="77777777" w:rsidR="00EF6805" w:rsidRPr="005A740A" w:rsidRDefault="00EF6805" w:rsidP="00EF6805">
      <w:pPr>
        <w:tabs>
          <w:tab w:val="left" w:pos="284"/>
        </w:tabs>
        <w:rPr>
          <w:sz w:val="22"/>
          <w:szCs w:val="22"/>
          <w:lang w:val="sr-Latn-CS"/>
        </w:rPr>
      </w:pPr>
      <w:r w:rsidRPr="005A740A">
        <w:rPr>
          <w:sz w:val="22"/>
          <w:szCs w:val="22"/>
          <w:lang w:val="sr-Latn-CS"/>
        </w:rPr>
        <w:t>Sirćetna kiselina, glacijalna</w:t>
      </w:r>
    </w:p>
    <w:p w14:paraId="0442C673" w14:textId="77777777" w:rsidR="00EF6805" w:rsidRPr="005A740A" w:rsidRDefault="00EF6805" w:rsidP="00EF6805">
      <w:pPr>
        <w:tabs>
          <w:tab w:val="left" w:pos="284"/>
        </w:tabs>
        <w:rPr>
          <w:sz w:val="22"/>
          <w:szCs w:val="22"/>
          <w:lang w:val="sr-Latn-CS"/>
        </w:rPr>
      </w:pPr>
      <w:r w:rsidRPr="005A740A">
        <w:rPr>
          <w:sz w:val="22"/>
          <w:szCs w:val="22"/>
          <w:lang w:val="sr-Latn-CS"/>
        </w:rPr>
        <w:t>Arginin hidrohlorid,</w:t>
      </w:r>
    </w:p>
    <w:p w14:paraId="10C3DF94" w14:textId="77777777" w:rsidR="00EF6805" w:rsidRPr="005A740A" w:rsidRDefault="00EF6805" w:rsidP="00EF6805">
      <w:pPr>
        <w:tabs>
          <w:tab w:val="left" w:pos="284"/>
        </w:tabs>
        <w:rPr>
          <w:sz w:val="22"/>
          <w:szCs w:val="22"/>
          <w:lang w:val="sr-Latn-CS"/>
        </w:rPr>
      </w:pPr>
      <w:r w:rsidRPr="005A740A">
        <w:rPr>
          <w:sz w:val="22"/>
          <w:szCs w:val="22"/>
          <w:lang w:val="sr-Latn-CS"/>
        </w:rPr>
        <w:t>Polisorbat 20</w:t>
      </w:r>
    </w:p>
    <w:p w14:paraId="4564F447" w14:textId="77777777" w:rsidR="00EF6805" w:rsidRPr="005A740A" w:rsidRDefault="00EF6805" w:rsidP="00EF6805">
      <w:pPr>
        <w:tabs>
          <w:tab w:val="left" w:pos="284"/>
          <w:tab w:val="center" w:pos="4536"/>
          <w:tab w:val="right" w:pos="9072"/>
        </w:tabs>
        <w:rPr>
          <w:sz w:val="22"/>
          <w:szCs w:val="22"/>
          <w:lang w:val="sr-Latn-CS"/>
        </w:rPr>
      </w:pPr>
      <w:r w:rsidRPr="005A740A">
        <w:rPr>
          <w:sz w:val="22"/>
          <w:szCs w:val="22"/>
          <w:lang w:val="sr-Latn-CS"/>
        </w:rPr>
        <w:t>Voda za injekcije</w:t>
      </w:r>
    </w:p>
    <w:p w14:paraId="4CFC1485" w14:textId="77777777" w:rsidR="00EF6805" w:rsidRPr="00786071" w:rsidRDefault="00EF6805" w:rsidP="00480FB1">
      <w:pPr>
        <w:tabs>
          <w:tab w:val="left" w:pos="540"/>
          <w:tab w:val="left" w:pos="569"/>
        </w:tabs>
        <w:rPr>
          <w:bCs/>
          <w:sz w:val="22"/>
          <w:szCs w:val="22"/>
        </w:rPr>
      </w:pPr>
    </w:p>
    <w:p w14:paraId="7DAC0C27" w14:textId="77777777" w:rsidR="0072020E" w:rsidRPr="00786071" w:rsidRDefault="0072020E" w:rsidP="00480FB1">
      <w:pPr>
        <w:tabs>
          <w:tab w:val="left" w:pos="540"/>
          <w:tab w:val="left" w:pos="569"/>
        </w:tabs>
        <w:rPr>
          <w:b/>
          <w:bCs/>
          <w:sz w:val="22"/>
          <w:szCs w:val="22"/>
        </w:rPr>
      </w:pPr>
      <w:r w:rsidRPr="00786071">
        <w:rPr>
          <w:b/>
          <w:bCs/>
          <w:sz w:val="22"/>
          <w:szCs w:val="22"/>
        </w:rPr>
        <w:lastRenderedPageBreak/>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4C5B2C34" w14:textId="77777777" w:rsidR="0072020E" w:rsidRDefault="0072020E" w:rsidP="00480FB1">
      <w:pPr>
        <w:tabs>
          <w:tab w:val="left" w:pos="540"/>
          <w:tab w:val="left" w:pos="569"/>
        </w:tabs>
        <w:rPr>
          <w:bCs/>
          <w:sz w:val="22"/>
          <w:szCs w:val="22"/>
        </w:rPr>
      </w:pPr>
    </w:p>
    <w:p w14:paraId="60BBA06E" w14:textId="77777777" w:rsidR="00EF6805" w:rsidRPr="005A740A" w:rsidRDefault="00EF6805" w:rsidP="00EF6805">
      <w:pPr>
        <w:tabs>
          <w:tab w:val="left" w:pos="284"/>
          <w:tab w:val="center" w:pos="4536"/>
          <w:tab w:val="right" w:pos="9072"/>
        </w:tabs>
        <w:rPr>
          <w:sz w:val="22"/>
          <w:szCs w:val="22"/>
          <w:lang w:val="sr-Latn-CS"/>
        </w:rPr>
      </w:pPr>
      <w:r w:rsidRPr="005A740A">
        <w:rPr>
          <w:sz w:val="22"/>
          <w:szCs w:val="22"/>
          <w:lang w:val="sr-Latn-CS"/>
        </w:rPr>
        <w:t>Nije primenjivo.</w:t>
      </w:r>
    </w:p>
    <w:p w14:paraId="19067820" w14:textId="77777777" w:rsidR="00EF6805" w:rsidRPr="00786071" w:rsidRDefault="00EF6805" w:rsidP="00480FB1">
      <w:pPr>
        <w:tabs>
          <w:tab w:val="left" w:pos="540"/>
          <w:tab w:val="left" w:pos="569"/>
        </w:tabs>
        <w:rPr>
          <w:bCs/>
          <w:sz w:val="22"/>
          <w:szCs w:val="22"/>
        </w:rPr>
      </w:pPr>
    </w:p>
    <w:p w14:paraId="283B2723" w14:textId="77777777"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00593672" w14:textId="77777777" w:rsidR="0072020E" w:rsidRDefault="0072020E" w:rsidP="00480FB1">
      <w:pPr>
        <w:tabs>
          <w:tab w:val="left" w:pos="540"/>
          <w:tab w:val="left" w:pos="569"/>
        </w:tabs>
        <w:rPr>
          <w:bCs/>
          <w:sz w:val="22"/>
          <w:szCs w:val="22"/>
        </w:rPr>
      </w:pPr>
    </w:p>
    <w:p w14:paraId="798A66E3" w14:textId="77777777" w:rsidR="00EF6805" w:rsidRDefault="00EF6805" w:rsidP="00480FB1">
      <w:pPr>
        <w:tabs>
          <w:tab w:val="left" w:pos="540"/>
          <w:tab w:val="left" w:pos="569"/>
        </w:tabs>
        <w:rPr>
          <w:bCs/>
          <w:sz w:val="22"/>
          <w:szCs w:val="22"/>
        </w:rPr>
      </w:pPr>
      <w:r>
        <w:rPr>
          <w:bCs/>
          <w:sz w:val="22"/>
          <w:szCs w:val="22"/>
        </w:rPr>
        <w:t>3 godine</w:t>
      </w:r>
    </w:p>
    <w:p w14:paraId="4D9A0A80" w14:textId="77777777" w:rsidR="00EF6805" w:rsidRPr="00786071" w:rsidRDefault="00EF6805" w:rsidP="00480FB1">
      <w:pPr>
        <w:tabs>
          <w:tab w:val="left" w:pos="540"/>
          <w:tab w:val="left" w:pos="569"/>
        </w:tabs>
        <w:rPr>
          <w:bCs/>
          <w:sz w:val="22"/>
          <w:szCs w:val="22"/>
        </w:rPr>
      </w:pPr>
    </w:p>
    <w:p w14:paraId="2991B847" w14:textId="77777777" w:rsidR="0072020E"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56574539" w14:textId="77777777" w:rsidR="00EF6805" w:rsidRDefault="00EF6805" w:rsidP="00480FB1">
      <w:pPr>
        <w:tabs>
          <w:tab w:val="left" w:pos="540"/>
          <w:tab w:val="left" w:pos="569"/>
        </w:tabs>
        <w:rPr>
          <w:b/>
          <w:bCs/>
          <w:sz w:val="22"/>
          <w:szCs w:val="22"/>
        </w:rPr>
      </w:pPr>
    </w:p>
    <w:p w14:paraId="6D0775D8" w14:textId="77777777" w:rsidR="00EF6805" w:rsidRPr="005A740A" w:rsidRDefault="00EF6805" w:rsidP="00D3709E">
      <w:pPr>
        <w:tabs>
          <w:tab w:val="left" w:pos="284"/>
        </w:tabs>
        <w:jc w:val="both"/>
        <w:rPr>
          <w:sz w:val="22"/>
          <w:szCs w:val="22"/>
          <w:lang w:val="sr-Latn-CS"/>
        </w:rPr>
      </w:pPr>
      <w:r w:rsidRPr="005A740A">
        <w:rPr>
          <w:sz w:val="22"/>
          <w:szCs w:val="22"/>
          <w:lang w:val="sr-Latn-CS"/>
        </w:rPr>
        <w:t>Čuvati u frižideru (2°C – 8°C).</w:t>
      </w:r>
    </w:p>
    <w:p w14:paraId="5240CD03" w14:textId="77777777" w:rsidR="00EF6805" w:rsidRPr="005A740A" w:rsidRDefault="00EF6805" w:rsidP="00D3709E">
      <w:pPr>
        <w:tabs>
          <w:tab w:val="left" w:pos="284"/>
        </w:tabs>
        <w:jc w:val="both"/>
        <w:rPr>
          <w:sz w:val="22"/>
          <w:szCs w:val="22"/>
          <w:lang w:val="sr-Latn-CS"/>
        </w:rPr>
      </w:pPr>
    </w:p>
    <w:p w14:paraId="1B05DB83" w14:textId="77777777" w:rsidR="00EF6805" w:rsidRPr="005A740A" w:rsidRDefault="00EF6805" w:rsidP="00D3709E">
      <w:pPr>
        <w:tabs>
          <w:tab w:val="left" w:pos="284"/>
        </w:tabs>
        <w:jc w:val="both"/>
        <w:rPr>
          <w:sz w:val="22"/>
          <w:szCs w:val="22"/>
          <w:lang w:val="sr-Latn-CS"/>
        </w:rPr>
      </w:pPr>
      <w:r w:rsidRPr="005A740A">
        <w:rPr>
          <w:sz w:val="22"/>
          <w:szCs w:val="22"/>
          <w:lang w:val="sr-Latn-CS"/>
        </w:rPr>
        <w:t>NE ZAMRZAVATI.</w:t>
      </w:r>
    </w:p>
    <w:p w14:paraId="4AC2E7E3" w14:textId="77777777" w:rsidR="00EF6805" w:rsidRPr="005A740A" w:rsidRDefault="00EF6805" w:rsidP="00D3709E">
      <w:pPr>
        <w:tabs>
          <w:tab w:val="left" w:pos="284"/>
        </w:tabs>
        <w:jc w:val="both"/>
        <w:rPr>
          <w:sz w:val="22"/>
          <w:szCs w:val="22"/>
          <w:lang w:val="sr-Latn-CS"/>
        </w:rPr>
      </w:pPr>
    </w:p>
    <w:p w14:paraId="3246CB41" w14:textId="77777777" w:rsidR="00EF6805" w:rsidRPr="005A740A" w:rsidRDefault="00EF6805" w:rsidP="00D3709E">
      <w:pPr>
        <w:tabs>
          <w:tab w:val="left" w:pos="284"/>
        </w:tabs>
        <w:jc w:val="both"/>
        <w:rPr>
          <w:sz w:val="22"/>
          <w:szCs w:val="22"/>
          <w:lang w:val="sr-Latn-CS"/>
        </w:rPr>
      </w:pPr>
      <w:r w:rsidRPr="005A740A">
        <w:rPr>
          <w:sz w:val="22"/>
          <w:szCs w:val="22"/>
          <w:lang w:val="sr-Latn-CS"/>
        </w:rPr>
        <w:t>Lijek AVONEX se može čuvati i na sobnoj temperaturi (između 15 °C i 30 °C) do jedne sedmice.</w:t>
      </w:r>
    </w:p>
    <w:p w14:paraId="60F043A5" w14:textId="77777777" w:rsidR="00EF6805" w:rsidRPr="00EF6805" w:rsidRDefault="00EF6805" w:rsidP="00D3709E">
      <w:pPr>
        <w:tabs>
          <w:tab w:val="left" w:pos="540"/>
          <w:tab w:val="left" w:pos="569"/>
        </w:tabs>
        <w:jc w:val="both"/>
        <w:rPr>
          <w:sz w:val="22"/>
          <w:szCs w:val="22"/>
          <w:lang w:val="sr-Latn-CS"/>
        </w:rPr>
      </w:pPr>
      <w:r w:rsidRPr="005A740A">
        <w:rPr>
          <w:sz w:val="22"/>
          <w:szCs w:val="22"/>
          <w:lang w:val="sr-Latn-CS"/>
        </w:rPr>
        <w:t>Čuvati u originalnom pakovanju (zapečaćenom plastičnom kontejneru) zbog zaštite od svjetlosti (vidjeti dio 6.5.)</w:t>
      </w:r>
    </w:p>
    <w:p w14:paraId="7C5FF245" w14:textId="77777777" w:rsidR="00EC2532" w:rsidRPr="00786071" w:rsidRDefault="00EC2532" w:rsidP="00D3709E">
      <w:pPr>
        <w:tabs>
          <w:tab w:val="left" w:pos="540"/>
          <w:tab w:val="left" w:pos="569"/>
        </w:tabs>
        <w:jc w:val="both"/>
        <w:rPr>
          <w:bCs/>
          <w:sz w:val="22"/>
          <w:szCs w:val="22"/>
        </w:rPr>
      </w:pPr>
    </w:p>
    <w:p w14:paraId="07DE3F66" w14:textId="77777777" w:rsidR="0072020E" w:rsidRPr="00786071" w:rsidRDefault="0072020E" w:rsidP="00D3709E">
      <w:pPr>
        <w:tabs>
          <w:tab w:val="left" w:pos="540"/>
          <w:tab w:val="left" w:pos="569"/>
        </w:tabs>
        <w:jc w:val="both"/>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7432E91E" w14:textId="77777777" w:rsidR="0072020E" w:rsidRDefault="0072020E" w:rsidP="00D3709E">
      <w:pPr>
        <w:tabs>
          <w:tab w:val="left" w:pos="540"/>
          <w:tab w:val="left" w:pos="569"/>
        </w:tabs>
        <w:jc w:val="both"/>
        <w:rPr>
          <w:bCs/>
          <w:sz w:val="22"/>
          <w:szCs w:val="22"/>
        </w:rPr>
      </w:pPr>
    </w:p>
    <w:p w14:paraId="60262586" w14:textId="77777777" w:rsidR="00EF6805" w:rsidRPr="005A740A" w:rsidRDefault="00EF6805" w:rsidP="00D3709E">
      <w:pPr>
        <w:tabs>
          <w:tab w:val="center" w:pos="4536"/>
          <w:tab w:val="right" w:pos="9072"/>
        </w:tabs>
        <w:jc w:val="both"/>
        <w:rPr>
          <w:sz w:val="22"/>
          <w:szCs w:val="22"/>
          <w:lang w:val="sr-Latn-CS"/>
        </w:rPr>
      </w:pPr>
      <w:r w:rsidRPr="005A740A">
        <w:rPr>
          <w:sz w:val="22"/>
          <w:szCs w:val="22"/>
          <w:lang w:val="sr-Latn-CS"/>
        </w:rPr>
        <w:t>1 ml napunjeni injekcioni špric napravljen od stakla (tip I) sa zaštitnom kapicom s evidencijom otvaranja i potisnim čepom (bromobutil) sadrži 0.5 ml rastvora.</w:t>
      </w:r>
    </w:p>
    <w:p w14:paraId="327A68D0" w14:textId="77777777" w:rsidR="00EF6805" w:rsidRPr="005A740A" w:rsidRDefault="00EF6805" w:rsidP="00D3709E">
      <w:pPr>
        <w:tabs>
          <w:tab w:val="center" w:pos="4536"/>
          <w:tab w:val="right" w:pos="9072"/>
        </w:tabs>
        <w:jc w:val="both"/>
        <w:rPr>
          <w:sz w:val="22"/>
          <w:szCs w:val="22"/>
          <w:lang w:val="sr-Latn-CS"/>
        </w:rPr>
      </w:pPr>
    </w:p>
    <w:p w14:paraId="1D13B2F4" w14:textId="77777777" w:rsidR="00EF6805" w:rsidRDefault="00EF6805" w:rsidP="00D3709E">
      <w:pPr>
        <w:tabs>
          <w:tab w:val="left" w:pos="284"/>
          <w:tab w:val="center" w:pos="4536"/>
          <w:tab w:val="right" w:pos="9072"/>
        </w:tabs>
        <w:jc w:val="both"/>
        <w:rPr>
          <w:sz w:val="22"/>
          <w:szCs w:val="22"/>
          <w:lang w:val="sr-Latn-CS"/>
        </w:rPr>
      </w:pPr>
      <w:r w:rsidRPr="005A740A">
        <w:rPr>
          <w:sz w:val="22"/>
          <w:szCs w:val="22"/>
          <w:lang w:val="sr-Latn-CS"/>
        </w:rPr>
        <w:t>Veličina pakovanja: kutija sa četiri napunjena injekciona šprica od 0.5 ml. Svaki špric je upakovan u zapečaćeni plastični kontejner koji sadrži i jednu injekcionu iglu za intramuskularnu injekciju.</w:t>
      </w:r>
    </w:p>
    <w:p w14:paraId="17C507BF" w14:textId="77777777" w:rsidR="00EF6805" w:rsidRPr="00786071" w:rsidRDefault="00EF6805" w:rsidP="00D3709E">
      <w:pPr>
        <w:tabs>
          <w:tab w:val="left" w:pos="540"/>
          <w:tab w:val="left" w:pos="569"/>
        </w:tabs>
        <w:jc w:val="both"/>
        <w:rPr>
          <w:bCs/>
          <w:sz w:val="22"/>
          <w:szCs w:val="22"/>
        </w:rPr>
      </w:pPr>
    </w:p>
    <w:p w14:paraId="7CC6DA56" w14:textId="77777777" w:rsidR="002846DB" w:rsidRDefault="0072020E" w:rsidP="00D3709E">
      <w:pPr>
        <w:tabs>
          <w:tab w:val="left" w:pos="540"/>
          <w:tab w:val="left" w:pos="569"/>
        </w:tabs>
        <w:jc w:val="both"/>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73B31F08" w14:textId="77777777" w:rsidR="00B66A70" w:rsidRDefault="00B66A70" w:rsidP="00D3709E">
      <w:pPr>
        <w:tabs>
          <w:tab w:val="left" w:pos="540"/>
          <w:tab w:val="left" w:pos="569"/>
        </w:tabs>
        <w:jc w:val="both"/>
        <w:rPr>
          <w:b/>
          <w:bCs/>
          <w:sz w:val="22"/>
          <w:szCs w:val="22"/>
        </w:rPr>
      </w:pPr>
    </w:p>
    <w:p w14:paraId="39BA779C" w14:textId="77777777" w:rsidR="00EF6805" w:rsidRPr="005A740A" w:rsidRDefault="00EF6805" w:rsidP="00D3709E">
      <w:pPr>
        <w:tabs>
          <w:tab w:val="center" w:pos="4536"/>
          <w:tab w:val="right" w:pos="9072"/>
        </w:tabs>
        <w:jc w:val="both"/>
        <w:rPr>
          <w:sz w:val="22"/>
          <w:szCs w:val="22"/>
          <w:lang w:val="sr-Latn-CS"/>
        </w:rPr>
      </w:pPr>
      <w:r w:rsidRPr="005A740A">
        <w:rPr>
          <w:sz w:val="22"/>
          <w:szCs w:val="22"/>
          <w:lang w:val="sr-Latn-CS"/>
        </w:rPr>
        <w:t xml:space="preserve">Lijek </w:t>
      </w:r>
      <w:r>
        <w:rPr>
          <w:sz w:val="22"/>
          <w:szCs w:val="22"/>
          <w:lang w:val="sr-Latn-CS"/>
        </w:rPr>
        <w:t>AVONEX</w:t>
      </w:r>
      <w:r w:rsidRPr="005A740A">
        <w:rPr>
          <w:sz w:val="22"/>
          <w:szCs w:val="22"/>
          <w:lang w:val="sr-Latn-CS"/>
        </w:rPr>
        <w:t xml:space="preserve"> je dostupan u obliku već pripremljenog rastvora za injekciju u napunjenom injekcionom špricu.</w:t>
      </w:r>
    </w:p>
    <w:p w14:paraId="418B5F55" w14:textId="77777777" w:rsidR="00EF6805" w:rsidRPr="005A740A" w:rsidRDefault="00EF6805" w:rsidP="00D3709E">
      <w:pPr>
        <w:tabs>
          <w:tab w:val="center" w:pos="4536"/>
          <w:tab w:val="right" w:pos="9072"/>
        </w:tabs>
        <w:jc w:val="both"/>
        <w:rPr>
          <w:sz w:val="22"/>
          <w:szCs w:val="22"/>
          <w:lang w:val="sr-Latn-CS"/>
        </w:rPr>
      </w:pPr>
    </w:p>
    <w:p w14:paraId="1AD51A8B" w14:textId="77777777" w:rsidR="00EF6805" w:rsidRPr="005A740A" w:rsidRDefault="00EF6805" w:rsidP="00D3709E">
      <w:pPr>
        <w:tabs>
          <w:tab w:val="center" w:pos="4536"/>
          <w:tab w:val="right" w:pos="9072"/>
        </w:tabs>
        <w:jc w:val="both"/>
        <w:rPr>
          <w:sz w:val="22"/>
          <w:szCs w:val="22"/>
          <w:lang w:val="sr-Latn-CS"/>
        </w:rPr>
      </w:pPr>
      <w:r w:rsidRPr="005A740A">
        <w:rPr>
          <w:sz w:val="22"/>
          <w:szCs w:val="22"/>
          <w:lang w:val="sr-Latn-CS"/>
        </w:rPr>
        <w:t>Jednom izvađen iz frižidera, lijek AVONEX u napunjenom injekcionom špricu treba ostaviti da se zagrije do sobne temperature (15°C do 30°C) za oko 30 minuta.</w:t>
      </w:r>
    </w:p>
    <w:p w14:paraId="7C681817" w14:textId="77777777" w:rsidR="00EF6805" w:rsidRPr="005A740A" w:rsidRDefault="00EF6805" w:rsidP="00D3709E">
      <w:pPr>
        <w:tabs>
          <w:tab w:val="center" w:pos="4536"/>
          <w:tab w:val="right" w:pos="9072"/>
        </w:tabs>
        <w:jc w:val="both"/>
        <w:rPr>
          <w:sz w:val="22"/>
          <w:szCs w:val="22"/>
          <w:lang w:val="sr-Latn-CS"/>
        </w:rPr>
      </w:pPr>
    </w:p>
    <w:p w14:paraId="40712324" w14:textId="77777777" w:rsidR="00EF6805" w:rsidRPr="005A740A" w:rsidRDefault="00EF6805" w:rsidP="00D3709E">
      <w:pPr>
        <w:tabs>
          <w:tab w:val="center" w:pos="4536"/>
          <w:tab w:val="right" w:pos="9072"/>
        </w:tabs>
        <w:jc w:val="both"/>
        <w:rPr>
          <w:sz w:val="22"/>
          <w:szCs w:val="22"/>
          <w:lang w:val="sr-Latn-CS"/>
        </w:rPr>
      </w:pPr>
      <w:r w:rsidRPr="005A740A">
        <w:rPr>
          <w:sz w:val="22"/>
          <w:szCs w:val="22"/>
          <w:lang w:val="sr-Latn-CS"/>
        </w:rPr>
        <w:t>Ne koristite spoljašnje izvore toplote poput vruće vode za zagrijavanje lijeka AVONEX 30 mikrograma rastvor za injekciju.</w:t>
      </w:r>
    </w:p>
    <w:p w14:paraId="4F5DEE6C" w14:textId="77777777" w:rsidR="00EF6805" w:rsidRDefault="00EF6805" w:rsidP="00D3709E">
      <w:pPr>
        <w:tabs>
          <w:tab w:val="left" w:pos="540"/>
          <w:tab w:val="left" w:pos="569"/>
        </w:tabs>
        <w:jc w:val="both"/>
        <w:rPr>
          <w:bCs/>
          <w:sz w:val="22"/>
          <w:szCs w:val="22"/>
        </w:rPr>
      </w:pPr>
    </w:p>
    <w:p w14:paraId="619096F9" w14:textId="5F43756B" w:rsidR="00EF6805" w:rsidRPr="005A740A" w:rsidRDefault="00EF6805" w:rsidP="00D3709E">
      <w:pPr>
        <w:tabs>
          <w:tab w:val="center" w:pos="4536"/>
          <w:tab w:val="right" w:pos="9072"/>
        </w:tabs>
        <w:jc w:val="both"/>
        <w:rPr>
          <w:sz w:val="22"/>
          <w:szCs w:val="22"/>
          <w:lang w:val="sr-Latn-CS"/>
        </w:rPr>
      </w:pPr>
      <w:r w:rsidRPr="005A740A">
        <w:rPr>
          <w:sz w:val="22"/>
          <w:szCs w:val="22"/>
          <w:lang w:val="sr-Latn-CS"/>
        </w:rPr>
        <w:t>Ako rastvor za injekciju sadrži vidljive čestice ili ako tečnost nije bistra i bezbojna, napunjen injekcion</w:t>
      </w:r>
      <w:r w:rsidR="00B30D96">
        <w:rPr>
          <w:sz w:val="22"/>
          <w:szCs w:val="22"/>
          <w:lang w:val="sr-Latn-CS"/>
        </w:rPr>
        <w:t>i</w:t>
      </w:r>
      <w:r w:rsidRPr="005A740A">
        <w:rPr>
          <w:sz w:val="22"/>
          <w:szCs w:val="22"/>
          <w:lang w:val="sr-Latn-CS"/>
        </w:rPr>
        <w:t xml:space="preserve"> špric se ne smije upotrijebiti. U pakovanju je priložena i injekciona igla za intramuskularnu primjenu. Lijek ne sadrži konzervanse. Svaki napunjeni injekcioni špric lijeka AVONEX sadrži samo jednu dozu. Bacite neiskorišteni sadržaj napunjenog injekcionog šprica.</w:t>
      </w:r>
    </w:p>
    <w:p w14:paraId="02FCC453" w14:textId="77777777" w:rsidR="00EF6805" w:rsidRPr="005A740A" w:rsidRDefault="00EF6805" w:rsidP="00D3709E">
      <w:pPr>
        <w:tabs>
          <w:tab w:val="center" w:pos="4536"/>
          <w:tab w:val="right" w:pos="9072"/>
        </w:tabs>
        <w:jc w:val="both"/>
        <w:rPr>
          <w:sz w:val="22"/>
          <w:szCs w:val="22"/>
          <w:lang w:val="sr-Latn-CS"/>
        </w:rPr>
      </w:pPr>
    </w:p>
    <w:p w14:paraId="36044CEA" w14:textId="77777777" w:rsidR="00EF6805" w:rsidRDefault="00EF6805" w:rsidP="00D3709E">
      <w:pPr>
        <w:tabs>
          <w:tab w:val="left" w:pos="284"/>
          <w:tab w:val="center" w:pos="4536"/>
          <w:tab w:val="right" w:pos="9072"/>
        </w:tabs>
        <w:jc w:val="both"/>
        <w:rPr>
          <w:sz w:val="22"/>
          <w:szCs w:val="22"/>
          <w:lang w:val="sr-Latn-CS"/>
        </w:rPr>
      </w:pPr>
      <w:r w:rsidRPr="005A740A">
        <w:rPr>
          <w:sz w:val="22"/>
          <w:szCs w:val="22"/>
          <w:lang w:val="sr-Latn-CS"/>
        </w:rPr>
        <w:t>Bilo koji neiskorišteni medicinski proizvod ili upotrijebljeni materijal treba baciti u skladu sa lokalnim zahtjevima.</w:t>
      </w:r>
    </w:p>
    <w:p w14:paraId="038E1FB0" w14:textId="77777777" w:rsidR="00EF6805" w:rsidRPr="00EF6805" w:rsidRDefault="00EF6805" w:rsidP="00EF6805">
      <w:pPr>
        <w:tabs>
          <w:tab w:val="left" w:pos="284"/>
          <w:tab w:val="center" w:pos="4536"/>
          <w:tab w:val="right" w:pos="9072"/>
        </w:tabs>
        <w:rPr>
          <w:sz w:val="22"/>
          <w:szCs w:val="22"/>
          <w:lang w:val="sr-Latn-CS"/>
        </w:rPr>
      </w:pPr>
    </w:p>
    <w:p w14:paraId="7E625729" w14:textId="77777777" w:rsidR="0072020E" w:rsidRPr="00786071" w:rsidRDefault="0072020E" w:rsidP="00480FB1">
      <w:pPr>
        <w:tabs>
          <w:tab w:val="left" w:pos="540"/>
          <w:tab w:val="left" w:pos="569"/>
        </w:tabs>
        <w:rPr>
          <w:bCs/>
          <w:sz w:val="22"/>
          <w:szCs w:val="22"/>
        </w:rPr>
      </w:pPr>
    </w:p>
    <w:p w14:paraId="1DB6B0E4" w14:textId="7777777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04ACCB03" w14:textId="77777777" w:rsidR="00C61BE0" w:rsidRDefault="00C61BE0" w:rsidP="00480FB1">
      <w:pPr>
        <w:tabs>
          <w:tab w:val="left" w:pos="540"/>
          <w:tab w:val="left" w:pos="569"/>
        </w:tabs>
        <w:rPr>
          <w:bCs/>
          <w:sz w:val="22"/>
          <w:szCs w:val="22"/>
        </w:rPr>
      </w:pPr>
    </w:p>
    <w:p w14:paraId="73F4DDB2" w14:textId="77777777" w:rsidR="00EF6805" w:rsidRDefault="00EF6805" w:rsidP="00EF6805">
      <w:pPr>
        <w:tabs>
          <w:tab w:val="left" w:pos="540"/>
          <w:tab w:val="left" w:pos="569"/>
        </w:tabs>
        <w:rPr>
          <w:rFonts w:cs="Arial"/>
          <w:sz w:val="22"/>
        </w:rPr>
      </w:pPr>
      <w:r w:rsidRPr="00AA1EF0">
        <w:rPr>
          <w:sz w:val="22"/>
          <w:szCs w:val="22"/>
          <w:lang w:val="sr-Latn-CS"/>
        </w:rPr>
        <w:t xml:space="preserve">Glosarij d.o.o. Podgorica, </w:t>
      </w:r>
      <w:r w:rsidRPr="00AA1EF0">
        <w:rPr>
          <w:rFonts w:cs="Arial"/>
          <w:sz w:val="22"/>
        </w:rPr>
        <w:t>Vojis</w:t>
      </w:r>
      <w:r>
        <w:rPr>
          <w:rFonts w:cs="Arial"/>
          <w:sz w:val="22"/>
        </w:rPr>
        <w:t>l</w:t>
      </w:r>
      <w:r w:rsidRPr="00AA1EF0">
        <w:rPr>
          <w:rFonts w:cs="Arial"/>
          <w:sz w:val="22"/>
        </w:rPr>
        <w:t>avljevića 76, Podgorica</w:t>
      </w:r>
    </w:p>
    <w:p w14:paraId="13E9EAEE" w14:textId="77777777" w:rsidR="00EF6805" w:rsidRDefault="00EF6805" w:rsidP="00480FB1">
      <w:pPr>
        <w:tabs>
          <w:tab w:val="left" w:pos="540"/>
          <w:tab w:val="left" w:pos="569"/>
        </w:tabs>
        <w:rPr>
          <w:bCs/>
          <w:sz w:val="22"/>
          <w:szCs w:val="22"/>
        </w:rPr>
      </w:pPr>
    </w:p>
    <w:p w14:paraId="0FE66A48" w14:textId="77777777" w:rsidR="00C37FD7" w:rsidRPr="00786071" w:rsidRDefault="00C37FD7" w:rsidP="00480FB1">
      <w:pPr>
        <w:tabs>
          <w:tab w:val="left" w:pos="540"/>
          <w:tab w:val="left" w:pos="569"/>
        </w:tabs>
        <w:rPr>
          <w:bCs/>
          <w:sz w:val="22"/>
          <w:szCs w:val="22"/>
        </w:rPr>
      </w:pPr>
    </w:p>
    <w:p w14:paraId="1587FA04" w14:textId="77777777" w:rsidR="0072020E"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1C8F253A" w14:textId="77777777" w:rsidR="00EF6805" w:rsidRDefault="00EF6805" w:rsidP="00480FB1">
      <w:pPr>
        <w:tabs>
          <w:tab w:val="left" w:pos="540"/>
          <w:tab w:val="left" w:pos="569"/>
        </w:tabs>
        <w:rPr>
          <w:b/>
          <w:bCs/>
          <w:sz w:val="22"/>
          <w:szCs w:val="22"/>
        </w:rPr>
      </w:pPr>
    </w:p>
    <w:p w14:paraId="3A93D745" w14:textId="1B1602BA" w:rsidR="0051272B" w:rsidRPr="00786071" w:rsidRDefault="0051272B" w:rsidP="0051272B">
      <w:pPr>
        <w:tabs>
          <w:tab w:val="left" w:pos="540"/>
          <w:tab w:val="left" w:pos="569"/>
        </w:tabs>
        <w:rPr>
          <w:bCs/>
          <w:sz w:val="22"/>
          <w:szCs w:val="22"/>
        </w:rPr>
      </w:pPr>
      <w:r>
        <w:rPr>
          <w:sz w:val="22"/>
          <w:szCs w:val="22"/>
          <w:lang w:val="sr-Latn-CS"/>
        </w:rPr>
        <w:t>2030/14/41 - 1262</w:t>
      </w:r>
    </w:p>
    <w:p w14:paraId="54B64A8E" w14:textId="77777777" w:rsidR="0072020E" w:rsidRPr="00786071" w:rsidRDefault="0072020E" w:rsidP="00480FB1">
      <w:pPr>
        <w:tabs>
          <w:tab w:val="left" w:pos="540"/>
          <w:tab w:val="left" w:pos="569"/>
        </w:tabs>
        <w:rPr>
          <w:bCs/>
          <w:sz w:val="22"/>
          <w:szCs w:val="22"/>
        </w:rPr>
      </w:pPr>
    </w:p>
    <w:p w14:paraId="70571747" w14:textId="77777777" w:rsidR="00F45F77" w:rsidRPr="00786071" w:rsidRDefault="00F45F77" w:rsidP="00480FB1">
      <w:pPr>
        <w:tabs>
          <w:tab w:val="left" w:pos="540"/>
          <w:tab w:val="left" w:pos="569"/>
        </w:tabs>
        <w:rPr>
          <w:bCs/>
          <w:sz w:val="22"/>
          <w:szCs w:val="22"/>
        </w:rPr>
      </w:pPr>
    </w:p>
    <w:p w14:paraId="5824FBFF" w14:textId="77777777" w:rsidR="0072020E" w:rsidRDefault="0072020E" w:rsidP="00480FB1">
      <w:pPr>
        <w:tabs>
          <w:tab w:val="left" w:pos="540"/>
          <w:tab w:val="left" w:pos="569"/>
        </w:tabs>
        <w:rPr>
          <w:b/>
          <w:bCs/>
          <w:sz w:val="22"/>
          <w:szCs w:val="22"/>
        </w:rPr>
      </w:pPr>
      <w:r w:rsidRPr="00786071">
        <w:rPr>
          <w:b/>
          <w:bCs/>
          <w:sz w:val="22"/>
          <w:szCs w:val="22"/>
        </w:rPr>
        <w:lastRenderedPageBreak/>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5B665A55" w14:textId="67342D1F" w:rsidR="00EF544B" w:rsidRDefault="00EF544B" w:rsidP="00480FB1">
      <w:pPr>
        <w:tabs>
          <w:tab w:val="left" w:pos="540"/>
          <w:tab w:val="left" w:pos="569"/>
        </w:tabs>
        <w:rPr>
          <w:rStyle w:val="ui-provider"/>
        </w:rPr>
      </w:pPr>
    </w:p>
    <w:p w14:paraId="00A4505D" w14:textId="77777777" w:rsidR="0051272B" w:rsidRPr="00EF544B" w:rsidRDefault="0051272B" w:rsidP="00480FB1">
      <w:pPr>
        <w:tabs>
          <w:tab w:val="left" w:pos="540"/>
          <w:tab w:val="left" w:pos="569"/>
        </w:tabs>
        <w:rPr>
          <w:b/>
          <w:bCs/>
          <w:sz w:val="22"/>
          <w:szCs w:val="22"/>
        </w:rPr>
      </w:pPr>
      <w:r w:rsidRPr="00EF544B">
        <w:rPr>
          <w:rStyle w:val="ui-provider"/>
          <w:sz w:val="22"/>
          <w:szCs w:val="22"/>
        </w:rPr>
        <w:t>13.01.2014. godine</w:t>
      </w:r>
    </w:p>
    <w:p w14:paraId="3AABBF53" w14:textId="77777777" w:rsidR="0072020E" w:rsidRDefault="0072020E" w:rsidP="00480FB1">
      <w:pPr>
        <w:tabs>
          <w:tab w:val="left" w:pos="540"/>
          <w:tab w:val="left" w:pos="569"/>
        </w:tabs>
        <w:rPr>
          <w:bCs/>
          <w:sz w:val="22"/>
          <w:szCs w:val="22"/>
        </w:rPr>
      </w:pPr>
    </w:p>
    <w:p w14:paraId="69D7AE30" w14:textId="77777777" w:rsidR="00EF544B" w:rsidRPr="00786071" w:rsidRDefault="00EF544B" w:rsidP="00480FB1">
      <w:pPr>
        <w:tabs>
          <w:tab w:val="left" w:pos="540"/>
          <w:tab w:val="left" w:pos="569"/>
        </w:tabs>
        <w:rPr>
          <w:bCs/>
          <w:sz w:val="22"/>
          <w:szCs w:val="22"/>
        </w:rPr>
      </w:pPr>
    </w:p>
    <w:p w14:paraId="12426758" w14:textId="1D22B471" w:rsidR="003F6A59" w:rsidRDefault="0072020E" w:rsidP="00C05DF8">
      <w:pPr>
        <w:tabs>
          <w:tab w:val="left" w:pos="540"/>
          <w:tab w:val="left" w:pos="569"/>
        </w:tabs>
        <w:ind w:left="540" w:hanging="540"/>
        <w:rPr>
          <w:b/>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5771161C" w14:textId="77777777" w:rsidR="00332A0C" w:rsidRPr="00786071" w:rsidRDefault="00332A0C" w:rsidP="00C05DF8">
      <w:pPr>
        <w:tabs>
          <w:tab w:val="left" w:pos="540"/>
          <w:tab w:val="left" w:pos="569"/>
        </w:tabs>
        <w:ind w:left="540" w:hanging="540"/>
        <w:rPr>
          <w:bCs/>
          <w:sz w:val="22"/>
          <w:szCs w:val="22"/>
        </w:rPr>
      </w:pPr>
    </w:p>
    <w:p w14:paraId="188350C5" w14:textId="096353B9" w:rsidR="003F6A59" w:rsidRDefault="00332A0C" w:rsidP="00480FB1">
      <w:pPr>
        <w:tabs>
          <w:tab w:val="left" w:pos="540"/>
          <w:tab w:val="left" w:pos="569"/>
        </w:tabs>
        <w:rPr>
          <w:bCs/>
          <w:sz w:val="22"/>
          <w:szCs w:val="22"/>
        </w:rPr>
      </w:pPr>
      <w:r>
        <w:rPr>
          <w:bCs/>
          <w:sz w:val="22"/>
          <w:szCs w:val="22"/>
        </w:rPr>
        <w:t>Maj, 2025. godi</w:t>
      </w:r>
      <w:bookmarkStart w:id="0" w:name="_GoBack"/>
      <w:bookmarkEnd w:id="0"/>
      <w:r>
        <w:rPr>
          <w:bCs/>
          <w:sz w:val="22"/>
          <w:szCs w:val="22"/>
        </w:rPr>
        <w:t>ne</w:t>
      </w:r>
    </w:p>
    <w:p w14:paraId="00BE5915" w14:textId="77777777" w:rsidR="003F6A59" w:rsidRPr="00965359" w:rsidRDefault="003F6A59" w:rsidP="0052590F">
      <w:pPr>
        <w:tabs>
          <w:tab w:val="left" w:pos="540"/>
          <w:tab w:val="left" w:pos="569"/>
        </w:tabs>
        <w:rPr>
          <w:bCs/>
          <w:sz w:val="22"/>
          <w:szCs w:val="22"/>
        </w:rPr>
      </w:pPr>
    </w:p>
    <w:sectPr w:rsidR="003F6A59" w:rsidRPr="00965359"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32F95" w14:textId="77777777" w:rsidR="004403AA" w:rsidRDefault="004403AA">
      <w:r>
        <w:separator/>
      </w:r>
    </w:p>
  </w:endnote>
  <w:endnote w:type="continuationSeparator" w:id="0">
    <w:p w14:paraId="00609D40" w14:textId="77777777" w:rsidR="004403AA" w:rsidRDefault="0044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EE32" w14:textId="18CA7D88" w:rsidR="009274AD" w:rsidRPr="00B23F69" w:rsidRDefault="009274A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A1D70">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A1D70">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AC433" w14:textId="77777777" w:rsidR="004403AA" w:rsidRDefault="004403AA">
      <w:r>
        <w:separator/>
      </w:r>
    </w:p>
  </w:footnote>
  <w:footnote w:type="continuationSeparator" w:id="0">
    <w:p w14:paraId="2191B837" w14:textId="77777777" w:rsidR="004403AA" w:rsidRDefault="00440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6.15pt;height:13.8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CF64519"/>
    <w:multiLevelType w:val="hybridMultilevel"/>
    <w:tmpl w:val="3DDA2A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B547EE"/>
    <w:multiLevelType w:val="hybridMultilevel"/>
    <w:tmpl w:val="B8C6F246"/>
    <w:lvl w:ilvl="0" w:tplc="FC08897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0"/>
  </w:num>
  <w:num w:numId="5">
    <w:abstractNumId w:val="6"/>
  </w:num>
  <w:num w:numId="6">
    <w:abstractNumId w:val="1"/>
  </w:num>
  <w:num w:numId="7">
    <w:abstractNumId w:val="9"/>
  </w:num>
  <w:num w:numId="8">
    <w:abstractNumId w:val="5"/>
  </w:num>
  <w:num w:numId="9">
    <w:abstractNumId w:val="8"/>
  </w:num>
  <w:num w:numId="10">
    <w:abstractNumId w:val="12"/>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A3F58"/>
    <w:rsid w:val="000D2343"/>
    <w:rsid w:val="000D3449"/>
    <w:rsid w:val="000D425A"/>
    <w:rsid w:val="000D60CC"/>
    <w:rsid w:val="000E2084"/>
    <w:rsid w:val="000E6F55"/>
    <w:rsid w:val="000E7A54"/>
    <w:rsid w:val="000F77FA"/>
    <w:rsid w:val="00107BF7"/>
    <w:rsid w:val="0011059C"/>
    <w:rsid w:val="00111743"/>
    <w:rsid w:val="00126F53"/>
    <w:rsid w:val="0014766D"/>
    <w:rsid w:val="001536CC"/>
    <w:rsid w:val="0016511C"/>
    <w:rsid w:val="001A3F35"/>
    <w:rsid w:val="001A3FBA"/>
    <w:rsid w:val="001A5518"/>
    <w:rsid w:val="001B1C6A"/>
    <w:rsid w:val="001C1263"/>
    <w:rsid w:val="001C1417"/>
    <w:rsid w:val="001D49E2"/>
    <w:rsid w:val="001E390B"/>
    <w:rsid w:val="001F42FB"/>
    <w:rsid w:val="001F719A"/>
    <w:rsid w:val="002013EF"/>
    <w:rsid w:val="002031B3"/>
    <w:rsid w:val="0020334A"/>
    <w:rsid w:val="00215931"/>
    <w:rsid w:val="00224C91"/>
    <w:rsid w:val="002271FF"/>
    <w:rsid w:val="00227BDB"/>
    <w:rsid w:val="00234CB1"/>
    <w:rsid w:val="002352F8"/>
    <w:rsid w:val="002510A5"/>
    <w:rsid w:val="00254A0A"/>
    <w:rsid w:val="00266046"/>
    <w:rsid w:val="0026761E"/>
    <w:rsid w:val="002846DB"/>
    <w:rsid w:val="00284CCD"/>
    <w:rsid w:val="002C6637"/>
    <w:rsid w:val="002E0135"/>
    <w:rsid w:val="002E042A"/>
    <w:rsid w:val="002E37A5"/>
    <w:rsid w:val="00310F03"/>
    <w:rsid w:val="003247D2"/>
    <w:rsid w:val="00332A0C"/>
    <w:rsid w:val="003445C1"/>
    <w:rsid w:val="00345353"/>
    <w:rsid w:val="00355B61"/>
    <w:rsid w:val="00361E60"/>
    <w:rsid w:val="00362686"/>
    <w:rsid w:val="00371510"/>
    <w:rsid w:val="00383E39"/>
    <w:rsid w:val="00385FD2"/>
    <w:rsid w:val="00396DFD"/>
    <w:rsid w:val="003A7059"/>
    <w:rsid w:val="003B7A36"/>
    <w:rsid w:val="003C17AB"/>
    <w:rsid w:val="003C7823"/>
    <w:rsid w:val="003E1DCC"/>
    <w:rsid w:val="003F11A1"/>
    <w:rsid w:val="003F6A59"/>
    <w:rsid w:val="004065C8"/>
    <w:rsid w:val="004109FA"/>
    <w:rsid w:val="00411B3E"/>
    <w:rsid w:val="00411B4B"/>
    <w:rsid w:val="00415BEE"/>
    <w:rsid w:val="00427F85"/>
    <w:rsid w:val="00436F42"/>
    <w:rsid w:val="004378B4"/>
    <w:rsid w:val="004403AA"/>
    <w:rsid w:val="0044570E"/>
    <w:rsid w:val="00451314"/>
    <w:rsid w:val="00452E9D"/>
    <w:rsid w:val="004534C7"/>
    <w:rsid w:val="004671AA"/>
    <w:rsid w:val="00480FB1"/>
    <w:rsid w:val="00483928"/>
    <w:rsid w:val="004C331F"/>
    <w:rsid w:val="004D6103"/>
    <w:rsid w:val="004E3BCE"/>
    <w:rsid w:val="004E70AD"/>
    <w:rsid w:val="004F0E97"/>
    <w:rsid w:val="00501DD1"/>
    <w:rsid w:val="0051272B"/>
    <w:rsid w:val="00515C21"/>
    <w:rsid w:val="0052590F"/>
    <w:rsid w:val="00530BD7"/>
    <w:rsid w:val="005422E9"/>
    <w:rsid w:val="00544612"/>
    <w:rsid w:val="00545CD2"/>
    <w:rsid w:val="005476F3"/>
    <w:rsid w:val="00572527"/>
    <w:rsid w:val="00573E40"/>
    <w:rsid w:val="00576348"/>
    <w:rsid w:val="0058543D"/>
    <w:rsid w:val="005A0B2E"/>
    <w:rsid w:val="005A23D2"/>
    <w:rsid w:val="005A36CB"/>
    <w:rsid w:val="005B49B8"/>
    <w:rsid w:val="005B65C0"/>
    <w:rsid w:val="005C0741"/>
    <w:rsid w:val="005C5EF4"/>
    <w:rsid w:val="005E2E0B"/>
    <w:rsid w:val="005E7A7D"/>
    <w:rsid w:val="00602457"/>
    <w:rsid w:val="00607CF1"/>
    <w:rsid w:val="00644FC3"/>
    <w:rsid w:val="00646BD1"/>
    <w:rsid w:val="006561C2"/>
    <w:rsid w:val="00671CB3"/>
    <w:rsid w:val="00674BAF"/>
    <w:rsid w:val="00682200"/>
    <w:rsid w:val="00692BF6"/>
    <w:rsid w:val="006A1497"/>
    <w:rsid w:val="006B0BD1"/>
    <w:rsid w:val="006B5404"/>
    <w:rsid w:val="006B6E4C"/>
    <w:rsid w:val="006C2591"/>
    <w:rsid w:val="006D20A5"/>
    <w:rsid w:val="006D37BF"/>
    <w:rsid w:val="00702E22"/>
    <w:rsid w:val="0072020E"/>
    <w:rsid w:val="007301C9"/>
    <w:rsid w:val="00765D34"/>
    <w:rsid w:val="00786071"/>
    <w:rsid w:val="007A3ECB"/>
    <w:rsid w:val="007D7BB3"/>
    <w:rsid w:val="007F21B6"/>
    <w:rsid w:val="00824AB9"/>
    <w:rsid w:val="00830EE0"/>
    <w:rsid w:val="00836B35"/>
    <w:rsid w:val="00843BDE"/>
    <w:rsid w:val="0087588C"/>
    <w:rsid w:val="00895AA2"/>
    <w:rsid w:val="0089705C"/>
    <w:rsid w:val="008A1D70"/>
    <w:rsid w:val="008A6D43"/>
    <w:rsid w:val="008B491E"/>
    <w:rsid w:val="008C1A28"/>
    <w:rsid w:val="008C2E98"/>
    <w:rsid w:val="008E49BD"/>
    <w:rsid w:val="008E53E9"/>
    <w:rsid w:val="008E5771"/>
    <w:rsid w:val="008F4ACF"/>
    <w:rsid w:val="00924166"/>
    <w:rsid w:val="009274AD"/>
    <w:rsid w:val="00940B9B"/>
    <w:rsid w:val="0095676E"/>
    <w:rsid w:val="00956983"/>
    <w:rsid w:val="00963CF0"/>
    <w:rsid w:val="00963D7B"/>
    <w:rsid w:val="00964BB1"/>
    <w:rsid w:val="00965359"/>
    <w:rsid w:val="009775D9"/>
    <w:rsid w:val="00982A1E"/>
    <w:rsid w:val="00997175"/>
    <w:rsid w:val="009A1847"/>
    <w:rsid w:val="009B062A"/>
    <w:rsid w:val="009D7887"/>
    <w:rsid w:val="009E7C6F"/>
    <w:rsid w:val="009F1793"/>
    <w:rsid w:val="009F2D23"/>
    <w:rsid w:val="00A01D69"/>
    <w:rsid w:val="00A02335"/>
    <w:rsid w:val="00A02717"/>
    <w:rsid w:val="00A46C9A"/>
    <w:rsid w:val="00A5556F"/>
    <w:rsid w:val="00A619F3"/>
    <w:rsid w:val="00A62A73"/>
    <w:rsid w:val="00A87FF6"/>
    <w:rsid w:val="00AA0A3B"/>
    <w:rsid w:val="00AA2763"/>
    <w:rsid w:val="00AA33B6"/>
    <w:rsid w:val="00AB50CA"/>
    <w:rsid w:val="00AB6D64"/>
    <w:rsid w:val="00AC33CA"/>
    <w:rsid w:val="00AC53CE"/>
    <w:rsid w:val="00AD2193"/>
    <w:rsid w:val="00AF2AC7"/>
    <w:rsid w:val="00AF74CE"/>
    <w:rsid w:val="00B202BF"/>
    <w:rsid w:val="00B208DB"/>
    <w:rsid w:val="00B23F69"/>
    <w:rsid w:val="00B30D96"/>
    <w:rsid w:val="00B60619"/>
    <w:rsid w:val="00B66A70"/>
    <w:rsid w:val="00B67366"/>
    <w:rsid w:val="00B80EE1"/>
    <w:rsid w:val="00B84135"/>
    <w:rsid w:val="00B852F1"/>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537F"/>
    <w:rsid w:val="00C94C0D"/>
    <w:rsid w:val="00C95847"/>
    <w:rsid w:val="00CA1FEB"/>
    <w:rsid w:val="00CB5D7B"/>
    <w:rsid w:val="00CC3E60"/>
    <w:rsid w:val="00CD4F85"/>
    <w:rsid w:val="00CD6F02"/>
    <w:rsid w:val="00CE1DB5"/>
    <w:rsid w:val="00CE246D"/>
    <w:rsid w:val="00CF07A0"/>
    <w:rsid w:val="00CF3E03"/>
    <w:rsid w:val="00D0082A"/>
    <w:rsid w:val="00D12BD2"/>
    <w:rsid w:val="00D21455"/>
    <w:rsid w:val="00D36849"/>
    <w:rsid w:val="00D3709E"/>
    <w:rsid w:val="00D47634"/>
    <w:rsid w:val="00D709B3"/>
    <w:rsid w:val="00D71CB2"/>
    <w:rsid w:val="00D7481A"/>
    <w:rsid w:val="00DA2ED6"/>
    <w:rsid w:val="00DB76B8"/>
    <w:rsid w:val="00DC2EA1"/>
    <w:rsid w:val="00DD65EC"/>
    <w:rsid w:val="00DD6AAF"/>
    <w:rsid w:val="00DE3F5C"/>
    <w:rsid w:val="00DF1D20"/>
    <w:rsid w:val="00E02189"/>
    <w:rsid w:val="00E21324"/>
    <w:rsid w:val="00E246B9"/>
    <w:rsid w:val="00E31FEA"/>
    <w:rsid w:val="00E36E4A"/>
    <w:rsid w:val="00E45169"/>
    <w:rsid w:val="00E47787"/>
    <w:rsid w:val="00E51C30"/>
    <w:rsid w:val="00E64180"/>
    <w:rsid w:val="00E74AEE"/>
    <w:rsid w:val="00E80B75"/>
    <w:rsid w:val="00E868E5"/>
    <w:rsid w:val="00E9237A"/>
    <w:rsid w:val="00E939FA"/>
    <w:rsid w:val="00E97FEA"/>
    <w:rsid w:val="00EA5765"/>
    <w:rsid w:val="00EC19DB"/>
    <w:rsid w:val="00EC2532"/>
    <w:rsid w:val="00EC6C06"/>
    <w:rsid w:val="00ED1CFA"/>
    <w:rsid w:val="00ED7812"/>
    <w:rsid w:val="00EF3210"/>
    <w:rsid w:val="00EF3B86"/>
    <w:rsid w:val="00EF544B"/>
    <w:rsid w:val="00EF6805"/>
    <w:rsid w:val="00F00EF8"/>
    <w:rsid w:val="00F317E9"/>
    <w:rsid w:val="00F33C69"/>
    <w:rsid w:val="00F34554"/>
    <w:rsid w:val="00F40A49"/>
    <w:rsid w:val="00F45F77"/>
    <w:rsid w:val="00F5167F"/>
    <w:rsid w:val="00F52258"/>
    <w:rsid w:val="00F63CA8"/>
    <w:rsid w:val="00F8570A"/>
    <w:rsid w:val="00F91C7B"/>
    <w:rsid w:val="00FB01B6"/>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7FABA"/>
  <w15:docId w15:val="{CB053FB8-DDC0-4ADD-91B9-F27400FF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1FF"/>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link w:val="Header"/>
    <w:rsid w:val="00EF6805"/>
    <w:rPr>
      <w:sz w:val="24"/>
      <w:szCs w:val="24"/>
      <w:lang w:val="en-US" w:eastAsia="en-US"/>
    </w:rPr>
  </w:style>
  <w:style w:type="paragraph" w:customStyle="1" w:styleId="Default">
    <w:name w:val="Default"/>
    <w:rsid w:val="00EF6805"/>
    <w:pPr>
      <w:autoSpaceDE w:val="0"/>
      <w:autoSpaceDN w:val="0"/>
      <w:adjustRightInd w:val="0"/>
    </w:pPr>
    <w:rPr>
      <w:rFonts w:ascii="Microsoft Sans Serif" w:hAnsi="Microsoft Sans Serif" w:cs="Microsoft Sans Serif"/>
      <w:color w:val="000000"/>
      <w:sz w:val="24"/>
      <w:szCs w:val="24"/>
      <w:lang w:val="sl-SI" w:eastAsia="sl-SI"/>
    </w:rPr>
  </w:style>
  <w:style w:type="paragraph" w:customStyle="1" w:styleId="Smalltext120">
    <w:name w:val="Smalltext12:0"/>
    <w:basedOn w:val="Normal"/>
    <w:uiPriority w:val="99"/>
    <w:rsid w:val="00EF6805"/>
    <w:pPr>
      <w:snapToGrid w:val="0"/>
    </w:pPr>
    <w:rPr>
      <w:rFonts w:eastAsia="Calibri"/>
      <w:lang w:val="en-GB" w:eastAsia="de-DE"/>
    </w:rPr>
  </w:style>
  <w:style w:type="paragraph" w:styleId="Revision">
    <w:name w:val="Revision"/>
    <w:hidden/>
    <w:uiPriority w:val="99"/>
    <w:semiHidden/>
    <w:rsid w:val="00385FD2"/>
    <w:rPr>
      <w:sz w:val="24"/>
      <w:szCs w:val="24"/>
    </w:rPr>
  </w:style>
  <w:style w:type="character" w:customStyle="1" w:styleId="ui-provider">
    <w:name w:val="ui-provider"/>
    <w:basedOn w:val="DefaultParagraphFont"/>
    <w:rsid w:val="00512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2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767</Value>
      <Value>32</Value>
      <Value>17</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5EFCB-C797-48F5-8D24-2003F4E7C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5A5E3-2A7D-4D64-BA18-7C5D5D2D0D55}">
  <ds:schemaRefs>
    <ds:schemaRef ds:uri="http://schemas.microsoft.com/office/2006/metadata/properties"/>
    <ds:schemaRef ds:uri="http://schemas.microsoft.com/office/infopath/2007/PartnerControls"/>
    <ds:schemaRef ds:uri="b952dd15-0cc3-46e3-907b-6b87426d7430"/>
  </ds:schemaRefs>
</ds:datastoreItem>
</file>

<file path=customXml/itemProps3.xml><?xml version="1.0" encoding="utf-8"?>
<ds:datastoreItem xmlns:ds="http://schemas.openxmlformats.org/officeDocument/2006/customXml" ds:itemID="{C81E9052-FA8E-4ECE-A847-811DEF60732F}">
  <ds:schemaRefs>
    <ds:schemaRef ds:uri="http://schemas.microsoft.com/sharepoint/v3/contenttype/forms"/>
  </ds:schemaRefs>
</ds:datastoreItem>
</file>

<file path=customXml/itemProps4.xml><?xml version="1.0" encoding="utf-8"?>
<ds:datastoreItem xmlns:ds="http://schemas.openxmlformats.org/officeDocument/2006/customXml" ds:itemID="{04081103-E5A2-4C3E-957C-35B3F972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4938</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33025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10</cp:revision>
  <cp:lastPrinted>2022-06-23T13:11:00Z</cp:lastPrinted>
  <dcterms:created xsi:type="dcterms:W3CDTF">2025-05-19T08:04:00Z</dcterms:created>
  <dcterms:modified xsi:type="dcterms:W3CDTF">2025-05-19T08:39:00Z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989daef41b9495a8fbce00462fa7651">
    <vt:lpwstr>ME|fa345ccf-a7b0-42cc-b1e9-ef101afddef7</vt:lpwstr>
  </property>
  <property fmtid="{D5CDD505-2E9C-101B-9397-08002B2CF9AE}" pid="4" name="Market">
    <vt:lpwstr>32;#ME|fa345ccf-a7b0-42cc-b1e9-ef101afddef7</vt:lpwstr>
  </property>
  <property fmtid="{D5CDD505-2E9C-101B-9397-08002B2CF9AE}" pid="5" name="Product">
    <vt:lpwstr>17;#Avonex|5b7e741e-0921-4e3d-a50d-dd268f466bd2</vt:lpwstr>
  </property>
  <property fmtid="{D5CDD505-2E9C-101B-9397-08002B2CF9AE}" pid="6" name="ContentTypeId">
    <vt:lpwstr>0x010100F194190549BEED489CAEEBE10B944C4E</vt:lpwstr>
  </property>
  <property fmtid="{D5CDD505-2E9C-101B-9397-08002B2CF9AE}" pid="7" name="nfa878bc9a6d4a39b45b19238f9d72ba">
    <vt:lpwstr>2021|bdef83c5-aafc-43a4-ab85-d37a464e3076</vt:lpwstr>
  </property>
  <property fmtid="{D5CDD505-2E9C-101B-9397-08002B2CF9AE}" pid="8" name="k10395a1545d42c9a28bb8ddc503f409">
    <vt:lpwstr>Avonex|5b7e741e-0921-4e3d-a50d-dd268f466bd2</vt:lpwstr>
  </property>
  <property fmtid="{D5CDD505-2E9C-101B-9397-08002B2CF9AE}" pid="9" name="Year">
    <vt:lpwstr>767;#2021|bdef83c5-aafc-43a4-ab85-d37a464e3076</vt:lpwstr>
  </property>
  <property fmtid="{D5CDD505-2E9C-101B-9397-08002B2CF9AE}" pid="10" name="Doc type Approved">
    <vt:lpwstr/>
  </property>
  <property fmtid="{D5CDD505-2E9C-101B-9397-08002B2CF9AE}" pid="11" name="_docset_NoMedatataSyncRequired">
    <vt:lpwstr>True</vt:lpwstr>
  </property>
</Properties>
</file>