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10E" w:rsidRPr="006E21C7" w:rsidRDefault="0002110E" w:rsidP="00356F64">
      <w:pPr>
        <w:tabs>
          <w:tab w:val="left" w:pos="540"/>
          <w:tab w:val="left" w:pos="569"/>
        </w:tabs>
        <w:rPr>
          <w:b/>
          <w:bCs/>
          <w:sz w:val="22"/>
          <w:szCs w:val="22"/>
        </w:rPr>
      </w:pPr>
    </w:p>
    <w:p w:rsidR="000046A0" w:rsidRPr="006E21C7" w:rsidRDefault="000046A0" w:rsidP="000046A0">
      <w:pPr>
        <w:jc w:val="center"/>
        <w:rPr>
          <w:b/>
          <w:bCs/>
          <w:iCs/>
          <w:sz w:val="22"/>
          <w:szCs w:val="22"/>
          <w:u w:val="single"/>
        </w:rPr>
      </w:pPr>
      <w:r w:rsidRPr="006E21C7">
        <w:rPr>
          <w:b/>
          <w:bCs/>
          <w:iCs/>
          <w:sz w:val="22"/>
          <w:szCs w:val="22"/>
          <w:u w:val="single"/>
        </w:rPr>
        <w:t>SAŽETAK KARAKTERISTIKA LIJEKA</w:t>
      </w:r>
    </w:p>
    <w:p w:rsidR="000046A0" w:rsidRPr="006E21C7" w:rsidRDefault="000046A0" w:rsidP="003C3404">
      <w:pPr>
        <w:tabs>
          <w:tab w:val="left" w:pos="540"/>
          <w:tab w:val="left" w:pos="569"/>
        </w:tabs>
        <w:jc w:val="both"/>
        <w:rPr>
          <w:b/>
          <w:bCs/>
          <w:sz w:val="22"/>
          <w:szCs w:val="22"/>
        </w:rPr>
      </w:pPr>
    </w:p>
    <w:p w:rsidR="000046A0" w:rsidRPr="006E21C7" w:rsidRDefault="000046A0" w:rsidP="003C3404">
      <w:pPr>
        <w:tabs>
          <w:tab w:val="left" w:pos="540"/>
          <w:tab w:val="left" w:pos="569"/>
        </w:tabs>
        <w:jc w:val="both"/>
        <w:rPr>
          <w:b/>
          <w:bCs/>
          <w:sz w:val="22"/>
          <w:szCs w:val="22"/>
        </w:rPr>
      </w:pPr>
    </w:p>
    <w:p w:rsidR="00356F64" w:rsidRPr="006E21C7" w:rsidRDefault="003C3404" w:rsidP="003C3404">
      <w:pPr>
        <w:tabs>
          <w:tab w:val="left" w:pos="540"/>
          <w:tab w:val="left" w:pos="569"/>
        </w:tabs>
        <w:jc w:val="both"/>
        <w:rPr>
          <w:b/>
          <w:bCs/>
          <w:sz w:val="22"/>
          <w:szCs w:val="22"/>
        </w:rPr>
      </w:pPr>
      <w:r w:rsidRPr="006E21C7">
        <w:rPr>
          <w:b/>
          <w:bCs/>
          <w:sz w:val="22"/>
          <w:szCs w:val="22"/>
        </w:rPr>
        <w:t xml:space="preserve">1. </w:t>
      </w:r>
      <w:r w:rsidR="00356F64" w:rsidRPr="006E21C7">
        <w:rPr>
          <w:b/>
          <w:bCs/>
          <w:sz w:val="22"/>
          <w:szCs w:val="22"/>
        </w:rPr>
        <w:t>NAZIV LIJEKA</w:t>
      </w:r>
    </w:p>
    <w:p w:rsidR="00356F64" w:rsidRPr="006E21C7" w:rsidRDefault="00356F64" w:rsidP="0002110E">
      <w:pPr>
        <w:tabs>
          <w:tab w:val="left" w:pos="540"/>
          <w:tab w:val="left" w:pos="569"/>
        </w:tabs>
        <w:jc w:val="both"/>
        <w:rPr>
          <w:b/>
          <w:bCs/>
          <w:sz w:val="22"/>
          <w:szCs w:val="22"/>
        </w:rPr>
      </w:pPr>
    </w:p>
    <w:p w:rsidR="00356F64" w:rsidRPr="006E21C7" w:rsidRDefault="00013230" w:rsidP="0002110E">
      <w:pPr>
        <w:jc w:val="both"/>
        <w:rPr>
          <w:sz w:val="22"/>
          <w:szCs w:val="22"/>
        </w:rPr>
      </w:pPr>
      <w:r w:rsidRPr="006E21C7">
        <w:rPr>
          <w:sz w:val="22"/>
          <w:szCs w:val="22"/>
        </w:rPr>
        <w:t>Nibel</w:t>
      </w:r>
      <w:r w:rsidR="00356F64" w:rsidRPr="006E21C7">
        <w:rPr>
          <w:sz w:val="22"/>
          <w:szCs w:val="22"/>
        </w:rPr>
        <w:t>, 5 mg, tableta</w:t>
      </w:r>
    </w:p>
    <w:p w:rsidR="00EB01CD" w:rsidRPr="006E21C7" w:rsidRDefault="00EB01CD" w:rsidP="0002110E">
      <w:pPr>
        <w:jc w:val="both"/>
        <w:rPr>
          <w:sz w:val="22"/>
          <w:szCs w:val="22"/>
        </w:rPr>
      </w:pPr>
    </w:p>
    <w:p w:rsidR="00356F64" w:rsidRPr="006E21C7" w:rsidRDefault="00356F64" w:rsidP="0002110E">
      <w:pPr>
        <w:jc w:val="both"/>
        <w:rPr>
          <w:sz w:val="22"/>
          <w:szCs w:val="22"/>
        </w:rPr>
      </w:pPr>
      <w:r w:rsidRPr="006E21C7">
        <w:rPr>
          <w:sz w:val="22"/>
          <w:szCs w:val="22"/>
        </w:rPr>
        <w:t xml:space="preserve">INN: </w:t>
      </w:r>
      <w:r w:rsidR="00A32ACD" w:rsidRPr="006E21C7">
        <w:rPr>
          <w:sz w:val="22"/>
          <w:szCs w:val="22"/>
        </w:rPr>
        <w:t>nebivolol</w:t>
      </w:r>
    </w:p>
    <w:p w:rsidR="00356F64" w:rsidRPr="006E21C7" w:rsidRDefault="00356F64" w:rsidP="0002110E">
      <w:pPr>
        <w:jc w:val="both"/>
        <w:rPr>
          <w:bCs/>
          <w:sz w:val="22"/>
          <w:szCs w:val="22"/>
        </w:rPr>
      </w:pPr>
    </w:p>
    <w:p w:rsidR="00EB01CD" w:rsidRPr="006E21C7" w:rsidRDefault="00EB01CD" w:rsidP="0002110E">
      <w:pPr>
        <w:jc w:val="both"/>
        <w:rPr>
          <w:bCs/>
          <w:sz w:val="22"/>
          <w:szCs w:val="22"/>
        </w:rPr>
      </w:pPr>
    </w:p>
    <w:p w:rsidR="00356F64" w:rsidRPr="006E21C7" w:rsidRDefault="003C3404" w:rsidP="0002110E">
      <w:pPr>
        <w:tabs>
          <w:tab w:val="left" w:pos="540"/>
          <w:tab w:val="left" w:pos="569"/>
        </w:tabs>
        <w:jc w:val="both"/>
        <w:rPr>
          <w:b/>
          <w:bCs/>
          <w:sz w:val="22"/>
          <w:szCs w:val="22"/>
        </w:rPr>
      </w:pPr>
      <w:r w:rsidRPr="006E21C7">
        <w:rPr>
          <w:b/>
          <w:bCs/>
          <w:sz w:val="22"/>
          <w:szCs w:val="22"/>
        </w:rPr>
        <w:t xml:space="preserve">2. </w:t>
      </w:r>
      <w:r w:rsidR="00356F64" w:rsidRPr="006E21C7">
        <w:rPr>
          <w:b/>
          <w:bCs/>
          <w:sz w:val="22"/>
          <w:szCs w:val="22"/>
        </w:rPr>
        <w:t>KVALITATIVNI I KVANTITATIVNI SASTAV</w:t>
      </w:r>
    </w:p>
    <w:p w:rsidR="00356F64" w:rsidRPr="006E21C7" w:rsidRDefault="00356F64" w:rsidP="0002110E">
      <w:pPr>
        <w:tabs>
          <w:tab w:val="left" w:pos="540"/>
          <w:tab w:val="left" w:pos="569"/>
        </w:tabs>
        <w:jc w:val="both"/>
        <w:rPr>
          <w:b/>
          <w:bCs/>
          <w:sz w:val="22"/>
          <w:szCs w:val="22"/>
        </w:rPr>
      </w:pPr>
    </w:p>
    <w:p w:rsidR="008D4268" w:rsidRPr="006E21C7" w:rsidRDefault="005D23ED" w:rsidP="0002110E">
      <w:pPr>
        <w:tabs>
          <w:tab w:val="left" w:pos="284"/>
        </w:tabs>
        <w:jc w:val="both"/>
        <w:rPr>
          <w:noProof w:val="0"/>
          <w:sz w:val="22"/>
          <w:szCs w:val="22"/>
        </w:rPr>
      </w:pPr>
      <w:r w:rsidRPr="006E21C7">
        <w:rPr>
          <w:noProof w:val="0"/>
          <w:sz w:val="22"/>
          <w:szCs w:val="22"/>
        </w:rPr>
        <w:t xml:space="preserve">Jedna tableta sadrži 5 mg nebivolola u obliku nebivolol </w:t>
      </w:r>
      <w:r w:rsidR="00DA59DD" w:rsidRPr="006E21C7">
        <w:rPr>
          <w:noProof w:val="0"/>
          <w:sz w:val="22"/>
          <w:szCs w:val="22"/>
        </w:rPr>
        <w:t>hidro</w:t>
      </w:r>
      <w:r w:rsidRPr="006E21C7">
        <w:rPr>
          <w:noProof w:val="0"/>
          <w:sz w:val="22"/>
          <w:szCs w:val="22"/>
        </w:rPr>
        <w:t>hlorida.</w:t>
      </w:r>
    </w:p>
    <w:p w:rsidR="008E0B58" w:rsidRPr="006E21C7" w:rsidRDefault="008E0B58" w:rsidP="0002110E">
      <w:pPr>
        <w:tabs>
          <w:tab w:val="left" w:pos="284"/>
        </w:tabs>
        <w:jc w:val="both"/>
        <w:rPr>
          <w:noProof w:val="0"/>
          <w:sz w:val="22"/>
          <w:szCs w:val="22"/>
        </w:rPr>
      </w:pPr>
    </w:p>
    <w:p w:rsidR="00D9700C" w:rsidRPr="006E21C7" w:rsidRDefault="00D9700C" w:rsidP="0002110E">
      <w:pPr>
        <w:tabs>
          <w:tab w:val="left" w:pos="284"/>
        </w:tabs>
        <w:jc w:val="both"/>
        <w:rPr>
          <w:noProof w:val="0"/>
          <w:sz w:val="22"/>
          <w:szCs w:val="22"/>
        </w:rPr>
      </w:pPr>
      <w:r w:rsidRPr="006E21C7">
        <w:rPr>
          <w:noProof w:val="0"/>
          <w:sz w:val="22"/>
          <w:szCs w:val="22"/>
        </w:rPr>
        <w:t>Pomoćne</w:t>
      </w:r>
      <w:r w:rsidR="00B23AA7" w:rsidRPr="006E21C7">
        <w:rPr>
          <w:noProof w:val="0"/>
          <w:sz w:val="22"/>
          <w:szCs w:val="22"/>
        </w:rPr>
        <w:t xml:space="preserve"> </w:t>
      </w:r>
      <w:r w:rsidRPr="006E21C7">
        <w:rPr>
          <w:noProof w:val="0"/>
          <w:sz w:val="22"/>
          <w:szCs w:val="22"/>
        </w:rPr>
        <w:t>supstance</w:t>
      </w:r>
      <w:r w:rsidR="00B23AA7" w:rsidRPr="006E21C7">
        <w:rPr>
          <w:noProof w:val="0"/>
          <w:sz w:val="22"/>
          <w:szCs w:val="22"/>
        </w:rPr>
        <w:t xml:space="preserve"> </w:t>
      </w:r>
      <w:r w:rsidRPr="006E21C7">
        <w:rPr>
          <w:noProof w:val="0"/>
          <w:sz w:val="22"/>
          <w:szCs w:val="22"/>
        </w:rPr>
        <w:t>sa potvrđenim dejstvom:</w:t>
      </w:r>
    </w:p>
    <w:p w:rsidR="008D4268" w:rsidRPr="006E21C7" w:rsidRDefault="00D9700C" w:rsidP="0002110E">
      <w:pPr>
        <w:tabs>
          <w:tab w:val="left" w:pos="284"/>
        </w:tabs>
        <w:jc w:val="both"/>
        <w:rPr>
          <w:noProof w:val="0"/>
          <w:sz w:val="22"/>
          <w:szCs w:val="22"/>
        </w:rPr>
      </w:pPr>
      <w:r w:rsidRPr="006E21C7">
        <w:rPr>
          <w:noProof w:val="0"/>
          <w:sz w:val="22"/>
          <w:szCs w:val="22"/>
        </w:rPr>
        <w:t>Jedna tableta sadrži 85,96 mg</w:t>
      </w:r>
      <w:r w:rsidR="00B23AA7" w:rsidRPr="006E21C7">
        <w:rPr>
          <w:noProof w:val="0"/>
          <w:sz w:val="22"/>
          <w:szCs w:val="22"/>
        </w:rPr>
        <w:t xml:space="preserve"> </w:t>
      </w:r>
      <w:r w:rsidR="008D4268" w:rsidRPr="006E21C7">
        <w:rPr>
          <w:noProof w:val="0"/>
          <w:sz w:val="22"/>
          <w:szCs w:val="22"/>
        </w:rPr>
        <w:t>laktoz</w:t>
      </w:r>
      <w:r w:rsidRPr="006E21C7">
        <w:rPr>
          <w:noProof w:val="0"/>
          <w:sz w:val="22"/>
          <w:szCs w:val="22"/>
        </w:rPr>
        <w:t>a</w:t>
      </w:r>
      <w:r w:rsidR="008D4268" w:rsidRPr="006E21C7">
        <w:rPr>
          <w:noProof w:val="0"/>
          <w:sz w:val="22"/>
          <w:szCs w:val="22"/>
        </w:rPr>
        <w:t xml:space="preserve"> monohidrat</w:t>
      </w:r>
      <w:r w:rsidRPr="006E21C7">
        <w:rPr>
          <w:noProof w:val="0"/>
          <w:sz w:val="22"/>
          <w:szCs w:val="22"/>
        </w:rPr>
        <w:t>a</w:t>
      </w:r>
      <w:r w:rsidR="008D4268" w:rsidRPr="006E21C7">
        <w:rPr>
          <w:noProof w:val="0"/>
          <w:sz w:val="22"/>
          <w:szCs w:val="22"/>
        </w:rPr>
        <w:t>.</w:t>
      </w:r>
    </w:p>
    <w:p w:rsidR="005D23ED" w:rsidRPr="006E21C7" w:rsidRDefault="005D23ED" w:rsidP="0002110E">
      <w:pPr>
        <w:jc w:val="both"/>
        <w:rPr>
          <w:sz w:val="22"/>
          <w:szCs w:val="22"/>
        </w:rPr>
      </w:pPr>
    </w:p>
    <w:p w:rsidR="00356F64" w:rsidRPr="006E21C7" w:rsidRDefault="00356F64" w:rsidP="0002110E">
      <w:pPr>
        <w:jc w:val="both"/>
        <w:rPr>
          <w:sz w:val="22"/>
          <w:szCs w:val="22"/>
        </w:rPr>
      </w:pPr>
      <w:r w:rsidRPr="006E21C7">
        <w:rPr>
          <w:bCs/>
          <w:sz w:val="22"/>
          <w:szCs w:val="22"/>
        </w:rPr>
        <w:t xml:space="preserve">Za </w:t>
      </w:r>
      <w:r w:rsidR="00DA59DD" w:rsidRPr="006E21C7">
        <w:rPr>
          <w:bCs/>
          <w:sz w:val="22"/>
          <w:szCs w:val="22"/>
        </w:rPr>
        <w:t xml:space="preserve">spisak </w:t>
      </w:r>
      <w:r w:rsidRPr="006E21C7">
        <w:rPr>
          <w:bCs/>
          <w:sz w:val="22"/>
          <w:szCs w:val="22"/>
        </w:rPr>
        <w:t xml:space="preserve">svih </w:t>
      </w:r>
      <w:r w:rsidR="000046A0" w:rsidRPr="006E21C7">
        <w:rPr>
          <w:bCs/>
          <w:sz w:val="22"/>
          <w:szCs w:val="22"/>
        </w:rPr>
        <w:t>ekscipijenasa</w:t>
      </w:r>
      <w:r w:rsidRPr="006E21C7">
        <w:rPr>
          <w:bCs/>
          <w:sz w:val="22"/>
          <w:szCs w:val="22"/>
        </w:rPr>
        <w:t xml:space="preserve">, </w:t>
      </w:r>
      <w:r w:rsidR="000046A0" w:rsidRPr="006E21C7">
        <w:rPr>
          <w:bCs/>
          <w:sz w:val="22"/>
          <w:szCs w:val="22"/>
        </w:rPr>
        <w:t>pogledati dio</w:t>
      </w:r>
      <w:r w:rsidR="00B23AA7" w:rsidRPr="006E21C7">
        <w:rPr>
          <w:bCs/>
          <w:sz w:val="22"/>
          <w:szCs w:val="22"/>
        </w:rPr>
        <w:t xml:space="preserve"> </w:t>
      </w:r>
      <w:r w:rsidRPr="006E21C7">
        <w:rPr>
          <w:bCs/>
          <w:sz w:val="22"/>
          <w:szCs w:val="22"/>
        </w:rPr>
        <w:t>6.1.</w:t>
      </w:r>
    </w:p>
    <w:p w:rsidR="00356F64" w:rsidRPr="006E21C7" w:rsidRDefault="00356F64" w:rsidP="0002110E">
      <w:pPr>
        <w:jc w:val="both"/>
        <w:rPr>
          <w:sz w:val="22"/>
          <w:szCs w:val="22"/>
        </w:rPr>
      </w:pPr>
    </w:p>
    <w:p w:rsidR="006E21C7" w:rsidRDefault="006E21C7" w:rsidP="0002110E">
      <w:pPr>
        <w:tabs>
          <w:tab w:val="left" w:pos="540"/>
          <w:tab w:val="left" w:pos="569"/>
        </w:tabs>
        <w:jc w:val="both"/>
        <w:rPr>
          <w:b/>
          <w:bCs/>
          <w:sz w:val="22"/>
          <w:szCs w:val="22"/>
        </w:rPr>
      </w:pPr>
    </w:p>
    <w:p w:rsidR="00356F64" w:rsidRPr="006E21C7" w:rsidRDefault="003C3404" w:rsidP="0002110E">
      <w:pPr>
        <w:tabs>
          <w:tab w:val="left" w:pos="540"/>
          <w:tab w:val="left" w:pos="569"/>
        </w:tabs>
        <w:jc w:val="both"/>
        <w:rPr>
          <w:b/>
          <w:bCs/>
          <w:sz w:val="22"/>
          <w:szCs w:val="22"/>
        </w:rPr>
      </w:pPr>
      <w:r w:rsidRPr="006E21C7">
        <w:rPr>
          <w:b/>
          <w:bCs/>
          <w:sz w:val="22"/>
          <w:szCs w:val="22"/>
        </w:rPr>
        <w:t xml:space="preserve">3. </w:t>
      </w:r>
      <w:r w:rsidR="00356F64" w:rsidRPr="006E21C7">
        <w:rPr>
          <w:b/>
          <w:bCs/>
          <w:sz w:val="22"/>
          <w:szCs w:val="22"/>
        </w:rPr>
        <w:t>FARMACEUTSKI OBLIK</w:t>
      </w:r>
    </w:p>
    <w:p w:rsidR="00356F64" w:rsidRPr="006E21C7" w:rsidRDefault="00356F64" w:rsidP="0002110E">
      <w:pPr>
        <w:tabs>
          <w:tab w:val="left" w:pos="540"/>
          <w:tab w:val="left" w:pos="569"/>
        </w:tabs>
        <w:jc w:val="both"/>
        <w:rPr>
          <w:b/>
          <w:bCs/>
          <w:sz w:val="22"/>
          <w:szCs w:val="22"/>
        </w:rPr>
      </w:pPr>
    </w:p>
    <w:p w:rsidR="00356F64" w:rsidRPr="006E21C7" w:rsidRDefault="0091335E" w:rsidP="0002110E">
      <w:pPr>
        <w:jc w:val="both"/>
        <w:rPr>
          <w:sz w:val="22"/>
          <w:szCs w:val="22"/>
        </w:rPr>
      </w:pPr>
      <w:r w:rsidRPr="006E21C7">
        <w:rPr>
          <w:sz w:val="22"/>
          <w:szCs w:val="22"/>
        </w:rPr>
        <w:t>Tableta</w:t>
      </w:r>
      <w:r w:rsidR="00356F64" w:rsidRPr="006E21C7">
        <w:rPr>
          <w:sz w:val="22"/>
          <w:szCs w:val="22"/>
        </w:rPr>
        <w:t>.</w:t>
      </w:r>
    </w:p>
    <w:p w:rsidR="00356F64" w:rsidRPr="006E21C7" w:rsidRDefault="00261D4B" w:rsidP="0002110E">
      <w:pPr>
        <w:jc w:val="both"/>
        <w:rPr>
          <w:sz w:val="22"/>
          <w:szCs w:val="22"/>
        </w:rPr>
      </w:pPr>
      <w:r w:rsidRPr="006E21C7">
        <w:rPr>
          <w:sz w:val="22"/>
          <w:szCs w:val="22"/>
        </w:rPr>
        <w:t>Nibel tablete su bijele boje, o</w:t>
      </w:r>
      <w:r w:rsidR="00356F64" w:rsidRPr="006E21C7">
        <w:rPr>
          <w:sz w:val="22"/>
          <w:szCs w:val="22"/>
        </w:rPr>
        <w:t xml:space="preserve">krugle, </w:t>
      </w:r>
      <w:r w:rsidR="0091335E" w:rsidRPr="006E21C7">
        <w:rPr>
          <w:sz w:val="22"/>
          <w:szCs w:val="22"/>
        </w:rPr>
        <w:t xml:space="preserve">bikonveksne </w:t>
      </w:r>
      <w:r w:rsidR="00356F64" w:rsidRPr="006E21C7">
        <w:rPr>
          <w:sz w:val="22"/>
          <w:szCs w:val="22"/>
        </w:rPr>
        <w:t xml:space="preserve">sa </w:t>
      </w:r>
      <w:r w:rsidR="008E480B" w:rsidRPr="006E21C7">
        <w:rPr>
          <w:sz w:val="22"/>
          <w:szCs w:val="22"/>
        </w:rPr>
        <w:t>dvije utisnute unakrsne podione crte</w:t>
      </w:r>
      <w:r w:rsidR="00356F64" w:rsidRPr="006E21C7">
        <w:rPr>
          <w:sz w:val="22"/>
          <w:szCs w:val="22"/>
        </w:rPr>
        <w:t xml:space="preserve"> na jednoj strani</w:t>
      </w:r>
      <w:r w:rsidRPr="006E21C7">
        <w:rPr>
          <w:sz w:val="22"/>
          <w:szCs w:val="22"/>
        </w:rPr>
        <w:t xml:space="preserve"> tablete, prečnika otprilike 9 mm</w:t>
      </w:r>
      <w:r w:rsidR="00356F64" w:rsidRPr="006E21C7">
        <w:rPr>
          <w:sz w:val="22"/>
          <w:szCs w:val="22"/>
        </w:rPr>
        <w:t>.</w:t>
      </w:r>
    </w:p>
    <w:p w:rsidR="00356F64" w:rsidRPr="006E21C7" w:rsidRDefault="00356F64" w:rsidP="0002110E">
      <w:pPr>
        <w:jc w:val="both"/>
        <w:rPr>
          <w:sz w:val="22"/>
          <w:szCs w:val="22"/>
        </w:rPr>
      </w:pPr>
      <w:r w:rsidRPr="006E21C7">
        <w:rPr>
          <w:sz w:val="22"/>
          <w:szCs w:val="22"/>
        </w:rPr>
        <w:t>Tableta se može podijeliti na četiri jednak</w:t>
      </w:r>
      <w:r w:rsidR="00261D4B" w:rsidRPr="006E21C7">
        <w:rPr>
          <w:sz w:val="22"/>
          <w:szCs w:val="22"/>
        </w:rPr>
        <w:t>e doze od</w:t>
      </w:r>
      <w:r w:rsidR="00DA59DD" w:rsidRPr="006E21C7">
        <w:rPr>
          <w:sz w:val="22"/>
          <w:szCs w:val="22"/>
        </w:rPr>
        <w:t xml:space="preserve"> po</w:t>
      </w:r>
      <w:r w:rsidR="00261D4B" w:rsidRPr="006E21C7">
        <w:rPr>
          <w:sz w:val="22"/>
          <w:szCs w:val="22"/>
        </w:rPr>
        <w:t xml:space="preserve"> 1,25</w:t>
      </w:r>
      <w:r w:rsidR="008E0B58" w:rsidRPr="006E21C7">
        <w:rPr>
          <w:sz w:val="22"/>
          <w:szCs w:val="22"/>
        </w:rPr>
        <w:t xml:space="preserve"> </w:t>
      </w:r>
      <w:r w:rsidR="00261D4B" w:rsidRPr="006E21C7">
        <w:rPr>
          <w:sz w:val="22"/>
          <w:szCs w:val="22"/>
        </w:rPr>
        <w:t>mg.</w:t>
      </w:r>
      <w:r w:rsidRPr="006E21C7">
        <w:rPr>
          <w:sz w:val="22"/>
          <w:szCs w:val="22"/>
        </w:rPr>
        <w:t xml:space="preserve"> </w:t>
      </w:r>
    </w:p>
    <w:p w:rsidR="00356F64" w:rsidRPr="006E21C7" w:rsidRDefault="00356F64" w:rsidP="0002110E">
      <w:pPr>
        <w:jc w:val="both"/>
        <w:rPr>
          <w:bCs/>
          <w:sz w:val="22"/>
          <w:szCs w:val="22"/>
        </w:rPr>
      </w:pPr>
    </w:p>
    <w:p w:rsidR="00356F64" w:rsidRPr="006E21C7" w:rsidRDefault="00356F64" w:rsidP="0002110E">
      <w:pPr>
        <w:jc w:val="both"/>
        <w:rPr>
          <w:bCs/>
          <w:sz w:val="22"/>
          <w:szCs w:val="22"/>
        </w:rPr>
      </w:pPr>
    </w:p>
    <w:p w:rsidR="00356F64" w:rsidRPr="006E21C7" w:rsidRDefault="003C3404" w:rsidP="00B23AA7">
      <w:pPr>
        <w:tabs>
          <w:tab w:val="left" w:pos="540"/>
          <w:tab w:val="left" w:pos="569"/>
        </w:tabs>
        <w:jc w:val="both"/>
        <w:rPr>
          <w:b/>
          <w:bCs/>
          <w:sz w:val="22"/>
          <w:szCs w:val="22"/>
        </w:rPr>
      </w:pPr>
      <w:r w:rsidRPr="006E21C7">
        <w:rPr>
          <w:b/>
          <w:bCs/>
          <w:sz w:val="22"/>
          <w:szCs w:val="22"/>
        </w:rPr>
        <w:t xml:space="preserve">4. </w:t>
      </w:r>
      <w:r w:rsidR="00356F64" w:rsidRPr="006E21C7">
        <w:rPr>
          <w:b/>
          <w:bCs/>
          <w:sz w:val="22"/>
          <w:szCs w:val="22"/>
        </w:rPr>
        <w:t>KLINIČKI PODACI</w:t>
      </w:r>
    </w:p>
    <w:p w:rsidR="00356F64" w:rsidRPr="006E21C7" w:rsidRDefault="00356F64" w:rsidP="00B23AA7">
      <w:pPr>
        <w:tabs>
          <w:tab w:val="left" w:pos="540"/>
          <w:tab w:val="left" w:pos="569"/>
        </w:tabs>
        <w:jc w:val="both"/>
        <w:rPr>
          <w:bCs/>
          <w:sz w:val="22"/>
          <w:szCs w:val="22"/>
        </w:rPr>
      </w:pPr>
    </w:p>
    <w:p w:rsidR="00356F64" w:rsidRPr="006E21C7" w:rsidRDefault="003C3404" w:rsidP="00B23AA7">
      <w:pPr>
        <w:tabs>
          <w:tab w:val="left" w:pos="540"/>
          <w:tab w:val="left" w:pos="569"/>
        </w:tabs>
        <w:jc w:val="both"/>
        <w:rPr>
          <w:b/>
          <w:bCs/>
          <w:sz w:val="22"/>
          <w:szCs w:val="22"/>
        </w:rPr>
      </w:pPr>
      <w:r w:rsidRPr="006E21C7">
        <w:rPr>
          <w:b/>
          <w:bCs/>
          <w:sz w:val="22"/>
          <w:szCs w:val="22"/>
        </w:rPr>
        <w:t xml:space="preserve">4.1. </w:t>
      </w:r>
      <w:r w:rsidR="00356F64" w:rsidRPr="006E21C7">
        <w:rPr>
          <w:b/>
          <w:bCs/>
          <w:sz w:val="22"/>
          <w:szCs w:val="22"/>
        </w:rPr>
        <w:t>Terapijske indikacije</w:t>
      </w:r>
    </w:p>
    <w:p w:rsidR="00356F64" w:rsidRPr="006E21C7" w:rsidRDefault="00356F64" w:rsidP="00B23AA7">
      <w:pPr>
        <w:tabs>
          <w:tab w:val="left" w:pos="540"/>
          <w:tab w:val="left" w:pos="569"/>
        </w:tabs>
        <w:jc w:val="both"/>
        <w:rPr>
          <w:b/>
          <w:bCs/>
          <w:sz w:val="22"/>
          <w:szCs w:val="22"/>
        </w:rPr>
      </w:pPr>
    </w:p>
    <w:p w:rsidR="00356F64" w:rsidRPr="006E21C7" w:rsidRDefault="00356F64" w:rsidP="00B23AA7">
      <w:pPr>
        <w:jc w:val="both"/>
        <w:rPr>
          <w:b/>
          <w:sz w:val="22"/>
          <w:szCs w:val="22"/>
          <w:u w:val="single"/>
        </w:rPr>
      </w:pPr>
      <w:r w:rsidRPr="006E21C7">
        <w:rPr>
          <w:b/>
          <w:sz w:val="22"/>
          <w:szCs w:val="22"/>
          <w:u w:val="single"/>
        </w:rPr>
        <w:t>Hipertenzija</w:t>
      </w:r>
    </w:p>
    <w:p w:rsidR="009D3B97" w:rsidRPr="006E21C7" w:rsidRDefault="009D3B97" w:rsidP="00B23AA7">
      <w:pPr>
        <w:jc w:val="both"/>
        <w:rPr>
          <w:sz w:val="22"/>
          <w:szCs w:val="22"/>
          <w:u w:val="single"/>
        </w:rPr>
      </w:pPr>
    </w:p>
    <w:p w:rsidR="00356F64" w:rsidRPr="006E21C7" w:rsidRDefault="00356F64" w:rsidP="00B23AA7">
      <w:pPr>
        <w:widowControl w:val="0"/>
        <w:numPr>
          <w:ilvl w:val="0"/>
          <w:numId w:val="22"/>
        </w:numPr>
        <w:ind w:right="20"/>
        <w:jc w:val="both"/>
        <w:rPr>
          <w:color w:val="000000"/>
          <w:sz w:val="22"/>
          <w:szCs w:val="22"/>
        </w:rPr>
      </w:pPr>
      <w:r w:rsidRPr="006E21C7">
        <w:rPr>
          <w:color w:val="000000"/>
          <w:sz w:val="22"/>
          <w:szCs w:val="22"/>
        </w:rPr>
        <w:t>Liječenje esencijalne hipertenzije</w:t>
      </w:r>
      <w:r w:rsidR="00A32ACD" w:rsidRPr="006E21C7">
        <w:rPr>
          <w:color w:val="000000"/>
          <w:sz w:val="22"/>
          <w:szCs w:val="22"/>
        </w:rPr>
        <w:t>.</w:t>
      </w:r>
    </w:p>
    <w:p w:rsidR="00EB01CD" w:rsidRPr="006E21C7" w:rsidRDefault="00EB01CD" w:rsidP="00B23AA7">
      <w:pPr>
        <w:ind w:right="20"/>
        <w:jc w:val="both"/>
        <w:rPr>
          <w:color w:val="000000"/>
          <w:sz w:val="22"/>
          <w:szCs w:val="22"/>
        </w:rPr>
      </w:pPr>
    </w:p>
    <w:p w:rsidR="00356F64" w:rsidRPr="006E21C7" w:rsidRDefault="00356F64" w:rsidP="00B23AA7">
      <w:pPr>
        <w:ind w:right="20"/>
        <w:jc w:val="both"/>
        <w:rPr>
          <w:b/>
          <w:color w:val="000000"/>
          <w:sz w:val="22"/>
          <w:szCs w:val="22"/>
          <w:u w:val="single"/>
        </w:rPr>
      </w:pPr>
      <w:r w:rsidRPr="006E21C7">
        <w:rPr>
          <w:b/>
          <w:color w:val="000000"/>
          <w:sz w:val="22"/>
          <w:szCs w:val="22"/>
          <w:u w:val="single"/>
        </w:rPr>
        <w:t>Hronična srčana insuficijencija</w:t>
      </w:r>
    </w:p>
    <w:p w:rsidR="009D3B97" w:rsidRPr="006E21C7" w:rsidRDefault="009D3B97" w:rsidP="00B23AA7">
      <w:pPr>
        <w:ind w:right="20"/>
        <w:jc w:val="both"/>
        <w:rPr>
          <w:color w:val="000000"/>
          <w:sz w:val="22"/>
          <w:szCs w:val="22"/>
          <w:u w:val="single"/>
        </w:rPr>
      </w:pPr>
    </w:p>
    <w:p w:rsidR="00356F64" w:rsidRPr="006E21C7" w:rsidRDefault="00356F64" w:rsidP="00B23AA7">
      <w:pPr>
        <w:widowControl w:val="0"/>
        <w:numPr>
          <w:ilvl w:val="0"/>
          <w:numId w:val="22"/>
        </w:numPr>
        <w:ind w:right="20"/>
        <w:jc w:val="both"/>
        <w:rPr>
          <w:sz w:val="22"/>
          <w:szCs w:val="22"/>
        </w:rPr>
      </w:pPr>
      <w:r w:rsidRPr="006E21C7">
        <w:rPr>
          <w:color w:val="000000"/>
          <w:sz w:val="22"/>
          <w:szCs w:val="22"/>
        </w:rPr>
        <w:t xml:space="preserve">Liječenje </w:t>
      </w:r>
      <w:r w:rsidR="00261D4B" w:rsidRPr="006E21C7">
        <w:rPr>
          <w:color w:val="000000"/>
          <w:sz w:val="22"/>
          <w:szCs w:val="22"/>
        </w:rPr>
        <w:t xml:space="preserve">stabilne, </w:t>
      </w:r>
      <w:r w:rsidRPr="006E21C7">
        <w:rPr>
          <w:color w:val="000000"/>
          <w:sz w:val="22"/>
          <w:szCs w:val="22"/>
        </w:rPr>
        <w:t>blage i</w:t>
      </w:r>
      <w:r w:rsidR="00261D4B" w:rsidRPr="006E21C7">
        <w:rPr>
          <w:color w:val="000000"/>
          <w:sz w:val="22"/>
          <w:szCs w:val="22"/>
        </w:rPr>
        <w:t>li</w:t>
      </w:r>
      <w:r w:rsidR="00B23AA7" w:rsidRPr="006E21C7">
        <w:rPr>
          <w:color w:val="000000"/>
          <w:sz w:val="22"/>
          <w:szCs w:val="22"/>
        </w:rPr>
        <w:t xml:space="preserve"> </w:t>
      </w:r>
      <w:r w:rsidRPr="006E21C7">
        <w:rPr>
          <w:color w:val="000000"/>
          <w:sz w:val="22"/>
          <w:szCs w:val="22"/>
        </w:rPr>
        <w:t>umjeren</w:t>
      </w:r>
      <w:r w:rsidR="00261D4B" w:rsidRPr="006E21C7">
        <w:rPr>
          <w:color w:val="000000"/>
          <w:sz w:val="22"/>
          <w:szCs w:val="22"/>
        </w:rPr>
        <w:t>o teške</w:t>
      </w:r>
      <w:r w:rsidRPr="006E21C7">
        <w:rPr>
          <w:color w:val="000000"/>
          <w:sz w:val="22"/>
          <w:szCs w:val="22"/>
        </w:rPr>
        <w:t>, hronične srčane insuficije</w:t>
      </w:r>
      <w:r w:rsidR="00EB01CD" w:rsidRPr="006E21C7">
        <w:rPr>
          <w:color w:val="000000"/>
          <w:sz w:val="22"/>
          <w:szCs w:val="22"/>
        </w:rPr>
        <w:t xml:space="preserve">ncije, kao dodatak </w:t>
      </w:r>
      <w:r w:rsidR="00261D4B" w:rsidRPr="006E21C7">
        <w:rPr>
          <w:color w:val="000000"/>
          <w:sz w:val="22"/>
          <w:szCs w:val="22"/>
        </w:rPr>
        <w:t xml:space="preserve">standardnoj </w:t>
      </w:r>
      <w:r w:rsidR="00EB01CD" w:rsidRPr="006E21C7">
        <w:rPr>
          <w:color w:val="000000"/>
          <w:sz w:val="22"/>
          <w:szCs w:val="22"/>
        </w:rPr>
        <w:t xml:space="preserve">terapiji kod </w:t>
      </w:r>
      <w:r w:rsidRPr="006E21C7">
        <w:rPr>
          <w:color w:val="000000"/>
          <w:sz w:val="22"/>
          <w:szCs w:val="22"/>
        </w:rPr>
        <w:t>starijih pacijenata (preko 70 godina).</w:t>
      </w:r>
    </w:p>
    <w:p w:rsidR="00356F64" w:rsidRPr="006E21C7" w:rsidRDefault="00356F64" w:rsidP="00B23AA7">
      <w:pPr>
        <w:tabs>
          <w:tab w:val="left" w:pos="540"/>
          <w:tab w:val="left" w:pos="569"/>
        </w:tabs>
        <w:jc w:val="both"/>
        <w:rPr>
          <w:bCs/>
          <w:sz w:val="22"/>
          <w:szCs w:val="22"/>
        </w:rPr>
      </w:pPr>
    </w:p>
    <w:p w:rsidR="00356F64" w:rsidRPr="006E21C7" w:rsidRDefault="00356F64" w:rsidP="00B23AA7">
      <w:pPr>
        <w:numPr>
          <w:ilvl w:val="1"/>
          <w:numId w:val="30"/>
        </w:numPr>
        <w:tabs>
          <w:tab w:val="left" w:pos="426"/>
        </w:tabs>
        <w:ind w:left="0" w:firstLine="0"/>
        <w:jc w:val="both"/>
        <w:rPr>
          <w:b/>
          <w:bCs/>
          <w:sz w:val="22"/>
          <w:szCs w:val="22"/>
        </w:rPr>
      </w:pPr>
      <w:r w:rsidRPr="006E21C7">
        <w:rPr>
          <w:b/>
          <w:bCs/>
          <w:sz w:val="22"/>
          <w:szCs w:val="22"/>
        </w:rPr>
        <w:t>Doziranje i način primjene</w:t>
      </w:r>
    </w:p>
    <w:p w:rsidR="00261D4B" w:rsidRPr="006E21C7" w:rsidRDefault="00261D4B" w:rsidP="00B23AA7">
      <w:pPr>
        <w:jc w:val="both"/>
        <w:rPr>
          <w:i/>
          <w:sz w:val="22"/>
          <w:szCs w:val="22"/>
          <w:u w:val="single"/>
        </w:rPr>
      </w:pPr>
    </w:p>
    <w:p w:rsidR="00261D4B" w:rsidRPr="006E21C7" w:rsidRDefault="00261D4B" w:rsidP="00B23AA7">
      <w:pPr>
        <w:jc w:val="both"/>
        <w:rPr>
          <w:sz w:val="22"/>
          <w:szCs w:val="22"/>
          <w:u w:val="single"/>
        </w:rPr>
      </w:pPr>
      <w:r w:rsidRPr="006E21C7">
        <w:rPr>
          <w:sz w:val="22"/>
          <w:szCs w:val="22"/>
          <w:u w:val="single"/>
        </w:rPr>
        <w:t>Doziranje</w:t>
      </w:r>
    </w:p>
    <w:p w:rsidR="00261D4B" w:rsidRPr="006E21C7" w:rsidRDefault="00261D4B" w:rsidP="00B23AA7">
      <w:pPr>
        <w:jc w:val="both"/>
        <w:rPr>
          <w:i/>
          <w:sz w:val="22"/>
          <w:szCs w:val="22"/>
          <w:u w:val="single"/>
        </w:rPr>
      </w:pPr>
    </w:p>
    <w:p w:rsidR="00356F64" w:rsidRPr="006E21C7" w:rsidRDefault="00261D4B" w:rsidP="00B23AA7">
      <w:pPr>
        <w:jc w:val="both"/>
        <w:rPr>
          <w:i/>
          <w:sz w:val="22"/>
          <w:szCs w:val="22"/>
          <w:u w:val="single"/>
        </w:rPr>
      </w:pPr>
      <w:r w:rsidRPr="006E21C7">
        <w:rPr>
          <w:b/>
          <w:sz w:val="22"/>
          <w:szCs w:val="22"/>
        </w:rPr>
        <w:t>H</w:t>
      </w:r>
      <w:r w:rsidR="00356F64" w:rsidRPr="006E21C7">
        <w:rPr>
          <w:b/>
          <w:sz w:val="22"/>
          <w:szCs w:val="22"/>
        </w:rPr>
        <w:t>ipertenzija</w:t>
      </w:r>
    </w:p>
    <w:p w:rsidR="00356F64" w:rsidRPr="006E21C7" w:rsidRDefault="00356F64" w:rsidP="00B23AA7">
      <w:pPr>
        <w:jc w:val="both"/>
        <w:rPr>
          <w:i/>
          <w:sz w:val="22"/>
          <w:szCs w:val="22"/>
          <w:u w:val="single"/>
        </w:rPr>
      </w:pPr>
    </w:p>
    <w:p w:rsidR="00356F64" w:rsidRPr="006E21C7" w:rsidRDefault="00356F64" w:rsidP="00B23AA7">
      <w:pPr>
        <w:jc w:val="both"/>
        <w:rPr>
          <w:i/>
          <w:color w:val="000000"/>
          <w:sz w:val="22"/>
          <w:szCs w:val="22"/>
        </w:rPr>
      </w:pPr>
      <w:r w:rsidRPr="006E21C7">
        <w:rPr>
          <w:i/>
          <w:color w:val="000000"/>
          <w:sz w:val="22"/>
          <w:szCs w:val="22"/>
        </w:rPr>
        <w:t>Odrasli</w:t>
      </w:r>
    </w:p>
    <w:p w:rsidR="00356F64" w:rsidRPr="006E21C7" w:rsidRDefault="00261D4B" w:rsidP="00B23AA7">
      <w:pPr>
        <w:jc w:val="both"/>
        <w:rPr>
          <w:color w:val="000000"/>
          <w:sz w:val="22"/>
          <w:szCs w:val="22"/>
        </w:rPr>
      </w:pPr>
      <w:r w:rsidRPr="006E21C7">
        <w:rPr>
          <w:color w:val="000000"/>
          <w:sz w:val="22"/>
          <w:szCs w:val="22"/>
        </w:rPr>
        <w:t>Uobičajena</w:t>
      </w:r>
      <w:r w:rsidR="00B23AA7" w:rsidRPr="006E21C7">
        <w:rPr>
          <w:color w:val="000000"/>
          <w:sz w:val="22"/>
          <w:szCs w:val="22"/>
        </w:rPr>
        <w:t xml:space="preserve"> </w:t>
      </w:r>
      <w:r w:rsidR="00356F64" w:rsidRPr="006E21C7">
        <w:rPr>
          <w:color w:val="000000"/>
          <w:sz w:val="22"/>
          <w:szCs w:val="22"/>
        </w:rPr>
        <w:t>doza je 1 tableta (5 mg)</w:t>
      </w:r>
      <w:r w:rsidRPr="006E21C7">
        <w:rPr>
          <w:color w:val="000000"/>
          <w:sz w:val="22"/>
          <w:szCs w:val="22"/>
        </w:rPr>
        <w:t xml:space="preserve"> na dan. Tabletu je potrebno uzeti svaki dan u približno isto vrijeme.</w:t>
      </w:r>
    </w:p>
    <w:p w:rsidR="00261D4B" w:rsidRPr="006E21C7" w:rsidRDefault="00356F64" w:rsidP="00B23AA7">
      <w:pPr>
        <w:jc w:val="both"/>
        <w:rPr>
          <w:color w:val="000000"/>
          <w:sz w:val="22"/>
          <w:szCs w:val="22"/>
        </w:rPr>
      </w:pPr>
      <w:r w:rsidRPr="006E21C7">
        <w:rPr>
          <w:color w:val="000000"/>
          <w:sz w:val="22"/>
          <w:szCs w:val="22"/>
        </w:rPr>
        <w:t xml:space="preserve">Antihipertenzivni efekat </w:t>
      </w:r>
      <w:r w:rsidR="00261D4B" w:rsidRPr="006E21C7">
        <w:rPr>
          <w:color w:val="000000"/>
          <w:sz w:val="22"/>
          <w:szCs w:val="22"/>
        </w:rPr>
        <w:t>postiže se</w:t>
      </w:r>
      <w:r w:rsidR="00B23AA7" w:rsidRPr="006E21C7">
        <w:rPr>
          <w:color w:val="000000"/>
          <w:sz w:val="22"/>
          <w:szCs w:val="22"/>
        </w:rPr>
        <w:t xml:space="preserve"> </w:t>
      </w:r>
      <w:r w:rsidRPr="006E21C7">
        <w:rPr>
          <w:color w:val="000000"/>
          <w:sz w:val="22"/>
          <w:szCs w:val="22"/>
        </w:rPr>
        <w:t>nakon 1</w:t>
      </w:r>
      <w:r w:rsidRPr="006E21C7">
        <w:rPr>
          <w:color w:val="000000"/>
          <w:sz w:val="22"/>
          <w:szCs w:val="22"/>
        </w:rPr>
        <w:noBreakHyphen/>
        <w:t xml:space="preserve">2 nedjelje od početka </w:t>
      </w:r>
      <w:r w:rsidR="00261D4B" w:rsidRPr="006E21C7">
        <w:rPr>
          <w:color w:val="000000"/>
          <w:sz w:val="22"/>
          <w:szCs w:val="22"/>
        </w:rPr>
        <w:t>liječenja</w:t>
      </w:r>
      <w:r w:rsidRPr="006E21C7">
        <w:rPr>
          <w:color w:val="000000"/>
          <w:sz w:val="22"/>
          <w:szCs w:val="22"/>
        </w:rPr>
        <w:t xml:space="preserve">. </w:t>
      </w:r>
    </w:p>
    <w:p w:rsidR="00356F64" w:rsidRPr="006E21C7" w:rsidRDefault="00261D4B" w:rsidP="00B23AA7">
      <w:pPr>
        <w:jc w:val="both"/>
        <w:rPr>
          <w:color w:val="000000"/>
          <w:sz w:val="22"/>
          <w:szCs w:val="22"/>
        </w:rPr>
      </w:pPr>
      <w:r w:rsidRPr="006E21C7">
        <w:rPr>
          <w:color w:val="000000"/>
          <w:sz w:val="22"/>
          <w:szCs w:val="22"/>
        </w:rPr>
        <w:t>Ponekad se željeni</w:t>
      </w:r>
      <w:r w:rsidR="00B23AA7" w:rsidRPr="006E21C7">
        <w:rPr>
          <w:color w:val="000000"/>
          <w:sz w:val="22"/>
          <w:szCs w:val="22"/>
        </w:rPr>
        <w:t xml:space="preserve"> </w:t>
      </w:r>
      <w:r w:rsidR="00356F64" w:rsidRPr="006E21C7">
        <w:rPr>
          <w:color w:val="000000"/>
          <w:sz w:val="22"/>
          <w:szCs w:val="22"/>
        </w:rPr>
        <w:t>efekt se postiže tek nakon 4 nedjelje.</w:t>
      </w:r>
    </w:p>
    <w:p w:rsidR="00356F64" w:rsidRPr="006E21C7" w:rsidRDefault="00356F64" w:rsidP="00B23AA7">
      <w:pPr>
        <w:jc w:val="both"/>
        <w:rPr>
          <w:color w:val="000000"/>
          <w:sz w:val="22"/>
          <w:szCs w:val="22"/>
        </w:rPr>
      </w:pPr>
    </w:p>
    <w:p w:rsidR="00356F64" w:rsidRPr="006E21C7" w:rsidRDefault="00356F64" w:rsidP="00B23AA7">
      <w:pPr>
        <w:jc w:val="both"/>
        <w:rPr>
          <w:i/>
          <w:color w:val="000000"/>
          <w:sz w:val="22"/>
          <w:szCs w:val="22"/>
        </w:rPr>
      </w:pPr>
      <w:r w:rsidRPr="006E21C7">
        <w:rPr>
          <w:i/>
          <w:color w:val="000000"/>
          <w:sz w:val="22"/>
          <w:szCs w:val="22"/>
        </w:rPr>
        <w:t>Kombinacija sa drugim antihipertenzivima</w:t>
      </w:r>
    </w:p>
    <w:p w:rsidR="00356F64" w:rsidRPr="006E21C7" w:rsidRDefault="00356F64" w:rsidP="00B23AA7">
      <w:pPr>
        <w:jc w:val="both"/>
        <w:rPr>
          <w:sz w:val="22"/>
          <w:szCs w:val="22"/>
        </w:rPr>
      </w:pPr>
      <w:r w:rsidRPr="006E21C7">
        <w:rPr>
          <w:sz w:val="22"/>
          <w:szCs w:val="22"/>
        </w:rPr>
        <w:t>Beta blokatori se mogu primjenjivati sami ili u kombinaciji sa drugim antihipertenzivima. Do sada dodatni antihipertenzivni efekt je uočen samo kada se</w:t>
      </w:r>
      <w:r w:rsidR="00C26E58" w:rsidRPr="006E21C7">
        <w:rPr>
          <w:sz w:val="22"/>
          <w:szCs w:val="22"/>
        </w:rPr>
        <w:t xml:space="preserve"> lijek</w:t>
      </w:r>
      <w:r w:rsidRPr="006E21C7">
        <w:rPr>
          <w:sz w:val="22"/>
          <w:szCs w:val="22"/>
        </w:rPr>
        <w:t xml:space="preserve"> </w:t>
      </w:r>
      <w:r w:rsidR="00D062FC" w:rsidRPr="006E21C7">
        <w:rPr>
          <w:sz w:val="22"/>
          <w:szCs w:val="22"/>
        </w:rPr>
        <w:t>Nibel</w:t>
      </w:r>
      <w:r w:rsidRPr="006E21C7">
        <w:rPr>
          <w:sz w:val="22"/>
          <w:szCs w:val="22"/>
        </w:rPr>
        <w:t xml:space="preserve"> 5 mg kombinuje sa hidrohlortiazidom </w:t>
      </w:r>
      <w:r w:rsidR="00C26E58" w:rsidRPr="006E21C7">
        <w:rPr>
          <w:sz w:val="22"/>
          <w:szCs w:val="22"/>
        </w:rPr>
        <w:t xml:space="preserve">u dozi od </w:t>
      </w:r>
      <w:r w:rsidRPr="006E21C7">
        <w:rPr>
          <w:sz w:val="22"/>
          <w:szCs w:val="22"/>
        </w:rPr>
        <w:t>12,5-25,0 mg.</w:t>
      </w:r>
    </w:p>
    <w:p w:rsidR="00356F64" w:rsidRPr="006E21C7" w:rsidRDefault="00356F64" w:rsidP="00B23AA7">
      <w:pPr>
        <w:jc w:val="both"/>
        <w:rPr>
          <w:i/>
          <w:color w:val="000000"/>
          <w:sz w:val="22"/>
          <w:szCs w:val="22"/>
        </w:rPr>
      </w:pPr>
      <w:r w:rsidRPr="006E21C7">
        <w:rPr>
          <w:i/>
          <w:color w:val="000000"/>
          <w:sz w:val="22"/>
          <w:szCs w:val="22"/>
        </w:rPr>
        <w:lastRenderedPageBreak/>
        <w:t>Pacijenti sa renalnom</w:t>
      </w:r>
      <w:r w:rsidR="00B23AA7" w:rsidRPr="006E21C7">
        <w:rPr>
          <w:i/>
          <w:color w:val="000000"/>
          <w:sz w:val="22"/>
          <w:szCs w:val="22"/>
        </w:rPr>
        <w:t xml:space="preserve"> </w:t>
      </w:r>
      <w:r w:rsidRPr="006E21C7">
        <w:rPr>
          <w:i/>
          <w:color w:val="000000"/>
          <w:sz w:val="22"/>
          <w:szCs w:val="22"/>
        </w:rPr>
        <w:t>insuficijencijom</w:t>
      </w:r>
    </w:p>
    <w:p w:rsidR="00356F64" w:rsidRPr="006E21C7" w:rsidRDefault="00356F64" w:rsidP="00B23AA7">
      <w:pPr>
        <w:jc w:val="both"/>
        <w:rPr>
          <w:i/>
          <w:color w:val="000000"/>
          <w:sz w:val="22"/>
          <w:szCs w:val="22"/>
        </w:rPr>
      </w:pPr>
    </w:p>
    <w:p w:rsidR="00356F64" w:rsidRPr="006E21C7" w:rsidRDefault="00356F64" w:rsidP="00B23AA7">
      <w:pPr>
        <w:jc w:val="both"/>
        <w:rPr>
          <w:color w:val="000000"/>
          <w:sz w:val="22"/>
          <w:szCs w:val="22"/>
        </w:rPr>
      </w:pPr>
      <w:r w:rsidRPr="006E21C7">
        <w:rPr>
          <w:color w:val="000000"/>
          <w:sz w:val="22"/>
          <w:szCs w:val="22"/>
        </w:rPr>
        <w:t>Preporučena</w:t>
      </w:r>
      <w:r w:rsidR="00A32ACD" w:rsidRPr="006E21C7">
        <w:rPr>
          <w:color w:val="000000"/>
          <w:sz w:val="22"/>
          <w:szCs w:val="22"/>
        </w:rPr>
        <w:t>,</w:t>
      </w:r>
      <w:r w:rsidRPr="006E21C7">
        <w:rPr>
          <w:color w:val="000000"/>
          <w:sz w:val="22"/>
          <w:szCs w:val="22"/>
        </w:rPr>
        <w:t xml:space="preserve"> početna dnevna doza </w:t>
      </w:r>
      <w:r w:rsidR="00C26E58" w:rsidRPr="006E21C7">
        <w:rPr>
          <w:color w:val="000000"/>
          <w:sz w:val="22"/>
          <w:szCs w:val="22"/>
        </w:rPr>
        <w:t>kod pacijenata sa renalnom insuficijencijom</w:t>
      </w:r>
      <w:r w:rsidR="00B23AA7" w:rsidRPr="006E21C7">
        <w:rPr>
          <w:color w:val="000000"/>
          <w:sz w:val="22"/>
          <w:szCs w:val="22"/>
        </w:rPr>
        <w:t xml:space="preserve"> </w:t>
      </w:r>
      <w:r w:rsidRPr="006E21C7">
        <w:rPr>
          <w:color w:val="000000"/>
          <w:sz w:val="22"/>
          <w:szCs w:val="22"/>
        </w:rPr>
        <w:t>je 2,5 mg. Ukoliko je potrebno, dnevna doza se može povećati na 5 mg.</w:t>
      </w:r>
    </w:p>
    <w:p w:rsidR="00356F64" w:rsidRPr="006E21C7" w:rsidRDefault="00356F64" w:rsidP="00B23AA7">
      <w:pPr>
        <w:jc w:val="both"/>
        <w:rPr>
          <w:color w:val="000000"/>
          <w:sz w:val="22"/>
          <w:szCs w:val="22"/>
        </w:rPr>
      </w:pPr>
    </w:p>
    <w:p w:rsidR="00356F64" w:rsidRPr="006E21C7" w:rsidRDefault="00356F64" w:rsidP="00B23AA7">
      <w:pPr>
        <w:jc w:val="both"/>
        <w:rPr>
          <w:i/>
          <w:color w:val="000000"/>
          <w:sz w:val="22"/>
          <w:szCs w:val="22"/>
        </w:rPr>
      </w:pPr>
      <w:r w:rsidRPr="006E21C7">
        <w:rPr>
          <w:i/>
          <w:color w:val="000000"/>
          <w:sz w:val="22"/>
          <w:szCs w:val="22"/>
        </w:rPr>
        <w:t>Pacijenti sa insuficijencijom jetre</w:t>
      </w:r>
    </w:p>
    <w:p w:rsidR="00356F64" w:rsidRPr="006E21C7" w:rsidRDefault="00356F64" w:rsidP="00B23AA7">
      <w:pPr>
        <w:jc w:val="both"/>
        <w:rPr>
          <w:i/>
          <w:color w:val="000000"/>
          <w:sz w:val="22"/>
          <w:szCs w:val="22"/>
        </w:rPr>
      </w:pPr>
    </w:p>
    <w:p w:rsidR="00356F64" w:rsidRPr="006E21C7" w:rsidRDefault="00C26E58" w:rsidP="00B23AA7">
      <w:pPr>
        <w:tabs>
          <w:tab w:val="left" w:pos="540"/>
          <w:tab w:val="left" w:pos="569"/>
        </w:tabs>
        <w:jc w:val="both"/>
        <w:rPr>
          <w:sz w:val="22"/>
          <w:szCs w:val="22"/>
        </w:rPr>
      </w:pPr>
      <w:r w:rsidRPr="006E21C7">
        <w:rPr>
          <w:sz w:val="22"/>
          <w:szCs w:val="22"/>
        </w:rPr>
        <w:t>Podaci za pacijente sa hepatičnom insuficijencijom ili oštećenom funkcijom jetre su ograničeni.</w:t>
      </w:r>
      <w:r w:rsidR="00356F64" w:rsidRPr="006E21C7">
        <w:rPr>
          <w:sz w:val="22"/>
          <w:szCs w:val="22"/>
        </w:rPr>
        <w:t xml:space="preserve"> </w:t>
      </w:r>
      <w:r w:rsidR="004C6813" w:rsidRPr="006E21C7">
        <w:rPr>
          <w:sz w:val="22"/>
          <w:szCs w:val="22"/>
        </w:rPr>
        <w:t xml:space="preserve">Zbog toga je primjena </w:t>
      </w:r>
      <w:r w:rsidR="00356F64" w:rsidRPr="006E21C7">
        <w:rPr>
          <w:sz w:val="22"/>
          <w:szCs w:val="22"/>
        </w:rPr>
        <w:t xml:space="preserve">lijeka </w:t>
      </w:r>
      <w:r w:rsidR="00D062FC" w:rsidRPr="006E21C7">
        <w:rPr>
          <w:sz w:val="22"/>
          <w:szCs w:val="22"/>
        </w:rPr>
        <w:t>Nibel</w:t>
      </w:r>
      <w:r w:rsidR="00356F64" w:rsidRPr="006E21C7">
        <w:rPr>
          <w:sz w:val="22"/>
          <w:szCs w:val="22"/>
        </w:rPr>
        <w:t xml:space="preserve"> kod </w:t>
      </w:r>
      <w:r w:rsidR="004C6813" w:rsidRPr="006E21C7">
        <w:rPr>
          <w:sz w:val="22"/>
          <w:szCs w:val="22"/>
        </w:rPr>
        <w:t>ovih pacijenata</w:t>
      </w:r>
      <w:r w:rsidR="00B23AA7" w:rsidRPr="006E21C7">
        <w:rPr>
          <w:sz w:val="22"/>
          <w:szCs w:val="22"/>
        </w:rPr>
        <w:t xml:space="preserve"> </w:t>
      </w:r>
      <w:r w:rsidR="00356F64" w:rsidRPr="006E21C7">
        <w:rPr>
          <w:sz w:val="22"/>
          <w:szCs w:val="22"/>
        </w:rPr>
        <w:t>kontraindikovana.</w:t>
      </w:r>
    </w:p>
    <w:p w:rsidR="00356F64" w:rsidRPr="006E21C7" w:rsidRDefault="00356F64" w:rsidP="00B23AA7">
      <w:pPr>
        <w:tabs>
          <w:tab w:val="left" w:pos="540"/>
          <w:tab w:val="left" w:pos="569"/>
        </w:tabs>
        <w:jc w:val="both"/>
        <w:rPr>
          <w:sz w:val="22"/>
          <w:szCs w:val="22"/>
        </w:rPr>
      </w:pPr>
    </w:p>
    <w:p w:rsidR="00356F64" w:rsidRPr="006E21C7" w:rsidRDefault="001544F4" w:rsidP="00B23AA7">
      <w:pPr>
        <w:jc w:val="both"/>
        <w:rPr>
          <w:i/>
          <w:color w:val="000000"/>
          <w:sz w:val="22"/>
          <w:szCs w:val="22"/>
        </w:rPr>
      </w:pPr>
      <w:r w:rsidRPr="006E21C7">
        <w:rPr>
          <w:i/>
          <w:color w:val="000000"/>
          <w:sz w:val="22"/>
          <w:szCs w:val="22"/>
        </w:rPr>
        <w:t>Starije osobe</w:t>
      </w:r>
    </w:p>
    <w:p w:rsidR="00356F64" w:rsidRPr="006E21C7" w:rsidRDefault="00356F64" w:rsidP="00B23AA7">
      <w:pPr>
        <w:jc w:val="both"/>
        <w:rPr>
          <w:i/>
          <w:color w:val="000000"/>
          <w:sz w:val="22"/>
          <w:szCs w:val="22"/>
        </w:rPr>
      </w:pPr>
    </w:p>
    <w:p w:rsidR="001544F4" w:rsidRPr="006E21C7" w:rsidRDefault="00356F64" w:rsidP="00B23AA7">
      <w:pPr>
        <w:jc w:val="both"/>
        <w:rPr>
          <w:color w:val="000000"/>
          <w:sz w:val="22"/>
          <w:szCs w:val="22"/>
        </w:rPr>
      </w:pPr>
      <w:r w:rsidRPr="006E21C7">
        <w:rPr>
          <w:color w:val="000000"/>
          <w:sz w:val="22"/>
          <w:szCs w:val="22"/>
        </w:rPr>
        <w:t xml:space="preserve">Kod </w:t>
      </w:r>
      <w:r w:rsidR="001544F4" w:rsidRPr="006E21C7">
        <w:rPr>
          <w:color w:val="000000"/>
          <w:sz w:val="22"/>
          <w:szCs w:val="22"/>
        </w:rPr>
        <w:t xml:space="preserve">pacijenata </w:t>
      </w:r>
      <w:r w:rsidRPr="006E21C7">
        <w:rPr>
          <w:color w:val="000000"/>
          <w:sz w:val="22"/>
          <w:szCs w:val="22"/>
        </w:rPr>
        <w:t>starijih od 65 godina, preporuč</w:t>
      </w:r>
      <w:r w:rsidR="001544F4" w:rsidRPr="006E21C7">
        <w:rPr>
          <w:color w:val="000000"/>
          <w:sz w:val="22"/>
          <w:szCs w:val="22"/>
        </w:rPr>
        <w:t>uje se</w:t>
      </w:r>
      <w:r w:rsidR="00B23AA7" w:rsidRPr="006E21C7">
        <w:rPr>
          <w:color w:val="000000"/>
          <w:sz w:val="22"/>
          <w:szCs w:val="22"/>
        </w:rPr>
        <w:t xml:space="preserve"> </w:t>
      </w:r>
      <w:r w:rsidRPr="006E21C7">
        <w:rPr>
          <w:color w:val="000000"/>
          <w:sz w:val="22"/>
          <w:szCs w:val="22"/>
        </w:rPr>
        <w:t xml:space="preserve">početna doza </w:t>
      </w:r>
      <w:r w:rsidR="001544F4" w:rsidRPr="006E21C7">
        <w:rPr>
          <w:color w:val="000000"/>
          <w:sz w:val="22"/>
          <w:szCs w:val="22"/>
        </w:rPr>
        <w:t>od</w:t>
      </w:r>
      <w:r w:rsidR="00B23AA7" w:rsidRPr="006E21C7">
        <w:rPr>
          <w:color w:val="000000"/>
          <w:sz w:val="22"/>
          <w:szCs w:val="22"/>
        </w:rPr>
        <w:t xml:space="preserve"> </w:t>
      </w:r>
      <w:r w:rsidRPr="006E21C7">
        <w:rPr>
          <w:color w:val="000000"/>
          <w:sz w:val="22"/>
          <w:szCs w:val="22"/>
        </w:rPr>
        <w:t xml:space="preserve">2,5 mg </w:t>
      </w:r>
      <w:r w:rsidR="001544F4" w:rsidRPr="006E21C7">
        <w:rPr>
          <w:color w:val="000000"/>
          <w:sz w:val="22"/>
          <w:szCs w:val="22"/>
        </w:rPr>
        <w:t xml:space="preserve">na </w:t>
      </w:r>
      <w:r w:rsidRPr="006E21C7">
        <w:rPr>
          <w:color w:val="000000"/>
          <w:sz w:val="22"/>
          <w:szCs w:val="22"/>
        </w:rPr>
        <w:t>d</w:t>
      </w:r>
      <w:r w:rsidR="001544F4" w:rsidRPr="006E21C7">
        <w:rPr>
          <w:color w:val="000000"/>
          <w:sz w:val="22"/>
          <w:szCs w:val="22"/>
        </w:rPr>
        <w:t>a</w:t>
      </w:r>
      <w:r w:rsidRPr="006E21C7">
        <w:rPr>
          <w:color w:val="000000"/>
          <w:sz w:val="22"/>
          <w:szCs w:val="22"/>
        </w:rPr>
        <w:t xml:space="preserve">n. Ukoliko je potrebno, dnevna doza se može povećati na 5 mg. </w:t>
      </w:r>
    </w:p>
    <w:p w:rsidR="001C51AC" w:rsidRPr="006E21C7" w:rsidRDefault="001544F4" w:rsidP="00B23AA7">
      <w:pPr>
        <w:jc w:val="both"/>
        <w:rPr>
          <w:color w:val="000000"/>
          <w:sz w:val="22"/>
          <w:szCs w:val="22"/>
        </w:rPr>
      </w:pPr>
      <w:r w:rsidRPr="006E21C7">
        <w:rPr>
          <w:color w:val="000000"/>
          <w:sz w:val="22"/>
          <w:szCs w:val="22"/>
        </w:rPr>
        <w:t>S</w:t>
      </w:r>
      <w:r w:rsidR="00356F64" w:rsidRPr="006E21C7">
        <w:rPr>
          <w:color w:val="000000"/>
          <w:sz w:val="22"/>
          <w:szCs w:val="22"/>
        </w:rPr>
        <w:t xml:space="preserve"> obzirom na ograničeno iskustvo u primjeni </w:t>
      </w:r>
      <w:r w:rsidRPr="006E21C7">
        <w:rPr>
          <w:color w:val="000000"/>
          <w:sz w:val="22"/>
          <w:szCs w:val="22"/>
        </w:rPr>
        <w:t>nebivolola</w:t>
      </w:r>
      <w:r w:rsidR="00356F64" w:rsidRPr="006E21C7">
        <w:rPr>
          <w:color w:val="000000"/>
          <w:sz w:val="22"/>
          <w:szCs w:val="22"/>
        </w:rPr>
        <w:t xml:space="preserve"> kod pacijenata starijih od 75 godina, </w:t>
      </w:r>
      <w:r w:rsidRPr="006E21C7">
        <w:rPr>
          <w:color w:val="000000"/>
          <w:sz w:val="22"/>
          <w:szCs w:val="22"/>
        </w:rPr>
        <w:t xml:space="preserve">potreban je oprez i pažljivo praćenje ovih pacijenata. </w:t>
      </w:r>
    </w:p>
    <w:p w:rsidR="001C51AC" w:rsidRPr="006E21C7" w:rsidRDefault="001C51AC" w:rsidP="00B23AA7">
      <w:pPr>
        <w:jc w:val="both"/>
        <w:rPr>
          <w:color w:val="000000"/>
          <w:sz w:val="22"/>
          <w:szCs w:val="22"/>
        </w:rPr>
      </w:pPr>
    </w:p>
    <w:p w:rsidR="00C6785B" w:rsidRPr="006E21C7" w:rsidRDefault="00F3190D" w:rsidP="00B23AA7">
      <w:pPr>
        <w:jc w:val="both"/>
        <w:rPr>
          <w:color w:val="000000"/>
          <w:sz w:val="22"/>
          <w:szCs w:val="22"/>
        </w:rPr>
      </w:pPr>
      <w:r w:rsidRPr="006E21C7">
        <w:rPr>
          <w:i/>
          <w:iCs/>
          <w:noProof w:val="0"/>
          <w:color w:val="000000"/>
          <w:sz w:val="22"/>
          <w:szCs w:val="22"/>
          <w:lang w:eastAsia="hr-HR"/>
        </w:rPr>
        <w:t>Pedijatrijska populacija</w:t>
      </w:r>
    </w:p>
    <w:p w:rsidR="00F3190D" w:rsidRPr="006E21C7" w:rsidRDefault="00C6785B" w:rsidP="00B23AA7">
      <w:pPr>
        <w:shd w:val="clear" w:color="auto" w:fill="FFFFFF"/>
        <w:jc w:val="both"/>
        <w:rPr>
          <w:noProof w:val="0"/>
          <w:color w:val="000000"/>
          <w:sz w:val="22"/>
          <w:szCs w:val="22"/>
          <w:lang w:eastAsia="hr-HR"/>
        </w:rPr>
      </w:pPr>
      <w:r w:rsidRPr="006E21C7">
        <w:rPr>
          <w:noProof w:val="0"/>
          <w:color w:val="000000"/>
          <w:sz w:val="22"/>
          <w:szCs w:val="22"/>
          <w:lang w:eastAsia="hr-HR"/>
        </w:rPr>
        <w:t xml:space="preserve"> </w:t>
      </w:r>
    </w:p>
    <w:p w:rsidR="00356F64" w:rsidRPr="006E21C7" w:rsidRDefault="001544F4" w:rsidP="00B23AA7">
      <w:pPr>
        <w:shd w:val="clear" w:color="auto" w:fill="FFFFFF"/>
        <w:jc w:val="both"/>
        <w:rPr>
          <w:noProof w:val="0"/>
          <w:color w:val="000000"/>
          <w:sz w:val="22"/>
          <w:szCs w:val="22"/>
          <w:lang w:eastAsia="hr-HR"/>
        </w:rPr>
      </w:pPr>
      <w:r w:rsidRPr="006E21C7">
        <w:rPr>
          <w:noProof w:val="0"/>
          <w:color w:val="000000"/>
          <w:sz w:val="22"/>
          <w:szCs w:val="22"/>
          <w:lang w:eastAsia="hr-HR"/>
        </w:rPr>
        <w:t>E</w:t>
      </w:r>
      <w:r w:rsidR="00F3190D" w:rsidRPr="006E21C7">
        <w:rPr>
          <w:noProof w:val="0"/>
          <w:color w:val="000000"/>
          <w:sz w:val="22"/>
          <w:szCs w:val="22"/>
          <w:lang w:eastAsia="hr-HR"/>
        </w:rPr>
        <w:t xml:space="preserve">fikasnost i bezbjednost lijeka Nibel kod djece </w:t>
      </w:r>
      <w:r w:rsidR="00A01604" w:rsidRPr="006E21C7">
        <w:rPr>
          <w:noProof w:val="0"/>
          <w:color w:val="000000"/>
          <w:sz w:val="22"/>
          <w:szCs w:val="22"/>
          <w:lang w:eastAsia="hr-HR"/>
        </w:rPr>
        <w:t>i</w:t>
      </w:r>
      <w:r w:rsidR="00F3190D" w:rsidRPr="006E21C7">
        <w:rPr>
          <w:noProof w:val="0"/>
          <w:color w:val="000000"/>
          <w:sz w:val="22"/>
          <w:szCs w:val="22"/>
          <w:lang w:eastAsia="hr-HR"/>
        </w:rPr>
        <w:t xml:space="preserve"> adolescenata uzrasta ispod 18 godina</w:t>
      </w:r>
      <w:r w:rsidRPr="006E21C7">
        <w:rPr>
          <w:noProof w:val="0"/>
          <w:color w:val="000000"/>
          <w:sz w:val="22"/>
          <w:szCs w:val="22"/>
          <w:lang w:eastAsia="hr-HR"/>
        </w:rPr>
        <w:t xml:space="preserve"> ni</w:t>
      </w:r>
      <w:r w:rsidR="00B23AA7" w:rsidRPr="006E21C7">
        <w:rPr>
          <w:noProof w:val="0"/>
          <w:color w:val="000000"/>
          <w:sz w:val="22"/>
          <w:szCs w:val="22"/>
          <w:lang w:eastAsia="hr-HR"/>
        </w:rPr>
        <w:t>je</w:t>
      </w:r>
      <w:r w:rsidRPr="006E21C7">
        <w:rPr>
          <w:noProof w:val="0"/>
          <w:color w:val="000000"/>
          <w:sz w:val="22"/>
          <w:szCs w:val="22"/>
          <w:lang w:eastAsia="hr-HR"/>
        </w:rPr>
        <w:t>su ustanovljene</w:t>
      </w:r>
      <w:r w:rsidR="00F3190D" w:rsidRPr="006E21C7">
        <w:rPr>
          <w:noProof w:val="0"/>
          <w:color w:val="000000"/>
          <w:sz w:val="22"/>
          <w:szCs w:val="22"/>
          <w:lang w:eastAsia="hr-HR"/>
        </w:rPr>
        <w:t>.</w:t>
      </w:r>
      <w:r w:rsidRPr="006E21C7">
        <w:rPr>
          <w:noProof w:val="0"/>
          <w:color w:val="000000"/>
          <w:sz w:val="22"/>
          <w:szCs w:val="22"/>
          <w:lang w:eastAsia="hr-HR"/>
        </w:rPr>
        <w:t xml:space="preserve"> Nema dostupnih podataka. </w:t>
      </w:r>
      <w:r w:rsidRPr="006E21C7">
        <w:rPr>
          <w:sz w:val="22"/>
          <w:szCs w:val="22"/>
        </w:rPr>
        <w:t xml:space="preserve">Zbog </w:t>
      </w:r>
      <w:r w:rsidR="00356F64" w:rsidRPr="006E21C7">
        <w:rPr>
          <w:sz w:val="22"/>
          <w:szCs w:val="22"/>
        </w:rPr>
        <w:t>toga se ne preporučuje primjena ovog lijeka kod djece i adolescenata.</w:t>
      </w:r>
    </w:p>
    <w:p w:rsidR="00356F64" w:rsidRPr="006E21C7" w:rsidRDefault="00356F64" w:rsidP="00B23AA7">
      <w:pPr>
        <w:tabs>
          <w:tab w:val="left" w:pos="540"/>
          <w:tab w:val="left" w:pos="569"/>
        </w:tabs>
        <w:jc w:val="both"/>
        <w:rPr>
          <w:sz w:val="22"/>
          <w:szCs w:val="22"/>
        </w:rPr>
      </w:pPr>
    </w:p>
    <w:p w:rsidR="00356F64" w:rsidRPr="006E21C7" w:rsidRDefault="00356F64" w:rsidP="00B23AA7">
      <w:pPr>
        <w:jc w:val="both"/>
        <w:rPr>
          <w:b/>
          <w:sz w:val="22"/>
          <w:szCs w:val="22"/>
        </w:rPr>
      </w:pPr>
      <w:r w:rsidRPr="006E21C7">
        <w:rPr>
          <w:b/>
          <w:sz w:val="22"/>
          <w:szCs w:val="22"/>
        </w:rPr>
        <w:t>Hronična srčana insuficijencija</w:t>
      </w:r>
    </w:p>
    <w:p w:rsidR="00356F64" w:rsidRPr="006E21C7" w:rsidRDefault="00356F64" w:rsidP="00B23AA7">
      <w:pPr>
        <w:jc w:val="both"/>
        <w:rPr>
          <w:i/>
          <w:sz w:val="22"/>
          <w:szCs w:val="22"/>
          <w:u w:val="single"/>
        </w:rPr>
      </w:pPr>
    </w:p>
    <w:p w:rsidR="001544F4" w:rsidRPr="006E21C7" w:rsidRDefault="00356F64" w:rsidP="00B23AA7">
      <w:pPr>
        <w:ind w:right="20"/>
        <w:jc w:val="both"/>
        <w:rPr>
          <w:color w:val="000000"/>
          <w:sz w:val="22"/>
          <w:szCs w:val="22"/>
        </w:rPr>
      </w:pPr>
      <w:r w:rsidRPr="006E21C7">
        <w:rPr>
          <w:color w:val="000000"/>
          <w:sz w:val="22"/>
          <w:szCs w:val="22"/>
        </w:rPr>
        <w:t xml:space="preserve">Liječenje stabilne hronične srčane insuficijencije se mora započeti postepenim povećanjem doze dok se ne postigne optimalna individualna doza održavanja. </w:t>
      </w:r>
    </w:p>
    <w:p w:rsidR="00356F64" w:rsidRPr="006E21C7" w:rsidRDefault="001544F4" w:rsidP="00B23AA7">
      <w:pPr>
        <w:ind w:right="20"/>
        <w:jc w:val="both"/>
        <w:rPr>
          <w:color w:val="000000"/>
          <w:sz w:val="22"/>
          <w:szCs w:val="22"/>
        </w:rPr>
      </w:pPr>
      <w:r w:rsidRPr="006E21C7">
        <w:rPr>
          <w:color w:val="000000"/>
          <w:sz w:val="22"/>
          <w:szCs w:val="22"/>
        </w:rPr>
        <w:t>Stanje p</w:t>
      </w:r>
      <w:r w:rsidR="00356F64" w:rsidRPr="006E21C7">
        <w:rPr>
          <w:color w:val="000000"/>
          <w:sz w:val="22"/>
          <w:szCs w:val="22"/>
        </w:rPr>
        <w:t>acijen</w:t>
      </w:r>
      <w:r w:rsidRPr="006E21C7">
        <w:rPr>
          <w:color w:val="000000"/>
          <w:sz w:val="22"/>
          <w:szCs w:val="22"/>
        </w:rPr>
        <w:t>a</w:t>
      </w:r>
      <w:r w:rsidR="00356F64" w:rsidRPr="006E21C7">
        <w:rPr>
          <w:color w:val="000000"/>
          <w:sz w:val="22"/>
          <w:szCs w:val="22"/>
        </w:rPr>
        <w:t>t</w:t>
      </w:r>
      <w:r w:rsidRPr="006E21C7">
        <w:rPr>
          <w:color w:val="000000"/>
          <w:sz w:val="22"/>
          <w:szCs w:val="22"/>
        </w:rPr>
        <w:t>a</w:t>
      </w:r>
      <w:r w:rsidR="00356F64" w:rsidRPr="006E21C7">
        <w:rPr>
          <w:color w:val="000000"/>
          <w:sz w:val="22"/>
          <w:szCs w:val="22"/>
        </w:rPr>
        <w:t xml:space="preserve"> sa hroničnom srčanom insuficijencijom </w:t>
      </w:r>
      <w:r w:rsidRPr="006E21C7">
        <w:rPr>
          <w:color w:val="000000"/>
          <w:sz w:val="22"/>
          <w:szCs w:val="22"/>
        </w:rPr>
        <w:t xml:space="preserve">mora biti </w:t>
      </w:r>
      <w:r w:rsidR="00356F64" w:rsidRPr="006E21C7">
        <w:rPr>
          <w:color w:val="000000"/>
          <w:sz w:val="22"/>
          <w:szCs w:val="22"/>
        </w:rPr>
        <w:t>stabilno</w:t>
      </w:r>
      <w:r w:rsidRPr="006E21C7">
        <w:rPr>
          <w:color w:val="000000"/>
          <w:sz w:val="22"/>
          <w:szCs w:val="22"/>
        </w:rPr>
        <w:t>, bez akutnih pogoršanja u proteklih šest ned</w:t>
      </w:r>
      <w:r w:rsidR="00A32ACD" w:rsidRPr="006E21C7">
        <w:rPr>
          <w:color w:val="000000"/>
          <w:sz w:val="22"/>
          <w:szCs w:val="22"/>
        </w:rPr>
        <w:t>j</w:t>
      </w:r>
      <w:r w:rsidRPr="006E21C7">
        <w:rPr>
          <w:color w:val="000000"/>
          <w:sz w:val="22"/>
          <w:szCs w:val="22"/>
        </w:rPr>
        <w:t>elja.</w:t>
      </w:r>
      <w:r w:rsidR="00B23AA7" w:rsidRPr="006E21C7">
        <w:rPr>
          <w:color w:val="000000"/>
          <w:sz w:val="22"/>
          <w:szCs w:val="22"/>
        </w:rPr>
        <w:t xml:space="preserve"> </w:t>
      </w:r>
      <w:r w:rsidR="00356F64" w:rsidRPr="006E21C7">
        <w:rPr>
          <w:color w:val="000000"/>
          <w:sz w:val="22"/>
          <w:szCs w:val="22"/>
        </w:rPr>
        <w:t xml:space="preserve">Preporučuje se da terapiju određuje </w:t>
      </w:r>
      <w:r w:rsidR="00EF0279" w:rsidRPr="006E21C7">
        <w:rPr>
          <w:color w:val="000000"/>
          <w:sz w:val="22"/>
          <w:szCs w:val="22"/>
        </w:rPr>
        <w:t xml:space="preserve">ljekar </w:t>
      </w:r>
      <w:r w:rsidR="00356F64" w:rsidRPr="006E21C7">
        <w:rPr>
          <w:color w:val="000000"/>
          <w:sz w:val="22"/>
          <w:szCs w:val="22"/>
        </w:rPr>
        <w:t>sa iskustvom u liječenju hronične</w:t>
      </w:r>
      <w:r w:rsidR="00B23AA7" w:rsidRPr="006E21C7">
        <w:rPr>
          <w:color w:val="000000"/>
          <w:sz w:val="22"/>
          <w:szCs w:val="22"/>
        </w:rPr>
        <w:t xml:space="preserve"> </w:t>
      </w:r>
      <w:r w:rsidR="00356F64" w:rsidRPr="006E21C7">
        <w:rPr>
          <w:color w:val="000000"/>
          <w:sz w:val="22"/>
          <w:szCs w:val="22"/>
        </w:rPr>
        <w:t>srčane insuficijencije.</w:t>
      </w:r>
      <w:r w:rsidR="00B23AA7" w:rsidRPr="006E21C7">
        <w:rPr>
          <w:color w:val="000000"/>
          <w:sz w:val="22"/>
          <w:szCs w:val="22"/>
        </w:rPr>
        <w:t xml:space="preserve"> </w:t>
      </w:r>
    </w:p>
    <w:p w:rsidR="00356F64" w:rsidRPr="006E21C7" w:rsidRDefault="00356F64" w:rsidP="00B23AA7">
      <w:pPr>
        <w:ind w:right="20"/>
        <w:jc w:val="both"/>
        <w:rPr>
          <w:color w:val="000000"/>
          <w:sz w:val="22"/>
          <w:szCs w:val="22"/>
        </w:rPr>
      </w:pPr>
    </w:p>
    <w:p w:rsidR="00356F64" w:rsidRPr="006E21C7" w:rsidRDefault="00356F64" w:rsidP="00B23AA7">
      <w:pPr>
        <w:jc w:val="both"/>
        <w:rPr>
          <w:color w:val="000000"/>
          <w:sz w:val="22"/>
          <w:szCs w:val="22"/>
        </w:rPr>
      </w:pPr>
      <w:r w:rsidRPr="006E21C7">
        <w:rPr>
          <w:color w:val="000000"/>
          <w:sz w:val="22"/>
          <w:szCs w:val="22"/>
        </w:rPr>
        <w:t xml:space="preserve">Pacijentima koji </w:t>
      </w:r>
      <w:r w:rsidR="001544F4" w:rsidRPr="006E21C7">
        <w:rPr>
          <w:color w:val="000000"/>
          <w:sz w:val="22"/>
          <w:szCs w:val="22"/>
        </w:rPr>
        <w:t>se liječe</w:t>
      </w:r>
      <w:r w:rsidRPr="006E21C7">
        <w:rPr>
          <w:color w:val="000000"/>
          <w:sz w:val="22"/>
          <w:szCs w:val="22"/>
        </w:rPr>
        <w:t xml:space="preserve"> kardiovaskularn</w:t>
      </w:r>
      <w:r w:rsidR="001544F4" w:rsidRPr="006E21C7">
        <w:rPr>
          <w:color w:val="000000"/>
          <w:sz w:val="22"/>
          <w:szCs w:val="22"/>
        </w:rPr>
        <w:t>im ljekovima</w:t>
      </w:r>
      <w:r w:rsidRPr="006E21C7">
        <w:rPr>
          <w:color w:val="000000"/>
          <w:sz w:val="22"/>
          <w:szCs w:val="22"/>
        </w:rPr>
        <w:t xml:space="preserve"> uključuj</w:t>
      </w:r>
      <w:r w:rsidR="001544F4" w:rsidRPr="006E21C7">
        <w:rPr>
          <w:color w:val="000000"/>
          <w:sz w:val="22"/>
          <w:szCs w:val="22"/>
        </w:rPr>
        <w:t>ući</w:t>
      </w:r>
      <w:r w:rsidRPr="006E21C7">
        <w:rPr>
          <w:color w:val="000000"/>
          <w:sz w:val="22"/>
          <w:szCs w:val="22"/>
        </w:rPr>
        <w:t xml:space="preserve"> diuretike i/ili digoksin i/ili ACE inhibitore i/ili angiotenzin II antagoniste,</w:t>
      </w:r>
      <w:r w:rsidR="001544F4" w:rsidRPr="006E21C7">
        <w:rPr>
          <w:color w:val="000000"/>
          <w:sz w:val="22"/>
          <w:szCs w:val="22"/>
        </w:rPr>
        <w:t xml:space="preserve"> neophodno je stabilizovati</w:t>
      </w:r>
      <w:r w:rsidR="00B23AA7" w:rsidRPr="006E21C7">
        <w:rPr>
          <w:color w:val="000000"/>
          <w:sz w:val="22"/>
          <w:szCs w:val="22"/>
        </w:rPr>
        <w:t xml:space="preserve"> </w:t>
      </w:r>
      <w:r w:rsidRPr="006E21C7">
        <w:rPr>
          <w:color w:val="000000"/>
          <w:sz w:val="22"/>
          <w:szCs w:val="22"/>
        </w:rPr>
        <w:t xml:space="preserve">doziranje navedenih ljekova dvije nedjelje prije uvođenja </w:t>
      </w:r>
      <w:r w:rsidR="00BC5B0C" w:rsidRPr="006E21C7">
        <w:rPr>
          <w:color w:val="000000"/>
          <w:sz w:val="22"/>
          <w:szCs w:val="22"/>
        </w:rPr>
        <w:t>nebivolola</w:t>
      </w:r>
      <w:r w:rsidR="00B71051" w:rsidRPr="006E21C7">
        <w:rPr>
          <w:sz w:val="22"/>
          <w:szCs w:val="22"/>
        </w:rPr>
        <w:t>.</w:t>
      </w:r>
    </w:p>
    <w:p w:rsidR="00356F64" w:rsidRPr="006E21C7" w:rsidRDefault="00356F64" w:rsidP="00B23AA7">
      <w:pPr>
        <w:jc w:val="both"/>
        <w:rPr>
          <w:color w:val="000000"/>
          <w:sz w:val="22"/>
          <w:szCs w:val="22"/>
        </w:rPr>
      </w:pPr>
    </w:p>
    <w:p w:rsidR="00BC5B0C" w:rsidRPr="006E21C7" w:rsidRDefault="00356F64" w:rsidP="00B23AA7">
      <w:pPr>
        <w:jc w:val="both"/>
        <w:rPr>
          <w:color w:val="000000"/>
          <w:sz w:val="22"/>
          <w:szCs w:val="22"/>
        </w:rPr>
      </w:pPr>
      <w:r w:rsidRPr="006E21C7">
        <w:rPr>
          <w:color w:val="000000"/>
          <w:sz w:val="22"/>
          <w:szCs w:val="22"/>
        </w:rPr>
        <w:t xml:space="preserve">Početno </w:t>
      </w:r>
      <w:r w:rsidR="00BC5B0C" w:rsidRPr="006E21C7">
        <w:rPr>
          <w:color w:val="000000"/>
          <w:sz w:val="22"/>
          <w:szCs w:val="22"/>
        </w:rPr>
        <w:t xml:space="preserve">titriranje </w:t>
      </w:r>
      <w:r w:rsidRPr="006E21C7">
        <w:rPr>
          <w:color w:val="000000"/>
          <w:sz w:val="22"/>
          <w:szCs w:val="22"/>
        </w:rPr>
        <w:t>doze treba sprovoditi povećavajući dozu svake 1-2 nedjelje u zavisnosti od</w:t>
      </w:r>
      <w:r w:rsidR="00BC5B0C" w:rsidRPr="006E21C7">
        <w:rPr>
          <w:color w:val="000000"/>
          <w:sz w:val="22"/>
          <w:szCs w:val="22"/>
        </w:rPr>
        <w:t xml:space="preserve"> toga kako je </w:t>
      </w:r>
      <w:r w:rsidRPr="006E21C7">
        <w:rPr>
          <w:color w:val="000000"/>
          <w:sz w:val="22"/>
          <w:szCs w:val="22"/>
        </w:rPr>
        <w:t>pacijent</w:t>
      </w:r>
      <w:r w:rsidR="00BC5B0C" w:rsidRPr="006E21C7">
        <w:rPr>
          <w:color w:val="000000"/>
          <w:sz w:val="22"/>
          <w:szCs w:val="22"/>
        </w:rPr>
        <w:t xml:space="preserve"> podnosi</w:t>
      </w:r>
      <w:r w:rsidRPr="006E21C7">
        <w:rPr>
          <w:color w:val="000000"/>
          <w:sz w:val="22"/>
          <w:szCs w:val="22"/>
        </w:rPr>
        <w:t>:</w:t>
      </w:r>
      <w:r w:rsidR="00DF1F55" w:rsidRPr="006E21C7">
        <w:rPr>
          <w:color w:val="000000"/>
          <w:sz w:val="22"/>
          <w:szCs w:val="22"/>
        </w:rPr>
        <w:t xml:space="preserve"> </w:t>
      </w:r>
    </w:p>
    <w:p w:rsidR="00356F64" w:rsidRPr="006E21C7" w:rsidRDefault="00356F64" w:rsidP="00B23AA7">
      <w:pPr>
        <w:jc w:val="both"/>
        <w:rPr>
          <w:color w:val="000000"/>
          <w:sz w:val="22"/>
          <w:szCs w:val="22"/>
        </w:rPr>
      </w:pPr>
      <w:r w:rsidRPr="006E21C7">
        <w:rPr>
          <w:color w:val="000000"/>
          <w:sz w:val="22"/>
          <w:szCs w:val="22"/>
        </w:rPr>
        <w:t>1,25 mg nebivolola</w:t>
      </w:r>
      <w:r w:rsidR="00BC5B0C" w:rsidRPr="006E21C7">
        <w:rPr>
          <w:color w:val="000000"/>
          <w:sz w:val="22"/>
          <w:szCs w:val="22"/>
        </w:rPr>
        <w:t>, potrebno je</w:t>
      </w:r>
      <w:r w:rsidR="00B23AA7" w:rsidRPr="006E21C7">
        <w:rPr>
          <w:color w:val="000000"/>
          <w:sz w:val="22"/>
          <w:szCs w:val="22"/>
        </w:rPr>
        <w:t xml:space="preserve"> </w:t>
      </w:r>
      <w:r w:rsidRPr="006E21C7">
        <w:rPr>
          <w:color w:val="000000"/>
          <w:sz w:val="22"/>
          <w:szCs w:val="22"/>
        </w:rPr>
        <w:t xml:space="preserve"> poveća</w:t>
      </w:r>
      <w:r w:rsidR="00BC5B0C" w:rsidRPr="006E21C7">
        <w:rPr>
          <w:color w:val="000000"/>
          <w:sz w:val="22"/>
          <w:szCs w:val="22"/>
        </w:rPr>
        <w:t>ti</w:t>
      </w:r>
      <w:r w:rsidRPr="006E21C7">
        <w:rPr>
          <w:color w:val="000000"/>
          <w:sz w:val="22"/>
          <w:szCs w:val="22"/>
        </w:rPr>
        <w:t xml:space="preserve"> do 2,5 mg nebivolola jednom dnevno, </w:t>
      </w:r>
      <w:r w:rsidR="00BC5B0C" w:rsidRPr="006E21C7">
        <w:rPr>
          <w:color w:val="000000"/>
          <w:sz w:val="22"/>
          <w:szCs w:val="22"/>
        </w:rPr>
        <w:t>zatim</w:t>
      </w:r>
      <w:r w:rsidRPr="006E21C7">
        <w:rPr>
          <w:color w:val="000000"/>
          <w:sz w:val="22"/>
          <w:szCs w:val="22"/>
        </w:rPr>
        <w:t xml:space="preserve"> na 5 mg jednom dnevno</w:t>
      </w:r>
      <w:r w:rsidR="00A32ACD" w:rsidRPr="006E21C7">
        <w:rPr>
          <w:color w:val="000000"/>
          <w:sz w:val="22"/>
          <w:szCs w:val="22"/>
        </w:rPr>
        <w:t>, pa</w:t>
      </w:r>
      <w:r w:rsidRPr="006E21C7">
        <w:rPr>
          <w:color w:val="000000"/>
          <w:sz w:val="22"/>
          <w:szCs w:val="22"/>
        </w:rPr>
        <w:t xml:space="preserve"> sve do 10 mg jednom dnevno. </w:t>
      </w:r>
    </w:p>
    <w:p w:rsidR="00356F64" w:rsidRPr="006E21C7" w:rsidRDefault="00356F64" w:rsidP="00B23AA7">
      <w:pPr>
        <w:jc w:val="both"/>
        <w:rPr>
          <w:color w:val="000000"/>
          <w:sz w:val="22"/>
          <w:szCs w:val="22"/>
        </w:rPr>
      </w:pPr>
      <w:r w:rsidRPr="006E21C7">
        <w:rPr>
          <w:color w:val="000000"/>
          <w:sz w:val="22"/>
          <w:szCs w:val="22"/>
        </w:rPr>
        <w:t>Maksimalna preporučena dnevna doza iznosi 10 mg.</w:t>
      </w:r>
    </w:p>
    <w:p w:rsidR="00356F64" w:rsidRPr="006E21C7" w:rsidRDefault="00356F64" w:rsidP="00B23AA7">
      <w:pPr>
        <w:jc w:val="both"/>
        <w:rPr>
          <w:color w:val="000000"/>
          <w:sz w:val="22"/>
          <w:szCs w:val="22"/>
        </w:rPr>
      </w:pPr>
    </w:p>
    <w:p w:rsidR="00356F64" w:rsidRPr="006E21C7" w:rsidRDefault="00356F64" w:rsidP="00B23AA7">
      <w:pPr>
        <w:jc w:val="both"/>
        <w:rPr>
          <w:color w:val="FF0000"/>
          <w:sz w:val="22"/>
          <w:szCs w:val="22"/>
        </w:rPr>
      </w:pPr>
      <w:r w:rsidRPr="006E21C7">
        <w:rPr>
          <w:sz w:val="22"/>
          <w:szCs w:val="22"/>
        </w:rPr>
        <w:t>Početak terapije kao i svako povećanje doze treba sprovoditi pod nadzorom iskusnog ljekara u trajanju od najmanje 2 sata, kako bi se osiguralo da kliničk</w:t>
      </w:r>
      <w:r w:rsidR="00BC5B0C" w:rsidRPr="006E21C7">
        <w:rPr>
          <w:sz w:val="22"/>
          <w:szCs w:val="22"/>
        </w:rPr>
        <w:t>i status</w:t>
      </w:r>
      <w:r w:rsidRPr="006E21C7">
        <w:rPr>
          <w:sz w:val="22"/>
          <w:szCs w:val="22"/>
        </w:rPr>
        <w:t xml:space="preserve"> pacijenta (</w:t>
      </w:r>
      <w:r w:rsidR="00BC5B0C" w:rsidRPr="006E21C7">
        <w:rPr>
          <w:sz w:val="22"/>
          <w:szCs w:val="22"/>
        </w:rPr>
        <w:t>to se posebno odnosi na</w:t>
      </w:r>
      <w:r w:rsidR="00B23AA7" w:rsidRPr="006E21C7">
        <w:rPr>
          <w:sz w:val="22"/>
          <w:szCs w:val="22"/>
        </w:rPr>
        <w:t xml:space="preserve"> </w:t>
      </w:r>
      <w:r w:rsidRPr="006E21C7">
        <w:rPr>
          <w:sz w:val="22"/>
          <w:szCs w:val="22"/>
        </w:rPr>
        <w:t>krvni pritisak, srčani ritam, poremećaji sprovođenja</w:t>
      </w:r>
      <w:r w:rsidR="00BC5B0C" w:rsidRPr="006E21C7">
        <w:rPr>
          <w:sz w:val="22"/>
          <w:szCs w:val="22"/>
        </w:rPr>
        <w:t xml:space="preserve"> impulsa</w:t>
      </w:r>
      <w:r w:rsidRPr="006E21C7">
        <w:rPr>
          <w:sz w:val="22"/>
          <w:szCs w:val="22"/>
        </w:rPr>
        <w:t xml:space="preserve"> i zna</w:t>
      </w:r>
      <w:r w:rsidR="00BC5B0C" w:rsidRPr="006E21C7">
        <w:rPr>
          <w:sz w:val="22"/>
          <w:szCs w:val="22"/>
        </w:rPr>
        <w:t>ke</w:t>
      </w:r>
      <w:r w:rsidRPr="006E21C7">
        <w:rPr>
          <w:sz w:val="22"/>
          <w:szCs w:val="22"/>
        </w:rPr>
        <w:t xml:space="preserve"> pogoršavanja srčane insuficijencije) ostane stabilan.</w:t>
      </w:r>
      <w:r w:rsidRPr="006E21C7">
        <w:rPr>
          <w:color w:val="FF0000"/>
          <w:sz w:val="22"/>
          <w:szCs w:val="22"/>
        </w:rPr>
        <w:t xml:space="preserve"> </w:t>
      </w:r>
    </w:p>
    <w:p w:rsidR="00356F64" w:rsidRPr="006E21C7" w:rsidRDefault="00356F64" w:rsidP="00B23AA7">
      <w:pPr>
        <w:jc w:val="both"/>
        <w:rPr>
          <w:sz w:val="22"/>
          <w:szCs w:val="22"/>
        </w:rPr>
      </w:pPr>
      <w:r w:rsidRPr="006E21C7">
        <w:rPr>
          <w:sz w:val="22"/>
          <w:szCs w:val="22"/>
        </w:rPr>
        <w:t>Pojava neželjenih dejstava</w:t>
      </w:r>
      <w:r w:rsidR="00B23AA7" w:rsidRPr="006E21C7">
        <w:rPr>
          <w:sz w:val="22"/>
          <w:szCs w:val="22"/>
        </w:rPr>
        <w:t xml:space="preserve"> </w:t>
      </w:r>
      <w:r w:rsidR="00EC3A57" w:rsidRPr="006E21C7">
        <w:rPr>
          <w:sz w:val="22"/>
          <w:szCs w:val="22"/>
        </w:rPr>
        <w:t>može spriječiti liječenje pacijenata</w:t>
      </w:r>
      <w:r w:rsidR="00B23AA7" w:rsidRPr="006E21C7">
        <w:rPr>
          <w:sz w:val="22"/>
          <w:szCs w:val="22"/>
        </w:rPr>
        <w:t xml:space="preserve"> </w:t>
      </w:r>
      <w:r w:rsidRPr="006E21C7">
        <w:rPr>
          <w:sz w:val="22"/>
          <w:szCs w:val="22"/>
        </w:rPr>
        <w:t>maksimaln</w:t>
      </w:r>
      <w:r w:rsidR="00EC3A57" w:rsidRPr="006E21C7">
        <w:rPr>
          <w:sz w:val="22"/>
          <w:szCs w:val="22"/>
        </w:rPr>
        <w:t>om</w:t>
      </w:r>
      <w:r w:rsidR="00B23AA7" w:rsidRPr="006E21C7">
        <w:rPr>
          <w:sz w:val="22"/>
          <w:szCs w:val="22"/>
        </w:rPr>
        <w:t xml:space="preserve"> </w:t>
      </w:r>
      <w:r w:rsidRPr="006E21C7">
        <w:rPr>
          <w:sz w:val="22"/>
          <w:szCs w:val="22"/>
        </w:rPr>
        <w:t>preporučen</w:t>
      </w:r>
      <w:r w:rsidR="00EC3A57" w:rsidRPr="006E21C7">
        <w:rPr>
          <w:sz w:val="22"/>
          <w:szCs w:val="22"/>
        </w:rPr>
        <w:t>om</w:t>
      </w:r>
      <w:r w:rsidRPr="006E21C7">
        <w:rPr>
          <w:sz w:val="22"/>
          <w:szCs w:val="22"/>
        </w:rPr>
        <w:t xml:space="preserve"> doz</w:t>
      </w:r>
      <w:r w:rsidR="00EC3A57" w:rsidRPr="006E21C7">
        <w:rPr>
          <w:sz w:val="22"/>
          <w:szCs w:val="22"/>
        </w:rPr>
        <w:t>om</w:t>
      </w:r>
      <w:r w:rsidRPr="006E21C7">
        <w:rPr>
          <w:sz w:val="22"/>
          <w:szCs w:val="22"/>
        </w:rPr>
        <w:t>.</w:t>
      </w:r>
    </w:p>
    <w:p w:rsidR="00356F64" w:rsidRPr="006E21C7" w:rsidRDefault="00356F64" w:rsidP="00B23AA7">
      <w:pPr>
        <w:jc w:val="both"/>
        <w:rPr>
          <w:sz w:val="22"/>
          <w:szCs w:val="22"/>
        </w:rPr>
      </w:pPr>
      <w:r w:rsidRPr="006E21C7">
        <w:rPr>
          <w:sz w:val="22"/>
          <w:szCs w:val="22"/>
        </w:rPr>
        <w:t>Ako je neophodno, postignuta doza se može postepeno smanjivati i ponovo uvesti prema potrebi.</w:t>
      </w:r>
    </w:p>
    <w:p w:rsidR="00356F64" w:rsidRPr="006E21C7" w:rsidRDefault="00356F64" w:rsidP="00B23AA7">
      <w:pPr>
        <w:jc w:val="both"/>
        <w:rPr>
          <w:color w:val="000000"/>
          <w:sz w:val="22"/>
          <w:szCs w:val="22"/>
        </w:rPr>
      </w:pPr>
      <w:r w:rsidRPr="006E21C7">
        <w:rPr>
          <w:color w:val="000000"/>
          <w:sz w:val="22"/>
          <w:szCs w:val="22"/>
        </w:rPr>
        <w:t xml:space="preserve">Tokom faze </w:t>
      </w:r>
      <w:r w:rsidR="005B231E" w:rsidRPr="006E21C7">
        <w:rPr>
          <w:color w:val="000000"/>
          <w:sz w:val="22"/>
          <w:szCs w:val="22"/>
        </w:rPr>
        <w:t>titracije</w:t>
      </w:r>
      <w:r w:rsidRPr="006E21C7">
        <w:rPr>
          <w:color w:val="000000"/>
          <w:sz w:val="22"/>
          <w:szCs w:val="22"/>
        </w:rPr>
        <w:t>, u slučaju pogoršavanja srčane insuficijencije ili netolerancije, preporučuje se da se prvo redukuje doza nebivolola ili</w:t>
      </w:r>
      <w:r w:rsidR="005B231E" w:rsidRPr="006E21C7">
        <w:rPr>
          <w:color w:val="000000"/>
          <w:sz w:val="22"/>
          <w:szCs w:val="22"/>
        </w:rPr>
        <w:t xml:space="preserve"> </w:t>
      </w:r>
      <w:r w:rsidRPr="006E21C7">
        <w:rPr>
          <w:color w:val="000000"/>
          <w:sz w:val="22"/>
          <w:szCs w:val="22"/>
        </w:rPr>
        <w:t>da se odmah prekine liječenje</w:t>
      </w:r>
      <w:r w:rsidR="00A32ACD" w:rsidRPr="006E21C7">
        <w:rPr>
          <w:color w:val="000000"/>
          <w:sz w:val="22"/>
          <w:szCs w:val="22"/>
        </w:rPr>
        <w:t>,</w:t>
      </w:r>
      <w:r w:rsidRPr="006E21C7">
        <w:rPr>
          <w:color w:val="000000"/>
          <w:sz w:val="22"/>
          <w:szCs w:val="22"/>
        </w:rPr>
        <w:t xml:space="preserve"> ako je to neophodno (u slučaju teške hipotenzije, pogoršavanj</w:t>
      </w:r>
      <w:r w:rsidR="00A97EAB" w:rsidRPr="006E21C7">
        <w:rPr>
          <w:color w:val="000000"/>
          <w:sz w:val="22"/>
          <w:szCs w:val="22"/>
        </w:rPr>
        <w:t>a</w:t>
      </w:r>
      <w:r w:rsidRPr="006E21C7">
        <w:rPr>
          <w:color w:val="000000"/>
          <w:sz w:val="22"/>
          <w:szCs w:val="22"/>
        </w:rPr>
        <w:t xml:space="preserve"> srčane insuficijencije sa akutnim edemom pluća, kardigenog šoka, simptomatske bradikardije ili AV bloka).</w:t>
      </w:r>
    </w:p>
    <w:p w:rsidR="00356F64" w:rsidRPr="006E21C7" w:rsidRDefault="00356F64" w:rsidP="00B23AA7">
      <w:pPr>
        <w:jc w:val="both"/>
        <w:rPr>
          <w:color w:val="000000"/>
          <w:sz w:val="22"/>
          <w:szCs w:val="22"/>
        </w:rPr>
      </w:pPr>
      <w:r w:rsidRPr="006E21C7">
        <w:rPr>
          <w:color w:val="000000"/>
          <w:sz w:val="22"/>
          <w:szCs w:val="22"/>
        </w:rPr>
        <w:t xml:space="preserve">Terapija stabilne hronične </w:t>
      </w:r>
      <w:r w:rsidR="00A97EAB" w:rsidRPr="006E21C7">
        <w:rPr>
          <w:color w:val="000000"/>
          <w:sz w:val="22"/>
          <w:szCs w:val="22"/>
        </w:rPr>
        <w:t xml:space="preserve">srčane </w:t>
      </w:r>
      <w:r w:rsidRPr="006E21C7">
        <w:rPr>
          <w:color w:val="000000"/>
          <w:sz w:val="22"/>
          <w:szCs w:val="22"/>
        </w:rPr>
        <w:t xml:space="preserve">insuficijencije sa nebivololom je generalno dugotrajna. </w:t>
      </w:r>
    </w:p>
    <w:p w:rsidR="00356F64" w:rsidRPr="006E21C7" w:rsidRDefault="00356F64" w:rsidP="00B23AA7">
      <w:pPr>
        <w:jc w:val="both"/>
        <w:rPr>
          <w:color w:val="000000"/>
          <w:sz w:val="22"/>
          <w:szCs w:val="22"/>
        </w:rPr>
      </w:pPr>
      <w:r w:rsidRPr="006E21C7">
        <w:rPr>
          <w:color w:val="000000"/>
          <w:sz w:val="22"/>
          <w:szCs w:val="22"/>
        </w:rPr>
        <w:t>Terapija sa nebivololom se ne smije naglo prekidati</w:t>
      </w:r>
      <w:r w:rsidR="00A32ACD" w:rsidRPr="006E21C7">
        <w:rPr>
          <w:color w:val="000000"/>
          <w:sz w:val="22"/>
          <w:szCs w:val="22"/>
        </w:rPr>
        <w:t>,</w:t>
      </w:r>
      <w:r w:rsidRPr="006E21C7">
        <w:rPr>
          <w:color w:val="000000"/>
          <w:sz w:val="22"/>
          <w:szCs w:val="22"/>
        </w:rPr>
        <w:t xml:space="preserve"> jer može da dovede do prolaznog pogoršanja srčane insuficijencije. Ako je prekid terapije neophodan, doza lijeka se mora postepeno smanjivati na pol</w:t>
      </w:r>
      <w:r w:rsidR="00A97EAB" w:rsidRPr="006E21C7">
        <w:rPr>
          <w:color w:val="000000"/>
          <w:sz w:val="22"/>
          <w:szCs w:val="22"/>
        </w:rPr>
        <w:t>a u razmaku od nedjelju dana</w:t>
      </w:r>
      <w:r w:rsidRPr="006E21C7">
        <w:rPr>
          <w:color w:val="000000"/>
          <w:sz w:val="22"/>
          <w:szCs w:val="22"/>
        </w:rPr>
        <w:t xml:space="preserve">. </w:t>
      </w:r>
    </w:p>
    <w:p w:rsidR="00356F64" w:rsidRPr="006E21C7" w:rsidRDefault="00356F64" w:rsidP="00B23AA7">
      <w:pPr>
        <w:jc w:val="both"/>
        <w:rPr>
          <w:sz w:val="22"/>
          <w:szCs w:val="22"/>
        </w:rPr>
      </w:pPr>
    </w:p>
    <w:p w:rsidR="0032605C" w:rsidRDefault="0032605C" w:rsidP="00B23AA7">
      <w:pPr>
        <w:jc w:val="both"/>
        <w:rPr>
          <w:i/>
          <w:color w:val="000000"/>
          <w:sz w:val="22"/>
          <w:szCs w:val="22"/>
        </w:rPr>
      </w:pPr>
    </w:p>
    <w:p w:rsidR="00356F64" w:rsidRPr="006E21C7" w:rsidRDefault="00356F64" w:rsidP="00B23AA7">
      <w:pPr>
        <w:jc w:val="both"/>
        <w:rPr>
          <w:i/>
          <w:color w:val="000000"/>
          <w:sz w:val="22"/>
          <w:szCs w:val="22"/>
        </w:rPr>
      </w:pPr>
      <w:r w:rsidRPr="006E21C7">
        <w:rPr>
          <w:i/>
          <w:color w:val="000000"/>
          <w:sz w:val="22"/>
          <w:szCs w:val="22"/>
        </w:rPr>
        <w:lastRenderedPageBreak/>
        <w:t>Pacijenti sa renalnom</w:t>
      </w:r>
      <w:r w:rsidR="00B23AA7" w:rsidRPr="006E21C7">
        <w:rPr>
          <w:i/>
          <w:color w:val="000000"/>
          <w:sz w:val="22"/>
          <w:szCs w:val="22"/>
        </w:rPr>
        <w:t xml:space="preserve"> </w:t>
      </w:r>
      <w:r w:rsidRPr="006E21C7">
        <w:rPr>
          <w:i/>
          <w:color w:val="000000"/>
          <w:sz w:val="22"/>
          <w:szCs w:val="22"/>
        </w:rPr>
        <w:t>insuficijencijom</w:t>
      </w:r>
      <w:r w:rsidR="00A97EAB" w:rsidRPr="006E21C7">
        <w:rPr>
          <w:i/>
          <w:color w:val="000000"/>
          <w:sz w:val="22"/>
          <w:szCs w:val="22"/>
        </w:rPr>
        <w:t xml:space="preserve"> i hroničnom srčanom insuficijencijom</w:t>
      </w:r>
    </w:p>
    <w:p w:rsidR="00356F64" w:rsidRPr="006E21C7" w:rsidRDefault="00356F64" w:rsidP="00B23AA7">
      <w:pPr>
        <w:jc w:val="both"/>
        <w:rPr>
          <w:i/>
          <w:color w:val="000000"/>
          <w:sz w:val="22"/>
          <w:szCs w:val="22"/>
        </w:rPr>
      </w:pPr>
    </w:p>
    <w:p w:rsidR="00356F64" w:rsidRPr="006E21C7" w:rsidRDefault="00356F64" w:rsidP="00B23AA7">
      <w:pPr>
        <w:jc w:val="both"/>
        <w:rPr>
          <w:color w:val="000000"/>
          <w:sz w:val="22"/>
          <w:szCs w:val="22"/>
        </w:rPr>
      </w:pPr>
      <w:r w:rsidRPr="006E21C7">
        <w:rPr>
          <w:color w:val="000000"/>
          <w:sz w:val="22"/>
          <w:szCs w:val="22"/>
        </w:rPr>
        <w:t xml:space="preserve">Nije potrebno podešavanje doze kod blage do umjerene bubrežne insuficijencije, jer </w:t>
      </w:r>
      <w:r w:rsidR="00A97EAB" w:rsidRPr="006E21C7">
        <w:rPr>
          <w:color w:val="000000"/>
          <w:sz w:val="22"/>
          <w:szCs w:val="22"/>
        </w:rPr>
        <w:t>se doza titriranjem povećava do najveće podnošljive za svakog pacijenta individualno.</w:t>
      </w:r>
      <w:r w:rsidR="00B23AA7" w:rsidRPr="006E21C7">
        <w:rPr>
          <w:color w:val="000000"/>
          <w:sz w:val="22"/>
          <w:szCs w:val="22"/>
        </w:rPr>
        <w:t xml:space="preserve"> </w:t>
      </w:r>
      <w:r w:rsidRPr="006E21C7">
        <w:rPr>
          <w:color w:val="000000"/>
          <w:sz w:val="22"/>
          <w:szCs w:val="22"/>
        </w:rPr>
        <w:t xml:space="preserve">Nema iskustva </w:t>
      </w:r>
      <w:r w:rsidR="00A97EAB" w:rsidRPr="006E21C7">
        <w:rPr>
          <w:color w:val="000000"/>
          <w:sz w:val="22"/>
          <w:szCs w:val="22"/>
        </w:rPr>
        <w:t xml:space="preserve">u liječenju </w:t>
      </w:r>
      <w:r w:rsidRPr="006E21C7">
        <w:rPr>
          <w:color w:val="000000"/>
          <w:sz w:val="22"/>
          <w:szCs w:val="22"/>
        </w:rPr>
        <w:t>pacijenata sa teškom bubrežnom insuficijencijom (kreatin u serumu ≥ 250 μmol/</w:t>
      </w:r>
      <w:r w:rsidR="00A32ACD" w:rsidRPr="006E21C7">
        <w:rPr>
          <w:color w:val="000000"/>
          <w:sz w:val="22"/>
          <w:szCs w:val="22"/>
        </w:rPr>
        <w:t>L</w:t>
      </w:r>
      <w:r w:rsidRPr="006E21C7">
        <w:rPr>
          <w:color w:val="000000"/>
          <w:sz w:val="22"/>
          <w:szCs w:val="22"/>
        </w:rPr>
        <w:t xml:space="preserve">). </w:t>
      </w:r>
      <w:r w:rsidR="00A97EAB" w:rsidRPr="006E21C7">
        <w:rPr>
          <w:color w:val="000000"/>
          <w:sz w:val="22"/>
          <w:szCs w:val="22"/>
        </w:rPr>
        <w:t>Zbog toga</w:t>
      </w:r>
      <w:r w:rsidR="00B23AA7" w:rsidRPr="006E21C7">
        <w:rPr>
          <w:color w:val="000000"/>
          <w:sz w:val="22"/>
          <w:szCs w:val="22"/>
        </w:rPr>
        <w:t xml:space="preserve"> </w:t>
      </w:r>
      <w:r w:rsidRPr="006E21C7">
        <w:rPr>
          <w:color w:val="000000"/>
          <w:sz w:val="22"/>
          <w:szCs w:val="22"/>
        </w:rPr>
        <w:t xml:space="preserve">se primjena nebivolola ne preporučuje kod ovih pacijenata. </w:t>
      </w:r>
    </w:p>
    <w:p w:rsidR="00356F64" w:rsidRPr="006E21C7" w:rsidRDefault="00356F64" w:rsidP="00B23AA7">
      <w:pPr>
        <w:jc w:val="both"/>
        <w:rPr>
          <w:color w:val="000000"/>
          <w:sz w:val="22"/>
          <w:szCs w:val="22"/>
        </w:rPr>
      </w:pPr>
    </w:p>
    <w:p w:rsidR="00356F64" w:rsidRPr="006E21C7" w:rsidRDefault="00356F64" w:rsidP="00B23AA7">
      <w:pPr>
        <w:jc w:val="both"/>
        <w:rPr>
          <w:i/>
          <w:color w:val="000000"/>
          <w:sz w:val="22"/>
          <w:szCs w:val="22"/>
        </w:rPr>
      </w:pPr>
      <w:r w:rsidRPr="006E21C7">
        <w:rPr>
          <w:i/>
          <w:color w:val="000000"/>
          <w:sz w:val="22"/>
          <w:szCs w:val="22"/>
        </w:rPr>
        <w:t>Pacijeti sa insuficijencijom jetre</w:t>
      </w:r>
      <w:r w:rsidR="00A97EAB" w:rsidRPr="006E21C7">
        <w:rPr>
          <w:sz w:val="22"/>
          <w:szCs w:val="22"/>
        </w:rPr>
        <w:t xml:space="preserve"> </w:t>
      </w:r>
      <w:r w:rsidR="00A97EAB" w:rsidRPr="006E21C7">
        <w:rPr>
          <w:i/>
          <w:color w:val="000000"/>
          <w:sz w:val="22"/>
          <w:szCs w:val="22"/>
        </w:rPr>
        <w:t>i hroničnom srčanom insuficijencijom</w:t>
      </w:r>
    </w:p>
    <w:p w:rsidR="00356F64" w:rsidRPr="006E21C7" w:rsidRDefault="00356F64" w:rsidP="00B23AA7">
      <w:pPr>
        <w:jc w:val="both"/>
        <w:rPr>
          <w:i/>
          <w:color w:val="000000"/>
          <w:sz w:val="22"/>
          <w:szCs w:val="22"/>
        </w:rPr>
      </w:pPr>
    </w:p>
    <w:p w:rsidR="00356F64" w:rsidRPr="006E21C7" w:rsidRDefault="00A97EAB" w:rsidP="00B23AA7">
      <w:pPr>
        <w:jc w:val="both"/>
        <w:rPr>
          <w:color w:val="000000"/>
          <w:sz w:val="22"/>
          <w:szCs w:val="22"/>
        </w:rPr>
      </w:pPr>
      <w:r w:rsidRPr="006E21C7">
        <w:rPr>
          <w:sz w:val="22"/>
          <w:szCs w:val="22"/>
        </w:rPr>
        <w:t>Ograničeni su podaci kod pacijenata sa hepatičnom insuficijencijom.</w:t>
      </w:r>
      <w:r w:rsidR="00FD3280" w:rsidRPr="006E21C7">
        <w:rPr>
          <w:sz w:val="22"/>
          <w:szCs w:val="22"/>
        </w:rPr>
        <w:t xml:space="preserve"> </w:t>
      </w:r>
      <w:r w:rsidR="00356F64" w:rsidRPr="006E21C7">
        <w:rPr>
          <w:sz w:val="22"/>
          <w:szCs w:val="22"/>
        </w:rPr>
        <w:t>Iz tih razloga je primjena lijeka</w:t>
      </w:r>
      <w:r w:rsidR="00955891" w:rsidRPr="006E21C7">
        <w:rPr>
          <w:sz w:val="22"/>
          <w:szCs w:val="22"/>
        </w:rPr>
        <w:t xml:space="preserve"> Nibel</w:t>
      </w:r>
      <w:r w:rsidR="00356F64" w:rsidRPr="006E21C7">
        <w:rPr>
          <w:color w:val="000000"/>
          <w:sz w:val="22"/>
          <w:szCs w:val="22"/>
        </w:rPr>
        <w:t xml:space="preserve"> kod </w:t>
      </w:r>
      <w:r w:rsidRPr="006E21C7">
        <w:rPr>
          <w:color w:val="000000"/>
          <w:sz w:val="22"/>
          <w:szCs w:val="22"/>
        </w:rPr>
        <w:t>ovih pacijenata</w:t>
      </w:r>
      <w:r w:rsidR="00B23AA7" w:rsidRPr="006E21C7">
        <w:rPr>
          <w:color w:val="000000"/>
          <w:sz w:val="22"/>
          <w:szCs w:val="22"/>
        </w:rPr>
        <w:t xml:space="preserve"> </w:t>
      </w:r>
      <w:r w:rsidR="00356F64" w:rsidRPr="006E21C7">
        <w:rPr>
          <w:color w:val="000000"/>
          <w:sz w:val="22"/>
          <w:szCs w:val="22"/>
        </w:rPr>
        <w:t>kontraindikovana.</w:t>
      </w:r>
    </w:p>
    <w:p w:rsidR="00FD3280" w:rsidRPr="006E21C7" w:rsidRDefault="00FD3280" w:rsidP="00B23AA7">
      <w:pPr>
        <w:jc w:val="both"/>
        <w:rPr>
          <w:color w:val="000000"/>
          <w:sz w:val="22"/>
          <w:szCs w:val="22"/>
        </w:rPr>
      </w:pPr>
    </w:p>
    <w:p w:rsidR="00356F64" w:rsidRPr="006E21C7" w:rsidRDefault="00750510" w:rsidP="00B23AA7">
      <w:pPr>
        <w:jc w:val="both"/>
        <w:rPr>
          <w:i/>
          <w:color w:val="000000"/>
          <w:sz w:val="22"/>
          <w:szCs w:val="22"/>
        </w:rPr>
      </w:pPr>
      <w:r w:rsidRPr="006E21C7">
        <w:rPr>
          <w:i/>
          <w:color w:val="000000"/>
          <w:sz w:val="22"/>
          <w:szCs w:val="22"/>
        </w:rPr>
        <w:t>Starije osobe sa hroničnom srčanom insuficijencijom</w:t>
      </w:r>
    </w:p>
    <w:p w:rsidR="00FD3280" w:rsidRPr="006E21C7" w:rsidRDefault="00FD3280" w:rsidP="00B23AA7">
      <w:pPr>
        <w:jc w:val="both"/>
        <w:rPr>
          <w:i/>
          <w:color w:val="000000"/>
          <w:sz w:val="22"/>
          <w:szCs w:val="22"/>
        </w:rPr>
      </w:pPr>
    </w:p>
    <w:p w:rsidR="00B02F81" w:rsidRPr="006E21C7" w:rsidRDefault="00356F64" w:rsidP="00B23AA7">
      <w:pPr>
        <w:jc w:val="both"/>
        <w:rPr>
          <w:color w:val="000000"/>
          <w:sz w:val="22"/>
          <w:szCs w:val="22"/>
        </w:rPr>
      </w:pPr>
      <w:r w:rsidRPr="006E21C7">
        <w:rPr>
          <w:color w:val="000000"/>
          <w:sz w:val="22"/>
          <w:szCs w:val="22"/>
        </w:rPr>
        <w:t xml:space="preserve">Nije potrebno podešavanje doze, </w:t>
      </w:r>
      <w:r w:rsidR="00750510" w:rsidRPr="006E21C7">
        <w:rPr>
          <w:color w:val="000000"/>
          <w:sz w:val="22"/>
          <w:szCs w:val="22"/>
        </w:rPr>
        <w:t>s obzirom da se povećanje doze do najveće podnošljive doze prilagođava svakom pojedinom pacijentu.</w:t>
      </w:r>
    </w:p>
    <w:p w:rsidR="00B02F81" w:rsidRPr="006E21C7" w:rsidRDefault="00B02F81" w:rsidP="00B23AA7">
      <w:pPr>
        <w:shd w:val="clear" w:color="auto" w:fill="FFFFFF"/>
        <w:jc w:val="both"/>
        <w:rPr>
          <w:color w:val="000000"/>
          <w:sz w:val="22"/>
          <w:szCs w:val="22"/>
        </w:rPr>
      </w:pPr>
    </w:p>
    <w:p w:rsidR="00D2253C" w:rsidRPr="006E21C7" w:rsidRDefault="00A274E0" w:rsidP="00B23AA7">
      <w:pPr>
        <w:shd w:val="clear" w:color="auto" w:fill="FFFFFF"/>
        <w:jc w:val="both"/>
        <w:rPr>
          <w:color w:val="000000"/>
          <w:sz w:val="22"/>
          <w:szCs w:val="22"/>
        </w:rPr>
      </w:pPr>
      <w:r w:rsidRPr="006E21C7">
        <w:rPr>
          <w:i/>
          <w:iCs/>
          <w:color w:val="000000"/>
          <w:sz w:val="22"/>
          <w:szCs w:val="22"/>
        </w:rPr>
        <w:t>Pedijatrijska populacija</w:t>
      </w:r>
      <w:r w:rsidR="00750510" w:rsidRPr="006E21C7">
        <w:rPr>
          <w:i/>
          <w:iCs/>
          <w:color w:val="000000"/>
          <w:sz w:val="22"/>
          <w:szCs w:val="22"/>
        </w:rPr>
        <w:t xml:space="preserve"> sa hroničnom srčanom insuficijencijom</w:t>
      </w:r>
    </w:p>
    <w:p w:rsidR="00D2253C" w:rsidRPr="006E21C7" w:rsidRDefault="00D2253C" w:rsidP="00B23AA7">
      <w:pPr>
        <w:shd w:val="clear" w:color="auto" w:fill="FFFFFF"/>
        <w:jc w:val="both"/>
        <w:rPr>
          <w:color w:val="000000"/>
          <w:sz w:val="22"/>
          <w:szCs w:val="22"/>
        </w:rPr>
      </w:pPr>
    </w:p>
    <w:p w:rsidR="00A01604" w:rsidRPr="006E21C7" w:rsidRDefault="00750510" w:rsidP="00B23AA7">
      <w:pPr>
        <w:shd w:val="clear" w:color="auto" w:fill="FFFFFF"/>
        <w:jc w:val="both"/>
        <w:rPr>
          <w:color w:val="000000"/>
          <w:sz w:val="22"/>
          <w:szCs w:val="22"/>
        </w:rPr>
      </w:pPr>
      <w:r w:rsidRPr="006E21C7">
        <w:rPr>
          <w:noProof w:val="0"/>
          <w:color w:val="000000"/>
          <w:sz w:val="22"/>
          <w:szCs w:val="22"/>
          <w:lang w:eastAsia="hr-HR"/>
        </w:rPr>
        <w:t>Ni</w:t>
      </w:r>
      <w:r w:rsidR="00FD3280" w:rsidRPr="006E21C7">
        <w:rPr>
          <w:noProof w:val="0"/>
          <w:color w:val="000000"/>
          <w:sz w:val="22"/>
          <w:szCs w:val="22"/>
          <w:lang w:eastAsia="hr-HR"/>
        </w:rPr>
        <w:t>je</w:t>
      </w:r>
      <w:r w:rsidRPr="006E21C7">
        <w:rPr>
          <w:noProof w:val="0"/>
          <w:color w:val="000000"/>
          <w:sz w:val="22"/>
          <w:szCs w:val="22"/>
          <w:lang w:eastAsia="hr-HR"/>
        </w:rPr>
        <w:t xml:space="preserve">su sprovodena klinička ispitivanja </w:t>
      </w:r>
      <w:r w:rsidR="00A274E0" w:rsidRPr="006E21C7">
        <w:rPr>
          <w:noProof w:val="0"/>
          <w:color w:val="000000"/>
          <w:sz w:val="22"/>
          <w:szCs w:val="22"/>
          <w:lang w:eastAsia="hr-HR"/>
        </w:rPr>
        <w:t xml:space="preserve">kod djece </w:t>
      </w:r>
      <w:r w:rsidR="00A01604" w:rsidRPr="006E21C7">
        <w:rPr>
          <w:noProof w:val="0"/>
          <w:color w:val="000000"/>
          <w:sz w:val="22"/>
          <w:szCs w:val="22"/>
          <w:lang w:eastAsia="hr-HR"/>
        </w:rPr>
        <w:t>i</w:t>
      </w:r>
      <w:r w:rsidR="00A274E0" w:rsidRPr="006E21C7">
        <w:rPr>
          <w:noProof w:val="0"/>
          <w:color w:val="000000"/>
          <w:sz w:val="22"/>
          <w:szCs w:val="22"/>
          <w:lang w:eastAsia="hr-HR"/>
        </w:rPr>
        <w:t xml:space="preserve"> adole</w:t>
      </w:r>
      <w:r w:rsidR="00A01604" w:rsidRPr="006E21C7">
        <w:rPr>
          <w:noProof w:val="0"/>
          <w:color w:val="000000"/>
          <w:sz w:val="22"/>
          <w:szCs w:val="22"/>
          <w:lang w:eastAsia="hr-HR"/>
        </w:rPr>
        <w:t>scenata</w:t>
      </w:r>
      <w:r w:rsidRPr="006E21C7">
        <w:rPr>
          <w:noProof w:val="0"/>
          <w:color w:val="000000"/>
          <w:sz w:val="22"/>
          <w:szCs w:val="22"/>
          <w:lang w:eastAsia="hr-HR"/>
        </w:rPr>
        <w:t>.</w:t>
      </w:r>
      <w:r w:rsidR="00B23AA7" w:rsidRPr="006E21C7">
        <w:rPr>
          <w:noProof w:val="0"/>
          <w:color w:val="000000"/>
          <w:sz w:val="22"/>
          <w:szCs w:val="22"/>
          <w:lang w:eastAsia="hr-HR"/>
        </w:rPr>
        <w:t xml:space="preserve"> </w:t>
      </w:r>
      <w:r w:rsidRPr="006E21C7">
        <w:rPr>
          <w:sz w:val="22"/>
          <w:szCs w:val="22"/>
        </w:rPr>
        <w:t xml:space="preserve">Zbog </w:t>
      </w:r>
      <w:r w:rsidR="00356F64" w:rsidRPr="006E21C7">
        <w:rPr>
          <w:sz w:val="22"/>
          <w:szCs w:val="22"/>
        </w:rPr>
        <w:t xml:space="preserve">toga </w:t>
      </w:r>
      <w:r w:rsidR="00356F64" w:rsidRPr="006E21C7">
        <w:rPr>
          <w:color w:val="000000"/>
          <w:sz w:val="22"/>
          <w:szCs w:val="22"/>
        </w:rPr>
        <w:t>se primjena kod djece i adolescenata ne preporučuje.</w:t>
      </w:r>
      <w:r w:rsidR="0092319F" w:rsidRPr="006E21C7">
        <w:rPr>
          <w:color w:val="000000"/>
          <w:sz w:val="22"/>
          <w:szCs w:val="22"/>
        </w:rPr>
        <w:t xml:space="preserve"> </w:t>
      </w:r>
    </w:p>
    <w:p w:rsidR="00A01604" w:rsidRPr="006E21C7" w:rsidRDefault="00A01604" w:rsidP="00B23AA7">
      <w:pPr>
        <w:jc w:val="both"/>
        <w:rPr>
          <w:sz w:val="22"/>
          <w:szCs w:val="22"/>
        </w:rPr>
      </w:pPr>
    </w:p>
    <w:p w:rsidR="00A01604" w:rsidRPr="006E21C7" w:rsidRDefault="00A01604" w:rsidP="00B23AA7">
      <w:pPr>
        <w:jc w:val="both"/>
        <w:rPr>
          <w:sz w:val="22"/>
          <w:szCs w:val="22"/>
          <w:u w:val="single"/>
        </w:rPr>
      </w:pPr>
      <w:r w:rsidRPr="006E21C7">
        <w:rPr>
          <w:sz w:val="22"/>
          <w:szCs w:val="22"/>
          <w:u w:val="single"/>
        </w:rPr>
        <w:t>Način primjene</w:t>
      </w:r>
    </w:p>
    <w:p w:rsidR="00A01604" w:rsidRPr="006E21C7" w:rsidRDefault="00A01604" w:rsidP="00B23AA7">
      <w:pPr>
        <w:jc w:val="both"/>
        <w:rPr>
          <w:i/>
          <w:sz w:val="22"/>
          <w:szCs w:val="22"/>
        </w:rPr>
      </w:pPr>
    </w:p>
    <w:p w:rsidR="00A01604" w:rsidRPr="006E21C7" w:rsidRDefault="00750510" w:rsidP="00B23AA7">
      <w:pPr>
        <w:jc w:val="both"/>
        <w:rPr>
          <w:sz w:val="22"/>
          <w:szCs w:val="22"/>
        </w:rPr>
      </w:pPr>
      <w:r w:rsidRPr="006E21C7">
        <w:rPr>
          <w:sz w:val="22"/>
          <w:szCs w:val="22"/>
        </w:rPr>
        <w:t>Lijek Nibel je namijenjen za o</w:t>
      </w:r>
      <w:r w:rsidR="00A01604" w:rsidRPr="006E21C7">
        <w:rPr>
          <w:sz w:val="22"/>
          <w:szCs w:val="22"/>
        </w:rPr>
        <w:t>raln</w:t>
      </w:r>
      <w:r w:rsidRPr="006E21C7">
        <w:rPr>
          <w:sz w:val="22"/>
          <w:szCs w:val="22"/>
        </w:rPr>
        <w:t>u primjenu.</w:t>
      </w:r>
      <w:r w:rsidR="00A01604" w:rsidRPr="006E21C7">
        <w:rPr>
          <w:sz w:val="22"/>
          <w:szCs w:val="22"/>
        </w:rPr>
        <w:t>Tablete se mogu uz</w:t>
      </w:r>
      <w:r w:rsidRPr="006E21C7">
        <w:rPr>
          <w:sz w:val="22"/>
          <w:szCs w:val="22"/>
        </w:rPr>
        <w:t>imati sa hranom.</w:t>
      </w:r>
    </w:p>
    <w:p w:rsidR="00A01604" w:rsidRPr="006E21C7" w:rsidRDefault="00A01604" w:rsidP="00B23AA7">
      <w:pPr>
        <w:jc w:val="both"/>
        <w:rPr>
          <w:sz w:val="22"/>
          <w:szCs w:val="22"/>
        </w:rPr>
      </w:pPr>
    </w:p>
    <w:p w:rsidR="00356F64" w:rsidRPr="006E21C7" w:rsidRDefault="003C3404" w:rsidP="00B23AA7">
      <w:pPr>
        <w:tabs>
          <w:tab w:val="left" w:pos="540"/>
          <w:tab w:val="left" w:pos="569"/>
        </w:tabs>
        <w:jc w:val="both"/>
        <w:rPr>
          <w:b/>
          <w:bCs/>
          <w:sz w:val="22"/>
          <w:szCs w:val="22"/>
        </w:rPr>
      </w:pPr>
      <w:r w:rsidRPr="006E21C7">
        <w:rPr>
          <w:b/>
          <w:bCs/>
          <w:sz w:val="22"/>
          <w:szCs w:val="22"/>
        </w:rPr>
        <w:t xml:space="preserve">4.3. </w:t>
      </w:r>
      <w:r w:rsidR="00356F64" w:rsidRPr="006E21C7">
        <w:rPr>
          <w:b/>
          <w:bCs/>
          <w:sz w:val="22"/>
          <w:szCs w:val="22"/>
        </w:rPr>
        <w:t>Kontraindikacije</w:t>
      </w:r>
    </w:p>
    <w:p w:rsidR="00E02C2F" w:rsidRPr="006E21C7" w:rsidRDefault="00E02C2F" w:rsidP="00B23AA7">
      <w:pPr>
        <w:tabs>
          <w:tab w:val="left" w:pos="540"/>
          <w:tab w:val="left" w:pos="569"/>
        </w:tabs>
        <w:jc w:val="both"/>
        <w:rPr>
          <w:b/>
          <w:bCs/>
          <w:sz w:val="22"/>
          <w:szCs w:val="22"/>
        </w:rPr>
      </w:pPr>
    </w:p>
    <w:p w:rsidR="00356F64" w:rsidRPr="006E21C7" w:rsidRDefault="00356F64" w:rsidP="00B23AA7">
      <w:pPr>
        <w:jc w:val="both"/>
        <w:rPr>
          <w:color w:val="000000"/>
          <w:sz w:val="22"/>
          <w:szCs w:val="22"/>
        </w:rPr>
      </w:pPr>
      <w:r w:rsidRPr="006E21C7">
        <w:rPr>
          <w:color w:val="000000"/>
          <w:sz w:val="22"/>
          <w:szCs w:val="22"/>
        </w:rPr>
        <w:t>-</w:t>
      </w:r>
      <w:r w:rsidR="00B23AA7" w:rsidRPr="006E21C7">
        <w:rPr>
          <w:color w:val="000000"/>
          <w:sz w:val="22"/>
          <w:szCs w:val="22"/>
        </w:rPr>
        <w:t xml:space="preserve"> </w:t>
      </w:r>
      <w:r w:rsidR="00E02C2F" w:rsidRPr="006E21C7">
        <w:rPr>
          <w:color w:val="000000"/>
          <w:sz w:val="22"/>
          <w:szCs w:val="22"/>
        </w:rPr>
        <w:t xml:space="preserve">Preosjetljivost na aktivnu supstancu ili na bilo koju od pomoćnih supstanci (vidjeti </w:t>
      </w:r>
      <w:r w:rsidR="00FD3280" w:rsidRPr="006E21C7">
        <w:rPr>
          <w:color w:val="000000"/>
          <w:sz w:val="22"/>
          <w:szCs w:val="22"/>
        </w:rPr>
        <w:t>dio</w:t>
      </w:r>
      <w:r w:rsidR="00DF1F55" w:rsidRPr="006E21C7">
        <w:rPr>
          <w:color w:val="000000"/>
          <w:sz w:val="22"/>
          <w:szCs w:val="22"/>
        </w:rPr>
        <w:t xml:space="preserve"> 6.1)</w:t>
      </w:r>
      <w:r w:rsidR="00A32ACD" w:rsidRPr="006E21C7">
        <w:rPr>
          <w:color w:val="000000"/>
          <w:sz w:val="22"/>
          <w:szCs w:val="22"/>
        </w:rPr>
        <w:t>.</w:t>
      </w:r>
    </w:p>
    <w:p w:rsidR="00356F64" w:rsidRPr="006E21C7" w:rsidRDefault="00356F64" w:rsidP="00B23AA7">
      <w:pPr>
        <w:jc w:val="both"/>
        <w:rPr>
          <w:color w:val="000000"/>
          <w:sz w:val="22"/>
          <w:szCs w:val="22"/>
        </w:rPr>
      </w:pPr>
      <w:r w:rsidRPr="006E21C7">
        <w:rPr>
          <w:color w:val="000000"/>
          <w:sz w:val="22"/>
          <w:szCs w:val="22"/>
        </w:rPr>
        <w:t>-</w:t>
      </w:r>
      <w:r w:rsidR="00B23AA7" w:rsidRPr="006E21C7">
        <w:rPr>
          <w:color w:val="000000"/>
          <w:sz w:val="22"/>
          <w:szCs w:val="22"/>
        </w:rPr>
        <w:t xml:space="preserve"> </w:t>
      </w:r>
      <w:r w:rsidRPr="006E21C7">
        <w:rPr>
          <w:color w:val="000000"/>
          <w:sz w:val="22"/>
          <w:szCs w:val="22"/>
        </w:rPr>
        <w:t xml:space="preserve">Insuficijencija jetre ili </w:t>
      </w:r>
      <w:r w:rsidR="00536251" w:rsidRPr="006E21C7">
        <w:rPr>
          <w:color w:val="000000"/>
          <w:sz w:val="22"/>
          <w:szCs w:val="22"/>
        </w:rPr>
        <w:t xml:space="preserve">oštećena </w:t>
      </w:r>
      <w:r w:rsidRPr="006E21C7">
        <w:rPr>
          <w:color w:val="000000"/>
          <w:sz w:val="22"/>
          <w:szCs w:val="22"/>
        </w:rPr>
        <w:t>funkcije jetre</w:t>
      </w:r>
      <w:r w:rsidR="00A32ACD" w:rsidRPr="006E21C7">
        <w:rPr>
          <w:color w:val="000000"/>
          <w:sz w:val="22"/>
          <w:szCs w:val="22"/>
        </w:rPr>
        <w:t>.</w:t>
      </w:r>
    </w:p>
    <w:p w:rsidR="00A4195F" w:rsidRPr="006E21C7" w:rsidRDefault="00356F64" w:rsidP="00B23AA7">
      <w:pPr>
        <w:jc w:val="both"/>
        <w:rPr>
          <w:sz w:val="22"/>
          <w:szCs w:val="22"/>
        </w:rPr>
      </w:pPr>
      <w:r w:rsidRPr="006E21C7">
        <w:rPr>
          <w:color w:val="000000"/>
          <w:sz w:val="22"/>
          <w:szCs w:val="22"/>
        </w:rPr>
        <w:t>-</w:t>
      </w:r>
      <w:r w:rsidR="00B23AA7" w:rsidRPr="006E21C7">
        <w:rPr>
          <w:color w:val="000000"/>
          <w:sz w:val="22"/>
          <w:szCs w:val="22"/>
        </w:rPr>
        <w:t xml:space="preserve"> </w:t>
      </w:r>
      <w:r w:rsidRPr="006E21C7">
        <w:rPr>
          <w:color w:val="000000"/>
          <w:sz w:val="22"/>
          <w:szCs w:val="22"/>
        </w:rPr>
        <w:t xml:space="preserve">Akutna srčana insuficijencija, kardiogeni šok ili epizode </w:t>
      </w:r>
      <w:r w:rsidR="00536251" w:rsidRPr="006E21C7">
        <w:rPr>
          <w:color w:val="000000"/>
          <w:sz w:val="22"/>
          <w:szCs w:val="22"/>
        </w:rPr>
        <w:t xml:space="preserve">dekompenzovane srčane insuficijencije </w:t>
      </w:r>
      <w:r w:rsidRPr="006E21C7">
        <w:rPr>
          <w:color w:val="000000"/>
          <w:sz w:val="22"/>
          <w:szCs w:val="22"/>
        </w:rPr>
        <w:t xml:space="preserve">koje zahtijevaju </w:t>
      </w:r>
      <w:r w:rsidR="00536251" w:rsidRPr="006E21C7">
        <w:rPr>
          <w:sz w:val="22"/>
          <w:szCs w:val="22"/>
        </w:rPr>
        <w:t>intravensku</w:t>
      </w:r>
      <w:r w:rsidR="00B23AA7" w:rsidRPr="006E21C7">
        <w:rPr>
          <w:sz w:val="22"/>
          <w:szCs w:val="22"/>
        </w:rPr>
        <w:t xml:space="preserve"> </w:t>
      </w:r>
      <w:r w:rsidR="0002110E" w:rsidRPr="006E21C7">
        <w:rPr>
          <w:sz w:val="22"/>
          <w:szCs w:val="22"/>
        </w:rPr>
        <w:t>inotropnu terapiju</w:t>
      </w:r>
      <w:r w:rsidR="00A32ACD" w:rsidRPr="006E21C7">
        <w:rPr>
          <w:sz w:val="22"/>
          <w:szCs w:val="22"/>
        </w:rPr>
        <w:t>.</w:t>
      </w:r>
    </w:p>
    <w:p w:rsidR="00DF1F55" w:rsidRPr="006E21C7" w:rsidRDefault="00DF1F55" w:rsidP="00B23AA7">
      <w:pPr>
        <w:jc w:val="both"/>
        <w:rPr>
          <w:sz w:val="22"/>
          <w:szCs w:val="22"/>
        </w:rPr>
      </w:pPr>
    </w:p>
    <w:p w:rsidR="00356F64" w:rsidRPr="006E21C7" w:rsidRDefault="00356F64" w:rsidP="00B23AA7">
      <w:pPr>
        <w:jc w:val="both"/>
        <w:rPr>
          <w:color w:val="000000"/>
          <w:sz w:val="22"/>
          <w:szCs w:val="22"/>
        </w:rPr>
      </w:pPr>
      <w:r w:rsidRPr="006E21C7">
        <w:rPr>
          <w:color w:val="000000"/>
          <w:sz w:val="22"/>
          <w:szCs w:val="22"/>
        </w:rPr>
        <w:t xml:space="preserve">Osim toga, kao i kod ostalih beta-adrenergičkih blokatora, </w:t>
      </w:r>
      <w:r w:rsidR="0060360D" w:rsidRPr="006E21C7">
        <w:rPr>
          <w:color w:val="000000"/>
          <w:sz w:val="22"/>
          <w:szCs w:val="22"/>
        </w:rPr>
        <w:t>nebivolol</w:t>
      </w:r>
      <w:r w:rsidRPr="006E21C7">
        <w:rPr>
          <w:color w:val="000000"/>
          <w:sz w:val="22"/>
          <w:szCs w:val="22"/>
        </w:rPr>
        <w:t xml:space="preserve"> je kontraindikovan </w:t>
      </w:r>
      <w:r w:rsidR="0060360D" w:rsidRPr="006E21C7">
        <w:rPr>
          <w:color w:val="000000"/>
          <w:sz w:val="22"/>
          <w:szCs w:val="22"/>
        </w:rPr>
        <w:t>u sljedećim slučajevima</w:t>
      </w:r>
      <w:r w:rsidRPr="006E21C7">
        <w:rPr>
          <w:color w:val="000000"/>
          <w:sz w:val="22"/>
          <w:szCs w:val="22"/>
        </w:rPr>
        <w:t>:</w:t>
      </w:r>
    </w:p>
    <w:p w:rsidR="00DF1F55" w:rsidRPr="006E21C7" w:rsidRDefault="00DF1F55" w:rsidP="00B23AA7">
      <w:pPr>
        <w:jc w:val="both"/>
        <w:rPr>
          <w:color w:val="000000"/>
          <w:sz w:val="22"/>
          <w:szCs w:val="22"/>
        </w:rPr>
      </w:pPr>
    </w:p>
    <w:p w:rsidR="00356F64" w:rsidRPr="006E21C7" w:rsidRDefault="00356F64" w:rsidP="00B23AA7">
      <w:pPr>
        <w:widowControl w:val="0"/>
        <w:numPr>
          <w:ilvl w:val="0"/>
          <w:numId w:val="23"/>
        </w:numPr>
        <w:jc w:val="both"/>
        <w:rPr>
          <w:color w:val="000000"/>
          <w:sz w:val="22"/>
          <w:szCs w:val="22"/>
        </w:rPr>
      </w:pPr>
      <w:r w:rsidRPr="006E21C7">
        <w:rPr>
          <w:bCs/>
          <w:sz w:val="22"/>
          <w:szCs w:val="22"/>
        </w:rPr>
        <w:t>sindrom</w:t>
      </w:r>
      <w:r w:rsidRPr="006E21C7">
        <w:rPr>
          <w:sz w:val="22"/>
          <w:szCs w:val="22"/>
        </w:rPr>
        <w:t xml:space="preserve"> bolesnog sinus</w:t>
      </w:r>
      <w:r w:rsidR="0060360D" w:rsidRPr="006E21C7">
        <w:rPr>
          <w:sz w:val="22"/>
          <w:szCs w:val="22"/>
        </w:rPr>
        <w:t>nog čvora</w:t>
      </w:r>
      <w:r w:rsidRPr="006E21C7">
        <w:rPr>
          <w:color w:val="000000"/>
          <w:sz w:val="22"/>
          <w:szCs w:val="22"/>
        </w:rPr>
        <w:t>, uključujući sinoatrijalni blok</w:t>
      </w:r>
      <w:r w:rsidR="00A32ACD" w:rsidRPr="006E21C7">
        <w:rPr>
          <w:color w:val="000000"/>
          <w:sz w:val="22"/>
          <w:szCs w:val="22"/>
        </w:rPr>
        <w:t>;</w:t>
      </w:r>
    </w:p>
    <w:p w:rsidR="00356F64" w:rsidRPr="006E21C7" w:rsidRDefault="00356F64" w:rsidP="00B23AA7">
      <w:pPr>
        <w:widowControl w:val="0"/>
        <w:numPr>
          <w:ilvl w:val="0"/>
          <w:numId w:val="23"/>
        </w:numPr>
        <w:jc w:val="both"/>
        <w:rPr>
          <w:color w:val="000000"/>
          <w:sz w:val="22"/>
          <w:szCs w:val="22"/>
        </w:rPr>
      </w:pPr>
      <w:r w:rsidRPr="006E21C7">
        <w:rPr>
          <w:color w:val="000000"/>
          <w:sz w:val="22"/>
          <w:szCs w:val="22"/>
        </w:rPr>
        <w:t>srčani blok drugog i trećeg stepena (bez električnog stimulatora srca</w:t>
      </w:r>
      <w:r w:rsidR="00A32ACD" w:rsidRPr="006E21C7">
        <w:rPr>
          <w:color w:val="000000"/>
          <w:sz w:val="22"/>
          <w:szCs w:val="22"/>
        </w:rPr>
        <w:t>);</w:t>
      </w:r>
    </w:p>
    <w:p w:rsidR="00356F64" w:rsidRPr="006E21C7" w:rsidRDefault="00356F64" w:rsidP="00B23AA7">
      <w:pPr>
        <w:widowControl w:val="0"/>
        <w:numPr>
          <w:ilvl w:val="0"/>
          <w:numId w:val="23"/>
        </w:numPr>
        <w:jc w:val="both"/>
        <w:rPr>
          <w:color w:val="000000"/>
          <w:sz w:val="22"/>
          <w:szCs w:val="22"/>
        </w:rPr>
      </w:pPr>
      <w:r w:rsidRPr="006E21C7">
        <w:rPr>
          <w:color w:val="000000"/>
          <w:sz w:val="22"/>
          <w:szCs w:val="22"/>
        </w:rPr>
        <w:t>bronhospaz</w:t>
      </w:r>
      <w:r w:rsidR="0060360D" w:rsidRPr="006E21C7">
        <w:rPr>
          <w:color w:val="000000"/>
          <w:sz w:val="22"/>
          <w:szCs w:val="22"/>
        </w:rPr>
        <w:t>a</w:t>
      </w:r>
      <w:r w:rsidRPr="006E21C7">
        <w:rPr>
          <w:color w:val="000000"/>
          <w:sz w:val="22"/>
          <w:szCs w:val="22"/>
        </w:rPr>
        <w:t>m i bronhijaln</w:t>
      </w:r>
      <w:r w:rsidR="0060360D" w:rsidRPr="006E21C7">
        <w:rPr>
          <w:color w:val="000000"/>
          <w:sz w:val="22"/>
          <w:szCs w:val="22"/>
        </w:rPr>
        <w:t>a</w:t>
      </w:r>
      <w:r w:rsidRPr="006E21C7">
        <w:rPr>
          <w:color w:val="000000"/>
          <w:sz w:val="22"/>
          <w:szCs w:val="22"/>
        </w:rPr>
        <w:t xml:space="preserve"> astm</w:t>
      </w:r>
      <w:r w:rsidR="0060360D" w:rsidRPr="006E21C7">
        <w:rPr>
          <w:color w:val="000000"/>
          <w:sz w:val="22"/>
          <w:szCs w:val="22"/>
        </w:rPr>
        <w:t>a</w:t>
      </w:r>
      <w:r w:rsidRPr="006E21C7">
        <w:rPr>
          <w:color w:val="000000"/>
          <w:sz w:val="22"/>
          <w:szCs w:val="22"/>
        </w:rPr>
        <w:t xml:space="preserve"> u anamnezi</w:t>
      </w:r>
      <w:r w:rsidR="00A32ACD" w:rsidRPr="006E21C7">
        <w:rPr>
          <w:color w:val="000000"/>
          <w:sz w:val="22"/>
          <w:szCs w:val="22"/>
        </w:rPr>
        <w:t>;</w:t>
      </w:r>
    </w:p>
    <w:p w:rsidR="00356F64" w:rsidRPr="006E21C7" w:rsidRDefault="00356F64" w:rsidP="00B23AA7">
      <w:pPr>
        <w:widowControl w:val="0"/>
        <w:numPr>
          <w:ilvl w:val="0"/>
          <w:numId w:val="23"/>
        </w:numPr>
        <w:jc w:val="both"/>
        <w:rPr>
          <w:color w:val="000000"/>
          <w:sz w:val="22"/>
          <w:szCs w:val="22"/>
        </w:rPr>
      </w:pPr>
      <w:r w:rsidRPr="006E21C7">
        <w:rPr>
          <w:color w:val="000000"/>
          <w:sz w:val="22"/>
          <w:szCs w:val="22"/>
        </w:rPr>
        <w:t>neliječen</w:t>
      </w:r>
      <w:r w:rsidR="0060360D" w:rsidRPr="006E21C7">
        <w:rPr>
          <w:color w:val="000000"/>
          <w:sz w:val="22"/>
          <w:szCs w:val="22"/>
        </w:rPr>
        <w:t>i</w:t>
      </w:r>
      <w:r w:rsidRPr="006E21C7">
        <w:rPr>
          <w:color w:val="000000"/>
          <w:sz w:val="22"/>
          <w:szCs w:val="22"/>
        </w:rPr>
        <w:t xml:space="preserve"> feohromocitom</w:t>
      </w:r>
      <w:r w:rsidR="00A32ACD" w:rsidRPr="006E21C7">
        <w:rPr>
          <w:color w:val="000000"/>
          <w:sz w:val="22"/>
          <w:szCs w:val="22"/>
        </w:rPr>
        <w:t xml:space="preserve">; </w:t>
      </w:r>
    </w:p>
    <w:p w:rsidR="00356F64" w:rsidRPr="006E21C7" w:rsidRDefault="00356F64" w:rsidP="00B23AA7">
      <w:pPr>
        <w:widowControl w:val="0"/>
        <w:numPr>
          <w:ilvl w:val="0"/>
          <w:numId w:val="23"/>
        </w:numPr>
        <w:jc w:val="both"/>
        <w:rPr>
          <w:color w:val="000000"/>
          <w:sz w:val="22"/>
          <w:szCs w:val="22"/>
        </w:rPr>
      </w:pPr>
      <w:r w:rsidRPr="006E21C7">
        <w:rPr>
          <w:color w:val="000000"/>
          <w:sz w:val="22"/>
          <w:szCs w:val="22"/>
        </w:rPr>
        <w:t>metaboličk</w:t>
      </w:r>
      <w:r w:rsidR="0060360D" w:rsidRPr="006E21C7">
        <w:rPr>
          <w:color w:val="000000"/>
          <w:sz w:val="22"/>
          <w:szCs w:val="22"/>
        </w:rPr>
        <w:t>a</w:t>
      </w:r>
      <w:r w:rsidRPr="006E21C7">
        <w:rPr>
          <w:color w:val="000000"/>
          <w:sz w:val="22"/>
          <w:szCs w:val="22"/>
        </w:rPr>
        <w:t xml:space="preserve"> acidoz</w:t>
      </w:r>
      <w:r w:rsidR="0060360D" w:rsidRPr="006E21C7">
        <w:rPr>
          <w:color w:val="000000"/>
          <w:sz w:val="22"/>
          <w:szCs w:val="22"/>
        </w:rPr>
        <w:t>a</w:t>
      </w:r>
      <w:r w:rsidR="00A32ACD" w:rsidRPr="006E21C7">
        <w:rPr>
          <w:color w:val="000000"/>
          <w:sz w:val="22"/>
          <w:szCs w:val="22"/>
        </w:rPr>
        <w:t>;</w:t>
      </w:r>
    </w:p>
    <w:p w:rsidR="00356F64" w:rsidRPr="006E21C7" w:rsidRDefault="0060360D" w:rsidP="00B23AA7">
      <w:pPr>
        <w:widowControl w:val="0"/>
        <w:numPr>
          <w:ilvl w:val="0"/>
          <w:numId w:val="23"/>
        </w:numPr>
        <w:jc w:val="both"/>
        <w:rPr>
          <w:color w:val="000000"/>
          <w:sz w:val="22"/>
          <w:szCs w:val="22"/>
        </w:rPr>
      </w:pPr>
      <w:r w:rsidRPr="006E21C7">
        <w:rPr>
          <w:color w:val="000000"/>
          <w:sz w:val="22"/>
          <w:szCs w:val="22"/>
        </w:rPr>
        <w:t xml:space="preserve">bradikardija </w:t>
      </w:r>
      <w:r w:rsidR="00356F64" w:rsidRPr="006E21C7">
        <w:rPr>
          <w:color w:val="000000"/>
          <w:sz w:val="22"/>
          <w:szCs w:val="22"/>
        </w:rPr>
        <w:t>(srčana frekvencija &lt; 60 otkucaja u minuti prije početka terapije</w:t>
      </w:r>
      <w:r w:rsidR="00A32ACD" w:rsidRPr="006E21C7">
        <w:rPr>
          <w:color w:val="000000"/>
          <w:sz w:val="22"/>
          <w:szCs w:val="22"/>
        </w:rPr>
        <w:t>);</w:t>
      </w:r>
    </w:p>
    <w:p w:rsidR="00356F64" w:rsidRPr="006E21C7" w:rsidRDefault="0060360D" w:rsidP="00B23AA7">
      <w:pPr>
        <w:widowControl w:val="0"/>
        <w:numPr>
          <w:ilvl w:val="0"/>
          <w:numId w:val="23"/>
        </w:numPr>
        <w:jc w:val="both"/>
        <w:rPr>
          <w:color w:val="000000"/>
          <w:sz w:val="22"/>
          <w:szCs w:val="22"/>
        </w:rPr>
      </w:pPr>
      <w:r w:rsidRPr="006E21C7">
        <w:rPr>
          <w:color w:val="000000"/>
          <w:sz w:val="22"/>
          <w:szCs w:val="22"/>
        </w:rPr>
        <w:t xml:space="preserve">hipotenzija </w:t>
      </w:r>
      <w:r w:rsidR="00356F64" w:rsidRPr="006E21C7">
        <w:rPr>
          <w:color w:val="000000"/>
          <w:sz w:val="22"/>
          <w:szCs w:val="22"/>
        </w:rPr>
        <w:t>(sistolni krvni pritisak &lt; 90 mmHg</w:t>
      </w:r>
      <w:r w:rsidR="00A32ACD" w:rsidRPr="006E21C7">
        <w:rPr>
          <w:color w:val="000000"/>
          <w:sz w:val="22"/>
          <w:szCs w:val="22"/>
        </w:rPr>
        <w:t xml:space="preserve">); </w:t>
      </w:r>
    </w:p>
    <w:p w:rsidR="00356F64" w:rsidRPr="006E21C7" w:rsidRDefault="00356F64" w:rsidP="00B23AA7">
      <w:pPr>
        <w:widowControl w:val="0"/>
        <w:numPr>
          <w:ilvl w:val="0"/>
          <w:numId w:val="23"/>
        </w:numPr>
        <w:jc w:val="both"/>
        <w:rPr>
          <w:bCs/>
          <w:sz w:val="22"/>
          <w:szCs w:val="22"/>
        </w:rPr>
      </w:pPr>
      <w:r w:rsidRPr="006E21C7">
        <w:rPr>
          <w:color w:val="000000"/>
          <w:sz w:val="22"/>
          <w:szCs w:val="22"/>
        </w:rPr>
        <w:t>teži poremećaj</w:t>
      </w:r>
      <w:r w:rsidR="0060360D" w:rsidRPr="006E21C7">
        <w:rPr>
          <w:color w:val="000000"/>
          <w:sz w:val="22"/>
          <w:szCs w:val="22"/>
        </w:rPr>
        <w:t>i</w:t>
      </w:r>
      <w:r w:rsidRPr="006E21C7">
        <w:rPr>
          <w:color w:val="000000"/>
          <w:sz w:val="22"/>
          <w:szCs w:val="22"/>
        </w:rPr>
        <w:t xml:space="preserve"> periferne cirkulacije.</w:t>
      </w:r>
    </w:p>
    <w:p w:rsidR="00FD3280" w:rsidRPr="006E21C7" w:rsidRDefault="00FD3280" w:rsidP="00A256A2">
      <w:pPr>
        <w:widowControl w:val="0"/>
        <w:ind w:left="567"/>
        <w:jc w:val="both"/>
        <w:rPr>
          <w:bCs/>
          <w:sz w:val="22"/>
          <w:szCs w:val="22"/>
        </w:rPr>
      </w:pPr>
    </w:p>
    <w:p w:rsidR="00356F64" w:rsidRPr="006E21C7" w:rsidRDefault="003C3404" w:rsidP="00B23AA7">
      <w:pPr>
        <w:tabs>
          <w:tab w:val="left" w:pos="540"/>
          <w:tab w:val="left" w:pos="569"/>
        </w:tabs>
        <w:jc w:val="both"/>
        <w:rPr>
          <w:b/>
          <w:bCs/>
          <w:sz w:val="22"/>
          <w:szCs w:val="22"/>
        </w:rPr>
      </w:pPr>
      <w:r w:rsidRPr="006E21C7">
        <w:rPr>
          <w:b/>
          <w:bCs/>
          <w:sz w:val="22"/>
          <w:szCs w:val="22"/>
        </w:rPr>
        <w:t xml:space="preserve">4.4. </w:t>
      </w:r>
      <w:r w:rsidR="00356F64" w:rsidRPr="006E21C7">
        <w:rPr>
          <w:b/>
          <w:bCs/>
          <w:sz w:val="22"/>
          <w:szCs w:val="22"/>
        </w:rPr>
        <w:t>Posebna upozorenja i mjere opreza pri upotrebi lijeka</w:t>
      </w:r>
    </w:p>
    <w:p w:rsidR="00356F64" w:rsidRPr="006E21C7" w:rsidRDefault="00356F64" w:rsidP="00B23AA7">
      <w:pPr>
        <w:tabs>
          <w:tab w:val="left" w:pos="540"/>
          <w:tab w:val="left" w:pos="569"/>
        </w:tabs>
        <w:jc w:val="both"/>
        <w:rPr>
          <w:b/>
          <w:bCs/>
          <w:sz w:val="22"/>
          <w:szCs w:val="22"/>
        </w:rPr>
      </w:pPr>
    </w:p>
    <w:p w:rsidR="00356F64" w:rsidRPr="006E21C7" w:rsidRDefault="00356F64" w:rsidP="00B23AA7">
      <w:pPr>
        <w:jc w:val="both"/>
        <w:rPr>
          <w:color w:val="000000"/>
          <w:sz w:val="22"/>
          <w:szCs w:val="22"/>
        </w:rPr>
      </w:pPr>
      <w:r w:rsidRPr="006E21C7">
        <w:rPr>
          <w:color w:val="000000"/>
          <w:sz w:val="22"/>
          <w:szCs w:val="22"/>
        </w:rPr>
        <w:t xml:space="preserve">Vidjeti </w:t>
      </w:r>
      <w:r w:rsidR="00FD3280" w:rsidRPr="006E21C7">
        <w:rPr>
          <w:color w:val="000000"/>
          <w:sz w:val="22"/>
          <w:szCs w:val="22"/>
        </w:rPr>
        <w:t>dio</w:t>
      </w:r>
      <w:r w:rsidR="00D01F25" w:rsidRPr="006E21C7">
        <w:rPr>
          <w:color w:val="000000"/>
          <w:sz w:val="22"/>
          <w:szCs w:val="22"/>
        </w:rPr>
        <w:t xml:space="preserve"> </w:t>
      </w:r>
      <w:r w:rsidRPr="006E21C7">
        <w:rPr>
          <w:color w:val="000000"/>
          <w:sz w:val="22"/>
          <w:szCs w:val="22"/>
        </w:rPr>
        <w:t xml:space="preserve">4.8 </w:t>
      </w:r>
    </w:p>
    <w:p w:rsidR="00356F64" w:rsidRPr="006E21C7" w:rsidRDefault="00356F64" w:rsidP="00B23AA7">
      <w:pPr>
        <w:jc w:val="both"/>
        <w:rPr>
          <w:color w:val="000000"/>
          <w:sz w:val="22"/>
          <w:szCs w:val="22"/>
        </w:rPr>
      </w:pPr>
    </w:p>
    <w:p w:rsidR="00356F64" w:rsidRPr="006E21C7" w:rsidRDefault="00356F64" w:rsidP="00B23AA7">
      <w:pPr>
        <w:jc w:val="both"/>
        <w:rPr>
          <w:color w:val="000000"/>
          <w:sz w:val="22"/>
          <w:szCs w:val="22"/>
        </w:rPr>
      </w:pPr>
      <w:r w:rsidRPr="006E21C7">
        <w:rPr>
          <w:color w:val="000000"/>
          <w:sz w:val="22"/>
          <w:szCs w:val="22"/>
        </w:rPr>
        <w:t>Sljedeća upozorenja i mjere opreza se odnose na beta</w:t>
      </w:r>
      <w:r w:rsidRPr="006E21C7">
        <w:rPr>
          <w:color w:val="000000"/>
          <w:sz w:val="22"/>
          <w:szCs w:val="22"/>
        </w:rPr>
        <w:noBreakHyphen/>
        <w:t>adrenergičke antagoniste uopšte:</w:t>
      </w:r>
    </w:p>
    <w:p w:rsidR="00D01F25" w:rsidRPr="006E21C7" w:rsidRDefault="00D01F25" w:rsidP="00B23AA7">
      <w:pPr>
        <w:jc w:val="both"/>
        <w:rPr>
          <w:i/>
          <w:color w:val="000000"/>
          <w:sz w:val="22"/>
          <w:szCs w:val="22"/>
        </w:rPr>
      </w:pPr>
    </w:p>
    <w:p w:rsidR="00356F64" w:rsidRPr="006E21C7" w:rsidRDefault="00356F64" w:rsidP="00B23AA7">
      <w:pPr>
        <w:jc w:val="both"/>
        <w:rPr>
          <w:i/>
          <w:color w:val="000000"/>
          <w:sz w:val="22"/>
          <w:szCs w:val="22"/>
        </w:rPr>
      </w:pPr>
      <w:r w:rsidRPr="006E21C7">
        <w:rPr>
          <w:i/>
          <w:color w:val="000000"/>
          <w:sz w:val="22"/>
          <w:szCs w:val="22"/>
        </w:rPr>
        <w:t>Anestezija</w:t>
      </w:r>
    </w:p>
    <w:p w:rsidR="00356F64" w:rsidRPr="006E21C7" w:rsidRDefault="00356F64" w:rsidP="00B23AA7">
      <w:pPr>
        <w:jc w:val="both"/>
        <w:rPr>
          <w:color w:val="000000"/>
          <w:sz w:val="22"/>
          <w:szCs w:val="22"/>
        </w:rPr>
      </w:pPr>
    </w:p>
    <w:p w:rsidR="00356F64" w:rsidRPr="006E21C7" w:rsidRDefault="00356F64" w:rsidP="00B23AA7">
      <w:pPr>
        <w:jc w:val="both"/>
        <w:rPr>
          <w:color w:val="000000"/>
          <w:sz w:val="22"/>
          <w:szCs w:val="22"/>
        </w:rPr>
      </w:pPr>
      <w:r w:rsidRPr="006E21C7">
        <w:rPr>
          <w:color w:val="000000"/>
          <w:sz w:val="22"/>
          <w:szCs w:val="22"/>
        </w:rPr>
        <w:t>Produženje efekta beta</w:t>
      </w:r>
      <w:r w:rsidR="00A32ACD" w:rsidRPr="006E21C7">
        <w:rPr>
          <w:color w:val="000000"/>
          <w:sz w:val="22"/>
          <w:szCs w:val="22"/>
        </w:rPr>
        <w:t>-</w:t>
      </w:r>
      <w:r w:rsidRPr="006E21C7">
        <w:rPr>
          <w:color w:val="000000"/>
          <w:sz w:val="22"/>
          <w:szCs w:val="22"/>
        </w:rPr>
        <w:t xml:space="preserve">blokade smanjuje rizik od aritmije tokom indukcije i intubacije. </w:t>
      </w:r>
    </w:p>
    <w:p w:rsidR="00356F64" w:rsidRPr="006E21C7" w:rsidRDefault="00356F64" w:rsidP="00B23AA7">
      <w:pPr>
        <w:jc w:val="both"/>
        <w:rPr>
          <w:color w:val="000000"/>
          <w:sz w:val="22"/>
          <w:szCs w:val="22"/>
        </w:rPr>
      </w:pPr>
      <w:r w:rsidRPr="006E21C7">
        <w:rPr>
          <w:color w:val="000000"/>
          <w:sz w:val="22"/>
          <w:szCs w:val="22"/>
        </w:rPr>
        <w:t>Ukoliko treba prekinuti beta-blokadu u toku preoperativne pripreme, primjenu beta</w:t>
      </w:r>
      <w:r w:rsidRPr="006E21C7">
        <w:rPr>
          <w:color w:val="000000"/>
          <w:sz w:val="22"/>
          <w:szCs w:val="22"/>
        </w:rPr>
        <w:noBreakHyphen/>
        <w:t xml:space="preserve">adrenergičkih antagonista treba obustaviti najmanje 24 h prije operacije. </w:t>
      </w:r>
    </w:p>
    <w:p w:rsidR="00356F64" w:rsidRPr="006E21C7" w:rsidRDefault="00356F64" w:rsidP="00B23AA7">
      <w:pPr>
        <w:jc w:val="both"/>
        <w:rPr>
          <w:color w:val="000000"/>
          <w:sz w:val="22"/>
          <w:szCs w:val="22"/>
        </w:rPr>
      </w:pPr>
      <w:r w:rsidRPr="006E21C7">
        <w:rPr>
          <w:color w:val="000000"/>
          <w:sz w:val="22"/>
          <w:szCs w:val="22"/>
        </w:rPr>
        <w:lastRenderedPageBreak/>
        <w:t xml:space="preserve">Posebnu pažnju treba obratiti ako se koriste anestetici koji uzrokuju depresiju miokarda. </w:t>
      </w:r>
      <w:r w:rsidR="00D01F25" w:rsidRPr="006E21C7">
        <w:rPr>
          <w:color w:val="000000"/>
          <w:sz w:val="22"/>
          <w:szCs w:val="22"/>
        </w:rPr>
        <w:t xml:space="preserve">Pacijent </w:t>
      </w:r>
      <w:r w:rsidRPr="006E21C7">
        <w:rPr>
          <w:color w:val="000000"/>
          <w:sz w:val="22"/>
          <w:szCs w:val="22"/>
        </w:rPr>
        <w:t>može biti zaštićen od vagusnih reakcija intravenskom primjenom atropina.</w:t>
      </w:r>
    </w:p>
    <w:p w:rsidR="00356F64" w:rsidRPr="006E21C7" w:rsidRDefault="00356F64" w:rsidP="00B23AA7">
      <w:pPr>
        <w:jc w:val="both"/>
        <w:rPr>
          <w:color w:val="000000"/>
          <w:sz w:val="22"/>
          <w:szCs w:val="22"/>
        </w:rPr>
      </w:pPr>
    </w:p>
    <w:p w:rsidR="00356F64" w:rsidRPr="006E21C7" w:rsidRDefault="00356F64" w:rsidP="00B23AA7">
      <w:pPr>
        <w:jc w:val="both"/>
        <w:rPr>
          <w:i/>
          <w:color w:val="000000"/>
          <w:sz w:val="22"/>
          <w:szCs w:val="22"/>
        </w:rPr>
      </w:pPr>
      <w:r w:rsidRPr="006E21C7">
        <w:rPr>
          <w:i/>
          <w:color w:val="000000"/>
          <w:sz w:val="22"/>
          <w:szCs w:val="22"/>
        </w:rPr>
        <w:t>Kardiovaskularni poremećaji</w:t>
      </w:r>
    </w:p>
    <w:p w:rsidR="003A4673" w:rsidRPr="006E21C7" w:rsidRDefault="003A4673" w:rsidP="00B23AA7">
      <w:pPr>
        <w:jc w:val="both"/>
        <w:rPr>
          <w:i/>
          <w:color w:val="000000"/>
          <w:sz w:val="22"/>
          <w:szCs w:val="22"/>
        </w:rPr>
      </w:pPr>
    </w:p>
    <w:p w:rsidR="00356F64" w:rsidRPr="006E21C7" w:rsidRDefault="00356F64" w:rsidP="00B23AA7">
      <w:pPr>
        <w:jc w:val="both"/>
        <w:rPr>
          <w:color w:val="000000"/>
          <w:sz w:val="22"/>
          <w:szCs w:val="22"/>
        </w:rPr>
      </w:pPr>
      <w:r w:rsidRPr="006E21C7">
        <w:rPr>
          <w:color w:val="000000"/>
          <w:sz w:val="22"/>
          <w:szCs w:val="22"/>
        </w:rPr>
        <w:t>Generalno, beta</w:t>
      </w:r>
      <w:r w:rsidRPr="006E21C7">
        <w:rPr>
          <w:color w:val="000000"/>
          <w:sz w:val="22"/>
          <w:szCs w:val="22"/>
        </w:rPr>
        <w:noBreakHyphen/>
        <w:t xml:space="preserve">adrenergičke blokatore ne bi se smjeli primjenjivati kod </w:t>
      </w:r>
      <w:r w:rsidR="00072098" w:rsidRPr="006E21C7">
        <w:rPr>
          <w:color w:val="000000"/>
          <w:sz w:val="22"/>
          <w:szCs w:val="22"/>
        </w:rPr>
        <w:t xml:space="preserve">pacijenata </w:t>
      </w:r>
      <w:r w:rsidRPr="006E21C7">
        <w:rPr>
          <w:color w:val="000000"/>
          <w:sz w:val="22"/>
          <w:szCs w:val="22"/>
        </w:rPr>
        <w:t>sa neliječenom kongestivnom insuficijencijom srca</w:t>
      </w:r>
      <w:r w:rsidR="00A32ACD" w:rsidRPr="006E21C7">
        <w:rPr>
          <w:color w:val="000000"/>
          <w:sz w:val="22"/>
          <w:szCs w:val="22"/>
        </w:rPr>
        <w:t>,</w:t>
      </w:r>
      <w:r w:rsidRPr="006E21C7">
        <w:rPr>
          <w:color w:val="000000"/>
          <w:sz w:val="22"/>
          <w:szCs w:val="22"/>
        </w:rPr>
        <w:t xml:space="preserve"> osim ako njihovo stanje nije stabilizovano.</w:t>
      </w:r>
    </w:p>
    <w:p w:rsidR="00356F64" w:rsidRPr="006E21C7" w:rsidRDefault="00356F64" w:rsidP="00B23AA7">
      <w:pPr>
        <w:jc w:val="both"/>
        <w:rPr>
          <w:color w:val="000000"/>
          <w:sz w:val="22"/>
          <w:szCs w:val="22"/>
        </w:rPr>
      </w:pPr>
      <w:r w:rsidRPr="006E21C7">
        <w:rPr>
          <w:color w:val="000000"/>
          <w:sz w:val="22"/>
          <w:szCs w:val="22"/>
        </w:rPr>
        <w:t>Kod pacijenata sa ishemi</w:t>
      </w:r>
      <w:r w:rsidR="00072098" w:rsidRPr="006E21C7">
        <w:rPr>
          <w:color w:val="000000"/>
          <w:sz w:val="22"/>
          <w:szCs w:val="22"/>
        </w:rPr>
        <w:t>jskom</w:t>
      </w:r>
      <w:r w:rsidRPr="006E21C7">
        <w:rPr>
          <w:color w:val="000000"/>
          <w:sz w:val="22"/>
          <w:szCs w:val="22"/>
        </w:rPr>
        <w:t xml:space="preserve"> bole</w:t>
      </w:r>
      <w:r w:rsidR="00072098" w:rsidRPr="006E21C7">
        <w:rPr>
          <w:color w:val="000000"/>
          <w:sz w:val="22"/>
          <w:szCs w:val="22"/>
        </w:rPr>
        <w:t>šću</w:t>
      </w:r>
      <w:r w:rsidRPr="006E21C7">
        <w:rPr>
          <w:color w:val="000000"/>
          <w:sz w:val="22"/>
          <w:szCs w:val="22"/>
        </w:rPr>
        <w:t xml:space="preserve"> srca, terapiju beta</w:t>
      </w:r>
      <w:r w:rsidRPr="006E21C7">
        <w:rPr>
          <w:color w:val="000000"/>
          <w:sz w:val="22"/>
          <w:szCs w:val="22"/>
        </w:rPr>
        <w:noBreakHyphen/>
        <w:t xml:space="preserve">adrenergičkim blokatorima treba postepeno ukidati tokom 1-2 nedjelje. Ukoliko je neophodno, istovremeno se može započeti supstituciona terapija </w:t>
      </w:r>
      <w:r w:rsidR="00072098" w:rsidRPr="006E21C7">
        <w:rPr>
          <w:color w:val="000000"/>
          <w:sz w:val="22"/>
          <w:szCs w:val="22"/>
        </w:rPr>
        <w:t>kako bi se spriječilo pogoršanje</w:t>
      </w:r>
      <w:r w:rsidR="00B23AA7" w:rsidRPr="006E21C7">
        <w:rPr>
          <w:color w:val="000000"/>
          <w:sz w:val="22"/>
          <w:szCs w:val="22"/>
        </w:rPr>
        <w:t xml:space="preserve"> </w:t>
      </w:r>
      <w:r w:rsidRPr="006E21C7">
        <w:rPr>
          <w:color w:val="000000"/>
          <w:sz w:val="22"/>
          <w:szCs w:val="22"/>
        </w:rPr>
        <w:t xml:space="preserve">angine pektoris. </w:t>
      </w:r>
    </w:p>
    <w:p w:rsidR="00356F64" w:rsidRPr="006E21C7" w:rsidRDefault="00356F64" w:rsidP="00B23AA7">
      <w:pPr>
        <w:jc w:val="both"/>
        <w:rPr>
          <w:color w:val="000000"/>
          <w:sz w:val="22"/>
          <w:szCs w:val="22"/>
        </w:rPr>
      </w:pPr>
      <w:r w:rsidRPr="006E21C7">
        <w:rPr>
          <w:color w:val="000000"/>
          <w:sz w:val="22"/>
          <w:szCs w:val="22"/>
        </w:rPr>
        <w:t>Beta-adrenergični blokatori mogu uzrokovati bradikardiju: ako</w:t>
      </w:r>
      <w:r w:rsidR="00072098" w:rsidRPr="006E21C7">
        <w:rPr>
          <w:color w:val="000000"/>
          <w:sz w:val="22"/>
          <w:szCs w:val="22"/>
        </w:rPr>
        <w:t xml:space="preserve"> se</w:t>
      </w:r>
      <w:r w:rsidR="00B23AA7" w:rsidRPr="006E21C7">
        <w:rPr>
          <w:color w:val="000000"/>
          <w:sz w:val="22"/>
          <w:szCs w:val="22"/>
        </w:rPr>
        <w:t xml:space="preserve"> </w:t>
      </w:r>
      <w:r w:rsidRPr="006E21C7">
        <w:rPr>
          <w:color w:val="000000"/>
          <w:sz w:val="22"/>
          <w:szCs w:val="22"/>
        </w:rPr>
        <w:t xml:space="preserve">puls </w:t>
      </w:r>
      <w:r w:rsidR="00072098" w:rsidRPr="006E21C7">
        <w:rPr>
          <w:color w:val="000000"/>
          <w:sz w:val="22"/>
          <w:szCs w:val="22"/>
        </w:rPr>
        <w:t xml:space="preserve">snizi </w:t>
      </w:r>
      <w:r w:rsidRPr="006E21C7">
        <w:rPr>
          <w:color w:val="000000"/>
          <w:sz w:val="22"/>
          <w:szCs w:val="22"/>
        </w:rPr>
        <w:t>ispod 50</w:t>
      </w:r>
      <w:r w:rsidRPr="006E21C7">
        <w:rPr>
          <w:color w:val="000000"/>
          <w:sz w:val="22"/>
          <w:szCs w:val="22"/>
        </w:rPr>
        <w:noBreakHyphen/>
        <w:t>55 otkucaja</w:t>
      </w:r>
      <w:r w:rsidR="00072098" w:rsidRPr="006E21C7">
        <w:rPr>
          <w:color w:val="000000"/>
          <w:sz w:val="22"/>
          <w:szCs w:val="22"/>
        </w:rPr>
        <w:t xml:space="preserve"> u </w:t>
      </w:r>
      <w:r w:rsidRPr="006E21C7">
        <w:rPr>
          <w:color w:val="000000"/>
          <w:sz w:val="22"/>
          <w:szCs w:val="22"/>
        </w:rPr>
        <w:t>min</w:t>
      </w:r>
      <w:r w:rsidR="00072098" w:rsidRPr="006E21C7">
        <w:rPr>
          <w:color w:val="000000"/>
          <w:sz w:val="22"/>
          <w:szCs w:val="22"/>
        </w:rPr>
        <w:t>uti</w:t>
      </w:r>
      <w:r w:rsidRPr="006E21C7">
        <w:rPr>
          <w:color w:val="000000"/>
          <w:sz w:val="22"/>
          <w:szCs w:val="22"/>
        </w:rPr>
        <w:t xml:space="preserve"> u</w:t>
      </w:r>
      <w:r w:rsidR="00072098" w:rsidRPr="006E21C7">
        <w:rPr>
          <w:color w:val="000000"/>
          <w:sz w:val="22"/>
          <w:szCs w:val="22"/>
        </w:rPr>
        <w:t xml:space="preserve"> stanju</w:t>
      </w:r>
      <w:r w:rsidRPr="006E21C7">
        <w:rPr>
          <w:color w:val="000000"/>
          <w:sz w:val="22"/>
          <w:szCs w:val="22"/>
        </w:rPr>
        <w:t xml:space="preserve"> mirovanju i/ili ako </w:t>
      </w:r>
      <w:r w:rsidR="00072098" w:rsidRPr="006E21C7">
        <w:rPr>
          <w:color w:val="000000"/>
          <w:sz w:val="22"/>
          <w:szCs w:val="22"/>
        </w:rPr>
        <w:t>pacijent</w:t>
      </w:r>
      <w:r w:rsidRPr="006E21C7">
        <w:rPr>
          <w:color w:val="000000"/>
          <w:sz w:val="22"/>
          <w:szCs w:val="22"/>
        </w:rPr>
        <w:t xml:space="preserve"> ima simptome koji ukazuju na bradikardiju, dozu treba smanjiti.</w:t>
      </w:r>
    </w:p>
    <w:p w:rsidR="00356F64" w:rsidRPr="006E21C7" w:rsidRDefault="00356F64" w:rsidP="00B23AA7">
      <w:pPr>
        <w:jc w:val="both"/>
        <w:rPr>
          <w:color w:val="000000"/>
          <w:sz w:val="22"/>
          <w:szCs w:val="22"/>
        </w:rPr>
      </w:pPr>
      <w:r w:rsidRPr="006E21C7">
        <w:rPr>
          <w:color w:val="000000"/>
          <w:sz w:val="22"/>
          <w:szCs w:val="22"/>
        </w:rPr>
        <w:t>Beta-adrenergičke blokatore treba primjenjivati sa oprezom kod:</w:t>
      </w:r>
    </w:p>
    <w:p w:rsidR="00356F64" w:rsidRPr="006E21C7" w:rsidRDefault="00356F64" w:rsidP="00B23AA7">
      <w:pPr>
        <w:widowControl w:val="0"/>
        <w:numPr>
          <w:ilvl w:val="0"/>
          <w:numId w:val="24"/>
        </w:numPr>
        <w:jc w:val="both"/>
        <w:rPr>
          <w:color w:val="000000"/>
          <w:sz w:val="22"/>
          <w:szCs w:val="22"/>
        </w:rPr>
      </w:pPr>
      <w:r w:rsidRPr="006E21C7">
        <w:rPr>
          <w:color w:val="000000"/>
          <w:sz w:val="22"/>
          <w:szCs w:val="22"/>
        </w:rPr>
        <w:t>pacijenata sa poremećajima periferne cirkulacije (</w:t>
      </w:r>
      <w:r w:rsidRPr="006E21C7">
        <w:rPr>
          <w:i/>
          <w:color w:val="000000"/>
          <w:sz w:val="22"/>
          <w:szCs w:val="22"/>
        </w:rPr>
        <w:t>Raynaud</w:t>
      </w:r>
      <w:r w:rsidR="00072098" w:rsidRPr="006E21C7">
        <w:rPr>
          <w:i/>
          <w:color w:val="000000"/>
          <w:sz w:val="22"/>
          <w:szCs w:val="22"/>
        </w:rPr>
        <w:t>-</w:t>
      </w:r>
      <w:r w:rsidRPr="006E21C7">
        <w:rPr>
          <w:color w:val="000000"/>
          <w:sz w:val="22"/>
          <w:szCs w:val="22"/>
        </w:rPr>
        <w:t>ova bolest ili sindrom, intermitentna klaudikacija), jer može doći do pogoršanja ovih poremećaja</w:t>
      </w:r>
      <w:r w:rsidR="00A32ACD" w:rsidRPr="006E21C7">
        <w:rPr>
          <w:color w:val="000000"/>
          <w:sz w:val="22"/>
          <w:szCs w:val="22"/>
        </w:rPr>
        <w:t>;</w:t>
      </w:r>
    </w:p>
    <w:p w:rsidR="00356F64" w:rsidRPr="006E21C7" w:rsidRDefault="00356F64" w:rsidP="00B23AA7">
      <w:pPr>
        <w:widowControl w:val="0"/>
        <w:numPr>
          <w:ilvl w:val="0"/>
          <w:numId w:val="24"/>
        </w:numPr>
        <w:jc w:val="both"/>
        <w:rPr>
          <w:color w:val="000000"/>
          <w:sz w:val="22"/>
          <w:szCs w:val="22"/>
        </w:rPr>
      </w:pPr>
      <w:r w:rsidRPr="006E21C7">
        <w:rPr>
          <w:color w:val="000000"/>
          <w:sz w:val="22"/>
          <w:szCs w:val="22"/>
        </w:rPr>
        <w:t>pacijenata sa AV blokom I stepena zbog negativnog efekta beta</w:t>
      </w:r>
      <w:r w:rsidRPr="006E21C7">
        <w:rPr>
          <w:color w:val="000000"/>
          <w:sz w:val="22"/>
          <w:szCs w:val="22"/>
        </w:rPr>
        <w:noBreakHyphen/>
        <w:t xml:space="preserve">blokatora na vrijeme </w:t>
      </w:r>
      <w:r w:rsidR="00072098" w:rsidRPr="006E21C7">
        <w:rPr>
          <w:color w:val="000000"/>
          <w:sz w:val="22"/>
          <w:szCs w:val="22"/>
        </w:rPr>
        <w:t xml:space="preserve">AV </w:t>
      </w:r>
      <w:r w:rsidRPr="006E21C7">
        <w:rPr>
          <w:color w:val="000000"/>
          <w:sz w:val="22"/>
          <w:szCs w:val="22"/>
        </w:rPr>
        <w:t>sprovođenja</w:t>
      </w:r>
      <w:r w:rsidR="00A32ACD" w:rsidRPr="006E21C7">
        <w:rPr>
          <w:color w:val="000000"/>
          <w:sz w:val="22"/>
          <w:szCs w:val="22"/>
        </w:rPr>
        <w:t>;</w:t>
      </w:r>
    </w:p>
    <w:p w:rsidR="00356F64" w:rsidRPr="006E21C7" w:rsidRDefault="00356F64" w:rsidP="00B23AA7">
      <w:pPr>
        <w:widowControl w:val="0"/>
        <w:numPr>
          <w:ilvl w:val="0"/>
          <w:numId w:val="24"/>
        </w:numPr>
        <w:jc w:val="both"/>
        <w:rPr>
          <w:color w:val="000000"/>
          <w:sz w:val="22"/>
          <w:szCs w:val="22"/>
        </w:rPr>
      </w:pPr>
      <w:r w:rsidRPr="006E21C7">
        <w:rPr>
          <w:color w:val="000000"/>
          <w:sz w:val="22"/>
          <w:szCs w:val="22"/>
        </w:rPr>
        <w:t xml:space="preserve">pacijenata sa </w:t>
      </w:r>
      <w:r w:rsidRPr="006E21C7">
        <w:rPr>
          <w:i/>
          <w:color w:val="000000"/>
          <w:sz w:val="22"/>
          <w:szCs w:val="22"/>
        </w:rPr>
        <w:t>Prinzmetal</w:t>
      </w:r>
      <w:r w:rsidRPr="006E21C7">
        <w:rPr>
          <w:color w:val="000000"/>
          <w:sz w:val="22"/>
          <w:szCs w:val="22"/>
        </w:rPr>
        <w:t>ovom anginom zbog neantagonizovane vazokonstrikcije koronarnih arterija uzrokovane stimulacijom alfa receptora: beta-adrenergički blokatori mogu povećati broj i trajanje</w:t>
      </w:r>
      <w:r w:rsidR="00072098" w:rsidRPr="006E21C7">
        <w:rPr>
          <w:color w:val="000000"/>
          <w:sz w:val="22"/>
          <w:szCs w:val="22"/>
        </w:rPr>
        <w:t xml:space="preserve"> napada</w:t>
      </w:r>
      <w:r w:rsidR="00B23AA7" w:rsidRPr="006E21C7">
        <w:rPr>
          <w:color w:val="000000"/>
          <w:sz w:val="22"/>
          <w:szCs w:val="22"/>
        </w:rPr>
        <w:t xml:space="preserve"> </w:t>
      </w:r>
      <w:r w:rsidRPr="006E21C7">
        <w:rPr>
          <w:color w:val="000000"/>
          <w:sz w:val="22"/>
          <w:szCs w:val="22"/>
        </w:rPr>
        <w:t>angin</w:t>
      </w:r>
      <w:r w:rsidR="00072098" w:rsidRPr="006E21C7">
        <w:rPr>
          <w:color w:val="000000"/>
          <w:sz w:val="22"/>
          <w:szCs w:val="22"/>
        </w:rPr>
        <w:t>e</w:t>
      </w:r>
      <w:r w:rsidRPr="006E21C7">
        <w:rPr>
          <w:color w:val="000000"/>
          <w:sz w:val="22"/>
          <w:szCs w:val="22"/>
        </w:rPr>
        <w:t>.</w:t>
      </w:r>
    </w:p>
    <w:p w:rsidR="00FD3280" w:rsidRPr="006E21C7" w:rsidRDefault="00FD3280" w:rsidP="00A256A2">
      <w:pPr>
        <w:widowControl w:val="0"/>
        <w:ind w:left="567"/>
        <w:jc w:val="both"/>
        <w:rPr>
          <w:color w:val="000000"/>
          <w:sz w:val="22"/>
          <w:szCs w:val="22"/>
        </w:rPr>
      </w:pPr>
    </w:p>
    <w:p w:rsidR="00356F64" w:rsidRPr="006E21C7" w:rsidRDefault="00356F64" w:rsidP="00B23AA7">
      <w:pPr>
        <w:jc w:val="both"/>
        <w:rPr>
          <w:color w:val="000000"/>
          <w:sz w:val="22"/>
          <w:szCs w:val="22"/>
        </w:rPr>
      </w:pPr>
      <w:r w:rsidRPr="006E21C7">
        <w:rPr>
          <w:color w:val="000000"/>
          <w:sz w:val="22"/>
          <w:szCs w:val="22"/>
        </w:rPr>
        <w:t xml:space="preserve">Istovremena primjena nebivolola sa </w:t>
      </w:r>
      <w:r w:rsidR="00072098" w:rsidRPr="006E21C7">
        <w:rPr>
          <w:color w:val="000000"/>
          <w:sz w:val="22"/>
          <w:szCs w:val="22"/>
        </w:rPr>
        <w:t xml:space="preserve">antagonistima </w:t>
      </w:r>
      <w:r w:rsidRPr="006E21C7">
        <w:rPr>
          <w:color w:val="000000"/>
          <w:sz w:val="22"/>
          <w:szCs w:val="22"/>
        </w:rPr>
        <w:t>kalcijumskih kanala tipa verapamila i diltiazema, sa antiaritmicima klase I i sa antihipertenzivima centralnog djelovanja</w:t>
      </w:r>
      <w:r w:rsidR="00B23AA7" w:rsidRPr="006E21C7">
        <w:rPr>
          <w:color w:val="000000"/>
          <w:sz w:val="22"/>
          <w:szCs w:val="22"/>
        </w:rPr>
        <w:t xml:space="preserve"> </w:t>
      </w:r>
      <w:r w:rsidRPr="006E21C7">
        <w:rPr>
          <w:color w:val="000000"/>
          <w:sz w:val="22"/>
          <w:szCs w:val="22"/>
        </w:rPr>
        <w:t>generalno se ne preporučuje, za više detalja vidjeti</w:t>
      </w:r>
      <w:r w:rsidR="00B23AA7" w:rsidRPr="006E21C7">
        <w:rPr>
          <w:color w:val="000000"/>
          <w:sz w:val="22"/>
          <w:szCs w:val="22"/>
        </w:rPr>
        <w:t xml:space="preserve"> </w:t>
      </w:r>
      <w:r w:rsidR="002750EE" w:rsidRPr="006E21C7">
        <w:rPr>
          <w:color w:val="000000"/>
          <w:sz w:val="22"/>
          <w:szCs w:val="22"/>
        </w:rPr>
        <w:t>dio</w:t>
      </w:r>
      <w:r w:rsidR="00072098" w:rsidRPr="006E21C7">
        <w:rPr>
          <w:color w:val="000000"/>
          <w:sz w:val="22"/>
          <w:szCs w:val="22"/>
        </w:rPr>
        <w:t xml:space="preserve"> </w:t>
      </w:r>
      <w:r w:rsidRPr="006E21C7">
        <w:rPr>
          <w:color w:val="000000"/>
          <w:sz w:val="22"/>
          <w:szCs w:val="22"/>
        </w:rPr>
        <w:t xml:space="preserve">4.5. </w:t>
      </w:r>
    </w:p>
    <w:p w:rsidR="00072098" w:rsidRPr="006E21C7" w:rsidRDefault="00072098" w:rsidP="00B23AA7">
      <w:pPr>
        <w:jc w:val="both"/>
        <w:rPr>
          <w:i/>
          <w:sz w:val="22"/>
          <w:szCs w:val="22"/>
        </w:rPr>
      </w:pPr>
    </w:p>
    <w:p w:rsidR="00356F64" w:rsidRPr="006E21C7" w:rsidRDefault="00356F64" w:rsidP="00B23AA7">
      <w:pPr>
        <w:jc w:val="both"/>
        <w:rPr>
          <w:i/>
          <w:sz w:val="22"/>
          <w:szCs w:val="22"/>
        </w:rPr>
      </w:pPr>
      <w:r w:rsidRPr="006E21C7">
        <w:rPr>
          <w:i/>
          <w:sz w:val="22"/>
          <w:szCs w:val="22"/>
        </w:rPr>
        <w:t>Metabolički i endokrini poremećaji</w:t>
      </w:r>
    </w:p>
    <w:p w:rsidR="00356F64" w:rsidRPr="006E21C7" w:rsidRDefault="00356F64" w:rsidP="00B23AA7">
      <w:pPr>
        <w:jc w:val="both"/>
        <w:rPr>
          <w:i/>
          <w:sz w:val="22"/>
          <w:szCs w:val="22"/>
        </w:rPr>
      </w:pPr>
    </w:p>
    <w:p w:rsidR="00356F64" w:rsidRPr="006E21C7" w:rsidRDefault="00CC32B4" w:rsidP="00B23AA7">
      <w:pPr>
        <w:jc w:val="both"/>
        <w:rPr>
          <w:sz w:val="22"/>
          <w:szCs w:val="22"/>
        </w:rPr>
      </w:pPr>
      <w:r w:rsidRPr="006E21C7">
        <w:rPr>
          <w:sz w:val="22"/>
          <w:szCs w:val="22"/>
        </w:rPr>
        <w:t>Nibel</w:t>
      </w:r>
      <w:r w:rsidR="00356F64" w:rsidRPr="006E21C7">
        <w:rPr>
          <w:sz w:val="22"/>
          <w:szCs w:val="22"/>
        </w:rPr>
        <w:t xml:space="preserve"> ne utiče na nivo glukoze kod </w:t>
      </w:r>
      <w:r w:rsidR="00072098" w:rsidRPr="006E21C7">
        <w:rPr>
          <w:sz w:val="22"/>
          <w:szCs w:val="22"/>
        </w:rPr>
        <w:t xml:space="preserve">pacijenata koji boluju od </w:t>
      </w:r>
      <w:r w:rsidR="00356F64" w:rsidRPr="006E21C7">
        <w:rPr>
          <w:sz w:val="22"/>
          <w:szCs w:val="22"/>
        </w:rPr>
        <w:t>dijabet</w:t>
      </w:r>
      <w:r w:rsidR="00072098" w:rsidRPr="006E21C7">
        <w:rPr>
          <w:sz w:val="22"/>
          <w:szCs w:val="22"/>
        </w:rPr>
        <w:t>esa</w:t>
      </w:r>
      <w:r w:rsidR="00356F64" w:rsidRPr="006E21C7">
        <w:rPr>
          <w:sz w:val="22"/>
          <w:szCs w:val="22"/>
        </w:rPr>
        <w:t>. Ipak je potreban oprez kod</w:t>
      </w:r>
      <w:r w:rsidR="00072098" w:rsidRPr="006E21C7">
        <w:rPr>
          <w:sz w:val="22"/>
          <w:szCs w:val="22"/>
        </w:rPr>
        <w:t xml:space="preserve"> ovih</w:t>
      </w:r>
      <w:r w:rsidR="00B23AA7" w:rsidRPr="006E21C7">
        <w:rPr>
          <w:sz w:val="22"/>
          <w:szCs w:val="22"/>
        </w:rPr>
        <w:t xml:space="preserve"> </w:t>
      </w:r>
      <w:r w:rsidR="00356F64" w:rsidRPr="006E21C7">
        <w:rPr>
          <w:sz w:val="22"/>
          <w:szCs w:val="22"/>
        </w:rPr>
        <w:t>pacijenata, budući da nebivolol može da maskira određene simptome hipoglikemije (tahikardija, palpitacije).</w:t>
      </w:r>
    </w:p>
    <w:p w:rsidR="00356F64" w:rsidRPr="006E21C7" w:rsidRDefault="00356F64" w:rsidP="00B23AA7">
      <w:pPr>
        <w:jc w:val="both"/>
        <w:rPr>
          <w:color w:val="000000"/>
          <w:sz w:val="22"/>
          <w:szCs w:val="22"/>
        </w:rPr>
      </w:pPr>
      <w:r w:rsidRPr="006E21C7">
        <w:rPr>
          <w:color w:val="000000"/>
          <w:sz w:val="22"/>
          <w:szCs w:val="22"/>
        </w:rPr>
        <w:t>Beta</w:t>
      </w:r>
      <w:r w:rsidRPr="006E21C7">
        <w:rPr>
          <w:color w:val="000000"/>
          <w:sz w:val="22"/>
          <w:szCs w:val="22"/>
        </w:rPr>
        <w:noBreakHyphen/>
        <w:t>adrenergički blokatori mogu maskirati simptome tahikardije kod hipertireoidizma. Nagli prekid terapije može pojačati simptome.</w:t>
      </w:r>
    </w:p>
    <w:p w:rsidR="00356F64" w:rsidRPr="006E21C7" w:rsidRDefault="00356F64" w:rsidP="00B23AA7">
      <w:pPr>
        <w:jc w:val="both"/>
        <w:rPr>
          <w:color w:val="000000"/>
          <w:sz w:val="22"/>
          <w:szCs w:val="22"/>
        </w:rPr>
      </w:pPr>
    </w:p>
    <w:p w:rsidR="00356F64" w:rsidRPr="006E21C7" w:rsidRDefault="00356F64" w:rsidP="00B23AA7">
      <w:pPr>
        <w:jc w:val="both"/>
        <w:rPr>
          <w:i/>
          <w:color w:val="000000"/>
          <w:sz w:val="22"/>
          <w:szCs w:val="22"/>
        </w:rPr>
      </w:pPr>
      <w:r w:rsidRPr="006E21C7">
        <w:rPr>
          <w:i/>
          <w:color w:val="000000"/>
          <w:sz w:val="22"/>
          <w:szCs w:val="22"/>
        </w:rPr>
        <w:t>Respiratorni poremećaji</w:t>
      </w:r>
    </w:p>
    <w:p w:rsidR="00A4195F" w:rsidRPr="006E21C7" w:rsidRDefault="00A4195F" w:rsidP="00B23AA7">
      <w:pPr>
        <w:jc w:val="both"/>
        <w:rPr>
          <w:i/>
          <w:color w:val="000000"/>
          <w:sz w:val="22"/>
          <w:szCs w:val="22"/>
        </w:rPr>
      </w:pPr>
    </w:p>
    <w:p w:rsidR="00356F64" w:rsidRPr="006E21C7" w:rsidRDefault="00356F64" w:rsidP="00B23AA7">
      <w:pPr>
        <w:jc w:val="both"/>
        <w:rPr>
          <w:color w:val="000000"/>
          <w:sz w:val="22"/>
          <w:szCs w:val="22"/>
        </w:rPr>
      </w:pPr>
      <w:r w:rsidRPr="006E21C7">
        <w:rPr>
          <w:color w:val="000000"/>
          <w:sz w:val="22"/>
          <w:szCs w:val="22"/>
        </w:rPr>
        <w:t>Kod pacijenata sa hroničnom opstruktivnom bolesti pluća, neophodan je oprez pri primjeni beta</w:t>
      </w:r>
      <w:r w:rsidRPr="006E21C7">
        <w:rPr>
          <w:color w:val="000000"/>
          <w:sz w:val="22"/>
          <w:szCs w:val="22"/>
        </w:rPr>
        <w:noBreakHyphen/>
        <w:t xml:space="preserve">adrenergičkih blokatora jer </w:t>
      </w:r>
      <w:r w:rsidR="00072098" w:rsidRPr="006E21C7">
        <w:rPr>
          <w:color w:val="000000"/>
          <w:sz w:val="22"/>
          <w:szCs w:val="22"/>
        </w:rPr>
        <w:t xml:space="preserve">se </w:t>
      </w:r>
      <w:r w:rsidRPr="006E21C7">
        <w:rPr>
          <w:color w:val="000000"/>
          <w:sz w:val="22"/>
          <w:szCs w:val="22"/>
        </w:rPr>
        <w:t xml:space="preserve">može </w:t>
      </w:r>
      <w:r w:rsidR="00072098" w:rsidRPr="006E21C7">
        <w:rPr>
          <w:color w:val="000000"/>
          <w:sz w:val="22"/>
          <w:szCs w:val="22"/>
        </w:rPr>
        <w:t>pogoršati</w:t>
      </w:r>
      <w:r w:rsidR="00B23AA7" w:rsidRPr="006E21C7">
        <w:rPr>
          <w:color w:val="000000"/>
          <w:sz w:val="22"/>
          <w:szCs w:val="22"/>
        </w:rPr>
        <w:t xml:space="preserve"> </w:t>
      </w:r>
      <w:r w:rsidRPr="006E21C7">
        <w:rPr>
          <w:color w:val="000000"/>
          <w:sz w:val="22"/>
          <w:szCs w:val="22"/>
        </w:rPr>
        <w:t>konstrikcij</w:t>
      </w:r>
      <w:r w:rsidR="00072098" w:rsidRPr="006E21C7">
        <w:rPr>
          <w:color w:val="000000"/>
          <w:sz w:val="22"/>
          <w:szCs w:val="22"/>
        </w:rPr>
        <w:t>a</w:t>
      </w:r>
      <w:r w:rsidRPr="006E21C7">
        <w:rPr>
          <w:color w:val="000000"/>
          <w:sz w:val="22"/>
          <w:szCs w:val="22"/>
        </w:rPr>
        <w:t xml:space="preserve"> disajnih puteva.</w:t>
      </w:r>
    </w:p>
    <w:p w:rsidR="00072098" w:rsidRPr="006E21C7" w:rsidRDefault="00072098" w:rsidP="00B23AA7">
      <w:pPr>
        <w:jc w:val="both"/>
        <w:rPr>
          <w:i/>
          <w:iCs/>
          <w:sz w:val="22"/>
          <w:szCs w:val="22"/>
        </w:rPr>
      </w:pPr>
    </w:p>
    <w:p w:rsidR="00356F64" w:rsidRPr="006E21C7" w:rsidRDefault="00356F64" w:rsidP="00B23AA7">
      <w:pPr>
        <w:jc w:val="both"/>
        <w:rPr>
          <w:i/>
          <w:iCs/>
          <w:sz w:val="22"/>
          <w:szCs w:val="22"/>
        </w:rPr>
      </w:pPr>
      <w:r w:rsidRPr="006E21C7">
        <w:rPr>
          <w:i/>
          <w:iCs/>
          <w:sz w:val="22"/>
          <w:szCs w:val="22"/>
        </w:rPr>
        <w:t>Ostal</w:t>
      </w:r>
      <w:r w:rsidR="00072098" w:rsidRPr="006E21C7">
        <w:rPr>
          <w:i/>
          <w:iCs/>
          <w:sz w:val="22"/>
          <w:szCs w:val="22"/>
        </w:rPr>
        <w:t>i poremećaji</w:t>
      </w:r>
      <w:r w:rsidRPr="006E21C7">
        <w:rPr>
          <w:i/>
          <w:iCs/>
          <w:sz w:val="22"/>
          <w:szCs w:val="22"/>
        </w:rPr>
        <w:t xml:space="preserve"> </w:t>
      </w:r>
    </w:p>
    <w:p w:rsidR="00356F64" w:rsidRPr="006E21C7" w:rsidRDefault="00356F64" w:rsidP="00B23AA7">
      <w:pPr>
        <w:jc w:val="both"/>
        <w:rPr>
          <w:i/>
          <w:iCs/>
          <w:sz w:val="22"/>
          <w:szCs w:val="22"/>
        </w:rPr>
      </w:pPr>
    </w:p>
    <w:p w:rsidR="00356F64" w:rsidRPr="006E21C7" w:rsidRDefault="00356F64" w:rsidP="00B23AA7">
      <w:pPr>
        <w:jc w:val="both"/>
        <w:rPr>
          <w:color w:val="000000"/>
          <w:sz w:val="22"/>
          <w:szCs w:val="22"/>
        </w:rPr>
      </w:pPr>
      <w:r w:rsidRPr="006E21C7">
        <w:rPr>
          <w:color w:val="000000"/>
          <w:sz w:val="22"/>
          <w:szCs w:val="22"/>
        </w:rPr>
        <w:t>Kod pacijenata sa psorijazom</w:t>
      </w:r>
      <w:r w:rsidR="00072098" w:rsidRPr="006E21C7">
        <w:rPr>
          <w:color w:val="000000"/>
          <w:sz w:val="22"/>
          <w:szCs w:val="22"/>
        </w:rPr>
        <w:t xml:space="preserve"> u anamnezi</w:t>
      </w:r>
      <w:r w:rsidR="00B23AA7" w:rsidRPr="006E21C7">
        <w:rPr>
          <w:color w:val="000000"/>
          <w:sz w:val="22"/>
          <w:szCs w:val="22"/>
        </w:rPr>
        <w:t xml:space="preserve"> </w:t>
      </w:r>
      <w:r w:rsidRPr="006E21C7">
        <w:rPr>
          <w:color w:val="000000"/>
          <w:sz w:val="22"/>
          <w:szCs w:val="22"/>
        </w:rPr>
        <w:t>treba propisivati beta</w:t>
      </w:r>
      <w:r w:rsidRPr="006E21C7">
        <w:rPr>
          <w:color w:val="000000"/>
          <w:sz w:val="22"/>
          <w:szCs w:val="22"/>
        </w:rPr>
        <w:noBreakHyphen/>
        <w:t xml:space="preserve">adrenergičke blokatore samo poslije pažljivog razmatranja. </w:t>
      </w:r>
    </w:p>
    <w:p w:rsidR="00356F64" w:rsidRPr="006E21C7" w:rsidRDefault="00356F64" w:rsidP="00B23AA7">
      <w:pPr>
        <w:jc w:val="both"/>
        <w:rPr>
          <w:color w:val="000000"/>
          <w:sz w:val="22"/>
          <w:szCs w:val="22"/>
        </w:rPr>
      </w:pPr>
      <w:r w:rsidRPr="006E21C7">
        <w:rPr>
          <w:color w:val="000000"/>
          <w:sz w:val="22"/>
          <w:szCs w:val="22"/>
        </w:rPr>
        <w:t>Beta</w:t>
      </w:r>
      <w:r w:rsidRPr="006E21C7">
        <w:rPr>
          <w:color w:val="000000"/>
          <w:sz w:val="22"/>
          <w:szCs w:val="22"/>
        </w:rPr>
        <w:noBreakHyphen/>
        <w:t>adrenergički blokatori mogu povećati osjetljivost na alergene, kao i težinu anafilaktičk</w:t>
      </w:r>
      <w:r w:rsidR="00072098" w:rsidRPr="006E21C7">
        <w:rPr>
          <w:color w:val="000000"/>
          <w:sz w:val="22"/>
          <w:szCs w:val="22"/>
        </w:rPr>
        <w:t>ih</w:t>
      </w:r>
      <w:r w:rsidRPr="006E21C7">
        <w:rPr>
          <w:color w:val="000000"/>
          <w:sz w:val="22"/>
          <w:szCs w:val="22"/>
        </w:rPr>
        <w:t xml:space="preserve"> reakcij</w:t>
      </w:r>
      <w:r w:rsidR="00072098" w:rsidRPr="006E21C7">
        <w:rPr>
          <w:color w:val="000000"/>
          <w:sz w:val="22"/>
          <w:szCs w:val="22"/>
        </w:rPr>
        <w:t>a</w:t>
      </w:r>
      <w:r w:rsidRPr="006E21C7">
        <w:rPr>
          <w:color w:val="000000"/>
          <w:sz w:val="22"/>
          <w:szCs w:val="22"/>
        </w:rPr>
        <w:t xml:space="preserve">. </w:t>
      </w:r>
    </w:p>
    <w:p w:rsidR="00356F64" w:rsidRPr="006E21C7" w:rsidRDefault="00356F64" w:rsidP="00B23AA7">
      <w:pPr>
        <w:jc w:val="both"/>
        <w:rPr>
          <w:color w:val="000000"/>
          <w:sz w:val="22"/>
          <w:szCs w:val="22"/>
        </w:rPr>
      </w:pPr>
    </w:p>
    <w:p w:rsidR="00356F64" w:rsidRPr="006E21C7" w:rsidRDefault="00356F64" w:rsidP="00B23AA7">
      <w:pPr>
        <w:jc w:val="both"/>
        <w:rPr>
          <w:color w:val="000000"/>
          <w:sz w:val="22"/>
          <w:szCs w:val="22"/>
        </w:rPr>
      </w:pPr>
      <w:r w:rsidRPr="006E21C7">
        <w:rPr>
          <w:color w:val="000000"/>
          <w:sz w:val="22"/>
          <w:szCs w:val="22"/>
        </w:rPr>
        <w:t xml:space="preserve">Početak </w:t>
      </w:r>
      <w:r w:rsidR="00072098" w:rsidRPr="006E21C7">
        <w:rPr>
          <w:color w:val="000000"/>
          <w:sz w:val="22"/>
          <w:szCs w:val="22"/>
        </w:rPr>
        <w:t xml:space="preserve">liječenja </w:t>
      </w:r>
      <w:r w:rsidRPr="006E21C7">
        <w:rPr>
          <w:color w:val="000000"/>
          <w:sz w:val="22"/>
          <w:szCs w:val="22"/>
        </w:rPr>
        <w:t>hronične srčane insuficijencije sa nebivololom zahtijeva stalno praćenje. Za doziranje i način primj</w:t>
      </w:r>
      <w:r w:rsidR="003A4673" w:rsidRPr="006E21C7">
        <w:rPr>
          <w:color w:val="000000"/>
          <w:sz w:val="22"/>
          <w:szCs w:val="22"/>
        </w:rPr>
        <w:t>e</w:t>
      </w:r>
      <w:r w:rsidRPr="006E21C7">
        <w:rPr>
          <w:color w:val="000000"/>
          <w:sz w:val="22"/>
          <w:szCs w:val="22"/>
        </w:rPr>
        <w:t xml:space="preserve">ne vidjeti </w:t>
      </w:r>
      <w:r w:rsidR="002750EE" w:rsidRPr="006E21C7">
        <w:rPr>
          <w:color w:val="000000"/>
          <w:sz w:val="22"/>
          <w:szCs w:val="22"/>
        </w:rPr>
        <w:t>dio</w:t>
      </w:r>
      <w:r w:rsidR="00072098" w:rsidRPr="006E21C7">
        <w:rPr>
          <w:color w:val="000000"/>
          <w:sz w:val="22"/>
          <w:szCs w:val="22"/>
        </w:rPr>
        <w:t xml:space="preserve"> </w:t>
      </w:r>
      <w:r w:rsidRPr="006E21C7">
        <w:rPr>
          <w:color w:val="000000"/>
          <w:sz w:val="22"/>
          <w:szCs w:val="22"/>
        </w:rPr>
        <w:t xml:space="preserve">4.2. Prekidanje </w:t>
      </w:r>
      <w:r w:rsidR="00072098" w:rsidRPr="006E21C7">
        <w:rPr>
          <w:color w:val="000000"/>
          <w:sz w:val="22"/>
          <w:szCs w:val="22"/>
        </w:rPr>
        <w:t xml:space="preserve">liječenja </w:t>
      </w:r>
      <w:r w:rsidRPr="006E21C7">
        <w:rPr>
          <w:color w:val="000000"/>
          <w:sz w:val="22"/>
          <w:szCs w:val="22"/>
        </w:rPr>
        <w:t>ne smije se naglo sprovoditi, osim kada je to</w:t>
      </w:r>
      <w:r w:rsidR="00B23AA7" w:rsidRPr="006E21C7">
        <w:rPr>
          <w:color w:val="000000"/>
          <w:sz w:val="22"/>
          <w:szCs w:val="22"/>
        </w:rPr>
        <w:t xml:space="preserve"> </w:t>
      </w:r>
      <w:r w:rsidRPr="006E21C7">
        <w:rPr>
          <w:color w:val="000000"/>
          <w:sz w:val="22"/>
          <w:szCs w:val="22"/>
        </w:rPr>
        <w:t xml:space="preserve">jasno indikovano. </w:t>
      </w:r>
      <w:r w:rsidR="00072098" w:rsidRPr="006E21C7">
        <w:rPr>
          <w:color w:val="000000"/>
          <w:sz w:val="22"/>
          <w:szCs w:val="22"/>
        </w:rPr>
        <w:t xml:space="preserve">(vidjeti </w:t>
      </w:r>
      <w:r w:rsidR="002750EE" w:rsidRPr="006E21C7">
        <w:rPr>
          <w:color w:val="000000"/>
          <w:sz w:val="22"/>
          <w:szCs w:val="22"/>
        </w:rPr>
        <w:t>dio</w:t>
      </w:r>
      <w:r w:rsidR="00B23AA7" w:rsidRPr="006E21C7">
        <w:rPr>
          <w:color w:val="000000"/>
          <w:sz w:val="22"/>
          <w:szCs w:val="22"/>
        </w:rPr>
        <w:t xml:space="preserve"> </w:t>
      </w:r>
      <w:r w:rsidRPr="006E21C7">
        <w:rPr>
          <w:color w:val="000000"/>
          <w:sz w:val="22"/>
          <w:szCs w:val="22"/>
        </w:rPr>
        <w:t>4.2.</w:t>
      </w:r>
      <w:r w:rsidR="00072098" w:rsidRPr="006E21C7">
        <w:rPr>
          <w:color w:val="000000"/>
          <w:sz w:val="22"/>
          <w:szCs w:val="22"/>
        </w:rPr>
        <w:t>)</w:t>
      </w:r>
      <w:r w:rsidR="00540939" w:rsidRPr="006E21C7">
        <w:rPr>
          <w:color w:val="000000"/>
          <w:sz w:val="22"/>
          <w:szCs w:val="22"/>
        </w:rPr>
        <w:t>.</w:t>
      </w:r>
      <w:r w:rsidRPr="006E21C7">
        <w:rPr>
          <w:color w:val="000000"/>
          <w:sz w:val="22"/>
          <w:szCs w:val="22"/>
        </w:rPr>
        <w:t xml:space="preserve"> </w:t>
      </w:r>
    </w:p>
    <w:p w:rsidR="00356F64" w:rsidRPr="006E21C7" w:rsidRDefault="00356F64" w:rsidP="00B23AA7">
      <w:pPr>
        <w:jc w:val="both"/>
        <w:rPr>
          <w:color w:val="000000"/>
          <w:sz w:val="22"/>
          <w:szCs w:val="22"/>
        </w:rPr>
      </w:pPr>
    </w:p>
    <w:p w:rsidR="00356F64" w:rsidRPr="006E21C7" w:rsidRDefault="00356F64" w:rsidP="00A256A2">
      <w:pPr>
        <w:jc w:val="both"/>
        <w:rPr>
          <w:b/>
          <w:bCs/>
          <w:sz w:val="22"/>
          <w:szCs w:val="22"/>
        </w:rPr>
      </w:pPr>
      <w:r w:rsidRPr="006E21C7">
        <w:rPr>
          <w:b/>
          <w:color w:val="000000"/>
          <w:sz w:val="22"/>
          <w:szCs w:val="22"/>
        </w:rPr>
        <w:t>Ovaj lijek sadrži laktozu</w:t>
      </w:r>
      <w:r w:rsidRPr="006E21C7">
        <w:rPr>
          <w:color w:val="000000"/>
          <w:sz w:val="22"/>
          <w:szCs w:val="22"/>
        </w:rPr>
        <w:t xml:space="preserve">. Pacijenti sa rijetkim nasljednim </w:t>
      </w:r>
      <w:r w:rsidR="00540939" w:rsidRPr="006E21C7">
        <w:rPr>
          <w:color w:val="000000"/>
          <w:sz w:val="22"/>
          <w:szCs w:val="22"/>
        </w:rPr>
        <w:t xml:space="preserve">poremećajem </w:t>
      </w:r>
      <w:r w:rsidRPr="006E21C7">
        <w:rPr>
          <w:color w:val="000000"/>
          <w:sz w:val="22"/>
          <w:szCs w:val="22"/>
        </w:rPr>
        <w:t xml:space="preserve">intolerancije na galaktozu, </w:t>
      </w:r>
      <w:r w:rsidR="00540939" w:rsidRPr="006E21C7">
        <w:rPr>
          <w:color w:val="000000"/>
          <w:sz w:val="22"/>
          <w:szCs w:val="22"/>
        </w:rPr>
        <w:t>potpunim nedostatkom</w:t>
      </w:r>
      <w:r w:rsidR="00B23AA7" w:rsidRPr="006E21C7">
        <w:rPr>
          <w:color w:val="000000"/>
          <w:sz w:val="22"/>
          <w:szCs w:val="22"/>
        </w:rPr>
        <w:t xml:space="preserve"> </w:t>
      </w:r>
      <w:r w:rsidRPr="006E21C7">
        <w:rPr>
          <w:color w:val="000000"/>
          <w:sz w:val="22"/>
          <w:szCs w:val="22"/>
        </w:rPr>
        <w:t>laktaze ili malapsorpcij</w:t>
      </w:r>
      <w:r w:rsidR="00540939" w:rsidRPr="006E21C7">
        <w:rPr>
          <w:color w:val="000000"/>
          <w:sz w:val="22"/>
          <w:szCs w:val="22"/>
        </w:rPr>
        <w:t>om</w:t>
      </w:r>
      <w:r w:rsidRPr="006E21C7">
        <w:rPr>
          <w:color w:val="000000"/>
          <w:sz w:val="22"/>
          <w:szCs w:val="22"/>
        </w:rPr>
        <w:t xml:space="preserve"> glukoze i galaktoze, ne treba da koriste ovaj lijek. </w:t>
      </w:r>
    </w:p>
    <w:p w:rsidR="00356F64" w:rsidRPr="006E21C7" w:rsidRDefault="003C3404" w:rsidP="00A256A2">
      <w:pPr>
        <w:tabs>
          <w:tab w:val="left" w:pos="540"/>
          <w:tab w:val="left" w:pos="569"/>
        </w:tabs>
        <w:jc w:val="both"/>
        <w:rPr>
          <w:b/>
          <w:bCs/>
          <w:sz w:val="22"/>
          <w:szCs w:val="22"/>
        </w:rPr>
      </w:pPr>
      <w:r w:rsidRPr="006E21C7">
        <w:rPr>
          <w:b/>
          <w:bCs/>
          <w:sz w:val="22"/>
          <w:szCs w:val="22"/>
        </w:rPr>
        <w:t xml:space="preserve">4.5. </w:t>
      </w:r>
      <w:r w:rsidR="00356F64" w:rsidRPr="006E21C7">
        <w:rPr>
          <w:b/>
          <w:bCs/>
          <w:sz w:val="22"/>
          <w:szCs w:val="22"/>
        </w:rPr>
        <w:t>Interakcije sa drugim ljekovima i druge vrste interakcija</w:t>
      </w:r>
    </w:p>
    <w:p w:rsidR="00356F64" w:rsidRPr="006E21C7" w:rsidRDefault="00356F64" w:rsidP="00A256A2">
      <w:pPr>
        <w:tabs>
          <w:tab w:val="left" w:pos="540"/>
          <w:tab w:val="left" w:pos="569"/>
        </w:tabs>
        <w:jc w:val="both"/>
        <w:rPr>
          <w:b/>
          <w:bCs/>
          <w:sz w:val="22"/>
          <w:szCs w:val="22"/>
        </w:rPr>
      </w:pPr>
    </w:p>
    <w:p w:rsidR="00356F64" w:rsidRPr="006E21C7" w:rsidRDefault="00356F64" w:rsidP="00DA59DD">
      <w:pPr>
        <w:jc w:val="both"/>
        <w:rPr>
          <w:color w:val="000000"/>
          <w:sz w:val="22"/>
          <w:szCs w:val="22"/>
        </w:rPr>
      </w:pPr>
      <w:r w:rsidRPr="006E21C7">
        <w:rPr>
          <w:color w:val="000000"/>
          <w:sz w:val="22"/>
          <w:szCs w:val="22"/>
          <w:u w:val="single"/>
        </w:rPr>
        <w:t>Farmakodinamske interakcije</w:t>
      </w:r>
      <w:r w:rsidRPr="006E21C7">
        <w:rPr>
          <w:color w:val="000000"/>
          <w:sz w:val="22"/>
          <w:szCs w:val="22"/>
        </w:rPr>
        <w:t>:</w:t>
      </w:r>
    </w:p>
    <w:p w:rsidR="00A4195F" w:rsidRPr="006E21C7" w:rsidRDefault="00A4195F" w:rsidP="00A256A2">
      <w:pPr>
        <w:jc w:val="both"/>
        <w:rPr>
          <w:color w:val="000000"/>
          <w:sz w:val="22"/>
          <w:szCs w:val="22"/>
        </w:rPr>
      </w:pPr>
    </w:p>
    <w:p w:rsidR="00356F64" w:rsidRPr="006E21C7" w:rsidRDefault="00356F64" w:rsidP="00A256A2">
      <w:pPr>
        <w:jc w:val="both"/>
        <w:rPr>
          <w:color w:val="000000"/>
          <w:sz w:val="22"/>
          <w:szCs w:val="22"/>
        </w:rPr>
      </w:pPr>
      <w:r w:rsidRPr="006E21C7">
        <w:rPr>
          <w:color w:val="000000"/>
          <w:sz w:val="22"/>
          <w:szCs w:val="22"/>
        </w:rPr>
        <w:t>Sljedeće interakcije se generalno odnose na beta</w:t>
      </w:r>
      <w:r w:rsidRPr="006E21C7">
        <w:rPr>
          <w:color w:val="000000"/>
          <w:sz w:val="22"/>
          <w:szCs w:val="22"/>
        </w:rPr>
        <w:noBreakHyphen/>
        <w:t>adrenergičke blokatore.</w:t>
      </w:r>
    </w:p>
    <w:p w:rsidR="00356F64" w:rsidRPr="006E21C7" w:rsidRDefault="00356F64" w:rsidP="00A256A2">
      <w:pPr>
        <w:jc w:val="both"/>
        <w:rPr>
          <w:i/>
          <w:iCs/>
          <w:sz w:val="22"/>
          <w:szCs w:val="22"/>
          <w:u w:val="single"/>
        </w:rPr>
      </w:pPr>
    </w:p>
    <w:p w:rsidR="00356F64" w:rsidRPr="006E21C7" w:rsidRDefault="00356F64" w:rsidP="00A256A2">
      <w:pPr>
        <w:jc w:val="both"/>
        <w:rPr>
          <w:iCs/>
          <w:sz w:val="22"/>
          <w:szCs w:val="22"/>
          <w:u w:val="single"/>
        </w:rPr>
      </w:pPr>
      <w:r w:rsidRPr="006E21C7">
        <w:rPr>
          <w:iCs/>
          <w:sz w:val="22"/>
          <w:szCs w:val="22"/>
          <w:u w:val="single"/>
        </w:rPr>
        <w:lastRenderedPageBreak/>
        <w:t>Kombinacije koje se ne preporučuju:</w:t>
      </w:r>
    </w:p>
    <w:p w:rsidR="00356F64" w:rsidRPr="006E21C7" w:rsidRDefault="00356F64" w:rsidP="00A256A2">
      <w:pPr>
        <w:jc w:val="both"/>
        <w:rPr>
          <w:i/>
          <w:iCs/>
          <w:sz w:val="22"/>
          <w:szCs w:val="22"/>
          <w:u w:val="single"/>
        </w:rPr>
      </w:pPr>
    </w:p>
    <w:p w:rsidR="00356F64" w:rsidRPr="006E21C7" w:rsidRDefault="00356F64" w:rsidP="00A256A2">
      <w:pPr>
        <w:jc w:val="both"/>
        <w:rPr>
          <w:color w:val="000000"/>
          <w:sz w:val="22"/>
          <w:szCs w:val="22"/>
        </w:rPr>
      </w:pPr>
      <w:r w:rsidRPr="006E21C7">
        <w:rPr>
          <w:i/>
          <w:iCs/>
          <w:sz w:val="22"/>
          <w:szCs w:val="22"/>
        </w:rPr>
        <w:t>Antiaritmici I klase:</w:t>
      </w:r>
      <w:r w:rsidR="002750EE" w:rsidRPr="006E21C7">
        <w:rPr>
          <w:iCs/>
          <w:sz w:val="22"/>
          <w:szCs w:val="22"/>
        </w:rPr>
        <w:t xml:space="preserve"> </w:t>
      </w:r>
      <w:r w:rsidRPr="006E21C7">
        <w:rPr>
          <w:iCs/>
          <w:sz w:val="22"/>
          <w:szCs w:val="22"/>
        </w:rPr>
        <w:t xml:space="preserve">(hinidin, hidrohinidin, cibenzolin, flekainid, diizopiramid, lidokain, meksiletin, propafenon): </w:t>
      </w:r>
      <w:r w:rsidR="00213317" w:rsidRPr="006E21C7">
        <w:rPr>
          <w:iCs/>
          <w:sz w:val="22"/>
          <w:szCs w:val="22"/>
        </w:rPr>
        <w:t>može se usporiti</w:t>
      </w:r>
      <w:r w:rsidR="00B23AA7" w:rsidRPr="006E21C7">
        <w:rPr>
          <w:iCs/>
          <w:sz w:val="22"/>
          <w:szCs w:val="22"/>
        </w:rPr>
        <w:t xml:space="preserve"> </w:t>
      </w:r>
      <w:r w:rsidRPr="006E21C7">
        <w:rPr>
          <w:color w:val="000000"/>
          <w:sz w:val="22"/>
          <w:szCs w:val="22"/>
        </w:rPr>
        <w:t>AV sprovođenj</w:t>
      </w:r>
      <w:r w:rsidR="00213317" w:rsidRPr="006E21C7">
        <w:rPr>
          <w:color w:val="000000"/>
          <w:sz w:val="22"/>
          <w:szCs w:val="22"/>
        </w:rPr>
        <w:t>e</w:t>
      </w:r>
      <w:r w:rsidRPr="006E21C7">
        <w:rPr>
          <w:color w:val="000000"/>
          <w:sz w:val="22"/>
          <w:szCs w:val="22"/>
        </w:rPr>
        <w:t xml:space="preserve"> i poveća</w:t>
      </w:r>
      <w:r w:rsidR="00213317" w:rsidRPr="006E21C7">
        <w:rPr>
          <w:color w:val="000000"/>
          <w:sz w:val="22"/>
          <w:szCs w:val="22"/>
        </w:rPr>
        <w:t>ti</w:t>
      </w:r>
      <w:r w:rsidRPr="006E21C7">
        <w:rPr>
          <w:color w:val="000000"/>
          <w:sz w:val="22"/>
          <w:szCs w:val="22"/>
        </w:rPr>
        <w:t xml:space="preserve"> negativ</w:t>
      </w:r>
      <w:r w:rsidR="002C616F" w:rsidRPr="006E21C7">
        <w:rPr>
          <w:color w:val="000000"/>
          <w:sz w:val="22"/>
          <w:szCs w:val="22"/>
        </w:rPr>
        <w:t>a</w:t>
      </w:r>
      <w:r w:rsidRPr="006E21C7">
        <w:rPr>
          <w:color w:val="000000"/>
          <w:sz w:val="22"/>
          <w:szCs w:val="22"/>
        </w:rPr>
        <w:t>n inotropn</w:t>
      </w:r>
      <w:r w:rsidR="00213317" w:rsidRPr="006E21C7">
        <w:rPr>
          <w:color w:val="000000"/>
          <w:sz w:val="22"/>
          <w:szCs w:val="22"/>
        </w:rPr>
        <w:t>iefekat</w:t>
      </w:r>
      <w:r w:rsidRPr="006E21C7">
        <w:rPr>
          <w:color w:val="000000"/>
          <w:sz w:val="22"/>
          <w:szCs w:val="22"/>
        </w:rPr>
        <w:t xml:space="preserve"> (vidjeti</w:t>
      </w:r>
      <w:r w:rsidR="00213317" w:rsidRPr="006E21C7">
        <w:rPr>
          <w:color w:val="000000"/>
          <w:sz w:val="22"/>
          <w:szCs w:val="22"/>
        </w:rPr>
        <w:t xml:space="preserve"> </w:t>
      </w:r>
      <w:r w:rsidR="002750EE" w:rsidRPr="006E21C7">
        <w:rPr>
          <w:color w:val="000000"/>
          <w:sz w:val="22"/>
          <w:szCs w:val="22"/>
        </w:rPr>
        <w:t>dio</w:t>
      </w:r>
      <w:r w:rsidRPr="006E21C7">
        <w:rPr>
          <w:color w:val="000000"/>
          <w:sz w:val="22"/>
          <w:szCs w:val="22"/>
        </w:rPr>
        <w:t xml:space="preserve"> 4.4). </w:t>
      </w:r>
    </w:p>
    <w:p w:rsidR="002750EE" w:rsidRPr="006E21C7" w:rsidRDefault="002750EE" w:rsidP="00A256A2">
      <w:pPr>
        <w:jc w:val="both"/>
        <w:rPr>
          <w:iCs/>
          <w:sz w:val="22"/>
          <w:szCs w:val="22"/>
        </w:rPr>
      </w:pPr>
    </w:p>
    <w:p w:rsidR="00356F64" w:rsidRPr="006E21C7" w:rsidRDefault="002C616F" w:rsidP="00A256A2">
      <w:pPr>
        <w:jc w:val="both"/>
        <w:rPr>
          <w:color w:val="000000"/>
          <w:sz w:val="22"/>
          <w:szCs w:val="22"/>
        </w:rPr>
      </w:pPr>
      <w:r w:rsidRPr="006E21C7">
        <w:rPr>
          <w:i/>
          <w:iCs/>
          <w:sz w:val="22"/>
          <w:szCs w:val="22"/>
        </w:rPr>
        <w:t>Anatgonisti</w:t>
      </w:r>
      <w:r w:rsidR="00B23AA7" w:rsidRPr="006E21C7">
        <w:rPr>
          <w:i/>
          <w:iCs/>
          <w:sz w:val="22"/>
          <w:szCs w:val="22"/>
        </w:rPr>
        <w:t xml:space="preserve"> </w:t>
      </w:r>
      <w:r w:rsidR="00356F64" w:rsidRPr="006E21C7">
        <w:rPr>
          <w:i/>
          <w:iCs/>
          <w:sz w:val="22"/>
          <w:szCs w:val="22"/>
        </w:rPr>
        <w:t>kalcijumskih kanala tipa verapamila i diltiazema:</w:t>
      </w:r>
      <w:r w:rsidR="00356F64" w:rsidRPr="006E21C7">
        <w:rPr>
          <w:iCs/>
          <w:sz w:val="22"/>
          <w:szCs w:val="22"/>
        </w:rPr>
        <w:t xml:space="preserve"> </w:t>
      </w:r>
      <w:r w:rsidR="00356F64" w:rsidRPr="006E21C7">
        <w:rPr>
          <w:color w:val="000000"/>
          <w:sz w:val="22"/>
          <w:szCs w:val="22"/>
        </w:rPr>
        <w:t>negativ</w:t>
      </w:r>
      <w:r w:rsidRPr="006E21C7">
        <w:rPr>
          <w:color w:val="000000"/>
          <w:sz w:val="22"/>
          <w:szCs w:val="22"/>
        </w:rPr>
        <w:t>a</w:t>
      </w:r>
      <w:r w:rsidR="00356F64" w:rsidRPr="006E21C7">
        <w:rPr>
          <w:color w:val="000000"/>
          <w:sz w:val="22"/>
          <w:szCs w:val="22"/>
        </w:rPr>
        <w:t>n</w:t>
      </w:r>
      <w:r w:rsidRPr="006E21C7">
        <w:rPr>
          <w:color w:val="000000"/>
          <w:sz w:val="22"/>
          <w:szCs w:val="22"/>
        </w:rPr>
        <w:t xml:space="preserve"> uticaj</w:t>
      </w:r>
      <w:r w:rsidR="00356F64" w:rsidRPr="006E21C7">
        <w:rPr>
          <w:color w:val="000000"/>
          <w:sz w:val="22"/>
          <w:szCs w:val="22"/>
        </w:rPr>
        <w:t xml:space="preserve"> na kontraktilnost i AV </w:t>
      </w:r>
      <w:r w:rsidRPr="006E21C7">
        <w:rPr>
          <w:color w:val="000000"/>
          <w:sz w:val="22"/>
          <w:szCs w:val="22"/>
        </w:rPr>
        <w:t>sprovođenje</w:t>
      </w:r>
      <w:r w:rsidR="00356F64" w:rsidRPr="006E21C7">
        <w:rPr>
          <w:color w:val="000000"/>
          <w:sz w:val="22"/>
          <w:szCs w:val="22"/>
        </w:rPr>
        <w:t>. Intravenska primjena verapamila je kontraindikovana kod pacijenata koji primaju terapiju beta</w:t>
      </w:r>
      <w:r w:rsidR="00514703" w:rsidRPr="006E21C7">
        <w:rPr>
          <w:color w:val="000000"/>
          <w:sz w:val="22"/>
          <w:szCs w:val="22"/>
        </w:rPr>
        <w:t>-</w:t>
      </w:r>
      <w:r w:rsidR="00356F64" w:rsidRPr="006E21C7">
        <w:rPr>
          <w:color w:val="000000"/>
          <w:sz w:val="22"/>
          <w:szCs w:val="22"/>
        </w:rPr>
        <w:t xml:space="preserve">blokatorima jer može da </w:t>
      </w:r>
      <w:r w:rsidRPr="006E21C7">
        <w:rPr>
          <w:color w:val="000000"/>
          <w:sz w:val="22"/>
          <w:szCs w:val="22"/>
        </w:rPr>
        <w:t xml:space="preserve">izazove tešku </w:t>
      </w:r>
      <w:r w:rsidR="00356F64" w:rsidRPr="006E21C7">
        <w:rPr>
          <w:color w:val="000000"/>
          <w:sz w:val="22"/>
          <w:szCs w:val="22"/>
        </w:rPr>
        <w:t>hipotenzij</w:t>
      </w:r>
      <w:r w:rsidRPr="006E21C7">
        <w:rPr>
          <w:color w:val="000000"/>
          <w:sz w:val="22"/>
          <w:szCs w:val="22"/>
        </w:rPr>
        <w:t>u</w:t>
      </w:r>
      <w:r w:rsidR="00356F64" w:rsidRPr="006E21C7">
        <w:rPr>
          <w:color w:val="000000"/>
          <w:sz w:val="22"/>
          <w:szCs w:val="22"/>
        </w:rPr>
        <w:t xml:space="preserve"> i atrioventrikularn</w:t>
      </w:r>
      <w:r w:rsidRPr="006E21C7">
        <w:rPr>
          <w:color w:val="000000"/>
          <w:sz w:val="22"/>
          <w:szCs w:val="22"/>
        </w:rPr>
        <w:t>i</w:t>
      </w:r>
      <w:r w:rsidR="00356F64" w:rsidRPr="006E21C7">
        <w:rPr>
          <w:color w:val="000000"/>
          <w:sz w:val="22"/>
          <w:szCs w:val="22"/>
        </w:rPr>
        <w:t xml:space="preserve"> blok (vidjeti</w:t>
      </w:r>
      <w:r w:rsidRPr="006E21C7">
        <w:rPr>
          <w:color w:val="000000"/>
          <w:sz w:val="22"/>
          <w:szCs w:val="22"/>
        </w:rPr>
        <w:t xml:space="preserve"> </w:t>
      </w:r>
      <w:r w:rsidR="002750EE" w:rsidRPr="006E21C7">
        <w:rPr>
          <w:color w:val="000000"/>
          <w:sz w:val="22"/>
          <w:szCs w:val="22"/>
        </w:rPr>
        <w:t>dio</w:t>
      </w:r>
      <w:r w:rsidR="00356F64" w:rsidRPr="006E21C7">
        <w:rPr>
          <w:color w:val="000000"/>
          <w:sz w:val="22"/>
          <w:szCs w:val="22"/>
        </w:rPr>
        <w:t xml:space="preserve"> 4.4).</w:t>
      </w:r>
    </w:p>
    <w:p w:rsidR="00356F64" w:rsidRPr="006E21C7" w:rsidRDefault="00356F64" w:rsidP="00A256A2">
      <w:pPr>
        <w:jc w:val="both"/>
        <w:rPr>
          <w:iCs/>
          <w:sz w:val="22"/>
          <w:szCs w:val="22"/>
          <w:u w:val="single"/>
        </w:rPr>
      </w:pPr>
    </w:p>
    <w:p w:rsidR="00356F64" w:rsidRPr="006E21C7" w:rsidRDefault="00356F64" w:rsidP="00A256A2">
      <w:pPr>
        <w:tabs>
          <w:tab w:val="left" w:pos="540"/>
          <w:tab w:val="left" w:pos="569"/>
        </w:tabs>
        <w:jc w:val="both"/>
        <w:rPr>
          <w:sz w:val="22"/>
          <w:szCs w:val="22"/>
        </w:rPr>
      </w:pPr>
      <w:r w:rsidRPr="006E21C7">
        <w:rPr>
          <w:i/>
          <w:sz w:val="22"/>
          <w:szCs w:val="22"/>
        </w:rPr>
        <w:t>Antihipertenzivi centralnog dejstva:</w:t>
      </w:r>
      <w:r w:rsidRPr="006E21C7">
        <w:rPr>
          <w:sz w:val="22"/>
          <w:szCs w:val="22"/>
        </w:rPr>
        <w:t xml:space="preserve"> </w:t>
      </w:r>
      <w:r w:rsidRPr="006E21C7">
        <w:rPr>
          <w:i/>
          <w:sz w:val="22"/>
          <w:szCs w:val="22"/>
        </w:rPr>
        <w:t>(klonidin, guanfacin, moksonidin, metildopa, rilmenidin):</w:t>
      </w:r>
      <w:r w:rsidRPr="006E21C7">
        <w:rPr>
          <w:sz w:val="22"/>
          <w:szCs w:val="22"/>
        </w:rPr>
        <w:t xml:space="preserve"> </w:t>
      </w:r>
      <w:r w:rsidR="00D46869" w:rsidRPr="006E21C7">
        <w:rPr>
          <w:sz w:val="22"/>
          <w:szCs w:val="22"/>
        </w:rPr>
        <w:t>istovremena primjena</w:t>
      </w:r>
      <w:r w:rsidRPr="006E21C7">
        <w:rPr>
          <w:sz w:val="22"/>
          <w:szCs w:val="22"/>
        </w:rPr>
        <w:t xml:space="preserve"> antihipertenziva centralnog dejstva može pogoršati srčanu insuficijenciju smanjenjem centralnog simpatičkog tonusa (</w:t>
      </w:r>
      <w:r w:rsidR="00D46869" w:rsidRPr="006E21C7">
        <w:rPr>
          <w:sz w:val="22"/>
          <w:szCs w:val="22"/>
        </w:rPr>
        <w:t>usporavanje pulsa</w:t>
      </w:r>
      <w:r w:rsidRPr="006E21C7">
        <w:rPr>
          <w:sz w:val="22"/>
          <w:szCs w:val="22"/>
        </w:rPr>
        <w:t xml:space="preserve"> i </w:t>
      </w:r>
      <w:r w:rsidR="00D46869" w:rsidRPr="006E21C7">
        <w:rPr>
          <w:sz w:val="22"/>
          <w:szCs w:val="22"/>
        </w:rPr>
        <w:t xml:space="preserve">smanjenje </w:t>
      </w:r>
      <w:r w:rsidRPr="006E21C7">
        <w:rPr>
          <w:sz w:val="22"/>
          <w:szCs w:val="22"/>
        </w:rPr>
        <w:t>minutnog volumena</w:t>
      </w:r>
      <w:r w:rsidR="00D46869" w:rsidRPr="006E21C7">
        <w:rPr>
          <w:sz w:val="22"/>
          <w:szCs w:val="22"/>
        </w:rPr>
        <w:t xml:space="preserve"> srca</w:t>
      </w:r>
      <w:r w:rsidRPr="006E21C7">
        <w:rPr>
          <w:sz w:val="22"/>
          <w:szCs w:val="22"/>
        </w:rPr>
        <w:t>, vazodilatacija) (vidjeti</w:t>
      </w:r>
      <w:r w:rsidR="00D46869" w:rsidRPr="006E21C7">
        <w:rPr>
          <w:sz w:val="22"/>
          <w:szCs w:val="22"/>
        </w:rPr>
        <w:t xml:space="preserve"> </w:t>
      </w:r>
      <w:r w:rsidR="002750EE" w:rsidRPr="006E21C7">
        <w:rPr>
          <w:sz w:val="22"/>
          <w:szCs w:val="22"/>
        </w:rPr>
        <w:t>dio</w:t>
      </w:r>
      <w:r w:rsidRPr="006E21C7">
        <w:rPr>
          <w:sz w:val="22"/>
          <w:szCs w:val="22"/>
        </w:rPr>
        <w:t xml:space="preserve"> 4.4). Nagli prekid terapije antihipertenziva sa centralnim djelovanjem, posebno prije prekida terapije beta</w:t>
      </w:r>
      <w:r w:rsidR="00514703" w:rsidRPr="006E21C7">
        <w:rPr>
          <w:sz w:val="22"/>
          <w:szCs w:val="22"/>
        </w:rPr>
        <w:t>-</w:t>
      </w:r>
      <w:r w:rsidRPr="006E21C7">
        <w:rPr>
          <w:sz w:val="22"/>
          <w:szCs w:val="22"/>
        </w:rPr>
        <w:t>blokatorima, može povećati rizik od pojave povratne (</w:t>
      </w:r>
      <w:r w:rsidR="00514703" w:rsidRPr="006E21C7">
        <w:rPr>
          <w:sz w:val="22"/>
          <w:szCs w:val="22"/>
        </w:rPr>
        <w:t>„</w:t>
      </w:r>
      <w:r w:rsidR="00514703" w:rsidRPr="006E21C7">
        <w:rPr>
          <w:i/>
          <w:sz w:val="22"/>
          <w:szCs w:val="22"/>
        </w:rPr>
        <w:t>rebound</w:t>
      </w:r>
      <w:r w:rsidR="00514703" w:rsidRPr="006E21C7">
        <w:rPr>
          <w:sz w:val="22"/>
          <w:szCs w:val="22"/>
        </w:rPr>
        <w:t>”</w:t>
      </w:r>
      <w:r w:rsidRPr="006E21C7">
        <w:rPr>
          <w:sz w:val="22"/>
          <w:szCs w:val="22"/>
        </w:rPr>
        <w:t>) hipertenzije.</w:t>
      </w:r>
    </w:p>
    <w:p w:rsidR="00A4195F" w:rsidRPr="006E21C7" w:rsidRDefault="00A4195F" w:rsidP="00A256A2">
      <w:pPr>
        <w:tabs>
          <w:tab w:val="left" w:pos="540"/>
          <w:tab w:val="left" w:pos="569"/>
        </w:tabs>
        <w:jc w:val="both"/>
        <w:rPr>
          <w:sz w:val="22"/>
          <w:szCs w:val="22"/>
        </w:rPr>
      </w:pPr>
    </w:p>
    <w:p w:rsidR="00356F64" w:rsidRPr="006E21C7" w:rsidRDefault="00356F64" w:rsidP="00A256A2">
      <w:pPr>
        <w:jc w:val="both"/>
        <w:rPr>
          <w:color w:val="000000"/>
          <w:sz w:val="22"/>
          <w:szCs w:val="22"/>
          <w:u w:val="single"/>
        </w:rPr>
      </w:pPr>
      <w:r w:rsidRPr="006E21C7">
        <w:rPr>
          <w:color w:val="000000"/>
          <w:sz w:val="22"/>
          <w:szCs w:val="22"/>
          <w:u w:val="single"/>
        </w:rPr>
        <w:t xml:space="preserve">Kombinacije koje treba </w:t>
      </w:r>
      <w:r w:rsidR="00D46869" w:rsidRPr="006E21C7">
        <w:rPr>
          <w:color w:val="000000"/>
          <w:sz w:val="22"/>
          <w:szCs w:val="22"/>
          <w:u w:val="single"/>
        </w:rPr>
        <w:t xml:space="preserve">primjenjivati </w:t>
      </w:r>
      <w:r w:rsidRPr="006E21C7">
        <w:rPr>
          <w:color w:val="000000"/>
          <w:sz w:val="22"/>
          <w:szCs w:val="22"/>
          <w:u w:val="single"/>
        </w:rPr>
        <w:t>sa oprezom:</w:t>
      </w:r>
    </w:p>
    <w:p w:rsidR="00356F64" w:rsidRPr="006E21C7" w:rsidRDefault="00356F64" w:rsidP="00A256A2">
      <w:pPr>
        <w:jc w:val="both"/>
        <w:rPr>
          <w:color w:val="000000"/>
          <w:sz w:val="22"/>
          <w:szCs w:val="22"/>
        </w:rPr>
      </w:pPr>
    </w:p>
    <w:p w:rsidR="00356F64" w:rsidRPr="006E21C7" w:rsidRDefault="00356F64" w:rsidP="00A256A2">
      <w:pPr>
        <w:jc w:val="both"/>
        <w:rPr>
          <w:color w:val="000000"/>
          <w:sz w:val="22"/>
          <w:szCs w:val="22"/>
        </w:rPr>
      </w:pPr>
      <w:r w:rsidRPr="006E21C7">
        <w:rPr>
          <w:i/>
          <w:color w:val="000000"/>
          <w:sz w:val="22"/>
          <w:szCs w:val="22"/>
        </w:rPr>
        <w:t>Antiaritmici III klase</w:t>
      </w:r>
      <w:r w:rsidRPr="006E21C7">
        <w:rPr>
          <w:color w:val="000000"/>
          <w:sz w:val="22"/>
          <w:szCs w:val="22"/>
        </w:rPr>
        <w:t xml:space="preserve"> </w:t>
      </w:r>
      <w:r w:rsidRPr="006E21C7">
        <w:rPr>
          <w:i/>
          <w:color w:val="000000"/>
          <w:sz w:val="22"/>
          <w:szCs w:val="22"/>
        </w:rPr>
        <w:t>(amjodaron):</w:t>
      </w:r>
      <w:r w:rsidRPr="006E21C7">
        <w:rPr>
          <w:color w:val="000000"/>
          <w:sz w:val="22"/>
          <w:szCs w:val="22"/>
        </w:rPr>
        <w:t xml:space="preserve"> </w:t>
      </w:r>
      <w:r w:rsidR="00D46869" w:rsidRPr="006E21C7">
        <w:rPr>
          <w:color w:val="000000"/>
          <w:sz w:val="22"/>
          <w:szCs w:val="22"/>
        </w:rPr>
        <w:t xml:space="preserve">može usporiti </w:t>
      </w:r>
      <w:r w:rsidRPr="006E21C7">
        <w:rPr>
          <w:color w:val="000000"/>
          <w:sz w:val="22"/>
          <w:szCs w:val="22"/>
        </w:rPr>
        <w:t>atrioventrikularno sprovođenj</w:t>
      </w:r>
      <w:r w:rsidR="00D46869" w:rsidRPr="006E21C7">
        <w:rPr>
          <w:color w:val="000000"/>
          <w:sz w:val="22"/>
          <w:szCs w:val="22"/>
        </w:rPr>
        <w:t>e</w:t>
      </w:r>
      <w:r w:rsidRPr="006E21C7">
        <w:rPr>
          <w:color w:val="000000"/>
          <w:sz w:val="22"/>
          <w:szCs w:val="22"/>
        </w:rPr>
        <w:t>.</w:t>
      </w:r>
      <w:r w:rsidR="00B23AA7" w:rsidRPr="006E21C7">
        <w:rPr>
          <w:color w:val="000000"/>
          <w:sz w:val="22"/>
          <w:szCs w:val="22"/>
        </w:rPr>
        <w:t xml:space="preserve"> </w:t>
      </w:r>
    </w:p>
    <w:p w:rsidR="00356F64" w:rsidRPr="006E21C7" w:rsidRDefault="00356F64" w:rsidP="00A256A2">
      <w:pPr>
        <w:jc w:val="both"/>
        <w:rPr>
          <w:color w:val="000000"/>
          <w:sz w:val="22"/>
          <w:szCs w:val="22"/>
          <w:u w:val="single"/>
        </w:rPr>
      </w:pPr>
    </w:p>
    <w:p w:rsidR="00356F64" w:rsidRPr="006E21C7" w:rsidRDefault="00356F64" w:rsidP="00A256A2">
      <w:pPr>
        <w:jc w:val="both"/>
        <w:rPr>
          <w:i/>
          <w:color w:val="000000"/>
          <w:sz w:val="22"/>
          <w:szCs w:val="22"/>
        </w:rPr>
      </w:pPr>
      <w:r w:rsidRPr="006E21C7">
        <w:rPr>
          <w:i/>
          <w:color w:val="000000"/>
          <w:sz w:val="22"/>
          <w:szCs w:val="22"/>
        </w:rPr>
        <w:t>Anestetici –</w:t>
      </w:r>
      <w:r w:rsidR="00D46869" w:rsidRPr="006E21C7">
        <w:rPr>
          <w:i/>
          <w:color w:val="000000"/>
          <w:sz w:val="22"/>
          <w:szCs w:val="22"/>
        </w:rPr>
        <w:t>halogenizovani, nestabilni:</w:t>
      </w:r>
    </w:p>
    <w:p w:rsidR="00356F64" w:rsidRPr="006E21C7" w:rsidRDefault="00356F64" w:rsidP="00A256A2">
      <w:pPr>
        <w:jc w:val="both"/>
        <w:rPr>
          <w:color w:val="000000"/>
          <w:sz w:val="22"/>
          <w:szCs w:val="22"/>
        </w:rPr>
      </w:pPr>
      <w:r w:rsidRPr="006E21C7">
        <w:rPr>
          <w:color w:val="000000"/>
          <w:sz w:val="22"/>
          <w:szCs w:val="22"/>
        </w:rPr>
        <w:t xml:space="preserve">Istovremena </w:t>
      </w:r>
      <w:r w:rsidR="00D46869" w:rsidRPr="006E21C7">
        <w:rPr>
          <w:color w:val="000000"/>
          <w:sz w:val="22"/>
          <w:szCs w:val="22"/>
        </w:rPr>
        <w:t xml:space="preserve">primjena </w:t>
      </w:r>
      <w:r w:rsidRPr="006E21C7">
        <w:rPr>
          <w:color w:val="000000"/>
          <w:sz w:val="22"/>
          <w:szCs w:val="22"/>
        </w:rPr>
        <w:t>beta</w:t>
      </w:r>
      <w:r w:rsidRPr="006E21C7">
        <w:rPr>
          <w:color w:val="000000"/>
          <w:sz w:val="22"/>
          <w:szCs w:val="22"/>
        </w:rPr>
        <w:noBreakHyphen/>
        <w:t>adrenergičkih blokatora i anestetika može oslabiti refleksnu tahikardiju i povećati rizik od hipotenzije (vidjeti 4.4). Generalno pravilo je da se izbjegava naglo prekidanje terapije beta-blokatorima. Obavezno treba obavijestiti anesteziologa u sl</w:t>
      </w:r>
      <w:r w:rsidR="00B86D26" w:rsidRPr="006E21C7">
        <w:rPr>
          <w:color w:val="000000"/>
          <w:sz w:val="22"/>
          <w:szCs w:val="22"/>
        </w:rPr>
        <w:t xml:space="preserve">učaju da pacijent uzima </w:t>
      </w:r>
      <w:r w:rsidR="00013230" w:rsidRPr="006E21C7">
        <w:rPr>
          <w:color w:val="000000"/>
          <w:sz w:val="22"/>
          <w:szCs w:val="22"/>
        </w:rPr>
        <w:t>Nibel</w:t>
      </w:r>
      <w:r w:rsidR="00B86D26" w:rsidRPr="006E21C7">
        <w:rPr>
          <w:color w:val="000000"/>
          <w:sz w:val="22"/>
          <w:szCs w:val="22"/>
        </w:rPr>
        <w:t>.</w:t>
      </w:r>
    </w:p>
    <w:p w:rsidR="003A4673" w:rsidRPr="006E21C7" w:rsidRDefault="003A4673" w:rsidP="00A256A2">
      <w:pPr>
        <w:jc w:val="both"/>
        <w:rPr>
          <w:color w:val="000000"/>
          <w:sz w:val="22"/>
          <w:szCs w:val="22"/>
        </w:rPr>
      </w:pPr>
    </w:p>
    <w:p w:rsidR="00356F64" w:rsidRPr="006E21C7" w:rsidRDefault="00356F64" w:rsidP="00A256A2">
      <w:pPr>
        <w:jc w:val="both"/>
        <w:rPr>
          <w:i/>
          <w:color w:val="000000"/>
          <w:sz w:val="22"/>
          <w:szCs w:val="22"/>
        </w:rPr>
      </w:pPr>
      <w:r w:rsidRPr="006E21C7">
        <w:rPr>
          <w:i/>
          <w:color w:val="000000"/>
          <w:sz w:val="22"/>
          <w:szCs w:val="22"/>
        </w:rPr>
        <w:t>Insulin i oralni antidijabetici:</w:t>
      </w:r>
    </w:p>
    <w:p w:rsidR="00356F64" w:rsidRPr="006E21C7" w:rsidRDefault="00356F64" w:rsidP="00A256A2">
      <w:pPr>
        <w:jc w:val="both"/>
        <w:rPr>
          <w:color w:val="000000"/>
          <w:sz w:val="22"/>
          <w:szCs w:val="22"/>
        </w:rPr>
      </w:pPr>
      <w:r w:rsidRPr="006E21C7">
        <w:rPr>
          <w:color w:val="000000"/>
          <w:sz w:val="22"/>
          <w:szCs w:val="22"/>
        </w:rPr>
        <w:t>Iako nebivolol ne utiče na nivo glukoze, može maskirati određene simptome hipoglikemije (palpitacije, tahikardiju).</w:t>
      </w:r>
    </w:p>
    <w:p w:rsidR="00356F64" w:rsidRPr="006E21C7" w:rsidRDefault="00356F64" w:rsidP="00A256A2">
      <w:pPr>
        <w:jc w:val="both"/>
        <w:rPr>
          <w:color w:val="000000"/>
          <w:sz w:val="22"/>
          <w:szCs w:val="22"/>
        </w:rPr>
      </w:pPr>
    </w:p>
    <w:p w:rsidR="00356F64" w:rsidRPr="006E21C7" w:rsidRDefault="00356F64" w:rsidP="00A256A2">
      <w:pPr>
        <w:jc w:val="both"/>
        <w:rPr>
          <w:color w:val="000000"/>
          <w:sz w:val="22"/>
          <w:szCs w:val="22"/>
        </w:rPr>
      </w:pPr>
      <w:r w:rsidRPr="006E21C7">
        <w:rPr>
          <w:i/>
          <w:color w:val="000000"/>
          <w:sz w:val="22"/>
          <w:szCs w:val="22"/>
        </w:rPr>
        <w:t>Baklofen (miorelaksans), amifostin (antineoplastik</w:t>
      </w:r>
      <w:r w:rsidRPr="006E21C7">
        <w:rPr>
          <w:color w:val="000000"/>
          <w:sz w:val="22"/>
          <w:szCs w:val="22"/>
        </w:rPr>
        <w:t>): s obzirom da istovremena primjena sa ljekovima za povišen krvni pritisak može povećati pad krvnog pritiska, dozu antihipertenzivnih ljekova treba prilagoditi.</w:t>
      </w:r>
    </w:p>
    <w:p w:rsidR="001F2142" w:rsidRPr="006E21C7" w:rsidRDefault="001F2142" w:rsidP="00A256A2">
      <w:pPr>
        <w:jc w:val="both"/>
        <w:rPr>
          <w:color w:val="000000"/>
          <w:sz w:val="22"/>
          <w:szCs w:val="22"/>
        </w:rPr>
      </w:pPr>
    </w:p>
    <w:p w:rsidR="00356F64" w:rsidRPr="006E21C7" w:rsidRDefault="00356F64" w:rsidP="00A256A2">
      <w:pPr>
        <w:jc w:val="both"/>
        <w:rPr>
          <w:color w:val="000000"/>
          <w:sz w:val="22"/>
          <w:szCs w:val="22"/>
          <w:u w:val="single"/>
        </w:rPr>
      </w:pPr>
      <w:r w:rsidRPr="006E21C7">
        <w:rPr>
          <w:color w:val="000000"/>
          <w:sz w:val="22"/>
          <w:szCs w:val="22"/>
          <w:u w:val="single"/>
        </w:rPr>
        <w:t>Kombinacije koje se moraju razmotriti:</w:t>
      </w:r>
    </w:p>
    <w:p w:rsidR="00356F64" w:rsidRPr="006E21C7" w:rsidRDefault="00356F64" w:rsidP="00A256A2">
      <w:pPr>
        <w:jc w:val="both"/>
        <w:rPr>
          <w:color w:val="000000"/>
          <w:sz w:val="22"/>
          <w:szCs w:val="22"/>
          <w:u w:val="single"/>
        </w:rPr>
      </w:pPr>
    </w:p>
    <w:p w:rsidR="00356F64" w:rsidRPr="006E21C7" w:rsidRDefault="00356F64" w:rsidP="00A256A2">
      <w:pPr>
        <w:jc w:val="both"/>
        <w:rPr>
          <w:color w:val="000000"/>
          <w:sz w:val="22"/>
          <w:szCs w:val="22"/>
        </w:rPr>
      </w:pPr>
      <w:r w:rsidRPr="006E21C7">
        <w:rPr>
          <w:i/>
          <w:sz w:val="22"/>
          <w:szCs w:val="22"/>
        </w:rPr>
        <w:t>Glikozidi digitalisa:</w:t>
      </w:r>
      <w:r w:rsidRPr="006E21C7">
        <w:rPr>
          <w:color w:val="000000"/>
          <w:sz w:val="22"/>
          <w:szCs w:val="22"/>
        </w:rPr>
        <w:t xml:space="preserve"> is</w:t>
      </w:r>
      <w:r w:rsidR="002750EE" w:rsidRPr="006E21C7">
        <w:rPr>
          <w:color w:val="000000"/>
          <w:sz w:val="22"/>
          <w:szCs w:val="22"/>
        </w:rPr>
        <w:t>t</w:t>
      </w:r>
      <w:r w:rsidRPr="006E21C7">
        <w:rPr>
          <w:color w:val="000000"/>
          <w:sz w:val="22"/>
          <w:szCs w:val="22"/>
        </w:rPr>
        <w:t>ovremena primjena</w:t>
      </w:r>
      <w:r w:rsidR="00B23AA7" w:rsidRPr="006E21C7">
        <w:rPr>
          <w:color w:val="000000"/>
          <w:sz w:val="22"/>
          <w:szCs w:val="22"/>
        </w:rPr>
        <w:t xml:space="preserve"> </w:t>
      </w:r>
      <w:r w:rsidRPr="006E21C7">
        <w:rPr>
          <w:color w:val="000000"/>
          <w:sz w:val="22"/>
          <w:szCs w:val="22"/>
        </w:rPr>
        <w:t xml:space="preserve">može produžiti vrijeme atrioventrikularnog sprovođenja. Klinička ispitivanja sa nebivololom nijesu pokazala </w:t>
      </w:r>
      <w:r w:rsidR="0008794C" w:rsidRPr="006E21C7">
        <w:rPr>
          <w:color w:val="000000"/>
          <w:sz w:val="22"/>
          <w:szCs w:val="22"/>
        </w:rPr>
        <w:t xml:space="preserve">bilo </w:t>
      </w:r>
      <w:r w:rsidRPr="006E21C7">
        <w:rPr>
          <w:color w:val="000000"/>
          <w:sz w:val="22"/>
          <w:szCs w:val="22"/>
        </w:rPr>
        <w:t xml:space="preserve">kakve </w:t>
      </w:r>
      <w:r w:rsidR="0008794C" w:rsidRPr="006E21C7">
        <w:rPr>
          <w:color w:val="000000"/>
          <w:sz w:val="22"/>
          <w:szCs w:val="22"/>
        </w:rPr>
        <w:t xml:space="preserve">klinički značajne </w:t>
      </w:r>
      <w:r w:rsidRPr="006E21C7">
        <w:rPr>
          <w:color w:val="000000"/>
          <w:sz w:val="22"/>
          <w:szCs w:val="22"/>
        </w:rPr>
        <w:t>interakcije. Nevibolol ne utiče na farmakokinetiku digoksina.</w:t>
      </w:r>
    </w:p>
    <w:p w:rsidR="00356F64" w:rsidRPr="006E21C7" w:rsidRDefault="00356F64" w:rsidP="00A256A2">
      <w:pPr>
        <w:jc w:val="both"/>
        <w:rPr>
          <w:i/>
          <w:color w:val="000000"/>
          <w:sz w:val="22"/>
          <w:szCs w:val="22"/>
          <w:u w:val="single"/>
        </w:rPr>
      </w:pPr>
    </w:p>
    <w:p w:rsidR="00356F64" w:rsidRPr="006E21C7" w:rsidRDefault="0008794C" w:rsidP="00A256A2">
      <w:pPr>
        <w:jc w:val="both"/>
        <w:rPr>
          <w:color w:val="000000"/>
          <w:sz w:val="22"/>
          <w:szCs w:val="22"/>
        </w:rPr>
      </w:pPr>
      <w:r w:rsidRPr="006E21C7">
        <w:rPr>
          <w:i/>
          <w:color w:val="000000"/>
          <w:sz w:val="22"/>
          <w:szCs w:val="22"/>
        </w:rPr>
        <w:t xml:space="preserve">Antagonisti </w:t>
      </w:r>
      <w:r w:rsidR="00356F64" w:rsidRPr="006E21C7">
        <w:rPr>
          <w:i/>
          <w:color w:val="000000"/>
          <w:sz w:val="22"/>
          <w:szCs w:val="22"/>
        </w:rPr>
        <w:t>kalcijumskih kanala dihidropiridinskog tipa (amlodipin, felodipin, lacidipin, nifedipin, nikardipin, nimodipin, nitrendipin)</w:t>
      </w:r>
      <w:r w:rsidR="00356F64" w:rsidRPr="006E21C7">
        <w:rPr>
          <w:color w:val="000000"/>
          <w:sz w:val="22"/>
          <w:szCs w:val="22"/>
        </w:rPr>
        <w:t>: istovremena primjena može da poveća rizik od hipotenzije i ne može biti isključeno povećanje rizika od pogoršanja funkcije ventrikularne pumpe kod pacijenata sa srčanom insuficijencijom.</w:t>
      </w:r>
    </w:p>
    <w:p w:rsidR="00356F64" w:rsidRPr="006E21C7" w:rsidRDefault="00356F64" w:rsidP="00A256A2">
      <w:pPr>
        <w:jc w:val="both"/>
        <w:rPr>
          <w:color w:val="000000"/>
          <w:sz w:val="22"/>
          <w:szCs w:val="22"/>
        </w:rPr>
      </w:pPr>
    </w:p>
    <w:p w:rsidR="00356F64" w:rsidRPr="006E21C7" w:rsidRDefault="00356F64" w:rsidP="00A256A2">
      <w:pPr>
        <w:jc w:val="both"/>
        <w:rPr>
          <w:color w:val="000000"/>
          <w:sz w:val="22"/>
          <w:szCs w:val="22"/>
        </w:rPr>
      </w:pPr>
      <w:r w:rsidRPr="006E21C7">
        <w:rPr>
          <w:i/>
          <w:color w:val="000000"/>
          <w:sz w:val="22"/>
          <w:szCs w:val="22"/>
        </w:rPr>
        <w:t>Antipsihotici, antidepresivi (triciklični, barbiturati i fenotijazini):</w:t>
      </w:r>
      <w:r w:rsidRPr="006E21C7">
        <w:rPr>
          <w:color w:val="000000"/>
          <w:sz w:val="22"/>
          <w:szCs w:val="22"/>
        </w:rPr>
        <w:t xml:space="preserve"> istovremena primjena može </w:t>
      </w:r>
      <w:r w:rsidR="00E24F81" w:rsidRPr="006E21C7">
        <w:rPr>
          <w:color w:val="000000"/>
          <w:sz w:val="22"/>
          <w:szCs w:val="22"/>
        </w:rPr>
        <w:t>pojačati</w:t>
      </w:r>
      <w:r w:rsidR="00B23AA7" w:rsidRPr="006E21C7">
        <w:rPr>
          <w:color w:val="000000"/>
          <w:sz w:val="22"/>
          <w:szCs w:val="22"/>
        </w:rPr>
        <w:t xml:space="preserve"> </w:t>
      </w:r>
      <w:r w:rsidRPr="006E21C7">
        <w:rPr>
          <w:color w:val="000000"/>
          <w:sz w:val="22"/>
          <w:szCs w:val="22"/>
        </w:rPr>
        <w:t>hipotenzivni efekat beta blokatora (aditivni efekat).</w:t>
      </w:r>
    </w:p>
    <w:p w:rsidR="00356F64" w:rsidRPr="006E21C7" w:rsidRDefault="00356F64" w:rsidP="00A256A2">
      <w:pPr>
        <w:jc w:val="both"/>
        <w:rPr>
          <w:color w:val="000000"/>
          <w:sz w:val="22"/>
          <w:szCs w:val="22"/>
        </w:rPr>
      </w:pPr>
    </w:p>
    <w:p w:rsidR="00356F64" w:rsidRPr="006E21C7" w:rsidRDefault="00356F64" w:rsidP="00A256A2">
      <w:pPr>
        <w:jc w:val="both"/>
        <w:rPr>
          <w:color w:val="000000"/>
          <w:sz w:val="22"/>
          <w:szCs w:val="22"/>
        </w:rPr>
      </w:pPr>
      <w:r w:rsidRPr="006E21C7">
        <w:rPr>
          <w:i/>
          <w:color w:val="000000"/>
          <w:sz w:val="22"/>
          <w:szCs w:val="22"/>
        </w:rPr>
        <w:t>Nesterodni antiinflamatorni ljekovi (NSAI</w:t>
      </w:r>
      <w:r w:rsidR="00E24F81" w:rsidRPr="006E21C7">
        <w:rPr>
          <w:i/>
          <w:color w:val="000000"/>
          <w:sz w:val="22"/>
          <w:szCs w:val="22"/>
        </w:rPr>
        <w:t>L</w:t>
      </w:r>
      <w:r w:rsidRPr="006E21C7">
        <w:rPr>
          <w:i/>
          <w:color w:val="000000"/>
          <w:sz w:val="22"/>
          <w:szCs w:val="22"/>
        </w:rPr>
        <w:t>):</w:t>
      </w:r>
      <w:r w:rsidRPr="006E21C7">
        <w:rPr>
          <w:color w:val="000000"/>
          <w:sz w:val="22"/>
          <w:szCs w:val="22"/>
        </w:rPr>
        <w:t xml:space="preserve"> nemaju efekta na hipotenzivni efekat nebivolola. </w:t>
      </w:r>
    </w:p>
    <w:p w:rsidR="00356F64" w:rsidRPr="006E21C7" w:rsidRDefault="00356F64" w:rsidP="00A256A2">
      <w:pPr>
        <w:jc w:val="both"/>
        <w:rPr>
          <w:color w:val="000000"/>
          <w:sz w:val="22"/>
          <w:szCs w:val="22"/>
        </w:rPr>
      </w:pPr>
    </w:p>
    <w:p w:rsidR="00356F64" w:rsidRPr="006E21C7" w:rsidRDefault="00356F64" w:rsidP="00A256A2">
      <w:pPr>
        <w:jc w:val="both"/>
        <w:rPr>
          <w:color w:val="FF0000"/>
          <w:sz w:val="22"/>
          <w:szCs w:val="22"/>
        </w:rPr>
      </w:pPr>
      <w:r w:rsidRPr="006E21C7">
        <w:rPr>
          <w:i/>
          <w:color w:val="000000"/>
          <w:sz w:val="22"/>
          <w:szCs w:val="22"/>
        </w:rPr>
        <w:t>Simpatomimetici:</w:t>
      </w:r>
      <w:r w:rsidRPr="006E21C7">
        <w:rPr>
          <w:color w:val="000000"/>
          <w:sz w:val="22"/>
          <w:szCs w:val="22"/>
        </w:rPr>
        <w:t xml:space="preserve"> istovremena primjena može </w:t>
      </w:r>
      <w:r w:rsidR="00AB3D9E" w:rsidRPr="006E21C7">
        <w:rPr>
          <w:color w:val="000000"/>
          <w:sz w:val="22"/>
          <w:szCs w:val="22"/>
        </w:rPr>
        <w:t>djelovati suprotno efektu</w:t>
      </w:r>
      <w:r w:rsidR="00B23AA7" w:rsidRPr="006E21C7">
        <w:rPr>
          <w:color w:val="000000"/>
          <w:sz w:val="22"/>
          <w:szCs w:val="22"/>
        </w:rPr>
        <w:t xml:space="preserve"> </w:t>
      </w:r>
      <w:r w:rsidR="00AB3D9E" w:rsidRPr="006E21C7">
        <w:rPr>
          <w:color w:val="000000"/>
          <w:sz w:val="22"/>
          <w:szCs w:val="22"/>
        </w:rPr>
        <w:t>beta-adrenergičkih antagonista.</w:t>
      </w:r>
      <w:r w:rsidRPr="006E21C7">
        <w:rPr>
          <w:color w:val="000000"/>
          <w:sz w:val="22"/>
          <w:szCs w:val="22"/>
        </w:rPr>
        <w:t xml:space="preserve"> Beta</w:t>
      </w:r>
      <w:r w:rsidR="00514703" w:rsidRPr="006E21C7">
        <w:rPr>
          <w:color w:val="000000"/>
          <w:sz w:val="22"/>
          <w:szCs w:val="22"/>
        </w:rPr>
        <w:t>-</w:t>
      </w:r>
      <w:r w:rsidRPr="006E21C7">
        <w:rPr>
          <w:color w:val="000000"/>
          <w:sz w:val="22"/>
          <w:szCs w:val="22"/>
        </w:rPr>
        <w:t>adrenergički blokatori mogu dovesti do neantagonizovane alfa-adrenergičke aktivnosti simpatomimetika sa dejstvom na alfa i beta</w:t>
      </w:r>
      <w:r w:rsidR="00514703" w:rsidRPr="006E21C7">
        <w:rPr>
          <w:color w:val="000000"/>
          <w:sz w:val="22"/>
          <w:szCs w:val="22"/>
        </w:rPr>
        <w:t>-</w:t>
      </w:r>
      <w:r w:rsidRPr="006E21C7">
        <w:rPr>
          <w:color w:val="000000"/>
          <w:sz w:val="22"/>
          <w:szCs w:val="22"/>
        </w:rPr>
        <w:t>receptore (rizik od hipertenzije, teške bradikardije i srčanog bloka).</w:t>
      </w:r>
    </w:p>
    <w:p w:rsidR="00356F64" w:rsidRPr="006E21C7" w:rsidRDefault="00356F64" w:rsidP="00A256A2">
      <w:pPr>
        <w:jc w:val="both"/>
        <w:rPr>
          <w:color w:val="000000"/>
          <w:sz w:val="22"/>
          <w:szCs w:val="22"/>
        </w:rPr>
      </w:pPr>
    </w:p>
    <w:p w:rsidR="00356F64" w:rsidRPr="006E21C7" w:rsidRDefault="00356F64" w:rsidP="00DA59DD">
      <w:pPr>
        <w:jc w:val="both"/>
        <w:rPr>
          <w:color w:val="000000"/>
          <w:sz w:val="22"/>
          <w:szCs w:val="22"/>
          <w:u w:val="single"/>
        </w:rPr>
      </w:pPr>
      <w:r w:rsidRPr="006E21C7">
        <w:rPr>
          <w:color w:val="000000"/>
          <w:sz w:val="22"/>
          <w:szCs w:val="22"/>
          <w:u w:val="single"/>
        </w:rPr>
        <w:t>Farmakokinetičke interakcije:</w:t>
      </w:r>
    </w:p>
    <w:p w:rsidR="00356F64" w:rsidRPr="006E21C7" w:rsidRDefault="00356F64" w:rsidP="00A256A2">
      <w:pPr>
        <w:jc w:val="both"/>
        <w:rPr>
          <w:color w:val="000000"/>
          <w:sz w:val="22"/>
          <w:szCs w:val="22"/>
        </w:rPr>
      </w:pPr>
    </w:p>
    <w:p w:rsidR="00356F64" w:rsidRPr="006E21C7" w:rsidRDefault="00356F64" w:rsidP="00A256A2">
      <w:pPr>
        <w:jc w:val="both"/>
        <w:rPr>
          <w:color w:val="000000"/>
          <w:sz w:val="22"/>
          <w:szCs w:val="22"/>
        </w:rPr>
      </w:pPr>
      <w:r w:rsidRPr="006E21C7">
        <w:rPr>
          <w:color w:val="000000"/>
          <w:sz w:val="22"/>
          <w:szCs w:val="22"/>
        </w:rPr>
        <w:lastRenderedPageBreak/>
        <w:t>Metabolizam nebivolola uključuje izoenzime citohroma CYP2D6. Istovremena primjena supstanci koje inhibiraju ove enzime, posebno paroksetina, fluoksetina, tioridazina i hinidina, može da vodi</w:t>
      </w:r>
      <w:r w:rsidR="00A4195F" w:rsidRPr="006E21C7">
        <w:rPr>
          <w:color w:val="000000"/>
          <w:sz w:val="22"/>
          <w:szCs w:val="22"/>
        </w:rPr>
        <w:t xml:space="preserve"> </w:t>
      </w:r>
      <w:r w:rsidRPr="006E21C7">
        <w:rPr>
          <w:color w:val="000000"/>
          <w:sz w:val="22"/>
          <w:szCs w:val="22"/>
        </w:rPr>
        <w:t>povećanim koncentracijama nebivolola u plazmi koji su povezani sa povećanim rizikom od pretjerane bradikardi</w:t>
      </w:r>
      <w:r w:rsidR="00A4195F" w:rsidRPr="006E21C7">
        <w:rPr>
          <w:color w:val="000000"/>
          <w:sz w:val="22"/>
          <w:szCs w:val="22"/>
        </w:rPr>
        <w:t>je i pojave neželjenih reakcija.</w:t>
      </w:r>
    </w:p>
    <w:p w:rsidR="00356F64" w:rsidRPr="006E21C7" w:rsidRDefault="00356F64" w:rsidP="00A256A2">
      <w:pPr>
        <w:jc w:val="both"/>
        <w:rPr>
          <w:sz w:val="22"/>
          <w:szCs w:val="22"/>
        </w:rPr>
      </w:pPr>
      <w:r w:rsidRPr="006E21C7">
        <w:rPr>
          <w:color w:val="000000"/>
          <w:sz w:val="22"/>
          <w:szCs w:val="22"/>
        </w:rPr>
        <w:t>Istovremena primjena cimetidina izaziva porast koncentracije nebivolola u plazmi bez promjene kliničk</w:t>
      </w:r>
      <w:r w:rsidR="00FD1849" w:rsidRPr="006E21C7">
        <w:rPr>
          <w:color w:val="000000"/>
          <w:sz w:val="22"/>
          <w:szCs w:val="22"/>
        </w:rPr>
        <w:t>og</w:t>
      </w:r>
      <w:r w:rsidRPr="006E21C7">
        <w:rPr>
          <w:color w:val="000000"/>
          <w:sz w:val="22"/>
          <w:szCs w:val="22"/>
        </w:rPr>
        <w:t xml:space="preserve"> efekta. Istovremena primjena ranitidina ne utiče na farmakokinetiku nebivolola.</w:t>
      </w:r>
      <w:r w:rsidR="00B23AA7" w:rsidRPr="006E21C7">
        <w:rPr>
          <w:color w:val="000000"/>
          <w:sz w:val="22"/>
          <w:szCs w:val="22"/>
        </w:rPr>
        <w:t xml:space="preserve"> </w:t>
      </w:r>
      <w:r w:rsidRPr="006E21C7">
        <w:rPr>
          <w:sz w:val="22"/>
          <w:szCs w:val="22"/>
        </w:rPr>
        <w:t>Ukoliko se N</w:t>
      </w:r>
      <w:r w:rsidR="00AA732C" w:rsidRPr="006E21C7">
        <w:rPr>
          <w:sz w:val="22"/>
          <w:szCs w:val="22"/>
        </w:rPr>
        <w:t>ibel</w:t>
      </w:r>
      <w:r w:rsidRPr="006E21C7">
        <w:rPr>
          <w:sz w:val="22"/>
          <w:szCs w:val="22"/>
        </w:rPr>
        <w:t xml:space="preserve"> primjenjuje sa hranom, a antacid između obroka, moguća je istovremena primjena oba lijeka.</w:t>
      </w:r>
    </w:p>
    <w:p w:rsidR="00356F64" w:rsidRPr="006E21C7" w:rsidRDefault="00356F64" w:rsidP="00A256A2">
      <w:pPr>
        <w:jc w:val="both"/>
        <w:rPr>
          <w:color w:val="000000"/>
          <w:sz w:val="22"/>
          <w:szCs w:val="22"/>
        </w:rPr>
      </w:pPr>
      <w:r w:rsidRPr="006E21C7">
        <w:rPr>
          <w:color w:val="000000"/>
          <w:sz w:val="22"/>
          <w:szCs w:val="22"/>
        </w:rPr>
        <w:t>Kombinacija nebivolola i nikardipina blago povećava koncentracije obje supstance u plazmi, ali bez promjene kliničkog efekta. Istovremena primjena alkohola, furosemida ili hidrohlortiazida ne utiče na farmakokinetiku nebivolola. Nebivolol ne utiče na farmakokinetiku i farmakodinamiku varfarina.</w:t>
      </w:r>
    </w:p>
    <w:p w:rsidR="00356F64" w:rsidRPr="006E21C7" w:rsidRDefault="00356F64" w:rsidP="00A256A2">
      <w:pPr>
        <w:jc w:val="both"/>
        <w:rPr>
          <w:color w:val="000000"/>
          <w:sz w:val="22"/>
          <w:szCs w:val="22"/>
        </w:rPr>
      </w:pPr>
    </w:p>
    <w:p w:rsidR="00356F64" w:rsidRPr="006E21C7" w:rsidRDefault="003C3404" w:rsidP="00A256A2">
      <w:pPr>
        <w:tabs>
          <w:tab w:val="left" w:pos="540"/>
          <w:tab w:val="left" w:pos="569"/>
        </w:tabs>
        <w:jc w:val="both"/>
        <w:rPr>
          <w:b/>
          <w:bCs/>
          <w:sz w:val="22"/>
          <w:szCs w:val="22"/>
        </w:rPr>
      </w:pPr>
      <w:r w:rsidRPr="006E21C7">
        <w:rPr>
          <w:b/>
          <w:bCs/>
          <w:sz w:val="22"/>
          <w:szCs w:val="22"/>
        </w:rPr>
        <w:t xml:space="preserve">4.6. </w:t>
      </w:r>
      <w:r w:rsidR="000046A0" w:rsidRPr="006E21C7">
        <w:rPr>
          <w:b/>
          <w:bCs/>
          <w:sz w:val="22"/>
          <w:szCs w:val="22"/>
        </w:rPr>
        <w:t>Plodnost,</w:t>
      </w:r>
      <w:r w:rsidR="007749E8" w:rsidRPr="006E21C7">
        <w:rPr>
          <w:b/>
          <w:bCs/>
          <w:sz w:val="22"/>
          <w:szCs w:val="22"/>
        </w:rPr>
        <w:t xml:space="preserve"> trudnoć</w:t>
      </w:r>
      <w:r w:rsidR="000046A0" w:rsidRPr="006E21C7">
        <w:rPr>
          <w:b/>
          <w:bCs/>
          <w:sz w:val="22"/>
          <w:szCs w:val="22"/>
        </w:rPr>
        <w:t>a</w:t>
      </w:r>
      <w:r w:rsidR="007749E8" w:rsidRPr="006E21C7">
        <w:rPr>
          <w:b/>
          <w:bCs/>
          <w:sz w:val="22"/>
          <w:szCs w:val="22"/>
        </w:rPr>
        <w:t xml:space="preserve"> i dojenj</w:t>
      </w:r>
      <w:r w:rsidR="000046A0" w:rsidRPr="006E21C7">
        <w:rPr>
          <w:b/>
          <w:bCs/>
          <w:sz w:val="22"/>
          <w:szCs w:val="22"/>
        </w:rPr>
        <w:t>e</w:t>
      </w:r>
    </w:p>
    <w:p w:rsidR="00356F64" w:rsidRPr="006E21C7" w:rsidRDefault="00F86F6C" w:rsidP="00A256A2">
      <w:pPr>
        <w:pStyle w:val="Heading8"/>
        <w:jc w:val="both"/>
        <w:rPr>
          <w:i w:val="0"/>
          <w:sz w:val="22"/>
          <w:szCs w:val="22"/>
          <w:lang w:val="sr-Latn-ME"/>
        </w:rPr>
      </w:pPr>
      <w:r w:rsidRPr="006E21C7">
        <w:rPr>
          <w:i w:val="0"/>
          <w:sz w:val="22"/>
          <w:szCs w:val="22"/>
          <w:u w:val="single"/>
          <w:lang w:val="sr-Latn-ME"/>
        </w:rPr>
        <w:t>Trudnoća</w:t>
      </w:r>
    </w:p>
    <w:p w:rsidR="00356F64" w:rsidRPr="006E21C7" w:rsidRDefault="00356F64" w:rsidP="00A256A2">
      <w:pPr>
        <w:pStyle w:val="Heading8"/>
        <w:jc w:val="both"/>
        <w:rPr>
          <w:i w:val="0"/>
          <w:sz w:val="22"/>
          <w:szCs w:val="22"/>
          <w:u w:val="single"/>
          <w:lang w:val="sr-Latn-ME"/>
        </w:rPr>
      </w:pPr>
      <w:r w:rsidRPr="006E21C7">
        <w:rPr>
          <w:i w:val="0"/>
          <w:sz w:val="22"/>
          <w:szCs w:val="22"/>
          <w:lang w:val="sr-Latn-ME"/>
        </w:rPr>
        <w:t>Nebivolol</w:t>
      </w:r>
      <w:r w:rsidR="00B23AA7" w:rsidRPr="006E21C7">
        <w:rPr>
          <w:i w:val="0"/>
          <w:sz w:val="22"/>
          <w:szCs w:val="22"/>
          <w:lang w:val="sr-Latn-ME"/>
        </w:rPr>
        <w:t xml:space="preserve"> </w:t>
      </w:r>
      <w:r w:rsidRPr="006E21C7">
        <w:rPr>
          <w:i w:val="0"/>
          <w:sz w:val="22"/>
          <w:szCs w:val="22"/>
          <w:lang w:val="sr-Latn-ME"/>
        </w:rPr>
        <w:t>ima farmakološki efekat koji može štetno da utiče na trudnoću i/ili fetus/novorođenče. Generalno, beta</w:t>
      </w:r>
      <w:r w:rsidRPr="006E21C7">
        <w:rPr>
          <w:i w:val="0"/>
          <w:sz w:val="22"/>
          <w:szCs w:val="22"/>
          <w:lang w:val="sr-Latn-ME"/>
        </w:rPr>
        <w:noBreakHyphen/>
        <w:t>blokatori smanjuju perfuziju placente, što se povezuje sa zastojem u razvoju fetusa, intrauterinom smrću kao i pobačajem i prijevremenim poro</w:t>
      </w:r>
      <w:r w:rsidR="00F86F6C" w:rsidRPr="006E21C7">
        <w:rPr>
          <w:i w:val="0"/>
          <w:sz w:val="22"/>
          <w:szCs w:val="22"/>
          <w:lang w:val="sr-Latn-ME"/>
        </w:rPr>
        <w:t>đajem</w:t>
      </w:r>
      <w:r w:rsidRPr="006E21C7">
        <w:rPr>
          <w:i w:val="0"/>
          <w:sz w:val="22"/>
          <w:szCs w:val="22"/>
          <w:lang w:val="sr-Latn-ME"/>
        </w:rPr>
        <w:t xml:space="preserve">. </w:t>
      </w:r>
      <w:r w:rsidR="00514703" w:rsidRPr="006E21C7">
        <w:rPr>
          <w:i w:val="0"/>
          <w:sz w:val="22"/>
          <w:szCs w:val="22"/>
          <w:lang w:val="sr-Latn-ME"/>
        </w:rPr>
        <w:t>Neželjen dejstva</w:t>
      </w:r>
      <w:r w:rsidRPr="006E21C7">
        <w:rPr>
          <w:i w:val="0"/>
          <w:sz w:val="22"/>
          <w:szCs w:val="22"/>
          <w:lang w:val="sr-Latn-ME"/>
        </w:rPr>
        <w:t xml:space="preserve"> (npr. hipoglikemija i bradikardija) se mogu javiti kod fetusa i kod novorođen</w:t>
      </w:r>
      <w:r w:rsidR="00F86F6C" w:rsidRPr="006E21C7">
        <w:rPr>
          <w:i w:val="0"/>
          <w:sz w:val="22"/>
          <w:szCs w:val="22"/>
          <w:lang w:val="sr-Latn-ME"/>
        </w:rPr>
        <w:t>četa</w:t>
      </w:r>
      <w:r w:rsidRPr="006E21C7">
        <w:rPr>
          <w:i w:val="0"/>
          <w:sz w:val="22"/>
          <w:szCs w:val="22"/>
          <w:lang w:val="sr-Latn-ME"/>
        </w:rPr>
        <w:t>. Ako je</w:t>
      </w:r>
      <w:r w:rsidR="00F86F6C" w:rsidRPr="006E21C7">
        <w:rPr>
          <w:i w:val="0"/>
          <w:sz w:val="22"/>
          <w:szCs w:val="22"/>
          <w:lang w:val="sr-Latn-ME"/>
        </w:rPr>
        <w:t xml:space="preserve"> neophodno liječenje</w:t>
      </w:r>
      <w:r w:rsidR="00B23AA7" w:rsidRPr="006E21C7">
        <w:rPr>
          <w:i w:val="0"/>
          <w:sz w:val="22"/>
          <w:szCs w:val="22"/>
          <w:lang w:val="sr-Latn-ME"/>
        </w:rPr>
        <w:t xml:space="preserve"> </w:t>
      </w:r>
      <w:r w:rsidR="00F86F6C" w:rsidRPr="006E21C7">
        <w:rPr>
          <w:i w:val="0"/>
          <w:sz w:val="22"/>
          <w:szCs w:val="22"/>
          <w:lang w:val="sr-Latn-ME"/>
        </w:rPr>
        <w:t>blokatorima beta</w:t>
      </w:r>
      <w:r w:rsidR="00514703" w:rsidRPr="006E21C7">
        <w:rPr>
          <w:i w:val="0"/>
          <w:sz w:val="22"/>
          <w:szCs w:val="22"/>
          <w:lang w:val="sr-Latn-ME"/>
        </w:rPr>
        <w:t>-</w:t>
      </w:r>
      <w:r w:rsidR="00F86F6C" w:rsidRPr="006E21C7">
        <w:rPr>
          <w:i w:val="0"/>
          <w:sz w:val="22"/>
          <w:szCs w:val="22"/>
          <w:lang w:val="sr-Latn-ME"/>
        </w:rPr>
        <w:t>adrenergičnih receptora</w:t>
      </w:r>
      <w:r w:rsidRPr="006E21C7">
        <w:rPr>
          <w:i w:val="0"/>
          <w:sz w:val="22"/>
          <w:szCs w:val="22"/>
          <w:lang w:val="sr-Latn-ME"/>
        </w:rPr>
        <w:t>, preporučuj</w:t>
      </w:r>
      <w:r w:rsidR="00F86F6C" w:rsidRPr="006E21C7">
        <w:rPr>
          <w:i w:val="0"/>
          <w:sz w:val="22"/>
          <w:szCs w:val="22"/>
          <w:lang w:val="sr-Latn-ME"/>
        </w:rPr>
        <w:t>e se liječenje</w:t>
      </w:r>
      <w:r w:rsidR="00B23AA7" w:rsidRPr="006E21C7">
        <w:rPr>
          <w:i w:val="0"/>
          <w:sz w:val="22"/>
          <w:szCs w:val="22"/>
          <w:lang w:val="sr-Latn-ME"/>
        </w:rPr>
        <w:t xml:space="preserve"> </w:t>
      </w:r>
      <w:r w:rsidRPr="006E21C7">
        <w:rPr>
          <w:i w:val="0"/>
          <w:sz w:val="22"/>
          <w:szCs w:val="22"/>
          <w:lang w:val="sr-Latn-ME"/>
        </w:rPr>
        <w:t>selektivni</w:t>
      </w:r>
      <w:r w:rsidR="00F86F6C" w:rsidRPr="006E21C7">
        <w:rPr>
          <w:i w:val="0"/>
          <w:sz w:val="22"/>
          <w:szCs w:val="22"/>
          <w:lang w:val="sr-Latn-ME"/>
        </w:rPr>
        <w:t>m</w:t>
      </w:r>
      <w:r w:rsidRPr="006E21C7">
        <w:rPr>
          <w:i w:val="0"/>
          <w:sz w:val="22"/>
          <w:szCs w:val="22"/>
          <w:lang w:val="sr-Latn-ME"/>
        </w:rPr>
        <w:t xml:space="preserve"> blokatori</w:t>
      </w:r>
      <w:r w:rsidR="00F86F6C" w:rsidRPr="006E21C7">
        <w:rPr>
          <w:i w:val="0"/>
          <w:sz w:val="22"/>
          <w:szCs w:val="22"/>
          <w:lang w:val="sr-Latn-ME"/>
        </w:rPr>
        <w:t>ma</w:t>
      </w:r>
      <w:r w:rsidRPr="006E21C7">
        <w:rPr>
          <w:i w:val="0"/>
          <w:sz w:val="22"/>
          <w:szCs w:val="22"/>
          <w:lang w:val="sr-Latn-ME"/>
        </w:rPr>
        <w:t xml:space="preserve"> beta</w:t>
      </w:r>
      <w:r w:rsidR="00F86F6C" w:rsidRPr="006E21C7">
        <w:rPr>
          <w:i w:val="0"/>
          <w:sz w:val="22"/>
          <w:szCs w:val="22"/>
          <w:lang w:val="sr-Latn-ME"/>
        </w:rPr>
        <w:t>-1</w:t>
      </w:r>
      <w:r w:rsidRPr="006E21C7">
        <w:rPr>
          <w:i w:val="0"/>
          <w:sz w:val="22"/>
          <w:szCs w:val="22"/>
          <w:lang w:val="sr-Latn-ME"/>
        </w:rPr>
        <w:t xml:space="preserve"> receptora. </w:t>
      </w:r>
    </w:p>
    <w:p w:rsidR="00356F64" w:rsidRPr="006E21C7" w:rsidRDefault="00356F64" w:rsidP="00A256A2">
      <w:pPr>
        <w:jc w:val="both"/>
        <w:rPr>
          <w:sz w:val="22"/>
          <w:szCs w:val="22"/>
        </w:rPr>
      </w:pPr>
      <w:r w:rsidRPr="006E21C7">
        <w:rPr>
          <w:sz w:val="22"/>
          <w:szCs w:val="22"/>
        </w:rPr>
        <w:t xml:space="preserve">Nebivolol se ne smije uzimati tokom trudnoće ukoliko nije </w:t>
      </w:r>
      <w:r w:rsidR="00F8468D" w:rsidRPr="006E21C7">
        <w:rPr>
          <w:sz w:val="22"/>
          <w:szCs w:val="22"/>
        </w:rPr>
        <w:t>izrazito neophodan</w:t>
      </w:r>
      <w:r w:rsidRPr="006E21C7">
        <w:rPr>
          <w:sz w:val="22"/>
          <w:szCs w:val="22"/>
        </w:rPr>
        <w:t xml:space="preserve">. Ako se terapija nebivololom smatra neophodnom, treba pratiti uteroplacentarni protok krvi i rast fetusa. U slučaju </w:t>
      </w:r>
      <w:r w:rsidR="00F8468D" w:rsidRPr="006E21C7">
        <w:rPr>
          <w:sz w:val="22"/>
          <w:szCs w:val="22"/>
        </w:rPr>
        <w:t>neželjenih</w:t>
      </w:r>
      <w:r w:rsidR="00B23AA7" w:rsidRPr="006E21C7">
        <w:rPr>
          <w:sz w:val="22"/>
          <w:szCs w:val="22"/>
        </w:rPr>
        <w:t xml:space="preserve"> </w:t>
      </w:r>
      <w:r w:rsidR="00514703" w:rsidRPr="006E21C7">
        <w:rPr>
          <w:sz w:val="22"/>
          <w:szCs w:val="22"/>
        </w:rPr>
        <w:t xml:space="preserve">dejstava </w:t>
      </w:r>
      <w:r w:rsidRPr="006E21C7">
        <w:rPr>
          <w:sz w:val="22"/>
          <w:szCs w:val="22"/>
        </w:rPr>
        <w:t>na trudnoću i plod</w:t>
      </w:r>
      <w:r w:rsidR="00514703" w:rsidRPr="006E21C7">
        <w:rPr>
          <w:sz w:val="22"/>
          <w:szCs w:val="22"/>
        </w:rPr>
        <w:t>,</w:t>
      </w:r>
      <w:r w:rsidRPr="006E21C7">
        <w:rPr>
          <w:sz w:val="22"/>
          <w:szCs w:val="22"/>
        </w:rPr>
        <w:t xml:space="preserve"> treba razmotriti </w:t>
      </w:r>
      <w:r w:rsidR="00F8468D" w:rsidRPr="006E21C7">
        <w:rPr>
          <w:sz w:val="22"/>
          <w:szCs w:val="22"/>
        </w:rPr>
        <w:t xml:space="preserve">druge mogućnosti liječenja. </w:t>
      </w:r>
      <w:r w:rsidRPr="006E21C7">
        <w:rPr>
          <w:sz w:val="22"/>
          <w:szCs w:val="22"/>
        </w:rPr>
        <w:t>Novorođen</w:t>
      </w:r>
      <w:r w:rsidR="003001FD" w:rsidRPr="006E21C7">
        <w:rPr>
          <w:sz w:val="22"/>
          <w:szCs w:val="22"/>
        </w:rPr>
        <w:t>če treba</w:t>
      </w:r>
      <w:r w:rsidR="00B23AA7" w:rsidRPr="006E21C7">
        <w:rPr>
          <w:sz w:val="22"/>
          <w:szCs w:val="22"/>
        </w:rPr>
        <w:t xml:space="preserve"> </w:t>
      </w:r>
      <w:r w:rsidRPr="006E21C7">
        <w:rPr>
          <w:sz w:val="22"/>
          <w:szCs w:val="22"/>
        </w:rPr>
        <w:t>pažljivo pratiti. Simptomi hipoglikemije i bradikardije se generalno očekuju tokom prva 3 dana od rođenja.</w:t>
      </w:r>
      <w:r w:rsidR="00B23AA7" w:rsidRPr="006E21C7">
        <w:rPr>
          <w:sz w:val="22"/>
          <w:szCs w:val="22"/>
        </w:rPr>
        <w:t xml:space="preserve"> </w:t>
      </w:r>
    </w:p>
    <w:p w:rsidR="001F2142" w:rsidRPr="006E21C7" w:rsidRDefault="001F2142" w:rsidP="00A256A2">
      <w:pPr>
        <w:jc w:val="both"/>
        <w:rPr>
          <w:sz w:val="22"/>
          <w:szCs w:val="22"/>
        </w:rPr>
      </w:pPr>
    </w:p>
    <w:p w:rsidR="00356F64" w:rsidRPr="006E21C7" w:rsidRDefault="00356F64" w:rsidP="00A256A2">
      <w:pPr>
        <w:jc w:val="both"/>
        <w:rPr>
          <w:sz w:val="22"/>
          <w:szCs w:val="22"/>
          <w:u w:val="single"/>
        </w:rPr>
      </w:pPr>
      <w:r w:rsidRPr="006E21C7">
        <w:rPr>
          <w:sz w:val="22"/>
          <w:szCs w:val="22"/>
          <w:u w:val="single"/>
        </w:rPr>
        <w:t>Dojenje</w:t>
      </w:r>
    </w:p>
    <w:p w:rsidR="00356F64" w:rsidRPr="006E21C7" w:rsidRDefault="00356F64" w:rsidP="00A256A2">
      <w:pPr>
        <w:jc w:val="both"/>
        <w:rPr>
          <w:sz w:val="22"/>
          <w:szCs w:val="22"/>
        </w:rPr>
      </w:pPr>
    </w:p>
    <w:p w:rsidR="00356F64" w:rsidRPr="006E21C7" w:rsidRDefault="00356F64" w:rsidP="00A256A2">
      <w:pPr>
        <w:tabs>
          <w:tab w:val="left" w:pos="540"/>
          <w:tab w:val="left" w:pos="569"/>
        </w:tabs>
        <w:jc w:val="both"/>
        <w:rPr>
          <w:b/>
          <w:bCs/>
          <w:sz w:val="22"/>
          <w:szCs w:val="22"/>
        </w:rPr>
      </w:pPr>
      <w:r w:rsidRPr="006E21C7">
        <w:rPr>
          <w:sz w:val="22"/>
          <w:szCs w:val="22"/>
        </w:rPr>
        <w:t xml:space="preserve">Studije na životinjama su pokazale da se nebivolol izlučuje u mlijeko ženki. Nije poznato da li se </w:t>
      </w:r>
      <w:r w:rsidR="003001FD" w:rsidRPr="006E21C7">
        <w:rPr>
          <w:sz w:val="22"/>
          <w:szCs w:val="22"/>
        </w:rPr>
        <w:t>ovaj lijek</w:t>
      </w:r>
      <w:r w:rsidR="00B23AA7" w:rsidRPr="006E21C7">
        <w:rPr>
          <w:sz w:val="22"/>
          <w:szCs w:val="22"/>
        </w:rPr>
        <w:t xml:space="preserve"> </w:t>
      </w:r>
      <w:r w:rsidRPr="006E21C7">
        <w:rPr>
          <w:sz w:val="22"/>
          <w:szCs w:val="22"/>
        </w:rPr>
        <w:t>izlučuje u majčino mlijeko. Većina beta</w:t>
      </w:r>
      <w:r w:rsidR="00514703" w:rsidRPr="006E21C7">
        <w:rPr>
          <w:sz w:val="22"/>
          <w:szCs w:val="22"/>
        </w:rPr>
        <w:t>-</w:t>
      </w:r>
      <w:r w:rsidRPr="006E21C7">
        <w:rPr>
          <w:sz w:val="22"/>
          <w:szCs w:val="22"/>
        </w:rPr>
        <w:t xml:space="preserve">blokatora, posebno lipofillne </w:t>
      </w:r>
      <w:r w:rsidR="003001FD" w:rsidRPr="006E21C7">
        <w:rPr>
          <w:sz w:val="22"/>
          <w:szCs w:val="22"/>
        </w:rPr>
        <w:t>supstance</w:t>
      </w:r>
      <w:r w:rsidR="00B23AA7" w:rsidRPr="006E21C7">
        <w:rPr>
          <w:sz w:val="22"/>
          <w:szCs w:val="22"/>
        </w:rPr>
        <w:t xml:space="preserve"> </w:t>
      </w:r>
      <w:r w:rsidRPr="006E21C7">
        <w:rPr>
          <w:sz w:val="22"/>
          <w:szCs w:val="22"/>
        </w:rPr>
        <w:t>kao što je nebivolol i njegovi metaboliti prolaze u majčino mlijeko u različitom stepenu. Stoga, primjena nebivolola tokom perioda laktacije se ne preporučuje.</w:t>
      </w:r>
    </w:p>
    <w:p w:rsidR="00356F64" w:rsidRPr="006E21C7" w:rsidRDefault="00356F64" w:rsidP="00A256A2">
      <w:pPr>
        <w:tabs>
          <w:tab w:val="left" w:pos="540"/>
          <w:tab w:val="left" w:pos="569"/>
        </w:tabs>
        <w:jc w:val="both"/>
        <w:rPr>
          <w:b/>
          <w:bCs/>
          <w:sz w:val="22"/>
          <w:szCs w:val="22"/>
        </w:rPr>
      </w:pPr>
    </w:p>
    <w:p w:rsidR="00356F64" w:rsidRPr="006E21C7" w:rsidRDefault="003C3404" w:rsidP="00A256A2">
      <w:pPr>
        <w:tabs>
          <w:tab w:val="left" w:pos="540"/>
          <w:tab w:val="left" w:pos="569"/>
        </w:tabs>
        <w:ind w:left="540" w:hanging="540"/>
        <w:jc w:val="both"/>
        <w:rPr>
          <w:b/>
          <w:bCs/>
          <w:sz w:val="22"/>
          <w:szCs w:val="22"/>
        </w:rPr>
      </w:pPr>
      <w:r w:rsidRPr="006E21C7">
        <w:rPr>
          <w:b/>
          <w:bCs/>
          <w:sz w:val="22"/>
          <w:szCs w:val="22"/>
        </w:rPr>
        <w:t xml:space="preserve">4.7. </w:t>
      </w:r>
      <w:r w:rsidR="00356F64" w:rsidRPr="006E21C7">
        <w:rPr>
          <w:b/>
          <w:bCs/>
          <w:sz w:val="22"/>
          <w:szCs w:val="22"/>
        </w:rPr>
        <w:t>Uticaj na e sposobnost upravljanja vozilima i rukovanj</w:t>
      </w:r>
      <w:r w:rsidR="000046A0" w:rsidRPr="006E21C7">
        <w:rPr>
          <w:b/>
          <w:bCs/>
          <w:sz w:val="22"/>
          <w:szCs w:val="22"/>
        </w:rPr>
        <w:t>e</w:t>
      </w:r>
      <w:r w:rsidR="00356F64" w:rsidRPr="006E21C7">
        <w:rPr>
          <w:b/>
          <w:bCs/>
          <w:sz w:val="22"/>
          <w:szCs w:val="22"/>
        </w:rPr>
        <w:t xml:space="preserve"> mašinama</w:t>
      </w:r>
    </w:p>
    <w:p w:rsidR="00356F64" w:rsidRPr="006E21C7" w:rsidRDefault="00356F64" w:rsidP="00A256A2">
      <w:pPr>
        <w:tabs>
          <w:tab w:val="left" w:pos="540"/>
          <w:tab w:val="left" w:pos="569"/>
        </w:tabs>
        <w:ind w:left="540" w:hanging="540"/>
        <w:jc w:val="both"/>
        <w:rPr>
          <w:b/>
          <w:bCs/>
          <w:sz w:val="22"/>
          <w:szCs w:val="22"/>
        </w:rPr>
      </w:pPr>
    </w:p>
    <w:p w:rsidR="00356F64" w:rsidRPr="006E21C7" w:rsidRDefault="00356F64" w:rsidP="00A256A2">
      <w:pPr>
        <w:tabs>
          <w:tab w:val="left" w:pos="0"/>
        </w:tabs>
        <w:jc w:val="both"/>
        <w:rPr>
          <w:sz w:val="22"/>
          <w:szCs w:val="22"/>
        </w:rPr>
      </w:pPr>
      <w:r w:rsidRPr="006E21C7">
        <w:rPr>
          <w:sz w:val="22"/>
          <w:szCs w:val="22"/>
        </w:rPr>
        <w:t xml:space="preserve">Nije sporovedeno ispitivanje </w:t>
      </w:r>
      <w:r w:rsidR="009F49B4" w:rsidRPr="006E21C7">
        <w:rPr>
          <w:sz w:val="22"/>
          <w:szCs w:val="22"/>
        </w:rPr>
        <w:t xml:space="preserve">o </w:t>
      </w:r>
      <w:r w:rsidRPr="006E21C7">
        <w:rPr>
          <w:sz w:val="22"/>
          <w:szCs w:val="22"/>
        </w:rPr>
        <w:t>uticaju nebivolola na sposobnost upravljanja vozilom i rukovanje</w:t>
      </w:r>
      <w:r w:rsidR="00866120" w:rsidRPr="006E21C7">
        <w:rPr>
          <w:sz w:val="22"/>
          <w:szCs w:val="22"/>
        </w:rPr>
        <w:t xml:space="preserve"> </w:t>
      </w:r>
      <w:r w:rsidRPr="006E21C7">
        <w:rPr>
          <w:sz w:val="22"/>
          <w:szCs w:val="22"/>
        </w:rPr>
        <w:t xml:space="preserve">mašinama. Farmakodinamičke studije su pokazale da </w:t>
      </w:r>
      <w:r w:rsidR="00866120" w:rsidRPr="006E21C7">
        <w:rPr>
          <w:sz w:val="22"/>
          <w:szCs w:val="22"/>
        </w:rPr>
        <w:t>nebivolol</w:t>
      </w:r>
      <w:r w:rsidR="00866120" w:rsidRPr="006E21C7" w:rsidDel="00866120">
        <w:rPr>
          <w:sz w:val="22"/>
          <w:szCs w:val="22"/>
        </w:rPr>
        <w:t xml:space="preserve"> </w:t>
      </w:r>
      <w:r w:rsidRPr="006E21C7">
        <w:rPr>
          <w:sz w:val="22"/>
          <w:szCs w:val="22"/>
        </w:rPr>
        <w:t>ne utiče na psihomotorne funkcije.</w:t>
      </w:r>
      <w:r w:rsidR="009F49B4" w:rsidRPr="006E21C7">
        <w:rPr>
          <w:sz w:val="22"/>
          <w:szCs w:val="22"/>
        </w:rPr>
        <w:t xml:space="preserve"> Treba znati da se tokom</w:t>
      </w:r>
      <w:r w:rsidR="00B23AA7" w:rsidRPr="006E21C7">
        <w:rPr>
          <w:sz w:val="22"/>
          <w:szCs w:val="22"/>
        </w:rPr>
        <w:t xml:space="preserve"> </w:t>
      </w:r>
      <w:r w:rsidR="009F49B4" w:rsidRPr="006E21C7">
        <w:rPr>
          <w:sz w:val="22"/>
          <w:szCs w:val="22"/>
        </w:rPr>
        <w:t xml:space="preserve">upravljanja </w:t>
      </w:r>
      <w:r w:rsidRPr="006E21C7">
        <w:rPr>
          <w:sz w:val="22"/>
          <w:szCs w:val="22"/>
        </w:rPr>
        <w:t>motornim vozilima i mašinama ponekad mogu javiti vrtoglavica i</w:t>
      </w:r>
      <w:r w:rsidR="009F49B4" w:rsidRPr="006E21C7">
        <w:rPr>
          <w:sz w:val="22"/>
          <w:szCs w:val="22"/>
        </w:rPr>
        <w:t xml:space="preserve"> u</w:t>
      </w:r>
      <w:r w:rsidRPr="006E21C7">
        <w:rPr>
          <w:sz w:val="22"/>
          <w:szCs w:val="22"/>
        </w:rPr>
        <w:t>mor.</w:t>
      </w:r>
    </w:p>
    <w:p w:rsidR="00356F64" w:rsidRPr="006E21C7" w:rsidRDefault="00356F64" w:rsidP="00A256A2">
      <w:pPr>
        <w:tabs>
          <w:tab w:val="left" w:pos="540"/>
          <w:tab w:val="left" w:pos="569"/>
        </w:tabs>
        <w:ind w:left="540" w:hanging="540"/>
        <w:jc w:val="both"/>
        <w:rPr>
          <w:b/>
          <w:bCs/>
          <w:sz w:val="22"/>
          <w:szCs w:val="22"/>
        </w:rPr>
      </w:pPr>
    </w:p>
    <w:p w:rsidR="00356F64" w:rsidRPr="006E21C7" w:rsidRDefault="008C7B1F" w:rsidP="00A256A2">
      <w:pPr>
        <w:tabs>
          <w:tab w:val="left" w:pos="540"/>
          <w:tab w:val="left" w:pos="569"/>
        </w:tabs>
        <w:jc w:val="both"/>
        <w:rPr>
          <w:b/>
          <w:bCs/>
          <w:sz w:val="22"/>
          <w:szCs w:val="22"/>
        </w:rPr>
      </w:pPr>
      <w:r w:rsidRPr="006E21C7">
        <w:rPr>
          <w:b/>
          <w:bCs/>
          <w:sz w:val="22"/>
          <w:szCs w:val="22"/>
        </w:rPr>
        <w:t xml:space="preserve">4.8. </w:t>
      </w:r>
      <w:r w:rsidR="00356F64" w:rsidRPr="006E21C7">
        <w:rPr>
          <w:b/>
          <w:bCs/>
          <w:sz w:val="22"/>
          <w:szCs w:val="22"/>
        </w:rPr>
        <w:t>Neželjena dejstva</w:t>
      </w:r>
    </w:p>
    <w:p w:rsidR="00356F64" w:rsidRPr="006E21C7" w:rsidRDefault="00356F64" w:rsidP="00A256A2">
      <w:pPr>
        <w:tabs>
          <w:tab w:val="left" w:pos="540"/>
          <w:tab w:val="left" w:pos="569"/>
        </w:tabs>
        <w:jc w:val="both"/>
        <w:rPr>
          <w:b/>
          <w:bCs/>
          <w:sz w:val="22"/>
          <w:szCs w:val="22"/>
        </w:rPr>
      </w:pPr>
    </w:p>
    <w:p w:rsidR="00356F64" w:rsidRPr="006E21C7" w:rsidRDefault="00356F64" w:rsidP="00A256A2">
      <w:pPr>
        <w:jc w:val="both"/>
        <w:rPr>
          <w:sz w:val="22"/>
          <w:szCs w:val="22"/>
        </w:rPr>
      </w:pPr>
      <w:r w:rsidRPr="006E21C7">
        <w:rPr>
          <w:sz w:val="22"/>
          <w:szCs w:val="22"/>
        </w:rPr>
        <w:t>Neželjena dejstva su prikazana posebno za hipertenziju i posebno za hroničnu srčanu insuficijenciju zbog različite osnove ovih oboljenja</w:t>
      </w:r>
      <w:r w:rsidR="00514703" w:rsidRPr="006E21C7">
        <w:rPr>
          <w:sz w:val="22"/>
          <w:szCs w:val="22"/>
        </w:rPr>
        <w:t>.</w:t>
      </w:r>
    </w:p>
    <w:p w:rsidR="006E21C7" w:rsidRDefault="006E21C7" w:rsidP="00A256A2">
      <w:pPr>
        <w:jc w:val="both"/>
        <w:rPr>
          <w:sz w:val="22"/>
          <w:szCs w:val="22"/>
          <w:u w:val="single"/>
        </w:rPr>
      </w:pPr>
    </w:p>
    <w:p w:rsidR="00356F64" w:rsidRPr="006E21C7" w:rsidRDefault="00356F64" w:rsidP="00A256A2">
      <w:pPr>
        <w:jc w:val="both"/>
        <w:rPr>
          <w:sz w:val="22"/>
          <w:szCs w:val="22"/>
          <w:u w:val="single"/>
        </w:rPr>
      </w:pPr>
      <w:r w:rsidRPr="006E21C7">
        <w:rPr>
          <w:sz w:val="22"/>
          <w:szCs w:val="22"/>
          <w:u w:val="single"/>
        </w:rPr>
        <w:t>Hipertenzija</w:t>
      </w:r>
    </w:p>
    <w:p w:rsidR="00DF1F55" w:rsidRPr="006E21C7" w:rsidRDefault="00DF1F55" w:rsidP="00A256A2">
      <w:pPr>
        <w:jc w:val="both"/>
        <w:rPr>
          <w:sz w:val="22"/>
          <w:szCs w:val="22"/>
          <w:u w:val="single"/>
        </w:rPr>
      </w:pPr>
    </w:p>
    <w:p w:rsidR="00356F64" w:rsidRPr="006E21C7" w:rsidRDefault="00356F64" w:rsidP="00A256A2">
      <w:pPr>
        <w:jc w:val="both"/>
        <w:rPr>
          <w:sz w:val="22"/>
          <w:szCs w:val="22"/>
        </w:rPr>
      </w:pPr>
      <w:r w:rsidRPr="006E21C7">
        <w:rPr>
          <w:sz w:val="22"/>
          <w:szCs w:val="22"/>
        </w:rPr>
        <w:t>Neželjena dejstva koja su prijavljena</w:t>
      </w:r>
      <w:r w:rsidR="00514703" w:rsidRPr="006E21C7">
        <w:rPr>
          <w:sz w:val="22"/>
          <w:szCs w:val="22"/>
        </w:rPr>
        <w:t>,</w:t>
      </w:r>
      <w:r w:rsidRPr="006E21C7">
        <w:rPr>
          <w:sz w:val="22"/>
          <w:szCs w:val="22"/>
        </w:rPr>
        <w:t xml:space="preserve"> najčešće </w:t>
      </w:r>
      <w:r w:rsidR="00514703" w:rsidRPr="006E21C7">
        <w:rPr>
          <w:sz w:val="22"/>
          <w:szCs w:val="22"/>
        </w:rPr>
        <w:t xml:space="preserve">su </w:t>
      </w:r>
      <w:r w:rsidRPr="006E21C7">
        <w:rPr>
          <w:sz w:val="22"/>
          <w:szCs w:val="22"/>
        </w:rPr>
        <w:t xml:space="preserve">blagog do umjerenog intenziteta, data </w:t>
      </w:r>
      <w:r w:rsidR="00514703" w:rsidRPr="006E21C7">
        <w:rPr>
          <w:sz w:val="22"/>
          <w:szCs w:val="22"/>
        </w:rPr>
        <w:t xml:space="preserve">su </w:t>
      </w:r>
      <w:r w:rsidRPr="006E21C7">
        <w:rPr>
          <w:sz w:val="22"/>
          <w:szCs w:val="22"/>
        </w:rPr>
        <w:t xml:space="preserve">u tabeli ispod, klasifikovana po sistemima </w:t>
      </w:r>
      <w:r w:rsidR="00B46DFB" w:rsidRPr="006E21C7">
        <w:rPr>
          <w:sz w:val="22"/>
          <w:szCs w:val="22"/>
        </w:rPr>
        <w:t xml:space="preserve">organa </w:t>
      </w:r>
      <w:r w:rsidRPr="006E21C7">
        <w:rPr>
          <w:sz w:val="22"/>
          <w:szCs w:val="22"/>
        </w:rPr>
        <w:t>i poređana po učestalosti:</w:t>
      </w:r>
    </w:p>
    <w:p w:rsidR="00A4195F" w:rsidRPr="006E21C7" w:rsidRDefault="00A4195F" w:rsidP="00A256A2">
      <w:pPr>
        <w:jc w:val="both"/>
        <w:rPr>
          <w:sz w:val="22"/>
          <w:szCs w:val="22"/>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1551"/>
        <w:gridCol w:w="2388"/>
        <w:gridCol w:w="1207"/>
        <w:gridCol w:w="1521"/>
      </w:tblGrid>
      <w:tr w:rsidR="00356F64" w:rsidRPr="006E21C7" w:rsidTr="00A4195F">
        <w:tc>
          <w:tcPr>
            <w:tcW w:w="1234" w:type="pct"/>
          </w:tcPr>
          <w:p w:rsidR="00356F64" w:rsidRPr="006E21C7" w:rsidRDefault="00356F64" w:rsidP="00A256A2">
            <w:pPr>
              <w:jc w:val="both"/>
              <w:rPr>
                <w:sz w:val="22"/>
                <w:szCs w:val="22"/>
              </w:rPr>
            </w:pPr>
            <w:r w:rsidRPr="006E21C7">
              <w:rPr>
                <w:sz w:val="22"/>
                <w:szCs w:val="22"/>
              </w:rPr>
              <w:t xml:space="preserve">SISTEM </w:t>
            </w:r>
            <w:r w:rsidRPr="006E21C7">
              <w:rPr>
                <w:caps/>
                <w:sz w:val="22"/>
                <w:szCs w:val="22"/>
              </w:rPr>
              <w:t>Organa</w:t>
            </w:r>
          </w:p>
        </w:tc>
        <w:tc>
          <w:tcPr>
            <w:tcW w:w="876" w:type="pct"/>
          </w:tcPr>
          <w:p w:rsidR="00356F64" w:rsidRPr="006E21C7" w:rsidRDefault="00356F64" w:rsidP="00A256A2">
            <w:pPr>
              <w:jc w:val="both"/>
              <w:rPr>
                <w:sz w:val="22"/>
                <w:szCs w:val="22"/>
              </w:rPr>
            </w:pPr>
            <w:r w:rsidRPr="006E21C7">
              <w:rPr>
                <w:sz w:val="22"/>
                <w:szCs w:val="22"/>
              </w:rPr>
              <w:t>Često</w:t>
            </w:r>
          </w:p>
          <w:p w:rsidR="00356F64" w:rsidRPr="006E21C7" w:rsidRDefault="00356F64" w:rsidP="00A256A2">
            <w:pPr>
              <w:jc w:val="both"/>
              <w:rPr>
                <w:sz w:val="22"/>
                <w:szCs w:val="22"/>
              </w:rPr>
            </w:pPr>
            <w:r w:rsidRPr="006E21C7">
              <w:rPr>
                <w:sz w:val="22"/>
                <w:szCs w:val="22"/>
              </w:rPr>
              <w:t xml:space="preserve"> (≥1/100 do &lt;1/10)</w:t>
            </w:r>
          </w:p>
        </w:tc>
        <w:tc>
          <w:tcPr>
            <w:tcW w:w="1349" w:type="pct"/>
          </w:tcPr>
          <w:p w:rsidR="00356F64" w:rsidRPr="006E21C7" w:rsidRDefault="00356F64" w:rsidP="00A256A2">
            <w:pPr>
              <w:jc w:val="both"/>
              <w:rPr>
                <w:sz w:val="22"/>
                <w:szCs w:val="22"/>
              </w:rPr>
            </w:pPr>
            <w:r w:rsidRPr="006E21C7">
              <w:rPr>
                <w:sz w:val="22"/>
                <w:szCs w:val="22"/>
              </w:rPr>
              <w:t xml:space="preserve">Povremeno </w:t>
            </w:r>
          </w:p>
          <w:p w:rsidR="009F49B4" w:rsidRPr="006E21C7" w:rsidRDefault="00356F64" w:rsidP="00A256A2">
            <w:pPr>
              <w:jc w:val="both"/>
              <w:rPr>
                <w:sz w:val="22"/>
                <w:szCs w:val="22"/>
              </w:rPr>
            </w:pPr>
            <w:r w:rsidRPr="006E21C7">
              <w:rPr>
                <w:sz w:val="22"/>
                <w:szCs w:val="22"/>
              </w:rPr>
              <w:t>(≥1/10</w:t>
            </w:r>
          </w:p>
          <w:p w:rsidR="00356F64" w:rsidRPr="006E21C7" w:rsidRDefault="00356F64" w:rsidP="00A256A2">
            <w:pPr>
              <w:jc w:val="both"/>
              <w:rPr>
                <w:sz w:val="22"/>
                <w:szCs w:val="22"/>
              </w:rPr>
            </w:pPr>
            <w:r w:rsidRPr="006E21C7">
              <w:rPr>
                <w:sz w:val="22"/>
                <w:szCs w:val="22"/>
              </w:rPr>
              <w:t>00 do ≤ 1/100)</w:t>
            </w:r>
          </w:p>
        </w:tc>
        <w:tc>
          <w:tcPr>
            <w:tcW w:w="682" w:type="pct"/>
          </w:tcPr>
          <w:p w:rsidR="00356F64" w:rsidRPr="006E21C7" w:rsidRDefault="00356F64" w:rsidP="00A256A2">
            <w:pPr>
              <w:jc w:val="both"/>
              <w:rPr>
                <w:sz w:val="22"/>
                <w:szCs w:val="22"/>
              </w:rPr>
            </w:pPr>
            <w:r w:rsidRPr="006E21C7">
              <w:rPr>
                <w:sz w:val="22"/>
                <w:szCs w:val="22"/>
              </w:rPr>
              <w:t>Veoma rijetko</w:t>
            </w:r>
          </w:p>
          <w:p w:rsidR="00356F64" w:rsidRPr="006E21C7" w:rsidRDefault="00356F64" w:rsidP="00A256A2">
            <w:pPr>
              <w:jc w:val="both"/>
              <w:rPr>
                <w:sz w:val="22"/>
                <w:szCs w:val="22"/>
              </w:rPr>
            </w:pPr>
            <w:r w:rsidRPr="006E21C7">
              <w:rPr>
                <w:sz w:val="22"/>
                <w:szCs w:val="22"/>
              </w:rPr>
              <w:t>(≤ 1 / 10000)</w:t>
            </w:r>
          </w:p>
        </w:tc>
        <w:tc>
          <w:tcPr>
            <w:tcW w:w="859" w:type="pct"/>
          </w:tcPr>
          <w:p w:rsidR="00356F64" w:rsidRPr="006E21C7" w:rsidRDefault="00356F64" w:rsidP="00A256A2">
            <w:pPr>
              <w:jc w:val="both"/>
              <w:rPr>
                <w:sz w:val="22"/>
                <w:szCs w:val="22"/>
              </w:rPr>
            </w:pPr>
            <w:r w:rsidRPr="006E21C7">
              <w:rPr>
                <w:sz w:val="22"/>
                <w:szCs w:val="22"/>
              </w:rPr>
              <w:t>Nije poznata</w:t>
            </w:r>
          </w:p>
        </w:tc>
      </w:tr>
      <w:tr w:rsidR="00356F64" w:rsidRPr="006E21C7" w:rsidTr="00A4195F">
        <w:tc>
          <w:tcPr>
            <w:tcW w:w="1234" w:type="pct"/>
            <w:vAlign w:val="center"/>
          </w:tcPr>
          <w:p w:rsidR="00356F64" w:rsidRPr="006E21C7" w:rsidRDefault="00356F64" w:rsidP="00A256A2">
            <w:pPr>
              <w:jc w:val="both"/>
              <w:rPr>
                <w:sz w:val="22"/>
                <w:szCs w:val="22"/>
              </w:rPr>
            </w:pPr>
            <w:r w:rsidRPr="006E21C7">
              <w:rPr>
                <w:sz w:val="22"/>
                <w:szCs w:val="22"/>
              </w:rPr>
              <w:t>Poremećaji imun</w:t>
            </w:r>
            <w:r w:rsidR="00514703" w:rsidRPr="006E21C7">
              <w:rPr>
                <w:sz w:val="22"/>
                <w:szCs w:val="22"/>
              </w:rPr>
              <w:t>sk</w:t>
            </w:r>
            <w:r w:rsidRPr="006E21C7">
              <w:rPr>
                <w:sz w:val="22"/>
                <w:szCs w:val="22"/>
              </w:rPr>
              <w:t>og sistema</w:t>
            </w:r>
          </w:p>
        </w:tc>
        <w:tc>
          <w:tcPr>
            <w:tcW w:w="876" w:type="pct"/>
            <w:vAlign w:val="center"/>
          </w:tcPr>
          <w:p w:rsidR="00356F64" w:rsidRPr="006E21C7" w:rsidRDefault="00356F64" w:rsidP="00A256A2">
            <w:pPr>
              <w:jc w:val="both"/>
              <w:rPr>
                <w:sz w:val="22"/>
                <w:szCs w:val="22"/>
              </w:rPr>
            </w:pPr>
          </w:p>
        </w:tc>
        <w:tc>
          <w:tcPr>
            <w:tcW w:w="1349" w:type="pct"/>
            <w:vAlign w:val="center"/>
          </w:tcPr>
          <w:p w:rsidR="00356F64" w:rsidRPr="006E21C7" w:rsidRDefault="00356F64" w:rsidP="00A256A2">
            <w:pPr>
              <w:jc w:val="both"/>
              <w:rPr>
                <w:sz w:val="22"/>
                <w:szCs w:val="22"/>
              </w:rPr>
            </w:pPr>
          </w:p>
        </w:tc>
        <w:tc>
          <w:tcPr>
            <w:tcW w:w="682" w:type="pct"/>
            <w:vAlign w:val="center"/>
          </w:tcPr>
          <w:p w:rsidR="00356F64" w:rsidRPr="006E21C7" w:rsidRDefault="00356F64" w:rsidP="00A256A2">
            <w:pPr>
              <w:jc w:val="both"/>
              <w:rPr>
                <w:sz w:val="22"/>
                <w:szCs w:val="22"/>
              </w:rPr>
            </w:pPr>
          </w:p>
        </w:tc>
        <w:tc>
          <w:tcPr>
            <w:tcW w:w="859" w:type="pct"/>
            <w:vAlign w:val="center"/>
          </w:tcPr>
          <w:p w:rsidR="00356F64" w:rsidRPr="006E21C7" w:rsidRDefault="00356F64" w:rsidP="00A256A2">
            <w:pPr>
              <w:jc w:val="both"/>
              <w:rPr>
                <w:sz w:val="22"/>
                <w:szCs w:val="22"/>
              </w:rPr>
            </w:pPr>
            <w:r w:rsidRPr="006E21C7">
              <w:rPr>
                <w:sz w:val="22"/>
                <w:szCs w:val="22"/>
              </w:rPr>
              <w:t>angioneurotski edem, preosjetljivost</w:t>
            </w:r>
          </w:p>
        </w:tc>
      </w:tr>
      <w:tr w:rsidR="00356F64" w:rsidRPr="006E21C7" w:rsidTr="00A4195F">
        <w:tc>
          <w:tcPr>
            <w:tcW w:w="1234" w:type="pct"/>
            <w:vAlign w:val="center"/>
          </w:tcPr>
          <w:p w:rsidR="00356F64" w:rsidRPr="006E21C7" w:rsidRDefault="00356F64" w:rsidP="00A256A2">
            <w:pPr>
              <w:jc w:val="both"/>
              <w:rPr>
                <w:sz w:val="22"/>
                <w:szCs w:val="22"/>
              </w:rPr>
            </w:pPr>
            <w:r w:rsidRPr="006E21C7">
              <w:rPr>
                <w:sz w:val="22"/>
                <w:szCs w:val="22"/>
              </w:rPr>
              <w:lastRenderedPageBreak/>
              <w:t>Psihijatrijski poremećaji</w:t>
            </w:r>
          </w:p>
          <w:p w:rsidR="00356F64" w:rsidRPr="006E21C7" w:rsidRDefault="00356F64" w:rsidP="00A256A2">
            <w:pPr>
              <w:jc w:val="both"/>
              <w:rPr>
                <w:sz w:val="22"/>
                <w:szCs w:val="22"/>
              </w:rPr>
            </w:pPr>
          </w:p>
        </w:tc>
        <w:tc>
          <w:tcPr>
            <w:tcW w:w="876" w:type="pct"/>
            <w:vAlign w:val="center"/>
          </w:tcPr>
          <w:p w:rsidR="00356F64" w:rsidRPr="006E21C7" w:rsidRDefault="00356F64" w:rsidP="00A256A2">
            <w:pPr>
              <w:jc w:val="both"/>
              <w:rPr>
                <w:sz w:val="22"/>
                <w:szCs w:val="22"/>
              </w:rPr>
            </w:pPr>
          </w:p>
        </w:tc>
        <w:tc>
          <w:tcPr>
            <w:tcW w:w="1349" w:type="pct"/>
            <w:vAlign w:val="center"/>
          </w:tcPr>
          <w:p w:rsidR="00356F64" w:rsidRPr="006E21C7" w:rsidRDefault="00356F64" w:rsidP="00A256A2">
            <w:pPr>
              <w:jc w:val="both"/>
              <w:rPr>
                <w:sz w:val="22"/>
                <w:szCs w:val="22"/>
              </w:rPr>
            </w:pPr>
            <w:r w:rsidRPr="006E21C7">
              <w:rPr>
                <w:sz w:val="22"/>
                <w:szCs w:val="22"/>
              </w:rPr>
              <w:t>noćne more, depresija</w:t>
            </w:r>
          </w:p>
        </w:tc>
        <w:tc>
          <w:tcPr>
            <w:tcW w:w="682" w:type="pct"/>
            <w:vAlign w:val="center"/>
          </w:tcPr>
          <w:p w:rsidR="00356F64" w:rsidRPr="006E21C7" w:rsidRDefault="00356F64" w:rsidP="00A256A2">
            <w:pPr>
              <w:jc w:val="both"/>
              <w:rPr>
                <w:sz w:val="22"/>
                <w:szCs w:val="22"/>
              </w:rPr>
            </w:pPr>
          </w:p>
        </w:tc>
        <w:tc>
          <w:tcPr>
            <w:tcW w:w="859" w:type="pct"/>
            <w:vAlign w:val="center"/>
          </w:tcPr>
          <w:p w:rsidR="00356F64" w:rsidRPr="006E21C7" w:rsidRDefault="00356F64" w:rsidP="00A256A2">
            <w:pPr>
              <w:jc w:val="both"/>
              <w:rPr>
                <w:sz w:val="22"/>
                <w:szCs w:val="22"/>
              </w:rPr>
            </w:pPr>
          </w:p>
        </w:tc>
      </w:tr>
      <w:tr w:rsidR="00356F64" w:rsidRPr="006E21C7" w:rsidTr="00A4195F">
        <w:tc>
          <w:tcPr>
            <w:tcW w:w="1234" w:type="pct"/>
            <w:vAlign w:val="center"/>
          </w:tcPr>
          <w:p w:rsidR="00356F64" w:rsidRPr="006E21C7" w:rsidRDefault="00356F64" w:rsidP="00A256A2">
            <w:pPr>
              <w:jc w:val="both"/>
              <w:rPr>
                <w:sz w:val="22"/>
                <w:szCs w:val="22"/>
              </w:rPr>
            </w:pPr>
          </w:p>
          <w:p w:rsidR="00356F64" w:rsidRPr="006E21C7" w:rsidRDefault="00356F64" w:rsidP="00A256A2">
            <w:pPr>
              <w:jc w:val="both"/>
              <w:rPr>
                <w:sz w:val="22"/>
                <w:szCs w:val="22"/>
              </w:rPr>
            </w:pPr>
            <w:r w:rsidRPr="006E21C7">
              <w:rPr>
                <w:sz w:val="22"/>
                <w:szCs w:val="22"/>
              </w:rPr>
              <w:t>Poremećaji nervnog sistema</w:t>
            </w:r>
          </w:p>
        </w:tc>
        <w:tc>
          <w:tcPr>
            <w:tcW w:w="876" w:type="pct"/>
            <w:vAlign w:val="center"/>
          </w:tcPr>
          <w:p w:rsidR="00356F64" w:rsidRPr="006E21C7" w:rsidRDefault="00356F64" w:rsidP="00A256A2">
            <w:pPr>
              <w:jc w:val="both"/>
              <w:rPr>
                <w:sz w:val="22"/>
                <w:szCs w:val="22"/>
              </w:rPr>
            </w:pPr>
            <w:r w:rsidRPr="006E21C7">
              <w:rPr>
                <w:sz w:val="22"/>
                <w:szCs w:val="22"/>
              </w:rPr>
              <w:t>glavobolja, vrtoglavica, parestezije</w:t>
            </w:r>
          </w:p>
        </w:tc>
        <w:tc>
          <w:tcPr>
            <w:tcW w:w="1349" w:type="pct"/>
            <w:vAlign w:val="center"/>
          </w:tcPr>
          <w:p w:rsidR="00356F64" w:rsidRPr="006E21C7" w:rsidRDefault="00356F64" w:rsidP="00A256A2">
            <w:pPr>
              <w:jc w:val="both"/>
              <w:rPr>
                <w:sz w:val="22"/>
                <w:szCs w:val="22"/>
              </w:rPr>
            </w:pPr>
          </w:p>
        </w:tc>
        <w:tc>
          <w:tcPr>
            <w:tcW w:w="682" w:type="pct"/>
            <w:vAlign w:val="center"/>
          </w:tcPr>
          <w:p w:rsidR="00356F64" w:rsidRPr="006E21C7" w:rsidRDefault="00356F64" w:rsidP="00A256A2">
            <w:pPr>
              <w:jc w:val="both"/>
              <w:rPr>
                <w:sz w:val="22"/>
                <w:szCs w:val="22"/>
              </w:rPr>
            </w:pPr>
            <w:r w:rsidRPr="006E21C7">
              <w:rPr>
                <w:sz w:val="22"/>
                <w:szCs w:val="22"/>
              </w:rPr>
              <w:t>sinkopa</w:t>
            </w:r>
          </w:p>
        </w:tc>
        <w:tc>
          <w:tcPr>
            <w:tcW w:w="859" w:type="pct"/>
            <w:vAlign w:val="center"/>
          </w:tcPr>
          <w:p w:rsidR="00356F64" w:rsidRPr="006E21C7" w:rsidRDefault="00356F64" w:rsidP="00A256A2">
            <w:pPr>
              <w:jc w:val="both"/>
              <w:rPr>
                <w:sz w:val="22"/>
                <w:szCs w:val="22"/>
              </w:rPr>
            </w:pPr>
          </w:p>
        </w:tc>
      </w:tr>
      <w:tr w:rsidR="00356F64" w:rsidRPr="006E21C7" w:rsidTr="00A4195F">
        <w:tc>
          <w:tcPr>
            <w:tcW w:w="1234" w:type="pct"/>
            <w:vAlign w:val="center"/>
          </w:tcPr>
          <w:p w:rsidR="00356F64" w:rsidRPr="006E21C7" w:rsidRDefault="00356F64" w:rsidP="00A256A2">
            <w:pPr>
              <w:jc w:val="both"/>
              <w:rPr>
                <w:sz w:val="22"/>
                <w:szCs w:val="22"/>
              </w:rPr>
            </w:pPr>
          </w:p>
          <w:p w:rsidR="00356F64" w:rsidRPr="006E21C7" w:rsidRDefault="00356F64" w:rsidP="00A256A2">
            <w:pPr>
              <w:jc w:val="both"/>
              <w:rPr>
                <w:sz w:val="22"/>
                <w:szCs w:val="22"/>
              </w:rPr>
            </w:pPr>
            <w:r w:rsidRPr="006E21C7">
              <w:rPr>
                <w:sz w:val="22"/>
                <w:szCs w:val="22"/>
              </w:rPr>
              <w:t>Poremećaji oka</w:t>
            </w:r>
          </w:p>
        </w:tc>
        <w:tc>
          <w:tcPr>
            <w:tcW w:w="876" w:type="pct"/>
            <w:vAlign w:val="center"/>
          </w:tcPr>
          <w:p w:rsidR="00356F64" w:rsidRPr="006E21C7" w:rsidRDefault="00356F64" w:rsidP="00A256A2">
            <w:pPr>
              <w:jc w:val="both"/>
              <w:rPr>
                <w:sz w:val="22"/>
                <w:szCs w:val="22"/>
              </w:rPr>
            </w:pPr>
          </w:p>
        </w:tc>
        <w:tc>
          <w:tcPr>
            <w:tcW w:w="1349" w:type="pct"/>
            <w:vAlign w:val="center"/>
          </w:tcPr>
          <w:p w:rsidR="00356F64" w:rsidRPr="006E21C7" w:rsidRDefault="00356F64" w:rsidP="00A256A2">
            <w:pPr>
              <w:jc w:val="both"/>
              <w:rPr>
                <w:sz w:val="22"/>
                <w:szCs w:val="22"/>
              </w:rPr>
            </w:pPr>
          </w:p>
          <w:p w:rsidR="00356F64" w:rsidRPr="006E21C7" w:rsidRDefault="009F49B4" w:rsidP="00A256A2">
            <w:pPr>
              <w:jc w:val="both"/>
              <w:rPr>
                <w:sz w:val="22"/>
                <w:szCs w:val="22"/>
              </w:rPr>
            </w:pPr>
            <w:r w:rsidRPr="006E21C7">
              <w:rPr>
                <w:sz w:val="22"/>
                <w:szCs w:val="22"/>
              </w:rPr>
              <w:t xml:space="preserve">oslabljen </w:t>
            </w:r>
            <w:r w:rsidR="00356F64" w:rsidRPr="006E21C7">
              <w:rPr>
                <w:sz w:val="22"/>
                <w:szCs w:val="22"/>
              </w:rPr>
              <w:t>vid</w:t>
            </w:r>
          </w:p>
        </w:tc>
        <w:tc>
          <w:tcPr>
            <w:tcW w:w="682" w:type="pct"/>
            <w:vAlign w:val="center"/>
          </w:tcPr>
          <w:p w:rsidR="00356F64" w:rsidRPr="006E21C7" w:rsidRDefault="00356F64" w:rsidP="00A256A2">
            <w:pPr>
              <w:jc w:val="both"/>
              <w:rPr>
                <w:sz w:val="22"/>
                <w:szCs w:val="22"/>
              </w:rPr>
            </w:pPr>
          </w:p>
        </w:tc>
        <w:tc>
          <w:tcPr>
            <w:tcW w:w="859" w:type="pct"/>
            <w:vAlign w:val="center"/>
          </w:tcPr>
          <w:p w:rsidR="00356F64" w:rsidRPr="006E21C7" w:rsidRDefault="00356F64" w:rsidP="00A256A2">
            <w:pPr>
              <w:jc w:val="both"/>
              <w:rPr>
                <w:sz w:val="22"/>
                <w:szCs w:val="22"/>
              </w:rPr>
            </w:pPr>
          </w:p>
        </w:tc>
      </w:tr>
      <w:tr w:rsidR="00356F64" w:rsidRPr="006E21C7" w:rsidTr="00A4195F">
        <w:tc>
          <w:tcPr>
            <w:tcW w:w="1234" w:type="pct"/>
            <w:vAlign w:val="center"/>
          </w:tcPr>
          <w:p w:rsidR="00356F64" w:rsidRPr="006E21C7" w:rsidRDefault="00356F64" w:rsidP="00A256A2">
            <w:pPr>
              <w:jc w:val="both"/>
              <w:rPr>
                <w:sz w:val="22"/>
                <w:szCs w:val="22"/>
              </w:rPr>
            </w:pPr>
          </w:p>
          <w:p w:rsidR="00356F64" w:rsidRPr="006E21C7" w:rsidRDefault="00356F64" w:rsidP="00A256A2">
            <w:pPr>
              <w:jc w:val="both"/>
              <w:rPr>
                <w:sz w:val="22"/>
                <w:szCs w:val="22"/>
              </w:rPr>
            </w:pPr>
            <w:r w:rsidRPr="006E21C7">
              <w:rPr>
                <w:sz w:val="22"/>
                <w:szCs w:val="22"/>
              </w:rPr>
              <w:t>Kardiološki poremećaji</w:t>
            </w:r>
          </w:p>
          <w:p w:rsidR="00356F64" w:rsidRPr="006E21C7" w:rsidRDefault="00356F64" w:rsidP="00A256A2">
            <w:pPr>
              <w:jc w:val="both"/>
              <w:rPr>
                <w:sz w:val="22"/>
                <w:szCs w:val="22"/>
              </w:rPr>
            </w:pPr>
          </w:p>
        </w:tc>
        <w:tc>
          <w:tcPr>
            <w:tcW w:w="876" w:type="pct"/>
            <w:vAlign w:val="center"/>
          </w:tcPr>
          <w:p w:rsidR="00356F64" w:rsidRPr="006E21C7" w:rsidRDefault="00356F64" w:rsidP="00A256A2">
            <w:pPr>
              <w:jc w:val="both"/>
              <w:rPr>
                <w:sz w:val="22"/>
                <w:szCs w:val="22"/>
              </w:rPr>
            </w:pPr>
          </w:p>
        </w:tc>
        <w:tc>
          <w:tcPr>
            <w:tcW w:w="1349" w:type="pct"/>
            <w:vAlign w:val="center"/>
          </w:tcPr>
          <w:p w:rsidR="00356F64" w:rsidRPr="006E21C7" w:rsidRDefault="00356F64" w:rsidP="00A256A2">
            <w:pPr>
              <w:jc w:val="both"/>
              <w:rPr>
                <w:sz w:val="22"/>
                <w:szCs w:val="22"/>
              </w:rPr>
            </w:pPr>
            <w:r w:rsidRPr="006E21C7">
              <w:rPr>
                <w:sz w:val="22"/>
                <w:szCs w:val="22"/>
              </w:rPr>
              <w:t>bradikardija, srčana insuficijencija, usporeno AV sprovođenje/AV blok</w:t>
            </w:r>
          </w:p>
        </w:tc>
        <w:tc>
          <w:tcPr>
            <w:tcW w:w="682" w:type="pct"/>
            <w:vAlign w:val="center"/>
          </w:tcPr>
          <w:p w:rsidR="00356F64" w:rsidRPr="006E21C7" w:rsidRDefault="00356F64" w:rsidP="00A256A2">
            <w:pPr>
              <w:jc w:val="both"/>
              <w:rPr>
                <w:sz w:val="22"/>
                <w:szCs w:val="22"/>
              </w:rPr>
            </w:pPr>
          </w:p>
        </w:tc>
        <w:tc>
          <w:tcPr>
            <w:tcW w:w="859" w:type="pct"/>
            <w:vAlign w:val="center"/>
          </w:tcPr>
          <w:p w:rsidR="00356F64" w:rsidRPr="006E21C7" w:rsidRDefault="00356F64" w:rsidP="00A256A2">
            <w:pPr>
              <w:jc w:val="both"/>
              <w:rPr>
                <w:sz w:val="22"/>
                <w:szCs w:val="22"/>
              </w:rPr>
            </w:pPr>
          </w:p>
        </w:tc>
      </w:tr>
      <w:tr w:rsidR="00356F64" w:rsidRPr="006E21C7" w:rsidTr="00A4195F">
        <w:tc>
          <w:tcPr>
            <w:tcW w:w="1234"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p w:rsidR="00356F64" w:rsidRPr="006E21C7" w:rsidRDefault="00356F64" w:rsidP="00A256A2">
            <w:pPr>
              <w:jc w:val="both"/>
              <w:rPr>
                <w:sz w:val="22"/>
                <w:szCs w:val="22"/>
              </w:rPr>
            </w:pPr>
            <w:r w:rsidRPr="006E21C7">
              <w:rPr>
                <w:sz w:val="22"/>
                <w:szCs w:val="22"/>
              </w:rPr>
              <w:t>Vaskularni poremećaji</w:t>
            </w:r>
          </w:p>
          <w:p w:rsidR="00356F64" w:rsidRPr="006E21C7" w:rsidRDefault="00356F64" w:rsidP="00A256A2">
            <w:pPr>
              <w:jc w:val="both"/>
              <w:rPr>
                <w:sz w:val="22"/>
                <w:szCs w:val="22"/>
              </w:rPr>
            </w:pPr>
          </w:p>
        </w:tc>
        <w:tc>
          <w:tcPr>
            <w:tcW w:w="876"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tc>
        <w:tc>
          <w:tcPr>
            <w:tcW w:w="1349"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r w:rsidRPr="006E21C7">
              <w:rPr>
                <w:sz w:val="22"/>
                <w:szCs w:val="22"/>
              </w:rPr>
              <w:t>hipotenzija, (</w:t>
            </w:r>
            <w:r w:rsidR="009F49B4" w:rsidRPr="006E21C7">
              <w:rPr>
                <w:sz w:val="22"/>
                <w:szCs w:val="22"/>
              </w:rPr>
              <w:t>pogoršanje</w:t>
            </w:r>
            <w:r w:rsidRPr="006E21C7">
              <w:rPr>
                <w:sz w:val="22"/>
                <w:szCs w:val="22"/>
              </w:rPr>
              <w:t>)</w:t>
            </w:r>
          </w:p>
          <w:p w:rsidR="00356F64" w:rsidRPr="006E21C7" w:rsidRDefault="00356F64" w:rsidP="00A256A2">
            <w:pPr>
              <w:jc w:val="both"/>
              <w:rPr>
                <w:sz w:val="22"/>
                <w:szCs w:val="22"/>
              </w:rPr>
            </w:pPr>
            <w:r w:rsidRPr="006E21C7">
              <w:rPr>
                <w:sz w:val="22"/>
                <w:szCs w:val="22"/>
              </w:rPr>
              <w:t>intermitentn</w:t>
            </w:r>
            <w:r w:rsidR="009F49B4" w:rsidRPr="006E21C7">
              <w:rPr>
                <w:sz w:val="22"/>
                <w:szCs w:val="22"/>
              </w:rPr>
              <w:t>e</w:t>
            </w:r>
            <w:r w:rsidRPr="006E21C7">
              <w:rPr>
                <w:sz w:val="22"/>
                <w:szCs w:val="22"/>
              </w:rPr>
              <w:t xml:space="preserve"> klaudikacij</w:t>
            </w:r>
            <w:r w:rsidR="009F49B4" w:rsidRPr="006E21C7">
              <w:rPr>
                <w:sz w:val="22"/>
                <w:szCs w:val="22"/>
              </w:rPr>
              <w:t>e</w:t>
            </w:r>
          </w:p>
        </w:tc>
        <w:tc>
          <w:tcPr>
            <w:tcW w:w="682"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tc>
        <w:tc>
          <w:tcPr>
            <w:tcW w:w="859"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tc>
      </w:tr>
      <w:tr w:rsidR="00356F64" w:rsidRPr="006E21C7" w:rsidTr="00A4195F">
        <w:tc>
          <w:tcPr>
            <w:tcW w:w="1234"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r w:rsidRPr="006E21C7">
              <w:rPr>
                <w:sz w:val="22"/>
                <w:szCs w:val="22"/>
              </w:rPr>
              <w:t>Respiratorni, torakalni i medijastinalni poremećaji</w:t>
            </w:r>
          </w:p>
        </w:tc>
        <w:tc>
          <w:tcPr>
            <w:tcW w:w="876"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r w:rsidRPr="006E21C7">
              <w:rPr>
                <w:sz w:val="22"/>
                <w:szCs w:val="22"/>
              </w:rPr>
              <w:t>dispneja</w:t>
            </w:r>
          </w:p>
        </w:tc>
        <w:tc>
          <w:tcPr>
            <w:tcW w:w="1349"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r w:rsidRPr="006E21C7">
              <w:rPr>
                <w:sz w:val="22"/>
                <w:szCs w:val="22"/>
              </w:rPr>
              <w:t>bronhospazam</w:t>
            </w:r>
          </w:p>
        </w:tc>
        <w:tc>
          <w:tcPr>
            <w:tcW w:w="682"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tc>
        <w:tc>
          <w:tcPr>
            <w:tcW w:w="859"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tc>
      </w:tr>
      <w:tr w:rsidR="00356F64" w:rsidRPr="006E21C7" w:rsidTr="00A4195F">
        <w:tc>
          <w:tcPr>
            <w:tcW w:w="1234"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p w:rsidR="00356F64" w:rsidRPr="006E21C7" w:rsidRDefault="00356F64" w:rsidP="00A256A2">
            <w:pPr>
              <w:jc w:val="both"/>
              <w:rPr>
                <w:sz w:val="22"/>
                <w:szCs w:val="22"/>
              </w:rPr>
            </w:pPr>
            <w:r w:rsidRPr="006E21C7">
              <w:rPr>
                <w:sz w:val="22"/>
                <w:szCs w:val="22"/>
              </w:rPr>
              <w:t>Gastrointestinalni poremećaji</w:t>
            </w:r>
          </w:p>
        </w:tc>
        <w:tc>
          <w:tcPr>
            <w:tcW w:w="876"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p w:rsidR="00356F64" w:rsidRPr="006E21C7" w:rsidRDefault="00356F64" w:rsidP="00A256A2">
            <w:pPr>
              <w:jc w:val="both"/>
              <w:rPr>
                <w:sz w:val="22"/>
                <w:szCs w:val="22"/>
              </w:rPr>
            </w:pPr>
            <w:r w:rsidRPr="006E21C7">
              <w:rPr>
                <w:sz w:val="22"/>
                <w:szCs w:val="22"/>
              </w:rPr>
              <w:t>konstipacija, nauzeja,</w:t>
            </w:r>
          </w:p>
          <w:p w:rsidR="00356F64" w:rsidRPr="006E21C7" w:rsidRDefault="00356F64" w:rsidP="00A256A2">
            <w:pPr>
              <w:jc w:val="both"/>
              <w:rPr>
                <w:sz w:val="22"/>
                <w:szCs w:val="22"/>
              </w:rPr>
            </w:pPr>
            <w:r w:rsidRPr="006E21C7">
              <w:rPr>
                <w:sz w:val="22"/>
                <w:szCs w:val="22"/>
              </w:rPr>
              <w:t>dijareja</w:t>
            </w:r>
          </w:p>
        </w:tc>
        <w:tc>
          <w:tcPr>
            <w:tcW w:w="1349"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r w:rsidRPr="006E21C7">
              <w:rPr>
                <w:sz w:val="22"/>
                <w:szCs w:val="22"/>
              </w:rPr>
              <w:t>dispepsija, flatulencija, povraćanje</w:t>
            </w:r>
          </w:p>
        </w:tc>
        <w:tc>
          <w:tcPr>
            <w:tcW w:w="682"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tc>
        <w:tc>
          <w:tcPr>
            <w:tcW w:w="859"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tc>
      </w:tr>
      <w:tr w:rsidR="00356F64" w:rsidRPr="006E21C7" w:rsidTr="00A4195F">
        <w:tc>
          <w:tcPr>
            <w:tcW w:w="1234"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p w:rsidR="00356F64" w:rsidRPr="006E21C7" w:rsidRDefault="00356F64" w:rsidP="00A256A2">
            <w:pPr>
              <w:jc w:val="both"/>
              <w:rPr>
                <w:sz w:val="22"/>
                <w:szCs w:val="22"/>
              </w:rPr>
            </w:pPr>
            <w:r w:rsidRPr="006E21C7">
              <w:rPr>
                <w:sz w:val="22"/>
                <w:szCs w:val="22"/>
              </w:rPr>
              <w:t>Poremećaji kože i potkožnog tkiva</w:t>
            </w:r>
          </w:p>
        </w:tc>
        <w:tc>
          <w:tcPr>
            <w:tcW w:w="876"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tc>
        <w:tc>
          <w:tcPr>
            <w:tcW w:w="1349"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r w:rsidRPr="006E21C7">
              <w:rPr>
                <w:sz w:val="22"/>
                <w:szCs w:val="22"/>
              </w:rPr>
              <w:t>pruritus, eritematozni osip</w:t>
            </w:r>
          </w:p>
        </w:tc>
        <w:tc>
          <w:tcPr>
            <w:tcW w:w="682"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r w:rsidRPr="006E21C7">
              <w:rPr>
                <w:sz w:val="22"/>
                <w:szCs w:val="22"/>
              </w:rPr>
              <w:t>pogoršanje psorijaze</w:t>
            </w:r>
          </w:p>
        </w:tc>
        <w:tc>
          <w:tcPr>
            <w:tcW w:w="859" w:type="pct"/>
            <w:tcBorders>
              <w:top w:val="single" w:sz="4" w:space="0" w:color="auto"/>
              <w:left w:val="single" w:sz="4" w:space="0" w:color="auto"/>
              <w:bottom w:val="single" w:sz="4" w:space="0" w:color="auto"/>
              <w:right w:val="single" w:sz="4" w:space="0" w:color="auto"/>
            </w:tcBorders>
            <w:vAlign w:val="center"/>
          </w:tcPr>
          <w:p w:rsidR="00356F64" w:rsidRPr="006E21C7" w:rsidRDefault="00645667" w:rsidP="00A256A2">
            <w:pPr>
              <w:jc w:val="both"/>
              <w:rPr>
                <w:sz w:val="22"/>
                <w:szCs w:val="22"/>
              </w:rPr>
            </w:pPr>
            <w:r w:rsidRPr="006E21C7">
              <w:rPr>
                <w:sz w:val="22"/>
                <w:szCs w:val="22"/>
              </w:rPr>
              <w:t>urtikari</w:t>
            </w:r>
            <w:r w:rsidR="00B83E66" w:rsidRPr="006E21C7">
              <w:rPr>
                <w:sz w:val="22"/>
                <w:szCs w:val="22"/>
              </w:rPr>
              <w:t>j</w:t>
            </w:r>
            <w:r w:rsidRPr="006E21C7">
              <w:rPr>
                <w:sz w:val="22"/>
                <w:szCs w:val="22"/>
              </w:rPr>
              <w:t>a</w:t>
            </w:r>
          </w:p>
        </w:tc>
      </w:tr>
      <w:tr w:rsidR="00356F64" w:rsidRPr="006E21C7" w:rsidTr="00A4195F">
        <w:tc>
          <w:tcPr>
            <w:tcW w:w="1234"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p w:rsidR="00356F64" w:rsidRPr="006E21C7" w:rsidRDefault="00356F64" w:rsidP="00A256A2">
            <w:pPr>
              <w:jc w:val="both"/>
              <w:rPr>
                <w:sz w:val="22"/>
                <w:szCs w:val="22"/>
              </w:rPr>
            </w:pPr>
            <w:r w:rsidRPr="006E21C7">
              <w:rPr>
                <w:sz w:val="22"/>
                <w:szCs w:val="22"/>
              </w:rPr>
              <w:t>Poremećaji reproduktivnog sistema i dojki</w:t>
            </w:r>
          </w:p>
        </w:tc>
        <w:tc>
          <w:tcPr>
            <w:tcW w:w="876"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tc>
        <w:tc>
          <w:tcPr>
            <w:tcW w:w="1349"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r w:rsidRPr="006E21C7">
              <w:rPr>
                <w:sz w:val="22"/>
                <w:szCs w:val="22"/>
              </w:rPr>
              <w:t>impotencija</w:t>
            </w:r>
          </w:p>
        </w:tc>
        <w:tc>
          <w:tcPr>
            <w:tcW w:w="682"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tc>
        <w:tc>
          <w:tcPr>
            <w:tcW w:w="859"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tc>
      </w:tr>
      <w:tr w:rsidR="00356F64" w:rsidRPr="006E21C7" w:rsidTr="00A4195F">
        <w:tc>
          <w:tcPr>
            <w:tcW w:w="1234"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r w:rsidRPr="006E21C7">
              <w:rPr>
                <w:sz w:val="22"/>
                <w:szCs w:val="22"/>
              </w:rPr>
              <w:t>Poremećaji opšteg stanja i poremećaji na m</w:t>
            </w:r>
            <w:r w:rsidR="00B46DFB" w:rsidRPr="006E21C7">
              <w:rPr>
                <w:sz w:val="22"/>
                <w:szCs w:val="22"/>
              </w:rPr>
              <w:t>j</w:t>
            </w:r>
            <w:r w:rsidRPr="006E21C7">
              <w:rPr>
                <w:sz w:val="22"/>
                <w:szCs w:val="22"/>
              </w:rPr>
              <w:t>estu aplikacije</w:t>
            </w:r>
          </w:p>
        </w:tc>
        <w:tc>
          <w:tcPr>
            <w:tcW w:w="876"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r w:rsidRPr="006E21C7">
              <w:rPr>
                <w:sz w:val="22"/>
                <w:szCs w:val="22"/>
              </w:rPr>
              <w:t>umor, edem</w:t>
            </w:r>
          </w:p>
        </w:tc>
        <w:tc>
          <w:tcPr>
            <w:tcW w:w="1349"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tc>
        <w:tc>
          <w:tcPr>
            <w:tcW w:w="682"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tc>
        <w:tc>
          <w:tcPr>
            <w:tcW w:w="859" w:type="pct"/>
            <w:tcBorders>
              <w:top w:val="single" w:sz="4" w:space="0" w:color="auto"/>
              <w:left w:val="single" w:sz="4" w:space="0" w:color="auto"/>
              <w:bottom w:val="single" w:sz="4" w:space="0" w:color="auto"/>
              <w:right w:val="single" w:sz="4" w:space="0" w:color="auto"/>
            </w:tcBorders>
            <w:vAlign w:val="center"/>
          </w:tcPr>
          <w:p w:rsidR="00356F64" w:rsidRPr="006E21C7" w:rsidRDefault="00356F64" w:rsidP="00A256A2">
            <w:pPr>
              <w:jc w:val="both"/>
              <w:rPr>
                <w:sz w:val="22"/>
                <w:szCs w:val="22"/>
              </w:rPr>
            </w:pPr>
          </w:p>
        </w:tc>
      </w:tr>
    </w:tbl>
    <w:p w:rsidR="00356F64" w:rsidRPr="006E21C7" w:rsidRDefault="00356F64" w:rsidP="00A256A2">
      <w:pPr>
        <w:tabs>
          <w:tab w:val="left" w:pos="540"/>
          <w:tab w:val="left" w:pos="569"/>
        </w:tabs>
        <w:jc w:val="both"/>
        <w:rPr>
          <w:b/>
          <w:bCs/>
          <w:sz w:val="22"/>
          <w:szCs w:val="22"/>
        </w:rPr>
      </w:pPr>
    </w:p>
    <w:p w:rsidR="0002110E" w:rsidRPr="006E21C7" w:rsidRDefault="009F49B4" w:rsidP="00DA59DD">
      <w:pPr>
        <w:jc w:val="both"/>
        <w:rPr>
          <w:sz w:val="22"/>
          <w:szCs w:val="22"/>
        </w:rPr>
      </w:pPr>
      <w:r w:rsidRPr="006E21C7">
        <w:rPr>
          <w:sz w:val="22"/>
          <w:szCs w:val="22"/>
        </w:rPr>
        <w:t>Pri</w:t>
      </w:r>
      <w:r w:rsidR="00B23AA7" w:rsidRPr="006E21C7">
        <w:rPr>
          <w:sz w:val="22"/>
          <w:szCs w:val="22"/>
        </w:rPr>
        <w:t xml:space="preserve"> </w:t>
      </w:r>
      <w:r w:rsidR="00356F64" w:rsidRPr="006E21C7">
        <w:rPr>
          <w:sz w:val="22"/>
          <w:szCs w:val="22"/>
        </w:rPr>
        <w:t>primjen</w:t>
      </w:r>
      <w:r w:rsidRPr="006E21C7">
        <w:rPr>
          <w:sz w:val="22"/>
          <w:szCs w:val="22"/>
        </w:rPr>
        <w:t>i</w:t>
      </w:r>
      <w:r w:rsidR="00356F64" w:rsidRPr="006E21C7">
        <w:rPr>
          <w:sz w:val="22"/>
          <w:szCs w:val="22"/>
        </w:rPr>
        <w:t xml:space="preserve"> nekih </w:t>
      </w:r>
      <w:r w:rsidRPr="006E21C7">
        <w:rPr>
          <w:sz w:val="22"/>
          <w:szCs w:val="22"/>
        </w:rPr>
        <w:t>antagonista beta</w:t>
      </w:r>
      <w:r w:rsidR="00514703" w:rsidRPr="006E21C7">
        <w:rPr>
          <w:sz w:val="22"/>
          <w:szCs w:val="22"/>
        </w:rPr>
        <w:t>-</w:t>
      </w:r>
      <w:r w:rsidRPr="006E21C7">
        <w:rPr>
          <w:sz w:val="22"/>
          <w:szCs w:val="22"/>
        </w:rPr>
        <w:t>adrenergičkih receptora zabilježena su i sljedeća neželjena dejstva</w:t>
      </w:r>
      <w:r w:rsidR="00356F64" w:rsidRPr="006E21C7">
        <w:rPr>
          <w:sz w:val="22"/>
          <w:szCs w:val="22"/>
        </w:rPr>
        <w:t xml:space="preserve">: halucinacije, psihoze, konfuzije, hladnoća/cijanoza ekstremiteta, </w:t>
      </w:r>
      <w:r w:rsidR="00356F64" w:rsidRPr="006E21C7">
        <w:rPr>
          <w:i/>
          <w:sz w:val="22"/>
          <w:szCs w:val="22"/>
        </w:rPr>
        <w:t>Raynaud</w:t>
      </w:r>
      <w:r w:rsidR="00356F64" w:rsidRPr="006E21C7">
        <w:rPr>
          <w:sz w:val="22"/>
          <w:szCs w:val="22"/>
        </w:rPr>
        <w:noBreakHyphen/>
        <w:t>ov fenomen, suv</w:t>
      </w:r>
      <w:r w:rsidRPr="006E21C7">
        <w:rPr>
          <w:sz w:val="22"/>
          <w:szCs w:val="22"/>
        </w:rPr>
        <w:t>e</w:t>
      </w:r>
      <w:r w:rsidR="00356F64" w:rsidRPr="006E21C7">
        <w:rPr>
          <w:sz w:val="22"/>
          <w:szCs w:val="22"/>
        </w:rPr>
        <w:t xml:space="preserve"> oči i okulo</w:t>
      </w:r>
      <w:r w:rsidR="00356F64" w:rsidRPr="006E21C7">
        <w:rPr>
          <w:sz w:val="22"/>
          <w:szCs w:val="22"/>
        </w:rPr>
        <w:noBreakHyphen/>
        <w:t>mukokutana toksičnost</w:t>
      </w:r>
      <w:r w:rsidR="00514703" w:rsidRPr="006E21C7">
        <w:rPr>
          <w:sz w:val="22"/>
          <w:szCs w:val="22"/>
        </w:rPr>
        <w:t>,</w:t>
      </w:r>
      <w:r w:rsidR="00356F64" w:rsidRPr="006E21C7">
        <w:rPr>
          <w:sz w:val="22"/>
          <w:szCs w:val="22"/>
        </w:rPr>
        <w:t xml:space="preserve"> praktolol tipa.</w:t>
      </w:r>
    </w:p>
    <w:p w:rsidR="0002110E" w:rsidRPr="006E21C7" w:rsidRDefault="0002110E" w:rsidP="00A256A2">
      <w:pPr>
        <w:jc w:val="both"/>
        <w:rPr>
          <w:sz w:val="22"/>
          <w:szCs w:val="22"/>
        </w:rPr>
      </w:pPr>
    </w:p>
    <w:p w:rsidR="00356F64" w:rsidRPr="006E21C7" w:rsidRDefault="00356F64" w:rsidP="00A256A2">
      <w:pPr>
        <w:jc w:val="both"/>
        <w:rPr>
          <w:sz w:val="22"/>
          <w:szCs w:val="22"/>
          <w:u w:val="single"/>
        </w:rPr>
      </w:pPr>
      <w:r w:rsidRPr="006E21C7">
        <w:rPr>
          <w:sz w:val="22"/>
          <w:szCs w:val="22"/>
          <w:u w:val="single"/>
        </w:rPr>
        <w:t>Hronična srčana insuficijencija</w:t>
      </w:r>
    </w:p>
    <w:p w:rsidR="00356F64" w:rsidRPr="006E21C7" w:rsidRDefault="00356F64" w:rsidP="00A256A2">
      <w:pPr>
        <w:jc w:val="both"/>
        <w:rPr>
          <w:sz w:val="22"/>
          <w:szCs w:val="22"/>
        </w:rPr>
      </w:pPr>
    </w:p>
    <w:p w:rsidR="00EF591D" w:rsidRPr="006E21C7" w:rsidRDefault="00356F64" w:rsidP="00A256A2">
      <w:pPr>
        <w:jc w:val="both"/>
        <w:rPr>
          <w:sz w:val="22"/>
          <w:szCs w:val="22"/>
        </w:rPr>
      </w:pPr>
      <w:r w:rsidRPr="006E21C7">
        <w:rPr>
          <w:sz w:val="22"/>
          <w:szCs w:val="22"/>
        </w:rPr>
        <w:t>Podaci o neželjenim dejstvima kod pacijenata sa hroničnom srčanom insuficijencijom su dostupni iz jedne placebo</w:t>
      </w:r>
      <w:r w:rsidR="004774A8" w:rsidRPr="006E21C7">
        <w:rPr>
          <w:sz w:val="22"/>
          <w:szCs w:val="22"/>
        </w:rPr>
        <w:t>m</w:t>
      </w:r>
      <w:r w:rsidRPr="006E21C7">
        <w:rPr>
          <w:sz w:val="22"/>
          <w:szCs w:val="22"/>
        </w:rPr>
        <w:t xml:space="preserve"> kontrolisane kliničke studije koja je uključivala 1067 pacijenata koji su koristili nebivolol i 1061 pacijenata koji su primali placebo. U ovoj studiji, ukupno 449 pacijenata koji su primali nebivolol (42.1%) je prijavio neželjena dejstva</w:t>
      </w:r>
      <w:r w:rsidR="00EF591D" w:rsidRPr="006E21C7">
        <w:rPr>
          <w:sz w:val="22"/>
          <w:szCs w:val="22"/>
        </w:rPr>
        <w:t xml:space="preserve"> koja su, barem vjerovatno, uzročno </w:t>
      </w:r>
      <w:r w:rsidR="00514703" w:rsidRPr="006E21C7">
        <w:rPr>
          <w:sz w:val="22"/>
          <w:szCs w:val="22"/>
        </w:rPr>
        <w:t xml:space="preserve">povezana </w:t>
      </w:r>
      <w:r w:rsidR="00EF591D" w:rsidRPr="006E21C7">
        <w:rPr>
          <w:sz w:val="22"/>
          <w:szCs w:val="22"/>
        </w:rPr>
        <w:t>s</w:t>
      </w:r>
      <w:r w:rsidRPr="006E21C7">
        <w:rPr>
          <w:sz w:val="22"/>
          <w:szCs w:val="22"/>
        </w:rPr>
        <w:t>a prim</w:t>
      </w:r>
      <w:r w:rsidR="00EF591D" w:rsidRPr="006E21C7">
        <w:rPr>
          <w:sz w:val="22"/>
          <w:szCs w:val="22"/>
        </w:rPr>
        <w:t>j</w:t>
      </w:r>
      <w:r w:rsidRPr="006E21C7">
        <w:rPr>
          <w:sz w:val="22"/>
          <w:szCs w:val="22"/>
        </w:rPr>
        <w:t>enom lijeka</w:t>
      </w:r>
      <w:r w:rsidR="00EF591D" w:rsidRPr="006E21C7">
        <w:rPr>
          <w:sz w:val="22"/>
          <w:szCs w:val="22"/>
        </w:rPr>
        <w:t>,</w:t>
      </w:r>
      <w:r w:rsidRPr="006E21C7">
        <w:rPr>
          <w:sz w:val="22"/>
          <w:szCs w:val="22"/>
        </w:rPr>
        <w:t xml:space="preserve"> dok su to učinila 334 pacijenta (31.5%) koji su primali placebo.</w:t>
      </w:r>
    </w:p>
    <w:p w:rsidR="00356F64" w:rsidRPr="006E21C7" w:rsidRDefault="00356F64" w:rsidP="00A256A2">
      <w:pPr>
        <w:jc w:val="both"/>
        <w:rPr>
          <w:sz w:val="22"/>
          <w:szCs w:val="22"/>
        </w:rPr>
      </w:pPr>
      <w:r w:rsidRPr="006E21C7">
        <w:rPr>
          <w:sz w:val="22"/>
          <w:szCs w:val="22"/>
        </w:rPr>
        <w:t xml:space="preserve">Najčešće prijavljena neželjena dejstva </w:t>
      </w:r>
      <w:r w:rsidR="00EF591D" w:rsidRPr="006E21C7">
        <w:rPr>
          <w:sz w:val="22"/>
          <w:szCs w:val="22"/>
        </w:rPr>
        <w:t>u grupi</w:t>
      </w:r>
      <w:r w:rsidR="00B23AA7" w:rsidRPr="006E21C7">
        <w:rPr>
          <w:sz w:val="22"/>
          <w:szCs w:val="22"/>
        </w:rPr>
        <w:t xml:space="preserve"> </w:t>
      </w:r>
      <w:r w:rsidRPr="006E21C7">
        <w:rPr>
          <w:sz w:val="22"/>
          <w:szCs w:val="22"/>
        </w:rPr>
        <w:t>koj</w:t>
      </w:r>
      <w:r w:rsidR="00EF591D" w:rsidRPr="006E21C7">
        <w:rPr>
          <w:sz w:val="22"/>
          <w:szCs w:val="22"/>
        </w:rPr>
        <w:t>a</w:t>
      </w:r>
      <w:r w:rsidRPr="006E21C7">
        <w:rPr>
          <w:sz w:val="22"/>
          <w:szCs w:val="22"/>
        </w:rPr>
        <w:t xml:space="preserve"> </w:t>
      </w:r>
      <w:r w:rsidR="00EF591D" w:rsidRPr="006E21C7">
        <w:rPr>
          <w:sz w:val="22"/>
          <w:szCs w:val="22"/>
        </w:rPr>
        <w:t>je</w:t>
      </w:r>
      <w:r w:rsidRPr="006E21C7">
        <w:rPr>
          <w:sz w:val="22"/>
          <w:szCs w:val="22"/>
        </w:rPr>
        <w:t xml:space="preserve"> primal</w:t>
      </w:r>
      <w:r w:rsidR="00EF591D" w:rsidRPr="006E21C7">
        <w:rPr>
          <w:sz w:val="22"/>
          <w:szCs w:val="22"/>
        </w:rPr>
        <w:t>a</w:t>
      </w:r>
      <w:r w:rsidRPr="006E21C7">
        <w:rPr>
          <w:sz w:val="22"/>
          <w:szCs w:val="22"/>
        </w:rPr>
        <w:t xml:space="preserve"> nebivolol bila su bradikardija i vrtoglavica, koja su se javila kod </w:t>
      </w:r>
      <w:r w:rsidR="00EF591D" w:rsidRPr="006E21C7">
        <w:rPr>
          <w:sz w:val="22"/>
          <w:szCs w:val="22"/>
        </w:rPr>
        <w:t xml:space="preserve">približno </w:t>
      </w:r>
      <w:r w:rsidRPr="006E21C7">
        <w:rPr>
          <w:sz w:val="22"/>
          <w:szCs w:val="22"/>
        </w:rPr>
        <w:t>11% pacijenata.</w:t>
      </w:r>
      <w:r w:rsidR="005A1EFA" w:rsidRPr="006E21C7">
        <w:rPr>
          <w:sz w:val="22"/>
          <w:szCs w:val="22"/>
        </w:rPr>
        <w:t xml:space="preserve"> Za poređenje,</w:t>
      </w:r>
      <w:r w:rsidR="00B23AA7" w:rsidRPr="006E21C7">
        <w:rPr>
          <w:sz w:val="22"/>
          <w:szCs w:val="22"/>
        </w:rPr>
        <w:t xml:space="preserve"> </w:t>
      </w:r>
      <w:r w:rsidR="005A1EFA" w:rsidRPr="006E21C7">
        <w:rPr>
          <w:sz w:val="22"/>
          <w:szCs w:val="22"/>
        </w:rPr>
        <w:t>u</w:t>
      </w:r>
      <w:r w:rsidRPr="006E21C7">
        <w:rPr>
          <w:sz w:val="22"/>
          <w:szCs w:val="22"/>
        </w:rPr>
        <w:t>čestalost pojavljivanja kod pacijenata koji su primali placebo bil</w:t>
      </w:r>
      <w:r w:rsidR="005A1EFA" w:rsidRPr="006E21C7">
        <w:rPr>
          <w:sz w:val="22"/>
          <w:szCs w:val="22"/>
        </w:rPr>
        <w:t>a je</w:t>
      </w:r>
      <w:r w:rsidR="00B23AA7" w:rsidRPr="006E21C7">
        <w:rPr>
          <w:sz w:val="22"/>
          <w:szCs w:val="22"/>
        </w:rPr>
        <w:t xml:space="preserve"> </w:t>
      </w:r>
      <w:r w:rsidRPr="006E21C7">
        <w:rPr>
          <w:sz w:val="22"/>
          <w:szCs w:val="22"/>
        </w:rPr>
        <w:t>oko 2% za bradikardiju i oko 7% za vrtoglavicu.</w:t>
      </w:r>
    </w:p>
    <w:p w:rsidR="00356F64" w:rsidRPr="006E21C7" w:rsidRDefault="005A1EFA" w:rsidP="00A256A2">
      <w:pPr>
        <w:jc w:val="both"/>
        <w:rPr>
          <w:sz w:val="22"/>
          <w:szCs w:val="22"/>
        </w:rPr>
      </w:pPr>
      <w:r w:rsidRPr="006E21C7">
        <w:rPr>
          <w:sz w:val="22"/>
          <w:szCs w:val="22"/>
        </w:rPr>
        <w:t>Zabilježena je sljedeća učestalost n</w:t>
      </w:r>
      <w:r w:rsidR="00356F64" w:rsidRPr="006E21C7">
        <w:rPr>
          <w:sz w:val="22"/>
          <w:szCs w:val="22"/>
        </w:rPr>
        <w:t>eželjen</w:t>
      </w:r>
      <w:r w:rsidRPr="006E21C7">
        <w:rPr>
          <w:sz w:val="22"/>
          <w:szCs w:val="22"/>
        </w:rPr>
        <w:t>ih</w:t>
      </w:r>
      <w:r w:rsidR="00356F64" w:rsidRPr="006E21C7">
        <w:rPr>
          <w:sz w:val="22"/>
          <w:szCs w:val="22"/>
        </w:rPr>
        <w:t xml:space="preserve"> dejst</w:t>
      </w:r>
      <w:r w:rsidRPr="006E21C7">
        <w:rPr>
          <w:sz w:val="22"/>
          <w:szCs w:val="22"/>
        </w:rPr>
        <w:t>a</w:t>
      </w:r>
      <w:r w:rsidR="00356F64" w:rsidRPr="006E21C7">
        <w:rPr>
          <w:sz w:val="22"/>
          <w:szCs w:val="22"/>
        </w:rPr>
        <w:t xml:space="preserve">va (za koje postoji mogućnost da su povezana sa uzimanjem lijeka) koja se smatraju </w:t>
      </w:r>
      <w:r w:rsidRPr="006E21C7">
        <w:rPr>
          <w:sz w:val="22"/>
          <w:szCs w:val="22"/>
        </w:rPr>
        <w:t xml:space="preserve">specifičnim za </w:t>
      </w:r>
      <w:r w:rsidR="00356F64" w:rsidRPr="006E21C7">
        <w:rPr>
          <w:sz w:val="22"/>
          <w:szCs w:val="22"/>
        </w:rPr>
        <w:t>liječenj</w:t>
      </w:r>
      <w:r w:rsidRPr="006E21C7">
        <w:rPr>
          <w:sz w:val="22"/>
          <w:szCs w:val="22"/>
        </w:rPr>
        <w:t>e</w:t>
      </w:r>
      <w:r w:rsidR="00356F64" w:rsidRPr="006E21C7">
        <w:rPr>
          <w:sz w:val="22"/>
          <w:szCs w:val="22"/>
        </w:rPr>
        <w:t xml:space="preserve"> hronične srčane insuficijencije:</w:t>
      </w:r>
    </w:p>
    <w:p w:rsidR="00356F64" w:rsidRPr="006E21C7" w:rsidRDefault="00356F64" w:rsidP="00A256A2">
      <w:pPr>
        <w:jc w:val="both"/>
        <w:rPr>
          <w:sz w:val="22"/>
          <w:szCs w:val="22"/>
        </w:rPr>
      </w:pPr>
      <w:r w:rsidRPr="006E21C7">
        <w:rPr>
          <w:sz w:val="22"/>
          <w:szCs w:val="22"/>
        </w:rPr>
        <w:t>-</w:t>
      </w:r>
      <w:r w:rsidR="00B23AA7" w:rsidRPr="006E21C7">
        <w:rPr>
          <w:sz w:val="22"/>
          <w:szCs w:val="22"/>
        </w:rPr>
        <w:t xml:space="preserve"> </w:t>
      </w:r>
      <w:r w:rsidRPr="006E21C7">
        <w:rPr>
          <w:sz w:val="22"/>
          <w:szCs w:val="22"/>
        </w:rPr>
        <w:t>pogoršanje srčane insuficijencije koje se pojavilo kod 5.8% pacijenata koji su primali nebivolol</w:t>
      </w:r>
      <w:r w:rsidR="00514703" w:rsidRPr="006E21C7">
        <w:rPr>
          <w:sz w:val="22"/>
          <w:szCs w:val="22"/>
        </w:rPr>
        <w:t>,</w:t>
      </w:r>
      <w:r w:rsidRPr="006E21C7">
        <w:rPr>
          <w:sz w:val="22"/>
          <w:szCs w:val="22"/>
        </w:rPr>
        <w:t xml:space="preserve"> u poređenju sa 5.2% kod pacijenta koji su primali placebo</w:t>
      </w:r>
      <w:r w:rsidR="00514703" w:rsidRPr="006E21C7">
        <w:rPr>
          <w:sz w:val="22"/>
          <w:szCs w:val="22"/>
        </w:rPr>
        <w:t>;</w:t>
      </w:r>
    </w:p>
    <w:p w:rsidR="00356F64" w:rsidRPr="006E21C7" w:rsidRDefault="00356F64" w:rsidP="00A256A2">
      <w:pPr>
        <w:jc w:val="both"/>
        <w:rPr>
          <w:sz w:val="22"/>
          <w:szCs w:val="22"/>
        </w:rPr>
      </w:pPr>
      <w:r w:rsidRPr="006E21C7">
        <w:rPr>
          <w:sz w:val="22"/>
          <w:szCs w:val="22"/>
        </w:rPr>
        <w:t>-</w:t>
      </w:r>
      <w:r w:rsidR="00B23AA7" w:rsidRPr="006E21C7">
        <w:rPr>
          <w:sz w:val="22"/>
          <w:szCs w:val="22"/>
        </w:rPr>
        <w:t xml:space="preserve"> </w:t>
      </w:r>
      <w:r w:rsidRPr="006E21C7">
        <w:rPr>
          <w:sz w:val="22"/>
          <w:szCs w:val="22"/>
        </w:rPr>
        <w:t>posturalna hipotenzija je prijavljena kod 2.1% pacijenata koji su primali nebivolol</w:t>
      </w:r>
      <w:r w:rsidR="00514703" w:rsidRPr="006E21C7">
        <w:rPr>
          <w:sz w:val="22"/>
          <w:szCs w:val="22"/>
        </w:rPr>
        <w:t>,</w:t>
      </w:r>
      <w:r w:rsidRPr="006E21C7">
        <w:rPr>
          <w:sz w:val="22"/>
          <w:szCs w:val="22"/>
        </w:rPr>
        <w:t xml:space="preserve"> u poređenju sa 1.0% kod pacijenta koji su primali placebo</w:t>
      </w:r>
      <w:r w:rsidR="00514703" w:rsidRPr="006E21C7">
        <w:rPr>
          <w:sz w:val="22"/>
          <w:szCs w:val="22"/>
        </w:rPr>
        <w:t>;</w:t>
      </w:r>
    </w:p>
    <w:p w:rsidR="00356F64" w:rsidRPr="006E21C7" w:rsidRDefault="00356F64" w:rsidP="00A256A2">
      <w:pPr>
        <w:jc w:val="both"/>
        <w:rPr>
          <w:sz w:val="22"/>
          <w:szCs w:val="22"/>
        </w:rPr>
      </w:pPr>
      <w:r w:rsidRPr="006E21C7">
        <w:rPr>
          <w:sz w:val="22"/>
          <w:szCs w:val="22"/>
        </w:rPr>
        <w:t>-</w:t>
      </w:r>
      <w:r w:rsidR="00B23AA7" w:rsidRPr="006E21C7">
        <w:rPr>
          <w:sz w:val="22"/>
          <w:szCs w:val="22"/>
        </w:rPr>
        <w:t xml:space="preserve"> </w:t>
      </w:r>
      <w:r w:rsidRPr="006E21C7">
        <w:rPr>
          <w:sz w:val="22"/>
          <w:szCs w:val="22"/>
        </w:rPr>
        <w:t>netolerancija na lijek se pojavila kod 1.6% pacijenata koji su primali nebivolol</w:t>
      </w:r>
      <w:r w:rsidR="00514703" w:rsidRPr="006E21C7">
        <w:rPr>
          <w:sz w:val="22"/>
          <w:szCs w:val="22"/>
        </w:rPr>
        <w:t>,</w:t>
      </w:r>
      <w:r w:rsidRPr="006E21C7">
        <w:rPr>
          <w:sz w:val="22"/>
          <w:szCs w:val="22"/>
        </w:rPr>
        <w:t xml:space="preserve"> u poređenju sa 0.8% kod pacijenta koji su primali placebo</w:t>
      </w:r>
      <w:r w:rsidR="00514703" w:rsidRPr="006E21C7">
        <w:rPr>
          <w:sz w:val="22"/>
          <w:szCs w:val="22"/>
        </w:rPr>
        <w:t>;</w:t>
      </w:r>
    </w:p>
    <w:p w:rsidR="00356F64" w:rsidRPr="006E21C7" w:rsidRDefault="00356F64" w:rsidP="00A256A2">
      <w:pPr>
        <w:jc w:val="both"/>
        <w:rPr>
          <w:sz w:val="22"/>
          <w:szCs w:val="22"/>
        </w:rPr>
      </w:pPr>
      <w:r w:rsidRPr="006E21C7">
        <w:rPr>
          <w:sz w:val="22"/>
          <w:szCs w:val="22"/>
        </w:rPr>
        <w:lastRenderedPageBreak/>
        <w:t>-</w:t>
      </w:r>
      <w:r w:rsidR="00B23AA7" w:rsidRPr="006E21C7">
        <w:rPr>
          <w:sz w:val="22"/>
          <w:szCs w:val="22"/>
        </w:rPr>
        <w:t xml:space="preserve"> </w:t>
      </w:r>
      <w:r w:rsidRPr="006E21C7">
        <w:rPr>
          <w:sz w:val="22"/>
          <w:szCs w:val="22"/>
        </w:rPr>
        <w:t>atrioventrikularni blok prvog stepena se pojavio kod 1.4% pacijenata koji su primali nebivolol</w:t>
      </w:r>
      <w:r w:rsidR="00514703" w:rsidRPr="006E21C7">
        <w:rPr>
          <w:sz w:val="22"/>
          <w:szCs w:val="22"/>
        </w:rPr>
        <w:t>,</w:t>
      </w:r>
      <w:r w:rsidRPr="006E21C7">
        <w:rPr>
          <w:sz w:val="22"/>
          <w:szCs w:val="22"/>
        </w:rPr>
        <w:t xml:space="preserve"> u poređenju sa 0.9% kod pacijenta koji su primali placebo</w:t>
      </w:r>
      <w:r w:rsidR="00514703" w:rsidRPr="006E21C7">
        <w:rPr>
          <w:sz w:val="22"/>
          <w:szCs w:val="22"/>
        </w:rPr>
        <w:t>;</w:t>
      </w:r>
    </w:p>
    <w:p w:rsidR="00356F64" w:rsidRPr="006E21C7" w:rsidRDefault="00356F64" w:rsidP="00A256A2">
      <w:pPr>
        <w:jc w:val="both"/>
        <w:rPr>
          <w:sz w:val="22"/>
          <w:szCs w:val="22"/>
        </w:rPr>
      </w:pPr>
      <w:r w:rsidRPr="006E21C7">
        <w:rPr>
          <w:sz w:val="22"/>
          <w:szCs w:val="22"/>
        </w:rPr>
        <w:t>- edem u donjim ekstremitetima je prijavljen kod 1.0% pacijenata koji su primali nebivolol</w:t>
      </w:r>
      <w:r w:rsidR="005E4CC8" w:rsidRPr="006E21C7">
        <w:rPr>
          <w:sz w:val="22"/>
          <w:szCs w:val="22"/>
        </w:rPr>
        <w:t>,</w:t>
      </w:r>
      <w:r w:rsidRPr="006E21C7">
        <w:rPr>
          <w:sz w:val="22"/>
          <w:szCs w:val="22"/>
        </w:rPr>
        <w:t xml:space="preserve"> u poređenju sa 0.2% kod pacijenta koji su primali placebo.</w:t>
      </w:r>
    </w:p>
    <w:p w:rsidR="001F2142" w:rsidRPr="006E21C7" w:rsidRDefault="001F2142" w:rsidP="00A256A2">
      <w:pPr>
        <w:tabs>
          <w:tab w:val="left" w:pos="540"/>
          <w:tab w:val="left" w:pos="569"/>
        </w:tabs>
        <w:jc w:val="both"/>
        <w:rPr>
          <w:b/>
          <w:bCs/>
          <w:sz w:val="22"/>
          <w:szCs w:val="22"/>
        </w:rPr>
      </w:pPr>
    </w:p>
    <w:p w:rsidR="00B23AA7" w:rsidRPr="006E21C7" w:rsidRDefault="00B23AA7" w:rsidP="00B23AA7">
      <w:pPr>
        <w:spacing w:after="200" w:line="276" w:lineRule="auto"/>
        <w:rPr>
          <w:rFonts w:eastAsia="Calibri"/>
          <w:sz w:val="22"/>
          <w:szCs w:val="22"/>
          <w:u w:val="single"/>
        </w:rPr>
      </w:pPr>
      <w:r w:rsidRPr="006E21C7">
        <w:rPr>
          <w:rFonts w:eastAsia="Calibri"/>
          <w:sz w:val="22"/>
          <w:szCs w:val="22"/>
          <w:u w:val="single"/>
        </w:rPr>
        <w:t>Prijavljivanje sumnji na neželjena dejstva</w:t>
      </w:r>
    </w:p>
    <w:p w:rsidR="00B23AA7" w:rsidRPr="006E21C7" w:rsidRDefault="00B23AA7" w:rsidP="00B23AA7">
      <w:pPr>
        <w:spacing w:after="200"/>
        <w:jc w:val="both"/>
        <w:rPr>
          <w:rFonts w:eastAsia="Calibri"/>
          <w:sz w:val="22"/>
          <w:szCs w:val="22"/>
        </w:rPr>
      </w:pPr>
      <w:r w:rsidRPr="006E21C7">
        <w:rPr>
          <w:rFonts w:eastAsia="Calibri"/>
          <w:sz w:val="22"/>
          <w:szCs w:val="22"/>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B23AA7" w:rsidRPr="006E21C7" w:rsidRDefault="00B23AA7" w:rsidP="00B23AA7">
      <w:pPr>
        <w:pStyle w:val="NoSpacing"/>
        <w:jc w:val="both"/>
        <w:rPr>
          <w:rFonts w:eastAsia="Calibri"/>
          <w:sz w:val="22"/>
          <w:szCs w:val="22"/>
          <w:lang w:val="sr-Latn-ME"/>
        </w:rPr>
      </w:pPr>
      <w:r w:rsidRPr="006E21C7">
        <w:rPr>
          <w:rFonts w:eastAsia="Calibri"/>
          <w:sz w:val="22"/>
          <w:szCs w:val="22"/>
          <w:lang w:val="sr-Latn-ME"/>
        </w:rPr>
        <w:t xml:space="preserve">Institut za ljekove i medicinska sredstva </w:t>
      </w:r>
    </w:p>
    <w:p w:rsidR="00B23AA7" w:rsidRPr="006E21C7" w:rsidRDefault="00B23AA7" w:rsidP="00B23AA7">
      <w:pPr>
        <w:pStyle w:val="NoSpacing"/>
        <w:jc w:val="both"/>
        <w:rPr>
          <w:rFonts w:eastAsia="Calibri"/>
          <w:sz w:val="22"/>
          <w:szCs w:val="22"/>
          <w:lang w:val="sr-Latn-ME"/>
        </w:rPr>
      </w:pPr>
      <w:r w:rsidRPr="006E21C7">
        <w:rPr>
          <w:rFonts w:eastAsia="Calibri"/>
          <w:sz w:val="22"/>
          <w:szCs w:val="22"/>
          <w:lang w:val="sr-Latn-ME"/>
        </w:rPr>
        <w:t>Odjeljenje za farmakovigilancu</w:t>
      </w:r>
    </w:p>
    <w:p w:rsidR="00B23AA7" w:rsidRPr="006E21C7" w:rsidRDefault="00B23AA7" w:rsidP="00B23AA7">
      <w:pPr>
        <w:pStyle w:val="NoSpacing"/>
        <w:jc w:val="both"/>
        <w:rPr>
          <w:rFonts w:eastAsia="Calibri"/>
          <w:sz w:val="22"/>
          <w:szCs w:val="22"/>
          <w:lang w:val="sr-Latn-ME"/>
        </w:rPr>
      </w:pPr>
      <w:r w:rsidRPr="006E21C7">
        <w:rPr>
          <w:rFonts w:eastAsia="Calibri"/>
          <w:sz w:val="22"/>
          <w:szCs w:val="22"/>
          <w:lang w:val="sr-Latn-ME"/>
        </w:rPr>
        <w:t>Bulevar Ivana Crnojevića 64a, 81000 Podgorica</w:t>
      </w:r>
    </w:p>
    <w:p w:rsidR="00B23AA7" w:rsidRPr="006E21C7" w:rsidRDefault="00B23AA7" w:rsidP="00B23AA7">
      <w:pPr>
        <w:pStyle w:val="NoSpacing"/>
        <w:rPr>
          <w:rFonts w:eastAsia="Calibri"/>
          <w:sz w:val="22"/>
          <w:szCs w:val="22"/>
          <w:lang w:val="sr-Latn-ME"/>
        </w:rPr>
      </w:pPr>
    </w:p>
    <w:p w:rsidR="00B23AA7" w:rsidRPr="006E21C7" w:rsidRDefault="00B23AA7" w:rsidP="00B23AA7">
      <w:pPr>
        <w:pStyle w:val="NoSpacing"/>
        <w:jc w:val="both"/>
        <w:rPr>
          <w:rFonts w:eastAsia="Calibri"/>
          <w:sz w:val="22"/>
          <w:szCs w:val="22"/>
          <w:lang w:val="sr-Latn-ME"/>
        </w:rPr>
      </w:pPr>
      <w:r w:rsidRPr="006E21C7">
        <w:rPr>
          <w:rFonts w:eastAsia="Calibri"/>
          <w:sz w:val="22"/>
          <w:szCs w:val="22"/>
          <w:lang w:val="sr-Latn-ME"/>
        </w:rPr>
        <w:t>tel: +382 (0) 20 310 280</w:t>
      </w:r>
    </w:p>
    <w:p w:rsidR="00B23AA7" w:rsidRPr="006E21C7" w:rsidRDefault="00B23AA7" w:rsidP="00B23AA7">
      <w:pPr>
        <w:pStyle w:val="NoSpacing"/>
        <w:tabs>
          <w:tab w:val="left" w:pos="6720"/>
        </w:tabs>
        <w:jc w:val="both"/>
        <w:rPr>
          <w:rFonts w:eastAsia="Calibri"/>
          <w:sz w:val="22"/>
          <w:szCs w:val="22"/>
          <w:lang w:val="sr-Latn-ME"/>
        </w:rPr>
      </w:pPr>
      <w:r w:rsidRPr="006E21C7">
        <w:rPr>
          <w:rFonts w:eastAsia="Calibri"/>
          <w:sz w:val="22"/>
          <w:szCs w:val="22"/>
          <w:lang w:val="sr-Latn-ME"/>
        </w:rPr>
        <w:t>fax: +382 (0) 20 310 581</w:t>
      </w:r>
      <w:r w:rsidRPr="006E21C7">
        <w:rPr>
          <w:rFonts w:eastAsia="Calibri"/>
          <w:sz w:val="22"/>
          <w:szCs w:val="22"/>
          <w:lang w:val="sr-Latn-ME"/>
        </w:rPr>
        <w:tab/>
      </w:r>
    </w:p>
    <w:p w:rsidR="00B23AA7" w:rsidRPr="006E21C7" w:rsidRDefault="00EB511F" w:rsidP="00B23AA7">
      <w:pPr>
        <w:pStyle w:val="NoSpacing"/>
        <w:jc w:val="both"/>
        <w:rPr>
          <w:rFonts w:eastAsia="Calibri"/>
          <w:sz w:val="22"/>
          <w:szCs w:val="22"/>
          <w:lang w:val="sr-Latn-ME"/>
        </w:rPr>
      </w:pPr>
      <w:hyperlink r:id="rId8" w:history="1">
        <w:r w:rsidR="00B23AA7" w:rsidRPr="006E21C7">
          <w:rPr>
            <w:rStyle w:val="Hyperlink"/>
            <w:rFonts w:eastAsia="Calibri"/>
            <w:szCs w:val="22"/>
            <w:lang w:val="sr-Latn-ME"/>
          </w:rPr>
          <w:t>www.cinmed.me</w:t>
        </w:r>
      </w:hyperlink>
    </w:p>
    <w:p w:rsidR="00B23AA7" w:rsidRPr="006E21C7" w:rsidRDefault="00EB511F" w:rsidP="00B23AA7">
      <w:pPr>
        <w:pStyle w:val="NoSpacing"/>
        <w:jc w:val="both"/>
        <w:rPr>
          <w:rFonts w:eastAsia="Calibri"/>
          <w:color w:val="0000FF"/>
          <w:sz w:val="22"/>
          <w:szCs w:val="22"/>
          <w:u w:val="single"/>
          <w:lang w:val="sr-Latn-ME"/>
        </w:rPr>
      </w:pPr>
      <w:hyperlink r:id="rId9" w:history="1">
        <w:r w:rsidR="00B23AA7" w:rsidRPr="006E21C7">
          <w:rPr>
            <w:rStyle w:val="Hyperlink"/>
            <w:rFonts w:eastAsia="Calibri"/>
            <w:szCs w:val="22"/>
            <w:lang w:val="sr-Latn-ME"/>
          </w:rPr>
          <w:t>nezeljenadejstva@cinmed.me</w:t>
        </w:r>
      </w:hyperlink>
    </w:p>
    <w:p w:rsidR="00B23AA7" w:rsidRPr="006E21C7" w:rsidRDefault="00B23AA7" w:rsidP="00B23AA7">
      <w:pPr>
        <w:pStyle w:val="NoSpacing"/>
        <w:jc w:val="both"/>
        <w:rPr>
          <w:rFonts w:eastAsia="Calibri"/>
          <w:sz w:val="22"/>
          <w:szCs w:val="22"/>
          <w:lang w:val="sr-Latn-ME"/>
        </w:rPr>
      </w:pPr>
      <w:r w:rsidRPr="006E21C7">
        <w:rPr>
          <w:rFonts w:eastAsia="Calibri"/>
          <w:sz w:val="22"/>
          <w:szCs w:val="22"/>
          <w:lang w:val="sr-Latn-ME"/>
        </w:rPr>
        <w:t>putem IS zdravstvene zaštite</w:t>
      </w:r>
    </w:p>
    <w:p w:rsidR="00B23AA7" w:rsidRPr="006E21C7" w:rsidRDefault="00B23AA7" w:rsidP="00B23AA7">
      <w:pPr>
        <w:pStyle w:val="NoSpacing"/>
        <w:jc w:val="both"/>
        <w:rPr>
          <w:rFonts w:eastAsia="Calibri"/>
          <w:sz w:val="22"/>
          <w:szCs w:val="22"/>
          <w:lang w:val="sr-Latn-ME"/>
        </w:rPr>
      </w:pPr>
      <w:r w:rsidRPr="006E21C7">
        <w:rPr>
          <w:rFonts w:eastAsia="Calibri"/>
          <w:sz w:val="22"/>
          <w:szCs w:val="22"/>
          <w:lang w:val="sr-Latn-ME"/>
        </w:rPr>
        <w:t>QR kod za online prijavu sumnje na neželjeno dejstvo lijeka:</w:t>
      </w:r>
    </w:p>
    <w:p w:rsidR="00B23AA7" w:rsidRPr="006E21C7" w:rsidRDefault="00B23AA7" w:rsidP="00B23AA7">
      <w:pPr>
        <w:pStyle w:val="NoSpacing"/>
        <w:jc w:val="both"/>
        <w:rPr>
          <w:rFonts w:eastAsia="Calibri"/>
          <w:sz w:val="22"/>
          <w:szCs w:val="22"/>
          <w:lang w:val="sr-Latn-ME"/>
        </w:rPr>
      </w:pPr>
    </w:p>
    <w:p w:rsidR="00B23AA7" w:rsidRPr="006E21C7" w:rsidRDefault="00D16D68" w:rsidP="00B23AA7">
      <w:pPr>
        <w:pStyle w:val="NoSpacing"/>
        <w:rPr>
          <w:rFonts w:eastAsia="Calibri"/>
          <w:sz w:val="22"/>
          <w:szCs w:val="22"/>
          <w:lang w:val="sr-Latn-ME"/>
        </w:rPr>
      </w:pPr>
      <w:r w:rsidRPr="006E21C7">
        <w:rPr>
          <w:noProof/>
        </w:rPr>
        <w:drawing>
          <wp:inline distT="0" distB="0" distL="0" distR="0">
            <wp:extent cx="971550" cy="971550"/>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356F64" w:rsidRPr="006E21C7" w:rsidRDefault="00356F64" w:rsidP="00A256A2">
      <w:pPr>
        <w:tabs>
          <w:tab w:val="left" w:pos="540"/>
          <w:tab w:val="left" w:pos="569"/>
        </w:tabs>
        <w:jc w:val="both"/>
        <w:rPr>
          <w:b/>
          <w:bCs/>
          <w:sz w:val="22"/>
          <w:szCs w:val="22"/>
        </w:rPr>
      </w:pPr>
    </w:p>
    <w:p w:rsidR="00356F64" w:rsidRPr="006E21C7" w:rsidRDefault="008C7B1F" w:rsidP="00DA59DD">
      <w:pPr>
        <w:tabs>
          <w:tab w:val="left" w:pos="540"/>
          <w:tab w:val="left" w:pos="569"/>
        </w:tabs>
        <w:jc w:val="both"/>
        <w:rPr>
          <w:b/>
          <w:bCs/>
          <w:sz w:val="22"/>
          <w:szCs w:val="22"/>
        </w:rPr>
      </w:pPr>
      <w:r w:rsidRPr="006E21C7">
        <w:rPr>
          <w:b/>
          <w:bCs/>
          <w:sz w:val="22"/>
          <w:szCs w:val="22"/>
        </w:rPr>
        <w:t xml:space="preserve">4.9. </w:t>
      </w:r>
      <w:r w:rsidR="00356F64" w:rsidRPr="006E21C7">
        <w:rPr>
          <w:b/>
          <w:bCs/>
          <w:sz w:val="22"/>
          <w:szCs w:val="22"/>
        </w:rPr>
        <w:t>Predoziranje</w:t>
      </w:r>
    </w:p>
    <w:p w:rsidR="00356F64" w:rsidRPr="006E21C7" w:rsidRDefault="00356F64" w:rsidP="00A256A2">
      <w:pPr>
        <w:tabs>
          <w:tab w:val="left" w:pos="540"/>
          <w:tab w:val="left" w:pos="569"/>
        </w:tabs>
        <w:jc w:val="both"/>
        <w:rPr>
          <w:b/>
          <w:bCs/>
          <w:sz w:val="22"/>
          <w:szCs w:val="22"/>
        </w:rPr>
      </w:pPr>
    </w:p>
    <w:p w:rsidR="00356F64" w:rsidRPr="006E21C7" w:rsidRDefault="00356F64" w:rsidP="00A256A2">
      <w:pPr>
        <w:jc w:val="both"/>
        <w:rPr>
          <w:sz w:val="22"/>
          <w:szCs w:val="22"/>
          <w:vertAlign w:val="superscript"/>
        </w:rPr>
      </w:pPr>
      <w:r w:rsidRPr="006E21C7">
        <w:rPr>
          <w:sz w:val="22"/>
          <w:szCs w:val="22"/>
        </w:rPr>
        <w:t xml:space="preserve">Nema raspoloživih podataka o predoziranju lijekom </w:t>
      </w:r>
      <w:r w:rsidR="00CC32B4" w:rsidRPr="006E21C7">
        <w:rPr>
          <w:sz w:val="22"/>
          <w:szCs w:val="22"/>
        </w:rPr>
        <w:t>Nibel.</w:t>
      </w:r>
    </w:p>
    <w:p w:rsidR="00356F64" w:rsidRPr="006E21C7" w:rsidRDefault="00356F64" w:rsidP="00A256A2">
      <w:pPr>
        <w:jc w:val="both"/>
        <w:rPr>
          <w:sz w:val="22"/>
          <w:szCs w:val="22"/>
        </w:rPr>
      </w:pPr>
    </w:p>
    <w:p w:rsidR="00356F64" w:rsidRPr="006E21C7" w:rsidRDefault="00356F64" w:rsidP="00A256A2">
      <w:pPr>
        <w:jc w:val="both"/>
        <w:rPr>
          <w:i/>
          <w:sz w:val="22"/>
          <w:szCs w:val="22"/>
        </w:rPr>
      </w:pPr>
      <w:r w:rsidRPr="006E21C7">
        <w:rPr>
          <w:i/>
          <w:sz w:val="22"/>
          <w:szCs w:val="22"/>
        </w:rPr>
        <w:t>Simptomi</w:t>
      </w:r>
    </w:p>
    <w:p w:rsidR="00356F64" w:rsidRPr="006E21C7" w:rsidRDefault="00356F64" w:rsidP="00A256A2">
      <w:pPr>
        <w:jc w:val="both"/>
        <w:rPr>
          <w:i/>
          <w:sz w:val="22"/>
          <w:szCs w:val="22"/>
        </w:rPr>
      </w:pPr>
    </w:p>
    <w:p w:rsidR="00356F64" w:rsidRPr="006E21C7" w:rsidRDefault="00356F64" w:rsidP="00A256A2">
      <w:pPr>
        <w:tabs>
          <w:tab w:val="left" w:pos="540"/>
          <w:tab w:val="left" w:pos="569"/>
        </w:tabs>
        <w:jc w:val="both"/>
        <w:rPr>
          <w:sz w:val="22"/>
          <w:szCs w:val="22"/>
        </w:rPr>
      </w:pPr>
      <w:r w:rsidRPr="006E21C7">
        <w:rPr>
          <w:sz w:val="22"/>
          <w:szCs w:val="22"/>
        </w:rPr>
        <w:t>Simptomi predoziranja beta</w:t>
      </w:r>
      <w:r w:rsidR="005E4CC8" w:rsidRPr="006E21C7">
        <w:rPr>
          <w:sz w:val="22"/>
          <w:szCs w:val="22"/>
        </w:rPr>
        <w:t>-</w:t>
      </w:r>
      <w:r w:rsidRPr="006E21C7">
        <w:rPr>
          <w:sz w:val="22"/>
          <w:szCs w:val="22"/>
        </w:rPr>
        <w:t>blokatorima su: bradikardija, hipotenzija, bronhospazam i akutna insuficijencija srca.</w:t>
      </w:r>
    </w:p>
    <w:p w:rsidR="00356F64" w:rsidRPr="006E21C7" w:rsidRDefault="00356F64" w:rsidP="00A256A2">
      <w:pPr>
        <w:tabs>
          <w:tab w:val="left" w:pos="540"/>
          <w:tab w:val="left" w:pos="569"/>
        </w:tabs>
        <w:jc w:val="both"/>
        <w:rPr>
          <w:sz w:val="22"/>
          <w:szCs w:val="22"/>
        </w:rPr>
      </w:pPr>
    </w:p>
    <w:p w:rsidR="00356F64" w:rsidRPr="006E21C7" w:rsidRDefault="00356F64" w:rsidP="00A256A2">
      <w:pPr>
        <w:jc w:val="both"/>
        <w:rPr>
          <w:i/>
          <w:sz w:val="22"/>
          <w:szCs w:val="22"/>
        </w:rPr>
      </w:pPr>
      <w:r w:rsidRPr="006E21C7">
        <w:rPr>
          <w:i/>
          <w:sz w:val="22"/>
          <w:szCs w:val="22"/>
        </w:rPr>
        <w:t>Liječenje</w:t>
      </w:r>
    </w:p>
    <w:p w:rsidR="00356F64" w:rsidRPr="006E21C7" w:rsidRDefault="00356F64" w:rsidP="00A256A2">
      <w:pPr>
        <w:jc w:val="both"/>
        <w:rPr>
          <w:i/>
          <w:sz w:val="22"/>
          <w:szCs w:val="22"/>
        </w:rPr>
      </w:pPr>
    </w:p>
    <w:p w:rsidR="00356F64" w:rsidRPr="006E21C7" w:rsidRDefault="00356F64" w:rsidP="00A256A2">
      <w:pPr>
        <w:jc w:val="both"/>
        <w:rPr>
          <w:sz w:val="22"/>
          <w:szCs w:val="22"/>
        </w:rPr>
      </w:pPr>
      <w:r w:rsidRPr="006E21C7">
        <w:rPr>
          <w:sz w:val="22"/>
          <w:szCs w:val="22"/>
        </w:rPr>
        <w:t xml:space="preserve">U slučaju predoziranja ili preosjetljivosti, </w:t>
      </w:r>
      <w:r w:rsidR="00DD1BB0" w:rsidRPr="006E21C7">
        <w:rPr>
          <w:sz w:val="22"/>
          <w:szCs w:val="22"/>
        </w:rPr>
        <w:t xml:space="preserve">pacijenta </w:t>
      </w:r>
      <w:r w:rsidRPr="006E21C7">
        <w:rPr>
          <w:sz w:val="22"/>
          <w:szCs w:val="22"/>
        </w:rPr>
        <w:t>treba držati pod strogim nadzorom i smjestiti ga na odjeljen</w:t>
      </w:r>
      <w:r w:rsidR="00DD1BB0" w:rsidRPr="006E21C7">
        <w:rPr>
          <w:sz w:val="22"/>
          <w:szCs w:val="22"/>
        </w:rPr>
        <w:t>je</w:t>
      </w:r>
      <w:r w:rsidRPr="006E21C7">
        <w:rPr>
          <w:sz w:val="22"/>
          <w:szCs w:val="22"/>
        </w:rPr>
        <w:t xml:space="preserve"> za intenzivnu njegu. Potrebno je provjeravati nivo glukoze u krvi. Resorpcija ostataka lijeka, kojeg još ima u gastrointestinalnom traktu, može se spriječiti gastričnom lavažom i administracijom aktivnog uglja i laksativa. Moguća je primjena vještačkog disanja. Bradikardiju i</w:t>
      </w:r>
      <w:r w:rsidR="004774A8" w:rsidRPr="006E21C7">
        <w:rPr>
          <w:sz w:val="22"/>
          <w:szCs w:val="22"/>
        </w:rPr>
        <w:t xml:space="preserve"> </w:t>
      </w:r>
      <w:r w:rsidR="00DD1BB0" w:rsidRPr="006E21C7">
        <w:rPr>
          <w:sz w:val="22"/>
          <w:szCs w:val="22"/>
        </w:rPr>
        <w:t xml:space="preserve">ekstenzivne </w:t>
      </w:r>
      <w:r w:rsidRPr="006E21C7">
        <w:rPr>
          <w:sz w:val="22"/>
          <w:szCs w:val="22"/>
        </w:rPr>
        <w:t>vagusn</w:t>
      </w:r>
      <w:r w:rsidR="00DD1BB0" w:rsidRPr="006E21C7">
        <w:rPr>
          <w:sz w:val="22"/>
          <w:szCs w:val="22"/>
        </w:rPr>
        <w:t>e</w:t>
      </w:r>
      <w:r w:rsidRPr="006E21C7">
        <w:rPr>
          <w:sz w:val="22"/>
          <w:szCs w:val="22"/>
        </w:rPr>
        <w:t xml:space="preserve"> reakcij</w:t>
      </w:r>
      <w:r w:rsidR="00DD1BB0" w:rsidRPr="006E21C7">
        <w:rPr>
          <w:sz w:val="22"/>
          <w:szCs w:val="22"/>
        </w:rPr>
        <w:t>e</w:t>
      </w:r>
      <w:r w:rsidRPr="006E21C7">
        <w:rPr>
          <w:sz w:val="22"/>
          <w:szCs w:val="22"/>
        </w:rPr>
        <w:t xml:space="preserve"> treba </w:t>
      </w:r>
      <w:r w:rsidR="00DD1BB0" w:rsidRPr="006E21C7">
        <w:rPr>
          <w:sz w:val="22"/>
          <w:szCs w:val="22"/>
        </w:rPr>
        <w:t>liječiti</w:t>
      </w:r>
      <w:r w:rsidRPr="006E21C7">
        <w:rPr>
          <w:sz w:val="22"/>
          <w:szCs w:val="22"/>
        </w:rPr>
        <w:t xml:space="preserve"> davanjem atropina ili metilatropina. Hipotenziju i šok treba </w:t>
      </w:r>
      <w:r w:rsidR="00DD1BB0" w:rsidRPr="006E21C7">
        <w:rPr>
          <w:sz w:val="22"/>
          <w:szCs w:val="22"/>
        </w:rPr>
        <w:t xml:space="preserve">liječiti primjenom </w:t>
      </w:r>
      <w:r w:rsidRPr="006E21C7">
        <w:rPr>
          <w:sz w:val="22"/>
          <w:szCs w:val="22"/>
        </w:rPr>
        <w:t>plazm</w:t>
      </w:r>
      <w:r w:rsidR="00DD1BB0" w:rsidRPr="006E21C7">
        <w:rPr>
          <w:sz w:val="22"/>
          <w:szCs w:val="22"/>
        </w:rPr>
        <w:t>e</w:t>
      </w:r>
      <w:r w:rsidRPr="006E21C7">
        <w:rPr>
          <w:sz w:val="22"/>
          <w:szCs w:val="22"/>
        </w:rPr>
        <w:t xml:space="preserve"> ili derivatima plazme i, ukoliko je neophodno, kateholaminima. Beta</w:t>
      </w:r>
      <w:r w:rsidR="005E4CC8" w:rsidRPr="006E21C7">
        <w:rPr>
          <w:sz w:val="22"/>
          <w:szCs w:val="22"/>
        </w:rPr>
        <w:t>-</w:t>
      </w:r>
      <w:r w:rsidRPr="006E21C7">
        <w:rPr>
          <w:sz w:val="22"/>
          <w:szCs w:val="22"/>
        </w:rPr>
        <w:t>blokirajući efekat se može neutralisati sporom i.v. primjenom izoprenalin</w:t>
      </w:r>
      <w:r w:rsidR="005E4CC8" w:rsidRPr="006E21C7">
        <w:rPr>
          <w:sz w:val="22"/>
          <w:szCs w:val="22"/>
        </w:rPr>
        <w:t>-</w:t>
      </w:r>
      <w:r w:rsidRPr="006E21C7">
        <w:rPr>
          <w:sz w:val="22"/>
          <w:szCs w:val="22"/>
        </w:rPr>
        <w:t>hidrohlorida, početne doze od oko 5 mikrograma/min ili dobutaminom, početne doze od 2,5 mikrograma /min, sve dok se ne postign</w:t>
      </w:r>
      <w:r w:rsidR="005E4CC8" w:rsidRPr="006E21C7">
        <w:rPr>
          <w:sz w:val="22"/>
          <w:szCs w:val="22"/>
        </w:rPr>
        <w:t>u</w:t>
      </w:r>
      <w:r w:rsidR="00B23AA7" w:rsidRPr="006E21C7">
        <w:rPr>
          <w:sz w:val="22"/>
          <w:szCs w:val="22"/>
        </w:rPr>
        <w:t xml:space="preserve"> </w:t>
      </w:r>
      <w:r w:rsidRPr="006E21C7">
        <w:rPr>
          <w:sz w:val="22"/>
          <w:szCs w:val="22"/>
        </w:rPr>
        <w:t xml:space="preserve">željeni efekti. </w:t>
      </w:r>
      <w:r w:rsidR="0011056B" w:rsidRPr="006E21C7">
        <w:rPr>
          <w:sz w:val="22"/>
          <w:szCs w:val="22"/>
        </w:rPr>
        <w:t>U refrakt</w:t>
      </w:r>
      <w:r w:rsidR="005E4CC8" w:rsidRPr="006E21C7">
        <w:rPr>
          <w:sz w:val="22"/>
          <w:szCs w:val="22"/>
        </w:rPr>
        <w:t>a</w:t>
      </w:r>
      <w:r w:rsidR="0011056B" w:rsidRPr="006E21C7">
        <w:rPr>
          <w:sz w:val="22"/>
          <w:szCs w:val="22"/>
        </w:rPr>
        <w:t>rnim</w:t>
      </w:r>
      <w:r w:rsidR="00B23AA7" w:rsidRPr="006E21C7">
        <w:rPr>
          <w:sz w:val="22"/>
          <w:szCs w:val="22"/>
        </w:rPr>
        <w:t xml:space="preserve"> </w:t>
      </w:r>
      <w:r w:rsidRPr="006E21C7">
        <w:rPr>
          <w:sz w:val="22"/>
          <w:szCs w:val="22"/>
        </w:rPr>
        <w:t>slučajev</w:t>
      </w:r>
      <w:r w:rsidR="0011056B" w:rsidRPr="006E21C7">
        <w:rPr>
          <w:sz w:val="22"/>
          <w:szCs w:val="22"/>
        </w:rPr>
        <w:t>im</w:t>
      </w:r>
      <w:r w:rsidRPr="006E21C7">
        <w:rPr>
          <w:sz w:val="22"/>
          <w:szCs w:val="22"/>
        </w:rPr>
        <w:t>a izoprenalin se može kombinovati sa dopaminom. Ukoliko ni to ne postigne željeni efekat, može se razmotriti i i.v. primjena 50</w:t>
      </w:r>
      <w:r w:rsidRPr="006E21C7">
        <w:rPr>
          <w:sz w:val="22"/>
          <w:szCs w:val="22"/>
        </w:rPr>
        <w:noBreakHyphen/>
        <w:t>100 mikrograma/kg glukagona. U slučaju potrebe, i.v. injekcija glukagona se može ponoviti u roku od 1 sata</w:t>
      </w:r>
      <w:r w:rsidR="0011056B" w:rsidRPr="006E21C7">
        <w:rPr>
          <w:sz w:val="22"/>
          <w:szCs w:val="22"/>
        </w:rPr>
        <w:t xml:space="preserve"> i nastaviti</w:t>
      </w:r>
      <w:r w:rsidRPr="006E21C7">
        <w:rPr>
          <w:sz w:val="22"/>
          <w:szCs w:val="22"/>
        </w:rPr>
        <w:t>, ukoliko je neophodno,</w:t>
      </w:r>
      <w:r w:rsidR="00866120" w:rsidRPr="006E21C7">
        <w:rPr>
          <w:sz w:val="22"/>
          <w:szCs w:val="22"/>
        </w:rPr>
        <w:t xml:space="preserve"> </w:t>
      </w:r>
      <w:r w:rsidRPr="006E21C7">
        <w:rPr>
          <w:sz w:val="22"/>
          <w:szCs w:val="22"/>
        </w:rPr>
        <w:t>i.v. infuzij</w:t>
      </w:r>
      <w:r w:rsidR="0011056B" w:rsidRPr="006E21C7">
        <w:rPr>
          <w:sz w:val="22"/>
          <w:szCs w:val="22"/>
        </w:rPr>
        <w:t>om</w:t>
      </w:r>
      <w:r w:rsidRPr="006E21C7">
        <w:rPr>
          <w:sz w:val="22"/>
          <w:szCs w:val="22"/>
        </w:rPr>
        <w:t xml:space="preserve"> glukagona od 70 mikrograma/kg/h.</w:t>
      </w:r>
      <w:r w:rsidR="00866120" w:rsidRPr="006E21C7">
        <w:rPr>
          <w:sz w:val="22"/>
          <w:szCs w:val="22"/>
        </w:rPr>
        <w:t xml:space="preserve"> </w:t>
      </w:r>
      <w:r w:rsidRPr="006E21C7">
        <w:rPr>
          <w:sz w:val="22"/>
          <w:szCs w:val="22"/>
        </w:rPr>
        <w:t xml:space="preserve">U ekstremnim slučajevima </w:t>
      </w:r>
      <w:r w:rsidR="0011056B" w:rsidRPr="006E21C7">
        <w:rPr>
          <w:sz w:val="22"/>
          <w:szCs w:val="22"/>
        </w:rPr>
        <w:t xml:space="preserve">bradikardije </w:t>
      </w:r>
      <w:r w:rsidRPr="006E21C7">
        <w:rPr>
          <w:sz w:val="22"/>
          <w:szCs w:val="22"/>
        </w:rPr>
        <w:t>rezistentne</w:t>
      </w:r>
      <w:r w:rsidR="0011056B" w:rsidRPr="006E21C7">
        <w:rPr>
          <w:sz w:val="22"/>
          <w:szCs w:val="22"/>
        </w:rPr>
        <w:t xml:space="preserve"> na liječenje</w:t>
      </w:r>
      <w:r w:rsidRPr="006E21C7">
        <w:rPr>
          <w:sz w:val="22"/>
          <w:szCs w:val="22"/>
        </w:rPr>
        <w:t xml:space="preserve"> može se ugraditi elektrostimulator srca. </w:t>
      </w:r>
    </w:p>
    <w:p w:rsidR="00356F64" w:rsidRPr="006E21C7" w:rsidRDefault="00356F64" w:rsidP="00A256A2">
      <w:pPr>
        <w:tabs>
          <w:tab w:val="left" w:pos="540"/>
          <w:tab w:val="left" w:pos="569"/>
        </w:tabs>
        <w:jc w:val="both"/>
        <w:rPr>
          <w:b/>
          <w:bCs/>
          <w:sz w:val="22"/>
          <w:szCs w:val="22"/>
        </w:rPr>
      </w:pPr>
    </w:p>
    <w:p w:rsidR="0032605C" w:rsidRDefault="0032605C" w:rsidP="00A256A2">
      <w:pPr>
        <w:tabs>
          <w:tab w:val="left" w:pos="540"/>
          <w:tab w:val="left" w:pos="569"/>
        </w:tabs>
        <w:jc w:val="both"/>
        <w:rPr>
          <w:b/>
          <w:bCs/>
          <w:sz w:val="22"/>
          <w:szCs w:val="22"/>
        </w:rPr>
      </w:pPr>
    </w:p>
    <w:p w:rsidR="00356F64" w:rsidRPr="006E21C7" w:rsidRDefault="008C7B1F" w:rsidP="00A256A2">
      <w:pPr>
        <w:tabs>
          <w:tab w:val="left" w:pos="540"/>
          <w:tab w:val="left" w:pos="569"/>
        </w:tabs>
        <w:jc w:val="both"/>
        <w:rPr>
          <w:b/>
          <w:bCs/>
          <w:sz w:val="22"/>
          <w:szCs w:val="22"/>
        </w:rPr>
      </w:pPr>
      <w:r w:rsidRPr="006E21C7">
        <w:rPr>
          <w:b/>
          <w:bCs/>
          <w:sz w:val="22"/>
          <w:szCs w:val="22"/>
        </w:rPr>
        <w:t xml:space="preserve">5. </w:t>
      </w:r>
      <w:r w:rsidR="00356F64" w:rsidRPr="006E21C7">
        <w:rPr>
          <w:b/>
          <w:bCs/>
          <w:sz w:val="22"/>
          <w:szCs w:val="22"/>
        </w:rPr>
        <w:t>FARMAKOLOŠKI PODACI</w:t>
      </w:r>
    </w:p>
    <w:p w:rsidR="00356F64" w:rsidRPr="006E21C7" w:rsidRDefault="00356F64" w:rsidP="00A256A2">
      <w:pPr>
        <w:tabs>
          <w:tab w:val="left" w:pos="540"/>
          <w:tab w:val="left" w:pos="569"/>
        </w:tabs>
        <w:jc w:val="both"/>
        <w:rPr>
          <w:b/>
          <w:bCs/>
          <w:sz w:val="22"/>
          <w:szCs w:val="22"/>
        </w:rPr>
      </w:pPr>
    </w:p>
    <w:p w:rsidR="00356F64" w:rsidRPr="006E21C7" w:rsidRDefault="008C7B1F" w:rsidP="00DA59DD">
      <w:pPr>
        <w:tabs>
          <w:tab w:val="left" w:pos="540"/>
          <w:tab w:val="left" w:pos="569"/>
        </w:tabs>
        <w:jc w:val="both"/>
        <w:rPr>
          <w:b/>
          <w:bCs/>
          <w:sz w:val="22"/>
          <w:szCs w:val="22"/>
        </w:rPr>
      </w:pPr>
      <w:r w:rsidRPr="006E21C7">
        <w:rPr>
          <w:b/>
          <w:bCs/>
          <w:sz w:val="22"/>
          <w:szCs w:val="22"/>
        </w:rPr>
        <w:lastRenderedPageBreak/>
        <w:t xml:space="preserve">5.1. </w:t>
      </w:r>
      <w:r w:rsidR="00356F64" w:rsidRPr="006E21C7">
        <w:rPr>
          <w:b/>
          <w:bCs/>
          <w:sz w:val="22"/>
          <w:szCs w:val="22"/>
        </w:rPr>
        <w:t>Farmakodinamski podaci</w:t>
      </w:r>
    </w:p>
    <w:p w:rsidR="00356F64" w:rsidRPr="006E21C7" w:rsidRDefault="00356F64" w:rsidP="00A256A2">
      <w:pPr>
        <w:tabs>
          <w:tab w:val="left" w:pos="540"/>
          <w:tab w:val="left" w:pos="569"/>
        </w:tabs>
        <w:jc w:val="both"/>
        <w:rPr>
          <w:b/>
          <w:bCs/>
          <w:sz w:val="22"/>
          <w:szCs w:val="22"/>
        </w:rPr>
      </w:pPr>
    </w:p>
    <w:p w:rsidR="00356F64" w:rsidRPr="006E21C7" w:rsidRDefault="00356F64" w:rsidP="00A256A2">
      <w:pPr>
        <w:tabs>
          <w:tab w:val="left" w:pos="540"/>
          <w:tab w:val="left" w:pos="569"/>
        </w:tabs>
        <w:jc w:val="both"/>
        <w:rPr>
          <w:bCs/>
          <w:sz w:val="22"/>
          <w:szCs w:val="22"/>
        </w:rPr>
      </w:pPr>
      <w:r w:rsidRPr="006E21C7">
        <w:rPr>
          <w:bCs/>
          <w:sz w:val="22"/>
          <w:szCs w:val="22"/>
        </w:rPr>
        <w:t>Farmakoterapijska grupa:</w:t>
      </w:r>
      <w:r w:rsidRPr="006E21C7">
        <w:rPr>
          <w:sz w:val="22"/>
          <w:szCs w:val="22"/>
        </w:rPr>
        <w:t xml:space="preserve"> blokatori beta-receptora, selektivni</w:t>
      </w:r>
    </w:p>
    <w:p w:rsidR="00356F64" w:rsidRPr="006E21C7" w:rsidRDefault="00356F64" w:rsidP="00A256A2">
      <w:pPr>
        <w:tabs>
          <w:tab w:val="left" w:pos="540"/>
          <w:tab w:val="left" w:pos="569"/>
        </w:tabs>
        <w:jc w:val="both"/>
        <w:rPr>
          <w:bCs/>
          <w:sz w:val="22"/>
          <w:szCs w:val="22"/>
        </w:rPr>
      </w:pPr>
    </w:p>
    <w:p w:rsidR="00356F64" w:rsidRPr="006E21C7" w:rsidRDefault="00356F64" w:rsidP="00A256A2">
      <w:pPr>
        <w:tabs>
          <w:tab w:val="left" w:pos="540"/>
          <w:tab w:val="left" w:pos="569"/>
        </w:tabs>
        <w:jc w:val="both"/>
        <w:rPr>
          <w:sz w:val="22"/>
          <w:szCs w:val="22"/>
        </w:rPr>
      </w:pPr>
      <w:r w:rsidRPr="006E21C7">
        <w:rPr>
          <w:bCs/>
          <w:sz w:val="22"/>
          <w:szCs w:val="22"/>
        </w:rPr>
        <w:t>ATC kod:</w:t>
      </w:r>
      <w:r w:rsidRPr="006E21C7">
        <w:rPr>
          <w:sz w:val="22"/>
          <w:szCs w:val="22"/>
        </w:rPr>
        <w:t xml:space="preserve"> C07AB12</w:t>
      </w:r>
    </w:p>
    <w:p w:rsidR="00301E7D" w:rsidRPr="006E21C7" w:rsidRDefault="00301E7D" w:rsidP="00A256A2">
      <w:pPr>
        <w:tabs>
          <w:tab w:val="left" w:pos="540"/>
          <w:tab w:val="left" w:pos="569"/>
        </w:tabs>
        <w:jc w:val="both"/>
        <w:rPr>
          <w:sz w:val="22"/>
          <w:szCs w:val="22"/>
        </w:rPr>
      </w:pPr>
    </w:p>
    <w:p w:rsidR="00356F64" w:rsidRPr="006E21C7" w:rsidRDefault="00301E7D" w:rsidP="00A256A2">
      <w:pPr>
        <w:tabs>
          <w:tab w:val="left" w:pos="540"/>
          <w:tab w:val="left" w:pos="569"/>
        </w:tabs>
        <w:jc w:val="both"/>
        <w:rPr>
          <w:bCs/>
          <w:sz w:val="22"/>
          <w:szCs w:val="22"/>
          <w:u w:val="single"/>
        </w:rPr>
      </w:pPr>
      <w:r w:rsidRPr="006E21C7">
        <w:rPr>
          <w:bCs/>
          <w:sz w:val="22"/>
          <w:szCs w:val="22"/>
          <w:u w:val="single"/>
        </w:rPr>
        <w:t>Mehanizam djelovanja</w:t>
      </w:r>
    </w:p>
    <w:p w:rsidR="00356F64" w:rsidRPr="006E21C7" w:rsidRDefault="00356F64" w:rsidP="00A256A2">
      <w:pPr>
        <w:jc w:val="both"/>
        <w:rPr>
          <w:sz w:val="22"/>
          <w:szCs w:val="22"/>
        </w:rPr>
      </w:pPr>
      <w:r w:rsidRPr="006E21C7">
        <w:rPr>
          <w:sz w:val="22"/>
          <w:szCs w:val="22"/>
        </w:rPr>
        <w:t>Nebivolol je racemat dva enantiomera, SRRR</w:t>
      </w:r>
      <w:r w:rsidRPr="006E21C7">
        <w:rPr>
          <w:sz w:val="22"/>
          <w:szCs w:val="22"/>
        </w:rPr>
        <w:noBreakHyphen/>
        <w:t>nebivolola (ili d</w:t>
      </w:r>
      <w:r w:rsidRPr="006E21C7">
        <w:rPr>
          <w:sz w:val="22"/>
          <w:szCs w:val="22"/>
        </w:rPr>
        <w:noBreakHyphen/>
        <w:t>nebivolol) i RSSS</w:t>
      </w:r>
      <w:r w:rsidRPr="006E21C7">
        <w:rPr>
          <w:sz w:val="22"/>
          <w:szCs w:val="22"/>
        </w:rPr>
        <w:noBreakHyphen/>
        <w:t>nebivolola (ili l</w:t>
      </w:r>
      <w:r w:rsidRPr="006E21C7">
        <w:rPr>
          <w:sz w:val="22"/>
          <w:szCs w:val="22"/>
        </w:rPr>
        <w:noBreakHyphen/>
        <w:t xml:space="preserve">nebivolola). On kombinuje dvije farmakološke aktivnosti: </w:t>
      </w:r>
    </w:p>
    <w:p w:rsidR="00356F64" w:rsidRPr="006E21C7" w:rsidRDefault="00356F64" w:rsidP="00A256A2">
      <w:pPr>
        <w:widowControl w:val="0"/>
        <w:numPr>
          <w:ilvl w:val="0"/>
          <w:numId w:val="25"/>
        </w:numPr>
        <w:jc w:val="both"/>
        <w:rPr>
          <w:sz w:val="22"/>
          <w:szCs w:val="22"/>
        </w:rPr>
      </w:pPr>
      <w:r w:rsidRPr="006E21C7">
        <w:rPr>
          <w:sz w:val="22"/>
          <w:szCs w:val="22"/>
        </w:rPr>
        <w:t>kompetitivni i selektivni antagonist beta</w:t>
      </w:r>
      <w:r w:rsidR="005E4CC8" w:rsidRPr="006E21C7">
        <w:rPr>
          <w:sz w:val="22"/>
          <w:szCs w:val="22"/>
        </w:rPr>
        <w:t>-</w:t>
      </w:r>
      <w:r w:rsidRPr="006E21C7">
        <w:rPr>
          <w:sz w:val="22"/>
          <w:szCs w:val="22"/>
        </w:rPr>
        <w:t>receptora, što se pripisuje SRRR</w:t>
      </w:r>
      <w:r w:rsidRPr="006E21C7">
        <w:rPr>
          <w:i/>
          <w:sz w:val="22"/>
          <w:szCs w:val="22"/>
        </w:rPr>
        <w:noBreakHyphen/>
      </w:r>
      <w:r w:rsidRPr="006E21C7">
        <w:rPr>
          <w:sz w:val="22"/>
          <w:szCs w:val="22"/>
        </w:rPr>
        <w:t xml:space="preserve">enantiomeru </w:t>
      </w:r>
    </w:p>
    <w:p w:rsidR="00356F64" w:rsidRPr="006E21C7" w:rsidRDefault="00356F64" w:rsidP="00A256A2">
      <w:pPr>
        <w:widowControl w:val="0"/>
        <w:ind w:left="567"/>
        <w:jc w:val="both"/>
        <w:rPr>
          <w:sz w:val="22"/>
          <w:szCs w:val="22"/>
        </w:rPr>
      </w:pPr>
      <w:r w:rsidRPr="006E21C7">
        <w:rPr>
          <w:sz w:val="22"/>
          <w:szCs w:val="22"/>
        </w:rPr>
        <w:t>(d-enantiomeru</w:t>
      </w:r>
      <w:r w:rsidR="005E4CC8" w:rsidRPr="006E21C7">
        <w:rPr>
          <w:sz w:val="22"/>
          <w:szCs w:val="22"/>
        </w:rPr>
        <w:t xml:space="preserve">); </w:t>
      </w:r>
    </w:p>
    <w:p w:rsidR="00356F64" w:rsidRPr="006E21C7" w:rsidRDefault="00356F64" w:rsidP="00A256A2">
      <w:pPr>
        <w:widowControl w:val="0"/>
        <w:numPr>
          <w:ilvl w:val="0"/>
          <w:numId w:val="25"/>
        </w:numPr>
        <w:jc w:val="both"/>
        <w:rPr>
          <w:sz w:val="22"/>
          <w:szCs w:val="22"/>
        </w:rPr>
      </w:pPr>
      <w:r w:rsidRPr="006E21C7">
        <w:rPr>
          <w:sz w:val="22"/>
          <w:szCs w:val="22"/>
        </w:rPr>
        <w:t>ima blago vazodilatatorno dejstvo zbog interakcije sa metaboličkim putem L</w:t>
      </w:r>
      <w:r w:rsidRPr="006E21C7">
        <w:rPr>
          <w:sz w:val="22"/>
          <w:szCs w:val="22"/>
        </w:rPr>
        <w:noBreakHyphen/>
        <w:t>arginin/azot</w:t>
      </w:r>
      <w:r w:rsidR="005E4CC8" w:rsidRPr="006E21C7">
        <w:rPr>
          <w:sz w:val="22"/>
          <w:szCs w:val="22"/>
        </w:rPr>
        <w:t>-</w:t>
      </w:r>
      <w:r w:rsidRPr="006E21C7">
        <w:rPr>
          <w:sz w:val="22"/>
          <w:szCs w:val="22"/>
        </w:rPr>
        <w:t xml:space="preserve">oksid. </w:t>
      </w:r>
    </w:p>
    <w:p w:rsidR="00A460E9" w:rsidRPr="006E21C7" w:rsidRDefault="00A460E9" w:rsidP="00A256A2">
      <w:pPr>
        <w:jc w:val="both"/>
        <w:rPr>
          <w:sz w:val="22"/>
          <w:szCs w:val="22"/>
        </w:rPr>
      </w:pPr>
    </w:p>
    <w:p w:rsidR="00A460E9" w:rsidRPr="006E21C7" w:rsidRDefault="00A460E9" w:rsidP="00A256A2">
      <w:pPr>
        <w:jc w:val="both"/>
        <w:rPr>
          <w:sz w:val="22"/>
          <w:szCs w:val="22"/>
          <w:u w:val="single"/>
        </w:rPr>
      </w:pPr>
      <w:r w:rsidRPr="006E21C7">
        <w:rPr>
          <w:sz w:val="22"/>
          <w:szCs w:val="22"/>
          <w:u w:val="single"/>
        </w:rPr>
        <w:t>Farmakodinamski efekti</w:t>
      </w:r>
    </w:p>
    <w:p w:rsidR="001428EE" w:rsidRPr="006E21C7" w:rsidRDefault="00356F64" w:rsidP="00A256A2">
      <w:pPr>
        <w:jc w:val="both"/>
        <w:rPr>
          <w:sz w:val="22"/>
          <w:szCs w:val="22"/>
        </w:rPr>
      </w:pPr>
      <w:r w:rsidRPr="006E21C7">
        <w:rPr>
          <w:sz w:val="22"/>
          <w:szCs w:val="22"/>
        </w:rPr>
        <w:t>Pojedinačne i ponovljene doze nebivolola usporavaju srčanu frekvencu, smanjuju krvni pritisak u mirovanju i za vrijeme fizičke aktivnosti kod normotenzivnih osoba i kod hipertoničara. Antihipertenzivni efekat je održan tokom dugotrajnog liječenja. U terapijskim dozama, nebivolol ne ispoljava alfa</w:t>
      </w:r>
      <w:r w:rsidRPr="006E21C7">
        <w:rPr>
          <w:sz w:val="22"/>
          <w:szCs w:val="22"/>
        </w:rPr>
        <w:noBreakHyphen/>
        <w:t xml:space="preserve">adrenergički antagonizam. Tokom akutnog i hroničnog liječenja hipertoničara nebivololom smanjen je sistemski vaskularni otpor. Pored smanjenje srčane frekvence, smanjenje minutnog volumena u miru i </w:t>
      </w:r>
      <w:r w:rsidR="0002331F" w:rsidRPr="006E21C7">
        <w:rPr>
          <w:sz w:val="22"/>
          <w:szCs w:val="22"/>
        </w:rPr>
        <w:t>tokom fizičke aktivnosti</w:t>
      </w:r>
      <w:r w:rsidR="005E4CC8" w:rsidRPr="006E21C7">
        <w:rPr>
          <w:sz w:val="22"/>
          <w:szCs w:val="22"/>
        </w:rPr>
        <w:t>,</w:t>
      </w:r>
      <w:r w:rsidR="00B23AA7" w:rsidRPr="006E21C7">
        <w:rPr>
          <w:sz w:val="22"/>
          <w:szCs w:val="22"/>
        </w:rPr>
        <w:t xml:space="preserve"> </w:t>
      </w:r>
      <w:r w:rsidRPr="006E21C7">
        <w:rPr>
          <w:sz w:val="22"/>
          <w:szCs w:val="22"/>
        </w:rPr>
        <w:t>može biti ograničeno zbog povećanja udarnog volumena. Klinički značaj ovih hemodinamskih razlika u poređenju sa drugim antagonistima beta</w:t>
      </w:r>
      <w:r w:rsidRPr="006E21C7">
        <w:rPr>
          <w:sz w:val="22"/>
          <w:szCs w:val="22"/>
        </w:rPr>
        <w:noBreakHyphen/>
        <w:t xml:space="preserve">1 receptora još nije u potpunosti ustanovljen. </w:t>
      </w:r>
    </w:p>
    <w:p w:rsidR="00356F64" w:rsidRPr="006E21C7" w:rsidRDefault="00356F64" w:rsidP="00A256A2">
      <w:pPr>
        <w:jc w:val="both"/>
        <w:rPr>
          <w:sz w:val="22"/>
          <w:szCs w:val="22"/>
        </w:rPr>
      </w:pPr>
      <w:r w:rsidRPr="006E21C7">
        <w:rPr>
          <w:sz w:val="22"/>
          <w:szCs w:val="22"/>
        </w:rPr>
        <w:t xml:space="preserve">Kod hipertenzivnih pacijenata, nebivolol povećava </w:t>
      </w:r>
      <w:r w:rsidR="001428EE" w:rsidRPr="006E21C7">
        <w:rPr>
          <w:sz w:val="22"/>
          <w:szCs w:val="22"/>
        </w:rPr>
        <w:t>azot</w:t>
      </w:r>
      <w:r w:rsidR="005E4CC8" w:rsidRPr="006E21C7">
        <w:rPr>
          <w:sz w:val="22"/>
          <w:szCs w:val="22"/>
        </w:rPr>
        <w:t>-</w:t>
      </w:r>
      <w:r w:rsidR="001428EE" w:rsidRPr="006E21C7">
        <w:rPr>
          <w:sz w:val="22"/>
          <w:szCs w:val="22"/>
        </w:rPr>
        <w:t>oksidom</w:t>
      </w:r>
      <w:r w:rsidRPr="006E21C7">
        <w:rPr>
          <w:sz w:val="22"/>
          <w:szCs w:val="22"/>
        </w:rPr>
        <w:t xml:space="preserve"> posredovan vaskularni odgovor na dejstvo acetilholina (ACh), koji je smanjen kod pacijenata sa disfunkcijom endotela.</w:t>
      </w:r>
    </w:p>
    <w:p w:rsidR="00356F64" w:rsidRPr="006E21C7" w:rsidRDefault="00356F64" w:rsidP="00A256A2">
      <w:pPr>
        <w:ind w:right="20"/>
        <w:jc w:val="both"/>
        <w:rPr>
          <w:sz w:val="22"/>
          <w:szCs w:val="22"/>
        </w:rPr>
      </w:pPr>
      <w:r w:rsidRPr="006E21C7">
        <w:rPr>
          <w:sz w:val="22"/>
          <w:szCs w:val="22"/>
        </w:rPr>
        <w:t>U placebo</w:t>
      </w:r>
      <w:r w:rsidR="004774A8" w:rsidRPr="006E21C7">
        <w:rPr>
          <w:sz w:val="22"/>
          <w:szCs w:val="22"/>
        </w:rPr>
        <w:t>m</w:t>
      </w:r>
      <w:r w:rsidRPr="006E21C7">
        <w:rPr>
          <w:sz w:val="22"/>
          <w:szCs w:val="22"/>
        </w:rPr>
        <w:t xml:space="preserve"> kontrolisanoj kliničkoj studiji mortaliteta-morbiditeta koja je obuhvatila 2128 pacijenata preko 70 godina starosti (srednja vrijednost godina 75.2 godina) sa stabilnom hroničnom insuficijencijom srca sa ili bez </w:t>
      </w:r>
      <w:r w:rsidR="001428EE" w:rsidRPr="006E21C7">
        <w:rPr>
          <w:sz w:val="22"/>
          <w:szCs w:val="22"/>
        </w:rPr>
        <w:t>oslabljene</w:t>
      </w:r>
      <w:r w:rsidRPr="006E21C7">
        <w:rPr>
          <w:sz w:val="22"/>
          <w:szCs w:val="22"/>
        </w:rPr>
        <w:t xml:space="preserve"> ejekcione frakcije lijeve komore (srednja vrijednost LVEF: 36 ± 12.3%, sa sljedećom distribucijom: LVEF manje od 35% </w:t>
      </w:r>
      <w:r w:rsidR="001428EE" w:rsidRPr="006E21C7">
        <w:rPr>
          <w:sz w:val="22"/>
          <w:szCs w:val="22"/>
        </w:rPr>
        <w:t xml:space="preserve">kod </w:t>
      </w:r>
      <w:r w:rsidRPr="006E21C7">
        <w:rPr>
          <w:sz w:val="22"/>
          <w:szCs w:val="22"/>
        </w:rPr>
        <w:t xml:space="preserve">56% pacijenata, LVEF između 35%-45% </w:t>
      </w:r>
      <w:r w:rsidR="001428EE" w:rsidRPr="006E21C7">
        <w:rPr>
          <w:sz w:val="22"/>
          <w:szCs w:val="22"/>
        </w:rPr>
        <w:t xml:space="preserve">kod </w:t>
      </w:r>
      <w:r w:rsidRPr="006E21C7">
        <w:rPr>
          <w:sz w:val="22"/>
          <w:szCs w:val="22"/>
        </w:rPr>
        <w:t xml:space="preserve">25% pacijenta i LVEF veća od 45% </w:t>
      </w:r>
      <w:r w:rsidR="001428EE" w:rsidRPr="006E21C7">
        <w:rPr>
          <w:sz w:val="22"/>
          <w:szCs w:val="22"/>
        </w:rPr>
        <w:t xml:space="preserve">kod </w:t>
      </w:r>
      <w:r w:rsidRPr="006E21C7">
        <w:rPr>
          <w:sz w:val="22"/>
          <w:szCs w:val="22"/>
        </w:rPr>
        <w:t>19% pacijenata) tokom srednjeg perioda od 20 mjeseci</w:t>
      </w:r>
      <w:r w:rsidR="00F831F5" w:rsidRPr="006E21C7">
        <w:rPr>
          <w:sz w:val="22"/>
          <w:szCs w:val="22"/>
        </w:rPr>
        <w:t xml:space="preserve"> praćenja</w:t>
      </w:r>
      <w:r w:rsidRPr="006E21C7">
        <w:rPr>
          <w:sz w:val="22"/>
          <w:szCs w:val="22"/>
        </w:rPr>
        <w:t xml:space="preserve">, nebovolol je, uz standarnu terapiju, značajno produžio vrijeme do pojave smrti ili hospitalizacije zbog kardiovaskularnih razloga (primarni </w:t>
      </w:r>
      <w:r w:rsidR="004774A8" w:rsidRPr="006E21C7">
        <w:rPr>
          <w:sz w:val="22"/>
          <w:szCs w:val="22"/>
        </w:rPr>
        <w:t>parametar praćenja</w:t>
      </w:r>
      <w:r w:rsidRPr="006E21C7">
        <w:rPr>
          <w:sz w:val="22"/>
          <w:szCs w:val="22"/>
        </w:rPr>
        <w:t xml:space="preserve"> efikasnosti) sa smanjenjem relativnog rizika od 14% (apsolutno smanjenje: 4.2%). Ovo smanjenje rizika se razvilo nakon 6 mjeseci liječenja i održa</w:t>
      </w:r>
      <w:r w:rsidR="00F831F5" w:rsidRPr="006E21C7">
        <w:rPr>
          <w:sz w:val="22"/>
          <w:szCs w:val="22"/>
        </w:rPr>
        <w:t>lo</w:t>
      </w:r>
      <w:r w:rsidRPr="006E21C7">
        <w:rPr>
          <w:sz w:val="22"/>
          <w:szCs w:val="22"/>
        </w:rPr>
        <w:t xml:space="preserve"> se tokom cijelog trajanja liječenja (srednje vrijeme trajanja: 18 mjeseci). Ovaj efekat nebivolola je bio nezavistan od godina, pola, ili ejakcione frakcije lijeve komore u populaciji pacijenata koja je bila uključena u studiju.</w:t>
      </w:r>
    </w:p>
    <w:p w:rsidR="00356F64" w:rsidRPr="006E21C7" w:rsidRDefault="00F831F5" w:rsidP="00A256A2">
      <w:pPr>
        <w:jc w:val="both"/>
        <w:rPr>
          <w:sz w:val="22"/>
          <w:szCs w:val="22"/>
        </w:rPr>
      </w:pPr>
      <w:r w:rsidRPr="006E21C7">
        <w:rPr>
          <w:sz w:val="22"/>
          <w:szCs w:val="22"/>
        </w:rPr>
        <w:t>Nije uočena</w:t>
      </w:r>
      <w:r w:rsidR="00B23AA7" w:rsidRPr="006E21C7">
        <w:rPr>
          <w:sz w:val="22"/>
          <w:szCs w:val="22"/>
        </w:rPr>
        <w:t xml:space="preserve"> </w:t>
      </w:r>
      <w:r w:rsidRPr="006E21C7">
        <w:rPr>
          <w:sz w:val="22"/>
          <w:szCs w:val="22"/>
        </w:rPr>
        <w:t>statistički značajana k</w:t>
      </w:r>
      <w:r w:rsidR="00356F64" w:rsidRPr="006E21C7">
        <w:rPr>
          <w:sz w:val="22"/>
          <w:szCs w:val="22"/>
        </w:rPr>
        <w:t>orist za sve uzroke mortaliteta u poređenju sa placebom (apsolutno smanjenje: 2.3%).</w:t>
      </w:r>
    </w:p>
    <w:p w:rsidR="00356F64" w:rsidRPr="006E21C7" w:rsidRDefault="00356F64" w:rsidP="00A256A2">
      <w:pPr>
        <w:tabs>
          <w:tab w:val="left" w:pos="540"/>
          <w:tab w:val="left" w:pos="569"/>
        </w:tabs>
        <w:jc w:val="both"/>
        <w:rPr>
          <w:sz w:val="22"/>
          <w:szCs w:val="22"/>
        </w:rPr>
      </w:pPr>
      <w:r w:rsidRPr="006E21C7">
        <w:rPr>
          <w:sz w:val="22"/>
          <w:szCs w:val="22"/>
        </w:rPr>
        <w:t>Smanjenje pojave iznenadne smrti je zabilježeno kod pacijenata koji su primali nebivolol (4.1% u odnosu na 6.6%, relativno smanjenje 38%).</w:t>
      </w:r>
    </w:p>
    <w:p w:rsidR="00356F64" w:rsidRPr="006E21C7" w:rsidRDefault="00356F64" w:rsidP="00A256A2">
      <w:pPr>
        <w:jc w:val="both"/>
        <w:rPr>
          <w:sz w:val="22"/>
          <w:szCs w:val="22"/>
        </w:rPr>
      </w:pPr>
      <w:r w:rsidRPr="006E21C7">
        <w:rPr>
          <w:i/>
          <w:sz w:val="22"/>
          <w:szCs w:val="22"/>
        </w:rPr>
        <w:t>In vitro</w:t>
      </w:r>
      <w:r w:rsidRPr="006E21C7">
        <w:rPr>
          <w:sz w:val="22"/>
          <w:szCs w:val="22"/>
        </w:rPr>
        <w:t xml:space="preserve"> i </w:t>
      </w:r>
      <w:r w:rsidRPr="006E21C7">
        <w:rPr>
          <w:i/>
          <w:sz w:val="22"/>
          <w:szCs w:val="22"/>
        </w:rPr>
        <w:t>in vivo</w:t>
      </w:r>
      <w:r w:rsidRPr="006E21C7">
        <w:rPr>
          <w:sz w:val="22"/>
          <w:szCs w:val="22"/>
        </w:rPr>
        <w:t xml:space="preserve"> eksperimenti na životinjama su pokazli da nebivolol nema značajniju intrizičnu simpatikomimetičku aktivnost. </w:t>
      </w:r>
    </w:p>
    <w:p w:rsidR="00356F64" w:rsidRPr="006E21C7" w:rsidRDefault="00356F64" w:rsidP="00A256A2">
      <w:pPr>
        <w:jc w:val="both"/>
        <w:rPr>
          <w:sz w:val="22"/>
          <w:szCs w:val="22"/>
        </w:rPr>
      </w:pPr>
      <w:r w:rsidRPr="006E21C7">
        <w:rPr>
          <w:i/>
          <w:sz w:val="22"/>
          <w:szCs w:val="22"/>
        </w:rPr>
        <w:t>In vitro</w:t>
      </w:r>
      <w:r w:rsidRPr="006E21C7">
        <w:rPr>
          <w:sz w:val="22"/>
          <w:szCs w:val="22"/>
        </w:rPr>
        <w:t xml:space="preserve"> i </w:t>
      </w:r>
      <w:r w:rsidRPr="006E21C7">
        <w:rPr>
          <w:i/>
          <w:sz w:val="22"/>
          <w:szCs w:val="22"/>
        </w:rPr>
        <w:t>in vivo</w:t>
      </w:r>
      <w:r w:rsidRPr="006E21C7">
        <w:rPr>
          <w:sz w:val="22"/>
          <w:szCs w:val="22"/>
        </w:rPr>
        <w:t xml:space="preserve"> eksperimenti na životinjama su pokazali da u farmakološkim dozama nebivolol nema ulogu stabilizatora ćelijske membrane.</w:t>
      </w:r>
    </w:p>
    <w:p w:rsidR="00356F64" w:rsidRPr="006E21C7" w:rsidRDefault="00356F64" w:rsidP="00A256A2">
      <w:pPr>
        <w:tabs>
          <w:tab w:val="left" w:pos="540"/>
          <w:tab w:val="left" w:pos="569"/>
        </w:tabs>
        <w:jc w:val="both"/>
        <w:rPr>
          <w:sz w:val="22"/>
          <w:szCs w:val="22"/>
        </w:rPr>
      </w:pPr>
      <w:r w:rsidRPr="006E21C7">
        <w:rPr>
          <w:sz w:val="22"/>
          <w:szCs w:val="22"/>
        </w:rPr>
        <w:t>Kod zdravih dobrovoljaca, nebivolol ne djeluje značajno na maksimalnu</w:t>
      </w:r>
      <w:r w:rsidR="00B23AA7" w:rsidRPr="006E21C7">
        <w:rPr>
          <w:sz w:val="22"/>
          <w:szCs w:val="22"/>
        </w:rPr>
        <w:t xml:space="preserve"> </w:t>
      </w:r>
      <w:r w:rsidRPr="006E21C7">
        <w:rPr>
          <w:sz w:val="22"/>
          <w:szCs w:val="22"/>
        </w:rPr>
        <w:t>sposobnost ili izdržljivost pri fizičkoj aktivnosti.</w:t>
      </w:r>
    </w:p>
    <w:p w:rsidR="00356F64" w:rsidRPr="006E21C7" w:rsidRDefault="00356F64" w:rsidP="00A256A2">
      <w:pPr>
        <w:tabs>
          <w:tab w:val="left" w:pos="540"/>
          <w:tab w:val="left" w:pos="569"/>
        </w:tabs>
        <w:jc w:val="both"/>
        <w:rPr>
          <w:sz w:val="22"/>
          <w:szCs w:val="22"/>
        </w:rPr>
      </w:pPr>
    </w:p>
    <w:p w:rsidR="00356F64" w:rsidRPr="006E21C7" w:rsidRDefault="008C7B1F" w:rsidP="00DA59DD">
      <w:pPr>
        <w:tabs>
          <w:tab w:val="left" w:pos="540"/>
          <w:tab w:val="left" w:pos="569"/>
        </w:tabs>
        <w:jc w:val="both"/>
        <w:rPr>
          <w:b/>
          <w:bCs/>
          <w:sz w:val="22"/>
          <w:szCs w:val="22"/>
        </w:rPr>
      </w:pPr>
      <w:r w:rsidRPr="006E21C7">
        <w:rPr>
          <w:b/>
          <w:bCs/>
          <w:sz w:val="22"/>
          <w:szCs w:val="22"/>
        </w:rPr>
        <w:t xml:space="preserve">5.2. </w:t>
      </w:r>
      <w:r w:rsidR="00356F64" w:rsidRPr="006E21C7">
        <w:rPr>
          <w:b/>
          <w:bCs/>
          <w:sz w:val="22"/>
          <w:szCs w:val="22"/>
        </w:rPr>
        <w:t>Farmakokinetički podaci</w:t>
      </w:r>
    </w:p>
    <w:p w:rsidR="00B06169" w:rsidRPr="006E21C7" w:rsidRDefault="00B06169" w:rsidP="00A256A2">
      <w:pPr>
        <w:jc w:val="both"/>
        <w:rPr>
          <w:sz w:val="22"/>
          <w:szCs w:val="22"/>
        </w:rPr>
      </w:pPr>
    </w:p>
    <w:p w:rsidR="00B06169" w:rsidRPr="006E21C7" w:rsidRDefault="00B06169" w:rsidP="00A256A2">
      <w:pPr>
        <w:jc w:val="both"/>
        <w:rPr>
          <w:sz w:val="22"/>
          <w:szCs w:val="22"/>
          <w:u w:val="single"/>
        </w:rPr>
      </w:pPr>
      <w:r w:rsidRPr="006E21C7">
        <w:rPr>
          <w:sz w:val="22"/>
          <w:szCs w:val="22"/>
          <w:u w:val="single"/>
        </w:rPr>
        <w:t>Resorpcija</w:t>
      </w:r>
    </w:p>
    <w:p w:rsidR="00356F64" w:rsidRPr="006E21C7" w:rsidRDefault="00356F64" w:rsidP="00A256A2">
      <w:pPr>
        <w:jc w:val="both"/>
        <w:rPr>
          <w:sz w:val="22"/>
          <w:szCs w:val="22"/>
        </w:rPr>
      </w:pPr>
      <w:r w:rsidRPr="006E21C7">
        <w:rPr>
          <w:sz w:val="22"/>
          <w:szCs w:val="22"/>
        </w:rPr>
        <w:t>Oba enantiomera nebivolola se brzo resorbuju nakon peroralne administracije. Hrana ne utiče na resorpciju nebivolola</w:t>
      </w:r>
      <w:r w:rsidR="00B06169" w:rsidRPr="006E21C7">
        <w:rPr>
          <w:sz w:val="22"/>
          <w:szCs w:val="22"/>
        </w:rPr>
        <w:t>. N</w:t>
      </w:r>
      <w:r w:rsidRPr="006E21C7">
        <w:rPr>
          <w:sz w:val="22"/>
          <w:szCs w:val="22"/>
        </w:rPr>
        <w:t xml:space="preserve">ebivolol se može </w:t>
      </w:r>
      <w:r w:rsidR="00B06169" w:rsidRPr="006E21C7">
        <w:rPr>
          <w:sz w:val="22"/>
          <w:szCs w:val="22"/>
        </w:rPr>
        <w:t>uzeti sa ili bez</w:t>
      </w:r>
      <w:r w:rsidR="00B23AA7" w:rsidRPr="006E21C7">
        <w:rPr>
          <w:sz w:val="22"/>
          <w:szCs w:val="22"/>
        </w:rPr>
        <w:t xml:space="preserve"> </w:t>
      </w:r>
      <w:r w:rsidRPr="006E21C7">
        <w:rPr>
          <w:sz w:val="22"/>
          <w:szCs w:val="22"/>
        </w:rPr>
        <w:t xml:space="preserve">obroka. </w:t>
      </w:r>
    </w:p>
    <w:p w:rsidR="00356F64" w:rsidRPr="006E21C7" w:rsidRDefault="00B06169" w:rsidP="00A256A2">
      <w:pPr>
        <w:jc w:val="both"/>
        <w:rPr>
          <w:sz w:val="22"/>
          <w:szCs w:val="22"/>
        </w:rPr>
      </w:pPr>
      <w:r w:rsidRPr="006E21C7">
        <w:rPr>
          <w:sz w:val="22"/>
          <w:szCs w:val="22"/>
        </w:rPr>
        <w:t>Bioraspoloživost oralno primijenjenog nebivolola iznosi u prosjeku 12% kod brzih metabolizatora</w:t>
      </w:r>
      <w:r w:rsidR="00B23AA7" w:rsidRPr="006E21C7">
        <w:rPr>
          <w:sz w:val="22"/>
          <w:szCs w:val="22"/>
        </w:rPr>
        <w:t xml:space="preserve"> </w:t>
      </w:r>
      <w:r w:rsidRPr="006E21C7">
        <w:rPr>
          <w:sz w:val="22"/>
          <w:szCs w:val="22"/>
        </w:rPr>
        <w:t xml:space="preserve">dok je kod sporih metabolizatora gotovo potpuna. </w:t>
      </w:r>
      <w:r w:rsidR="00356F64" w:rsidRPr="006E21C7">
        <w:rPr>
          <w:sz w:val="22"/>
          <w:szCs w:val="22"/>
        </w:rPr>
        <w:t xml:space="preserve">U stanju </w:t>
      </w:r>
      <w:r w:rsidRPr="006E21C7">
        <w:rPr>
          <w:sz w:val="22"/>
          <w:szCs w:val="22"/>
        </w:rPr>
        <w:t xml:space="preserve">dinamičke </w:t>
      </w:r>
      <w:r w:rsidR="00356F64" w:rsidRPr="006E21C7">
        <w:rPr>
          <w:sz w:val="22"/>
          <w:szCs w:val="22"/>
        </w:rPr>
        <w:t>ravnoteže i pri ist</w:t>
      </w:r>
      <w:r w:rsidRPr="006E21C7">
        <w:rPr>
          <w:sz w:val="22"/>
          <w:szCs w:val="22"/>
        </w:rPr>
        <w:t>im</w:t>
      </w:r>
      <w:r w:rsidR="00B23AA7" w:rsidRPr="006E21C7">
        <w:rPr>
          <w:sz w:val="22"/>
          <w:szCs w:val="22"/>
        </w:rPr>
        <w:t xml:space="preserve"> </w:t>
      </w:r>
      <w:r w:rsidR="00356F64" w:rsidRPr="006E21C7">
        <w:rPr>
          <w:sz w:val="22"/>
          <w:szCs w:val="22"/>
        </w:rPr>
        <w:t>doz</w:t>
      </w:r>
      <w:r w:rsidRPr="006E21C7">
        <w:rPr>
          <w:sz w:val="22"/>
          <w:szCs w:val="22"/>
        </w:rPr>
        <w:t>ama</w:t>
      </w:r>
      <w:r w:rsidR="00356F64" w:rsidRPr="006E21C7">
        <w:rPr>
          <w:sz w:val="22"/>
          <w:szCs w:val="22"/>
        </w:rPr>
        <w:t xml:space="preserve">, maksimalna koncentracija nepromijenjenog nebivolola u plazmi je </w:t>
      </w:r>
      <w:r w:rsidRPr="006E21C7">
        <w:rPr>
          <w:sz w:val="22"/>
          <w:szCs w:val="22"/>
        </w:rPr>
        <w:t>približno</w:t>
      </w:r>
      <w:r w:rsidR="00B23AA7" w:rsidRPr="006E21C7">
        <w:rPr>
          <w:sz w:val="22"/>
          <w:szCs w:val="22"/>
        </w:rPr>
        <w:t xml:space="preserve"> </w:t>
      </w:r>
      <w:r w:rsidR="00356F64" w:rsidRPr="006E21C7">
        <w:rPr>
          <w:sz w:val="22"/>
          <w:szCs w:val="22"/>
        </w:rPr>
        <w:t>23 puta veća kod sporih u odnosu na brze metabolizatore. Kada se uzmu u obzir neizmijenjeni lijek</w:t>
      </w:r>
      <w:r w:rsidR="005E4CC8" w:rsidRPr="006E21C7">
        <w:rPr>
          <w:sz w:val="22"/>
          <w:szCs w:val="22"/>
        </w:rPr>
        <w:t>,</w:t>
      </w:r>
      <w:r w:rsidR="00356F64" w:rsidRPr="006E21C7">
        <w:rPr>
          <w:sz w:val="22"/>
          <w:szCs w:val="22"/>
        </w:rPr>
        <w:t xml:space="preserve"> zajedno sa aktivnim metabolitima, razlika u maksimalnim koncentracijama u plazmi je 1,3 do 1,4</w:t>
      </w:r>
      <w:r w:rsidR="005E6F77" w:rsidRPr="006E21C7">
        <w:rPr>
          <w:sz w:val="22"/>
          <w:szCs w:val="22"/>
        </w:rPr>
        <w:t xml:space="preserve"> puta veća</w:t>
      </w:r>
      <w:r w:rsidR="00356F64" w:rsidRPr="006E21C7">
        <w:rPr>
          <w:sz w:val="22"/>
          <w:szCs w:val="22"/>
        </w:rPr>
        <w:t xml:space="preserve">. Usljed varijacija </w:t>
      </w:r>
      <w:r w:rsidR="00356F64" w:rsidRPr="006E21C7">
        <w:rPr>
          <w:sz w:val="22"/>
          <w:szCs w:val="22"/>
        </w:rPr>
        <w:lastRenderedPageBreak/>
        <w:t xml:space="preserve">u brzini metabolizma, dozu lijeka </w:t>
      </w:r>
      <w:r w:rsidR="007D45E8" w:rsidRPr="006E21C7">
        <w:rPr>
          <w:sz w:val="22"/>
          <w:szCs w:val="22"/>
        </w:rPr>
        <w:t xml:space="preserve">Nibel </w:t>
      </w:r>
      <w:r w:rsidR="00356F64" w:rsidRPr="006E21C7">
        <w:rPr>
          <w:sz w:val="22"/>
          <w:szCs w:val="22"/>
        </w:rPr>
        <w:t>treba uvijek prilagoditi individualnim potrebama pacijenta</w:t>
      </w:r>
      <w:r w:rsidR="005E6F77" w:rsidRPr="006E21C7">
        <w:rPr>
          <w:sz w:val="22"/>
          <w:szCs w:val="22"/>
        </w:rPr>
        <w:t>. Spori metabolizatori u pravilu trebaju</w:t>
      </w:r>
      <w:r w:rsidR="00B23AA7" w:rsidRPr="006E21C7">
        <w:rPr>
          <w:sz w:val="22"/>
          <w:szCs w:val="22"/>
        </w:rPr>
        <w:t xml:space="preserve"> </w:t>
      </w:r>
      <w:r w:rsidR="00356F64" w:rsidRPr="006E21C7">
        <w:rPr>
          <w:sz w:val="22"/>
          <w:szCs w:val="22"/>
        </w:rPr>
        <w:t xml:space="preserve">niže doze lijeka. </w:t>
      </w:r>
    </w:p>
    <w:p w:rsidR="00356F64" w:rsidRPr="006E21C7" w:rsidRDefault="00356F64" w:rsidP="00A256A2">
      <w:pPr>
        <w:jc w:val="both"/>
        <w:rPr>
          <w:sz w:val="22"/>
          <w:szCs w:val="22"/>
        </w:rPr>
      </w:pPr>
      <w:r w:rsidRPr="006E21C7">
        <w:rPr>
          <w:sz w:val="22"/>
          <w:szCs w:val="22"/>
        </w:rPr>
        <w:t xml:space="preserve">Koncentracije u plazmi su dozno proporcionalne </w:t>
      </w:r>
      <w:r w:rsidR="005E6F77" w:rsidRPr="006E21C7">
        <w:rPr>
          <w:sz w:val="22"/>
          <w:szCs w:val="22"/>
        </w:rPr>
        <w:t>u rasponu od</w:t>
      </w:r>
      <w:r w:rsidR="00B23AA7" w:rsidRPr="006E21C7">
        <w:rPr>
          <w:sz w:val="22"/>
          <w:szCs w:val="22"/>
        </w:rPr>
        <w:t xml:space="preserve"> </w:t>
      </w:r>
      <w:r w:rsidRPr="006E21C7">
        <w:rPr>
          <w:sz w:val="22"/>
          <w:szCs w:val="22"/>
        </w:rPr>
        <w:t>1 </w:t>
      </w:r>
      <w:r w:rsidR="005E6F77" w:rsidRPr="006E21C7">
        <w:rPr>
          <w:sz w:val="22"/>
          <w:szCs w:val="22"/>
        </w:rPr>
        <w:t>do</w:t>
      </w:r>
      <w:r w:rsidR="00B23AA7" w:rsidRPr="006E21C7">
        <w:rPr>
          <w:sz w:val="22"/>
          <w:szCs w:val="22"/>
        </w:rPr>
        <w:t xml:space="preserve"> </w:t>
      </w:r>
      <w:r w:rsidRPr="006E21C7">
        <w:rPr>
          <w:sz w:val="22"/>
          <w:szCs w:val="22"/>
        </w:rPr>
        <w:t>30 mg. Na farmakokinetiku nebivolola ne utiče starost pacijenta.</w:t>
      </w:r>
    </w:p>
    <w:p w:rsidR="005E6F77" w:rsidRPr="006E21C7" w:rsidRDefault="005E6F77" w:rsidP="00A256A2">
      <w:pPr>
        <w:jc w:val="both"/>
        <w:rPr>
          <w:sz w:val="22"/>
          <w:szCs w:val="22"/>
        </w:rPr>
      </w:pPr>
    </w:p>
    <w:p w:rsidR="005E6F77" w:rsidRPr="006E21C7" w:rsidRDefault="005E6F77" w:rsidP="00A256A2">
      <w:pPr>
        <w:jc w:val="both"/>
        <w:rPr>
          <w:sz w:val="22"/>
          <w:szCs w:val="22"/>
          <w:u w:val="single"/>
        </w:rPr>
      </w:pPr>
      <w:r w:rsidRPr="006E21C7">
        <w:rPr>
          <w:sz w:val="22"/>
          <w:szCs w:val="22"/>
          <w:u w:val="single"/>
        </w:rPr>
        <w:t>Distribucija</w:t>
      </w:r>
    </w:p>
    <w:p w:rsidR="00356F64" w:rsidRPr="006E21C7" w:rsidRDefault="00356F64" w:rsidP="00A256A2">
      <w:pPr>
        <w:jc w:val="both"/>
        <w:rPr>
          <w:sz w:val="22"/>
          <w:szCs w:val="22"/>
        </w:rPr>
      </w:pPr>
      <w:r w:rsidRPr="006E21C7">
        <w:rPr>
          <w:sz w:val="22"/>
          <w:szCs w:val="22"/>
        </w:rPr>
        <w:t xml:space="preserve">Oba </w:t>
      </w:r>
      <w:r w:rsidR="005E6F77" w:rsidRPr="006E21C7">
        <w:rPr>
          <w:sz w:val="22"/>
          <w:szCs w:val="22"/>
        </w:rPr>
        <w:t xml:space="preserve">su </w:t>
      </w:r>
      <w:r w:rsidRPr="006E21C7">
        <w:rPr>
          <w:sz w:val="22"/>
          <w:szCs w:val="22"/>
        </w:rPr>
        <w:t xml:space="preserve">enantiomera </w:t>
      </w:r>
      <w:r w:rsidR="005E6F77" w:rsidRPr="006E21C7">
        <w:rPr>
          <w:sz w:val="22"/>
          <w:szCs w:val="22"/>
        </w:rPr>
        <w:t xml:space="preserve">u plazmi pretežno </w:t>
      </w:r>
      <w:r w:rsidRPr="006E21C7">
        <w:rPr>
          <w:sz w:val="22"/>
          <w:szCs w:val="22"/>
        </w:rPr>
        <w:t>vez</w:t>
      </w:r>
      <w:r w:rsidR="005E6F77" w:rsidRPr="006E21C7">
        <w:rPr>
          <w:sz w:val="22"/>
          <w:szCs w:val="22"/>
        </w:rPr>
        <w:t>ana</w:t>
      </w:r>
      <w:r w:rsidR="00B23AA7" w:rsidRPr="006E21C7">
        <w:rPr>
          <w:sz w:val="22"/>
          <w:szCs w:val="22"/>
        </w:rPr>
        <w:t xml:space="preserve"> </w:t>
      </w:r>
      <w:r w:rsidRPr="006E21C7">
        <w:rPr>
          <w:sz w:val="22"/>
          <w:szCs w:val="22"/>
        </w:rPr>
        <w:t xml:space="preserve">za albumin. </w:t>
      </w:r>
    </w:p>
    <w:p w:rsidR="00356F64" w:rsidRPr="006E21C7" w:rsidRDefault="005E6F77" w:rsidP="00A256A2">
      <w:pPr>
        <w:jc w:val="both"/>
        <w:rPr>
          <w:sz w:val="22"/>
          <w:szCs w:val="22"/>
        </w:rPr>
      </w:pPr>
      <w:r w:rsidRPr="006E21C7">
        <w:rPr>
          <w:sz w:val="22"/>
          <w:szCs w:val="22"/>
        </w:rPr>
        <w:t>Za proteine plazme vezano je</w:t>
      </w:r>
      <w:r w:rsidR="00B23AA7" w:rsidRPr="006E21C7">
        <w:rPr>
          <w:sz w:val="22"/>
          <w:szCs w:val="22"/>
        </w:rPr>
        <w:t xml:space="preserve"> </w:t>
      </w:r>
      <w:r w:rsidR="00356F64" w:rsidRPr="006E21C7">
        <w:rPr>
          <w:sz w:val="22"/>
          <w:szCs w:val="22"/>
        </w:rPr>
        <w:t>98,1%</w:t>
      </w:r>
      <w:r w:rsidR="00B23AA7" w:rsidRPr="006E21C7">
        <w:rPr>
          <w:sz w:val="22"/>
          <w:szCs w:val="22"/>
        </w:rPr>
        <w:t xml:space="preserve"> </w:t>
      </w:r>
      <w:r w:rsidR="00356F64" w:rsidRPr="006E21C7">
        <w:rPr>
          <w:sz w:val="22"/>
          <w:szCs w:val="22"/>
        </w:rPr>
        <w:t>SRRR</w:t>
      </w:r>
      <w:r w:rsidR="00356F64" w:rsidRPr="006E21C7">
        <w:rPr>
          <w:sz w:val="22"/>
          <w:szCs w:val="22"/>
        </w:rPr>
        <w:noBreakHyphen/>
        <w:t>nebivolol</w:t>
      </w:r>
      <w:r w:rsidRPr="006E21C7">
        <w:rPr>
          <w:sz w:val="22"/>
          <w:szCs w:val="22"/>
        </w:rPr>
        <w:t>a</w:t>
      </w:r>
      <w:r w:rsidR="00356F64" w:rsidRPr="006E21C7">
        <w:rPr>
          <w:sz w:val="22"/>
          <w:szCs w:val="22"/>
        </w:rPr>
        <w:t xml:space="preserve"> i 97,9% za RSSS</w:t>
      </w:r>
      <w:r w:rsidR="00356F64" w:rsidRPr="006E21C7">
        <w:rPr>
          <w:sz w:val="22"/>
          <w:szCs w:val="22"/>
        </w:rPr>
        <w:noBreakHyphen/>
        <w:t>nebivolol</w:t>
      </w:r>
      <w:r w:rsidRPr="006E21C7">
        <w:rPr>
          <w:sz w:val="22"/>
          <w:szCs w:val="22"/>
        </w:rPr>
        <w:t>a</w:t>
      </w:r>
      <w:r w:rsidR="00356F64" w:rsidRPr="006E21C7">
        <w:rPr>
          <w:sz w:val="22"/>
          <w:szCs w:val="22"/>
        </w:rPr>
        <w:t>.</w:t>
      </w:r>
    </w:p>
    <w:p w:rsidR="005E6F77" w:rsidRPr="006E21C7" w:rsidRDefault="005E6F77" w:rsidP="00A256A2">
      <w:pPr>
        <w:jc w:val="both"/>
        <w:rPr>
          <w:sz w:val="22"/>
          <w:szCs w:val="22"/>
        </w:rPr>
      </w:pPr>
    </w:p>
    <w:p w:rsidR="005E6F77" w:rsidRPr="006E21C7" w:rsidRDefault="005E6F77" w:rsidP="00A256A2">
      <w:pPr>
        <w:jc w:val="both"/>
        <w:rPr>
          <w:sz w:val="22"/>
          <w:szCs w:val="22"/>
          <w:u w:val="single"/>
        </w:rPr>
      </w:pPr>
      <w:r w:rsidRPr="006E21C7">
        <w:rPr>
          <w:sz w:val="22"/>
          <w:szCs w:val="22"/>
          <w:u w:val="single"/>
        </w:rPr>
        <w:t>Biotransformacija</w:t>
      </w:r>
    </w:p>
    <w:p w:rsidR="005E6F77" w:rsidRPr="006E21C7" w:rsidRDefault="005E6F77" w:rsidP="00A256A2">
      <w:pPr>
        <w:jc w:val="both"/>
        <w:rPr>
          <w:sz w:val="22"/>
          <w:szCs w:val="22"/>
        </w:rPr>
      </w:pPr>
      <w:r w:rsidRPr="006E21C7">
        <w:rPr>
          <w:sz w:val="22"/>
          <w:szCs w:val="22"/>
        </w:rPr>
        <w:t>Nebivolol se ekstenzivno metaboliše, dijelom u aktivne hidroksi metabolite. Metaboliše</w:t>
      </w:r>
      <w:r w:rsidR="00B23AA7" w:rsidRPr="006E21C7">
        <w:rPr>
          <w:sz w:val="22"/>
          <w:szCs w:val="22"/>
        </w:rPr>
        <w:t xml:space="preserve"> </w:t>
      </w:r>
      <w:r w:rsidRPr="006E21C7">
        <w:rPr>
          <w:sz w:val="22"/>
          <w:szCs w:val="22"/>
        </w:rPr>
        <w:t>se</w:t>
      </w:r>
      <w:r w:rsidR="00B23AA7" w:rsidRPr="006E21C7">
        <w:rPr>
          <w:sz w:val="22"/>
          <w:szCs w:val="22"/>
        </w:rPr>
        <w:t xml:space="preserve"> </w:t>
      </w:r>
      <w:r w:rsidRPr="006E21C7">
        <w:rPr>
          <w:sz w:val="22"/>
          <w:szCs w:val="22"/>
        </w:rPr>
        <w:t>putem</w:t>
      </w:r>
      <w:r w:rsidR="00B23AA7" w:rsidRPr="006E21C7">
        <w:rPr>
          <w:sz w:val="22"/>
          <w:szCs w:val="22"/>
        </w:rPr>
        <w:t xml:space="preserve"> </w:t>
      </w:r>
      <w:r w:rsidRPr="006E21C7">
        <w:rPr>
          <w:sz w:val="22"/>
          <w:szCs w:val="22"/>
        </w:rPr>
        <w:t>aliciklične i aromatične hidroksilacije, N</w:t>
      </w:r>
      <w:r w:rsidR="004774A8" w:rsidRPr="006E21C7">
        <w:rPr>
          <w:sz w:val="22"/>
          <w:szCs w:val="22"/>
        </w:rPr>
        <w:t>-</w:t>
      </w:r>
      <w:r w:rsidRPr="006E21C7">
        <w:rPr>
          <w:sz w:val="22"/>
          <w:szCs w:val="22"/>
        </w:rPr>
        <w:t>dealkilacije i glukuronidacije.</w:t>
      </w:r>
      <w:r w:rsidR="00B23AA7" w:rsidRPr="006E21C7">
        <w:rPr>
          <w:sz w:val="22"/>
          <w:szCs w:val="22"/>
        </w:rPr>
        <w:t xml:space="preserve"> </w:t>
      </w:r>
      <w:r w:rsidRPr="006E21C7">
        <w:rPr>
          <w:sz w:val="22"/>
          <w:szCs w:val="22"/>
        </w:rPr>
        <w:t>Osim toga formiraju se glukuronidi hidroksi metabolita. Metabolizam nebivolola putem aromatične hidroksilacije podliježe</w:t>
      </w:r>
      <w:r w:rsidR="00B23AA7" w:rsidRPr="006E21C7">
        <w:rPr>
          <w:sz w:val="22"/>
          <w:szCs w:val="22"/>
        </w:rPr>
        <w:t xml:space="preserve"> </w:t>
      </w:r>
      <w:r w:rsidRPr="006E21C7">
        <w:rPr>
          <w:sz w:val="22"/>
          <w:szCs w:val="22"/>
        </w:rPr>
        <w:t xml:space="preserve">genetskom oksidativnom polimorfizmu zavisnom od CYP2D6. </w:t>
      </w:r>
    </w:p>
    <w:p w:rsidR="005E6F77" w:rsidRPr="006E21C7" w:rsidRDefault="005E6F77" w:rsidP="00A256A2">
      <w:pPr>
        <w:jc w:val="both"/>
        <w:rPr>
          <w:sz w:val="22"/>
          <w:szCs w:val="22"/>
          <w:u w:val="single"/>
        </w:rPr>
      </w:pPr>
    </w:p>
    <w:p w:rsidR="005E6F77" w:rsidRPr="006E21C7" w:rsidRDefault="005E6F77" w:rsidP="00A256A2">
      <w:pPr>
        <w:jc w:val="both"/>
        <w:rPr>
          <w:sz w:val="22"/>
          <w:szCs w:val="22"/>
          <w:u w:val="single"/>
        </w:rPr>
      </w:pPr>
      <w:r w:rsidRPr="006E21C7">
        <w:rPr>
          <w:sz w:val="22"/>
          <w:szCs w:val="22"/>
          <w:u w:val="single"/>
        </w:rPr>
        <w:t>Eliminacija</w:t>
      </w:r>
    </w:p>
    <w:p w:rsidR="005E6F77" w:rsidRPr="006E21C7" w:rsidRDefault="005E6F77" w:rsidP="00A256A2">
      <w:pPr>
        <w:jc w:val="both"/>
        <w:rPr>
          <w:sz w:val="22"/>
          <w:szCs w:val="22"/>
        </w:rPr>
      </w:pPr>
      <w:r w:rsidRPr="006E21C7">
        <w:rPr>
          <w:sz w:val="22"/>
          <w:szCs w:val="22"/>
        </w:rPr>
        <w:t>Kod brzih metabolizatora, poluvrijeme eliminacije enantiomera nebivolola iznosi približno</w:t>
      </w:r>
      <w:r w:rsidR="00B23AA7" w:rsidRPr="006E21C7">
        <w:rPr>
          <w:sz w:val="22"/>
          <w:szCs w:val="22"/>
        </w:rPr>
        <w:t xml:space="preserve"> </w:t>
      </w:r>
      <w:r w:rsidRPr="006E21C7">
        <w:rPr>
          <w:sz w:val="22"/>
          <w:szCs w:val="22"/>
        </w:rPr>
        <w:t>10 sati. Kod sporih metabolizatora to vrijeme je 3-5 puta duže. Kod brzih metabolizatora nivo RSSS enantiomera u plazmi je neznatno viši od nivoa SRRR enantiomera. Kod sporih metabolizatora, ova razlika je veća. Kod brzih metabolizatora poluvrijeme eliminacije</w:t>
      </w:r>
      <w:r w:rsidR="00BF1D25" w:rsidRPr="006E21C7">
        <w:rPr>
          <w:sz w:val="22"/>
          <w:szCs w:val="22"/>
        </w:rPr>
        <w:t xml:space="preserve"> iz plazme</w:t>
      </w:r>
      <w:r w:rsidRPr="006E21C7">
        <w:rPr>
          <w:sz w:val="22"/>
          <w:szCs w:val="22"/>
        </w:rPr>
        <w:t xml:space="preserve"> hidroksimetabolita oba enantiomera prosječno iznosi 24 sata, a dvostruko je duže kod osoba sa usporenim metabolizmom. </w:t>
      </w:r>
    </w:p>
    <w:p w:rsidR="00356F64" w:rsidRPr="006E21C7" w:rsidRDefault="00356F64" w:rsidP="00A256A2">
      <w:pPr>
        <w:tabs>
          <w:tab w:val="left" w:pos="540"/>
          <w:tab w:val="left" w:pos="569"/>
        </w:tabs>
        <w:jc w:val="both"/>
        <w:rPr>
          <w:sz w:val="22"/>
          <w:szCs w:val="22"/>
        </w:rPr>
      </w:pPr>
      <w:r w:rsidRPr="006E21C7">
        <w:rPr>
          <w:sz w:val="22"/>
          <w:szCs w:val="22"/>
        </w:rPr>
        <w:t>Nedjelju dana nakon primjene</w:t>
      </w:r>
      <w:r w:rsidR="00BF1D25" w:rsidRPr="006E21C7">
        <w:rPr>
          <w:sz w:val="22"/>
          <w:szCs w:val="22"/>
        </w:rPr>
        <w:t xml:space="preserve"> lijeka</w:t>
      </w:r>
      <w:r w:rsidRPr="006E21C7">
        <w:rPr>
          <w:sz w:val="22"/>
          <w:szCs w:val="22"/>
        </w:rPr>
        <w:t>, 38% uzete doze se izlučuje urinom, a 48% fecesom.</w:t>
      </w:r>
      <w:r w:rsidR="00B23AA7" w:rsidRPr="006E21C7">
        <w:rPr>
          <w:sz w:val="22"/>
          <w:szCs w:val="22"/>
        </w:rPr>
        <w:t xml:space="preserve"> </w:t>
      </w:r>
      <w:r w:rsidRPr="006E21C7">
        <w:rPr>
          <w:sz w:val="22"/>
          <w:szCs w:val="22"/>
        </w:rPr>
        <w:t>Urinarna ekskrecija neizmijenjenog nebivolola iznosi manje od 0,5% od primijenjene doze.</w:t>
      </w:r>
    </w:p>
    <w:p w:rsidR="00356F64" w:rsidRPr="006E21C7" w:rsidRDefault="00356F64" w:rsidP="00A256A2">
      <w:pPr>
        <w:tabs>
          <w:tab w:val="left" w:pos="540"/>
          <w:tab w:val="left" w:pos="569"/>
        </w:tabs>
        <w:jc w:val="both"/>
        <w:rPr>
          <w:bCs/>
          <w:sz w:val="22"/>
          <w:szCs w:val="22"/>
        </w:rPr>
      </w:pPr>
    </w:p>
    <w:p w:rsidR="00356F64" w:rsidRPr="006E21C7" w:rsidRDefault="008C7B1F" w:rsidP="00A256A2">
      <w:pPr>
        <w:tabs>
          <w:tab w:val="left" w:pos="540"/>
          <w:tab w:val="left" w:pos="569"/>
        </w:tabs>
        <w:jc w:val="both"/>
        <w:rPr>
          <w:b/>
          <w:bCs/>
          <w:sz w:val="22"/>
          <w:szCs w:val="22"/>
        </w:rPr>
      </w:pPr>
      <w:r w:rsidRPr="006E21C7">
        <w:rPr>
          <w:b/>
          <w:bCs/>
          <w:sz w:val="22"/>
          <w:szCs w:val="22"/>
        </w:rPr>
        <w:t xml:space="preserve">5.3. </w:t>
      </w:r>
      <w:r w:rsidR="00356F64" w:rsidRPr="006E21C7">
        <w:rPr>
          <w:b/>
          <w:bCs/>
          <w:sz w:val="22"/>
          <w:szCs w:val="22"/>
        </w:rPr>
        <w:t xml:space="preserve">Pretklinički podaci o bezbjednosti </w:t>
      </w:r>
    </w:p>
    <w:p w:rsidR="00682830" w:rsidRPr="006E21C7" w:rsidRDefault="00682830" w:rsidP="00A256A2">
      <w:pPr>
        <w:tabs>
          <w:tab w:val="left" w:pos="540"/>
          <w:tab w:val="left" w:pos="569"/>
        </w:tabs>
        <w:jc w:val="both"/>
        <w:rPr>
          <w:b/>
          <w:bCs/>
          <w:sz w:val="22"/>
          <w:szCs w:val="22"/>
        </w:rPr>
      </w:pPr>
    </w:p>
    <w:p w:rsidR="00356F64" w:rsidRPr="006E21C7" w:rsidRDefault="00356F64" w:rsidP="00A256A2">
      <w:pPr>
        <w:tabs>
          <w:tab w:val="left" w:pos="540"/>
          <w:tab w:val="left" w:pos="569"/>
        </w:tabs>
        <w:jc w:val="both"/>
        <w:rPr>
          <w:sz w:val="22"/>
          <w:szCs w:val="22"/>
        </w:rPr>
      </w:pPr>
      <w:r w:rsidRPr="006E21C7">
        <w:rPr>
          <w:sz w:val="22"/>
          <w:szCs w:val="22"/>
        </w:rPr>
        <w:t>Na osnovu konvencionalnih studija genotoksičnosti i karcinogenog potencijala, pretklinički podaci ne ukazuju na poseban rizik za ljude.</w:t>
      </w:r>
    </w:p>
    <w:p w:rsidR="00356F64" w:rsidRPr="006E21C7" w:rsidRDefault="00356F64" w:rsidP="00A256A2">
      <w:pPr>
        <w:tabs>
          <w:tab w:val="left" w:pos="540"/>
          <w:tab w:val="left" w:pos="569"/>
        </w:tabs>
        <w:jc w:val="both"/>
        <w:rPr>
          <w:bCs/>
          <w:sz w:val="22"/>
          <w:szCs w:val="22"/>
        </w:rPr>
      </w:pPr>
    </w:p>
    <w:p w:rsidR="00356F64" w:rsidRPr="006E21C7" w:rsidRDefault="00356F64" w:rsidP="00A256A2">
      <w:pPr>
        <w:tabs>
          <w:tab w:val="left" w:pos="540"/>
          <w:tab w:val="left" w:pos="569"/>
        </w:tabs>
        <w:jc w:val="both"/>
        <w:rPr>
          <w:b/>
          <w:bCs/>
          <w:sz w:val="22"/>
          <w:szCs w:val="22"/>
        </w:rPr>
      </w:pPr>
    </w:p>
    <w:p w:rsidR="00356F64" w:rsidRPr="006E21C7" w:rsidRDefault="008C7B1F" w:rsidP="00356F64">
      <w:pPr>
        <w:tabs>
          <w:tab w:val="left" w:pos="540"/>
          <w:tab w:val="left" w:pos="569"/>
        </w:tabs>
        <w:rPr>
          <w:b/>
          <w:bCs/>
          <w:sz w:val="22"/>
          <w:szCs w:val="22"/>
        </w:rPr>
      </w:pPr>
      <w:r w:rsidRPr="006E21C7">
        <w:rPr>
          <w:b/>
          <w:bCs/>
          <w:sz w:val="22"/>
          <w:szCs w:val="22"/>
        </w:rPr>
        <w:t xml:space="preserve">6. </w:t>
      </w:r>
      <w:r w:rsidR="00356F64" w:rsidRPr="006E21C7">
        <w:rPr>
          <w:b/>
          <w:bCs/>
          <w:sz w:val="22"/>
          <w:szCs w:val="22"/>
        </w:rPr>
        <w:t>FARMACEUTSKI PODACI</w:t>
      </w:r>
    </w:p>
    <w:p w:rsidR="00356F64" w:rsidRPr="006E21C7" w:rsidRDefault="00356F64" w:rsidP="00356F64">
      <w:pPr>
        <w:tabs>
          <w:tab w:val="left" w:pos="540"/>
          <w:tab w:val="left" w:pos="569"/>
        </w:tabs>
        <w:rPr>
          <w:bCs/>
          <w:sz w:val="22"/>
          <w:szCs w:val="22"/>
        </w:rPr>
      </w:pPr>
    </w:p>
    <w:p w:rsidR="00356F64" w:rsidRPr="006E21C7" w:rsidRDefault="008C7B1F" w:rsidP="00356F64">
      <w:pPr>
        <w:tabs>
          <w:tab w:val="left" w:pos="540"/>
          <w:tab w:val="left" w:pos="569"/>
        </w:tabs>
        <w:rPr>
          <w:b/>
          <w:bCs/>
          <w:sz w:val="22"/>
          <w:szCs w:val="22"/>
        </w:rPr>
      </w:pPr>
      <w:r w:rsidRPr="006E21C7">
        <w:rPr>
          <w:b/>
          <w:bCs/>
          <w:sz w:val="22"/>
          <w:szCs w:val="22"/>
        </w:rPr>
        <w:t xml:space="preserve">6.1. </w:t>
      </w:r>
      <w:r w:rsidR="00356F64" w:rsidRPr="006E21C7">
        <w:rPr>
          <w:b/>
          <w:bCs/>
          <w:sz w:val="22"/>
          <w:szCs w:val="22"/>
        </w:rPr>
        <w:t>Lista pomoćnih supstanci</w:t>
      </w:r>
      <w:r w:rsidR="000046A0" w:rsidRPr="006E21C7">
        <w:rPr>
          <w:b/>
          <w:bCs/>
          <w:sz w:val="22"/>
          <w:szCs w:val="22"/>
        </w:rPr>
        <w:t xml:space="preserve"> (ekscipijenasa)</w:t>
      </w:r>
    </w:p>
    <w:p w:rsidR="00356F64" w:rsidRPr="006E21C7" w:rsidRDefault="00356F64" w:rsidP="00356F64">
      <w:pPr>
        <w:ind w:right="20"/>
        <w:rPr>
          <w:sz w:val="22"/>
          <w:szCs w:val="22"/>
        </w:rPr>
      </w:pPr>
    </w:p>
    <w:p w:rsidR="0033315A" w:rsidRPr="006E21C7" w:rsidRDefault="0033315A" w:rsidP="00356F64">
      <w:pPr>
        <w:tabs>
          <w:tab w:val="left" w:pos="540"/>
          <w:tab w:val="left" w:pos="569"/>
        </w:tabs>
        <w:rPr>
          <w:color w:val="000000"/>
          <w:spacing w:val="-4"/>
          <w:sz w:val="22"/>
          <w:szCs w:val="22"/>
        </w:rPr>
      </w:pPr>
      <w:r w:rsidRPr="006E21C7">
        <w:rPr>
          <w:color w:val="000000"/>
          <w:spacing w:val="-4"/>
          <w:sz w:val="22"/>
          <w:szCs w:val="22"/>
        </w:rPr>
        <w:t>-</w:t>
      </w:r>
      <w:r w:rsidR="00F32CD7" w:rsidRPr="006E21C7">
        <w:rPr>
          <w:color w:val="000000"/>
          <w:spacing w:val="-4"/>
          <w:sz w:val="22"/>
          <w:szCs w:val="22"/>
        </w:rPr>
        <w:t xml:space="preserve"> </w:t>
      </w:r>
      <w:r w:rsidRPr="006E21C7">
        <w:rPr>
          <w:color w:val="000000"/>
          <w:spacing w:val="-4"/>
          <w:sz w:val="22"/>
          <w:szCs w:val="22"/>
        </w:rPr>
        <w:t>laktoza monohidrat</w:t>
      </w:r>
    </w:p>
    <w:p w:rsidR="0033315A" w:rsidRPr="006E21C7" w:rsidRDefault="0033315A" w:rsidP="00356F64">
      <w:pPr>
        <w:tabs>
          <w:tab w:val="left" w:pos="540"/>
          <w:tab w:val="left" w:pos="569"/>
        </w:tabs>
        <w:rPr>
          <w:color w:val="000000"/>
          <w:spacing w:val="-4"/>
          <w:sz w:val="22"/>
          <w:szCs w:val="22"/>
        </w:rPr>
      </w:pPr>
      <w:r w:rsidRPr="006E21C7">
        <w:rPr>
          <w:color w:val="000000"/>
          <w:spacing w:val="-4"/>
          <w:sz w:val="22"/>
          <w:szCs w:val="22"/>
        </w:rPr>
        <w:t>-</w:t>
      </w:r>
      <w:r w:rsidR="00F32CD7" w:rsidRPr="006E21C7">
        <w:rPr>
          <w:color w:val="000000"/>
          <w:spacing w:val="-4"/>
          <w:sz w:val="22"/>
          <w:szCs w:val="22"/>
        </w:rPr>
        <w:t xml:space="preserve"> </w:t>
      </w:r>
      <w:r w:rsidRPr="006E21C7">
        <w:rPr>
          <w:color w:val="000000"/>
          <w:spacing w:val="-4"/>
          <w:sz w:val="22"/>
          <w:szCs w:val="22"/>
        </w:rPr>
        <w:t>krospovidon</w:t>
      </w:r>
    </w:p>
    <w:p w:rsidR="0033315A" w:rsidRPr="006E21C7" w:rsidRDefault="0033315A" w:rsidP="00356F64">
      <w:pPr>
        <w:tabs>
          <w:tab w:val="left" w:pos="540"/>
          <w:tab w:val="left" w:pos="569"/>
        </w:tabs>
        <w:rPr>
          <w:color w:val="000000"/>
          <w:spacing w:val="-4"/>
          <w:sz w:val="22"/>
          <w:szCs w:val="22"/>
        </w:rPr>
      </w:pPr>
      <w:r w:rsidRPr="006E21C7">
        <w:rPr>
          <w:color w:val="000000"/>
          <w:spacing w:val="-4"/>
          <w:sz w:val="22"/>
          <w:szCs w:val="22"/>
        </w:rPr>
        <w:t>- poloksamer 188</w:t>
      </w:r>
    </w:p>
    <w:p w:rsidR="0033315A" w:rsidRPr="006E21C7" w:rsidRDefault="0033315A" w:rsidP="00356F64">
      <w:pPr>
        <w:tabs>
          <w:tab w:val="left" w:pos="540"/>
          <w:tab w:val="left" w:pos="569"/>
        </w:tabs>
        <w:rPr>
          <w:color w:val="000000"/>
          <w:spacing w:val="-4"/>
          <w:sz w:val="22"/>
          <w:szCs w:val="22"/>
        </w:rPr>
      </w:pPr>
      <w:r w:rsidRPr="006E21C7">
        <w:rPr>
          <w:color w:val="000000"/>
          <w:spacing w:val="-4"/>
          <w:sz w:val="22"/>
          <w:szCs w:val="22"/>
        </w:rPr>
        <w:t>- povidon K-30</w:t>
      </w:r>
    </w:p>
    <w:p w:rsidR="0033315A" w:rsidRPr="006E21C7" w:rsidRDefault="0033315A" w:rsidP="00356F64">
      <w:pPr>
        <w:tabs>
          <w:tab w:val="left" w:pos="540"/>
          <w:tab w:val="left" w:pos="569"/>
        </w:tabs>
        <w:rPr>
          <w:color w:val="000000"/>
          <w:spacing w:val="-4"/>
          <w:sz w:val="22"/>
          <w:szCs w:val="22"/>
        </w:rPr>
      </w:pPr>
      <w:r w:rsidRPr="006E21C7">
        <w:rPr>
          <w:color w:val="000000"/>
          <w:spacing w:val="-4"/>
          <w:sz w:val="22"/>
          <w:szCs w:val="22"/>
        </w:rPr>
        <w:t>- celuloza,</w:t>
      </w:r>
      <w:r w:rsidR="000C5BC6" w:rsidRPr="006E21C7">
        <w:rPr>
          <w:color w:val="000000"/>
          <w:spacing w:val="-4"/>
          <w:sz w:val="22"/>
          <w:szCs w:val="22"/>
        </w:rPr>
        <w:t xml:space="preserve"> </w:t>
      </w:r>
      <w:r w:rsidRPr="006E21C7">
        <w:rPr>
          <w:color w:val="000000"/>
          <w:spacing w:val="-4"/>
          <w:sz w:val="22"/>
          <w:szCs w:val="22"/>
        </w:rPr>
        <w:t>mikrokristalna</w:t>
      </w:r>
    </w:p>
    <w:p w:rsidR="00356F64" w:rsidRPr="006E21C7" w:rsidRDefault="0033315A" w:rsidP="00356F64">
      <w:pPr>
        <w:tabs>
          <w:tab w:val="left" w:pos="540"/>
          <w:tab w:val="left" w:pos="569"/>
        </w:tabs>
        <w:rPr>
          <w:color w:val="000000"/>
          <w:spacing w:val="-4"/>
          <w:sz w:val="22"/>
          <w:szCs w:val="22"/>
        </w:rPr>
      </w:pPr>
      <w:r w:rsidRPr="006E21C7">
        <w:rPr>
          <w:color w:val="000000"/>
          <w:spacing w:val="-4"/>
          <w:sz w:val="22"/>
          <w:szCs w:val="22"/>
        </w:rPr>
        <w:t>-</w:t>
      </w:r>
      <w:r w:rsidR="000C5BC6" w:rsidRPr="006E21C7">
        <w:rPr>
          <w:color w:val="000000"/>
          <w:spacing w:val="-4"/>
          <w:sz w:val="22"/>
          <w:szCs w:val="22"/>
        </w:rPr>
        <w:t xml:space="preserve"> </w:t>
      </w:r>
      <w:r w:rsidR="000C5BC6" w:rsidRPr="006E21C7">
        <w:rPr>
          <w:color w:val="000000"/>
          <w:sz w:val="22"/>
          <w:szCs w:val="22"/>
        </w:rPr>
        <w:t>magnezijum</w:t>
      </w:r>
      <w:r w:rsidR="006E21C7">
        <w:rPr>
          <w:color w:val="000000"/>
          <w:sz w:val="22"/>
          <w:szCs w:val="22"/>
        </w:rPr>
        <w:t xml:space="preserve"> </w:t>
      </w:r>
      <w:r w:rsidR="000C5BC6" w:rsidRPr="006E21C7">
        <w:rPr>
          <w:color w:val="000000"/>
          <w:sz w:val="22"/>
          <w:szCs w:val="22"/>
        </w:rPr>
        <w:t>stearat.</w:t>
      </w:r>
    </w:p>
    <w:p w:rsidR="00356F64" w:rsidRPr="006E21C7" w:rsidRDefault="00356F64" w:rsidP="00356F64">
      <w:pPr>
        <w:tabs>
          <w:tab w:val="left" w:pos="540"/>
          <w:tab w:val="left" w:pos="569"/>
        </w:tabs>
        <w:rPr>
          <w:b/>
          <w:bCs/>
          <w:sz w:val="22"/>
          <w:szCs w:val="22"/>
        </w:rPr>
      </w:pPr>
    </w:p>
    <w:p w:rsidR="00356F64" w:rsidRPr="006E21C7" w:rsidRDefault="008C7B1F" w:rsidP="00356F64">
      <w:pPr>
        <w:tabs>
          <w:tab w:val="left" w:pos="540"/>
          <w:tab w:val="left" w:pos="569"/>
        </w:tabs>
        <w:rPr>
          <w:b/>
          <w:bCs/>
          <w:sz w:val="22"/>
          <w:szCs w:val="22"/>
        </w:rPr>
      </w:pPr>
      <w:r w:rsidRPr="006E21C7">
        <w:rPr>
          <w:b/>
          <w:bCs/>
          <w:sz w:val="22"/>
          <w:szCs w:val="22"/>
        </w:rPr>
        <w:t xml:space="preserve">6.2. </w:t>
      </w:r>
      <w:r w:rsidR="00356F64" w:rsidRPr="006E21C7">
        <w:rPr>
          <w:b/>
          <w:bCs/>
          <w:sz w:val="22"/>
          <w:szCs w:val="22"/>
        </w:rPr>
        <w:t>Inkompatibilnosti</w:t>
      </w:r>
    </w:p>
    <w:p w:rsidR="0002110E" w:rsidRPr="006E21C7" w:rsidRDefault="0002110E" w:rsidP="00356F64">
      <w:pPr>
        <w:tabs>
          <w:tab w:val="left" w:pos="540"/>
          <w:tab w:val="left" w:pos="569"/>
        </w:tabs>
        <w:rPr>
          <w:b/>
          <w:bCs/>
          <w:sz w:val="22"/>
          <w:szCs w:val="22"/>
        </w:rPr>
      </w:pPr>
    </w:p>
    <w:p w:rsidR="005E084B" w:rsidRPr="006E21C7" w:rsidRDefault="005E084B" w:rsidP="00356F64">
      <w:pPr>
        <w:tabs>
          <w:tab w:val="left" w:pos="540"/>
          <w:tab w:val="left" w:pos="569"/>
        </w:tabs>
        <w:rPr>
          <w:sz w:val="22"/>
          <w:szCs w:val="22"/>
        </w:rPr>
      </w:pPr>
      <w:r w:rsidRPr="006E21C7">
        <w:rPr>
          <w:sz w:val="22"/>
          <w:szCs w:val="22"/>
        </w:rPr>
        <w:t>Nije primjenljivo.</w:t>
      </w:r>
    </w:p>
    <w:p w:rsidR="00356F64" w:rsidRPr="006E21C7" w:rsidRDefault="00356F64" w:rsidP="00356F64">
      <w:pPr>
        <w:tabs>
          <w:tab w:val="left" w:pos="540"/>
          <w:tab w:val="left" w:pos="569"/>
        </w:tabs>
        <w:rPr>
          <w:bCs/>
          <w:sz w:val="22"/>
          <w:szCs w:val="22"/>
        </w:rPr>
      </w:pPr>
    </w:p>
    <w:p w:rsidR="00356F64" w:rsidRPr="006E21C7" w:rsidRDefault="008C7B1F" w:rsidP="00356F64">
      <w:pPr>
        <w:tabs>
          <w:tab w:val="left" w:pos="540"/>
          <w:tab w:val="left" w:pos="569"/>
        </w:tabs>
        <w:rPr>
          <w:b/>
          <w:bCs/>
          <w:sz w:val="22"/>
          <w:szCs w:val="22"/>
        </w:rPr>
      </w:pPr>
      <w:r w:rsidRPr="006E21C7">
        <w:rPr>
          <w:b/>
          <w:bCs/>
          <w:sz w:val="22"/>
          <w:szCs w:val="22"/>
        </w:rPr>
        <w:t xml:space="preserve">6.3. </w:t>
      </w:r>
      <w:r w:rsidR="00356F64" w:rsidRPr="006E21C7">
        <w:rPr>
          <w:b/>
          <w:bCs/>
          <w:sz w:val="22"/>
          <w:szCs w:val="22"/>
        </w:rPr>
        <w:t>Rok upotrebe</w:t>
      </w:r>
    </w:p>
    <w:p w:rsidR="0002110E" w:rsidRPr="006E21C7" w:rsidRDefault="0002110E" w:rsidP="00356F64">
      <w:pPr>
        <w:tabs>
          <w:tab w:val="left" w:pos="540"/>
          <w:tab w:val="left" w:pos="569"/>
        </w:tabs>
        <w:rPr>
          <w:b/>
          <w:bCs/>
          <w:sz w:val="22"/>
          <w:szCs w:val="22"/>
        </w:rPr>
      </w:pPr>
    </w:p>
    <w:p w:rsidR="00356F64" w:rsidRPr="006E21C7" w:rsidRDefault="00E84980" w:rsidP="00356F64">
      <w:pPr>
        <w:tabs>
          <w:tab w:val="left" w:pos="540"/>
          <w:tab w:val="left" w:pos="569"/>
        </w:tabs>
        <w:rPr>
          <w:sz w:val="22"/>
          <w:szCs w:val="22"/>
        </w:rPr>
      </w:pPr>
      <w:r w:rsidRPr="006E21C7">
        <w:rPr>
          <w:sz w:val="22"/>
          <w:szCs w:val="22"/>
        </w:rPr>
        <w:t>3 godine</w:t>
      </w:r>
      <w:r w:rsidR="000C5BC6" w:rsidRPr="006E21C7">
        <w:rPr>
          <w:sz w:val="22"/>
          <w:szCs w:val="22"/>
        </w:rPr>
        <w:t>.</w:t>
      </w:r>
    </w:p>
    <w:p w:rsidR="00356F64" w:rsidRPr="006E21C7" w:rsidRDefault="00356F64" w:rsidP="00356F64">
      <w:pPr>
        <w:tabs>
          <w:tab w:val="left" w:pos="540"/>
          <w:tab w:val="left" w:pos="569"/>
        </w:tabs>
        <w:rPr>
          <w:bCs/>
          <w:sz w:val="22"/>
          <w:szCs w:val="22"/>
        </w:rPr>
      </w:pPr>
    </w:p>
    <w:p w:rsidR="00356F64" w:rsidRPr="006E21C7" w:rsidRDefault="008C7B1F" w:rsidP="00356F64">
      <w:pPr>
        <w:tabs>
          <w:tab w:val="left" w:pos="540"/>
          <w:tab w:val="left" w:pos="569"/>
        </w:tabs>
        <w:rPr>
          <w:b/>
          <w:bCs/>
          <w:sz w:val="22"/>
          <w:szCs w:val="22"/>
        </w:rPr>
      </w:pPr>
      <w:r w:rsidRPr="006E21C7">
        <w:rPr>
          <w:b/>
          <w:bCs/>
          <w:sz w:val="22"/>
          <w:szCs w:val="22"/>
        </w:rPr>
        <w:t xml:space="preserve">6.4. </w:t>
      </w:r>
      <w:r w:rsidR="00356F64" w:rsidRPr="006E21C7">
        <w:rPr>
          <w:b/>
          <w:bCs/>
          <w:sz w:val="22"/>
          <w:szCs w:val="22"/>
        </w:rPr>
        <w:t>Posebne mjere upozorenja pri čuvanju lijeka</w:t>
      </w:r>
    </w:p>
    <w:p w:rsidR="004D700C" w:rsidRPr="006E21C7" w:rsidRDefault="004D700C" w:rsidP="00356F64">
      <w:pPr>
        <w:tabs>
          <w:tab w:val="left" w:pos="540"/>
          <w:tab w:val="left" w:pos="569"/>
        </w:tabs>
        <w:rPr>
          <w:sz w:val="22"/>
          <w:szCs w:val="22"/>
        </w:rPr>
      </w:pPr>
    </w:p>
    <w:p w:rsidR="00356F64" w:rsidRPr="006E21C7" w:rsidRDefault="004D700C" w:rsidP="00356F64">
      <w:pPr>
        <w:tabs>
          <w:tab w:val="left" w:pos="540"/>
          <w:tab w:val="left" w:pos="569"/>
        </w:tabs>
        <w:rPr>
          <w:sz w:val="22"/>
          <w:szCs w:val="22"/>
        </w:rPr>
      </w:pPr>
      <w:r w:rsidRPr="006E21C7">
        <w:rPr>
          <w:sz w:val="22"/>
          <w:szCs w:val="22"/>
        </w:rPr>
        <w:t xml:space="preserve">Čuvati na </w:t>
      </w:r>
      <w:r w:rsidR="00F32CD7" w:rsidRPr="006E21C7">
        <w:rPr>
          <w:sz w:val="22"/>
          <w:szCs w:val="22"/>
        </w:rPr>
        <w:t xml:space="preserve">temperaturi </w:t>
      </w:r>
      <w:r w:rsidR="00E84980" w:rsidRPr="006E21C7">
        <w:rPr>
          <w:sz w:val="22"/>
          <w:szCs w:val="22"/>
        </w:rPr>
        <w:t xml:space="preserve">ispod </w:t>
      </w:r>
      <w:r w:rsidRPr="006E21C7">
        <w:rPr>
          <w:sz w:val="22"/>
          <w:szCs w:val="22"/>
        </w:rPr>
        <w:t>30</w:t>
      </w:r>
      <w:r w:rsidR="002B454C" w:rsidRPr="006E21C7">
        <w:rPr>
          <w:sz w:val="22"/>
          <w:szCs w:val="22"/>
          <w:vertAlign w:val="superscript"/>
        </w:rPr>
        <w:t>°</w:t>
      </w:r>
      <w:r w:rsidRPr="006E21C7">
        <w:rPr>
          <w:sz w:val="22"/>
          <w:szCs w:val="22"/>
        </w:rPr>
        <w:t>C.</w:t>
      </w:r>
    </w:p>
    <w:p w:rsidR="004D700C" w:rsidRPr="006E21C7" w:rsidRDefault="004D700C" w:rsidP="00356F64">
      <w:pPr>
        <w:tabs>
          <w:tab w:val="left" w:pos="540"/>
          <w:tab w:val="left" w:pos="569"/>
        </w:tabs>
        <w:rPr>
          <w:bCs/>
          <w:sz w:val="22"/>
          <w:szCs w:val="22"/>
        </w:rPr>
      </w:pPr>
    </w:p>
    <w:p w:rsidR="00356F64" w:rsidRPr="006E21C7" w:rsidRDefault="008C7B1F" w:rsidP="00356F64">
      <w:pPr>
        <w:tabs>
          <w:tab w:val="left" w:pos="540"/>
          <w:tab w:val="left" w:pos="569"/>
        </w:tabs>
        <w:rPr>
          <w:b/>
          <w:bCs/>
          <w:sz w:val="22"/>
          <w:szCs w:val="22"/>
        </w:rPr>
      </w:pPr>
      <w:r w:rsidRPr="006E21C7">
        <w:rPr>
          <w:b/>
          <w:bCs/>
          <w:sz w:val="22"/>
          <w:szCs w:val="22"/>
        </w:rPr>
        <w:t xml:space="preserve">6.5. </w:t>
      </w:r>
      <w:r w:rsidR="00356F64" w:rsidRPr="006E21C7">
        <w:rPr>
          <w:b/>
          <w:bCs/>
          <w:sz w:val="22"/>
          <w:szCs w:val="22"/>
        </w:rPr>
        <w:t>Vrsta i sadržaj pakovanja</w:t>
      </w:r>
    </w:p>
    <w:p w:rsidR="0002110E" w:rsidRPr="006E21C7" w:rsidRDefault="0002110E" w:rsidP="00356F64">
      <w:pPr>
        <w:tabs>
          <w:tab w:val="left" w:pos="540"/>
          <w:tab w:val="left" w:pos="569"/>
        </w:tabs>
        <w:rPr>
          <w:b/>
          <w:bCs/>
          <w:sz w:val="22"/>
          <w:szCs w:val="22"/>
        </w:rPr>
      </w:pPr>
    </w:p>
    <w:p w:rsidR="00356F64" w:rsidRPr="006E21C7" w:rsidRDefault="00DA59DD" w:rsidP="00356F64">
      <w:pPr>
        <w:ind w:right="20"/>
        <w:rPr>
          <w:sz w:val="22"/>
          <w:szCs w:val="22"/>
        </w:rPr>
      </w:pPr>
      <w:r w:rsidRPr="006E21C7">
        <w:rPr>
          <w:sz w:val="22"/>
          <w:szCs w:val="22"/>
        </w:rPr>
        <w:t xml:space="preserve">Unutrašnje pakovanje je </w:t>
      </w:r>
      <w:r w:rsidR="00356F64" w:rsidRPr="006E21C7">
        <w:rPr>
          <w:sz w:val="22"/>
          <w:szCs w:val="22"/>
        </w:rPr>
        <w:t>blister (PVC</w:t>
      </w:r>
      <w:r w:rsidR="00E84980" w:rsidRPr="006E21C7">
        <w:rPr>
          <w:sz w:val="22"/>
          <w:szCs w:val="22"/>
        </w:rPr>
        <w:t>/PE/PVDC</w:t>
      </w:r>
      <w:r w:rsidR="00356F64" w:rsidRPr="006E21C7">
        <w:rPr>
          <w:sz w:val="22"/>
          <w:szCs w:val="22"/>
        </w:rPr>
        <w:t>/Al)</w:t>
      </w:r>
      <w:r w:rsidRPr="006E21C7">
        <w:rPr>
          <w:sz w:val="22"/>
          <w:szCs w:val="22"/>
        </w:rPr>
        <w:t xml:space="preserve"> koji sadrži 14 tableta</w:t>
      </w:r>
      <w:r w:rsidR="00356F64" w:rsidRPr="006E21C7">
        <w:rPr>
          <w:sz w:val="22"/>
          <w:szCs w:val="22"/>
        </w:rPr>
        <w:t>.</w:t>
      </w:r>
    </w:p>
    <w:p w:rsidR="00356F64" w:rsidRPr="006E21C7" w:rsidRDefault="00DA59DD" w:rsidP="0032605C">
      <w:pPr>
        <w:ind w:right="20"/>
        <w:jc w:val="both"/>
        <w:rPr>
          <w:sz w:val="22"/>
          <w:szCs w:val="22"/>
        </w:rPr>
      </w:pPr>
      <w:r w:rsidRPr="006E21C7">
        <w:rPr>
          <w:sz w:val="22"/>
          <w:szCs w:val="22"/>
        </w:rPr>
        <w:lastRenderedPageBreak/>
        <w:t>Spoljašnje p</w:t>
      </w:r>
      <w:r w:rsidR="00356F64" w:rsidRPr="006E21C7">
        <w:rPr>
          <w:sz w:val="22"/>
          <w:szCs w:val="22"/>
        </w:rPr>
        <w:t xml:space="preserve">akovanje </w:t>
      </w:r>
      <w:r w:rsidRPr="006E21C7">
        <w:rPr>
          <w:sz w:val="22"/>
          <w:szCs w:val="22"/>
        </w:rPr>
        <w:t>je složiva kartonska kutija koja sadrži 2 blistera sa po 14 tableta (ukupno</w:t>
      </w:r>
      <w:r w:rsidR="00356F64" w:rsidRPr="006E21C7">
        <w:rPr>
          <w:sz w:val="22"/>
          <w:szCs w:val="22"/>
        </w:rPr>
        <w:t xml:space="preserve"> 28 tableta</w:t>
      </w:r>
      <w:r w:rsidRPr="006E21C7">
        <w:rPr>
          <w:sz w:val="22"/>
          <w:szCs w:val="22"/>
        </w:rPr>
        <w:t>) i Uputstvo za lijek</w:t>
      </w:r>
      <w:r w:rsidR="00356F64" w:rsidRPr="006E21C7">
        <w:rPr>
          <w:sz w:val="22"/>
          <w:szCs w:val="22"/>
        </w:rPr>
        <w:t>.</w:t>
      </w:r>
    </w:p>
    <w:p w:rsidR="00E34386" w:rsidRPr="006E21C7" w:rsidRDefault="00E34386" w:rsidP="00356F64">
      <w:pPr>
        <w:tabs>
          <w:tab w:val="left" w:pos="540"/>
          <w:tab w:val="left" w:pos="569"/>
        </w:tabs>
        <w:rPr>
          <w:bCs/>
          <w:sz w:val="22"/>
          <w:szCs w:val="22"/>
        </w:rPr>
      </w:pPr>
    </w:p>
    <w:p w:rsidR="00356F64" w:rsidRPr="006E21C7" w:rsidRDefault="008C7B1F" w:rsidP="00356F64">
      <w:pPr>
        <w:tabs>
          <w:tab w:val="left" w:pos="540"/>
          <w:tab w:val="left" w:pos="569"/>
        </w:tabs>
        <w:rPr>
          <w:b/>
          <w:bCs/>
          <w:sz w:val="22"/>
          <w:szCs w:val="22"/>
        </w:rPr>
      </w:pPr>
      <w:r w:rsidRPr="006E21C7">
        <w:rPr>
          <w:b/>
          <w:bCs/>
          <w:sz w:val="22"/>
          <w:szCs w:val="22"/>
        </w:rPr>
        <w:t xml:space="preserve">6.6. </w:t>
      </w:r>
      <w:r w:rsidR="00356F64" w:rsidRPr="006E21C7">
        <w:rPr>
          <w:b/>
          <w:bCs/>
          <w:sz w:val="22"/>
          <w:szCs w:val="22"/>
        </w:rPr>
        <w:t xml:space="preserve">Posebne mjere opreza pri odlaganju materijala koji treba odbaciti nakon primjene lijeka </w:t>
      </w:r>
    </w:p>
    <w:p w:rsidR="0002110E" w:rsidRPr="006E21C7" w:rsidRDefault="000046A0" w:rsidP="000046A0">
      <w:pPr>
        <w:tabs>
          <w:tab w:val="left" w:pos="540"/>
          <w:tab w:val="left" w:pos="569"/>
        </w:tabs>
        <w:rPr>
          <w:b/>
          <w:bCs/>
          <w:sz w:val="22"/>
          <w:szCs w:val="22"/>
        </w:rPr>
      </w:pPr>
      <w:r w:rsidRPr="006E21C7">
        <w:rPr>
          <w:b/>
          <w:bCs/>
          <w:sz w:val="22"/>
          <w:szCs w:val="22"/>
        </w:rPr>
        <w:t>(i druga uputsva za rukovanje lijekom)</w:t>
      </w:r>
    </w:p>
    <w:p w:rsidR="000B7467" w:rsidRPr="006E21C7" w:rsidRDefault="000B7467" w:rsidP="00356F64">
      <w:pPr>
        <w:rPr>
          <w:sz w:val="22"/>
          <w:szCs w:val="22"/>
        </w:rPr>
      </w:pPr>
    </w:p>
    <w:p w:rsidR="00356F64" w:rsidRPr="006E21C7" w:rsidRDefault="00356F64" w:rsidP="00356F64">
      <w:pPr>
        <w:rPr>
          <w:sz w:val="22"/>
          <w:szCs w:val="22"/>
        </w:rPr>
      </w:pPr>
      <w:r w:rsidRPr="006E21C7">
        <w:rPr>
          <w:sz w:val="22"/>
          <w:szCs w:val="22"/>
        </w:rPr>
        <w:t xml:space="preserve">Nema </w:t>
      </w:r>
      <w:r w:rsidR="000B7467" w:rsidRPr="006E21C7">
        <w:rPr>
          <w:sz w:val="22"/>
          <w:szCs w:val="22"/>
        </w:rPr>
        <w:t>posebnih zahtjeva</w:t>
      </w:r>
      <w:r w:rsidRPr="006E21C7">
        <w:rPr>
          <w:sz w:val="22"/>
          <w:szCs w:val="22"/>
        </w:rPr>
        <w:t>.</w:t>
      </w:r>
    </w:p>
    <w:p w:rsidR="00F80156" w:rsidRPr="006E21C7" w:rsidRDefault="00356F64" w:rsidP="00356F64">
      <w:pPr>
        <w:rPr>
          <w:sz w:val="22"/>
          <w:szCs w:val="22"/>
        </w:rPr>
      </w:pPr>
      <w:r w:rsidRPr="006E21C7">
        <w:rPr>
          <w:sz w:val="22"/>
          <w:szCs w:val="22"/>
        </w:rPr>
        <w:t>Svu količinu neupotrijebljenog lijeka ili otpadnog materijala uništiti u skladu sa važećim propisima</w:t>
      </w:r>
      <w:r w:rsidR="00DA59DD" w:rsidRPr="006E21C7">
        <w:rPr>
          <w:sz w:val="22"/>
          <w:szCs w:val="22"/>
        </w:rPr>
        <w:t>.</w:t>
      </w:r>
    </w:p>
    <w:p w:rsidR="00356F64" w:rsidRPr="006E21C7" w:rsidRDefault="00356F64" w:rsidP="00A256A2">
      <w:pPr>
        <w:rPr>
          <w:bCs/>
          <w:sz w:val="22"/>
          <w:szCs w:val="22"/>
        </w:rPr>
      </w:pPr>
    </w:p>
    <w:p w:rsidR="008C7B1F" w:rsidRPr="006E21C7" w:rsidRDefault="008C7B1F" w:rsidP="00356F64">
      <w:pPr>
        <w:tabs>
          <w:tab w:val="left" w:pos="540"/>
          <w:tab w:val="left" w:pos="569"/>
        </w:tabs>
        <w:rPr>
          <w:bCs/>
          <w:sz w:val="22"/>
          <w:szCs w:val="22"/>
        </w:rPr>
      </w:pPr>
    </w:p>
    <w:p w:rsidR="00356F64" w:rsidRPr="006E21C7" w:rsidRDefault="008C7B1F" w:rsidP="00356F64">
      <w:pPr>
        <w:tabs>
          <w:tab w:val="left" w:pos="540"/>
          <w:tab w:val="left" w:pos="569"/>
        </w:tabs>
        <w:rPr>
          <w:b/>
          <w:bCs/>
          <w:sz w:val="22"/>
          <w:szCs w:val="22"/>
        </w:rPr>
      </w:pPr>
      <w:r w:rsidRPr="006E21C7">
        <w:rPr>
          <w:b/>
          <w:bCs/>
          <w:sz w:val="22"/>
          <w:szCs w:val="22"/>
        </w:rPr>
        <w:t xml:space="preserve">7. </w:t>
      </w:r>
      <w:r w:rsidR="00356F64" w:rsidRPr="006E21C7">
        <w:rPr>
          <w:b/>
          <w:bCs/>
          <w:sz w:val="22"/>
          <w:szCs w:val="22"/>
        </w:rPr>
        <w:t xml:space="preserve">NOSILAC DOZVOLE </w:t>
      </w:r>
    </w:p>
    <w:p w:rsidR="00356F64" w:rsidRPr="006E21C7" w:rsidRDefault="00356F64" w:rsidP="00356F64">
      <w:pPr>
        <w:tabs>
          <w:tab w:val="left" w:pos="540"/>
          <w:tab w:val="left" w:pos="569"/>
        </w:tabs>
        <w:rPr>
          <w:b/>
          <w:bCs/>
          <w:sz w:val="22"/>
          <w:szCs w:val="22"/>
        </w:rPr>
      </w:pPr>
    </w:p>
    <w:p w:rsidR="005E084B" w:rsidRPr="006E21C7" w:rsidRDefault="009C6BC5" w:rsidP="00E34386">
      <w:pPr>
        <w:pStyle w:val="Header"/>
        <w:tabs>
          <w:tab w:val="left" w:pos="284"/>
        </w:tabs>
        <w:rPr>
          <w:sz w:val="22"/>
          <w:szCs w:val="22"/>
          <w:lang w:val="sr-Latn-ME"/>
        </w:rPr>
      </w:pPr>
      <w:r>
        <w:rPr>
          <w:sz w:val="22"/>
          <w:szCs w:val="22"/>
          <w:lang w:val="sr-Latn-ME"/>
        </w:rPr>
        <w:t>Glosarij d.o.o.</w:t>
      </w:r>
    </w:p>
    <w:p w:rsidR="00356F64" w:rsidRPr="006E21C7" w:rsidRDefault="009C6BC5" w:rsidP="00E34386">
      <w:pPr>
        <w:pStyle w:val="Header"/>
        <w:tabs>
          <w:tab w:val="left" w:pos="284"/>
        </w:tabs>
        <w:rPr>
          <w:sz w:val="22"/>
          <w:szCs w:val="22"/>
          <w:lang w:val="sr-Latn-ME"/>
        </w:rPr>
      </w:pPr>
      <w:r>
        <w:rPr>
          <w:sz w:val="22"/>
          <w:szCs w:val="22"/>
          <w:lang w:val="sr-Latn-ME"/>
        </w:rPr>
        <w:t>Vojislavljevića</w:t>
      </w:r>
      <w:bookmarkStart w:id="0" w:name="_GoBack"/>
      <w:bookmarkEnd w:id="0"/>
      <w:r>
        <w:rPr>
          <w:sz w:val="22"/>
          <w:szCs w:val="22"/>
          <w:lang w:val="sr-Latn-ME"/>
        </w:rPr>
        <w:t xml:space="preserve"> 76</w:t>
      </w:r>
      <w:r w:rsidR="000C5BC6" w:rsidRPr="006E21C7">
        <w:rPr>
          <w:sz w:val="22"/>
          <w:szCs w:val="22"/>
          <w:lang w:val="sr-Latn-ME"/>
        </w:rPr>
        <w:t>,</w:t>
      </w:r>
      <w:r w:rsidR="006B5FC6" w:rsidRPr="006E21C7">
        <w:rPr>
          <w:sz w:val="22"/>
          <w:szCs w:val="22"/>
          <w:lang w:val="sr-Latn-ME"/>
        </w:rPr>
        <w:t xml:space="preserve"> </w:t>
      </w:r>
      <w:r w:rsidR="00356F64" w:rsidRPr="006E21C7">
        <w:rPr>
          <w:sz w:val="22"/>
          <w:szCs w:val="22"/>
          <w:lang w:val="sr-Latn-ME"/>
        </w:rPr>
        <w:t>81</w:t>
      </w:r>
      <w:r>
        <w:rPr>
          <w:sz w:val="22"/>
          <w:szCs w:val="22"/>
          <w:lang w:val="sr-Latn-ME"/>
        </w:rPr>
        <w:t xml:space="preserve"> </w:t>
      </w:r>
      <w:r w:rsidR="00356F64" w:rsidRPr="006E21C7">
        <w:rPr>
          <w:sz w:val="22"/>
          <w:szCs w:val="22"/>
          <w:lang w:val="sr-Latn-ME"/>
        </w:rPr>
        <w:t>000 Podgorica, Crna Gora</w:t>
      </w:r>
    </w:p>
    <w:p w:rsidR="00356F64" w:rsidRPr="006E21C7" w:rsidRDefault="00356F64" w:rsidP="00356F64">
      <w:pPr>
        <w:tabs>
          <w:tab w:val="left" w:pos="540"/>
          <w:tab w:val="left" w:pos="569"/>
        </w:tabs>
        <w:rPr>
          <w:bCs/>
          <w:sz w:val="22"/>
          <w:szCs w:val="22"/>
        </w:rPr>
      </w:pPr>
    </w:p>
    <w:p w:rsidR="006F0800" w:rsidRDefault="006F0800" w:rsidP="00356F64">
      <w:pPr>
        <w:tabs>
          <w:tab w:val="left" w:pos="540"/>
          <w:tab w:val="left" w:pos="569"/>
        </w:tabs>
        <w:rPr>
          <w:b/>
          <w:bCs/>
          <w:sz w:val="22"/>
          <w:szCs w:val="22"/>
        </w:rPr>
      </w:pPr>
    </w:p>
    <w:p w:rsidR="00356F64" w:rsidRPr="006E21C7" w:rsidRDefault="008C7B1F" w:rsidP="00356F64">
      <w:pPr>
        <w:tabs>
          <w:tab w:val="left" w:pos="540"/>
          <w:tab w:val="left" w:pos="569"/>
        </w:tabs>
        <w:rPr>
          <w:b/>
          <w:bCs/>
          <w:sz w:val="22"/>
          <w:szCs w:val="22"/>
        </w:rPr>
      </w:pPr>
      <w:r w:rsidRPr="006E21C7">
        <w:rPr>
          <w:b/>
          <w:bCs/>
          <w:sz w:val="22"/>
          <w:szCs w:val="22"/>
        </w:rPr>
        <w:t xml:space="preserve">8. </w:t>
      </w:r>
      <w:r w:rsidR="00356F64" w:rsidRPr="006E21C7">
        <w:rPr>
          <w:b/>
          <w:bCs/>
          <w:sz w:val="22"/>
          <w:szCs w:val="22"/>
        </w:rPr>
        <w:t>BROJ DOZVOLE</w:t>
      </w:r>
      <w:r w:rsidR="000046A0" w:rsidRPr="006E21C7">
        <w:rPr>
          <w:b/>
          <w:bCs/>
          <w:sz w:val="22"/>
          <w:szCs w:val="22"/>
        </w:rPr>
        <w:t xml:space="preserve"> ZA STAVLJANJE LIJEKA U PROMET</w:t>
      </w:r>
    </w:p>
    <w:p w:rsidR="00356F64" w:rsidRPr="006E21C7" w:rsidRDefault="00356F64" w:rsidP="00356F64">
      <w:pPr>
        <w:tabs>
          <w:tab w:val="left" w:pos="540"/>
          <w:tab w:val="left" w:pos="569"/>
        </w:tabs>
        <w:rPr>
          <w:bCs/>
          <w:sz w:val="22"/>
          <w:szCs w:val="22"/>
        </w:rPr>
      </w:pPr>
    </w:p>
    <w:p w:rsidR="006E21C7" w:rsidRPr="006E21C7" w:rsidRDefault="006E21C7" w:rsidP="00356F64">
      <w:pPr>
        <w:tabs>
          <w:tab w:val="left" w:pos="540"/>
          <w:tab w:val="left" w:pos="569"/>
        </w:tabs>
        <w:rPr>
          <w:bCs/>
          <w:sz w:val="22"/>
          <w:szCs w:val="22"/>
        </w:rPr>
      </w:pPr>
      <w:r w:rsidRPr="006E21C7">
        <w:rPr>
          <w:bCs/>
          <w:sz w:val="22"/>
          <w:szCs w:val="22"/>
        </w:rPr>
        <w:t>2030/24/3668 - 2003</w:t>
      </w:r>
    </w:p>
    <w:p w:rsidR="00356F64" w:rsidRPr="006E21C7" w:rsidRDefault="00356F64" w:rsidP="00356F64">
      <w:pPr>
        <w:tabs>
          <w:tab w:val="left" w:pos="540"/>
          <w:tab w:val="left" w:pos="569"/>
        </w:tabs>
        <w:rPr>
          <w:bCs/>
          <w:sz w:val="22"/>
          <w:szCs w:val="22"/>
        </w:rPr>
      </w:pPr>
    </w:p>
    <w:p w:rsidR="006F0800" w:rsidRDefault="006F0800" w:rsidP="00356F64">
      <w:pPr>
        <w:tabs>
          <w:tab w:val="left" w:pos="540"/>
          <w:tab w:val="left" w:pos="569"/>
        </w:tabs>
        <w:rPr>
          <w:b/>
          <w:bCs/>
          <w:sz w:val="22"/>
          <w:szCs w:val="22"/>
        </w:rPr>
      </w:pPr>
    </w:p>
    <w:p w:rsidR="00356F64" w:rsidRPr="006E21C7" w:rsidRDefault="008C7B1F" w:rsidP="00356F64">
      <w:pPr>
        <w:tabs>
          <w:tab w:val="left" w:pos="540"/>
          <w:tab w:val="left" w:pos="569"/>
        </w:tabs>
        <w:rPr>
          <w:b/>
          <w:bCs/>
          <w:sz w:val="22"/>
          <w:szCs w:val="22"/>
        </w:rPr>
      </w:pPr>
      <w:r w:rsidRPr="006E21C7">
        <w:rPr>
          <w:b/>
          <w:bCs/>
          <w:sz w:val="22"/>
          <w:szCs w:val="22"/>
        </w:rPr>
        <w:t xml:space="preserve">9. </w:t>
      </w:r>
      <w:r w:rsidR="00356F64" w:rsidRPr="006E21C7">
        <w:rPr>
          <w:b/>
          <w:bCs/>
          <w:sz w:val="22"/>
          <w:szCs w:val="22"/>
        </w:rPr>
        <w:t>DATUM PRVE DOZVOLE/ DATUM OBNOVE DOZVOLE</w:t>
      </w:r>
      <w:r w:rsidR="000046A0" w:rsidRPr="006E21C7">
        <w:rPr>
          <w:b/>
          <w:bCs/>
          <w:sz w:val="22"/>
          <w:szCs w:val="22"/>
        </w:rPr>
        <w:t xml:space="preserve"> ZA STAVLJANJE LIJEKA U PROMET</w:t>
      </w:r>
    </w:p>
    <w:p w:rsidR="00356F64" w:rsidRPr="006E21C7" w:rsidRDefault="00356F64" w:rsidP="00356F64">
      <w:pPr>
        <w:tabs>
          <w:tab w:val="left" w:pos="540"/>
          <w:tab w:val="left" w:pos="569"/>
        </w:tabs>
        <w:rPr>
          <w:bCs/>
          <w:sz w:val="22"/>
          <w:szCs w:val="22"/>
        </w:rPr>
      </w:pPr>
    </w:p>
    <w:p w:rsidR="006E21C7" w:rsidRPr="006E21C7" w:rsidRDefault="006E21C7" w:rsidP="006E21C7">
      <w:pPr>
        <w:tabs>
          <w:tab w:val="left" w:pos="540"/>
          <w:tab w:val="left" w:pos="569"/>
        </w:tabs>
        <w:rPr>
          <w:bCs/>
          <w:sz w:val="22"/>
          <w:szCs w:val="22"/>
        </w:rPr>
      </w:pPr>
      <w:r w:rsidRPr="006E21C7">
        <w:rPr>
          <w:bCs/>
          <w:sz w:val="22"/>
          <w:szCs w:val="22"/>
        </w:rPr>
        <w:t xml:space="preserve">Datum prve dozvole: </w:t>
      </w:r>
      <w:r>
        <w:rPr>
          <w:bCs/>
          <w:sz w:val="22"/>
          <w:szCs w:val="22"/>
        </w:rPr>
        <w:t>02.10.2015</w:t>
      </w:r>
      <w:r w:rsidRPr="006E21C7">
        <w:rPr>
          <w:bCs/>
          <w:sz w:val="22"/>
          <w:szCs w:val="22"/>
        </w:rPr>
        <w:t xml:space="preserve">. godine </w:t>
      </w:r>
    </w:p>
    <w:p w:rsidR="00356F64" w:rsidRDefault="006E21C7" w:rsidP="006E21C7">
      <w:pPr>
        <w:tabs>
          <w:tab w:val="left" w:pos="540"/>
          <w:tab w:val="left" w:pos="569"/>
        </w:tabs>
        <w:rPr>
          <w:bCs/>
          <w:sz w:val="22"/>
          <w:szCs w:val="22"/>
        </w:rPr>
      </w:pPr>
      <w:r w:rsidRPr="006E21C7">
        <w:rPr>
          <w:bCs/>
          <w:sz w:val="22"/>
          <w:szCs w:val="22"/>
        </w:rPr>
        <w:t xml:space="preserve">Datum poslednje obnove dozvole: </w:t>
      </w:r>
      <w:r w:rsidR="0039229B">
        <w:rPr>
          <w:bCs/>
          <w:sz w:val="22"/>
          <w:szCs w:val="22"/>
        </w:rPr>
        <w:t>02.12</w:t>
      </w:r>
      <w:r w:rsidRPr="006E21C7">
        <w:rPr>
          <w:bCs/>
          <w:sz w:val="22"/>
          <w:szCs w:val="22"/>
        </w:rPr>
        <w:t>.2024. godine</w:t>
      </w:r>
    </w:p>
    <w:p w:rsidR="006E21C7" w:rsidRDefault="006E21C7" w:rsidP="006E21C7">
      <w:pPr>
        <w:tabs>
          <w:tab w:val="left" w:pos="540"/>
          <w:tab w:val="left" w:pos="569"/>
        </w:tabs>
        <w:rPr>
          <w:bCs/>
          <w:sz w:val="22"/>
          <w:szCs w:val="22"/>
        </w:rPr>
      </w:pPr>
    </w:p>
    <w:p w:rsidR="006E21C7" w:rsidRPr="006E21C7" w:rsidRDefault="006E21C7" w:rsidP="006E21C7">
      <w:pPr>
        <w:tabs>
          <w:tab w:val="left" w:pos="540"/>
          <w:tab w:val="left" w:pos="569"/>
        </w:tabs>
        <w:rPr>
          <w:bCs/>
          <w:sz w:val="22"/>
          <w:szCs w:val="22"/>
        </w:rPr>
      </w:pPr>
    </w:p>
    <w:p w:rsidR="00356F64" w:rsidRPr="006E21C7" w:rsidRDefault="008C7B1F" w:rsidP="008C7B1F">
      <w:pPr>
        <w:tabs>
          <w:tab w:val="left" w:pos="0"/>
        </w:tabs>
        <w:rPr>
          <w:b/>
          <w:bCs/>
          <w:sz w:val="22"/>
          <w:szCs w:val="22"/>
        </w:rPr>
      </w:pPr>
      <w:r w:rsidRPr="006E21C7">
        <w:rPr>
          <w:b/>
          <w:bCs/>
          <w:sz w:val="22"/>
          <w:szCs w:val="22"/>
        </w:rPr>
        <w:t xml:space="preserve">10. </w:t>
      </w:r>
      <w:r w:rsidR="00356F64" w:rsidRPr="006E21C7">
        <w:rPr>
          <w:b/>
          <w:bCs/>
          <w:sz w:val="22"/>
          <w:szCs w:val="22"/>
        </w:rPr>
        <w:t>DATUM</w:t>
      </w:r>
      <w:r w:rsidR="00B23AA7" w:rsidRPr="006E21C7">
        <w:rPr>
          <w:b/>
          <w:bCs/>
          <w:sz w:val="22"/>
          <w:szCs w:val="22"/>
        </w:rPr>
        <w:t xml:space="preserve"> </w:t>
      </w:r>
      <w:r w:rsidR="00356F64" w:rsidRPr="006E21C7">
        <w:rPr>
          <w:b/>
          <w:bCs/>
          <w:sz w:val="22"/>
          <w:szCs w:val="22"/>
        </w:rPr>
        <w:t xml:space="preserve">REVIZIJE TEKSTA </w:t>
      </w:r>
    </w:p>
    <w:p w:rsidR="00356F64" w:rsidRPr="006E21C7" w:rsidRDefault="00356F64" w:rsidP="00356F64">
      <w:pPr>
        <w:tabs>
          <w:tab w:val="left" w:pos="540"/>
          <w:tab w:val="left" w:pos="569"/>
        </w:tabs>
        <w:rPr>
          <w:bCs/>
          <w:sz w:val="22"/>
          <w:szCs w:val="22"/>
        </w:rPr>
      </w:pPr>
    </w:p>
    <w:p w:rsidR="00356F64" w:rsidRPr="006E21C7" w:rsidRDefault="0039229B" w:rsidP="00356F64">
      <w:pPr>
        <w:tabs>
          <w:tab w:val="left" w:pos="540"/>
          <w:tab w:val="left" w:pos="569"/>
        </w:tabs>
        <w:rPr>
          <w:bCs/>
          <w:sz w:val="22"/>
          <w:szCs w:val="22"/>
        </w:rPr>
      </w:pPr>
      <w:r>
        <w:rPr>
          <w:bCs/>
          <w:sz w:val="22"/>
          <w:szCs w:val="22"/>
        </w:rPr>
        <w:t>Decembar</w:t>
      </w:r>
      <w:r w:rsidR="0032605C">
        <w:rPr>
          <w:bCs/>
          <w:sz w:val="22"/>
          <w:szCs w:val="22"/>
        </w:rPr>
        <w:t>, 2024. godine</w:t>
      </w:r>
    </w:p>
    <w:p w:rsidR="00356F64" w:rsidRPr="006E21C7" w:rsidRDefault="00356F64" w:rsidP="00356F64">
      <w:pPr>
        <w:rPr>
          <w:sz w:val="22"/>
          <w:szCs w:val="22"/>
        </w:rPr>
      </w:pPr>
    </w:p>
    <w:p w:rsidR="003F6A59" w:rsidRPr="006E21C7" w:rsidRDefault="003F6A59" w:rsidP="00987348">
      <w:pPr>
        <w:jc w:val="both"/>
        <w:rPr>
          <w:sz w:val="22"/>
          <w:szCs w:val="22"/>
        </w:rPr>
      </w:pPr>
    </w:p>
    <w:sectPr w:rsidR="003F6A59" w:rsidRPr="006E21C7" w:rsidSect="0032605C">
      <w:footerReference w:type="default" r:id="rId12"/>
      <w:pgSz w:w="11909" w:h="16834" w:code="9"/>
      <w:pgMar w:top="1140" w:right="1412" w:bottom="1140" w:left="1412" w:header="737"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11F" w:rsidRDefault="00EB511F">
      <w:r>
        <w:separator/>
      </w:r>
    </w:p>
  </w:endnote>
  <w:endnote w:type="continuationSeparator" w:id="0">
    <w:p w:rsidR="00EB511F" w:rsidRDefault="00EB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10E" w:rsidRDefault="0002110E" w:rsidP="0002110E">
    <w:pPr>
      <w:pStyle w:val="Footer"/>
      <w:framePr w:wrap="around" w:vAnchor="text" w:hAnchor="margin" w:xAlign="right" w:y="1"/>
      <w:rPr>
        <w:rStyle w:val="PageNumber"/>
      </w:rPr>
    </w:pPr>
  </w:p>
  <w:p w:rsidR="0002110E" w:rsidRDefault="0002110E" w:rsidP="0002110E">
    <w:pPr>
      <w:pStyle w:val="Footer"/>
      <w:jc w:val="center"/>
      <w:rPr>
        <w:sz w:val="16"/>
        <w:szCs w:val="18"/>
      </w:rPr>
    </w:pPr>
  </w:p>
  <w:p w:rsidR="0002110E" w:rsidRDefault="0002110E" w:rsidP="0002110E">
    <w:pPr>
      <w:pStyle w:val="Header"/>
    </w:pPr>
  </w:p>
  <w:p w:rsidR="000640B7" w:rsidRPr="0002110E" w:rsidRDefault="0002110E" w:rsidP="0002110E">
    <w:pPr>
      <w:pStyle w:val="Header"/>
      <w:jc w:val="center"/>
      <w:rPr>
        <w:sz w:val="20"/>
        <w:szCs w:val="20"/>
        <w:lang w:val="sr-Latn-ME"/>
      </w:rPr>
    </w:pPr>
    <w:r w:rsidRPr="0002110E">
      <w:rPr>
        <w:rStyle w:val="PageNumber"/>
        <w:sz w:val="20"/>
        <w:szCs w:val="20"/>
      </w:rPr>
      <w:fldChar w:fldCharType="begin"/>
    </w:r>
    <w:r w:rsidRPr="0002110E">
      <w:rPr>
        <w:rStyle w:val="PageNumber"/>
        <w:sz w:val="20"/>
        <w:szCs w:val="20"/>
      </w:rPr>
      <w:instrText xml:space="preserve"> PAGE </w:instrText>
    </w:r>
    <w:r w:rsidRPr="0002110E">
      <w:rPr>
        <w:rStyle w:val="PageNumber"/>
        <w:sz w:val="20"/>
        <w:szCs w:val="20"/>
      </w:rPr>
      <w:fldChar w:fldCharType="separate"/>
    </w:r>
    <w:r w:rsidR="009C6BC5">
      <w:rPr>
        <w:rStyle w:val="PageNumber"/>
        <w:sz w:val="20"/>
        <w:szCs w:val="20"/>
      </w:rPr>
      <w:t>10</w:t>
    </w:r>
    <w:r w:rsidRPr="0002110E">
      <w:rPr>
        <w:rStyle w:val="PageNumber"/>
        <w:sz w:val="20"/>
        <w:szCs w:val="20"/>
      </w:rPr>
      <w:fldChar w:fldCharType="end"/>
    </w:r>
    <w:r w:rsidRPr="0002110E">
      <w:rPr>
        <w:rStyle w:val="PageNumber"/>
        <w:sz w:val="20"/>
        <w:szCs w:val="20"/>
      </w:rPr>
      <w:t xml:space="preserve"> / </w:t>
    </w:r>
    <w:r w:rsidRPr="0002110E">
      <w:rPr>
        <w:rStyle w:val="PageNumber"/>
        <w:sz w:val="20"/>
        <w:szCs w:val="20"/>
      </w:rPr>
      <w:fldChar w:fldCharType="begin"/>
    </w:r>
    <w:r w:rsidRPr="0002110E">
      <w:rPr>
        <w:rStyle w:val="PageNumber"/>
        <w:sz w:val="20"/>
        <w:szCs w:val="20"/>
      </w:rPr>
      <w:instrText xml:space="preserve"> NUMPAGES </w:instrText>
    </w:r>
    <w:r w:rsidRPr="0002110E">
      <w:rPr>
        <w:rStyle w:val="PageNumber"/>
        <w:sz w:val="20"/>
        <w:szCs w:val="20"/>
      </w:rPr>
      <w:fldChar w:fldCharType="separate"/>
    </w:r>
    <w:r w:rsidR="009C6BC5">
      <w:rPr>
        <w:rStyle w:val="PageNumber"/>
        <w:sz w:val="20"/>
        <w:szCs w:val="20"/>
      </w:rPr>
      <w:t>11</w:t>
    </w:r>
    <w:r w:rsidRPr="0002110E">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11F" w:rsidRDefault="00EB511F">
      <w:r>
        <w:separator/>
      </w:r>
    </w:p>
  </w:footnote>
  <w:footnote w:type="continuationSeparator" w:id="0">
    <w:p w:rsidR="00EB511F" w:rsidRDefault="00EB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7076"/>
    <w:multiLevelType w:val="multilevel"/>
    <w:tmpl w:val="506C9A3A"/>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4A7275"/>
    <w:multiLevelType w:val="hybridMultilevel"/>
    <w:tmpl w:val="A1B291A6"/>
    <w:lvl w:ilvl="0" w:tplc="0C1CDFB4">
      <w:start w:val="1"/>
      <w:numFmt w:val="bullet"/>
      <w:lvlText w:val="-"/>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94F16"/>
    <w:multiLevelType w:val="hybridMultilevel"/>
    <w:tmpl w:val="9F02B9B4"/>
    <w:lvl w:ilvl="0" w:tplc="C7023242">
      <w:start w:val="1"/>
      <w:numFmt w:val="lowerLetter"/>
      <w:lvlText w:val="%1)"/>
      <w:lvlJc w:val="left"/>
      <w:pPr>
        <w:ind w:left="369" w:hanging="226"/>
      </w:pPr>
      <w:rPr>
        <w:rFonts w:ascii="Cambria" w:eastAsia="Cambria" w:hAnsi="Cambria" w:hint="default"/>
        <w:spacing w:val="-1"/>
        <w:w w:val="103"/>
        <w:sz w:val="20"/>
        <w:szCs w:val="20"/>
      </w:rPr>
    </w:lvl>
    <w:lvl w:ilvl="1" w:tplc="6E7AA38A">
      <w:start w:val="1"/>
      <w:numFmt w:val="bullet"/>
      <w:lvlText w:val="•"/>
      <w:lvlJc w:val="left"/>
      <w:pPr>
        <w:ind w:left="1294" w:hanging="226"/>
      </w:pPr>
      <w:rPr>
        <w:rFonts w:hint="default"/>
      </w:rPr>
    </w:lvl>
    <w:lvl w:ilvl="2" w:tplc="80FA8A9C">
      <w:start w:val="1"/>
      <w:numFmt w:val="bullet"/>
      <w:lvlText w:val="•"/>
      <w:lvlJc w:val="left"/>
      <w:pPr>
        <w:ind w:left="2219" w:hanging="226"/>
      </w:pPr>
      <w:rPr>
        <w:rFonts w:hint="default"/>
      </w:rPr>
    </w:lvl>
    <w:lvl w:ilvl="3" w:tplc="21BEBE96">
      <w:start w:val="1"/>
      <w:numFmt w:val="bullet"/>
      <w:lvlText w:val="•"/>
      <w:lvlJc w:val="left"/>
      <w:pPr>
        <w:ind w:left="3144" w:hanging="226"/>
      </w:pPr>
      <w:rPr>
        <w:rFonts w:hint="default"/>
      </w:rPr>
    </w:lvl>
    <w:lvl w:ilvl="4" w:tplc="015A2536">
      <w:start w:val="1"/>
      <w:numFmt w:val="bullet"/>
      <w:lvlText w:val="•"/>
      <w:lvlJc w:val="left"/>
      <w:pPr>
        <w:ind w:left="4069" w:hanging="226"/>
      </w:pPr>
      <w:rPr>
        <w:rFonts w:hint="default"/>
      </w:rPr>
    </w:lvl>
    <w:lvl w:ilvl="5" w:tplc="11B815FA">
      <w:start w:val="1"/>
      <w:numFmt w:val="bullet"/>
      <w:lvlText w:val="•"/>
      <w:lvlJc w:val="left"/>
      <w:pPr>
        <w:ind w:left="4994" w:hanging="226"/>
      </w:pPr>
      <w:rPr>
        <w:rFonts w:hint="default"/>
      </w:rPr>
    </w:lvl>
    <w:lvl w:ilvl="6" w:tplc="849CFD04">
      <w:start w:val="1"/>
      <w:numFmt w:val="bullet"/>
      <w:lvlText w:val="•"/>
      <w:lvlJc w:val="left"/>
      <w:pPr>
        <w:ind w:left="5919" w:hanging="226"/>
      </w:pPr>
      <w:rPr>
        <w:rFonts w:hint="default"/>
      </w:rPr>
    </w:lvl>
    <w:lvl w:ilvl="7" w:tplc="363AAB0A">
      <w:start w:val="1"/>
      <w:numFmt w:val="bullet"/>
      <w:lvlText w:val="•"/>
      <w:lvlJc w:val="left"/>
      <w:pPr>
        <w:ind w:left="6844" w:hanging="226"/>
      </w:pPr>
      <w:rPr>
        <w:rFonts w:hint="default"/>
      </w:rPr>
    </w:lvl>
    <w:lvl w:ilvl="8" w:tplc="103660E2">
      <w:start w:val="1"/>
      <w:numFmt w:val="bullet"/>
      <w:lvlText w:val="•"/>
      <w:lvlJc w:val="left"/>
      <w:pPr>
        <w:ind w:left="7769" w:hanging="226"/>
      </w:pPr>
      <w:rPr>
        <w:rFonts w:hint="default"/>
      </w:rPr>
    </w:lvl>
  </w:abstractNum>
  <w:abstractNum w:abstractNumId="5" w15:restartNumberingAfterBreak="0">
    <w:nsid w:val="1ADA4427"/>
    <w:multiLevelType w:val="hybridMultilevel"/>
    <w:tmpl w:val="8646C330"/>
    <w:lvl w:ilvl="0" w:tplc="885828E8">
      <w:numFmt w:val="bullet"/>
      <w:lvlText w:val="-"/>
      <w:lvlJc w:val="left"/>
      <w:pPr>
        <w:ind w:left="720" w:hanging="360"/>
      </w:pPr>
      <w:rPr>
        <w:rFonts w:ascii="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6E15D7"/>
    <w:multiLevelType w:val="hybridMultilevel"/>
    <w:tmpl w:val="02A27692"/>
    <w:lvl w:ilvl="0" w:tplc="C0143F98">
      <w:start w:val="1"/>
      <w:numFmt w:val="bullet"/>
      <w:lvlText w:val="-"/>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12B24"/>
    <w:multiLevelType w:val="hybridMultilevel"/>
    <w:tmpl w:val="624A350E"/>
    <w:lvl w:ilvl="0" w:tplc="EB909794">
      <w:start w:val="1"/>
      <w:numFmt w:val="bullet"/>
      <w:lvlText w:val=""/>
      <w:lvlJc w:val="left"/>
      <w:pPr>
        <w:ind w:left="820" w:hanging="341"/>
      </w:pPr>
      <w:rPr>
        <w:rFonts w:ascii="Symbol" w:eastAsia="Symbol" w:hAnsi="Symbol" w:hint="default"/>
        <w:w w:val="103"/>
        <w:sz w:val="20"/>
        <w:szCs w:val="20"/>
      </w:rPr>
    </w:lvl>
    <w:lvl w:ilvl="1" w:tplc="A02C210C">
      <w:start w:val="1"/>
      <w:numFmt w:val="bullet"/>
      <w:lvlText w:val="•"/>
      <w:lvlJc w:val="left"/>
      <w:pPr>
        <w:ind w:left="1700" w:hanging="341"/>
      </w:pPr>
      <w:rPr>
        <w:rFonts w:hint="default"/>
      </w:rPr>
    </w:lvl>
    <w:lvl w:ilvl="2" w:tplc="0E68F3D8">
      <w:start w:val="1"/>
      <w:numFmt w:val="bullet"/>
      <w:lvlText w:val="•"/>
      <w:lvlJc w:val="left"/>
      <w:pPr>
        <w:ind w:left="2580" w:hanging="341"/>
      </w:pPr>
      <w:rPr>
        <w:rFonts w:hint="default"/>
      </w:rPr>
    </w:lvl>
    <w:lvl w:ilvl="3" w:tplc="323CA8B2">
      <w:start w:val="1"/>
      <w:numFmt w:val="bullet"/>
      <w:lvlText w:val="•"/>
      <w:lvlJc w:val="left"/>
      <w:pPr>
        <w:ind w:left="3460" w:hanging="341"/>
      </w:pPr>
      <w:rPr>
        <w:rFonts w:hint="default"/>
      </w:rPr>
    </w:lvl>
    <w:lvl w:ilvl="4" w:tplc="34C2413A">
      <w:start w:val="1"/>
      <w:numFmt w:val="bullet"/>
      <w:lvlText w:val="•"/>
      <w:lvlJc w:val="left"/>
      <w:pPr>
        <w:ind w:left="4340" w:hanging="341"/>
      </w:pPr>
      <w:rPr>
        <w:rFonts w:hint="default"/>
      </w:rPr>
    </w:lvl>
    <w:lvl w:ilvl="5" w:tplc="C70A5184">
      <w:start w:val="1"/>
      <w:numFmt w:val="bullet"/>
      <w:lvlText w:val="•"/>
      <w:lvlJc w:val="left"/>
      <w:pPr>
        <w:ind w:left="5220" w:hanging="341"/>
      </w:pPr>
      <w:rPr>
        <w:rFonts w:hint="default"/>
      </w:rPr>
    </w:lvl>
    <w:lvl w:ilvl="6" w:tplc="87F4053C">
      <w:start w:val="1"/>
      <w:numFmt w:val="bullet"/>
      <w:lvlText w:val="•"/>
      <w:lvlJc w:val="left"/>
      <w:pPr>
        <w:ind w:left="6100" w:hanging="341"/>
      </w:pPr>
      <w:rPr>
        <w:rFonts w:hint="default"/>
      </w:rPr>
    </w:lvl>
    <w:lvl w:ilvl="7" w:tplc="0E52C520">
      <w:start w:val="1"/>
      <w:numFmt w:val="bullet"/>
      <w:lvlText w:val="•"/>
      <w:lvlJc w:val="left"/>
      <w:pPr>
        <w:ind w:left="6980" w:hanging="341"/>
      </w:pPr>
      <w:rPr>
        <w:rFonts w:hint="default"/>
      </w:rPr>
    </w:lvl>
    <w:lvl w:ilvl="8" w:tplc="D5D634DE">
      <w:start w:val="1"/>
      <w:numFmt w:val="bullet"/>
      <w:lvlText w:val="•"/>
      <w:lvlJc w:val="left"/>
      <w:pPr>
        <w:ind w:left="7860" w:hanging="341"/>
      </w:pPr>
      <w:rPr>
        <w:rFonts w:hint="default"/>
      </w:rPr>
    </w:lvl>
  </w:abstractNum>
  <w:abstractNum w:abstractNumId="11" w15:restartNumberingAfterBreak="0">
    <w:nsid w:val="280E6D05"/>
    <w:multiLevelType w:val="multilevel"/>
    <w:tmpl w:val="6AB2A30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3670E"/>
    <w:multiLevelType w:val="hybridMultilevel"/>
    <w:tmpl w:val="C542300A"/>
    <w:lvl w:ilvl="0" w:tplc="4C12C0F2">
      <w:start w:val="1"/>
      <w:numFmt w:val="bullet"/>
      <w:lvlText w:val="-"/>
      <w:lvlJc w:val="left"/>
      <w:pPr>
        <w:ind w:left="1012" w:hanging="336"/>
      </w:pPr>
      <w:rPr>
        <w:rFonts w:ascii="Times New Roman" w:eastAsia="Times New Roman" w:hAnsi="Times New Roman" w:hint="default"/>
        <w:w w:val="103"/>
        <w:sz w:val="20"/>
        <w:szCs w:val="20"/>
      </w:rPr>
    </w:lvl>
    <w:lvl w:ilvl="1" w:tplc="93F0EB22">
      <w:start w:val="1"/>
      <w:numFmt w:val="bullet"/>
      <w:lvlText w:val="•"/>
      <w:lvlJc w:val="left"/>
      <w:pPr>
        <w:ind w:left="1847" w:hanging="336"/>
      </w:pPr>
      <w:rPr>
        <w:rFonts w:hint="default"/>
      </w:rPr>
    </w:lvl>
    <w:lvl w:ilvl="2" w:tplc="268416E4">
      <w:start w:val="1"/>
      <w:numFmt w:val="bullet"/>
      <w:lvlText w:val="•"/>
      <w:lvlJc w:val="left"/>
      <w:pPr>
        <w:ind w:left="2682" w:hanging="336"/>
      </w:pPr>
      <w:rPr>
        <w:rFonts w:hint="default"/>
      </w:rPr>
    </w:lvl>
    <w:lvl w:ilvl="3" w:tplc="9AD68330">
      <w:start w:val="1"/>
      <w:numFmt w:val="bullet"/>
      <w:lvlText w:val="•"/>
      <w:lvlJc w:val="left"/>
      <w:pPr>
        <w:ind w:left="3516" w:hanging="336"/>
      </w:pPr>
      <w:rPr>
        <w:rFonts w:hint="default"/>
      </w:rPr>
    </w:lvl>
    <w:lvl w:ilvl="4" w:tplc="30DA7E54">
      <w:start w:val="1"/>
      <w:numFmt w:val="bullet"/>
      <w:lvlText w:val="•"/>
      <w:lvlJc w:val="left"/>
      <w:pPr>
        <w:ind w:left="4351" w:hanging="336"/>
      </w:pPr>
      <w:rPr>
        <w:rFonts w:hint="default"/>
      </w:rPr>
    </w:lvl>
    <w:lvl w:ilvl="5" w:tplc="BDF4E2E2">
      <w:start w:val="1"/>
      <w:numFmt w:val="bullet"/>
      <w:lvlText w:val="•"/>
      <w:lvlJc w:val="left"/>
      <w:pPr>
        <w:ind w:left="5186" w:hanging="336"/>
      </w:pPr>
      <w:rPr>
        <w:rFonts w:hint="default"/>
      </w:rPr>
    </w:lvl>
    <w:lvl w:ilvl="6" w:tplc="7EE0F36E">
      <w:start w:val="1"/>
      <w:numFmt w:val="bullet"/>
      <w:lvlText w:val="•"/>
      <w:lvlJc w:val="left"/>
      <w:pPr>
        <w:ind w:left="6021" w:hanging="336"/>
      </w:pPr>
      <w:rPr>
        <w:rFonts w:hint="default"/>
      </w:rPr>
    </w:lvl>
    <w:lvl w:ilvl="7" w:tplc="71400DC6">
      <w:start w:val="1"/>
      <w:numFmt w:val="bullet"/>
      <w:lvlText w:val="•"/>
      <w:lvlJc w:val="left"/>
      <w:pPr>
        <w:ind w:left="6855" w:hanging="336"/>
      </w:pPr>
      <w:rPr>
        <w:rFonts w:hint="default"/>
      </w:rPr>
    </w:lvl>
    <w:lvl w:ilvl="8" w:tplc="B764F81E">
      <w:start w:val="1"/>
      <w:numFmt w:val="bullet"/>
      <w:lvlText w:val="•"/>
      <w:lvlJc w:val="left"/>
      <w:pPr>
        <w:ind w:left="7690" w:hanging="336"/>
      </w:pPr>
      <w:rPr>
        <w:rFonts w:hint="default"/>
      </w:rPr>
    </w:lvl>
  </w:abstractNum>
  <w:abstractNum w:abstractNumId="13"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FD76679"/>
    <w:multiLevelType w:val="multilevel"/>
    <w:tmpl w:val="9D1E0682"/>
    <w:lvl w:ilvl="0">
      <w:start w:val="1"/>
      <w:numFmt w:val="decimal"/>
      <w:lvlText w:val="%1."/>
      <w:lvlJc w:val="left"/>
      <w:pPr>
        <w:ind w:left="359" w:hanging="215"/>
      </w:pPr>
      <w:rPr>
        <w:rFonts w:ascii="Cambria" w:eastAsia="Cambria" w:hAnsi="Cambria" w:hint="default"/>
        <w:b/>
        <w:bCs/>
        <w:spacing w:val="-1"/>
        <w:w w:val="103"/>
        <w:sz w:val="20"/>
        <w:szCs w:val="20"/>
      </w:rPr>
    </w:lvl>
    <w:lvl w:ilvl="1">
      <w:start w:val="1"/>
      <w:numFmt w:val="decimal"/>
      <w:lvlText w:val="%1.%2."/>
      <w:lvlJc w:val="left"/>
      <w:pPr>
        <w:ind w:left="530" w:hanging="387"/>
      </w:pPr>
      <w:rPr>
        <w:rFonts w:ascii="Cambria" w:eastAsia="Cambria" w:hAnsi="Cambria" w:hint="default"/>
        <w:b/>
        <w:bCs/>
        <w:spacing w:val="-1"/>
        <w:w w:val="103"/>
        <w:sz w:val="20"/>
        <w:szCs w:val="20"/>
      </w:rPr>
    </w:lvl>
    <w:lvl w:ilvl="2">
      <w:start w:val="1"/>
      <w:numFmt w:val="bullet"/>
      <w:lvlText w:val="-"/>
      <w:lvlJc w:val="left"/>
      <w:pPr>
        <w:ind w:left="1075" w:hanging="399"/>
      </w:pPr>
      <w:rPr>
        <w:rFonts w:ascii="Cambria" w:eastAsia="Cambria" w:hAnsi="Cambria" w:hint="default"/>
        <w:w w:val="103"/>
        <w:sz w:val="20"/>
        <w:szCs w:val="20"/>
      </w:rPr>
    </w:lvl>
    <w:lvl w:ilvl="3">
      <w:start w:val="1"/>
      <w:numFmt w:val="bullet"/>
      <w:lvlText w:val="•"/>
      <w:lvlJc w:val="left"/>
      <w:pPr>
        <w:ind w:left="1075" w:hanging="399"/>
      </w:pPr>
      <w:rPr>
        <w:rFonts w:hint="default"/>
      </w:rPr>
    </w:lvl>
    <w:lvl w:ilvl="4">
      <w:start w:val="1"/>
      <w:numFmt w:val="bullet"/>
      <w:lvlText w:val="•"/>
      <w:lvlJc w:val="left"/>
      <w:pPr>
        <w:ind w:left="2295" w:hanging="399"/>
      </w:pPr>
      <w:rPr>
        <w:rFonts w:hint="default"/>
      </w:rPr>
    </w:lvl>
    <w:lvl w:ilvl="5">
      <w:start w:val="1"/>
      <w:numFmt w:val="bullet"/>
      <w:lvlText w:val="•"/>
      <w:lvlJc w:val="left"/>
      <w:pPr>
        <w:ind w:left="3516" w:hanging="399"/>
      </w:pPr>
      <w:rPr>
        <w:rFonts w:hint="default"/>
      </w:rPr>
    </w:lvl>
    <w:lvl w:ilvl="6">
      <w:start w:val="1"/>
      <w:numFmt w:val="bullet"/>
      <w:lvlText w:val="•"/>
      <w:lvlJc w:val="left"/>
      <w:pPr>
        <w:ind w:left="4737" w:hanging="399"/>
      </w:pPr>
      <w:rPr>
        <w:rFonts w:hint="default"/>
      </w:rPr>
    </w:lvl>
    <w:lvl w:ilvl="7">
      <w:start w:val="1"/>
      <w:numFmt w:val="bullet"/>
      <w:lvlText w:val="•"/>
      <w:lvlJc w:val="left"/>
      <w:pPr>
        <w:ind w:left="5957" w:hanging="399"/>
      </w:pPr>
      <w:rPr>
        <w:rFonts w:hint="default"/>
      </w:rPr>
    </w:lvl>
    <w:lvl w:ilvl="8">
      <w:start w:val="1"/>
      <w:numFmt w:val="bullet"/>
      <w:lvlText w:val="•"/>
      <w:lvlJc w:val="left"/>
      <w:pPr>
        <w:ind w:left="7178" w:hanging="399"/>
      </w:pPr>
      <w:rPr>
        <w:rFonts w:hint="default"/>
      </w:rPr>
    </w:lvl>
  </w:abstractNum>
  <w:abstractNum w:abstractNumId="15" w15:restartNumberingAfterBreak="0">
    <w:nsid w:val="40FB0C91"/>
    <w:multiLevelType w:val="hybridMultilevel"/>
    <w:tmpl w:val="95D6CC80"/>
    <w:lvl w:ilvl="0" w:tplc="2C1A0001">
      <w:start w:val="1"/>
      <w:numFmt w:val="bullet"/>
      <w:lvlText w:val=""/>
      <w:lvlJc w:val="left"/>
      <w:pPr>
        <w:ind w:left="720" w:hanging="360"/>
      </w:pPr>
      <w:rPr>
        <w:rFonts w:ascii="Symbol" w:hAnsi="Symbol" w:hint="default"/>
      </w:rPr>
    </w:lvl>
    <w:lvl w:ilvl="1" w:tplc="EB524B82">
      <w:numFmt w:val="bullet"/>
      <w:lvlText w:val="-"/>
      <w:lvlJc w:val="left"/>
      <w:pPr>
        <w:ind w:left="1440" w:hanging="360"/>
      </w:pPr>
      <w:rPr>
        <w:rFonts w:ascii="Times New Roman" w:eastAsia="Calibri" w:hAnsi="Times New Roman" w:cs="Times New Roman" w:hint="default"/>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460B4B90"/>
    <w:multiLevelType w:val="multilevel"/>
    <w:tmpl w:val="42901F0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C8E3691"/>
    <w:multiLevelType w:val="hybridMultilevel"/>
    <w:tmpl w:val="0ED6881C"/>
    <w:lvl w:ilvl="0" w:tplc="885828E8">
      <w:numFmt w:val="bullet"/>
      <w:lvlText w:val="-"/>
      <w:lvlJc w:val="left"/>
      <w:pPr>
        <w:ind w:left="720" w:hanging="360"/>
      </w:pPr>
      <w:rPr>
        <w:rFonts w:ascii="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4E832A4F"/>
    <w:multiLevelType w:val="hybridMultilevel"/>
    <w:tmpl w:val="870C61A8"/>
    <w:lvl w:ilvl="0" w:tplc="84FACB62">
      <w:start w:val="1"/>
      <w:numFmt w:val="bullet"/>
      <w:lvlText w:val="-"/>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5597BD1"/>
    <w:multiLevelType w:val="hybridMultilevel"/>
    <w:tmpl w:val="850E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A27C1"/>
    <w:multiLevelType w:val="multilevel"/>
    <w:tmpl w:val="9D1E0682"/>
    <w:lvl w:ilvl="0">
      <w:start w:val="1"/>
      <w:numFmt w:val="decimal"/>
      <w:lvlText w:val="%1."/>
      <w:lvlJc w:val="left"/>
      <w:pPr>
        <w:ind w:left="359" w:hanging="215"/>
      </w:pPr>
      <w:rPr>
        <w:rFonts w:ascii="Cambria" w:eastAsia="Cambria" w:hAnsi="Cambria" w:hint="default"/>
        <w:b/>
        <w:bCs/>
        <w:spacing w:val="-1"/>
        <w:w w:val="103"/>
        <w:sz w:val="20"/>
        <w:szCs w:val="20"/>
      </w:rPr>
    </w:lvl>
    <w:lvl w:ilvl="1">
      <w:start w:val="1"/>
      <w:numFmt w:val="decimal"/>
      <w:lvlText w:val="%1.%2."/>
      <w:lvlJc w:val="left"/>
      <w:pPr>
        <w:ind w:left="530" w:hanging="387"/>
      </w:pPr>
      <w:rPr>
        <w:rFonts w:ascii="Cambria" w:eastAsia="Cambria" w:hAnsi="Cambria" w:hint="default"/>
        <w:b/>
        <w:bCs/>
        <w:spacing w:val="-1"/>
        <w:w w:val="103"/>
        <w:sz w:val="20"/>
        <w:szCs w:val="20"/>
      </w:rPr>
    </w:lvl>
    <w:lvl w:ilvl="2">
      <w:start w:val="1"/>
      <w:numFmt w:val="bullet"/>
      <w:lvlText w:val="-"/>
      <w:lvlJc w:val="left"/>
      <w:pPr>
        <w:ind w:left="1075" w:hanging="399"/>
      </w:pPr>
      <w:rPr>
        <w:rFonts w:ascii="Cambria" w:eastAsia="Cambria" w:hAnsi="Cambria" w:hint="default"/>
        <w:w w:val="103"/>
        <w:sz w:val="20"/>
        <w:szCs w:val="20"/>
      </w:rPr>
    </w:lvl>
    <w:lvl w:ilvl="3">
      <w:start w:val="1"/>
      <w:numFmt w:val="bullet"/>
      <w:lvlText w:val="•"/>
      <w:lvlJc w:val="left"/>
      <w:pPr>
        <w:ind w:left="1075" w:hanging="399"/>
      </w:pPr>
      <w:rPr>
        <w:rFonts w:hint="default"/>
      </w:rPr>
    </w:lvl>
    <w:lvl w:ilvl="4">
      <w:start w:val="1"/>
      <w:numFmt w:val="bullet"/>
      <w:lvlText w:val="•"/>
      <w:lvlJc w:val="left"/>
      <w:pPr>
        <w:ind w:left="2295" w:hanging="399"/>
      </w:pPr>
      <w:rPr>
        <w:rFonts w:hint="default"/>
      </w:rPr>
    </w:lvl>
    <w:lvl w:ilvl="5">
      <w:start w:val="1"/>
      <w:numFmt w:val="bullet"/>
      <w:lvlText w:val="•"/>
      <w:lvlJc w:val="left"/>
      <w:pPr>
        <w:ind w:left="3516" w:hanging="399"/>
      </w:pPr>
      <w:rPr>
        <w:rFonts w:hint="default"/>
      </w:rPr>
    </w:lvl>
    <w:lvl w:ilvl="6">
      <w:start w:val="1"/>
      <w:numFmt w:val="bullet"/>
      <w:lvlText w:val="•"/>
      <w:lvlJc w:val="left"/>
      <w:pPr>
        <w:ind w:left="4737" w:hanging="399"/>
      </w:pPr>
      <w:rPr>
        <w:rFonts w:hint="default"/>
      </w:rPr>
    </w:lvl>
    <w:lvl w:ilvl="7">
      <w:start w:val="1"/>
      <w:numFmt w:val="bullet"/>
      <w:lvlText w:val="•"/>
      <w:lvlJc w:val="left"/>
      <w:pPr>
        <w:ind w:left="5957" w:hanging="399"/>
      </w:pPr>
      <w:rPr>
        <w:rFonts w:hint="default"/>
      </w:rPr>
    </w:lvl>
    <w:lvl w:ilvl="8">
      <w:start w:val="1"/>
      <w:numFmt w:val="bullet"/>
      <w:lvlText w:val="•"/>
      <w:lvlJc w:val="left"/>
      <w:pPr>
        <w:ind w:left="7178" w:hanging="399"/>
      </w:pPr>
      <w:rPr>
        <w:rFonts w:hint="default"/>
      </w:rPr>
    </w:lvl>
  </w:abstractNum>
  <w:abstractNum w:abstractNumId="23" w15:restartNumberingAfterBreak="0">
    <w:nsid w:val="5C6E27A6"/>
    <w:multiLevelType w:val="multilevel"/>
    <w:tmpl w:val="99549D6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0573DD8"/>
    <w:multiLevelType w:val="hybridMultilevel"/>
    <w:tmpl w:val="A29485C2"/>
    <w:lvl w:ilvl="0" w:tplc="0409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61AD6A28"/>
    <w:multiLevelType w:val="hybridMultilevel"/>
    <w:tmpl w:val="A8AA1900"/>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1A4E59"/>
    <w:multiLevelType w:val="hybridMultilevel"/>
    <w:tmpl w:val="DFEE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A3EDA"/>
    <w:multiLevelType w:val="hybridMultilevel"/>
    <w:tmpl w:val="32740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10344"/>
    <w:multiLevelType w:val="hybridMultilevel"/>
    <w:tmpl w:val="0304259C"/>
    <w:lvl w:ilvl="0" w:tplc="47FCF698">
      <w:start w:val="1"/>
      <w:numFmt w:val="bullet"/>
      <w:lvlText w:val="-"/>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1"/>
  </w:num>
  <w:num w:numId="4">
    <w:abstractNumId w:val="20"/>
  </w:num>
  <w:num w:numId="5">
    <w:abstractNumId w:val="8"/>
  </w:num>
  <w:num w:numId="6">
    <w:abstractNumId w:val="2"/>
  </w:num>
  <w:num w:numId="7">
    <w:abstractNumId w:val="17"/>
  </w:num>
  <w:num w:numId="8">
    <w:abstractNumId w:val="7"/>
  </w:num>
  <w:num w:numId="9">
    <w:abstractNumId w:val="13"/>
  </w:num>
  <w:num w:numId="10">
    <w:abstractNumId w:val="22"/>
  </w:num>
  <w:num w:numId="11">
    <w:abstractNumId w:val="10"/>
  </w:num>
  <w:num w:numId="12">
    <w:abstractNumId w:val="12"/>
  </w:num>
  <w:num w:numId="13">
    <w:abstractNumId w:val="4"/>
  </w:num>
  <w:num w:numId="14">
    <w:abstractNumId w:val="14"/>
  </w:num>
  <w:num w:numId="15">
    <w:abstractNumId w:val="15"/>
  </w:num>
  <w:num w:numId="16">
    <w:abstractNumId w:val="25"/>
  </w:num>
  <w:num w:numId="17">
    <w:abstractNumId w:val="18"/>
  </w:num>
  <w:num w:numId="18">
    <w:abstractNumId w:val="5"/>
  </w:num>
  <w:num w:numId="19">
    <w:abstractNumId w:val="24"/>
  </w:num>
  <w:num w:numId="20">
    <w:abstractNumId w:val="21"/>
  </w:num>
  <w:num w:numId="21">
    <w:abstractNumId w:val="27"/>
  </w:num>
  <w:num w:numId="22">
    <w:abstractNumId w:val="29"/>
  </w:num>
  <w:num w:numId="23">
    <w:abstractNumId w:val="3"/>
  </w:num>
  <w:num w:numId="24">
    <w:abstractNumId w:val="19"/>
  </w:num>
  <w:num w:numId="25">
    <w:abstractNumId w:val="9"/>
  </w:num>
  <w:num w:numId="26">
    <w:abstractNumId w:val="0"/>
  </w:num>
  <w:num w:numId="27">
    <w:abstractNumId w:val="28"/>
  </w:num>
  <w:num w:numId="28">
    <w:abstractNumId w:val="11"/>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46A0"/>
    <w:rsid w:val="00013230"/>
    <w:rsid w:val="00014FA5"/>
    <w:rsid w:val="000176CA"/>
    <w:rsid w:val="0002110E"/>
    <w:rsid w:val="0002331F"/>
    <w:rsid w:val="00041D13"/>
    <w:rsid w:val="000640B7"/>
    <w:rsid w:val="000711C3"/>
    <w:rsid w:val="00071425"/>
    <w:rsid w:val="00072098"/>
    <w:rsid w:val="00072AC3"/>
    <w:rsid w:val="00084C9E"/>
    <w:rsid w:val="0008518D"/>
    <w:rsid w:val="0008794C"/>
    <w:rsid w:val="00090703"/>
    <w:rsid w:val="00094539"/>
    <w:rsid w:val="000A2F14"/>
    <w:rsid w:val="000B15B0"/>
    <w:rsid w:val="000B7467"/>
    <w:rsid w:val="000C5BC6"/>
    <w:rsid w:val="000D2343"/>
    <w:rsid w:val="000D425A"/>
    <w:rsid w:val="000E2084"/>
    <w:rsid w:val="000E6F55"/>
    <w:rsid w:val="001052C5"/>
    <w:rsid w:val="00106BA3"/>
    <w:rsid w:val="0011056B"/>
    <w:rsid w:val="00115E54"/>
    <w:rsid w:val="0012163D"/>
    <w:rsid w:val="00124340"/>
    <w:rsid w:val="00124B07"/>
    <w:rsid w:val="001428EE"/>
    <w:rsid w:val="0014766D"/>
    <w:rsid w:val="001544F4"/>
    <w:rsid w:val="001663E6"/>
    <w:rsid w:val="0017638F"/>
    <w:rsid w:val="00193E0B"/>
    <w:rsid w:val="001A3FBA"/>
    <w:rsid w:val="001A5518"/>
    <w:rsid w:val="001C1263"/>
    <w:rsid w:val="001C46F8"/>
    <w:rsid w:val="001C51AC"/>
    <w:rsid w:val="001E390B"/>
    <w:rsid w:val="001F2142"/>
    <w:rsid w:val="001F42FB"/>
    <w:rsid w:val="001F719A"/>
    <w:rsid w:val="0020755E"/>
    <w:rsid w:val="00213317"/>
    <w:rsid w:val="00214CC3"/>
    <w:rsid w:val="00215D96"/>
    <w:rsid w:val="00244941"/>
    <w:rsid w:val="00254A0A"/>
    <w:rsid w:val="00261D4B"/>
    <w:rsid w:val="00265FAD"/>
    <w:rsid w:val="00266046"/>
    <w:rsid w:val="0027266F"/>
    <w:rsid w:val="002750EE"/>
    <w:rsid w:val="002846DB"/>
    <w:rsid w:val="002B454C"/>
    <w:rsid w:val="002C616F"/>
    <w:rsid w:val="002C6637"/>
    <w:rsid w:val="002D2639"/>
    <w:rsid w:val="002D53A6"/>
    <w:rsid w:val="002E37A5"/>
    <w:rsid w:val="002E451D"/>
    <w:rsid w:val="003001FD"/>
    <w:rsid w:val="00301E7D"/>
    <w:rsid w:val="0032605C"/>
    <w:rsid w:val="0033056E"/>
    <w:rsid w:val="00332C61"/>
    <w:rsid w:val="0033315A"/>
    <w:rsid w:val="003340E4"/>
    <w:rsid w:val="00355B61"/>
    <w:rsid w:val="00356F64"/>
    <w:rsid w:val="00362686"/>
    <w:rsid w:val="003709B7"/>
    <w:rsid w:val="003710D9"/>
    <w:rsid w:val="00371510"/>
    <w:rsid w:val="003726F0"/>
    <w:rsid w:val="003735F0"/>
    <w:rsid w:val="003875FD"/>
    <w:rsid w:val="0039229B"/>
    <w:rsid w:val="0039477E"/>
    <w:rsid w:val="00395FA2"/>
    <w:rsid w:val="00396B19"/>
    <w:rsid w:val="00396DFD"/>
    <w:rsid w:val="003A4673"/>
    <w:rsid w:val="003B7A36"/>
    <w:rsid w:val="003C0EBD"/>
    <w:rsid w:val="003C3404"/>
    <w:rsid w:val="003C5815"/>
    <w:rsid w:val="003C7823"/>
    <w:rsid w:val="003E1226"/>
    <w:rsid w:val="003E1DCC"/>
    <w:rsid w:val="003F6A59"/>
    <w:rsid w:val="004032B5"/>
    <w:rsid w:val="004065C8"/>
    <w:rsid w:val="00411613"/>
    <w:rsid w:val="00411B4B"/>
    <w:rsid w:val="00436F42"/>
    <w:rsid w:val="00437A6B"/>
    <w:rsid w:val="00451314"/>
    <w:rsid w:val="00451BAC"/>
    <w:rsid w:val="004534C7"/>
    <w:rsid w:val="0045455A"/>
    <w:rsid w:val="004575B6"/>
    <w:rsid w:val="004774A8"/>
    <w:rsid w:val="00480FB1"/>
    <w:rsid w:val="0048233A"/>
    <w:rsid w:val="00483928"/>
    <w:rsid w:val="004A0BAB"/>
    <w:rsid w:val="004A7AA8"/>
    <w:rsid w:val="004B1BF4"/>
    <w:rsid w:val="004B24E1"/>
    <w:rsid w:val="004C6813"/>
    <w:rsid w:val="004D6103"/>
    <w:rsid w:val="004D700C"/>
    <w:rsid w:val="004E3BCE"/>
    <w:rsid w:val="004E6EE8"/>
    <w:rsid w:val="004F0E97"/>
    <w:rsid w:val="004F6BCA"/>
    <w:rsid w:val="00501D56"/>
    <w:rsid w:val="0051247C"/>
    <w:rsid w:val="00512614"/>
    <w:rsid w:val="00512DC3"/>
    <w:rsid w:val="00514703"/>
    <w:rsid w:val="0051516F"/>
    <w:rsid w:val="00515C21"/>
    <w:rsid w:val="00530BD7"/>
    <w:rsid w:val="00531ADF"/>
    <w:rsid w:val="00536251"/>
    <w:rsid w:val="0053726A"/>
    <w:rsid w:val="00540939"/>
    <w:rsid w:val="0054399C"/>
    <w:rsid w:val="005440FD"/>
    <w:rsid w:val="00545CD2"/>
    <w:rsid w:val="00566D0B"/>
    <w:rsid w:val="00572527"/>
    <w:rsid w:val="00573E40"/>
    <w:rsid w:val="00576348"/>
    <w:rsid w:val="005A0B2E"/>
    <w:rsid w:val="005A1EFA"/>
    <w:rsid w:val="005A23D2"/>
    <w:rsid w:val="005A36CB"/>
    <w:rsid w:val="005A68F5"/>
    <w:rsid w:val="005B231E"/>
    <w:rsid w:val="005B49B8"/>
    <w:rsid w:val="005D23ED"/>
    <w:rsid w:val="005D49FC"/>
    <w:rsid w:val="005E084B"/>
    <w:rsid w:val="005E09AF"/>
    <w:rsid w:val="005E2E0B"/>
    <w:rsid w:val="005E4CC8"/>
    <w:rsid w:val="005E6F77"/>
    <w:rsid w:val="005E7A7D"/>
    <w:rsid w:val="0060360D"/>
    <w:rsid w:val="00603863"/>
    <w:rsid w:val="006350DD"/>
    <w:rsid w:val="00645667"/>
    <w:rsid w:val="00646BD1"/>
    <w:rsid w:val="00674BAF"/>
    <w:rsid w:val="00676325"/>
    <w:rsid w:val="00682830"/>
    <w:rsid w:val="006905EE"/>
    <w:rsid w:val="006A1497"/>
    <w:rsid w:val="006A1673"/>
    <w:rsid w:val="006A38C2"/>
    <w:rsid w:val="006B0BD1"/>
    <w:rsid w:val="006B2224"/>
    <w:rsid w:val="006B572C"/>
    <w:rsid w:val="006B5A88"/>
    <w:rsid w:val="006B5FC6"/>
    <w:rsid w:val="006C5767"/>
    <w:rsid w:val="006D1F82"/>
    <w:rsid w:val="006D496F"/>
    <w:rsid w:val="006E21C7"/>
    <w:rsid w:val="006E4881"/>
    <w:rsid w:val="006F0800"/>
    <w:rsid w:val="0072020E"/>
    <w:rsid w:val="00736345"/>
    <w:rsid w:val="00750510"/>
    <w:rsid w:val="007749E8"/>
    <w:rsid w:val="00785BEF"/>
    <w:rsid w:val="007A3C47"/>
    <w:rsid w:val="007A5389"/>
    <w:rsid w:val="007B2A24"/>
    <w:rsid w:val="007D45E8"/>
    <w:rsid w:val="007E5741"/>
    <w:rsid w:val="007F2562"/>
    <w:rsid w:val="007F6345"/>
    <w:rsid w:val="00807188"/>
    <w:rsid w:val="008171FB"/>
    <w:rsid w:val="008176E0"/>
    <w:rsid w:val="00817F72"/>
    <w:rsid w:val="00824AB9"/>
    <w:rsid w:val="00825407"/>
    <w:rsid w:val="00836B35"/>
    <w:rsid w:val="00847732"/>
    <w:rsid w:val="00856D85"/>
    <w:rsid w:val="00866120"/>
    <w:rsid w:val="00872C3A"/>
    <w:rsid w:val="0089705C"/>
    <w:rsid w:val="008A5841"/>
    <w:rsid w:val="008B39F2"/>
    <w:rsid w:val="008C1A28"/>
    <w:rsid w:val="008C2E98"/>
    <w:rsid w:val="008C7B1F"/>
    <w:rsid w:val="008D419C"/>
    <w:rsid w:val="008D4268"/>
    <w:rsid w:val="008E0B58"/>
    <w:rsid w:val="008E185C"/>
    <w:rsid w:val="008E480B"/>
    <w:rsid w:val="008E49BD"/>
    <w:rsid w:val="008E53E9"/>
    <w:rsid w:val="008E5771"/>
    <w:rsid w:val="00904574"/>
    <w:rsid w:val="0090701C"/>
    <w:rsid w:val="0091335E"/>
    <w:rsid w:val="0092319F"/>
    <w:rsid w:val="00931B21"/>
    <w:rsid w:val="00936120"/>
    <w:rsid w:val="00952F1E"/>
    <w:rsid w:val="0095545A"/>
    <w:rsid w:val="00955891"/>
    <w:rsid w:val="00963CF0"/>
    <w:rsid w:val="00970E4D"/>
    <w:rsid w:val="00976F6F"/>
    <w:rsid w:val="009775D9"/>
    <w:rsid w:val="00980D15"/>
    <w:rsid w:val="00987348"/>
    <w:rsid w:val="009A1847"/>
    <w:rsid w:val="009A3AC0"/>
    <w:rsid w:val="009B062A"/>
    <w:rsid w:val="009B6A25"/>
    <w:rsid w:val="009C6BC5"/>
    <w:rsid w:val="009D348E"/>
    <w:rsid w:val="009D3B97"/>
    <w:rsid w:val="009E1DA8"/>
    <w:rsid w:val="009E2CC7"/>
    <w:rsid w:val="009E7C6F"/>
    <w:rsid w:val="009F1793"/>
    <w:rsid w:val="009F49B4"/>
    <w:rsid w:val="00A01604"/>
    <w:rsid w:val="00A02335"/>
    <w:rsid w:val="00A10021"/>
    <w:rsid w:val="00A24AA7"/>
    <w:rsid w:val="00A256A2"/>
    <w:rsid w:val="00A274E0"/>
    <w:rsid w:val="00A3129E"/>
    <w:rsid w:val="00A32ACD"/>
    <w:rsid w:val="00A4195F"/>
    <w:rsid w:val="00A41B11"/>
    <w:rsid w:val="00A460E9"/>
    <w:rsid w:val="00A47F47"/>
    <w:rsid w:val="00A52240"/>
    <w:rsid w:val="00A83E41"/>
    <w:rsid w:val="00A949E6"/>
    <w:rsid w:val="00A95042"/>
    <w:rsid w:val="00A97EAB"/>
    <w:rsid w:val="00AA732C"/>
    <w:rsid w:val="00AB3D9E"/>
    <w:rsid w:val="00AC0482"/>
    <w:rsid w:val="00AC53CE"/>
    <w:rsid w:val="00AD2193"/>
    <w:rsid w:val="00AF2518"/>
    <w:rsid w:val="00AF2AC7"/>
    <w:rsid w:val="00B02F81"/>
    <w:rsid w:val="00B06169"/>
    <w:rsid w:val="00B208DB"/>
    <w:rsid w:val="00B23AA7"/>
    <w:rsid w:val="00B23ED6"/>
    <w:rsid w:val="00B23F69"/>
    <w:rsid w:val="00B309E3"/>
    <w:rsid w:val="00B40DDE"/>
    <w:rsid w:val="00B41245"/>
    <w:rsid w:val="00B46DFB"/>
    <w:rsid w:val="00B506F1"/>
    <w:rsid w:val="00B60619"/>
    <w:rsid w:val="00B67366"/>
    <w:rsid w:val="00B71051"/>
    <w:rsid w:val="00B80EE1"/>
    <w:rsid w:val="00B825FA"/>
    <w:rsid w:val="00B83E66"/>
    <w:rsid w:val="00B86D26"/>
    <w:rsid w:val="00B91775"/>
    <w:rsid w:val="00B918F4"/>
    <w:rsid w:val="00BA6931"/>
    <w:rsid w:val="00BB738B"/>
    <w:rsid w:val="00BC238B"/>
    <w:rsid w:val="00BC5B0C"/>
    <w:rsid w:val="00BF1D25"/>
    <w:rsid w:val="00C028CE"/>
    <w:rsid w:val="00C04D34"/>
    <w:rsid w:val="00C0536A"/>
    <w:rsid w:val="00C23D8D"/>
    <w:rsid w:val="00C26E58"/>
    <w:rsid w:val="00C36CF9"/>
    <w:rsid w:val="00C37AA3"/>
    <w:rsid w:val="00C43419"/>
    <w:rsid w:val="00C44CF3"/>
    <w:rsid w:val="00C51A82"/>
    <w:rsid w:val="00C61F93"/>
    <w:rsid w:val="00C6785B"/>
    <w:rsid w:val="00C70B0E"/>
    <w:rsid w:val="00C817C5"/>
    <w:rsid w:val="00C83785"/>
    <w:rsid w:val="00C87DC2"/>
    <w:rsid w:val="00C94C0D"/>
    <w:rsid w:val="00CA3A97"/>
    <w:rsid w:val="00CC32B4"/>
    <w:rsid w:val="00CD4F85"/>
    <w:rsid w:val="00CD6F02"/>
    <w:rsid w:val="00CE246D"/>
    <w:rsid w:val="00CE3D0F"/>
    <w:rsid w:val="00CE6539"/>
    <w:rsid w:val="00D0082A"/>
    <w:rsid w:val="00D01F25"/>
    <w:rsid w:val="00D062FC"/>
    <w:rsid w:val="00D12BBA"/>
    <w:rsid w:val="00D14DF5"/>
    <w:rsid w:val="00D15BA9"/>
    <w:rsid w:val="00D16D68"/>
    <w:rsid w:val="00D17642"/>
    <w:rsid w:val="00D2253C"/>
    <w:rsid w:val="00D2707D"/>
    <w:rsid w:val="00D32573"/>
    <w:rsid w:val="00D46869"/>
    <w:rsid w:val="00D54471"/>
    <w:rsid w:val="00D7145E"/>
    <w:rsid w:val="00D91541"/>
    <w:rsid w:val="00D9700C"/>
    <w:rsid w:val="00DA2ED6"/>
    <w:rsid w:val="00DA59DD"/>
    <w:rsid w:val="00DB76B8"/>
    <w:rsid w:val="00DC2EA1"/>
    <w:rsid w:val="00DD1BB0"/>
    <w:rsid w:val="00DD6AAF"/>
    <w:rsid w:val="00DE3F5C"/>
    <w:rsid w:val="00DF1D20"/>
    <w:rsid w:val="00DF1F55"/>
    <w:rsid w:val="00DF450A"/>
    <w:rsid w:val="00DF5AD2"/>
    <w:rsid w:val="00E02C2F"/>
    <w:rsid w:val="00E246B9"/>
    <w:rsid w:val="00E24F81"/>
    <w:rsid w:val="00E34386"/>
    <w:rsid w:val="00E433D7"/>
    <w:rsid w:val="00E45169"/>
    <w:rsid w:val="00E47787"/>
    <w:rsid w:val="00E51C30"/>
    <w:rsid w:val="00E64180"/>
    <w:rsid w:val="00E74773"/>
    <w:rsid w:val="00E74AEE"/>
    <w:rsid w:val="00E77317"/>
    <w:rsid w:val="00E84980"/>
    <w:rsid w:val="00E868E5"/>
    <w:rsid w:val="00E87D07"/>
    <w:rsid w:val="00E939FA"/>
    <w:rsid w:val="00EA2D43"/>
    <w:rsid w:val="00EA33CB"/>
    <w:rsid w:val="00EB01CD"/>
    <w:rsid w:val="00EB511F"/>
    <w:rsid w:val="00EB6198"/>
    <w:rsid w:val="00EB66C3"/>
    <w:rsid w:val="00EC2532"/>
    <w:rsid w:val="00EC3A57"/>
    <w:rsid w:val="00EC7429"/>
    <w:rsid w:val="00ED7812"/>
    <w:rsid w:val="00EE7314"/>
    <w:rsid w:val="00EF0279"/>
    <w:rsid w:val="00EF3B86"/>
    <w:rsid w:val="00EF591D"/>
    <w:rsid w:val="00F0377C"/>
    <w:rsid w:val="00F03CAB"/>
    <w:rsid w:val="00F06AAF"/>
    <w:rsid w:val="00F13565"/>
    <w:rsid w:val="00F3190D"/>
    <w:rsid w:val="00F32CD7"/>
    <w:rsid w:val="00F34554"/>
    <w:rsid w:val="00F431B6"/>
    <w:rsid w:val="00F4502C"/>
    <w:rsid w:val="00F45F77"/>
    <w:rsid w:val="00F5167F"/>
    <w:rsid w:val="00F52258"/>
    <w:rsid w:val="00F53CDD"/>
    <w:rsid w:val="00F67C98"/>
    <w:rsid w:val="00F717E7"/>
    <w:rsid w:val="00F767F7"/>
    <w:rsid w:val="00F80156"/>
    <w:rsid w:val="00F824B5"/>
    <w:rsid w:val="00F831F5"/>
    <w:rsid w:val="00F8468D"/>
    <w:rsid w:val="00F8570A"/>
    <w:rsid w:val="00F862F3"/>
    <w:rsid w:val="00F86F6C"/>
    <w:rsid w:val="00F937BE"/>
    <w:rsid w:val="00FC4776"/>
    <w:rsid w:val="00FD1849"/>
    <w:rsid w:val="00FD3280"/>
    <w:rsid w:val="00FE49F8"/>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F3188"/>
  <w15:chartTrackingRefBased/>
  <w15:docId w15:val="{0094536E-0207-4F95-A1C3-9B587B93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Body Text Indent 2" w:uiPriority="99"/>
    <w:lsdException w:name="Hyperlink" w:uiPriority="99"/>
    <w:lsdException w:name="Strong" w:uiPriority="99" w:qFormat="1"/>
    <w:lsdException w:name="Emphasis"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eastAsia="en-US"/>
    </w:rPr>
  </w:style>
  <w:style w:type="paragraph" w:styleId="Heading1">
    <w:name w:val="heading 1"/>
    <w:basedOn w:val="Normal"/>
    <w:next w:val="Normal"/>
    <w:link w:val="Heading1Char"/>
    <w:qFormat/>
    <w:rsid w:val="00F862F3"/>
    <w:pPr>
      <w:keepNext/>
      <w:tabs>
        <w:tab w:val="left" w:pos="284"/>
      </w:tabs>
      <w:jc w:val="center"/>
      <w:outlineLvl w:val="0"/>
    </w:pPr>
    <w:rPr>
      <w:rFonts w:ascii="Cambria" w:hAnsi="Cambria"/>
      <w:b/>
      <w:bCs/>
      <w:noProof w:val="0"/>
      <w:kern w:val="32"/>
      <w:sz w:val="32"/>
      <w:szCs w:val="32"/>
      <w:lang w:val="en-U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uiPriority w:val="9"/>
    <w:qFormat/>
    <w:rsid w:val="00F862F3"/>
    <w:pPr>
      <w:keepNext/>
      <w:ind w:left="72" w:hanging="72"/>
      <w:outlineLvl w:val="2"/>
    </w:pPr>
    <w:rPr>
      <w:rFonts w:ascii="Cambria" w:hAnsi="Cambria"/>
      <w:b/>
      <w:bCs/>
      <w:noProof w:val="0"/>
      <w:sz w:val="26"/>
      <w:szCs w:val="26"/>
      <w:lang w:val="en-US"/>
    </w:rPr>
  </w:style>
  <w:style w:type="paragraph" w:styleId="Heading4">
    <w:name w:val="heading 4"/>
    <w:basedOn w:val="Normal"/>
    <w:next w:val="Normal"/>
    <w:link w:val="Heading4Char"/>
    <w:uiPriority w:val="9"/>
    <w:qFormat/>
    <w:rsid w:val="00F862F3"/>
    <w:pPr>
      <w:keepNext/>
      <w:tabs>
        <w:tab w:val="left" w:pos="284"/>
      </w:tabs>
      <w:ind w:right="265"/>
      <w:jc w:val="right"/>
      <w:outlineLvl w:val="3"/>
    </w:pPr>
    <w:rPr>
      <w:rFonts w:ascii="Calibri" w:hAnsi="Calibri"/>
      <w:b/>
      <w:bCs/>
      <w:noProof w:val="0"/>
      <w:sz w:val="28"/>
      <w:szCs w:val="28"/>
      <w:lang w:val="en-US"/>
    </w:rPr>
  </w:style>
  <w:style w:type="paragraph" w:styleId="Heading5">
    <w:name w:val="heading 5"/>
    <w:basedOn w:val="Normal"/>
    <w:next w:val="Normal"/>
    <w:link w:val="Heading5Char"/>
    <w:qFormat/>
    <w:rsid w:val="00F862F3"/>
    <w:pPr>
      <w:tabs>
        <w:tab w:val="left" w:pos="284"/>
      </w:tabs>
      <w:spacing w:before="240" w:after="60"/>
      <w:jc w:val="both"/>
      <w:outlineLvl w:val="4"/>
    </w:pPr>
    <w:rPr>
      <w:rFonts w:ascii="Calibri" w:hAnsi="Calibri"/>
      <w:b/>
      <w:bCs/>
      <w:i/>
      <w:iCs/>
      <w:noProof w:val="0"/>
      <w:sz w:val="26"/>
      <w:szCs w:val="26"/>
      <w:lang w:val="en-US"/>
    </w:rPr>
  </w:style>
  <w:style w:type="paragraph" w:styleId="Heading8">
    <w:name w:val="heading 8"/>
    <w:basedOn w:val="Normal"/>
    <w:next w:val="Normal"/>
    <w:link w:val="Heading8Char"/>
    <w:qFormat/>
    <w:rsid w:val="00356F64"/>
    <w:pPr>
      <w:spacing w:before="240" w:after="60"/>
      <w:outlineLvl w:val="7"/>
    </w:pPr>
    <w:rPr>
      <w:i/>
      <w:iCs/>
      <w:noProof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rPr>
      <w:lang w:val="x-none" w:eastAsia="x-none"/>
    </w:r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5E09AF"/>
    <w:rPr>
      <w:sz w:val="24"/>
      <w:szCs w:val="24"/>
    </w:rPr>
  </w:style>
  <w:style w:type="paragraph" w:styleId="BodyTextIndent">
    <w:name w:val="Body Text Indent"/>
    <w:basedOn w:val="Normal"/>
    <w:link w:val="BodyTextIndentChar"/>
    <w:rsid w:val="008A5841"/>
    <w:pPr>
      <w:widowControl w:val="0"/>
      <w:tabs>
        <w:tab w:val="left" w:pos="-1440"/>
        <w:tab w:val="left" w:pos="-720"/>
        <w:tab w:val="left" w:pos="0"/>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autoSpaceDE w:val="0"/>
      <w:autoSpaceDN w:val="0"/>
      <w:adjustRightInd w:val="0"/>
      <w:ind w:left="696"/>
      <w:jc w:val="both"/>
    </w:pPr>
    <w:rPr>
      <w:rFonts w:ascii="Arial" w:hAnsi="Arial"/>
      <w:sz w:val="22"/>
      <w:lang w:val="x-none" w:eastAsia="x-none"/>
    </w:rPr>
  </w:style>
  <w:style w:type="character" w:customStyle="1" w:styleId="BodyTextIndentChar">
    <w:name w:val="Body Text Indent Char"/>
    <w:link w:val="BodyTextIndent"/>
    <w:rsid w:val="008A5841"/>
    <w:rPr>
      <w:rFonts w:ascii="Arial" w:hAnsi="Arial" w:cs="Arial"/>
      <w:sz w:val="22"/>
      <w:szCs w:val="24"/>
    </w:rPr>
  </w:style>
  <w:style w:type="character" w:customStyle="1" w:styleId="Heading1Char">
    <w:name w:val="Heading 1 Char"/>
    <w:link w:val="Heading1"/>
    <w:rsid w:val="00F862F3"/>
    <w:rPr>
      <w:rFonts w:ascii="Cambria" w:hAnsi="Cambria"/>
      <w:b/>
      <w:bCs/>
      <w:kern w:val="32"/>
      <w:sz w:val="32"/>
      <w:szCs w:val="32"/>
      <w:lang w:val="en-US" w:eastAsia="en-US"/>
    </w:rPr>
  </w:style>
  <w:style w:type="character" w:customStyle="1" w:styleId="Heading3Char">
    <w:name w:val="Heading 3 Char"/>
    <w:link w:val="Heading3"/>
    <w:uiPriority w:val="9"/>
    <w:rsid w:val="00F862F3"/>
    <w:rPr>
      <w:rFonts w:ascii="Cambria" w:hAnsi="Cambria"/>
      <w:b/>
      <w:bCs/>
      <w:sz w:val="26"/>
      <w:szCs w:val="26"/>
      <w:lang w:val="en-US" w:eastAsia="en-US"/>
    </w:rPr>
  </w:style>
  <w:style w:type="character" w:customStyle="1" w:styleId="Heading4Char">
    <w:name w:val="Heading 4 Char"/>
    <w:link w:val="Heading4"/>
    <w:uiPriority w:val="9"/>
    <w:rsid w:val="00F862F3"/>
    <w:rPr>
      <w:rFonts w:ascii="Calibri" w:hAnsi="Calibri"/>
      <w:b/>
      <w:bCs/>
      <w:sz w:val="28"/>
      <w:szCs w:val="28"/>
      <w:lang w:val="en-US" w:eastAsia="en-US"/>
    </w:rPr>
  </w:style>
  <w:style w:type="character" w:customStyle="1" w:styleId="Heading5Char">
    <w:name w:val="Heading 5 Char"/>
    <w:link w:val="Heading5"/>
    <w:rsid w:val="00F862F3"/>
    <w:rPr>
      <w:rFonts w:ascii="Calibri" w:hAnsi="Calibri"/>
      <w:b/>
      <w:bCs/>
      <w:i/>
      <w:iCs/>
      <w:sz w:val="26"/>
      <w:szCs w:val="26"/>
      <w:lang w:val="en-US" w:eastAsia="en-US"/>
    </w:rPr>
  </w:style>
  <w:style w:type="character" w:customStyle="1" w:styleId="Heading2Char">
    <w:name w:val="Heading 2 Char"/>
    <w:link w:val="Heading2"/>
    <w:uiPriority w:val="9"/>
    <w:rsid w:val="00F862F3"/>
    <w:rPr>
      <w:rFonts w:ascii="Arial" w:hAnsi="Arial" w:cs="Arial"/>
      <w:i/>
      <w:iCs/>
      <w:noProof/>
      <w:color w:val="999999"/>
      <w:sz w:val="18"/>
      <w:szCs w:val="24"/>
      <w:lang w:eastAsia="en-US"/>
    </w:rPr>
  </w:style>
  <w:style w:type="character" w:customStyle="1" w:styleId="cdsoptionalconceptschar">
    <w:name w:val="cdsoptionalconceptschar"/>
    <w:uiPriority w:val="99"/>
    <w:rsid w:val="00F862F3"/>
    <w:rPr>
      <w:rFonts w:cs="Times New Roman"/>
    </w:rPr>
  </w:style>
  <w:style w:type="character" w:customStyle="1" w:styleId="FooterChar">
    <w:name w:val="Footer Char"/>
    <w:link w:val="Footer"/>
    <w:rsid w:val="00F862F3"/>
    <w:rPr>
      <w:noProof/>
      <w:sz w:val="24"/>
      <w:szCs w:val="24"/>
      <w:lang w:eastAsia="en-US"/>
    </w:rPr>
  </w:style>
  <w:style w:type="character" w:customStyle="1" w:styleId="CommentTextChar">
    <w:name w:val="Comment Text Char"/>
    <w:link w:val="CommentText"/>
    <w:rsid w:val="00F862F3"/>
    <w:rPr>
      <w:noProof/>
      <w:lang w:eastAsia="en-US"/>
    </w:rPr>
  </w:style>
  <w:style w:type="character" w:customStyle="1" w:styleId="SPCHeading4">
    <w:name w:val="SPC Heading 4"/>
    <w:uiPriority w:val="99"/>
    <w:rsid w:val="00F862F3"/>
    <w:rPr>
      <w:rFonts w:ascii="Times New Roman" w:hAnsi="Times New Roman"/>
      <w:i/>
      <w:color w:val="000000"/>
      <w:sz w:val="22"/>
      <w:u w:val="none"/>
    </w:rPr>
  </w:style>
  <w:style w:type="character" w:customStyle="1" w:styleId="CommentSubjectChar">
    <w:name w:val="Comment Subject Char"/>
    <w:link w:val="CommentSubject"/>
    <w:uiPriority w:val="99"/>
    <w:semiHidden/>
    <w:rsid w:val="00F862F3"/>
    <w:rPr>
      <w:b/>
      <w:bCs/>
      <w:noProof/>
      <w:lang w:eastAsia="en-US"/>
    </w:rPr>
  </w:style>
  <w:style w:type="character" w:customStyle="1" w:styleId="BalloonTextChar">
    <w:name w:val="Balloon Text Char"/>
    <w:link w:val="BalloonText"/>
    <w:uiPriority w:val="99"/>
    <w:semiHidden/>
    <w:rsid w:val="00F862F3"/>
    <w:rPr>
      <w:rFonts w:ascii="Tahoma" w:hAnsi="Tahoma" w:cs="Tahoma"/>
      <w:noProof/>
      <w:sz w:val="16"/>
      <w:szCs w:val="16"/>
      <w:lang w:eastAsia="en-US"/>
    </w:rPr>
  </w:style>
  <w:style w:type="paragraph" w:styleId="NormalWeb">
    <w:name w:val="Normal (Web)"/>
    <w:basedOn w:val="Normal"/>
    <w:uiPriority w:val="99"/>
    <w:rsid w:val="00F862F3"/>
    <w:pPr>
      <w:spacing w:before="100" w:beforeAutospacing="1" w:after="100" w:afterAutospacing="1"/>
    </w:pPr>
    <w:rPr>
      <w:noProof w:val="0"/>
      <w:lang w:val="en-US"/>
    </w:rPr>
  </w:style>
  <w:style w:type="paragraph" w:styleId="BodyTextIndent2">
    <w:name w:val="Body Text Indent 2"/>
    <w:basedOn w:val="Normal"/>
    <w:link w:val="BodyTextIndent2Char"/>
    <w:uiPriority w:val="99"/>
    <w:rsid w:val="00F862F3"/>
    <w:pPr>
      <w:tabs>
        <w:tab w:val="left" w:pos="284"/>
      </w:tabs>
      <w:spacing w:after="120" w:line="480" w:lineRule="auto"/>
      <w:ind w:left="360"/>
      <w:jc w:val="both"/>
    </w:pPr>
    <w:rPr>
      <w:rFonts w:ascii="Humanist777" w:hAnsi="Humanist777"/>
      <w:noProof w:val="0"/>
      <w:lang w:val="en-US"/>
    </w:rPr>
  </w:style>
  <w:style w:type="character" w:customStyle="1" w:styleId="BodyTextIndent2Char">
    <w:name w:val="Body Text Indent 2 Char"/>
    <w:link w:val="BodyTextIndent2"/>
    <w:uiPriority w:val="99"/>
    <w:rsid w:val="00F862F3"/>
    <w:rPr>
      <w:rFonts w:ascii="Humanist777" w:hAnsi="Humanist777"/>
      <w:sz w:val="24"/>
      <w:szCs w:val="24"/>
      <w:lang w:val="en-US" w:eastAsia="en-US"/>
    </w:rPr>
  </w:style>
  <w:style w:type="character" w:styleId="Strong">
    <w:name w:val="Strong"/>
    <w:uiPriority w:val="99"/>
    <w:qFormat/>
    <w:rsid w:val="00F862F3"/>
    <w:rPr>
      <w:rFonts w:cs="Times New Roman"/>
      <w:b/>
    </w:rPr>
  </w:style>
  <w:style w:type="paragraph" w:styleId="BodyText">
    <w:name w:val="Body Text"/>
    <w:basedOn w:val="Normal"/>
    <w:link w:val="BodyTextChar"/>
    <w:uiPriority w:val="1"/>
    <w:qFormat/>
    <w:rsid w:val="00F862F3"/>
    <w:pPr>
      <w:tabs>
        <w:tab w:val="left" w:pos="284"/>
      </w:tabs>
      <w:spacing w:after="120"/>
      <w:jc w:val="both"/>
    </w:pPr>
    <w:rPr>
      <w:rFonts w:ascii="Humanist777" w:hAnsi="Humanist777"/>
      <w:noProof w:val="0"/>
      <w:lang w:val="en-US"/>
    </w:rPr>
  </w:style>
  <w:style w:type="character" w:customStyle="1" w:styleId="BodyTextChar">
    <w:name w:val="Body Text Char"/>
    <w:link w:val="BodyText"/>
    <w:uiPriority w:val="1"/>
    <w:rsid w:val="00F862F3"/>
    <w:rPr>
      <w:rFonts w:ascii="Humanist777" w:hAnsi="Humanist777"/>
      <w:sz w:val="24"/>
      <w:szCs w:val="24"/>
      <w:lang w:val="en-US" w:eastAsia="en-US"/>
    </w:rPr>
  </w:style>
  <w:style w:type="paragraph" w:customStyle="1" w:styleId="CDSOptionalconcepts">
    <w:name w:val="CDS Optional concepts"/>
    <w:link w:val="CDSOptionalconceptsChar0"/>
    <w:uiPriority w:val="99"/>
    <w:rsid w:val="00F862F3"/>
    <w:pPr>
      <w:widowControl w:val="0"/>
    </w:pPr>
    <w:rPr>
      <w:sz w:val="22"/>
      <w:lang w:val="en-US" w:eastAsia="en-US"/>
    </w:rPr>
  </w:style>
  <w:style w:type="character" w:customStyle="1" w:styleId="CDSOptionalconceptsChar0">
    <w:name w:val="CDS Optional concepts Char"/>
    <w:link w:val="CDSOptionalconcepts"/>
    <w:uiPriority w:val="99"/>
    <w:locked/>
    <w:rsid w:val="00F862F3"/>
    <w:rPr>
      <w:sz w:val="22"/>
      <w:lang w:val="en-US" w:eastAsia="en-US"/>
    </w:rPr>
  </w:style>
  <w:style w:type="character" w:customStyle="1" w:styleId="StyleEmphasisTimesNewRomanBoldBoldNotItalicBlack">
    <w:name w:val="Style Emphasis + Times New Roman Bold Bold Not Italic Black"/>
    <w:rsid w:val="00F862F3"/>
    <w:rPr>
      <w:rFonts w:ascii="Times New Roman" w:hAnsi="Times New Roman" w:cs="Times New Roman"/>
      <w:bCs/>
      <w:i/>
      <w:iCs/>
      <w:color w:val="000000"/>
      <w:sz w:val="22"/>
    </w:rPr>
  </w:style>
  <w:style w:type="character" w:styleId="Emphasis">
    <w:name w:val="Emphasis"/>
    <w:uiPriority w:val="99"/>
    <w:qFormat/>
    <w:rsid w:val="00F862F3"/>
    <w:rPr>
      <w:rFonts w:cs="Times New Roman"/>
      <w:i/>
      <w:iCs/>
    </w:rPr>
  </w:style>
  <w:style w:type="paragraph" w:styleId="Revision">
    <w:name w:val="Revision"/>
    <w:hidden/>
    <w:uiPriority w:val="99"/>
    <w:semiHidden/>
    <w:rsid w:val="00F862F3"/>
    <w:rPr>
      <w:rFonts w:ascii="Humanist777" w:hAnsi="Humanist777"/>
      <w:sz w:val="24"/>
      <w:szCs w:val="24"/>
      <w:lang w:val="en-US" w:eastAsia="en-US"/>
    </w:rPr>
  </w:style>
  <w:style w:type="paragraph" w:customStyle="1" w:styleId="StyleStyleHeading3NotItalicNotItalic">
    <w:name w:val="Style Style Heading 3 + Not Italic + Not Italic"/>
    <w:basedOn w:val="Normal"/>
    <w:link w:val="StyleStyleHeading3NotItalicNotItalicChar"/>
    <w:rsid w:val="00F862F3"/>
    <w:pPr>
      <w:keepNext/>
      <w:outlineLvl w:val="2"/>
    </w:pPr>
    <w:rPr>
      <w:noProof w:val="0"/>
      <w:sz w:val="22"/>
      <w:szCs w:val="20"/>
      <w:u w:val="single"/>
      <w:lang w:val="en-US"/>
    </w:rPr>
  </w:style>
  <w:style w:type="character" w:customStyle="1" w:styleId="StyleStyleHeading3NotItalicNotItalicChar">
    <w:name w:val="Style Style Heading 3 + Not Italic + Not Italic Char"/>
    <w:link w:val="StyleStyleHeading3NotItalicNotItalic"/>
    <w:rsid w:val="00F862F3"/>
    <w:rPr>
      <w:sz w:val="22"/>
      <w:u w:val="single"/>
      <w:lang w:val="en-US" w:eastAsia="en-US"/>
    </w:rPr>
  </w:style>
  <w:style w:type="paragraph" w:customStyle="1" w:styleId="Paragraph">
    <w:name w:val="Paragraph"/>
    <w:link w:val="ParagraphChar"/>
    <w:rsid w:val="00F862F3"/>
    <w:pPr>
      <w:spacing w:after="240"/>
    </w:pPr>
    <w:rPr>
      <w:sz w:val="24"/>
      <w:szCs w:val="24"/>
      <w:lang w:val="en-US" w:eastAsia="en-US"/>
    </w:rPr>
  </w:style>
  <w:style w:type="character" w:customStyle="1" w:styleId="ParagraphChar">
    <w:name w:val="Paragraph Char"/>
    <w:link w:val="Paragraph"/>
    <w:locked/>
    <w:rsid w:val="00F862F3"/>
    <w:rPr>
      <w:sz w:val="24"/>
      <w:szCs w:val="24"/>
      <w:lang w:val="en-US" w:eastAsia="en-US"/>
    </w:rPr>
  </w:style>
  <w:style w:type="character" w:styleId="Hyperlink">
    <w:name w:val="Hyperlink"/>
    <w:uiPriority w:val="99"/>
    <w:unhideWhenUsed/>
    <w:rsid w:val="00F862F3"/>
    <w:rPr>
      <w:color w:val="0000FF"/>
      <w:u w:val="single"/>
    </w:rPr>
  </w:style>
  <w:style w:type="character" w:customStyle="1" w:styleId="Heading8Char">
    <w:name w:val="Heading 8 Char"/>
    <w:link w:val="Heading8"/>
    <w:rsid w:val="00356F64"/>
    <w:rPr>
      <w:i/>
      <w:iCs/>
      <w:sz w:val="24"/>
      <w:szCs w:val="24"/>
      <w:lang w:val="en-US" w:eastAsia="en-US"/>
    </w:rPr>
  </w:style>
  <w:style w:type="paragraph" w:styleId="NoSpacing">
    <w:name w:val="No Spacing"/>
    <w:uiPriority w:val="1"/>
    <w:qFormat/>
    <w:rsid w:val="00356F6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10057">
      <w:bodyDiv w:val="1"/>
      <w:marLeft w:val="0"/>
      <w:marRight w:val="0"/>
      <w:marTop w:val="0"/>
      <w:marBottom w:val="0"/>
      <w:divBdr>
        <w:top w:val="none" w:sz="0" w:space="0" w:color="auto"/>
        <w:left w:val="none" w:sz="0" w:space="0" w:color="auto"/>
        <w:bottom w:val="none" w:sz="0" w:space="0" w:color="auto"/>
        <w:right w:val="none" w:sz="0" w:space="0" w:color="auto"/>
      </w:divBdr>
    </w:div>
    <w:div w:id="1158301994">
      <w:bodyDiv w:val="1"/>
      <w:marLeft w:val="0"/>
      <w:marRight w:val="0"/>
      <w:marTop w:val="0"/>
      <w:marBottom w:val="0"/>
      <w:divBdr>
        <w:top w:val="none" w:sz="0" w:space="0" w:color="auto"/>
        <w:left w:val="none" w:sz="0" w:space="0" w:color="auto"/>
        <w:bottom w:val="none" w:sz="0" w:space="0" w:color="auto"/>
        <w:right w:val="none" w:sz="0" w:space="0" w:color="auto"/>
      </w:divBdr>
      <w:divsChild>
        <w:div w:id="2111849378">
          <w:marLeft w:val="0"/>
          <w:marRight w:val="0"/>
          <w:marTop w:val="0"/>
          <w:marBottom w:val="0"/>
          <w:divBdr>
            <w:top w:val="none" w:sz="0" w:space="0" w:color="auto"/>
            <w:left w:val="none" w:sz="0" w:space="0" w:color="auto"/>
            <w:bottom w:val="none" w:sz="0" w:space="0" w:color="auto"/>
            <w:right w:val="none" w:sz="0" w:space="0" w:color="auto"/>
          </w:divBdr>
          <w:divsChild>
            <w:div w:id="1236474755">
              <w:marLeft w:val="0"/>
              <w:marRight w:val="0"/>
              <w:marTop w:val="0"/>
              <w:marBottom w:val="0"/>
              <w:divBdr>
                <w:top w:val="none" w:sz="0" w:space="0" w:color="auto"/>
                <w:left w:val="none" w:sz="0" w:space="0" w:color="auto"/>
                <w:bottom w:val="none" w:sz="0" w:space="0" w:color="auto"/>
                <w:right w:val="none" w:sz="0" w:space="0" w:color="auto"/>
              </w:divBdr>
              <w:divsChild>
                <w:div w:id="1678462016">
                  <w:marLeft w:val="0"/>
                  <w:marRight w:val="0"/>
                  <w:marTop w:val="0"/>
                  <w:marBottom w:val="0"/>
                  <w:divBdr>
                    <w:top w:val="none" w:sz="0" w:space="0" w:color="auto"/>
                    <w:left w:val="none" w:sz="0" w:space="0" w:color="auto"/>
                    <w:bottom w:val="none" w:sz="0" w:space="0" w:color="auto"/>
                    <w:right w:val="none" w:sz="0" w:space="0" w:color="auto"/>
                  </w:divBdr>
                  <w:divsChild>
                    <w:div w:id="575558381">
                      <w:marLeft w:val="0"/>
                      <w:marRight w:val="0"/>
                      <w:marTop w:val="0"/>
                      <w:marBottom w:val="0"/>
                      <w:divBdr>
                        <w:top w:val="none" w:sz="0" w:space="0" w:color="auto"/>
                        <w:left w:val="none" w:sz="0" w:space="0" w:color="auto"/>
                        <w:bottom w:val="none" w:sz="0" w:space="0" w:color="auto"/>
                        <w:right w:val="none" w:sz="0" w:space="0" w:color="auto"/>
                      </w:divBdr>
                      <w:divsChild>
                        <w:div w:id="1199391719">
                          <w:marLeft w:val="0"/>
                          <w:marRight w:val="0"/>
                          <w:marTop w:val="0"/>
                          <w:marBottom w:val="0"/>
                          <w:divBdr>
                            <w:top w:val="none" w:sz="0" w:space="0" w:color="auto"/>
                            <w:left w:val="none" w:sz="0" w:space="0" w:color="auto"/>
                            <w:bottom w:val="none" w:sz="0" w:space="0" w:color="auto"/>
                            <w:right w:val="none" w:sz="0" w:space="0" w:color="auto"/>
                          </w:divBdr>
                          <w:divsChild>
                            <w:div w:id="623921572">
                              <w:marLeft w:val="0"/>
                              <w:marRight w:val="0"/>
                              <w:marTop w:val="0"/>
                              <w:marBottom w:val="0"/>
                              <w:divBdr>
                                <w:top w:val="none" w:sz="0" w:space="0" w:color="auto"/>
                                <w:left w:val="none" w:sz="0" w:space="0" w:color="auto"/>
                                <w:bottom w:val="none" w:sz="0" w:space="0" w:color="auto"/>
                                <w:right w:val="none" w:sz="0" w:space="0" w:color="auto"/>
                              </w:divBdr>
                              <w:divsChild>
                                <w:div w:id="495461539">
                                  <w:marLeft w:val="0"/>
                                  <w:marRight w:val="0"/>
                                  <w:marTop w:val="0"/>
                                  <w:marBottom w:val="0"/>
                                  <w:divBdr>
                                    <w:top w:val="none" w:sz="0" w:space="0" w:color="auto"/>
                                    <w:left w:val="none" w:sz="0" w:space="0" w:color="auto"/>
                                    <w:bottom w:val="none" w:sz="0" w:space="0" w:color="auto"/>
                                    <w:right w:val="none" w:sz="0" w:space="0" w:color="auto"/>
                                  </w:divBdr>
                                  <w:divsChild>
                                    <w:div w:id="692456466">
                                      <w:marLeft w:val="0"/>
                                      <w:marRight w:val="0"/>
                                      <w:marTop w:val="0"/>
                                      <w:marBottom w:val="0"/>
                                      <w:divBdr>
                                        <w:top w:val="none" w:sz="0" w:space="0" w:color="auto"/>
                                        <w:left w:val="none" w:sz="0" w:space="0" w:color="auto"/>
                                        <w:bottom w:val="none" w:sz="0" w:space="0" w:color="auto"/>
                                        <w:right w:val="none" w:sz="0" w:space="0" w:color="auto"/>
                                      </w:divBdr>
                                      <w:divsChild>
                                        <w:div w:id="818426447">
                                          <w:marLeft w:val="0"/>
                                          <w:marRight w:val="0"/>
                                          <w:marTop w:val="0"/>
                                          <w:marBottom w:val="0"/>
                                          <w:divBdr>
                                            <w:top w:val="none" w:sz="0" w:space="0" w:color="auto"/>
                                            <w:left w:val="single" w:sz="6" w:space="0" w:color="999999"/>
                                            <w:bottom w:val="none" w:sz="0" w:space="0" w:color="auto"/>
                                            <w:right w:val="none" w:sz="0" w:space="0" w:color="auto"/>
                                          </w:divBdr>
                                          <w:divsChild>
                                            <w:div w:id="432821902">
                                              <w:marLeft w:val="0"/>
                                              <w:marRight w:val="0"/>
                                              <w:marTop w:val="150"/>
                                              <w:marBottom w:val="150"/>
                                              <w:divBdr>
                                                <w:top w:val="none" w:sz="0" w:space="0" w:color="auto"/>
                                                <w:left w:val="none" w:sz="0" w:space="0" w:color="auto"/>
                                                <w:bottom w:val="none" w:sz="0" w:space="0" w:color="auto"/>
                                                <w:right w:val="none" w:sz="0" w:space="0" w:color="auto"/>
                                              </w:divBdr>
                                              <w:divsChild>
                                                <w:div w:id="761802079">
                                                  <w:marLeft w:val="0"/>
                                                  <w:marRight w:val="0"/>
                                                  <w:marTop w:val="0"/>
                                                  <w:marBottom w:val="0"/>
                                                  <w:divBdr>
                                                    <w:top w:val="none" w:sz="0" w:space="0" w:color="auto"/>
                                                    <w:left w:val="none" w:sz="0" w:space="0" w:color="auto"/>
                                                    <w:bottom w:val="none" w:sz="0" w:space="0" w:color="auto"/>
                                                    <w:right w:val="none" w:sz="0" w:space="0" w:color="auto"/>
                                                  </w:divBdr>
                                                  <w:divsChild>
                                                    <w:div w:id="18370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6325757">
      <w:bodyDiv w:val="1"/>
      <w:marLeft w:val="0"/>
      <w:marRight w:val="0"/>
      <w:marTop w:val="0"/>
      <w:marBottom w:val="0"/>
      <w:divBdr>
        <w:top w:val="none" w:sz="0" w:space="0" w:color="auto"/>
        <w:left w:val="none" w:sz="0" w:space="0" w:color="auto"/>
        <w:bottom w:val="none" w:sz="0" w:space="0" w:color="auto"/>
        <w:right w:val="none" w:sz="0" w:space="0" w:color="auto"/>
      </w:divBdr>
      <w:divsChild>
        <w:div w:id="1335038026">
          <w:marLeft w:val="0"/>
          <w:marRight w:val="0"/>
          <w:marTop w:val="0"/>
          <w:marBottom w:val="0"/>
          <w:divBdr>
            <w:top w:val="none" w:sz="0" w:space="0" w:color="auto"/>
            <w:left w:val="none" w:sz="0" w:space="0" w:color="auto"/>
            <w:bottom w:val="none" w:sz="0" w:space="0" w:color="auto"/>
            <w:right w:val="none" w:sz="0" w:space="0" w:color="auto"/>
          </w:divBdr>
          <w:divsChild>
            <w:div w:id="1268999667">
              <w:marLeft w:val="0"/>
              <w:marRight w:val="0"/>
              <w:marTop w:val="0"/>
              <w:marBottom w:val="0"/>
              <w:divBdr>
                <w:top w:val="none" w:sz="0" w:space="0" w:color="auto"/>
                <w:left w:val="none" w:sz="0" w:space="0" w:color="auto"/>
                <w:bottom w:val="none" w:sz="0" w:space="0" w:color="auto"/>
                <w:right w:val="none" w:sz="0" w:space="0" w:color="auto"/>
              </w:divBdr>
              <w:divsChild>
                <w:div w:id="1551771352">
                  <w:marLeft w:val="0"/>
                  <w:marRight w:val="0"/>
                  <w:marTop w:val="0"/>
                  <w:marBottom w:val="0"/>
                  <w:divBdr>
                    <w:top w:val="none" w:sz="0" w:space="0" w:color="auto"/>
                    <w:left w:val="none" w:sz="0" w:space="0" w:color="auto"/>
                    <w:bottom w:val="none" w:sz="0" w:space="0" w:color="auto"/>
                    <w:right w:val="none" w:sz="0" w:space="0" w:color="auto"/>
                  </w:divBdr>
                  <w:divsChild>
                    <w:div w:id="207569884">
                      <w:marLeft w:val="0"/>
                      <w:marRight w:val="0"/>
                      <w:marTop w:val="0"/>
                      <w:marBottom w:val="0"/>
                      <w:divBdr>
                        <w:top w:val="none" w:sz="0" w:space="0" w:color="auto"/>
                        <w:left w:val="none" w:sz="0" w:space="0" w:color="auto"/>
                        <w:bottom w:val="none" w:sz="0" w:space="0" w:color="auto"/>
                        <w:right w:val="none" w:sz="0" w:space="0" w:color="auto"/>
                      </w:divBdr>
                      <w:divsChild>
                        <w:div w:id="1768115332">
                          <w:marLeft w:val="0"/>
                          <w:marRight w:val="0"/>
                          <w:marTop w:val="0"/>
                          <w:marBottom w:val="0"/>
                          <w:divBdr>
                            <w:top w:val="none" w:sz="0" w:space="0" w:color="auto"/>
                            <w:left w:val="none" w:sz="0" w:space="0" w:color="auto"/>
                            <w:bottom w:val="none" w:sz="0" w:space="0" w:color="auto"/>
                            <w:right w:val="none" w:sz="0" w:space="0" w:color="auto"/>
                          </w:divBdr>
                          <w:divsChild>
                            <w:div w:id="1681733425">
                              <w:marLeft w:val="0"/>
                              <w:marRight w:val="0"/>
                              <w:marTop w:val="0"/>
                              <w:marBottom w:val="0"/>
                              <w:divBdr>
                                <w:top w:val="none" w:sz="0" w:space="0" w:color="auto"/>
                                <w:left w:val="none" w:sz="0" w:space="0" w:color="auto"/>
                                <w:bottom w:val="none" w:sz="0" w:space="0" w:color="auto"/>
                                <w:right w:val="none" w:sz="0" w:space="0" w:color="auto"/>
                              </w:divBdr>
                              <w:divsChild>
                                <w:div w:id="1372145775">
                                  <w:marLeft w:val="0"/>
                                  <w:marRight w:val="0"/>
                                  <w:marTop w:val="0"/>
                                  <w:marBottom w:val="0"/>
                                  <w:divBdr>
                                    <w:top w:val="none" w:sz="0" w:space="0" w:color="auto"/>
                                    <w:left w:val="none" w:sz="0" w:space="0" w:color="auto"/>
                                    <w:bottom w:val="none" w:sz="0" w:space="0" w:color="auto"/>
                                    <w:right w:val="none" w:sz="0" w:space="0" w:color="auto"/>
                                  </w:divBdr>
                                  <w:divsChild>
                                    <w:div w:id="1619215640">
                                      <w:marLeft w:val="0"/>
                                      <w:marRight w:val="0"/>
                                      <w:marTop w:val="0"/>
                                      <w:marBottom w:val="0"/>
                                      <w:divBdr>
                                        <w:top w:val="none" w:sz="0" w:space="0" w:color="auto"/>
                                        <w:left w:val="none" w:sz="0" w:space="0" w:color="auto"/>
                                        <w:bottom w:val="none" w:sz="0" w:space="0" w:color="auto"/>
                                        <w:right w:val="none" w:sz="0" w:space="0" w:color="auto"/>
                                      </w:divBdr>
                                      <w:divsChild>
                                        <w:div w:id="520440526">
                                          <w:marLeft w:val="0"/>
                                          <w:marRight w:val="0"/>
                                          <w:marTop w:val="0"/>
                                          <w:marBottom w:val="0"/>
                                          <w:divBdr>
                                            <w:top w:val="none" w:sz="0" w:space="0" w:color="auto"/>
                                            <w:left w:val="single" w:sz="6" w:space="0" w:color="999999"/>
                                            <w:bottom w:val="none" w:sz="0" w:space="0" w:color="auto"/>
                                            <w:right w:val="none" w:sz="0" w:space="0" w:color="auto"/>
                                          </w:divBdr>
                                          <w:divsChild>
                                            <w:div w:id="212037737">
                                              <w:marLeft w:val="0"/>
                                              <w:marRight w:val="0"/>
                                              <w:marTop w:val="150"/>
                                              <w:marBottom w:val="150"/>
                                              <w:divBdr>
                                                <w:top w:val="none" w:sz="0" w:space="0" w:color="auto"/>
                                                <w:left w:val="none" w:sz="0" w:space="0" w:color="auto"/>
                                                <w:bottom w:val="none" w:sz="0" w:space="0" w:color="auto"/>
                                                <w:right w:val="none" w:sz="0" w:space="0" w:color="auto"/>
                                              </w:divBdr>
                                              <w:divsChild>
                                                <w:div w:id="787896079">
                                                  <w:marLeft w:val="0"/>
                                                  <w:marRight w:val="0"/>
                                                  <w:marTop w:val="0"/>
                                                  <w:marBottom w:val="0"/>
                                                  <w:divBdr>
                                                    <w:top w:val="none" w:sz="0" w:space="0" w:color="auto"/>
                                                    <w:left w:val="none" w:sz="0" w:space="0" w:color="auto"/>
                                                    <w:bottom w:val="none" w:sz="0" w:space="0" w:color="auto"/>
                                                    <w:right w:val="none" w:sz="0" w:space="0" w:color="auto"/>
                                                  </w:divBdr>
                                                  <w:divsChild>
                                                    <w:div w:id="16854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4797247">
      <w:bodyDiv w:val="1"/>
      <w:marLeft w:val="0"/>
      <w:marRight w:val="0"/>
      <w:marTop w:val="0"/>
      <w:marBottom w:val="0"/>
      <w:divBdr>
        <w:top w:val="none" w:sz="0" w:space="0" w:color="auto"/>
        <w:left w:val="none" w:sz="0" w:space="0" w:color="auto"/>
        <w:bottom w:val="none" w:sz="0" w:space="0" w:color="auto"/>
        <w:right w:val="none" w:sz="0" w:space="0" w:color="auto"/>
      </w:divBdr>
      <w:divsChild>
        <w:div w:id="1903952425">
          <w:marLeft w:val="0"/>
          <w:marRight w:val="0"/>
          <w:marTop w:val="0"/>
          <w:marBottom w:val="0"/>
          <w:divBdr>
            <w:top w:val="none" w:sz="0" w:space="0" w:color="auto"/>
            <w:left w:val="none" w:sz="0" w:space="0" w:color="auto"/>
            <w:bottom w:val="none" w:sz="0" w:space="0" w:color="auto"/>
            <w:right w:val="none" w:sz="0" w:space="0" w:color="auto"/>
          </w:divBdr>
          <w:divsChild>
            <w:div w:id="1051729094">
              <w:marLeft w:val="0"/>
              <w:marRight w:val="0"/>
              <w:marTop w:val="0"/>
              <w:marBottom w:val="0"/>
              <w:divBdr>
                <w:top w:val="none" w:sz="0" w:space="0" w:color="auto"/>
                <w:left w:val="none" w:sz="0" w:space="0" w:color="auto"/>
                <w:bottom w:val="none" w:sz="0" w:space="0" w:color="auto"/>
                <w:right w:val="none" w:sz="0" w:space="0" w:color="auto"/>
              </w:divBdr>
              <w:divsChild>
                <w:div w:id="1992252728">
                  <w:marLeft w:val="0"/>
                  <w:marRight w:val="0"/>
                  <w:marTop w:val="0"/>
                  <w:marBottom w:val="0"/>
                  <w:divBdr>
                    <w:top w:val="none" w:sz="0" w:space="0" w:color="auto"/>
                    <w:left w:val="none" w:sz="0" w:space="0" w:color="auto"/>
                    <w:bottom w:val="none" w:sz="0" w:space="0" w:color="auto"/>
                    <w:right w:val="none" w:sz="0" w:space="0" w:color="auto"/>
                  </w:divBdr>
                  <w:divsChild>
                    <w:div w:id="589852549">
                      <w:marLeft w:val="0"/>
                      <w:marRight w:val="0"/>
                      <w:marTop w:val="0"/>
                      <w:marBottom w:val="0"/>
                      <w:divBdr>
                        <w:top w:val="none" w:sz="0" w:space="0" w:color="auto"/>
                        <w:left w:val="none" w:sz="0" w:space="0" w:color="auto"/>
                        <w:bottom w:val="none" w:sz="0" w:space="0" w:color="auto"/>
                        <w:right w:val="none" w:sz="0" w:space="0" w:color="auto"/>
                      </w:divBdr>
                      <w:divsChild>
                        <w:div w:id="515535691">
                          <w:marLeft w:val="0"/>
                          <w:marRight w:val="0"/>
                          <w:marTop w:val="0"/>
                          <w:marBottom w:val="0"/>
                          <w:divBdr>
                            <w:top w:val="none" w:sz="0" w:space="0" w:color="auto"/>
                            <w:left w:val="none" w:sz="0" w:space="0" w:color="auto"/>
                            <w:bottom w:val="none" w:sz="0" w:space="0" w:color="auto"/>
                            <w:right w:val="none" w:sz="0" w:space="0" w:color="auto"/>
                          </w:divBdr>
                          <w:divsChild>
                            <w:div w:id="1323585762">
                              <w:marLeft w:val="0"/>
                              <w:marRight w:val="0"/>
                              <w:marTop w:val="0"/>
                              <w:marBottom w:val="0"/>
                              <w:divBdr>
                                <w:top w:val="none" w:sz="0" w:space="0" w:color="auto"/>
                                <w:left w:val="none" w:sz="0" w:space="0" w:color="auto"/>
                                <w:bottom w:val="none" w:sz="0" w:space="0" w:color="auto"/>
                                <w:right w:val="none" w:sz="0" w:space="0" w:color="auto"/>
                              </w:divBdr>
                              <w:divsChild>
                                <w:div w:id="1509902066">
                                  <w:marLeft w:val="0"/>
                                  <w:marRight w:val="0"/>
                                  <w:marTop w:val="0"/>
                                  <w:marBottom w:val="0"/>
                                  <w:divBdr>
                                    <w:top w:val="none" w:sz="0" w:space="0" w:color="auto"/>
                                    <w:left w:val="none" w:sz="0" w:space="0" w:color="auto"/>
                                    <w:bottom w:val="none" w:sz="0" w:space="0" w:color="auto"/>
                                    <w:right w:val="none" w:sz="0" w:space="0" w:color="auto"/>
                                  </w:divBdr>
                                  <w:divsChild>
                                    <w:div w:id="394813205">
                                      <w:marLeft w:val="0"/>
                                      <w:marRight w:val="0"/>
                                      <w:marTop w:val="0"/>
                                      <w:marBottom w:val="0"/>
                                      <w:divBdr>
                                        <w:top w:val="none" w:sz="0" w:space="0" w:color="auto"/>
                                        <w:left w:val="none" w:sz="0" w:space="0" w:color="auto"/>
                                        <w:bottom w:val="none" w:sz="0" w:space="0" w:color="auto"/>
                                        <w:right w:val="none" w:sz="0" w:space="0" w:color="auto"/>
                                      </w:divBdr>
                                      <w:divsChild>
                                        <w:div w:id="1920209111">
                                          <w:marLeft w:val="0"/>
                                          <w:marRight w:val="0"/>
                                          <w:marTop w:val="0"/>
                                          <w:marBottom w:val="0"/>
                                          <w:divBdr>
                                            <w:top w:val="none" w:sz="0" w:space="0" w:color="auto"/>
                                            <w:left w:val="single" w:sz="6" w:space="0" w:color="999999"/>
                                            <w:bottom w:val="none" w:sz="0" w:space="0" w:color="auto"/>
                                            <w:right w:val="none" w:sz="0" w:space="0" w:color="auto"/>
                                          </w:divBdr>
                                          <w:divsChild>
                                            <w:div w:id="197545612">
                                              <w:marLeft w:val="0"/>
                                              <w:marRight w:val="0"/>
                                              <w:marTop w:val="150"/>
                                              <w:marBottom w:val="150"/>
                                              <w:divBdr>
                                                <w:top w:val="none" w:sz="0" w:space="0" w:color="auto"/>
                                                <w:left w:val="none" w:sz="0" w:space="0" w:color="auto"/>
                                                <w:bottom w:val="none" w:sz="0" w:space="0" w:color="auto"/>
                                                <w:right w:val="none" w:sz="0" w:space="0" w:color="auto"/>
                                              </w:divBdr>
                                              <w:divsChild>
                                                <w:div w:id="1398089708">
                                                  <w:marLeft w:val="0"/>
                                                  <w:marRight w:val="0"/>
                                                  <w:marTop w:val="0"/>
                                                  <w:marBottom w:val="0"/>
                                                  <w:divBdr>
                                                    <w:top w:val="none" w:sz="0" w:space="0" w:color="auto"/>
                                                    <w:left w:val="none" w:sz="0" w:space="0" w:color="auto"/>
                                                    <w:bottom w:val="none" w:sz="0" w:space="0" w:color="auto"/>
                                                    <w:right w:val="none" w:sz="0" w:space="0" w:color="auto"/>
                                                  </w:divBdr>
                                                  <w:divsChild>
                                                    <w:div w:id="12398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1413560">
      <w:bodyDiv w:val="1"/>
      <w:marLeft w:val="0"/>
      <w:marRight w:val="0"/>
      <w:marTop w:val="0"/>
      <w:marBottom w:val="0"/>
      <w:divBdr>
        <w:top w:val="none" w:sz="0" w:space="0" w:color="auto"/>
        <w:left w:val="none" w:sz="0" w:space="0" w:color="auto"/>
        <w:bottom w:val="none" w:sz="0" w:space="0" w:color="auto"/>
        <w:right w:val="none" w:sz="0" w:space="0" w:color="auto"/>
      </w:divBdr>
      <w:divsChild>
        <w:div w:id="1310019860">
          <w:marLeft w:val="0"/>
          <w:marRight w:val="0"/>
          <w:marTop w:val="0"/>
          <w:marBottom w:val="0"/>
          <w:divBdr>
            <w:top w:val="none" w:sz="0" w:space="0" w:color="auto"/>
            <w:left w:val="none" w:sz="0" w:space="0" w:color="auto"/>
            <w:bottom w:val="none" w:sz="0" w:space="0" w:color="auto"/>
            <w:right w:val="none" w:sz="0" w:space="0" w:color="auto"/>
          </w:divBdr>
          <w:divsChild>
            <w:div w:id="928318249">
              <w:marLeft w:val="0"/>
              <w:marRight w:val="0"/>
              <w:marTop w:val="0"/>
              <w:marBottom w:val="0"/>
              <w:divBdr>
                <w:top w:val="none" w:sz="0" w:space="0" w:color="auto"/>
                <w:left w:val="none" w:sz="0" w:space="0" w:color="auto"/>
                <w:bottom w:val="none" w:sz="0" w:space="0" w:color="auto"/>
                <w:right w:val="none" w:sz="0" w:space="0" w:color="auto"/>
              </w:divBdr>
              <w:divsChild>
                <w:div w:id="963580133">
                  <w:marLeft w:val="0"/>
                  <w:marRight w:val="0"/>
                  <w:marTop w:val="0"/>
                  <w:marBottom w:val="0"/>
                  <w:divBdr>
                    <w:top w:val="none" w:sz="0" w:space="0" w:color="auto"/>
                    <w:left w:val="none" w:sz="0" w:space="0" w:color="auto"/>
                    <w:bottom w:val="none" w:sz="0" w:space="0" w:color="auto"/>
                    <w:right w:val="none" w:sz="0" w:space="0" w:color="auto"/>
                  </w:divBdr>
                  <w:divsChild>
                    <w:div w:id="447435913">
                      <w:marLeft w:val="0"/>
                      <w:marRight w:val="0"/>
                      <w:marTop w:val="0"/>
                      <w:marBottom w:val="0"/>
                      <w:divBdr>
                        <w:top w:val="none" w:sz="0" w:space="0" w:color="auto"/>
                        <w:left w:val="none" w:sz="0" w:space="0" w:color="auto"/>
                        <w:bottom w:val="none" w:sz="0" w:space="0" w:color="auto"/>
                        <w:right w:val="none" w:sz="0" w:space="0" w:color="auto"/>
                      </w:divBdr>
                      <w:divsChild>
                        <w:div w:id="62147420">
                          <w:marLeft w:val="0"/>
                          <w:marRight w:val="0"/>
                          <w:marTop w:val="0"/>
                          <w:marBottom w:val="0"/>
                          <w:divBdr>
                            <w:top w:val="none" w:sz="0" w:space="0" w:color="auto"/>
                            <w:left w:val="none" w:sz="0" w:space="0" w:color="auto"/>
                            <w:bottom w:val="none" w:sz="0" w:space="0" w:color="auto"/>
                            <w:right w:val="none" w:sz="0" w:space="0" w:color="auto"/>
                          </w:divBdr>
                          <w:divsChild>
                            <w:div w:id="1860119405">
                              <w:marLeft w:val="0"/>
                              <w:marRight w:val="0"/>
                              <w:marTop w:val="0"/>
                              <w:marBottom w:val="0"/>
                              <w:divBdr>
                                <w:top w:val="none" w:sz="0" w:space="0" w:color="auto"/>
                                <w:left w:val="none" w:sz="0" w:space="0" w:color="auto"/>
                                <w:bottom w:val="none" w:sz="0" w:space="0" w:color="auto"/>
                                <w:right w:val="none" w:sz="0" w:space="0" w:color="auto"/>
                              </w:divBdr>
                              <w:divsChild>
                                <w:div w:id="1495338071">
                                  <w:marLeft w:val="0"/>
                                  <w:marRight w:val="0"/>
                                  <w:marTop w:val="0"/>
                                  <w:marBottom w:val="0"/>
                                  <w:divBdr>
                                    <w:top w:val="none" w:sz="0" w:space="0" w:color="auto"/>
                                    <w:left w:val="none" w:sz="0" w:space="0" w:color="auto"/>
                                    <w:bottom w:val="none" w:sz="0" w:space="0" w:color="auto"/>
                                    <w:right w:val="none" w:sz="0" w:space="0" w:color="auto"/>
                                  </w:divBdr>
                                  <w:divsChild>
                                    <w:div w:id="887959457">
                                      <w:marLeft w:val="0"/>
                                      <w:marRight w:val="0"/>
                                      <w:marTop w:val="0"/>
                                      <w:marBottom w:val="0"/>
                                      <w:divBdr>
                                        <w:top w:val="none" w:sz="0" w:space="0" w:color="auto"/>
                                        <w:left w:val="none" w:sz="0" w:space="0" w:color="auto"/>
                                        <w:bottom w:val="none" w:sz="0" w:space="0" w:color="auto"/>
                                        <w:right w:val="none" w:sz="0" w:space="0" w:color="auto"/>
                                      </w:divBdr>
                                      <w:divsChild>
                                        <w:div w:id="1395856043">
                                          <w:marLeft w:val="0"/>
                                          <w:marRight w:val="0"/>
                                          <w:marTop w:val="0"/>
                                          <w:marBottom w:val="0"/>
                                          <w:divBdr>
                                            <w:top w:val="none" w:sz="0" w:space="0" w:color="auto"/>
                                            <w:left w:val="single" w:sz="6" w:space="0" w:color="999999"/>
                                            <w:bottom w:val="none" w:sz="0" w:space="0" w:color="auto"/>
                                            <w:right w:val="none" w:sz="0" w:space="0" w:color="auto"/>
                                          </w:divBdr>
                                          <w:divsChild>
                                            <w:div w:id="767702285">
                                              <w:marLeft w:val="0"/>
                                              <w:marRight w:val="0"/>
                                              <w:marTop w:val="150"/>
                                              <w:marBottom w:val="150"/>
                                              <w:divBdr>
                                                <w:top w:val="none" w:sz="0" w:space="0" w:color="auto"/>
                                                <w:left w:val="none" w:sz="0" w:space="0" w:color="auto"/>
                                                <w:bottom w:val="none" w:sz="0" w:space="0" w:color="auto"/>
                                                <w:right w:val="none" w:sz="0" w:space="0" w:color="auto"/>
                                              </w:divBdr>
                                              <w:divsChild>
                                                <w:div w:id="204800538">
                                                  <w:marLeft w:val="0"/>
                                                  <w:marRight w:val="0"/>
                                                  <w:marTop w:val="0"/>
                                                  <w:marBottom w:val="0"/>
                                                  <w:divBdr>
                                                    <w:top w:val="none" w:sz="0" w:space="0" w:color="auto"/>
                                                    <w:left w:val="none" w:sz="0" w:space="0" w:color="auto"/>
                                                    <w:bottom w:val="none" w:sz="0" w:space="0" w:color="auto"/>
                                                    <w:right w:val="none" w:sz="0" w:space="0" w:color="auto"/>
                                                  </w:divBdr>
                                                  <w:divsChild>
                                                    <w:div w:id="14674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1D90A-227B-466B-A271-C014DD7F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4154</Words>
  <Characters>23682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27781</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Dušanka Blečić</cp:lastModifiedBy>
  <cp:revision>5</cp:revision>
  <dcterms:created xsi:type="dcterms:W3CDTF">2024-07-12T12:02:00Z</dcterms:created>
  <dcterms:modified xsi:type="dcterms:W3CDTF">2025-05-29T08:31:00Z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